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860477" w:rsidRPr="008329D2" w14:paraId="0525A3C9" w14:textId="77777777" w:rsidTr="003F0819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4B3EE41E" w14:textId="77777777" w:rsidR="00860477" w:rsidRPr="009D3DBF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9D3DBF">
              <w:rPr>
                <w:rFonts w:ascii="ITC Avant Garde" w:hAnsi="ITC Avant Garde"/>
                <w:sz w:val="18"/>
                <w:szCs w:val="18"/>
              </w:rPr>
              <w:t xml:space="preserve">Unidad Administrativa o Coordinación General del Instituto: </w:t>
            </w:r>
          </w:p>
          <w:p w14:paraId="46C21DAD" w14:textId="77777777" w:rsidR="00860477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1FF95A54" w14:textId="77777777" w:rsidR="00860477" w:rsidRPr="00590DD1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8329D2">
              <w:rPr>
                <w:rFonts w:ascii="ITC Avant Garde" w:hAnsi="ITC Avant Garde"/>
                <w:b/>
                <w:sz w:val="18"/>
                <w:szCs w:val="18"/>
              </w:rPr>
              <w:t>Autoridad Investigadora</w:t>
            </w: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3C0B123F" w14:textId="77777777" w:rsidR="00860477" w:rsidRPr="00BB7D51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B7D51">
              <w:rPr>
                <w:rFonts w:ascii="ITC Avant Garde" w:hAnsi="ITC Avant Garde"/>
                <w:sz w:val="18"/>
                <w:szCs w:val="18"/>
              </w:rPr>
              <w:t>Título de la propuesta de regulación:</w:t>
            </w:r>
          </w:p>
          <w:p w14:paraId="0FC7CA8A" w14:textId="77777777" w:rsidR="00860477" w:rsidRPr="00BB7D51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EB1C6D4" w14:textId="102CF98F" w:rsidR="00860477" w:rsidRPr="00BB7D51" w:rsidRDefault="00860477" w:rsidP="0086047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160C6C">
              <w:rPr>
                <w:rFonts w:ascii="ITC Avant Garde" w:hAnsi="ITC Avant Garde"/>
                <w:b/>
                <w:sz w:val="18"/>
                <w:szCs w:val="18"/>
              </w:rPr>
              <w:t>“</w:t>
            </w:r>
            <w:r w:rsidRPr="0071056F">
              <w:rPr>
                <w:rFonts w:ascii="ITC Avant Garde" w:hAnsi="ITC Avant Garde"/>
                <w:b/>
                <w:sz w:val="18"/>
                <w:szCs w:val="18"/>
              </w:rPr>
              <w:t>ANTEPROYECTO DE GUÍA DEL PROCEDIMIENTO DE DISPENSA O REDUCCIÓN DEL IMPORTE DE MULTAS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Pr="00142774">
              <w:rPr>
                <w:rFonts w:ascii="ITC Avant Garde" w:eastAsiaTheme="majorEastAsia" w:hAnsi="ITC Avant Garde" w:cstheme="majorBidi"/>
                <w:b/>
                <w:smallCaps/>
                <w:sz w:val="18"/>
              </w:rPr>
              <w:t>EN INVESTIGACIONES DE PRÁCTICAS MONOPÓLICAS RELATIVAS O CONCENTRACIONES ILÍCITAS</w:t>
            </w:r>
            <w:r w:rsidRPr="0071056F">
              <w:rPr>
                <w:rFonts w:ascii="ITC Avant Garde" w:hAnsi="ITC Avant Garde"/>
                <w:b/>
                <w:sz w:val="18"/>
                <w:szCs w:val="18"/>
              </w:rPr>
              <w:t>, PARA LOS SECTORES DE TELECOMUNICACIONES Y RADIODIFUSIÓN</w:t>
            </w:r>
            <w:bookmarkStart w:id="0" w:name="_GoBack"/>
            <w:bookmarkEnd w:id="0"/>
            <w:r w:rsidRPr="00160C6C">
              <w:rPr>
                <w:rFonts w:ascii="ITC Avant Garde" w:hAnsi="ITC Avant Garde"/>
                <w:b/>
                <w:sz w:val="18"/>
                <w:szCs w:val="18"/>
              </w:rPr>
              <w:t>”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</w:tc>
      </w:tr>
      <w:tr w:rsidR="00860477" w:rsidRPr="008329D2" w14:paraId="2687F968" w14:textId="77777777" w:rsidTr="003F0819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100917BC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8329D2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regulación:</w:t>
            </w:r>
          </w:p>
          <w:p w14:paraId="47E0463D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1F35BD2" w14:textId="77777777" w:rsidR="00860477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</w:p>
          <w:p w14:paraId="7016299B" w14:textId="77777777" w:rsidR="00860477" w:rsidRPr="009D3DBF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9D3DBF">
              <w:rPr>
                <w:rFonts w:ascii="ITC Avant Garde" w:hAnsi="ITC Avant Garde"/>
                <w:b/>
                <w:sz w:val="18"/>
                <w:szCs w:val="18"/>
              </w:rPr>
              <w:t>Paulina Martínez Youn</w:t>
            </w:r>
          </w:p>
          <w:p w14:paraId="1D47007F" w14:textId="77777777" w:rsidR="00860477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</w:p>
          <w:p w14:paraId="47EAC2CE" w14:textId="77777777" w:rsidR="00860477" w:rsidRPr="009D3DBF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9D3DBF">
              <w:rPr>
                <w:rFonts w:ascii="ITC Avant Garde" w:hAnsi="ITC Avant Garde"/>
                <w:b/>
                <w:sz w:val="18"/>
                <w:szCs w:val="18"/>
              </w:rPr>
              <w:t>5015-4000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 xml:space="preserve"> extensión 4192</w:t>
            </w:r>
          </w:p>
          <w:p w14:paraId="14403B4B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>Correo electrónico:</w:t>
            </w:r>
          </w:p>
          <w:p w14:paraId="7F2F79A5" w14:textId="77777777" w:rsidR="00860477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9D3DBF">
              <w:rPr>
                <w:rFonts w:ascii="ITC Avant Garde" w:hAnsi="ITC Avant Garde"/>
                <w:b/>
                <w:sz w:val="18"/>
                <w:szCs w:val="18"/>
              </w:rPr>
              <w:t xml:space="preserve">paulina.martinez@ift.org.mx </w:t>
            </w:r>
          </w:p>
          <w:p w14:paraId="5B5AA121" w14:textId="77777777" w:rsidR="00860477" w:rsidRPr="009D3DBF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3EE4684C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8329D2">
              <w:rPr>
                <w:rFonts w:ascii="ITC Avant Garde" w:hAnsi="ITC Avant Garde"/>
                <w:b/>
                <w:sz w:val="18"/>
                <w:szCs w:val="18"/>
              </w:rPr>
              <w:t>Fecha de elaboración del análisis de impacto regulatorio: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B82085F" w14:textId="77777777" w:rsidR="00860477" w:rsidRPr="008329D2" w:rsidRDefault="00860477" w:rsidP="003F081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>06/09/2018</w:t>
            </w:r>
          </w:p>
        </w:tc>
      </w:tr>
      <w:tr w:rsidR="00860477" w:rsidRPr="008329D2" w14:paraId="7F79A5D1" w14:textId="77777777" w:rsidTr="003F0819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4977DCE7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166266C2" w14:textId="77777777" w:rsidR="00860477" w:rsidRPr="008329D2" w:rsidRDefault="00860477" w:rsidP="003F081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8329D2">
              <w:rPr>
                <w:rFonts w:ascii="ITC Avant Garde" w:hAnsi="ITC Avant Garde"/>
                <w:b/>
                <w:sz w:val="18"/>
                <w:szCs w:val="18"/>
              </w:rPr>
              <w:t>En su caso, fecha de inicio y conclusión 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D92B8F" w:rsidRPr="008329D2" w14:paraId="2B5569C8" w14:textId="77777777" w:rsidTr="00EC53A4">
              <w:trPr>
                <w:trHeight w:val="390"/>
              </w:trPr>
              <w:tc>
                <w:tcPr>
                  <w:tcW w:w="3021" w:type="dxa"/>
                  <w:shd w:val="clear" w:color="auto" w:fill="DBDBDB" w:themeFill="accent3" w:themeFillTint="66"/>
                  <w:vAlign w:val="center"/>
                </w:tcPr>
                <w:p w14:paraId="09D429D4" w14:textId="3DF997B5" w:rsidR="00D92B8F" w:rsidRPr="008329D2" w:rsidRDefault="005C1605" w:rsidP="00D8558F">
                  <w:pPr>
                    <w:spacing w:after="160"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02</w:t>
                  </w:r>
                  <w:r w:rsidR="00D8558F" w:rsidRPr="008329D2">
                    <w:rPr>
                      <w:rFonts w:ascii="ITC Avant Garde" w:hAnsi="ITC Avant Garde"/>
                      <w:sz w:val="18"/>
                      <w:szCs w:val="18"/>
                    </w:rPr>
                    <w:t>/</w:t>
                  </w:r>
                  <w:r w:rsidR="00D8558F">
                    <w:rPr>
                      <w:rFonts w:ascii="ITC Avant Garde" w:hAnsi="ITC Avant Garde"/>
                      <w:sz w:val="18"/>
                      <w:szCs w:val="18"/>
                    </w:rPr>
                    <w:t>10</w:t>
                  </w:r>
                  <w:r w:rsidR="00D8558F" w:rsidRPr="008329D2">
                    <w:rPr>
                      <w:rFonts w:ascii="ITC Avant Garde" w:hAnsi="ITC Avant Garde"/>
                      <w:sz w:val="18"/>
                      <w:szCs w:val="18"/>
                    </w:rPr>
                    <w:t>/</w:t>
                  </w:r>
                  <w:r w:rsidR="00D8558F">
                    <w:rPr>
                      <w:rFonts w:ascii="ITC Avant Garde" w:hAnsi="ITC Avant Garde"/>
                      <w:sz w:val="18"/>
                      <w:szCs w:val="18"/>
                    </w:rPr>
                    <w:t>2018</w:t>
                  </w:r>
                  <w:r w:rsidR="00D8558F" w:rsidRPr="008329D2">
                    <w:rPr>
                      <w:rFonts w:ascii="ITC Avant Garde" w:hAnsi="ITC Avant Garde"/>
                      <w:sz w:val="18"/>
                      <w:szCs w:val="18"/>
                    </w:rPr>
                    <w:t xml:space="preserve"> a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12</w:t>
                  </w:r>
                  <w:r w:rsidR="00D8558F" w:rsidRPr="008329D2">
                    <w:rPr>
                      <w:rFonts w:ascii="ITC Avant Garde" w:hAnsi="ITC Avant Garde"/>
                      <w:sz w:val="18"/>
                      <w:szCs w:val="18"/>
                    </w:rPr>
                    <w:t>/</w:t>
                  </w:r>
                  <w:r w:rsidR="00D8558F">
                    <w:rPr>
                      <w:rFonts w:ascii="ITC Avant Garde" w:hAnsi="ITC Avant Garde"/>
                      <w:sz w:val="18"/>
                      <w:szCs w:val="18"/>
                    </w:rPr>
                    <w:t>11</w:t>
                  </w:r>
                  <w:r w:rsidR="00D8558F" w:rsidRPr="008329D2">
                    <w:rPr>
                      <w:rFonts w:ascii="ITC Avant Garde" w:hAnsi="ITC Avant Garde"/>
                      <w:sz w:val="18"/>
                      <w:szCs w:val="18"/>
                    </w:rPr>
                    <w:t>/</w:t>
                  </w:r>
                  <w:r w:rsidR="00D8558F">
                    <w:rPr>
                      <w:rFonts w:ascii="ITC Avant Garde" w:hAnsi="ITC Avant Garde"/>
                      <w:sz w:val="18"/>
                      <w:szCs w:val="18"/>
                    </w:rPr>
                    <w:t>2018</w:t>
                  </w:r>
                </w:p>
              </w:tc>
            </w:tr>
          </w:tbl>
          <w:p w14:paraId="580CD5F9" w14:textId="71D81615" w:rsidR="00860477" w:rsidRPr="008329D2" w:rsidRDefault="00860477" w:rsidP="00D92B8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76C30FC4" w14:textId="77777777" w:rsidR="00860477" w:rsidRPr="00451B7D" w:rsidRDefault="00860477" w:rsidP="00501ADF">
      <w:pPr>
        <w:jc w:val="both"/>
        <w:rPr>
          <w:rFonts w:ascii="ITC Avant Garde" w:hAnsi="ITC Avant Garde"/>
          <w:sz w:val="18"/>
          <w:szCs w:val="18"/>
        </w:rPr>
      </w:pPr>
    </w:p>
    <w:p w14:paraId="3A75C590" w14:textId="77777777" w:rsidR="001932FC" w:rsidRPr="00451B7D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4FF2C783" w14:textId="77777777" w:rsidTr="008A48B0">
        <w:tc>
          <w:tcPr>
            <w:tcW w:w="8828" w:type="dxa"/>
            <w:shd w:val="clear" w:color="auto" w:fill="FFFFFF" w:themeFill="background1"/>
          </w:tcPr>
          <w:p w14:paraId="53290778" w14:textId="77777777" w:rsidR="001932FC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68105E7C" w14:textId="77777777" w:rsidR="00B54A92" w:rsidRPr="00B54A92" w:rsidRDefault="00B54A92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20"/>
                <w:szCs w:val="20"/>
              </w:rPr>
            </w:pPr>
          </w:p>
          <w:p w14:paraId="5705975C" w14:textId="77777777" w:rsid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>El Instituto</w:t>
            </w:r>
            <w:r w:rsidR="00FB2B57">
              <w:rPr>
                <w:rFonts w:ascii="ITC Avant Garde" w:hAnsi="ITC Avant Garde"/>
                <w:sz w:val="18"/>
                <w:szCs w:val="18"/>
              </w:rPr>
              <w:t xml:space="preserve"> Federal de Telecomunicaciones (Instituto)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 es la autoridad en materia de competencia económica en los sectores de telecomunicaciones y radiodifusión, por lo que en ellos tiene por objeto garantizar la libre competencia y concurrencia, así como prevenir, investigar y combatir las prácticas monopólicas, las concentraciones</w:t>
            </w:r>
            <w:r w:rsidR="00142774">
              <w:rPr>
                <w:rFonts w:ascii="ITC Avant Garde" w:hAnsi="ITC Avant Garde"/>
                <w:sz w:val="18"/>
                <w:szCs w:val="18"/>
              </w:rPr>
              <w:t xml:space="preserve"> ilícitas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 y demás restricciones al funcionamiento eficiente de los mercados. </w:t>
            </w:r>
          </w:p>
          <w:p w14:paraId="0C8C75DF" w14:textId="2DF57C29" w:rsidR="0071056F" w:rsidRDefault="0071056F" w:rsidP="0071056F">
            <w:pPr>
              <w:spacing w:after="120"/>
              <w:jc w:val="both"/>
              <w:rPr>
                <w:rFonts w:ascii="ITC Avant Garde" w:hAnsi="ITC Avant Garde"/>
                <w:sz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Para cumplir sus funciones como autoridad en materia de competencia económica el Instituto cuenta, entre otras unidades administrativas, con la Autoridad Investigadora, encargada de sustanciar </w:t>
            </w:r>
            <w:r w:rsidRPr="009F5069">
              <w:rPr>
                <w:rFonts w:ascii="ITC Avant Garde" w:hAnsi="ITC Avant Garde"/>
                <w:sz w:val="18"/>
              </w:rPr>
              <w:t>la investigación</w:t>
            </w:r>
            <w:r w:rsidR="00F611C7">
              <w:rPr>
                <w:rFonts w:ascii="ITC Avant Garde" w:hAnsi="ITC Avant Garde"/>
                <w:sz w:val="18"/>
              </w:rPr>
              <w:t xml:space="preserve">, durante la cual </w:t>
            </w:r>
            <w:r w:rsidR="00195F53">
              <w:rPr>
                <w:rFonts w:ascii="ITC Avant Garde" w:hAnsi="ITC Avant Garde"/>
                <w:sz w:val="18"/>
              </w:rPr>
              <w:t>puede tener</w:t>
            </w:r>
            <w:r w:rsidR="007F3179">
              <w:rPr>
                <w:rFonts w:ascii="ITC Avant Garde" w:hAnsi="ITC Avant Garde"/>
                <w:sz w:val="18"/>
              </w:rPr>
              <w:t xml:space="preserve"> lugar</w:t>
            </w:r>
            <w:r>
              <w:rPr>
                <w:rFonts w:ascii="ITC Avant Garde" w:hAnsi="ITC Avant Garde"/>
                <w:sz w:val="18"/>
              </w:rPr>
              <w:t xml:space="preserve"> el procedimiento de dispensa o</w:t>
            </w:r>
            <w:r w:rsidRPr="009F5069">
              <w:rPr>
                <w:rFonts w:ascii="ITC Avant Garde" w:hAnsi="ITC Avant Garde"/>
                <w:sz w:val="18"/>
              </w:rPr>
              <w:t xml:space="preserve"> reducción del importe de multas</w:t>
            </w:r>
            <w:r w:rsidR="00F611C7">
              <w:rPr>
                <w:rFonts w:ascii="ITC Avant Garde" w:hAnsi="ITC Avant Garde"/>
                <w:sz w:val="18"/>
              </w:rPr>
              <w:t>, beneficio que puede solicitar el agente económico sujeto a una investigación de prácticas monopólicas relativas o concentraciones ilícitas</w:t>
            </w:r>
            <w:r w:rsidRPr="009F5069">
              <w:rPr>
                <w:rFonts w:ascii="ITC Avant Garde" w:hAnsi="ITC Avant Garde"/>
                <w:sz w:val="18"/>
              </w:rPr>
              <w:t>.</w:t>
            </w:r>
          </w:p>
          <w:p w14:paraId="0392B080" w14:textId="2CE524F7" w:rsidR="00F506AD" w:rsidRDefault="00BA43D1" w:rsidP="0071056F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 problemática que se pretende resolver consiste en que</w:t>
            </w:r>
            <w:r w:rsidR="00F506AD">
              <w:rPr>
                <w:rFonts w:ascii="ITC Avant Garde" w:hAnsi="ITC Avant Garde"/>
                <w:sz w:val="18"/>
              </w:rPr>
              <w:t xml:space="preserve"> </w:t>
            </w:r>
            <w:r w:rsidR="0071056F">
              <w:rPr>
                <w:rFonts w:ascii="ITC Avant Garde" w:hAnsi="ITC Avant Garde"/>
                <w:sz w:val="18"/>
                <w:szCs w:val="18"/>
              </w:rPr>
              <w:t>en ocasiones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="0071056F">
              <w:rPr>
                <w:rFonts w:ascii="ITC Avant Garde" w:hAnsi="ITC Avant Garde"/>
                <w:sz w:val="18"/>
                <w:szCs w:val="18"/>
              </w:rPr>
              <w:t xml:space="preserve"> los agentes económicos, los litigantes, las autoridades y el público en general no tienen conocimiento claro sobre </w:t>
            </w:r>
            <w:r w:rsidR="00E95C25">
              <w:rPr>
                <w:rFonts w:ascii="ITC Avant Garde" w:hAnsi="ITC Avant Garde"/>
                <w:sz w:val="18"/>
                <w:szCs w:val="18"/>
              </w:rPr>
              <w:t xml:space="preserve">el procedimiento de dispensa o reducción del importe de multas mencionado. </w:t>
            </w:r>
          </w:p>
          <w:p w14:paraId="2D89D2BA" w14:textId="40C8129E" w:rsidR="00F506AD" w:rsidRPr="00F506AD" w:rsidRDefault="00F611C7" w:rsidP="00F506AD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l </w:t>
            </w:r>
            <w:r w:rsidR="00F506AD">
              <w:rPr>
                <w:rFonts w:ascii="ITC Avant Garde" w:hAnsi="ITC Avant Garde"/>
                <w:sz w:val="18"/>
                <w:szCs w:val="18"/>
              </w:rPr>
              <w:t>“A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nteproyecto de guía del procedimiento de dispensa o reducción del importe de multas</w:t>
            </w:r>
            <w:r w:rsidR="0014277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42774" w:rsidRPr="00142774">
              <w:rPr>
                <w:rFonts w:ascii="ITC Avant Garde" w:hAnsi="ITC Avant Garde"/>
                <w:sz w:val="18"/>
                <w:szCs w:val="18"/>
              </w:rPr>
              <w:t>en investigaciones de prácticas monopólicas relativas o concentraciones ilícitas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, para los sectores de telecomunicaciones y radiodifusión</w:t>
            </w:r>
            <w:r w:rsidR="00F506AD">
              <w:rPr>
                <w:rFonts w:ascii="ITC Avant Garde" w:hAnsi="ITC Avant Garde"/>
                <w:sz w:val="18"/>
                <w:szCs w:val="18"/>
              </w:rPr>
              <w:t xml:space="preserve">” que se somete a consulta pública, tiene como objetivo 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orientar al público en general sobre</w:t>
            </w:r>
            <w:r w:rsidR="007F317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el referido</w:t>
            </w:r>
            <w:r w:rsidRPr="00F506A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procedimiento, particularmente sobre la información y documentos adecuados para satisfacer los requisitos establecidos en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el artículo 100 de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 la </w:t>
            </w:r>
            <w:r>
              <w:rPr>
                <w:rFonts w:ascii="ITC Avant Garde" w:hAnsi="ITC Avant Garde"/>
                <w:sz w:val="18"/>
                <w:szCs w:val="18"/>
              </w:rPr>
              <w:t>Ley Federal de Competencia Económica (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LFCE</w:t>
            </w:r>
            <w:r>
              <w:rPr>
                <w:rFonts w:ascii="ITC Avant Garde" w:hAnsi="ITC Avant Garde"/>
                <w:sz w:val="18"/>
                <w:szCs w:val="18"/>
              </w:rPr>
              <w:t>)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1B65F434" w14:textId="5D99098D" w:rsidR="00F506AD" w:rsidRDefault="0064680F" w:rsidP="00F506AD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Para ello, 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en el </w:t>
            </w:r>
            <w:r w:rsidR="001C0074">
              <w:rPr>
                <w:rFonts w:ascii="ITC Avant Garde" w:hAnsi="ITC Avant Garde"/>
                <w:sz w:val="18"/>
                <w:szCs w:val="18"/>
              </w:rPr>
              <w:t>a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nteproyecto se </w:t>
            </w:r>
            <w:r w:rsidR="00142774">
              <w:rPr>
                <w:rFonts w:ascii="ITC Avant Garde" w:hAnsi="ITC Avant Garde"/>
                <w:sz w:val="18"/>
                <w:szCs w:val="18"/>
              </w:rPr>
              <w:t>identifican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 xml:space="preserve"> las conductas anticompetitivas que pueden ser objeto del beneficio de dispensa o reducción del importe de multas;</w:t>
            </w:r>
            <w:r w:rsidR="0086047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60477" w:rsidRPr="00860477">
              <w:rPr>
                <w:rFonts w:ascii="ITC Avant Garde" w:hAnsi="ITC Avant Garde"/>
                <w:sz w:val="18"/>
                <w:szCs w:val="18"/>
              </w:rPr>
              <w:t>los requisitos que debe cumplir el escrito de solicitud; las actuaciones que puede realizar la Autoridad Investigadora y el solicitante durante el procedimiento; el sentido de la resolución que puede emitir el Pleno del Instituto y los elementos que puede tomar en consideración para ello; así como la conclusión o reanudación de la i</w:t>
            </w:r>
            <w:r w:rsidR="00860477">
              <w:rPr>
                <w:rFonts w:ascii="ITC Avant Garde" w:hAnsi="ITC Avant Garde"/>
                <w:sz w:val="18"/>
                <w:szCs w:val="18"/>
              </w:rPr>
              <w:t xml:space="preserve">nvestigación, según corresponda; </w:t>
            </w:r>
            <w:r w:rsidR="00F506AD" w:rsidRPr="00F506AD">
              <w:rPr>
                <w:rFonts w:ascii="ITC Avant Garde" w:hAnsi="ITC Avant Garde"/>
                <w:sz w:val="18"/>
                <w:szCs w:val="18"/>
              </w:rPr>
              <w:t>la verificación del cumplimiento de los compromisos, así como lo relativo a la clasificación de la información presentada.</w:t>
            </w:r>
          </w:p>
          <w:p w14:paraId="31561F12" w14:textId="2C645CF8" w:rsidR="001932FC" w:rsidRPr="00451B7D" w:rsidRDefault="00F611C7" w:rsidP="000E4ED8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>a guía no interpreta ni sustituye el marco jurídico aplicable.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0E91EFD0" w14:textId="77777777" w:rsidTr="00B41497">
        <w:tc>
          <w:tcPr>
            <w:tcW w:w="8828" w:type="dxa"/>
          </w:tcPr>
          <w:p w14:paraId="2FDCBB7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36952B35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42118E84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146DBCA2" w14:textId="77777777" w:rsidTr="00B41497">
              <w:tc>
                <w:tcPr>
                  <w:tcW w:w="1462" w:type="dxa"/>
                </w:tcPr>
                <w:p w14:paraId="13A74E26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861445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50EA4880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6EC3270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57C7A7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893511F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69BEB0E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269534E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451C54D2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2744947F" w14:textId="77777777" w:rsidTr="00596FDE">
              <w:tc>
                <w:tcPr>
                  <w:tcW w:w="8602" w:type="dxa"/>
                </w:tcPr>
                <w:p w14:paraId="6AEEC544" w14:textId="77777777" w:rsidR="00596FDE" w:rsidRPr="00451B7D" w:rsidRDefault="00596FDE" w:rsidP="00031FC3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512BEC2" w14:textId="77777777" w:rsidR="00596FDE" w:rsidRDefault="00596FDE" w:rsidP="00031FC3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B2CF876" w14:textId="77777777" w:rsidR="000C16BC" w:rsidRPr="00451B7D" w:rsidRDefault="000C16BC" w:rsidP="00031FC3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0D018682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FA9B616" w14:textId="77777777" w:rsidR="00B41497" w:rsidRPr="00451B7D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7CBB3451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0592A8C7" w14:textId="77777777" w:rsidTr="003F600A">
        <w:tc>
          <w:tcPr>
            <w:tcW w:w="8828" w:type="dxa"/>
          </w:tcPr>
          <w:p w14:paraId="34D30ED2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1FEC70D2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4CB0FCA8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7D74E8B3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3CD9A71A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04EC63C5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7BBC2F70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D80D3B" w:rsidRPr="00451B7D" w14:paraId="4203763C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0910158A" w14:textId="77777777" w:rsidR="00D80D3B" w:rsidRDefault="00D80D3B" w:rsidP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No emitir el anteproyecto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49170202" w14:textId="2F58B5D8" w:rsidR="00D80D3B" w:rsidRPr="00451B7D" w:rsidRDefault="00D83CC8" w:rsidP="001C007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una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guía que orient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l público en general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sobre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64680F">
                    <w:rPr>
                      <w:rFonts w:ascii="ITC Avant Garde" w:hAnsi="ITC Avant Garde"/>
                      <w:sz w:val="18"/>
                      <w:szCs w:val="18"/>
                    </w:rPr>
                    <w:t>el procedimiento de dispensa o</w:t>
                  </w:r>
                  <w:r w:rsidR="00FB2B57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reducción del importe de multas</w:t>
                  </w:r>
                  <w:r w:rsidR="0014277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42774" w:rsidRPr="00142774">
                    <w:rPr>
                      <w:rFonts w:ascii="ITC Avant Garde" w:hAnsi="ITC Avant Garde"/>
                      <w:sz w:val="18"/>
                      <w:szCs w:val="18"/>
                    </w:rPr>
                    <w:t>en investigaciones de prácticas monopólicas relativas o concentraciones ilícitas</w:t>
                  </w:r>
                  <w:r w:rsidR="00FB2B57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los sectores de telecomunicaciones y radiodifusión</w:t>
                  </w:r>
                  <w:r w:rsidR="007F3179">
                    <w:rPr>
                      <w:rFonts w:ascii="ITC Avant Garde" w:hAnsi="ITC Avant Garde"/>
                      <w:sz w:val="18"/>
                      <w:szCs w:val="18"/>
                    </w:rPr>
                    <w:t xml:space="preserve"> y contar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únicamente con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información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del marco jurídico aplicable.</w:t>
                  </w:r>
                </w:p>
              </w:tc>
              <w:tc>
                <w:tcPr>
                  <w:tcW w:w="3969" w:type="dxa"/>
                </w:tcPr>
                <w:p w14:paraId="12B4ED62" w14:textId="77777777" w:rsidR="00D80D3B" w:rsidRDefault="00D80D3B" w:rsidP="00B17ADF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Dicha alternativa fue descartada, toda vez que el Instituto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tiene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atribución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de expedir directrices, guías, lineamientos o criterios técnicos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>, entre otras,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en materia 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>del b</w:t>
                  </w:r>
                  <w:r w:rsidR="00FA0329" w:rsidRP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eneficio de dispensa </w:t>
                  </w:r>
                  <w:r w:rsidR="0064680F">
                    <w:rPr>
                      <w:rFonts w:ascii="ITC Avant Garde" w:hAnsi="ITC Avant Garde"/>
                      <w:sz w:val="18"/>
                      <w:szCs w:val="18"/>
                    </w:rPr>
                    <w:t>o</w:t>
                  </w:r>
                  <w:r w:rsidR="00FA0329" w:rsidRP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 reducción del importe de las multas</w:t>
                  </w:r>
                  <w:r w:rsidR="0014277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42774" w:rsidRPr="00142774">
                    <w:rPr>
                      <w:rFonts w:ascii="ITC Avant Garde" w:hAnsi="ITC Avant Garde"/>
                      <w:sz w:val="18"/>
                      <w:szCs w:val="18"/>
                    </w:rPr>
                    <w:t>en investigaciones de prácticas monopólicas relativas o concentraciones ilícitas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, de conformidad con el artículo 12, fracción XXII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, párrafo tercero,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>inciso c)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de la L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FCE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. En este sentido, es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pertinente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emitir una guía con fines de orientación sobre 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el procedimiento de dispensa o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reducción del importe de multas</w:t>
                  </w:r>
                  <w:r w:rsidR="0014277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42774" w:rsidRPr="00142774">
                    <w:rPr>
                      <w:rFonts w:ascii="ITC Avant Garde" w:hAnsi="ITC Avant Garde"/>
                      <w:sz w:val="18"/>
                      <w:szCs w:val="18"/>
                    </w:rPr>
                    <w:t>en investigaciones de prácticas monopólicas relativas o concentraciones ilícitas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los sectores de telecomunicaciones y radiodifusión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D80D3B" w:rsidRPr="00451B7D" w14:paraId="590BDA26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19DBA707" w14:textId="77777777" w:rsidR="00D80D3B" w:rsidRDefault="00D80D3B" w:rsidP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Emitir criterios técnicos, lineamientos o directrices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1AA3791C" w14:textId="77777777" w:rsidR="00D80D3B" w:rsidRPr="00451B7D" w:rsidRDefault="00D83CC8" w:rsidP="00D83CC8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Emitir criterios técnicos, lineamientos o directrices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C69D82E" w14:textId="77777777" w:rsidR="00754682" w:rsidRDefault="00754682" w:rsidP="007F3179">
                  <w:pPr>
                    <w:spacing w:after="120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fue descartada, toda vez que los criterios técnicos, lineamientos o directrices tienen como propósito establecer términos, normas, límites, características y/o requisitos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de observancia obligatoria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, lo cual, en su caso, modificaría o adicionaría el marco jurídico aplicable 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>al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procedimiento de dispensa 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o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reducción del importe de 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multas</w:t>
                  </w:r>
                  <w:r w:rsidR="0014277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42774" w:rsidRPr="00142774">
                    <w:rPr>
                      <w:rFonts w:ascii="ITC Avant Garde" w:hAnsi="ITC Avant Garde"/>
                      <w:sz w:val="18"/>
                      <w:szCs w:val="18"/>
                    </w:rPr>
                    <w:t>en investigaciones de prácticas monopólicas relativas o concentraciones ilícitas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los sectores de telecomunicaciones y radiodifusión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 situación que no resulta jurídicamente procedente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5397083E" w14:textId="25AAA999" w:rsidR="007F3179" w:rsidRDefault="00580B49" w:rsidP="007F3179">
                  <w:pPr>
                    <w:spacing w:after="120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Lo anterior, toda vez que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C0074">
                    <w:rPr>
                      <w:rFonts w:ascii="ITC Avant Garde" w:hAnsi="ITC Avant Garde"/>
                      <w:sz w:val="18"/>
                      <w:szCs w:val="18"/>
                    </w:rPr>
                    <w:t xml:space="preserve">los requisitos correspondientes ya se encuentran previstos en 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la </w:t>
                  </w:r>
                  <w:r w:rsidR="00966B46">
                    <w:rPr>
                      <w:rFonts w:ascii="ITC Avant Garde" w:hAnsi="ITC Avant Garde"/>
                      <w:sz w:val="18"/>
                      <w:szCs w:val="18"/>
                    </w:rPr>
                    <w:t>L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FCE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. </w:t>
                  </w:r>
                </w:p>
                <w:p w14:paraId="642420D1" w14:textId="77777777" w:rsidR="00D80D3B" w:rsidRPr="00451B7D" w:rsidRDefault="00A45E72" w:rsidP="007F3179">
                  <w:pPr>
                    <w:spacing w:after="120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Por lo tanto,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se optó por emitir una guía que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por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su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naturaleza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 explique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y orient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al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público en general </w:t>
                  </w:r>
                  <w:r w:rsidR="00FA0329">
                    <w:rPr>
                      <w:rFonts w:ascii="ITC Avant Garde" w:hAnsi="ITC Avant Garde"/>
                      <w:sz w:val="18"/>
                      <w:szCs w:val="18"/>
                    </w:rPr>
                    <w:t xml:space="preserve">sobre el 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procedimiento de dispensa o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reducción del importe de multas</w:t>
                  </w:r>
                  <w:r w:rsidR="0014277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42774" w:rsidRPr="00142774">
                    <w:rPr>
                      <w:rFonts w:ascii="ITC Avant Garde" w:hAnsi="ITC Avant Garde"/>
                      <w:sz w:val="18"/>
                      <w:szCs w:val="18"/>
                    </w:rPr>
                    <w:t>en investigaciones de prácticas monopólicas relativas o concentraciones ilícitas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A0329" w:rsidRPr="00FB2B57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los sectores de telecomunicaciones y radiodifusión</w:t>
                  </w:r>
                  <w:r w:rsidR="00B17ADF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6BCD70C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6617D5B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6B434B5D" w14:textId="77777777" w:rsidTr="003F600A">
        <w:tc>
          <w:tcPr>
            <w:tcW w:w="8828" w:type="dxa"/>
          </w:tcPr>
          <w:p w14:paraId="45130C90" w14:textId="77777777" w:rsidR="00BE7D1C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06D5B780" w14:textId="77777777" w:rsidR="00373D03" w:rsidRPr="00451B7D" w:rsidRDefault="00373D03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FED4C0B" w14:textId="3C4BF0C2" w:rsidR="00966B46" w:rsidRDefault="00861445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Como se mencionó al inicio del presente documento, el</w:t>
            </w:r>
            <w:r w:rsidR="00FA03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155A7">
              <w:rPr>
                <w:rFonts w:ascii="ITC Avant Garde" w:hAnsi="ITC Avant Garde"/>
                <w:sz w:val="18"/>
                <w:szCs w:val="18"/>
              </w:rPr>
              <w:t>“</w:t>
            </w:r>
            <w:r w:rsidR="00B17ADF">
              <w:rPr>
                <w:rFonts w:ascii="ITC Avant Garde" w:hAnsi="ITC Avant Garde"/>
                <w:sz w:val="18"/>
                <w:szCs w:val="18"/>
              </w:rPr>
              <w:t>A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>nteproyecto de guía del procedimiento de dispensa o reducción del importe de multas</w:t>
            </w:r>
            <w:r w:rsidR="0014277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42774" w:rsidRPr="00142774">
              <w:rPr>
                <w:rFonts w:ascii="ITC Avant Garde" w:hAnsi="ITC Avant Garde"/>
                <w:sz w:val="18"/>
                <w:szCs w:val="18"/>
              </w:rPr>
              <w:t>en investigaciones de prácticas monopólicas relativas o concentraciones ilícitas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>, para los sectores de telecomunicaciones y radiodifusión</w:t>
            </w:r>
            <w:r w:rsidR="00FA0329" w:rsidRPr="00FB2B57">
              <w:rPr>
                <w:rFonts w:ascii="ITC Avant Garde" w:hAnsi="ITC Avant Garde"/>
                <w:sz w:val="18"/>
                <w:szCs w:val="18"/>
              </w:rPr>
              <w:t>”</w:t>
            </w:r>
            <w:r w:rsidR="002155A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335D8" w:rsidRPr="00B54A92">
              <w:rPr>
                <w:rFonts w:ascii="ITC Avant Garde" w:hAnsi="ITC Avant Garde"/>
                <w:sz w:val="18"/>
                <w:szCs w:val="18"/>
              </w:rPr>
              <w:t xml:space="preserve">tiene como principal objetivo 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>orientar al público en general sobre el procedimiento de dispensa o reducción del importe de multas</w:t>
            </w:r>
            <w:r w:rsidR="0014277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42774" w:rsidRPr="00142774">
              <w:rPr>
                <w:rFonts w:ascii="ITC Avant Garde" w:hAnsi="ITC Avant Garde"/>
                <w:sz w:val="18"/>
                <w:szCs w:val="18"/>
              </w:rPr>
              <w:t>en investigaciones de prácticas monopólicas relativas o concentraciones ilícitas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 xml:space="preserve"> para los sectores de telecomunicaciones y radiodifusión</w:t>
            </w:r>
            <w:r w:rsidR="00966B46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D8B11B8" w14:textId="77777777" w:rsid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B33A3E0" w14:textId="20B0ABAD" w:rsidR="00B17ADF" w:rsidRDefault="00D335D8" w:rsidP="00A86F52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335D8">
              <w:rPr>
                <w:rFonts w:ascii="ITC Avant Garde" w:hAnsi="ITC Avant Garde"/>
                <w:sz w:val="18"/>
                <w:szCs w:val="18"/>
              </w:rPr>
              <w:t>Espec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íficamente, 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el </w:t>
            </w:r>
            <w:r w:rsidR="001C0074">
              <w:rPr>
                <w:rFonts w:ascii="ITC Avant Garde" w:hAnsi="ITC Avant Garde"/>
                <w:sz w:val="18"/>
                <w:szCs w:val="18"/>
              </w:rPr>
              <w:t>a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nteproyecto orienta </w:t>
            </w:r>
            <w:r w:rsidR="00A86F52" w:rsidRPr="00F506AD">
              <w:rPr>
                <w:rFonts w:ascii="ITC Avant Garde" w:hAnsi="ITC Avant Garde"/>
                <w:sz w:val="18"/>
                <w:szCs w:val="18"/>
              </w:rPr>
              <w:t>sobre la información y documentos adecuados para satisfacer los requ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isitos establecidos en </w:t>
            </w:r>
            <w:r w:rsidR="001C0074">
              <w:rPr>
                <w:rFonts w:ascii="ITC Avant Garde" w:hAnsi="ITC Avant Garde"/>
                <w:sz w:val="18"/>
                <w:szCs w:val="18"/>
              </w:rPr>
              <w:t xml:space="preserve">el artículo 100 de 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la LFCE, para ello también </w:t>
            </w:r>
            <w:r w:rsidR="00142774">
              <w:rPr>
                <w:rFonts w:ascii="ITC Avant Garde" w:hAnsi="ITC Avant Garde"/>
                <w:sz w:val="18"/>
                <w:szCs w:val="18"/>
              </w:rPr>
              <w:t>identifica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 xml:space="preserve"> las conductas anticompetitivas que pueden ser objeto del beneficio de dispensa o reducción del importe de multas; los requisitos que debe cumplir el escrito de solicitud; las actuaciones que puede realizar la Autoridad Investigadora una vez que recibe la solicitud; el sentido de la resolución que puede emitir el Pleno</w:t>
            </w:r>
            <w:r w:rsidR="00B17ADF">
              <w:rPr>
                <w:rFonts w:ascii="ITC Avant Garde" w:hAnsi="ITC Avant Garde"/>
                <w:sz w:val="18"/>
                <w:szCs w:val="18"/>
              </w:rPr>
              <w:t xml:space="preserve"> del Instituto</w:t>
            </w:r>
            <w:r w:rsidR="00B17ADF" w:rsidRPr="00F506AD">
              <w:rPr>
                <w:rFonts w:ascii="ITC Avant Garde" w:hAnsi="ITC Avant Garde"/>
                <w:sz w:val="18"/>
                <w:szCs w:val="18"/>
              </w:rPr>
              <w:t>; la verificación del cumplimiento de los compromisos, así como lo relativo a la clasificación de la información presentada.</w:t>
            </w:r>
          </w:p>
          <w:p w14:paraId="47228EA8" w14:textId="77777777" w:rsidR="00B17ADF" w:rsidRDefault="00B17ADF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3C7AB69" w14:textId="77777777" w:rsidR="00D80D3B" w:rsidRDefault="00373D03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Así,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el contenido de la guía,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al ser </w:t>
            </w:r>
            <w:r w:rsidR="00087D82">
              <w:rPr>
                <w:rFonts w:ascii="ITC Avant Garde" w:hAnsi="ITC Avant Garde"/>
                <w:sz w:val="18"/>
                <w:szCs w:val="18"/>
              </w:rPr>
              <w:t>un documento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carácter </w:t>
            </w:r>
            <w:r w:rsidR="00A86F52">
              <w:rPr>
                <w:rFonts w:ascii="ITC Avant Garde" w:hAnsi="ITC Avant Garde"/>
                <w:sz w:val="18"/>
                <w:szCs w:val="18"/>
              </w:rPr>
              <w:t>orientador e informativo</w:t>
            </w:r>
            <w:r>
              <w:rPr>
                <w:rFonts w:ascii="ITC Avant Garde" w:hAnsi="ITC Avant Garde"/>
                <w:sz w:val="18"/>
                <w:szCs w:val="18"/>
              </w:rPr>
              <w:t>, no constituye una regulación nueva o que modifique o adicione el marco jurídico existente</w:t>
            </w:r>
            <w:r w:rsidR="00A45E72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 tampoco lo sustituye ni interpreta, sino que explica y detalla los requisitos de procedibilidad</w:t>
            </w:r>
            <w:r w:rsidR="00C604E6">
              <w:rPr>
                <w:rFonts w:ascii="ITC Avant Garde" w:hAnsi="ITC Avant Garde"/>
                <w:sz w:val="18"/>
                <w:szCs w:val="18"/>
              </w:rPr>
              <w:t xml:space="preserve"> de la solicitud y su sustanciación,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previstos en la L</w:t>
            </w:r>
            <w:r w:rsidR="00C604E6">
              <w:rPr>
                <w:rFonts w:ascii="ITC Avant Garde" w:hAnsi="ITC Avant Garde"/>
                <w:sz w:val="18"/>
                <w:szCs w:val="18"/>
              </w:rPr>
              <w:t>FCE.</w:t>
            </w:r>
          </w:p>
          <w:p w14:paraId="6E078F98" w14:textId="77777777" w:rsidR="00C604E6" w:rsidRDefault="00C604E6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31C99C1" w14:textId="77777777" w:rsidR="00BE7D1C" w:rsidRPr="00451B7D" w:rsidRDefault="00D80D3B" w:rsidP="00A86F52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ese sentido,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 al no establecer obligaciones o requisitos adicionales a los establecidos en la LFCE,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la guía propuesta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 no genera costos o cargas adicionales</w:t>
            </w:r>
            <w:r w:rsidR="00A86F52">
              <w:rPr>
                <w:rFonts w:ascii="ITC Avant Garde" w:hAnsi="ITC Avant Garde"/>
                <w:sz w:val="18"/>
                <w:szCs w:val="18"/>
              </w:rPr>
              <w:t xml:space="preserve"> de cumplimiento. </w:t>
            </w:r>
            <w:r w:rsidR="00373D0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</w:tc>
      </w:tr>
    </w:tbl>
    <w:p w14:paraId="0FAF2F37" w14:textId="77777777" w:rsidR="00BE7D1C" w:rsidRPr="00451B7D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1ADC9CC4" w14:textId="77777777" w:rsidTr="003949C0">
        <w:tc>
          <w:tcPr>
            <w:tcW w:w="1696" w:type="dxa"/>
            <w:vMerge w:val="restart"/>
          </w:tcPr>
          <w:p w14:paraId="4EB31158" w14:textId="77777777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46AD37EE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7E4792ED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7307D4C6" w14:textId="77777777" w:rsidTr="003949C0">
        <w:tc>
          <w:tcPr>
            <w:tcW w:w="1696" w:type="dxa"/>
            <w:vMerge/>
          </w:tcPr>
          <w:p w14:paraId="1C76B8B0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197F53B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0DA7A23E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02E5E3BA" w14:textId="77777777" w:rsidTr="003949C0">
        <w:tc>
          <w:tcPr>
            <w:tcW w:w="1696" w:type="dxa"/>
            <w:vMerge/>
          </w:tcPr>
          <w:p w14:paraId="0E7AAF3C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3A15BA7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1"/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045DAC1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63263B91" w14:textId="77777777" w:rsidTr="003949C0">
        <w:tc>
          <w:tcPr>
            <w:tcW w:w="1696" w:type="dxa"/>
            <w:vMerge/>
          </w:tcPr>
          <w:p w14:paraId="485E003B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93BB0F9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6201339F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2A5D73BE" w14:textId="77777777" w:rsidTr="003949C0">
        <w:tc>
          <w:tcPr>
            <w:tcW w:w="1696" w:type="dxa"/>
            <w:vMerge/>
          </w:tcPr>
          <w:p w14:paraId="4CC81D97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424039F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64ABB577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61445">
              <w:rPr>
                <w:rFonts w:ascii="ITC Avant Garde" w:hAnsi="ITC Avant Garde"/>
                <w:sz w:val="18"/>
                <w:szCs w:val="18"/>
              </w:rPr>
              <w:t>) No (X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5E2E0DDF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29F9239C" w14:textId="77777777" w:rsidTr="00A73AD8">
        <w:tc>
          <w:tcPr>
            <w:tcW w:w="8828" w:type="dxa"/>
          </w:tcPr>
          <w:p w14:paraId="27D719A7" w14:textId="512089BE" w:rsidR="00B74C55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68512CEA" w14:textId="27CF7DB3" w:rsidR="004423A7" w:rsidRDefault="004423A7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434DF15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 xml:space="preserve">Decreto por el que se reforman y adicionan diversas disposiciones de los artículos 6o., 7o., 27, 28, 73, 78, 94 y 105 de la Constitución Política de los Estados Unidos Mexicanos, en materia de telecomunicaciones, publicado en el Diario Oficial de la Federación el 11 de junio de 2013. Disponible en: </w:t>
            </w:r>
            <w:hyperlink r:id="rId11" w:history="1">
              <w:r w:rsidRPr="008329D2">
                <w:rPr>
                  <w:rStyle w:val="Hipervnculo"/>
                  <w:rFonts w:ascii="ITC Avant Garde" w:hAnsi="ITC Avant Garde"/>
                  <w:color w:val="auto"/>
                  <w:sz w:val="18"/>
                  <w:szCs w:val="18"/>
                </w:rPr>
                <w:t>http://www.dof.gob.mx/nota_detalle.php?codigo=5301941</w:t>
              </w:r>
            </w:hyperlink>
            <w:r w:rsidRPr="008329D2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B5EED09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3B86C42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 xml:space="preserve">Ley Federal de Competencia Económica, publicada en el Diario Oficial de la Federación el 23 de mayo de 2014. Disponible en: </w:t>
            </w:r>
            <w:hyperlink r:id="rId12" w:history="1">
              <w:r w:rsidRPr="008329D2">
                <w:rPr>
                  <w:rStyle w:val="Hipervnculo"/>
                  <w:rFonts w:ascii="ITC Avant Garde" w:hAnsi="ITC Avant Garde"/>
                  <w:color w:val="auto"/>
                  <w:sz w:val="18"/>
                  <w:szCs w:val="18"/>
                </w:rPr>
                <w:t>http://www.diputados.gob.mx/LeyesBiblio/pdf/LFCE_270117.pdf</w:t>
              </w:r>
            </w:hyperlink>
            <w:r w:rsidRPr="008329D2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551DC85D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29C6DF3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329D2">
              <w:rPr>
                <w:rFonts w:ascii="ITC Avant Garde" w:hAnsi="ITC Avant Garde"/>
                <w:sz w:val="18"/>
                <w:szCs w:val="18"/>
              </w:rPr>
              <w:t>Acuerdo mediante el cual el Pleno del Instituto Federal de Telecomunicaciones expide las Disposiciones Regulatorias de la Ley Federal de Competencia Económica para los sectores de telecomunicaciones y radiodifusión, publicado en el Diario Oficial de la Federación el 12 de enero de 2015. Disponible en:</w:t>
            </w:r>
          </w:p>
          <w:p w14:paraId="7632FF21" w14:textId="77777777" w:rsidR="004423A7" w:rsidRPr="008329D2" w:rsidRDefault="00A969BF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3" w:history="1">
              <w:r w:rsidR="004423A7" w:rsidRPr="008329D2">
                <w:rPr>
                  <w:rStyle w:val="Hipervnculo"/>
                  <w:rFonts w:ascii="ITC Avant Garde" w:hAnsi="ITC Avant Garde"/>
                  <w:color w:val="auto"/>
                  <w:sz w:val="18"/>
                  <w:szCs w:val="18"/>
                </w:rPr>
                <w:t>http://www.dof.gob.mx/nota_detalle.php?codigo=5378340&amp;fecha=12/01/2015</w:t>
              </w:r>
            </w:hyperlink>
          </w:p>
          <w:p w14:paraId="1D729EEF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AEDF975" w14:textId="7AD262E9" w:rsidR="004423A7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Así como la información contenida en las direcciones electrónicas siguientes:</w:t>
            </w:r>
          </w:p>
          <w:p w14:paraId="742982D2" w14:textId="77777777" w:rsidR="004423A7" w:rsidRPr="008329D2" w:rsidRDefault="004423A7" w:rsidP="004423A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1FFD5E4" w14:textId="77777777" w:rsidR="00870931" w:rsidRPr="00623D14" w:rsidRDefault="00A969B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4" w:history="1">
              <w:r w:rsidR="00F8154D" w:rsidRPr="00623D14">
                <w:rPr>
                  <w:rStyle w:val="Hipervnculo"/>
                  <w:rFonts w:ascii="ITC Avant Garde" w:hAnsi="ITC Avant Garde"/>
                  <w:sz w:val="16"/>
                </w:rPr>
                <w:t>https://www.ftc.gov/enforcement/rules/rules-and-guides</w:t>
              </w:r>
            </w:hyperlink>
          </w:p>
          <w:p w14:paraId="4EBD4479" w14:textId="77777777" w:rsidR="00F8154D" w:rsidRPr="00623D14" w:rsidRDefault="00A969B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5" w:history="1">
              <w:r w:rsidR="00F8154D" w:rsidRPr="00623D14">
                <w:rPr>
                  <w:rStyle w:val="Hipervnculo"/>
                  <w:rFonts w:ascii="ITC Avant Garde" w:hAnsi="ITC Avant Garde"/>
                  <w:sz w:val="16"/>
                </w:rPr>
                <w:t>http://ec.europa.eu/competition/antitrust/antitrust_manproc_3_2012_en.pdf</w:t>
              </w:r>
            </w:hyperlink>
          </w:p>
          <w:p w14:paraId="4DF8BC16" w14:textId="77777777" w:rsidR="00F8154D" w:rsidRPr="00623D14" w:rsidRDefault="00A969B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6" w:history="1">
              <w:r w:rsidR="00F8154D" w:rsidRPr="00623D14">
                <w:rPr>
                  <w:rStyle w:val="Hipervnculo"/>
                  <w:rFonts w:ascii="ITC Avant Garde" w:hAnsi="ITC Avant Garde"/>
                  <w:sz w:val="16"/>
                </w:rPr>
                <w:t>http://ec.europa.eu/competition/antitrust/guidance_en.pdf</w:t>
              </w:r>
            </w:hyperlink>
          </w:p>
          <w:p w14:paraId="5A547893" w14:textId="77777777" w:rsidR="00F8154D" w:rsidRPr="00623D14" w:rsidRDefault="00A969B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7" w:history="1">
              <w:r w:rsidR="00F8154D" w:rsidRPr="00623D14">
                <w:rPr>
                  <w:rStyle w:val="Hipervnculo"/>
                  <w:rFonts w:ascii="ITC Avant Garde" w:hAnsi="ITC Avant Garde"/>
                  <w:sz w:val="16"/>
                </w:rPr>
                <w:t>http://ec.europa.eu/competition/antitrust/legislation/handbook_vol_1_en.pdf</w:t>
              </w:r>
            </w:hyperlink>
            <w:r w:rsidR="00F8154D" w:rsidRPr="00623D14">
              <w:rPr>
                <w:rFonts w:ascii="ITC Avant Garde" w:hAnsi="ITC Avant Garde"/>
                <w:sz w:val="16"/>
              </w:rPr>
              <w:t xml:space="preserve"> </w:t>
            </w:r>
          </w:p>
          <w:p w14:paraId="75A27E69" w14:textId="77777777" w:rsidR="00F8154D" w:rsidRPr="00623D14" w:rsidRDefault="00A969B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8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http://www.fne.gob.cl/wp-content/uploads/2017/10/Guía-Restricciones-Verticales.pdf</w:t>
              </w:r>
            </w:hyperlink>
            <w:r w:rsidR="00F8154D" w:rsidRPr="00623D14">
              <w:rPr>
                <w:rFonts w:ascii="ITC Avant Garde" w:hAnsi="ITC Avant Garde"/>
                <w:sz w:val="16"/>
              </w:rPr>
              <w:t xml:space="preserve"> </w:t>
            </w:r>
          </w:p>
          <w:p w14:paraId="75D86845" w14:textId="77777777" w:rsidR="0001716D" w:rsidRPr="00623D14" w:rsidRDefault="00A969BF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19" w:history="1">
              <w:r w:rsidR="0001716D" w:rsidRPr="00623D14">
                <w:rPr>
                  <w:rStyle w:val="Hipervnculo"/>
                  <w:rFonts w:ascii="ITC Avant Garde" w:hAnsi="ITC Avant Garde"/>
                  <w:sz w:val="16"/>
                </w:rPr>
                <w:t>http://www.sic.gov.co/sites/default/files/files/UNCTAD.pdf</w:t>
              </w:r>
            </w:hyperlink>
            <w:r w:rsidR="0001716D" w:rsidRPr="00623D14">
              <w:rPr>
                <w:rFonts w:ascii="ITC Avant Garde" w:hAnsi="ITC Avant Garde"/>
                <w:sz w:val="16"/>
              </w:rPr>
              <w:t xml:space="preserve"> </w:t>
            </w:r>
          </w:p>
          <w:p w14:paraId="0A250F16" w14:textId="77777777" w:rsidR="0001716D" w:rsidRPr="00623D14" w:rsidRDefault="00A969BF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0" w:history="1">
              <w:r w:rsidR="0001716D" w:rsidRPr="00623D14">
                <w:rPr>
                  <w:rStyle w:val="Hipervnculo"/>
                  <w:rFonts w:ascii="ITC Avant Garde" w:hAnsi="ITC Avant Garde"/>
                  <w:sz w:val="16"/>
                </w:rPr>
                <w:t>http://www.sic.gov.co/sites/default/files/files/Manual.pdf</w:t>
              </w:r>
            </w:hyperlink>
          </w:p>
          <w:p w14:paraId="4AC087BF" w14:textId="77777777" w:rsidR="000E1E51" w:rsidRPr="00623D14" w:rsidRDefault="00A969B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16"/>
                <w:u w:val="none"/>
              </w:rPr>
            </w:pPr>
            <w:hyperlink r:id="rId21" w:history="1">
              <w:r w:rsidR="000E1E51" w:rsidRPr="00623D14">
                <w:rPr>
                  <w:rStyle w:val="Hipervnculo"/>
                  <w:rFonts w:ascii="ITC Avant Garde" w:hAnsi="ITC Avant Garde"/>
                  <w:sz w:val="16"/>
                </w:rPr>
                <w:t>http://www.sic.gov.co/sites/default/files/files/Guia_OECD.pdf</w:t>
              </w:r>
            </w:hyperlink>
          </w:p>
          <w:p w14:paraId="57249289" w14:textId="77777777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2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http://ec.europa.eu/competition/antitrust/legislation/guidelines_vertical_en.pdf</w:t>
              </w:r>
            </w:hyperlink>
          </w:p>
          <w:p w14:paraId="78FCE1D4" w14:textId="6243B133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3" w:history="1">
              <w:r w:rsidR="00CD66AF" w:rsidRPr="0078709C">
                <w:rPr>
                  <w:rStyle w:val="Hipervnculo"/>
                  <w:rFonts w:ascii="ITC Avant Garde" w:hAnsi="ITC Avant Garde"/>
                  <w:sz w:val="16"/>
                </w:rPr>
                <w:t>http://wrap.warwick.ac.uk/19/1/WRAP_Waterson_oft177.pdf</w:t>
              </w:r>
            </w:hyperlink>
          </w:p>
          <w:p w14:paraId="18706F7D" w14:textId="5E081FBB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4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%20Law%20Conceptual%20Foundations%20and%20Practical%20Framework.pdf</w:t>
              </w:r>
            </w:hyperlink>
          </w:p>
          <w:p w14:paraId="2C71D06C" w14:textId="77777777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5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http://www.competitionbureau.gc.ca/eic/site/cb-bc.nsf/eng/03766.html</w:t>
              </w:r>
            </w:hyperlink>
          </w:p>
          <w:p w14:paraId="25559A0D" w14:textId="77777777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6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http://www.bundeskartellamt.de/SharedDocs/Publikation/EN/Diskussions_Hintergrundpapiere/Vertical%20Restraints%20in%20the%20Internet%20Economy.pdf?__blob=publicationFile&amp;v=2</w:t>
              </w:r>
            </w:hyperlink>
          </w:p>
          <w:p w14:paraId="60039DE4" w14:textId="77777777" w:rsidR="00623D14" w:rsidRPr="00623D14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6"/>
              </w:rPr>
            </w:pPr>
            <w:hyperlink r:id="rId27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http://www.eucomplaw.com/horizontal-and-vertical-cooperation/</w:t>
              </w:r>
            </w:hyperlink>
          </w:p>
          <w:p w14:paraId="05CD2460" w14:textId="77777777" w:rsidR="00F8154D" w:rsidRPr="009D3C22" w:rsidRDefault="00A969BF" w:rsidP="00623D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8" w:history="1">
              <w:r w:rsidR="00623D14" w:rsidRPr="00623D14">
                <w:rPr>
                  <w:rStyle w:val="Hipervnculo"/>
                  <w:rFonts w:ascii="ITC Avant Garde" w:hAnsi="ITC Avant Garde"/>
                  <w:sz w:val="16"/>
                </w:rPr>
                <w:t>https://www.ab.gov.tr/files/ardb/evt/1_avrupa_birligi/1_6_raporlar/1_2_green_papers/com1997_green_paper_on_vertical_restraints_ec_competition_policy.pdf</w:t>
              </w:r>
            </w:hyperlink>
          </w:p>
        </w:tc>
      </w:tr>
    </w:tbl>
    <w:p w14:paraId="55D7DC01" w14:textId="77777777" w:rsidR="0086684A" w:rsidRPr="00451B7D" w:rsidRDefault="0086684A" w:rsidP="0086684A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92BB" w14:textId="77777777" w:rsidR="00A969BF" w:rsidRDefault="00A969BF" w:rsidP="00501ADF">
      <w:pPr>
        <w:spacing w:after="0" w:line="240" w:lineRule="auto"/>
      </w:pPr>
      <w:r>
        <w:separator/>
      </w:r>
    </w:p>
  </w:endnote>
  <w:endnote w:type="continuationSeparator" w:id="0">
    <w:p w14:paraId="3CFFF2C9" w14:textId="77777777" w:rsidR="00A969BF" w:rsidRDefault="00A969BF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9707" w14:textId="79873002" w:rsidR="00995E52" w:rsidRPr="00DF5B3F" w:rsidRDefault="00995E52" w:rsidP="00995E52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/>
        <w:sz w:val="14"/>
        <w:szCs w:val="24"/>
      </w:rPr>
    </w:pPr>
    <w:r w:rsidRPr="00DF5B3F">
      <w:rPr>
        <w:rFonts w:ascii="ITC Avant Garde" w:hAnsi="ITC Avant Garde"/>
        <w:color w:val="8496B0"/>
        <w:spacing w:val="60"/>
        <w:sz w:val="14"/>
        <w:szCs w:val="24"/>
        <w:lang w:val="es-ES"/>
      </w:rPr>
      <w:t>Página</w:t>
    </w:r>
    <w:r w:rsidRPr="00DF5B3F">
      <w:rPr>
        <w:rFonts w:ascii="ITC Avant Garde" w:hAnsi="ITC Avant Garde"/>
        <w:color w:val="8496B0"/>
        <w:sz w:val="14"/>
        <w:szCs w:val="24"/>
        <w:lang w:val="es-ES"/>
      </w:rPr>
      <w:t xml:space="preserve">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>
      <w:rPr>
        <w:rFonts w:ascii="ITC Avant Garde" w:hAnsi="ITC Avant Garde"/>
        <w:color w:val="323E4F"/>
        <w:sz w:val="14"/>
        <w:szCs w:val="24"/>
      </w:rPr>
      <w:instrText>PAGE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031FC3" w:rsidRPr="00031FC3">
      <w:rPr>
        <w:rFonts w:ascii="ITC Avant Garde" w:hAnsi="ITC Avant Garde"/>
        <w:noProof/>
        <w:color w:val="323E4F"/>
        <w:sz w:val="14"/>
        <w:szCs w:val="24"/>
        <w:lang w:val="es-ES"/>
      </w:rPr>
      <w:t>2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  <w:r w:rsidRPr="00DF5B3F">
      <w:rPr>
        <w:rFonts w:ascii="ITC Avant Garde" w:hAnsi="ITC Avant Garde"/>
        <w:color w:val="323E4F"/>
        <w:sz w:val="14"/>
        <w:szCs w:val="24"/>
        <w:lang w:val="es-ES"/>
      </w:rPr>
      <w:t xml:space="preserve"> |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>
      <w:rPr>
        <w:rFonts w:ascii="ITC Avant Garde" w:hAnsi="ITC Avant Garde"/>
        <w:color w:val="323E4F"/>
        <w:sz w:val="14"/>
        <w:szCs w:val="24"/>
      </w:rPr>
      <w:instrText>NUMPAGES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\* Arabic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031FC3" w:rsidRPr="00031FC3">
      <w:rPr>
        <w:rFonts w:ascii="ITC Avant Garde" w:hAnsi="ITC Avant Garde"/>
        <w:noProof/>
        <w:color w:val="323E4F"/>
        <w:sz w:val="14"/>
        <w:szCs w:val="24"/>
        <w:lang w:val="es-ES"/>
      </w:rPr>
      <w:t>4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</w:p>
  <w:p w14:paraId="6F64ABBA" w14:textId="77777777" w:rsidR="0006478F" w:rsidRPr="00E717C0" w:rsidRDefault="0006478F">
    <w:pPr>
      <w:pStyle w:val="Piedepgina"/>
      <w:rPr>
        <w:rFonts w:ascii="ITC Avant Garde" w:hAnsi="ITC Avant Gar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38BC" w14:textId="77777777" w:rsidR="00A969BF" w:rsidRDefault="00A969BF" w:rsidP="00501ADF">
      <w:pPr>
        <w:spacing w:after="0" w:line="240" w:lineRule="auto"/>
      </w:pPr>
      <w:r>
        <w:separator/>
      </w:r>
    </w:p>
  </w:footnote>
  <w:footnote w:type="continuationSeparator" w:id="0">
    <w:p w14:paraId="04B399D3" w14:textId="77777777" w:rsidR="00A969BF" w:rsidRDefault="00A969BF" w:rsidP="00501ADF">
      <w:pPr>
        <w:spacing w:after="0" w:line="240" w:lineRule="auto"/>
      </w:pPr>
      <w:r>
        <w:continuationSeparator/>
      </w:r>
    </w:p>
  </w:footnote>
  <w:footnote w:id="1">
    <w:p w14:paraId="6667A06C" w14:textId="13A8D495" w:rsidR="008E1AD3" w:rsidRPr="00451B7D" w:rsidRDefault="008E1AD3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</w:t>
      </w:r>
      <w:r w:rsidR="00BA4E93" w:rsidRPr="00451B7D">
        <w:rPr>
          <w:rFonts w:ascii="ITC Avant Garde" w:hAnsi="ITC Avant Garde"/>
          <w:sz w:val="16"/>
          <w:szCs w:val="16"/>
        </w:rPr>
        <w:t xml:space="preserve">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4D79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CDBE7C8" wp14:editId="1B57E5F6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1DBD0D" wp14:editId="0DEA556C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6C75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BD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12426C75" w14:textId="77777777"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C4FCBBC" w14:textId="77777777" w:rsidR="00501ADF" w:rsidRDefault="00501ADF">
    <w:pPr>
      <w:pStyle w:val="Encabezado"/>
    </w:pPr>
  </w:p>
  <w:p w14:paraId="7C47CEA6" w14:textId="77777777" w:rsidR="00804F49" w:rsidRDefault="00804F49">
    <w:pPr>
      <w:pStyle w:val="Encabezado"/>
    </w:pPr>
  </w:p>
  <w:p w14:paraId="69CFB0F6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BBE76" wp14:editId="1626B7D8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B120D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5FC4B48B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6396"/>
    <w:multiLevelType w:val="hybridMultilevel"/>
    <w:tmpl w:val="5AC82B56"/>
    <w:lvl w:ilvl="0" w:tplc="5BC88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0E73"/>
    <w:multiLevelType w:val="hybridMultilevel"/>
    <w:tmpl w:val="0BE2409C"/>
    <w:lvl w:ilvl="0" w:tplc="8E5C0740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1716D"/>
    <w:rsid w:val="00021824"/>
    <w:rsid w:val="00021FB4"/>
    <w:rsid w:val="00031FC3"/>
    <w:rsid w:val="00044D30"/>
    <w:rsid w:val="0006478F"/>
    <w:rsid w:val="00067CE3"/>
    <w:rsid w:val="000750FC"/>
    <w:rsid w:val="000774F5"/>
    <w:rsid w:val="00087D82"/>
    <w:rsid w:val="000C16BC"/>
    <w:rsid w:val="000D401B"/>
    <w:rsid w:val="000E1E51"/>
    <w:rsid w:val="000E4ED8"/>
    <w:rsid w:val="000E6A13"/>
    <w:rsid w:val="000F669B"/>
    <w:rsid w:val="00142774"/>
    <w:rsid w:val="00152D2E"/>
    <w:rsid w:val="00160C6C"/>
    <w:rsid w:val="00177F7B"/>
    <w:rsid w:val="00180231"/>
    <w:rsid w:val="00181A32"/>
    <w:rsid w:val="001932FC"/>
    <w:rsid w:val="00195F53"/>
    <w:rsid w:val="001B4A51"/>
    <w:rsid w:val="001C0074"/>
    <w:rsid w:val="001C2F18"/>
    <w:rsid w:val="001C7A17"/>
    <w:rsid w:val="001E26FE"/>
    <w:rsid w:val="00206C6C"/>
    <w:rsid w:val="00211C96"/>
    <w:rsid w:val="002155A7"/>
    <w:rsid w:val="00247B33"/>
    <w:rsid w:val="00267806"/>
    <w:rsid w:val="00280FB9"/>
    <w:rsid w:val="00286496"/>
    <w:rsid w:val="00295E97"/>
    <w:rsid w:val="002C2EC9"/>
    <w:rsid w:val="002C6F88"/>
    <w:rsid w:val="002D0379"/>
    <w:rsid w:val="002D28C7"/>
    <w:rsid w:val="0030055F"/>
    <w:rsid w:val="003039BF"/>
    <w:rsid w:val="00323167"/>
    <w:rsid w:val="00333B41"/>
    <w:rsid w:val="00372BF7"/>
    <w:rsid w:val="00373D03"/>
    <w:rsid w:val="003949C0"/>
    <w:rsid w:val="003A72BC"/>
    <w:rsid w:val="003B01F2"/>
    <w:rsid w:val="003B48A5"/>
    <w:rsid w:val="003E1D84"/>
    <w:rsid w:val="003F05E7"/>
    <w:rsid w:val="0041746A"/>
    <w:rsid w:val="004226AE"/>
    <w:rsid w:val="004423A7"/>
    <w:rsid w:val="00451B7D"/>
    <w:rsid w:val="004603F7"/>
    <w:rsid w:val="00476A49"/>
    <w:rsid w:val="0049127C"/>
    <w:rsid w:val="004A7C30"/>
    <w:rsid w:val="004B6836"/>
    <w:rsid w:val="004C733F"/>
    <w:rsid w:val="004D71DB"/>
    <w:rsid w:val="004E0AA9"/>
    <w:rsid w:val="004E0DA9"/>
    <w:rsid w:val="00501ADF"/>
    <w:rsid w:val="005319D5"/>
    <w:rsid w:val="00541620"/>
    <w:rsid w:val="00542420"/>
    <w:rsid w:val="00580B49"/>
    <w:rsid w:val="00585495"/>
    <w:rsid w:val="00596FDE"/>
    <w:rsid w:val="005A06B2"/>
    <w:rsid w:val="005A40FB"/>
    <w:rsid w:val="005B2C92"/>
    <w:rsid w:val="005C1605"/>
    <w:rsid w:val="005C44A8"/>
    <w:rsid w:val="005E1F40"/>
    <w:rsid w:val="006220C6"/>
    <w:rsid w:val="00623D14"/>
    <w:rsid w:val="00623EB8"/>
    <w:rsid w:val="00634DE8"/>
    <w:rsid w:val="00641D09"/>
    <w:rsid w:val="0064680F"/>
    <w:rsid w:val="006717D5"/>
    <w:rsid w:val="0068307E"/>
    <w:rsid w:val="00687048"/>
    <w:rsid w:val="006A3A0E"/>
    <w:rsid w:val="006D7556"/>
    <w:rsid w:val="006D7A08"/>
    <w:rsid w:val="007018A1"/>
    <w:rsid w:val="0071056F"/>
    <w:rsid w:val="00712636"/>
    <w:rsid w:val="00714252"/>
    <w:rsid w:val="0074323F"/>
    <w:rsid w:val="00754682"/>
    <w:rsid w:val="0076488A"/>
    <w:rsid w:val="007906D0"/>
    <w:rsid w:val="007A37D6"/>
    <w:rsid w:val="007B1182"/>
    <w:rsid w:val="007D4E5B"/>
    <w:rsid w:val="007F3179"/>
    <w:rsid w:val="007F37BF"/>
    <w:rsid w:val="00801FED"/>
    <w:rsid w:val="00804F49"/>
    <w:rsid w:val="008135FB"/>
    <w:rsid w:val="00814A48"/>
    <w:rsid w:val="00827470"/>
    <w:rsid w:val="0084560D"/>
    <w:rsid w:val="00860477"/>
    <w:rsid w:val="00861445"/>
    <w:rsid w:val="0086684A"/>
    <w:rsid w:val="00867907"/>
    <w:rsid w:val="00870931"/>
    <w:rsid w:val="00876D05"/>
    <w:rsid w:val="008A48B0"/>
    <w:rsid w:val="008C76AF"/>
    <w:rsid w:val="008D4B5E"/>
    <w:rsid w:val="008E1AD3"/>
    <w:rsid w:val="008E3011"/>
    <w:rsid w:val="009058DB"/>
    <w:rsid w:val="00911216"/>
    <w:rsid w:val="00924C33"/>
    <w:rsid w:val="009368D0"/>
    <w:rsid w:val="009442FD"/>
    <w:rsid w:val="009656B1"/>
    <w:rsid w:val="009658FF"/>
    <w:rsid w:val="00966B46"/>
    <w:rsid w:val="00967892"/>
    <w:rsid w:val="009806B7"/>
    <w:rsid w:val="00986E23"/>
    <w:rsid w:val="009939A5"/>
    <w:rsid w:val="00995E52"/>
    <w:rsid w:val="009A28DF"/>
    <w:rsid w:val="009C67ED"/>
    <w:rsid w:val="009D10E1"/>
    <w:rsid w:val="009D3C22"/>
    <w:rsid w:val="009D5C70"/>
    <w:rsid w:val="009D73E5"/>
    <w:rsid w:val="009E2F8A"/>
    <w:rsid w:val="009E4740"/>
    <w:rsid w:val="009F237F"/>
    <w:rsid w:val="009F5069"/>
    <w:rsid w:val="00A01F04"/>
    <w:rsid w:val="00A1622C"/>
    <w:rsid w:val="00A40076"/>
    <w:rsid w:val="00A45E72"/>
    <w:rsid w:val="00A7004C"/>
    <w:rsid w:val="00A7211D"/>
    <w:rsid w:val="00A73AD8"/>
    <w:rsid w:val="00A81A2D"/>
    <w:rsid w:val="00A81C3A"/>
    <w:rsid w:val="00A83888"/>
    <w:rsid w:val="00A84C6A"/>
    <w:rsid w:val="00A855B0"/>
    <w:rsid w:val="00A86F52"/>
    <w:rsid w:val="00A969BF"/>
    <w:rsid w:val="00AA4CB3"/>
    <w:rsid w:val="00AD2F3B"/>
    <w:rsid w:val="00AD4129"/>
    <w:rsid w:val="00B01F0F"/>
    <w:rsid w:val="00B05D39"/>
    <w:rsid w:val="00B17ADF"/>
    <w:rsid w:val="00B2360F"/>
    <w:rsid w:val="00B24AB5"/>
    <w:rsid w:val="00B32137"/>
    <w:rsid w:val="00B32DDD"/>
    <w:rsid w:val="00B41497"/>
    <w:rsid w:val="00B54A92"/>
    <w:rsid w:val="00B6461E"/>
    <w:rsid w:val="00B74C55"/>
    <w:rsid w:val="00B74F10"/>
    <w:rsid w:val="00B77B4B"/>
    <w:rsid w:val="00BA0F10"/>
    <w:rsid w:val="00BA43D1"/>
    <w:rsid w:val="00BA4E93"/>
    <w:rsid w:val="00BA7D21"/>
    <w:rsid w:val="00BB73BA"/>
    <w:rsid w:val="00BC2FF7"/>
    <w:rsid w:val="00BD48DB"/>
    <w:rsid w:val="00BE7D1C"/>
    <w:rsid w:val="00C37872"/>
    <w:rsid w:val="00C53388"/>
    <w:rsid w:val="00C5470D"/>
    <w:rsid w:val="00C604E6"/>
    <w:rsid w:val="00C917FC"/>
    <w:rsid w:val="00CA1FD6"/>
    <w:rsid w:val="00CA4215"/>
    <w:rsid w:val="00CD66AF"/>
    <w:rsid w:val="00CE2EA1"/>
    <w:rsid w:val="00D02DA9"/>
    <w:rsid w:val="00D0386B"/>
    <w:rsid w:val="00D221B5"/>
    <w:rsid w:val="00D23BD5"/>
    <w:rsid w:val="00D31AE9"/>
    <w:rsid w:val="00D335D8"/>
    <w:rsid w:val="00D55CA7"/>
    <w:rsid w:val="00D80D3B"/>
    <w:rsid w:val="00D83CC8"/>
    <w:rsid w:val="00D8558F"/>
    <w:rsid w:val="00D92B8F"/>
    <w:rsid w:val="00D973EB"/>
    <w:rsid w:val="00DB01FA"/>
    <w:rsid w:val="00DE33C2"/>
    <w:rsid w:val="00DE6F24"/>
    <w:rsid w:val="00E02424"/>
    <w:rsid w:val="00E046F4"/>
    <w:rsid w:val="00E16506"/>
    <w:rsid w:val="00E21B49"/>
    <w:rsid w:val="00E27972"/>
    <w:rsid w:val="00E6080B"/>
    <w:rsid w:val="00E717C0"/>
    <w:rsid w:val="00E74CD8"/>
    <w:rsid w:val="00E75766"/>
    <w:rsid w:val="00E768BA"/>
    <w:rsid w:val="00E8340B"/>
    <w:rsid w:val="00E95C25"/>
    <w:rsid w:val="00EA3D0C"/>
    <w:rsid w:val="00EA6F2D"/>
    <w:rsid w:val="00EB27A9"/>
    <w:rsid w:val="00EE6FE8"/>
    <w:rsid w:val="00F03289"/>
    <w:rsid w:val="00F31821"/>
    <w:rsid w:val="00F342A4"/>
    <w:rsid w:val="00F506AD"/>
    <w:rsid w:val="00F54D63"/>
    <w:rsid w:val="00F54D77"/>
    <w:rsid w:val="00F56CCA"/>
    <w:rsid w:val="00F611C7"/>
    <w:rsid w:val="00F720AA"/>
    <w:rsid w:val="00F75427"/>
    <w:rsid w:val="00F75C80"/>
    <w:rsid w:val="00F8154D"/>
    <w:rsid w:val="00F84A66"/>
    <w:rsid w:val="00F9299E"/>
    <w:rsid w:val="00F94A28"/>
    <w:rsid w:val="00FA0329"/>
    <w:rsid w:val="00FB158A"/>
    <w:rsid w:val="00FB2B57"/>
    <w:rsid w:val="00FB4FEA"/>
    <w:rsid w:val="00FB58BA"/>
    <w:rsid w:val="00FC0EDB"/>
    <w:rsid w:val="00FE174F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DBED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f.gob.mx/nota_detalle.php?codigo=5378340&amp;fecha=12/01/2015" TargetMode="External"/><Relationship Id="rId18" Type="http://schemas.openxmlformats.org/officeDocument/2006/relationships/hyperlink" Target="http://www.fne.gob.cl/wp-content/uploads/2017/10/Gu&#237;a-Restricciones-Verticales.pdf" TargetMode="External"/><Relationship Id="rId26" Type="http://schemas.openxmlformats.org/officeDocument/2006/relationships/hyperlink" Target="http://www.bundeskartellamt.de/SharedDocs/Publikation/EN/Diskussions_Hintergrundpapiere/Vertical%20Restraints%20in%20the%20Internet%20Economy.pdf?__blob=publicationFile&amp;v=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ic.gov.co/sites/default/files/files/Guia_OECD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iputados.gob.mx/LeyesBiblio/pdf/LFCE_270117.pdf" TargetMode="External"/><Relationship Id="rId17" Type="http://schemas.openxmlformats.org/officeDocument/2006/relationships/hyperlink" Target="http://ec.europa.eu/competition/antitrust/legislation/handbook_vol_1_en.pdf" TargetMode="External"/><Relationship Id="rId25" Type="http://schemas.openxmlformats.org/officeDocument/2006/relationships/hyperlink" Target="http://www.competitionbureau.gc.ca/eic/site/cb-bc.nsf/eng/03766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competition/antitrust/guidance_en.pdf" TargetMode="External"/><Relationship Id="rId20" Type="http://schemas.openxmlformats.org/officeDocument/2006/relationships/hyperlink" Target="http://www.sic.gov.co/sites/default/files/files/Manual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f.gob.mx/nota_detalle.php?codigo=5301941" TargetMode="External"/><Relationship Id="rId24" Type="http://schemas.openxmlformats.org/officeDocument/2006/relationships/hyperlink" Target="https://orbi.uliege.be/bitstream/2268/207363/1/Vertical%20Restraints%20under%20EU%20Competition%20Law%20Conceptual%20Foundations%20and%20Practical%20Framework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ec.europa.eu/competition/antitrust/antitrust_manproc_3_2012_en.pdf" TargetMode="External"/><Relationship Id="rId23" Type="http://schemas.openxmlformats.org/officeDocument/2006/relationships/hyperlink" Target="http://wrap.warwick.ac.uk/19/1/WRAP_Waterson_oft177.pdf" TargetMode="External"/><Relationship Id="rId28" Type="http://schemas.openxmlformats.org/officeDocument/2006/relationships/hyperlink" Target="https://www.ab.gov.tr/files/ardb/evt/1_avrupa_birligi/1_6_raporlar/1_2_green_papers/com1997_green_paper_on_vertical_restraints_ec_competition_policy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ic.gov.co/sites/default/files/files/UNCTAD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tc.gov/enforcement/rules/rules-and-guides" TargetMode="External"/><Relationship Id="rId22" Type="http://schemas.openxmlformats.org/officeDocument/2006/relationships/hyperlink" Target="http://ec.europa.eu/competition/antitrust/legislation/guidelines_vertical_en.pdf" TargetMode="External"/><Relationship Id="rId27" Type="http://schemas.openxmlformats.org/officeDocument/2006/relationships/hyperlink" Target="http://www.eucomplaw.com/horizontal-and-vertical-cooperation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8D52F1F70D3147B871117FD1E36B4C" ma:contentTypeVersion="0" ma:contentTypeDescription="Crear nuevo documento." ma:contentTypeScope="" ma:versionID="27a96c2f1942c4513954155dc98c08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FB480-D6C9-469F-9696-5DFC98CA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4182E-E3B7-4330-937E-2709F89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2037</Words>
  <Characters>11125</Characters>
  <Application>Microsoft Office Word</Application>
  <DocSecurity>0</DocSecurity>
  <Lines>209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Alexis Pina Vega</cp:lastModifiedBy>
  <cp:revision>2</cp:revision>
  <cp:lastPrinted>2018-03-02T16:47:00Z</cp:lastPrinted>
  <dcterms:created xsi:type="dcterms:W3CDTF">2018-09-28T18:48:00Z</dcterms:created>
  <dcterms:modified xsi:type="dcterms:W3CDTF">2018-09-28T18:48:00Z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0x010100538D52F1F70D3147B871117FD1E36B4C</vt:lpwstr>
  </property>
</Properties>
</file>