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74688A06" w14:textId="77777777" w:rsidTr="00D23BD5">
        <w:trPr>
          <w:trHeight w:val="816"/>
        </w:trPr>
        <w:tc>
          <w:tcPr>
            <w:tcW w:w="2689" w:type="dxa"/>
            <w:shd w:val="clear" w:color="auto" w:fill="DBDBDB" w:themeFill="accent3" w:themeFillTint="66"/>
          </w:tcPr>
          <w:p w14:paraId="4CA9099D" w14:textId="77777777" w:rsidR="00501ADF" w:rsidRPr="00451B7D" w:rsidRDefault="00501ADF" w:rsidP="00501ADF">
            <w:pPr>
              <w:jc w:val="both"/>
              <w:rPr>
                <w:rFonts w:ascii="ITC Avant Garde" w:hAnsi="ITC Avant Garde"/>
                <w:b/>
                <w:sz w:val="18"/>
                <w:szCs w:val="18"/>
              </w:rPr>
            </w:pPr>
            <w:bookmarkStart w:id="0" w:name="_GoBack"/>
            <w:bookmarkEnd w:id="0"/>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r w:rsidR="004A09A8">
              <w:rPr>
                <w:rFonts w:ascii="ITC Avant Garde" w:hAnsi="ITC Avant Garde"/>
                <w:b/>
                <w:sz w:val="18"/>
                <w:szCs w:val="18"/>
              </w:rPr>
              <w:t xml:space="preserve"> Unidad de Política Regulatoria</w:t>
            </w:r>
          </w:p>
          <w:p w14:paraId="0BE2B217" w14:textId="77777777" w:rsidR="0068307E" w:rsidRPr="00451B7D" w:rsidRDefault="0068307E" w:rsidP="00501ADF">
            <w:pPr>
              <w:jc w:val="both"/>
              <w:rPr>
                <w:rFonts w:ascii="ITC Avant Garde" w:hAnsi="ITC Avant Garde"/>
                <w:sz w:val="18"/>
                <w:szCs w:val="18"/>
              </w:rPr>
            </w:pPr>
          </w:p>
          <w:p w14:paraId="12D6DEF8"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583495ED" w14:textId="2B398592" w:rsidR="0068307E" w:rsidRPr="00451B7D" w:rsidRDefault="00D23BD5" w:rsidP="00B30CDF">
            <w:pPr>
              <w:jc w:val="both"/>
              <w:rPr>
                <w:rFonts w:ascii="ITC Avant Garde" w:hAnsi="ITC Avant Garde"/>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r w:rsidR="00D96CEA">
              <w:rPr>
                <w:rFonts w:ascii="ITC Avant Garde" w:hAnsi="ITC Avant Garde"/>
                <w:b/>
                <w:sz w:val="18"/>
                <w:szCs w:val="18"/>
              </w:rPr>
              <w:t xml:space="preserve"> </w:t>
            </w:r>
            <w:r w:rsidR="002E2C70" w:rsidRPr="002E2C70">
              <w:rPr>
                <w:rFonts w:ascii="ITC Avant Garde" w:hAnsi="ITC Avant Garde"/>
                <w:b/>
                <w:sz w:val="18"/>
                <w:szCs w:val="18"/>
              </w:rPr>
              <w:t>ANTEPROYECTO DE</w:t>
            </w:r>
            <w:r w:rsidR="00B30CDF">
              <w:rPr>
                <w:rFonts w:ascii="ITC Avant Garde" w:hAnsi="ITC Avant Garde"/>
                <w:b/>
                <w:sz w:val="18"/>
                <w:szCs w:val="18"/>
              </w:rPr>
              <w:t xml:space="preserve"> ACUERDO </w:t>
            </w:r>
            <w:r w:rsidR="002E2C70" w:rsidRPr="002E2C70">
              <w:rPr>
                <w:rFonts w:ascii="ITC Avant Garde" w:hAnsi="ITC Avant Garde"/>
                <w:b/>
                <w:sz w:val="18"/>
                <w:szCs w:val="18"/>
              </w:rPr>
              <w:t xml:space="preserve"> </w:t>
            </w:r>
            <w:r w:rsidR="00B30CDF" w:rsidRPr="00B30CDF">
              <w:rPr>
                <w:rFonts w:ascii="ITC Avant Garde" w:hAnsi="ITC Avant Garde"/>
                <w:b/>
                <w:sz w:val="18"/>
                <w:szCs w:val="18"/>
              </w:rPr>
              <w:t>MEDIANTE EL CUAL EL PLENO DEL INSTITUTO FEDERA</w:t>
            </w:r>
            <w:r w:rsidR="00B30CDF">
              <w:rPr>
                <w:rFonts w:ascii="ITC Avant Garde" w:hAnsi="ITC Avant Garde"/>
                <w:b/>
                <w:sz w:val="18"/>
                <w:szCs w:val="18"/>
              </w:rPr>
              <w:t xml:space="preserve">L DE TELECOMUNICACIONES </w:t>
            </w:r>
            <w:r w:rsidR="002E2C70" w:rsidRPr="002E2C70">
              <w:rPr>
                <w:rFonts w:ascii="ITC Avant Garde" w:hAnsi="ITC Avant Garde"/>
                <w:b/>
                <w:sz w:val="18"/>
                <w:szCs w:val="18"/>
              </w:rPr>
              <w:t>MODIFICA LA METODOLOGÍA DE SEPARACIÓN CONTABLE APLICABLE A LOS AGENTES ECONÓMICOS PREPONDERANTES, AGENTES DECLARADOS CON PODER SUSTANCIAL DE MERCADO Y REDES COMPARTIDAS MAYORISTAS, APROBADA MEDIANTE ACUERDO P/IFT/191217/914 DE FECHA 19 DE DICIEMBRE DE 201</w:t>
            </w:r>
            <w:r w:rsidR="009E67B3">
              <w:rPr>
                <w:rFonts w:ascii="ITC Avant Garde" w:hAnsi="ITC Avant Garde"/>
                <w:b/>
                <w:sz w:val="18"/>
                <w:szCs w:val="18"/>
              </w:rPr>
              <w:t>7</w:t>
            </w:r>
          </w:p>
        </w:tc>
      </w:tr>
      <w:tr w:rsidR="0068307E" w:rsidRPr="00451B7D" w14:paraId="684AC9F5" w14:textId="77777777" w:rsidTr="00D23BD5">
        <w:trPr>
          <w:trHeight w:val="889"/>
        </w:trPr>
        <w:tc>
          <w:tcPr>
            <w:tcW w:w="2689" w:type="dxa"/>
            <w:vMerge w:val="restart"/>
            <w:shd w:val="clear" w:color="auto" w:fill="DBDBDB" w:themeFill="accent3" w:themeFillTint="66"/>
          </w:tcPr>
          <w:p w14:paraId="6983FBB8"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075C9F48" w14:textId="77777777" w:rsidR="0068307E" w:rsidRPr="00451B7D" w:rsidRDefault="0068307E" w:rsidP="00501ADF">
            <w:pPr>
              <w:jc w:val="both"/>
              <w:rPr>
                <w:rFonts w:ascii="ITC Avant Garde" w:hAnsi="ITC Avant Garde"/>
                <w:b/>
                <w:sz w:val="18"/>
                <w:szCs w:val="18"/>
              </w:rPr>
            </w:pPr>
          </w:p>
          <w:p w14:paraId="0757540B" w14:textId="77777777" w:rsidR="0068307E" w:rsidRPr="00451B7D" w:rsidRDefault="00F31821" w:rsidP="00501ADF">
            <w:pPr>
              <w:jc w:val="both"/>
              <w:rPr>
                <w:rFonts w:ascii="ITC Avant Garde" w:hAnsi="ITC Avant Garde"/>
                <w:sz w:val="18"/>
                <w:szCs w:val="18"/>
              </w:rPr>
            </w:pPr>
            <w:r w:rsidRPr="00451B7D">
              <w:rPr>
                <w:rFonts w:ascii="ITC Avant Garde" w:hAnsi="ITC Avant Garde"/>
                <w:sz w:val="18"/>
                <w:szCs w:val="18"/>
              </w:rPr>
              <w:t xml:space="preserve">Nombre: </w:t>
            </w:r>
            <w:r w:rsidR="00B44037">
              <w:rPr>
                <w:rFonts w:ascii="ITC Avant Garde" w:hAnsi="ITC Avant Garde"/>
                <w:sz w:val="18"/>
                <w:szCs w:val="18"/>
              </w:rPr>
              <w:t>Lorenzo Antonio Flores</w:t>
            </w:r>
          </w:p>
          <w:p w14:paraId="3C3FD707" w14:textId="77777777"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 xml:space="preserve">Teléfono: </w:t>
            </w:r>
            <w:r w:rsidR="00B44037">
              <w:rPr>
                <w:rFonts w:ascii="ITC Avant Garde" w:hAnsi="ITC Avant Garde"/>
                <w:sz w:val="18"/>
                <w:szCs w:val="18"/>
              </w:rPr>
              <w:t>5015400 Ext. 4028</w:t>
            </w:r>
          </w:p>
          <w:p w14:paraId="782907BF" w14:textId="77777777"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r w:rsidR="00B44037">
              <w:rPr>
                <w:rFonts w:ascii="ITC Avant Garde" w:hAnsi="ITC Avant Garde"/>
                <w:sz w:val="18"/>
                <w:szCs w:val="18"/>
              </w:rPr>
              <w:t xml:space="preserve"> </w:t>
            </w:r>
            <w:r w:rsidR="0004013F">
              <w:rPr>
                <w:rFonts w:ascii="ITC Avant Garde" w:hAnsi="ITC Avant Garde"/>
                <w:sz w:val="18"/>
                <w:szCs w:val="18"/>
              </w:rPr>
              <w:t>l</w:t>
            </w:r>
            <w:r w:rsidR="00B44037">
              <w:rPr>
                <w:rFonts w:ascii="ITC Avant Garde" w:hAnsi="ITC Avant Garde"/>
                <w:sz w:val="18"/>
                <w:szCs w:val="18"/>
              </w:rPr>
              <w:t>orenzo.antonio@ift.org.mx</w:t>
            </w:r>
          </w:p>
          <w:p w14:paraId="591B3348"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038B259B"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0C2E53A0" w14:textId="46A9E26D" w:rsidR="0068307E" w:rsidRPr="00451B7D" w:rsidRDefault="003F46F0" w:rsidP="00895D09">
            <w:pPr>
              <w:jc w:val="center"/>
              <w:rPr>
                <w:rFonts w:ascii="ITC Avant Garde" w:hAnsi="ITC Avant Garde"/>
                <w:sz w:val="18"/>
                <w:szCs w:val="18"/>
              </w:rPr>
            </w:pPr>
            <w:r w:rsidRPr="003411CE">
              <w:rPr>
                <w:rFonts w:ascii="ITC Avant Garde" w:hAnsi="ITC Avant Garde"/>
                <w:sz w:val="18"/>
                <w:szCs w:val="18"/>
              </w:rPr>
              <w:t>07</w:t>
            </w:r>
            <w:r w:rsidR="00D96CEA" w:rsidRPr="003411CE">
              <w:rPr>
                <w:rFonts w:ascii="ITC Avant Garde" w:hAnsi="ITC Avant Garde"/>
                <w:sz w:val="18"/>
                <w:szCs w:val="18"/>
              </w:rPr>
              <w:t>/0</w:t>
            </w:r>
            <w:r w:rsidR="004B0089" w:rsidRPr="003411CE">
              <w:rPr>
                <w:rFonts w:ascii="ITC Avant Garde" w:hAnsi="ITC Avant Garde"/>
                <w:sz w:val="18"/>
                <w:szCs w:val="18"/>
              </w:rPr>
              <w:t>9</w:t>
            </w:r>
            <w:r w:rsidR="00D96CEA" w:rsidRPr="003411CE">
              <w:rPr>
                <w:rFonts w:ascii="ITC Avant Garde" w:hAnsi="ITC Avant Garde"/>
                <w:sz w:val="18"/>
                <w:szCs w:val="18"/>
              </w:rPr>
              <w:t>/2018</w:t>
            </w:r>
          </w:p>
        </w:tc>
      </w:tr>
      <w:tr w:rsidR="0068307E" w:rsidRPr="00451B7D" w14:paraId="03FE602E" w14:textId="77777777" w:rsidTr="00D23BD5">
        <w:trPr>
          <w:trHeight w:val="390"/>
        </w:trPr>
        <w:tc>
          <w:tcPr>
            <w:tcW w:w="2689" w:type="dxa"/>
            <w:vMerge/>
            <w:shd w:val="clear" w:color="auto" w:fill="DBDBDB" w:themeFill="accent3" w:themeFillTint="66"/>
          </w:tcPr>
          <w:p w14:paraId="1832BBFC"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D626F50"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745535D0" w14:textId="77777777" w:rsidR="0068307E" w:rsidRPr="00451B7D" w:rsidRDefault="004B0089" w:rsidP="004B0089">
            <w:pPr>
              <w:jc w:val="center"/>
              <w:rPr>
                <w:rFonts w:ascii="ITC Avant Garde" w:hAnsi="ITC Avant Garde"/>
                <w:sz w:val="18"/>
                <w:szCs w:val="18"/>
              </w:rPr>
            </w:pPr>
            <w:r w:rsidRPr="003411CE">
              <w:rPr>
                <w:rFonts w:ascii="ITC Avant Garde" w:hAnsi="ITC Avant Garde"/>
                <w:sz w:val="18"/>
                <w:szCs w:val="18"/>
              </w:rPr>
              <w:t>21</w:t>
            </w:r>
            <w:r w:rsidR="0068307E" w:rsidRPr="003411CE">
              <w:rPr>
                <w:rFonts w:ascii="ITC Avant Garde" w:hAnsi="ITC Avant Garde"/>
                <w:sz w:val="18"/>
                <w:szCs w:val="18"/>
              </w:rPr>
              <w:t>/</w:t>
            </w:r>
            <w:r w:rsidRPr="003411CE">
              <w:rPr>
                <w:rFonts w:ascii="ITC Avant Garde" w:hAnsi="ITC Avant Garde"/>
                <w:sz w:val="18"/>
                <w:szCs w:val="18"/>
              </w:rPr>
              <w:t>09</w:t>
            </w:r>
            <w:r w:rsidR="0068307E" w:rsidRPr="003411CE">
              <w:rPr>
                <w:rFonts w:ascii="ITC Avant Garde" w:hAnsi="ITC Avant Garde"/>
                <w:sz w:val="18"/>
                <w:szCs w:val="18"/>
              </w:rPr>
              <w:t>/</w:t>
            </w:r>
            <w:r w:rsidRPr="003411CE">
              <w:rPr>
                <w:rFonts w:ascii="ITC Avant Garde" w:hAnsi="ITC Avant Garde"/>
                <w:sz w:val="18"/>
                <w:szCs w:val="18"/>
              </w:rPr>
              <w:t>2018 a 30/09/2018</w:t>
            </w:r>
          </w:p>
        </w:tc>
      </w:tr>
    </w:tbl>
    <w:p w14:paraId="50BC82AD" w14:textId="77777777" w:rsidR="00501ADF" w:rsidRPr="00451B7D" w:rsidRDefault="00501ADF" w:rsidP="00501ADF">
      <w:pPr>
        <w:jc w:val="both"/>
        <w:rPr>
          <w:rFonts w:ascii="ITC Avant Garde" w:hAnsi="ITC Avant Garde"/>
          <w:sz w:val="18"/>
          <w:szCs w:val="18"/>
        </w:rPr>
      </w:pPr>
    </w:p>
    <w:p w14:paraId="6AEE0900" w14:textId="77777777"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67648C7A" w14:textId="77777777" w:rsidTr="008A48B0">
        <w:tc>
          <w:tcPr>
            <w:tcW w:w="8828" w:type="dxa"/>
            <w:shd w:val="clear" w:color="auto" w:fill="FFFFFF" w:themeFill="background1"/>
          </w:tcPr>
          <w:p w14:paraId="48DC4341" w14:textId="77777777" w:rsidR="001932FC" w:rsidRPr="00451B7D"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450CF100" w14:textId="77777777" w:rsidR="001932FC" w:rsidRPr="00451B7D" w:rsidRDefault="001932FC" w:rsidP="008A48B0">
            <w:pPr>
              <w:shd w:val="clear" w:color="auto" w:fill="FFFFFF" w:themeFill="background1"/>
              <w:jc w:val="both"/>
              <w:rPr>
                <w:rFonts w:ascii="ITC Avant Garde" w:hAnsi="ITC Avant Garde"/>
                <w:sz w:val="18"/>
                <w:szCs w:val="18"/>
              </w:rPr>
            </w:pPr>
          </w:p>
          <w:p w14:paraId="1C86656B" w14:textId="741C75B0" w:rsidR="00785B39" w:rsidRDefault="004F23D9" w:rsidP="001932FC">
            <w:pPr>
              <w:jc w:val="both"/>
              <w:rPr>
                <w:rFonts w:ascii="ITC Avant Garde" w:hAnsi="ITC Avant Garde"/>
                <w:sz w:val="18"/>
                <w:szCs w:val="18"/>
              </w:rPr>
            </w:pPr>
            <w:r w:rsidRPr="004F23D9">
              <w:rPr>
                <w:rFonts w:ascii="ITC Avant Garde" w:hAnsi="ITC Avant Garde"/>
                <w:sz w:val="18"/>
                <w:szCs w:val="18"/>
              </w:rPr>
              <w:t>El 29 de diciembre de 2017</w:t>
            </w:r>
            <w:r w:rsidR="0004013F">
              <w:rPr>
                <w:rFonts w:ascii="ITC Avant Garde" w:hAnsi="ITC Avant Garde"/>
                <w:sz w:val="18"/>
                <w:szCs w:val="18"/>
              </w:rPr>
              <w:t>,</w:t>
            </w:r>
            <w:r w:rsidRPr="004F23D9">
              <w:rPr>
                <w:rFonts w:ascii="ITC Avant Garde" w:hAnsi="ITC Avant Garde"/>
                <w:sz w:val="18"/>
                <w:szCs w:val="18"/>
              </w:rPr>
              <w:t xml:space="preserve"> se publicó en el Diario Oficial de la Federación el </w:t>
            </w:r>
            <w:r>
              <w:rPr>
                <w:rFonts w:ascii="ITC Avant Garde" w:hAnsi="ITC Avant Garde"/>
                <w:sz w:val="18"/>
                <w:szCs w:val="18"/>
              </w:rPr>
              <w:t>“</w:t>
            </w:r>
            <w:r w:rsidRPr="004F23D9">
              <w:rPr>
                <w:rFonts w:ascii="ITC Avant Garde" w:hAnsi="ITC Avant Garde"/>
                <w:sz w:val="18"/>
                <w:szCs w:val="18"/>
              </w:rPr>
              <w:t>Acuerdo mediante el cual el Pleno del Instituto Federal de Telecomunicaciones expidió la metodología de separación contable aplicable a los agentes económicos preponderantes, agentes declarados con poder sustancial de mercado y redes compartidas mayoristas</w:t>
            </w:r>
            <w:r>
              <w:rPr>
                <w:rFonts w:ascii="ITC Avant Garde" w:hAnsi="ITC Avant Garde"/>
                <w:sz w:val="18"/>
                <w:szCs w:val="18"/>
              </w:rPr>
              <w:t xml:space="preserve">” </w:t>
            </w:r>
            <w:r w:rsidRPr="004F23D9">
              <w:rPr>
                <w:rFonts w:ascii="ITC Avant Garde" w:hAnsi="ITC Avant Garde"/>
                <w:sz w:val="18"/>
                <w:szCs w:val="18"/>
              </w:rPr>
              <w:t xml:space="preserve">(en adelante, el </w:t>
            </w:r>
            <w:r w:rsidR="000427EA">
              <w:rPr>
                <w:rFonts w:ascii="ITC Avant Garde" w:hAnsi="ITC Avant Garde"/>
                <w:sz w:val="18"/>
                <w:szCs w:val="18"/>
              </w:rPr>
              <w:t>“Acuerdo”).</w:t>
            </w:r>
          </w:p>
          <w:p w14:paraId="7DB04218" w14:textId="77777777" w:rsidR="004A09A8" w:rsidRDefault="004A09A8" w:rsidP="001932FC">
            <w:pPr>
              <w:jc w:val="both"/>
              <w:rPr>
                <w:rFonts w:ascii="ITC Avant Garde" w:hAnsi="ITC Avant Garde"/>
                <w:sz w:val="18"/>
                <w:szCs w:val="18"/>
              </w:rPr>
            </w:pPr>
          </w:p>
          <w:p w14:paraId="5EF5F9A2" w14:textId="4086B028" w:rsidR="00100006" w:rsidRPr="00777168" w:rsidRDefault="005778C8" w:rsidP="000B758C">
            <w:pPr>
              <w:jc w:val="both"/>
              <w:rPr>
                <w:rFonts w:ascii="ITC Avant Garde" w:hAnsi="ITC Avant Garde"/>
                <w:sz w:val="18"/>
                <w:szCs w:val="18"/>
                <w:lang w:val="es-ES"/>
              </w:rPr>
            </w:pPr>
            <w:r>
              <w:rPr>
                <w:rFonts w:ascii="ITC Avant Garde" w:hAnsi="ITC Avant Garde"/>
                <w:sz w:val="18"/>
                <w:szCs w:val="18"/>
              </w:rPr>
              <w:t>L</w:t>
            </w:r>
            <w:r w:rsidR="000B758C" w:rsidRPr="000B758C">
              <w:rPr>
                <w:rFonts w:ascii="ITC Avant Garde" w:hAnsi="ITC Avant Garde"/>
                <w:sz w:val="18"/>
                <w:szCs w:val="18"/>
              </w:rPr>
              <w:t xml:space="preserve">a metodología de separación contable aplicable a los agentes económicos preponderantes y con poder sustancial de mercado, es una metodología robusta y compleja, acorde </w:t>
            </w:r>
            <w:r w:rsidR="00100006">
              <w:rPr>
                <w:rFonts w:ascii="ITC Avant Garde" w:hAnsi="ITC Avant Garde"/>
                <w:sz w:val="18"/>
                <w:szCs w:val="18"/>
              </w:rPr>
              <w:t>con</w:t>
            </w:r>
            <w:r w:rsidR="000B758C" w:rsidRPr="000B758C">
              <w:rPr>
                <w:rFonts w:ascii="ITC Avant Garde" w:hAnsi="ITC Avant Garde"/>
                <w:sz w:val="18"/>
                <w:szCs w:val="18"/>
              </w:rPr>
              <w:t xml:space="preserve"> las mej</w:t>
            </w:r>
            <w:r w:rsidR="000B758C">
              <w:rPr>
                <w:rFonts w:ascii="ITC Avant Garde" w:hAnsi="ITC Avant Garde"/>
                <w:sz w:val="18"/>
                <w:szCs w:val="18"/>
              </w:rPr>
              <w:t xml:space="preserve">ores prácticas internacionales. </w:t>
            </w:r>
            <w:r w:rsidRPr="005778C8">
              <w:rPr>
                <w:rFonts w:ascii="ITC Avant Garde" w:hAnsi="ITC Avant Garde"/>
                <w:sz w:val="18"/>
                <w:szCs w:val="18"/>
              </w:rPr>
              <w:t>No obstante su complejidad, la información que se obtenga permitirá al Instituto tener la posibilidad de identificar potenciales prácticas anticompetitivas, tales como estrechamiento de márgenes, depredación de precios o subsidios cruzados, entre otras conductas, así como detectar un potencial trato discriminatorio en la prestación de servicios mayoristas, entre otros objetivos.</w:t>
            </w:r>
          </w:p>
          <w:p w14:paraId="3524D11D" w14:textId="77777777" w:rsidR="00100006" w:rsidRPr="00777168" w:rsidRDefault="00100006" w:rsidP="000B758C">
            <w:pPr>
              <w:jc w:val="both"/>
              <w:rPr>
                <w:rFonts w:ascii="ITC Avant Garde" w:hAnsi="ITC Avant Garde"/>
                <w:sz w:val="18"/>
                <w:szCs w:val="18"/>
                <w:lang w:val="es-ES"/>
              </w:rPr>
            </w:pPr>
          </w:p>
          <w:p w14:paraId="7A97BDD5" w14:textId="75F48FF2" w:rsidR="009E67B3" w:rsidRDefault="00100006" w:rsidP="000B758C">
            <w:pPr>
              <w:jc w:val="both"/>
              <w:rPr>
                <w:rFonts w:ascii="ITC Avant Garde" w:hAnsi="ITC Avant Garde"/>
                <w:sz w:val="18"/>
                <w:szCs w:val="18"/>
              </w:rPr>
            </w:pPr>
            <w:r w:rsidRPr="00100006">
              <w:rPr>
                <w:rFonts w:ascii="ITC Avant Garde" w:hAnsi="ITC Avant Garde"/>
                <w:sz w:val="18"/>
                <w:szCs w:val="18"/>
              </w:rPr>
              <w:t xml:space="preserve">Sin embargo, derivado del proceso de implementación de la metodología de separación </w:t>
            </w:r>
            <w:r w:rsidR="00407535">
              <w:rPr>
                <w:rFonts w:ascii="ITC Avant Garde" w:hAnsi="ITC Avant Garde"/>
                <w:sz w:val="18"/>
                <w:szCs w:val="18"/>
              </w:rPr>
              <w:t xml:space="preserve">contable </w:t>
            </w:r>
            <w:r w:rsidRPr="00100006">
              <w:rPr>
                <w:rFonts w:ascii="ITC Avant Garde" w:hAnsi="ITC Avant Garde"/>
                <w:sz w:val="18"/>
                <w:szCs w:val="18"/>
              </w:rPr>
              <w:t xml:space="preserve">se identificó que </w:t>
            </w:r>
            <w:r w:rsidR="009E67B3">
              <w:rPr>
                <w:rFonts w:ascii="ITC Avant Garde" w:hAnsi="ITC Avant Garde"/>
                <w:sz w:val="18"/>
                <w:szCs w:val="18"/>
              </w:rPr>
              <w:t xml:space="preserve">para las afiliadas </w:t>
            </w:r>
            <w:r w:rsidR="00E17E05">
              <w:rPr>
                <w:rFonts w:ascii="ITC Avant Garde" w:hAnsi="ITC Avant Garde"/>
                <w:sz w:val="18"/>
                <w:szCs w:val="18"/>
              </w:rPr>
              <w:t xml:space="preserve">independientes </w:t>
            </w:r>
            <w:r w:rsidR="009E67B3">
              <w:rPr>
                <w:rFonts w:ascii="ITC Avant Garde" w:hAnsi="ITC Avant Garde"/>
                <w:sz w:val="18"/>
                <w:szCs w:val="18"/>
              </w:rPr>
              <w:t>del</w:t>
            </w:r>
            <w:r w:rsidRPr="00100006">
              <w:rPr>
                <w:rFonts w:ascii="ITC Avant Garde" w:hAnsi="ITC Avant Garde"/>
                <w:sz w:val="18"/>
                <w:szCs w:val="18"/>
              </w:rPr>
              <w:t xml:space="preserve"> agente económico preponderante en el sector de radiodifusión (AEPR) </w:t>
            </w:r>
            <w:r w:rsidR="009E67B3">
              <w:rPr>
                <w:rFonts w:ascii="ITC Avant Garde" w:hAnsi="ITC Avant Garde"/>
                <w:sz w:val="18"/>
                <w:szCs w:val="18"/>
              </w:rPr>
              <w:t>la metodología resulta compleja toda vez que solicita una desagregación que supera susta</w:t>
            </w:r>
            <w:r w:rsidR="005778C8">
              <w:rPr>
                <w:rFonts w:ascii="ITC Avant Garde" w:hAnsi="ITC Avant Garde"/>
                <w:sz w:val="18"/>
                <w:szCs w:val="18"/>
              </w:rPr>
              <w:t>n</w:t>
            </w:r>
            <w:r w:rsidR="009E67B3">
              <w:rPr>
                <w:rFonts w:ascii="ITC Avant Garde" w:hAnsi="ITC Avant Garde"/>
                <w:sz w:val="18"/>
                <w:szCs w:val="18"/>
              </w:rPr>
              <w:t>ci</w:t>
            </w:r>
            <w:r w:rsidR="005778C8">
              <w:rPr>
                <w:rFonts w:ascii="ITC Avant Garde" w:hAnsi="ITC Avant Garde"/>
                <w:sz w:val="18"/>
                <w:szCs w:val="18"/>
              </w:rPr>
              <w:t>a</w:t>
            </w:r>
            <w:r w:rsidR="009E67B3">
              <w:rPr>
                <w:rFonts w:ascii="ITC Avant Garde" w:hAnsi="ITC Avant Garde"/>
                <w:sz w:val="18"/>
                <w:szCs w:val="18"/>
              </w:rPr>
              <w:t xml:space="preserve">lmente el nivel de operación de dichas afiliadas, por lo </w:t>
            </w:r>
            <w:r w:rsidRPr="00100006">
              <w:rPr>
                <w:rFonts w:ascii="ITC Avant Garde" w:hAnsi="ITC Avant Garde"/>
                <w:sz w:val="18"/>
                <w:szCs w:val="18"/>
              </w:rPr>
              <w:t xml:space="preserve">que tienen </w:t>
            </w:r>
            <w:r w:rsidR="009E67B3">
              <w:rPr>
                <w:rFonts w:ascii="ITC Avant Garde" w:hAnsi="ITC Avant Garde"/>
                <w:sz w:val="18"/>
                <w:szCs w:val="18"/>
              </w:rPr>
              <w:t xml:space="preserve">dificultades </w:t>
            </w:r>
            <w:r w:rsidRPr="00100006">
              <w:rPr>
                <w:rFonts w:ascii="ITC Avant Garde" w:hAnsi="ITC Avant Garde"/>
                <w:sz w:val="18"/>
                <w:szCs w:val="18"/>
              </w:rPr>
              <w:t xml:space="preserve">para implementar, de manera individual, lo mandatado en el Acuerdo. </w:t>
            </w:r>
          </w:p>
          <w:p w14:paraId="3AFEF2D2" w14:textId="77777777" w:rsidR="009E67B3" w:rsidRDefault="009E67B3" w:rsidP="000B758C">
            <w:pPr>
              <w:jc w:val="both"/>
              <w:rPr>
                <w:rFonts w:ascii="ITC Avant Garde" w:hAnsi="ITC Avant Garde"/>
                <w:sz w:val="18"/>
                <w:szCs w:val="18"/>
              </w:rPr>
            </w:pPr>
          </w:p>
          <w:p w14:paraId="0B992DF2" w14:textId="77777777" w:rsidR="009E67B3" w:rsidRPr="009E67B3" w:rsidRDefault="009E67B3" w:rsidP="009E67B3">
            <w:pPr>
              <w:jc w:val="both"/>
              <w:rPr>
                <w:rFonts w:ascii="ITC Avant Garde" w:hAnsi="ITC Avant Garde"/>
                <w:sz w:val="18"/>
                <w:szCs w:val="18"/>
              </w:rPr>
            </w:pPr>
            <w:r w:rsidRPr="009E67B3">
              <w:rPr>
                <w:rFonts w:ascii="ITC Avant Garde" w:hAnsi="ITC Avant Garde"/>
                <w:sz w:val="18"/>
                <w:szCs w:val="18"/>
              </w:rPr>
              <w:t>Lo anterior, en virtud de que las afiliadas independientes se caracterizan por tener una cobertura limitada, por prestar pocos servicios y tener contenidos propios limitados, lo que deriva en que sus ingresos se obtengan principalmente por la retransmisión de contenidos de terceros y, en algunos casos, por la venta de espacios publicitarios en su zona de cobertura.</w:t>
            </w:r>
          </w:p>
          <w:p w14:paraId="27A3B3E7" w14:textId="77777777" w:rsidR="009E67B3" w:rsidRPr="009E67B3" w:rsidRDefault="009E67B3" w:rsidP="000B758C">
            <w:pPr>
              <w:jc w:val="both"/>
              <w:rPr>
                <w:rFonts w:ascii="ITC Avant Garde" w:hAnsi="ITC Avant Garde"/>
                <w:sz w:val="18"/>
                <w:szCs w:val="18"/>
              </w:rPr>
            </w:pPr>
          </w:p>
          <w:p w14:paraId="4E48E087" w14:textId="58C5FBEB" w:rsidR="000B758C" w:rsidRDefault="000B758C" w:rsidP="000B758C">
            <w:pPr>
              <w:jc w:val="both"/>
              <w:rPr>
                <w:rFonts w:ascii="ITC Avant Garde" w:hAnsi="ITC Avant Garde"/>
                <w:sz w:val="18"/>
                <w:szCs w:val="18"/>
              </w:rPr>
            </w:pPr>
            <w:r>
              <w:rPr>
                <w:rFonts w:ascii="ITC Avant Garde" w:hAnsi="ITC Avant Garde"/>
                <w:sz w:val="18"/>
                <w:szCs w:val="18"/>
              </w:rPr>
              <w:t xml:space="preserve">Por lo anterior, </w:t>
            </w:r>
            <w:r w:rsidR="00E071D8">
              <w:rPr>
                <w:rFonts w:ascii="ITC Avant Garde" w:hAnsi="ITC Avant Garde"/>
                <w:sz w:val="18"/>
                <w:szCs w:val="18"/>
              </w:rPr>
              <w:t>en el “</w:t>
            </w:r>
            <w:r w:rsidR="00E071D8" w:rsidRPr="00E071D8">
              <w:rPr>
                <w:rFonts w:ascii="ITC Avant Garde" w:hAnsi="ITC Avant Garde"/>
                <w:sz w:val="18"/>
                <w:szCs w:val="18"/>
              </w:rPr>
              <w:t xml:space="preserve">ANTEPROYECTO DE </w:t>
            </w:r>
            <w:r w:rsidR="00B30CDF" w:rsidRPr="00B30CDF">
              <w:rPr>
                <w:rFonts w:ascii="ITC Avant Garde" w:hAnsi="ITC Avant Garde"/>
                <w:sz w:val="18"/>
                <w:szCs w:val="18"/>
              </w:rPr>
              <w:t xml:space="preserve">ACUERDO  MEDIANTE EL CUAL EL PLENO DEL INSTITUTO FEDERAL DE TELECOMUNICACIONES </w:t>
            </w:r>
            <w:r w:rsidR="00E071D8" w:rsidRPr="00E071D8">
              <w:rPr>
                <w:rFonts w:ascii="ITC Avant Garde" w:hAnsi="ITC Avant Garde"/>
                <w:sz w:val="18"/>
                <w:szCs w:val="18"/>
              </w:rPr>
              <w:t>MODIFICA LA METODOLOGÍA DE SEPARACIÓN CONTABLE APLICABLE A LOS AGENTES ECONÓMICOS PREPONDERANTES, AGENTES DECLARADOS CON PODER SUSTANCIAL DE MERCADO Y REDES COMPARTIDAS MAYORISTAS, APROBADA MEDIANTE ACUERDO P/IFT/191217/914 DE FECHA 19 DE DICIEMBRE DE 201</w:t>
            </w:r>
            <w:r w:rsidR="001738E6">
              <w:rPr>
                <w:rFonts w:ascii="ITC Avant Garde" w:hAnsi="ITC Avant Garde"/>
                <w:sz w:val="18"/>
                <w:szCs w:val="18"/>
              </w:rPr>
              <w:t>7</w:t>
            </w:r>
            <w:r w:rsidR="00E071D8">
              <w:rPr>
                <w:rFonts w:ascii="ITC Avant Garde" w:hAnsi="ITC Avant Garde"/>
                <w:sz w:val="18"/>
                <w:szCs w:val="18"/>
              </w:rPr>
              <w:t xml:space="preserve">” </w:t>
            </w:r>
            <w:r w:rsidR="004364EF" w:rsidRPr="004F23D9">
              <w:rPr>
                <w:rFonts w:ascii="ITC Avant Garde" w:hAnsi="ITC Avant Garde"/>
                <w:sz w:val="18"/>
                <w:szCs w:val="18"/>
              </w:rPr>
              <w:t xml:space="preserve">(en adelante, el </w:t>
            </w:r>
            <w:r w:rsidR="004364EF">
              <w:rPr>
                <w:rFonts w:ascii="ITC Avant Garde" w:hAnsi="ITC Avant Garde"/>
                <w:sz w:val="18"/>
                <w:szCs w:val="18"/>
              </w:rPr>
              <w:t xml:space="preserve">“Anteproyecto”), </w:t>
            </w:r>
            <w:r w:rsidR="00E071D8">
              <w:rPr>
                <w:rFonts w:ascii="ITC Avant Garde" w:hAnsi="ITC Avant Garde"/>
                <w:sz w:val="18"/>
                <w:szCs w:val="18"/>
              </w:rPr>
              <w:t xml:space="preserve">se </w:t>
            </w:r>
            <w:r w:rsidR="00407535">
              <w:rPr>
                <w:rFonts w:ascii="ITC Avant Garde" w:hAnsi="ITC Avant Garde"/>
                <w:sz w:val="18"/>
                <w:szCs w:val="18"/>
              </w:rPr>
              <w:t xml:space="preserve">propone </w:t>
            </w:r>
            <w:r w:rsidR="00CD6CA0">
              <w:rPr>
                <w:rFonts w:ascii="ITC Avant Garde" w:hAnsi="ITC Avant Garde"/>
                <w:sz w:val="18"/>
                <w:szCs w:val="18"/>
              </w:rPr>
              <w:t>adecuar</w:t>
            </w:r>
            <w:r w:rsidRPr="000B758C">
              <w:rPr>
                <w:rFonts w:ascii="ITC Avant Garde" w:hAnsi="ITC Avant Garde"/>
                <w:sz w:val="18"/>
                <w:szCs w:val="18"/>
              </w:rPr>
              <w:t xml:space="preserve"> la carga regulatoria para </w:t>
            </w:r>
            <w:r w:rsidR="00E071D8">
              <w:rPr>
                <w:rFonts w:ascii="ITC Avant Garde" w:hAnsi="ITC Avant Garde"/>
                <w:sz w:val="18"/>
                <w:szCs w:val="18"/>
              </w:rPr>
              <w:t xml:space="preserve">las afiliadas independientes del </w:t>
            </w:r>
            <w:r w:rsidR="00407535">
              <w:rPr>
                <w:rFonts w:ascii="ITC Avant Garde" w:hAnsi="ITC Avant Garde"/>
                <w:sz w:val="18"/>
                <w:szCs w:val="18"/>
              </w:rPr>
              <w:t>AEPR a fin</w:t>
            </w:r>
            <w:r w:rsidR="00E071D8">
              <w:rPr>
                <w:rFonts w:ascii="ITC Avant Garde" w:hAnsi="ITC Avant Garde"/>
                <w:sz w:val="18"/>
                <w:szCs w:val="18"/>
              </w:rPr>
              <w:t xml:space="preserve"> </w:t>
            </w:r>
            <w:r w:rsidR="00EC3BDA">
              <w:rPr>
                <w:rFonts w:ascii="ITC Avant Garde" w:hAnsi="ITC Avant Garde"/>
                <w:sz w:val="18"/>
                <w:szCs w:val="18"/>
              </w:rPr>
              <w:t>que resulte proporcional</w:t>
            </w:r>
            <w:r w:rsidR="00F121C9">
              <w:rPr>
                <w:rFonts w:ascii="ITC Avant Garde" w:hAnsi="ITC Avant Garde"/>
                <w:sz w:val="18"/>
                <w:szCs w:val="18"/>
              </w:rPr>
              <w:t xml:space="preserve"> a su operación</w:t>
            </w:r>
            <w:r w:rsidR="00EC3BDA">
              <w:rPr>
                <w:rFonts w:ascii="ITC Avant Garde" w:hAnsi="ITC Avant Garde"/>
                <w:sz w:val="18"/>
                <w:szCs w:val="18"/>
              </w:rPr>
              <w:t xml:space="preserve">, sin que ello </w:t>
            </w:r>
            <w:r w:rsidR="00F121C9">
              <w:rPr>
                <w:rFonts w:ascii="ITC Avant Garde" w:hAnsi="ITC Avant Garde"/>
                <w:sz w:val="18"/>
                <w:szCs w:val="18"/>
              </w:rPr>
              <w:t xml:space="preserve">tenga un </w:t>
            </w:r>
            <w:r w:rsidR="00F121C9" w:rsidRPr="00F121C9">
              <w:rPr>
                <w:rFonts w:ascii="ITC Avant Garde" w:hAnsi="ITC Avant Garde"/>
                <w:sz w:val="18"/>
                <w:szCs w:val="18"/>
              </w:rPr>
              <w:t>impacto en los objetivos planteados en el Acuerdo</w:t>
            </w:r>
            <w:r w:rsidRPr="000B758C">
              <w:rPr>
                <w:rFonts w:ascii="ITC Avant Garde" w:hAnsi="ITC Avant Garde"/>
                <w:sz w:val="18"/>
                <w:szCs w:val="18"/>
              </w:rPr>
              <w:t>.</w:t>
            </w:r>
          </w:p>
          <w:p w14:paraId="5CDA82F8" w14:textId="77777777" w:rsidR="000B758C" w:rsidRPr="000B758C" w:rsidRDefault="000B758C" w:rsidP="000B758C">
            <w:pPr>
              <w:jc w:val="both"/>
              <w:rPr>
                <w:rFonts w:ascii="ITC Avant Garde" w:hAnsi="ITC Avant Garde"/>
                <w:sz w:val="18"/>
                <w:szCs w:val="18"/>
              </w:rPr>
            </w:pPr>
          </w:p>
          <w:p w14:paraId="5F007478" w14:textId="6EADEC59" w:rsidR="00EE47AA" w:rsidRDefault="002D221A" w:rsidP="00EE47AA">
            <w:pPr>
              <w:jc w:val="both"/>
              <w:rPr>
                <w:rFonts w:ascii="ITC Avant Garde" w:hAnsi="ITC Avant Garde"/>
                <w:sz w:val="18"/>
                <w:szCs w:val="18"/>
              </w:rPr>
            </w:pPr>
            <w:r>
              <w:rPr>
                <w:rFonts w:ascii="ITC Avant Garde" w:hAnsi="ITC Avant Garde"/>
                <w:sz w:val="18"/>
                <w:szCs w:val="18"/>
              </w:rPr>
              <w:t>La propuesta de modificación</w:t>
            </w:r>
            <w:r w:rsidR="00EE47AA" w:rsidRPr="00EE47AA">
              <w:rPr>
                <w:rFonts w:ascii="ITC Avant Garde" w:hAnsi="ITC Avant Garde"/>
                <w:sz w:val="18"/>
                <w:szCs w:val="18"/>
              </w:rPr>
              <w:t xml:space="preserve"> consiste en establecer formatos más simples para la presentación de la información</w:t>
            </w:r>
            <w:r w:rsidR="00085A25">
              <w:rPr>
                <w:rFonts w:ascii="ITC Avant Garde" w:hAnsi="ITC Avant Garde"/>
                <w:sz w:val="18"/>
                <w:szCs w:val="18"/>
              </w:rPr>
              <w:t xml:space="preserve"> de separación contable</w:t>
            </w:r>
            <w:r w:rsidR="00EE47AA" w:rsidRPr="00EE47AA">
              <w:rPr>
                <w:rFonts w:ascii="ITC Avant Garde" w:hAnsi="ITC Avant Garde"/>
                <w:sz w:val="18"/>
                <w:szCs w:val="18"/>
              </w:rPr>
              <w:t xml:space="preserve">, </w:t>
            </w:r>
            <w:r>
              <w:rPr>
                <w:rFonts w:ascii="ITC Avant Garde" w:hAnsi="ITC Avant Garde"/>
                <w:sz w:val="18"/>
                <w:szCs w:val="18"/>
              </w:rPr>
              <w:t xml:space="preserve">los cuales </w:t>
            </w:r>
            <w:r w:rsidR="00EE47AA" w:rsidRPr="00EE47AA">
              <w:rPr>
                <w:rFonts w:ascii="ITC Avant Garde" w:hAnsi="ITC Avant Garde"/>
                <w:sz w:val="18"/>
                <w:szCs w:val="18"/>
              </w:rPr>
              <w:t>ya se emplean de manera interna y habitual en las operaciones de las afiliadas independientes.</w:t>
            </w:r>
          </w:p>
          <w:p w14:paraId="059C953D" w14:textId="77777777" w:rsidR="00EE47AA" w:rsidRPr="00EE47AA" w:rsidRDefault="00EE47AA" w:rsidP="00EE47AA">
            <w:pPr>
              <w:jc w:val="both"/>
              <w:rPr>
                <w:rFonts w:ascii="ITC Avant Garde" w:hAnsi="ITC Avant Garde"/>
                <w:sz w:val="18"/>
                <w:szCs w:val="18"/>
              </w:rPr>
            </w:pPr>
          </w:p>
          <w:p w14:paraId="2F810C9E" w14:textId="77777777" w:rsidR="00EE47AA" w:rsidRPr="00EE47AA" w:rsidRDefault="00EE47AA" w:rsidP="00EE47AA">
            <w:pPr>
              <w:jc w:val="both"/>
              <w:rPr>
                <w:rFonts w:ascii="ITC Avant Garde" w:hAnsi="ITC Avant Garde"/>
                <w:sz w:val="18"/>
                <w:szCs w:val="18"/>
              </w:rPr>
            </w:pPr>
            <w:r w:rsidRPr="00EE47AA">
              <w:rPr>
                <w:rFonts w:ascii="ITC Avant Garde" w:hAnsi="ITC Avant Garde"/>
                <w:sz w:val="18"/>
                <w:szCs w:val="18"/>
              </w:rPr>
              <w:t>De manera específica para las afiliadas independientes, se propone adecuar los requerimientos de información contable mediante la entrega de los siguientes formatos:</w:t>
            </w:r>
          </w:p>
          <w:p w14:paraId="04CDC7E4" w14:textId="77777777" w:rsidR="00EE47AA" w:rsidRPr="00777168" w:rsidRDefault="00EE47AA" w:rsidP="00777168">
            <w:pPr>
              <w:pStyle w:val="Prrafodelista"/>
              <w:numPr>
                <w:ilvl w:val="0"/>
                <w:numId w:val="15"/>
              </w:numPr>
              <w:jc w:val="both"/>
              <w:rPr>
                <w:rFonts w:ascii="ITC Avant Garde" w:hAnsi="ITC Avant Garde"/>
                <w:sz w:val="18"/>
                <w:szCs w:val="18"/>
              </w:rPr>
            </w:pPr>
            <w:r w:rsidRPr="00777168">
              <w:rPr>
                <w:rFonts w:ascii="ITC Avant Garde" w:hAnsi="ITC Avant Garde"/>
                <w:sz w:val="18"/>
                <w:szCs w:val="18"/>
              </w:rPr>
              <w:t>Estado de pérdidas y ganancias, y</w:t>
            </w:r>
          </w:p>
          <w:p w14:paraId="657A3C09" w14:textId="77777777" w:rsidR="00EE47AA" w:rsidRPr="00777168" w:rsidRDefault="00EE47AA" w:rsidP="00777168">
            <w:pPr>
              <w:pStyle w:val="Prrafodelista"/>
              <w:numPr>
                <w:ilvl w:val="0"/>
                <w:numId w:val="15"/>
              </w:numPr>
              <w:jc w:val="both"/>
              <w:rPr>
                <w:rFonts w:ascii="ITC Avant Garde" w:hAnsi="ITC Avant Garde"/>
                <w:sz w:val="18"/>
                <w:szCs w:val="18"/>
              </w:rPr>
            </w:pPr>
            <w:r w:rsidRPr="00777168">
              <w:rPr>
                <w:rFonts w:ascii="ITC Avant Garde" w:hAnsi="ITC Avant Garde"/>
                <w:sz w:val="18"/>
                <w:szCs w:val="18"/>
              </w:rPr>
              <w:t>Balanza de activos y pasivos.</w:t>
            </w:r>
          </w:p>
          <w:p w14:paraId="4BE03D37" w14:textId="77777777" w:rsidR="002D221A" w:rsidRDefault="002D221A" w:rsidP="000B758C">
            <w:pPr>
              <w:jc w:val="both"/>
              <w:rPr>
                <w:rFonts w:ascii="ITC Avant Garde" w:hAnsi="ITC Avant Garde"/>
                <w:sz w:val="18"/>
                <w:szCs w:val="18"/>
              </w:rPr>
            </w:pPr>
          </w:p>
          <w:p w14:paraId="24763F3B" w14:textId="1CDE8346" w:rsidR="004F23D9" w:rsidRPr="00777168" w:rsidRDefault="002D221A" w:rsidP="000B758C">
            <w:pPr>
              <w:jc w:val="both"/>
              <w:rPr>
                <w:rFonts w:ascii="ITC Avant Garde" w:hAnsi="ITC Avant Garde"/>
                <w:sz w:val="18"/>
                <w:szCs w:val="18"/>
                <w:lang w:val="es-ES"/>
              </w:rPr>
            </w:pPr>
            <w:r w:rsidRPr="002D221A">
              <w:rPr>
                <w:rFonts w:ascii="ITC Avant Garde" w:hAnsi="ITC Avant Garde"/>
                <w:sz w:val="18"/>
                <w:szCs w:val="18"/>
              </w:rPr>
              <w:t>En cuanto al logro de los objetivos planteados en al Acuerdo, cabe señalar que la adecuación de la carga regulatoria para las afiliadas independientes del AEPR, mediante la entrega de formatos más simples, no tendría un impacto</w:t>
            </w:r>
            <w:r w:rsidR="00085A25">
              <w:rPr>
                <w:rFonts w:ascii="ITC Avant Garde" w:hAnsi="ITC Avant Garde"/>
                <w:sz w:val="18"/>
                <w:szCs w:val="18"/>
              </w:rPr>
              <w:t xml:space="preserve"> negativo</w:t>
            </w:r>
            <w:r w:rsidRPr="002D221A">
              <w:rPr>
                <w:rFonts w:ascii="ITC Avant Garde" w:hAnsi="ITC Avant Garde"/>
                <w:sz w:val="18"/>
                <w:szCs w:val="18"/>
              </w:rPr>
              <w:t xml:space="preserve">. </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51C44CD5" w14:textId="77777777" w:rsidTr="00B41497">
        <w:tc>
          <w:tcPr>
            <w:tcW w:w="8828" w:type="dxa"/>
          </w:tcPr>
          <w:p w14:paraId="176E208E" w14:textId="77777777"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15AC3BE2" w14:textId="77777777" w:rsidTr="00B41497">
              <w:tc>
                <w:tcPr>
                  <w:tcW w:w="1462" w:type="dxa"/>
                  <w:shd w:val="clear" w:color="auto" w:fill="A8D08D" w:themeFill="accent6" w:themeFillTint="99"/>
                </w:tcPr>
                <w:p w14:paraId="76E3A134"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1665738B" w14:textId="77777777" w:rsidTr="00B41497">
              <w:tc>
                <w:tcPr>
                  <w:tcW w:w="1462" w:type="dxa"/>
                </w:tcPr>
                <w:p w14:paraId="0B820779" w14:textId="77777777"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 No (</w:t>
                  </w:r>
                  <w:r w:rsidR="00926588">
                    <w:rPr>
                      <w:rFonts w:ascii="ITC Avant Garde" w:hAnsi="ITC Avant Garde"/>
                      <w:sz w:val="18"/>
                      <w:szCs w:val="18"/>
                    </w:rPr>
                    <w:t>X</w:t>
                  </w:r>
                  <w:r w:rsidRPr="00451B7D">
                    <w:rPr>
                      <w:rFonts w:ascii="ITC Avant Garde" w:hAnsi="ITC Avant Garde"/>
                      <w:sz w:val="18"/>
                      <w:szCs w:val="18"/>
                    </w:rPr>
                    <w:t xml:space="preserve"> )</w:t>
                  </w:r>
                </w:p>
              </w:tc>
            </w:tr>
          </w:tbl>
          <w:p w14:paraId="4D0E5304" w14:textId="77777777" w:rsidR="00B41497" w:rsidRPr="00451B7D" w:rsidRDefault="00B41497" w:rsidP="00B41497">
            <w:pPr>
              <w:jc w:val="both"/>
              <w:rPr>
                <w:rFonts w:ascii="ITC Avant Garde" w:hAnsi="ITC Avant Garde"/>
                <w:sz w:val="18"/>
                <w:szCs w:val="18"/>
              </w:rPr>
            </w:pPr>
          </w:p>
          <w:p w14:paraId="3993B125" w14:textId="77777777" w:rsidR="00B41497" w:rsidRPr="00451B7D" w:rsidRDefault="00B41497" w:rsidP="00B41497">
            <w:pPr>
              <w:jc w:val="both"/>
              <w:rPr>
                <w:rFonts w:ascii="ITC Avant Garde" w:hAnsi="ITC Avant Garde"/>
                <w:sz w:val="18"/>
                <w:szCs w:val="18"/>
              </w:rPr>
            </w:pPr>
          </w:p>
          <w:p w14:paraId="71FFB979" w14:textId="77777777" w:rsidR="00B41497" w:rsidRPr="00451B7D" w:rsidRDefault="00B41497" w:rsidP="00B41497">
            <w:pPr>
              <w:jc w:val="both"/>
              <w:rPr>
                <w:rFonts w:ascii="ITC Avant Garde" w:hAnsi="ITC Avant Garde"/>
                <w:sz w:val="18"/>
                <w:szCs w:val="18"/>
              </w:rPr>
            </w:pPr>
          </w:p>
          <w:p w14:paraId="7A7B3969" w14:textId="77777777" w:rsidR="00B41497" w:rsidRPr="00451B7D" w:rsidRDefault="00B41497" w:rsidP="00B41497">
            <w:pPr>
              <w:jc w:val="both"/>
              <w:rPr>
                <w:rFonts w:ascii="ITC Avant Garde" w:hAnsi="ITC Avant Garde"/>
                <w:sz w:val="18"/>
                <w:szCs w:val="18"/>
              </w:rPr>
            </w:pPr>
          </w:p>
          <w:p w14:paraId="6456650F" w14:textId="77777777" w:rsidR="000C16BC" w:rsidRDefault="000C16BC" w:rsidP="00B41497">
            <w:pPr>
              <w:jc w:val="both"/>
              <w:rPr>
                <w:rFonts w:ascii="ITC Avant Garde" w:hAnsi="ITC Avant Garde"/>
                <w:b/>
                <w:sz w:val="18"/>
                <w:szCs w:val="18"/>
              </w:rPr>
            </w:pPr>
          </w:p>
          <w:p w14:paraId="616FCA49" w14:textId="77777777"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8B04A8F"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72B49382" w14:textId="77777777" w:rsidTr="00596FDE">
              <w:tc>
                <w:tcPr>
                  <w:tcW w:w="8602" w:type="dxa"/>
                </w:tcPr>
                <w:p w14:paraId="3E2902FA" w14:textId="77777777" w:rsidR="00596FDE" w:rsidRPr="00451B7D" w:rsidRDefault="00596FDE" w:rsidP="009C714B">
                  <w:pPr>
                    <w:framePr w:hSpace="141" w:wrap="around" w:vAnchor="text" w:hAnchor="margin" w:y="356"/>
                    <w:jc w:val="both"/>
                    <w:rPr>
                      <w:rFonts w:ascii="ITC Avant Garde" w:hAnsi="ITC Avant Garde"/>
                      <w:sz w:val="18"/>
                      <w:szCs w:val="18"/>
                    </w:rPr>
                  </w:pPr>
                </w:p>
                <w:p w14:paraId="4663FF0C" w14:textId="77777777" w:rsidR="00596FDE" w:rsidRDefault="00596FDE" w:rsidP="009C714B">
                  <w:pPr>
                    <w:framePr w:hSpace="141" w:wrap="around" w:vAnchor="text" w:hAnchor="margin" w:y="356"/>
                    <w:jc w:val="both"/>
                    <w:rPr>
                      <w:rFonts w:ascii="ITC Avant Garde" w:hAnsi="ITC Avant Garde"/>
                      <w:sz w:val="18"/>
                      <w:szCs w:val="18"/>
                    </w:rPr>
                  </w:pPr>
                </w:p>
                <w:p w14:paraId="053C3B1E" w14:textId="77777777" w:rsidR="000C16BC" w:rsidRPr="00451B7D" w:rsidRDefault="000C16BC" w:rsidP="009C714B">
                  <w:pPr>
                    <w:framePr w:hSpace="141" w:wrap="around" w:vAnchor="text" w:hAnchor="margin" w:y="356"/>
                    <w:jc w:val="both"/>
                    <w:rPr>
                      <w:rFonts w:ascii="ITC Avant Garde" w:hAnsi="ITC Avant Garde"/>
                      <w:sz w:val="18"/>
                      <w:szCs w:val="18"/>
                    </w:rPr>
                  </w:pPr>
                </w:p>
              </w:tc>
            </w:tr>
          </w:tbl>
          <w:p w14:paraId="148BE97A" w14:textId="77777777" w:rsidR="00596FDE" w:rsidRPr="00451B7D" w:rsidRDefault="00596FDE" w:rsidP="00B41497">
            <w:pPr>
              <w:jc w:val="both"/>
              <w:rPr>
                <w:rFonts w:ascii="ITC Avant Garde" w:hAnsi="ITC Avant Garde"/>
                <w:sz w:val="18"/>
                <w:szCs w:val="18"/>
              </w:rPr>
            </w:pPr>
          </w:p>
          <w:p w14:paraId="56889B8D" w14:textId="77777777" w:rsidR="009656B1" w:rsidRPr="00451B7D" w:rsidRDefault="009656B1" w:rsidP="00B41497">
            <w:pPr>
              <w:jc w:val="both"/>
              <w:rPr>
                <w:rFonts w:ascii="ITC Avant Garde" w:hAnsi="ITC Avant Garde"/>
                <w:sz w:val="18"/>
                <w:szCs w:val="18"/>
              </w:rPr>
            </w:pPr>
          </w:p>
        </w:tc>
      </w:tr>
    </w:tbl>
    <w:p w14:paraId="72C474B2" w14:textId="77777777" w:rsidR="001932FC" w:rsidRPr="00451B7D" w:rsidRDefault="001932FC" w:rsidP="001932FC">
      <w:pPr>
        <w:jc w:val="both"/>
        <w:rPr>
          <w:rFonts w:ascii="ITC Avant Garde" w:hAnsi="ITC Avant Garde"/>
          <w:sz w:val="18"/>
          <w:szCs w:val="18"/>
        </w:rPr>
      </w:pPr>
    </w:p>
    <w:p w14:paraId="75BDD163" w14:textId="77777777" w:rsidR="00B41497" w:rsidRPr="00451B7D" w:rsidRDefault="00B41497" w:rsidP="001932FC">
      <w:pPr>
        <w:jc w:val="both"/>
        <w:rPr>
          <w:rFonts w:ascii="ITC Avant Garde" w:hAnsi="ITC Avant Garde"/>
          <w:sz w:val="18"/>
          <w:szCs w:val="18"/>
        </w:rPr>
      </w:pPr>
    </w:p>
    <w:p w14:paraId="0E16C591"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1DC02C0D" w14:textId="77777777" w:rsidTr="00EC3BDA">
        <w:tc>
          <w:tcPr>
            <w:tcW w:w="8828" w:type="dxa"/>
          </w:tcPr>
          <w:p w14:paraId="1AA6163B" w14:textId="77777777" w:rsidR="00BE7D1C" w:rsidRPr="00451B7D" w:rsidRDefault="00BE7D1C" w:rsidP="00EC3BD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70AFA501" w14:textId="77777777" w:rsidR="00BE7D1C" w:rsidRPr="00451B7D" w:rsidRDefault="00BE7D1C" w:rsidP="00EC3BDA">
            <w:pPr>
              <w:jc w:val="both"/>
              <w:rPr>
                <w:rFonts w:ascii="ITC Avant Garde" w:hAnsi="ITC Avant Garde"/>
                <w:sz w:val="18"/>
                <w:szCs w:val="18"/>
              </w:rPr>
            </w:pPr>
            <w:r w:rsidRPr="00EF3C0A">
              <w:rPr>
                <w:rFonts w:ascii="ITC Avant Garde" w:hAnsi="ITC Avant Garde"/>
                <w:sz w:val="18"/>
                <w:szCs w:val="18"/>
              </w:rPr>
              <w:t>Seleccione las alternativas aplicables y, en su c</w:t>
            </w:r>
            <w:r w:rsidR="004E0AA9" w:rsidRPr="00EF3C0A">
              <w:rPr>
                <w:rFonts w:ascii="ITC Avant Garde" w:hAnsi="ITC Avant Garde"/>
                <w:sz w:val="18"/>
                <w:szCs w:val="18"/>
              </w:rPr>
              <w:t>aso, seleccione y describa</w:t>
            </w:r>
            <w:r w:rsidR="00E046F4" w:rsidRPr="00EF3C0A">
              <w:rPr>
                <w:rFonts w:ascii="ITC Avant Garde" w:hAnsi="ITC Avant Garde"/>
                <w:sz w:val="18"/>
                <w:szCs w:val="18"/>
              </w:rPr>
              <w:t xml:space="preserve"> otra</w:t>
            </w:r>
            <w:r w:rsidR="004E0AA9" w:rsidRPr="00EF3C0A">
              <w:rPr>
                <w:rFonts w:ascii="ITC Avant Garde" w:hAnsi="ITC Avant Garde"/>
                <w:sz w:val="18"/>
                <w:szCs w:val="18"/>
              </w:rPr>
              <w:t>.</w:t>
            </w:r>
            <w:r w:rsidRPr="00EF3C0A">
              <w:rPr>
                <w:rFonts w:ascii="ITC Avant Garde" w:hAnsi="ITC Avant Garde"/>
                <w:sz w:val="18"/>
                <w:szCs w:val="18"/>
              </w:rPr>
              <w:t xml:space="preserve"> </w:t>
            </w:r>
            <w:r w:rsidR="004E0AA9" w:rsidRPr="00EF3C0A">
              <w:rPr>
                <w:rFonts w:ascii="ITC Avant Garde" w:hAnsi="ITC Avant Garde"/>
                <w:sz w:val="18"/>
                <w:szCs w:val="18"/>
              </w:rPr>
              <w:t>C</w:t>
            </w:r>
            <w:r w:rsidRPr="00EF3C0A">
              <w:rPr>
                <w:rFonts w:ascii="ITC Avant Garde" w:hAnsi="ITC Avant Garde"/>
                <w:sz w:val="18"/>
                <w:szCs w:val="18"/>
              </w:rPr>
              <w:t xml:space="preserve">onsidere al menos </w:t>
            </w:r>
            <w:r w:rsidR="004E0AA9" w:rsidRPr="00EF3C0A">
              <w:rPr>
                <w:rFonts w:ascii="ITC Avant Garde" w:hAnsi="ITC Avant Garde"/>
                <w:sz w:val="18"/>
                <w:szCs w:val="18"/>
              </w:rPr>
              <w:t>dos</w:t>
            </w:r>
            <w:r w:rsidRPr="00EF3C0A">
              <w:rPr>
                <w:rFonts w:ascii="ITC Avant Garde" w:hAnsi="ITC Avant Garde"/>
                <w:sz w:val="18"/>
                <w:szCs w:val="18"/>
              </w:rPr>
              <w:t xml:space="preserve"> opciones entre las cuales se encuentre la opción de no intervención.</w:t>
            </w:r>
            <w:r w:rsidR="00FB58BA" w:rsidRPr="00EF3C0A">
              <w:rPr>
                <w:rFonts w:ascii="ITC Avant Garde" w:hAnsi="ITC Avant Garde"/>
                <w:sz w:val="18"/>
                <w:szCs w:val="18"/>
              </w:rPr>
              <w:t xml:space="preserve"> Agregue las filas que considere necesarias.</w:t>
            </w:r>
          </w:p>
          <w:p w14:paraId="1D5A13D2" w14:textId="77777777" w:rsidR="00BE7D1C" w:rsidRPr="00451B7D" w:rsidRDefault="00BE7D1C" w:rsidP="00EC3BD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60DF22D4" w14:textId="77777777" w:rsidTr="00EC3BDA">
              <w:tc>
                <w:tcPr>
                  <w:tcW w:w="1876" w:type="dxa"/>
                  <w:tcBorders>
                    <w:bottom w:val="single" w:sz="12" w:space="0" w:color="auto"/>
                  </w:tcBorders>
                  <w:shd w:val="clear" w:color="auto" w:fill="A8D08D" w:themeFill="accent6" w:themeFillTint="99"/>
                </w:tcPr>
                <w:p w14:paraId="23B72DE4" w14:textId="77777777" w:rsidR="00BE7D1C" w:rsidRPr="00451B7D" w:rsidRDefault="00BE7D1C" w:rsidP="00EC3BD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45684C0F" w14:textId="77777777" w:rsidR="00BE7D1C" w:rsidRPr="00451B7D" w:rsidRDefault="00BE7D1C" w:rsidP="00EC3BD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4D3AB92F" w14:textId="77777777" w:rsidR="00BE7D1C" w:rsidRPr="00451B7D" w:rsidRDefault="00BE7D1C" w:rsidP="00EC3BD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30E9B9A6" w14:textId="77777777" w:rsidTr="00EC3BD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B48084A" w14:textId="77777777" w:rsidR="00BE7D1C" w:rsidRPr="00451B7D" w:rsidRDefault="00A36E75" w:rsidP="00EC3BD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4572E097" w14:textId="77777777" w:rsidR="00BE7D1C" w:rsidRPr="00451B7D" w:rsidRDefault="00A36E75" w:rsidP="001B035F">
                  <w:pPr>
                    <w:jc w:val="both"/>
                    <w:rPr>
                      <w:rFonts w:ascii="ITC Avant Garde" w:hAnsi="ITC Avant Garde"/>
                      <w:sz w:val="18"/>
                      <w:szCs w:val="18"/>
                    </w:rPr>
                  </w:pPr>
                  <w:r>
                    <w:rPr>
                      <w:rFonts w:ascii="ITC Avant Garde" w:hAnsi="ITC Avant Garde"/>
                      <w:sz w:val="18"/>
                      <w:szCs w:val="18"/>
                    </w:rPr>
                    <w:t>No emitir el empleo de formatos simplificados.</w:t>
                  </w:r>
                </w:p>
              </w:tc>
              <w:tc>
                <w:tcPr>
                  <w:tcW w:w="3969" w:type="dxa"/>
                </w:tcPr>
                <w:p w14:paraId="631ED54C" w14:textId="798FE4B3" w:rsidR="00BE7D1C" w:rsidRPr="00451B7D" w:rsidRDefault="005C06CB" w:rsidP="001738E6">
                  <w:pPr>
                    <w:jc w:val="both"/>
                    <w:rPr>
                      <w:rFonts w:ascii="ITC Avant Garde" w:hAnsi="ITC Avant Garde"/>
                      <w:sz w:val="18"/>
                      <w:szCs w:val="18"/>
                    </w:rPr>
                  </w:pPr>
                  <w:r>
                    <w:rPr>
                      <w:rFonts w:ascii="ITC Avant Garde" w:hAnsi="ITC Avant Garde"/>
                      <w:sz w:val="18"/>
                      <w:szCs w:val="18"/>
                    </w:rPr>
                    <w:t xml:space="preserve">Se mantendría una regulación que </w:t>
                  </w:r>
                  <w:r w:rsidR="001B035F">
                    <w:rPr>
                      <w:rFonts w:ascii="ITC Avant Garde" w:hAnsi="ITC Avant Garde"/>
                      <w:sz w:val="18"/>
                      <w:szCs w:val="18"/>
                    </w:rPr>
                    <w:t>resulta poco proporcional</w:t>
                  </w:r>
                  <w:r>
                    <w:rPr>
                      <w:rFonts w:ascii="ITC Avant Garde" w:hAnsi="ITC Avant Garde"/>
                      <w:sz w:val="18"/>
                      <w:szCs w:val="18"/>
                    </w:rPr>
                    <w:t xml:space="preserve"> </w:t>
                  </w:r>
                  <w:r w:rsidR="00CD639C">
                    <w:rPr>
                      <w:rFonts w:ascii="ITC Avant Garde" w:hAnsi="ITC Avant Garde"/>
                      <w:sz w:val="18"/>
                      <w:szCs w:val="18"/>
                    </w:rPr>
                    <w:t>p</w:t>
                  </w:r>
                  <w:r w:rsidR="001B035F">
                    <w:rPr>
                      <w:rFonts w:ascii="ITC Avant Garde" w:hAnsi="ITC Avant Garde"/>
                      <w:sz w:val="18"/>
                      <w:szCs w:val="18"/>
                    </w:rPr>
                    <w:t xml:space="preserve">ara </w:t>
                  </w:r>
                  <w:r w:rsidR="001738E6">
                    <w:rPr>
                      <w:rFonts w:ascii="ITC Avant Garde" w:hAnsi="ITC Avant Garde"/>
                      <w:sz w:val="18"/>
                      <w:szCs w:val="18"/>
                    </w:rPr>
                    <w:t xml:space="preserve">las afiliadas independientes que forman parte del </w:t>
                  </w:r>
                  <w:r w:rsidR="001B035F">
                    <w:rPr>
                      <w:rFonts w:ascii="ITC Avant Garde" w:hAnsi="ITC Avant Garde"/>
                      <w:sz w:val="18"/>
                      <w:szCs w:val="18"/>
                    </w:rPr>
                    <w:t>agente económico preponderante en el sector de radiodifusión</w:t>
                  </w:r>
                  <w:r w:rsidR="00164398">
                    <w:rPr>
                      <w:rFonts w:ascii="ITC Avant Garde" w:hAnsi="ITC Avant Garde"/>
                      <w:sz w:val="18"/>
                      <w:szCs w:val="18"/>
                    </w:rPr>
                    <w:t>, lo cual podría derivar en incumplimientos de la obligación y como consecuencia las sanciones previstas en el Acuerdo y en la Ley Federal de Telecomunicaciones y Radiodifusión.</w:t>
                  </w:r>
                </w:p>
              </w:tc>
            </w:tr>
            <w:tr w:rsidR="00BE7D1C" w:rsidRPr="00451B7D" w14:paraId="43C05288" w14:textId="77777777" w:rsidTr="00EC3BDA">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183E482" w14:textId="77777777" w:rsidR="00BE7D1C" w:rsidRPr="00451B7D" w:rsidRDefault="00CD639C" w:rsidP="00EC3BD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0BE2027B" w14:textId="77777777" w:rsidR="00BE7D1C" w:rsidRPr="00451B7D" w:rsidRDefault="00993C6E" w:rsidP="00993C6E">
                  <w:pPr>
                    <w:jc w:val="both"/>
                    <w:rPr>
                      <w:rFonts w:ascii="ITC Avant Garde" w:hAnsi="ITC Avant Garde"/>
                      <w:sz w:val="18"/>
                      <w:szCs w:val="18"/>
                    </w:rPr>
                  </w:pPr>
                  <w:r>
                    <w:rPr>
                      <w:rFonts w:ascii="ITC Avant Garde" w:hAnsi="ITC Avant Garde"/>
                      <w:sz w:val="18"/>
                      <w:szCs w:val="18"/>
                    </w:rPr>
                    <w:t>Suprimir las obligaciones de separación contable derivadas del Acuerdo.</w:t>
                  </w:r>
                  <w:r w:rsidR="00CD639C">
                    <w:rPr>
                      <w:rFonts w:ascii="ITC Avant Garde" w:hAnsi="ITC Avant Garde"/>
                      <w:sz w:val="18"/>
                      <w:szCs w:val="18"/>
                    </w:rPr>
                    <w:t xml:space="preserve"> </w:t>
                  </w:r>
                </w:p>
              </w:tc>
              <w:tc>
                <w:tcPr>
                  <w:tcW w:w="3969" w:type="dxa"/>
                </w:tcPr>
                <w:p w14:paraId="7885E573" w14:textId="41D6C624" w:rsidR="00BE7D1C" w:rsidRPr="00451B7D" w:rsidRDefault="00993C6E" w:rsidP="00290506">
                  <w:pPr>
                    <w:jc w:val="both"/>
                    <w:rPr>
                      <w:rFonts w:ascii="ITC Avant Garde" w:hAnsi="ITC Avant Garde"/>
                      <w:sz w:val="18"/>
                      <w:szCs w:val="18"/>
                    </w:rPr>
                  </w:pPr>
                  <w:r>
                    <w:rPr>
                      <w:rFonts w:ascii="ITC Avant Garde" w:hAnsi="ITC Avant Garde"/>
                      <w:sz w:val="18"/>
                      <w:szCs w:val="18"/>
                    </w:rPr>
                    <w:t xml:space="preserve">Se eliminaría </w:t>
                  </w:r>
                  <w:r w:rsidR="00C207AD">
                    <w:rPr>
                      <w:rFonts w:ascii="ITC Avant Garde" w:hAnsi="ITC Avant Garde"/>
                      <w:sz w:val="18"/>
                      <w:szCs w:val="18"/>
                    </w:rPr>
                    <w:t>la</w:t>
                  </w:r>
                  <w:r>
                    <w:rPr>
                      <w:rFonts w:ascii="ITC Avant Garde" w:hAnsi="ITC Avant Garde"/>
                      <w:sz w:val="18"/>
                      <w:szCs w:val="18"/>
                    </w:rPr>
                    <w:t xml:space="preserve"> posibilidad de </w:t>
                  </w:r>
                  <w:r w:rsidR="00290506">
                    <w:rPr>
                      <w:rFonts w:ascii="ITC Avant Garde" w:hAnsi="ITC Avant Garde"/>
                      <w:sz w:val="18"/>
                      <w:szCs w:val="18"/>
                    </w:rPr>
                    <w:t>contar</w:t>
                  </w:r>
                  <w:r>
                    <w:rPr>
                      <w:rFonts w:ascii="ITC Avant Garde" w:hAnsi="ITC Avant Garde"/>
                      <w:sz w:val="18"/>
                      <w:szCs w:val="18"/>
                    </w:rPr>
                    <w:t xml:space="preserve"> con </w:t>
                  </w:r>
                  <w:r w:rsidR="00290506">
                    <w:rPr>
                      <w:rFonts w:ascii="ITC Avant Garde" w:hAnsi="ITC Avant Garde"/>
                      <w:sz w:val="18"/>
                      <w:szCs w:val="18"/>
                    </w:rPr>
                    <w:t>una herramienta que permite al órgano regulador</w:t>
                  </w:r>
                  <w:r>
                    <w:rPr>
                      <w:rFonts w:ascii="ITC Avant Garde" w:hAnsi="ITC Avant Garde"/>
                      <w:sz w:val="18"/>
                      <w:szCs w:val="18"/>
                    </w:rPr>
                    <w:t xml:space="preserve"> </w:t>
                  </w:r>
                  <w:r w:rsidRPr="00993C6E">
                    <w:rPr>
                      <w:rFonts w:ascii="ITC Avant Garde" w:hAnsi="ITC Avant Garde"/>
                      <w:sz w:val="18"/>
                      <w:szCs w:val="18"/>
                    </w:rPr>
                    <w:t>conocer la operación y explotación de los servicios de telecomunicaciones y radiodifusión por servicio, fu</w:t>
                  </w:r>
                  <w:r>
                    <w:rPr>
                      <w:rFonts w:ascii="ITC Avant Garde" w:hAnsi="ITC Avant Garde"/>
                      <w:sz w:val="18"/>
                      <w:szCs w:val="18"/>
                    </w:rPr>
                    <w:t xml:space="preserve">nción y componentes de las redes, y con ello la </w:t>
                  </w:r>
                  <w:r w:rsidRPr="00993C6E">
                    <w:rPr>
                      <w:rFonts w:ascii="ITC Avant Garde" w:hAnsi="ITC Avant Garde"/>
                      <w:sz w:val="18"/>
                      <w:szCs w:val="18"/>
                    </w:rPr>
                    <w:t>posibilidad de identificar potenciales prácticas anticompetitivas</w:t>
                  </w:r>
                  <w:r>
                    <w:rPr>
                      <w:rFonts w:ascii="ITC Avant Garde" w:hAnsi="ITC Avant Garde"/>
                      <w:sz w:val="18"/>
                      <w:szCs w:val="18"/>
                    </w:rPr>
                    <w:t>.</w:t>
                  </w:r>
                </w:p>
              </w:tc>
            </w:tr>
            <w:tr w:rsidR="00BE7D1C" w:rsidRPr="00451B7D" w14:paraId="63F5EBC4" w14:textId="77777777" w:rsidTr="00EC3BDA">
              <w:sdt>
                <w:sdtPr>
                  <w:rPr>
                    <w:rFonts w:ascii="ITC Avant Garde" w:hAnsi="ITC Avant Garde"/>
                    <w:i/>
                    <w:sz w:val="18"/>
                    <w:szCs w:val="18"/>
                  </w:rPr>
                  <w:alias w:val="Alternativa evaluada"/>
                  <w:tag w:val="Alternativa evaluada"/>
                  <w:id w:val="-825826257"/>
                  <w:placeholder>
                    <w:docPart w:val="A27B1AB7C60549EAA5BCC32C46445E1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42AF8A8" w14:textId="77777777" w:rsidR="00BE7D1C" w:rsidRPr="00451B7D" w:rsidRDefault="00BE7D1C" w:rsidP="00EC3BDA">
                      <w:pPr>
                        <w:rPr>
                          <w:rFonts w:ascii="ITC Avant Garde" w:hAnsi="ITC Avant Garde"/>
                          <w:i/>
                          <w:sz w:val="18"/>
                          <w:szCs w:val="18"/>
                        </w:rPr>
                      </w:pPr>
                      <w:r w:rsidRPr="00451B7D">
                        <w:rPr>
                          <w:rStyle w:val="Textodelmarcadordeposicin"/>
                          <w:rFonts w:ascii="ITC Avant Garde" w:hAnsi="ITC Avant Garde"/>
                          <w:sz w:val="18"/>
                          <w:szCs w:val="18"/>
                        </w:rPr>
                        <w:t>Elija un elemento.</w:t>
                      </w:r>
                    </w:p>
                  </w:tc>
                </w:sdtContent>
              </w:sdt>
              <w:tc>
                <w:tcPr>
                  <w:tcW w:w="2684" w:type="dxa"/>
                  <w:tcBorders>
                    <w:left w:val="single" w:sz="12" w:space="0" w:color="auto"/>
                  </w:tcBorders>
                </w:tcPr>
                <w:p w14:paraId="3F922949" w14:textId="77777777" w:rsidR="00BE7D1C" w:rsidRPr="00451B7D" w:rsidRDefault="00BE7D1C" w:rsidP="00EC3BDA">
                  <w:pPr>
                    <w:jc w:val="center"/>
                    <w:rPr>
                      <w:rFonts w:ascii="ITC Avant Garde" w:hAnsi="ITC Avant Garde"/>
                      <w:sz w:val="18"/>
                      <w:szCs w:val="18"/>
                    </w:rPr>
                  </w:pPr>
                </w:p>
              </w:tc>
              <w:tc>
                <w:tcPr>
                  <w:tcW w:w="3969" w:type="dxa"/>
                </w:tcPr>
                <w:p w14:paraId="6546B0B5" w14:textId="77777777" w:rsidR="00BE7D1C" w:rsidRPr="00451B7D" w:rsidRDefault="00BE7D1C" w:rsidP="00EC3BDA">
                  <w:pPr>
                    <w:jc w:val="center"/>
                    <w:rPr>
                      <w:rFonts w:ascii="ITC Avant Garde" w:hAnsi="ITC Avant Garde"/>
                      <w:sz w:val="18"/>
                      <w:szCs w:val="18"/>
                    </w:rPr>
                  </w:pPr>
                </w:p>
              </w:tc>
            </w:tr>
          </w:tbl>
          <w:p w14:paraId="6C629A23" w14:textId="77777777" w:rsidR="00BE7D1C" w:rsidRPr="00451B7D" w:rsidRDefault="00BE7D1C" w:rsidP="00EC3BDA">
            <w:pPr>
              <w:jc w:val="both"/>
              <w:rPr>
                <w:rFonts w:ascii="ITC Avant Garde" w:hAnsi="ITC Avant Garde"/>
                <w:sz w:val="18"/>
                <w:szCs w:val="18"/>
              </w:rPr>
            </w:pPr>
          </w:p>
        </w:tc>
      </w:tr>
    </w:tbl>
    <w:p w14:paraId="7066A199"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41D6B72A" w14:textId="77777777" w:rsidTr="00EC3BDA">
        <w:tc>
          <w:tcPr>
            <w:tcW w:w="8828" w:type="dxa"/>
          </w:tcPr>
          <w:p w14:paraId="2C52513C" w14:textId="77777777" w:rsidR="00BE7D1C" w:rsidRPr="00451B7D" w:rsidRDefault="00BE7D1C" w:rsidP="00EC3BDA">
            <w:pPr>
              <w:jc w:val="both"/>
              <w:rPr>
                <w:rFonts w:ascii="ITC Avant Garde" w:hAnsi="ITC Avant Garde"/>
                <w:b/>
                <w:sz w:val="18"/>
                <w:szCs w:val="18"/>
              </w:rPr>
            </w:pPr>
            <w:r w:rsidRPr="00451B7D">
              <w:rPr>
                <w:rFonts w:ascii="ITC Avant Garde" w:hAnsi="ITC Avant Garde"/>
                <w:b/>
                <w:sz w:val="18"/>
                <w:szCs w:val="18"/>
              </w:rPr>
              <w:lastRenderedPageBreak/>
              <w:t>4.- Justifique las razones por las que considera que la propuesta de regulación no genera costos de cumplimiento, independientemente de los beneficios que ésta genere:</w:t>
            </w:r>
          </w:p>
          <w:p w14:paraId="6D033EF0" w14:textId="77777777" w:rsidR="00BE7D1C" w:rsidRDefault="00BE7D1C" w:rsidP="00EC3BDA">
            <w:pPr>
              <w:jc w:val="both"/>
              <w:rPr>
                <w:rFonts w:ascii="ITC Avant Garde" w:hAnsi="ITC Avant Garde"/>
                <w:sz w:val="18"/>
                <w:szCs w:val="18"/>
              </w:rPr>
            </w:pPr>
          </w:p>
          <w:p w14:paraId="30927CB7" w14:textId="77777777" w:rsidR="005C06CB" w:rsidRDefault="006F7BB6" w:rsidP="00EC3BDA">
            <w:pPr>
              <w:jc w:val="both"/>
              <w:rPr>
                <w:rFonts w:ascii="ITC Avant Garde" w:hAnsi="ITC Avant Garde"/>
                <w:sz w:val="18"/>
                <w:szCs w:val="18"/>
              </w:rPr>
            </w:pPr>
            <w:r>
              <w:rPr>
                <w:rFonts w:ascii="ITC Avant Garde" w:hAnsi="ITC Avant Garde"/>
                <w:sz w:val="18"/>
                <w:szCs w:val="18"/>
              </w:rPr>
              <w:t>El A</w:t>
            </w:r>
            <w:r w:rsidR="005C06CB">
              <w:rPr>
                <w:rFonts w:ascii="ITC Avant Garde" w:hAnsi="ITC Avant Garde"/>
                <w:sz w:val="18"/>
                <w:szCs w:val="18"/>
              </w:rPr>
              <w:t xml:space="preserve">nteproyecto </w:t>
            </w:r>
            <w:r w:rsidR="00154666">
              <w:rPr>
                <w:rFonts w:ascii="ITC Avant Garde" w:hAnsi="ITC Avant Garde"/>
                <w:sz w:val="18"/>
                <w:szCs w:val="18"/>
              </w:rPr>
              <w:t>no crea</w:t>
            </w:r>
            <w:r w:rsidR="009E0E9E">
              <w:rPr>
                <w:rFonts w:ascii="ITC Avant Garde" w:hAnsi="ITC Avant Garde"/>
                <w:sz w:val="18"/>
                <w:szCs w:val="18"/>
              </w:rPr>
              <w:t xml:space="preserve"> nuevos trámites para la entrega de información de separación contable</w:t>
            </w:r>
            <w:r w:rsidR="00290506">
              <w:rPr>
                <w:rFonts w:ascii="ITC Avant Garde" w:hAnsi="ITC Avant Garde"/>
                <w:sz w:val="18"/>
                <w:szCs w:val="18"/>
              </w:rPr>
              <w:t xml:space="preserve"> ni solicita información distinta a la ya establecida en el Acuerdo,</w:t>
            </w:r>
            <w:r w:rsidR="009E0E9E">
              <w:rPr>
                <w:rFonts w:ascii="ITC Avant Garde" w:hAnsi="ITC Avant Garde"/>
                <w:sz w:val="18"/>
                <w:szCs w:val="18"/>
              </w:rPr>
              <w:t xml:space="preserve"> por lo que no genera costos de </w:t>
            </w:r>
            <w:r w:rsidR="00290506">
              <w:rPr>
                <w:rFonts w:ascii="ITC Avant Garde" w:hAnsi="ITC Avant Garde"/>
                <w:sz w:val="18"/>
                <w:szCs w:val="18"/>
              </w:rPr>
              <w:t>cumplimiento.</w:t>
            </w:r>
          </w:p>
          <w:p w14:paraId="7EC7584F" w14:textId="77777777" w:rsidR="006F7BB6" w:rsidRDefault="006F7BB6" w:rsidP="00EC3BDA">
            <w:pPr>
              <w:jc w:val="both"/>
              <w:rPr>
                <w:rFonts w:ascii="ITC Avant Garde" w:hAnsi="ITC Avant Garde"/>
                <w:sz w:val="18"/>
                <w:szCs w:val="18"/>
              </w:rPr>
            </w:pPr>
          </w:p>
          <w:p w14:paraId="4093DB1D" w14:textId="560D6F79" w:rsidR="006F7BB6" w:rsidRPr="00451B7D" w:rsidRDefault="006F7BB6" w:rsidP="00EC3BDA">
            <w:pPr>
              <w:jc w:val="both"/>
              <w:rPr>
                <w:rFonts w:ascii="ITC Avant Garde" w:hAnsi="ITC Avant Garde"/>
                <w:sz w:val="18"/>
                <w:szCs w:val="18"/>
              </w:rPr>
            </w:pPr>
            <w:r>
              <w:rPr>
                <w:rFonts w:ascii="ITC Avant Garde" w:hAnsi="ITC Avant Garde"/>
                <w:sz w:val="18"/>
                <w:szCs w:val="18"/>
              </w:rPr>
              <w:t xml:space="preserve">Cabe resaltar que el Anteproyecto </w:t>
            </w:r>
            <w:r w:rsidR="00C207AD">
              <w:rPr>
                <w:rFonts w:ascii="ITC Avant Garde" w:hAnsi="ITC Avant Garde"/>
                <w:sz w:val="18"/>
                <w:szCs w:val="18"/>
              </w:rPr>
              <w:t xml:space="preserve">está orientado a establecer una carga regulatoria más proporcional a la operación de </w:t>
            </w:r>
            <w:r w:rsidR="001738E6">
              <w:rPr>
                <w:rFonts w:ascii="ITC Avant Garde" w:hAnsi="ITC Avant Garde"/>
                <w:sz w:val="18"/>
                <w:szCs w:val="18"/>
              </w:rPr>
              <w:t>las afiliadas independientes que forman parte del</w:t>
            </w:r>
            <w:r>
              <w:rPr>
                <w:rFonts w:ascii="ITC Avant Garde" w:hAnsi="ITC Avant Garde"/>
                <w:sz w:val="18"/>
                <w:szCs w:val="18"/>
              </w:rPr>
              <w:t xml:space="preserve"> agente económico preponderante en el sector de radiodifusión.</w:t>
            </w:r>
          </w:p>
          <w:p w14:paraId="0349D0AA" w14:textId="77777777" w:rsidR="00BE7D1C" w:rsidRPr="00451B7D" w:rsidRDefault="00BE7D1C" w:rsidP="00EC3BDA">
            <w:pPr>
              <w:jc w:val="both"/>
              <w:rPr>
                <w:rFonts w:ascii="ITC Avant Garde" w:hAnsi="ITC Avant Garde"/>
                <w:sz w:val="18"/>
                <w:szCs w:val="18"/>
              </w:rPr>
            </w:pPr>
          </w:p>
        </w:tc>
      </w:tr>
    </w:tbl>
    <w:p w14:paraId="653DA2F2"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6B123860" w14:textId="77777777" w:rsidTr="003949C0">
        <w:tc>
          <w:tcPr>
            <w:tcW w:w="1696" w:type="dxa"/>
            <w:vMerge w:val="restart"/>
          </w:tcPr>
          <w:p w14:paraId="08A102D9" w14:textId="77777777"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23F6E5A6"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51D4C83A"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586F71BF" w14:textId="77777777" w:rsidTr="003949C0">
        <w:tc>
          <w:tcPr>
            <w:tcW w:w="1696" w:type="dxa"/>
            <w:vMerge/>
          </w:tcPr>
          <w:p w14:paraId="3509BCE0" w14:textId="77777777" w:rsidR="00804F49" w:rsidRPr="00451B7D" w:rsidRDefault="00804F49" w:rsidP="00E21B49">
            <w:pPr>
              <w:jc w:val="both"/>
              <w:rPr>
                <w:rFonts w:ascii="ITC Avant Garde" w:hAnsi="ITC Avant Garde"/>
                <w:sz w:val="18"/>
                <w:szCs w:val="18"/>
              </w:rPr>
            </w:pPr>
          </w:p>
        </w:tc>
        <w:tc>
          <w:tcPr>
            <w:tcW w:w="5670" w:type="dxa"/>
          </w:tcPr>
          <w:p w14:paraId="519FBCE8"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81F00D2"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4A7C30" w:rsidRPr="00451B7D">
              <w:rPr>
                <w:rFonts w:ascii="ITC Avant Garde" w:hAnsi="ITC Avant Garde"/>
                <w:sz w:val="18"/>
                <w:szCs w:val="18"/>
              </w:rPr>
              <w:t xml:space="preserve"> </w:t>
            </w:r>
            <w:r w:rsidR="009E0E9E">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652CE1A1" w14:textId="77777777" w:rsidTr="003949C0">
        <w:tc>
          <w:tcPr>
            <w:tcW w:w="1696" w:type="dxa"/>
            <w:vMerge/>
          </w:tcPr>
          <w:p w14:paraId="466B9729" w14:textId="77777777" w:rsidR="00804F49" w:rsidRPr="00451B7D" w:rsidRDefault="00804F49" w:rsidP="00804F49">
            <w:pPr>
              <w:jc w:val="both"/>
              <w:rPr>
                <w:rFonts w:ascii="ITC Avant Garde" w:hAnsi="ITC Avant Garde"/>
                <w:sz w:val="18"/>
                <w:szCs w:val="18"/>
              </w:rPr>
            </w:pPr>
          </w:p>
        </w:tc>
        <w:tc>
          <w:tcPr>
            <w:tcW w:w="5670" w:type="dxa"/>
          </w:tcPr>
          <w:p w14:paraId="2892D384"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que signifiquen mayores cargas administrativas o costos de cumplimiento</w:t>
            </w:r>
            <w:r w:rsidR="008E1AD3" w:rsidRPr="00451B7D">
              <w:rPr>
                <w:rFonts w:ascii="ITC Avant Garde" w:hAnsi="ITC Avant Garde"/>
                <w:sz w:val="18"/>
                <w:szCs w:val="18"/>
                <w:vertAlign w:val="superscript"/>
              </w:rPr>
              <w:footnoteReference w:id="2"/>
            </w:r>
            <w:r w:rsidRPr="00451B7D">
              <w:rPr>
                <w:rFonts w:ascii="ITC Avant Garde" w:hAnsi="ITC Avant Garde"/>
                <w:sz w:val="18"/>
                <w:szCs w:val="18"/>
              </w:rPr>
              <w:t>.</w:t>
            </w:r>
          </w:p>
        </w:tc>
        <w:tc>
          <w:tcPr>
            <w:tcW w:w="1462" w:type="dxa"/>
          </w:tcPr>
          <w:p w14:paraId="0F5C5B72"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4A7C30" w:rsidRPr="00451B7D">
              <w:rPr>
                <w:rFonts w:ascii="ITC Avant Garde" w:hAnsi="ITC Avant Garde"/>
                <w:sz w:val="18"/>
                <w:szCs w:val="18"/>
              </w:rPr>
              <w:t xml:space="preserve"> </w:t>
            </w:r>
            <w:r w:rsidR="009E0E9E">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70FAA9CE" w14:textId="77777777" w:rsidTr="003949C0">
        <w:tc>
          <w:tcPr>
            <w:tcW w:w="1696" w:type="dxa"/>
            <w:vMerge/>
          </w:tcPr>
          <w:p w14:paraId="05D8C6B1" w14:textId="77777777" w:rsidR="00804F49" w:rsidRPr="00451B7D" w:rsidRDefault="00804F49" w:rsidP="00804F49">
            <w:pPr>
              <w:jc w:val="both"/>
              <w:rPr>
                <w:rFonts w:ascii="ITC Avant Garde" w:hAnsi="ITC Avant Garde"/>
                <w:sz w:val="18"/>
                <w:szCs w:val="18"/>
              </w:rPr>
            </w:pPr>
          </w:p>
        </w:tc>
        <w:tc>
          <w:tcPr>
            <w:tcW w:w="5670" w:type="dxa"/>
          </w:tcPr>
          <w:p w14:paraId="684B28AC"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26644D6A"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 </w:t>
            </w:r>
            <w:r w:rsidR="009E0E9E">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6ED79C88" w14:textId="77777777" w:rsidTr="003949C0">
        <w:tc>
          <w:tcPr>
            <w:tcW w:w="1696" w:type="dxa"/>
            <w:vMerge/>
          </w:tcPr>
          <w:p w14:paraId="5B513CEB" w14:textId="77777777" w:rsidR="00804F49" w:rsidRPr="00451B7D" w:rsidRDefault="00804F49" w:rsidP="00804F49">
            <w:pPr>
              <w:jc w:val="both"/>
              <w:rPr>
                <w:rFonts w:ascii="ITC Avant Garde" w:hAnsi="ITC Avant Garde"/>
                <w:sz w:val="18"/>
                <w:szCs w:val="18"/>
              </w:rPr>
            </w:pPr>
          </w:p>
        </w:tc>
        <w:tc>
          <w:tcPr>
            <w:tcW w:w="5670" w:type="dxa"/>
          </w:tcPr>
          <w:p w14:paraId="569AF197"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11330F1E"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No ( </w:t>
            </w:r>
            <w:r w:rsidR="009E0E9E">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609CF4CE" w14:textId="77777777" w:rsidR="00E21B49" w:rsidRPr="00451B7D" w:rsidRDefault="00E21B49" w:rsidP="00E21B49">
      <w:pPr>
        <w:jc w:val="both"/>
        <w:rPr>
          <w:rFonts w:ascii="ITC Avant Garde" w:hAnsi="ITC Avant Garde"/>
          <w:sz w:val="18"/>
          <w:szCs w:val="18"/>
        </w:rPr>
      </w:pPr>
    </w:p>
    <w:p w14:paraId="00687628" w14:textId="77777777"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66B78390" w14:textId="77777777" w:rsidTr="00A73AD8">
        <w:tc>
          <w:tcPr>
            <w:tcW w:w="8828" w:type="dxa"/>
          </w:tcPr>
          <w:p w14:paraId="42897E8D" w14:textId="77777777"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408FC64E" w14:textId="77777777" w:rsidR="00870931" w:rsidRPr="006E38B2" w:rsidRDefault="0094152D" w:rsidP="006E38B2">
            <w:pPr>
              <w:pStyle w:val="Prrafodelista"/>
              <w:numPr>
                <w:ilvl w:val="0"/>
                <w:numId w:val="7"/>
              </w:numPr>
              <w:jc w:val="both"/>
              <w:rPr>
                <w:rFonts w:ascii="ITC Avant Garde" w:hAnsi="ITC Avant Garde"/>
                <w:sz w:val="18"/>
                <w:szCs w:val="18"/>
              </w:rPr>
            </w:pPr>
            <w:r>
              <w:rPr>
                <w:rFonts w:ascii="ITC Avant Garde" w:hAnsi="ITC Avant Garde"/>
                <w:sz w:val="18"/>
                <w:szCs w:val="18"/>
              </w:rPr>
              <w:t xml:space="preserve"> </w:t>
            </w:r>
            <w:r w:rsidR="006E38B2">
              <w:rPr>
                <w:rFonts w:ascii="ITC Avant Garde" w:hAnsi="ITC Avant Garde"/>
                <w:sz w:val="18"/>
                <w:szCs w:val="18"/>
              </w:rPr>
              <w:t>“</w:t>
            </w:r>
            <w:r w:rsidR="009E0E9E" w:rsidRPr="006E38B2">
              <w:rPr>
                <w:rFonts w:ascii="ITC Avant Garde" w:hAnsi="ITC Avant Garde"/>
                <w:sz w:val="18"/>
                <w:szCs w:val="18"/>
              </w:rPr>
              <w:t>Acuerdo mediante el cual el Pleno del Instituto Federal de Telecomunicaciones expide la metodología de separación contable aplicable a los agentes económicos preponderantes, agentes declarados con poder sustancial de mercado y redes compartidas mayoristas.</w:t>
            </w:r>
            <w:r w:rsidR="006E38B2">
              <w:rPr>
                <w:rFonts w:ascii="ITC Avant Garde" w:hAnsi="ITC Avant Garde"/>
                <w:sz w:val="18"/>
                <w:szCs w:val="18"/>
              </w:rPr>
              <w:t>”</w:t>
            </w:r>
            <w:r w:rsidR="009E0E9E" w:rsidRPr="006E38B2">
              <w:rPr>
                <w:rFonts w:ascii="ITC Avant Garde" w:hAnsi="ITC Avant Garde"/>
                <w:sz w:val="18"/>
                <w:szCs w:val="18"/>
              </w:rPr>
              <w:t xml:space="preserve"> Disponible en http://www.dof.gob.mx/nota_detalle.php?codigo=5509546&amp;fecha=29/12/2017</w:t>
            </w:r>
          </w:p>
        </w:tc>
      </w:tr>
    </w:tbl>
    <w:p w14:paraId="293F145D" w14:textId="77777777" w:rsidR="0086684A" w:rsidRPr="00451B7D" w:rsidRDefault="0086684A" w:rsidP="0086684A">
      <w:pPr>
        <w:jc w:val="both"/>
        <w:rPr>
          <w:rFonts w:ascii="ITC Avant Garde" w:hAnsi="ITC Avant Garde"/>
          <w:sz w:val="18"/>
          <w:szCs w:val="18"/>
        </w:rPr>
      </w:pPr>
    </w:p>
    <w:sectPr w:rsidR="0086684A" w:rsidRPr="00451B7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368FD" w14:textId="77777777" w:rsidR="006A7E4F" w:rsidRDefault="006A7E4F" w:rsidP="00501ADF">
      <w:pPr>
        <w:spacing w:after="0" w:line="240" w:lineRule="auto"/>
      </w:pPr>
      <w:r>
        <w:separator/>
      </w:r>
    </w:p>
  </w:endnote>
  <w:endnote w:type="continuationSeparator" w:id="0">
    <w:p w14:paraId="45A3BA4E" w14:textId="77777777" w:rsidR="006A7E4F" w:rsidRDefault="006A7E4F" w:rsidP="00501ADF">
      <w:pPr>
        <w:spacing w:after="0" w:line="240" w:lineRule="auto"/>
      </w:pPr>
      <w:r>
        <w:continuationSeparator/>
      </w:r>
    </w:p>
  </w:endnote>
  <w:endnote w:type="continuationNotice" w:id="1">
    <w:p w14:paraId="69EBAC71" w14:textId="77777777" w:rsidR="006A7E4F" w:rsidRDefault="006A7E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74EB831F" w14:textId="5D855A34" w:rsidR="00EC3BDA" w:rsidRPr="0006478F" w:rsidRDefault="00EC3BDA">
            <w:pPr>
              <w:pStyle w:val="Piedepgina"/>
              <w:jc w:val="right"/>
              <w:rPr>
                <w:sz w:val="20"/>
              </w:rPr>
            </w:pPr>
            <w:r w:rsidRPr="006B406C">
              <w:rPr>
                <w:rFonts w:ascii="ITC Avant Garde" w:hAnsi="ITC Avant Garde"/>
                <w:b/>
                <w:bCs/>
                <w:szCs w:val="24"/>
              </w:rPr>
              <w:fldChar w:fldCharType="begin"/>
            </w:r>
            <w:r w:rsidRPr="006B406C">
              <w:rPr>
                <w:rFonts w:ascii="ITC Avant Garde" w:hAnsi="ITC Avant Garde"/>
                <w:b/>
                <w:bCs/>
                <w:sz w:val="20"/>
              </w:rPr>
              <w:instrText>PAGE</w:instrText>
            </w:r>
            <w:r w:rsidRPr="006B406C">
              <w:rPr>
                <w:rFonts w:ascii="ITC Avant Garde" w:hAnsi="ITC Avant Garde"/>
                <w:b/>
                <w:bCs/>
                <w:szCs w:val="24"/>
              </w:rPr>
              <w:fldChar w:fldCharType="separate"/>
            </w:r>
            <w:r w:rsidR="009C714B">
              <w:rPr>
                <w:rFonts w:ascii="ITC Avant Garde" w:hAnsi="ITC Avant Garde"/>
                <w:b/>
                <w:bCs/>
                <w:noProof/>
                <w:sz w:val="20"/>
              </w:rPr>
              <w:t>3</w:t>
            </w:r>
            <w:r w:rsidRPr="006B406C">
              <w:rPr>
                <w:rFonts w:ascii="ITC Avant Garde" w:hAnsi="ITC Avant Garde"/>
                <w:b/>
                <w:bCs/>
                <w:szCs w:val="24"/>
              </w:rPr>
              <w:fldChar w:fldCharType="end"/>
            </w:r>
          </w:p>
        </w:sdtContent>
      </w:sdt>
    </w:sdtContent>
  </w:sdt>
  <w:p w14:paraId="0A12240B" w14:textId="77777777" w:rsidR="00EC3BDA" w:rsidRDefault="00EC3B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7A78B" w14:textId="77777777" w:rsidR="006A7E4F" w:rsidRDefault="006A7E4F" w:rsidP="00501ADF">
      <w:pPr>
        <w:spacing w:after="0" w:line="240" w:lineRule="auto"/>
      </w:pPr>
      <w:r>
        <w:separator/>
      </w:r>
    </w:p>
  </w:footnote>
  <w:footnote w:type="continuationSeparator" w:id="0">
    <w:p w14:paraId="5DAF8E91" w14:textId="77777777" w:rsidR="006A7E4F" w:rsidRDefault="006A7E4F" w:rsidP="00501ADF">
      <w:pPr>
        <w:spacing w:after="0" w:line="240" w:lineRule="auto"/>
      </w:pPr>
      <w:r>
        <w:continuationSeparator/>
      </w:r>
    </w:p>
  </w:footnote>
  <w:footnote w:type="continuationNotice" w:id="1">
    <w:p w14:paraId="3A3FE2FB" w14:textId="77777777" w:rsidR="006A7E4F" w:rsidRDefault="006A7E4F">
      <w:pPr>
        <w:spacing w:after="0" w:line="240" w:lineRule="auto"/>
      </w:pPr>
    </w:p>
  </w:footnote>
  <w:footnote w:id="2">
    <w:p w14:paraId="38EEF731" w14:textId="77777777" w:rsidR="00EC3BDA" w:rsidRPr="00451B7D" w:rsidRDefault="00EC3BDA" w:rsidP="00BA4E93">
      <w:pPr>
        <w:pStyle w:val="Textonotapie"/>
        <w:jc w:val="both"/>
        <w:rPr>
          <w:rFonts w:ascii="ITC Avant Garde" w:hAnsi="ITC Avant Garde"/>
          <w:sz w:val="16"/>
          <w:szCs w:val="16"/>
        </w:rPr>
      </w:pPr>
      <w:r w:rsidRPr="00451B7D">
        <w:rPr>
          <w:rStyle w:val="Refdenotaalpie"/>
          <w:rFonts w:ascii="ITC Avant Garde" w:hAnsi="ITC Avant Garde"/>
          <w:sz w:val="16"/>
          <w:szCs w:val="16"/>
        </w:rPr>
        <w:footnoteRef/>
      </w:r>
      <w:r w:rsidRPr="00451B7D">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FC72" w14:textId="77777777" w:rsidR="00EC3BDA" w:rsidRPr="00501ADF" w:rsidRDefault="00EC3BDA"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5824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58241"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603F22E9" w14:textId="77777777" w:rsidR="00EC3BDA" w:rsidRPr="00451B7D" w:rsidRDefault="00EC3BDA" w:rsidP="00804F49">
                          <w:pPr>
                            <w:jc w:val="right"/>
                            <w:rPr>
                              <w:rFonts w:ascii="ITC Avant Garde" w:hAnsi="ITC Avant Garde"/>
                              <w:sz w:val="20"/>
                            </w:rPr>
                          </w:pPr>
                          <w:r w:rsidRPr="00451B7D">
                            <w:rPr>
                              <w:rFonts w:ascii="ITC Avant Garde" w:hAnsi="ITC Avant Garde"/>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603F22E9" w14:textId="77777777" w:rsidR="00EC3BDA" w:rsidRPr="00451B7D" w:rsidRDefault="00EC3BDA" w:rsidP="00804F49">
                    <w:pPr>
                      <w:jc w:val="right"/>
                      <w:rPr>
                        <w:rFonts w:ascii="ITC Avant Garde" w:hAnsi="ITC Avant Garde"/>
                        <w:sz w:val="20"/>
                      </w:rPr>
                    </w:pPr>
                    <w:r w:rsidRPr="00451B7D">
                      <w:rPr>
                        <w:rFonts w:ascii="ITC Avant Garde" w:hAnsi="ITC Avant Garde"/>
                        <w:sz w:val="20"/>
                      </w:rPr>
                      <w:t>ANÁLISIS DE NULO IMPACTO REGULATORIO</w:t>
                    </w:r>
                  </w:p>
                </w:txbxContent>
              </v:textbox>
              <w10:wrap type="square" anchorx="margin"/>
            </v:shape>
          </w:pict>
        </mc:Fallback>
      </mc:AlternateContent>
    </w:r>
  </w:p>
  <w:p w14:paraId="712B2539" w14:textId="77777777" w:rsidR="00EC3BDA" w:rsidRDefault="00EC3BDA">
    <w:pPr>
      <w:pStyle w:val="Encabezado"/>
    </w:pPr>
  </w:p>
  <w:p w14:paraId="1F400115" w14:textId="77777777" w:rsidR="00EC3BDA" w:rsidRDefault="00EC3BDA">
    <w:pPr>
      <w:pStyle w:val="Encabezado"/>
    </w:pPr>
  </w:p>
  <w:p w14:paraId="75764264" w14:textId="77777777" w:rsidR="00EC3BDA" w:rsidRDefault="00EC3BDA">
    <w:pPr>
      <w:pStyle w:val="Encabezado"/>
    </w:pPr>
    <w:r>
      <w:rPr>
        <w:noProof/>
        <w:lang w:eastAsia="es-MX"/>
      </w:rPr>
      <mc:AlternateContent>
        <mc:Choice Requires="wps">
          <w:drawing>
            <wp:anchor distT="0" distB="0" distL="114300" distR="114300" simplePos="0" relativeHeight="251658240"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7707499"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4DDE645" w14:textId="77777777" w:rsidR="00EC3BDA" w:rsidRDefault="00EC3B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F66F2"/>
    <w:multiLevelType w:val="hybridMultilevel"/>
    <w:tmpl w:val="588A243C"/>
    <w:lvl w:ilvl="0" w:tplc="8C06363A">
      <w:start w:val="1"/>
      <w:numFmt w:val="bullet"/>
      <w:lvlText w:val="–"/>
      <w:lvlJc w:val="left"/>
      <w:pPr>
        <w:tabs>
          <w:tab w:val="num" w:pos="720"/>
        </w:tabs>
        <w:ind w:left="720" w:hanging="360"/>
      </w:pPr>
      <w:rPr>
        <w:rFonts w:ascii="Calibri" w:hAnsi="Calibri" w:hint="default"/>
      </w:rPr>
    </w:lvl>
    <w:lvl w:ilvl="1" w:tplc="B832EFD8" w:tentative="1">
      <w:start w:val="1"/>
      <w:numFmt w:val="bullet"/>
      <w:lvlText w:val="–"/>
      <w:lvlJc w:val="left"/>
      <w:pPr>
        <w:tabs>
          <w:tab w:val="num" w:pos="1440"/>
        </w:tabs>
        <w:ind w:left="1440" w:hanging="360"/>
      </w:pPr>
      <w:rPr>
        <w:rFonts w:ascii="Calibri" w:hAnsi="Calibri" w:hint="default"/>
      </w:rPr>
    </w:lvl>
    <w:lvl w:ilvl="2" w:tplc="EF88B89A" w:tentative="1">
      <w:start w:val="1"/>
      <w:numFmt w:val="bullet"/>
      <w:lvlText w:val="–"/>
      <w:lvlJc w:val="left"/>
      <w:pPr>
        <w:tabs>
          <w:tab w:val="num" w:pos="2160"/>
        </w:tabs>
        <w:ind w:left="2160" w:hanging="360"/>
      </w:pPr>
      <w:rPr>
        <w:rFonts w:ascii="Calibri" w:hAnsi="Calibri" w:hint="default"/>
      </w:rPr>
    </w:lvl>
    <w:lvl w:ilvl="3" w:tplc="6D9EE520">
      <w:start w:val="1"/>
      <w:numFmt w:val="bullet"/>
      <w:lvlText w:val="–"/>
      <w:lvlJc w:val="left"/>
      <w:pPr>
        <w:tabs>
          <w:tab w:val="num" w:pos="2880"/>
        </w:tabs>
        <w:ind w:left="2880" w:hanging="360"/>
      </w:pPr>
      <w:rPr>
        <w:rFonts w:ascii="Calibri" w:hAnsi="Calibri" w:hint="default"/>
      </w:rPr>
    </w:lvl>
    <w:lvl w:ilvl="4" w:tplc="B5A4C540" w:tentative="1">
      <w:start w:val="1"/>
      <w:numFmt w:val="bullet"/>
      <w:lvlText w:val="–"/>
      <w:lvlJc w:val="left"/>
      <w:pPr>
        <w:tabs>
          <w:tab w:val="num" w:pos="3600"/>
        </w:tabs>
        <w:ind w:left="3600" w:hanging="360"/>
      </w:pPr>
      <w:rPr>
        <w:rFonts w:ascii="Calibri" w:hAnsi="Calibri" w:hint="default"/>
      </w:rPr>
    </w:lvl>
    <w:lvl w:ilvl="5" w:tplc="D4A43A3A" w:tentative="1">
      <w:start w:val="1"/>
      <w:numFmt w:val="bullet"/>
      <w:lvlText w:val="–"/>
      <w:lvlJc w:val="left"/>
      <w:pPr>
        <w:tabs>
          <w:tab w:val="num" w:pos="4320"/>
        </w:tabs>
        <w:ind w:left="4320" w:hanging="360"/>
      </w:pPr>
      <w:rPr>
        <w:rFonts w:ascii="Calibri" w:hAnsi="Calibri" w:hint="default"/>
      </w:rPr>
    </w:lvl>
    <w:lvl w:ilvl="6" w:tplc="32C872AE" w:tentative="1">
      <w:start w:val="1"/>
      <w:numFmt w:val="bullet"/>
      <w:lvlText w:val="–"/>
      <w:lvlJc w:val="left"/>
      <w:pPr>
        <w:tabs>
          <w:tab w:val="num" w:pos="5040"/>
        </w:tabs>
        <w:ind w:left="5040" w:hanging="360"/>
      </w:pPr>
      <w:rPr>
        <w:rFonts w:ascii="Calibri" w:hAnsi="Calibri" w:hint="default"/>
      </w:rPr>
    </w:lvl>
    <w:lvl w:ilvl="7" w:tplc="0CB4B1CE" w:tentative="1">
      <w:start w:val="1"/>
      <w:numFmt w:val="bullet"/>
      <w:lvlText w:val="–"/>
      <w:lvlJc w:val="left"/>
      <w:pPr>
        <w:tabs>
          <w:tab w:val="num" w:pos="5760"/>
        </w:tabs>
        <w:ind w:left="5760" w:hanging="360"/>
      </w:pPr>
      <w:rPr>
        <w:rFonts w:ascii="Calibri" w:hAnsi="Calibri" w:hint="default"/>
      </w:rPr>
    </w:lvl>
    <w:lvl w:ilvl="8" w:tplc="C4B4DF00"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510298"/>
    <w:multiLevelType w:val="hybridMultilevel"/>
    <w:tmpl w:val="448AB1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D848F2"/>
    <w:multiLevelType w:val="hybridMultilevel"/>
    <w:tmpl w:val="598A631E"/>
    <w:lvl w:ilvl="0" w:tplc="8C06363A">
      <w:start w:val="1"/>
      <w:numFmt w:val="bullet"/>
      <w:lvlText w:val="–"/>
      <w:lvlJc w:val="left"/>
      <w:pPr>
        <w:tabs>
          <w:tab w:val="num" w:pos="360"/>
        </w:tabs>
        <w:ind w:left="360" w:hanging="360"/>
      </w:pPr>
      <w:rPr>
        <w:rFonts w:ascii="Calibri" w:hAnsi="Calibri" w:hint="default"/>
      </w:rPr>
    </w:lvl>
    <w:lvl w:ilvl="1" w:tplc="B832EFD8">
      <w:start w:val="1"/>
      <w:numFmt w:val="bullet"/>
      <w:lvlText w:val="–"/>
      <w:lvlJc w:val="left"/>
      <w:pPr>
        <w:tabs>
          <w:tab w:val="num" w:pos="1080"/>
        </w:tabs>
        <w:ind w:left="1080" w:hanging="360"/>
      </w:pPr>
      <w:rPr>
        <w:rFonts w:ascii="Calibri" w:hAnsi="Calibri" w:hint="default"/>
      </w:rPr>
    </w:lvl>
    <w:lvl w:ilvl="2" w:tplc="EF88B89A">
      <w:start w:val="1"/>
      <w:numFmt w:val="bullet"/>
      <w:lvlText w:val="–"/>
      <w:lvlJc w:val="left"/>
      <w:pPr>
        <w:tabs>
          <w:tab w:val="num" w:pos="1800"/>
        </w:tabs>
        <w:ind w:left="1800" w:hanging="360"/>
      </w:pPr>
      <w:rPr>
        <w:rFonts w:ascii="Calibri" w:hAnsi="Calibri" w:hint="default"/>
      </w:rPr>
    </w:lvl>
    <w:lvl w:ilvl="3" w:tplc="080A0001">
      <w:start w:val="1"/>
      <w:numFmt w:val="bullet"/>
      <w:lvlText w:val=""/>
      <w:lvlJc w:val="left"/>
      <w:pPr>
        <w:tabs>
          <w:tab w:val="num" w:pos="2520"/>
        </w:tabs>
        <w:ind w:left="2520" w:hanging="360"/>
      </w:pPr>
      <w:rPr>
        <w:rFonts w:ascii="Symbol" w:hAnsi="Symbol" w:hint="default"/>
      </w:rPr>
    </w:lvl>
    <w:lvl w:ilvl="4" w:tplc="B5A4C540" w:tentative="1">
      <w:start w:val="1"/>
      <w:numFmt w:val="bullet"/>
      <w:lvlText w:val="–"/>
      <w:lvlJc w:val="left"/>
      <w:pPr>
        <w:tabs>
          <w:tab w:val="num" w:pos="3240"/>
        </w:tabs>
        <w:ind w:left="3240" w:hanging="360"/>
      </w:pPr>
      <w:rPr>
        <w:rFonts w:ascii="Calibri" w:hAnsi="Calibri" w:hint="default"/>
      </w:rPr>
    </w:lvl>
    <w:lvl w:ilvl="5" w:tplc="D4A43A3A" w:tentative="1">
      <w:start w:val="1"/>
      <w:numFmt w:val="bullet"/>
      <w:lvlText w:val="–"/>
      <w:lvlJc w:val="left"/>
      <w:pPr>
        <w:tabs>
          <w:tab w:val="num" w:pos="3960"/>
        </w:tabs>
        <w:ind w:left="3960" w:hanging="360"/>
      </w:pPr>
      <w:rPr>
        <w:rFonts w:ascii="Calibri" w:hAnsi="Calibri" w:hint="default"/>
      </w:rPr>
    </w:lvl>
    <w:lvl w:ilvl="6" w:tplc="32C872AE" w:tentative="1">
      <w:start w:val="1"/>
      <w:numFmt w:val="bullet"/>
      <w:lvlText w:val="–"/>
      <w:lvlJc w:val="left"/>
      <w:pPr>
        <w:tabs>
          <w:tab w:val="num" w:pos="4680"/>
        </w:tabs>
        <w:ind w:left="4680" w:hanging="360"/>
      </w:pPr>
      <w:rPr>
        <w:rFonts w:ascii="Calibri" w:hAnsi="Calibri" w:hint="default"/>
      </w:rPr>
    </w:lvl>
    <w:lvl w:ilvl="7" w:tplc="0CB4B1CE" w:tentative="1">
      <w:start w:val="1"/>
      <w:numFmt w:val="bullet"/>
      <w:lvlText w:val="–"/>
      <w:lvlJc w:val="left"/>
      <w:pPr>
        <w:tabs>
          <w:tab w:val="num" w:pos="5400"/>
        </w:tabs>
        <w:ind w:left="5400" w:hanging="360"/>
      </w:pPr>
      <w:rPr>
        <w:rFonts w:ascii="Calibri" w:hAnsi="Calibri" w:hint="default"/>
      </w:rPr>
    </w:lvl>
    <w:lvl w:ilvl="8" w:tplc="C4B4DF00" w:tentative="1">
      <w:start w:val="1"/>
      <w:numFmt w:val="bullet"/>
      <w:lvlText w:val="–"/>
      <w:lvlJc w:val="left"/>
      <w:pPr>
        <w:tabs>
          <w:tab w:val="num" w:pos="6120"/>
        </w:tabs>
        <w:ind w:left="6120" w:hanging="360"/>
      </w:pPr>
      <w:rPr>
        <w:rFonts w:ascii="Calibri" w:hAnsi="Calibri" w:hint="default"/>
      </w:rPr>
    </w:lvl>
  </w:abstractNum>
  <w:abstractNum w:abstractNumId="5" w15:restartNumberingAfterBreak="0">
    <w:nsid w:val="3EC4373B"/>
    <w:multiLevelType w:val="hybridMultilevel"/>
    <w:tmpl w:val="1E921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2A7444"/>
    <w:multiLevelType w:val="hybridMultilevel"/>
    <w:tmpl w:val="26341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B4600"/>
    <w:multiLevelType w:val="hybridMultilevel"/>
    <w:tmpl w:val="6C821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9042FE"/>
    <w:multiLevelType w:val="hybridMultilevel"/>
    <w:tmpl w:val="9E106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B51D72"/>
    <w:multiLevelType w:val="hybridMultilevel"/>
    <w:tmpl w:val="BBFC2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B45D71"/>
    <w:multiLevelType w:val="hybridMultilevel"/>
    <w:tmpl w:val="227C73B4"/>
    <w:lvl w:ilvl="0" w:tplc="75AA8720">
      <w:start w:val="1"/>
      <w:numFmt w:val="lowerRoman"/>
      <w:lvlText w:val="%1)"/>
      <w:lvlJc w:val="left"/>
      <w:pPr>
        <w:ind w:left="1428" w:hanging="720"/>
      </w:pPr>
      <w:rPr>
        <w:rFonts w:hint="default"/>
      </w:rPr>
    </w:lvl>
    <w:lvl w:ilvl="1" w:tplc="080A0019" w:tentative="1">
      <w:start w:val="1"/>
      <w:numFmt w:val="lowerLetter"/>
      <w:lvlText w:val="%2."/>
      <w:lvlJc w:val="left"/>
      <w:pPr>
        <w:ind w:left="1428" w:hanging="360"/>
      </w:pPr>
    </w:lvl>
    <w:lvl w:ilvl="2" w:tplc="080A001B" w:tentative="1">
      <w:start w:val="1"/>
      <w:numFmt w:val="lowerRoman"/>
      <w:lvlText w:val="%3."/>
      <w:lvlJc w:val="right"/>
      <w:pPr>
        <w:ind w:left="2148" w:hanging="180"/>
      </w:pPr>
    </w:lvl>
    <w:lvl w:ilvl="3" w:tplc="080A000F" w:tentative="1">
      <w:start w:val="1"/>
      <w:numFmt w:val="decimal"/>
      <w:lvlText w:val="%4."/>
      <w:lvlJc w:val="left"/>
      <w:pPr>
        <w:ind w:left="2868" w:hanging="360"/>
      </w:pPr>
    </w:lvl>
    <w:lvl w:ilvl="4" w:tplc="080A0019" w:tentative="1">
      <w:start w:val="1"/>
      <w:numFmt w:val="lowerLetter"/>
      <w:lvlText w:val="%5."/>
      <w:lvlJc w:val="left"/>
      <w:pPr>
        <w:ind w:left="3588" w:hanging="360"/>
      </w:pPr>
    </w:lvl>
    <w:lvl w:ilvl="5" w:tplc="080A001B" w:tentative="1">
      <w:start w:val="1"/>
      <w:numFmt w:val="lowerRoman"/>
      <w:lvlText w:val="%6."/>
      <w:lvlJc w:val="right"/>
      <w:pPr>
        <w:ind w:left="4308" w:hanging="180"/>
      </w:pPr>
    </w:lvl>
    <w:lvl w:ilvl="6" w:tplc="080A000F" w:tentative="1">
      <w:start w:val="1"/>
      <w:numFmt w:val="decimal"/>
      <w:lvlText w:val="%7."/>
      <w:lvlJc w:val="left"/>
      <w:pPr>
        <w:ind w:left="5028" w:hanging="360"/>
      </w:pPr>
    </w:lvl>
    <w:lvl w:ilvl="7" w:tplc="080A0019" w:tentative="1">
      <w:start w:val="1"/>
      <w:numFmt w:val="lowerLetter"/>
      <w:lvlText w:val="%8."/>
      <w:lvlJc w:val="left"/>
      <w:pPr>
        <w:ind w:left="5748" w:hanging="360"/>
      </w:pPr>
    </w:lvl>
    <w:lvl w:ilvl="8" w:tplc="080A001B" w:tentative="1">
      <w:start w:val="1"/>
      <w:numFmt w:val="lowerRoman"/>
      <w:lvlText w:val="%9."/>
      <w:lvlJc w:val="right"/>
      <w:pPr>
        <w:ind w:left="6468" w:hanging="180"/>
      </w:pPr>
    </w:lvl>
  </w:abstractNum>
  <w:abstractNum w:abstractNumId="12" w15:restartNumberingAfterBreak="0">
    <w:nsid w:val="70AF29B6"/>
    <w:multiLevelType w:val="hybridMultilevel"/>
    <w:tmpl w:val="CCD815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59B16A4"/>
    <w:multiLevelType w:val="hybridMultilevel"/>
    <w:tmpl w:val="15B63F04"/>
    <w:lvl w:ilvl="0" w:tplc="080A0001">
      <w:start w:val="1"/>
      <w:numFmt w:val="bullet"/>
      <w:lvlText w:val=""/>
      <w:lvlJc w:val="left"/>
      <w:pPr>
        <w:ind w:left="720" w:hanging="360"/>
      </w:pPr>
      <w:rPr>
        <w:rFonts w:ascii="Symbol" w:hAnsi="Symbol" w:hint="default"/>
      </w:rPr>
    </w:lvl>
    <w:lvl w:ilvl="1" w:tplc="DD2ECD26">
      <w:start w:val="1"/>
      <w:numFmt w:val="bullet"/>
      <w:lvlText w:val="-"/>
      <w:lvlJc w:val="left"/>
      <w:pPr>
        <w:ind w:left="1440" w:hanging="360"/>
      </w:pPr>
      <w:rPr>
        <w:rFonts w:ascii="ITC Avant Garde" w:eastAsia="Times New Roman" w:hAnsi="ITC Avant Garde"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9CB39C6"/>
    <w:multiLevelType w:val="hybridMultilevel"/>
    <w:tmpl w:val="4DFAEBD0"/>
    <w:lvl w:ilvl="0" w:tplc="080A0001">
      <w:start w:val="1"/>
      <w:numFmt w:val="bullet"/>
      <w:lvlText w:val=""/>
      <w:lvlJc w:val="left"/>
      <w:pPr>
        <w:tabs>
          <w:tab w:val="num" w:pos="360"/>
        </w:tabs>
        <w:ind w:left="360" w:hanging="360"/>
      </w:pPr>
      <w:rPr>
        <w:rFonts w:ascii="Symbol" w:hAnsi="Symbol" w:hint="default"/>
      </w:rPr>
    </w:lvl>
    <w:lvl w:ilvl="1" w:tplc="B832EFD8">
      <w:start w:val="1"/>
      <w:numFmt w:val="bullet"/>
      <w:lvlText w:val="–"/>
      <w:lvlJc w:val="left"/>
      <w:pPr>
        <w:tabs>
          <w:tab w:val="num" w:pos="1080"/>
        </w:tabs>
        <w:ind w:left="1080" w:hanging="360"/>
      </w:pPr>
      <w:rPr>
        <w:rFonts w:ascii="Calibri" w:hAnsi="Calibri" w:hint="default"/>
      </w:rPr>
    </w:lvl>
    <w:lvl w:ilvl="2" w:tplc="EF88B89A">
      <w:start w:val="1"/>
      <w:numFmt w:val="bullet"/>
      <w:lvlText w:val="–"/>
      <w:lvlJc w:val="left"/>
      <w:pPr>
        <w:tabs>
          <w:tab w:val="num" w:pos="1800"/>
        </w:tabs>
        <w:ind w:left="1800" w:hanging="360"/>
      </w:pPr>
      <w:rPr>
        <w:rFonts w:ascii="Calibri" w:hAnsi="Calibri" w:hint="default"/>
      </w:rPr>
    </w:lvl>
    <w:lvl w:ilvl="3" w:tplc="080A0001">
      <w:start w:val="1"/>
      <w:numFmt w:val="bullet"/>
      <w:lvlText w:val=""/>
      <w:lvlJc w:val="left"/>
      <w:pPr>
        <w:tabs>
          <w:tab w:val="num" w:pos="2520"/>
        </w:tabs>
        <w:ind w:left="2520" w:hanging="360"/>
      </w:pPr>
      <w:rPr>
        <w:rFonts w:ascii="Symbol" w:hAnsi="Symbol" w:hint="default"/>
      </w:rPr>
    </w:lvl>
    <w:lvl w:ilvl="4" w:tplc="B5A4C540" w:tentative="1">
      <w:start w:val="1"/>
      <w:numFmt w:val="bullet"/>
      <w:lvlText w:val="–"/>
      <w:lvlJc w:val="left"/>
      <w:pPr>
        <w:tabs>
          <w:tab w:val="num" w:pos="3240"/>
        </w:tabs>
        <w:ind w:left="3240" w:hanging="360"/>
      </w:pPr>
      <w:rPr>
        <w:rFonts w:ascii="Calibri" w:hAnsi="Calibri" w:hint="default"/>
      </w:rPr>
    </w:lvl>
    <w:lvl w:ilvl="5" w:tplc="D4A43A3A" w:tentative="1">
      <w:start w:val="1"/>
      <w:numFmt w:val="bullet"/>
      <w:lvlText w:val="–"/>
      <w:lvlJc w:val="left"/>
      <w:pPr>
        <w:tabs>
          <w:tab w:val="num" w:pos="3960"/>
        </w:tabs>
        <w:ind w:left="3960" w:hanging="360"/>
      </w:pPr>
      <w:rPr>
        <w:rFonts w:ascii="Calibri" w:hAnsi="Calibri" w:hint="default"/>
      </w:rPr>
    </w:lvl>
    <w:lvl w:ilvl="6" w:tplc="32C872AE" w:tentative="1">
      <w:start w:val="1"/>
      <w:numFmt w:val="bullet"/>
      <w:lvlText w:val="–"/>
      <w:lvlJc w:val="left"/>
      <w:pPr>
        <w:tabs>
          <w:tab w:val="num" w:pos="4680"/>
        </w:tabs>
        <w:ind w:left="4680" w:hanging="360"/>
      </w:pPr>
      <w:rPr>
        <w:rFonts w:ascii="Calibri" w:hAnsi="Calibri" w:hint="default"/>
      </w:rPr>
    </w:lvl>
    <w:lvl w:ilvl="7" w:tplc="0CB4B1CE" w:tentative="1">
      <w:start w:val="1"/>
      <w:numFmt w:val="bullet"/>
      <w:lvlText w:val="–"/>
      <w:lvlJc w:val="left"/>
      <w:pPr>
        <w:tabs>
          <w:tab w:val="num" w:pos="5400"/>
        </w:tabs>
        <w:ind w:left="5400" w:hanging="360"/>
      </w:pPr>
      <w:rPr>
        <w:rFonts w:ascii="Calibri" w:hAnsi="Calibri" w:hint="default"/>
      </w:rPr>
    </w:lvl>
    <w:lvl w:ilvl="8" w:tplc="C4B4DF00" w:tentative="1">
      <w:start w:val="1"/>
      <w:numFmt w:val="bullet"/>
      <w:lvlText w:val="–"/>
      <w:lvlJc w:val="left"/>
      <w:pPr>
        <w:tabs>
          <w:tab w:val="num" w:pos="6120"/>
        </w:tabs>
        <w:ind w:left="6120" w:hanging="360"/>
      </w:pPr>
      <w:rPr>
        <w:rFonts w:ascii="Calibri" w:hAnsi="Calibri" w:hint="default"/>
      </w:rPr>
    </w:lvl>
  </w:abstractNum>
  <w:num w:numId="1">
    <w:abstractNumId w:val="1"/>
  </w:num>
  <w:num w:numId="2">
    <w:abstractNumId w:val="3"/>
  </w:num>
  <w:num w:numId="3">
    <w:abstractNumId w:val="9"/>
  </w:num>
  <w:num w:numId="4">
    <w:abstractNumId w:val="0"/>
  </w:num>
  <w:num w:numId="5">
    <w:abstractNumId w:val="4"/>
  </w:num>
  <w:num w:numId="6">
    <w:abstractNumId w:val="14"/>
  </w:num>
  <w:num w:numId="7">
    <w:abstractNumId w:val="2"/>
  </w:num>
  <w:num w:numId="8">
    <w:abstractNumId w:val="7"/>
  </w:num>
  <w:num w:numId="9">
    <w:abstractNumId w:val="12"/>
  </w:num>
  <w:num w:numId="10">
    <w:abstractNumId w:val="11"/>
  </w:num>
  <w:num w:numId="11">
    <w:abstractNumId w:val="13"/>
  </w:num>
  <w:num w:numId="12">
    <w:abstractNumId w:val="6"/>
  </w:num>
  <w:num w:numId="13">
    <w:abstractNumId w:val="10"/>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282F"/>
    <w:rsid w:val="000040BE"/>
    <w:rsid w:val="00010E6F"/>
    <w:rsid w:val="00021824"/>
    <w:rsid w:val="00021FB4"/>
    <w:rsid w:val="0004013F"/>
    <w:rsid w:val="000427EA"/>
    <w:rsid w:val="00044D30"/>
    <w:rsid w:val="0006478F"/>
    <w:rsid w:val="00085A25"/>
    <w:rsid w:val="000A4369"/>
    <w:rsid w:val="000B758C"/>
    <w:rsid w:val="000C16BC"/>
    <w:rsid w:val="000D401B"/>
    <w:rsid w:val="000E6A13"/>
    <w:rsid w:val="000F669B"/>
    <w:rsid w:val="00100006"/>
    <w:rsid w:val="00154666"/>
    <w:rsid w:val="00164398"/>
    <w:rsid w:val="001738E6"/>
    <w:rsid w:val="00177F7B"/>
    <w:rsid w:val="00181A32"/>
    <w:rsid w:val="001932FC"/>
    <w:rsid w:val="001B035F"/>
    <w:rsid w:val="001B4A51"/>
    <w:rsid w:val="001C7E86"/>
    <w:rsid w:val="001E26FE"/>
    <w:rsid w:val="001F32C7"/>
    <w:rsid w:val="00206C6C"/>
    <w:rsid w:val="00211C96"/>
    <w:rsid w:val="00242791"/>
    <w:rsid w:val="00247B33"/>
    <w:rsid w:val="00286496"/>
    <w:rsid w:val="00290506"/>
    <w:rsid w:val="00295682"/>
    <w:rsid w:val="00295E97"/>
    <w:rsid w:val="002D221A"/>
    <w:rsid w:val="002D28C7"/>
    <w:rsid w:val="002E2C70"/>
    <w:rsid w:val="0030055F"/>
    <w:rsid w:val="003014A0"/>
    <w:rsid w:val="003039BF"/>
    <w:rsid w:val="00312C80"/>
    <w:rsid w:val="00323167"/>
    <w:rsid w:val="00333B41"/>
    <w:rsid w:val="003411CE"/>
    <w:rsid w:val="0034136D"/>
    <w:rsid w:val="00371611"/>
    <w:rsid w:val="00372BF7"/>
    <w:rsid w:val="00390735"/>
    <w:rsid w:val="003949C0"/>
    <w:rsid w:val="003A72BC"/>
    <w:rsid w:val="003B48A5"/>
    <w:rsid w:val="003C4F30"/>
    <w:rsid w:val="003E1D84"/>
    <w:rsid w:val="003F05E7"/>
    <w:rsid w:val="003F46F0"/>
    <w:rsid w:val="004064D7"/>
    <w:rsid w:val="00407535"/>
    <w:rsid w:val="004226AE"/>
    <w:rsid w:val="004364EF"/>
    <w:rsid w:val="00451B7D"/>
    <w:rsid w:val="004603F7"/>
    <w:rsid w:val="0049127C"/>
    <w:rsid w:val="004A09A8"/>
    <w:rsid w:val="004A7C30"/>
    <w:rsid w:val="004B0089"/>
    <w:rsid w:val="004B6836"/>
    <w:rsid w:val="004E0AA9"/>
    <w:rsid w:val="004E0DA9"/>
    <w:rsid w:val="004F23D9"/>
    <w:rsid w:val="00501ADF"/>
    <w:rsid w:val="005319D5"/>
    <w:rsid w:val="00554858"/>
    <w:rsid w:val="005778C8"/>
    <w:rsid w:val="00596FDE"/>
    <w:rsid w:val="005A06B2"/>
    <w:rsid w:val="005A2498"/>
    <w:rsid w:val="005A40FB"/>
    <w:rsid w:val="005B2C92"/>
    <w:rsid w:val="005C06CB"/>
    <w:rsid w:val="005C44A8"/>
    <w:rsid w:val="005D52D1"/>
    <w:rsid w:val="006220C6"/>
    <w:rsid w:val="00623EB8"/>
    <w:rsid w:val="00634DE8"/>
    <w:rsid w:val="00641D09"/>
    <w:rsid w:val="006717D5"/>
    <w:rsid w:val="00672A5B"/>
    <w:rsid w:val="0068307E"/>
    <w:rsid w:val="00697392"/>
    <w:rsid w:val="006A3A0E"/>
    <w:rsid w:val="006A7E4F"/>
    <w:rsid w:val="006B406C"/>
    <w:rsid w:val="006D7556"/>
    <w:rsid w:val="006D7A08"/>
    <w:rsid w:val="006E38B2"/>
    <w:rsid w:val="006F2F23"/>
    <w:rsid w:val="006F7BB6"/>
    <w:rsid w:val="007018A1"/>
    <w:rsid w:val="00712636"/>
    <w:rsid w:val="00714252"/>
    <w:rsid w:val="0074323F"/>
    <w:rsid w:val="00764331"/>
    <w:rsid w:val="0076488A"/>
    <w:rsid w:val="00777168"/>
    <w:rsid w:val="00785B39"/>
    <w:rsid w:val="007906D0"/>
    <w:rsid w:val="00793CBA"/>
    <w:rsid w:val="00795BDE"/>
    <w:rsid w:val="007A37D6"/>
    <w:rsid w:val="007B308B"/>
    <w:rsid w:val="007B6971"/>
    <w:rsid w:val="007D4E5B"/>
    <w:rsid w:val="007F37BF"/>
    <w:rsid w:val="00801FED"/>
    <w:rsid w:val="00804F49"/>
    <w:rsid w:val="008135FB"/>
    <w:rsid w:val="00814A48"/>
    <w:rsid w:val="00827470"/>
    <w:rsid w:val="0084560D"/>
    <w:rsid w:val="00862770"/>
    <w:rsid w:val="0086684A"/>
    <w:rsid w:val="00866F99"/>
    <w:rsid w:val="00870931"/>
    <w:rsid w:val="00876D05"/>
    <w:rsid w:val="00895D09"/>
    <w:rsid w:val="008A48B0"/>
    <w:rsid w:val="008C2265"/>
    <w:rsid w:val="008C76AF"/>
    <w:rsid w:val="008E1AD3"/>
    <w:rsid w:val="008E3011"/>
    <w:rsid w:val="009058DB"/>
    <w:rsid w:val="00911216"/>
    <w:rsid w:val="00923ED4"/>
    <w:rsid w:val="00926588"/>
    <w:rsid w:val="0094152D"/>
    <w:rsid w:val="009442FD"/>
    <w:rsid w:val="009656B1"/>
    <w:rsid w:val="009806B7"/>
    <w:rsid w:val="00986E23"/>
    <w:rsid w:val="00993C6E"/>
    <w:rsid w:val="009B5047"/>
    <w:rsid w:val="009C570F"/>
    <w:rsid w:val="009C714B"/>
    <w:rsid w:val="009D10E1"/>
    <w:rsid w:val="009D3AE7"/>
    <w:rsid w:val="009D5C70"/>
    <w:rsid w:val="009D73E5"/>
    <w:rsid w:val="009E0E9E"/>
    <w:rsid w:val="009E5E56"/>
    <w:rsid w:val="009E67B3"/>
    <w:rsid w:val="009F237F"/>
    <w:rsid w:val="009F5BB4"/>
    <w:rsid w:val="00A04FE9"/>
    <w:rsid w:val="00A13753"/>
    <w:rsid w:val="00A1622C"/>
    <w:rsid w:val="00A22148"/>
    <w:rsid w:val="00A36E75"/>
    <w:rsid w:val="00A36EB4"/>
    <w:rsid w:val="00A7211D"/>
    <w:rsid w:val="00A73AD8"/>
    <w:rsid w:val="00A81C3A"/>
    <w:rsid w:val="00A855B0"/>
    <w:rsid w:val="00A93621"/>
    <w:rsid w:val="00AA4CB3"/>
    <w:rsid w:val="00AC18C7"/>
    <w:rsid w:val="00B2360F"/>
    <w:rsid w:val="00B24AB5"/>
    <w:rsid w:val="00B30CDF"/>
    <w:rsid w:val="00B32137"/>
    <w:rsid w:val="00B32DDD"/>
    <w:rsid w:val="00B41497"/>
    <w:rsid w:val="00B44037"/>
    <w:rsid w:val="00B6149C"/>
    <w:rsid w:val="00B6461E"/>
    <w:rsid w:val="00B74C55"/>
    <w:rsid w:val="00B74F10"/>
    <w:rsid w:val="00B77B4B"/>
    <w:rsid w:val="00B86F9F"/>
    <w:rsid w:val="00BA0F10"/>
    <w:rsid w:val="00BA4E93"/>
    <w:rsid w:val="00BB73BA"/>
    <w:rsid w:val="00BC2FF7"/>
    <w:rsid w:val="00BE30E8"/>
    <w:rsid w:val="00BE7D1C"/>
    <w:rsid w:val="00C010F4"/>
    <w:rsid w:val="00C207AD"/>
    <w:rsid w:val="00C37872"/>
    <w:rsid w:val="00C41C9E"/>
    <w:rsid w:val="00C46867"/>
    <w:rsid w:val="00C53388"/>
    <w:rsid w:val="00C5470D"/>
    <w:rsid w:val="00C74E24"/>
    <w:rsid w:val="00C917FC"/>
    <w:rsid w:val="00CD3DA3"/>
    <w:rsid w:val="00CD639C"/>
    <w:rsid w:val="00CD6CA0"/>
    <w:rsid w:val="00CE2EA1"/>
    <w:rsid w:val="00CE4D29"/>
    <w:rsid w:val="00D02DA9"/>
    <w:rsid w:val="00D0386B"/>
    <w:rsid w:val="00D055E1"/>
    <w:rsid w:val="00D221B5"/>
    <w:rsid w:val="00D2373C"/>
    <w:rsid w:val="00D23BD5"/>
    <w:rsid w:val="00D31AE9"/>
    <w:rsid w:val="00D55CA7"/>
    <w:rsid w:val="00D86978"/>
    <w:rsid w:val="00D96CEA"/>
    <w:rsid w:val="00DB01FA"/>
    <w:rsid w:val="00DE6F24"/>
    <w:rsid w:val="00E046F4"/>
    <w:rsid w:val="00E071D8"/>
    <w:rsid w:val="00E16506"/>
    <w:rsid w:val="00E17E05"/>
    <w:rsid w:val="00E21B49"/>
    <w:rsid w:val="00E27972"/>
    <w:rsid w:val="00E324D0"/>
    <w:rsid w:val="00E6080B"/>
    <w:rsid w:val="00E70F37"/>
    <w:rsid w:val="00E74CF6"/>
    <w:rsid w:val="00E768BA"/>
    <w:rsid w:val="00E76F2A"/>
    <w:rsid w:val="00E8340B"/>
    <w:rsid w:val="00E90DBB"/>
    <w:rsid w:val="00EC3BDA"/>
    <w:rsid w:val="00EE47AA"/>
    <w:rsid w:val="00EE6FE8"/>
    <w:rsid w:val="00EF3C0A"/>
    <w:rsid w:val="00F03289"/>
    <w:rsid w:val="00F121C9"/>
    <w:rsid w:val="00F265A3"/>
    <w:rsid w:val="00F31821"/>
    <w:rsid w:val="00F342A4"/>
    <w:rsid w:val="00F75051"/>
    <w:rsid w:val="00F75427"/>
    <w:rsid w:val="00F75C80"/>
    <w:rsid w:val="00F9299E"/>
    <w:rsid w:val="00F94A28"/>
    <w:rsid w:val="00FB0DBC"/>
    <w:rsid w:val="00FB158A"/>
    <w:rsid w:val="00FB4FEA"/>
    <w:rsid w:val="00FB58BA"/>
    <w:rsid w:val="00FC6FE6"/>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1A93D"/>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ALTS FOOTNOT"/>
    <w:basedOn w:val="Normal"/>
    <w:link w:val="TextonotapieCar"/>
    <w:uiPriority w:val="99"/>
    <w:unhideWhenUsed/>
    <w:qFormat/>
    <w:rsid w:val="008E1AD3"/>
    <w:pPr>
      <w:spacing w:after="0" w:line="240" w:lineRule="auto"/>
    </w:pPr>
    <w:rPr>
      <w:sz w:val="20"/>
      <w:szCs w:val="20"/>
    </w:rPr>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basedOn w:val="Fuentedeprrafopredeter"/>
    <w:link w:val="Textonotapie"/>
    <w:uiPriority w:val="99"/>
    <w:rsid w:val="008E1AD3"/>
    <w:rPr>
      <w:sz w:val="20"/>
      <w:szCs w:val="20"/>
    </w:rPr>
  </w:style>
  <w:style w:type="character" w:styleId="Refdenotaalpie">
    <w:name w:val="footnote reference"/>
    <w:aliases w:val="fr,o,Style 6,Footnote Reference Superscript,Ref,de nota al pie,FC,Appel note de bas de p,referencia nota al pie,Footnote symbol,Texto de nota al pie,Footnotes refss,Appel note de bas de page,Style 12,(NECG) Footnote Reference"/>
    <w:basedOn w:val="Fuentedeprrafopredeter"/>
    <w:uiPriority w:val="99"/>
    <w:unhideWhenUsed/>
    <w:qFormat/>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customStyle="1" w:styleId="Normalresolucion">
    <w:name w:val="Normal resolucion"/>
    <w:basedOn w:val="Normal"/>
    <w:link w:val="NormalresolucionChar"/>
    <w:qFormat/>
    <w:rsid w:val="000B758C"/>
    <w:pPr>
      <w:spacing w:before="240" w:after="120" w:line="240" w:lineRule="auto"/>
      <w:jc w:val="both"/>
    </w:pPr>
    <w:rPr>
      <w:rFonts w:ascii="ITC Avant Garde" w:eastAsia="Times New Roman" w:hAnsi="ITC Avant Garde" w:cs="Arial"/>
      <w:lang w:val="es-ES" w:eastAsia="es-ES"/>
    </w:rPr>
  </w:style>
  <w:style w:type="character" w:customStyle="1" w:styleId="NormalresolucionChar">
    <w:name w:val="Normal resolucion Char"/>
    <w:basedOn w:val="Fuentedeprrafopredeter"/>
    <w:link w:val="Normalresolucion"/>
    <w:rsid w:val="000B758C"/>
    <w:rPr>
      <w:rFonts w:ascii="ITC Avant Garde" w:eastAsia="Times New Roman" w:hAnsi="ITC Avant Garde"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3089">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3167121">
      <w:bodyDiv w:val="1"/>
      <w:marLeft w:val="0"/>
      <w:marRight w:val="0"/>
      <w:marTop w:val="0"/>
      <w:marBottom w:val="0"/>
      <w:divBdr>
        <w:top w:val="none" w:sz="0" w:space="0" w:color="auto"/>
        <w:left w:val="none" w:sz="0" w:space="0" w:color="auto"/>
        <w:bottom w:val="none" w:sz="0" w:space="0" w:color="auto"/>
        <w:right w:val="none" w:sz="0" w:space="0" w:color="auto"/>
      </w:divBdr>
      <w:divsChild>
        <w:div w:id="1364749528">
          <w:marLeft w:val="0"/>
          <w:marRight w:val="0"/>
          <w:marTop w:val="0"/>
          <w:marBottom w:val="0"/>
          <w:divBdr>
            <w:top w:val="none" w:sz="0" w:space="0" w:color="auto"/>
            <w:left w:val="none" w:sz="0" w:space="0" w:color="auto"/>
            <w:bottom w:val="none" w:sz="0" w:space="0" w:color="auto"/>
            <w:right w:val="none" w:sz="0" w:space="0" w:color="auto"/>
          </w:divBdr>
          <w:divsChild>
            <w:div w:id="1883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39997">
      <w:bodyDiv w:val="1"/>
      <w:marLeft w:val="0"/>
      <w:marRight w:val="0"/>
      <w:marTop w:val="0"/>
      <w:marBottom w:val="0"/>
      <w:divBdr>
        <w:top w:val="none" w:sz="0" w:space="0" w:color="auto"/>
        <w:left w:val="none" w:sz="0" w:space="0" w:color="auto"/>
        <w:bottom w:val="none" w:sz="0" w:space="0" w:color="auto"/>
        <w:right w:val="none" w:sz="0" w:space="0" w:color="auto"/>
      </w:divBdr>
      <w:divsChild>
        <w:div w:id="33699105">
          <w:marLeft w:val="850"/>
          <w:marRight w:val="0"/>
          <w:marTop w:val="0"/>
          <w:marBottom w:val="0"/>
          <w:divBdr>
            <w:top w:val="none" w:sz="0" w:space="0" w:color="auto"/>
            <w:left w:val="none" w:sz="0" w:space="0" w:color="auto"/>
            <w:bottom w:val="none" w:sz="0" w:space="0" w:color="auto"/>
            <w:right w:val="none" w:sz="0" w:space="0" w:color="auto"/>
          </w:divBdr>
        </w:div>
        <w:div w:id="331107865">
          <w:marLeft w:val="850"/>
          <w:marRight w:val="0"/>
          <w:marTop w:val="0"/>
          <w:marBottom w:val="0"/>
          <w:divBdr>
            <w:top w:val="none" w:sz="0" w:space="0" w:color="auto"/>
            <w:left w:val="none" w:sz="0" w:space="0" w:color="auto"/>
            <w:bottom w:val="none" w:sz="0" w:space="0" w:color="auto"/>
            <w:right w:val="none" w:sz="0" w:space="0" w:color="auto"/>
          </w:divBdr>
        </w:div>
      </w:divsChild>
    </w:div>
    <w:div w:id="1651717074">
      <w:bodyDiv w:val="1"/>
      <w:marLeft w:val="0"/>
      <w:marRight w:val="0"/>
      <w:marTop w:val="0"/>
      <w:marBottom w:val="0"/>
      <w:divBdr>
        <w:top w:val="none" w:sz="0" w:space="0" w:color="auto"/>
        <w:left w:val="none" w:sz="0" w:space="0" w:color="auto"/>
        <w:bottom w:val="none" w:sz="0" w:space="0" w:color="auto"/>
        <w:right w:val="none" w:sz="0" w:space="0" w:color="auto"/>
      </w:divBdr>
      <w:divsChild>
        <w:div w:id="510148432">
          <w:marLeft w:val="1138"/>
          <w:marRight w:val="0"/>
          <w:marTop w:val="0"/>
          <w:marBottom w:val="0"/>
          <w:divBdr>
            <w:top w:val="none" w:sz="0" w:space="0" w:color="auto"/>
            <w:left w:val="none" w:sz="0" w:space="0" w:color="auto"/>
            <w:bottom w:val="none" w:sz="0" w:space="0" w:color="auto"/>
            <w:right w:val="none" w:sz="0" w:space="0" w:color="auto"/>
          </w:divBdr>
        </w:div>
        <w:div w:id="372851415">
          <w:marLeft w:val="1138"/>
          <w:marRight w:val="0"/>
          <w:marTop w:val="0"/>
          <w:marBottom w:val="0"/>
          <w:divBdr>
            <w:top w:val="none" w:sz="0" w:space="0" w:color="auto"/>
            <w:left w:val="none" w:sz="0" w:space="0" w:color="auto"/>
            <w:bottom w:val="none" w:sz="0" w:space="0" w:color="auto"/>
            <w:right w:val="none" w:sz="0" w:space="0" w:color="auto"/>
          </w:divBdr>
        </w:div>
        <w:div w:id="1510020957">
          <w:marLeft w:val="1138"/>
          <w:marRight w:val="0"/>
          <w:marTop w:val="0"/>
          <w:marBottom w:val="0"/>
          <w:divBdr>
            <w:top w:val="none" w:sz="0" w:space="0" w:color="auto"/>
            <w:left w:val="none" w:sz="0" w:space="0" w:color="auto"/>
            <w:bottom w:val="none" w:sz="0" w:space="0" w:color="auto"/>
            <w:right w:val="none" w:sz="0" w:space="0" w:color="auto"/>
          </w:divBdr>
        </w:div>
        <w:div w:id="1462647271">
          <w:marLeft w:val="1138"/>
          <w:marRight w:val="0"/>
          <w:marTop w:val="0"/>
          <w:marBottom w:val="0"/>
          <w:divBdr>
            <w:top w:val="none" w:sz="0" w:space="0" w:color="auto"/>
            <w:left w:val="none" w:sz="0" w:space="0" w:color="auto"/>
            <w:bottom w:val="none" w:sz="0" w:space="0" w:color="auto"/>
            <w:right w:val="none" w:sz="0" w:space="0" w:color="auto"/>
          </w:divBdr>
        </w:div>
      </w:divsChild>
    </w:div>
    <w:div w:id="200770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40B1"/>
    <w:rsid w:val="000970D1"/>
    <w:rsid w:val="00156B10"/>
    <w:rsid w:val="00162398"/>
    <w:rsid w:val="001E49DA"/>
    <w:rsid w:val="003143A2"/>
    <w:rsid w:val="00361AF2"/>
    <w:rsid w:val="00504DE3"/>
    <w:rsid w:val="0051743B"/>
    <w:rsid w:val="00540EA6"/>
    <w:rsid w:val="0058081F"/>
    <w:rsid w:val="006020B4"/>
    <w:rsid w:val="00622624"/>
    <w:rsid w:val="006319F6"/>
    <w:rsid w:val="00666B1C"/>
    <w:rsid w:val="0068655D"/>
    <w:rsid w:val="006A6795"/>
    <w:rsid w:val="007118CA"/>
    <w:rsid w:val="00755B84"/>
    <w:rsid w:val="00760FAD"/>
    <w:rsid w:val="00895355"/>
    <w:rsid w:val="0094771C"/>
    <w:rsid w:val="00963F51"/>
    <w:rsid w:val="00981D52"/>
    <w:rsid w:val="00A80CA9"/>
    <w:rsid w:val="00B05362"/>
    <w:rsid w:val="00B234BA"/>
    <w:rsid w:val="00B53C30"/>
    <w:rsid w:val="00B748CE"/>
    <w:rsid w:val="00B9532B"/>
    <w:rsid w:val="00B95637"/>
    <w:rsid w:val="00BD02AE"/>
    <w:rsid w:val="00BD59E5"/>
    <w:rsid w:val="00CD1CF3"/>
    <w:rsid w:val="00DB3940"/>
    <w:rsid w:val="00E11EA0"/>
    <w:rsid w:val="00EB2284"/>
    <w:rsid w:val="00F04DDA"/>
    <w:rsid w:val="00F8074D"/>
    <w:rsid w:val="00FC456E"/>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576564C33AF942A83576002B770190" ma:contentTypeVersion="0" ma:contentTypeDescription="Crear nuevo documento." ma:contentTypeScope="" ma:versionID="8567e6907f0cbe19f77a7503bdf58564">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1F1CC-D23B-42CF-A300-C4921C108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EDE5B8F3-6B35-4F82-8FF3-1AF0C010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6729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Lorely Ochoa Moncisvais</cp:lastModifiedBy>
  <cp:revision>2</cp:revision>
  <dcterms:created xsi:type="dcterms:W3CDTF">2018-10-04T01:14:00Z</dcterms:created>
  <dcterms:modified xsi:type="dcterms:W3CDTF">2018-10-04T01:14:00Z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0x0101005A576564C33AF942A83576002B770190</vt:lpwstr>
  </property>
</Properties>
</file>