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24F74" w14:textId="03462ECD" w:rsidR="00FF0299" w:rsidRPr="005B36F9" w:rsidRDefault="00BC09A3" w:rsidP="006C321C">
      <w:pPr>
        <w:spacing w:after="0" w:line="276" w:lineRule="auto"/>
        <w:ind w:left="0" w:right="0" w:firstLine="0"/>
        <w:rPr>
          <w:rFonts w:ascii="ITC Avant Garde" w:hAnsi="ITC Avant Garde"/>
          <w:b/>
        </w:rPr>
      </w:pPr>
      <w:r w:rsidRPr="006C321C">
        <w:rPr>
          <w:rFonts w:ascii="ITC Avant Garde" w:eastAsiaTheme="minorHAnsi" w:hAnsi="ITC Avant Garde" w:cstheme="minorBidi"/>
          <w:b/>
          <w:color w:val="auto"/>
          <w:sz w:val="24"/>
          <w:szCs w:val="24"/>
          <w:lang w:eastAsia="en-US"/>
        </w:rPr>
        <w:t>RESPUESTAS GENERALES QUE BRINDA EL INSTITUTO FEDERAL DE TELECOMUNICACIONES A LAS MANIFESTACIONES, OPINIONES, COMENTARIOS Y PROPUESTAS CONCRETAS, PRESENTADAS DURANTE LA CONSULTA PÚBLICA DE</w:t>
      </w:r>
      <w:r w:rsidR="00BB163B" w:rsidRPr="006C321C">
        <w:rPr>
          <w:rFonts w:ascii="ITC Avant Garde" w:eastAsiaTheme="minorHAnsi" w:hAnsi="ITC Avant Garde" w:cstheme="minorBidi"/>
          <w:b/>
          <w:color w:val="auto"/>
          <w:sz w:val="24"/>
          <w:szCs w:val="24"/>
          <w:lang w:eastAsia="en-US"/>
        </w:rPr>
        <w:t xml:space="preserve"> </w:t>
      </w:r>
      <w:r w:rsidRPr="006C321C">
        <w:rPr>
          <w:rFonts w:ascii="ITC Avant Garde" w:eastAsiaTheme="minorHAnsi" w:hAnsi="ITC Avant Garde" w:cstheme="minorBidi"/>
          <w:b/>
          <w:color w:val="auto"/>
          <w:sz w:val="24"/>
          <w:szCs w:val="24"/>
          <w:lang w:eastAsia="en-US"/>
        </w:rPr>
        <w:t>L</w:t>
      </w:r>
      <w:r w:rsidR="00EB2BB8" w:rsidRPr="006C321C">
        <w:rPr>
          <w:rFonts w:ascii="ITC Avant Garde" w:eastAsiaTheme="minorHAnsi" w:hAnsi="ITC Avant Garde" w:cstheme="minorBidi"/>
          <w:b/>
          <w:color w:val="auto"/>
          <w:sz w:val="24"/>
          <w:szCs w:val="24"/>
          <w:lang w:eastAsia="en-US"/>
        </w:rPr>
        <w:t>A</w:t>
      </w:r>
      <w:r w:rsidR="006C321C">
        <w:rPr>
          <w:rFonts w:ascii="ITC Avant Garde" w:eastAsiaTheme="minorHAnsi" w:hAnsi="ITC Avant Garde" w:cstheme="minorBidi"/>
          <w:b/>
          <w:color w:val="auto"/>
          <w:sz w:val="24"/>
          <w:szCs w:val="24"/>
          <w:lang w:eastAsia="en-US"/>
        </w:rPr>
        <w:t>S</w:t>
      </w:r>
      <w:r w:rsidR="00FF0299" w:rsidRPr="006C321C">
        <w:rPr>
          <w:rFonts w:ascii="ITC Avant Garde" w:eastAsiaTheme="minorHAnsi" w:hAnsi="ITC Avant Garde" w:cstheme="minorBidi"/>
          <w:b/>
          <w:color w:val="auto"/>
          <w:sz w:val="24"/>
          <w:szCs w:val="24"/>
          <w:lang w:eastAsia="en-US"/>
        </w:rPr>
        <w:t xml:space="preserve"> “</w:t>
      </w:r>
      <w:r w:rsidR="006C321C" w:rsidRPr="006C321C">
        <w:rPr>
          <w:rFonts w:ascii="ITC Avant Garde" w:eastAsiaTheme="minorHAnsi" w:hAnsi="ITC Avant Garde" w:cstheme="minorBidi"/>
          <w:b/>
          <w:i/>
          <w:color w:val="auto"/>
          <w:sz w:val="24"/>
          <w:szCs w:val="24"/>
          <w:lang w:eastAsia="en-US"/>
        </w:rPr>
        <w:t>PROPUESTAS DE OFERTAS DE REFERENCIA PARA LOS SERVICIOS MAYORISTAS DE USUARIO VISITANTE; COMERCIALIZACIÓN O REVENTA DE SERVICIOS; ACCESO Y USO COMPARTIDO DE INFRAESTRUCTURA, Y ARRENDAMIENTO DE ENLACES DEDICADOS PRESENTADOS POR EL AEP</w:t>
      </w:r>
      <w:r w:rsidR="00FF0299" w:rsidRPr="005B36F9">
        <w:rPr>
          <w:rFonts w:ascii="ITC Avant Garde" w:hAnsi="ITC Avant Garde"/>
          <w:b/>
        </w:rPr>
        <w:t>”.</w:t>
      </w:r>
    </w:p>
    <w:p w14:paraId="3807B4DF" w14:textId="77777777" w:rsidR="00BC09A3" w:rsidRPr="005B36F9" w:rsidRDefault="00BC09A3" w:rsidP="00FF0299">
      <w:pPr>
        <w:spacing w:after="1" w:line="276" w:lineRule="auto"/>
        <w:ind w:left="0" w:right="0" w:firstLine="0"/>
        <w:rPr>
          <w:rFonts w:ascii="ITC Avant Garde" w:hAnsi="ITC Avant Garde"/>
        </w:rPr>
      </w:pPr>
    </w:p>
    <w:p w14:paraId="0A57018D" w14:textId="51C272E7" w:rsidR="00104F67" w:rsidRDefault="00104F67" w:rsidP="00104F67">
      <w:pPr>
        <w:spacing w:after="0" w:line="276" w:lineRule="auto"/>
        <w:ind w:left="-6" w:hanging="11"/>
        <w:rPr>
          <w:rFonts w:ascii="ITC Avant Garde" w:hAnsi="ITC Avant Garde" w:cs="ITC Avant Garde"/>
        </w:rPr>
      </w:pPr>
      <w:r>
        <w:rPr>
          <w:rFonts w:ascii="ITC Avant Garde" w:hAnsi="ITC Avant Garde" w:cs="ITC Avant Garde"/>
          <w:b/>
        </w:rPr>
        <w:t>Fecha de Elaboración del Informe de Consideraciones sobre los comentarios, opiniones y aportaciones recibidos en relación a la presente Consulta Pública</w:t>
      </w:r>
      <w:r w:rsidRPr="00BB5136">
        <w:rPr>
          <w:rFonts w:ascii="ITC Avant Garde" w:hAnsi="ITC Avant Garde" w:cs="ITC Avant Garde"/>
          <w:b/>
        </w:rPr>
        <w:t xml:space="preserve">: </w:t>
      </w:r>
      <w:r w:rsidR="00A466D2" w:rsidRPr="00BB5136">
        <w:rPr>
          <w:rFonts w:ascii="ITC Avant Garde" w:hAnsi="ITC Avant Garde" w:cs="ITC Avant Garde"/>
        </w:rPr>
        <w:t>5</w:t>
      </w:r>
      <w:r w:rsidR="007D4BEE" w:rsidRPr="00BB5136">
        <w:rPr>
          <w:rFonts w:ascii="ITC Avant Garde" w:hAnsi="ITC Avant Garde" w:cs="ITC Avant Garde"/>
        </w:rPr>
        <w:t xml:space="preserve"> de </w:t>
      </w:r>
      <w:r w:rsidR="00525677">
        <w:rPr>
          <w:rFonts w:ascii="ITC Avant Garde" w:hAnsi="ITC Avant Garde" w:cs="ITC Avant Garde"/>
        </w:rPr>
        <w:t>diciembre</w:t>
      </w:r>
      <w:r w:rsidRPr="00BB5136">
        <w:rPr>
          <w:rFonts w:ascii="ITC Avant Garde" w:hAnsi="ITC Avant Garde" w:cs="ITC Avant Garde"/>
        </w:rPr>
        <w:t xml:space="preserve"> del 2018.</w:t>
      </w:r>
    </w:p>
    <w:p w14:paraId="122169D9" w14:textId="7E75A946" w:rsidR="00665D70" w:rsidRDefault="00665D70" w:rsidP="00104F67">
      <w:pPr>
        <w:spacing w:after="0" w:line="276" w:lineRule="auto"/>
        <w:ind w:left="-6" w:hanging="11"/>
        <w:rPr>
          <w:rFonts w:ascii="ITC Avant Garde" w:hAnsi="ITC Avant Garde" w:cs="ITC Avant Garde"/>
        </w:rPr>
      </w:pPr>
    </w:p>
    <w:p w14:paraId="4D4296DD" w14:textId="77777777" w:rsidR="00665D70" w:rsidRDefault="00665D70" w:rsidP="00665D70">
      <w:pPr>
        <w:spacing w:after="0" w:line="276" w:lineRule="auto"/>
        <w:ind w:left="-6" w:hanging="11"/>
        <w:rPr>
          <w:rFonts w:ascii="ITC Avant Garde" w:hAnsi="ITC Avant Garde" w:cs="ITC Avant Garde"/>
          <w:b/>
        </w:rPr>
      </w:pPr>
      <w:r>
        <w:rPr>
          <w:rFonts w:ascii="ITC Avant Garde" w:hAnsi="ITC Avant Garde" w:cs="ITC Avant Garde"/>
          <w:b/>
        </w:rPr>
        <w:t>Descripción de la Consulta Pública:</w:t>
      </w:r>
    </w:p>
    <w:p w14:paraId="0EA28AA8" w14:textId="7061F330" w:rsidR="00665D70" w:rsidRDefault="002A50FC" w:rsidP="00665D70">
      <w:pPr>
        <w:spacing w:after="0" w:line="276" w:lineRule="auto"/>
        <w:ind w:left="-6" w:right="0" w:hanging="11"/>
        <w:rPr>
          <w:rFonts w:ascii="ITC Avant Garde" w:eastAsiaTheme="minorHAnsi" w:hAnsi="ITC Avant Garde" w:cs="ITC Avant Garde"/>
          <w:lang w:eastAsia="en-US"/>
        </w:rPr>
      </w:pPr>
      <w:r w:rsidRPr="002A50FC">
        <w:rPr>
          <w:rFonts w:ascii="ITC Avant Garde" w:hAnsi="ITC Avant Garde"/>
        </w:rPr>
        <w:t xml:space="preserve">El Instituto Federal de Telecomunicaciones (en lo sucesivo, “Instituto”) </w:t>
      </w:r>
      <w:r w:rsidR="00665D70" w:rsidRPr="00665D70">
        <w:rPr>
          <w:rFonts w:ascii="ITC Avant Garde" w:eastAsiaTheme="minorHAnsi" w:hAnsi="ITC Avant Garde" w:cs="ITC Avant Garde"/>
          <w:lang w:eastAsia="en-US"/>
        </w:rPr>
        <w:t xml:space="preserve">recibió los comentarios, opiniones y aportaciones que se tuvieron con relación al contenido de las </w:t>
      </w:r>
      <w:r w:rsidR="00665D70" w:rsidRPr="002C366C">
        <w:rPr>
          <w:rFonts w:ascii="ITC Avant Garde" w:eastAsiaTheme="minorHAnsi" w:hAnsi="ITC Avant Garde" w:cs="ITC Avant Garde"/>
          <w:b/>
          <w:i/>
          <w:lang w:eastAsia="en-US"/>
        </w:rPr>
        <w:t>“Propuestas de Ofertas de Referencia para los Servicios Mayoristas de Usuario Visitante; Comercialización o Reventa de Servicios; Acceso y Uso Compartido de Infraestructura, y Arrendamiento de Enlaces Dedicados Presentados por el AEP”</w:t>
      </w:r>
      <w:r w:rsidR="00665D70" w:rsidRPr="00665D70">
        <w:rPr>
          <w:rFonts w:ascii="ITC Avant Garde" w:eastAsiaTheme="minorHAnsi" w:hAnsi="ITC Avant Garde" w:cs="ITC Avant Garde"/>
          <w:lang w:eastAsia="en-US"/>
        </w:rPr>
        <w:t xml:space="preserve"> (en lo sucesivo, la</w:t>
      </w:r>
      <w:r w:rsidR="00AF285E">
        <w:rPr>
          <w:rFonts w:ascii="ITC Avant Garde" w:eastAsiaTheme="minorHAnsi" w:hAnsi="ITC Avant Garde" w:cs="ITC Avant Garde"/>
          <w:lang w:eastAsia="en-US"/>
        </w:rPr>
        <w:t>s</w:t>
      </w:r>
      <w:r w:rsidR="00665D70" w:rsidRPr="00665D70">
        <w:rPr>
          <w:rFonts w:ascii="ITC Avant Garde" w:eastAsiaTheme="minorHAnsi" w:hAnsi="ITC Avant Garde" w:cs="ITC Avant Garde"/>
          <w:lang w:eastAsia="en-US"/>
        </w:rPr>
        <w:t xml:space="preserve"> “</w:t>
      </w:r>
      <w:r w:rsidR="0020219B">
        <w:rPr>
          <w:rFonts w:ascii="ITC Avant Garde" w:eastAsiaTheme="minorHAnsi" w:hAnsi="ITC Avant Garde" w:cs="ITC Avant Garde"/>
          <w:lang w:eastAsia="en-US"/>
        </w:rPr>
        <w:t xml:space="preserve">Propuestas de </w:t>
      </w:r>
      <w:r w:rsidR="002C366C">
        <w:rPr>
          <w:rFonts w:ascii="ITC Avant Garde" w:eastAsiaTheme="minorHAnsi" w:hAnsi="ITC Avant Garde" w:cs="ITC Avant Garde"/>
          <w:lang w:eastAsia="en-US"/>
        </w:rPr>
        <w:t>Oferta</w:t>
      </w:r>
      <w:r w:rsidR="0020219B">
        <w:rPr>
          <w:rFonts w:ascii="ITC Avant Garde" w:eastAsiaTheme="minorHAnsi" w:hAnsi="ITC Avant Garde" w:cs="ITC Avant Garde"/>
          <w:lang w:eastAsia="en-US"/>
        </w:rPr>
        <w:t>s</w:t>
      </w:r>
      <w:r w:rsidR="00665D70" w:rsidRPr="00665D70">
        <w:rPr>
          <w:rFonts w:ascii="ITC Avant Garde" w:eastAsiaTheme="minorHAnsi" w:hAnsi="ITC Avant Garde" w:cs="ITC Avant Garde"/>
          <w:lang w:eastAsia="en-US"/>
        </w:rPr>
        <w:t xml:space="preserve">”) materia de la consulta pública de mérito, recibidas durante el periodo comprendido </w:t>
      </w:r>
      <w:r w:rsidR="00665D70" w:rsidRPr="00BB5136">
        <w:rPr>
          <w:rFonts w:ascii="ITC Avant Garde" w:eastAsiaTheme="minorHAnsi" w:hAnsi="ITC Avant Garde" w:cs="ITC Avant Garde"/>
          <w:lang w:eastAsia="en-US"/>
        </w:rPr>
        <w:t xml:space="preserve">del </w:t>
      </w:r>
      <w:r w:rsidR="002C366C" w:rsidRPr="00BB5136">
        <w:rPr>
          <w:rFonts w:ascii="ITC Avant Garde" w:eastAsiaTheme="minorHAnsi" w:hAnsi="ITC Avant Garde" w:cs="ITC Avant Garde"/>
          <w:lang w:eastAsia="en-US"/>
        </w:rPr>
        <w:t>14</w:t>
      </w:r>
      <w:r w:rsidR="00665D70" w:rsidRPr="00BB5136">
        <w:rPr>
          <w:rFonts w:ascii="ITC Avant Garde" w:eastAsiaTheme="minorHAnsi" w:hAnsi="ITC Avant Garde" w:cs="ITC Avant Garde"/>
          <w:lang w:eastAsia="en-US"/>
        </w:rPr>
        <w:t xml:space="preserve"> </w:t>
      </w:r>
      <w:r w:rsidR="002C366C" w:rsidRPr="00BB5136">
        <w:rPr>
          <w:rFonts w:ascii="ITC Avant Garde" w:eastAsiaTheme="minorHAnsi" w:hAnsi="ITC Avant Garde" w:cs="ITC Avant Garde"/>
          <w:lang w:eastAsia="en-US"/>
        </w:rPr>
        <w:t>de agosto al 12 de septiembre</w:t>
      </w:r>
      <w:r w:rsidR="00665D70" w:rsidRPr="00BB5136">
        <w:rPr>
          <w:rFonts w:ascii="ITC Avant Garde" w:eastAsiaTheme="minorHAnsi" w:hAnsi="ITC Avant Garde" w:cs="ITC Avant Garde"/>
          <w:lang w:eastAsia="en-US"/>
        </w:rPr>
        <w:t xml:space="preserve"> de 2018 a</w:t>
      </w:r>
      <w:r w:rsidR="00665D70" w:rsidRPr="00665D70">
        <w:rPr>
          <w:rFonts w:ascii="ITC Avant Garde" w:eastAsiaTheme="minorHAnsi" w:hAnsi="ITC Avant Garde" w:cs="ITC Avant Garde"/>
          <w:lang w:eastAsia="en-US"/>
        </w:rPr>
        <w:t xml:space="preserve"> través de la dirección de correo electrónico </w:t>
      </w:r>
      <w:hyperlink r:id="rId8" w:history="1">
        <w:r w:rsidR="002C366C" w:rsidRPr="00D4028C">
          <w:rPr>
            <w:rFonts w:ascii="ITC Avant Garde" w:eastAsiaTheme="minorHAnsi" w:hAnsi="ITC Avant Garde" w:cs="ITC Avant Garde"/>
            <w:lang w:eastAsia="en-US"/>
          </w:rPr>
          <w:t>ofertas.referencia@ift.org.mx</w:t>
        </w:r>
      </w:hyperlink>
      <w:r w:rsidR="00665D70" w:rsidRPr="00665D70">
        <w:rPr>
          <w:rFonts w:ascii="ITC Avant Garde" w:eastAsiaTheme="minorHAnsi" w:hAnsi="ITC Avant Garde" w:cs="ITC Avant Garde"/>
          <w:lang w:eastAsia="en-US"/>
        </w:rPr>
        <w:t>,</w:t>
      </w:r>
      <w:r w:rsidR="00AF285E">
        <w:rPr>
          <w:rFonts w:ascii="ITC Avant Garde" w:eastAsiaTheme="minorHAnsi" w:hAnsi="ITC Avant Garde" w:cs="ITC Avant Garde"/>
          <w:lang w:eastAsia="en-US"/>
        </w:rPr>
        <w:t xml:space="preserve"> o </w:t>
      </w:r>
      <w:r w:rsidR="00665D70" w:rsidRPr="00665D70">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w:t>
      </w:r>
      <w:r w:rsidR="00665D70">
        <w:rPr>
          <w:rFonts w:ascii="ITC Avant Garde" w:eastAsiaTheme="minorHAnsi" w:hAnsi="ITC Avant Garde" w:cs="ITC Avant Garde"/>
          <w:lang w:eastAsia="en-US"/>
        </w:rPr>
        <w:t>z, C.P. 03720, Ciudad de México.</w:t>
      </w:r>
    </w:p>
    <w:p w14:paraId="0D3822D8" w14:textId="1CC67CA2" w:rsidR="00A93E0C" w:rsidRDefault="00A93E0C" w:rsidP="00665D70">
      <w:pPr>
        <w:spacing w:after="0" w:line="276" w:lineRule="auto"/>
        <w:ind w:left="-6" w:right="0" w:hanging="11"/>
        <w:rPr>
          <w:rFonts w:ascii="ITC Avant Garde" w:eastAsiaTheme="minorHAnsi" w:hAnsi="ITC Avant Garde" w:cs="ITC Avant Garde"/>
          <w:lang w:eastAsia="en-US"/>
        </w:rPr>
      </w:pPr>
    </w:p>
    <w:p w14:paraId="4778A247" w14:textId="77777777" w:rsidR="00A93E0C" w:rsidRDefault="00A93E0C" w:rsidP="00A93E0C">
      <w:pPr>
        <w:spacing w:line="276" w:lineRule="auto"/>
        <w:ind w:left="-5"/>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14:paraId="20229C35" w14:textId="4DDE6D74" w:rsidR="002A50FC" w:rsidRDefault="002A50FC" w:rsidP="002A50FC">
      <w:pPr>
        <w:spacing w:line="276" w:lineRule="auto"/>
        <w:ind w:left="-5" w:right="0"/>
        <w:rPr>
          <w:rFonts w:ascii="ITC Avant Garde" w:hAnsi="ITC Avant Garde"/>
        </w:rPr>
      </w:pPr>
      <w:r w:rsidRPr="002A50FC">
        <w:rPr>
          <w:rFonts w:ascii="ITC Avant Garde" w:hAnsi="ITC Avant Garde"/>
        </w:rPr>
        <w:t>El Insti</w:t>
      </w:r>
      <w:r>
        <w:rPr>
          <w:rFonts w:ascii="ITC Avant Garde" w:hAnsi="ITC Avant Garde"/>
        </w:rPr>
        <w:t>tuto</w:t>
      </w:r>
      <w:r w:rsidRPr="002A50FC">
        <w:rPr>
          <w:rFonts w:ascii="ITC Avant Garde" w:hAnsi="ITC Avant Garde"/>
        </w:rPr>
        <w:t xml:space="preserve"> convencido de la importancia y relevancia de transparentar su proceso de elaboración de nuevas regulaciones, a través</w:t>
      </w:r>
      <w:r>
        <w:rPr>
          <w:rFonts w:ascii="ITC Avant Garde" w:hAnsi="ITC Avant Garde"/>
        </w:rPr>
        <w:t xml:space="preserve"> de la consulta pública recibió</w:t>
      </w:r>
      <w:r w:rsidRPr="002A50FC">
        <w:rPr>
          <w:rFonts w:ascii="ITC Avant Garde" w:hAnsi="ITC Avant Garde"/>
        </w:rPr>
        <w:t xml:space="preserve"> </w:t>
      </w:r>
      <w:r>
        <w:rPr>
          <w:rFonts w:ascii="ITC Avant Garde" w:hAnsi="ITC Avant Garde"/>
        </w:rPr>
        <w:t xml:space="preserve">los </w:t>
      </w:r>
      <w:r w:rsidRPr="002A50FC">
        <w:rPr>
          <w:rFonts w:ascii="ITC Avant Garde" w:hAnsi="ITC Avant Garde"/>
        </w:rPr>
        <w:t>comentarios, opiniones y aportaciones de cualquier interesado a propósito de las </w:t>
      </w:r>
      <w:r w:rsidR="0020219B">
        <w:rPr>
          <w:rFonts w:ascii="ITC Avant Garde" w:hAnsi="ITC Avant Garde"/>
        </w:rPr>
        <w:t xml:space="preserve">Propuestas de </w:t>
      </w:r>
      <w:r>
        <w:rPr>
          <w:rFonts w:ascii="ITC Avant Garde" w:hAnsi="ITC Avant Garde"/>
        </w:rPr>
        <w:t>Ofertas</w:t>
      </w:r>
      <w:r w:rsidRPr="002A50FC">
        <w:rPr>
          <w:rFonts w:ascii="ITC Avant Garde" w:hAnsi="ITC Avant Garde"/>
        </w:rPr>
        <w:t>, las cuales se proponen con base en lo establecido en los artículos 1, 2, 7, 15, fracción XL y LXIII, 51 y 269 fracción III de la Ley Federal de Telecomunicaciones y Radiodifusión, y 1, 4, fracción I, 6, fracción XXXVIII y 26, fracción I del Estatuto Orgánico del Instituto Federal de Telecomunicaciones.</w:t>
      </w:r>
    </w:p>
    <w:p w14:paraId="1A164306" w14:textId="77777777" w:rsidR="002A50FC" w:rsidRPr="002A50FC" w:rsidRDefault="002A50FC" w:rsidP="002A50FC">
      <w:pPr>
        <w:spacing w:line="276" w:lineRule="auto"/>
        <w:ind w:left="-5" w:right="0"/>
        <w:rPr>
          <w:rFonts w:ascii="ITC Avant Garde" w:hAnsi="ITC Avant Garde"/>
        </w:rPr>
      </w:pPr>
    </w:p>
    <w:p w14:paraId="6ACF5692" w14:textId="062A5272" w:rsidR="002A50FC" w:rsidRDefault="002A50FC" w:rsidP="002A50FC">
      <w:pPr>
        <w:spacing w:line="276" w:lineRule="auto"/>
        <w:ind w:left="-5" w:right="0"/>
        <w:rPr>
          <w:rFonts w:ascii="ITC Avant Garde" w:hAnsi="ITC Avant Garde"/>
        </w:rPr>
      </w:pPr>
      <w:r w:rsidRPr="002A50FC">
        <w:rPr>
          <w:rFonts w:ascii="ITC Avant Garde" w:hAnsi="ITC Avant Garde"/>
        </w:rPr>
        <w:t xml:space="preserve">Los objetivos principales de la </w:t>
      </w:r>
      <w:bookmarkStart w:id="0" w:name="_GoBack"/>
      <w:bookmarkEnd w:id="0"/>
      <w:r w:rsidR="00BB2237">
        <w:rPr>
          <w:rFonts w:ascii="ITC Avant Garde" w:hAnsi="ITC Avant Garde"/>
        </w:rPr>
        <w:t>consulta pública consistieron</w:t>
      </w:r>
      <w:r w:rsidRPr="002A50FC">
        <w:rPr>
          <w:rFonts w:ascii="ITC Avant Garde" w:hAnsi="ITC Avant Garde"/>
        </w:rPr>
        <w:t xml:space="preserve"> en: i) contar con mayores elementos para determinar las condiciones bajo las cuales</w:t>
      </w:r>
      <w:r w:rsidR="00E37389">
        <w:rPr>
          <w:rFonts w:ascii="ITC Avant Garde" w:hAnsi="ITC Avant Garde"/>
        </w:rPr>
        <w:t xml:space="preserve"> se deberán aprobar las </w:t>
      </w:r>
      <w:r w:rsidR="00C60FA1">
        <w:rPr>
          <w:rFonts w:ascii="ITC Avant Garde" w:hAnsi="ITC Avant Garde"/>
        </w:rPr>
        <w:t xml:space="preserve">Propuestas de </w:t>
      </w:r>
      <w:r w:rsidR="00E37389">
        <w:rPr>
          <w:rFonts w:ascii="ITC Avant Garde" w:hAnsi="ITC Avant Garde"/>
        </w:rPr>
        <w:t>Ofertas</w:t>
      </w:r>
      <w:r w:rsidRPr="002A50FC">
        <w:rPr>
          <w:rFonts w:ascii="ITC Avant Garde" w:hAnsi="ITC Avant Garde"/>
        </w:rPr>
        <w:t>; ii) favorecer la transparencia y participación ciudadana con el fin de recibir los comentarios y opiniones de regulados, cámaras, usuarios y audiencias</w:t>
      </w:r>
      <w:r w:rsidR="00E37389">
        <w:rPr>
          <w:rFonts w:ascii="ITC Avant Garde" w:hAnsi="ITC Avant Garde"/>
        </w:rPr>
        <w:t xml:space="preserve"> sobre las </w:t>
      </w:r>
      <w:r w:rsidR="00F11F9F">
        <w:rPr>
          <w:rFonts w:ascii="ITC Avant Garde" w:hAnsi="ITC Avant Garde"/>
        </w:rPr>
        <w:t xml:space="preserve">Propuestas de </w:t>
      </w:r>
      <w:r w:rsidR="00E37389">
        <w:rPr>
          <w:rFonts w:ascii="ITC Avant Garde" w:hAnsi="ITC Avant Garde"/>
        </w:rPr>
        <w:t>Ofertas</w:t>
      </w:r>
      <w:r w:rsidRPr="002A50FC">
        <w:rPr>
          <w:rFonts w:ascii="ITC Avant Garde" w:hAnsi="ITC Avant Garde"/>
        </w:rPr>
        <w:t>; y iii) establecer las bases para aprobar o modificar las mismas.</w:t>
      </w:r>
    </w:p>
    <w:p w14:paraId="1F5203D6" w14:textId="67E4CCD8" w:rsidR="00632D40" w:rsidRDefault="00632D40" w:rsidP="002A50FC">
      <w:pPr>
        <w:spacing w:line="276" w:lineRule="auto"/>
        <w:ind w:left="-5" w:right="0"/>
        <w:rPr>
          <w:rFonts w:ascii="ITC Avant Garde" w:hAnsi="ITC Avant Garde"/>
        </w:rPr>
      </w:pPr>
    </w:p>
    <w:p w14:paraId="291DEE0D" w14:textId="77777777" w:rsidR="00632D40" w:rsidRDefault="00632D40" w:rsidP="00632D40">
      <w:pPr>
        <w:spacing w:line="276" w:lineRule="auto"/>
        <w:ind w:left="-5"/>
        <w:rPr>
          <w:rFonts w:ascii="ITC Avant Garde" w:hAnsi="ITC Avant Garde" w:cs="ITC Avant Garde"/>
          <w:b/>
        </w:rPr>
      </w:pPr>
      <w:r>
        <w:rPr>
          <w:rFonts w:ascii="ITC Avant Garde" w:hAnsi="ITC Avant Garde" w:cs="ITC Avant Garde"/>
          <w:b/>
        </w:rPr>
        <w:lastRenderedPageBreak/>
        <w:t xml:space="preserve">Unidad Administrativa que promueve el proyecto: </w:t>
      </w:r>
      <w:r w:rsidRPr="00F7338C">
        <w:rPr>
          <w:rFonts w:ascii="ITC Avant Garde" w:hAnsi="ITC Avant Garde" w:cs="ITC Avant Garde"/>
        </w:rPr>
        <w:t>Unidad de Política Regulatoria.</w:t>
      </w:r>
    </w:p>
    <w:p w14:paraId="4C353835" w14:textId="0BB137A4" w:rsidR="00D44461" w:rsidRPr="005B36F9" w:rsidRDefault="00D44461" w:rsidP="00100519">
      <w:pPr>
        <w:spacing w:after="0" w:line="276" w:lineRule="auto"/>
        <w:ind w:left="0" w:right="0" w:firstLine="0"/>
        <w:jc w:val="left"/>
        <w:rPr>
          <w:rFonts w:ascii="ITC Avant Garde" w:hAnsi="ITC Avant Garde"/>
        </w:rPr>
      </w:pPr>
    </w:p>
    <w:p w14:paraId="7F5CBCD3" w14:textId="77777777" w:rsidR="00504D46" w:rsidRPr="0053503B" w:rsidRDefault="00504D46" w:rsidP="00504D46">
      <w:pPr>
        <w:spacing w:after="0" w:line="276" w:lineRule="auto"/>
        <w:ind w:left="-6" w:hanging="11"/>
        <w:rPr>
          <w:rFonts w:ascii="ITC Avant Garde" w:hAnsi="ITC Avant Garde" w:cs="ITC Avant Garde"/>
        </w:rPr>
      </w:pPr>
      <w:r>
        <w:rPr>
          <w:rFonts w:ascii="ITC Avant Garde" w:hAnsi="ITC Avant Garde" w:cs="ITC Avant Garde"/>
          <w:b/>
        </w:rPr>
        <w:t>Participantes de la Consulta Pública:</w:t>
      </w:r>
    </w:p>
    <w:p w14:paraId="6268314B" w14:textId="61ACC5E2" w:rsidR="00DD421A" w:rsidRPr="005B36F9" w:rsidRDefault="00A62960" w:rsidP="00100519">
      <w:pPr>
        <w:spacing w:line="276" w:lineRule="auto"/>
        <w:ind w:left="-5" w:right="0"/>
        <w:rPr>
          <w:rFonts w:ascii="ITC Avant Garde" w:hAnsi="ITC Avant Garde"/>
        </w:rPr>
      </w:pPr>
      <w:r w:rsidRPr="005B36F9">
        <w:rPr>
          <w:rFonts w:ascii="ITC Avant Garde" w:hAnsi="ITC Avant Garde"/>
        </w:rPr>
        <w:t xml:space="preserve">Durante </w:t>
      </w:r>
      <w:r w:rsidR="00BC09A3" w:rsidRPr="005B36F9">
        <w:rPr>
          <w:rFonts w:ascii="ITC Avant Garde" w:hAnsi="ITC Avant Garde"/>
        </w:rPr>
        <w:t xml:space="preserve">el </w:t>
      </w:r>
      <w:r w:rsidR="001D50AC" w:rsidRPr="005B36F9">
        <w:rPr>
          <w:rFonts w:ascii="ITC Avant Garde" w:hAnsi="ITC Avant Garde"/>
        </w:rPr>
        <w:t>periodo</w:t>
      </w:r>
      <w:r w:rsidR="00BC09A3" w:rsidRPr="005B36F9">
        <w:rPr>
          <w:rFonts w:ascii="ITC Avant Garde" w:hAnsi="ITC Avant Garde"/>
        </w:rPr>
        <w:t xml:space="preserve"> de la consulta pú</w:t>
      </w:r>
      <w:r w:rsidR="00D44461" w:rsidRPr="005B36F9">
        <w:rPr>
          <w:rFonts w:ascii="ITC Avant Garde" w:hAnsi="ITC Avant Garde"/>
        </w:rPr>
        <w:t>bl</w:t>
      </w:r>
      <w:r w:rsidR="007E006A" w:rsidRPr="005B36F9">
        <w:rPr>
          <w:rFonts w:ascii="ITC Avant Garde" w:hAnsi="ITC Avant Garde"/>
        </w:rPr>
        <w:t xml:space="preserve">ica de mérito, se recibieron </w:t>
      </w:r>
      <w:r w:rsidR="006751FC" w:rsidRPr="005B36F9">
        <w:rPr>
          <w:rFonts w:ascii="ITC Avant Garde" w:hAnsi="ITC Avant Garde"/>
        </w:rPr>
        <w:t xml:space="preserve">5 </w:t>
      </w:r>
      <w:r w:rsidR="0076085E" w:rsidRPr="005B36F9">
        <w:rPr>
          <w:rFonts w:ascii="ITC Avant Garde" w:hAnsi="ITC Avant Garde"/>
        </w:rPr>
        <w:t>participaciones</w:t>
      </w:r>
      <w:r w:rsidR="00FF0C54" w:rsidRPr="005B36F9">
        <w:rPr>
          <w:rFonts w:ascii="ITC Avant Garde" w:hAnsi="ITC Avant Garde"/>
        </w:rPr>
        <w:t xml:space="preserve"> </w:t>
      </w:r>
      <w:r w:rsidR="003146CE" w:rsidRPr="005B36F9">
        <w:rPr>
          <w:rFonts w:ascii="ITC Avant Garde" w:hAnsi="ITC Avant Garde"/>
        </w:rPr>
        <w:t>por parte de las siguientes personas morales:</w:t>
      </w:r>
    </w:p>
    <w:p w14:paraId="30D7AFD0" w14:textId="77777777" w:rsidR="00442091" w:rsidRPr="005B36F9" w:rsidRDefault="00442091" w:rsidP="00100519">
      <w:pPr>
        <w:spacing w:line="276" w:lineRule="auto"/>
        <w:ind w:left="-5" w:right="0"/>
        <w:rPr>
          <w:rFonts w:ascii="ITC Avant Garde" w:hAnsi="ITC Avant Garde"/>
        </w:rPr>
      </w:pPr>
    </w:p>
    <w:p w14:paraId="5712C4AD" w14:textId="0EF6C95A" w:rsidR="00442091" w:rsidRPr="005B36F9" w:rsidRDefault="00432B9B"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B36F9">
        <w:rPr>
          <w:rFonts w:ascii="ITC Avant Garde" w:eastAsiaTheme="minorHAnsi" w:hAnsi="ITC Avant Garde" w:cs="ITC Avant Garde"/>
          <w:lang w:eastAsia="en-US"/>
        </w:rPr>
        <w:t>Altán</w:t>
      </w:r>
      <w:r w:rsidR="00442091" w:rsidRPr="005B36F9">
        <w:rPr>
          <w:rFonts w:ascii="ITC Avant Garde" w:eastAsiaTheme="minorHAnsi" w:hAnsi="ITC Avant Garde" w:cs="ITC Avant Garde"/>
          <w:lang w:eastAsia="en-US"/>
        </w:rPr>
        <w:t xml:space="preserve"> </w:t>
      </w:r>
      <w:r w:rsidRPr="005B36F9">
        <w:rPr>
          <w:rFonts w:ascii="ITC Avant Garde" w:eastAsiaTheme="minorHAnsi" w:hAnsi="ITC Avant Garde" w:cs="ITC Avant Garde"/>
          <w:lang w:eastAsia="en-US"/>
        </w:rPr>
        <w:t>Redes</w:t>
      </w:r>
      <w:r w:rsidR="00442091" w:rsidRPr="005B36F9">
        <w:rPr>
          <w:rFonts w:ascii="ITC Avant Garde" w:eastAsiaTheme="minorHAnsi" w:hAnsi="ITC Avant Garde" w:cs="ITC Avant Garde"/>
          <w:lang w:eastAsia="en-US"/>
        </w:rPr>
        <w:t xml:space="preserve">, S.A.P.I. </w:t>
      </w:r>
      <w:r w:rsidRPr="005B36F9">
        <w:rPr>
          <w:rFonts w:ascii="ITC Avant Garde" w:eastAsiaTheme="minorHAnsi" w:hAnsi="ITC Avant Garde" w:cs="ITC Avant Garde"/>
          <w:lang w:eastAsia="en-US"/>
        </w:rPr>
        <w:t>de</w:t>
      </w:r>
      <w:r w:rsidR="00442091" w:rsidRPr="005B36F9">
        <w:rPr>
          <w:rFonts w:ascii="ITC Avant Garde" w:eastAsiaTheme="minorHAnsi" w:hAnsi="ITC Avant Garde" w:cs="ITC Avant Garde"/>
          <w:lang w:eastAsia="en-US"/>
        </w:rPr>
        <w:t xml:space="preserve"> C.V. (</w:t>
      </w:r>
      <w:r w:rsidR="00D87CF7">
        <w:rPr>
          <w:rFonts w:ascii="ITC Avant Garde" w:eastAsiaTheme="minorHAnsi" w:hAnsi="ITC Avant Garde" w:cs="ITC Avant Garde"/>
          <w:lang w:eastAsia="en-US"/>
        </w:rPr>
        <w:t xml:space="preserve">en lo sucesivo </w:t>
      </w:r>
      <w:r w:rsidR="00442091" w:rsidRPr="005B36F9">
        <w:rPr>
          <w:rFonts w:ascii="ITC Avant Garde" w:eastAsiaTheme="minorHAnsi" w:hAnsi="ITC Avant Garde" w:cs="ITC Avant Garde"/>
          <w:lang w:eastAsia="en-US"/>
        </w:rPr>
        <w:t>“</w:t>
      </w:r>
      <w:r w:rsidRPr="005B36F9">
        <w:rPr>
          <w:rFonts w:ascii="ITC Avant Garde" w:eastAsiaTheme="minorHAnsi" w:hAnsi="ITC Avant Garde" w:cs="ITC Avant Garde"/>
          <w:lang w:eastAsia="en-US"/>
        </w:rPr>
        <w:t>Altán</w:t>
      </w:r>
      <w:r w:rsidR="00442091" w:rsidRPr="005B36F9">
        <w:rPr>
          <w:rFonts w:ascii="ITC Avant Garde" w:eastAsiaTheme="minorHAnsi" w:hAnsi="ITC Avant Garde" w:cs="ITC Avant Garde"/>
          <w:lang w:eastAsia="en-US"/>
        </w:rPr>
        <w:t>”)</w:t>
      </w:r>
    </w:p>
    <w:p w14:paraId="04115867" w14:textId="04B7676A" w:rsidR="00A70475" w:rsidRPr="005B36F9" w:rsidRDefault="00A70475"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B36F9">
        <w:rPr>
          <w:rFonts w:ascii="ITC Avant Garde" w:eastAsiaTheme="minorHAnsi" w:hAnsi="ITC Avant Garde" w:cs="ITC Avant Garde"/>
          <w:lang w:eastAsia="en-US"/>
        </w:rPr>
        <w:t>Telefónica Movistar México</w:t>
      </w:r>
      <w:r w:rsidR="00BA7435" w:rsidRPr="005B36F9">
        <w:rPr>
          <w:rFonts w:ascii="ITC Avant Garde" w:eastAsiaTheme="minorHAnsi" w:hAnsi="ITC Avant Garde" w:cs="ITC Avant Garde"/>
          <w:lang w:eastAsia="en-US"/>
        </w:rPr>
        <w:t xml:space="preserve"> </w:t>
      </w:r>
      <w:r w:rsidR="00FF0299" w:rsidRPr="005B36F9">
        <w:rPr>
          <w:rFonts w:ascii="ITC Avant Garde" w:hAnsi="ITC Avant Garde"/>
        </w:rPr>
        <w:t>(</w:t>
      </w:r>
      <w:r w:rsidR="00D87CF7">
        <w:rPr>
          <w:rFonts w:ascii="ITC Avant Garde" w:hAnsi="ITC Avant Garde"/>
        </w:rPr>
        <w:t xml:space="preserve">en lo sucesivo </w:t>
      </w:r>
      <w:r w:rsidR="00FF0299" w:rsidRPr="005B36F9">
        <w:rPr>
          <w:rFonts w:ascii="ITC Avant Garde" w:hAnsi="ITC Avant Garde"/>
        </w:rPr>
        <w:t>“Telefónica”)</w:t>
      </w:r>
    </w:p>
    <w:p w14:paraId="6FFE41E0" w14:textId="28172003" w:rsidR="00A70475" w:rsidRDefault="00BA7435"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B36F9">
        <w:rPr>
          <w:rFonts w:ascii="ITC Avant Garde" w:eastAsiaTheme="minorHAnsi" w:hAnsi="ITC Avant Garde" w:cs="ITC Avant Garde"/>
          <w:lang w:eastAsia="en-US"/>
        </w:rPr>
        <w:t>Operbes, S.A. de C.V, Bestphone, S.A. de C.V., Cablevisión, S.A. de C.V., Cablemás Telecomunicaciones, S.A. de C.V., Cable y Comunicación de Campeche, S.A. de C.V., TV Cable de Oriente, S.A. de C.V. y Cablevisión Red, S.A. de C.V.</w:t>
      </w:r>
      <w:r w:rsidR="00FF0299" w:rsidRPr="005B36F9">
        <w:rPr>
          <w:rFonts w:ascii="ITC Avant Garde" w:eastAsiaTheme="minorHAnsi" w:hAnsi="ITC Avant Garde" w:cs="ITC Avant Garde"/>
          <w:lang w:eastAsia="en-US"/>
        </w:rPr>
        <w:t xml:space="preserve"> (</w:t>
      </w:r>
      <w:r w:rsidR="00D87CF7">
        <w:rPr>
          <w:rFonts w:ascii="ITC Avant Garde" w:eastAsiaTheme="minorHAnsi" w:hAnsi="ITC Avant Garde" w:cs="ITC Avant Garde"/>
          <w:lang w:eastAsia="en-US"/>
        </w:rPr>
        <w:t xml:space="preserve">en lo sucesivo </w:t>
      </w:r>
      <w:r w:rsidR="00FF0299" w:rsidRPr="005B36F9">
        <w:rPr>
          <w:rFonts w:ascii="ITC Avant Garde" w:eastAsiaTheme="minorHAnsi" w:hAnsi="ITC Avant Garde" w:cs="ITC Avant Garde"/>
          <w:lang w:eastAsia="en-US"/>
        </w:rPr>
        <w:t>“Grupo Televisa”)</w:t>
      </w:r>
    </w:p>
    <w:p w14:paraId="1A33D10F" w14:textId="0CDAB10F" w:rsidR="00ED79A9" w:rsidRDefault="00ED79A9"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Organismo Promotor de Inversiones en Telecomunicaciones (en lo sucesivo, “PROMTEL”)</w:t>
      </w:r>
    </w:p>
    <w:p w14:paraId="3CC747F1" w14:textId="717D7893" w:rsidR="00ED79A9" w:rsidRPr="005B36F9" w:rsidRDefault="00D11BD2"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Cámara Nacional de la Industria Electrónica, de Telecomunicaciones y Tecnologías de la Información (en lo sucesivo, “CANIETI”)</w:t>
      </w:r>
    </w:p>
    <w:p w14:paraId="7B65F64A" w14:textId="77777777" w:rsidR="0006356F" w:rsidRDefault="0006356F" w:rsidP="00100519">
      <w:pPr>
        <w:spacing w:line="276" w:lineRule="auto"/>
        <w:ind w:left="-5" w:right="0"/>
        <w:rPr>
          <w:rFonts w:ascii="ITC Avant Garde" w:hAnsi="ITC Avant Garde"/>
        </w:rPr>
      </w:pPr>
    </w:p>
    <w:p w14:paraId="1C638235" w14:textId="77777777" w:rsidR="0006356F" w:rsidRPr="0053503B" w:rsidRDefault="0006356F" w:rsidP="0006356F">
      <w:pPr>
        <w:spacing w:after="0" w:line="276" w:lineRule="auto"/>
        <w:ind w:left="-6" w:hanging="11"/>
        <w:rPr>
          <w:rFonts w:ascii="ITC Avant Garde" w:hAnsi="ITC Avant Garde" w:cs="ITC Avant Garde"/>
        </w:rPr>
      </w:pPr>
      <w:r>
        <w:rPr>
          <w:rFonts w:ascii="ITC Avant Garde" w:hAnsi="ITC Avant Garde" w:cs="ITC Avant Garde"/>
          <w:b/>
        </w:rPr>
        <w:t>Respuestas y posicionamientos por parte del Instituto:</w:t>
      </w:r>
    </w:p>
    <w:p w14:paraId="6D4B1954" w14:textId="7C772128" w:rsidR="00352EEF" w:rsidRDefault="002D64D5" w:rsidP="00100519">
      <w:pPr>
        <w:spacing w:line="276" w:lineRule="auto"/>
        <w:ind w:left="-5" w:right="0"/>
        <w:rPr>
          <w:rFonts w:ascii="ITC Avant Garde" w:hAnsi="ITC Avant Garde"/>
        </w:rPr>
      </w:pPr>
      <w:r>
        <w:rPr>
          <w:rFonts w:ascii="ITC Avant Garde" w:hAnsi="ITC Avant Garde"/>
        </w:rPr>
        <w:t>S</w:t>
      </w:r>
      <w:r w:rsidR="005C2139" w:rsidRPr="00E84A16">
        <w:rPr>
          <w:rFonts w:ascii="ITC Avant Garde" w:hAnsi="ITC Avant Garde"/>
        </w:rPr>
        <w:t xml:space="preserve">e señala que el orden en </w:t>
      </w:r>
      <w:r w:rsidR="005E75EF" w:rsidRPr="00E84A16">
        <w:rPr>
          <w:rFonts w:ascii="ITC Avant Garde" w:hAnsi="ITC Avant Garde"/>
        </w:rPr>
        <w:t xml:space="preserve">el </w:t>
      </w:r>
      <w:r w:rsidR="005C2139" w:rsidRPr="00E84A16">
        <w:rPr>
          <w:rFonts w:ascii="ITC Avant Garde" w:hAnsi="ITC Avant Garde"/>
        </w:rPr>
        <w:t>que son abordados cada uno de los temas y numerales genéricos mencionados, obedece primordialmente al orden en que cada uno de éstos aparece</w:t>
      </w:r>
      <w:r w:rsidR="001368EC" w:rsidRPr="00E84A16">
        <w:rPr>
          <w:rFonts w:ascii="ITC Avant Garde" w:hAnsi="ITC Avant Garde"/>
        </w:rPr>
        <w:t>n</w:t>
      </w:r>
      <w:r w:rsidR="005C2139" w:rsidRPr="00E84A16">
        <w:rPr>
          <w:rFonts w:ascii="ITC Avant Garde" w:hAnsi="ITC Avant Garde"/>
        </w:rPr>
        <w:t xml:space="preserve"> en</w:t>
      </w:r>
      <w:r w:rsidR="001368EC" w:rsidRPr="00E84A16">
        <w:rPr>
          <w:rFonts w:ascii="ITC Avant Garde" w:hAnsi="ITC Avant Garde"/>
        </w:rPr>
        <w:t xml:space="preserve"> </w:t>
      </w:r>
      <w:r w:rsidR="00AF285E" w:rsidRPr="00E84A16">
        <w:rPr>
          <w:rFonts w:ascii="ITC Avant Garde" w:hAnsi="ITC Avant Garde"/>
        </w:rPr>
        <w:t xml:space="preserve">la Propuesta de </w:t>
      </w:r>
      <w:r w:rsidR="00AF285E" w:rsidRPr="00E84A16">
        <w:rPr>
          <w:rFonts w:ascii="ITC Avant Garde" w:hAnsi="ITC Avant Garde" w:cs="Arial"/>
          <w:b/>
          <w:i/>
          <w:lang w:val="es-ES_tradnl"/>
        </w:rPr>
        <w:t>Oferta de Referencia para la Prestación del Servicio Mayorista de Usuario Visitante</w:t>
      </w:r>
      <w:r w:rsidR="00AF285E" w:rsidRPr="00E84A16">
        <w:rPr>
          <w:rFonts w:ascii="ITC Avant Garde" w:hAnsi="ITC Avant Garde"/>
          <w:b/>
        </w:rPr>
        <w:t xml:space="preserve"> </w:t>
      </w:r>
      <w:r w:rsidR="00AF285E" w:rsidRPr="00E84A16">
        <w:rPr>
          <w:rFonts w:ascii="ITC Avant Garde" w:hAnsi="ITC Avant Garde"/>
        </w:rPr>
        <w:t xml:space="preserve">(en lo sucesivo, la “Oferta”) </w:t>
      </w:r>
      <w:r w:rsidR="00A40194" w:rsidRPr="00E84A16">
        <w:rPr>
          <w:rFonts w:ascii="ITC Avant Garde" w:hAnsi="ITC Avant Garde"/>
        </w:rPr>
        <w:t>presentada por Radiomóvil Dipsa, S.A. de C.V., (en lo sucesivo, “Telcel”) integrante del Agente Económico Preponderante (en lo sucesivo, el “AEP”) en el Sector de las Telecomunicaciones.</w:t>
      </w:r>
    </w:p>
    <w:p w14:paraId="1541E9EC" w14:textId="77777777" w:rsidR="00A40194" w:rsidRPr="005E5201" w:rsidRDefault="00A40194" w:rsidP="00100519">
      <w:pPr>
        <w:spacing w:line="276" w:lineRule="auto"/>
        <w:ind w:left="-5" w:right="0"/>
        <w:rPr>
          <w:rFonts w:ascii="ITC Avant Garde" w:hAnsi="ITC Avant Garde"/>
          <w:color w:val="auto"/>
        </w:rPr>
      </w:pPr>
    </w:p>
    <w:p w14:paraId="02A781AE" w14:textId="1370E698" w:rsidR="00BC09A3" w:rsidRPr="005B36F9" w:rsidRDefault="00BC09A3" w:rsidP="00100519">
      <w:pPr>
        <w:spacing w:line="276" w:lineRule="auto"/>
        <w:ind w:left="-5" w:right="0"/>
        <w:rPr>
          <w:rFonts w:ascii="ITC Avant Garde" w:hAnsi="ITC Avant Garde"/>
        </w:rPr>
      </w:pPr>
      <w:r w:rsidRPr="005B36F9">
        <w:rPr>
          <w:rFonts w:ascii="ITC Avant Garde" w:hAnsi="ITC Avant Garde"/>
        </w:rPr>
        <w:t>Por lo anterior, el Instituto emite las siguientes respuestas y con</w:t>
      </w:r>
      <w:r w:rsidR="007B0E47" w:rsidRPr="005B36F9">
        <w:rPr>
          <w:rFonts w:ascii="ITC Avant Garde" w:hAnsi="ITC Avant Garde"/>
        </w:rPr>
        <w:t>sideraciones para cada una de la</w:t>
      </w:r>
      <w:r w:rsidRPr="005B36F9">
        <w:rPr>
          <w:rFonts w:ascii="ITC Avant Garde" w:hAnsi="ITC Avant Garde"/>
        </w:rPr>
        <w:t>s</w:t>
      </w:r>
      <w:r w:rsidR="007B0E47" w:rsidRPr="005B36F9">
        <w:rPr>
          <w:rFonts w:ascii="ITC Avant Garde" w:hAnsi="ITC Avant Garde"/>
        </w:rPr>
        <w:t xml:space="preserve"> participaciones</w:t>
      </w:r>
      <w:r w:rsidR="004B5491" w:rsidRPr="005B36F9">
        <w:rPr>
          <w:rFonts w:ascii="ITC Avant Garde" w:hAnsi="ITC Avant Garde"/>
        </w:rPr>
        <w:t xml:space="preserve"> recibidas</w:t>
      </w:r>
      <w:r w:rsidRPr="005B36F9">
        <w:rPr>
          <w:rFonts w:ascii="ITC Avant Garde" w:hAnsi="ITC Avant Garde"/>
        </w:rPr>
        <w:t xml:space="preserve">:  </w:t>
      </w:r>
    </w:p>
    <w:p w14:paraId="7BBA4452" w14:textId="6F1E7365" w:rsidR="00050518" w:rsidRPr="005B36F9" w:rsidRDefault="00050518" w:rsidP="00100519">
      <w:pPr>
        <w:spacing w:line="276" w:lineRule="auto"/>
        <w:ind w:left="-5" w:right="0"/>
        <w:rPr>
          <w:rFonts w:ascii="ITC Avant Garde" w:hAnsi="ITC Avant Garde"/>
        </w:rPr>
      </w:pPr>
    </w:p>
    <w:p w14:paraId="1D644F3D" w14:textId="56328B04" w:rsidR="00AC200A" w:rsidRPr="005E5201" w:rsidRDefault="00192F9F" w:rsidP="005E5201">
      <w:pPr>
        <w:spacing w:after="0" w:line="276" w:lineRule="auto"/>
        <w:ind w:left="0" w:right="0" w:firstLine="0"/>
        <w:rPr>
          <w:rFonts w:ascii="ITC Avant Garde" w:hAnsi="ITC Avant Garde"/>
          <w:b/>
        </w:rPr>
      </w:pPr>
      <w:r w:rsidRPr="005E5201">
        <w:rPr>
          <w:rFonts w:ascii="ITC Avant Garde" w:hAnsi="ITC Avant Garde"/>
          <w:b/>
        </w:rPr>
        <w:t>OFERTA</w:t>
      </w:r>
    </w:p>
    <w:p w14:paraId="7B71C229" w14:textId="77777777" w:rsidR="00192F9F" w:rsidRPr="005B36F9" w:rsidRDefault="00192F9F" w:rsidP="005E5201">
      <w:pPr>
        <w:spacing w:after="0" w:line="276" w:lineRule="auto"/>
        <w:ind w:left="-5" w:right="0"/>
        <w:rPr>
          <w:rFonts w:ascii="ITC Avant Garde" w:hAnsi="ITC Avant Garde"/>
        </w:rPr>
      </w:pPr>
    </w:p>
    <w:p w14:paraId="7BD84B99" w14:textId="4016C3CB" w:rsidR="00192F9F" w:rsidRPr="005B36F9" w:rsidRDefault="00192F9F">
      <w:pPr>
        <w:spacing w:after="0" w:line="276" w:lineRule="auto"/>
        <w:ind w:left="-5" w:right="49"/>
        <w:rPr>
          <w:rFonts w:ascii="ITC Avant Garde" w:hAnsi="ITC Avant Garde"/>
          <w:b/>
          <w:color w:val="auto"/>
          <w:u w:val="single"/>
        </w:rPr>
      </w:pPr>
      <w:r w:rsidRPr="005B36F9">
        <w:rPr>
          <w:rFonts w:ascii="ITC Avant Garde" w:hAnsi="ITC Avant Garde"/>
          <w:b/>
          <w:color w:val="auto"/>
          <w:u w:val="single"/>
        </w:rPr>
        <w:t>Comentarios emitidos sobre el Numeral 2.- Definiciones</w:t>
      </w:r>
    </w:p>
    <w:p w14:paraId="33D936D3" w14:textId="536B1858" w:rsidR="00192F9F" w:rsidRDefault="00192F9F">
      <w:pPr>
        <w:spacing w:after="0" w:line="276" w:lineRule="auto"/>
        <w:ind w:left="-5" w:right="49"/>
        <w:rPr>
          <w:rFonts w:ascii="ITC Avant Garde" w:hAnsi="ITC Avant Garde"/>
          <w:b/>
          <w:color w:val="auto"/>
        </w:rPr>
      </w:pPr>
    </w:p>
    <w:p w14:paraId="6013A676" w14:textId="1283B98E" w:rsidR="00A5054B" w:rsidRPr="005B36F9" w:rsidRDefault="00A5054B" w:rsidP="00A5054B">
      <w:pPr>
        <w:spacing w:after="0" w:line="276" w:lineRule="auto"/>
        <w:ind w:left="0" w:right="0" w:firstLine="0"/>
        <w:rPr>
          <w:rFonts w:ascii="ITC Avant Garde" w:hAnsi="ITC Avant Garde"/>
          <w:b/>
          <w:color w:val="auto"/>
        </w:rPr>
      </w:pPr>
      <w:r>
        <w:rPr>
          <w:rFonts w:ascii="ITC Avant Garde" w:hAnsi="ITC Avant Garde"/>
          <w:b/>
          <w:color w:val="auto"/>
        </w:rPr>
        <w:t>Altán</w:t>
      </w:r>
      <w:r w:rsidRPr="005B36F9">
        <w:rPr>
          <w:rFonts w:ascii="ITC Avant Garde" w:hAnsi="ITC Avant Garde"/>
          <w:b/>
          <w:color w:val="auto"/>
        </w:rPr>
        <w:t>:</w:t>
      </w:r>
    </w:p>
    <w:p w14:paraId="1D895354" w14:textId="77777777" w:rsidR="00A5054B" w:rsidRDefault="00A5054B" w:rsidP="00A5054B">
      <w:pPr>
        <w:spacing w:after="0" w:line="276" w:lineRule="auto"/>
        <w:ind w:left="-5" w:right="49"/>
        <w:rPr>
          <w:rFonts w:ascii="ITC Avant Garde" w:hAnsi="ITC Avant Garde"/>
          <w:color w:val="auto"/>
        </w:rPr>
      </w:pPr>
      <w:r>
        <w:rPr>
          <w:rFonts w:ascii="ITC Avant Garde" w:hAnsi="ITC Avant Garde"/>
          <w:color w:val="auto"/>
        </w:rPr>
        <w:t>Sugiere incluir la</w:t>
      </w:r>
      <w:r w:rsidRPr="00A5054B">
        <w:rPr>
          <w:rFonts w:ascii="ITC Avant Garde" w:hAnsi="ITC Avant Garde"/>
          <w:color w:val="auto"/>
        </w:rPr>
        <w:t xml:space="preserve"> d</w:t>
      </w:r>
      <w:r>
        <w:rPr>
          <w:rFonts w:ascii="ITC Avant Garde" w:hAnsi="ITC Avant Garde"/>
          <w:color w:val="auto"/>
        </w:rPr>
        <w:t>efinición de RAC en los siguientes términos:</w:t>
      </w:r>
    </w:p>
    <w:p w14:paraId="5B725B75" w14:textId="5AD44C8B" w:rsidR="00A5054B" w:rsidRPr="00A5054B" w:rsidRDefault="00A5054B" w:rsidP="00A5054B">
      <w:pPr>
        <w:spacing w:after="0" w:line="276" w:lineRule="auto"/>
        <w:ind w:left="-5" w:right="49"/>
        <w:rPr>
          <w:rFonts w:ascii="ITC Avant Garde" w:hAnsi="ITC Avant Garde"/>
          <w:color w:val="auto"/>
        </w:rPr>
      </w:pPr>
      <w:r w:rsidRPr="00A5054B">
        <w:rPr>
          <w:rFonts w:ascii="ITC Avant Garde" w:hAnsi="ITC Avant Garde"/>
          <w:color w:val="auto"/>
        </w:rPr>
        <w:t xml:space="preserve"> </w:t>
      </w:r>
    </w:p>
    <w:p w14:paraId="3D380D2D" w14:textId="464BB830" w:rsidR="00A5054B" w:rsidRDefault="00A5054B" w:rsidP="00A5054B">
      <w:pPr>
        <w:spacing w:after="0" w:line="276" w:lineRule="auto"/>
        <w:ind w:left="567" w:right="615" w:firstLine="0"/>
        <w:rPr>
          <w:rFonts w:ascii="ITC Avant Garde" w:eastAsia="Calibri" w:hAnsi="ITC Avant Garde" w:cs="Arial"/>
          <w:i/>
          <w:color w:val="auto"/>
          <w:sz w:val="18"/>
          <w:szCs w:val="18"/>
          <w:lang w:eastAsia="en-US"/>
        </w:rPr>
      </w:pPr>
      <w:r w:rsidRPr="00A5054B">
        <w:rPr>
          <w:rFonts w:ascii="ITC Avant Garde" w:eastAsia="Calibri" w:hAnsi="ITC Avant Garde" w:cs="Arial"/>
          <w:i/>
          <w:color w:val="auto"/>
          <w:sz w:val="18"/>
          <w:szCs w:val="18"/>
          <w:lang w:eastAsia="en-US"/>
        </w:rPr>
        <w:t>"RAC Código de área de ruteo para el servicio de datos 2G (GSM) o 3G (UMTS)"</w:t>
      </w:r>
    </w:p>
    <w:p w14:paraId="61E5EEF7" w14:textId="77777777" w:rsidR="00343A4F" w:rsidRDefault="00343A4F" w:rsidP="00A5054B">
      <w:pPr>
        <w:spacing w:after="0" w:line="276" w:lineRule="auto"/>
        <w:ind w:left="567" w:right="615" w:firstLine="0"/>
        <w:rPr>
          <w:rFonts w:ascii="ITC Avant Garde" w:eastAsia="Calibri" w:hAnsi="ITC Avant Garde" w:cs="Arial"/>
          <w:i/>
          <w:color w:val="auto"/>
          <w:sz w:val="18"/>
          <w:szCs w:val="18"/>
          <w:lang w:eastAsia="en-US"/>
        </w:rPr>
      </w:pPr>
    </w:p>
    <w:p w14:paraId="23CB3A34" w14:textId="1173987F" w:rsidR="00343A4F" w:rsidRDefault="00343A4F" w:rsidP="00343A4F">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06179196" w14:textId="4622ED9F" w:rsidR="003A4377" w:rsidRDefault="003A4377" w:rsidP="003A4377">
      <w:pPr>
        <w:spacing w:after="0" w:line="276" w:lineRule="auto"/>
        <w:ind w:left="-5" w:right="49"/>
        <w:rPr>
          <w:rFonts w:ascii="ITC Avant Garde" w:hAnsi="ITC Avant Garde"/>
          <w:color w:val="auto"/>
        </w:rPr>
      </w:pPr>
      <w:r w:rsidRPr="003A4377">
        <w:rPr>
          <w:rFonts w:ascii="ITC Avant Garde" w:hAnsi="ITC Avant Garde"/>
          <w:color w:val="auto"/>
        </w:rPr>
        <w:t xml:space="preserve">Se adiciona la definición de RAC (Routing Area Cede por sus siglas en inglés) con el fin de brindar certidumbre a los concesionarios solicitantes sobre los servicios objeto </w:t>
      </w:r>
      <w:r w:rsidRPr="003A4377">
        <w:rPr>
          <w:rFonts w:ascii="ITC Avant Garde" w:hAnsi="ITC Avant Garde"/>
          <w:color w:val="auto"/>
        </w:rPr>
        <w:lastRenderedPageBreak/>
        <w:t>de la Oferta, ya que la misma es usada en la definición de “Área de Servicio” y en los anexos V-A y V-B para la prestación de los servicios de la Oferta.</w:t>
      </w:r>
    </w:p>
    <w:p w14:paraId="25861D0D" w14:textId="1AC05B0F" w:rsidR="003A4377" w:rsidRDefault="003A4377" w:rsidP="00343A4F">
      <w:pPr>
        <w:spacing w:after="0"/>
        <w:rPr>
          <w:rFonts w:ascii="ITC Avant Garde" w:hAnsi="ITC Avant Garde"/>
        </w:rPr>
      </w:pPr>
    </w:p>
    <w:p w14:paraId="447727AC" w14:textId="77777777" w:rsidR="000869C7" w:rsidRPr="005B36F9" w:rsidRDefault="000869C7" w:rsidP="000869C7">
      <w:pPr>
        <w:spacing w:after="0" w:line="276" w:lineRule="auto"/>
        <w:ind w:left="0" w:right="0" w:firstLine="0"/>
        <w:rPr>
          <w:rFonts w:ascii="ITC Avant Garde" w:hAnsi="ITC Avant Garde"/>
          <w:b/>
          <w:color w:val="auto"/>
        </w:rPr>
      </w:pPr>
      <w:r>
        <w:rPr>
          <w:rFonts w:ascii="ITC Avant Garde" w:hAnsi="ITC Avant Garde"/>
          <w:b/>
          <w:color w:val="auto"/>
        </w:rPr>
        <w:t>Altán</w:t>
      </w:r>
      <w:r w:rsidRPr="005B36F9">
        <w:rPr>
          <w:rFonts w:ascii="ITC Avant Garde" w:hAnsi="ITC Avant Garde"/>
          <w:b/>
          <w:color w:val="auto"/>
        </w:rPr>
        <w:t>:</w:t>
      </w:r>
    </w:p>
    <w:p w14:paraId="05CCC5BE" w14:textId="7FEE80B7" w:rsidR="000869C7" w:rsidRDefault="000869C7" w:rsidP="000869C7">
      <w:pPr>
        <w:spacing w:after="0" w:line="276" w:lineRule="auto"/>
        <w:ind w:left="-5" w:right="49"/>
        <w:rPr>
          <w:rFonts w:ascii="ITC Avant Garde" w:hAnsi="ITC Avant Garde"/>
          <w:color w:val="auto"/>
        </w:rPr>
      </w:pPr>
      <w:r>
        <w:rPr>
          <w:rFonts w:ascii="ITC Avant Garde" w:hAnsi="ITC Avant Garde"/>
          <w:color w:val="auto"/>
        </w:rPr>
        <w:t>Señala que la Oferta no incluye los conceptos de “Cliente” y de “Usuarios de los Clientes”, los</w:t>
      </w:r>
      <w:r w:rsidR="00CE6ADB">
        <w:rPr>
          <w:rFonts w:ascii="ITC Avant Garde" w:hAnsi="ITC Avant Garde"/>
          <w:color w:val="auto"/>
        </w:rPr>
        <w:t xml:space="preserve"> cuales</w:t>
      </w:r>
      <w:r>
        <w:rPr>
          <w:rFonts w:ascii="ITC Avant Garde" w:hAnsi="ITC Avant Garde"/>
          <w:color w:val="auto"/>
        </w:rPr>
        <w:t xml:space="preserve"> son necesarios para reflejar el funcionamiento de un operador mayorista que usa los servicios de usuario visitante. Manifiesta que estos conceptos se incluyen en el Convenio firmado </w:t>
      </w:r>
      <w:r w:rsidR="00CE6ADB">
        <w:rPr>
          <w:rFonts w:ascii="ITC Avant Garde" w:hAnsi="ITC Avant Garde"/>
          <w:color w:val="auto"/>
        </w:rPr>
        <w:t>entre Altán Redes y el AEP para la prestación de este servicio en el 2018, por lo cual sugiere incluir la siguiente definición:</w:t>
      </w:r>
    </w:p>
    <w:p w14:paraId="583D9955" w14:textId="77777777" w:rsidR="00CE6ADB" w:rsidRDefault="00CE6ADB" w:rsidP="000869C7">
      <w:pPr>
        <w:spacing w:after="0" w:line="276" w:lineRule="auto"/>
        <w:ind w:left="-5" w:right="49"/>
        <w:rPr>
          <w:rFonts w:ascii="ITC Avant Garde" w:hAnsi="ITC Avant Garde"/>
          <w:color w:val="auto"/>
        </w:rPr>
      </w:pPr>
    </w:p>
    <w:p w14:paraId="10690C1F" w14:textId="20D780C9" w:rsidR="000869C7" w:rsidRDefault="000869C7" w:rsidP="00CE6ADB">
      <w:pPr>
        <w:spacing w:after="0" w:line="276" w:lineRule="auto"/>
        <w:ind w:left="567" w:right="615" w:firstLine="0"/>
        <w:rPr>
          <w:rFonts w:ascii="ITC Avant Garde" w:eastAsia="Calibri" w:hAnsi="ITC Avant Garde" w:cs="Arial"/>
          <w:i/>
          <w:color w:val="auto"/>
          <w:sz w:val="18"/>
          <w:szCs w:val="18"/>
          <w:lang w:eastAsia="en-US"/>
        </w:rPr>
      </w:pPr>
      <w:r w:rsidRPr="00CE6ADB">
        <w:rPr>
          <w:rFonts w:ascii="ITC Avant Garde" w:eastAsia="Calibri" w:hAnsi="ITC Avant Garde" w:cs="Arial"/>
          <w:i/>
          <w:color w:val="auto"/>
          <w:sz w:val="18"/>
          <w:szCs w:val="18"/>
          <w:lang w:eastAsia="en-US"/>
        </w:rPr>
        <w:t>"Usuario</w:t>
      </w:r>
      <w:r w:rsidR="00CE6ADB">
        <w:rPr>
          <w:rFonts w:ascii="ITC Avant Garde" w:eastAsia="Calibri" w:hAnsi="ITC Avant Garde" w:cs="Arial"/>
          <w:i/>
          <w:color w:val="auto"/>
          <w:sz w:val="18"/>
          <w:szCs w:val="18"/>
          <w:lang w:eastAsia="en-US"/>
        </w:rPr>
        <w:t xml:space="preserve"> Final y/o Usuario del cliente:</w:t>
      </w:r>
      <w:r w:rsidRPr="00CE6ADB">
        <w:rPr>
          <w:rFonts w:ascii="ITC Avant Garde" w:eastAsia="Calibri" w:hAnsi="ITC Avant Garde" w:cs="Arial"/>
          <w:i/>
          <w:color w:val="auto"/>
          <w:sz w:val="18"/>
          <w:szCs w:val="18"/>
          <w:lang w:eastAsia="en-US"/>
        </w:rPr>
        <w:t xml:space="preserve"> Es el usuario final del Cliente del Concesionario</w:t>
      </w:r>
      <w:r w:rsidR="00CE6ADB">
        <w:rPr>
          <w:rFonts w:ascii="ITC Avant Garde" w:eastAsia="Calibri" w:hAnsi="ITC Avant Garde" w:cs="Arial"/>
          <w:i/>
          <w:color w:val="auto"/>
          <w:sz w:val="18"/>
          <w:szCs w:val="18"/>
          <w:lang w:eastAsia="en-US"/>
        </w:rPr>
        <w:t>.”</w:t>
      </w:r>
    </w:p>
    <w:p w14:paraId="50536F07" w14:textId="77777777" w:rsidR="00CE6ADB" w:rsidRPr="00CE6ADB" w:rsidRDefault="00CE6ADB" w:rsidP="00CE6ADB">
      <w:pPr>
        <w:spacing w:after="0" w:line="276" w:lineRule="auto"/>
        <w:ind w:left="567" w:right="615" w:firstLine="0"/>
        <w:rPr>
          <w:rFonts w:ascii="ITC Avant Garde" w:eastAsia="Calibri" w:hAnsi="ITC Avant Garde" w:cs="Arial"/>
          <w:i/>
          <w:color w:val="auto"/>
          <w:sz w:val="18"/>
          <w:szCs w:val="18"/>
          <w:lang w:eastAsia="en-US"/>
        </w:rPr>
      </w:pPr>
    </w:p>
    <w:p w14:paraId="2902C1ED" w14:textId="2909FEEF" w:rsidR="000869C7" w:rsidRPr="00CE6ADB" w:rsidRDefault="00CE6ADB" w:rsidP="00CE6ADB">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 xml:space="preserve">“Cliente: </w:t>
      </w:r>
      <w:r w:rsidR="000869C7" w:rsidRPr="00CE6ADB">
        <w:rPr>
          <w:rFonts w:ascii="ITC Avant Garde" w:eastAsia="Calibri" w:hAnsi="ITC Avant Garde" w:cs="Arial"/>
          <w:i/>
          <w:color w:val="auto"/>
          <w:sz w:val="18"/>
          <w:szCs w:val="18"/>
          <w:lang w:eastAsia="en-US"/>
        </w:rPr>
        <w:t xml:space="preserve"> es el cliente del concesionario.</w:t>
      </w:r>
      <w:r>
        <w:rPr>
          <w:rFonts w:ascii="ITC Avant Garde" w:eastAsia="Calibri" w:hAnsi="ITC Avant Garde" w:cs="Arial"/>
          <w:i/>
          <w:color w:val="auto"/>
          <w:sz w:val="18"/>
          <w:szCs w:val="18"/>
          <w:lang w:eastAsia="en-US"/>
        </w:rPr>
        <w:t>”</w:t>
      </w:r>
    </w:p>
    <w:p w14:paraId="607209F1" w14:textId="249C8A0F" w:rsidR="000869C7" w:rsidRDefault="000869C7" w:rsidP="000D1B51">
      <w:pPr>
        <w:spacing w:after="0"/>
        <w:ind w:left="0" w:firstLine="0"/>
        <w:rPr>
          <w:rFonts w:ascii="ITC Avant Garde" w:hAnsi="ITC Avant Garde"/>
        </w:rPr>
      </w:pPr>
    </w:p>
    <w:p w14:paraId="05EADA6E" w14:textId="77777777" w:rsidR="000D1B51" w:rsidRDefault="000D1B51" w:rsidP="000D1B51">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26D82063" w14:textId="77777777" w:rsidR="00CE1CFC" w:rsidRPr="00CE1CFC" w:rsidRDefault="00CE1CFC" w:rsidP="00CE1CFC">
      <w:pPr>
        <w:spacing w:after="0" w:line="276" w:lineRule="auto"/>
        <w:ind w:left="-5" w:right="49"/>
        <w:rPr>
          <w:rFonts w:ascii="ITC Avant Garde" w:hAnsi="ITC Avant Garde"/>
          <w:color w:val="auto"/>
        </w:rPr>
      </w:pPr>
      <w:r w:rsidRPr="00CE1CFC">
        <w:rPr>
          <w:rFonts w:ascii="ITC Avant Garde" w:hAnsi="ITC Avant Garde"/>
          <w:color w:val="auto"/>
        </w:rPr>
        <w:t>El proveer el servicio de usuario visitante a una red mayorista implica modificaciones técnicas de mayor complejidad a las consideradas en la Oferta de Referencia, por lo que a efecto de no introducir ambigüedades en una oferta que tiene propósitos generales aplicables a cualquier concesionario, se modifica la cláusula segunda para que Telcel y la red mayorista definan de común acuerdo los Acuerdos Técnicos que resulten más apropiados entre las partes:</w:t>
      </w:r>
    </w:p>
    <w:p w14:paraId="4C5F5067" w14:textId="77777777" w:rsidR="00CE1CFC" w:rsidRPr="00CE1CFC" w:rsidRDefault="00CE1CFC" w:rsidP="00CE1CFC">
      <w:pPr>
        <w:spacing w:after="0" w:line="276" w:lineRule="auto"/>
        <w:ind w:left="-5" w:right="49"/>
        <w:rPr>
          <w:rFonts w:ascii="ITC Avant Garde" w:hAnsi="ITC Avant Garde"/>
          <w:color w:val="auto"/>
        </w:rPr>
      </w:pPr>
    </w:p>
    <w:p w14:paraId="7F9C6278" w14:textId="77777777" w:rsidR="00CE1CFC" w:rsidRPr="00CE1CFC" w:rsidRDefault="00CE1CFC" w:rsidP="00CE1CFC">
      <w:pPr>
        <w:spacing w:after="0" w:line="276" w:lineRule="auto"/>
        <w:ind w:left="567" w:right="615" w:firstLine="0"/>
        <w:rPr>
          <w:rFonts w:ascii="ITC Avant Garde" w:eastAsia="Calibri" w:hAnsi="ITC Avant Garde" w:cs="Arial"/>
          <w:i/>
          <w:color w:val="auto"/>
          <w:sz w:val="18"/>
          <w:szCs w:val="18"/>
          <w:lang w:eastAsia="en-US"/>
        </w:rPr>
      </w:pPr>
      <w:r w:rsidRPr="00CE1CFC">
        <w:rPr>
          <w:rFonts w:ascii="ITC Avant Garde" w:eastAsia="Calibri" w:hAnsi="ITC Avant Garde" w:cs="Arial"/>
          <w:i/>
          <w:color w:val="auto"/>
          <w:sz w:val="18"/>
          <w:szCs w:val="18"/>
          <w:lang w:eastAsia="en-US"/>
        </w:rPr>
        <w:t>“2.1 OBJETO.</w:t>
      </w:r>
    </w:p>
    <w:p w14:paraId="2D7A9ABE" w14:textId="77777777" w:rsidR="00CE1CFC" w:rsidRPr="00CE1CFC" w:rsidRDefault="00CE1CFC" w:rsidP="00CE1CFC">
      <w:pPr>
        <w:spacing w:after="0" w:line="276" w:lineRule="auto"/>
        <w:ind w:left="567" w:right="615" w:firstLine="0"/>
        <w:rPr>
          <w:rFonts w:ascii="ITC Avant Garde" w:eastAsia="Calibri" w:hAnsi="ITC Avant Garde" w:cs="Arial"/>
          <w:i/>
          <w:color w:val="auto"/>
          <w:sz w:val="18"/>
          <w:szCs w:val="18"/>
          <w:lang w:eastAsia="en-US"/>
        </w:rPr>
      </w:pPr>
    </w:p>
    <w:p w14:paraId="538F3C52" w14:textId="77777777" w:rsidR="00CE1CFC" w:rsidRPr="00CE1CFC" w:rsidRDefault="00CE1CFC" w:rsidP="00CE1CFC">
      <w:pPr>
        <w:spacing w:after="0" w:line="276" w:lineRule="auto"/>
        <w:ind w:left="567" w:right="615" w:firstLine="0"/>
        <w:rPr>
          <w:rFonts w:ascii="ITC Avant Garde" w:eastAsia="Calibri" w:hAnsi="ITC Avant Garde" w:cs="Arial"/>
          <w:i/>
          <w:color w:val="auto"/>
          <w:sz w:val="18"/>
          <w:szCs w:val="18"/>
          <w:lang w:eastAsia="en-US"/>
        </w:rPr>
      </w:pPr>
      <w:r w:rsidRPr="00CE1CFC">
        <w:rPr>
          <w:rFonts w:ascii="ITC Avant Garde" w:eastAsia="Calibri" w:hAnsi="ITC Avant Garde" w:cs="Arial"/>
          <w:i/>
          <w:color w:val="auto"/>
          <w:sz w:val="18"/>
          <w:szCs w:val="18"/>
          <w:lang w:eastAsia="en-US"/>
        </w:rPr>
        <w:t>Por conducto del presente Convenio, Telcel otorgará, a cambio de las contraprestaciones a que se refiere la Cláusula Cuarta Contraprestaciones del presente Convenio, los Servicios de la Oferta, así como los Servicios Adicionales a la Oferta al Concesionario para uso exclusivo de sus Usuarios Finales, de conformidad con el Anexo I Oferta de Servicios.</w:t>
      </w:r>
    </w:p>
    <w:p w14:paraId="3909F2B3" w14:textId="77777777" w:rsidR="00CE1CFC" w:rsidRPr="00CE1CFC" w:rsidRDefault="00CE1CFC" w:rsidP="00CE1CFC">
      <w:pPr>
        <w:spacing w:after="0" w:line="276" w:lineRule="auto"/>
        <w:ind w:left="567" w:right="615" w:firstLine="0"/>
        <w:rPr>
          <w:rFonts w:ascii="ITC Avant Garde" w:eastAsia="Calibri" w:hAnsi="ITC Avant Garde" w:cs="Arial"/>
          <w:i/>
          <w:color w:val="auto"/>
          <w:sz w:val="18"/>
          <w:szCs w:val="18"/>
          <w:lang w:eastAsia="en-US"/>
        </w:rPr>
      </w:pPr>
    </w:p>
    <w:p w14:paraId="4DB09FDB" w14:textId="77777777" w:rsidR="00CE1CFC" w:rsidRPr="00CE1CFC" w:rsidRDefault="00CE1CFC" w:rsidP="00CE1CFC">
      <w:pPr>
        <w:spacing w:after="0" w:line="276" w:lineRule="auto"/>
        <w:ind w:left="567" w:right="615" w:firstLine="0"/>
        <w:rPr>
          <w:rFonts w:ascii="ITC Avant Garde" w:eastAsia="Calibri" w:hAnsi="ITC Avant Garde" w:cs="Arial"/>
          <w:i/>
          <w:color w:val="auto"/>
          <w:sz w:val="18"/>
          <w:szCs w:val="18"/>
          <w:lang w:eastAsia="en-US"/>
        </w:rPr>
      </w:pPr>
      <w:r w:rsidRPr="00CE1CFC">
        <w:rPr>
          <w:rFonts w:ascii="ITC Avant Garde" w:eastAsia="Calibri" w:hAnsi="ITC Avant Garde" w:cs="Arial"/>
          <w:i/>
          <w:color w:val="auto"/>
          <w:sz w:val="18"/>
          <w:szCs w:val="18"/>
          <w:lang w:eastAsia="en-US"/>
        </w:rPr>
        <w:t>Lo anterior sin perjuicio de las adecuaciones técnicas particulares que deban realizarse a efecto de que Telcel preste el servicio de la Oferta de Referencia a redes mayoristas.”</w:t>
      </w:r>
    </w:p>
    <w:p w14:paraId="0BF184CE" w14:textId="77777777" w:rsidR="00CE1CFC" w:rsidRPr="00CE1CFC" w:rsidRDefault="00CE1CFC" w:rsidP="00CE1CFC">
      <w:pPr>
        <w:spacing w:after="0" w:line="276" w:lineRule="auto"/>
        <w:ind w:left="567" w:right="615" w:firstLine="0"/>
        <w:rPr>
          <w:rFonts w:ascii="ITC Avant Garde" w:eastAsia="Calibri" w:hAnsi="ITC Avant Garde" w:cs="Arial"/>
          <w:i/>
          <w:color w:val="auto"/>
          <w:sz w:val="18"/>
          <w:szCs w:val="18"/>
          <w:lang w:eastAsia="en-US"/>
        </w:rPr>
      </w:pPr>
    </w:p>
    <w:p w14:paraId="4B808A0F" w14:textId="0275C3D6" w:rsidR="00CE1CFC" w:rsidRDefault="00CE1CFC" w:rsidP="00CE1CFC">
      <w:pPr>
        <w:spacing w:after="0" w:line="276" w:lineRule="auto"/>
        <w:ind w:left="567" w:right="615" w:firstLine="0"/>
        <w:jc w:val="right"/>
        <w:rPr>
          <w:rFonts w:ascii="ITC Avant Garde" w:eastAsia="Calibri" w:hAnsi="ITC Avant Garde" w:cs="Arial"/>
          <w:i/>
          <w:color w:val="auto"/>
          <w:sz w:val="18"/>
          <w:szCs w:val="18"/>
          <w:lang w:eastAsia="en-US"/>
        </w:rPr>
      </w:pPr>
      <w:r w:rsidRPr="00CE1CFC">
        <w:rPr>
          <w:rFonts w:ascii="ITC Avant Garde" w:eastAsia="Calibri" w:hAnsi="ITC Avant Garde" w:cs="Arial"/>
          <w:i/>
          <w:color w:val="auto"/>
          <w:sz w:val="18"/>
          <w:szCs w:val="18"/>
          <w:lang w:eastAsia="en-US"/>
        </w:rPr>
        <w:t>(Énfasis añadido)</w:t>
      </w:r>
    </w:p>
    <w:p w14:paraId="2B3F5892" w14:textId="3134652D" w:rsidR="00DE0CF3" w:rsidRDefault="00DE0CF3" w:rsidP="002F143D">
      <w:pPr>
        <w:spacing w:after="0" w:line="276" w:lineRule="auto"/>
        <w:ind w:left="0" w:right="49" w:firstLine="0"/>
        <w:rPr>
          <w:rFonts w:ascii="ITC Avant Garde" w:hAnsi="ITC Avant Garde"/>
          <w:color w:val="auto"/>
        </w:rPr>
      </w:pPr>
    </w:p>
    <w:p w14:paraId="7FE46104" w14:textId="68C9961D" w:rsidR="00DE0CF3" w:rsidRPr="00A51243" w:rsidRDefault="00DE0CF3" w:rsidP="00DE0CF3">
      <w:pPr>
        <w:spacing w:after="0" w:line="276" w:lineRule="auto"/>
        <w:ind w:left="0" w:right="0" w:firstLine="0"/>
        <w:rPr>
          <w:rFonts w:ascii="ITC Avant Garde" w:hAnsi="ITC Avant Garde"/>
          <w:b/>
          <w:color w:val="auto"/>
        </w:rPr>
      </w:pPr>
      <w:r w:rsidRPr="00A51243">
        <w:rPr>
          <w:rFonts w:ascii="ITC Avant Garde" w:hAnsi="ITC Avant Garde"/>
          <w:b/>
          <w:color w:val="auto"/>
        </w:rPr>
        <w:t>Grupo Televisa:</w:t>
      </w:r>
    </w:p>
    <w:p w14:paraId="2B70F62B" w14:textId="567761A3" w:rsidR="00DE0CF3" w:rsidRDefault="00DE0CF3" w:rsidP="00DE0CF3">
      <w:pPr>
        <w:spacing w:after="0" w:line="276" w:lineRule="auto"/>
        <w:ind w:left="0" w:right="0" w:firstLine="0"/>
        <w:rPr>
          <w:rFonts w:ascii="ITC Avant Garde" w:hAnsi="ITC Avant Garde"/>
          <w:color w:val="auto"/>
        </w:rPr>
      </w:pPr>
      <w:r w:rsidRPr="00A51243">
        <w:rPr>
          <w:rFonts w:ascii="ITC Avant Garde" w:hAnsi="ITC Avant Garde"/>
          <w:color w:val="auto"/>
        </w:rPr>
        <w:t>Solicita la inclusión de una definición clara de “Servicios Adicionales” así como una lista de los servicios considerados como tal.</w:t>
      </w:r>
    </w:p>
    <w:p w14:paraId="3CE99776" w14:textId="7B2BE517" w:rsidR="00CF6318" w:rsidRDefault="00CF6318" w:rsidP="00DE0CF3">
      <w:pPr>
        <w:spacing w:after="0" w:line="276" w:lineRule="auto"/>
        <w:ind w:left="0" w:right="0" w:firstLine="0"/>
        <w:rPr>
          <w:rFonts w:ascii="ITC Avant Garde" w:hAnsi="ITC Avant Garde"/>
          <w:color w:val="auto"/>
        </w:rPr>
      </w:pPr>
    </w:p>
    <w:p w14:paraId="44979305" w14:textId="77777777" w:rsidR="00CF6318" w:rsidRDefault="00CF6318" w:rsidP="00CF6318">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6F98321" w14:textId="2DCC289F" w:rsidR="00015958" w:rsidRDefault="00A51243" w:rsidP="00CF6318">
      <w:pPr>
        <w:spacing w:after="0" w:line="276" w:lineRule="auto"/>
        <w:ind w:left="0" w:right="0" w:firstLine="0"/>
        <w:rPr>
          <w:rFonts w:ascii="ITC Avant Garde" w:hAnsi="ITC Avant Garde"/>
          <w:color w:val="auto"/>
        </w:rPr>
      </w:pPr>
      <w:r w:rsidRPr="00A51243">
        <w:rPr>
          <w:rFonts w:ascii="ITC Avant Garde" w:hAnsi="ITC Avant Garde"/>
          <w:color w:val="auto"/>
        </w:rPr>
        <w:t>La definición de servicios adicionales es clara al señalar que son aquellos en donde el concesionario cuenta con infraestructura o presta el servicio móvil, así como todos aquellos que no están incluidos en la Oferta.</w:t>
      </w:r>
    </w:p>
    <w:p w14:paraId="74935D8A" w14:textId="77777777" w:rsidR="00A51243" w:rsidRDefault="00A51243" w:rsidP="00CF6318">
      <w:pPr>
        <w:spacing w:after="0" w:line="276" w:lineRule="auto"/>
        <w:ind w:left="0" w:right="0" w:firstLine="0"/>
        <w:rPr>
          <w:rFonts w:ascii="ITC Avant Garde" w:hAnsi="ITC Avant Garde"/>
          <w:color w:val="auto"/>
        </w:rPr>
      </w:pPr>
    </w:p>
    <w:p w14:paraId="06274090" w14:textId="77777777" w:rsidR="00015958" w:rsidRPr="005B36F9" w:rsidRDefault="00015958" w:rsidP="00015958">
      <w:pPr>
        <w:spacing w:after="0" w:line="276" w:lineRule="auto"/>
        <w:ind w:left="0" w:right="0" w:firstLine="0"/>
        <w:rPr>
          <w:rFonts w:ascii="ITC Avant Garde" w:hAnsi="ITC Avant Garde"/>
          <w:b/>
          <w:color w:val="auto"/>
        </w:rPr>
      </w:pPr>
      <w:r>
        <w:rPr>
          <w:rFonts w:ascii="ITC Avant Garde" w:hAnsi="ITC Avant Garde"/>
          <w:b/>
          <w:color w:val="auto"/>
        </w:rPr>
        <w:t>Altán</w:t>
      </w:r>
      <w:r w:rsidRPr="005B36F9">
        <w:rPr>
          <w:rFonts w:ascii="ITC Avant Garde" w:hAnsi="ITC Avant Garde"/>
          <w:b/>
          <w:color w:val="auto"/>
        </w:rPr>
        <w:t>:</w:t>
      </w:r>
    </w:p>
    <w:p w14:paraId="7C3EB967" w14:textId="2C4A766C" w:rsidR="00015958" w:rsidRDefault="00015958" w:rsidP="00015958">
      <w:pPr>
        <w:spacing w:after="0" w:line="276" w:lineRule="auto"/>
        <w:ind w:left="-5" w:right="49"/>
        <w:rPr>
          <w:rFonts w:ascii="ITC Avant Garde" w:hAnsi="ITC Avant Garde"/>
          <w:color w:val="auto"/>
        </w:rPr>
      </w:pPr>
      <w:r w:rsidRPr="00015958">
        <w:rPr>
          <w:rFonts w:ascii="ITC Avant Garde" w:hAnsi="ITC Avant Garde"/>
          <w:color w:val="auto"/>
        </w:rPr>
        <w:lastRenderedPageBreak/>
        <w:t>Comenta que el concepto de trato no discriminatorio debe exigir que el trato que otorgue el AEP debe de ser equivalente al que se da a sí mismo o a sus clientes, y no sólo respecto al trato otorgado a terceros.</w:t>
      </w:r>
    </w:p>
    <w:p w14:paraId="3FADE3DA" w14:textId="2C60B661" w:rsidR="00015958" w:rsidRDefault="00015958" w:rsidP="00015958">
      <w:pPr>
        <w:spacing w:after="0" w:line="276" w:lineRule="auto"/>
        <w:ind w:left="-5" w:right="49"/>
        <w:rPr>
          <w:rFonts w:ascii="ITC Avant Garde" w:hAnsi="ITC Avant Garde"/>
          <w:color w:val="auto"/>
        </w:rPr>
      </w:pPr>
    </w:p>
    <w:p w14:paraId="5AAB684A" w14:textId="77777777" w:rsidR="00015958" w:rsidRDefault="00015958" w:rsidP="00015958">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54171A5" w14:textId="0AD7EFE3" w:rsidR="00015958" w:rsidRDefault="00545CE7" w:rsidP="00670B76">
      <w:pPr>
        <w:spacing w:after="0" w:line="276" w:lineRule="auto"/>
        <w:ind w:left="-5" w:right="49"/>
        <w:rPr>
          <w:rFonts w:ascii="ITC Avant Garde" w:hAnsi="ITC Avant Garde"/>
        </w:rPr>
      </w:pPr>
      <w:r w:rsidRPr="00545CE7">
        <w:rPr>
          <w:rFonts w:ascii="ITC Avant Garde" w:hAnsi="ITC Avant Garde"/>
          <w:color w:val="auto"/>
        </w:rPr>
        <w:t>La aplicación del trato no discriminatorio definido en la Oferta es acorde a la Medida Decimosexta</w:t>
      </w:r>
      <w:r w:rsidR="00670B76">
        <w:rPr>
          <w:rFonts w:ascii="ITC Avant Garde" w:hAnsi="ITC Avant Garde"/>
          <w:color w:val="auto"/>
        </w:rPr>
        <w:t xml:space="preserve"> de </w:t>
      </w:r>
      <w:r w:rsidR="00670B76">
        <w:rPr>
          <w:rFonts w:ascii="ITC Avant Garde" w:hAnsi="ITC Avant Garde"/>
        </w:rPr>
        <w:t>las “</w:t>
      </w:r>
      <w:r w:rsidR="00670B76" w:rsidRPr="0035474C">
        <w:rPr>
          <w:rFonts w:ascii="ITC Avant Garde" w:hAnsi="ITC Avant Garde"/>
          <w:i/>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00670B76">
        <w:rPr>
          <w:rFonts w:ascii="ITC Avant Garde" w:hAnsi="ITC Avant Garde"/>
        </w:rPr>
        <w:t xml:space="preserve">” </w:t>
      </w:r>
      <w:r w:rsidR="00670B76" w:rsidRPr="00CF2416">
        <w:rPr>
          <w:rFonts w:ascii="ITC Avant Garde" w:hAnsi="ITC Avant Garde"/>
        </w:rPr>
        <w:t>(en lo s</w:t>
      </w:r>
      <w:r w:rsidR="00AE04E4">
        <w:rPr>
          <w:rFonts w:ascii="ITC Avant Garde" w:hAnsi="ITC Avant Garde"/>
        </w:rPr>
        <w:t>ucesivo, las “Medidas Móviles”), la cual establece:</w:t>
      </w:r>
    </w:p>
    <w:p w14:paraId="191A985B" w14:textId="59465A5F" w:rsidR="00AE04E4" w:rsidRDefault="00AE04E4" w:rsidP="00670B76">
      <w:pPr>
        <w:spacing w:after="0" w:line="276" w:lineRule="auto"/>
        <w:ind w:left="-5" w:right="49"/>
        <w:rPr>
          <w:rFonts w:ascii="ITC Avant Garde" w:hAnsi="ITC Avant Garde"/>
        </w:rPr>
      </w:pPr>
    </w:p>
    <w:p w14:paraId="1D032F61" w14:textId="27683369" w:rsidR="00AE04E4" w:rsidRDefault="00AE04E4" w:rsidP="00AE04E4">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AE04E4">
        <w:rPr>
          <w:rFonts w:ascii="ITC Avant Garde" w:eastAsia="Calibri" w:hAnsi="ITC Avant Garde" w:cs="Arial"/>
          <w:i/>
          <w:color w:val="auto"/>
          <w:sz w:val="18"/>
          <w:szCs w:val="18"/>
          <w:lang w:eastAsia="en-US"/>
        </w:rPr>
        <w:t>DECIMOSEXTA.-</w:t>
      </w:r>
    </w:p>
    <w:p w14:paraId="638914F7" w14:textId="5D4FDF13" w:rsidR="00AE04E4" w:rsidRDefault="00AE04E4" w:rsidP="00AE04E4">
      <w:pPr>
        <w:spacing w:after="0" w:line="276" w:lineRule="auto"/>
        <w:ind w:left="567" w:right="615" w:firstLine="0"/>
        <w:rPr>
          <w:rFonts w:ascii="ITC Avant Garde" w:eastAsia="Calibri" w:hAnsi="ITC Avant Garde" w:cs="Arial"/>
          <w:i/>
          <w:color w:val="auto"/>
          <w:sz w:val="18"/>
          <w:szCs w:val="18"/>
          <w:lang w:eastAsia="en-US"/>
        </w:rPr>
      </w:pPr>
    </w:p>
    <w:p w14:paraId="5C2DBB0F" w14:textId="6FEDC769" w:rsidR="00AE04E4" w:rsidRDefault="00AE04E4" w:rsidP="00AE04E4">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47585FA9" w14:textId="77777777" w:rsidR="00AE04E4" w:rsidRDefault="00AE04E4" w:rsidP="00AE04E4">
      <w:pPr>
        <w:spacing w:after="0" w:line="276" w:lineRule="auto"/>
        <w:ind w:left="567" w:right="615" w:firstLine="0"/>
        <w:rPr>
          <w:rFonts w:ascii="ITC Avant Garde" w:eastAsia="Calibri" w:hAnsi="ITC Avant Garde" w:cs="Arial"/>
          <w:i/>
          <w:color w:val="auto"/>
          <w:sz w:val="18"/>
          <w:szCs w:val="18"/>
          <w:lang w:eastAsia="en-US"/>
        </w:rPr>
      </w:pPr>
    </w:p>
    <w:p w14:paraId="6CDDDEBE" w14:textId="32453F86" w:rsidR="00AE04E4" w:rsidRDefault="00AE04E4" w:rsidP="00AE04E4">
      <w:pPr>
        <w:spacing w:after="0" w:line="276" w:lineRule="auto"/>
        <w:ind w:left="567" w:right="615" w:firstLine="0"/>
        <w:rPr>
          <w:rFonts w:ascii="ITC Avant Garde" w:eastAsia="Calibri" w:hAnsi="ITC Avant Garde" w:cs="Arial"/>
          <w:i/>
          <w:color w:val="auto"/>
          <w:sz w:val="18"/>
          <w:szCs w:val="18"/>
          <w:lang w:eastAsia="en-US"/>
        </w:rPr>
      </w:pPr>
      <w:r w:rsidRPr="00AE04E4">
        <w:rPr>
          <w:rFonts w:ascii="ITC Avant Garde" w:eastAsia="Calibri" w:hAnsi="ITC Avant Garde" w:cs="Arial"/>
          <w:i/>
          <w:color w:val="auto"/>
          <w:sz w:val="18"/>
          <w:szCs w:val="18"/>
          <w:lang w:eastAsia="en-US"/>
        </w:rPr>
        <w:t xml:space="preserve">El Agente Económico Preponderante no podrá establecer condiciones que inhiban la competencia en la prestación de los servicios objeto de las Ofertas de Referencia, cualquier requisito que no sea necesario para la eficiente prestación del servicio, ni: </w:t>
      </w:r>
    </w:p>
    <w:p w14:paraId="25A2BF50" w14:textId="77777777" w:rsidR="00AE04E4" w:rsidRPr="00AE04E4" w:rsidRDefault="00AE04E4" w:rsidP="00AE04E4">
      <w:pPr>
        <w:spacing w:after="0" w:line="276" w:lineRule="auto"/>
        <w:ind w:left="567" w:right="615" w:firstLine="0"/>
        <w:rPr>
          <w:rFonts w:ascii="ITC Avant Garde" w:eastAsia="Calibri" w:hAnsi="ITC Avant Garde" w:cs="Arial"/>
          <w:i/>
          <w:color w:val="auto"/>
          <w:sz w:val="18"/>
          <w:szCs w:val="18"/>
          <w:lang w:eastAsia="en-US"/>
        </w:rPr>
      </w:pPr>
    </w:p>
    <w:p w14:paraId="16B7103E" w14:textId="1AD1F0E6" w:rsidR="00AE04E4" w:rsidRPr="00AE04E4" w:rsidRDefault="00AE04E4" w:rsidP="00AE04E4">
      <w:pPr>
        <w:pStyle w:val="Prrafodelista"/>
        <w:numPr>
          <w:ilvl w:val="0"/>
          <w:numId w:val="7"/>
        </w:numPr>
        <w:spacing w:after="0" w:line="276" w:lineRule="auto"/>
        <w:ind w:right="615"/>
        <w:rPr>
          <w:rFonts w:ascii="ITC Avant Garde" w:eastAsia="Calibri" w:hAnsi="ITC Avant Garde" w:cs="Arial"/>
          <w:i/>
          <w:color w:val="auto"/>
          <w:sz w:val="18"/>
          <w:szCs w:val="18"/>
          <w:u w:val="single"/>
          <w:lang w:eastAsia="en-US"/>
        </w:rPr>
      </w:pPr>
      <w:r w:rsidRPr="00AE04E4">
        <w:rPr>
          <w:rFonts w:ascii="ITC Avant Garde" w:eastAsia="Calibri" w:hAnsi="ITC Avant Garde" w:cs="Arial"/>
          <w:i/>
          <w:color w:val="auto"/>
          <w:sz w:val="18"/>
          <w:szCs w:val="18"/>
          <w:u w:val="single"/>
          <w:lang w:eastAsia="en-US"/>
        </w:rPr>
        <w:t xml:space="preserve">Aplicar condiciones discriminatorias y/o abusivas en la prestación de los servicios, por lo que deberán ofrecer los mismos precios, términos, condiciones y descuentos establecidos en las Ofertas de Referencia a cualquier Concesionario Solicitante u Operador Móvil Virtual que se lo requiera. </w:t>
      </w:r>
    </w:p>
    <w:p w14:paraId="2265CE1A" w14:textId="77777777" w:rsidR="00AE04E4" w:rsidRDefault="00AE04E4" w:rsidP="00AE04E4">
      <w:pPr>
        <w:spacing w:after="0" w:line="276" w:lineRule="auto"/>
        <w:ind w:left="718" w:right="615"/>
        <w:rPr>
          <w:rFonts w:ascii="ITC Avant Garde" w:eastAsia="Calibri" w:hAnsi="ITC Avant Garde" w:cs="Arial"/>
          <w:i/>
          <w:color w:val="auto"/>
          <w:sz w:val="18"/>
          <w:szCs w:val="18"/>
          <w:lang w:eastAsia="en-US"/>
        </w:rPr>
      </w:pPr>
    </w:p>
    <w:p w14:paraId="0313562A" w14:textId="1663CDFC" w:rsidR="00AE04E4" w:rsidRPr="00AE04E4" w:rsidRDefault="00AE04E4" w:rsidP="00AE04E4">
      <w:pPr>
        <w:spacing w:after="0" w:line="276" w:lineRule="auto"/>
        <w:ind w:left="718" w:right="615"/>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7B05C56D" w14:textId="58BB30BF" w:rsidR="00AE04E4" w:rsidRDefault="00AE04E4" w:rsidP="00670B76">
      <w:pPr>
        <w:spacing w:after="0" w:line="276" w:lineRule="auto"/>
        <w:ind w:left="-5" w:right="49"/>
        <w:rPr>
          <w:rFonts w:ascii="ITC Avant Garde" w:hAnsi="ITC Avant Garde"/>
          <w:color w:val="auto"/>
        </w:rPr>
      </w:pPr>
    </w:p>
    <w:p w14:paraId="2049F43E" w14:textId="4786F38F" w:rsidR="00AE04E4" w:rsidRDefault="00AE04E4" w:rsidP="00670B76">
      <w:pPr>
        <w:spacing w:after="0" w:line="276" w:lineRule="auto"/>
        <w:ind w:left="-5" w:right="49"/>
        <w:rPr>
          <w:rFonts w:ascii="ITC Avant Garde" w:hAnsi="ITC Avant Garde"/>
          <w:color w:val="auto"/>
        </w:rPr>
      </w:pPr>
      <w:r>
        <w:rPr>
          <w:rFonts w:ascii="ITC Avant Garde" w:hAnsi="ITC Avant Garde"/>
          <w:color w:val="auto"/>
        </w:rPr>
        <w:t>De lo anterior, se observa que el AEP está obligado a ofrecer un trato igual a todos los concesionarios solicitantes del servicio de usuario visitante.</w:t>
      </w:r>
    </w:p>
    <w:p w14:paraId="1F3A8473" w14:textId="445B0297" w:rsidR="00B17BF4" w:rsidRDefault="00B17BF4" w:rsidP="00670B76">
      <w:pPr>
        <w:spacing w:after="0" w:line="276" w:lineRule="auto"/>
        <w:ind w:left="-5" w:right="49"/>
        <w:rPr>
          <w:rFonts w:ascii="ITC Avant Garde" w:hAnsi="ITC Avant Garde"/>
          <w:color w:val="auto"/>
        </w:rPr>
      </w:pPr>
    </w:p>
    <w:p w14:paraId="47A8D6A8" w14:textId="4907FD2B" w:rsidR="00B17BF4" w:rsidRPr="005B36F9" w:rsidRDefault="00B17BF4" w:rsidP="00B17BF4">
      <w:pPr>
        <w:spacing w:after="0" w:line="276" w:lineRule="auto"/>
        <w:ind w:left="-5" w:right="49"/>
        <w:rPr>
          <w:rFonts w:ascii="ITC Avant Garde" w:hAnsi="ITC Avant Garde"/>
          <w:b/>
          <w:color w:val="auto"/>
          <w:u w:val="single"/>
        </w:rPr>
      </w:pPr>
      <w:r w:rsidRPr="005B36F9">
        <w:rPr>
          <w:rFonts w:ascii="ITC Avant Garde" w:hAnsi="ITC Avant Garde"/>
          <w:b/>
          <w:color w:val="auto"/>
          <w:u w:val="single"/>
        </w:rPr>
        <w:t>Comenta</w:t>
      </w:r>
      <w:r>
        <w:rPr>
          <w:rFonts w:ascii="ITC Avant Garde" w:hAnsi="ITC Avant Garde"/>
          <w:b/>
          <w:color w:val="auto"/>
          <w:u w:val="single"/>
        </w:rPr>
        <w:t>rios emitidos sobre el Numeral 4.- Convenio</w:t>
      </w:r>
    </w:p>
    <w:p w14:paraId="333FBE34" w14:textId="77777777" w:rsidR="00B17BF4" w:rsidRDefault="00B17BF4" w:rsidP="00B17BF4">
      <w:pPr>
        <w:spacing w:after="0" w:line="276" w:lineRule="auto"/>
        <w:ind w:left="-5" w:right="49"/>
        <w:rPr>
          <w:rFonts w:ascii="ITC Avant Garde" w:hAnsi="ITC Avant Garde"/>
          <w:b/>
          <w:color w:val="auto"/>
        </w:rPr>
      </w:pPr>
    </w:p>
    <w:p w14:paraId="742A257F" w14:textId="77777777" w:rsidR="00CC72B9" w:rsidRPr="00CC72B9" w:rsidRDefault="00CC72B9" w:rsidP="00CC72B9">
      <w:pPr>
        <w:spacing w:after="0" w:line="276" w:lineRule="auto"/>
        <w:ind w:left="0" w:right="0" w:firstLine="0"/>
        <w:rPr>
          <w:rFonts w:ascii="ITC Avant Garde" w:hAnsi="ITC Avant Garde"/>
          <w:b/>
          <w:color w:val="auto"/>
        </w:rPr>
      </w:pPr>
      <w:r w:rsidRPr="00CC72B9">
        <w:rPr>
          <w:rFonts w:ascii="ITC Avant Garde" w:hAnsi="ITC Avant Garde"/>
          <w:b/>
          <w:color w:val="auto"/>
        </w:rPr>
        <w:t>Grupo Televisa:</w:t>
      </w:r>
    </w:p>
    <w:p w14:paraId="727F215C" w14:textId="30527427" w:rsidR="00B17BF4" w:rsidRDefault="00CC72B9" w:rsidP="00CC72B9">
      <w:pPr>
        <w:spacing w:after="0" w:line="276" w:lineRule="auto"/>
        <w:ind w:left="-5" w:right="49"/>
        <w:rPr>
          <w:rFonts w:ascii="ITC Avant Garde" w:hAnsi="ITC Avant Garde"/>
          <w:color w:val="auto"/>
        </w:rPr>
      </w:pPr>
      <w:r w:rsidRPr="00CC72B9">
        <w:rPr>
          <w:rFonts w:ascii="ITC Avant Garde" w:hAnsi="ITC Avant Garde"/>
          <w:color w:val="auto"/>
        </w:rPr>
        <w:t>Señala que la estructura actual presenta a la Oferta y al Convenio</w:t>
      </w:r>
      <w:r>
        <w:rPr>
          <w:rFonts w:ascii="ITC Avant Garde" w:hAnsi="ITC Avant Garde"/>
          <w:color w:val="auto"/>
        </w:rPr>
        <w:t xml:space="preserve"> </w:t>
      </w:r>
      <w:r w:rsidRPr="00CC72B9">
        <w:rPr>
          <w:rFonts w:ascii="ITC Avant Garde" w:hAnsi="ITC Avant Garde"/>
          <w:color w:val="auto"/>
        </w:rPr>
        <w:t>como documentos integrales, cuyos términos y condiciones son consideradas en su conjunto, por lo que recomienda la separación de la Ofer</w:t>
      </w:r>
      <w:r>
        <w:rPr>
          <w:rFonts w:ascii="ITC Avant Garde" w:hAnsi="ITC Avant Garde"/>
          <w:color w:val="auto"/>
        </w:rPr>
        <w:t>ta de Referencia y del Convenio</w:t>
      </w:r>
      <w:r w:rsidRPr="00CC72B9">
        <w:rPr>
          <w:rFonts w:ascii="ITC Avant Garde" w:hAnsi="ITC Avant Garde"/>
          <w:color w:val="auto"/>
        </w:rPr>
        <w:t xml:space="preserve"> ya que en el primero se deben plasmar los términos y condiciones acordados con el regulador, mientras que el segundo debe contener las condiciones generales de la oferta de referencia y las condiciones específicas acordadas entre el AEP y el concesionario</w:t>
      </w:r>
      <w:r>
        <w:rPr>
          <w:rFonts w:ascii="ITC Avant Garde" w:hAnsi="ITC Avant Garde"/>
          <w:color w:val="auto"/>
        </w:rPr>
        <w:t>.</w:t>
      </w:r>
    </w:p>
    <w:p w14:paraId="663ED5EE" w14:textId="6B984E2D" w:rsidR="00CC72B9" w:rsidRDefault="00CC72B9" w:rsidP="00CC72B9">
      <w:pPr>
        <w:spacing w:after="0" w:line="276" w:lineRule="auto"/>
        <w:ind w:left="-5" w:right="49"/>
        <w:rPr>
          <w:rFonts w:ascii="ITC Avant Garde" w:hAnsi="ITC Avant Garde"/>
          <w:color w:val="auto"/>
        </w:rPr>
      </w:pPr>
    </w:p>
    <w:p w14:paraId="2C370AD8" w14:textId="77777777" w:rsidR="00CC72B9" w:rsidRDefault="00CC72B9" w:rsidP="00CC72B9">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CFC16F2" w14:textId="4C740119" w:rsidR="00CC72B9" w:rsidRDefault="00CC72B9" w:rsidP="00CC72B9">
      <w:pPr>
        <w:spacing w:after="0" w:line="276" w:lineRule="auto"/>
        <w:ind w:left="-5" w:right="49"/>
        <w:rPr>
          <w:rFonts w:ascii="ITC Avant Garde" w:hAnsi="ITC Avant Garde"/>
          <w:color w:val="auto"/>
        </w:rPr>
      </w:pPr>
      <w:r w:rsidRPr="00CC72B9">
        <w:rPr>
          <w:rFonts w:ascii="ITC Avant Garde" w:hAnsi="ITC Avant Garde"/>
          <w:color w:val="auto"/>
        </w:rPr>
        <w:lastRenderedPageBreak/>
        <w:t>La Medida Decimosexta establece todos los elementos que debe contener la Oferta de Referencia. Asimismo, toda la documentación relativa a la prestación del servicio debe ser parte integral de la Oferta de Referencia, mientras que todo aquello relativo a la parte legal y contractual debe formar parte del modelo del convenio</w:t>
      </w:r>
      <w:r>
        <w:rPr>
          <w:rFonts w:ascii="ITC Avant Garde" w:hAnsi="ITC Avant Garde"/>
          <w:color w:val="auto"/>
        </w:rPr>
        <w:t>.</w:t>
      </w:r>
    </w:p>
    <w:p w14:paraId="195AFA1F" w14:textId="5F49F490" w:rsidR="00B742EF" w:rsidRDefault="00B742EF" w:rsidP="00CC72B9">
      <w:pPr>
        <w:spacing w:after="0" w:line="276" w:lineRule="auto"/>
        <w:ind w:left="-5" w:right="49"/>
        <w:rPr>
          <w:rFonts w:ascii="ITC Avant Garde" w:hAnsi="ITC Avant Garde"/>
          <w:color w:val="auto"/>
        </w:rPr>
      </w:pPr>
    </w:p>
    <w:p w14:paraId="49D70B6A" w14:textId="748E2829" w:rsidR="00B742EF" w:rsidRPr="005B36F9" w:rsidRDefault="00B742EF" w:rsidP="00B742EF">
      <w:pPr>
        <w:spacing w:after="0" w:line="276" w:lineRule="auto"/>
        <w:ind w:left="-5" w:right="49"/>
        <w:rPr>
          <w:rFonts w:ascii="ITC Avant Garde" w:hAnsi="ITC Avant Garde"/>
          <w:b/>
          <w:color w:val="auto"/>
          <w:u w:val="single"/>
        </w:rPr>
      </w:pPr>
      <w:r w:rsidRPr="005B36F9">
        <w:rPr>
          <w:rFonts w:ascii="ITC Avant Garde" w:hAnsi="ITC Avant Garde"/>
          <w:b/>
          <w:color w:val="auto"/>
          <w:u w:val="single"/>
        </w:rPr>
        <w:t>Comenta</w:t>
      </w:r>
      <w:r>
        <w:rPr>
          <w:rFonts w:ascii="ITC Avant Garde" w:hAnsi="ITC Avant Garde"/>
          <w:b/>
          <w:color w:val="auto"/>
          <w:u w:val="single"/>
        </w:rPr>
        <w:t>rios emitidos sobre el Numeral 5.- Reserva de Derechos</w:t>
      </w:r>
    </w:p>
    <w:p w14:paraId="59DDAFA8" w14:textId="77777777" w:rsidR="00B742EF" w:rsidRDefault="00B742EF" w:rsidP="00B742EF">
      <w:pPr>
        <w:spacing w:after="0" w:line="276" w:lineRule="auto"/>
        <w:ind w:left="-5" w:right="49"/>
        <w:rPr>
          <w:rFonts w:ascii="ITC Avant Garde" w:hAnsi="ITC Avant Garde"/>
          <w:b/>
          <w:color w:val="auto"/>
        </w:rPr>
      </w:pPr>
    </w:p>
    <w:p w14:paraId="28A8AB2E" w14:textId="77777777" w:rsidR="00B742EF" w:rsidRPr="00CC72B9" w:rsidRDefault="00B742EF" w:rsidP="00B742EF">
      <w:pPr>
        <w:spacing w:after="0" w:line="276" w:lineRule="auto"/>
        <w:ind w:left="0" w:right="0" w:firstLine="0"/>
        <w:rPr>
          <w:rFonts w:ascii="ITC Avant Garde" w:hAnsi="ITC Avant Garde"/>
          <w:b/>
          <w:color w:val="auto"/>
        </w:rPr>
      </w:pPr>
      <w:r w:rsidRPr="00CC72B9">
        <w:rPr>
          <w:rFonts w:ascii="ITC Avant Garde" w:hAnsi="ITC Avant Garde"/>
          <w:b/>
          <w:color w:val="auto"/>
        </w:rPr>
        <w:t>Grupo Televisa:</w:t>
      </w:r>
    </w:p>
    <w:p w14:paraId="33382509" w14:textId="153029C1" w:rsidR="00B742EF" w:rsidRDefault="00B742EF" w:rsidP="00CC72B9">
      <w:pPr>
        <w:spacing w:after="0" w:line="276" w:lineRule="auto"/>
        <w:ind w:left="-5" w:right="49"/>
        <w:rPr>
          <w:rFonts w:ascii="ITC Avant Garde" w:hAnsi="ITC Avant Garde"/>
          <w:color w:val="auto"/>
        </w:rPr>
      </w:pPr>
      <w:r w:rsidRPr="00B742EF">
        <w:rPr>
          <w:rFonts w:ascii="ITC Avant Garde" w:hAnsi="ITC Avant Garde"/>
          <w:color w:val="auto"/>
        </w:rPr>
        <w:t xml:space="preserve">Considera que se debe eliminar la reserva de derechos, ya que el reconocimiento o el consentimiento de las Medidas </w:t>
      </w:r>
      <w:r w:rsidR="00931CA2">
        <w:rPr>
          <w:rFonts w:ascii="ITC Avant Garde" w:hAnsi="ITC Avant Garde"/>
          <w:color w:val="auto"/>
        </w:rPr>
        <w:t>Móviles</w:t>
      </w:r>
      <w:r w:rsidRPr="00B742EF">
        <w:rPr>
          <w:rFonts w:ascii="ITC Avant Garde" w:hAnsi="ITC Avant Garde"/>
          <w:color w:val="auto"/>
        </w:rPr>
        <w:t xml:space="preserve"> no deben formar parte de las consideraciones de la Oferta de Referencia.</w:t>
      </w:r>
    </w:p>
    <w:p w14:paraId="61F03DAF" w14:textId="1F60F8D9" w:rsidR="00B742EF" w:rsidRDefault="00B742EF" w:rsidP="00CC72B9">
      <w:pPr>
        <w:spacing w:after="0" w:line="276" w:lineRule="auto"/>
        <w:ind w:left="-5" w:right="49"/>
        <w:rPr>
          <w:rFonts w:ascii="ITC Avant Garde" w:hAnsi="ITC Avant Garde"/>
          <w:color w:val="auto"/>
        </w:rPr>
      </w:pPr>
    </w:p>
    <w:p w14:paraId="5884867D" w14:textId="77777777" w:rsidR="00B742EF" w:rsidRDefault="00B742EF" w:rsidP="00B742EF">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B53BB1A" w14:textId="79D0BA3A" w:rsidR="00802E6D" w:rsidRDefault="004C4C20" w:rsidP="00321D9D">
      <w:pPr>
        <w:spacing w:after="0" w:line="276" w:lineRule="auto"/>
        <w:ind w:left="-5" w:right="49"/>
        <w:rPr>
          <w:rFonts w:ascii="ITC Avant Garde" w:hAnsi="ITC Avant Garde"/>
          <w:color w:val="auto"/>
        </w:rPr>
      </w:pPr>
      <w:r w:rsidRPr="004C4C20">
        <w:rPr>
          <w:rFonts w:ascii="ITC Avant Garde" w:hAnsi="ITC Avant Garde"/>
          <w:color w:val="auto"/>
        </w:rPr>
        <w:t>La sección de declaraciones no impone obligaciones ni al AEP ni al Concesionario.</w:t>
      </w:r>
    </w:p>
    <w:p w14:paraId="68999CCE" w14:textId="4C283835" w:rsidR="00802E6D" w:rsidRDefault="00802E6D" w:rsidP="00321D9D">
      <w:pPr>
        <w:spacing w:after="0" w:line="276" w:lineRule="auto"/>
        <w:ind w:left="-5" w:right="49"/>
        <w:rPr>
          <w:rFonts w:ascii="ITC Avant Garde" w:hAnsi="ITC Avant Garde"/>
          <w:color w:val="auto"/>
        </w:rPr>
      </w:pPr>
    </w:p>
    <w:p w14:paraId="1EE407A8" w14:textId="77777777" w:rsidR="00802E6D" w:rsidRPr="005E5201" w:rsidRDefault="00802E6D" w:rsidP="00802E6D">
      <w:pPr>
        <w:spacing w:after="0" w:line="276" w:lineRule="auto"/>
        <w:ind w:left="-5" w:right="49"/>
        <w:rPr>
          <w:rFonts w:ascii="ITC Avant Garde" w:hAnsi="ITC Avant Garde"/>
          <w:b/>
          <w:color w:val="auto"/>
          <w:u w:val="single"/>
        </w:rPr>
      </w:pPr>
      <w:r w:rsidRPr="005B36F9">
        <w:rPr>
          <w:rFonts w:ascii="ITC Avant Garde" w:hAnsi="ITC Avant Garde"/>
          <w:b/>
          <w:color w:val="auto"/>
        </w:rPr>
        <w:t>ANEXO II Acuerdo Técnicos</w:t>
      </w:r>
    </w:p>
    <w:p w14:paraId="2D067CD1" w14:textId="77777777" w:rsidR="00802E6D" w:rsidRPr="005B36F9" w:rsidRDefault="00802E6D" w:rsidP="00802E6D">
      <w:pPr>
        <w:spacing w:after="0" w:line="276" w:lineRule="auto"/>
        <w:ind w:left="0" w:right="0" w:firstLine="0"/>
        <w:rPr>
          <w:rFonts w:ascii="ITC Avant Garde" w:hAnsi="ITC Avant Garde"/>
          <w:b/>
          <w:color w:val="auto"/>
          <w:u w:val="single"/>
        </w:rPr>
      </w:pPr>
    </w:p>
    <w:p w14:paraId="6CEF2E06" w14:textId="7EA77714" w:rsidR="00802E6D" w:rsidRPr="005B36F9" w:rsidRDefault="00802E6D" w:rsidP="00802E6D">
      <w:pPr>
        <w:spacing w:after="0" w:line="276" w:lineRule="auto"/>
        <w:ind w:right="0"/>
        <w:rPr>
          <w:rFonts w:ascii="ITC Avant Garde" w:hAnsi="ITC Avant Garde"/>
          <w:b/>
          <w:color w:val="auto"/>
          <w:u w:val="single"/>
        </w:rPr>
      </w:pPr>
      <w:r>
        <w:rPr>
          <w:rFonts w:ascii="ITC Avant Garde" w:hAnsi="ITC Avant Garde"/>
          <w:b/>
          <w:color w:val="auto"/>
          <w:u w:val="single"/>
        </w:rPr>
        <w:t>1.1 Conexión Indirecta:</w:t>
      </w:r>
    </w:p>
    <w:p w14:paraId="2EC57CB0" w14:textId="77777777" w:rsidR="00802E6D" w:rsidRPr="005B36F9" w:rsidRDefault="00802E6D" w:rsidP="00802E6D">
      <w:pPr>
        <w:spacing w:after="0" w:line="276" w:lineRule="auto"/>
        <w:ind w:right="0"/>
        <w:rPr>
          <w:rFonts w:ascii="ITC Avant Garde" w:hAnsi="ITC Avant Garde"/>
          <w:b/>
          <w:color w:val="auto"/>
          <w:u w:val="single"/>
        </w:rPr>
      </w:pPr>
    </w:p>
    <w:p w14:paraId="049C6461" w14:textId="77777777" w:rsidR="00802E6D" w:rsidRPr="00CC72B9" w:rsidRDefault="00802E6D" w:rsidP="00802E6D">
      <w:pPr>
        <w:spacing w:after="0" w:line="276" w:lineRule="auto"/>
        <w:ind w:left="0" w:right="0" w:firstLine="0"/>
        <w:rPr>
          <w:rFonts w:ascii="ITC Avant Garde" w:hAnsi="ITC Avant Garde"/>
          <w:b/>
          <w:color w:val="auto"/>
        </w:rPr>
      </w:pPr>
      <w:r w:rsidRPr="00CC72B9">
        <w:rPr>
          <w:rFonts w:ascii="ITC Avant Garde" w:hAnsi="ITC Avant Garde"/>
          <w:b/>
          <w:color w:val="auto"/>
        </w:rPr>
        <w:t>Grupo Televisa:</w:t>
      </w:r>
    </w:p>
    <w:p w14:paraId="102A14D7" w14:textId="1587559A" w:rsidR="00802E6D" w:rsidRDefault="00802E6D" w:rsidP="00802E6D">
      <w:pPr>
        <w:spacing w:after="0" w:line="276" w:lineRule="auto"/>
        <w:ind w:right="0"/>
        <w:rPr>
          <w:rFonts w:ascii="ITC Avant Garde" w:hAnsi="ITC Avant Garde"/>
          <w:color w:val="auto"/>
        </w:rPr>
      </w:pPr>
      <w:r w:rsidRPr="00802E6D">
        <w:rPr>
          <w:rFonts w:ascii="ITC Avant Garde" w:hAnsi="ITC Avant Garde"/>
          <w:color w:val="auto"/>
        </w:rPr>
        <w:t>Señala que no se deben generar costos a</w:t>
      </w:r>
      <w:r>
        <w:rPr>
          <w:rFonts w:ascii="ITC Avant Garde" w:hAnsi="ITC Avant Garde"/>
          <w:color w:val="auto"/>
        </w:rPr>
        <w:t>dicionales a los de terminación y tránsito</w:t>
      </w:r>
      <w:r w:rsidRPr="00802E6D">
        <w:rPr>
          <w:rFonts w:ascii="ITC Avant Garde" w:hAnsi="ITC Avant Garde"/>
          <w:color w:val="auto"/>
        </w:rPr>
        <w:t>. Asimismo, solicita que el AEP encamine el tráfico por la ruta de menor costo para el concesionario solicitante.</w:t>
      </w:r>
    </w:p>
    <w:p w14:paraId="03EBA607" w14:textId="5659B6C1" w:rsidR="00802408" w:rsidRDefault="00802408" w:rsidP="00802E6D">
      <w:pPr>
        <w:spacing w:after="0" w:line="276" w:lineRule="auto"/>
        <w:ind w:right="0"/>
        <w:rPr>
          <w:rFonts w:ascii="ITC Avant Garde" w:hAnsi="ITC Avant Garde"/>
          <w:color w:val="auto"/>
        </w:rPr>
      </w:pPr>
    </w:p>
    <w:p w14:paraId="411E25C2" w14:textId="77777777" w:rsidR="00802408" w:rsidRDefault="00802408" w:rsidP="00802408">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10CC051" w14:textId="77777777" w:rsidR="00802408" w:rsidRPr="00802408" w:rsidRDefault="00802408" w:rsidP="00802408">
      <w:pPr>
        <w:spacing w:after="0" w:line="276" w:lineRule="auto"/>
        <w:ind w:right="0"/>
        <w:rPr>
          <w:rFonts w:ascii="ITC Avant Garde" w:hAnsi="ITC Avant Garde"/>
          <w:color w:val="auto"/>
        </w:rPr>
      </w:pPr>
      <w:r w:rsidRPr="00802408">
        <w:rPr>
          <w:rFonts w:ascii="ITC Avant Garde" w:hAnsi="ITC Avant Garde"/>
          <w:color w:val="auto"/>
        </w:rPr>
        <w:t>La Medida Vigésima Cuarta de las Medidas Móviles establece:</w:t>
      </w:r>
    </w:p>
    <w:p w14:paraId="713AB492" w14:textId="77777777" w:rsidR="00802408" w:rsidRPr="00802408" w:rsidRDefault="00802408" w:rsidP="00802408">
      <w:pPr>
        <w:spacing w:after="0" w:line="276" w:lineRule="auto"/>
        <w:ind w:right="0"/>
        <w:rPr>
          <w:rFonts w:ascii="ITC Avant Garde" w:hAnsi="ITC Avant Garde"/>
          <w:color w:val="auto"/>
        </w:rPr>
      </w:pPr>
    </w:p>
    <w:p w14:paraId="742E3A60" w14:textId="77777777" w:rsidR="00802408" w:rsidRPr="00802408" w:rsidRDefault="00802408" w:rsidP="00802408">
      <w:pPr>
        <w:spacing w:after="0" w:line="276" w:lineRule="auto"/>
        <w:ind w:left="567" w:right="615" w:firstLine="0"/>
        <w:rPr>
          <w:rFonts w:ascii="ITC Avant Garde" w:eastAsia="Calibri" w:hAnsi="ITC Avant Garde" w:cs="Arial"/>
          <w:i/>
          <w:color w:val="auto"/>
          <w:sz w:val="18"/>
          <w:szCs w:val="18"/>
          <w:lang w:eastAsia="en-US"/>
        </w:rPr>
      </w:pPr>
      <w:r w:rsidRPr="00802408">
        <w:rPr>
          <w:rFonts w:ascii="ITC Avant Garde" w:eastAsia="Calibri" w:hAnsi="ITC Avant Garde" w:cs="Arial"/>
          <w:i/>
          <w:color w:val="auto"/>
          <w:sz w:val="18"/>
          <w:szCs w:val="18"/>
          <w:lang w:eastAsia="en-US"/>
        </w:rPr>
        <w:t xml:space="preserve">“VIGÉSIMA CUARTA.- Cuando un Usuario del Concesionario Solicitante origine o reciba Tráfico mediante Servicios de Usuario Visitante en la red del Agente Económico Preponderante, éste deberá, a elección del Concesionario Solicitante: </w:t>
      </w:r>
    </w:p>
    <w:p w14:paraId="2C826019" w14:textId="77777777" w:rsidR="00802408" w:rsidRPr="00802408" w:rsidRDefault="00802408" w:rsidP="00802408">
      <w:pPr>
        <w:spacing w:after="0" w:line="276" w:lineRule="auto"/>
        <w:ind w:left="567" w:right="615" w:firstLine="0"/>
        <w:rPr>
          <w:rFonts w:ascii="ITC Avant Garde" w:eastAsia="Calibri" w:hAnsi="ITC Avant Garde" w:cs="Arial"/>
          <w:i/>
          <w:color w:val="auto"/>
          <w:sz w:val="18"/>
          <w:szCs w:val="18"/>
          <w:lang w:eastAsia="en-US"/>
        </w:rPr>
      </w:pPr>
    </w:p>
    <w:p w14:paraId="20AD763A" w14:textId="77777777" w:rsidR="00802408" w:rsidRPr="00802408" w:rsidRDefault="00802408" w:rsidP="00802408">
      <w:pPr>
        <w:spacing w:after="0" w:line="276" w:lineRule="auto"/>
        <w:ind w:left="567" w:right="615" w:firstLine="0"/>
        <w:rPr>
          <w:rFonts w:ascii="ITC Avant Garde" w:eastAsia="Calibri" w:hAnsi="ITC Avant Garde" w:cs="Arial"/>
          <w:i/>
          <w:color w:val="auto"/>
          <w:sz w:val="18"/>
          <w:szCs w:val="18"/>
          <w:lang w:eastAsia="en-US"/>
        </w:rPr>
      </w:pPr>
      <w:r w:rsidRPr="00802408">
        <w:rPr>
          <w:rFonts w:ascii="ITC Avant Garde" w:eastAsia="Calibri" w:hAnsi="ITC Avant Garde" w:cs="Arial"/>
          <w:i/>
          <w:color w:val="auto"/>
          <w:sz w:val="18"/>
          <w:szCs w:val="18"/>
          <w:lang w:eastAsia="en-US"/>
        </w:rPr>
        <w:t xml:space="preserve">a) Intercambiar el Tráfico de forma directa con la red pública de telecomunicaciones del Concesionario Solicitante; </w:t>
      </w:r>
    </w:p>
    <w:p w14:paraId="399D4C10" w14:textId="77777777" w:rsidR="00802408" w:rsidRPr="00802408" w:rsidRDefault="00802408" w:rsidP="00802408">
      <w:pPr>
        <w:spacing w:after="0" w:line="276" w:lineRule="auto"/>
        <w:ind w:left="567" w:right="615" w:firstLine="0"/>
        <w:rPr>
          <w:rFonts w:ascii="ITC Avant Garde" w:eastAsia="Calibri" w:hAnsi="ITC Avant Garde" w:cs="Arial"/>
          <w:i/>
          <w:color w:val="auto"/>
          <w:sz w:val="18"/>
          <w:szCs w:val="18"/>
          <w:lang w:eastAsia="en-US"/>
        </w:rPr>
      </w:pPr>
    </w:p>
    <w:p w14:paraId="627BD61B" w14:textId="77777777" w:rsidR="00802408" w:rsidRPr="00802408" w:rsidRDefault="00802408" w:rsidP="00802408">
      <w:pPr>
        <w:spacing w:after="0" w:line="276" w:lineRule="auto"/>
        <w:ind w:left="567" w:right="615" w:firstLine="0"/>
        <w:rPr>
          <w:rFonts w:ascii="ITC Avant Garde" w:eastAsia="Calibri" w:hAnsi="ITC Avant Garde" w:cs="Arial"/>
          <w:i/>
          <w:color w:val="auto"/>
          <w:sz w:val="18"/>
          <w:szCs w:val="18"/>
          <w:lang w:eastAsia="en-US"/>
        </w:rPr>
      </w:pPr>
      <w:r w:rsidRPr="00802408">
        <w:rPr>
          <w:rFonts w:ascii="ITC Avant Garde" w:eastAsia="Calibri" w:hAnsi="ITC Avant Garde" w:cs="Arial"/>
          <w:i/>
          <w:color w:val="auto"/>
          <w:sz w:val="18"/>
          <w:szCs w:val="18"/>
          <w:lang w:eastAsia="en-US"/>
        </w:rPr>
        <w:t xml:space="preserve">b) </w:t>
      </w:r>
      <w:r w:rsidRPr="00802408">
        <w:rPr>
          <w:rFonts w:ascii="ITC Avant Garde" w:eastAsia="Calibri" w:hAnsi="ITC Avant Garde" w:cs="Arial"/>
          <w:i/>
          <w:color w:val="auto"/>
          <w:sz w:val="18"/>
          <w:szCs w:val="18"/>
          <w:u w:val="single"/>
          <w:lang w:eastAsia="en-US"/>
        </w:rPr>
        <w:t>Intercambiar el Tráfico con la red pública de telecomunicaciones de destino, como si se tratase de Tráfico originado por un usuario del Agente Económico Preponderante. Para tal efecto el Concesionario Solicitante deberá sufragar los costos adicionales de interconexión y tránsito que se generen</w:t>
      </w:r>
      <w:r w:rsidRPr="00802408">
        <w:rPr>
          <w:rFonts w:ascii="ITC Avant Garde" w:eastAsia="Calibri" w:hAnsi="ITC Avant Garde" w:cs="Arial"/>
          <w:i/>
          <w:color w:val="auto"/>
          <w:sz w:val="18"/>
          <w:szCs w:val="18"/>
          <w:lang w:eastAsia="en-US"/>
        </w:rPr>
        <w:t xml:space="preserve">.” </w:t>
      </w:r>
    </w:p>
    <w:p w14:paraId="43D1B0E9" w14:textId="77777777" w:rsidR="00802408" w:rsidRPr="00802408" w:rsidRDefault="00802408" w:rsidP="00802408">
      <w:pPr>
        <w:spacing w:after="0" w:line="276" w:lineRule="auto"/>
        <w:ind w:left="567" w:right="615" w:firstLine="0"/>
        <w:rPr>
          <w:rFonts w:ascii="ITC Avant Garde" w:eastAsia="Calibri" w:hAnsi="ITC Avant Garde" w:cs="Arial"/>
          <w:i/>
          <w:color w:val="auto"/>
          <w:sz w:val="18"/>
          <w:szCs w:val="18"/>
          <w:lang w:eastAsia="en-US"/>
        </w:rPr>
      </w:pPr>
    </w:p>
    <w:p w14:paraId="5E7CB216" w14:textId="77777777" w:rsidR="00802408" w:rsidRPr="00802408" w:rsidRDefault="00802408" w:rsidP="00802408">
      <w:pPr>
        <w:spacing w:after="0" w:line="276" w:lineRule="auto"/>
        <w:ind w:left="567" w:right="615" w:firstLine="0"/>
        <w:jc w:val="right"/>
        <w:rPr>
          <w:rFonts w:ascii="ITC Avant Garde" w:eastAsia="Calibri" w:hAnsi="ITC Avant Garde" w:cs="Arial"/>
          <w:i/>
          <w:color w:val="auto"/>
          <w:sz w:val="18"/>
          <w:szCs w:val="18"/>
          <w:lang w:eastAsia="en-US"/>
        </w:rPr>
      </w:pPr>
      <w:r w:rsidRPr="00802408">
        <w:rPr>
          <w:rFonts w:ascii="ITC Avant Garde" w:eastAsia="Calibri" w:hAnsi="ITC Avant Garde" w:cs="Arial"/>
          <w:i/>
          <w:color w:val="auto"/>
          <w:sz w:val="18"/>
          <w:szCs w:val="18"/>
          <w:lang w:eastAsia="en-US"/>
        </w:rPr>
        <w:t>(Énfasis añadido)</w:t>
      </w:r>
    </w:p>
    <w:p w14:paraId="70C8CEDB" w14:textId="77777777" w:rsidR="00802408" w:rsidRPr="00802408" w:rsidRDefault="00802408" w:rsidP="00802408">
      <w:pPr>
        <w:spacing w:after="0" w:line="276" w:lineRule="auto"/>
        <w:ind w:right="0"/>
        <w:rPr>
          <w:rFonts w:ascii="ITC Avant Garde" w:hAnsi="ITC Avant Garde"/>
          <w:color w:val="auto"/>
        </w:rPr>
      </w:pPr>
    </w:p>
    <w:p w14:paraId="62B491BB" w14:textId="77777777" w:rsidR="00802408" w:rsidRPr="00802408" w:rsidRDefault="00802408" w:rsidP="00802408">
      <w:pPr>
        <w:spacing w:after="0" w:line="276" w:lineRule="auto"/>
        <w:ind w:right="0"/>
        <w:rPr>
          <w:rFonts w:ascii="ITC Avant Garde" w:hAnsi="ITC Avant Garde"/>
          <w:color w:val="auto"/>
        </w:rPr>
      </w:pPr>
      <w:r w:rsidRPr="00802408">
        <w:rPr>
          <w:rFonts w:ascii="ITC Avant Garde" w:hAnsi="ITC Avant Garde"/>
          <w:color w:val="auto"/>
        </w:rPr>
        <w:t xml:space="preserve">En congruencia con la medida anteriormente citada, no se contempla ningún pago adicional a las tarifas de tránsito y/o terminación (CPP) cuando Telcel sea el </w:t>
      </w:r>
      <w:r w:rsidRPr="00802408">
        <w:rPr>
          <w:rFonts w:ascii="ITC Avant Garde" w:hAnsi="ITC Avant Garde"/>
          <w:color w:val="auto"/>
        </w:rPr>
        <w:lastRenderedPageBreak/>
        <w:t xml:space="preserve">encargado de intercambiar el tráfico con la Red Pública de Telecomunicaciones de destino, como si se tratase de tráfico originado por un usuario de Telcel. </w:t>
      </w:r>
    </w:p>
    <w:p w14:paraId="44479B9C" w14:textId="77777777" w:rsidR="00802408" w:rsidRPr="00802408" w:rsidRDefault="00802408" w:rsidP="00802408">
      <w:pPr>
        <w:spacing w:after="0" w:line="276" w:lineRule="auto"/>
        <w:ind w:right="0"/>
        <w:rPr>
          <w:rFonts w:ascii="ITC Avant Garde" w:hAnsi="ITC Avant Garde"/>
          <w:color w:val="auto"/>
        </w:rPr>
      </w:pPr>
    </w:p>
    <w:p w14:paraId="4AC4FD94" w14:textId="462C901E" w:rsidR="00802408" w:rsidRPr="00CA0ACF" w:rsidRDefault="00CA0ACF" w:rsidP="00CA0ACF">
      <w:pPr>
        <w:spacing w:after="0" w:line="276" w:lineRule="auto"/>
        <w:ind w:right="0"/>
        <w:rPr>
          <w:rFonts w:ascii="ITC Avant Garde" w:hAnsi="ITC Avant Garde"/>
          <w:color w:val="auto"/>
        </w:rPr>
      </w:pPr>
      <w:r w:rsidRPr="00CA0ACF">
        <w:rPr>
          <w:rFonts w:ascii="ITC Avant Garde" w:hAnsi="ITC Avant Garde"/>
          <w:color w:val="auto"/>
        </w:rPr>
        <w:t>Respecto a la ruta de "menor costo" el concesionario y el AEP determinan en qué punto se realizará el intercambio de tráfico por lo que, conforme a ello se realiza el enrutamiento de tráfico.</w:t>
      </w:r>
    </w:p>
    <w:p w14:paraId="54D2E3F2" w14:textId="77777777" w:rsidR="006136F4" w:rsidRDefault="006136F4" w:rsidP="006136F4">
      <w:pPr>
        <w:spacing w:after="0" w:line="276" w:lineRule="auto"/>
        <w:ind w:right="0"/>
        <w:rPr>
          <w:rFonts w:ascii="ITC Avant Garde" w:hAnsi="ITC Avant Garde"/>
          <w:b/>
          <w:color w:val="auto"/>
          <w:u w:val="single"/>
        </w:rPr>
      </w:pPr>
    </w:p>
    <w:p w14:paraId="6CDDA371" w14:textId="0DCB119F" w:rsidR="006136F4" w:rsidRPr="005B36F9" w:rsidRDefault="006136F4" w:rsidP="006136F4">
      <w:pPr>
        <w:spacing w:after="0" w:line="276" w:lineRule="auto"/>
        <w:ind w:right="0"/>
        <w:rPr>
          <w:rFonts w:ascii="ITC Avant Garde" w:hAnsi="ITC Avant Garde"/>
          <w:b/>
          <w:color w:val="auto"/>
          <w:u w:val="single"/>
        </w:rPr>
      </w:pPr>
      <w:r>
        <w:rPr>
          <w:rFonts w:ascii="ITC Avant Garde" w:hAnsi="ITC Avant Garde"/>
          <w:b/>
          <w:color w:val="auto"/>
          <w:u w:val="single"/>
        </w:rPr>
        <w:t>3. Proceso de Pruebas:</w:t>
      </w:r>
    </w:p>
    <w:p w14:paraId="0DD41B2B" w14:textId="77777777" w:rsidR="006136F4" w:rsidRPr="005B36F9" w:rsidRDefault="006136F4" w:rsidP="006136F4">
      <w:pPr>
        <w:spacing w:after="0" w:line="276" w:lineRule="auto"/>
        <w:ind w:right="0"/>
        <w:rPr>
          <w:rFonts w:ascii="ITC Avant Garde" w:hAnsi="ITC Avant Garde"/>
          <w:b/>
          <w:color w:val="auto"/>
          <w:u w:val="single"/>
        </w:rPr>
      </w:pPr>
    </w:p>
    <w:p w14:paraId="1D22F081" w14:textId="77777777" w:rsidR="006136F4" w:rsidRPr="00CC72B9" w:rsidRDefault="006136F4" w:rsidP="006136F4">
      <w:pPr>
        <w:spacing w:after="0" w:line="276" w:lineRule="auto"/>
        <w:ind w:left="0" w:right="0" w:firstLine="0"/>
        <w:rPr>
          <w:rFonts w:ascii="ITC Avant Garde" w:hAnsi="ITC Avant Garde"/>
          <w:b/>
          <w:color w:val="auto"/>
        </w:rPr>
      </w:pPr>
      <w:r w:rsidRPr="00CC72B9">
        <w:rPr>
          <w:rFonts w:ascii="ITC Avant Garde" w:hAnsi="ITC Avant Garde"/>
          <w:b/>
          <w:color w:val="auto"/>
        </w:rPr>
        <w:t>Grupo Televisa:</w:t>
      </w:r>
    </w:p>
    <w:p w14:paraId="417FDB12" w14:textId="3E732D49" w:rsidR="006136F4" w:rsidRPr="006136F4" w:rsidRDefault="006136F4" w:rsidP="006136F4">
      <w:pPr>
        <w:spacing w:after="0" w:line="276" w:lineRule="auto"/>
        <w:ind w:right="0"/>
        <w:rPr>
          <w:rFonts w:ascii="ITC Avant Garde" w:hAnsi="ITC Avant Garde"/>
          <w:color w:val="auto"/>
        </w:rPr>
      </w:pPr>
      <w:r w:rsidRPr="006136F4">
        <w:rPr>
          <w:rFonts w:ascii="ITC Avant Garde" w:hAnsi="ITC Avant Garde"/>
          <w:color w:val="auto"/>
        </w:rPr>
        <w:t>Indica que no es razonable contar con una sola prueba para garantizar el buen funcionam</w:t>
      </w:r>
      <w:r w:rsidR="00C719FC">
        <w:rPr>
          <w:rFonts w:ascii="ITC Avant Garde" w:hAnsi="ITC Avant Garde"/>
          <w:color w:val="auto"/>
        </w:rPr>
        <w:t>iento de la operación ni</w:t>
      </w:r>
      <w:r w:rsidRPr="006136F4">
        <w:rPr>
          <w:rFonts w:ascii="ITC Avant Garde" w:hAnsi="ITC Avant Garde"/>
          <w:color w:val="auto"/>
        </w:rPr>
        <w:t xml:space="preserve"> que el AEP realice cobros en caso de requerir pruebas adicionales posteriores a la entrega de los servicios de la Oferta. Asimismo, sugiere que se defina un procedimiento claro, en el cual se detallen todas las pruebas técnicas y administrativas, así como un plazo razonable para garantizar el correcto funcionamiento de la operación y garantizar la interacción entre los equipos del concesionario y del AEP.</w:t>
      </w:r>
    </w:p>
    <w:p w14:paraId="3E011B3A" w14:textId="4C440FED" w:rsidR="00802E6D" w:rsidRDefault="00802E6D" w:rsidP="00321D9D">
      <w:pPr>
        <w:spacing w:after="0" w:line="276" w:lineRule="auto"/>
        <w:ind w:left="-5" w:right="49"/>
        <w:rPr>
          <w:rFonts w:ascii="ITC Avant Garde" w:hAnsi="ITC Avant Garde"/>
          <w:color w:val="auto"/>
        </w:rPr>
      </w:pPr>
    </w:p>
    <w:p w14:paraId="362AA438" w14:textId="77777777" w:rsidR="00C719FC" w:rsidRDefault="00C719FC" w:rsidP="00C719FC">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537DFD8" w14:textId="6130DC52" w:rsidR="00352184" w:rsidRDefault="00250D72" w:rsidP="00250D72">
      <w:pPr>
        <w:spacing w:after="0" w:line="276" w:lineRule="auto"/>
        <w:ind w:left="-5" w:right="49"/>
        <w:rPr>
          <w:rFonts w:ascii="ITC Avant Garde" w:hAnsi="ITC Avant Garde"/>
          <w:color w:val="auto"/>
        </w:rPr>
      </w:pPr>
      <w:r w:rsidRPr="00250D72">
        <w:rPr>
          <w:rFonts w:ascii="ITC Avant Garde" w:hAnsi="ITC Avant Garde"/>
          <w:color w:val="auto"/>
        </w:rPr>
        <w:t>En el subanexo E se establecen todas las pruebas que se deben realizar para garantizar el buen funcionamiento de los servicios de la Oferta, mismas que se ejecutarán hasta que resulten satisfactorias. Es así que dichas pruebas ya se encuentran contenidas en la Oferta.</w:t>
      </w:r>
    </w:p>
    <w:p w14:paraId="4C3F2E16" w14:textId="4B25CE7A" w:rsidR="00673CD5" w:rsidRDefault="00673CD5" w:rsidP="002F143D">
      <w:pPr>
        <w:spacing w:after="0" w:line="276" w:lineRule="auto"/>
        <w:ind w:left="0" w:right="0" w:firstLine="0"/>
        <w:rPr>
          <w:rFonts w:ascii="ITC Avant Garde" w:hAnsi="ITC Avant Garde"/>
          <w:b/>
          <w:color w:val="auto"/>
          <w:u w:val="single"/>
        </w:rPr>
      </w:pPr>
    </w:p>
    <w:p w14:paraId="23B77846" w14:textId="5C151751" w:rsidR="00673CD5" w:rsidRPr="005B36F9" w:rsidRDefault="00673CD5" w:rsidP="00673CD5">
      <w:pPr>
        <w:spacing w:after="0" w:line="276" w:lineRule="auto"/>
        <w:ind w:right="0"/>
        <w:rPr>
          <w:rFonts w:ascii="ITC Avant Garde" w:hAnsi="ITC Avant Garde"/>
          <w:b/>
          <w:color w:val="auto"/>
          <w:u w:val="single"/>
        </w:rPr>
      </w:pPr>
      <w:r>
        <w:rPr>
          <w:rFonts w:ascii="ITC Avant Garde" w:hAnsi="ITC Avant Garde"/>
          <w:b/>
          <w:color w:val="auto"/>
          <w:u w:val="single"/>
        </w:rPr>
        <w:t>6. Reglas de Redireccionamiento de Tráfico a la Red del Concesionario:</w:t>
      </w:r>
    </w:p>
    <w:p w14:paraId="508DD917" w14:textId="77777777" w:rsidR="00673CD5" w:rsidRPr="005B36F9" w:rsidRDefault="00673CD5" w:rsidP="00673CD5">
      <w:pPr>
        <w:spacing w:after="0" w:line="276" w:lineRule="auto"/>
        <w:ind w:right="0"/>
        <w:rPr>
          <w:rFonts w:ascii="ITC Avant Garde" w:hAnsi="ITC Avant Garde"/>
          <w:b/>
          <w:color w:val="auto"/>
          <w:u w:val="single"/>
        </w:rPr>
      </w:pPr>
    </w:p>
    <w:p w14:paraId="6CCE2204" w14:textId="77777777" w:rsidR="00673CD5" w:rsidRPr="00CC72B9" w:rsidRDefault="00673CD5" w:rsidP="00673CD5">
      <w:pPr>
        <w:spacing w:after="0" w:line="276" w:lineRule="auto"/>
        <w:ind w:left="0" w:right="0" w:firstLine="0"/>
        <w:rPr>
          <w:rFonts w:ascii="ITC Avant Garde" w:hAnsi="ITC Avant Garde"/>
          <w:b/>
          <w:color w:val="auto"/>
        </w:rPr>
      </w:pPr>
      <w:r w:rsidRPr="00CC72B9">
        <w:rPr>
          <w:rFonts w:ascii="ITC Avant Garde" w:hAnsi="ITC Avant Garde"/>
          <w:b/>
          <w:color w:val="auto"/>
        </w:rPr>
        <w:t>Grupo Televisa:</w:t>
      </w:r>
    </w:p>
    <w:p w14:paraId="2A31C53C" w14:textId="532B23F5" w:rsidR="00673CD5" w:rsidRDefault="00673CD5" w:rsidP="00321D9D">
      <w:pPr>
        <w:spacing w:after="0" w:line="276" w:lineRule="auto"/>
        <w:ind w:left="-5" w:right="49"/>
        <w:rPr>
          <w:rFonts w:ascii="ITC Avant Garde" w:hAnsi="ITC Avant Garde"/>
          <w:color w:val="auto"/>
        </w:rPr>
      </w:pPr>
      <w:r w:rsidRPr="00673CD5">
        <w:rPr>
          <w:rFonts w:ascii="ITC Avant Garde" w:hAnsi="ITC Avant Garde"/>
          <w:color w:val="auto"/>
        </w:rPr>
        <w:t>Considera que el AEP se debe comprometer para que el usuario sea redireccionado efectivamente al salir de las zonas de Usuario Visitante. Además, propone incluir una definición clara de “técnicamente factible” para evitar que el AEP demore o no entregue los servicios a los concesionarios.</w:t>
      </w:r>
    </w:p>
    <w:p w14:paraId="390F3DCE" w14:textId="74226096" w:rsidR="00673CD5" w:rsidRDefault="00673CD5" w:rsidP="00321D9D">
      <w:pPr>
        <w:spacing w:after="0" w:line="276" w:lineRule="auto"/>
        <w:ind w:left="-5" w:right="49"/>
        <w:rPr>
          <w:rFonts w:ascii="ITC Avant Garde" w:hAnsi="ITC Avant Garde"/>
          <w:color w:val="auto"/>
        </w:rPr>
      </w:pPr>
    </w:p>
    <w:p w14:paraId="0D3B3CCE" w14:textId="77777777" w:rsidR="00673CD5" w:rsidRDefault="00673CD5" w:rsidP="00673CD5">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5E0584B" w14:textId="4F3633E5" w:rsidR="00673CD5" w:rsidRDefault="00673CD5" w:rsidP="00673CD5">
      <w:pPr>
        <w:spacing w:after="0" w:line="276" w:lineRule="auto"/>
        <w:ind w:left="-5" w:right="49"/>
        <w:rPr>
          <w:rFonts w:ascii="ITC Avant Garde" w:hAnsi="ITC Avant Garde"/>
          <w:color w:val="auto"/>
        </w:rPr>
      </w:pPr>
      <w:r w:rsidRPr="00673CD5">
        <w:rPr>
          <w:rFonts w:ascii="ITC Avant Garde" w:hAnsi="ITC Avant Garde"/>
          <w:color w:val="auto"/>
        </w:rPr>
        <w:t>E</w:t>
      </w:r>
      <w:r w:rsidR="00B658BA">
        <w:rPr>
          <w:rFonts w:ascii="ITC Avant Garde" w:hAnsi="ITC Avant Garde"/>
          <w:color w:val="auto"/>
        </w:rPr>
        <w:t xml:space="preserve">ste numeral </w:t>
      </w:r>
      <w:r w:rsidRPr="00673CD5">
        <w:rPr>
          <w:rFonts w:ascii="ITC Avant Garde" w:hAnsi="ITC Avant Garde"/>
          <w:color w:val="auto"/>
        </w:rPr>
        <w:t>permite que el concesionario redireccione el tráfico de sus usuarios en cumplimien</w:t>
      </w:r>
      <w:r w:rsidR="00B658BA">
        <w:rPr>
          <w:rFonts w:ascii="ITC Avant Garde" w:hAnsi="ITC Avant Garde"/>
          <w:color w:val="auto"/>
        </w:rPr>
        <w:t>to a la Medida Vigésima Segunda; s</w:t>
      </w:r>
      <w:r w:rsidRPr="00673CD5">
        <w:rPr>
          <w:rFonts w:ascii="ITC Avant Garde" w:hAnsi="ITC Avant Garde"/>
          <w:color w:val="auto"/>
        </w:rPr>
        <w:t>in embargo, esta obligación es únicamente del co</w:t>
      </w:r>
      <w:r w:rsidR="003B30E0">
        <w:rPr>
          <w:rFonts w:ascii="ITC Avant Garde" w:hAnsi="ITC Avant Garde"/>
          <w:color w:val="auto"/>
        </w:rPr>
        <w:t>n</w:t>
      </w:r>
      <w:r w:rsidRPr="00673CD5">
        <w:rPr>
          <w:rFonts w:ascii="ITC Avant Garde" w:hAnsi="ITC Avant Garde"/>
          <w:color w:val="auto"/>
        </w:rPr>
        <w:t>cesionario</w:t>
      </w:r>
      <w:r w:rsidR="00B658BA">
        <w:rPr>
          <w:rFonts w:ascii="ITC Avant Garde" w:hAnsi="ITC Avant Garde"/>
          <w:color w:val="auto"/>
        </w:rPr>
        <w:t xml:space="preserve"> solicitante</w:t>
      </w:r>
      <w:r w:rsidRPr="00673CD5">
        <w:rPr>
          <w:rFonts w:ascii="ITC Avant Garde" w:hAnsi="ITC Avant Garde"/>
          <w:color w:val="auto"/>
        </w:rPr>
        <w:t xml:space="preserve">. Asimismo, en el numeral 2 del Subanexo C se </w:t>
      </w:r>
      <w:r w:rsidR="00B658BA" w:rsidRPr="00673CD5">
        <w:rPr>
          <w:rFonts w:ascii="ITC Avant Garde" w:hAnsi="ITC Avant Garde"/>
          <w:color w:val="auto"/>
        </w:rPr>
        <w:t>precisó</w:t>
      </w:r>
      <w:r w:rsidRPr="00673CD5">
        <w:rPr>
          <w:rFonts w:ascii="ITC Avant Garde" w:hAnsi="ITC Avant Garde"/>
          <w:color w:val="auto"/>
        </w:rPr>
        <w:t xml:space="preserve"> que el Instituto podrá requerir a Telcel los reportes y/o soportes necesarios que justifiquen el diseño de su red, incluyendo la justificació</w:t>
      </w:r>
      <w:r w:rsidR="00B658BA">
        <w:rPr>
          <w:rFonts w:ascii="ITC Avant Garde" w:hAnsi="ITC Avant Garde"/>
          <w:color w:val="auto"/>
        </w:rPr>
        <w:t>n de los traslapes de cobertura:</w:t>
      </w:r>
    </w:p>
    <w:p w14:paraId="4954B4E4" w14:textId="30BE3681" w:rsidR="00B658BA" w:rsidRDefault="00B658BA" w:rsidP="00673CD5">
      <w:pPr>
        <w:spacing w:after="0" w:line="276" w:lineRule="auto"/>
        <w:ind w:left="-5" w:right="49"/>
        <w:rPr>
          <w:rFonts w:ascii="ITC Avant Garde" w:hAnsi="ITC Avant Garde"/>
          <w:color w:val="auto"/>
        </w:rPr>
      </w:pPr>
    </w:p>
    <w:p w14:paraId="7515E8BF" w14:textId="77777777" w:rsidR="002B5DAC" w:rsidRDefault="00B658BA" w:rsidP="00B658BA">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B658BA">
        <w:rPr>
          <w:rFonts w:ascii="ITC Avant Garde" w:eastAsia="Calibri" w:hAnsi="ITC Avant Garde" w:cs="Arial"/>
          <w:i/>
          <w:color w:val="auto"/>
          <w:sz w:val="18"/>
          <w:szCs w:val="18"/>
          <w:lang w:eastAsia="en-US"/>
        </w:rPr>
        <w:t xml:space="preserve">Siendo las LAC, RAC y TAC el mínimo de cobertura disponible, las Partes acuerdan que los sitios y/o celdas que no sean técnicamente factible dividir, podrán considerarse Servicios </w:t>
      </w:r>
      <w:r w:rsidRPr="00B658BA">
        <w:rPr>
          <w:rFonts w:ascii="ITC Avant Garde" w:eastAsia="Calibri" w:hAnsi="ITC Avant Garde" w:cs="Arial"/>
          <w:i/>
          <w:color w:val="auto"/>
          <w:sz w:val="18"/>
          <w:szCs w:val="18"/>
          <w:lang w:eastAsia="en-US"/>
        </w:rPr>
        <w:lastRenderedPageBreak/>
        <w:t xml:space="preserve">Adicionales de la Oferta, conforme a la arquitectura y planeación de la Red Pública de Telecomunicaciones de Telcel. Telcel podrá hacer modificaciones a las LAC, RAC y TAC, solicitadas y/o operando para el Concesionario, para lo cual deberá observar el principio de evitar o minimizar los traslapes entre la cobertura del Concesionario Solicitante y Telcel en las Áreas de Servicio donde ya le presta el servicio al Concesionario Solicitante. </w:t>
      </w:r>
      <w:r w:rsidRPr="00B658BA">
        <w:rPr>
          <w:rFonts w:ascii="ITC Avant Garde" w:eastAsia="Calibri" w:hAnsi="ITC Avant Garde" w:cs="Arial"/>
          <w:i/>
          <w:color w:val="auto"/>
          <w:sz w:val="18"/>
          <w:szCs w:val="18"/>
          <w:u w:val="single"/>
          <w:lang w:eastAsia="en-US"/>
        </w:rPr>
        <w:t>El Instituto podrá requerir a Telcel los reportes y/o soportes necesarios que justifiquen el diseño de la Red que garantice la mejor calidad de los Servicios, incluyendo la justificación de los traslapes de cobertura</w:t>
      </w:r>
      <w:r w:rsidRPr="00B658BA">
        <w:rPr>
          <w:rFonts w:ascii="ITC Avant Garde" w:eastAsia="Calibri" w:hAnsi="ITC Avant Garde" w:cs="Arial"/>
          <w:i/>
          <w:color w:val="auto"/>
          <w:sz w:val="18"/>
          <w:szCs w:val="18"/>
          <w:lang w:eastAsia="en-US"/>
        </w:rPr>
        <w:t>.</w:t>
      </w:r>
    </w:p>
    <w:p w14:paraId="4E9FBF33" w14:textId="77777777" w:rsidR="002B5DAC" w:rsidRDefault="002B5DAC" w:rsidP="00B658BA">
      <w:pPr>
        <w:spacing w:after="0" w:line="276" w:lineRule="auto"/>
        <w:ind w:left="567" w:right="615" w:firstLine="0"/>
        <w:rPr>
          <w:rFonts w:ascii="ITC Avant Garde" w:eastAsia="Calibri" w:hAnsi="ITC Avant Garde" w:cs="Arial"/>
          <w:i/>
          <w:color w:val="auto"/>
          <w:sz w:val="18"/>
          <w:szCs w:val="18"/>
          <w:lang w:eastAsia="en-US"/>
        </w:rPr>
      </w:pPr>
    </w:p>
    <w:p w14:paraId="1FC96FBB" w14:textId="3B6C73B6" w:rsidR="00B658BA" w:rsidRDefault="002B5DAC" w:rsidP="00B658BA">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00B658BA">
        <w:rPr>
          <w:rFonts w:ascii="ITC Avant Garde" w:eastAsia="Calibri" w:hAnsi="ITC Avant Garde" w:cs="Arial"/>
          <w:i/>
          <w:color w:val="auto"/>
          <w:sz w:val="18"/>
          <w:szCs w:val="18"/>
          <w:lang w:eastAsia="en-US"/>
        </w:rPr>
        <w:t>”</w:t>
      </w:r>
    </w:p>
    <w:p w14:paraId="22EDA96F" w14:textId="17127648" w:rsidR="00B658BA" w:rsidRDefault="00B658BA" w:rsidP="00B658BA">
      <w:pPr>
        <w:spacing w:after="0" w:line="276" w:lineRule="auto"/>
        <w:ind w:left="567" w:right="615" w:firstLine="0"/>
        <w:rPr>
          <w:rFonts w:ascii="ITC Avant Garde" w:eastAsia="Calibri" w:hAnsi="ITC Avant Garde" w:cs="Arial"/>
          <w:i/>
          <w:color w:val="auto"/>
          <w:sz w:val="18"/>
          <w:szCs w:val="18"/>
          <w:lang w:eastAsia="en-US"/>
        </w:rPr>
      </w:pPr>
    </w:p>
    <w:p w14:paraId="3A50758F" w14:textId="196CA83F" w:rsidR="00B658BA" w:rsidRPr="00B658BA" w:rsidRDefault="00B658BA" w:rsidP="00B658BA">
      <w:pPr>
        <w:spacing w:after="0" w:line="276" w:lineRule="auto"/>
        <w:ind w:left="567" w:right="615" w:firstLine="0"/>
        <w:jc w:val="right"/>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(Énfasis añadido)</w:t>
      </w:r>
    </w:p>
    <w:p w14:paraId="0C3DB0AF" w14:textId="44E8DAA1" w:rsidR="00B658BA" w:rsidRDefault="00B658BA" w:rsidP="00673CD5">
      <w:pPr>
        <w:spacing w:after="0" w:line="276" w:lineRule="auto"/>
        <w:ind w:left="-5" w:right="49"/>
        <w:rPr>
          <w:rFonts w:ascii="ITC Avant Garde" w:hAnsi="ITC Avant Garde"/>
          <w:color w:val="auto"/>
        </w:rPr>
      </w:pPr>
    </w:p>
    <w:p w14:paraId="34183060" w14:textId="5E90852F" w:rsidR="00B804B2" w:rsidRDefault="00B804B2" w:rsidP="00673CD5">
      <w:pPr>
        <w:spacing w:after="0" w:line="276" w:lineRule="auto"/>
        <w:ind w:left="-5" w:right="49"/>
        <w:rPr>
          <w:rFonts w:ascii="ITC Avant Garde" w:hAnsi="ITC Avant Garde"/>
          <w:color w:val="auto"/>
        </w:rPr>
      </w:pPr>
    </w:p>
    <w:p w14:paraId="5DE7188B" w14:textId="0E38654A" w:rsidR="00B804B2" w:rsidRPr="005B36F9" w:rsidRDefault="00B804B2" w:rsidP="00B804B2">
      <w:pPr>
        <w:spacing w:after="0" w:line="276" w:lineRule="auto"/>
        <w:ind w:right="0"/>
        <w:rPr>
          <w:rFonts w:ascii="ITC Avant Garde" w:hAnsi="ITC Avant Garde"/>
          <w:b/>
          <w:color w:val="auto"/>
          <w:u w:val="single"/>
        </w:rPr>
      </w:pPr>
      <w:r>
        <w:rPr>
          <w:rFonts w:ascii="ITC Avant Garde" w:hAnsi="ITC Avant Garde"/>
          <w:b/>
          <w:color w:val="auto"/>
          <w:u w:val="single"/>
        </w:rPr>
        <w:t>9. Mapas de Cobertura</w:t>
      </w:r>
    </w:p>
    <w:p w14:paraId="05A57E8A" w14:textId="77777777" w:rsidR="00B804B2" w:rsidRPr="005B36F9" w:rsidRDefault="00B804B2" w:rsidP="00B804B2">
      <w:pPr>
        <w:spacing w:after="0" w:line="276" w:lineRule="auto"/>
        <w:ind w:right="0"/>
        <w:rPr>
          <w:rFonts w:ascii="ITC Avant Garde" w:hAnsi="ITC Avant Garde"/>
          <w:b/>
          <w:color w:val="auto"/>
          <w:u w:val="single"/>
        </w:rPr>
      </w:pPr>
    </w:p>
    <w:p w14:paraId="38F43924" w14:textId="3F4041C7" w:rsidR="00B804B2" w:rsidRDefault="00B804B2" w:rsidP="00B804B2">
      <w:pPr>
        <w:spacing w:after="0" w:line="276" w:lineRule="auto"/>
        <w:ind w:left="0" w:right="0" w:firstLine="0"/>
        <w:rPr>
          <w:rFonts w:ascii="ITC Avant Garde" w:hAnsi="ITC Avant Garde"/>
          <w:b/>
          <w:color w:val="auto"/>
        </w:rPr>
      </w:pPr>
      <w:r w:rsidRPr="00CC72B9">
        <w:rPr>
          <w:rFonts w:ascii="ITC Avant Garde" w:hAnsi="ITC Avant Garde"/>
          <w:b/>
          <w:color w:val="auto"/>
        </w:rPr>
        <w:t>Grupo Televisa:</w:t>
      </w:r>
    </w:p>
    <w:p w14:paraId="1F284C6E" w14:textId="412E352C" w:rsidR="00B804B2" w:rsidRDefault="00B804B2" w:rsidP="00B804B2">
      <w:pPr>
        <w:spacing w:after="0" w:line="276" w:lineRule="auto"/>
        <w:ind w:left="-5" w:right="49"/>
        <w:rPr>
          <w:rFonts w:ascii="ITC Avant Garde" w:hAnsi="ITC Avant Garde"/>
          <w:color w:val="auto"/>
        </w:rPr>
      </w:pPr>
      <w:r w:rsidRPr="00B804B2">
        <w:rPr>
          <w:rFonts w:ascii="ITC Avant Garde" w:hAnsi="ITC Avant Garde"/>
          <w:color w:val="auto"/>
        </w:rPr>
        <w:t>Señala que existe falta de claridad sobre el proceso que el AEP seguirá para poner a disposición la información sobre su cobertura. Además, no está establecido el detalle por tecnología y servicio. Por lo anterior, solicita que se establezca de forma clara la información que el AEP debe brindar respecto a su cobertura actual y planes de expansión, los plazos para actualizar los datos y la herramienta que utiliza.</w:t>
      </w:r>
    </w:p>
    <w:p w14:paraId="24BAA3EA" w14:textId="40425911" w:rsidR="002D4A1C" w:rsidRDefault="002D4A1C" w:rsidP="00B804B2">
      <w:pPr>
        <w:spacing w:after="0" w:line="276" w:lineRule="auto"/>
        <w:ind w:left="-5" w:right="49"/>
        <w:rPr>
          <w:rFonts w:ascii="ITC Avant Garde" w:hAnsi="ITC Avant Garde"/>
          <w:color w:val="auto"/>
        </w:rPr>
      </w:pPr>
    </w:p>
    <w:p w14:paraId="7ED78BFB" w14:textId="77777777" w:rsidR="002D4A1C" w:rsidRDefault="002D4A1C" w:rsidP="002D4A1C">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C5FC907" w14:textId="6D71BADF" w:rsidR="002D4A1C" w:rsidRDefault="006641CC" w:rsidP="00B804B2">
      <w:pPr>
        <w:spacing w:after="0" w:line="276" w:lineRule="auto"/>
        <w:ind w:left="-5" w:right="49"/>
        <w:rPr>
          <w:rFonts w:ascii="ITC Avant Garde" w:hAnsi="ITC Avant Garde"/>
          <w:color w:val="auto"/>
        </w:rPr>
      </w:pPr>
      <w:r w:rsidRPr="006641CC">
        <w:rPr>
          <w:rFonts w:ascii="ITC Avant Garde" w:hAnsi="ITC Avant Garde"/>
          <w:color w:val="auto"/>
        </w:rPr>
        <w:t>La Oferta ya establece en el Anexo V que el servicio se brindará por tipo de red (2G, 3G y 4G) y por tipo de servicio (voz, SMS y</w:t>
      </w:r>
      <w:r w:rsidR="003B30E0">
        <w:rPr>
          <w:rFonts w:ascii="ITC Avant Garde" w:hAnsi="ITC Avant Garde"/>
          <w:color w:val="auto"/>
        </w:rPr>
        <w:t xml:space="preserve"> </w:t>
      </w:r>
      <w:r w:rsidRPr="006641CC">
        <w:rPr>
          <w:rFonts w:ascii="ITC Avant Garde" w:hAnsi="ITC Avant Garde"/>
          <w:color w:val="auto"/>
        </w:rPr>
        <w:t>datos). Asimismo, en el S</w:t>
      </w:r>
      <w:r>
        <w:rPr>
          <w:rFonts w:ascii="ITC Avant Garde" w:hAnsi="ITC Avant Garde"/>
          <w:color w:val="auto"/>
        </w:rPr>
        <w:t>ubanexo C se precisó</w:t>
      </w:r>
      <w:r w:rsidRPr="006641CC">
        <w:rPr>
          <w:rFonts w:ascii="ITC Avant Garde" w:hAnsi="ITC Avant Garde"/>
          <w:color w:val="auto"/>
        </w:rPr>
        <w:t xml:space="preserve"> que Telcel mantendrá actualizada la información de los mapas en la medida en que se modifique o habilite infraestructura</w:t>
      </w:r>
      <w:r w:rsidR="004D47C9">
        <w:rPr>
          <w:rFonts w:ascii="ITC Avant Garde" w:hAnsi="ITC Avant Garde"/>
          <w:color w:val="auto"/>
        </w:rPr>
        <w:t>:</w:t>
      </w:r>
    </w:p>
    <w:p w14:paraId="5D0F029A" w14:textId="27C1DB6F" w:rsidR="004D47C9" w:rsidRDefault="004D47C9" w:rsidP="00B804B2">
      <w:pPr>
        <w:spacing w:after="0" w:line="276" w:lineRule="auto"/>
        <w:ind w:left="-5" w:right="49"/>
        <w:rPr>
          <w:rFonts w:ascii="ITC Avant Garde" w:hAnsi="ITC Avant Garde"/>
          <w:color w:val="auto"/>
        </w:rPr>
      </w:pPr>
    </w:p>
    <w:p w14:paraId="5E778B63" w14:textId="14B0C612" w:rsidR="004D47C9" w:rsidRPr="004D47C9" w:rsidRDefault="004D47C9" w:rsidP="004D47C9">
      <w:pPr>
        <w:spacing w:after="0" w:line="276" w:lineRule="auto"/>
        <w:ind w:left="567" w:right="615" w:firstLine="0"/>
        <w:rPr>
          <w:rFonts w:ascii="ITC Avant Garde" w:eastAsia="Calibri" w:hAnsi="ITC Avant Garde" w:cs="Arial"/>
          <w:i/>
          <w:color w:val="auto"/>
          <w:sz w:val="18"/>
          <w:szCs w:val="18"/>
          <w:lang w:eastAsia="en-US"/>
        </w:rPr>
      </w:pPr>
      <w:bookmarkStart w:id="1" w:name="OLE_LINK1"/>
      <w:bookmarkStart w:id="2" w:name="OLE_LINK2"/>
      <w:r>
        <w:rPr>
          <w:rFonts w:ascii="ITC Avant Garde" w:eastAsia="Calibri" w:hAnsi="ITC Avant Garde" w:cs="Arial"/>
          <w:i/>
          <w:color w:val="auto"/>
          <w:sz w:val="18"/>
          <w:szCs w:val="18"/>
          <w:lang w:eastAsia="en-US"/>
        </w:rPr>
        <w:t>“</w:t>
      </w:r>
      <w:r w:rsidRPr="004D47C9">
        <w:rPr>
          <w:rFonts w:ascii="ITC Avant Garde" w:eastAsia="Calibri" w:hAnsi="ITC Avant Garde" w:cs="Arial"/>
          <w:i/>
          <w:color w:val="auto"/>
          <w:sz w:val="18"/>
          <w:szCs w:val="18"/>
          <w:lang w:eastAsia="en-US"/>
        </w:rPr>
        <w:t>Para que las Partes estén en condiciones de negociar las áreas de cobertura se atendrán a lo siguiente:</w:t>
      </w:r>
    </w:p>
    <w:p w14:paraId="2B2B34BA" w14:textId="77777777" w:rsidR="004D47C9" w:rsidRPr="004D47C9" w:rsidRDefault="004D47C9" w:rsidP="004D47C9">
      <w:pPr>
        <w:spacing w:after="0" w:line="276" w:lineRule="auto"/>
        <w:ind w:left="567" w:right="615" w:firstLine="0"/>
        <w:rPr>
          <w:rFonts w:ascii="ITC Avant Garde" w:eastAsia="Calibri" w:hAnsi="ITC Avant Garde" w:cs="Arial"/>
          <w:i/>
          <w:color w:val="auto"/>
          <w:sz w:val="18"/>
          <w:szCs w:val="18"/>
          <w:lang w:eastAsia="en-US"/>
        </w:rPr>
      </w:pPr>
    </w:p>
    <w:p w14:paraId="33927C4B" w14:textId="40789938" w:rsidR="004D47C9" w:rsidRDefault="004D47C9" w:rsidP="004D47C9">
      <w:pPr>
        <w:pStyle w:val="Prrafodelista"/>
        <w:numPr>
          <w:ilvl w:val="0"/>
          <w:numId w:val="10"/>
        </w:numPr>
        <w:spacing w:after="0" w:line="276" w:lineRule="auto"/>
        <w:ind w:right="615"/>
        <w:rPr>
          <w:rFonts w:ascii="ITC Avant Garde" w:eastAsia="Calibri" w:hAnsi="ITC Avant Garde" w:cs="Arial"/>
          <w:i/>
          <w:color w:val="auto"/>
          <w:sz w:val="18"/>
          <w:szCs w:val="18"/>
          <w:lang w:eastAsia="en-US"/>
        </w:rPr>
      </w:pPr>
      <w:r w:rsidRPr="004D47C9">
        <w:rPr>
          <w:rFonts w:ascii="ITC Avant Garde" w:eastAsia="Calibri" w:hAnsi="ITC Avant Garde" w:cs="Arial"/>
          <w:i/>
          <w:color w:val="auto"/>
          <w:sz w:val="18"/>
          <w:szCs w:val="18"/>
          <w:lang w:eastAsia="en-US"/>
        </w:rPr>
        <w:t xml:space="preserve">Telcel proporcionará a los Concesionarios Solicitantes, a través del SEG, los mapas de cobertura por Áreas de Servicio (LAC, RAC y TAC) de su Red según corresponda conforme al numeral 9 del presente Anexo, a fin de que el Concesionario determine las Áreas de Servicio donde requiere el </w:t>
      </w:r>
      <w:r w:rsidRPr="004A4078">
        <w:rPr>
          <w:rFonts w:ascii="ITC Avant Garde" w:eastAsia="Calibri" w:hAnsi="ITC Avant Garde" w:cs="Arial"/>
          <w:i/>
          <w:color w:val="auto"/>
          <w:sz w:val="18"/>
          <w:szCs w:val="18"/>
          <w:u w:val="single"/>
          <w:lang w:eastAsia="en-US"/>
        </w:rPr>
        <w:t>Servicio; asimismo, Telcel mantendrá actualizada la información de los mapas en la medida en que se modifique o habilite infraestructura para la prestación de servicios a sus usuarios finales</w:t>
      </w:r>
      <w:r w:rsidRPr="004D47C9">
        <w:rPr>
          <w:rFonts w:ascii="ITC Avant Garde" w:eastAsia="Calibri" w:hAnsi="ITC Avant Garde" w:cs="Arial"/>
          <w:i/>
          <w:color w:val="auto"/>
          <w:sz w:val="18"/>
          <w:szCs w:val="18"/>
          <w:lang w:eastAsia="en-US"/>
        </w:rPr>
        <w:t>. Lo anterior, en el entendido de que los Servicios de la Oferta prestados en aquellas áreas en las que el Concesionario cuente con infraestructura o preste el servicio móvil, las Partes pactarán una tarifa, distinta a la convenida en el presente Convenio.</w:t>
      </w:r>
    </w:p>
    <w:p w14:paraId="6D9AD368" w14:textId="23114A88" w:rsidR="004A4078" w:rsidRDefault="004A4078" w:rsidP="004A4078">
      <w:pPr>
        <w:spacing w:after="0" w:line="276" w:lineRule="auto"/>
        <w:ind w:left="927" w:right="615" w:firstLine="0"/>
        <w:rPr>
          <w:rFonts w:ascii="ITC Avant Garde" w:eastAsia="Calibri" w:hAnsi="ITC Avant Garde" w:cs="Arial"/>
          <w:i/>
          <w:color w:val="auto"/>
          <w:sz w:val="18"/>
          <w:szCs w:val="18"/>
          <w:lang w:eastAsia="en-US"/>
        </w:rPr>
      </w:pPr>
    </w:p>
    <w:p w14:paraId="69651992" w14:textId="0E009958" w:rsidR="004A4078" w:rsidRDefault="004A4078" w:rsidP="004A4078">
      <w:pPr>
        <w:spacing w:after="0" w:line="276" w:lineRule="auto"/>
        <w:ind w:left="92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48077466" w14:textId="6D4FAC77" w:rsidR="004A4078" w:rsidRPr="004A4078" w:rsidRDefault="00C32DB9" w:rsidP="00C32DB9">
      <w:pPr>
        <w:spacing w:after="0" w:line="276" w:lineRule="auto"/>
        <w:ind w:left="927" w:right="615" w:firstLine="0"/>
        <w:jc w:val="right"/>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(Énfasis añadido)</w:t>
      </w:r>
    </w:p>
    <w:bookmarkEnd w:id="1"/>
    <w:bookmarkEnd w:id="2"/>
    <w:p w14:paraId="530C0791" w14:textId="77777777" w:rsidR="004D47C9" w:rsidRPr="00B804B2" w:rsidRDefault="004D47C9" w:rsidP="00B804B2">
      <w:pPr>
        <w:spacing w:after="0" w:line="276" w:lineRule="auto"/>
        <w:ind w:left="-5" w:right="49"/>
        <w:rPr>
          <w:rFonts w:ascii="ITC Avant Garde" w:hAnsi="ITC Avant Garde"/>
          <w:color w:val="auto"/>
        </w:rPr>
      </w:pPr>
    </w:p>
    <w:p w14:paraId="4070B672" w14:textId="77777777" w:rsidR="00011146" w:rsidRDefault="00011146" w:rsidP="00011146">
      <w:pPr>
        <w:spacing w:after="0" w:line="276" w:lineRule="auto"/>
        <w:ind w:right="0"/>
        <w:rPr>
          <w:rFonts w:ascii="ITC Avant Garde" w:hAnsi="ITC Avant Garde"/>
          <w:b/>
          <w:color w:val="auto"/>
          <w:u w:val="single"/>
        </w:rPr>
      </w:pPr>
    </w:p>
    <w:p w14:paraId="6840BBB5" w14:textId="41B4712E" w:rsidR="00011146" w:rsidRPr="005B36F9" w:rsidRDefault="00011146" w:rsidP="00011146">
      <w:pPr>
        <w:spacing w:after="0" w:line="276" w:lineRule="auto"/>
        <w:ind w:right="0"/>
        <w:rPr>
          <w:rFonts w:ascii="ITC Avant Garde" w:hAnsi="ITC Avant Garde"/>
          <w:b/>
          <w:color w:val="auto"/>
          <w:u w:val="single"/>
        </w:rPr>
      </w:pPr>
      <w:r>
        <w:rPr>
          <w:rFonts w:ascii="ITC Avant Garde" w:hAnsi="ITC Avant Garde"/>
          <w:b/>
          <w:color w:val="auto"/>
          <w:u w:val="single"/>
        </w:rPr>
        <w:t>10. Funcionalidades o Aplicaciones para Servicios de Datos:</w:t>
      </w:r>
    </w:p>
    <w:p w14:paraId="166E042B" w14:textId="77777777" w:rsidR="00011146" w:rsidRPr="005B36F9" w:rsidRDefault="00011146" w:rsidP="00011146">
      <w:pPr>
        <w:spacing w:after="0" w:line="276" w:lineRule="auto"/>
        <w:ind w:right="0"/>
        <w:rPr>
          <w:rFonts w:ascii="ITC Avant Garde" w:hAnsi="ITC Avant Garde"/>
          <w:b/>
          <w:color w:val="auto"/>
          <w:u w:val="single"/>
        </w:rPr>
      </w:pPr>
    </w:p>
    <w:p w14:paraId="15A2B14D" w14:textId="77777777" w:rsidR="00011146" w:rsidRDefault="00011146" w:rsidP="00011146">
      <w:pPr>
        <w:spacing w:after="0" w:line="276" w:lineRule="auto"/>
        <w:ind w:left="0" w:right="0" w:firstLine="0"/>
        <w:rPr>
          <w:rFonts w:ascii="ITC Avant Garde" w:hAnsi="ITC Avant Garde"/>
          <w:b/>
          <w:color w:val="auto"/>
        </w:rPr>
      </w:pPr>
      <w:r w:rsidRPr="00CC72B9">
        <w:rPr>
          <w:rFonts w:ascii="ITC Avant Garde" w:hAnsi="ITC Avant Garde"/>
          <w:b/>
          <w:color w:val="auto"/>
        </w:rPr>
        <w:t>Grupo Televisa:</w:t>
      </w:r>
    </w:p>
    <w:p w14:paraId="3704D130" w14:textId="663332F5" w:rsidR="00011146" w:rsidRDefault="00011146" w:rsidP="00011146">
      <w:pPr>
        <w:spacing w:after="0" w:line="276" w:lineRule="auto"/>
        <w:ind w:left="-5" w:right="49"/>
        <w:rPr>
          <w:rFonts w:ascii="ITC Avant Garde" w:hAnsi="ITC Avant Garde"/>
          <w:color w:val="auto"/>
        </w:rPr>
      </w:pPr>
      <w:r w:rsidRPr="00011146">
        <w:rPr>
          <w:rFonts w:ascii="ITC Avant Garde" w:hAnsi="ITC Avant Garde"/>
          <w:color w:val="auto"/>
        </w:rPr>
        <w:t xml:space="preserve">Sugiere agregar definiciones </w:t>
      </w:r>
      <w:r>
        <w:rPr>
          <w:rFonts w:ascii="ITC Avant Garde" w:hAnsi="ITC Avant Garde"/>
          <w:color w:val="auto"/>
        </w:rPr>
        <w:t xml:space="preserve">separadas para cada uno de los servicios de </w:t>
      </w:r>
      <w:r w:rsidRPr="00011146">
        <w:rPr>
          <w:rFonts w:ascii="ITC Avant Garde" w:hAnsi="ITC Avant Garde"/>
          <w:color w:val="auto"/>
        </w:rPr>
        <w:t>IoT</w:t>
      </w:r>
      <w:r>
        <w:rPr>
          <w:rFonts w:ascii="ITC Avant Garde" w:hAnsi="ITC Avant Garde"/>
          <w:color w:val="auto"/>
        </w:rPr>
        <w:t xml:space="preserve"> (Internet of Things por sus siglas en inglés)</w:t>
      </w:r>
      <w:r w:rsidRPr="00011146">
        <w:rPr>
          <w:rFonts w:ascii="ITC Avant Garde" w:hAnsi="ITC Avant Garde"/>
          <w:color w:val="auto"/>
        </w:rPr>
        <w:t xml:space="preserve"> y </w:t>
      </w:r>
      <w:r>
        <w:rPr>
          <w:rFonts w:ascii="ITC Avant Garde" w:hAnsi="ITC Avant Garde"/>
          <w:color w:val="auto"/>
        </w:rPr>
        <w:t>M2M</w:t>
      </w:r>
      <w:r w:rsidRPr="00011146">
        <w:rPr>
          <w:rFonts w:ascii="ITC Avant Garde" w:hAnsi="ITC Avant Garde"/>
          <w:color w:val="auto"/>
        </w:rPr>
        <w:t xml:space="preserve"> </w:t>
      </w:r>
      <w:r>
        <w:rPr>
          <w:rFonts w:ascii="ITC Avant Garde" w:hAnsi="ITC Avant Garde"/>
          <w:color w:val="auto"/>
        </w:rPr>
        <w:t>(Machine to Machine por sus siglas en inglés) así como</w:t>
      </w:r>
      <w:r w:rsidRPr="00011146">
        <w:rPr>
          <w:rFonts w:ascii="ITC Avant Garde" w:hAnsi="ITC Avant Garde"/>
          <w:color w:val="auto"/>
        </w:rPr>
        <w:t xml:space="preserve"> la manera en que estos interactúan con la red del AEP. Asimismo, sugiere incluir los detalles de estos servicios en la Oferta y el Convenio, además señala que el Instituto debe determinar las tarifas con base en un modelo enfocado a costos para los casos en que las partes no lleguen a un acuerdo.</w:t>
      </w:r>
    </w:p>
    <w:p w14:paraId="5536D225" w14:textId="71F1A915" w:rsidR="008B1648" w:rsidRDefault="008B1648" w:rsidP="00011146">
      <w:pPr>
        <w:spacing w:after="0" w:line="276" w:lineRule="auto"/>
        <w:ind w:left="-5" w:right="49"/>
        <w:rPr>
          <w:rFonts w:ascii="ITC Avant Garde" w:hAnsi="ITC Avant Garde"/>
          <w:color w:val="auto"/>
        </w:rPr>
      </w:pPr>
    </w:p>
    <w:p w14:paraId="4A7ECEC5" w14:textId="77777777" w:rsidR="008B1648" w:rsidRDefault="008B1648" w:rsidP="008B1648">
      <w:pPr>
        <w:spacing w:after="0" w:line="276" w:lineRule="auto"/>
        <w:ind w:left="0" w:right="0" w:firstLine="0"/>
        <w:rPr>
          <w:rFonts w:ascii="ITC Avant Garde" w:hAnsi="ITC Avant Garde"/>
          <w:b/>
          <w:color w:val="auto"/>
        </w:rPr>
      </w:pPr>
      <w:r>
        <w:rPr>
          <w:rFonts w:ascii="ITC Avant Garde" w:hAnsi="ITC Avant Garde"/>
          <w:b/>
          <w:color w:val="auto"/>
        </w:rPr>
        <w:t>CANIETI, Telefónica</w:t>
      </w:r>
      <w:r w:rsidRPr="00CC72B9">
        <w:rPr>
          <w:rFonts w:ascii="ITC Avant Garde" w:hAnsi="ITC Avant Garde"/>
          <w:b/>
          <w:color w:val="auto"/>
        </w:rPr>
        <w:t>:</w:t>
      </w:r>
    </w:p>
    <w:p w14:paraId="7BF64C43" w14:textId="3F1ADF51" w:rsidR="008B1648" w:rsidRDefault="008B1648" w:rsidP="008B1648">
      <w:pPr>
        <w:spacing w:after="0" w:line="276" w:lineRule="auto"/>
        <w:ind w:left="-5" w:right="49"/>
        <w:rPr>
          <w:rFonts w:ascii="ITC Avant Garde" w:hAnsi="ITC Avant Garde"/>
          <w:color w:val="auto"/>
        </w:rPr>
      </w:pPr>
      <w:r w:rsidRPr="00663E94">
        <w:rPr>
          <w:rFonts w:ascii="ITC Avant Garde" w:hAnsi="ITC Avant Garde"/>
          <w:color w:val="auto"/>
        </w:rPr>
        <w:t>Señalan que se deben incorpo</w:t>
      </w:r>
      <w:r>
        <w:rPr>
          <w:rFonts w:ascii="ITC Avant Garde" w:hAnsi="ITC Avant Garde"/>
          <w:color w:val="auto"/>
        </w:rPr>
        <w:t>rar dispositivos para IoT y M2M</w:t>
      </w:r>
      <w:r w:rsidRPr="00663E94">
        <w:rPr>
          <w:rFonts w:ascii="ITC Avant Garde" w:hAnsi="ITC Avant Garde"/>
          <w:color w:val="auto"/>
        </w:rPr>
        <w:t xml:space="preserve"> dado que los mismo</w:t>
      </w:r>
      <w:r w:rsidR="003B30E0">
        <w:rPr>
          <w:rFonts w:ascii="ITC Avant Garde" w:hAnsi="ITC Avant Garde"/>
          <w:color w:val="auto"/>
        </w:rPr>
        <w:t>s</w:t>
      </w:r>
      <w:r w:rsidRPr="00663E94">
        <w:rPr>
          <w:rFonts w:ascii="ITC Avant Garde" w:hAnsi="ITC Avant Garde"/>
          <w:color w:val="auto"/>
        </w:rPr>
        <w:t xml:space="preserve"> no son parte de la Oferta. Asimismo, Telefónica señala que la Oferta debe considerar la posibilidad de habi</w:t>
      </w:r>
      <w:r>
        <w:rPr>
          <w:rFonts w:ascii="ITC Avant Garde" w:hAnsi="ITC Avant Garde"/>
          <w:color w:val="auto"/>
        </w:rPr>
        <w:t>litar un rango completo de IMSI (International Mobile Subscriber Identity por sus siglas en inglés)</w:t>
      </w:r>
      <w:r w:rsidRPr="00663E94">
        <w:rPr>
          <w:rFonts w:ascii="ITC Avant Garde" w:hAnsi="ITC Avant Garde"/>
          <w:color w:val="auto"/>
        </w:rPr>
        <w:t xml:space="preserve"> del concesionario para que los dispositivos IoT puedan utilizar de forma automática el servicio de usuario visitante</w:t>
      </w:r>
      <w:r>
        <w:rPr>
          <w:rFonts w:ascii="ITC Avant Garde" w:hAnsi="ITC Avant Garde"/>
          <w:color w:val="auto"/>
        </w:rPr>
        <w:t>.</w:t>
      </w:r>
    </w:p>
    <w:p w14:paraId="53CC7121" w14:textId="77777777" w:rsidR="00011146" w:rsidRPr="00011146" w:rsidRDefault="00011146" w:rsidP="00011146">
      <w:pPr>
        <w:spacing w:after="0" w:line="276" w:lineRule="auto"/>
        <w:ind w:left="-5" w:right="49"/>
        <w:rPr>
          <w:rFonts w:ascii="ITC Avant Garde" w:hAnsi="ITC Avant Garde"/>
          <w:color w:val="auto"/>
        </w:rPr>
      </w:pPr>
    </w:p>
    <w:p w14:paraId="4ED9F295" w14:textId="77777777" w:rsidR="00011146" w:rsidRDefault="00011146" w:rsidP="00011146">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636A60F" w14:textId="67A2F3CB" w:rsidR="00AA5AE6" w:rsidRDefault="005B35BE" w:rsidP="002F143D">
      <w:pPr>
        <w:spacing w:after="0" w:line="276" w:lineRule="auto"/>
        <w:ind w:left="0" w:right="49" w:firstLine="0"/>
        <w:rPr>
          <w:rFonts w:ascii="ITC Avant Garde" w:hAnsi="ITC Avant Garde"/>
          <w:color w:val="auto"/>
        </w:rPr>
      </w:pPr>
      <w:r w:rsidRPr="005B35BE">
        <w:rPr>
          <w:rFonts w:ascii="ITC Avant Garde" w:hAnsi="ITC Avant Garde"/>
          <w:color w:val="auto"/>
        </w:rPr>
        <w:t>El numeral ya establece que el Instituto resolverá las tar</w:t>
      </w:r>
      <w:r w:rsidR="00AA5AE6">
        <w:rPr>
          <w:rFonts w:ascii="ITC Avant Garde" w:hAnsi="ITC Avant Garde"/>
          <w:color w:val="auto"/>
        </w:rPr>
        <w:t>ifas cuando existan desacuerdos tal como se muestra a continuación:</w:t>
      </w:r>
    </w:p>
    <w:p w14:paraId="716FA1F0" w14:textId="4404E91D" w:rsidR="00AA5AE6" w:rsidRDefault="00AA5AE6" w:rsidP="00673CD5">
      <w:pPr>
        <w:spacing w:after="0" w:line="276" w:lineRule="auto"/>
        <w:ind w:left="-5" w:right="49"/>
        <w:rPr>
          <w:rFonts w:ascii="ITC Avant Garde" w:hAnsi="ITC Avant Garde"/>
          <w:color w:val="auto"/>
        </w:rPr>
      </w:pPr>
    </w:p>
    <w:p w14:paraId="54DEFA15" w14:textId="451E893F" w:rsidR="00AA5AE6" w:rsidRDefault="00AA5AE6" w:rsidP="00AA5AE6">
      <w:pPr>
        <w:spacing w:after="0" w:line="276" w:lineRule="auto"/>
        <w:ind w:left="567" w:right="615" w:firstLine="0"/>
        <w:rPr>
          <w:rFonts w:ascii="ITC Avant Garde" w:eastAsia="Calibri" w:hAnsi="ITC Avant Garde" w:cs="Arial"/>
          <w:i/>
          <w:color w:val="auto"/>
          <w:sz w:val="18"/>
          <w:szCs w:val="18"/>
          <w:u w:val="single"/>
          <w:lang w:eastAsia="en-US"/>
        </w:rPr>
      </w:pPr>
      <w:r>
        <w:rPr>
          <w:rFonts w:ascii="ITC Avant Garde" w:eastAsia="Calibri" w:hAnsi="ITC Avant Garde" w:cs="Arial"/>
          <w:i/>
          <w:color w:val="auto"/>
          <w:sz w:val="18"/>
          <w:szCs w:val="18"/>
          <w:lang w:eastAsia="en-US"/>
        </w:rPr>
        <w:t>“</w:t>
      </w:r>
      <w:r w:rsidRPr="00AA5AE6">
        <w:rPr>
          <w:rFonts w:ascii="ITC Avant Garde" w:eastAsia="Calibri" w:hAnsi="ITC Avant Garde" w:cs="Arial"/>
          <w:i/>
          <w:color w:val="auto"/>
          <w:sz w:val="18"/>
          <w:szCs w:val="18"/>
          <w:lang w:eastAsia="en-US"/>
        </w:rPr>
        <w:t xml:space="preserve">Las Partes reconocen que las Funcionalidades o aplicaciones para servicios de datos como IoT y M2M deberán apegarse, de manera no limitativa, a los estándares y recomendaciones de la GSMA para el balance de compensar a la red visitada por estos servicios de valor agregado ofrecidos por el Concesionario, por lo que las Partes acordarán las tarifas que el Concesionario deberá pagar a Telcel por: uso de red (señalización), usuario activo, y/o volumen diario/mensual, garantizando cubrir los costos y un margen razonable. </w:t>
      </w:r>
      <w:r w:rsidRPr="00AA5AE6">
        <w:rPr>
          <w:rFonts w:ascii="ITC Avant Garde" w:eastAsia="Calibri" w:hAnsi="ITC Avant Garde" w:cs="Arial"/>
          <w:i/>
          <w:color w:val="auto"/>
          <w:sz w:val="18"/>
          <w:szCs w:val="18"/>
          <w:u w:val="single"/>
          <w:lang w:eastAsia="en-US"/>
        </w:rPr>
        <w:t>En caso de no llegar a algún acuerdo cualquiera de las partes podrá solicitar al Instituto resuelva el desacuerdo de dichas tarifas.</w:t>
      </w:r>
    </w:p>
    <w:p w14:paraId="3F84206F" w14:textId="06E57BC9" w:rsidR="00AA5AE6" w:rsidRDefault="00AA5AE6" w:rsidP="00AA5AE6">
      <w:pPr>
        <w:spacing w:after="0" w:line="276" w:lineRule="auto"/>
        <w:ind w:left="567" w:right="615" w:firstLine="0"/>
        <w:rPr>
          <w:rFonts w:ascii="ITC Avant Garde" w:eastAsia="Calibri" w:hAnsi="ITC Avant Garde" w:cs="Arial"/>
          <w:i/>
          <w:color w:val="auto"/>
          <w:sz w:val="18"/>
          <w:szCs w:val="18"/>
          <w:lang w:eastAsia="en-US"/>
        </w:rPr>
      </w:pPr>
    </w:p>
    <w:p w14:paraId="2CCA8FA9" w14:textId="63F84CFB" w:rsidR="00AA5AE6" w:rsidRDefault="00AA5AE6" w:rsidP="00AA5AE6">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47AE2109" w14:textId="465F9AAA" w:rsidR="00AA5AE6" w:rsidRPr="00AA5AE6" w:rsidRDefault="00F71A34" w:rsidP="00AA5AE6">
      <w:pPr>
        <w:spacing w:after="0" w:line="276" w:lineRule="auto"/>
        <w:ind w:left="567" w:right="615" w:firstLine="0"/>
        <w:jc w:val="right"/>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(Énfasis añadido)</w:t>
      </w:r>
    </w:p>
    <w:p w14:paraId="7B515A40" w14:textId="43D84EA9" w:rsidR="008B1648" w:rsidRDefault="008B1648" w:rsidP="00F71A34">
      <w:pPr>
        <w:spacing w:after="0" w:line="276" w:lineRule="auto"/>
        <w:ind w:left="0" w:right="0" w:firstLine="0"/>
        <w:rPr>
          <w:rFonts w:ascii="ITC Avant Garde" w:hAnsi="ITC Avant Garde"/>
          <w:b/>
          <w:color w:val="auto"/>
          <w:u w:val="single"/>
        </w:rPr>
      </w:pPr>
    </w:p>
    <w:p w14:paraId="40F5AD98" w14:textId="7946609B" w:rsidR="00DE3758" w:rsidRDefault="00DE3758" w:rsidP="00DE3758">
      <w:pPr>
        <w:spacing w:after="0" w:line="276" w:lineRule="auto"/>
        <w:ind w:right="0"/>
        <w:rPr>
          <w:rFonts w:ascii="ITC Avant Garde" w:hAnsi="ITC Avant Garde"/>
          <w:b/>
          <w:color w:val="auto"/>
          <w:u w:val="single"/>
        </w:rPr>
      </w:pPr>
      <w:r w:rsidRPr="00DE3758">
        <w:rPr>
          <w:rFonts w:ascii="ITC Avant Garde" w:hAnsi="ITC Avant Garde"/>
          <w:b/>
          <w:color w:val="auto"/>
          <w:u w:val="single"/>
        </w:rPr>
        <w:t>Subanexo C. Alta y Baja de Coberturas</w:t>
      </w:r>
    </w:p>
    <w:p w14:paraId="26CCB0A3" w14:textId="77777777" w:rsidR="00DE3758" w:rsidRPr="005B36F9" w:rsidRDefault="00DE3758" w:rsidP="00DE3758">
      <w:pPr>
        <w:spacing w:after="0" w:line="276" w:lineRule="auto"/>
        <w:ind w:right="0"/>
        <w:rPr>
          <w:rFonts w:ascii="ITC Avant Garde" w:hAnsi="ITC Avant Garde"/>
          <w:b/>
          <w:color w:val="auto"/>
          <w:u w:val="single"/>
        </w:rPr>
      </w:pPr>
    </w:p>
    <w:p w14:paraId="2C118453" w14:textId="77777777" w:rsidR="00DE3758" w:rsidRDefault="00DE3758" w:rsidP="00DE3758">
      <w:pPr>
        <w:spacing w:after="0" w:line="276" w:lineRule="auto"/>
        <w:ind w:left="0" w:right="0" w:firstLine="0"/>
        <w:rPr>
          <w:rFonts w:ascii="ITC Avant Garde" w:hAnsi="ITC Avant Garde"/>
          <w:b/>
          <w:color w:val="auto"/>
        </w:rPr>
      </w:pPr>
      <w:r w:rsidRPr="00CC72B9">
        <w:rPr>
          <w:rFonts w:ascii="ITC Avant Garde" w:hAnsi="ITC Avant Garde"/>
          <w:b/>
          <w:color w:val="auto"/>
        </w:rPr>
        <w:t>Grupo Televisa:</w:t>
      </w:r>
    </w:p>
    <w:p w14:paraId="368A20AC" w14:textId="7BD4A16A" w:rsidR="00DE3758" w:rsidRDefault="00DE3758" w:rsidP="00DE3758">
      <w:pPr>
        <w:spacing w:after="0" w:line="276" w:lineRule="auto"/>
        <w:ind w:left="-5" w:right="49"/>
        <w:rPr>
          <w:rFonts w:ascii="ITC Avant Garde" w:hAnsi="ITC Avant Garde"/>
          <w:color w:val="auto"/>
        </w:rPr>
      </w:pPr>
      <w:r w:rsidRPr="00DE3758">
        <w:rPr>
          <w:rFonts w:ascii="ITC Avant Garde" w:hAnsi="ITC Avant Garde"/>
          <w:color w:val="auto"/>
        </w:rPr>
        <w:t>Sugiere garantizar la continuidad del servicio independien</w:t>
      </w:r>
      <w:r>
        <w:rPr>
          <w:rFonts w:ascii="ITC Avant Garde" w:hAnsi="ITC Avant Garde"/>
          <w:color w:val="auto"/>
        </w:rPr>
        <w:t>temente de la zona de cobertura</w:t>
      </w:r>
      <w:r w:rsidRPr="00DE3758">
        <w:rPr>
          <w:rFonts w:ascii="ITC Avant Garde" w:hAnsi="ITC Avant Garde"/>
          <w:color w:val="auto"/>
        </w:rPr>
        <w:t xml:space="preserve"> ya que considera inaceptable que el cambio de área de cobertura implique una caída de la sesión de voz. Asimismo, considera inapropiado eliminar el texto referente a la capacidad del Instituto para requerir los reportes y</w:t>
      </w:r>
      <w:r w:rsidR="006D0FCB">
        <w:rPr>
          <w:rFonts w:ascii="ITC Avant Garde" w:hAnsi="ITC Avant Garde"/>
          <w:color w:val="auto"/>
        </w:rPr>
        <w:t>/</w:t>
      </w:r>
      <w:r w:rsidRPr="00DE3758">
        <w:rPr>
          <w:rFonts w:ascii="ITC Avant Garde" w:hAnsi="ITC Avant Garde"/>
          <w:color w:val="auto"/>
        </w:rPr>
        <w:t>o soportes del diseño de red. También señala que la comunicación se debe establecer a través del SEG y no del correo electrónico</w:t>
      </w:r>
      <w:r>
        <w:rPr>
          <w:rFonts w:ascii="ITC Avant Garde" w:hAnsi="ITC Avant Garde"/>
          <w:color w:val="auto"/>
        </w:rPr>
        <w:t>.</w:t>
      </w:r>
    </w:p>
    <w:p w14:paraId="7125DDFD" w14:textId="77777777" w:rsidR="00DE3758" w:rsidRPr="00011146" w:rsidRDefault="00DE3758" w:rsidP="00DE3758">
      <w:pPr>
        <w:spacing w:after="0" w:line="276" w:lineRule="auto"/>
        <w:ind w:left="-5" w:right="49"/>
        <w:rPr>
          <w:rFonts w:ascii="ITC Avant Garde" w:hAnsi="ITC Avant Garde"/>
          <w:color w:val="auto"/>
        </w:rPr>
      </w:pPr>
    </w:p>
    <w:p w14:paraId="6C1441AB" w14:textId="47BA9B09" w:rsidR="00DE3758" w:rsidRDefault="00DE3758" w:rsidP="00DE3758">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7A0961C" w14:textId="77777777" w:rsidR="006D0FCB" w:rsidRPr="006D0FCB" w:rsidRDefault="006D0FCB" w:rsidP="006D0FCB">
      <w:pPr>
        <w:spacing w:after="0" w:line="276" w:lineRule="auto"/>
        <w:ind w:left="0" w:right="0" w:firstLine="0"/>
        <w:rPr>
          <w:rFonts w:ascii="ITC Avant Garde" w:hAnsi="ITC Avant Garde"/>
          <w:color w:val="auto"/>
        </w:rPr>
      </w:pPr>
      <w:r w:rsidRPr="006D0FCB">
        <w:rPr>
          <w:rFonts w:ascii="ITC Avant Garde" w:hAnsi="ITC Avant Garde"/>
          <w:color w:val="auto"/>
        </w:rPr>
        <w:t>La medida Vigésima Segunda de las Medidas Móviles establece lo siguiente:</w:t>
      </w:r>
    </w:p>
    <w:p w14:paraId="76AB88F5" w14:textId="77777777" w:rsidR="006D0FCB" w:rsidRPr="006D0FCB" w:rsidRDefault="006D0FCB" w:rsidP="006D0FCB">
      <w:pPr>
        <w:spacing w:after="0" w:line="276" w:lineRule="auto"/>
        <w:ind w:left="0" w:right="0" w:firstLine="0"/>
        <w:rPr>
          <w:rFonts w:ascii="ITC Avant Garde" w:hAnsi="ITC Avant Garde"/>
          <w:color w:val="auto"/>
        </w:rPr>
      </w:pPr>
    </w:p>
    <w:p w14:paraId="2DB22893" w14:textId="77777777" w:rsidR="006D0FCB" w:rsidRPr="006D0FCB" w:rsidRDefault="006D0FCB" w:rsidP="006D0FCB">
      <w:pPr>
        <w:pStyle w:val="Prrafodelista"/>
        <w:spacing w:after="0" w:line="276" w:lineRule="auto"/>
        <w:ind w:right="615" w:firstLine="0"/>
        <w:rPr>
          <w:rFonts w:ascii="ITC Avant Garde" w:eastAsia="Calibri" w:hAnsi="ITC Avant Garde" w:cs="Arial"/>
          <w:i/>
          <w:color w:val="auto"/>
          <w:sz w:val="18"/>
          <w:szCs w:val="18"/>
          <w:lang w:eastAsia="en-US"/>
        </w:rPr>
      </w:pPr>
      <w:r w:rsidRPr="006D0FCB">
        <w:rPr>
          <w:rFonts w:ascii="ITC Avant Garde" w:eastAsia="Calibri" w:hAnsi="ITC Avant Garde" w:cs="Arial"/>
          <w:i/>
          <w:color w:val="auto"/>
          <w:sz w:val="18"/>
          <w:szCs w:val="18"/>
          <w:lang w:eastAsia="en-US"/>
        </w:rPr>
        <w:t xml:space="preserve">“VIGÉSIMA SEGUNDA.- El Agente Económico Preponderante deberá permitir que el Concesionario Solicitante realice de manera automática la autenticación, registro y activación de los servicios en su red pública de telecomunicaciones a efecto de proveer el Servicio de Usuario Visitante o Itinerancia a los Usuarios del Concesionario Solicitante; de la misma forma deberá permitir el traspaso de los Usuarios al Concesionario Solicitante, cuando dejen de hacer uso del mencionado servicio. </w:t>
      </w:r>
    </w:p>
    <w:p w14:paraId="26CB55C3" w14:textId="77777777" w:rsidR="006D0FCB" w:rsidRPr="006D0FCB" w:rsidRDefault="006D0FCB" w:rsidP="006D0FCB">
      <w:pPr>
        <w:pStyle w:val="Prrafodelista"/>
        <w:spacing w:after="0" w:line="276" w:lineRule="auto"/>
        <w:ind w:right="615" w:firstLine="0"/>
        <w:rPr>
          <w:rFonts w:ascii="ITC Avant Garde" w:eastAsia="Calibri" w:hAnsi="ITC Avant Garde" w:cs="Arial"/>
          <w:i/>
          <w:color w:val="auto"/>
          <w:sz w:val="18"/>
          <w:szCs w:val="18"/>
          <w:lang w:eastAsia="en-US"/>
        </w:rPr>
      </w:pPr>
    </w:p>
    <w:p w14:paraId="61A5E2D1" w14:textId="77777777" w:rsidR="006D0FCB" w:rsidRPr="006D0FCB" w:rsidRDefault="006D0FCB" w:rsidP="006D0FCB">
      <w:pPr>
        <w:pStyle w:val="Prrafodelista"/>
        <w:spacing w:after="0" w:line="276" w:lineRule="auto"/>
        <w:ind w:right="615" w:firstLine="0"/>
        <w:rPr>
          <w:rFonts w:ascii="ITC Avant Garde" w:eastAsia="Calibri" w:hAnsi="ITC Avant Garde" w:cs="Arial"/>
          <w:i/>
          <w:color w:val="auto"/>
          <w:sz w:val="18"/>
          <w:szCs w:val="18"/>
          <w:lang w:eastAsia="en-US"/>
        </w:rPr>
      </w:pPr>
      <w:r w:rsidRPr="006D0FCB">
        <w:rPr>
          <w:rFonts w:ascii="ITC Avant Garde" w:eastAsia="Calibri" w:hAnsi="ITC Avant Garde" w:cs="Arial"/>
          <w:i/>
          <w:color w:val="auto"/>
          <w:sz w:val="18"/>
          <w:szCs w:val="18"/>
          <w:u w:val="single"/>
          <w:lang w:eastAsia="en-US"/>
        </w:rPr>
        <w:t>La activación de los Servicios de Usuario Visitante o Itinerancia en la red del Agente Económico Preponderante y/o el retorno a la red del Concesionario Solicitante no implicará la continuidad en las comunicaciones que se encuentren activas al momento del cambio de red pública de telecomunicaciones</w:t>
      </w:r>
      <w:r w:rsidRPr="006D0FCB">
        <w:rPr>
          <w:rFonts w:ascii="ITC Avant Garde" w:eastAsia="Calibri" w:hAnsi="ITC Avant Garde" w:cs="Arial"/>
          <w:i/>
          <w:color w:val="auto"/>
          <w:sz w:val="18"/>
          <w:szCs w:val="18"/>
          <w:lang w:eastAsia="en-US"/>
        </w:rPr>
        <w:t>.”</w:t>
      </w:r>
    </w:p>
    <w:p w14:paraId="33FB68FB" w14:textId="77777777" w:rsidR="006D0FCB" w:rsidRPr="006D0FCB" w:rsidRDefault="006D0FCB" w:rsidP="006D0FCB">
      <w:pPr>
        <w:pStyle w:val="Prrafodelista"/>
        <w:spacing w:after="0" w:line="276" w:lineRule="auto"/>
        <w:ind w:right="615" w:firstLine="0"/>
        <w:rPr>
          <w:rFonts w:ascii="ITC Avant Garde" w:eastAsia="Calibri" w:hAnsi="ITC Avant Garde" w:cs="Arial"/>
          <w:i/>
          <w:color w:val="auto"/>
          <w:sz w:val="18"/>
          <w:szCs w:val="18"/>
          <w:lang w:eastAsia="en-US"/>
        </w:rPr>
      </w:pPr>
    </w:p>
    <w:p w14:paraId="4EF74517" w14:textId="77777777" w:rsidR="006D0FCB" w:rsidRPr="006D0FCB" w:rsidRDefault="006D0FCB" w:rsidP="006D0FCB">
      <w:pPr>
        <w:pStyle w:val="Prrafodelista"/>
        <w:spacing w:after="0" w:line="276" w:lineRule="auto"/>
        <w:ind w:right="615" w:firstLine="0"/>
        <w:jc w:val="right"/>
        <w:rPr>
          <w:rFonts w:ascii="ITC Avant Garde" w:eastAsia="Calibri" w:hAnsi="ITC Avant Garde" w:cs="Arial"/>
          <w:i/>
          <w:color w:val="auto"/>
          <w:sz w:val="18"/>
          <w:szCs w:val="18"/>
          <w:lang w:eastAsia="en-US"/>
        </w:rPr>
      </w:pPr>
      <w:r w:rsidRPr="006D0FCB">
        <w:rPr>
          <w:rFonts w:ascii="ITC Avant Garde" w:eastAsia="Calibri" w:hAnsi="ITC Avant Garde" w:cs="Arial"/>
          <w:i/>
          <w:color w:val="auto"/>
          <w:sz w:val="18"/>
          <w:szCs w:val="18"/>
          <w:lang w:eastAsia="en-US"/>
        </w:rPr>
        <w:t>(Énfasis añadido)</w:t>
      </w:r>
    </w:p>
    <w:p w14:paraId="7F22705F" w14:textId="77777777" w:rsidR="006D0FCB" w:rsidRPr="006D0FCB" w:rsidRDefault="006D0FCB" w:rsidP="006D0FCB">
      <w:pPr>
        <w:spacing w:after="0" w:line="276" w:lineRule="auto"/>
        <w:ind w:left="0" w:right="0" w:firstLine="0"/>
        <w:rPr>
          <w:rFonts w:ascii="ITC Avant Garde" w:hAnsi="ITC Avant Garde"/>
          <w:color w:val="auto"/>
        </w:rPr>
      </w:pPr>
    </w:p>
    <w:p w14:paraId="719FE519" w14:textId="76C1605A" w:rsidR="002B5DAC" w:rsidRDefault="006D0FCB" w:rsidP="002B5DAC">
      <w:pPr>
        <w:spacing w:after="0" w:line="276" w:lineRule="auto"/>
        <w:ind w:left="0" w:right="0" w:firstLine="0"/>
        <w:rPr>
          <w:rFonts w:ascii="ITC Avant Garde" w:hAnsi="ITC Avant Garde"/>
          <w:color w:val="auto"/>
        </w:rPr>
      </w:pPr>
      <w:r w:rsidRPr="006D0FCB">
        <w:rPr>
          <w:rFonts w:ascii="ITC Avant Garde" w:hAnsi="ITC Avant Garde"/>
          <w:color w:val="auto"/>
        </w:rPr>
        <w:t>Asimismo, el redireccionamiento de tráfico implica un cambio en l</w:t>
      </w:r>
      <w:r w:rsidR="00180209">
        <w:rPr>
          <w:rFonts w:ascii="ITC Avant Garde" w:hAnsi="ITC Avant Garde"/>
          <w:color w:val="auto"/>
        </w:rPr>
        <w:t>a Red que otorga el servicio</w:t>
      </w:r>
      <w:r w:rsidRPr="006D0FCB">
        <w:rPr>
          <w:rFonts w:ascii="ITC Avant Garde" w:hAnsi="ITC Avant Garde"/>
          <w:color w:val="auto"/>
        </w:rPr>
        <w:t xml:space="preserve"> por lo cual no es técnicamente factible la cont</w:t>
      </w:r>
      <w:r w:rsidR="00180209">
        <w:rPr>
          <w:rFonts w:ascii="ITC Avant Garde" w:hAnsi="ITC Avant Garde"/>
          <w:color w:val="auto"/>
        </w:rPr>
        <w:t xml:space="preserve">inuidad de los servicios </w:t>
      </w:r>
      <w:r w:rsidRPr="006D0FCB">
        <w:rPr>
          <w:rFonts w:ascii="ITC Avant Garde" w:hAnsi="ITC Avant Garde"/>
          <w:color w:val="auto"/>
        </w:rPr>
        <w:t xml:space="preserve">al momento del cambio de red. </w:t>
      </w:r>
    </w:p>
    <w:p w14:paraId="739A618A" w14:textId="77777777" w:rsidR="002B5DAC" w:rsidRDefault="002B5DAC" w:rsidP="002B5DAC">
      <w:pPr>
        <w:spacing w:after="0" w:line="276" w:lineRule="auto"/>
        <w:ind w:left="0" w:right="0" w:firstLine="0"/>
        <w:rPr>
          <w:rFonts w:ascii="ITC Avant Garde" w:hAnsi="ITC Avant Garde"/>
          <w:color w:val="auto"/>
        </w:rPr>
      </w:pPr>
    </w:p>
    <w:p w14:paraId="673DF7BA" w14:textId="03B5462E" w:rsidR="006D0FCB" w:rsidRDefault="002B5DAC" w:rsidP="002B5DAC">
      <w:pPr>
        <w:spacing w:after="0" w:line="276" w:lineRule="auto"/>
        <w:ind w:left="0" w:right="0" w:firstLine="0"/>
        <w:rPr>
          <w:rFonts w:ascii="ITC Avant Garde" w:hAnsi="ITC Avant Garde"/>
          <w:color w:val="auto"/>
        </w:rPr>
      </w:pPr>
      <w:r>
        <w:rPr>
          <w:rFonts w:ascii="ITC Avant Garde" w:hAnsi="ITC Avant Garde"/>
          <w:color w:val="auto"/>
        </w:rPr>
        <w:t>Además</w:t>
      </w:r>
      <w:r w:rsidRPr="002B5DAC">
        <w:rPr>
          <w:rFonts w:ascii="ITC Avant Garde" w:hAnsi="ITC Avant Garde"/>
          <w:color w:val="auto"/>
        </w:rPr>
        <w:t>, en el num</w:t>
      </w:r>
      <w:r>
        <w:rPr>
          <w:rFonts w:ascii="ITC Avant Garde" w:hAnsi="ITC Avant Garde"/>
          <w:color w:val="auto"/>
        </w:rPr>
        <w:t>eral 2 del Subanexo C se precisó</w:t>
      </w:r>
      <w:r w:rsidRPr="002B5DAC">
        <w:rPr>
          <w:rFonts w:ascii="ITC Avant Garde" w:hAnsi="ITC Avant Garde"/>
          <w:color w:val="auto"/>
        </w:rPr>
        <w:t xml:space="preserve"> que el Instituto podrá requerir a Telcel los reportes y/o soportes necesarios que justifiquen el diseño de su red, incluyendo la justificació</w:t>
      </w:r>
      <w:r>
        <w:rPr>
          <w:rFonts w:ascii="ITC Avant Garde" w:hAnsi="ITC Avant Garde"/>
          <w:color w:val="auto"/>
        </w:rPr>
        <w:t>n de los traslapes de cobertura:</w:t>
      </w:r>
    </w:p>
    <w:p w14:paraId="5C52164B" w14:textId="04F64C41" w:rsidR="002B5DAC" w:rsidRDefault="002B5DAC" w:rsidP="002B5DAC">
      <w:pPr>
        <w:spacing w:after="0" w:line="276" w:lineRule="auto"/>
        <w:ind w:left="0" w:right="0" w:firstLine="0"/>
        <w:rPr>
          <w:rFonts w:ascii="ITC Avant Garde" w:hAnsi="ITC Avant Garde"/>
          <w:color w:val="auto"/>
        </w:rPr>
      </w:pPr>
    </w:p>
    <w:p w14:paraId="2A1AB72F" w14:textId="77777777" w:rsidR="002B5DAC" w:rsidRDefault="002B5DAC" w:rsidP="002B5DAC">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B658BA">
        <w:rPr>
          <w:rFonts w:ascii="ITC Avant Garde" w:eastAsia="Calibri" w:hAnsi="ITC Avant Garde" w:cs="Arial"/>
          <w:i/>
          <w:color w:val="auto"/>
          <w:sz w:val="18"/>
          <w:szCs w:val="18"/>
          <w:lang w:eastAsia="en-US"/>
        </w:rPr>
        <w:t xml:space="preserve">Siendo las LAC, RAC y TAC el mínimo de cobertura disponible, las Partes acuerdan que los sitios y/o celdas que no sean técnicamente factible dividir, podrán considerarse Servicios Adicionales de la Oferta, conforme a la arquitectura y planeación de la Red Pública de Telecomunicaciones de Telcel. Telcel podrá hacer modificaciones a las LAC, RAC y TAC, solicitadas y/o operando para el Concesionario, para lo cual deberá observar el principio de evitar o minimizar los traslapes entre la cobertura del Concesionario Solicitante y Telcel en las Áreas de Servicio donde ya le presta el servicio al Concesionario Solicitante. </w:t>
      </w:r>
      <w:r w:rsidRPr="00B658BA">
        <w:rPr>
          <w:rFonts w:ascii="ITC Avant Garde" w:eastAsia="Calibri" w:hAnsi="ITC Avant Garde" w:cs="Arial"/>
          <w:i/>
          <w:color w:val="auto"/>
          <w:sz w:val="18"/>
          <w:szCs w:val="18"/>
          <w:u w:val="single"/>
          <w:lang w:eastAsia="en-US"/>
        </w:rPr>
        <w:t>El Instituto podrá requerir a Telcel los reportes y/o soportes necesarios que justifiquen el diseño de la Red que garantice la mejor calidad de los Servicios, incluyendo la justificación de los traslapes de cobertura</w:t>
      </w:r>
      <w:r w:rsidRPr="00B658BA">
        <w:rPr>
          <w:rFonts w:ascii="ITC Avant Garde" w:eastAsia="Calibri" w:hAnsi="ITC Avant Garde" w:cs="Arial"/>
          <w:i/>
          <w:color w:val="auto"/>
          <w:sz w:val="18"/>
          <w:szCs w:val="18"/>
          <w:lang w:eastAsia="en-US"/>
        </w:rPr>
        <w:t>.</w:t>
      </w:r>
    </w:p>
    <w:p w14:paraId="5DF26276" w14:textId="77777777" w:rsidR="002B5DAC" w:rsidRDefault="002B5DAC" w:rsidP="002B5DAC">
      <w:pPr>
        <w:spacing w:after="0" w:line="276" w:lineRule="auto"/>
        <w:ind w:left="567" w:right="615" w:firstLine="0"/>
        <w:rPr>
          <w:rFonts w:ascii="ITC Avant Garde" w:eastAsia="Calibri" w:hAnsi="ITC Avant Garde" w:cs="Arial"/>
          <w:i/>
          <w:color w:val="auto"/>
          <w:sz w:val="18"/>
          <w:szCs w:val="18"/>
          <w:lang w:eastAsia="en-US"/>
        </w:rPr>
      </w:pPr>
    </w:p>
    <w:p w14:paraId="36B82149" w14:textId="77777777" w:rsidR="002B5DAC" w:rsidRDefault="002B5DAC" w:rsidP="002B5DAC">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50E1ADE2" w14:textId="77777777" w:rsidR="002B5DAC" w:rsidRDefault="002B5DAC" w:rsidP="002B5DAC">
      <w:pPr>
        <w:spacing w:after="0" w:line="276" w:lineRule="auto"/>
        <w:ind w:left="567" w:right="615" w:firstLine="0"/>
        <w:rPr>
          <w:rFonts w:ascii="ITC Avant Garde" w:eastAsia="Calibri" w:hAnsi="ITC Avant Garde" w:cs="Arial"/>
          <w:i/>
          <w:color w:val="auto"/>
          <w:sz w:val="18"/>
          <w:szCs w:val="18"/>
          <w:lang w:eastAsia="en-US"/>
        </w:rPr>
      </w:pPr>
    </w:p>
    <w:p w14:paraId="7CD89210" w14:textId="77777777" w:rsidR="002B5DAC" w:rsidRPr="00B658BA" w:rsidRDefault="002B5DAC" w:rsidP="002B5DAC">
      <w:pPr>
        <w:spacing w:after="0" w:line="276" w:lineRule="auto"/>
        <w:ind w:left="567" w:right="615" w:firstLine="0"/>
        <w:jc w:val="right"/>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(Énfasis añadido)</w:t>
      </w:r>
    </w:p>
    <w:p w14:paraId="77D81554" w14:textId="274F3AA9" w:rsidR="002B5DAC" w:rsidRDefault="002B5DAC" w:rsidP="002B5DAC">
      <w:pPr>
        <w:spacing w:after="0" w:line="276" w:lineRule="auto"/>
        <w:ind w:left="0" w:right="0" w:firstLine="0"/>
        <w:rPr>
          <w:rFonts w:ascii="ITC Avant Garde" w:hAnsi="ITC Avant Garde"/>
          <w:color w:val="auto"/>
        </w:rPr>
      </w:pPr>
    </w:p>
    <w:p w14:paraId="258A23E3" w14:textId="3205FA87" w:rsidR="00624558" w:rsidRDefault="00D83AE3" w:rsidP="002B5DAC">
      <w:pPr>
        <w:spacing w:after="0" w:line="276" w:lineRule="auto"/>
        <w:ind w:left="0" w:right="0" w:firstLine="0"/>
        <w:rPr>
          <w:rFonts w:ascii="ITC Avant Garde" w:hAnsi="ITC Avant Garde"/>
          <w:color w:val="auto"/>
        </w:rPr>
      </w:pPr>
      <w:r w:rsidRPr="00D83AE3">
        <w:rPr>
          <w:rFonts w:ascii="ITC Avant Garde" w:hAnsi="ITC Avant Garde"/>
          <w:color w:val="auto"/>
        </w:rPr>
        <w:t xml:space="preserve">Sobre la utilización del correo electrónico, para este caso en particular resulta </w:t>
      </w:r>
      <w:r w:rsidR="00EA16EE">
        <w:rPr>
          <w:rFonts w:ascii="ITC Avant Garde" w:hAnsi="ITC Avant Garde"/>
          <w:color w:val="auto"/>
        </w:rPr>
        <w:t>una alternativa de</w:t>
      </w:r>
      <w:r w:rsidRPr="00D83AE3">
        <w:rPr>
          <w:rFonts w:ascii="ITC Avant Garde" w:hAnsi="ITC Avant Garde"/>
          <w:color w:val="auto"/>
        </w:rPr>
        <w:t xml:space="preserve"> comunicación a través del mismo, ya que de otra forma el concesionario tendría que estar conectado al S</w:t>
      </w:r>
      <w:r w:rsidR="00DB104F">
        <w:rPr>
          <w:rFonts w:ascii="ITC Avant Garde" w:hAnsi="ITC Avant Garde"/>
          <w:color w:val="auto"/>
        </w:rPr>
        <w:t xml:space="preserve">istema </w:t>
      </w:r>
      <w:r w:rsidRPr="00D83AE3">
        <w:rPr>
          <w:rFonts w:ascii="ITC Avant Garde" w:hAnsi="ITC Avant Garde"/>
          <w:color w:val="auto"/>
        </w:rPr>
        <w:t>E</w:t>
      </w:r>
      <w:r w:rsidR="00DB104F">
        <w:rPr>
          <w:rFonts w:ascii="ITC Avant Garde" w:hAnsi="ITC Avant Garde"/>
          <w:color w:val="auto"/>
        </w:rPr>
        <w:t xml:space="preserve">lectrónico de </w:t>
      </w:r>
      <w:r w:rsidRPr="00D83AE3">
        <w:rPr>
          <w:rFonts w:ascii="ITC Avant Garde" w:hAnsi="ITC Avant Garde"/>
          <w:color w:val="auto"/>
        </w:rPr>
        <w:t>G</w:t>
      </w:r>
      <w:r w:rsidR="00DB104F">
        <w:rPr>
          <w:rFonts w:ascii="ITC Avant Garde" w:hAnsi="ITC Avant Garde"/>
          <w:color w:val="auto"/>
        </w:rPr>
        <w:t>estión (en lo sucesivo, el “SEG”)</w:t>
      </w:r>
      <w:r w:rsidRPr="00D83AE3">
        <w:rPr>
          <w:rFonts w:ascii="ITC Avant Garde" w:hAnsi="ITC Avant Garde"/>
          <w:color w:val="auto"/>
        </w:rPr>
        <w:t xml:space="preserve"> siempre.</w:t>
      </w:r>
    </w:p>
    <w:p w14:paraId="5423D646" w14:textId="77777777" w:rsidR="00D83AE3" w:rsidRPr="002B5DAC" w:rsidRDefault="00D83AE3" w:rsidP="002B5DAC">
      <w:pPr>
        <w:spacing w:after="0" w:line="276" w:lineRule="auto"/>
        <w:ind w:left="0" w:right="0" w:firstLine="0"/>
        <w:rPr>
          <w:rFonts w:ascii="ITC Avant Garde" w:hAnsi="ITC Avant Garde"/>
          <w:color w:val="auto"/>
        </w:rPr>
      </w:pPr>
    </w:p>
    <w:p w14:paraId="4D3E8FC0" w14:textId="260B2274" w:rsidR="00624558" w:rsidRDefault="00624558" w:rsidP="00624558">
      <w:pPr>
        <w:spacing w:after="0" w:line="276" w:lineRule="auto"/>
        <w:ind w:left="0" w:right="0" w:firstLine="0"/>
        <w:rPr>
          <w:rFonts w:ascii="ITC Avant Garde" w:hAnsi="ITC Avant Garde"/>
          <w:b/>
          <w:color w:val="auto"/>
        </w:rPr>
      </w:pPr>
      <w:r>
        <w:rPr>
          <w:rFonts w:ascii="ITC Avant Garde" w:hAnsi="ITC Avant Garde"/>
          <w:b/>
          <w:color w:val="auto"/>
        </w:rPr>
        <w:lastRenderedPageBreak/>
        <w:t>CANIETI, Telefónica</w:t>
      </w:r>
      <w:r w:rsidRPr="00CC72B9">
        <w:rPr>
          <w:rFonts w:ascii="ITC Avant Garde" w:hAnsi="ITC Avant Garde"/>
          <w:b/>
          <w:color w:val="auto"/>
        </w:rPr>
        <w:t>:</w:t>
      </w:r>
    </w:p>
    <w:p w14:paraId="2F7EC628" w14:textId="37970182" w:rsidR="00624558" w:rsidRDefault="00624558" w:rsidP="00624558">
      <w:pPr>
        <w:spacing w:after="0" w:line="276" w:lineRule="auto"/>
        <w:ind w:left="-5" w:right="49"/>
        <w:rPr>
          <w:rFonts w:ascii="ITC Avant Garde" w:hAnsi="ITC Avant Garde"/>
          <w:color w:val="auto"/>
        </w:rPr>
      </w:pPr>
      <w:r w:rsidRPr="00624558">
        <w:rPr>
          <w:rFonts w:ascii="ITC Avant Garde" w:hAnsi="ITC Avant Garde"/>
          <w:color w:val="auto"/>
        </w:rPr>
        <w:t>Mencionan que se debe actualizar la definición y obligaciones del AEP re</w:t>
      </w:r>
      <w:r>
        <w:rPr>
          <w:rFonts w:ascii="ITC Avant Garde" w:hAnsi="ITC Avant Garde"/>
          <w:color w:val="auto"/>
        </w:rPr>
        <w:t>specto a las áreas de servicio, así como</w:t>
      </w:r>
      <w:r w:rsidRPr="00624558">
        <w:rPr>
          <w:rFonts w:ascii="ITC Avant Garde" w:hAnsi="ITC Avant Garde"/>
          <w:color w:val="auto"/>
        </w:rPr>
        <w:t xml:space="preserve"> la condición para que el AEP ofrezca la cobertura del servicio. Asimismo, Telefónica señala que se debe poder solicitar un área de servicio, aunque el concesionario ya disponga de infraestructura, ya sea para mejorar la cobertura o para ampliar la capacidad de la red</w:t>
      </w:r>
      <w:r w:rsidR="00EA16EE">
        <w:rPr>
          <w:rFonts w:ascii="ITC Avant Garde" w:hAnsi="ITC Avant Garde"/>
          <w:color w:val="auto"/>
        </w:rPr>
        <w:t>.</w:t>
      </w:r>
    </w:p>
    <w:p w14:paraId="48DADFFB" w14:textId="77777777" w:rsidR="00624558" w:rsidRPr="00011146" w:rsidRDefault="00624558" w:rsidP="00624558">
      <w:pPr>
        <w:spacing w:after="0" w:line="276" w:lineRule="auto"/>
        <w:ind w:left="-5" w:right="49"/>
        <w:rPr>
          <w:rFonts w:ascii="ITC Avant Garde" w:hAnsi="ITC Avant Garde"/>
          <w:color w:val="auto"/>
        </w:rPr>
      </w:pPr>
    </w:p>
    <w:p w14:paraId="2D84AF98" w14:textId="77777777" w:rsidR="00624558" w:rsidRDefault="00624558" w:rsidP="00624558">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CDA8029" w14:textId="150E3387" w:rsidR="006D0FCB" w:rsidRDefault="00624558" w:rsidP="00624558">
      <w:pPr>
        <w:spacing w:after="0" w:line="276" w:lineRule="auto"/>
        <w:ind w:left="-5" w:right="49"/>
        <w:rPr>
          <w:rFonts w:ascii="ITC Avant Garde" w:hAnsi="ITC Avant Garde"/>
          <w:color w:val="auto"/>
        </w:rPr>
      </w:pPr>
      <w:r w:rsidRPr="00624558">
        <w:rPr>
          <w:rFonts w:ascii="ITC Avant Garde" w:hAnsi="ITC Avant Garde"/>
          <w:color w:val="auto"/>
        </w:rPr>
        <w:t>De conformidad a la Medida Vigésimo Tercera</w:t>
      </w:r>
      <w:r>
        <w:rPr>
          <w:rFonts w:ascii="ITC Avant Garde" w:hAnsi="ITC Avant Garde"/>
          <w:color w:val="auto"/>
        </w:rPr>
        <w:t xml:space="preserve"> de las Medidas Móviles</w:t>
      </w:r>
      <w:r w:rsidRPr="00624558">
        <w:rPr>
          <w:rFonts w:ascii="ITC Avant Garde" w:hAnsi="ITC Avant Garde"/>
          <w:color w:val="auto"/>
        </w:rPr>
        <w:t>, el servicio de usuario visitante se prestará de manera temporal y exclusivamente en las zonas en las que el concesionario no cuente con infraestructura o no preste el servicio móvil. Sin embargo, la oferta permite que el concesionario pueda utilizar la red de telecomunicaciones de Telcel como soporte en aquellas áreas donde ya brinde el servicio tal c</w:t>
      </w:r>
      <w:r>
        <w:rPr>
          <w:rFonts w:ascii="ITC Avant Garde" w:hAnsi="ITC Avant Garde"/>
          <w:color w:val="auto"/>
        </w:rPr>
        <w:t>omo establece el numeral 1 del S</w:t>
      </w:r>
      <w:r w:rsidRPr="00624558">
        <w:rPr>
          <w:rFonts w:ascii="ITC Avant Garde" w:hAnsi="ITC Avant Garde"/>
          <w:color w:val="auto"/>
        </w:rPr>
        <w:t>ubanexo C</w:t>
      </w:r>
      <w:r>
        <w:rPr>
          <w:rFonts w:ascii="ITC Avant Garde" w:hAnsi="ITC Avant Garde"/>
          <w:color w:val="auto"/>
        </w:rPr>
        <w:t>:</w:t>
      </w:r>
    </w:p>
    <w:p w14:paraId="3607D1AA" w14:textId="3BEA9DDC" w:rsidR="00624558" w:rsidRDefault="00624558" w:rsidP="00624558">
      <w:pPr>
        <w:spacing w:after="0" w:line="276" w:lineRule="auto"/>
        <w:ind w:left="-5" w:right="49"/>
        <w:rPr>
          <w:rFonts w:ascii="ITC Avant Garde" w:hAnsi="ITC Avant Garde"/>
          <w:color w:val="auto"/>
        </w:rPr>
      </w:pPr>
    </w:p>
    <w:p w14:paraId="35D25F9B" w14:textId="3224EF75" w:rsidR="00624558" w:rsidRPr="00624558" w:rsidRDefault="00624558" w:rsidP="00624558">
      <w:pPr>
        <w:pStyle w:val="Prrafodelista"/>
        <w:numPr>
          <w:ilvl w:val="0"/>
          <w:numId w:val="11"/>
        </w:numPr>
        <w:spacing w:after="0" w:line="276" w:lineRule="auto"/>
        <w:ind w:right="615"/>
        <w:rPr>
          <w:rFonts w:ascii="ITC Avant Garde" w:eastAsia="Calibri" w:hAnsi="ITC Avant Garde" w:cs="Arial"/>
          <w:i/>
          <w:color w:val="auto"/>
          <w:sz w:val="18"/>
          <w:szCs w:val="18"/>
          <w:u w:val="single"/>
          <w:lang w:eastAsia="en-US"/>
        </w:rPr>
      </w:pPr>
      <w:r w:rsidRPr="00624558">
        <w:rPr>
          <w:rFonts w:ascii="ITC Avant Garde" w:eastAsia="Calibri" w:hAnsi="ITC Avant Garde" w:cs="Arial"/>
          <w:i/>
          <w:color w:val="auto"/>
          <w:sz w:val="18"/>
          <w:szCs w:val="18"/>
          <w:lang w:eastAsia="en-US"/>
        </w:rPr>
        <w:t xml:space="preserve">“En el entendido que, el Concesionario cuenta con la capacidad para redireccionar el tráfico hacia su Red origen, </w:t>
      </w:r>
      <w:r w:rsidRPr="00624558">
        <w:rPr>
          <w:rFonts w:ascii="ITC Avant Garde" w:eastAsia="Calibri" w:hAnsi="ITC Avant Garde" w:cs="Arial"/>
          <w:i/>
          <w:color w:val="auto"/>
          <w:sz w:val="18"/>
          <w:szCs w:val="18"/>
          <w:u w:val="single"/>
          <w:lang w:eastAsia="en-US"/>
        </w:rPr>
        <w:t>por lo que en caso que decidiera utilizar la Red Pública de Telecomunicaciones de Telcel como red de soporte en las áreas en donde preste el servicio móvil, el Concesionario pagará como contraprestación la cantidad que resulte del tráfico cursado en la Red de Telcel, atendiendo a la definición de los Servicios Adicionales a la Oferta.</w:t>
      </w:r>
      <w:r w:rsidRPr="00624558">
        <w:rPr>
          <w:rFonts w:ascii="ITC Avant Garde" w:eastAsia="Calibri" w:hAnsi="ITC Avant Garde" w:cs="Arial"/>
          <w:i/>
          <w:color w:val="auto"/>
          <w:sz w:val="18"/>
          <w:szCs w:val="18"/>
          <w:lang w:eastAsia="en-US"/>
        </w:rPr>
        <w:t>”</w:t>
      </w:r>
    </w:p>
    <w:p w14:paraId="4E0329BA" w14:textId="61312E5A" w:rsidR="00624558" w:rsidRPr="00624558" w:rsidRDefault="00624558" w:rsidP="00624558">
      <w:pPr>
        <w:pStyle w:val="Prrafodelista"/>
        <w:spacing w:after="0" w:line="276" w:lineRule="auto"/>
        <w:ind w:left="1287" w:right="615" w:firstLine="0"/>
        <w:jc w:val="right"/>
        <w:rPr>
          <w:rFonts w:ascii="ITC Avant Garde" w:eastAsia="Calibri" w:hAnsi="ITC Avant Garde" w:cs="Arial"/>
          <w:i/>
          <w:color w:val="auto"/>
          <w:sz w:val="18"/>
          <w:szCs w:val="18"/>
          <w:u w:val="single"/>
          <w:lang w:eastAsia="en-US"/>
        </w:rPr>
      </w:pPr>
      <w:r>
        <w:rPr>
          <w:rFonts w:ascii="ITC Avant Garde" w:eastAsia="Calibri" w:hAnsi="ITC Avant Garde" w:cs="Arial"/>
          <w:i/>
          <w:color w:val="auto"/>
          <w:sz w:val="18"/>
          <w:szCs w:val="18"/>
          <w:lang w:eastAsia="en-US"/>
        </w:rPr>
        <w:t>(Énfasis añadido)</w:t>
      </w:r>
    </w:p>
    <w:p w14:paraId="32B6C21C" w14:textId="77777777" w:rsidR="00624558" w:rsidRPr="00624558" w:rsidRDefault="00624558" w:rsidP="00624558">
      <w:pPr>
        <w:spacing w:after="0" w:line="276" w:lineRule="auto"/>
        <w:ind w:left="-5" w:right="49"/>
        <w:rPr>
          <w:rFonts w:ascii="ITC Avant Garde" w:hAnsi="ITC Avant Garde"/>
          <w:color w:val="auto"/>
        </w:rPr>
      </w:pPr>
    </w:p>
    <w:p w14:paraId="0231BF3B" w14:textId="77777777" w:rsidR="00E13616" w:rsidRDefault="00E13616" w:rsidP="00E13616">
      <w:pPr>
        <w:spacing w:after="0" w:line="276" w:lineRule="auto"/>
        <w:ind w:left="0" w:right="0" w:firstLine="0"/>
        <w:rPr>
          <w:rFonts w:ascii="ITC Avant Garde" w:hAnsi="ITC Avant Garde"/>
          <w:b/>
          <w:color w:val="auto"/>
        </w:rPr>
      </w:pPr>
      <w:r>
        <w:rPr>
          <w:rFonts w:ascii="ITC Avant Garde" w:hAnsi="ITC Avant Garde"/>
          <w:b/>
          <w:color w:val="auto"/>
        </w:rPr>
        <w:t>CANIETI, Telefónica</w:t>
      </w:r>
      <w:r w:rsidRPr="00CC72B9">
        <w:rPr>
          <w:rFonts w:ascii="ITC Avant Garde" w:hAnsi="ITC Avant Garde"/>
          <w:b/>
          <w:color w:val="auto"/>
        </w:rPr>
        <w:t>:</w:t>
      </w:r>
    </w:p>
    <w:p w14:paraId="19A4C8E8" w14:textId="07788751" w:rsidR="00E13616" w:rsidRDefault="00E13616" w:rsidP="00E13616">
      <w:pPr>
        <w:spacing w:after="0" w:line="276" w:lineRule="auto"/>
        <w:ind w:left="-5" w:right="49"/>
        <w:rPr>
          <w:rFonts w:ascii="ITC Avant Garde" w:hAnsi="ITC Avant Garde"/>
          <w:color w:val="auto"/>
        </w:rPr>
      </w:pPr>
      <w:r w:rsidRPr="00E13616">
        <w:rPr>
          <w:rFonts w:ascii="ITC Avant Garde" w:hAnsi="ITC Avant Garde"/>
          <w:color w:val="auto"/>
        </w:rPr>
        <w:t xml:space="preserve">Señalan que es necesario incluir la cobertura de carreteras donde el AEP tiene cobertura, así como definir las áreas de servicio de carretera con la mayor granularidad posible y adaptadas </w:t>
      </w:r>
      <w:r w:rsidR="00832F8B">
        <w:rPr>
          <w:rFonts w:ascii="ITC Avant Garde" w:hAnsi="ITC Avant Garde"/>
          <w:color w:val="auto"/>
        </w:rPr>
        <w:t>a la topología de las mismas</w:t>
      </w:r>
      <w:r w:rsidRPr="00E13616">
        <w:rPr>
          <w:rFonts w:ascii="ITC Avant Garde" w:hAnsi="ITC Avant Garde"/>
          <w:color w:val="auto"/>
        </w:rPr>
        <w:t xml:space="preserve">. Asimismo, solicitan que no </w:t>
      </w:r>
      <w:r w:rsidR="00832F8B">
        <w:rPr>
          <w:rFonts w:ascii="ITC Avant Garde" w:hAnsi="ITC Avant Garde"/>
          <w:color w:val="auto"/>
        </w:rPr>
        <w:t>exista</w:t>
      </w:r>
      <w:r w:rsidRPr="00E13616">
        <w:rPr>
          <w:rFonts w:ascii="ITC Avant Garde" w:hAnsi="ITC Avant Garde"/>
          <w:color w:val="auto"/>
        </w:rPr>
        <w:t xml:space="preserve"> restricción alguna respecto a solapes de cobertura por la importancia de la continuidad de los servicios en carretera en situaciones de emergencia. Igualmente indican que ninguna comunicación en carretera se debe considerar como servicio adicional.</w:t>
      </w:r>
    </w:p>
    <w:p w14:paraId="4DB362BA" w14:textId="77777777" w:rsidR="00E13616" w:rsidRPr="00E13616" w:rsidRDefault="00E13616" w:rsidP="00E13616">
      <w:pPr>
        <w:spacing w:after="0" w:line="276" w:lineRule="auto"/>
        <w:ind w:left="-5" w:right="49"/>
        <w:rPr>
          <w:rFonts w:ascii="ITC Avant Garde" w:hAnsi="ITC Avant Garde"/>
          <w:color w:val="auto"/>
        </w:rPr>
      </w:pPr>
    </w:p>
    <w:p w14:paraId="61BC2A52" w14:textId="77777777" w:rsidR="00E13616" w:rsidRDefault="00E13616" w:rsidP="00E13616">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24FEB30C" w14:textId="447D9B7F" w:rsidR="00832F8B" w:rsidRDefault="00832F8B" w:rsidP="00673CD5">
      <w:pPr>
        <w:spacing w:after="0" w:line="276" w:lineRule="auto"/>
        <w:ind w:left="-5" w:right="49"/>
        <w:rPr>
          <w:rFonts w:ascii="ITC Avant Garde" w:hAnsi="ITC Avant Garde"/>
          <w:color w:val="auto"/>
        </w:rPr>
      </w:pPr>
      <w:r w:rsidRPr="00832F8B">
        <w:rPr>
          <w:rFonts w:ascii="ITC Avant Garde" w:hAnsi="ITC Avant Garde"/>
          <w:color w:val="auto"/>
        </w:rPr>
        <w:t>En el numeral 3 del Subanexo C se precisó la obligación de definir las áreas de servicio (LAC, RAC y/o TAC) para la cobertura e</w:t>
      </w:r>
      <w:r>
        <w:rPr>
          <w:rFonts w:ascii="ITC Avant Garde" w:hAnsi="ITC Avant Garde"/>
          <w:color w:val="auto"/>
        </w:rPr>
        <w:t>specífica en tramos carreteros:</w:t>
      </w:r>
    </w:p>
    <w:p w14:paraId="21C3266A" w14:textId="0703D587" w:rsidR="00832F8B" w:rsidRDefault="00832F8B" w:rsidP="00673CD5">
      <w:pPr>
        <w:spacing w:after="0" w:line="276" w:lineRule="auto"/>
        <w:ind w:left="-5" w:right="49"/>
        <w:rPr>
          <w:rFonts w:ascii="ITC Avant Garde" w:hAnsi="ITC Avant Garde"/>
          <w:color w:val="auto"/>
        </w:rPr>
      </w:pPr>
    </w:p>
    <w:p w14:paraId="7BBC09C4" w14:textId="0C4FBB0A" w:rsidR="00832F8B" w:rsidRDefault="00832F8B" w:rsidP="00832F8B">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832F8B">
        <w:rPr>
          <w:rFonts w:ascii="ITC Avant Garde" w:eastAsia="Calibri" w:hAnsi="ITC Avant Garde" w:cs="Arial"/>
          <w:i/>
          <w:color w:val="auto"/>
          <w:sz w:val="18"/>
          <w:szCs w:val="18"/>
          <w:lang w:eastAsia="en-US"/>
        </w:rPr>
        <w:t xml:space="preserve">Telcel realizará la modificación de la configuración de sus LAC, RAC y TAC en donde sea técnicamente factible para atender las necesidades de los Concesionarios Solicitantes a fin de reducir traslapes de cobertura entre las redes de los Concesionarios y la Red de Telcel. </w:t>
      </w:r>
      <w:r w:rsidRPr="00832F8B">
        <w:rPr>
          <w:rFonts w:ascii="ITC Avant Garde" w:eastAsia="Calibri" w:hAnsi="ITC Avant Garde" w:cs="Arial"/>
          <w:i/>
          <w:color w:val="auto"/>
          <w:sz w:val="18"/>
          <w:szCs w:val="18"/>
          <w:u w:val="single"/>
          <w:lang w:eastAsia="en-US"/>
        </w:rPr>
        <w:t>En particular, se otorgará preferencia a la definición de LAC, RAC y TAC para la cobertura específica de tramos carreteros y zonas rurales</w:t>
      </w:r>
      <w:r w:rsidRPr="00832F8B">
        <w:rPr>
          <w:rFonts w:ascii="ITC Avant Garde" w:eastAsia="Calibri" w:hAnsi="ITC Avant Garde" w:cs="Arial"/>
          <w:i/>
          <w:color w:val="auto"/>
          <w:sz w:val="18"/>
          <w:szCs w:val="18"/>
          <w:lang w:eastAsia="en-US"/>
        </w:rPr>
        <w:t xml:space="preserve">. </w:t>
      </w:r>
      <w:r>
        <w:rPr>
          <w:rFonts w:ascii="ITC Avant Garde" w:eastAsia="Calibri" w:hAnsi="ITC Avant Garde" w:cs="Arial"/>
          <w:i/>
          <w:color w:val="auto"/>
          <w:sz w:val="18"/>
          <w:szCs w:val="18"/>
          <w:lang w:eastAsia="en-US"/>
        </w:rPr>
        <w:t>“</w:t>
      </w:r>
    </w:p>
    <w:p w14:paraId="69C73716" w14:textId="0C17BA78" w:rsidR="00832F8B" w:rsidRPr="00832F8B" w:rsidRDefault="00832F8B" w:rsidP="00832F8B">
      <w:pPr>
        <w:spacing w:after="0" w:line="276" w:lineRule="auto"/>
        <w:ind w:left="567" w:right="615" w:firstLine="0"/>
        <w:jc w:val="right"/>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(Énfasis añadido)</w:t>
      </w:r>
    </w:p>
    <w:p w14:paraId="3923416F" w14:textId="77777777" w:rsidR="00832F8B" w:rsidRDefault="00832F8B" w:rsidP="00673CD5">
      <w:pPr>
        <w:spacing w:after="0" w:line="276" w:lineRule="auto"/>
        <w:ind w:left="-5" w:right="49"/>
        <w:rPr>
          <w:rFonts w:ascii="ITC Avant Garde" w:hAnsi="ITC Avant Garde"/>
          <w:color w:val="auto"/>
        </w:rPr>
      </w:pPr>
    </w:p>
    <w:p w14:paraId="20CBEFD3" w14:textId="3D49E33E" w:rsidR="00832F8B" w:rsidRDefault="00832F8B" w:rsidP="00673CD5">
      <w:pPr>
        <w:spacing w:after="0" w:line="276" w:lineRule="auto"/>
        <w:ind w:left="-5" w:right="49"/>
        <w:rPr>
          <w:rFonts w:ascii="ITC Avant Garde" w:hAnsi="ITC Avant Garde"/>
          <w:color w:val="auto"/>
        </w:rPr>
      </w:pPr>
      <w:r w:rsidRPr="00832F8B">
        <w:rPr>
          <w:rFonts w:ascii="ITC Avant Garde" w:hAnsi="ITC Avant Garde"/>
          <w:color w:val="auto"/>
        </w:rPr>
        <w:lastRenderedPageBreak/>
        <w:t xml:space="preserve">Asimismo, </w:t>
      </w:r>
      <w:r>
        <w:rPr>
          <w:rFonts w:ascii="ITC Avant Garde" w:hAnsi="ITC Avant Garde"/>
          <w:color w:val="auto"/>
        </w:rPr>
        <w:t>la Oferta no establece</w:t>
      </w:r>
      <w:r w:rsidRPr="00832F8B">
        <w:rPr>
          <w:rFonts w:ascii="ITC Avant Garde" w:hAnsi="ITC Avant Garde"/>
          <w:color w:val="auto"/>
        </w:rPr>
        <w:t xml:space="preserve"> ninguna restricción para solicitar los servicios incluso en aquellas zonas donde exista t</w:t>
      </w:r>
      <w:r>
        <w:rPr>
          <w:rFonts w:ascii="ITC Avant Garde" w:hAnsi="ITC Avant Garde"/>
          <w:color w:val="auto"/>
        </w:rPr>
        <w:t>raslape de cobertura tal como establece</w:t>
      </w:r>
      <w:r w:rsidRPr="00832F8B">
        <w:rPr>
          <w:rFonts w:ascii="ITC Avant Garde" w:hAnsi="ITC Avant Garde"/>
          <w:color w:val="auto"/>
        </w:rPr>
        <w:t xml:space="preserve"> el numeral 6.1 del Anexo II</w:t>
      </w:r>
      <w:r>
        <w:rPr>
          <w:rFonts w:ascii="ITC Avant Garde" w:hAnsi="ITC Avant Garde"/>
          <w:color w:val="auto"/>
        </w:rPr>
        <w:t>:</w:t>
      </w:r>
    </w:p>
    <w:p w14:paraId="58EB09B3" w14:textId="122DE65E" w:rsidR="00832F8B" w:rsidRDefault="00832F8B" w:rsidP="00673CD5">
      <w:pPr>
        <w:spacing w:after="0" w:line="276" w:lineRule="auto"/>
        <w:ind w:left="-5" w:right="49"/>
        <w:rPr>
          <w:rFonts w:ascii="ITC Avant Garde" w:hAnsi="ITC Avant Garde"/>
          <w:color w:val="auto"/>
        </w:rPr>
      </w:pPr>
    </w:p>
    <w:p w14:paraId="273F2612" w14:textId="5CD70DAE" w:rsidR="00832F8B" w:rsidRDefault="00832F8B" w:rsidP="00832F8B">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832F8B">
        <w:rPr>
          <w:rFonts w:ascii="ITC Avant Garde" w:eastAsia="Calibri" w:hAnsi="ITC Avant Garde" w:cs="Arial"/>
          <w:i/>
          <w:color w:val="auto"/>
          <w:sz w:val="18"/>
          <w:szCs w:val="18"/>
          <w:lang w:eastAsia="en-US"/>
        </w:rPr>
        <w:t xml:space="preserve">Telcel realizará las adecuaciones técnicamente factibles para permitir el acceso al Servicio en las LAC, RAC y TAC solicitadas y de restringirlo en las no solicitadas, mediante la aplicación de restricción de LAC, RAC y TAC, </w:t>
      </w:r>
      <w:r w:rsidRPr="00832F8B">
        <w:rPr>
          <w:rFonts w:ascii="ITC Avant Garde" w:eastAsia="Calibri" w:hAnsi="ITC Avant Garde" w:cs="Arial"/>
          <w:i/>
          <w:color w:val="auto"/>
          <w:sz w:val="18"/>
          <w:szCs w:val="18"/>
          <w:u w:val="single"/>
          <w:lang w:eastAsia="en-US"/>
        </w:rPr>
        <w:t>sin embargo, en las zonas fronteras o donde no es técnicamente evitable el traslape, el Concesionario deberá contar con la capacidad de redireccionar el Tráfico de sus Usuarios Finales conforme a sus intereses</w:t>
      </w:r>
      <w:r w:rsidRPr="00832F8B">
        <w:rPr>
          <w:rFonts w:ascii="ITC Avant Garde" w:eastAsia="Calibri" w:hAnsi="ITC Avant Garde" w:cs="Arial"/>
          <w:i/>
          <w:color w:val="auto"/>
          <w:sz w:val="18"/>
          <w:szCs w:val="18"/>
          <w:lang w:eastAsia="en-US"/>
        </w:rPr>
        <w:t>. Así también, con previo acuerdo entre las Partes, el Concesionario deberá cumplir con los estándares y prácticas internacionales para el tratamiento de los errores de “rechazo” validos en los intentos de actualización de localización en la Red Pública de Telecomunicaciones de Telcel.</w:t>
      </w:r>
    </w:p>
    <w:p w14:paraId="4134A633" w14:textId="00309385" w:rsidR="00832F8B" w:rsidRDefault="00832F8B" w:rsidP="00832F8B">
      <w:pPr>
        <w:spacing w:after="0" w:line="276" w:lineRule="auto"/>
        <w:ind w:left="567" w:right="615" w:firstLine="0"/>
        <w:rPr>
          <w:rFonts w:ascii="ITC Avant Garde" w:eastAsia="Calibri" w:hAnsi="ITC Avant Garde" w:cs="Arial"/>
          <w:i/>
          <w:color w:val="auto"/>
          <w:sz w:val="18"/>
          <w:szCs w:val="18"/>
          <w:lang w:eastAsia="en-US"/>
        </w:rPr>
      </w:pPr>
    </w:p>
    <w:p w14:paraId="62980D96" w14:textId="6B28D0F0" w:rsidR="00832F8B" w:rsidRDefault="00832F8B" w:rsidP="00832F8B">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17E469DF" w14:textId="533E5BED" w:rsidR="00832F8B" w:rsidRPr="00832F8B" w:rsidRDefault="00832F8B" w:rsidP="00832F8B">
      <w:pPr>
        <w:spacing w:after="0" w:line="276" w:lineRule="auto"/>
        <w:ind w:left="567" w:right="615" w:firstLine="0"/>
        <w:jc w:val="right"/>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(Énfasis añadido)</w:t>
      </w:r>
    </w:p>
    <w:p w14:paraId="112B89DE" w14:textId="77777777" w:rsidR="00832F8B" w:rsidRDefault="00832F8B" w:rsidP="00673CD5">
      <w:pPr>
        <w:spacing w:after="0" w:line="276" w:lineRule="auto"/>
        <w:ind w:left="-5" w:right="49"/>
        <w:rPr>
          <w:rFonts w:ascii="ITC Avant Garde" w:hAnsi="ITC Avant Garde"/>
          <w:color w:val="auto"/>
        </w:rPr>
      </w:pPr>
    </w:p>
    <w:p w14:paraId="63263172" w14:textId="255784AC" w:rsidR="00DE3758" w:rsidRDefault="00F55242" w:rsidP="00673CD5">
      <w:pPr>
        <w:spacing w:after="0" w:line="276" w:lineRule="auto"/>
        <w:ind w:left="-5" w:right="49"/>
        <w:rPr>
          <w:rFonts w:ascii="ITC Avant Garde" w:hAnsi="ITC Avant Garde"/>
          <w:color w:val="auto"/>
        </w:rPr>
      </w:pPr>
      <w:r>
        <w:rPr>
          <w:rFonts w:ascii="ITC Avant Garde" w:hAnsi="ITC Avant Garde"/>
          <w:color w:val="auto"/>
        </w:rPr>
        <w:t xml:space="preserve">Sin embargo, </w:t>
      </w:r>
      <w:r w:rsidR="00832F8B" w:rsidRPr="00832F8B">
        <w:rPr>
          <w:rFonts w:ascii="ITC Avant Garde" w:hAnsi="ITC Avant Garde"/>
          <w:color w:val="auto"/>
        </w:rPr>
        <w:t xml:space="preserve">cuando el concesionario ya tenga infraestructura o preste el servicio móvil en una zona de cobertura, entonces </w:t>
      </w:r>
      <w:r w:rsidR="00EA16EE">
        <w:rPr>
          <w:rFonts w:ascii="ITC Avant Garde" w:hAnsi="ITC Avant Garde"/>
          <w:color w:val="auto"/>
        </w:rPr>
        <w:t>é</w:t>
      </w:r>
      <w:r w:rsidR="00832F8B" w:rsidRPr="00832F8B">
        <w:rPr>
          <w:rFonts w:ascii="ITC Avant Garde" w:hAnsi="ITC Avant Garde"/>
          <w:color w:val="auto"/>
        </w:rPr>
        <w:t>stos deberán ser considerados como servicios adicionales en cumplimiento a la Medida Vigésimo Tercera</w:t>
      </w:r>
      <w:r>
        <w:rPr>
          <w:rFonts w:ascii="ITC Avant Garde" w:hAnsi="ITC Avant Garde"/>
          <w:color w:val="auto"/>
        </w:rPr>
        <w:t xml:space="preserve"> de las Medidas Móviles.</w:t>
      </w:r>
    </w:p>
    <w:p w14:paraId="1DBD7336" w14:textId="646607AE" w:rsidR="00891F39" w:rsidRDefault="00891F39" w:rsidP="00673CD5">
      <w:pPr>
        <w:spacing w:after="0" w:line="276" w:lineRule="auto"/>
        <w:ind w:left="-5" w:right="49"/>
        <w:rPr>
          <w:rFonts w:ascii="ITC Avant Garde" w:hAnsi="ITC Avant Garde"/>
          <w:color w:val="auto"/>
        </w:rPr>
      </w:pPr>
    </w:p>
    <w:p w14:paraId="3D815894" w14:textId="77777777" w:rsidR="00891F39" w:rsidRDefault="00891F39" w:rsidP="00891F39">
      <w:pPr>
        <w:spacing w:after="0" w:line="276" w:lineRule="auto"/>
        <w:ind w:left="0" w:right="0" w:firstLine="0"/>
        <w:rPr>
          <w:rFonts w:ascii="ITC Avant Garde" w:hAnsi="ITC Avant Garde"/>
          <w:b/>
          <w:color w:val="auto"/>
        </w:rPr>
      </w:pPr>
      <w:r>
        <w:rPr>
          <w:rFonts w:ascii="ITC Avant Garde" w:hAnsi="ITC Avant Garde"/>
          <w:b/>
          <w:color w:val="auto"/>
        </w:rPr>
        <w:t>CANIETI, Telefónica</w:t>
      </w:r>
      <w:r w:rsidRPr="00CC72B9">
        <w:rPr>
          <w:rFonts w:ascii="ITC Avant Garde" w:hAnsi="ITC Avant Garde"/>
          <w:b/>
          <w:color w:val="auto"/>
        </w:rPr>
        <w:t>:</w:t>
      </w:r>
    </w:p>
    <w:p w14:paraId="19DB1594" w14:textId="5887AF47" w:rsidR="00891F39" w:rsidRDefault="00891F39" w:rsidP="00891F39">
      <w:pPr>
        <w:spacing w:after="0" w:line="276" w:lineRule="auto"/>
        <w:ind w:left="-5" w:right="49"/>
        <w:rPr>
          <w:rFonts w:ascii="ITC Avant Garde" w:hAnsi="ITC Avant Garde"/>
          <w:color w:val="auto"/>
        </w:rPr>
      </w:pPr>
      <w:r>
        <w:rPr>
          <w:rFonts w:ascii="ITC Avant Garde" w:hAnsi="ITC Avant Garde"/>
          <w:color w:val="auto"/>
        </w:rPr>
        <w:t>Señalan que l</w:t>
      </w:r>
      <w:r w:rsidRPr="00891F39">
        <w:rPr>
          <w:rFonts w:ascii="ITC Avant Garde" w:hAnsi="ITC Avant Garde"/>
          <w:color w:val="auto"/>
        </w:rPr>
        <w:t xml:space="preserve">a información de los mapas de cobertura debe estar disponible en todo momento y actualizada a través del </w:t>
      </w:r>
      <w:r w:rsidR="005370D0">
        <w:rPr>
          <w:rFonts w:ascii="ITC Avant Garde" w:hAnsi="ITC Avant Garde"/>
          <w:color w:val="auto"/>
        </w:rPr>
        <w:t>SEG</w:t>
      </w:r>
      <w:r w:rsidRPr="00891F39">
        <w:rPr>
          <w:rFonts w:ascii="ITC Avant Garde" w:hAnsi="ITC Avant Garde"/>
          <w:color w:val="auto"/>
        </w:rPr>
        <w:t xml:space="preserve"> en cumplimiento al principio de equivalencia de insumos</w:t>
      </w:r>
      <w:r>
        <w:rPr>
          <w:rFonts w:ascii="ITC Avant Garde" w:hAnsi="ITC Avant Garde"/>
          <w:color w:val="auto"/>
        </w:rPr>
        <w:t>.</w:t>
      </w:r>
    </w:p>
    <w:p w14:paraId="57EE03A9" w14:textId="77777777" w:rsidR="00891F39" w:rsidRPr="00E13616" w:rsidRDefault="00891F39" w:rsidP="00891F39">
      <w:pPr>
        <w:spacing w:after="0" w:line="276" w:lineRule="auto"/>
        <w:ind w:left="-5" w:right="49"/>
        <w:rPr>
          <w:rFonts w:ascii="ITC Avant Garde" w:hAnsi="ITC Avant Garde"/>
          <w:color w:val="auto"/>
        </w:rPr>
      </w:pPr>
    </w:p>
    <w:p w14:paraId="04D79427" w14:textId="77777777" w:rsidR="00891F39" w:rsidRDefault="00891F39" w:rsidP="00891F39">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9418337" w14:textId="61242C15" w:rsidR="00891F39" w:rsidRDefault="00891F39" w:rsidP="00891F39">
      <w:pPr>
        <w:spacing w:after="0" w:line="276" w:lineRule="auto"/>
        <w:ind w:left="-5" w:right="49"/>
        <w:rPr>
          <w:rFonts w:ascii="ITC Avant Garde" w:hAnsi="ITC Avant Garde"/>
          <w:color w:val="auto"/>
        </w:rPr>
      </w:pPr>
      <w:r w:rsidRPr="00891F39">
        <w:rPr>
          <w:rFonts w:ascii="ITC Avant Garde" w:hAnsi="ITC Avant Garde"/>
          <w:color w:val="auto"/>
        </w:rPr>
        <w:t>En el num</w:t>
      </w:r>
      <w:r>
        <w:rPr>
          <w:rFonts w:ascii="ITC Avant Garde" w:hAnsi="ITC Avant Garde"/>
          <w:color w:val="auto"/>
        </w:rPr>
        <w:t>eral 1 del Subanexo C se precisó</w:t>
      </w:r>
      <w:r w:rsidRPr="00891F39">
        <w:rPr>
          <w:rFonts w:ascii="ITC Avant Garde" w:hAnsi="ITC Avant Garde"/>
          <w:color w:val="auto"/>
        </w:rPr>
        <w:t xml:space="preserve"> que Telcel mantendrá actualizada la información de los mapas de cobertura en la medida en que modifique o habilite infraestructura en cumplimiento a</w:t>
      </w:r>
      <w:r>
        <w:rPr>
          <w:rFonts w:ascii="ITC Avant Garde" w:hAnsi="ITC Avant Garde"/>
          <w:color w:val="auto"/>
        </w:rPr>
        <w:t xml:space="preserve"> la Medida Vigésimo Séptima:</w:t>
      </w:r>
    </w:p>
    <w:p w14:paraId="43BBF9AB" w14:textId="7D7BA6FF" w:rsidR="00891F39" w:rsidRDefault="00891F39" w:rsidP="00891F39">
      <w:pPr>
        <w:spacing w:after="0" w:line="276" w:lineRule="auto"/>
        <w:ind w:left="-5" w:right="49"/>
        <w:rPr>
          <w:rFonts w:ascii="ITC Avant Garde" w:hAnsi="ITC Avant Garde"/>
          <w:color w:val="auto"/>
        </w:rPr>
      </w:pPr>
    </w:p>
    <w:p w14:paraId="0A7C5933" w14:textId="77777777" w:rsidR="00891F39" w:rsidRPr="004D47C9" w:rsidRDefault="00891F39" w:rsidP="00891F39">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4D47C9">
        <w:rPr>
          <w:rFonts w:ascii="ITC Avant Garde" w:eastAsia="Calibri" w:hAnsi="ITC Avant Garde" w:cs="Arial"/>
          <w:i/>
          <w:color w:val="auto"/>
          <w:sz w:val="18"/>
          <w:szCs w:val="18"/>
          <w:lang w:eastAsia="en-US"/>
        </w:rPr>
        <w:t>Para que las Partes estén en condiciones de negociar las áreas de cobertura se atendrán a lo siguiente:</w:t>
      </w:r>
    </w:p>
    <w:p w14:paraId="5F76AA74" w14:textId="77777777" w:rsidR="00891F39" w:rsidRPr="004D47C9" w:rsidRDefault="00891F39" w:rsidP="00891F39">
      <w:pPr>
        <w:spacing w:after="0" w:line="276" w:lineRule="auto"/>
        <w:ind w:left="567" w:right="615" w:firstLine="0"/>
        <w:rPr>
          <w:rFonts w:ascii="ITC Avant Garde" w:eastAsia="Calibri" w:hAnsi="ITC Avant Garde" w:cs="Arial"/>
          <w:i/>
          <w:color w:val="auto"/>
          <w:sz w:val="18"/>
          <w:szCs w:val="18"/>
          <w:lang w:eastAsia="en-US"/>
        </w:rPr>
      </w:pPr>
    </w:p>
    <w:p w14:paraId="6676156E" w14:textId="77777777" w:rsidR="00891F39" w:rsidRDefault="00891F39" w:rsidP="00891F39">
      <w:pPr>
        <w:pStyle w:val="Prrafodelista"/>
        <w:numPr>
          <w:ilvl w:val="0"/>
          <w:numId w:val="13"/>
        </w:numPr>
        <w:spacing w:after="0" w:line="276" w:lineRule="auto"/>
        <w:ind w:right="615"/>
        <w:rPr>
          <w:rFonts w:ascii="ITC Avant Garde" w:eastAsia="Calibri" w:hAnsi="ITC Avant Garde" w:cs="Arial"/>
          <w:i/>
          <w:color w:val="auto"/>
          <w:sz w:val="18"/>
          <w:szCs w:val="18"/>
          <w:lang w:eastAsia="en-US"/>
        </w:rPr>
      </w:pPr>
      <w:r w:rsidRPr="004D47C9">
        <w:rPr>
          <w:rFonts w:ascii="ITC Avant Garde" w:eastAsia="Calibri" w:hAnsi="ITC Avant Garde" w:cs="Arial"/>
          <w:i/>
          <w:color w:val="auto"/>
          <w:sz w:val="18"/>
          <w:szCs w:val="18"/>
          <w:lang w:eastAsia="en-US"/>
        </w:rPr>
        <w:t xml:space="preserve">Telcel proporcionará a los Concesionarios Solicitantes, a través del SEG, los mapas de cobertura por Áreas de Servicio (LAC, RAC y TAC) de su Red según corresponda conforme al numeral 9 del presente Anexo, a fin de que el Concesionario determine las Áreas de Servicio donde requiere el </w:t>
      </w:r>
      <w:r w:rsidRPr="004A4078">
        <w:rPr>
          <w:rFonts w:ascii="ITC Avant Garde" w:eastAsia="Calibri" w:hAnsi="ITC Avant Garde" w:cs="Arial"/>
          <w:i/>
          <w:color w:val="auto"/>
          <w:sz w:val="18"/>
          <w:szCs w:val="18"/>
          <w:u w:val="single"/>
          <w:lang w:eastAsia="en-US"/>
        </w:rPr>
        <w:t>Servicio; asimismo, Telcel mantendrá actualizada la información de los mapas en la medida en que se modifique o habilite infraestructura para la prestación de servicios a sus usuarios finales</w:t>
      </w:r>
      <w:r w:rsidRPr="004D47C9">
        <w:rPr>
          <w:rFonts w:ascii="ITC Avant Garde" w:eastAsia="Calibri" w:hAnsi="ITC Avant Garde" w:cs="Arial"/>
          <w:i/>
          <w:color w:val="auto"/>
          <w:sz w:val="18"/>
          <w:szCs w:val="18"/>
          <w:lang w:eastAsia="en-US"/>
        </w:rPr>
        <w:t>. Lo anterior, en el entendido de que los Servicios de la Oferta prestados en aquellas áreas en las que el Concesionario cuente con infraestructura o preste el servicio móvil, las Partes pactarán una tarifa, distinta a la convenida en el presente Convenio.</w:t>
      </w:r>
    </w:p>
    <w:p w14:paraId="5B210F60" w14:textId="77777777" w:rsidR="00891F39" w:rsidRDefault="00891F39" w:rsidP="00891F39">
      <w:pPr>
        <w:spacing w:after="0" w:line="276" w:lineRule="auto"/>
        <w:ind w:left="927" w:right="615" w:firstLine="0"/>
        <w:rPr>
          <w:rFonts w:ascii="ITC Avant Garde" w:eastAsia="Calibri" w:hAnsi="ITC Avant Garde" w:cs="Arial"/>
          <w:i/>
          <w:color w:val="auto"/>
          <w:sz w:val="18"/>
          <w:szCs w:val="18"/>
          <w:lang w:eastAsia="en-US"/>
        </w:rPr>
      </w:pPr>
    </w:p>
    <w:p w14:paraId="1E57BDBA" w14:textId="77777777" w:rsidR="00891F39" w:rsidRDefault="00891F39" w:rsidP="00891F39">
      <w:pPr>
        <w:spacing w:after="0" w:line="276" w:lineRule="auto"/>
        <w:ind w:left="92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lastRenderedPageBreak/>
        <w:t>(…)”</w:t>
      </w:r>
    </w:p>
    <w:p w14:paraId="271658F8" w14:textId="2F588B9C" w:rsidR="00891F39" w:rsidRDefault="00891F39" w:rsidP="00891F39">
      <w:pPr>
        <w:spacing w:after="0" w:line="276" w:lineRule="auto"/>
        <w:ind w:left="927" w:right="615" w:firstLine="0"/>
        <w:jc w:val="right"/>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(Énfasis añadido)</w:t>
      </w:r>
    </w:p>
    <w:p w14:paraId="72F0A25B" w14:textId="77777777" w:rsidR="005A0F30" w:rsidRPr="004A4078" w:rsidRDefault="005A0F30" w:rsidP="00891F39">
      <w:pPr>
        <w:spacing w:after="0" w:line="276" w:lineRule="auto"/>
        <w:ind w:left="927" w:right="615" w:firstLine="0"/>
        <w:jc w:val="right"/>
        <w:rPr>
          <w:rFonts w:ascii="ITC Avant Garde" w:eastAsia="Calibri" w:hAnsi="ITC Avant Garde" w:cs="Arial"/>
          <w:i/>
          <w:color w:val="auto"/>
          <w:sz w:val="18"/>
          <w:szCs w:val="18"/>
          <w:lang w:eastAsia="en-US"/>
        </w:rPr>
      </w:pPr>
    </w:p>
    <w:p w14:paraId="0BC28345" w14:textId="6EF7ED81" w:rsidR="00891F39" w:rsidRDefault="00891F39" w:rsidP="00891F39">
      <w:pPr>
        <w:spacing w:after="0" w:line="276" w:lineRule="auto"/>
        <w:ind w:left="-5" w:right="49"/>
        <w:rPr>
          <w:rFonts w:ascii="ITC Avant Garde" w:hAnsi="ITC Avant Garde"/>
          <w:color w:val="auto"/>
        </w:rPr>
      </w:pPr>
    </w:p>
    <w:p w14:paraId="106C9217" w14:textId="1F5B49B9" w:rsidR="005A0F30" w:rsidRDefault="005A0F30" w:rsidP="005A0F30">
      <w:pPr>
        <w:spacing w:after="0" w:line="276" w:lineRule="auto"/>
        <w:ind w:left="0" w:right="0" w:firstLine="0"/>
        <w:rPr>
          <w:rFonts w:ascii="ITC Avant Garde" w:hAnsi="ITC Avant Garde"/>
          <w:b/>
          <w:color w:val="auto"/>
        </w:rPr>
      </w:pPr>
      <w:r>
        <w:rPr>
          <w:rFonts w:ascii="ITC Avant Garde" w:hAnsi="ITC Avant Garde"/>
          <w:b/>
          <w:color w:val="auto"/>
        </w:rPr>
        <w:t>Telefónica</w:t>
      </w:r>
      <w:r w:rsidRPr="00CC72B9">
        <w:rPr>
          <w:rFonts w:ascii="ITC Avant Garde" w:hAnsi="ITC Avant Garde"/>
          <w:b/>
          <w:color w:val="auto"/>
        </w:rPr>
        <w:t>:</w:t>
      </w:r>
    </w:p>
    <w:p w14:paraId="53D26A8C" w14:textId="6000249F" w:rsidR="005A0F30" w:rsidRDefault="005A0F30" w:rsidP="005A0F30">
      <w:pPr>
        <w:spacing w:after="0" w:line="276" w:lineRule="auto"/>
        <w:ind w:left="-5" w:right="49"/>
        <w:rPr>
          <w:rFonts w:ascii="ITC Avant Garde" w:hAnsi="ITC Avant Garde"/>
          <w:color w:val="auto"/>
        </w:rPr>
      </w:pPr>
      <w:r w:rsidRPr="005A0F30">
        <w:rPr>
          <w:rFonts w:ascii="ITC Avant Garde" w:hAnsi="ITC Avant Garde"/>
          <w:color w:val="auto"/>
        </w:rPr>
        <w:t>Solicita que las áreas de servicio se brinden con la mayor granularidad posible</w:t>
      </w:r>
      <w:r>
        <w:rPr>
          <w:rFonts w:ascii="ITC Avant Garde" w:hAnsi="ITC Avant Garde"/>
          <w:color w:val="auto"/>
        </w:rPr>
        <w:t>,</w:t>
      </w:r>
      <w:r w:rsidRPr="005A0F30">
        <w:rPr>
          <w:rFonts w:ascii="ITC Avant Garde" w:hAnsi="ITC Avant Garde"/>
          <w:color w:val="auto"/>
        </w:rPr>
        <w:t xml:space="preserve"> incluso al extremo de un emplazamiento de radio individual</w:t>
      </w:r>
      <w:r>
        <w:rPr>
          <w:rFonts w:ascii="ITC Avant Garde" w:hAnsi="ITC Avant Garde"/>
          <w:color w:val="auto"/>
        </w:rPr>
        <w:t>.</w:t>
      </w:r>
    </w:p>
    <w:p w14:paraId="4A4A59DF" w14:textId="77777777" w:rsidR="005A0F30" w:rsidRPr="00E13616" w:rsidRDefault="005A0F30" w:rsidP="005A0F30">
      <w:pPr>
        <w:spacing w:after="0" w:line="276" w:lineRule="auto"/>
        <w:ind w:left="-5" w:right="49"/>
        <w:rPr>
          <w:rFonts w:ascii="ITC Avant Garde" w:hAnsi="ITC Avant Garde"/>
          <w:color w:val="auto"/>
        </w:rPr>
      </w:pPr>
    </w:p>
    <w:p w14:paraId="4A4E5067" w14:textId="77777777" w:rsidR="005A0F30" w:rsidRDefault="005A0F30" w:rsidP="005A0F30">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3679363" w14:textId="2C27BB9D" w:rsidR="005A0F30" w:rsidRDefault="002E4F6E" w:rsidP="002E4F6E">
      <w:pPr>
        <w:spacing w:after="0" w:line="276" w:lineRule="auto"/>
        <w:ind w:left="-5" w:right="49"/>
        <w:rPr>
          <w:rFonts w:ascii="ITC Avant Garde" w:hAnsi="ITC Avant Garde"/>
          <w:color w:val="auto"/>
        </w:rPr>
      </w:pPr>
      <w:r w:rsidRPr="002E4F6E">
        <w:rPr>
          <w:rFonts w:ascii="ITC Avant Garde" w:hAnsi="ITC Avant Garde"/>
          <w:color w:val="auto"/>
        </w:rPr>
        <w:t>Las particiones de las áreas de servicio obedecen distintos factores</w:t>
      </w:r>
      <w:r>
        <w:rPr>
          <w:rFonts w:ascii="ITC Avant Garde" w:hAnsi="ITC Avant Garde"/>
          <w:color w:val="auto"/>
        </w:rPr>
        <w:t>,</w:t>
      </w:r>
      <w:r w:rsidRPr="002E4F6E">
        <w:rPr>
          <w:rFonts w:ascii="ITC Avant Garde" w:hAnsi="ITC Avant Garde"/>
          <w:color w:val="auto"/>
        </w:rPr>
        <w:t xml:space="preserve"> los cuales buscan la prestación más eficiente del servicio. Definir múltiples áreas de servicio tan pequeñas como una radiobase p</w:t>
      </w:r>
      <w:r w:rsidR="00EA16EE">
        <w:rPr>
          <w:rFonts w:ascii="ITC Avant Garde" w:hAnsi="ITC Avant Garde"/>
          <w:color w:val="auto"/>
        </w:rPr>
        <w:t>odrían</w:t>
      </w:r>
      <w:r w:rsidRPr="002E4F6E">
        <w:rPr>
          <w:rFonts w:ascii="ITC Avant Garde" w:hAnsi="ITC Avant Garde"/>
          <w:color w:val="auto"/>
        </w:rPr>
        <w:t xml:space="preserve"> crear problemas de señalización en la red al obligar a los usuarios a actualizar constantemente su ubicación</w:t>
      </w:r>
      <w:r>
        <w:rPr>
          <w:rFonts w:ascii="ITC Avant Garde" w:hAnsi="ITC Avant Garde"/>
          <w:color w:val="auto"/>
        </w:rPr>
        <w:t xml:space="preserve"> (Location Update)</w:t>
      </w:r>
      <w:r w:rsidRPr="002E4F6E">
        <w:rPr>
          <w:rFonts w:ascii="ITC Avant Garde" w:hAnsi="ITC Avant Garde"/>
          <w:color w:val="auto"/>
        </w:rPr>
        <w:t xml:space="preserve">, además de disminuir </w:t>
      </w:r>
      <w:r>
        <w:rPr>
          <w:rFonts w:ascii="ITC Avant Garde" w:hAnsi="ITC Avant Garde"/>
          <w:color w:val="auto"/>
        </w:rPr>
        <w:t>la duración de la batería de los equipos al requerir conectarse constantemente a la red por este motivo.</w:t>
      </w:r>
      <w:r w:rsidR="00E26017">
        <w:rPr>
          <w:rFonts w:ascii="ITC Avant Garde" w:hAnsi="ITC Avant Garde"/>
          <w:color w:val="auto"/>
        </w:rPr>
        <w:t xml:space="preserve"> </w:t>
      </w:r>
      <w:r w:rsidR="00E26017" w:rsidRPr="00E26017">
        <w:rPr>
          <w:rFonts w:ascii="ITC Avant Garde" w:hAnsi="ITC Avant Garde"/>
          <w:color w:val="auto"/>
        </w:rPr>
        <w:t>Todo lo anterior, afectaría directamente en la calidad del servicio tanto a los usuarios finales de Telcel como del Concesionario.</w:t>
      </w:r>
    </w:p>
    <w:p w14:paraId="42285989" w14:textId="1F2FDCE7" w:rsidR="008768C2" w:rsidRDefault="008768C2" w:rsidP="003C287F">
      <w:pPr>
        <w:spacing w:after="0" w:line="276" w:lineRule="auto"/>
        <w:ind w:left="0" w:right="49" w:firstLine="0"/>
        <w:rPr>
          <w:rFonts w:ascii="ITC Avant Garde" w:hAnsi="ITC Avant Garde"/>
          <w:color w:val="auto"/>
        </w:rPr>
      </w:pPr>
    </w:p>
    <w:p w14:paraId="4DC3BF70" w14:textId="77777777" w:rsidR="008768C2" w:rsidRDefault="008768C2" w:rsidP="008768C2">
      <w:pPr>
        <w:spacing w:after="0" w:line="276" w:lineRule="auto"/>
        <w:ind w:left="0" w:right="0" w:firstLine="0"/>
        <w:rPr>
          <w:rFonts w:ascii="ITC Avant Garde" w:hAnsi="ITC Avant Garde"/>
          <w:b/>
          <w:color w:val="auto"/>
        </w:rPr>
      </w:pPr>
      <w:r>
        <w:rPr>
          <w:rFonts w:ascii="ITC Avant Garde" w:hAnsi="ITC Avant Garde"/>
          <w:b/>
          <w:color w:val="auto"/>
        </w:rPr>
        <w:t>Telefónica</w:t>
      </w:r>
      <w:r w:rsidRPr="00CC72B9">
        <w:rPr>
          <w:rFonts w:ascii="ITC Avant Garde" w:hAnsi="ITC Avant Garde"/>
          <w:b/>
          <w:color w:val="auto"/>
        </w:rPr>
        <w:t>:</w:t>
      </w:r>
    </w:p>
    <w:p w14:paraId="6CA534BB" w14:textId="28EEAD0A" w:rsidR="008768C2" w:rsidRDefault="008768C2" w:rsidP="008768C2">
      <w:pPr>
        <w:spacing w:after="0" w:line="276" w:lineRule="auto"/>
        <w:ind w:left="-5" w:right="49"/>
        <w:rPr>
          <w:rFonts w:ascii="ITC Avant Garde" w:hAnsi="ITC Avant Garde"/>
          <w:color w:val="auto"/>
        </w:rPr>
      </w:pPr>
      <w:r w:rsidRPr="008768C2">
        <w:rPr>
          <w:rFonts w:ascii="ITC Avant Garde" w:hAnsi="ITC Avant Garde"/>
          <w:color w:val="auto"/>
        </w:rPr>
        <w:t xml:space="preserve">Señala que tanto el concesionario como el AEP se deben comprometer a redireccionar el tráfico a la red del concesionario mientras </w:t>
      </w:r>
      <w:r w:rsidR="00836944">
        <w:rPr>
          <w:rFonts w:ascii="ITC Avant Garde" w:hAnsi="ITC Avant Garde"/>
          <w:color w:val="auto"/>
        </w:rPr>
        <w:t>esta tenga cobertura.</w:t>
      </w:r>
    </w:p>
    <w:p w14:paraId="090CC0E7" w14:textId="77777777" w:rsidR="008768C2" w:rsidRPr="00E13616" w:rsidRDefault="008768C2" w:rsidP="008768C2">
      <w:pPr>
        <w:spacing w:after="0" w:line="276" w:lineRule="auto"/>
        <w:ind w:left="-5" w:right="49"/>
        <w:rPr>
          <w:rFonts w:ascii="ITC Avant Garde" w:hAnsi="ITC Avant Garde"/>
          <w:color w:val="auto"/>
        </w:rPr>
      </w:pPr>
    </w:p>
    <w:p w14:paraId="18E4EE56" w14:textId="77777777" w:rsidR="008768C2" w:rsidRDefault="008768C2" w:rsidP="008768C2">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214E896" w14:textId="2C043C24" w:rsidR="005A0F30" w:rsidRDefault="00D006AB" w:rsidP="0010577B">
      <w:pPr>
        <w:spacing w:after="0" w:line="276" w:lineRule="auto"/>
        <w:ind w:right="0"/>
        <w:rPr>
          <w:rFonts w:ascii="ITC Avant Garde" w:hAnsi="ITC Avant Garde"/>
          <w:color w:val="auto"/>
        </w:rPr>
      </w:pPr>
      <w:r w:rsidRPr="00D006AB">
        <w:rPr>
          <w:rFonts w:ascii="ITC Avant Garde" w:hAnsi="ITC Avant Garde"/>
          <w:color w:val="auto"/>
        </w:rPr>
        <w:t>El numeral 6 del Anexo II de la oferta permite que el concesionario redireccione el tráfico de sus usuarios en cumplimiento a la Medida Vigésima Segunda. Esta obligación es únicamente del concesionario ya que Telcel no puede redirecccionar el tráfico a la red origen.</w:t>
      </w:r>
    </w:p>
    <w:p w14:paraId="1EDE59A0" w14:textId="3D605EB4" w:rsidR="00C17ABA" w:rsidRDefault="00C17ABA" w:rsidP="0010577B">
      <w:pPr>
        <w:spacing w:after="0" w:line="276" w:lineRule="auto"/>
        <w:ind w:right="0"/>
        <w:rPr>
          <w:rFonts w:ascii="ITC Avant Garde" w:hAnsi="ITC Avant Garde"/>
          <w:color w:val="auto"/>
        </w:rPr>
      </w:pPr>
    </w:p>
    <w:p w14:paraId="40D5A00F" w14:textId="77777777" w:rsidR="00C17ABA" w:rsidRDefault="00C17ABA" w:rsidP="00C17ABA">
      <w:pPr>
        <w:spacing w:after="0" w:line="276" w:lineRule="auto"/>
        <w:ind w:left="0" w:right="0" w:firstLine="0"/>
        <w:rPr>
          <w:rFonts w:ascii="ITC Avant Garde" w:hAnsi="ITC Avant Garde"/>
          <w:b/>
          <w:color w:val="auto"/>
        </w:rPr>
      </w:pPr>
      <w:r>
        <w:rPr>
          <w:rFonts w:ascii="ITC Avant Garde" w:hAnsi="ITC Avant Garde"/>
          <w:b/>
          <w:color w:val="auto"/>
        </w:rPr>
        <w:t>Telefónica</w:t>
      </w:r>
      <w:r w:rsidRPr="00CC72B9">
        <w:rPr>
          <w:rFonts w:ascii="ITC Avant Garde" w:hAnsi="ITC Avant Garde"/>
          <w:b/>
          <w:color w:val="auto"/>
        </w:rPr>
        <w:t>:</w:t>
      </w:r>
    </w:p>
    <w:p w14:paraId="2A58B240" w14:textId="6B89BB06" w:rsidR="00C17ABA" w:rsidRDefault="00C17ABA" w:rsidP="00C17ABA">
      <w:pPr>
        <w:spacing w:after="0" w:line="276" w:lineRule="auto"/>
        <w:ind w:left="-5" w:right="49"/>
        <w:rPr>
          <w:rFonts w:ascii="ITC Avant Garde" w:hAnsi="ITC Avant Garde"/>
          <w:color w:val="auto"/>
        </w:rPr>
      </w:pPr>
      <w:r w:rsidRPr="00C17ABA">
        <w:rPr>
          <w:rFonts w:ascii="ITC Avant Garde" w:hAnsi="ITC Avant Garde"/>
          <w:color w:val="auto"/>
        </w:rPr>
        <w:t>Solicita que se puedan utilizar áreas de servicio excluidas del servicio de usuario visitante con el fin de dar continuidad a las comunicaciones que empiezan en un área de servicio permitida, las cuales deberán contar con tarifas reguladas</w:t>
      </w:r>
      <w:r>
        <w:rPr>
          <w:rFonts w:ascii="ITC Avant Garde" w:hAnsi="ITC Avant Garde"/>
          <w:color w:val="auto"/>
        </w:rPr>
        <w:t>.</w:t>
      </w:r>
    </w:p>
    <w:p w14:paraId="7EE672B9" w14:textId="77777777" w:rsidR="00C17ABA" w:rsidRPr="00C17ABA" w:rsidRDefault="00C17ABA" w:rsidP="00C17ABA">
      <w:pPr>
        <w:spacing w:after="0" w:line="276" w:lineRule="auto"/>
        <w:ind w:left="-5" w:right="49"/>
        <w:rPr>
          <w:rFonts w:ascii="ITC Avant Garde" w:hAnsi="ITC Avant Garde"/>
          <w:color w:val="auto"/>
        </w:rPr>
      </w:pPr>
    </w:p>
    <w:p w14:paraId="27BAFB79" w14:textId="51DA27FE" w:rsidR="00C17ABA" w:rsidRDefault="00C17ABA" w:rsidP="00C17ABA">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93D248C" w14:textId="486295AE" w:rsidR="00C17ABA" w:rsidRDefault="005F0618" w:rsidP="00C17ABA">
      <w:pPr>
        <w:spacing w:after="0" w:line="276" w:lineRule="auto"/>
        <w:ind w:left="-5" w:right="49"/>
        <w:rPr>
          <w:rFonts w:ascii="ITC Avant Garde" w:hAnsi="ITC Avant Garde"/>
          <w:color w:val="auto"/>
        </w:rPr>
      </w:pPr>
      <w:r>
        <w:rPr>
          <w:rFonts w:ascii="ITC Avant Garde" w:hAnsi="ITC Avant Garde"/>
          <w:color w:val="auto"/>
        </w:rPr>
        <w:t>La oferta de referencia regula la prestación del servicio de usuario visitante en las áreas donde el concesionario solicitante no tenga cobertura, en este sentido, la utilización de áreas de servicio adicionales se encuentra fuera del alcance de la oferta.</w:t>
      </w:r>
    </w:p>
    <w:p w14:paraId="1995B1F1" w14:textId="4FFC71C7" w:rsidR="00C17ABA" w:rsidRDefault="00C17ABA" w:rsidP="003C287F">
      <w:pPr>
        <w:spacing w:after="0" w:line="276" w:lineRule="auto"/>
        <w:ind w:left="0" w:right="49" w:firstLine="0"/>
        <w:rPr>
          <w:rFonts w:ascii="ITC Avant Garde" w:hAnsi="ITC Avant Garde"/>
          <w:color w:val="auto"/>
        </w:rPr>
      </w:pPr>
    </w:p>
    <w:p w14:paraId="53E73B0B" w14:textId="051142A2" w:rsidR="00C17ABA" w:rsidRDefault="00C17ABA" w:rsidP="00C17ABA">
      <w:pPr>
        <w:spacing w:after="0" w:line="276" w:lineRule="auto"/>
        <w:ind w:left="0" w:right="0" w:firstLine="0"/>
        <w:rPr>
          <w:rFonts w:ascii="ITC Avant Garde" w:hAnsi="ITC Avant Garde"/>
          <w:b/>
          <w:color w:val="auto"/>
        </w:rPr>
      </w:pPr>
      <w:r>
        <w:rPr>
          <w:rFonts w:ascii="ITC Avant Garde" w:hAnsi="ITC Avant Garde"/>
          <w:b/>
          <w:color w:val="auto"/>
        </w:rPr>
        <w:t>Grupo Televisa</w:t>
      </w:r>
      <w:r w:rsidRPr="00CC72B9">
        <w:rPr>
          <w:rFonts w:ascii="ITC Avant Garde" w:hAnsi="ITC Avant Garde"/>
          <w:b/>
          <w:color w:val="auto"/>
        </w:rPr>
        <w:t>:</w:t>
      </w:r>
    </w:p>
    <w:p w14:paraId="348980D8" w14:textId="29D1D99B" w:rsidR="00C17ABA" w:rsidRDefault="00C17ABA" w:rsidP="00C17ABA">
      <w:pPr>
        <w:spacing w:after="0" w:line="276" w:lineRule="auto"/>
        <w:ind w:left="-5" w:right="49"/>
        <w:rPr>
          <w:rFonts w:ascii="ITC Avant Garde" w:hAnsi="ITC Avant Garde"/>
          <w:color w:val="auto"/>
        </w:rPr>
      </w:pPr>
      <w:r w:rsidRPr="00C17ABA">
        <w:rPr>
          <w:rFonts w:ascii="ITC Avant Garde" w:hAnsi="ITC Avant Garde"/>
          <w:color w:val="auto"/>
        </w:rPr>
        <w:t xml:space="preserve">Menciona que se carece de un proceso formal de implementación de los Servicios de la Oferta, por lo cual sugiere el desarrollo de un anexo que describa los términos </w:t>
      </w:r>
      <w:r w:rsidRPr="00C17ABA">
        <w:rPr>
          <w:rFonts w:ascii="ITC Avant Garde" w:hAnsi="ITC Avant Garde"/>
          <w:color w:val="auto"/>
        </w:rPr>
        <w:lastRenderedPageBreak/>
        <w:t>y condiciones de cada uno de los procesos relacionados con el aprovisionamiento, mantenimiento e incidencias de los Servicios de la Oferta.</w:t>
      </w:r>
    </w:p>
    <w:p w14:paraId="7295E71F" w14:textId="77777777" w:rsidR="00C17ABA" w:rsidRPr="00C17ABA" w:rsidRDefault="00C17ABA" w:rsidP="00C17ABA">
      <w:pPr>
        <w:spacing w:after="0" w:line="276" w:lineRule="auto"/>
        <w:ind w:left="-5" w:right="49"/>
        <w:rPr>
          <w:rFonts w:ascii="ITC Avant Garde" w:hAnsi="ITC Avant Garde"/>
          <w:color w:val="auto"/>
        </w:rPr>
      </w:pPr>
    </w:p>
    <w:p w14:paraId="1A20A820" w14:textId="798C8069" w:rsidR="00C17ABA" w:rsidRDefault="00C17ABA" w:rsidP="00C17ABA">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E273BD3" w14:textId="700343C1" w:rsidR="00C17ABA" w:rsidRPr="00C17ABA" w:rsidRDefault="00D91D88" w:rsidP="00C17ABA">
      <w:pPr>
        <w:spacing w:after="0" w:line="276" w:lineRule="auto"/>
        <w:ind w:left="-5" w:right="49"/>
        <w:rPr>
          <w:rFonts w:ascii="ITC Avant Garde" w:hAnsi="ITC Avant Garde"/>
          <w:color w:val="auto"/>
        </w:rPr>
      </w:pPr>
      <w:r>
        <w:rPr>
          <w:rFonts w:ascii="ITC Avant Garde" w:hAnsi="ITC Avant Garde"/>
          <w:color w:val="auto"/>
        </w:rPr>
        <w:t>En el Anexo IX ya se describe</w:t>
      </w:r>
      <w:r w:rsidR="00C17ABA" w:rsidRPr="00C17ABA">
        <w:rPr>
          <w:rFonts w:ascii="ITC Avant Garde" w:hAnsi="ITC Avant Garde"/>
          <w:color w:val="auto"/>
        </w:rPr>
        <w:t xml:space="preserve"> el procedimiento y los tiempos de aprovisionamiento de los servicios, y en el Anexo VII ya se describe el procedimiento de atención de incidencias</w:t>
      </w:r>
      <w:r>
        <w:rPr>
          <w:rFonts w:ascii="ITC Avant Garde" w:hAnsi="ITC Avant Garde"/>
          <w:color w:val="auto"/>
        </w:rPr>
        <w:t>.</w:t>
      </w:r>
    </w:p>
    <w:p w14:paraId="67958C72" w14:textId="77777777" w:rsidR="00D006AB" w:rsidRDefault="00D006AB" w:rsidP="0010577B">
      <w:pPr>
        <w:spacing w:after="0" w:line="276" w:lineRule="auto"/>
        <w:ind w:right="0"/>
        <w:rPr>
          <w:rFonts w:ascii="ITC Avant Garde" w:hAnsi="ITC Avant Garde"/>
          <w:b/>
          <w:color w:val="auto"/>
          <w:u w:val="single"/>
        </w:rPr>
      </w:pPr>
    </w:p>
    <w:p w14:paraId="32B8BD6E" w14:textId="69746A0A" w:rsidR="0010577B" w:rsidRDefault="0010577B" w:rsidP="0010577B">
      <w:pPr>
        <w:spacing w:after="0" w:line="276" w:lineRule="auto"/>
        <w:ind w:right="0"/>
        <w:rPr>
          <w:rFonts w:ascii="ITC Avant Garde" w:hAnsi="ITC Avant Garde"/>
          <w:b/>
          <w:color w:val="auto"/>
          <w:u w:val="single"/>
        </w:rPr>
      </w:pPr>
      <w:r>
        <w:rPr>
          <w:rFonts w:ascii="ITC Avant Garde" w:hAnsi="ITC Avant Garde"/>
          <w:b/>
          <w:color w:val="auto"/>
          <w:u w:val="single"/>
        </w:rPr>
        <w:t>Subanexo E. Pruebas de Certificación</w:t>
      </w:r>
    </w:p>
    <w:p w14:paraId="7448034B" w14:textId="77777777" w:rsidR="0010577B" w:rsidRPr="005B36F9" w:rsidRDefault="0010577B" w:rsidP="0010577B">
      <w:pPr>
        <w:spacing w:after="0" w:line="276" w:lineRule="auto"/>
        <w:ind w:right="0"/>
        <w:rPr>
          <w:rFonts w:ascii="ITC Avant Garde" w:hAnsi="ITC Avant Garde"/>
          <w:b/>
          <w:color w:val="auto"/>
          <w:u w:val="single"/>
        </w:rPr>
      </w:pPr>
    </w:p>
    <w:p w14:paraId="09B34863" w14:textId="62A5FAEB" w:rsidR="0010577B" w:rsidRDefault="0010577B" w:rsidP="0010577B">
      <w:pPr>
        <w:spacing w:after="0" w:line="276" w:lineRule="auto"/>
        <w:ind w:left="0" w:right="0" w:firstLine="0"/>
        <w:rPr>
          <w:rFonts w:ascii="ITC Avant Garde" w:hAnsi="ITC Avant Garde"/>
          <w:b/>
          <w:color w:val="auto"/>
        </w:rPr>
      </w:pPr>
      <w:r>
        <w:rPr>
          <w:rFonts w:ascii="ITC Avant Garde" w:hAnsi="ITC Avant Garde"/>
          <w:b/>
          <w:color w:val="auto"/>
        </w:rPr>
        <w:t>CANIETI:</w:t>
      </w:r>
    </w:p>
    <w:p w14:paraId="3F84E983" w14:textId="731C9FC3" w:rsidR="0010577B" w:rsidRDefault="0010577B" w:rsidP="0010577B">
      <w:pPr>
        <w:spacing w:after="0" w:line="276" w:lineRule="auto"/>
        <w:ind w:left="-5" w:right="49"/>
        <w:rPr>
          <w:rFonts w:ascii="ITC Avant Garde" w:hAnsi="ITC Avant Garde"/>
          <w:color w:val="auto"/>
        </w:rPr>
      </w:pPr>
      <w:r w:rsidRPr="0010577B">
        <w:rPr>
          <w:rFonts w:ascii="ITC Avant Garde" w:hAnsi="ITC Avant Garde"/>
          <w:color w:val="auto"/>
        </w:rPr>
        <w:t>Señala que, si bien existe un esquema de pruebas, estas no definen bajo que ambientes se realizan las mismas ni indican el mínimo de pruebas para considerar la efectividad de las mismas, por lo que es necesario que se especifiquen tales características.</w:t>
      </w:r>
    </w:p>
    <w:p w14:paraId="2C29DEE6" w14:textId="77777777" w:rsidR="0010577B" w:rsidRPr="0010577B" w:rsidRDefault="0010577B" w:rsidP="0010577B">
      <w:pPr>
        <w:spacing w:after="0" w:line="276" w:lineRule="auto"/>
        <w:ind w:left="-5" w:right="49"/>
        <w:rPr>
          <w:rFonts w:ascii="ITC Avant Garde" w:hAnsi="ITC Avant Garde"/>
          <w:color w:val="auto"/>
        </w:rPr>
      </w:pPr>
    </w:p>
    <w:p w14:paraId="68FF1CFB" w14:textId="77777777" w:rsidR="0010577B" w:rsidRDefault="0010577B" w:rsidP="0010577B">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599B41C" w14:textId="2B95F83B" w:rsidR="00055671" w:rsidRDefault="00671BBC" w:rsidP="00671BBC">
      <w:pPr>
        <w:spacing w:after="0" w:line="276" w:lineRule="auto"/>
        <w:ind w:left="-5" w:right="49"/>
        <w:rPr>
          <w:rFonts w:ascii="ITC Avant Garde" w:hAnsi="ITC Avant Garde"/>
          <w:color w:val="auto"/>
        </w:rPr>
      </w:pPr>
      <w:r w:rsidRPr="00671BBC">
        <w:rPr>
          <w:rFonts w:ascii="ITC Avant Garde" w:hAnsi="ITC Avant Garde"/>
          <w:color w:val="auto"/>
        </w:rPr>
        <w:t>En el subanexo E se establecen todas las pruebas que se deben realizar para garantizar el buen funcionamiento de los servicios de la Oferta, mismas que se ejecutarán hasta que resulten satisfactorias. Es así que dichas pruebas ya se encuentran contenidas en la Oferta.</w:t>
      </w:r>
    </w:p>
    <w:p w14:paraId="23C755C0" w14:textId="77777777" w:rsidR="00671BBC" w:rsidRDefault="00671BBC" w:rsidP="00891F39">
      <w:pPr>
        <w:spacing w:after="0" w:line="276" w:lineRule="auto"/>
        <w:ind w:left="-5" w:right="49"/>
        <w:rPr>
          <w:rFonts w:ascii="ITC Avant Garde" w:hAnsi="ITC Avant Garde"/>
          <w:color w:val="auto"/>
        </w:rPr>
      </w:pPr>
    </w:p>
    <w:p w14:paraId="0926B446" w14:textId="2D6D05B9" w:rsidR="00677D20" w:rsidRPr="00EB4990" w:rsidRDefault="00677D20" w:rsidP="00677D20">
      <w:pPr>
        <w:spacing w:after="0" w:line="276" w:lineRule="auto"/>
        <w:ind w:left="-5" w:right="49"/>
        <w:rPr>
          <w:rFonts w:ascii="ITC Avant Garde" w:hAnsi="ITC Avant Garde"/>
          <w:b/>
          <w:color w:val="auto"/>
          <w:u w:val="single"/>
        </w:rPr>
      </w:pPr>
      <w:r w:rsidRPr="00EB4990">
        <w:rPr>
          <w:rFonts w:ascii="ITC Avant Garde" w:hAnsi="ITC Avant Garde"/>
          <w:b/>
          <w:color w:val="auto"/>
          <w:u w:val="single"/>
        </w:rPr>
        <w:t>ANEXO II</w:t>
      </w:r>
      <w:r w:rsidR="00EB4990" w:rsidRPr="00EB4990">
        <w:rPr>
          <w:rFonts w:ascii="ITC Avant Garde" w:hAnsi="ITC Avant Garde"/>
          <w:b/>
          <w:color w:val="auto"/>
          <w:u w:val="single"/>
        </w:rPr>
        <w:t>I</w:t>
      </w:r>
      <w:r w:rsidRPr="00EB4990">
        <w:rPr>
          <w:rFonts w:ascii="ITC Avant Garde" w:hAnsi="ITC Avant Garde"/>
          <w:b/>
          <w:color w:val="auto"/>
          <w:u w:val="single"/>
        </w:rPr>
        <w:t xml:space="preserve"> Dimensionamiento</w:t>
      </w:r>
    </w:p>
    <w:p w14:paraId="2CDEA398" w14:textId="77777777" w:rsidR="00677D20" w:rsidRPr="005B36F9" w:rsidRDefault="00677D20" w:rsidP="00677D20">
      <w:pPr>
        <w:spacing w:after="0" w:line="276" w:lineRule="auto"/>
        <w:ind w:left="0" w:right="0" w:firstLine="0"/>
        <w:rPr>
          <w:rFonts w:ascii="ITC Avant Garde" w:hAnsi="ITC Avant Garde"/>
          <w:b/>
          <w:color w:val="auto"/>
          <w:u w:val="single"/>
        </w:rPr>
      </w:pPr>
    </w:p>
    <w:p w14:paraId="361398F6" w14:textId="77777777" w:rsidR="00677D20" w:rsidRDefault="00677D20" w:rsidP="00677D20">
      <w:pPr>
        <w:spacing w:after="0" w:line="276" w:lineRule="auto"/>
        <w:ind w:left="0" w:right="0" w:firstLine="0"/>
        <w:rPr>
          <w:rFonts w:ascii="ITC Avant Garde" w:hAnsi="ITC Avant Garde"/>
          <w:b/>
          <w:color w:val="auto"/>
        </w:rPr>
      </w:pPr>
      <w:r>
        <w:rPr>
          <w:rFonts w:ascii="ITC Avant Garde" w:hAnsi="ITC Avant Garde"/>
          <w:b/>
          <w:color w:val="auto"/>
        </w:rPr>
        <w:t>CANIETI, Telefónica</w:t>
      </w:r>
      <w:r w:rsidRPr="00CC72B9">
        <w:rPr>
          <w:rFonts w:ascii="ITC Avant Garde" w:hAnsi="ITC Avant Garde"/>
          <w:b/>
          <w:color w:val="auto"/>
        </w:rPr>
        <w:t>:</w:t>
      </w:r>
    </w:p>
    <w:p w14:paraId="570AB335" w14:textId="496FB534" w:rsidR="00677D20" w:rsidRDefault="00677D20" w:rsidP="00677D20">
      <w:pPr>
        <w:spacing w:after="0" w:line="276" w:lineRule="auto"/>
        <w:ind w:right="0"/>
        <w:rPr>
          <w:rFonts w:ascii="ITC Avant Garde" w:hAnsi="ITC Avant Garde"/>
          <w:color w:val="auto"/>
        </w:rPr>
      </w:pPr>
      <w:r w:rsidRPr="00677D20">
        <w:rPr>
          <w:rFonts w:ascii="ITC Avant Garde" w:hAnsi="ITC Avant Garde"/>
          <w:color w:val="auto"/>
        </w:rPr>
        <w:t>Señalan que el tamaño del polígono definido es demasiado pequeño, por lo cual los concesionarios deberán realizar las proyecciones de tráfico con un nivel de granularidad excesivo y no justificado</w:t>
      </w:r>
      <w:r>
        <w:rPr>
          <w:rFonts w:ascii="ITC Avant Garde" w:hAnsi="ITC Avant Garde"/>
          <w:color w:val="auto"/>
        </w:rPr>
        <w:t>.</w:t>
      </w:r>
    </w:p>
    <w:p w14:paraId="5D877636" w14:textId="77777777" w:rsidR="00677D20" w:rsidRDefault="00677D20" w:rsidP="00677D20">
      <w:pPr>
        <w:spacing w:after="0" w:line="276" w:lineRule="auto"/>
        <w:ind w:right="0"/>
        <w:rPr>
          <w:rFonts w:ascii="ITC Avant Garde" w:hAnsi="ITC Avant Garde"/>
          <w:color w:val="auto"/>
        </w:rPr>
      </w:pPr>
    </w:p>
    <w:p w14:paraId="5089EB45" w14:textId="77777777" w:rsidR="00677D20" w:rsidRDefault="00677D20" w:rsidP="00677D20">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EAB2D59" w14:textId="4ADD9629" w:rsidR="00677D20" w:rsidRDefault="00677D20" w:rsidP="00891F39">
      <w:pPr>
        <w:spacing w:after="0" w:line="276" w:lineRule="auto"/>
        <w:ind w:left="-5" w:right="49"/>
        <w:rPr>
          <w:rFonts w:ascii="ITC Avant Garde" w:hAnsi="ITC Avant Garde"/>
          <w:color w:val="auto"/>
        </w:rPr>
      </w:pPr>
      <w:r w:rsidRPr="00677D20">
        <w:rPr>
          <w:rFonts w:ascii="ITC Avant Garde" w:hAnsi="ITC Avant Garde"/>
          <w:color w:val="auto"/>
        </w:rPr>
        <w:t>El tamaño del polígono sirve para desagregar el tráfico y permitir su ubicación por celda para el correcto dimensionamiento de la red en cumplimiento a la Medida Vigésimo Novena.</w:t>
      </w:r>
    </w:p>
    <w:p w14:paraId="28107F3A" w14:textId="69AF3435" w:rsidR="00DE327C" w:rsidRDefault="00DE327C" w:rsidP="00891F39">
      <w:pPr>
        <w:spacing w:after="0" w:line="276" w:lineRule="auto"/>
        <w:ind w:left="-5" w:right="49"/>
        <w:rPr>
          <w:rFonts w:ascii="ITC Avant Garde" w:hAnsi="ITC Avant Garde"/>
          <w:color w:val="auto"/>
        </w:rPr>
      </w:pPr>
    </w:p>
    <w:p w14:paraId="433B8709" w14:textId="3BDD7638" w:rsidR="00DE327C" w:rsidRDefault="00DE327C" w:rsidP="00DE327C">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7FA9900C" w14:textId="53F66360" w:rsidR="00DE327C" w:rsidRDefault="00DE327C" w:rsidP="00DE327C">
      <w:pPr>
        <w:spacing w:after="0" w:line="276" w:lineRule="auto"/>
        <w:ind w:right="0"/>
        <w:rPr>
          <w:rFonts w:ascii="ITC Avant Garde" w:hAnsi="ITC Avant Garde"/>
          <w:color w:val="auto"/>
        </w:rPr>
      </w:pPr>
      <w:r w:rsidRPr="00DE327C">
        <w:rPr>
          <w:rFonts w:ascii="ITC Avant Garde" w:hAnsi="ITC Avant Garde"/>
          <w:color w:val="auto"/>
        </w:rPr>
        <w:t>Solicita ampliar la capacidad del dimensionamiento del polígono ya que considera que 3 Erlangs no es suficiente.</w:t>
      </w:r>
    </w:p>
    <w:p w14:paraId="2E4F33A4" w14:textId="77777777" w:rsidR="00DE327C" w:rsidRDefault="00DE327C" w:rsidP="00DE327C">
      <w:pPr>
        <w:spacing w:after="0" w:line="276" w:lineRule="auto"/>
        <w:ind w:right="0"/>
        <w:rPr>
          <w:rFonts w:ascii="ITC Avant Garde" w:hAnsi="ITC Avant Garde"/>
          <w:color w:val="auto"/>
        </w:rPr>
      </w:pPr>
    </w:p>
    <w:p w14:paraId="2708221C" w14:textId="77777777" w:rsidR="00DE327C" w:rsidRDefault="00DE327C" w:rsidP="00DE327C">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0172D576" w14:textId="5F8CA770" w:rsidR="00DE327C" w:rsidRDefault="00DE327C" w:rsidP="00891F39">
      <w:pPr>
        <w:spacing w:after="0" w:line="276" w:lineRule="auto"/>
        <w:ind w:left="-5" w:right="49"/>
        <w:rPr>
          <w:rFonts w:ascii="ITC Avant Garde" w:hAnsi="ITC Avant Garde"/>
          <w:color w:val="auto"/>
        </w:rPr>
      </w:pPr>
      <w:r w:rsidRPr="00DE327C">
        <w:rPr>
          <w:rFonts w:ascii="ITC Avant Garde" w:hAnsi="ITC Avant Garde"/>
          <w:color w:val="auto"/>
        </w:rPr>
        <w:t xml:space="preserve">En caso de requerir mayor capacidad entonces </w:t>
      </w:r>
      <w:r>
        <w:rPr>
          <w:rFonts w:ascii="ITC Avant Garde" w:hAnsi="ITC Avant Garde"/>
          <w:color w:val="auto"/>
        </w:rPr>
        <w:t xml:space="preserve">solamente se deben adicionar </w:t>
      </w:r>
      <w:r w:rsidR="00EC28BE">
        <w:rPr>
          <w:rFonts w:ascii="ITC Avant Garde" w:hAnsi="ITC Avant Garde"/>
          <w:color w:val="auto"/>
        </w:rPr>
        <w:t>los</w:t>
      </w:r>
      <w:r w:rsidR="00EC28BE" w:rsidRPr="00DE327C">
        <w:rPr>
          <w:rFonts w:ascii="ITC Avant Garde" w:hAnsi="ITC Avant Garde"/>
          <w:color w:val="auto"/>
        </w:rPr>
        <w:t xml:space="preserve"> </w:t>
      </w:r>
      <w:r w:rsidRPr="00DE327C">
        <w:rPr>
          <w:rFonts w:ascii="ITC Avant Garde" w:hAnsi="ITC Avant Garde"/>
          <w:color w:val="auto"/>
        </w:rPr>
        <w:t>polígono</w:t>
      </w:r>
      <w:r>
        <w:rPr>
          <w:rFonts w:ascii="ITC Avant Garde" w:hAnsi="ITC Avant Garde"/>
          <w:color w:val="auto"/>
        </w:rPr>
        <w:t>s sean necesario</w:t>
      </w:r>
      <w:r w:rsidR="00EC28BE">
        <w:rPr>
          <w:rFonts w:ascii="ITC Avant Garde" w:hAnsi="ITC Avant Garde"/>
          <w:color w:val="auto"/>
        </w:rPr>
        <w:t>s</w:t>
      </w:r>
      <w:r>
        <w:rPr>
          <w:rFonts w:ascii="ITC Avant Garde" w:hAnsi="ITC Avant Garde"/>
          <w:color w:val="auto"/>
        </w:rPr>
        <w:t>.</w:t>
      </w:r>
    </w:p>
    <w:p w14:paraId="7D6CB1B5" w14:textId="39021061" w:rsidR="00EB4990" w:rsidRDefault="00EB4990" w:rsidP="00891F39">
      <w:pPr>
        <w:spacing w:after="0" w:line="276" w:lineRule="auto"/>
        <w:ind w:left="-5" w:right="49"/>
        <w:rPr>
          <w:rFonts w:ascii="ITC Avant Garde" w:hAnsi="ITC Avant Garde"/>
          <w:color w:val="auto"/>
        </w:rPr>
      </w:pPr>
    </w:p>
    <w:p w14:paraId="747F0B3C" w14:textId="0093F01A" w:rsidR="00EB4990" w:rsidRPr="00EB4990" w:rsidRDefault="00EB4990" w:rsidP="00EB4990">
      <w:pPr>
        <w:spacing w:after="0" w:line="276" w:lineRule="auto"/>
        <w:ind w:left="-5" w:right="49"/>
        <w:rPr>
          <w:rFonts w:ascii="ITC Avant Garde" w:hAnsi="ITC Avant Garde"/>
          <w:b/>
          <w:color w:val="auto"/>
          <w:u w:val="single"/>
        </w:rPr>
      </w:pPr>
      <w:r w:rsidRPr="00EB4990">
        <w:rPr>
          <w:rFonts w:ascii="ITC Avant Garde" w:hAnsi="ITC Avant Garde"/>
          <w:b/>
          <w:color w:val="auto"/>
          <w:u w:val="single"/>
        </w:rPr>
        <w:t>ANEXO IV Acuerdos de Sistemas para la Facturación</w:t>
      </w:r>
    </w:p>
    <w:p w14:paraId="48DEF4C2" w14:textId="77777777" w:rsidR="00EB4990" w:rsidRPr="005B36F9" w:rsidRDefault="00EB4990" w:rsidP="00EB4990">
      <w:pPr>
        <w:spacing w:after="0" w:line="276" w:lineRule="auto"/>
        <w:ind w:left="0" w:right="0" w:firstLine="0"/>
        <w:rPr>
          <w:rFonts w:ascii="ITC Avant Garde" w:hAnsi="ITC Avant Garde"/>
          <w:b/>
          <w:color w:val="auto"/>
          <w:u w:val="single"/>
        </w:rPr>
      </w:pPr>
    </w:p>
    <w:p w14:paraId="2C6088F9" w14:textId="3BDBF523" w:rsidR="00EB4990" w:rsidRDefault="00CE58E1" w:rsidP="00EB4990">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02AC2031" w14:textId="40B3CB35" w:rsidR="00EB4990" w:rsidRDefault="00CE58E1" w:rsidP="00CE58E1">
      <w:pPr>
        <w:spacing w:after="0" w:line="276" w:lineRule="auto"/>
        <w:ind w:right="0"/>
        <w:rPr>
          <w:rFonts w:ascii="ITC Avant Garde" w:hAnsi="ITC Avant Garde"/>
          <w:color w:val="auto"/>
        </w:rPr>
      </w:pPr>
      <w:r w:rsidRPr="00CE58E1">
        <w:rPr>
          <w:rFonts w:ascii="ITC Avant Garde" w:hAnsi="ITC Avant Garde"/>
          <w:color w:val="auto"/>
        </w:rPr>
        <w:t>S</w:t>
      </w:r>
      <w:r>
        <w:rPr>
          <w:rFonts w:ascii="ITC Avant Garde" w:hAnsi="ITC Avant Garde"/>
          <w:color w:val="auto"/>
        </w:rPr>
        <w:t>eñala que se deben incluir los</w:t>
      </w:r>
      <w:r w:rsidRPr="00CE58E1">
        <w:rPr>
          <w:rFonts w:ascii="ITC Avant Garde" w:hAnsi="ITC Avant Garde"/>
          <w:color w:val="auto"/>
        </w:rPr>
        <w:t xml:space="preserve"> </w:t>
      </w:r>
      <w:r>
        <w:rPr>
          <w:rFonts w:ascii="ITC Avant Garde" w:hAnsi="ITC Avant Garde"/>
          <w:color w:val="auto"/>
        </w:rPr>
        <w:t>“</w:t>
      </w:r>
      <w:r w:rsidRPr="00CE58E1">
        <w:rPr>
          <w:rFonts w:ascii="ITC Avant Garde" w:hAnsi="ITC Avant Garde"/>
          <w:color w:val="auto"/>
        </w:rPr>
        <w:t>Layouts</w:t>
      </w:r>
      <w:r>
        <w:rPr>
          <w:rFonts w:ascii="ITC Avant Garde" w:hAnsi="ITC Avant Garde"/>
          <w:color w:val="auto"/>
        </w:rPr>
        <w:t>”</w:t>
      </w:r>
      <w:r w:rsidRPr="00CE58E1">
        <w:rPr>
          <w:rFonts w:ascii="ITC Avant Garde" w:hAnsi="ITC Avant Garde"/>
          <w:color w:val="auto"/>
        </w:rPr>
        <w:t xml:space="preserve"> de facturación y</w:t>
      </w:r>
      <w:r>
        <w:rPr>
          <w:rFonts w:ascii="ITC Avant Garde" w:hAnsi="ITC Avant Garde"/>
          <w:color w:val="auto"/>
        </w:rPr>
        <w:t xml:space="preserve"> de detalle de objeción,</w:t>
      </w:r>
      <w:r w:rsidRPr="00CE58E1">
        <w:rPr>
          <w:rFonts w:ascii="ITC Avant Garde" w:hAnsi="ITC Avant Garde"/>
          <w:color w:val="auto"/>
        </w:rPr>
        <w:t xml:space="preserve"> puesto que de no existir esto</w:t>
      </w:r>
      <w:r>
        <w:rPr>
          <w:rFonts w:ascii="ITC Avant Garde" w:hAnsi="ITC Avant Garde"/>
          <w:color w:val="auto"/>
        </w:rPr>
        <w:t>s</w:t>
      </w:r>
      <w:r w:rsidRPr="00CE58E1">
        <w:rPr>
          <w:rFonts w:ascii="ITC Avant Garde" w:hAnsi="ITC Avant Garde"/>
          <w:color w:val="auto"/>
        </w:rPr>
        <w:t xml:space="preserve"> se puede prestar a confusiones.</w:t>
      </w:r>
    </w:p>
    <w:p w14:paraId="1D87BD5F" w14:textId="77777777" w:rsidR="00CE58E1" w:rsidRPr="00CE58E1" w:rsidRDefault="00CE58E1" w:rsidP="00CE58E1">
      <w:pPr>
        <w:spacing w:after="0" w:line="276" w:lineRule="auto"/>
        <w:ind w:right="0"/>
        <w:rPr>
          <w:rFonts w:ascii="ITC Avant Garde" w:hAnsi="ITC Avant Garde"/>
          <w:color w:val="auto"/>
        </w:rPr>
      </w:pPr>
    </w:p>
    <w:p w14:paraId="205BA150" w14:textId="77777777" w:rsidR="00EB4990" w:rsidRDefault="00EB4990" w:rsidP="00EB4990">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F3B200C" w14:textId="284FB591" w:rsidR="00EB4990" w:rsidRDefault="00CE58E1" w:rsidP="00891F39">
      <w:pPr>
        <w:spacing w:after="0" w:line="276" w:lineRule="auto"/>
        <w:ind w:left="-5" w:right="49"/>
        <w:rPr>
          <w:rFonts w:ascii="ITC Avant Garde" w:hAnsi="ITC Avant Garde"/>
          <w:color w:val="auto"/>
        </w:rPr>
      </w:pPr>
      <w:r w:rsidRPr="00CE58E1">
        <w:rPr>
          <w:rFonts w:ascii="ITC Avant Garde" w:hAnsi="ITC Avant Garde"/>
          <w:color w:val="auto"/>
        </w:rPr>
        <w:t>Los layouts y el detalle para la objeción ya se encuentran incluidos en la oferta.</w:t>
      </w:r>
    </w:p>
    <w:p w14:paraId="23EED7A0" w14:textId="73954290" w:rsidR="003E1D25" w:rsidRDefault="003E1D25" w:rsidP="00891F39">
      <w:pPr>
        <w:spacing w:after="0" w:line="276" w:lineRule="auto"/>
        <w:ind w:left="-5" w:right="49"/>
        <w:rPr>
          <w:rFonts w:ascii="ITC Avant Garde" w:hAnsi="ITC Avant Garde"/>
          <w:color w:val="auto"/>
        </w:rPr>
      </w:pPr>
    </w:p>
    <w:p w14:paraId="0600FD1D" w14:textId="2C2968BD" w:rsidR="003E1D25" w:rsidRDefault="003E1D25" w:rsidP="003E1D25">
      <w:pPr>
        <w:spacing w:after="0" w:line="276" w:lineRule="auto"/>
        <w:ind w:left="-5" w:right="49"/>
        <w:rPr>
          <w:rFonts w:ascii="ITC Avant Garde" w:hAnsi="ITC Avant Garde"/>
          <w:b/>
          <w:color w:val="auto"/>
          <w:u w:val="single"/>
        </w:rPr>
      </w:pPr>
      <w:r>
        <w:rPr>
          <w:rFonts w:ascii="ITC Avant Garde" w:hAnsi="ITC Avant Garde"/>
          <w:b/>
          <w:color w:val="auto"/>
          <w:u w:val="single"/>
        </w:rPr>
        <w:t>ANEXO VI Calidad del Servicio</w:t>
      </w:r>
    </w:p>
    <w:p w14:paraId="4BA3E091" w14:textId="0CC0CE4D" w:rsidR="003E1D25" w:rsidRDefault="003E1D25" w:rsidP="003E1D25">
      <w:pPr>
        <w:spacing w:after="0" w:line="276" w:lineRule="auto"/>
        <w:ind w:left="-5" w:right="49"/>
        <w:rPr>
          <w:rFonts w:ascii="ITC Avant Garde" w:hAnsi="ITC Avant Garde"/>
          <w:b/>
          <w:color w:val="auto"/>
          <w:u w:val="single"/>
        </w:rPr>
      </w:pPr>
    </w:p>
    <w:p w14:paraId="5BB71685" w14:textId="2DF5B1A6" w:rsidR="003E1D25" w:rsidRPr="001C4228" w:rsidRDefault="003E1D25" w:rsidP="003E1D25">
      <w:pPr>
        <w:spacing w:after="0" w:line="276" w:lineRule="auto"/>
        <w:ind w:left="-5" w:right="49"/>
        <w:rPr>
          <w:rFonts w:ascii="ITC Avant Garde" w:hAnsi="ITC Avant Garde"/>
          <w:b/>
          <w:color w:val="auto"/>
          <w:u w:val="single"/>
        </w:rPr>
      </w:pPr>
      <w:r w:rsidRPr="001C4228">
        <w:rPr>
          <w:rFonts w:ascii="ITC Avant Garde" w:hAnsi="ITC Avant Garde"/>
          <w:b/>
          <w:color w:val="auto"/>
          <w:u w:val="single"/>
        </w:rPr>
        <w:t>3. Proyecciones de Demanda y sus implicaciones en la Calidad del Servicio</w:t>
      </w:r>
    </w:p>
    <w:p w14:paraId="6EFAEE57" w14:textId="345BBD9F" w:rsidR="003E1D25" w:rsidRDefault="003E1D25" w:rsidP="003E1D25">
      <w:pPr>
        <w:spacing w:after="0" w:line="276" w:lineRule="auto"/>
        <w:ind w:left="0" w:right="0" w:firstLine="0"/>
        <w:rPr>
          <w:rFonts w:ascii="ITC Avant Garde" w:hAnsi="ITC Avant Garde"/>
          <w:b/>
          <w:color w:val="auto"/>
          <w:u w:val="single"/>
        </w:rPr>
      </w:pPr>
    </w:p>
    <w:p w14:paraId="3DCA760D" w14:textId="77777777" w:rsidR="003E1D25" w:rsidRDefault="003E1D25" w:rsidP="003E1D25">
      <w:pPr>
        <w:spacing w:after="0" w:line="276" w:lineRule="auto"/>
        <w:ind w:left="0" w:right="0" w:firstLine="0"/>
        <w:rPr>
          <w:rFonts w:ascii="ITC Avant Garde" w:hAnsi="ITC Avant Garde"/>
          <w:b/>
          <w:color w:val="auto"/>
        </w:rPr>
      </w:pPr>
      <w:r>
        <w:rPr>
          <w:rFonts w:ascii="ITC Avant Garde" w:hAnsi="ITC Avant Garde"/>
          <w:b/>
          <w:color w:val="auto"/>
        </w:rPr>
        <w:t>CANIETI, Telefónica</w:t>
      </w:r>
      <w:r w:rsidRPr="00CC72B9">
        <w:rPr>
          <w:rFonts w:ascii="ITC Avant Garde" w:hAnsi="ITC Avant Garde"/>
          <w:b/>
          <w:color w:val="auto"/>
        </w:rPr>
        <w:t>:</w:t>
      </w:r>
    </w:p>
    <w:p w14:paraId="285AEDEF" w14:textId="11547C35" w:rsidR="003E1D25" w:rsidRDefault="003E1D25" w:rsidP="003E1D25">
      <w:pPr>
        <w:spacing w:after="0" w:line="276" w:lineRule="auto"/>
        <w:ind w:right="0"/>
        <w:rPr>
          <w:rFonts w:ascii="ITC Avant Garde" w:hAnsi="ITC Avant Garde"/>
          <w:color w:val="auto"/>
        </w:rPr>
      </w:pPr>
      <w:r w:rsidRPr="003E1D25">
        <w:rPr>
          <w:rFonts w:ascii="ITC Avant Garde" w:hAnsi="ITC Avant Garde"/>
          <w:color w:val="auto"/>
        </w:rPr>
        <w:t>Señalan que cualquier congestión en la red debe ser tratada de manera igualitaria, con procedimientos que no distingan entre el tráfico de los clientes de Usuario Visitante de los propios del AEP a pesar de que los pronósticos de demanda no se hayan cumplido. También señalan que cualquier situación de sobrecarga en la red debería suponer una penalización inversa hacia el AEP por no haber monitoreado la carga de la red y ampliar los recursos de la misma</w:t>
      </w:r>
      <w:r>
        <w:rPr>
          <w:rFonts w:ascii="ITC Avant Garde" w:hAnsi="ITC Avant Garde"/>
          <w:color w:val="auto"/>
        </w:rPr>
        <w:t>.</w:t>
      </w:r>
    </w:p>
    <w:p w14:paraId="5BE633C3" w14:textId="77777777" w:rsidR="003E1D25" w:rsidRDefault="003E1D25" w:rsidP="003E1D25">
      <w:pPr>
        <w:spacing w:after="0" w:line="276" w:lineRule="auto"/>
        <w:ind w:right="0"/>
        <w:rPr>
          <w:rFonts w:ascii="ITC Avant Garde" w:hAnsi="ITC Avant Garde"/>
          <w:color w:val="auto"/>
        </w:rPr>
      </w:pPr>
    </w:p>
    <w:p w14:paraId="4366C0F7" w14:textId="77777777" w:rsidR="003E1D25" w:rsidRDefault="003E1D25" w:rsidP="003E1D25">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0278A18" w14:textId="685E1268" w:rsidR="003E1D25" w:rsidRDefault="003E1D25" w:rsidP="00891F39">
      <w:pPr>
        <w:spacing w:after="0" w:line="276" w:lineRule="auto"/>
        <w:ind w:left="-5" w:right="49"/>
        <w:rPr>
          <w:rFonts w:ascii="ITC Avant Garde" w:hAnsi="ITC Avant Garde"/>
          <w:color w:val="auto"/>
        </w:rPr>
      </w:pPr>
      <w:r w:rsidRPr="003E1D25">
        <w:rPr>
          <w:rFonts w:ascii="ITC Avant Garde" w:hAnsi="ITC Avant Garde"/>
          <w:color w:val="auto"/>
        </w:rPr>
        <w:t>La Oferta establece que las medidas que tome Telcel para la gestión del tráfico y administración de la red no podrán constituir una degradación de la calidad de los servicios prestados a los usuarios finales del concesionario en relación a los prestados a los usuarios de Telcel. Asimismo, la Oferta ya contempla las penas convencionales en el Anexo C para los casos en que la afectación se deba a causas atribuibles a Telcel. Asimismo, los pronósticos de demanda de servicio son fundamentales para el correcto dimensionamiento de la red</w:t>
      </w:r>
      <w:r>
        <w:rPr>
          <w:rFonts w:ascii="ITC Avant Garde" w:hAnsi="ITC Avant Garde"/>
          <w:color w:val="auto"/>
        </w:rPr>
        <w:t>.</w:t>
      </w:r>
    </w:p>
    <w:p w14:paraId="7BF4FD23" w14:textId="53EF37E3" w:rsidR="00651716" w:rsidRDefault="00651716" w:rsidP="00891F39">
      <w:pPr>
        <w:spacing w:after="0" w:line="276" w:lineRule="auto"/>
        <w:ind w:left="-5" w:right="49"/>
        <w:rPr>
          <w:rFonts w:ascii="ITC Avant Garde" w:hAnsi="ITC Avant Garde"/>
          <w:color w:val="auto"/>
        </w:rPr>
      </w:pPr>
    </w:p>
    <w:p w14:paraId="17B8948C" w14:textId="6CE92A86" w:rsidR="00651716" w:rsidRDefault="00651716" w:rsidP="00651716">
      <w:pPr>
        <w:spacing w:after="0" w:line="276" w:lineRule="auto"/>
        <w:ind w:left="0" w:right="0" w:firstLine="0"/>
        <w:rPr>
          <w:rFonts w:ascii="ITC Avant Garde" w:hAnsi="ITC Avant Garde"/>
          <w:b/>
          <w:color w:val="auto"/>
        </w:rPr>
      </w:pPr>
      <w:r>
        <w:rPr>
          <w:rFonts w:ascii="ITC Avant Garde" w:hAnsi="ITC Avant Garde"/>
          <w:b/>
          <w:color w:val="auto"/>
        </w:rPr>
        <w:t>Grupo Televisa</w:t>
      </w:r>
      <w:r w:rsidR="00202EFC">
        <w:rPr>
          <w:rFonts w:ascii="ITC Avant Garde" w:hAnsi="ITC Avant Garde"/>
          <w:b/>
          <w:color w:val="auto"/>
        </w:rPr>
        <w:t>:</w:t>
      </w:r>
    </w:p>
    <w:p w14:paraId="4BD22B71" w14:textId="1ECA84F2" w:rsidR="00651716" w:rsidRDefault="00651716" w:rsidP="00651716">
      <w:pPr>
        <w:spacing w:after="0" w:line="276" w:lineRule="auto"/>
        <w:ind w:right="0"/>
        <w:rPr>
          <w:rFonts w:ascii="ITC Avant Garde" w:hAnsi="ITC Avant Garde"/>
          <w:color w:val="auto"/>
        </w:rPr>
      </w:pPr>
      <w:r w:rsidRPr="00651716">
        <w:rPr>
          <w:rFonts w:ascii="ITC Avant Garde" w:hAnsi="ITC Avant Garde"/>
          <w:color w:val="auto"/>
        </w:rPr>
        <w:t>Señala que la suspensión parcial o total de los servicios de la oferta en caso de que el tráfico exceda las proyecciones de demanda va en contra de los principios de no discriminación y trato equitativo establecidos en la Ley Federal de Telecomunicaciones</w:t>
      </w:r>
      <w:r w:rsidR="00EC28BE">
        <w:rPr>
          <w:rFonts w:ascii="ITC Avant Garde" w:hAnsi="ITC Avant Garde"/>
          <w:color w:val="auto"/>
        </w:rPr>
        <w:t xml:space="preserve"> y Radiodifusión</w:t>
      </w:r>
      <w:r w:rsidRPr="00651716">
        <w:rPr>
          <w:rFonts w:ascii="ITC Avant Garde" w:hAnsi="ITC Avant Garde"/>
          <w:color w:val="auto"/>
        </w:rPr>
        <w:t xml:space="preserve"> (LFTR). Solicita que se elimine la suspensión parcial o total de los servicios de la oferta y se incluya un procedimiento conjunto de gestión de usuarios y tráfico.</w:t>
      </w:r>
    </w:p>
    <w:p w14:paraId="0A393FA1" w14:textId="488B3B08" w:rsidR="00202EFC" w:rsidRDefault="00202EFC" w:rsidP="00651716">
      <w:pPr>
        <w:spacing w:after="0" w:line="276" w:lineRule="auto"/>
        <w:ind w:left="-5" w:right="49"/>
        <w:rPr>
          <w:rFonts w:ascii="ITC Avant Garde" w:hAnsi="ITC Avant Garde"/>
          <w:color w:val="auto"/>
        </w:rPr>
      </w:pPr>
    </w:p>
    <w:p w14:paraId="211C752F" w14:textId="66530DB0" w:rsidR="00202EFC" w:rsidRDefault="00202EFC" w:rsidP="00202EFC">
      <w:pPr>
        <w:spacing w:after="0" w:line="276" w:lineRule="auto"/>
        <w:ind w:left="0" w:right="0" w:firstLine="0"/>
        <w:rPr>
          <w:rFonts w:ascii="ITC Avant Garde" w:hAnsi="ITC Avant Garde"/>
          <w:b/>
          <w:color w:val="auto"/>
        </w:rPr>
      </w:pPr>
      <w:r>
        <w:rPr>
          <w:rFonts w:ascii="ITC Avant Garde" w:hAnsi="ITC Avant Garde"/>
          <w:b/>
          <w:color w:val="auto"/>
        </w:rPr>
        <w:t>Altán:</w:t>
      </w:r>
    </w:p>
    <w:p w14:paraId="2F515255" w14:textId="27967F19" w:rsidR="00202EFC" w:rsidRDefault="00202EFC" w:rsidP="00202EFC">
      <w:pPr>
        <w:spacing w:after="0" w:line="276" w:lineRule="auto"/>
        <w:ind w:right="0"/>
        <w:rPr>
          <w:rFonts w:ascii="ITC Avant Garde" w:hAnsi="ITC Avant Garde"/>
          <w:color w:val="auto"/>
        </w:rPr>
      </w:pPr>
      <w:r w:rsidRPr="00202EFC">
        <w:rPr>
          <w:rFonts w:ascii="ITC Avant Garde" w:hAnsi="ITC Avant Garde"/>
          <w:color w:val="auto"/>
        </w:rPr>
        <w:lastRenderedPageBreak/>
        <w:t>Considera que se debe de mantener holgura en el grado de precisión requerido en las estimaciones o proyecciones de consumo, dado que la demanda es inherentemente e incierta puesto que depende del éxito comercial del operador, en</w:t>
      </w:r>
      <w:r>
        <w:rPr>
          <w:rFonts w:ascii="ITC Avant Garde" w:hAnsi="ITC Avant Garde"/>
          <w:color w:val="auto"/>
        </w:rPr>
        <w:t xml:space="preserve"> este mismo sentido señala que </w:t>
      </w:r>
      <w:r w:rsidRPr="00202EFC">
        <w:rPr>
          <w:rFonts w:ascii="ITC Avant Garde" w:hAnsi="ITC Avant Garde"/>
          <w:color w:val="auto"/>
        </w:rPr>
        <w:t>por ninguna circunstancia se debe castigar a los operadores competidores del AEP, por lo tanto, se debe eliminar cualquier penalización por supuestos daños y perjuicios derivados de un mayor consumo de los servicios de la Oferta.</w:t>
      </w:r>
    </w:p>
    <w:p w14:paraId="135E75C7" w14:textId="77777777" w:rsidR="00202EFC" w:rsidRDefault="00202EFC" w:rsidP="00202EFC">
      <w:pPr>
        <w:spacing w:after="0" w:line="276" w:lineRule="auto"/>
        <w:ind w:right="0"/>
        <w:rPr>
          <w:rFonts w:ascii="ITC Avant Garde" w:hAnsi="ITC Avant Garde"/>
          <w:color w:val="auto"/>
        </w:rPr>
      </w:pPr>
    </w:p>
    <w:p w14:paraId="5DD04B83" w14:textId="77777777" w:rsidR="00202EFC" w:rsidRDefault="00202EFC" w:rsidP="00202EFC">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20648124" w14:textId="5724C4C0" w:rsidR="00202EFC" w:rsidRDefault="00202EFC" w:rsidP="00202EFC">
      <w:pPr>
        <w:spacing w:after="0" w:line="276" w:lineRule="auto"/>
        <w:ind w:left="-5" w:right="49"/>
        <w:rPr>
          <w:rFonts w:ascii="ITC Avant Garde" w:hAnsi="ITC Avant Garde"/>
          <w:color w:val="auto"/>
        </w:rPr>
      </w:pPr>
      <w:r w:rsidRPr="00202EFC">
        <w:rPr>
          <w:rFonts w:ascii="ITC Avant Garde" w:hAnsi="ITC Avant Garde"/>
          <w:color w:val="auto"/>
        </w:rPr>
        <w:t>La Oferta ofrece holgura respecto a las proyecciones de tráfico pues en la cláusula 5.1.2 se establece que las estimaciones podrán ser igual o mayor al 15% del tráfico total de Telcel por radiobase</w:t>
      </w:r>
      <w:r>
        <w:rPr>
          <w:rFonts w:ascii="ITC Avant Garde" w:hAnsi="ITC Avant Garde"/>
          <w:color w:val="auto"/>
        </w:rPr>
        <w:t>.</w:t>
      </w:r>
    </w:p>
    <w:p w14:paraId="724ACEA5" w14:textId="5F4EFD43" w:rsidR="0020547F" w:rsidRDefault="0020547F" w:rsidP="00202EFC">
      <w:pPr>
        <w:spacing w:after="0" w:line="276" w:lineRule="auto"/>
        <w:ind w:left="-5" w:right="49"/>
        <w:rPr>
          <w:rFonts w:ascii="ITC Avant Garde" w:hAnsi="ITC Avant Garde"/>
          <w:color w:val="auto"/>
        </w:rPr>
      </w:pPr>
    </w:p>
    <w:p w14:paraId="7456D21F" w14:textId="5F13822E" w:rsidR="0020547F" w:rsidRDefault="0020547F" w:rsidP="0020547F">
      <w:pPr>
        <w:spacing w:after="0" w:line="276" w:lineRule="auto"/>
        <w:ind w:left="-5" w:right="49"/>
        <w:rPr>
          <w:rFonts w:ascii="ITC Avant Garde" w:hAnsi="ITC Avant Garde"/>
          <w:b/>
          <w:color w:val="auto"/>
          <w:u w:val="single"/>
        </w:rPr>
      </w:pPr>
      <w:r w:rsidRPr="0020547F">
        <w:rPr>
          <w:rFonts w:ascii="ITC Avant Garde" w:hAnsi="ITC Avant Garde"/>
          <w:b/>
          <w:color w:val="auto"/>
          <w:u w:val="single"/>
        </w:rPr>
        <w:t>4. Calidad de los elementos solicitados por el Concesionario a Telcel para el acceso a los Servicios de la Oferta.</w:t>
      </w:r>
    </w:p>
    <w:p w14:paraId="0A760A9C" w14:textId="47B7BF5F" w:rsidR="0020547F" w:rsidRDefault="0020547F" w:rsidP="0020547F">
      <w:pPr>
        <w:spacing w:after="0" w:line="276" w:lineRule="auto"/>
        <w:ind w:left="-5" w:right="49"/>
        <w:rPr>
          <w:rFonts w:ascii="ITC Avant Garde" w:hAnsi="ITC Avant Garde"/>
          <w:b/>
          <w:color w:val="auto"/>
          <w:u w:val="single"/>
        </w:rPr>
      </w:pPr>
    </w:p>
    <w:p w14:paraId="717D41CC" w14:textId="6B25CA5B" w:rsidR="0020547F" w:rsidRDefault="0020547F" w:rsidP="0020547F">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058EDA92" w14:textId="6F74789E" w:rsidR="0020547F" w:rsidRDefault="0020547F" w:rsidP="0020547F">
      <w:pPr>
        <w:spacing w:after="0" w:line="276" w:lineRule="auto"/>
        <w:ind w:right="0"/>
        <w:rPr>
          <w:rFonts w:ascii="ITC Avant Garde" w:hAnsi="ITC Avant Garde"/>
          <w:color w:val="auto"/>
        </w:rPr>
      </w:pPr>
      <w:r w:rsidRPr="0020547F">
        <w:rPr>
          <w:rFonts w:ascii="ITC Avant Garde" w:hAnsi="ITC Avant Garde"/>
          <w:color w:val="auto"/>
        </w:rPr>
        <w:t>Solicita un procedimiento de medición para monitorear y analizar los niveles de calidad de los usuarios finales del concesionario, también solicita comparar estos resultados con los factores de desempeño ofrecidos a los propios clientes del AEP. Comenta que estos parámetros deben estar contenidos en un anexo sobre el acuerdo de nivel de servicio y los cuales deben estar atados a penalidades predefinidas en caso de incumplimiento.</w:t>
      </w:r>
    </w:p>
    <w:p w14:paraId="624442D4" w14:textId="77777777" w:rsidR="0020547F" w:rsidRDefault="0020547F" w:rsidP="0020547F">
      <w:pPr>
        <w:spacing w:after="0" w:line="276" w:lineRule="auto"/>
        <w:ind w:right="0"/>
        <w:rPr>
          <w:rFonts w:ascii="ITC Avant Garde" w:hAnsi="ITC Avant Garde"/>
          <w:color w:val="auto"/>
        </w:rPr>
      </w:pPr>
    </w:p>
    <w:p w14:paraId="5463CC82" w14:textId="77777777" w:rsidR="0020547F" w:rsidRDefault="0020547F" w:rsidP="0020547F">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F35747A" w14:textId="7FADF71E" w:rsidR="0020547F" w:rsidRDefault="0020547F" w:rsidP="0020547F">
      <w:pPr>
        <w:spacing w:after="0" w:line="276" w:lineRule="auto"/>
        <w:ind w:right="0"/>
        <w:rPr>
          <w:rFonts w:ascii="ITC Avant Garde" w:hAnsi="ITC Avant Garde"/>
          <w:color w:val="auto"/>
        </w:rPr>
      </w:pPr>
      <w:r w:rsidRPr="0020547F">
        <w:rPr>
          <w:rFonts w:ascii="ITC Avant Garde" w:hAnsi="ITC Avant Garde"/>
          <w:color w:val="auto"/>
        </w:rPr>
        <w:t>Los indicadores de desempeño que debe reportar el AEP y todos los concesionario</w:t>
      </w:r>
      <w:r w:rsidR="005F0618">
        <w:rPr>
          <w:rFonts w:ascii="ITC Avant Garde" w:hAnsi="ITC Avant Garde"/>
          <w:color w:val="auto"/>
        </w:rPr>
        <w:t>s se encuentran contenidos en los Lineamientos de Calidad</w:t>
      </w:r>
      <w:r w:rsidR="00830B1D">
        <w:rPr>
          <w:rStyle w:val="Refdenotaalpie"/>
          <w:rFonts w:ascii="ITC Avant Garde" w:hAnsi="ITC Avant Garde"/>
          <w:color w:val="auto"/>
        </w:rPr>
        <w:footnoteReference w:id="1"/>
      </w:r>
      <w:r w:rsidRPr="0020547F">
        <w:rPr>
          <w:rFonts w:ascii="ITC Avant Garde" w:hAnsi="ITC Avant Garde"/>
          <w:color w:val="auto"/>
        </w:rPr>
        <w:t>, en el cual se especifican la proporción de llamadas caídas, tasa de transmisión promedio de carga y descarga, la latencia. Asimismo, la obligación de entregar los contadores de desempeño son para todos los concesionarios que cuentan con sistemas de gestión y que generen los mismos</w:t>
      </w:r>
      <w:r>
        <w:rPr>
          <w:rFonts w:ascii="ITC Avant Garde" w:hAnsi="ITC Avant Garde"/>
          <w:color w:val="auto"/>
        </w:rPr>
        <w:t>.</w:t>
      </w:r>
    </w:p>
    <w:p w14:paraId="0697D5C1" w14:textId="0389D2BF" w:rsidR="00E738E5" w:rsidRDefault="00E738E5" w:rsidP="0020547F">
      <w:pPr>
        <w:spacing w:after="0" w:line="276" w:lineRule="auto"/>
        <w:ind w:right="0"/>
        <w:rPr>
          <w:rFonts w:ascii="ITC Avant Garde" w:hAnsi="ITC Avant Garde"/>
          <w:color w:val="auto"/>
        </w:rPr>
      </w:pPr>
    </w:p>
    <w:p w14:paraId="285937B5" w14:textId="77777777" w:rsidR="00E738E5" w:rsidRDefault="00E738E5" w:rsidP="00E738E5">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7B6606FA" w14:textId="74FD625D" w:rsidR="00E738E5" w:rsidRDefault="00E738E5" w:rsidP="00E738E5">
      <w:pPr>
        <w:spacing w:after="0" w:line="276" w:lineRule="auto"/>
        <w:ind w:right="0"/>
        <w:rPr>
          <w:rFonts w:ascii="ITC Avant Garde" w:hAnsi="ITC Avant Garde"/>
          <w:color w:val="auto"/>
        </w:rPr>
      </w:pPr>
      <w:r>
        <w:rPr>
          <w:rFonts w:ascii="ITC Avant Garde" w:hAnsi="ITC Avant Garde"/>
          <w:color w:val="auto"/>
        </w:rPr>
        <w:t>Señala que se debe</w:t>
      </w:r>
      <w:r w:rsidRPr="00E738E5">
        <w:rPr>
          <w:rFonts w:ascii="ITC Avant Garde" w:hAnsi="ITC Avant Garde"/>
          <w:color w:val="auto"/>
        </w:rPr>
        <w:t xml:space="preserve"> incluir en la Oferta los niveles necesarios para garantizar la calidad de los servicios, asimismo se debe de solicitar al Instituto que verifique y audite de manera activa y proactiva los compromisos impuestos al AEP, así como el </w:t>
      </w:r>
      <w:r w:rsidRPr="00E738E5">
        <w:rPr>
          <w:rFonts w:ascii="ITC Avant Garde" w:hAnsi="ITC Avant Garde"/>
          <w:color w:val="auto"/>
        </w:rPr>
        <w:lastRenderedPageBreak/>
        <w:t>cumplimiento equitativo de los acuerdos de nivel de servicio tanto para los Concesionarios como internamente</w:t>
      </w:r>
      <w:r>
        <w:rPr>
          <w:rFonts w:ascii="ITC Avant Garde" w:hAnsi="ITC Avant Garde"/>
          <w:color w:val="auto"/>
        </w:rPr>
        <w:t>.</w:t>
      </w:r>
    </w:p>
    <w:p w14:paraId="77F6A10E" w14:textId="77777777" w:rsidR="00E738E5" w:rsidRPr="00E738E5" w:rsidRDefault="00E738E5" w:rsidP="00E738E5">
      <w:pPr>
        <w:spacing w:after="0" w:line="276" w:lineRule="auto"/>
        <w:ind w:right="0"/>
        <w:rPr>
          <w:rFonts w:ascii="ITC Avant Garde" w:hAnsi="ITC Avant Garde"/>
          <w:color w:val="auto"/>
        </w:rPr>
      </w:pPr>
    </w:p>
    <w:p w14:paraId="14268CC0" w14:textId="77777777" w:rsidR="00E738E5" w:rsidRDefault="00E738E5" w:rsidP="00E738E5">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966AD6C" w14:textId="28198786" w:rsidR="00E738E5" w:rsidRDefault="00E738E5" w:rsidP="0020547F">
      <w:pPr>
        <w:spacing w:after="0" w:line="276" w:lineRule="auto"/>
        <w:ind w:right="0"/>
        <w:rPr>
          <w:rFonts w:ascii="ITC Avant Garde" w:hAnsi="ITC Avant Garde"/>
          <w:color w:val="auto"/>
        </w:rPr>
      </w:pPr>
      <w:r w:rsidRPr="00E738E5">
        <w:rPr>
          <w:rFonts w:ascii="ITC Avant Garde" w:hAnsi="ITC Avant Garde"/>
          <w:color w:val="auto"/>
        </w:rPr>
        <w:t xml:space="preserve">El AEP no se provee asimismo el servicio de UV. Asimismo, los indicadores de desempeño que debe reportar el AEP y todos los concesionarios se encuentran contenidos en </w:t>
      </w:r>
      <w:r w:rsidR="00D27C25">
        <w:rPr>
          <w:rFonts w:ascii="ITC Avant Garde" w:hAnsi="ITC Avant Garde"/>
          <w:color w:val="auto"/>
        </w:rPr>
        <w:t>los Lineamientos</w:t>
      </w:r>
      <w:r w:rsidRPr="00E738E5">
        <w:rPr>
          <w:rFonts w:ascii="ITC Avant Garde" w:hAnsi="ITC Avant Garde"/>
          <w:color w:val="auto"/>
        </w:rPr>
        <w:t xml:space="preserve"> de Calidad, en el cual se especifican la proporción de llamadas caídas, tasa de transmisión promedio de carga y descarga, la latencia. Asimismo, la obligación de entregar los contadores de desempeño son para todos los concesionarios que cuentan con sistemas de gestión y que generen los mismos</w:t>
      </w:r>
      <w:r w:rsidR="00413693">
        <w:rPr>
          <w:rFonts w:ascii="ITC Avant Garde" w:hAnsi="ITC Avant Garde"/>
          <w:color w:val="auto"/>
        </w:rPr>
        <w:t>.</w:t>
      </w:r>
    </w:p>
    <w:p w14:paraId="2AC5EDA5" w14:textId="77777777" w:rsidR="0096403F" w:rsidRDefault="0096403F" w:rsidP="0020547F">
      <w:pPr>
        <w:spacing w:after="0" w:line="276" w:lineRule="auto"/>
        <w:ind w:right="0"/>
        <w:rPr>
          <w:rFonts w:ascii="ITC Avant Garde" w:hAnsi="ITC Avant Garde"/>
          <w:color w:val="auto"/>
        </w:rPr>
      </w:pPr>
    </w:p>
    <w:p w14:paraId="05B8B766" w14:textId="678BF7CA" w:rsidR="00413693" w:rsidRDefault="00047749" w:rsidP="0020547F">
      <w:pPr>
        <w:spacing w:after="0" w:line="276" w:lineRule="auto"/>
        <w:ind w:right="0"/>
        <w:rPr>
          <w:rFonts w:ascii="ITC Avant Garde" w:hAnsi="ITC Avant Garde"/>
          <w:b/>
          <w:color w:val="auto"/>
          <w:u w:val="single"/>
        </w:rPr>
      </w:pPr>
      <w:r w:rsidRPr="00047749">
        <w:rPr>
          <w:rFonts w:ascii="ITC Avant Garde" w:hAnsi="ITC Avant Garde"/>
          <w:b/>
          <w:color w:val="auto"/>
          <w:u w:val="single"/>
        </w:rPr>
        <w:t>Anexo VII. Procedimientos de la Atención de Incidencias</w:t>
      </w:r>
    </w:p>
    <w:p w14:paraId="7FADFB1D" w14:textId="77777777" w:rsidR="00047749" w:rsidRDefault="00047749" w:rsidP="0020547F">
      <w:pPr>
        <w:spacing w:after="0" w:line="276" w:lineRule="auto"/>
        <w:ind w:right="0"/>
        <w:rPr>
          <w:rFonts w:ascii="ITC Avant Garde" w:hAnsi="ITC Avant Garde"/>
          <w:color w:val="auto"/>
        </w:rPr>
      </w:pPr>
    </w:p>
    <w:p w14:paraId="549ACF59" w14:textId="0F71C1A3" w:rsidR="00413693" w:rsidRDefault="00413693" w:rsidP="00413693">
      <w:pPr>
        <w:spacing w:after="0" w:line="276" w:lineRule="auto"/>
        <w:ind w:left="-5" w:right="49"/>
        <w:rPr>
          <w:rFonts w:ascii="ITC Avant Garde" w:hAnsi="ITC Avant Garde"/>
          <w:b/>
          <w:color w:val="auto"/>
          <w:u w:val="single"/>
        </w:rPr>
      </w:pPr>
      <w:r w:rsidRPr="0020547F">
        <w:rPr>
          <w:rFonts w:ascii="ITC Avant Garde" w:hAnsi="ITC Avant Garde"/>
          <w:b/>
          <w:color w:val="auto"/>
          <w:u w:val="single"/>
        </w:rPr>
        <w:t>4.</w:t>
      </w:r>
      <w:r>
        <w:rPr>
          <w:rFonts w:ascii="ITC Avant Garde" w:hAnsi="ITC Avant Garde"/>
          <w:b/>
          <w:color w:val="auto"/>
          <w:u w:val="single"/>
        </w:rPr>
        <w:t>1</w:t>
      </w:r>
      <w:r w:rsidRPr="0020547F">
        <w:rPr>
          <w:rFonts w:ascii="ITC Avant Garde" w:hAnsi="ITC Avant Garde"/>
          <w:b/>
          <w:color w:val="auto"/>
          <w:u w:val="single"/>
        </w:rPr>
        <w:t xml:space="preserve"> C</w:t>
      </w:r>
      <w:r>
        <w:rPr>
          <w:rFonts w:ascii="ITC Avant Garde" w:hAnsi="ITC Avant Garde"/>
          <w:b/>
          <w:color w:val="auto"/>
          <w:u w:val="single"/>
        </w:rPr>
        <w:t>lasificación del Reporte por Nivel de Severidad</w:t>
      </w:r>
    </w:p>
    <w:p w14:paraId="1A1E4F9A" w14:textId="32189885" w:rsidR="00413693" w:rsidRDefault="00413693" w:rsidP="00413693">
      <w:pPr>
        <w:spacing w:after="0" w:line="276" w:lineRule="auto"/>
        <w:ind w:left="-5" w:right="49"/>
        <w:rPr>
          <w:rFonts w:ascii="ITC Avant Garde" w:hAnsi="ITC Avant Garde"/>
          <w:b/>
          <w:color w:val="auto"/>
          <w:u w:val="single"/>
        </w:rPr>
      </w:pPr>
    </w:p>
    <w:p w14:paraId="56F831E0" w14:textId="77777777" w:rsidR="00413693" w:rsidRDefault="00413693" w:rsidP="00413693">
      <w:pPr>
        <w:spacing w:after="0" w:line="276" w:lineRule="auto"/>
        <w:ind w:left="0" w:right="0" w:firstLine="0"/>
        <w:rPr>
          <w:rFonts w:ascii="ITC Avant Garde" w:hAnsi="ITC Avant Garde"/>
          <w:b/>
          <w:color w:val="auto"/>
        </w:rPr>
      </w:pPr>
      <w:r>
        <w:rPr>
          <w:rFonts w:ascii="ITC Avant Garde" w:hAnsi="ITC Avant Garde"/>
          <w:b/>
          <w:color w:val="auto"/>
        </w:rPr>
        <w:t>Altán:</w:t>
      </w:r>
    </w:p>
    <w:p w14:paraId="73440320" w14:textId="5388F95C" w:rsidR="00413693" w:rsidRDefault="00413693" w:rsidP="00413693">
      <w:pPr>
        <w:spacing w:after="0" w:line="276" w:lineRule="auto"/>
        <w:ind w:right="0"/>
        <w:rPr>
          <w:rFonts w:ascii="ITC Avant Garde" w:hAnsi="ITC Avant Garde"/>
          <w:color w:val="auto"/>
        </w:rPr>
      </w:pPr>
      <w:r w:rsidRPr="00413693">
        <w:rPr>
          <w:rFonts w:ascii="ITC Avant Garde" w:hAnsi="ITC Avant Garde"/>
          <w:color w:val="auto"/>
        </w:rPr>
        <w:t xml:space="preserve">Señala que en la Oferta vigente se clasificaban reportes críticos cuando el número de usuarios afectados era mayor a 2,000, por lo que sugiere que los </w:t>
      </w:r>
      <w:r>
        <w:rPr>
          <w:rFonts w:ascii="ITC Avant Garde" w:hAnsi="ITC Avant Garde"/>
          <w:color w:val="auto"/>
        </w:rPr>
        <w:t>reportes de incidentes se maneje</w:t>
      </w:r>
      <w:r w:rsidRPr="00413693">
        <w:rPr>
          <w:rFonts w:ascii="ITC Avant Garde" w:hAnsi="ITC Avant Garde"/>
          <w:color w:val="auto"/>
        </w:rPr>
        <w:t>n bajo el mismo estándar de eficiencia</w:t>
      </w:r>
      <w:r>
        <w:rPr>
          <w:rFonts w:ascii="ITC Avant Garde" w:hAnsi="ITC Avant Garde"/>
          <w:color w:val="auto"/>
        </w:rPr>
        <w:t xml:space="preserve"> previsto en la Oferta vigente.</w:t>
      </w:r>
    </w:p>
    <w:p w14:paraId="5CE020C0" w14:textId="77777777" w:rsidR="00413693" w:rsidRDefault="00413693" w:rsidP="00413693">
      <w:pPr>
        <w:spacing w:after="0" w:line="276" w:lineRule="auto"/>
        <w:ind w:right="0"/>
        <w:rPr>
          <w:rFonts w:ascii="ITC Avant Garde" w:hAnsi="ITC Avant Garde"/>
          <w:color w:val="auto"/>
        </w:rPr>
      </w:pPr>
    </w:p>
    <w:p w14:paraId="44D343A3" w14:textId="77777777" w:rsidR="005D0FBC" w:rsidRDefault="005D0FBC" w:rsidP="005D0FBC">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7F019630" w14:textId="0D15380A" w:rsidR="005D0FBC" w:rsidRDefault="005D0FBC" w:rsidP="005D0FBC">
      <w:pPr>
        <w:spacing w:after="0" w:line="276" w:lineRule="auto"/>
        <w:ind w:right="0"/>
        <w:rPr>
          <w:rFonts w:ascii="ITC Avant Garde" w:hAnsi="ITC Avant Garde"/>
          <w:color w:val="auto"/>
        </w:rPr>
      </w:pPr>
      <w:r w:rsidRPr="005D0FBC">
        <w:rPr>
          <w:rFonts w:ascii="ITC Avant Garde" w:hAnsi="ITC Avant Garde"/>
          <w:color w:val="auto"/>
        </w:rPr>
        <w:t>Señala que se debe mantener el tope establecido en la Oferta vigente</w:t>
      </w:r>
      <w:r w:rsidR="00665A6A">
        <w:rPr>
          <w:rFonts w:ascii="ITC Avant Garde" w:hAnsi="ITC Avant Garde"/>
          <w:color w:val="auto"/>
        </w:rPr>
        <w:t xml:space="preserve"> de</w:t>
      </w:r>
      <w:r w:rsidRPr="005D0FBC">
        <w:rPr>
          <w:rFonts w:ascii="ITC Avant Garde" w:hAnsi="ITC Avant Garde"/>
          <w:color w:val="auto"/>
        </w:rPr>
        <w:t xml:space="preserve"> 2000 usuarios para determinar una falla como crítica</w:t>
      </w:r>
      <w:r>
        <w:rPr>
          <w:rFonts w:ascii="ITC Avant Garde" w:hAnsi="ITC Avant Garde"/>
          <w:color w:val="auto"/>
        </w:rPr>
        <w:t>.</w:t>
      </w:r>
    </w:p>
    <w:p w14:paraId="0B8C5491" w14:textId="77777777" w:rsidR="005D0FBC" w:rsidRPr="00E738E5" w:rsidRDefault="005D0FBC" w:rsidP="005D0FBC">
      <w:pPr>
        <w:spacing w:after="0" w:line="276" w:lineRule="auto"/>
        <w:ind w:right="0"/>
        <w:rPr>
          <w:rFonts w:ascii="ITC Avant Garde" w:hAnsi="ITC Avant Garde"/>
          <w:color w:val="auto"/>
        </w:rPr>
      </w:pPr>
    </w:p>
    <w:p w14:paraId="7180DC18" w14:textId="77777777" w:rsidR="005D0FBC" w:rsidRDefault="005D0FBC" w:rsidP="005D0FBC">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77886A65" w14:textId="69EA73CB" w:rsidR="005D0FBC" w:rsidRDefault="005D0FBC" w:rsidP="005D0FBC">
      <w:pPr>
        <w:spacing w:after="0" w:line="276" w:lineRule="auto"/>
        <w:ind w:right="0"/>
        <w:rPr>
          <w:rFonts w:ascii="ITC Avant Garde" w:hAnsi="ITC Avant Garde"/>
          <w:color w:val="auto"/>
        </w:rPr>
      </w:pPr>
      <w:r w:rsidRPr="00413693">
        <w:rPr>
          <w:rFonts w:ascii="ITC Avant Garde" w:hAnsi="ITC Avant Garde"/>
          <w:color w:val="auto"/>
        </w:rPr>
        <w:t>La clasificación del Reporte de la Oferta es acorde al lineamiento Vigésimo Tercero de</w:t>
      </w:r>
      <w:r w:rsidR="00D27C25">
        <w:rPr>
          <w:rFonts w:ascii="ITC Avant Garde" w:hAnsi="ITC Avant Garde"/>
          <w:color w:val="auto"/>
        </w:rPr>
        <w:t xml:space="preserve"> </w:t>
      </w:r>
      <w:r w:rsidRPr="00413693">
        <w:rPr>
          <w:rFonts w:ascii="ITC Avant Garde" w:hAnsi="ITC Avant Garde"/>
          <w:color w:val="auto"/>
        </w:rPr>
        <w:t>l</w:t>
      </w:r>
      <w:r w:rsidR="00D27C25">
        <w:rPr>
          <w:rFonts w:ascii="ITC Avant Garde" w:hAnsi="ITC Avant Garde"/>
          <w:color w:val="auto"/>
        </w:rPr>
        <w:t>os</w:t>
      </w:r>
      <w:r w:rsidRPr="00413693">
        <w:rPr>
          <w:rFonts w:ascii="ITC Avant Garde" w:hAnsi="ITC Avant Garde"/>
          <w:color w:val="auto"/>
        </w:rPr>
        <w:t xml:space="preserve"> </w:t>
      </w:r>
      <w:r w:rsidR="00D27C25">
        <w:rPr>
          <w:rFonts w:ascii="ITC Avant Garde" w:hAnsi="ITC Avant Garde"/>
          <w:color w:val="auto"/>
        </w:rPr>
        <w:t xml:space="preserve">Lineamientos de </w:t>
      </w:r>
      <w:r w:rsidRPr="00413693">
        <w:rPr>
          <w:rFonts w:ascii="ITC Avant Garde" w:hAnsi="ITC Avant Garde"/>
          <w:color w:val="auto"/>
        </w:rPr>
        <w:t>Calidad</w:t>
      </w:r>
      <w:r>
        <w:rPr>
          <w:rFonts w:ascii="ITC Avant Garde" w:hAnsi="ITC Avant Garde"/>
          <w:color w:val="auto"/>
        </w:rPr>
        <w:t>.</w:t>
      </w:r>
    </w:p>
    <w:p w14:paraId="0B568F36" w14:textId="514BD9FB" w:rsidR="00273EF6" w:rsidRDefault="00273EF6" w:rsidP="005D0FBC">
      <w:pPr>
        <w:spacing w:after="0" w:line="276" w:lineRule="auto"/>
        <w:ind w:right="0"/>
        <w:rPr>
          <w:rFonts w:ascii="ITC Avant Garde" w:hAnsi="ITC Avant Garde"/>
          <w:color w:val="auto"/>
        </w:rPr>
      </w:pPr>
    </w:p>
    <w:p w14:paraId="19AA7416" w14:textId="4CAA666F" w:rsidR="00273EF6" w:rsidRDefault="00273EF6" w:rsidP="00273EF6">
      <w:pPr>
        <w:spacing w:after="0" w:line="276" w:lineRule="auto"/>
        <w:ind w:left="-5" w:right="49"/>
        <w:rPr>
          <w:rFonts w:ascii="ITC Avant Garde" w:hAnsi="ITC Avant Garde"/>
          <w:b/>
          <w:color w:val="auto"/>
          <w:u w:val="single"/>
        </w:rPr>
      </w:pPr>
      <w:r w:rsidRPr="0020547F">
        <w:rPr>
          <w:rFonts w:ascii="ITC Avant Garde" w:hAnsi="ITC Avant Garde"/>
          <w:b/>
          <w:color w:val="auto"/>
          <w:u w:val="single"/>
        </w:rPr>
        <w:t>4.</w:t>
      </w:r>
      <w:r>
        <w:rPr>
          <w:rFonts w:ascii="ITC Avant Garde" w:hAnsi="ITC Avant Garde"/>
          <w:b/>
          <w:color w:val="auto"/>
          <w:u w:val="single"/>
        </w:rPr>
        <w:t>4.2 Tiempos de Solución y Atención del Reporte</w:t>
      </w:r>
    </w:p>
    <w:p w14:paraId="40287EB3" w14:textId="12881F9F" w:rsidR="00273EF6" w:rsidRDefault="00273EF6" w:rsidP="00273EF6">
      <w:pPr>
        <w:spacing w:after="0" w:line="276" w:lineRule="auto"/>
        <w:ind w:left="-5" w:right="49"/>
        <w:rPr>
          <w:rFonts w:ascii="ITC Avant Garde" w:hAnsi="ITC Avant Garde"/>
          <w:b/>
          <w:color w:val="auto"/>
          <w:u w:val="single"/>
        </w:rPr>
      </w:pPr>
    </w:p>
    <w:p w14:paraId="213AC325" w14:textId="77777777" w:rsidR="00273EF6" w:rsidRDefault="00273EF6" w:rsidP="00273EF6">
      <w:pPr>
        <w:spacing w:after="0" w:line="276" w:lineRule="auto"/>
        <w:ind w:left="0" w:right="0" w:firstLine="0"/>
        <w:rPr>
          <w:rFonts w:ascii="ITC Avant Garde" w:hAnsi="ITC Avant Garde"/>
          <w:b/>
          <w:color w:val="auto"/>
        </w:rPr>
      </w:pPr>
      <w:r>
        <w:rPr>
          <w:rFonts w:ascii="ITC Avant Garde" w:hAnsi="ITC Avant Garde"/>
          <w:b/>
          <w:color w:val="auto"/>
        </w:rPr>
        <w:t>Altán:</w:t>
      </w:r>
    </w:p>
    <w:p w14:paraId="0B31C1C6" w14:textId="7753CBFE" w:rsidR="00273EF6" w:rsidRDefault="00273EF6" w:rsidP="00273EF6">
      <w:pPr>
        <w:spacing w:after="0" w:line="276" w:lineRule="auto"/>
        <w:ind w:left="-5" w:right="49"/>
        <w:rPr>
          <w:rFonts w:ascii="ITC Avant Garde" w:hAnsi="ITC Avant Garde"/>
          <w:color w:val="auto"/>
        </w:rPr>
      </w:pPr>
      <w:r w:rsidRPr="00273EF6">
        <w:rPr>
          <w:rFonts w:ascii="ITC Avant Garde" w:hAnsi="ITC Avant Garde"/>
          <w:color w:val="auto"/>
        </w:rPr>
        <w:t>Considera que, bajo el principio de mejora continua de servicios, se deberían de reducir los tiempos de atención periódicamente. También señala que estos parámetros se deben regir por el mismo principio de no discriminación del trato que Telcel da a sus clientes y a sí mismo</w:t>
      </w:r>
      <w:r>
        <w:rPr>
          <w:rFonts w:ascii="ITC Avant Garde" w:hAnsi="ITC Avant Garde"/>
          <w:color w:val="auto"/>
        </w:rPr>
        <w:t>.</w:t>
      </w:r>
    </w:p>
    <w:p w14:paraId="64C5BF84" w14:textId="2CCD966A" w:rsidR="00273EF6" w:rsidRDefault="00273EF6" w:rsidP="00273EF6">
      <w:pPr>
        <w:spacing w:after="0" w:line="276" w:lineRule="auto"/>
        <w:ind w:left="-5" w:right="49"/>
        <w:rPr>
          <w:rFonts w:ascii="ITC Avant Garde" w:hAnsi="ITC Avant Garde"/>
          <w:color w:val="auto"/>
        </w:rPr>
      </w:pPr>
    </w:p>
    <w:p w14:paraId="26CC7BA8" w14:textId="77777777" w:rsidR="00273EF6" w:rsidRDefault="00273EF6" w:rsidP="00273EF6">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6101F5A" w14:textId="7A0678A4" w:rsidR="00273EF6" w:rsidRDefault="00273EF6" w:rsidP="00273EF6">
      <w:pPr>
        <w:spacing w:after="0" w:line="276" w:lineRule="auto"/>
        <w:ind w:left="-5" w:right="49"/>
        <w:rPr>
          <w:rFonts w:ascii="ITC Avant Garde" w:hAnsi="ITC Avant Garde"/>
          <w:color w:val="auto"/>
        </w:rPr>
      </w:pPr>
      <w:r>
        <w:rPr>
          <w:rFonts w:ascii="ITC Avant Garde" w:hAnsi="ITC Avant Garde"/>
          <w:color w:val="auto"/>
        </w:rPr>
        <w:t>Los</w:t>
      </w:r>
      <w:r w:rsidRPr="00273EF6">
        <w:rPr>
          <w:rFonts w:ascii="ITC Avant Garde" w:hAnsi="ITC Avant Garde"/>
          <w:color w:val="auto"/>
        </w:rPr>
        <w:t xml:space="preserve"> tiempos de solución de incidencias son acordes a los establecidos en otras ofertas de referencia como la de Noruega, la cual establece un tiempo de solución para incidencias Graves de 24 horas y de 12 horas para severas</w:t>
      </w:r>
      <w:r>
        <w:rPr>
          <w:rFonts w:ascii="ITC Avant Garde" w:hAnsi="ITC Avant Garde"/>
          <w:color w:val="auto"/>
        </w:rPr>
        <w:t>.</w:t>
      </w:r>
    </w:p>
    <w:p w14:paraId="14ED981B" w14:textId="47251D74" w:rsidR="00675895" w:rsidRDefault="00675895" w:rsidP="00273EF6">
      <w:pPr>
        <w:spacing w:after="0" w:line="276" w:lineRule="auto"/>
        <w:ind w:left="-5" w:right="49"/>
        <w:rPr>
          <w:rFonts w:ascii="ITC Avant Garde" w:hAnsi="ITC Avant Garde"/>
          <w:color w:val="auto"/>
        </w:rPr>
      </w:pPr>
    </w:p>
    <w:p w14:paraId="5CDC8734" w14:textId="0E5A60A1" w:rsidR="00675895" w:rsidRPr="00675895" w:rsidRDefault="00675895" w:rsidP="00675895">
      <w:pPr>
        <w:spacing w:after="0" w:line="276" w:lineRule="auto"/>
        <w:ind w:right="49"/>
        <w:rPr>
          <w:rFonts w:ascii="ITC Avant Garde" w:hAnsi="ITC Avant Garde"/>
          <w:b/>
          <w:color w:val="auto"/>
          <w:u w:val="single"/>
        </w:rPr>
      </w:pPr>
      <w:r w:rsidRPr="00675895">
        <w:rPr>
          <w:rFonts w:ascii="ITC Avant Garde" w:hAnsi="ITC Avant Garde"/>
          <w:b/>
          <w:color w:val="auto"/>
          <w:u w:val="single"/>
        </w:rPr>
        <w:t>7. Notificación y Atención de Emergencias.</w:t>
      </w:r>
    </w:p>
    <w:p w14:paraId="133BBAAC" w14:textId="77777777" w:rsidR="00675895" w:rsidRDefault="00675895" w:rsidP="00675895">
      <w:pPr>
        <w:spacing w:after="0" w:line="276" w:lineRule="auto"/>
        <w:ind w:left="-5" w:right="49"/>
        <w:rPr>
          <w:rFonts w:ascii="ITC Avant Garde" w:hAnsi="ITC Avant Garde"/>
          <w:b/>
          <w:color w:val="auto"/>
          <w:u w:val="single"/>
        </w:rPr>
      </w:pPr>
    </w:p>
    <w:p w14:paraId="757517B9" w14:textId="30BAC526" w:rsidR="00675895" w:rsidRDefault="00675895" w:rsidP="00675895">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54487FEE" w14:textId="4C418E54" w:rsidR="00675895" w:rsidRDefault="00675895" w:rsidP="00675895">
      <w:pPr>
        <w:spacing w:after="0" w:line="276" w:lineRule="auto"/>
        <w:ind w:left="-5" w:right="49"/>
        <w:rPr>
          <w:rFonts w:ascii="ITC Avant Garde" w:hAnsi="ITC Avant Garde"/>
          <w:color w:val="auto"/>
        </w:rPr>
      </w:pPr>
      <w:r w:rsidRPr="00675895">
        <w:rPr>
          <w:rFonts w:ascii="ITC Avant Garde" w:hAnsi="ITC Avant Garde"/>
          <w:color w:val="auto"/>
        </w:rPr>
        <w:t>Señala que en la Oferta se ha eliminado el reporte por Problemas de aprovisionamiento hacia algún elemento de la Red Pública de Telecomunicaciones de Telcel, por lo que sugiere que vuelva a incluir este reporte, ya que puede ser útil para los Concesionarios en caso de observar fallas en el funcionamiento de alguna parte de la red de Telcel.</w:t>
      </w:r>
    </w:p>
    <w:p w14:paraId="09FE0DED" w14:textId="77777777" w:rsidR="00675895" w:rsidRPr="00675895" w:rsidRDefault="00675895" w:rsidP="00675895">
      <w:pPr>
        <w:spacing w:after="0" w:line="276" w:lineRule="auto"/>
        <w:ind w:left="-5" w:right="49"/>
        <w:rPr>
          <w:rFonts w:ascii="ITC Avant Garde" w:hAnsi="ITC Avant Garde"/>
          <w:color w:val="auto"/>
        </w:rPr>
      </w:pPr>
    </w:p>
    <w:p w14:paraId="7C60B71B" w14:textId="77777777" w:rsidR="00675895" w:rsidRDefault="00675895" w:rsidP="00675895">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75E7D829" w14:textId="3F1E69B2" w:rsidR="00675895" w:rsidRDefault="00675895" w:rsidP="00273EF6">
      <w:pPr>
        <w:spacing w:after="0" w:line="276" w:lineRule="auto"/>
        <w:ind w:left="-5" w:right="49"/>
        <w:rPr>
          <w:rFonts w:ascii="ITC Avant Garde" w:hAnsi="ITC Avant Garde"/>
          <w:color w:val="auto"/>
        </w:rPr>
      </w:pPr>
      <w:r w:rsidRPr="00675895">
        <w:rPr>
          <w:rFonts w:ascii="ITC Avant Garde" w:hAnsi="ITC Avant Garde"/>
          <w:color w:val="auto"/>
        </w:rPr>
        <w:t>En el caso del servicio de usuario visitante no se aprovisionan los servicios por lo que no hay razón para que se considere dicho reporte.</w:t>
      </w:r>
    </w:p>
    <w:p w14:paraId="5ECCA16D" w14:textId="75947C82" w:rsidR="00F570FA" w:rsidRDefault="00F570FA" w:rsidP="00273EF6">
      <w:pPr>
        <w:spacing w:after="0" w:line="276" w:lineRule="auto"/>
        <w:ind w:left="-5" w:right="49"/>
        <w:rPr>
          <w:rFonts w:ascii="ITC Avant Garde" w:hAnsi="ITC Avant Garde"/>
          <w:color w:val="auto"/>
        </w:rPr>
      </w:pPr>
    </w:p>
    <w:p w14:paraId="47C7FA53" w14:textId="44D7E70A" w:rsidR="00F570FA" w:rsidRPr="00675895" w:rsidRDefault="00F570FA" w:rsidP="00F570FA">
      <w:pPr>
        <w:spacing w:after="0" w:line="276" w:lineRule="auto"/>
        <w:ind w:right="49"/>
        <w:rPr>
          <w:rFonts w:ascii="ITC Avant Garde" w:hAnsi="ITC Avant Garde"/>
          <w:b/>
          <w:color w:val="auto"/>
          <w:u w:val="single"/>
        </w:rPr>
      </w:pPr>
      <w:r w:rsidRPr="00F570FA">
        <w:rPr>
          <w:rFonts w:ascii="ITC Avant Garde" w:hAnsi="ITC Avant Garde"/>
          <w:b/>
          <w:color w:val="auto"/>
          <w:u w:val="single"/>
        </w:rPr>
        <w:t>9. Ventanas de Mantenimiento</w:t>
      </w:r>
    </w:p>
    <w:p w14:paraId="5DDB243B" w14:textId="77777777" w:rsidR="00F570FA" w:rsidRDefault="00F570FA" w:rsidP="00F570FA">
      <w:pPr>
        <w:spacing w:after="0" w:line="276" w:lineRule="auto"/>
        <w:ind w:left="-5" w:right="49"/>
        <w:rPr>
          <w:rFonts w:ascii="ITC Avant Garde" w:hAnsi="ITC Avant Garde"/>
          <w:b/>
          <w:color w:val="auto"/>
          <w:u w:val="single"/>
        </w:rPr>
      </w:pPr>
    </w:p>
    <w:p w14:paraId="3B09E2B8" w14:textId="77777777" w:rsidR="00F570FA" w:rsidRDefault="00F570FA" w:rsidP="00F570FA">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3E77ADDE" w14:textId="2E04A1A2" w:rsidR="00F570FA" w:rsidRDefault="00F570FA" w:rsidP="00F570FA">
      <w:pPr>
        <w:spacing w:after="0" w:line="276" w:lineRule="auto"/>
        <w:ind w:left="-5" w:right="49"/>
        <w:rPr>
          <w:rFonts w:ascii="ITC Avant Garde" w:hAnsi="ITC Avant Garde"/>
          <w:color w:val="auto"/>
        </w:rPr>
      </w:pPr>
      <w:r w:rsidRPr="00F570FA">
        <w:rPr>
          <w:rFonts w:ascii="ITC Avant Garde" w:hAnsi="ITC Avant Garde"/>
          <w:color w:val="auto"/>
        </w:rPr>
        <w:t>Sugiere eliminar de los Procedimientos de atención de incidencias la frase "siempre y cuando se intervengan nodos de diseño del servicio" con el fin de evitar incurrir en un deterioro en la atención de fallas e incidencias.</w:t>
      </w:r>
    </w:p>
    <w:p w14:paraId="02B99C32" w14:textId="77777777" w:rsidR="00F570FA" w:rsidRPr="00F570FA" w:rsidRDefault="00F570FA" w:rsidP="00F570FA">
      <w:pPr>
        <w:spacing w:after="0" w:line="276" w:lineRule="auto"/>
        <w:ind w:left="-5" w:right="49"/>
        <w:rPr>
          <w:rFonts w:ascii="ITC Avant Garde" w:hAnsi="ITC Avant Garde"/>
          <w:color w:val="auto"/>
        </w:rPr>
      </w:pPr>
    </w:p>
    <w:p w14:paraId="1055E5A8" w14:textId="77777777" w:rsidR="00F570FA" w:rsidRDefault="00F570FA" w:rsidP="00F570FA">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C7971D9" w14:textId="376EB45C" w:rsidR="00F570FA" w:rsidRDefault="00F570FA" w:rsidP="00273EF6">
      <w:pPr>
        <w:spacing w:after="0" w:line="276" w:lineRule="auto"/>
        <w:ind w:left="-5" w:right="49"/>
        <w:rPr>
          <w:rFonts w:ascii="ITC Avant Garde" w:hAnsi="ITC Avant Garde"/>
          <w:color w:val="auto"/>
        </w:rPr>
      </w:pPr>
      <w:r w:rsidRPr="00F570FA">
        <w:rPr>
          <w:rFonts w:ascii="ITC Avant Garde" w:hAnsi="ITC Avant Garde"/>
          <w:color w:val="auto"/>
        </w:rPr>
        <w:t>El AEP no está obligado a notificar las ventanas de mantenimiento que realice si estas no están relacionadas con la prestación del servicio al concesionario.</w:t>
      </w:r>
    </w:p>
    <w:p w14:paraId="309CC6EA" w14:textId="77777777" w:rsidR="00F570FA" w:rsidRDefault="00F570FA" w:rsidP="00273EF6">
      <w:pPr>
        <w:spacing w:after="0" w:line="276" w:lineRule="auto"/>
        <w:ind w:left="-5" w:right="49"/>
        <w:rPr>
          <w:rFonts w:ascii="ITC Avant Garde" w:hAnsi="ITC Avant Garde"/>
          <w:color w:val="auto"/>
        </w:rPr>
      </w:pPr>
    </w:p>
    <w:p w14:paraId="3A14A4DE" w14:textId="427316E0" w:rsidR="00F570FA" w:rsidRDefault="00F570FA" w:rsidP="00F570FA">
      <w:pPr>
        <w:spacing w:after="0" w:line="276" w:lineRule="auto"/>
        <w:ind w:left="-5" w:right="49"/>
        <w:rPr>
          <w:rFonts w:ascii="ITC Avant Garde" w:hAnsi="ITC Avant Garde"/>
          <w:b/>
          <w:color w:val="auto"/>
          <w:u w:val="single"/>
        </w:rPr>
      </w:pPr>
      <w:r>
        <w:rPr>
          <w:rFonts w:ascii="ITC Avant Garde" w:hAnsi="ITC Avant Garde"/>
          <w:b/>
          <w:color w:val="auto"/>
          <w:u w:val="single"/>
        </w:rPr>
        <w:t>11. Matriz de Escalamiento</w:t>
      </w:r>
    </w:p>
    <w:p w14:paraId="4CCE28EB" w14:textId="77777777" w:rsidR="00F570FA" w:rsidRDefault="00F570FA" w:rsidP="00F570FA">
      <w:pPr>
        <w:spacing w:after="0" w:line="276" w:lineRule="auto"/>
        <w:ind w:left="-5" w:right="49"/>
        <w:rPr>
          <w:rFonts w:ascii="ITC Avant Garde" w:hAnsi="ITC Avant Garde"/>
          <w:b/>
          <w:color w:val="auto"/>
          <w:u w:val="single"/>
        </w:rPr>
      </w:pPr>
    </w:p>
    <w:p w14:paraId="4505BB7B" w14:textId="77777777" w:rsidR="00F570FA" w:rsidRDefault="00F570FA" w:rsidP="00F570FA">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09589CE7" w14:textId="415A56E0" w:rsidR="00F570FA" w:rsidRDefault="00F570FA" w:rsidP="00F570FA">
      <w:pPr>
        <w:spacing w:after="0" w:line="276" w:lineRule="auto"/>
        <w:ind w:left="-5" w:right="49"/>
        <w:rPr>
          <w:rFonts w:ascii="ITC Avant Garde" w:hAnsi="ITC Avant Garde"/>
          <w:color w:val="auto"/>
        </w:rPr>
      </w:pPr>
      <w:r w:rsidRPr="00F570FA">
        <w:rPr>
          <w:rFonts w:ascii="ITC Avant Garde" w:hAnsi="ITC Avant Garde"/>
          <w:color w:val="auto"/>
        </w:rPr>
        <w:t>Sugiere incluir los tiempos de respuesta en la matriz de escalam</w:t>
      </w:r>
      <w:r>
        <w:rPr>
          <w:rFonts w:ascii="ITC Avant Garde" w:hAnsi="ITC Avant Garde"/>
          <w:color w:val="auto"/>
        </w:rPr>
        <w:t>iento de incidencias, ya que</w:t>
      </w:r>
      <w:r w:rsidRPr="00F570FA">
        <w:rPr>
          <w:rFonts w:ascii="ITC Avant Garde" w:hAnsi="ITC Avant Garde"/>
          <w:color w:val="auto"/>
        </w:rPr>
        <w:t xml:space="preserve"> se debe establecer claramente el tiempo que debe pasar para que el incidente se escale al siguiente nivel.  </w:t>
      </w:r>
    </w:p>
    <w:p w14:paraId="5B8EB904" w14:textId="77777777" w:rsidR="00F570FA" w:rsidRPr="00F570FA" w:rsidRDefault="00F570FA" w:rsidP="00F570FA">
      <w:pPr>
        <w:spacing w:after="0" w:line="276" w:lineRule="auto"/>
        <w:ind w:left="-5" w:right="49"/>
        <w:rPr>
          <w:rFonts w:ascii="ITC Avant Garde" w:hAnsi="ITC Avant Garde"/>
          <w:color w:val="auto"/>
        </w:rPr>
      </w:pPr>
    </w:p>
    <w:p w14:paraId="2787F860" w14:textId="77777777" w:rsidR="00F570FA" w:rsidRDefault="00F570FA" w:rsidP="00F570FA">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2FBC4FBA" w14:textId="2B7665F9" w:rsidR="00F570FA" w:rsidRDefault="00F570FA" w:rsidP="00273EF6">
      <w:pPr>
        <w:spacing w:after="0" w:line="276" w:lineRule="auto"/>
        <w:ind w:left="-5" w:right="49"/>
        <w:rPr>
          <w:rFonts w:ascii="ITC Avant Garde" w:hAnsi="ITC Avant Garde"/>
          <w:color w:val="auto"/>
        </w:rPr>
      </w:pPr>
      <w:r w:rsidRPr="00F570FA">
        <w:rPr>
          <w:rFonts w:ascii="ITC Avant Garde" w:hAnsi="ITC Avant Garde"/>
          <w:color w:val="auto"/>
        </w:rPr>
        <w:t>La matriz de escalamiento se proveerá a la firma del convenio.</w:t>
      </w:r>
    </w:p>
    <w:p w14:paraId="7832C065" w14:textId="37D74BFF" w:rsidR="00047749" w:rsidRDefault="00047749" w:rsidP="00273EF6">
      <w:pPr>
        <w:spacing w:after="0" w:line="276" w:lineRule="auto"/>
        <w:ind w:left="-5" w:right="49"/>
        <w:rPr>
          <w:rFonts w:ascii="ITC Avant Garde" w:hAnsi="ITC Avant Garde"/>
          <w:color w:val="auto"/>
        </w:rPr>
      </w:pPr>
    </w:p>
    <w:p w14:paraId="3725E8D7" w14:textId="700EDA6E" w:rsidR="00047749" w:rsidRDefault="0096403F" w:rsidP="00047749">
      <w:pPr>
        <w:spacing w:after="0" w:line="276" w:lineRule="auto"/>
        <w:ind w:left="-5" w:right="49"/>
        <w:rPr>
          <w:rFonts w:ascii="ITC Avant Garde" w:hAnsi="ITC Avant Garde"/>
          <w:b/>
          <w:color w:val="auto"/>
          <w:u w:val="single"/>
        </w:rPr>
      </w:pPr>
      <w:r w:rsidRPr="0096403F">
        <w:rPr>
          <w:rFonts w:ascii="ITC Avant Garde" w:hAnsi="ITC Avant Garde"/>
          <w:b/>
          <w:color w:val="auto"/>
          <w:u w:val="single"/>
        </w:rPr>
        <w:t>Anexo IX. Procedimiento de Solicitud de Servicios</w:t>
      </w:r>
    </w:p>
    <w:p w14:paraId="04DEB3C9" w14:textId="77777777" w:rsidR="0096403F" w:rsidRDefault="0096403F" w:rsidP="00047749">
      <w:pPr>
        <w:spacing w:after="0" w:line="276" w:lineRule="auto"/>
        <w:ind w:left="-5" w:right="49"/>
        <w:rPr>
          <w:rFonts w:ascii="ITC Avant Garde" w:hAnsi="ITC Avant Garde"/>
          <w:b/>
          <w:color w:val="auto"/>
          <w:u w:val="single"/>
        </w:rPr>
      </w:pPr>
    </w:p>
    <w:p w14:paraId="0952CAEC" w14:textId="1CB193C2" w:rsidR="00047749" w:rsidRDefault="0096403F" w:rsidP="0096403F">
      <w:pPr>
        <w:spacing w:after="0" w:line="276" w:lineRule="auto"/>
        <w:ind w:left="0" w:right="0" w:firstLine="0"/>
        <w:rPr>
          <w:rFonts w:ascii="ITC Avant Garde" w:hAnsi="ITC Avant Garde"/>
          <w:b/>
          <w:color w:val="auto"/>
          <w:u w:val="single"/>
        </w:rPr>
      </w:pPr>
      <w:r w:rsidRPr="0096403F">
        <w:rPr>
          <w:rFonts w:ascii="ITC Avant Garde" w:hAnsi="ITC Avant Garde"/>
          <w:b/>
          <w:color w:val="auto"/>
          <w:u w:val="single"/>
        </w:rPr>
        <w:t>3 Procedimiento y plazos para el Alta de LAC, RAC y TAC para la</w:t>
      </w:r>
      <w:r>
        <w:rPr>
          <w:rFonts w:ascii="ITC Avant Garde" w:hAnsi="ITC Avant Garde"/>
          <w:b/>
          <w:color w:val="auto"/>
          <w:u w:val="single"/>
        </w:rPr>
        <w:t xml:space="preserve"> </w:t>
      </w:r>
      <w:r w:rsidRPr="0096403F">
        <w:rPr>
          <w:rFonts w:ascii="ITC Avant Garde" w:hAnsi="ITC Avant Garde"/>
          <w:b/>
          <w:color w:val="auto"/>
          <w:u w:val="single"/>
        </w:rPr>
        <w:t>entrega de los Servicios de la</w:t>
      </w:r>
      <w:r>
        <w:rPr>
          <w:rFonts w:ascii="ITC Avant Garde" w:hAnsi="ITC Avant Garde"/>
          <w:b/>
          <w:color w:val="auto"/>
          <w:u w:val="single"/>
        </w:rPr>
        <w:t xml:space="preserve"> Oferta</w:t>
      </w:r>
    </w:p>
    <w:p w14:paraId="637E31E5" w14:textId="77777777" w:rsidR="0096403F" w:rsidRPr="0096403F" w:rsidRDefault="0096403F" w:rsidP="0096403F">
      <w:pPr>
        <w:spacing w:after="0" w:line="276" w:lineRule="auto"/>
        <w:ind w:left="0" w:right="0" w:firstLine="0"/>
        <w:rPr>
          <w:rFonts w:ascii="ITC Avant Garde" w:hAnsi="ITC Avant Garde"/>
          <w:b/>
          <w:color w:val="auto"/>
          <w:u w:val="single"/>
        </w:rPr>
      </w:pPr>
    </w:p>
    <w:p w14:paraId="483F6D37" w14:textId="77777777" w:rsidR="00047749" w:rsidRDefault="00047749" w:rsidP="00047749">
      <w:pPr>
        <w:spacing w:after="0" w:line="276" w:lineRule="auto"/>
        <w:ind w:left="0" w:right="0" w:firstLine="0"/>
        <w:rPr>
          <w:rFonts w:ascii="ITC Avant Garde" w:hAnsi="ITC Avant Garde"/>
          <w:b/>
          <w:color w:val="auto"/>
        </w:rPr>
      </w:pPr>
      <w:r>
        <w:rPr>
          <w:rFonts w:ascii="ITC Avant Garde" w:hAnsi="ITC Avant Garde"/>
          <w:b/>
          <w:color w:val="auto"/>
        </w:rPr>
        <w:t>CANIETI, Telefónica</w:t>
      </w:r>
      <w:r w:rsidRPr="00CC72B9">
        <w:rPr>
          <w:rFonts w:ascii="ITC Avant Garde" w:hAnsi="ITC Avant Garde"/>
          <w:b/>
          <w:color w:val="auto"/>
        </w:rPr>
        <w:t>:</w:t>
      </w:r>
    </w:p>
    <w:p w14:paraId="74FDC904" w14:textId="3B1FDDBE" w:rsidR="00047749" w:rsidRDefault="0096403F" w:rsidP="00047749">
      <w:pPr>
        <w:spacing w:after="0" w:line="276" w:lineRule="auto"/>
        <w:ind w:right="0"/>
        <w:rPr>
          <w:rFonts w:ascii="ITC Avant Garde" w:hAnsi="ITC Avant Garde"/>
          <w:color w:val="auto"/>
        </w:rPr>
      </w:pPr>
      <w:r w:rsidRPr="0096403F">
        <w:rPr>
          <w:rFonts w:ascii="ITC Avant Garde" w:hAnsi="ITC Avant Garde"/>
          <w:color w:val="auto"/>
        </w:rPr>
        <w:lastRenderedPageBreak/>
        <w:t>Señalan que es muy estricta la limitación para poder solicitar las altas, modificaciones o bajas únicamente dos veces al año, por lo que los servicios se deberán solicitar según vayan surgiendo las necesidades del concesionario</w:t>
      </w:r>
      <w:r>
        <w:rPr>
          <w:rFonts w:ascii="ITC Avant Garde" w:hAnsi="ITC Avant Garde"/>
          <w:color w:val="auto"/>
        </w:rPr>
        <w:t>.</w:t>
      </w:r>
    </w:p>
    <w:p w14:paraId="508A96EB" w14:textId="77777777" w:rsidR="0096403F" w:rsidRDefault="0096403F" w:rsidP="00047749">
      <w:pPr>
        <w:spacing w:after="0" w:line="276" w:lineRule="auto"/>
        <w:ind w:right="0"/>
        <w:rPr>
          <w:rFonts w:ascii="ITC Avant Garde" w:hAnsi="ITC Avant Garde"/>
          <w:color w:val="auto"/>
        </w:rPr>
      </w:pPr>
    </w:p>
    <w:p w14:paraId="47159B6F" w14:textId="77777777" w:rsidR="00047749" w:rsidRDefault="00047749" w:rsidP="00047749">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5EE6CED" w14:textId="0CACA98A" w:rsidR="00047749" w:rsidRDefault="0096403F" w:rsidP="0096403F">
      <w:pPr>
        <w:spacing w:after="0" w:line="276" w:lineRule="auto"/>
        <w:ind w:right="0"/>
        <w:rPr>
          <w:rFonts w:ascii="ITC Avant Garde" w:hAnsi="ITC Avant Garde"/>
          <w:color w:val="auto"/>
        </w:rPr>
      </w:pPr>
      <w:r>
        <w:rPr>
          <w:rFonts w:ascii="ITC Avant Garde" w:hAnsi="ITC Avant Garde"/>
          <w:color w:val="auto"/>
        </w:rPr>
        <w:t>Se modifica la O</w:t>
      </w:r>
      <w:r w:rsidRPr="0096403F">
        <w:rPr>
          <w:rFonts w:ascii="ITC Avant Garde" w:hAnsi="ITC Avant Garde"/>
          <w:color w:val="auto"/>
        </w:rPr>
        <w:t>ferta para permitir que se solicite el servicio en una LAC, TAC o RAC completa en meses distintos a febrero y agosto siempre y cuando no exista empalme con los servicios de una tercera red. Asimismo, se permite solicitar la baja de coberturas en cualquier momento. Se mantienen los periodos para las solicitudes que requieran la modificación del área de cobertura con el fin de que Telcel pueda realizar el análisis y dar solución a las solicitudes de los diferentes concesionarios.</w:t>
      </w:r>
    </w:p>
    <w:p w14:paraId="7BE3AA86" w14:textId="72CDB9CD" w:rsidR="0096403F" w:rsidRDefault="0096403F" w:rsidP="0096403F">
      <w:pPr>
        <w:spacing w:after="0" w:line="276" w:lineRule="auto"/>
        <w:ind w:right="0"/>
        <w:rPr>
          <w:rFonts w:ascii="ITC Avant Garde" w:hAnsi="ITC Avant Garde"/>
          <w:color w:val="auto"/>
        </w:rPr>
      </w:pPr>
    </w:p>
    <w:p w14:paraId="69FAFFAA" w14:textId="419A35EE" w:rsidR="0096403F" w:rsidRDefault="0096403F" w:rsidP="0096403F">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6FCAE553" w14:textId="7B45137C" w:rsidR="0096403F" w:rsidRDefault="0096403F" w:rsidP="0096403F">
      <w:pPr>
        <w:spacing w:after="0" w:line="276" w:lineRule="auto"/>
        <w:ind w:right="0"/>
        <w:rPr>
          <w:rFonts w:ascii="ITC Avant Garde" w:hAnsi="ITC Avant Garde"/>
          <w:color w:val="auto"/>
        </w:rPr>
      </w:pPr>
      <w:r w:rsidRPr="0096403F">
        <w:rPr>
          <w:rFonts w:ascii="ITC Avant Garde" w:hAnsi="ITC Avant Garde"/>
          <w:color w:val="auto"/>
        </w:rPr>
        <w:t>Menciona que en los procedimientos de solicitud de servicios el AEP alteró los plazos, por lo que solicita que se restablezca la redacción conforme a la Oferta vigente</w:t>
      </w:r>
      <w:r>
        <w:rPr>
          <w:rFonts w:ascii="ITC Avant Garde" w:hAnsi="ITC Avant Garde"/>
          <w:color w:val="auto"/>
        </w:rPr>
        <w:t>.</w:t>
      </w:r>
    </w:p>
    <w:p w14:paraId="24674C9E" w14:textId="34D045A3" w:rsidR="00A92369" w:rsidRDefault="00A92369" w:rsidP="0096403F">
      <w:pPr>
        <w:spacing w:after="0" w:line="276" w:lineRule="auto"/>
        <w:ind w:right="0"/>
        <w:rPr>
          <w:rFonts w:ascii="ITC Avant Garde" w:hAnsi="ITC Avant Garde"/>
          <w:color w:val="auto"/>
        </w:rPr>
      </w:pPr>
    </w:p>
    <w:p w14:paraId="5EF1A85D" w14:textId="1617FC89" w:rsidR="00A92369" w:rsidRDefault="00A92369" w:rsidP="00A92369">
      <w:pPr>
        <w:spacing w:after="0" w:line="276" w:lineRule="auto"/>
        <w:ind w:left="0" w:right="0" w:firstLine="0"/>
        <w:rPr>
          <w:rFonts w:ascii="ITC Avant Garde" w:hAnsi="ITC Avant Garde"/>
          <w:b/>
          <w:color w:val="auto"/>
        </w:rPr>
      </w:pPr>
      <w:r>
        <w:rPr>
          <w:rFonts w:ascii="ITC Avant Garde" w:hAnsi="ITC Avant Garde"/>
          <w:b/>
          <w:color w:val="auto"/>
        </w:rPr>
        <w:t>Altán:</w:t>
      </w:r>
    </w:p>
    <w:p w14:paraId="3A1BDD11" w14:textId="14C44D67" w:rsidR="00A92369" w:rsidRDefault="00A92369" w:rsidP="00A92369">
      <w:pPr>
        <w:spacing w:after="0" w:line="276" w:lineRule="auto"/>
        <w:ind w:right="0"/>
        <w:rPr>
          <w:rFonts w:ascii="ITC Avant Garde" w:hAnsi="ITC Avant Garde"/>
          <w:color w:val="auto"/>
        </w:rPr>
      </w:pPr>
      <w:r w:rsidRPr="00A92369">
        <w:rPr>
          <w:rFonts w:ascii="ITC Avant Garde" w:hAnsi="ITC Avant Garde"/>
          <w:color w:val="auto"/>
        </w:rPr>
        <w:t xml:space="preserve">Señala que en </w:t>
      </w:r>
      <w:r>
        <w:rPr>
          <w:rFonts w:ascii="ITC Avant Garde" w:hAnsi="ITC Avant Garde"/>
          <w:color w:val="auto"/>
        </w:rPr>
        <w:t xml:space="preserve">el </w:t>
      </w:r>
      <w:r w:rsidRPr="00A92369">
        <w:rPr>
          <w:rFonts w:ascii="ITC Avant Garde" w:hAnsi="ITC Avant Garde"/>
          <w:color w:val="auto"/>
        </w:rPr>
        <w:t>punto 6  se reduce el tiempo para solicitar la división parcial de las LAC, RAC y TAC solicitadas de 15 a 10 días, mientras que en el punto 7 se amplía el plazo para que el AEP realice las divisiones de 10 a 15 días, adicional a ello menciona que se amplían los plazos para que el AEP implemente lo servicios solicitados de 60 a 70 días en el caso de solicitudes completas, y de 100 a 110 días en el caso de solicitudes parciales, por lo que de acuerdo al principio de mejora continua de servicios se deberían de reducir los tiempos de atención del AEP periódicamente y no aumentarlos como se propone en este numeral, por tanto se deben de mantener los plazos de la Oferta vigente o establecer condiciones más favorables.</w:t>
      </w:r>
    </w:p>
    <w:p w14:paraId="119C36DC" w14:textId="77777777" w:rsidR="00A92369" w:rsidRPr="00A92369" w:rsidRDefault="00A92369" w:rsidP="00A92369">
      <w:pPr>
        <w:spacing w:after="0" w:line="276" w:lineRule="auto"/>
        <w:ind w:right="0"/>
        <w:rPr>
          <w:rFonts w:ascii="ITC Avant Garde" w:hAnsi="ITC Avant Garde"/>
          <w:color w:val="auto"/>
        </w:rPr>
      </w:pPr>
    </w:p>
    <w:p w14:paraId="59FC9D2E" w14:textId="77777777" w:rsidR="00A92369" w:rsidRDefault="00A92369" w:rsidP="00A92369">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50C45C6" w14:textId="333A1930" w:rsidR="00A92369" w:rsidRDefault="00A92369" w:rsidP="0096403F">
      <w:pPr>
        <w:spacing w:after="0" w:line="276" w:lineRule="auto"/>
        <w:ind w:right="0"/>
        <w:rPr>
          <w:rFonts w:ascii="ITC Avant Garde" w:hAnsi="ITC Avant Garde"/>
          <w:color w:val="auto"/>
        </w:rPr>
      </w:pPr>
      <w:r w:rsidRPr="00A92369">
        <w:rPr>
          <w:rFonts w:ascii="ITC Avant Garde" w:hAnsi="ITC Avant Garde"/>
          <w:color w:val="auto"/>
        </w:rPr>
        <w:t>Se establecen los mismos plazos que la Oferta vigente para el alta de las áreas de servicio</w:t>
      </w:r>
      <w:r w:rsidR="00894965">
        <w:rPr>
          <w:rFonts w:ascii="ITC Avant Garde" w:hAnsi="ITC Avant Garde"/>
          <w:color w:val="auto"/>
        </w:rPr>
        <w:t>.</w:t>
      </w:r>
    </w:p>
    <w:p w14:paraId="56E522C0" w14:textId="46DB439C" w:rsidR="00894965" w:rsidRDefault="00894965" w:rsidP="0096403F">
      <w:pPr>
        <w:spacing w:after="0" w:line="276" w:lineRule="auto"/>
        <w:ind w:right="0"/>
        <w:rPr>
          <w:rFonts w:ascii="ITC Avant Garde" w:hAnsi="ITC Avant Garde"/>
          <w:color w:val="auto"/>
        </w:rPr>
      </w:pPr>
    </w:p>
    <w:p w14:paraId="5812E41F" w14:textId="40B27A43" w:rsidR="00894965" w:rsidRDefault="00894965" w:rsidP="00894965">
      <w:pPr>
        <w:spacing w:after="0" w:line="276" w:lineRule="auto"/>
        <w:ind w:left="-5" w:right="49"/>
        <w:rPr>
          <w:rFonts w:ascii="ITC Avant Garde" w:hAnsi="ITC Avant Garde"/>
          <w:b/>
          <w:color w:val="auto"/>
          <w:u w:val="single"/>
        </w:rPr>
      </w:pPr>
      <w:r w:rsidRPr="00894965">
        <w:rPr>
          <w:rFonts w:ascii="ITC Avant Garde" w:hAnsi="ITC Avant Garde"/>
          <w:b/>
          <w:color w:val="auto"/>
          <w:u w:val="single"/>
        </w:rPr>
        <w:t>Anexo XI. Convenio de Servicios Mayoristas de Usuario Visitante</w:t>
      </w:r>
    </w:p>
    <w:p w14:paraId="1A093B34" w14:textId="77777777" w:rsidR="00894965" w:rsidRDefault="00894965" w:rsidP="00894965">
      <w:pPr>
        <w:spacing w:after="0" w:line="276" w:lineRule="auto"/>
        <w:ind w:left="-5" w:right="49"/>
        <w:rPr>
          <w:rFonts w:ascii="ITC Avant Garde" w:hAnsi="ITC Avant Garde"/>
          <w:b/>
          <w:color w:val="auto"/>
          <w:u w:val="single"/>
        </w:rPr>
      </w:pPr>
    </w:p>
    <w:p w14:paraId="3E21419C" w14:textId="78793C9B" w:rsidR="00894965" w:rsidRDefault="00894965" w:rsidP="00894965">
      <w:pPr>
        <w:spacing w:after="0" w:line="276" w:lineRule="auto"/>
        <w:ind w:left="0" w:right="0" w:firstLine="0"/>
        <w:rPr>
          <w:rFonts w:ascii="ITC Avant Garde" w:hAnsi="ITC Avant Garde"/>
          <w:b/>
          <w:color w:val="auto"/>
          <w:u w:val="single"/>
        </w:rPr>
      </w:pPr>
      <w:r w:rsidRPr="00894965">
        <w:rPr>
          <w:rFonts w:ascii="ITC Avant Garde" w:hAnsi="ITC Avant Garde"/>
          <w:b/>
          <w:color w:val="auto"/>
          <w:u w:val="single"/>
        </w:rPr>
        <w:t>Declaraciones</w:t>
      </w:r>
    </w:p>
    <w:p w14:paraId="5E170084" w14:textId="77777777" w:rsidR="00894965" w:rsidRPr="0096403F" w:rsidRDefault="00894965" w:rsidP="00894965">
      <w:pPr>
        <w:spacing w:after="0" w:line="276" w:lineRule="auto"/>
        <w:ind w:left="0" w:right="0" w:firstLine="0"/>
        <w:rPr>
          <w:rFonts w:ascii="ITC Avant Garde" w:hAnsi="ITC Avant Garde"/>
          <w:b/>
          <w:color w:val="auto"/>
          <w:u w:val="single"/>
        </w:rPr>
      </w:pPr>
    </w:p>
    <w:p w14:paraId="1CDED33E" w14:textId="57C27DE0" w:rsidR="00894965" w:rsidRDefault="00894965" w:rsidP="00894965">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0A74DF74" w14:textId="3B7F3DBC" w:rsidR="00894965" w:rsidRPr="00894965" w:rsidRDefault="00894965" w:rsidP="00894965">
      <w:pPr>
        <w:spacing w:after="0" w:line="276" w:lineRule="auto"/>
        <w:ind w:right="0"/>
        <w:rPr>
          <w:rFonts w:ascii="ITC Avant Garde" w:hAnsi="ITC Avant Garde"/>
          <w:color w:val="auto"/>
        </w:rPr>
      </w:pPr>
      <w:r w:rsidRPr="00894965">
        <w:rPr>
          <w:rFonts w:ascii="ITC Avant Garde" w:hAnsi="ITC Avant Garde"/>
          <w:color w:val="auto"/>
        </w:rPr>
        <w:t>Señala que los incisos d), f) y g) de la sección I así como el inciso d) de la sección II y a) de la sección III</w:t>
      </w:r>
      <w:r>
        <w:rPr>
          <w:rFonts w:ascii="ITC Avant Garde" w:hAnsi="ITC Avant Garde"/>
          <w:color w:val="auto"/>
        </w:rPr>
        <w:t xml:space="preserve"> deben ser eliminados</w:t>
      </w:r>
      <w:r w:rsidRPr="00894965">
        <w:rPr>
          <w:rFonts w:ascii="ITC Avant Garde" w:hAnsi="ITC Avant Garde"/>
          <w:color w:val="auto"/>
        </w:rPr>
        <w:t xml:space="preserve"> dado que dichas</w:t>
      </w:r>
      <w:r>
        <w:rPr>
          <w:rFonts w:ascii="ITC Avant Garde" w:hAnsi="ITC Avant Garde"/>
          <w:color w:val="auto"/>
        </w:rPr>
        <w:t xml:space="preserve"> </w:t>
      </w:r>
      <w:r w:rsidRPr="00894965">
        <w:rPr>
          <w:rFonts w:ascii="ITC Avant Garde" w:hAnsi="ITC Avant Garde"/>
          <w:color w:val="auto"/>
        </w:rPr>
        <w:t>cláusulas ponen en riesgo el correcto</w:t>
      </w:r>
      <w:r>
        <w:rPr>
          <w:rFonts w:ascii="ITC Avant Garde" w:hAnsi="ITC Avant Garde"/>
          <w:color w:val="auto"/>
        </w:rPr>
        <w:t xml:space="preserve"> </w:t>
      </w:r>
      <w:r w:rsidRPr="00894965">
        <w:rPr>
          <w:rFonts w:ascii="ITC Avant Garde" w:hAnsi="ITC Avant Garde"/>
          <w:color w:val="auto"/>
        </w:rPr>
        <w:t>funcionamiento</w:t>
      </w:r>
      <w:r>
        <w:rPr>
          <w:rFonts w:ascii="ITC Avant Garde" w:hAnsi="ITC Avant Garde"/>
          <w:color w:val="auto"/>
        </w:rPr>
        <w:t xml:space="preserve"> de la Oferta ya que hacen referen</w:t>
      </w:r>
      <w:r w:rsidRPr="00894965">
        <w:rPr>
          <w:rFonts w:ascii="ITC Avant Garde" w:hAnsi="ITC Avant Garde"/>
          <w:color w:val="auto"/>
        </w:rPr>
        <w:t xml:space="preserve">cia a condiciones ajenas al objeto de la Oferta, las cuales no deben de afectar a la contraparte. </w:t>
      </w:r>
      <w:r w:rsidRPr="00894965">
        <w:rPr>
          <w:rFonts w:ascii="ITC Avant Garde" w:hAnsi="ITC Avant Garde"/>
          <w:color w:val="auto"/>
        </w:rPr>
        <w:lastRenderedPageBreak/>
        <w:t>Asimismo, señala no tiene ninguna relevancia que el AEP resalte en el Convenio que ha impugnado resoluciones o mandatos de Ley, por lo que sugiere su eliminación</w:t>
      </w:r>
      <w:r>
        <w:rPr>
          <w:rFonts w:ascii="ITC Avant Garde" w:hAnsi="ITC Avant Garde"/>
          <w:color w:val="auto"/>
        </w:rPr>
        <w:t>.</w:t>
      </w:r>
    </w:p>
    <w:p w14:paraId="30BDF8DC" w14:textId="77777777" w:rsidR="00894965" w:rsidRDefault="00894965" w:rsidP="00894965">
      <w:pPr>
        <w:spacing w:after="0" w:line="276" w:lineRule="auto"/>
        <w:ind w:right="0"/>
        <w:rPr>
          <w:rFonts w:ascii="ITC Avant Garde" w:hAnsi="ITC Avant Garde"/>
          <w:color w:val="auto"/>
        </w:rPr>
      </w:pPr>
    </w:p>
    <w:p w14:paraId="07E0ED9B" w14:textId="77777777" w:rsidR="00894965" w:rsidRDefault="00894965" w:rsidP="00894965">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1049F09" w14:textId="3632E2C7" w:rsidR="00894965" w:rsidRDefault="00894965" w:rsidP="0096403F">
      <w:pPr>
        <w:spacing w:after="0" w:line="276" w:lineRule="auto"/>
        <w:ind w:right="0"/>
        <w:rPr>
          <w:rFonts w:ascii="ITC Avant Garde" w:hAnsi="ITC Avant Garde"/>
          <w:color w:val="auto"/>
        </w:rPr>
      </w:pPr>
      <w:r w:rsidRPr="00894965">
        <w:rPr>
          <w:rFonts w:ascii="ITC Avant Garde" w:hAnsi="ITC Avant Garde"/>
          <w:color w:val="auto"/>
        </w:rPr>
        <w:t>La sección I corresponde a declaraciones del AEP las cuales no representan obligaciones ni para el AEP</w:t>
      </w:r>
      <w:r w:rsidR="00EC28BE">
        <w:rPr>
          <w:rFonts w:ascii="ITC Avant Garde" w:hAnsi="ITC Avant Garde"/>
          <w:color w:val="auto"/>
        </w:rPr>
        <w:t>,</w:t>
      </w:r>
      <w:r w:rsidRPr="00894965">
        <w:rPr>
          <w:rFonts w:ascii="ITC Avant Garde" w:hAnsi="ITC Avant Garde"/>
          <w:color w:val="auto"/>
        </w:rPr>
        <w:t xml:space="preserve"> ni para el concesionario. Asimismo, la condición señalada en el incido d) de la secció</w:t>
      </w:r>
      <w:r>
        <w:rPr>
          <w:rFonts w:ascii="ITC Avant Garde" w:hAnsi="ITC Avant Garde"/>
          <w:color w:val="auto"/>
        </w:rPr>
        <w:t>n II y en el inciso a) de la se</w:t>
      </w:r>
      <w:r w:rsidRPr="00894965">
        <w:rPr>
          <w:rFonts w:ascii="ITC Avant Garde" w:hAnsi="ITC Avant Garde"/>
          <w:color w:val="auto"/>
        </w:rPr>
        <w:t>cción III también se aplican el AEP por lo cual es una condición recíproca</w:t>
      </w:r>
      <w:r w:rsidR="00EF55A5">
        <w:rPr>
          <w:rFonts w:ascii="ITC Avant Garde" w:hAnsi="ITC Avant Garde"/>
          <w:color w:val="auto"/>
        </w:rPr>
        <w:t>.</w:t>
      </w:r>
    </w:p>
    <w:p w14:paraId="01D7AA92" w14:textId="60F9F5B5" w:rsidR="00F3285D" w:rsidRDefault="00F3285D" w:rsidP="0096403F">
      <w:pPr>
        <w:spacing w:after="0" w:line="276" w:lineRule="auto"/>
        <w:ind w:right="0"/>
        <w:rPr>
          <w:rFonts w:ascii="ITC Avant Garde" w:hAnsi="ITC Avant Garde"/>
          <w:b/>
          <w:color w:val="auto"/>
          <w:u w:val="single"/>
        </w:rPr>
      </w:pPr>
    </w:p>
    <w:p w14:paraId="4034C776" w14:textId="60FBFE4C" w:rsidR="00F3285D" w:rsidRDefault="00F3285D" w:rsidP="00F3285D">
      <w:pPr>
        <w:spacing w:after="0" w:line="276" w:lineRule="auto"/>
        <w:ind w:right="0"/>
        <w:rPr>
          <w:rFonts w:ascii="ITC Avant Garde" w:hAnsi="ITC Avant Garde"/>
          <w:color w:val="auto"/>
        </w:rPr>
      </w:pPr>
      <w:r>
        <w:rPr>
          <w:rFonts w:ascii="ITC Avant Garde" w:hAnsi="ITC Avant Garde"/>
          <w:b/>
          <w:color w:val="auto"/>
          <w:u w:val="single"/>
        </w:rPr>
        <w:t>2.1 Objeto</w:t>
      </w:r>
    </w:p>
    <w:p w14:paraId="2F18DBB1" w14:textId="77777777" w:rsidR="00EF55A5" w:rsidRDefault="00EF55A5" w:rsidP="0096403F">
      <w:pPr>
        <w:spacing w:after="0" w:line="276" w:lineRule="auto"/>
        <w:ind w:right="0"/>
        <w:rPr>
          <w:rFonts w:ascii="ITC Avant Garde" w:hAnsi="ITC Avant Garde"/>
          <w:color w:val="auto"/>
        </w:rPr>
      </w:pPr>
    </w:p>
    <w:p w14:paraId="505059D9" w14:textId="0FC5F86A" w:rsidR="00EF55A5" w:rsidRDefault="00EF55A5" w:rsidP="00EF55A5">
      <w:pPr>
        <w:spacing w:after="0" w:line="276" w:lineRule="auto"/>
        <w:ind w:left="0" w:right="0" w:firstLine="0"/>
        <w:rPr>
          <w:rFonts w:ascii="ITC Avant Garde" w:hAnsi="ITC Avant Garde"/>
          <w:b/>
          <w:color w:val="auto"/>
        </w:rPr>
      </w:pPr>
      <w:r>
        <w:rPr>
          <w:rFonts w:ascii="ITC Avant Garde" w:hAnsi="ITC Avant Garde"/>
          <w:b/>
          <w:color w:val="auto"/>
        </w:rPr>
        <w:t>Altán:</w:t>
      </w:r>
    </w:p>
    <w:p w14:paraId="7E2721BD" w14:textId="4E9F1533" w:rsidR="00EF55A5" w:rsidRDefault="00EF55A5" w:rsidP="00EF55A5">
      <w:pPr>
        <w:spacing w:after="0" w:line="276" w:lineRule="auto"/>
        <w:ind w:right="0"/>
        <w:rPr>
          <w:rFonts w:ascii="ITC Avant Garde" w:hAnsi="ITC Avant Garde"/>
          <w:color w:val="auto"/>
        </w:rPr>
      </w:pPr>
      <w:r w:rsidRPr="00EF55A5">
        <w:rPr>
          <w:rFonts w:ascii="ITC Avant Garde" w:hAnsi="ITC Avant Garde"/>
          <w:color w:val="auto"/>
        </w:rPr>
        <w:t xml:space="preserve">Se debe eliminar la restricción de "uso exclusivo de usuarios finales" dado que se debe permitir los modelos de negocio mayoristas. </w:t>
      </w:r>
      <w:r w:rsidR="00F3285D" w:rsidRPr="00EF55A5">
        <w:rPr>
          <w:rFonts w:ascii="ITC Avant Garde" w:hAnsi="ITC Avant Garde"/>
          <w:color w:val="auto"/>
        </w:rPr>
        <w:t>Asimismo,</w:t>
      </w:r>
      <w:r w:rsidRPr="00EF55A5">
        <w:rPr>
          <w:rFonts w:ascii="ITC Avant Garde" w:hAnsi="ITC Avant Garde"/>
          <w:color w:val="auto"/>
        </w:rPr>
        <w:t xml:space="preserve"> señala que se eliminó un párrafo adicional que se incluyó en la Oferta vigente en </w:t>
      </w:r>
      <w:r w:rsidR="00F3285D" w:rsidRPr="00EF55A5">
        <w:rPr>
          <w:rFonts w:ascii="ITC Avant Garde" w:hAnsi="ITC Avant Garde"/>
          <w:color w:val="auto"/>
        </w:rPr>
        <w:t>el que</w:t>
      </w:r>
      <w:r w:rsidRPr="00EF55A5">
        <w:rPr>
          <w:rFonts w:ascii="ITC Avant Garde" w:hAnsi="ITC Avant Garde"/>
          <w:color w:val="auto"/>
        </w:rPr>
        <w:t xml:space="preserve"> se prevé la obligación del AEP de realizar las adaptaciones técnicas que fueran necesarios para soportar </w:t>
      </w:r>
      <w:r w:rsidR="00F3285D" w:rsidRPr="00EF55A5">
        <w:rPr>
          <w:rFonts w:ascii="ITC Avant Garde" w:hAnsi="ITC Avant Garde"/>
          <w:color w:val="auto"/>
        </w:rPr>
        <w:t>servicios mayoristas</w:t>
      </w:r>
      <w:r w:rsidRPr="00EF55A5">
        <w:rPr>
          <w:rFonts w:ascii="ITC Avant Garde" w:hAnsi="ITC Avant Garde"/>
          <w:color w:val="auto"/>
        </w:rPr>
        <w:t>, por lo que también considera que se debe mantener dicho párrafo.</w:t>
      </w:r>
    </w:p>
    <w:p w14:paraId="0D2E81E2" w14:textId="77777777" w:rsidR="00EF55A5" w:rsidRPr="00EF55A5" w:rsidRDefault="00EF55A5" w:rsidP="00EF55A5">
      <w:pPr>
        <w:spacing w:after="0" w:line="276" w:lineRule="auto"/>
        <w:ind w:right="0"/>
        <w:rPr>
          <w:rFonts w:ascii="ITC Avant Garde" w:hAnsi="ITC Avant Garde"/>
          <w:color w:val="auto"/>
        </w:rPr>
      </w:pPr>
    </w:p>
    <w:p w14:paraId="3E46551C" w14:textId="77777777" w:rsidR="00EF55A5" w:rsidRDefault="00EF55A5" w:rsidP="00EF55A5">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A6FB64B" w14:textId="76DFB39D" w:rsidR="00EF55A5" w:rsidRDefault="00EF55A5" w:rsidP="00EF55A5">
      <w:pPr>
        <w:spacing w:after="0" w:line="276" w:lineRule="auto"/>
        <w:ind w:right="0"/>
        <w:rPr>
          <w:rFonts w:ascii="ITC Avant Garde" w:hAnsi="ITC Avant Garde"/>
          <w:color w:val="auto"/>
        </w:rPr>
      </w:pPr>
      <w:r w:rsidRPr="00EF55A5">
        <w:rPr>
          <w:rFonts w:ascii="ITC Avant Garde" w:hAnsi="ITC Avant Garde"/>
          <w:color w:val="auto"/>
        </w:rPr>
        <w:t>Se establecen las mismas condiciones que la Oferta vigente para que un concesionario mayorista pueda contratar los servicios de la Oferta.</w:t>
      </w:r>
    </w:p>
    <w:p w14:paraId="6B96AC31" w14:textId="3AA1A85B" w:rsidR="00F3285D" w:rsidRDefault="00F3285D" w:rsidP="00EF55A5">
      <w:pPr>
        <w:spacing w:after="0" w:line="276" w:lineRule="auto"/>
        <w:ind w:right="0"/>
        <w:rPr>
          <w:rFonts w:ascii="ITC Avant Garde" w:hAnsi="ITC Avant Garde"/>
          <w:color w:val="auto"/>
        </w:rPr>
      </w:pPr>
    </w:p>
    <w:p w14:paraId="75ADFEFC" w14:textId="129B90C6" w:rsidR="00F3285D" w:rsidRDefault="00F3285D" w:rsidP="00F3285D">
      <w:pPr>
        <w:spacing w:after="0" w:line="276" w:lineRule="auto"/>
        <w:ind w:right="0"/>
        <w:rPr>
          <w:rFonts w:ascii="ITC Avant Garde" w:hAnsi="ITC Avant Garde"/>
          <w:color w:val="auto"/>
        </w:rPr>
      </w:pPr>
      <w:r>
        <w:rPr>
          <w:rFonts w:ascii="ITC Avant Garde" w:hAnsi="ITC Avant Garde"/>
          <w:b/>
          <w:color w:val="auto"/>
          <w:u w:val="single"/>
        </w:rPr>
        <w:t>4.1.2</w:t>
      </w:r>
    </w:p>
    <w:p w14:paraId="2F1BFF1C" w14:textId="77777777" w:rsidR="00F3285D" w:rsidRDefault="00F3285D" w:rsidP="00F3285D">
      <w:pPr>
        <w:spacing w:after="0" w:line="276" w:lineRule="auto"/>
        <w:ind w:right="0"/>
        <w:rPr>
          <w:rFonts w:ascii="ITC Avant Garde" w:hAnsi="ITC Avant Garde"/>
          <w:color w:val="auto"/>
        </w:rPr>
      </w:pPr>
    </w:p>
    <w:p w14:paraId="6016AEDC" w14:textId="3134261B" w:rsidR="00F3285D" w:rsidRDefault="00F3285D" w:rsidP="00F3285D">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4C895973" w14:textId="1FE750F0" w:rsidR="00F3285D" w:rsidRDefault="00F3285D" w:rsidP="00F3285D">
      <w:pPr>
        <w:spacing w:after="0" w:line="276" w:lineRule="auto"/>
        <w:ind w:right="0"/>
        <w:rPr>
          <w:rFonts w:ascii="ITC Avant Garde" w:hAnsi="ITC Avant Garde"/>
          <w:color w:val="auto"/>
        </w:rPr>
      </w:pPr>
      <w:r w:rsidRPr="00F3285D">
        <w:rPr>
          <w:rFonts w:ascii="ITC Avant Garde" w:hAnsi="ITC Avant Garde"/>
          <w:color w:val="auto"/>
        </w:rPr>
        <w:t>Señala que el Instituto es el que debe fijar las tarifas sin que exista un proceso de negociación entre el AEP y el concesionario, a no ser que Telcel ofrezca al Concesionario Solicitantes tarifas más bajas que las vigentes en el mercado. Por lo que solicita la eliminación del texto que señala dicha negociación</w:t>
      </w:r>
      <w:r>
        <w:rPr>
          <w:rFonts w:ascii="ITC Avant Garde" w:hAnsi="ITC Avant Garde"/>
          <w:color w:val="auto"/>
        </w:rPr>
        <w:t>.</w:t>
      </w:r>
    </w:p>
    <w:p w14:paraId="0818C2D6" w14:textId="77777777" w:rsidR="00F3285D" w:rsidRPr="00EF55A5" w:rsidRDefault="00F3285D" w:rsidP="00F3285D">
      <w:pPr>
        <w:spacing w:after="0" w:line="276" w:lineRule="auto"/>
        <w:ind w:right="0"/>
        <w:rPr>
          <w:rFonts w:ascii="ITC Avant Garde" w:hAnsi="ITC Avant Garde"/>
          <w:color w:val="auto"/>
        </w:rPr>
      </w:pPr>
    </w:p>
    <w:p w14:paraId="4C395E41" w14:textId="77777777" w:rsidR="00F3285D" w:rsidRDefault="00F3285D" w:rsidP="00F3285D">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6C475AF" w14:textId="42CF71D4" w:rsidR="00F3285D" w:rsidRDefault="00F3285D" w:rsidP="00EF55A5">
      <w:pPr>
        <w:spacing w:after="0" w:line="276" w:lineRule="auto"/>
        <w:ind w:right="0"/>
        <w:rPr>
          <w:rFonts w:ascii="ITC Avant Garde" w:hAnsi="ITC Avant Garde"/>
          <w:color w:val="auto"/>
        </w:rPr>
      </w:pPr>
      <w:r>
        <w:rPr>
          <w:rFonts w:ascii="ITC Avant Garde" w:hAnsi="ITC Avant Garde"/>
          <w:color w:val="auto"/>
        </w:rPr>
        <w:t>El</w:t>
      </w:r>
      <w:r w:rsidRPr="00F3285D">
        <w:rPr>
          <w:rFonts w:ascii="ITC Avant Garde" w:hAnsi="ITC Avant Garde"/>
          <w:color w:val="auto"/>
        </w:rPr>
        <w:t xml:space="preserve"> numeral es acorde a la Medida Sexagésima la cual establece que el concesionario y el AEP podrán negociar entre sí nuevas tarifas y únicamente en caso de desacuerdo el Instituto las determinará.</w:t>
      </w:r>
    </w:p>
    <w:p w14:paraId="2B4EA2F1" w14:textId="2952E6EC" w:rsidR="0004667E" w:rsidRDefault="0004667E" w:rsidP="00EF55A5">
      <w:pPr>
        <w:spacing w:after="0" w:line="276" w:lineRule="auto"/>
        <w:ind w:right="0"/>
        <w:rPr>
          <w:rFonts w:ascii="ITC Avant Garde" w:hAnsi="ITC Avant Garde"/>
          <w:color w:val="auto"/>
        </w:rPr>
      </w:pPr>
    </w:p>
    <w:p w14:paraId="06009FF0" w14:textId="77777777" w:rsidR="0004667E" w:rsidRDefault="0004667E" w:rsidP="0004667E">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695CE40D" w14:textId="35756349" w:rsidR="0004667E" w:rsidRPr="0004667E" w:rsidRDefault="0004667E" w:rsidP="0004667E">
      <w:pPr>
        <w:spacing w:after="0" w:line="276" w:lineRule="auto"/>
        <w:ind w:right="0"/>
        <w:rPr>
          <w:rFonts w:ascii="ITC Avant Garde" w:hAnsi="ITC Avant Garde"/>
          <w:color w:val="auto"/>
        </w:rPr>
      </w:pPr>
      <w:r w:rsidRPr="0004667E">
        <w:rPr>
          <w:rFonts w:ascii="ITC Avant Garde" w:hAnsi="ITC Avant Garde"/>
          <w:color w:val="auto"/>
        </w:rPr>
        <w:t xml:space="preserve">Solicita que las nuevas condiciones impuestas por el Instituto en la Oferta de Referencia reemplacen automáticamente a aquellas consideradas en el Convenio entre operadores. Además, señala que las revisiones de las tarifas se deben realizar </w:t>
      </w:r>
      <w:r w:rsidRPr="0004667E">
        <w:rPr>
          <w:rFonts w:ascii="ITC Avant Garde" w:hAnsi="ITC Avant Garde"/>
          <w:color w:val="auto"/>
        </w:rPr>
        <w:lastRenderedPageBreak/>
        <w:t>cuando el Instituto lo considere oportuno por lo que propone eliminar el texto "dentr</w:t>
      </w:r>
      <w:r w:rsidR="00EC28BE">
        <w:rPr>
          <w:rFonts w:ascii="ITC Avant Garde" w:hAnsi="ITC Avant Garde"/>
          <w:color w:val="auto"/>
        </w:rPr>
        <w:t>o</w:t>
      </w:r>
      <w:r w:rsidRPr="0004667E">
        <w:rPr>
          <w:rFonts w:ascii="ITC Avant Garde" w:hAnsi="ITC Avant Garde"/>
          <w:color w:val="auto"/>
        </w:rPr>
        <w:t xml:space="preserve"> de algún periodo de duración de las prórrogas"</w:t>
      </w:r>
    </w:p>
    <w:p w14:paraId="03E4C5E6" w14:textId="77777777" w:rsidR="0004667E" w:rsidRPr="00EF55A5" w:rsidRDefault="0004667E" w:rsidP="0004667E">
      <w:pPr>
        <w:spacing w:after="0" w:line="276" w:lineRule="auto"/>
        <w:ind w:right="0"/>
        <w:rPr>
          <w:rFonts w:ascii="ITC Avant Garde" w:hAnsi="ITC Avant Garde"/>
          <w:color w:val="auto"/>
        </w:rPr>
      </w:pPr>
    </w:p>
    <w:p w14:paraId="7A88BCC7" w14:textId="723C4A78" w:rsidR="0004667E" w:rsidRDefault="0004667E" w:rsidP="0004667E">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0E01D28F" w14:textId="31B96B8B" w:rsidR="0004667E" w:rsidRDefault="0004667E" w:rsidP="0004667E">
      <w:pPr>
        <w:spacing w:after="0" w:line="276" w:lineRule="auto"/>
        <w:ind w:right="0"/>
        <w:rPr>
          <w:rFonts w:ascii="ITC Avant Garde" w:hAnsi="ITC Avant Garde"/>
          <w:color w:val="auto"/>
        </w:rPr>
      </w:pPr>
      <w:r w:rsidRPr="0004667E">
        <w:rPr>
          <w:rFonts w:ascii="ITC Avant Garde" w:hAnsi="ITC Avant Garde"/>
          <w:color w:val="auto"/>
        </w:rPr>
        <w:t>El párrafo en cuestión no es limitativo ya que las tarifas resueltas por el Instituto derivado de un procedimiento de desacuerdo formarán parte del convenio tal como lo establece la Medida Sexagésima de las Medidas Móviles. Asimismo, el AEP y el concesionario pueden negociar una nueva tarifa independientemente de las establecidas en la Oferta de Referencia tal como señala la m</w:t>
      </w:r>
      <w:r w:rsidR="00830B1D">
        <w:rPr>
          <w:rFonts w:ascii="ITC Avant Garde" w:hAnsi="ITC Avant Garde"/>
          <w:color w:val="auto"/>
        </w:rPr>
        <w:t>edida S</w:t>
      </w:r>
      <w:r w:rsidRPr="0004667E">
        <w:rPr>
          <w:rFonts w:ascii="ITC Avant Garde" w:hAnsi="ITC Avant Garde"/>
          <w:color w:val="auto"/>
        </w:rPr>
        <w:t>exagésima</w:t>
      </w:r>
      <w:r>
        <w:rPr>
          <w:rFonts w:ascii="ITC Avant Garde" w:hAnsi="ITC Avant Garde"/>
          <w:color w:val="auto"/>
        </w:rPr>
        <w:t>.</w:t>
      </w:r>
    </w:p>
    <w:p w14:paraId="2B57DF5F" w14:textId="58EC81A1" w:rsidR="00C34E39" w:rsidRDefault="00C34E39" w:rsidP="0004667E">
      <w:pPr>
        <w:spacing w:after="0" w:line="276" w:lineRule="auto"/>
        <w:ind w:right="0"/>
        <w:rPr>
          <w:rFonts w:ascii="ITC Avant Garde" w:hAnsi="ITC Avant Garde"/>
          <w:color w:val="auto"/>
        </w:rPr>
      </w:pPr>
    </w:p>
    <w:p w14:paraId="72B30017" w14:textId="77777777" w:rsidR="00C34E39" w:rsidRDefault="00C34E39" w:rsidP="00C34E39">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16FA250B" w14:textId="35609010" w:rsidR="00C34E39" w:rsidRDefault="00C34E39" w:rsidP="00C34E39">
      <w:pPr>
        <w:spacing w:after="0" w:line="276" w:lineRule="auto"/>
        <w:ind w:right="0"/>
        <w:rPr>
          <w:rFonts w:ascii="ITC Avant Garde" w:hAnsi="ITC Avant Garde"/>
          <w:color w:val="auto"/>
        </w:rPr>
      </w:pPr>
      <w:r w:rsidRPr="00C34E39">
        <w:rPr>
          <w:rFonts w:ascii="ITC Avant Garde" w:hAnsi="ITC Avant Garde"/>
          <w:color w:val="auto"/>
        </w:rPr>
        <w:t>Solicita eliminar el último párrafo del numeral</w:t>
      </w:r>
      <w:r>
        <w:rPr>
          <w:rFonts w:ascii="ITC Avant Garde" w:hAnsi="ITC Avant Garde"/>
          <w:color w:val="auto"/>
        </w:rPr>
        <w:t xml:space="preserve"> 4.1.2</w:t>
      </w:r>
      <w:r w:rsidRPr="00C34E39">
        <w:rPr>
          <w:rFonts w:ascii="ITC Avant Garde" w:hAnsi="ITC Avant Garde"/>
          <w:color w:val="auto"/>
        </w:rPr>
        <w:t xml:space="preserve"> ya que no se debe permitir que las tarifas dejen de estar vigentes porque el AEP sigue estando obligado a prestar el servicio por su naturaleza de preponderante.</w:t>
      </w:r>
    </w:p>
    <w:p w14:paraId="3EECA29A" w14:textId="77777777" w:rsidR="00C34E39" w:rsidRPr="00EF55A5" w:rsidRDefault="00C34E39" w:rsidP="00C34E39">
      <w:pPr>
        <w:spacing w:after="0" w:line="276" w:lineRule="auto"/>
        <w:ind w:right="0"/>
        <w:rPr>
          <w:rFonts w:ascii="ITC Avant Garde" w:hAnsi="ITC Avant Garde"/>
          <w:color w:val="auto"/>
        </w:rPr>
      </w:pPr>
    </w:p>
    <w:p w14:paraId="156BD617" w14:textId="77777777" w:rsidR="00C34E39" w:rsidRDefault="00C34E39" w:rsidP="00C34E39">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0435F454" w14:textId="062C241B" w:rsidR="00C34E39" w:rsidRPr="0004667E" w:rsidRDefault="00C34E39" w:rsidP="0004667E">
      <w:pPr>
        <w:spacing w:after="0" w:line="276" w:lineRule="auto"/>
        <w:ind w:right="0"/>
        <w:rPr>
          <w:rFonts w:ascii="ITC Avant Garde" w:hAnsi="ITC Avant Garde"/>
          <w:color w:val="auto"/>
        </w:rPr>
      </w:pPr>
      <w:r w:rsidRPr="00C34E39">
        <w:rPr>
          <w:rFonts w:ascii="ITC Avant Garde" w:hAnsi="ITC Avant Garde"/>
          <w:color w:val="auto"/>
        </w:rPr>
        <w:t>No existe la posibilidad de que el AEP deje de prestar los servicios de la Oferta de Referencia derivado del término de la vigencia de ésta en términos de la medida Septuagésima Quinta de las Medidas Móviles</w:t>
      </w:r>
      <w:r>
        <w:rPr>
          <w:rFonts w:ascii="ITC Avant Garde" w:hAnsi="ITC Avant Garde"/>
          <w:color w:val="auto"/>
        </w:rPr>
        <w:t>.</w:t>
      </w:r>
    </w:p>
    <w:p w14:paraId="18B31C04" w14:textId="21CC8F1B" w:rsidR="00D43A38" w:rsidRDefault="00D43A38" w:rsidP="00EF55A5">
      <w:pPr>
        <w:spacing w:after="0" w:line="276" w:lineRule="auto"/>
        <w:ind w:right="0"/>
        <w:rPr>
          <w:rFonts w:ascii="ITC Avant Garde" w:hAnsi="ITC Avant Garde"/>
          <w:color w:val="auto"/>
        </w:rPr>
      </w:pPr>
    </w:p>
    <w:p w14:paraId="4FEC24FD" w14:textId="5E2F2389" w:rsidR="00D43A38" w:rsidRDefault="00D43A38" w:rsidP="00D43A38">
      <w:pPr>
        <w:spacing w:after="0" w:line="276" w:lineRule="auto"/>
        <w:ind w:right="0"/>
        <w:rPr>
          <w:rFonts w:ascii="ITC Avant Garde" w:hAnsi="ITC Avant Garde"/>
          <w:b/>
          <w:color w:val="auto"/>
          <w:u w:val="single"/>
        </w:rPr>
      </w:pPr>
      <w:r w:rsidRPr="00D43A38">
        <w:rPr>
          <w:rFonts w:ascii="ITC Avant Garde" w:hAnsi="ITC Avant Garde"/>
          <w:b/>
          <w:color w:val="auto"/>
          <w:u w:val="single"/>
        </w:rPr>
        <w:t>4.1.3 INCUMPLIMIENTO DE PAGO</w:t>
      </w:r>
    </w:p>
    <w:p w14:paraId="51732A11" w14:textId="77777777" w:rsidR="00D43A38" w:rsidRPr="00D43A38" w:rsidRDefault="00D43A38" w:rsidP="00D43A38">
      <w:pPr>
        <w:spacing w:after="0" w:line="276" w:lineRule="auto"/>
        <w:ind w:right="0"/>
        <w:rPr>
          <w:rFonts w:ascii="ITC Avant Garde" w:hAnsi="ITC Avant Garde"/>
          <w:b/>
          <w:color w:val="auto"/>
          <w:u w:val="single"/>
        </w:rPr>
      </w:pPr>
    </w:p>
    <w:p w14:paraId="3153DB0C" w14:textId="77777777" w:rsidR="00D43A38" w:rsidRDefault="00D43A38" w:rsidP="00D43A38">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234BE5D1" w14:textId="211FD6AE" w:rsidR="00D43A38" w:rsidRDefault="00D43A38" w:rsidP="00D43A38">
      <w:pPr>
        <w:spacing w:after="0" w:line="276" w:lineRule="auto"/>
        <w:ind w:right="0"/>
        <w:rPr>
          <w:rFonts w:ascii="ITC Avant Garde" w:hAnsi="ITC Avant Garde"/>
          <w:color w:val="auto"/>
        </w:rPr>
      </w:pPr>
      <w:r>
        <w:rPr>
          <w:rFonts w:ascii="ITC Avant Garde" w:hAnsi="ITC Avant Garde"/>
          <w:color w:val="auto"/>
        </w:rPr>
        <w:t>Solicita</w:t>
      </w:r>
      <w:r w:rsidRPr="00D43A38">
        <w:rPr>
          <w:rFonts w:ascii="ITC Avant Garde" w:hAnsi="ITC Avant Garde"/>
          <w:color w:val="auto"/>
        </w:rPr>
        <w:t xml:space="preserve"> que se revisen los apartados referidos al incumplimiento de pago y suspensión de los servicios de oferta por falta de pago a fin de que la prestación de estos servicios no se suspenda automáticamente por falta de pago, dado que los servicios de telecomunicaciones son servicios concesionados. La suspensión del convenio por falta de pago debería ser posible solamente en incumplimiento reiterado, por ejemplo, que se produzca en varias ocasiones consecutivas sin causa justificada y por los montos totales de las facturas.</w:t>
      </w:r>
    </w:p>
    <w:p w14:paraId="07B4E67D" w14:textId="77777777" w:rsidR="00D43A38" w:rsidRPr="00EF55A5" w:rsidRDefault="00D43A38" w:rsidP="00D43A38">
      <w:pPr>
        <w:spacing w:after="0" w:line="276" w:lineRule="auto"/>
        <w:ind w:right="0"/>
        <w:rPr>
          <w:rFonts w:ascii="ITC Avant Garde" w:hAnsi="ITC Avant Garde"/>
          <w:color w:val="auto"/>
        </w:rPr>
      </w:pPr>
    </w:p>
    <w:p w14:paraId="31BC3B59" w14:textId="77777777" w:rsidR="00D43A38" w:rsidRDefault="00D43A38" w:rsidP="00D43A38">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F9ACE9C" w14:textId="46079322" w:rsidR="00D43A38" w:rsidRDefault="00D43A38" w:rsidP="00EF55A5">
      <w:pPr>
        <w:spacing w:after="0" w:line="276" w:lineRule="auto"/>
        <w:ind w:right="0"/>
        <w:rPr>
          <w:rFonts w:ascii="ITC Avant Garde" w:hAnsi="ITC Avant Garde"/>
          <w:color w:val="auto"/>
        </w:rPr>
      </w:pPr>
      <w:r w:rsidRPr="00D43A38">
        <w:rPr>
          <w:rFonts w:ascii="ITC Avant Garde" w:hAnsi="ITC Avant Garde"/>
          <w:color w:val="auto"/>
        </w:rPr>
        <w:t>Al tratarse de una relación comercial, es preciso que el concesionario remunere en todo momento al AEP por los servicios prestados. Asimismo, se observa que el concesionario cuenta con 18 días naturales para realizar el pago de las contraprestaciones por los servicios prestados, por lo cual el proceso de cobro de los servicios y suspensión del mismo por falta de pago no se puede considerar arbitrario ya que el concesionario cuenta con 18 días naturales a efecto de cubrir las contraprestaciones y regularizar las garantías que apliquen dentro del Convenio.</w:t>
      </w:r>
    </w:p>
    <w:p w14:paraId="6794E31A" w14:textId="5A35570A" w:rsidR="0038166F" w:rsidRDefault="0038166F" w:rsidP="00EF55A5">
      <w:pPr>
        <w:spacing w:after="0" w:line="276" w:lineRule="auto"/>
        <w:ind w:right="0"/>
        <w:rPr>
          <w:rFonts w:ascii="ITC Avant Garde" w:hAnsi="ITC Avant Garde"/>
          <w:color w:val="auto"/>
        </w:rPr>
      </w:pPr>
    </w:p>
    <w:p w14:paraId="178C094D" w14:textId="1A1EF7A2" w:rsidR="0038166F" w:rsidRDefault="0038166F" w:rsidP="0038166F">
      <w:pPr>
        <w:spacing w:after="0" w:line="276" w:lineRule="auto"/>
        <w:ind w:right="0"/>
        <w:rPr>
          <w:rFonts w:ascii="ITC Avant Garde" w:hAnsi="ITC Avant Garde"/>
          <w:b/>
          <w:color w:val="auto"/>
          <w:u w:val="single"/>
        </w:rPr>
      </w:pPr>
      <w:r w:rsidRPr="0038166F">
        <w:rPr>
          <w:rFonts w:ascii="ITC Avant Garde" w:hAnsi="ITC Avant Garde"/>
          <w:b/>
          <w:color w:val="auto"/>
          <w:u w:val="single"/>
        </w:rPr>
        <w:t>4.2 LUGAR Y FORMA DE PAGO</w:t>
      </w:r>
    </w:p>
    <w:p w14:paraId="310EBD59" w14:textId="77777777" w:rsidR="0038166F" w:rsidRPr="0038166F" w:rsidRDefault="0038166F" w:rsidP="0038166F">
      <w:pPr>
        <w:spacing w:after="0" w:line="276" w:lineRule="auto"/>
        <w:ind w:right="0"/>
        <w:rPr>
          <w:rFonts w:ascii="ITC Avant Garde" w:hAnsi="ITC Avant Garde"/>
          <w:b/>
          <w:color w:val="auto"/>
          <w:u w:val="single"/>
        </w:rPr>
      </w:pPr>
    </w:p>
    <w:p w14:paraId="724D912B" w14:textId="77777777" w:rsidR="0038166F" w:rsidRDefault="0038166F" w:rsidP="0038166F">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4B5900AF" w14:textId="481D9C05" w:rsidR="0038166F" w:rsidRDefault="0038166F" w:rsidP="00EF55A5">
      <w:pPr>
        <w:spacing w:after="0" w:line="276" w:lineRule="auto"/>
        <w:ind w:right="0"/>
        <w:rPr>
          <w:rFonts w:ascii="ITC Avant Garde" w:hAnsi="ITC Avant Garde"/>
          <w:color w:val="auto"/>
        </w:rPr>
      </w:pPr>
      <w:r>
        <w:rPr>
          <w:rFonts w:ascii="ITC Avant Garde" w:hAnsi="ITC Avant Garde"/>
          <w:color w:val="auto"/>
        </w:rPr>
        <w:t xml:space="preserve">Sugiere cambiar </w:t>
      </w:r>
      <w:r w:rsidRPr="0038166F">
        <w:rPr>
          <w:rFonts w:ascii="ITC Avant Garde" w:hAnsi="ITC Avant Garde"/>
          <w:color w:val="auto"/>
        </w:rPr>
        <w:t>el numeral para que este considere como acto de pago el giro bancario por parte del concesionario, ya que la recepción de pago por parte del AEP puede estar sujeta a factores exógenos que dependen del banco emisor o del banco del beneficiario.</w:t>
      </w:r>
    </w:p>
    <w:p w14:paraId="32F759AA" w14:textId="5C13F686" w:rsidR="0038166F" w:rsidRDefault="0038166F" w:rsidP="00EF55A5">
      <w:pPr>
        <w:spacing w:after="0" w:line="276" w:lineRule="auto"/>
        <w:ind w:right="0"/>
        <w:rPr>
          <w:rFonts w:ascii="ITC Avant Garde" w:hAnsi="ITC Avant Garde"/>
          <w:color w:val="auto"/>
        </w:rPr>
      </w:pPr>
    </w:p>
    <w:p w14:paraId="39D067BB" w14:textId="77777777" w:rsidR="0038166F" w:rsidRDefault="0038166F" w:rsidP="0038166F">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04E568FF" w14:textId="7AB4A793" w:rsidR="0038166F" w:rsidRPr="00EF55A5" w:rsidRDefault="0038166F" w:rsidP="00EF55A5">
      <w:pPr>
        <w:spacing w:after="0" w:line="276" w:lineRule="auto"/>
        <w:ind w:right="0"/>
        <w:rPr>
          <w:rFonts w:ascii="ITC Avant Garde" w:hAnsi="ITC Avant Garde"/>
          <w:color w:val="auto"/>
        </w:rPr>
      </w:pPr>
      <w:r w:rsidRPr="0038166F">
        <w:rPr>
          <w:rFonts w:ascii="ITC Avant Garde" w:hAnsi="ITC Avant Garde"/>
          <w:color w:val="auto"/>
        </w:rPr>
        <w:t>La cláusula tiene el propósito de que el concesionario solicitante conozca la fecha en la que se tendrá por satisfecha la obligación de pago. Además, el concesionario cuenta con un plazo de 18 días naturales para realizar el pago de las contraprestaciones por los servicios una vez que Telcel haga disponible la factura al concesionario</w:t>
      </w:r>
      <w:r>
        <w:rPr>
          <w:rFonts w:ascii="ITC Avant Garde" w:hAnsi="ITC Avant Garde"/>
          <w:color w:val="auto"/>
        </w:rPr>
        <w:t>.</w:t>
      </w:r>
    </w:p>
    <w:p w14:paraId="2FE33F5E" w14:textId="002CBC90" w:rsidR="00880F91" w:rsidRDefault="00880F91" w:rsidP="005D0FBC">
      <w:pPr>
        <w:spacing w:after="0" w:line="276" w:lineRule="auto"/>
        <w:ind w:right="0"/>
        <w:rPr>
          <w:rFonts w:ascii="ITC Avant Garde" w:hAnsi="ITC Avant Garde"/>
          <w:color w:val="auto"/>
        </w:rPr>
      </w:pPr>
    </w:p>
    <w:p w14:paraId="663B00B2" w14:textId="3B71EAD3" w:rsidR="00880F91" w:rsidRDefault="00880F91" w:rsidP="00880F91">
      <w:pPr>
        <w:spacing w:after="0" w:line="276" w:lineRule="auto"/>
        <w:ind w:right="0"/>
        <w:rPr>
          <w:rFonts w:ascii="ITC Avant Garde" w:hAnsi="ITC Avant Garde"/>
          <w:b/>
          <w:color w:val="auto"/>
          <w:u w:val="single"/>
        </w:rPr>
      </w:pPr>
      <w:r w:rsidRPr="00880F91">
        <w:rPr>
          <w:rFonts w:ascii="ITC Avant Garde" w:hAnsi="ITC Avant Garde"/>
          <w:b/>
          <w:color w:val="auto"/>
          <w:u w:val="single"/>
        </w:rPr>
        <w:t>4.3.1.1 GARANTÍAS APLICABLES AL ESQUEMA DE POSPAGO</w:t>
      </w:r>
    </w:p>
    <w:p w14:paraId="00968F80" w14:textId="77777777" w:rsidR="00880F91" w:rsidRPr="0038166F" w:rsidRDefault="00880F91" w:rsidP="00880F91">
      <w:pPr>
        <w:spacing w:after="0" w:line="276" w:lineRule="auto"/>
        <w:ind w:right="0"/>
        <w:rPr>
          <w:rFonts w:ascii="ITC Avant Garde" w:hAnsi="ITC Avant Garde"/>
          <w:b/>
          <w:color w:val="auto"/>
          <w:u w:val="single"/>
        </w:rPr>
      </w:pPr>
    </w:p>
    <w:p w14:paraId="2B0BC505" w14:textId="77777777" w:rsidR="00880F91" w:rsidRDefault="00880F91" w:rsidP="00880F91">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239FD6F7" w14:textId="02E87566" w:rsidR="00880F91" w:rsidRDefault="00880F91" w:rsidP="00880F91">
      <w:pPr>
        <w:spacing w:after="0" w:line="276" w:lineRule="auto"/>
        <w:ind w:right="0"/>
        <w:rPr>
          <w:rFonts w:ascii="ITC Avant Garde" w:hAnsi="ITC Avant Garde"/>
          <w:color w:val="auto"/>
        </w:rPr>
      </w:pPr>
      <w:r w:rsidRPr="00880F91">
        <w:rPr>
          <w:rFonts w:ascii="ITC Avant Garde" w:hAnsi="ITC Avant Garde"/>
          <w:color w:val="auto"/>
        </w:rPr>
        <w:t xml:space="preserve">Sugiere tomar en cuenta las siguientes consideraciones: </w:t>
      </w:r>
    </w:p>
    <w:p w14:paraId="2AEC71EB" w14:textId="77777777" w:rsidR="00880F91" w:rsidRPr="00880F91" w:rsidRDefault="00880F91" w:rsidP="00880F91">
      <w:pPr>
        <w:spacing w:after="0" w:line="276" w:lineRule="auto"/>
        <w:ind w:right="0"/>
        <w:rPr>
          <w:rFonts w:ascii="ITC Avant Garde" w:hAnsi="ITC Avant Garde"/>
          <w:color w:val="auto"/>
        </w:rPr>
      </w:pPr>
    </w:p>
    <w:p w14:paraId="460690DB" w14:textId="63E20A0F" w:rsidR="00880F91" w:rsidRPr="00880F91" w:rsidRDefault="00880F91" w:rsidP="00880F91">
      <w:pPr>
        <w:spacing w:after="0" w:line="276" w:lineRule="auto"/>
        <w:ind w:right="0"/>
        <w:rPr>
          <w:rFonts w:ascii="ITC Avant Garde" w:hAnsi="ITC Avant Garde"/>
          <w:color w:val="auto"/>
        </w:rPr>
      </w:pPr>
      <w:r w:rsidRPr="00880F91">
        <w:rPr>
          <w:rFonts w:ascii="ITC Avant Garde" w:hAnsi="ITC Avant Garde"/>
          <w:color w:val="auto"/>
        </w:rPr>
        <w:t>-Ligar la revisión del monto de la garantía a la facturación generada por el concesionario y no a su consumo. Además, estas actualizaciones se realizarán anualmente</w:t>
      </w:r>
    </w:p>
    <w:p w14:paraId="04EFF435" w14:textId="77777777" w:rsidR="00880F91" w:rsidRPr="00880F91" w:rsidRDefault="00880F91" w:rsidP="00880F91">
      <w:pPr>
        <w:spacing w:after="0" w:line="276" w:lineRule="auto"/>
        <w:ind w:right="0"/>
        <w:rPr>
          <w:rFonts w:ascii="ITC Avant Garde" w:hAnsi="ITC Avant Garde"/>
          <w:color w:val="auto"/>
        </w:rPr>
      </w:pPr>
      <w:r w:rsidRPr="00880F91">
        <w:rPr>
          <w:rFonts w:ascii="ITC Avant Garde" w:hAnsi="ITC Avant Garde"/>
          <w:color w:val="auto"/>
        </w:rPr>
        <w:t>-Ampliar el plazo para aumentar o añadir fondos a la garantía a un mínimo de 30 días.</w:t>
      </w:r>
    </w:p>
    <w:p w14:paraId="04785625" w14:textId="6E0C62DB" w:rsidR="00880F91" w:rsidRDefault="00880F91" w:rsidP="00880F91">
      <w:pPr>
        <w:spacing w:after="0" w:line="276" w:lineRule="auto"/>
        <w:ind w:right="0"/>
        <w:rPr>
          <w:rFonts w:ascii="ITC Avant Garde" w:hAnsi="ITC Avant Garde"/>
          <w:color w:val="auto"/>
        </w:rPr>
      </w:pPr>
      <w:r w:rsidRPr="00880F91">
        <w:rPr>
          <w:rFonts w:ascii="ITC Avant Garde" w:hAnsi="ITC Avant Garde"/>
          <w:color w:val="auto"/>
        </w:rPr>
        <w:t>-Que el AEP sea quien supervisa el mantenimiento de la</w:t>
      </w:r>
      <w:r w:rsidR="00931CA2">
        <w:rPr>
          <w:rFonts w:ascii="ITC Avant Garde" w:hAnsi="ITC Avant Garde"/>
          <w:color w:val="auto"/>
        </w:rPr>
        <w:t xml:space="preserve"> garantía y sea este quien envíe</w:t>
      </w:r>
      <w:r w:rsidRPr="00880F91">
        <w:rPr>
          <w:rFonts w:ascii="ITC Avant Garde" w:hAnsi="ITC Avant Garde"/>
          <w:color w:val="auto"/>
        </w:rPr>
        <w:t xml:space="preserve"> una notificac</w:t>
      </w:r>
      <w:r>
        <w:rPr>
          <w:rFonts w:ascii="ITC Avant Garde" w:hAnsi="ITC Avant Garde"/>
          <w:color w:val="auto"/>
        </w:rPr>
        <w:t>ión oficial al Concesionario</w:t>
      </w:r>
      <w:r w:rsidRPr="00880F91">
        <w:rPr>
          <w:rFonts w:ascii="ITC Avant Garde" w:hAnsi="ITC Avant Garde"/>
          <w:color w:val="auto"/>
        </w:rPr>
        <w:t xml:space="preserve"> para solicitar la reposición de fondos de ser necesario.</w:t>
      </w:r>
    </w:p>
    <w:p w14:paraId="02CC9BD9" w14:textId="77777777" w:rsidR="00880F91" w:rsidRPr="00880F91" w:rsidRDefault="00880F91" w:rsidP="00880F91">
      <w:pPr>
        <w:spacing w:after="0" w:line="276" w:lineRule="auto"/>
        <w:ind w:right="0"/>
        <w:rPr>
          <w:rFonts w:ascii="ITC Avant Garde" w:hAnsi="ITC Avant Garde"/>
          <w:color w:val="auto"/>
        </w:rPr>
      </w:pPr>
    </w:p>
    <w:p w14:paraId="178D8875" w14:textId="45B1D8EE" w:rsidR="00880F91" w:rsidRPr="00880F91" w:rsidRDefault="00880F91" w:rsidP="00880F91">
      <w:pPr>
        <w:spacing w:after="0" w:line="276" w:lineRule="auto"/>
        <w:ind w:right="0"/>
        <w:rPr>
          <w:rFonts w:ascii="ITC Avant Garde" w:hAnsi="ITC Avant Garde"/>
          <w:color w:val="auto"/>
        </w:rPr>
      </w:pPr>
      <w:r w:rsidRPr="00880F91">
        <w:rPr>
          <w:rFonts w:ascii="ITC Avant Garde" w:hAnsi="ITC Avant Garde"/>
          <w:color w:val="auto"/>
        </w:rPr>
        <w:t>En caso de no proceder las consideraciones anteriormente señaladas, se debe mantener el proceso de garantías en los términos de la Oferta vigente</w:t>
      </w:r>
    </w:p>
    <w:p w14:paraId="664B47F3" w14:textId="77777777" w:rsidR="00880F91" w:rsidRDefault="00880F91" w:rsidP="00880F91">
      <w:pPr>
        <w:spacing w:after="0" w:line="276" w:lineRule="auto"/>
        <w:ind w:right="0"/>
        <w:rPr>
          <w:rFonts w:ascii="ITC Avant Garde" w:hAnsi="ITC Avant Garde"/>
          <w:color w:val="auto"/>
        </w:rPr>
      </w:pPr>
    </w:p>
    <w:p w14:paraId="7114357A" w14:textId="77777777" w:rsidR="00880F91" w:rsidRDefault="00880F91" w:rsidP="00880F91">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F4A9C54" w14:textId="5CEE5D1B" w:rsidR="00880F91" w:rsidRDefault="00880F91" w:rsidP="005D0FBC">
      <w:pPr>
        <w:spacing w:after="0" w:line="276" w:lineRule="auto"/>
        <w:ind w:right="0"/>
        <w:rPr>
          <w:rFonts w:ascii="ITC Avant Garde" w:hAnsi="ITC Avant Garde"/>
          <w:color w:val="auto"/>
        </w:rPr>
      </w:pPr>
      <w:r>
        <w:rPr>
          <w:rFonts w:ascii="ITC Avant Garde" w:hAnsi="ITC Avant Garde"/>
          <w:color w:val="auto"/>
        </w:rPr>
        <w:t>La Oferta</w:t>
      </w:r>
      <w:r w:rsidRPr="00880F91">
        <w:rPr>
          <w:rFonts w:ascii="ITC Avant Garde" w:hAnsi="ITC Avant Garde"/>
          <w:color w:val="auto"/>
        </w:rPr>
        <w:t xml:space="preserve"> ya considera que el AEP sea quien supervisa el mantenimiento de la</w:t>
      </w:r>
      <w:r w:rsidR="00931CA2">
        <w:rPr>
          <w:rFonts w:ascii="ITC Avant Garde" w:hAnsi="ITC Avant Garde"/>
          <w:color w:val="auto"/>
        </w:rPr>
        <w:t xml:space="preserve"> garantía y sea este quien envíe</w:t>
      </w:r>
      <w:r w:rsidRPr="00880F91">
        <w:rPr>
          <w:rFonts w:ascii="ITC Avant Garde" w:hAnsi="ITC Avant Garde"/>
          <w:color w:val="auto"/>
        </w:rPr>
        <w:t xml:space="preserve"> una notificación oficial al Concesionario para solicitar la reposición de fondos de ser necesario.</w:t>
      </w:r>
    </w:p>
    <w:p w14:paraId="6FE23358" w14:textId="77777777" w:rsidR="00B12419" w:rsidRDefault="00B12419" w:rsidP="005D0FBC">
      <w:pPr>
        <w:spacing w:after="0" w:line="276" w:lineRule="auto"/>
        <w:ind w:right="0"/>
        <w:rPr>
          <w:rFonts w:ascii="ITC Avant Garde" w:hAnsi="ITC Avant Garde"/>
          <w:color w:val="auto"/>
        </w:rPr>
      </w:pPr>
    </w:p>
    <w:p w14:paraId="5D148ED6" w14:textId="1030DB19" w:rsidR="00B12419" w:rsidRDefault="00B12419" w:rsidP="00B12419">
      <w:pPr>
        <w:spacing w:after="0" w:line="276" w:lineRule="auto"/>
        <w:ind w:left="0" w:right="0" w:firstLine="0"/>
        <w:rPr>
          <w:rFonts w:ascii="ITC Avant Garde" w:hAnsi="ITC Avant Garde"/>
          <w:b/>
          <w:color w:val="auto"/>
        </w:rPr>
      </w:pPr>
      <w:r>
        <w:rPr>
          <w:rFonts w:ascii="ITC Avant Garde" w:hAnsi="ITC Avant Garde"/>
          <w:b/>
          <w:color w:val="auto"/>
        </w:rPr>
        <w:t>Altán:</w:t>
      </w:r>
    </w:p>
    <w:p w14:paraId="5C60BF7E" w14:textId="26A183AF" w:rsidR="00B12419" w:rsidRDefault="00B12419" w:rsidP="00B12419">
      <w:pPr>
        <w:spacing w:after="0" w:line="276" w:lineRule="auto"/>
        <w:ind w:right="0"/>
        <w:rPr>
          <w:rFonts w:ascii="ITC Avant Garde" w:hAnsi="ITC Avant Garde"/>
          <w:color w:val="auto"/>
        </w:rPr>
      </w:pPr>
      <w:r w:rsidRPr="00B12419">
        <w:rPr>
          <w:rFonts w:ascii="ITC Avant Garde" w:hAnsi="ITC Avant Garde"/>
          <w:color w:val="auto"/>
        </w:rPr>
        <w:t>Menciona que la propuesta reduce el plazo de la garantía aplicable al esquema de pospago de 10 a 5 días, por lo que propone mantener la redacción de la Oferta vigente.</w:t>
      </w:r>
    </w:p>
    <w:p w14:paraId="6D776558" w14:textId="77777777" w:rsidR="00B12419" w:rsidRPr="00B12419" w:rsidRDefault="00B12419" w:rsidP="00B12419">
      <w:pPr>
        <w:spacing w:after="0" w:line="276" w:lineRule="auto"/>
        <w:ind w:right="0"/>
        <w:rPr>
          <w:rFonts w:ascii="ITC Avant Garde" w:hAnsi="ITC Avant Garde"/>
          <w:color w:val="auto"/>
        </w:rPr>
      </w:pPr>
    </w:p>
    <w:p w14:paraId="069F3818" w14:textId="77777777" w:rsidR="00B12419" w:rsidRDefault="00B12419" w:rsidP="00B12419">
      <w:pPr>
        <w:spacing w:after="0" w:line="276" w:lineRule="auto"/>
        <w:ind w:left="0" w:right="0" w:firstLine="0"/>
        <w:rPr>
          <w:rFonts w:ascii="ITC Avant Garde" w:hAnsi="ITC Avant Garde"/>
          <w:b/>
          <w:color w:val="auto"/>
        </w:rPr>
      </w:pPr>
      <w:r w:rsidRPr="00343A4F">
        <w:rPr>
          <w:rFonts w:ascii="ITC Avant Garde" w:hAnsi="ITC Avant Garde"/>
          <w:b/>
          <w:color w:val="auto"/>
        </w:rPr>
        <w:lastRenderedPageBreak/>
        <w:t xml:space="preserve">Consideraciones del Instituto </w:t>
      </w:r>
    </w:p>
    <w:p w14:paraId="3EDE73A7" w14:textId="20F5D21A" w:rsidR="00B12419" w:rsidRDefault="00B12419" w:rsidP="005D0FBC">
      <w:pPr>
        <w:spacing w:after="0" w:line="276" w:lineRule="auto"/>
        <w:ind w:right="0"/>
        <w:rPr>
          <w:rFonts w:ascii="ITC Avant Garde" w:hAnsi="ITC Avant Garde"/>
          <w:color w:val="auto"/>
        </w:rPr>
      </w:pPr>
      <w:r w:rsidRPr="00B12419">
        <w:rPr>
          <w:rFonts w:ascii="ITC Avant Garde" w:hAnsi="ITC Avant Garde"/>
          <w:color w:val="auto"/>
        </w:rPr>
        <w:t>Se modifica el plazo a 10 días</w:t>
      </w:r>
      <w:r w:rsidR="00931CA2">
        <w:rPr>
          <w:rFonts w:ascii="ITC Avant Garde" w:hAnsi="ITC Avant Garde"/>
          <w:color w:val="auto"/>
        </w:rPr>
        <w:t xml:space="preserve"> conforme la Oferta de Referencia aprobada anteriormente</w:t>
      </w:r>
      <w:r w:rsidRPr="00B12419">
        <w:rPr>
          <w:rFonts w:ascii="ITC Avant Garde" w:hAnsi="ITC Avant Garde"/>
          <w:color w:val="auto"/>
        </w:rPr>
        <w:t>.</w:t>
      </w:r>
    </w:p>
    <w:p w14:paraId="259AB81F" w14:textId="572A8FD6" w:rsidR="00B56FA6" w:rsidRDefault="00B56FA6" w:rsidP="005D0FBC">
      <w:pPr>
        <w:spacing w:after="0" w:line="276" w:lineRule="auto"/>
        <w:ind w:right="0"/>
        <w:rPr>
          <w:rFonts w:ascii="ITC Avant Garde" w:hAnsi="ITC Avant Garde"/>
          <w:color w:val="auto"/>
        </w:rPr>
      </w:pPr>
    </w:p>
    <w:p w14:paraId="7199DD77" w14:textId="75B1CAD4" w:rsidR="00B56FA6" w:rsidRDefault="00B56FA6" w:rsidP="00B56FA6">
      <w:pPr>
        <w:spacing w:after="0" w:line="276" w:lineRule="auto"/>
        <w:ind w:left="0" w:right="0" w:firstLine="0"/>
        <w:rPr>
          <w:rFonts w:ascii="ITC Avant Garde" w:hAnsi="ITC Avant Garde"/>
          <w:b/>
          <w:color w:val="auto"/>
        </w:rPr>
      </w:pPr>
      <w:r>
        <w:rPr>
          <w:rFonts w:ascii="ITC Avant Garde" w:hAnsi="ITC Avant Garde"/>
          <w:b/>
          <w:color w:val="auto"/>
        </w:rPr>
        <w:t>PROMTEL:</w:t>
      </w:r>
    </w:p>
    <w:p w14:paraId="32544333" w14:textId="30C3630C" w:rsidR="00B56FA6" w:rsidRDefault="00B56FA6" w:rsidP="00B56FA6">
      <w:pPr>
        <w:spacing w:after="0" w:line="276" w:lineRule="auto"/>
        <w:ind w:right="0"/>
        <w:rPr>
          <w:rFonts w:ascii="ITC Avant Garde" w:hAnsi="ITC Avant Garde"/>
          <w:color w:val="auto"/>
        </w:rPr>
      </w:pPr>
      <w:r w:rsidRPr="00B56FA6">
        <w:rPr>
          <w:rFonts w:ascii="ITC Avant Garde" w:hAnsi="ITC Avant Garde"/>
          <w:color w:val="auto"/>
        </w:rPr>
        <w:t>Señala que el cálculo de las garantías se debe realizar con datos históricos y no con proyecciones de demanda pues el generar y revelar continuamente sus proyecciones puede incrementar sus costos y permite al AEP ajustar su estrategia comercial para apropiarse de la demanda y generar una barrera de expansión</w:t>
      </w:r>
      <w:r>
        <w:rPr>
          <w:rFonts w:ascii="ITC Avant Garde" w:hAnsi="ITC Avant Garde"/>
          <w:color w:val="auto"/>
        </w:rPr>
        <w:t>.</w:t>
      </w:r>
    </w:p>
    <w:p w14:paraId="52BB97CE" w14:textId="77777777" w:rsidR="00B56FA6" w:rsidRPr="00B12419" w:rsidRDefault="00B56FA6" w:rsidP="00B56FA6">
      <w:pPr>
        <w:spacing w:after="0" w:line="276" w:lineRule="auto"/>
        <w:ind w:right="0"/>
        <w:rPr>
          <w:rFonts w:ascii="ITC Avant Garde" w:hAnsi="ITC Avant Garde"/>
          <w:color w:val="auto"/>
        </w:rPr>
      </w:pPr>
    </w:p>
    <w:p w14:paraId="65A2BBAA" w14:textId="77777777" w:rsidR="00B56FA6" w:rsidRDefault="00B56FA6" w:rsidP="00B56FA6">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6DCDD76" w14:textId="3F0533C1" w:rsidR="00B56FA6" w:rsidRDefault="00B56FA6" w:rsidP="00B56FA6">
      <w:pPr>
        <w:spacing w:after="0" w:line="276" w:lineRule="auto"/>
        <w:ind w:right="0"/>
        <w:rPr>
          <w:rFonts w:ascii="ITC Avant Garde" w:hAnsi="ITC Avant Garde"/>
          <w:color w:val="auto"/>
        </w:rPr>
      </w:pPr>
      <w:r w:rsidRPr="00B56FA6">
        <w:rPr>
          <w:rFonts w:ascii="ITC Avant Garde" w:hAnsi="ITC Avant Garde"/>
          <w:color w:val="auto"/>
        </w:rPr>
        <w:t>El cálculo de las garantías se realiza con datos históricos.</w:t>
      </w:r>
    </w:p>
    <w:p w14:paraId="4FA92904" w14:textId="136220FC" w:rsidR="00342C06" w:rsidRDefault="00342C06" w:rsidP="00B56FA6">
      <w:pPr>
        <w:spacing w:after="0" w:line="276" w:lineRule="auto"/>
        <w:ind w:right="0"/>
        <w:rPr>
          <w:rFonts w:ascii="ITC Avant Garde" w:hAnsi="ITC Avant Garde"/>
          <w:color w:val="auto"/>
        </w:rPr>
      </w:pPr>
    </w:p>
    <w:p w14:paraId="255FB5BB" w14:textId="14F5363A" w:rsidR="00342C06" w:rsidRDefault="00342C06" w:rsidP="00342C06">
      <w:pPr>
        <w:spacing w:after="0" w:line="276" w:lineRule="auto"/>
        <w:ind w:right="0"/>
        <w:rPr>
          <w:rFonts w:ascii="ITC Avant Garde" w:hAnsi="ITC Avant Garde"/>
          <w:b/>
          <w:color w:val="auto"/>
          <w:u w:val="single"/>
        </w:rPr>
      </w:pPr>
      <w:r w:rsidRPr="00342C06">
        <w:rPr>
          <w:rFonts w:ascii="ITC Avant Garde" w:hAnsi="ITC Avant Garde"/>
          <w:b/>
          <w:color w:val="auto"/>
          <w:u w:val="single"/>
        </w:rPr>
        <w:t>4.4.1 LUGAR Y FORMA DE PAGO DE LAS FACTURAS</w:t>
      </w:r>
    </w:p>
    <w:p w14:paraId="1E2E0FA9" w14:textId="77777777" w:rsidR="00342C06" w:rsidRPr="0038166F" w:rsidRDefault="00342C06" w:rsidP="00342C06">
      <w:pPr>
        <w:spacing w:after="0" w:line="276" w:lineRule="auto"/>
        <w:ind w:right="0"/>
        <w:rPr>
          <w:rFonts w:ascii="ITC Avant Garde" w:hAnsi="ITC Avant Garde"/>
          <w:b/>
          <w:color w:val="auto"/>
          <w:u w:val="single"/>
        </w:rPr>
      </w:pPr>
    </w:p>
    <w:p w14:paraId="63CB9E73" w14:textId="77777777" w:rsidR="00342C06" w:rsidRDefault="00342C06" w:rsidP="00342C06">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158A819D" w14:textId="2B8FAED2" w:rsidR="00342C06" w:rsidRDefault="00342C06" w:rsidP="00342C06">
      <w:pPr>
        <w:spacing w:after="0" w:line="276" w:lineRule="auto"/>
        <w:ind w:right="0"/>
        <w:rPr>
          <w:rFonts w:ascii="ITC Avant Garde" w:hAnsi="ITC Avant Garde"/>
          <w:color w:val="auto"/>
        </w:rPr>
      </w:pPr>
      <w:r w:rsidRPr="00342C06">
        <w:rPr>
          <w:rFonts w:ascii="ITC Avant Garde" w:hAnsi="ITC Avant Garde"/>
          <w:color w:val="auto"/>
        </w:rPr>
        <w:t>Solicita la introducción de un proceso de reconciliación mensual de facturas entre el AEP y el Concesionario Solicitante. Además, sugiere el siguiente proceso: si la diferencia de importe es de menos de 1%, el Concesionario Solicitante tiene que pagar la totalidad de la factura, y si la objeción representa una diferencia mayor 1% pero está vinculada a uno o pocos servicios, el Concesionario Solicitante puede proceder con el pago de los servicios sobre los cuales ambas partes están de acuerdo mientras se busque una solución para el importe de la disputa.</w:t>
      </w:r>
    </w:p>
    <w:p w14:paraId="42327ED6" w14:textId="3C73399C" w:rsidR="00342C06" w:rsidRDefault="00342C06" w:rsidP="00342C06">
      <w:pPr>
        <w:spacing w:after="0" w:line="276" w:lineRule="auto"/>
        <w:ind w:right="0"/>
        <w:rPr>
          <w:rFonts w:ascii="ITC Avant Garde" w:hAnsi="ITC Avant Garde"/>
          <w:color w:val="auto"/>
        </w:rPr>
      </w:pPr>
    </w:p>
    <w:p w14:paraId="1CD1E92A" w14:textId="77777777" w:rsidR="00342C06" w:rsidRDefault="00342C06" w:rsidP="00342C06">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BEAAA1B" w14:textId="0E111E73" w:rsidR="00342C06" w:rsidRDefault="00342C06" w:rsidP="00342C06">
      <w:pPr>
        <w:spacing w:after="0" w:line="276" w:lineRule="auto"/>
        <w:ind w:right="0"/>
        <w:rPr>
          <w:rFonts w:ascii="ITC Avant Garde" w:hAnsi="ITC Avant Garde"/>
          <w:color w:val="auto"/>
        </w:rPr>
      </w:pPr>
      <w:r w:rsidRPr="00342C06">
        <w:rPr>
          <w:rFonts w:ascii="ITC Avant Garde" w:hAnsi="ITC Avant Garde"/>
          <w:color w:val="auto"/>
        </w:rPr>
        <w:t>En el numeral 3 del anexo IV ya se establece un procedimiento para la objeción y conciliación de facturas, misma que considera un 3% como diferencia en el importe.</w:t>
      </w:r>
    </w:p>
    <w:p w14:paraId="637D3974" w14:textId="28D96EB5" w:rsidR="00342C06" w:rsidRDefault="00342C06" w:rsidP="00342C06">
      <w:pPr>
        <w:spacing w:after="0" w:line="276" w:lineRule="auto"/>
        <w:ind w:right="0"/>
        <w:rPr>
          <w:rFonts w:ascii="ITC Avant Garde" w:hAnsi="ITC Avant Garde"/>
          <w:color w:val="auto"/>
        </w:rPr>
      </w:pPr>
    </w:p>
    <w:p w14:paraId="64E036BC" w14:textId="70006848" w:rsidR="00342C06" w:rsidRDefault="00342C06" w:rsidP="00342C06">
      <w:pPr>
        <w:spacing w:after="0" w:line="276" w:lineRule="auto"/>
        <w:ind w:right="0"/>
        <w:rPr>
          <w:rFonts w:ascii="ITC Avant Garde" w:hAnsi="ITC Avant Garde"/>
          <w:b/>
          <w:color w:val="auto"/>
          <w:u w:val="single"/>
        </w:rPr>
      </w:pPr>
      <w:r w:rsidRPr="00342C06">
        <w:rPr>
          <w:rFonts w:ascii="ITC Avant Garde" w:hAnsi="ITC Avant Garde"/>
          <w:b/>
          <w:color w:val="auto"/>
          <w:u w:val="single"/>
        </w:rPr>
        <w:t>4.4.2.2 INTERESES MORATORIOS</w:t>
      </w:r>
    </w:p>
    <w:p w14:paraId="5AAD85D8" w14:textId="77777777" w:rsidR="00342C06" w:rsidRPr="0038166F" w:rsidRDefault="00342C06" w:rsidP="00342C06">
      <w:pPr>
        <w:spacing w:after="0" w:line="276" w:lineRule="auto"/>
        <w:ind w:right="0"/>
        <w:rPr>
          <w:rFonts w:ascii="ITC Avant Garde" w:hAnsi="ITC Avant Garde"/>
          <w:b/>
          <w:color w:val="auto"/>
          <w:u w:val="single"/>
        </w:rPr>
      </w:pPr>
    </w:p>
    <w:p w14:paraId="08A0C1D0" w14:textId="77777777" w:rsidR="00342C06" w:rsidRDefault="00342C06" w:rsidP="00342C06">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6F2C100E" w14:textId="7459ADA9" w:rsidR="00342C06" w:rsidRDefault="00342C06" w:rsidP="00342C06">
      <w:pPr>
        <w:spacing w:after="0" w:line="276" w:lineRule="auto"/>
        <w:ind w:right="0"/>
        <w:rPr>
          <w:rFonts w:ascii="ITC Avant Garde" w:hAnsi="ITC Avant Garde"/>
          <w:color w:val="auto"/>
        </w:rPr>
      </w:pPr>
      <w:r w:rsidRPr="00342C06">
        <w:rPr>
          <w:rFonts w:ascii="ITC Avant Garde" w:hAnsi="ITC Avant Garde"/>
          <w:color w:val="auto"/>
        </w:rPr>
        <w:t>Sugiere una revisión de los intereses moratorios</w:t>
      </w:r>
      <w:r>
        <w:rPr>
          <w:rFonts w:ascii="ITC Avant Garde" w:hAnsi="ITC Avant Garde"/>
          <w:color w:val="auto"/>
        </w:rPr>
        <w:t xml:space="preserve"> y que se tome en consideración </w:t>
      </w:r>
      <w:r w:rsidRPr="00342C06">
        <w:rPr>
          <w:rFonts w:ascii="ITC Avant Garde" w:hAnsi="ITC Avant Garde"/>
          <w:color w:val="auto"/>
        </w:rPr>
        <w:t>las condiciones habituales que aplican en los acuerdos comerciales entre concesionarios en México, ya que opina que el cobro por intereses moratorios equivalentes a 2 veces la tasa a plazo de 28 días vigente en el mercado parece desproporcionado.</w:t>
      </w:r>
    </w:p>
    <w:p w14:paraId="36402564" w14:textId="77777777" w:rsidR="00342C06" w:rsidRDefault="00342C06" w:rsidP="00342C06">
      <w:pPr>
        <w:spacing w:after="0" w:line="276" w:lineRule="auto"/>
        <w:ind w:right="0"/>
        <w:rPr>
          <w:rFonts w:ascii="ITC Avant Garde" w:hAnsi="ITC Avant Garde"/>
          <w:color w:val="auto"/>
        </w:rPr>
      </w:pPr>
    </w:p>
    <w:p w14:paraId="0870D895" w14:textId="77777777" w:rsidR="00342C06" w:rsidRDefault="00342C06" w:rsidP="00342C06">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878E507" w14:textId="2EE4AA2C" w:rsidR="00342C06" w:rsidRDefault="00342C06" w:rsidP="00342C06">
      <w:pPr>
        <w:spacing w:after="0" w:line="276" w:lineRule="auto"/>
        <w:ind w:right="0"/>
        <w:rPr>
          <w:rFonts w:ascii="ITC Avant Garde" w:hAnsi="ITC Avant Garde"/>
          <w:color w:val="auto"/>
        </w:rPr>
      </w:pPr>
      <w:r w:rsidRPr="00342C06">
        <w:rPr>
          <w:rFonts w:ascii="ITC Avant Garde" w:hAnsi="ITC Avant Garde"/>
          <w:color w:val="auto"/>
        </w:rPr>
        <w:t>La tasa de los intereses moratorios a aplicar en razón de dos veces la Tasa de Interés Interbancario de Equilibrio (TIIE) a plazo de 28 días resulta apenas mayor a la que obtendría el concesionario como rendimiento en el mercado financiero.</w:t>
      </w:r>
    </w:p>
    <w:p w14:paraId="1614B269" w14:textId="066B6F0C" w:rsidR="00126E14" w:rsidRDefault="00126E14" w:rsidP="00342C06">
      <w:pPr>
        <w:spacing w:after="0" w:line="276" w:lineRule="auto"/>
        <w:ind w:right="0"/>
        <w:rPr>
          <w:rFonts w:ascii="ITC Avant Garde" w:hAnsi="ITC Avant Garde"/>
          <w:color w:val="auto"/>
        </w:rPr>
      </w:pPr>
    </w:p>
    <w:p w14:paraId="19058162" w14:textId="77777777" w:rsidR="00126E14" w:rsidRDefault="00126E14" w:rsidP="00126E14">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7CF5C663" w14:textId="24449934" w:rsidR="00126E14" w:rsidRDefault="00126E14" w:rsidP="00126E14">
      <w:pPr>
        <w:spacing w:after="0" w:line="276" w:lineRule="auto"/>
        <w:ind w:right="0"/>
        <w:rPr>
          <w:rFonts w:ascii="ITC Avant Garde" w:hAnsi="ITC Avant Garde"/>
          <w:color w:val="auto"/>
        </w:rPr>
      </w:pPr>
      <w:r w:rsidRPr="00126E14">
        <w:rPr>
          <w:rFonts w:ascii="ITC Avant Garde" w:hAnsi="ITC Avant Garde"/>
          <w:color w:val="auto"/>
        </w:rPr>
        <w:t xml:space="preserve">Sugiere excluir la modalidad de Pago Anticipado de la Oferta de Referencia ya que la modalidad de pospago o por mes vencido es la manera habitual de pagar los contratos comerciales. Además, propone ampliar el plazo de pago en la modalidad de pospago a 30 días naturales después de la emisión de la factura. Señala que el pago por adelantado es problemático ya que se podrían cobrar servicios que se den de baja durante el mes corriente, especialmente en ausencia de un proceso conjunto de reconciliación y disputa de facturas que pudiera subsanar estos errores.    </w:t>
      </w:r>
    </w:p>
    <w:p w14:paraId="76B61B9B" w14:textId="77777777" w:rsidR="00126E14" w:rsidRDefault="00126E14" w:rsidP="00126E14">
      <w:pPr>
        <w:spacing w:after="0" w:line="276" w:lineRule="auto"/>
        <w:ind w:right="0"/>
        <w:rPr>
          <w:rFonts w:ascii="ITC Avant Garde" w:hAnsi="ITC Avant Garde"/>
          <w:color w:val="auto"/>
        </w:rPr>
      </w:pPr>
    </w:p>
    <w:p w14:paraId="7BC8B69B" w14:textId="77777777" w:rsidR="00126E14" w:rsidRDefault="00126E14" w:rsidP="00126E14">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28FCA4B" w14:textId="0A07FC7B" w:rsidR="00126E14" w:rsidRDefault="00126E14" w:rsidP="00342C06">
      <w:pPr>
        <w:spacing w:after="0" w:line="276" w:lineRule="auto"/>
        <w:ind w:right="0"/>
        <w:rPr>
          <w:rFonts w:ascii="ITC Avant Garde" w:hAnsi="ITC Avant Garde"/>
          <w:color w:val="auto"/>
        </w:rPr>
      </w:pPr>
      <w:r w:rsidRPr="00126E14">
        <w:rPr>
          <w:rFonts w:ascii="ITC Avant Garde" w:hAnsi="ITC Avant Garde"/>
          <w:color w:val="auto"/>
        </w:rPr>
        <w:t>En el numeral 3 del anexo IV ya se establece un procedimiento para la objeción y conciliación de facturas. Asimismo, el esquema de prepago es opcional y brinda flexibilidad a la Oferta.</w:t>
      </w:r>
    </w:p>
    <w:p w14:paraId="2B75E985" w14:textId="39D4C77A" w:rsidR="00342C06" w:rsidRDefault="00342C06" w:rsidP="00342C06">
      <w:pPr>
        <w:spacing w:after="0" w:line="276" w:lineRule="auto"/>
        <w:ind w:right="0"/>
        <w:rPr>
          <w:rFonts w:ascii="ITC Avant Garde" w:hAnsi="ITC Avant Garde"/>
          <w:color w:val="auto"/>
        </w:rPr>
      </w:pPr>
    </w:p>
    <w:p w14:paraId="44E07029" w14:textId="046F87C6" w:rsidR="00B346EA" w:rsidRDefault="00B346EA" w:rsidP="00B346EA">
      <w:pPr>
        <w:spacing w:after="0" w:line="276" w:lineRule="auto"/>
        <w:ind w:right="0"/>
        <w:rPr>
          <w:rFonts w:ascii="ITC Avant Garde" w:hAnsi="ITC Avant Garde"/>
          <w:b/>
          <w:color w:val="auto"/>
          <w:u w:val="single"/>
        </w:rPr>
      </w:pPr>
      <w:r>
        <w:rPr>
          <w:rFonts w:ascii="ITC Avant Garde" w:hAnsi="ITC Avant Garde"/>
          <w:b/>
          <w:color w:val="auto"/>
          <w:u w:val="single"/>
        </w:rPr>
        <w:t>5.1.6</w:t>
      </w:r>
    </w:p>
    <w:p w14:paraId="713BAF1B" w14:textId="77777777" w:rsidR="00B346EA" w:rsidRPr="0038166F" w:rsidRDefault="00B346EA" w:rsidP="00B346EA">
      <w:pPr>
        <w:spacing w:after="0" w:line="276" w:lineRule="auto"/>
        <w:ind w:right="0"/>
        <w:rPr>
          <w:rFonts w:ascii="ITC Avant Garde" w:hAnsi="ITC Avant Garde"/>
          <w:b/>
          <w:color w:val="auto"/>
          <w:u w:val="single"/>
        </w:rPr>
      </w:pPr>
    </w:p>
    <w:p w14:paraId="19B99353" w14:textId="77777777" w:rsidR="00B346EA" w:rsidRDefault="00B346EA" w:rsidP="00B346EA">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124EF629" w14:textId="09313AFD" w:rsidR="00B346EA" w:rsidRDefault="00B346EA" w:rsidP="00B346EA">
      <w:pPr>
        <w:spacing w:after="0" w:line="276" w:lineRule="auto"/>
        <w:ind w:right="0"/>
        <w:rPr>
          <w:rFonts w:ascii="ITC Avant Garde" w:hAnsi="ITC Avant Garde"/>
          <w:color w:val="auto"/>
        </w:rPr>
      </w:pPr>
      <w:r w:rsidRPr="00B346EA">
        <w:rPr>
          <w:rFonts w:ascii="ITC Avant Garde" w:hAnsi="ITC Avant Garde"/>
          <w:color w:val="auto"/>
        </w:rPr>
        <w:t xml:space="preserve">Recomienda eliminar el presente numeral del convenio ya que este otorga amplia discrecionalidad al AEP para intervenir en las operaciones del concesionario sin causa justificada y sin la obligación de probarla. Asimismo, propone incorporar un proceso de verificación que involucre a ambas partes para determinar si efectivamente la interferencia es provocada por los equipos del concesionario.  </w:t>
      </w:r>
    </w:p>
    <w:p w14:paraId="40B0C26B" w14:textId="77777777" w:rsidR="00B346EA" w:rsidRDefault="00B346EA" w:rsidP="00B346EA">
      <w:pPr>
        <w:spacing w:after="0" w:line="276" w:lineRule="auto"/>
        <w:ind w:right="0"/>
        <w:rPr>
          <w:rFonts w:ascii="ITC Avant Garde" w:hAnsi="ITC Avant Garde"/>
          <w:color w:val="auto"/>
        </w:rPr>
      </w:pPr>
    </w:p>
    <w:p w14:paraId="7A463911" w14:textId="77777777" w:rsidR="00B346EA" w:rsidRDefault="00B346EA" w:rsidP="00B346EA">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26A2E074" w14:textId="38BE923E" w:rsidR="00B346EA" w:rsidRDefault="00B346EA" w:rsidP="00342C06">
      <w:pPr>
        <w:spacing w:after="0" w:line="276" w:lineRule="auto"/>
        <w:ind w:right="0"/>
        <w:rPr>
          <w:rFonts w:ascii="ITC Avant Garde" w:hAnsi="ITC Avant Garde"/>
          <w:color w:val="auto"/>
        </w:rPr>
      </w:pPr>
      <w:r w:rsidRPr="00B346EA">
        <w:rPr>
          <w:rFonts w:ascii="ITC Avant Garde" w:hAnsi="ITC Avant Garde"/>
          <w:color w:val="auto"/>
        </w:rPr>
        <w:t>Es posible que los usuarios finales del concesionario utilicen equipos terminales qua afecten la red del AEP, ya que dichos equipos pueden demandar mayores recursos de red al enviar constantemente mensajes de señalización debido a funcionalidades como el “Fast Dormancy” y las Aplicaciones siempre en línea. Asimismo, el instaurar procesos de verificación conjuntos puede entorpecer y retrasar la solución de las afectaciones, evitando así que se cumplan los parámetros de calidad establecidos en los Lineamientos Móviles en perjuicio de los usuarios. Derivado de lo anterior, el numeral en cuestión se mantiene en los mismos términos.</w:t>
      </w:r>
    </w:p>
    <w:p w14:paraId="31666643" w14:textId="23EC70ED" w:rsidR="006279FF" w:rsidRDefault="006279FF" w:rsidP="00342C06">
      <w:pPr>
        <w:spacing w:after="0" w:line="276" w:lineRule="auto"/>
        <w:ind w:right="0"/>
        <w:rPr>
          <w:rFonts w:ascii="ITC Avant Garde" w:hAnsi="ITC Avant Garde"/>
          <w:color w:val="auto"/>
        </w:rPr>
      </w:pPr>
    </w:p>
    <w:p w14:paraId="00E2EB42" w14:textId="1F00E874" w:rsidR="006279FF" w:rsidRDefault="006279FF" w:rsidP="006279FF">
      <w:pPr>
        <w:spacing w:after="0" w:line="276" w:lineRule="auto"/>
        <w:ind w:right="0"/>
        <w:rPr>
          <w:rFonts w:ascii="ITC Avant Garde" w:hAnsi="ITC Avant Garde"/>
          <w:b/>
          <w:color w:val="auto"/>
          <w:u w:val="single"/>
        </w:rPr>
      </w:pPr>
      <w:r>
        <w:rPr>
          <w:rFonts w:ascii="ITC Avant Garde" w:hAnsi="ITC Avant Garde"/>
          <w:b/>
          <w:color w:val="auto"/>
          <w:u w:val="single"/>
        </w:rPr>
        <w:t>5.1.8</w:t>
      </w:r>
    </w:p>
    <w:p w14:paraId="1C67EBAA" w14:textId="77777777" w:rsidR="006279FF" w:rsidRPr="0038166F" w:rsidRDefault="006279FF" w:rsidP="006279FF">
      <w:pPr>
        <w:spacing w:after="0" w:line="276" w:lineRule="auto"/>
        <w:ind w:right="0"/>
        <w:rPr>
          <w:rFonts w:ascii="ITC Avant Garde" w:hAnsi="ITC Avant Garde"/>
          <w:b/>
          <w:color w:val="auto"/>
          <w:u w:val="single"/>
        </w:rPr>
      </w:pPr>
    </w:p>
    <w:p w14:paraId="59C8A46F" w14:textId="5B5EDA81" w:rsidR="006279FF" w:rsidRDefault="006279FF" w:rsidP="006279FF">
      <w:pPr>
        <w:spacing w:after="0" w:line="276" w:lineRule="auto"/>
        <w:ind w:left="0" w:right="0" w:firstLine="0"/>
        <w:rPr>
          <w:rFonts w:ascii="ITC Avant Garde" w:hAnsi="ITC Avant Garde"/>
          <w:b/>
          <w:color w:val="auto"/>
        </w:rPr>
      </w:pPr>
      <w:r>
        <w:rPr>
          <w:rFonts w:ascii="ITC Avant Garde" w:hAnsi="ITC Avant Garde"/>
          <w:b/>
          <w:color w:val="auto"/>
        </w:rPr>
        <w:t>Altán:</w:t>
      </w:r>
    </w:p>
    <w:p w14:paraId="5527CADA" w14:textId="04EB11AF" w:rsidR="006279FF" w:rsidRDefault="006279FF" w:rsidP="006279FF">
      <w:pPr>
        <w:spacing w:after="0" w:line="276" w:lineRule="auto"/>
        <w:ind w:right="0"/>
        <w:rPr>
          <w:rFonts w:ascii="ITC Avant Garde" w:hAnsi="ITC Avant Garde"/>
          <w:color w:val="auto"/>
        </w:rPr>
      </w:pPr>
      <w:r w:rsidRPr="006279FF">
        <w:rPr>
          <w:rFonts w:ascii="ITC Avant Garde" w:hAnsi="ITC Avant Garde"/>
          <w:color w:val="auto"/>
        </w:rPr>
        <w:t>Sugiere contemplar el escenario de operadores mayoristas, en el sentido de que Telcel deberá de</w:t>
      </w:r>
      <w:r w:rsidR="000F6034">
        <w:rPr>
          <w:rFonts w:ascii="ITC Avant Garde" w:hAnsi="ITC Avant Garde"/>
          <w:color w:val="auto"/>
        </w:rPr>
        <w:t xml:space="preserve"> entregar la información de los Lineamientos de Calidad </w:t>
      </w:r>
      <w:r w:rsidRPr="006279FF">
        <w:rPr>
          <w:rFonts w:ascii="ITC Avant Garde" w:hAnsi="ITC Avant Garde"/>
          <w:color w:val="auto"/>
        </w:rPr>
        <w:t xml:space="preserve">a los operadores mayoristas respecto a los usuarios finales de sus clientes. De lo contrario, </w:t>
      </w:r>
      <w:r w:rsidRPr="006279FF">
        <w:rPr>
          <w:rFonts w:ascii="ITC Avant Garde" w:hAnsi="ITC Avant Garde"/>
          <w:color w:val="auto"/>
        </w:rPr>
        <w:lastRenderedPageBreak/>
        <w:t>Altán no podrá entregar los reportes que se realizaron fuera de su cobertura, ya que al estar en roaming la red compartida no tendría acceso a esa información.</w:t>
      </w:r>
    </w:p>
    <w:p w14:paraId="6036DB58" w14:textId="77777777" w:rsidR="006279FF" w:rsidRPr="006279FF" w:rsidRDefault="006279FF" w:rsidP="006279FF">
      <w:pPr>
        <w:spacing w:after="0" w:line="276" w:lineRule="auto"/>
        <w:ind w:right="0"/>
        <w:rPr>
          <w:rFonts w:ascii="ITC Avant Garde" w:hAnsi="ITC Avant Garde"/>
          <w:color w:val="auto"/>
        </w:rPr>
      </w:pPr>
    </w:p>
    <w:p w14:paraId="729DF86B" w14:textId="27460A48" w:rsidR="006279FF" w:rsidRDefault="006279FF" w:rsidP="006279FF">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5052853" w14:textId="4BA29CA1" w:rsidR="006279FF" w:rsidRPr="006279FF" w:rsidRDefault="006279FF" w:rsidP="006279FF">
      <w:pPr>
        <w:spacing w:after="0" w:line="276" w:lineRule="auto"/>
        <w:ind w:right="0"/>
        <w:rPr>
          <w:rFonts w:ascii="ITC Avant Garde" w:hAnsi="ITC Avant Garde"/>
          <w:color w:val="auto"/>
        </w:rPr>
      </w:pPr>
      <w:r w:rsidRPr="006279FF">
        <w:rPr>
          <w:rFonts w:ascii="ITC Avant Garde" w:hAnsi="ITC Avant Garde"/>
          <w:color w:val="auto"/>
        </w:rPr>
        <w:t>En la cláusula segunda se estableció que Telcel deberá realizar las adecuaciones técnicas necesarias para la prestación del servicio a una Red Mayorista. As</w:t>
      </w:r>
      <w:r w:rsidR="00182EDF">
        <w:rPr>
          <w:rFonts w:ascii="ITC Avant Garde" w:hAnsi="ITC Avant Garde"/>
          <w:color w:val="auto"/>
        </w:rPr>
        <w:t>i</w:t>
      </w:r>
      <w:r w:rsidRPr="006279FF">
        <w:rPr>
          <w:rFonts w:ascii="ITC Avant Garde" w:hAnsi="ITC Avant Garde"/>
          <w:color w:val="auto"/>
        </w:rPr>
        <w:t>mismo, en la cláusula 5.1.8 se señala la obligación de Telcel de coadyuvar al Concesionario conforme los Lineamientos de colaboración con la justicia.</w:t>
      </w:r>
    </w:p>
    <w:p w14:paraId="7CB93683" w14:textId="1A1CE11B" w:rsidR="005C6D2D" w:rsidRDefault="005C6D2D" w:rsidP="00342C06">
      <w:pPr>
        <w:spacing w:after="0" w:line="276" w:lineRule="auto"/>
        <w:ind w:right="0"/>
        <w:rPr>
          <w:rFonts w:ascii="ITC Avant Garde" w:hAnsi="ITC Avant Garde"/>
          <w:color w:val="auto"/>
        </w:rPr>
      </w:pPr>
    </w:p>
    <w:p w14:paraId="11196D82" w14:textId="65872D48" w:rsidR="005C6D2D" w:rsidRDefault="005C6D2D" w:rsidP="005C6D2D">
      <w:pPr>
        <w:spacing w:after="0" w:line="276" w:lineRule="auto"/>
        <w:ind w:right="0"/>
        <w:rPr>
          <w:rFonts w:ascii="ITC Avant Garde" w:hAnsi="ITC Avant Garde"/>
          <w:b/>
          <w:color w:val="auto"/>
          <w:u w:val="single"/>
        </w:rPr>
      </w:pPr>
      <w:r>
        <w:rPr>
          <w:rFonts w:ascii="ITC Avant Garde" w:hAnsi="ITC Avant Garde"/>
          <w:b/>
          <w:color w:val="auto"/>
          <w:u w:val="single"/>
        </w:rPr>
        <w:t>5.2.2</w:t>
      </w:r>
    </w:p>
    <w:p w14:paraId="178ACD79" w14:textId="77777777" w:rsidR="005C6D2D" w:rsidRPr="0038166F" w:rsidRDefault="005C6D2D" w:rsidP="005C6D2D">
      <w:pPr>
        <w:spacing w:after="0" w:line="276" w:lineRule="auto"/>
        <w:ind w:right="0"/>
        <w:rPr>
          <w:rFonts w:ascii="ITC Avant Garde" w:hAnsi="ITC Avant Garde"/>
          <w:b/>
          <w:color w:val="auto"/>
          <w:u w:val="single"/>
        </w:rPr>
      </w:pPr>
    </w:p>
    <w:p w14:paraId="42F96C1B" w14:textId="77777777" w:rsidR="005C6D2D" w:rsidRDefault="005C6D2D" w:rsidP="005C6D2D">
      <w:pPr>
        <w:spacing w:after="0" w:line="276" w:lineRule="auto"/>
        <w:ind w:left="0" w:right="0" w:firstLine="0"/>
        <w:rPr>
          <w:rFonts w:ascii="ITC Avant Garde" w:hAnsi="ITC Avant Garde"/>
          <w:b/>
          <w:color w:val="auto"/>
        </w:rPr>
      </w:pPr>
      <w:r>
        <w:rPr>
          <w:rFonts w:ascii="ITC Avant Garde" w:hAnsi="ITC Avant Garde"/>
          <w:b/>
          <w:color w:val="auto"/>
        </w:rPr>
        <w:t>Altán:</w:t>
      </w:r>
    </w:p>
    <w:p w14:paraId="3F37E1BB" w14:textId="20B77F16" w:rsidR="005C6D2D" w:rsidRPr="006279FF" w:rsidRDefault="005C6D2D" w:rsidP="005C6D2D">
      <w:pPr>
        <w:spacing w:after="0" w:line="276" w:lineRule="auto"/>
        <w:ind w:right="0"/>
        <w:rPr>
          <w:rFonts w:ascii="ITC Avant Garde" w:hAnsi="ITC Avant Garde"/>
          <w:color w:val="auto"/>
        </w:rPr>
      </w:pPr>
      <w:r w:rsidRPr="005C6D2D">
        <w:rPr>
          <w:rFonts w:ascii="ITC Avant Garde" w:hAnsi="ITC Avant Garde"/>
          <w:color w:val="auto"/>
        </w:rPr>
        <w:t>Señala que en dicho párrafo se crea indefensión para los Concesionarios que quieren competir en el mercado</w:t>
      </w:r>
      <w:r>
        <w:rPr>
          <w:rFonts w:ascii="ITC Avant Garde" w:hAnsi="ITC Avant Garde"/>
          <w:color w:val="auto"/>
        </w:rPr>
        <w:t xml:space="preserve"> </w:t>
      </w:r>
      <w:r w:rsidRPr="005C6D2D">
        <w:rPr>
          <w:rFonts w:ascii="ITC Avant Garde" w:hAnsi="ITC Avant Garde"/>
          <w:color w:val="auto"/>
        </w:rPr>
        <w:t>minorista utilizando un PLMN propio, asimismo indica que la posibilidad de utilización de otros PLMN´s es un servicio básico que debe de estar incluido en la Oferta y no pueden estar sometida a excepciones de costos o plazos de servicios, por lo que sugiere contemplar modelos de negocios basados en operadores mayoristas, los cuales deben estar plenamente incorporados en la Oferta así como eliminar esta restricción</w:t>
      </w:r>
    </w:p>
    <w:p w14:paraId="2A786B7D" w14:textId="77777777" w:rsidR="00182EDF" w:rsidRDefault="00182EDF" w:rsidP="005C6D2D">
      <w:pPr>
        <w:spacing w:after="0" w:line="276" w:lineRule="auto"/>
        <w:ind w:left="0" w:right="0" w:firstLine="0"/>
        <w:rPr>
          <w:rFonts w:ascii="ITC Avant Garde" w:hAnsi="ITC Avant Garde"/>
          <w:b/>
          <w:color w:val="auto"/>
        </w:rPr>
      </w:pPr>
    </w:p>
    <w:p w14:paraId="5DDB8C23" w14:textId="77777777" w:rsidR="005C6D2D" w:rsidRDefault="005C6D2D" w:rsidP="005C6D2D">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0F485E0" w14:textId="3E742BD0" w:rsidR="005C6D2D" w:rsidRDefault="005C6D2D" w:rsidP="00342C06">
      <w:pPr>
        <w:spacing w:after="0" w:line="276" w:lineRule="auto"/>
        <w:ind w:right="0"/>
        <w:rPr>
          <w:rFonts w:ascii="ITC Avant Garde" w:hAnsi="ITC Avant Garde"/>
          <w:color w:val="auto"/>
        </w:rPr>
      </w:pPr>
      <w:r w:rsidRPr="005C6D2D">
        <w:rPr>
          <w:rFonts w:ascii="ITC Avant Garde" w:hAnsi="ITC Avant Garde"/>
          <w:color w:val="auto"/>
        </w:rPr>
        <w:t>Esta condición solamente es aplicable cuando el concesionario utilice en PLMN diferente al suyo por l</w:t>
      </w:r>
      <w:r>
        <w:rPr>
          <w:rFonts w:ascii="ITC Avant Garde" w:hAnsi="ITC Avant Garde"/>
          <w:color w:val="auto"/>
        </w:rPr>
        <w:t>o cual no existe ningún cargo sí</w:t>
      </w:r>
      <w:r w:rsidRPr="005C6D2D">
        <w:rPr>
          <w:rFonts w:ascii="ITC Avant Garde" w:hAnsi="ITC Avant Garde"/>
          <w:color w:val="auto"/>
        </w:rPr>
        <w:t xml:space="preserve"> utiliza su propio PLMN. Asimismo, en la cláusula segunda se estableció la posibilidad de que una red mayorista contrate los servicios de la Oferta</w:t>
      </w:r>
      <w:r w:rsidR="007C763E">
        <w:rPr>
          <w:rFonts w:ascii="ITC Avant Garde" w:hAnsi="ITC Avant Garde"/>
          <w:color w:val="auto"/>
        </w:rPr>
        <w:t>.</w:t>
      </w:r>
    </w:p>
    <w:p w14:paraId="3B9D2CA3" w14:textId="16C90C4D" w:rsidR="007C763E" w:rsidRDefault="007C763E" w:rsidP="00342C06">
      <w:pPr>
        <w:spacing w:after="0" w:line="276" w:lineRule="auto"/>
        <w:ind w:right="0"/>
        <w:rPr>
          <w:rFonts w:ascii="ITC Avant Garde" w:hAnsi="ITC Avant Garde"/>
          <w:color w:val="auto"/>
        </w:rPr>
      </w:pPr>
    </w:p>
    <w:p w14:paraId="04DECA61" w14:textId="55149FDB" w:rsidR="007C763E" w:rsidRDefault="007C763E" w:rsidP="007C763E">
      <w:pPr>
        <w:spacing w:after="0" w:line="276" w:lineRule="auto"/>
        <w:ind w:right="0"/>
        <w:rPr>
          <w:rFonts w:ascii="ITC Avant Garde" w:hAnsi="ITC Avant Garde"/>
          <w:b/>
          <w:color w:val="auto"/>
          <w:u w:val="single"/>
        </w:rPr>
      </w:pPr>
      <w:r>
        <w:rPr>
          <w:rFonts w:ascii="ITC Avant Garde" w:hAnsi="ITC Avant Garde"/>
          <w:b/>
          <w:color w:val="auto"/>
          <w:u w:val="single"/>
        </w:rPr>
        <w:t>5.2.3</w:t>
      </w:r>
    </w:p>
    <w:p w14:paraId="72069AD1" w14:textId="77777777" w:rsidR="007C763E" w:rsidRPr="0038166F" w:rsidRDefault="007C763E" w:rsidP="007C763E">
      <w:pPr>
        <w:spacing w:after="0" w:line="276" w:lineRule="auto"/>
        <w:ind w:right="0"/>
        <w:rPr>
          <w:rFonts w:ascii="ITC Avant Garde" w:hAnsi="ITC Avant Garde"/>
          <w:b/>
          <w:color w:val="auto"/>
          <w:u w:val="single"/>
        </w:rPr>
      </w:pPr>
    </w:p>
    <w:p w14:paraId="026E2AE2" w14:textId="1FFF9BE9" w:rsidR="007C763E" w:rsidRDefault="007C763E" w:rsidP="007C763E">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5D7AE522" w14:textId="7EBC0E68" w:rsidR="007C763E" w:rsidRDefault="007C763E" w:rsidP="007C763E">
      <w:pPr>
        <w:spacing w:after="0" w:line="276" w:lineRule="auto"/>
        <w:ind w:left="0" w:right="0" w:firstLine="0"/>
        <w:rPr>
          <w:rFonts w:ascii="ITC Avant Garde" w:hAnsi="ITC Avant Garde"/>
          <w:color w:val="auto"/>
        </w:rPr>
      </w:pPr>
      <w:r w:rsidRPr="007C763E">
        <w:rPr>
          <w:rFonts w:ascii="ITC Avant Garde" w:hAnsi="ITC Avant Garde"/>
          <w:color w:val="auto"/>
        </w:rPr>
        <w:t xml:space="preserve">Señala que cuando un Concesionario utiliza el servicio de UV este desconoce si los equipos que tiene instalados pueden ocasionar problemas de interferencia en la red del AEP, por lo que no se debe exigir compensación por daños y perjuicios al concesionario, ya que no existe intencionalidad de perjudicar las operaciones del AEP con la presencia de equipos que puedan generar algún tipo de incompatibilidad. Sugiere incluir una disposición en la cual los Concesionarios se comprometan a actuar de buena fe y, en caso de que los equipos del Concesionario causen interferencia, ambas partes deberán buscar una solución al problema en un plazo máximo de 30 días. </w:t>
      </w:r>
    </w:p>
    <w:p w14:paraId="1B2005A4" w14:textId="77777777" w:rsidR="007C763E" w:rsidRDefault="007C763E" w:rsidP="007C763E">
      <w:pPr>
        <w:spacing w:after="0" w:line="276" w:lineRule="auto"/>
        <w:ind w:left="0" w:right="0" w:firstLine="0"/>
        <w:rPr>
          <w:rFonts w:ascii="ITC Avant Garde" w:hAnsi="ITC Avant Garde"/>
          <w:color w:val="auto"/>
        </w:rPr>
      </w:pPr>
    </w:p>
    <w:p w14:paraId="75A7C25F" w14:textId="2D907D34" w:rsidR="007C763E" w:rsidRDefault="007C763E" w:rsidP="007C763E">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9E9B2A0" w14:textId="51978E8B" w:rsidR="007C763E" w:rsidRDefault="007C763E" w:rsidP="00342C06">
      <w:pPr>
        <w:spacing w:after="0" w:line="276" w:lineRule="auto"/>
        <w:ind w:right="0"/>
        <w:rPr>
          <w:rFonts w:ascii="ITC Avant Garde" w:hAnsi="ITC Avant Garde"/>
          <w:color w:val="auto"/>
        </w:rPr>
      </w:pPr>
      <w:r w:rsidRPr="007C763E">
        <w:rPr>
          <w:rFonts w:ascii="ITC Avant Garde" w:hAnsi="ITC Avant Garde"/>
          <w:color w:val="auto"/>
        </w:rPr>
        <w:lastRenderedPageBreak/>
        <w:t>Los equipos, tecnologías y métodos deben cumplir con los certificados</w:t>
      </w:r>
      <w:r w:rsidR="00CD16E2">
        <w:rPr>
          <w:rFonts w:ascii="ITC Avant Garde" w:hAnsi="ITC Avant Garde"/>
          <w:color w:val="auto"/>
        </w:rPr>
        <w:t xml:space="preserve"> de homologación de equipos</w:t>
      </w:r>
      <w:r w:rsidRPr="007C763E">
        <w:rPr>
          <w:rFonts w:ascii="ITC Avant Garde" w:hAnsi="ITC Avant Garde"/>
          <w:color w:val="auto"/>
        </w:rPr>
        <w:t xml:space="preserve"> y estándares emitidos por los organismos de normalización para asegurar que no exista incompatibilidad o interferencia en las redes públicas de telecomunicaciones</w:t>
      </w:r>
      <w:r w:rsidR="00D54F1C">
        <w:rPr>
          <w:rFonts w:ascii="ITC Avant Garde" w:hAnsi="ITC Avant Garde"/>
          <w:color w:val="auto"/>
        </w:rPr>
        <w:t>.</w:t>
      </w:r>
    </w:p>
    <w:p w14:paraId="048ACF3D" w14:textId="40BA61D4" w:rsidR="00D54F1C" w:rsidRDefault="00D54F1C" w:rsidP="00342C06">
      <w:pPr>
        <w:spacing w:after="0" w:line="276" w:lineRule="auto"/>
        <w:ind w:right="0"/>
        <w:rPr>
          <w:rFonts w:ascii="ITC Avant Garde" w:hAnsi="ITC Avant Garde"/>
          <w:color w:val="auto"/>
        </w:rPr>
      </w:pPr>
    </w:p>
    <w:p w14:paraId="5033EAC6" w14:textId="7368BBF2" w:rsidR="00D54F1C" w:rsidRDefault="00D54F1C" w:rsidP="00D54F1C">
      <w:pPr>
        <w:spacing w:after="0" w:line="276" w:lineRule="auto"/>
        <w:ind w:right="0"/>
        <w:rPr>
          <w:rFonts w:ascii="ITC Avant Garde" w:hAnsi="ITC Avant Garde"/>
          <w:b/>
          <w:color w:val="auto"/>
          <w:u w:val="single"/>
        </w:rPr>
      </w:pPr>
      <w:r>
        <w:rPr>
          <w:rFonts w:ascii="ITC Avant Garde" w:hAnsi="ITC Avant Garde"/>
          <w:b/>
          <w:color w:val="auto"/>
          <w:u w:val="single"/>
        </w:rPr>
        <w:t>5.2.10</w:t>
      </w:r>
    </w:p>
    <w:p w14:paraId="72C29F98" w14:textId="77777777" w:rsidR="00D54F1C" w:rsidRPr="0038166F" w:rsidRDefault="00D54F1C" w:rsidP="00D54F1C">
      <w:pPr>
        <w:spacing w:after="0" w:line="276" w:lineRule="auto"/>
        <w:ind w:right="0"/>
        <w:rPr>
          <w:rFonts w:ascii="ITC Avant Garde" w:hAnsi="ITC Avant Garde"/>
          <w:b/>
          <w:color w:val="auto"/>
          <w:u w:val="single"/>
        </w:rPr>
      </w:pPr>
    </w:p>
    <w:p w14:paraId="2F71791D" w14:textId="77777777" w:rsidR="00D54F1C" w:rsidRDefault="00D54F1C" w:rsidP="00D54F1C">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4A366AED" w14:textId="397FAD0E" w:rsidR="00D54F1C" w:rsidRDefault="00D54F1C" w:rsidP="00D54F1C">
      <w:pPr>
        <w:spacing w:after="0" w:line="276" w:lineRule="auto"/>
        <w:ind w:left="0" w:right="0" w:firstLine="0"/>
        <w:rPr>
          <w:rFonts w:ascii="ITC Avant Garde" w:hAnsi="ITC Avant Garde"/>
          <w:color w:val="auto"/>
        </w:rPr>
      </w:pPr>
      <w:r w:rsidRPr="00D54F1C">
        <w:rPr>
          <w:rFonts w:ascii="ITC Avant Garde" w:hAnsi="ITC Avant Garde"/>
          <w:color w:val="auto"/>
        </w:rPr>
        <w:t>Recomienda limitar las responsabilidades del Concesionario con respecto a las reclamaciones presentadas por sus propios usuarios finales, y no por cualquier otro usuario final o tercero. Asimismo, sugiere que el Concesionario Solicitante será responsable únicamente de los daños y perjuicios causados de manera directa, excluyendo los daños consecuenciales</w:t>
      </w:r>
      <w:r>
        <w:rPr>
          <w:rFonts w:ascii="ITC Avant Garde" w:hAnsi="ITC Avant Garde"/>
          <w:color w:val="auto"/>
        </w:rPr>
        <w:t>.</w:t>
      </w:r>
    </w:p>
    <w:p w14:paraId="04CB9EE9" w14:textId="77777777" w:rsidR="00D54F1C" w:rsidRDefault="00D54F1C" w:rsidP="00D54F1C">
      <w:pPr>
        <w:spacing w:after="0" w:line="276" w:lineRule="auto"/>
        <w:ind w:left="0" w:right="0" w:firstLine="0"/>
        <w:rPr>
          <w:rFonts w:ascii="ITC Avant Garde" w:hAnsi="ITC Avant Garde"/>
          <w:color w:val="auto"/>
        </w:rPr>
      </w:pPr>
    </w:p>
    <w:p w14:paraId="24B0F0DF" w14:textId="77777777" w:rsidR="00D54F1C" w:rsidRDefault="00D54F1C" w:rsidP="00D54F1C">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947D303" w14:textId="39B75904" w:rsidR="00D54F1C" w:rsidRPr="00D54F1C" w:rsidRDefault="00D54F1C" w:rsidP="00D54F1C">
      <w:pPr>
        <w:spacing w:after="0" w:line="276" w:lineRule="auto"/>
        <w:ind w:right="0"/>
        <w:rPr>
          <w:rFonts w:ascii="ITC Avant Garde" w:hAnsi="ITC Avant Garde"/>
          <w:color w:val="auto"/>
        </w:rPr>
      </w:pPr>
      <w:r w:rsidRPr="00D54F1C">
        <w:rPr>
          <w:rFonts w:ascii="ITC Avant Garde" w:hAnsi="ITC Avant Garde"/>
          <w:color w:val="auto"/>
        </w:rPr>
        <w:t>Ya se encuentra señalado en la Oferta que únicamente deberá sacar a salvo y en paz de reclamaciones de los usuarios finales del Concesionario.</w:t>
      </w:r>
    </w:p>
    <w:p w14:paraId="6B02E39B" w14:textId="438DB24D" w:rsidR="007903BD" w:rsidRDefault="007903BD" w:rsidP="00B56FA6">
      <w:pPr>
        <w:spacing w:after="0" w:line="276" w:lineRule="auto"/>
        <w:ind w:right="0"/>
        <w:rPr>
          <w:rFonts w:ascii="ITC Avant Garde" w:hAnsi="ITC Avant Garde"/>
          <w:color w:val="auto"/>
        </w:rPr>
      </w:pPr>
    </w:p>
    <w:p w14:paraId="03474248" w14:textId="3EAA7030" w:rsidR="007903BD" w:rsidRDefault="007903BD" w:rsidP="007903BD">
      <w:pPr>
        <w:spacing w:after="0" w:line="276" w:lineRule="auto"/>
        <w:ind w:right="0"/>
        <w:rPr>
          <w:rFonts w:ascii="ITC Avant Garde" w:hAnsi="ITC Avant Garde"/>
          <w:b/>
          <w:color w:val="auto"/>
          <w:u w:val="single"/>
        </w:rPr>
      </w:pPr>
      <w:r>
        <w:rPr>
          <w:rFonts w:ascii="ITC Avant Garde" w:hAnsi="ITC Avant Garde"/>
          <w:b/>
          <w:color w:val="auto"/>
          <w:u w:val="single"/>
        </w:rPr>
        <w:t>5.2.11</w:t>
      </w:r>
    </w:p>
    <w:p w14:paraId="5FC678E7" w14:textId="77777777" w:rsidR="007903BD" w:rsidRPr="0038166F" w:rsidRDefault="007903BD" w:rsidP="007903BD">
      <w:pPr>
        <w:spacing w:after="0" w:line="276" w:lineRule="auto"/>
        <w:ind w:right="0"/>
        <w:rPr>
          <w:rFonts w:ascii="ITC Avant Garde" w:hAnsi="ITC Avant Garde"/>
          <w:b/>
          <w:color w:val="auto"/>
          <w:u w:val="single"/>
        </w:rPr>
      </w:pPr>
    </w:p>
    <w:p w14:paraId="5C193153" w14:textId="1B5FADDD" w:rsidR="007903BD" w:rsidRDefault="007903BD" w:rsidP="007903BD">
      <w:pPr>
        <w:spacing w:after="0" w:line="276" w:lineRule="auto"/>
        <w:ind w:left="0" w:right="0" w:firstLine="0"/>
        <w:rPr>
          <w:rFonts w:ascii="ITC Avant Garde" w:hAnsi="ITC Avant Garde"/>
          <w:b/>
          <w:color w:val="auto"/>
        </w:rPr>
      </w:pPr>
      <w:r>
        <w:rPr>
          <w:rFonts w:ascii="ITC Avant Garde" w:hAnsi="ITC Avant Garde"/>
          <w:b/>
          <w:color w:val="auto"/>
        </w:rPr>
        <w:t>Altán:</w:t>
      </w:r>
    </w:p>
    <w:p w14:paraId="308DED82" w14:textId="629C813E" w:rsidR="007903BD" w:rsidRDefault="007903BD" w:rsidP="007903BD">
      <w:pPr>
        <w:spacing w:after="0" w:line="276" w:lineRule="auto"/>
        <w:ind w:left="0" w:right="0" w:firstLine="0"/>
        <w:rPr>
          <w:rFonts w:ascii="ITC Avant Garde" w:hAnsi="ITC Avant Garde"/>
          <w:color w:val="auto"/>
        </w:rPr>
      </w:pPr>
      <w:r w:rsidRPr="007903BD">
        <w:rPr>
          <w:rFonts w:ascii="ITC Avant Garde" w:hAnsi="ITC Avant Garde"/>
          <w:color w:val="auto"/>
        </w:rPr>
        <w:t>Señala que el párrafo debe de ser adaptado para incluir los modelos de negocios mayoristas en los que dicha obligación recaería en todo caso en los Clientes del Concesionario y afectarían a los usuarios finales del cliente</w:t>
      </w:r>
      <w:r>
        <w:rPr>
          <w:rFonts w:ascii="ITC Avant Garde" w:hAnsi="ITC Avant Garde"/>
          <w:color w:val="auto"/>
        </w:rPr>
        <w:t>.</w:t>
      </w:r>
    </w:p>
    <w:p w14:paraId="2917184B" w14:textId="77777777" w:rsidR="007903BD" w:rsidRDefault="007903BD" w:rsidP="007903BD">
      <w:pPr>
        <w:spacing w:after="0" w:line="276" w:lineRule="auto"/>
        <w:ind w:left="0" w:right="0" w:firstLine="0"/>
        <w:rPr>
          <w:rFonts w:ascii="ITC Avant Garde" w:hAnsi="ITC Avant Garde"/>
          <w:color w:val="auto"/>
        </w:rPr>
      </w:pPr>
    </w:p>
    <w:p w14:paraId="4FDD71A9" w14:textId="77777777" w:rsidR="007903BD" w:rsidRDefault="007903BD" w:rsidP="007903BD">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2DFE0E1D" w14:textId="20956E96" w:rsidR="007903BD" w:rsidRDefault="007903BD" w:rsidP="00B56FA6">
      <w:pPr>
        <w:spacing w:after="0" w:line="276" w:lineRule="auto"/>
        <w:ind w:right="0"/>
        <w:rPr>
          <w:rFonts w:ascii="ITC Avant Garde" w:hAnsi="ITC Avant Garde"/>
          <w:color w:val="auto"/>
        </w:rPr>
      </w:pPr>
      <w:r w:rsidRPr="007903BD">
        <w:rPr>
          <w:rFonts w:ascii="ITC Avant Garde" w:hAnsi="ITC Avant Garde"/>
          <w:color w:val="auto"/>
        </w:rPr>
        <w:t>Dentro de la definición de Usuarios Finales se encuentran contenidos los clientes de Altán.</w:t>
      </w:r>
    </w:p>
    <w:p w14:paraId="56A673DE" w14:textId="29BFCDF7" w:rsidR="007903BD" w:rsidRDefault="007903BD" w:rsidP="00B56FA6">
      <w:pPr>
        <w:spacing w:after="0" w:line="276" w:lineRule="auto"/>
        <w:ind w:right="0"/>
        <w:rPr>
          <w:rFonts w:ascii="ITC Avant Garde" w:hAnsi="ITC Avant Garde"/>
          <w:color w:val="auto"/>
        </w:rPr>
      </w:pPr>
    </w:p>
    <w:p w14:paraId="2E8F21B8" w14:textId="670F86E8" w:rsidR="007903BD" w:rsidRDefault="007903BD" w:rsidP="007903BD">
      <w:pPr>
        <w:spacing w:after="0" w:line="276" w:lineRule="auto"/>
        <w:ind w:right="0"/>
        <w:rPr>
          <w:rFonts w:ascii="ITC Avant Garde" w:hAnsi="ITC Avant Garde"/>
          <w:b/>
          <w:color w:val="auto"/>
          <w:u w:val="single"/>
        </w:rPr>
      </w:pPr>
      <w:r>
        <w:rPr>
          <w:rFonts w:ascii="ITC Avant Garde" w:hAnsi="ITC Avant Garde"/>
          <w:b/>
          <w:color w:val="auto"/>
          <w:u w:val="single"/>
        </w:rPr>
        <w:t>5.3.2</w:t>
      </w:r>
    </w:p>
    <w:p w14:paraId="440D67A9" w14:textId="77777777" w:rsidR="007903BD" w:rsidRPr="0038166F" w:rsidRDefault="007903BD" w:rsidP="007903BD">
      <w:pPr>
        <w:spacing w:after="0" w:line="276" w:lineRule="auto"/>
        <w:ind w:right="0"/>
        <w:rPr>
          <w:rFonts w:ascii="ITC Avant Garde" w:hAnsi="ITC Avant Garde"/>
          <w:b/>
          <w:color w:val="auto"/>
          <w:u w:val="single"/>
        </w:rPr>
      </w:pPr>
    </w:p>
    <w:p w14:paraId="514E93BD" w14:textId="77777777" w:rsidR="007903BD" w:rsidRDefault="007903BD" w:rsidP="007903BD">
      <w:pPr>
        <w:spacing w:after="0" w:line="276" w:lineRule="auto"/>
        <w:ind w:left="0" w:right="0" w:firstLine="0"/>
        <w:rPr>
          <w:rFonts w:ascii="ITC Avant Garde" w:hAnsi="ITC Avant Garde"/>
          <w:b/>
          <w:color w:val="auto"/>
        </w:rPr>
      </w:pPr>
      <w:r>
        <w:rPr>
          <w:rFonts w:ascii="ITC Avant Garde" w:hAnsi="ITC Avant Garde"/>
          <w:b/>
          <w:color w:val="auto"/>
        </w:rPr>
        <w:t>Altán:</w:t>
      </w:r>
    </w:p>
    <w:p w14:paraId="1B318E8C" w14:textId="142AF968" w:rsidR="007903BD" w:rsidRDefault="007903BD" w:rsidP="007903BD">
      <w:pPr>
        <w:spacing w:after="0" w:line="276" w:lineRule="auto"/>
        <w:ind w:left="0" w:right="0" w:firstLine="0"/>
        <w:rPr>
          <w:rFonts w:ascii="ITC Avant Garde" w:hAnsi="ITC Avant Garde"/>
          <w:color w:val="auto"/>
        </w:rPr>
      </w:pPr>
      <w:r w:rsidRPr="007903BD">
        <w:rPr>
          <w:rFonts w:ascii="ITC Avant Garde" w:hAnsi="ITC Avant Garde"/>
          <w:color w:val="auto"/>
        </w:rPr>
        <w:t>Señala que el párrafo debe de ser adaptado e incluir los modelos de negocios mayoristas en los que dicha obligación recaería en todo caso en los Clientes del Concesionario y afectarían a los usuarios finales del cliente</w:t>
      </w:r>
      <w:r>
        <w:rPr>
          <w:rFonts w:ascii="ITC Avant Garde" w:hAnsi="ITC Avant Garde"/>
          <w:color w:val="auto"/>
        </w:rPr>
        <w:t>.</w:t>
      </w:r>
    </w:p>
    <w:p w14:paraId="4FAED1E3" w14:textId="77777777" w:rsidR="007903BD" w:rsidRDefault="007903BD" w:rsidP="007903BD">
      <w:pPr>
        <w:spacing w:after="0" w:line="276" w:lineRule="auto"/>
        <w:ind w:left="0" w:right="0" w:firstLine="0"/>
        <w:rPr>
          <w:rFonts w:ascii="ITC Avant Garde" w:hAnsi="ITC Avant Garde"/>
          <w:color w:val="auto"/>
        </w:rPr>
      </w:pPr>
    </w:p>
    <w:p w14:paraId="5736489B" w14:textId="77777777" w:rsidR="007903BD" w:rsidRDefault="007903BD" w:rsidP="007903BD">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E4D4A6E" w14:textId="6C06907D" w:rsidR="007903BD" w:rsidRPr="00B56FA6" w:rsidRDefault="007903BD" w:rsidP="00B56FA6">
      <w:pPr>
        <w:spacing w:after="0" w:line="276" w:lineRule="auto"/>
        <w:ind w:right="0"/>
        <w:rPr>
          <w:rFonts w:ascii="ITC Avant Garde" w:hAnsi="ITC Avant Garde"/>
          <w:color w:val="auto"/>
        </w:rPr>
      </w:pPr>
      <w:r w:rsidRPr="007903BD">
        <w:rPr>
          <w:rFonts w:ascii="ITC Avant Garde" w:hAnsi="ITC Avant Garde"/>
          <w:color w:val="auto"/>
        </w:rPr>
        <w:t>Dentro de la definición de Usuarios Finales se encuentran contenidos los clientes de Altán.</w:t>
      </w:r>
    </w:p>
    <w:p w14:paraId="212B4E9D" w14:textId="5F9931D0" w:rsidR="005D0FBC" w:rsidRDefault="005D0FBC" w:rsidP="00413693">
      <w:pPr>
        <w:spacing w:after="0" w:line="276" w:lineRule="auto"/>
        <w:ind w:right="0"/>
        <w:rPr>
          <w:rFonts w:ascii="ITC Avant Garde" w:hAnsi="ITC Avant Garde"/>
          <w:color w:val="auto"/>
        </w:rPr>
      </w:pPr>
    </w:p>
    <w:p w14:paraId="2426A1D4" w14:textId="7A81F4AC" w:rsidR="00C10267" w:rsidRDefault="00C10267" w:rsidP="00C10267">
      <w:pPr>
        <w:spacing w:after="0" w:line="276" w:lineRule="auto"/>
        <w:ind w:right="0"/>
        <w:rPr>
          <w:rFonts w:ascii="ITC Avant Garde" w:hAnsi="ITC Avant Garde"/>
          <w:b/>
          <w:color w:val="auto"/>
          <w:u w:val="single"/>
        </w:rPr>
      </w:pPr>
      <w:r>
        <w:rPr>
          <w:rFonts w:ascii="ITC Avant Garde" w:hAnsi="ITC Avant Garde"/>
          <w:b/>
          <w:color w:val="auto"/>
          <w:u w:val="single"/>
        </w:rPr>
        <w:t>5.3.4</w:t>
      </w:r>
    </w:p>
    <w:p w14:paraId="791AF4BD" w14:textId="77777777" w:rsidR="00C10267" w:rsidRPr="0038166F" w:rsidRDefault="00C10267" w:rsidP="00C10267">
      <w:pPr>
        <w:spacing w:after="0" w:line="276" w:lineRule="auto"/>
        <w:ind w:right="0"/>
        <w:rPr>
          <w:rFonts w:ascii="ITC Avant Garde" w:hAnsi="ITC Avant Garde"/>
          <w:b/>
          <w:color w:val="auto"/>
          <w:u w:val="single"/>
        </w:rPr>
      </w:pPr>
    </w:p>
    <w:p w14:paraId="1A2BF5BE" w14:textId="77777777" w:rsidR="00C10267" w:rsidRDefault="00C10267" w:rsidP="00C10267">
      <w:pPr>
        <w:spacing w:after="0" w:line="276" w:lineRule="auto"/>
        <w:ind w:left="0" w:right="0" w:firstLine="0"/>
        <w:rPr>
          <w:rFonts w:ascii="ITC Avant Garde" w:hAnsi="ITC Avant Garde"/>
          <w:b/>
          <w:color w:val="auto"/>
        </w:rPr>
      </w:pPr>
      <w:r>
        <w:rPr>
          <w:rFonts w:ascii="ITC Avant Garde" w:hAnsi="ITC Avant Garde"/>
          <w:b/>
          <w:color w:val="auto"/>
        </w:rPr>
        <w:t>Altán:</w:t>
      </w:r>
    </w:p>
    <w:p w14:paraId="615D5508" w14:textId="48884F30" w:rsidR="00C10267" w:rsidRDefault="00C10267" w:rsidP="00C10267">
      <w:pPr>
        <w:spacing w:after="0" w:line="276" w:lineRule="auto"/>
        <w:ind w:left="0" w:right="0" w:firstLine="0"/>
        <w:rPr>
          <w:rFonts w:ascii="ITC Avant Garde" w:hAnsi="ITC Avant Garde"/>
          <w:color w:val="auto"/>
        </w:rPr>
      </w:pPr>
      <w:r w:rsidRPr="00C10267">
        <w:rPr>
          <w:rFonts w:ascii="ITC Avant Garde" w:hAnsi="ITC Avant Garde"/>
          <w:color w:val="auto"/>
        </w:rPr>
        <w:t>Señala que el AEP propone que la parte que reciba un requerimiento por parte del Instituto para presentar información relacionada con el Convenio o la Oferta, deberá de enviar la solicitud a la otra parte, por lo que se recomienda que la información que el AEP requiera a sus clientes debe de restringirse a la mínima necesaria, asimismo considera que los solicitantes de servicios de roaming no tienen por qué proveer información comercialmente sensible, ni aquella que le solicite la autoridad para recabar información sobre el sector o verificar el cumplimiento de las obligaciones regulatorias de las partes.</w:t>
      </w:r>
    </w:p>
    <w:p w14:paraId="365F5A06" w14:textId="02620D57" w:rsidR="00C10267" w:rsidRDefault="00C10267" w:rsidP="00C10267">
      <w:pPr>
        <w:spacing w:after="0" w:line="276" w:lineRule="auto"/>
        <w:ind w:left="0" w:right="0" w:firstLine="0"/>
        <w:rPr>
          <w:rFonts w:ascii="ITC Avant Garde" w:hAnsi="ITC Avant Garde"/>
          <w:color w:val="auto"/>
        </w:rPr>
      </w:pPr>
    </w:p>
    <w:p w14:paraId="1105E871" w14:textId="54BE1282" w:rsidR="00C10267" w:rsidRDefault="00C10267" w:rsidP="00C10267">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06A66FF1" w14:textId="7BC898C6" w:rsidR="00C10267" w:rsidRDefault="00C10267" w:rsidP="00C10267">
      <w:pPr>
        <w:spacing w:after="0" w:line="276" w:lineRule="auto"/>
        <w:ind w:left="0" w:right="0" w:firstLine="0"/>
        <w:rPr>
          <w:rFonts w:ascii="ITC Avant Garde" w:hAnsi="ITC Avant Garde"/>
          <w:color w:val="auto"/>
        </w:rPr>
      </w:pPr>
      <w:r w:rsidRPr="00C10267">
        <w:rPr>
          <w:rFonts w:ascii="ITC Avant Garde" w:hAnsi="ITC Avant Garde"/>
          <w:color w:val="auto"/>
        </w:rPr>
        <w:t>Menciona que el correo electrónico no parece ser la herramienta más adecuada en los requerimientos de información, sino que se deben de utilizar alternativas como es el SEG, por lo que solicita cambiar el medio de intercambio de información del correo electrónico por el SEG</w:t>
      </w:r>
      <w:r>
        <w:rPr>
          <w:rFonts w:ascii="ITC Avant Garde" w:hAnsi="ITC Avant Garde"/>
          <w:color w:val="auto"/>
        </w:rPr>
        <w:t>.</w:t>
      </w:r>
    </w:p>
    <w:p w14:paraId="1DC9DAF7" w14:textId="7FEB8252" w:rsidR="00C10267" w:rsidRDefault="00C10267" w:rsidP="00C10267">
      <w:pPr>
        <w:spacing w:after="0" w:line="276" w:lineRule="auto"/>
        <w:ind w:left="0" w:right="0" w:firstLine="0"/>
        <w:rPr>
          <w:rFonts w:ascii="ITC Avant Garde" w:hAnsi="ITC Avant Garde"/>
          <w:color w:val="auto"/>
        </w:rPr>
      </w:pPr>
    </w:p>
    <w:p w14:paraId="5C9CE60D" w14:textId="17BA9D60" w:rsidR="00C10267" w:rsidRDefault="00C10267" w:rsidP="00C10267">
      <w:pPr>
        <w:spacing w:after="0" w:line="276" w:lineRule="auto"/>
        <w:ind w:left="0" w:right="0" w:firstLine="0"/>
        <w:rPr>
          <w:rFonts w:ascii="ITC Avant Garde" w:hAnsi="ITC Avant Garde"/>
          <w:b/>
          <w:color w:val="auto"/>
        </w:rPr>
      </w:pPr>
      <w:r>
        <w:rPr>
          <w:rFonts w:ascii="ITC Avant Garde" w:hAnsi="ITC Avant Garde"/>
          <w:b/>
          <w:color w:val="auto"/>
        </w:rPr>
        <w:t>PROMTEL:</w:t>
      </w:r>
    </w:p>
    <w:p w14:paraId="08F387E4" w14:textId="0C1CAB13" w:rsidR="00C10267" w:rsidRDefault="00C10267" w:rsidP="00C10267">
      <w:pPr>
        <w:spacing w:after="0" w:line="276" w:lineRule="auto"/>
        <w:ind w:left="0" w:right="0" w:firstLine="0"/>
        <w:rPr>
          <w:rFonts w:ascii="ITC Avant Garde" w:hAnsi="ITC Avant Garde"/>
          <w:color w:val="auto"/>
        </w:rPr>
      </w:pPr>
      <w:r w:rsidRPr="00C10267">
        <w:rPr>
          <w:rFonts w:ascii="ITC Avant Garde" w:hAnsi="ITC Avant Garde"/>
          <w:color w:val="auto"/>
        </w:rPr>
        <w:t>Señala que no se identifican elementos referentes a las actividades que realiza el AEP que justifiquen la inclusión de esta condición en el convenio, por lo que sugiere que no se incluya en la Oferta pues podría implicar un incremento en los cos</w:t>
      </w:r>
      <w:r>
        <w:rPr>
          <w:rFonts w:ascii="ITC Avant Garde" w:hAnsi="ITC Avant Garde"/>
          <w:color w:val="auto"/>
        </w:rPr>
        <w:t>tos de gestión del solicitante.</w:t>
      </w:r>
    </w:p>
    <w:p w14:paraId="42DBAF80" w14:textId="225D140C" w:rsidR="00C10267" w:rsidRDefault="00C10267" w:rsidP="00C10267">
      <w:pPr>
        <w:spacing w:after="0" w:line="276" w:lineRule="auto"/>
        <w:ind w:left="0" w:right="0" w:firstLine="0"/>
        <w:rPr>
          <w:rFonts w:ascii="ITC Avant Garde" w:hAnsi="ITC Avant Garde"/>
          <w:color w:val="auto"/>
        </w:rPr>
      </w:pPr>
    </w:p>
    <w:p w14:paraId="278439BB" w14:textId="77777777" w:rsidR="00C10267" w:rsidRDefault="00C10267" w:rsidP="00C10267">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7D6E0AE" w14:textId="411EB497" w:rsidR="00C10267" w:rsidRDefault="00C10267" w:rsidP="00C10267">
      <w:pPr>
        <w:spacing w:after="0" w:line="276" w:lineRule="auto"/>
        <w:ind w:left="0" w:right="0" w:firstLine="0"/>
        <w:rPr>
          <w:rFonts w:ascii="ITC Avant Garde" w:hAnsi="ITC Avant Garde"/>
          <w:color w:val="auto"/>
        </w:rPr>
      </w:pPr>
      <w:r w:rsidRPr="00C10267">
        <w:rPr>
          <w:rFonts w:ascii="ITC Avant Garde" w:hAnsi="ITC Avant Garde"/>
          <w:color w:val="auto"/>
        </w:rPr>
        <w:t xml:space="preserve">Se elimina la cláusula 5.3.4 debido a que el Convenio ya contempla en la cláusula 6.7 el procedimiento que deberán seguir las partes en caso de existir un requerimiento de información confidencial a causa de un procedimiento administrativo, judicial o por cualquier otro acto de autoridad.  </w:t>
      </w:r>
    </w:p>
    <w:p w14:paraId="5202DEB2" w14:textId="51E56015" w:rsidR="00456B75" w:rsidRDefault="00456B75" w:rsidP="00C10267">
      <w:pPr>
        <w:spacing w:after="0" w:line="276" w:lineRule="auto"/>
        <w:ind w:left="0" w:right="0" w:firstLine="0"/>
        <w:rPr>
          <w:rFonts w:ascii="ITC Avant Garde" w:hAnsi="ITC Avant Garde"/>
          <w:color w:val="auto"/>
        </w:rPr>
      </w:pPr>
    </w:p>
    <w:p w14:paraId="5CE55FE3" w14:textId="33877078" w:rsidR="00456B75" w:rsidRDefault="00456B75" w:rsidP="00456B75">
      <w:pPr>
        <w:spacing w:after="0" w:line="276" w:lineRule="auto"/>
        <w:ind w:right="0"/>
        <w:rPr>
          <w:rFonts w:ascii="ITC Avant Garde" w:hAnsi="ITC Avant Garde"/>
          <w:b/>
          <w:color w:val="auto"/>
          <w:u w:val="single"/>
        </w:rPr>
      </w:pPr>
      <w:r>
        <w:rPr>
          <w:rFonts w:ascii="ITC Avant Garde" w:hAnsi="ITC Avant Garde"/>
          <w:b/>
          <w:color w:val="auto"/>
          <w:u w:val="single"/>
        </w:rPr>
        <w:t>6.11</w:t>
      </w:r>
    </w:p>
    <w:p w14:paraId="669C78D4" w14:textId="77777777" w:rsidR="00456B75" w:rsidRPr="0038166F" w:rsidRDefault="00456B75" w:rsidP="00456B75">
      <w:pPr>
        <w:spacing w:after="0" w:line="276" w:lineRule="auto"/>
        <w:ind w:right="0"/>
        <w:rPr>
          <w:rFonts w:ascii="ITC Avant Garde" w:hAnsi="ITC Avant Garde"/>
          <w:b/>
          <w:color w:val="auto"/>
          <w:u w:val="single"/>
        </w:rPr>
      </w:pPr>
    </w:p>
    <w:p w14:paraId="1BD45667" w14:textId="61F2C643" w:rsidR="00456B75" w:rsidRDefault="00456B75" w:rsidP="00456B75">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6A2471CA" w14:textId="0486EC41" w:rsidR="00456B75" w:rsidRDefault="00456B75" w:rsidP="00456B75">
      <w:pPr>
        <w:spacing w:after="0" w:line="276" w:lineRule="auto"/>
        <w:ind w:left="0" w:right="0" w:firstLine="0"/>
        <w:rPr>
          <w:rFonts w:ascii="ITC Avant Garde" w:hAnsi="ITC Avant Garde"/>
          <w:color w:val="auto"/>
        </w:rPr>
      </w:pPr>
      <w:r w:rsidRPr="00456B75">
        <w:rPr>
          <w:rFonts w:ascii="ITC Avant Garde" w:hAnsi="ITC Avant Garde"/>
          <w:color w:val="auto"/>
        </w:rPr>
        <w:t>Sugiere que la Oferta de Referencia firmada entre Telcel y el Concesionario Solicitante debe estar disponible en el portal del Instituto dentro de los 10 días hábiles siguientes a su fecha de celebración, lo anterior para permitir el traspaso de mejoras en las condiciones a los demás concesionarios</w:t>
      </w:r>
      <w:r>
        <w:rPr>
          <w:rFonts w:ascii="ITC Avant Garde" w:hAnsi="ITC Avant Garde"/>
          <w:color w:val="auto"/>
        </w:rPr>
        <w:t>.</w:t>
      </w:r>
    </w:p>
    <w:p w14:paraId="472224A0" w14:textId="77777777" w:rsidR="00456B75" w:rsidRDefault="00456B75" w:rsidP="00456B75">
      <w:pPr>
        <w:spacing w:after="0" w:line="276" w:lineRule="auto"/>
        <w:ind w:left="0" w:right="0" w:firstLine="0"/>
        <w:rPr>
          <w:rFonts w:ascii="ITC Avant Garde" w:hAnsi="ITC Avant Garde"/>
          <w:color w:val="auto"/>
        </w:rPr>
      </w:pPr>
    </w:p>
    <w:p w14:paraId="132E4B3F" w14:textId="77777777" w:rsidR="00456B75" w:rsidRDefault="00456B75" w:rsidP="00456B75">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ED2853B" w14:textId="123BC236" w:rsidR="00456B75" w:rsidRDefault="00456B75" w:rsidP="00C10267">
      <w:pPr>
        <w:spacing w:after="0" w:line="276" w:lineRule="auto"/>
        <w:ind w:left="0" w:right="0" w:firstLine="0"/>
        <w:rPr>
          <w:rFonts w:ascii="ITC Avant Garde" w:hAnsi="ITC Avant Garde"/>
          <w:color w:val="auto"/>
        </w:rPr>
      </w:pPr>
      <w:r w:rsidRPr="00456B75">
        <w:rPr>
          <w:rFonts w:ascii="ITC Avant Garde" w:hAnsi="ITC Avant Garde"/>
          <w:color w:val="auto"/>
        </w:rPr>
        <w:t xml:space="preserve">El numeral en cuestión es congruente con lo establecido en la Medida Cuadragésima Primera de las Medidas Móviles, la cual señala que el AEP y el concesionario u OMV </w:t>
      </w:r>
      <w:r w:rsidRPr="00456B75">
        <w:rPr>
          <w:rFonts w:ascii="ITC Avant Garde" w:hAnsi="ITC Avant Garde"/>
          <w:color w:val="auto"/>
        </w:rPr>
        <w:lastRenderedPageBreak/>
        <w:t>deberán registrar ante el Instituto en un plazo no mayor a 30 días hábiles a partir de su suscripción los Convenios y/o modificaciones</w:t>
      </w:r>
    </w:p>
    <w:p w14:paraId="023D9106" w14:textId="020503AF" w:rsidR="00C10267" w:rsidRDefault="00C10267" w:rsidP="00413693">
      <w:pPr>
        <w:spacing w:after="0" w:line="276" w:lineRule="auto"/>
        <w:ind w:right="0"/>
        <w:rPr>
          <w:rFonts w:ascii="ITC Avant Garde" w:hAnsi="ITC Avant Garde"/>
          <w:color w:val="auto"/>
        </w:rPr>
      </w:pPr>
    </w:p>
    <w:p w14:paraId="5E6AF965" w14:textId="26429D5A" w:rsidR="00DA046C" w:rsidRDefault="00DA046C" w:rsidP="00DA046C">
      <w:pPr>
        <w:spacing w:after="0" w:line="276" w:lineRule="auto"/>
        <w:ind w:right="0"/>
        <w:rPr>
          <w:rFonts w:ascii="ITC Avant Garde" w:hAnsi="ITC Avant Garde"/>
          <w:b/>
          <w:color w:val="auto"/>
          <w:u w:val="single"/>
        </w:rPr>
      </w:pPr>
      <w:r>
        <w:rPr>
          <w:rFonts w:ascii="ITC Avant Garde" w:hAnsi="ITC Avant Garde"/>
          <w:b/>
          <w:color w:val="auto"/>
          <w:u w:val="single"/>
        </w:rPr>
        <w:t>7.2</w:t>
      </w:r>
    </w:p>
    <w:p w14:paraId="48EE7820" w14:textId="77777777" w:rsidR="00DA046C" w:rsidRPr="0038166F" w:rsidRDefault="00DA046C" w:rsidP="00DA046C">
      <w:pPr>
        <w:spacing w:after="0" w:line="276" w:lineRule="auto"/>
        <w:ind w:right="0"/>
        <w:rPr>
          <w:rFonts w:ascii="ITC Avant Garde" w:hAnsi="ITC Avant Garde"/>
          <w:b/>
          <w:color w:val="auto"/>
          <w:u w:val="single"/>
        </w:rPr>
      </w:pPr>
    </w:p>
    <w:p w14:paraId="7F8334B2" w14:textId="77777777" w:rsidR="00DA046C" w:rsidRDefault="00DA046C" w:rsidP="00DA046C">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20DB452D" w14:textId="786793B8" w:rsidR="00DA046C" w:rsidRDefault="00DA046C" w:rsidP="00DA046C">
      <w:pPr>
        <w:spacing w:after="0" w:line="276" w:lineRule="auto"/>
        <w:ind w:left="0" w:right="0" w:firstLine="0"/>
        <w:rPr>
          <w:rFonts w:ascii="ITC Avant Garde" w:hAnsi="ITC Avant Garde"/>
          <w:color w:val="auto"/>
        </w:rPr>
      </w:pPr>
      <w:r w:rsidRPr="00DA046C">
        <w:rPr>
          <w:rFonts w:ascii="ITC Avant Garde" w:hAnsi="ITC Avant Garde"/>
          <w:color w:val="auto"/>
        </w:rPr>
        <w:t>Solicita acotar las acciones realizadas por terceros ya que el término resulta muy amplio y permite al AEP interferir indebidamente en la operación del concesionario. Señala que el AEP será responsable por cualquier daño directo o indirecto si los terceros trabajan para éste.</w:t>
      </w:r>
    </w:p>
    <w:p w14:paraId="389AF0E8" w14:textId="77777777" w:rsidR="00DA046C" w:rsidRDefault="00DA046C" w:rsidP="00DA046C">
      <w:pPr>
        <w:spacing w:after="0" w:line="276" w:lineRule="auto"/>
        <w:ind w:left="0" w:right="0" w:firstLine="0"/>
        <w:rPr>
          <w:rFonts w:ascii="ITC Avant Garde" w:hAnsi="ITC Avant Garde"/>
          <w:color w:val="auto"/>
        </w:rPr>
      </w:pPr>
    </w:p>
    <w:p w14:paraId="16F99F13" w14:textId="77777777" w:rsidR="00DA046C" w:rsidRDefault="00DA046C" w:rsidP="00DA046C">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ADCB3C9" w14:textId="5DD5B0AB" w:rsidR="00DA046C" w:rsidRDefault="00DA046C" w:rsidP="00413693">
      <w:pPr>
        <w:spacing w:after="0" w:line="276" w:lineRule="auto"/>
        <w:ind w:right="0"/>
        <w:rPr>
          <w:rFonts w:ascii="ITC Avant Garde" w:hAnsi="ITC Avant Garde"/>
          <w:color w:val="auto"/>
        </w:rPr>
      </w:pPr>
      <w:r w:rsidRPr="00DA046C">
        <w:rPr>
          <w:rFonts w:ascii="ITC Avant Garde" w:hAnsi="ITC Avant Garde"/>
          <w:color w:val="auto"/>
        </w:rPr>
        <w:t>El numeral ya acota estas situaciones al establecer que solamente se considerarán las acciones realizadas por terceros fuera de su control</w:t>
      </w:r>
      <w:r w:rsidR="00676C3A">
        <w:rPr>
          <w:rFonts w:ascii="ITC Avant Garde" w:hAnsi="ITC Avant Garde"/>
          <w:color w:val="auto"/>
        </w:rPr>
        <w:t>.</w:t>
      </w:r>
    </w:p>
    <w:p w14:paraId="69E76A68" w14:textId="1D9DAD7F" w:rsidR="00676C3A" w:rsidRDefault="00676C3A" w:rsidP="00413693">
      <w:pPr>
        <w:spacing w:after="0" w:line="276" w:lineRule="auto"/>
        <w:ind w:right="0"/>
        <w:rPr>
          <w:rFonts w:ascii="ITC Avant Garde" w:hAnsi="ITC Avant Garde"/>
          <w:color w:val="auto"/>
        </w:rPr>
      </w:pPr>
    </w:p>
    <w:p w14:paraId="676E4C3F" w14:textId="4E708D58" w:rsidR="00676C3A" w:rsidRDefault="00676C3A" w:rsidP="00676C3A">
      <w:pPr>
        <w:spacing w:after="0" w:line="276" w:lineRule="auto"/>
        <w:ind w:right="0"/>
        <w:rPr>
          <w:rFonts w:ascii="ITC Avant Garde" w:hAnsi="ITC Avant Garde"/>
          <w:b/>
          <w:color w:val="auto"/>
          <w:u w:val="single"/>
        </w:rPr>
      </w:pPr>
      <w:r>
        <w:rPr>
          <w:rFonts w:ascii="ITC Avant Garde" w:hAnsi="ITC Avant Garde"/>
          <w:b/>
          <w:color w:val="auto"/>
          <w:u w:val="single"/>
        </w:rPr>
        <w:t>8.1</w:t>
      </w:r>
    </w:p>
    <w:p w14:paraId="0D700AB2" w14:textId="77777777" w:rsidR="00676C3A" w:rsidRPr="0038166F" w:rsidRDefault="00676C3A" w:rsidP="00676C3A">
      <w:pPr>
        <w:spacing w:after="0" w:line="276" w:lineRule="auto"/>
        <w:ind w:right="0"/>
        <w:rPr>
          <w:rFonts w:ascii="ITC Avant Garde" w:hAnsi="ITC Avant Garde"/>
          <w:b/>
          <w:color w:val="auto"/>
          <w:u w:val="single"/>
        </w:rPr>
      </w:pPr>
    </w:p>
    <w:p w14:paraId="1E57012B" w14:textId="77777777" w:rsidR="00676C3A" w:rsidRDefault="00676C3A" w:rsidP="00676C3A">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18026E90" w14:textId="7D55175D" w:rsidR="00676C3A" w:rsidRDefault="00676C3A" w:rsidP="00676C3A">
      <w:pPr>
        <w:spacing w:after="0" w:line="276" w:lineRule="auto"/>
        <w:ind w:left="0" w:right="0" w:firstLine="0"/>
        <w:rPr>
          <w:rFonts w:ascii="ITC Avant Garde" w:hAnsi="ITC Avant Garde"/>
          <w:color w:val="auto"/>
        </w:rPr>
      </w:pPr>
      <w:r w:rsidRPr="00676C3A">
        <w:rPr>
          <w:rFonts w:ascii="ITC Avant Garde" w:hAnsi="ITC Avant Garde"/>
          <w:color w:val="auto"/>
        </w:rPr>
        <w:t>Solicita que se elimine esta cláusula ya que el AEP no puede decidir unilateralmente sobre la transferencia de derechos y obligaciones hacia los concesionarios. En todo caso, se debe acotar la cesión de derechos y obligaciones previa aprobación del Instituto.</w:t>
      </w:r>
    </w:p>
    <w:p w14:paraId="446E4E36" w14:textId="77777777" w:rsidR="00676C3A" w:rsidRDefault="00676C3A" w:rsidP="00676C3A">
      <w:pPr>
        <w:spacing w:after="0" w:line="276" w:lineRule="auto"/>
        <w:ind w:left="0" w:right="0" w:firstLine="0"/>
        <w:rPr>
          <w:rFonts w:ascii="ITC Avant Garde" w:hAnsi="ITC Avant Garde"/>
          <w:color w:val="auto"/>
        </w:rPr>
      </w:pPr>
    </w:p>
    <w:p w14:paraId="305853AB" w14:textId="77777777" w:rsidR="00676C3A" w:rsidRDefault="00676C3A" w:rsidP="00676C3A">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706CADC1" w14:textId="3B64A3A3" w:rsidR="00676C3A" w:rsidRDefault="00676C3A" w:rsidP="00413693">
      <w:pPr>
        <w:spacing w:after="0" w:line="276" w:lineRule="auto"/>
        <w:ind w:right="0"/>
        <w:rPr>
          <w:rFonts w:ascii="ITC Avant Garde" w:hAnsi="ITC Avant Garde"/>
          <w:color w:val="auto"/>
        </w:rPr>
      </w:pPr>
      <w:r w:rsidRPr="00676C3A">
        <w:rPr>
          <w:rFonts w:ascii="ITC Avant Garde" w:hAnsi="ITC Avant Garde"/>
          <w:color w:val="auto"/>
        </w:rPr>
        <w:t>La cesión no requiere la autorización del Instituto cuando esta se realice bajo las excepciones contempladas en el artículo 110 de la LFTR.</w:t>
      </w:r>
    </w:p>
    <w:p w14:paraId="3B5241EA" w14:textId="25747A5E" w:rsidR="00D03698" w:rsidRDefault="00D03698" w:rsidP="00413693">
      <w:pPr>
        <w:spacing w:after="0" w:line="276" w:lineRule="auto"/>
        <w:ind w:right="0"/>
        <w:rPr>
          <w:rFonts w:ascii="ITC Avant Garde" w:hAnsi="ITC Avant Garde"/>
          <w:color w:val="auto"/>
        </w:rPr>
      </w:pPr>
    </w:p>
    <w:p w14:paraId="0A487BDB" w14:textId="4BA49BFA" w:rsidR="00D03698" w:rsidRDefault="00D03698" w:rsidP="00D03698">
      <w:pPr>
        <w:spacing w:after="0" w:line="276" w:lineRule="auto"/>
        <w:ind w:right="0"/>
        <w:rPr>
          <w:rFonts w:ascii="ITC Avant Garde" w:hAnsi="ITC Avant Garde"/>
          <w:b/>
          <w:color w:val="auto"/>
          <w:u w:val="single"/>
        </w:rPr>
      </w:pPr>
      <w:r w:rsidRPr="00D03698">
        <w:rPr>
          <w:rFonts w:ascii="ITC Avant Garde" w:hAnsi="ITC Avant Garde"/>
          <w:b/>
          <w:color w:val="auto"/>
          <w:u w:val="single"/>
        </w:rPr>
        <w:t>Cláusula Décima. Seguros</w:t>
      </w:r>
    </w:p>
    <w:p w14:paraId="05009C71" w14:textId="77777777" w:rsidR="00D03698" w:rsidRPr="00D03698" w:rsidRDefault="00D03698" w:rsidP="00D03698">
      <w:pPr>
        <w:spacing w:after="0" w:line="276" w:lineRule="auto"/>
        <w:ind w:right="0"/>
        <w:rPr>
          <w:rFonts w:ascii="ITC Avant Garde" w:hAnsi="ITC Avant Garde"/>
          <w:b/>
          <w:color w:val="auto"/>
          <w:u w:val="single"/>
        </w:rPr>
      </w:pPr>
    </w:p>
    <w:p w14:paraId="19C44439" w14:textId="77777777" w:rsidR="00D03698" w:rsidRDefault="00D03698" w:rsidP="00D03698">
      <w:pPr>
        <w:spacing w:after="0" w:line="276" w:lineRule="auto"/>
        <w:ind w:left="0" w:right="0" w:firstLine="0"/>
        <w:rPr>
          <w:rFonts w:ascii="ITC Avant Garde" w:hAnsi="ITC Avant Garde"/>
          <w:b/>
          <w:color w:val="auto"/>
        </w:rPr>
      </w:pPr>
      <w:r>
        <w:rPr>
          <w:rFonts w:ascii="ITC Avant Garde" w:hAnsi="ITC Avant Garde"/>
          <w:b/>
          <w:color w:val="auto"/>
        </w:rPr>
        <w:t>Altán:</w:t>
      </w:r>
    </w:p>
    <w:p w14:paraId="0087279E" w14:textId="28BF5FA2" w:rsidR="00D03698" w:rsidRDefault="00D03698" w:rsidP="00413693">
      <w:pPr>
        <w:spacing w:after="0" w:line="276" w:lineRule="auto"/>
        <w:ind w:right="0"/>
        <w:rPr>
          <w:rFonts w:ascii="ITC Avant Garde" w:hAnsi="ITC Avant Garde"/>
          <w:color w:val="auto"/>
        </w:rPr>
      </w:pPr>
      <w:r w:rsidRPr="00D03698">
        <w:rPr>
          <w:rFonts w:ascii="ITC Avant Garde" w:hAnsi="ITC Avant Garde"/>
          <w:color w:val="auto"/>
        </w:rPr>
        <w:t>Sugiere ampliar el plazo a 10 días para la entrega de renovación del seguro.</w:t>
      </w:r>
    </w:p>
    <w:p w14:paraId="50C4989A" w14:textId="58AB580C" w:rsidR="00D03698" w:rsidRDefault="00D03698" w:rsidP="00413693">
      <w:pPr>
        <w:spacing w:after="0" w:line="276" w:lineRule="auto"/>
        <w:ind w:right="0"/>
        <w:rPr>
          <w:rFonts w:ascii="ITC Avant Garde" w:hAnsi="ITC Avant Garde"/>
          <w:color w:val="auto"/>
        </w:rPr>
      </w:pPr>
    </w:p>
    <w:p w14:paraId="58F9670C" w14:textId="77777777" w:rsidR="00D03698" w:rsidRDefault="00D03698" w:rsidP="00D03698">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05DA697" w14:textId="6ECC86A0" w:rsidR="00D03698" w:rsidRDefault="00D03698" w:rsidP="00D03698">
      <w:pPr>
        <w:spacing w:after="0" w:line="276" w:lineRule="auto"/>
        <w:ind w:right="0"/>
        <w:rPr>
          <w:rFonts w:ascii="ITC Avant Garde" w:hAnsi="ITC Avant Garde"/>
          <w:color w:val="auto"/>
        </w:rPr>
      </w:pPr>
      <w:r w:rsidRPr="00D03698">
        <w:rPr>
          <w:rFonts w:ascii="ITC Avant Garde" w:hAnsi="ITC Avant Garde"/>
          <w:color w:val="auto"/>
        </w:rPr>
        <w:t>Se precisa en las clausulas 10 y 15.9 que el concesionario entregará a Telcel la renovación de la póliza del seguro dentro de los 10 días naturales siguientes a su vencimiento con el fin de otorgar el mismo plazo tanto para una nueva póliza como para su renovación.</w:t>
      </w:r>
    </w:p>
    <w:p w14:paraId="0BA1CF0C" w14:textId="75EB2D72" w:rsidR="003006F2" w:rsidRDefault="003006F2" w:rsidP="00D03698">
      <w:pPr>
        <w:spacing w:after="0" w:line="276" w:lineRule="auto"/>
        <w:ind w:right="0"/>
        <w:rPr>
          <w:rFonts w:ascii="ITC Avant Garde" w:hAnsi="ITC Avant Garde"/>
          <w:color w:val="auto"/>
        </w:rPr>
      </w:pPr>
    </w:p>
    <w:p w14:paraId="115107C6" w14:textId="77777777" w:rsidR="003006F2" w:rsidRDefault="003006F2" w:rsidP="003006F2">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6AC5A286" w14:textId="4304303F" w:rsidR="003006F2" w:rsidRDefault="003006F2" w:rsidP="003006F2">
      <w:pPr>
        <w:spacing w:after="0" w:line="276" w:lineRule="auto"/>
        <w:ind w:left="0" w:right="0" w:firstLine="0"/>
        <w:rPr>
          <w:rFonts w:ascii="ITC Avant Garde" w:hAnsi="ITC Avant Garde"/>
          <w:color w:val="auto"/>
        </w:rPr>
      </w:pPr>
      <w:r w:rsidRPr="003006F2">
        <w:rPr>
          <w:rFonts w:ascii="ITC Avant Garde" w:hAnsi="ITC Avant Garde"/>
          <w:color w:val="auto"/>
        </w:rPr>
        <w:lastRenderedPageBreak/>
        <w:t>Indica que no resulta coherente que Telcel posea la póliza original de la renovación del seguro, por lo que sugiere modificar o eliminar dicho apartado para que el AEP no sea el poseedor de la póliza original del seguro</w:t>
      </w:r>
      <w:r>
        <w:rPr>
          <w:rFonts w:ascii="ITC Avant Garde" w:hAnsi="ITC Avant Garde"/>
          <w:color w:val="auto"/>
        </w:rPr>
        <w:t>.</w:t>
      </w:r>
    </w:p>
    <w:p w14:paraId="12BBABAB" w14:textId="77777777" w:rsidR="003006F2" w:rsidRPr="003006F2" w:rsidRDefault="003006F2" w:rsidP="003006F2">
      <w:pPr>
        <w:spacing w:after="0" w:line="276" w:lineRule="auto"/>
        <w:ind w:left="0" w:right="0" w:firstLine="0"/>
        <w:rPr>
          <w:rFonts w:ascii="ITC Avant Garde" w:hAnsi="ITC Avant Garde"/>
          <w:color w:val="auto"/>
        </w:rPr>
      </w:pPr>
    </w:p>
    <w:p w14:paraId="3AF8E1B2" w14:textId="77777777" w:rsidR="003006F2" w:rsidRDefault="003006F2" w:rsidP="003006F2">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A3B773B" w14:textId="611ECEC5" w:rsidR="003006F2" w:rsidRDefault="003006F2" w:rsidP="00D03698">
      <w:pPr>
        <w:spacing w:after="0" w:line="276" w:lineRule="auto"/>
        <w:ind w:right="0"/>
        <w:rPr>
          <w:rFonts w:ascii="ITC Avant Garde" w:hAnsi="ITC Avant Garde"/>
          <w:color w:val="auto"/>
        </w:rPr>
      </w:pPr>
      <w:r w:rsidRPr="003006F2">
        <w:rPr>
          <w:rFonts w:ascii="ITC Avant Garde" w:hAnsi="ITC Avant Garde"/>
          <w:color w:val="auto"/>
        </w:rPr>
        <w:t>Se modifica la cláusula décima para precisar que el concesionario entregará la copia de la póliza del seguro a Telcel, ya que el concesionario es el encargado de contactar al seguro en caso de causar algún daño.</w:t>
      </w:r>
    </w:p>
    <w:p w14:paraId="76B1966A" w14:textId="13D48321" w:rsidR="00B57C1A" w:rsidRDefault="00B57C1A" w:rsidP="00D03698">
      <w:pPr>
        <w:spacing w:after="0" w:line="276" w:lineRule="auto"/>
        <w:ind w:right="0"/>
        <w:rPr>
          <w:rFonts w:ascii="ITC Avant Garde" w:hAnsi="ITC Avant Garde"/>
          <w:color w:val="auto"/>
        </w:rPr>
      </w:pPr>
    </w:p>
    <w:p w14:paraId="248361A1" w14:textId="1601AA9E" w:rsidR="00B57C1A" w:rsidRDefault="00B57C1A" w:rsidP="00B57C1A">
      <w:pPr>
        <w:spacing w:after="0" w:line="276" w:lineRule="auto"/>
        <w:ind w:right="0"/>
        <w:rPr>
          <w:rFonts w:ascii="ITC Avant Garde" w:hAnsi="ITC Avant Garde"/>
          <w:b/>
          <w:color w:val="auto"/>
          <w:u w:val="single"/>
        </w:rPr>
      </w:pPr>
      <w:r>
        <w:rPr>
          <w:rFonts w:ascii="ITC Avant Garde" w:hAnsi="ITC Avant Garde"/>
          <w:b/>
          <w:color w:val="auto"/>
          <w:u w:val="single"/>
        </w:rPr>
        <w:t>14.1</w:t>
      </w:r>
    </w:p>
    <w:p w14:paraId="5F452FD5" w14:textId="77777777" w:rsidR="00B57C1A" w:rsidRPr="00D03698" w:rsidRDefault="00B57C1A" w:rsidP="00B57C1A">
      <w:pPr>
        <w:spacing w:after="0" w:line="276" w:lineRule="auto"/>
        <w:ind w:right="0"/>
        <w:rPr>
          <w:rFonts w:ascii="ITC Avant Garde" w:hAnsi="ITC Avant Garde"/>
          <w:b/>
          <w:color w:val="auto"/>
          <w:u w:val="single"/>
        </w:rPr>
      </w:pPr>
    </w:p>
    <w:p w14:paraId="032C9EFE" w14:textId="77777777" w:rsidR="00B57C1A" w:rsidRDefault="00B57C1A" w:rsidP="00B57C1A">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547A1099" w14:textId="7127EBFD" w:rsidR="00B57C1A" w:rsidRDefault="00B57C1A" w:rsidP="00B57C1A">
      <w:pPr>
        <w:spacing w:after="0" w:line="276" w:lineRule="auto"/>
        <w:ind w:left="0" w:right="0" w:firstLine="0"/>
        <w:rPr>
          <w:rFonts w:ascii="ITC Avant Garde" w:hAnsi="ITC Avant Garde"/>
          <w:color w:val="auto"/>
        </w:rPr>
      </w:pPr>
      <w:r w:rsidRPr="00B57C1A">
        <w:rPr>
          <w:rFonts w:ascii="ITC Avant Garde" w:hAnsi="ITC Avant Garde"/>
          <w:color w:val="auto"/>
        </w:rPr>
        <w:t>Señala que la terminación de las concesiones de bandas de espectro radioeléctrico vinculadas a la prestación del servicio no debe llevar a la terminación automática del servicio, ya que el AEP puede seguir ofreciendo servicios al concesionario en las otras bandas del espectro que tiene disponible. Recomienda eliminar cualquier condición que permita al AEP librarse de sus obligaciones como preponderante</w:t>
      </w:r>
      <w:r>
        <w:rPr>
          <w:rFonts w:ascii="ITC Avant Garde" w:hAnsi="ITC Avant Garde"/>
          <w:color w:val="auto"/>
        </w:rPr>
        <w:t>.</w:t>
      </w:r>
    </w:p>
    <w:p w14:paraId="23952EAA" w14:textId="77777777" w:rsidR="00B57C1A" w:rsidRPr="003006F2" w:rsidRDefault="00B57C1A" w:rsidP="00B57C1A">
      <w:pPr>
        <w:spacing w:after="0" w:line="276" w:lineRule="auto"/>
        <w:ind w:left="0" w:right="0" w:firstLine="0"/>
        <w:rPr>
          <w:rFonts w:ascii="ITC Avant Garde" w:hAnsi="ITC Avant Garde"/>
          <w:color w:val="auto"/>
        </w:rPr>
      </w:pPr>
    </w:p>
    <w:p w14:paraId="69DBA4AE" w14:textId="77777777" w:rsidR="00B57C1A" w:rsidRDefault="00B57C1A" w:rsidP="00B57C1A">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AB7399E" w14:textId="736DF645" w:rsidR="00B57C1A" w:rsidRPr="00B57C1A" w:rsidRDefault="00B57C1A" w:rsidP="00B57C1A">
      <w:pPr>
        <w:spacing w:after="0" w:line="276" w:lineRule="auto"/>
        <w:ind w:left="0" w:right="0" w:firstLine="0"/>
        <w:rPr>
          <w:rFonts w:ascii="ITC Avant Garde" w:hAnsi="ITC Avant Garde"/>
          <w:color w:val="auto"/>
        </w:rPr>
      </w:pPr>
      <w:r w:rsidRPr="00B57C1A">
        <w:rPr>
          <w:rFonts w:ascii="ITC Avant Garde" w:hAnsi="ITC Avant Garde"/>
          <w:color w:val="auto"/>
        </w:rPr>
        <w:t>La prestación del servicio en alguna tecnología en particular está estrechamente relacionada con la banda de frecuencias en la cual se despliega, por lo que es posible que Telcel fuera incapaz de prestar el Servicio de Usuario Visitante con motivo de la terminación de la concesión de bandas de frecuencias vinculadas a los Servicios de la Oferta.</w:t>
      </w:r>
    </w:p>
    <w:p w14:paraId="381A5102" w14:textId="752CBC27" w:rsidR="00017027" w:rsidRDefault="00017027" w:rsidP="0020547F">
      <w:pPr>
        <w:spacing w:after="0" w:line="276" w:lineRule="auto"/>
        <w:ind w:right="0"/>
        <w:rPr>
          <w:rFonts w:ascii="ITC Avant Garde" w:hAnsi="ITC Avant Garde"/>
          <w:color w:val="auto"/>
        </w:rPr>
      </w:pPr>
    </w:p>
    <w:p w14:paraId="467D240B" w14:textId="77777777" w:rsidR="00017027" w:rsidRDefault="00017027" w:rsidP="00017027">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300EB42C" w14:textId="1DA4A4E1" w:rsidR="00017027" w:rsidRDefault="00017027" w:rsidP="00017027">
      <w:pPr>
        <w:spacing w:after="0" w:line="276" w:lineRule="auto"/>
        <w:ind w:left="0" w:right="0" w:firstLine="0"/>
        <w:rPr>
          <w:rFonts w:ascii="ITC Avant Garde" w:hAnsi="ITC Avant Garde"/>
          <w:color w:val="auto"/>
        </w:rPr>
      </w:pPr>
      <w:r w:rsidRPr="00017027">
        <w:rPr>
          <w:rFonts w:ascii="ITC Avant Garde" w:hAnsi="ITC Avant Garde"/>
          <w:color w:val="auto"/>
        </w:rPr>
        <w:t>Sugiere que se elimine el inciso iii de esta cláusula y se reemplace por otra en la cual se especifique que en caso de que el AEP dejará de serlo, el Instituto impondrá un plan de transición con sus correspondientes características técnicas y comerciales, en el cual se tomen en cuenta las inversiones realizadas y su plazo de recuperación, la existencia de alternativas a la infraestructura del AEP, y la continuidad en la prestación de los servicios a los usuarios finales.</w:t>
      </w:r>
    </w:p>
    <w:p w14:paraId="50561E75" w14:textId="77777777" w:rsidR="00017027" w:rsidRPr="003006F2" w:rsidRDefault="00017027" w:rsidP="00017027">
      <w:pPr>
        <w:spacing w:after="0" w:line="276" w:lineRule="auto"/>
        <w:ind w:left="0" w:right="0" w:firstLine="0"/>
        <w:rPr>
          <w:rFonts w:ascii="ITC Avant Garde" w:hAnsi="ITC Avant Garde"/>
          <w:color w:val="auto"/>
        </w:rPr>
      </w:pPr>
    </w:p>
    <w:p w14:paraId="3F22C317" w14:textId="77777777" w:rsidR="00017027" w:rsidRDefault="00017027" w:rsidP="00017027">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84F5015" w14:textId="59077222" w:rsidR="00017027" w:rsidRDefault="00017027" w:rsidP="0020547F">
      <w:pPr>
        <w:spacing w:after="0" w:line="276" w:lineRule="auto"/>
        <w:ind w:right="0"/>
        <w:rPr>
          <w:rFonts w:ascii="ITC Avant Garde" w:hAnsi="ITC Avant Garde"/>
          <w:color w:val="auto"/>
        </w:rPr>
      </w:pPr>
      <w:r w:rsidRPr="00017027">
        <w:rPr>
          <w:rFonts w:ascii="ITC Avant Garde" w:hAnsi="ITC Avant Garde"/>
          <w:color w:val="auto"/>
        </w:rPr>
        <w:t>La cláusula otorga 120 días naturales para la negociación de las nuevas condiciones. Asimismo, este plazo se podrá prorrogar cuantas veces sea necesario</w:t>
      </w:r>
      <w:r w:rsidR="009B2680">
        <w:rPr>
          <w:rFonts w:ascii="ITC Avant Garde" w:hAnsi="ITC Avant Garde"/>
          <w:color w:val="auto"/>
        </w:rPr>
        <w:t>.</w:t>
      </w:r>
    </w:p>
    <w:p w14:paraId="20F9193A" w14:textId="4C8D594A" w:rsidR="00A01DB4" w:rsidRDefault="00A01DB4" w:rsidP="0020547F">
      <w:pPr>
        <w:spacing w:after="0" w:line="276" w:lineRule="auto"/>
        <w:ind w:right="0"/>
        <w:rPr>
          <w:rFonts w:ascii="ITC Avant Garde" w:hAnsi="ITC Avant Garde"/>
          <w:color w:val="auto"/>
        </w:rPr>
      </w:pPr>
    </w:p>
    <w:p w14:paraId="75C693BE" w14:textId="77777777" w:rsidR="00A01DB4" w:rsidRDefault="00A01DB4" w:rsidP="00A01DB4">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5F4DFCAE" w14:textId="2D3F9B42" w:rsidR="00A01DB4" w:rsidRDefault="00A01DB4" w:rsidP="00A01DB4">
      <w:pPr>
        <w:spacing w:after="0" w:line="276" w:lineRule="auto"/>
        <w:ind w:left="0" w:right="0" w:firstLine="0"/>
        <w:rPr>
          <w:rFonts w:ascii="ITC Avant Garde" w:hAnsi="ITC Avant Garde"/>
          <w:color w:val="auto"/>
        </w:rPr>
      </w:pPr>
      <w:r w:rsidRPr="00A01DB4">
        <w:rPr>
          <w:rFonts w:ascii="ITC Avant Garde" w:hAnsi="ITC Avant Garde"/>
          <w:color w:val="auto"/>
        </w:rPr>
        <w:t>Indica que los preavisos de notificación y negociación deben ser iguales tanto para el AEP como para el concesionario bajo el principio de reciprocidad.</w:t>
      </w:r>
    </w:p>
    <w:p w14:paraId="7C33F5E2" w14:textId="77777777" w:rsidR="00A01DB4" w:rsidRPr="003006F2" w:rsidRDefault="00A01DB4" w:rsidP="00A01DB4">
      <w:pPr>
        <w:spacing w:after="0" w:line="276" w:lineRule="auto"/>
        <w:ind w:left="0" w:right="0" w:firstLine="0"/>
        <w:rPr>
          <w:rFonts w:ascii="ITC Avant Garde" w:hAnsi="ITC Avant Garde"/>
          <w:color w:val="auto"/>
        </w:rPr>
      </w:pPr>
    </w:p>
    <w:p w14:paraId="4DE39227" w14:textId="77777777" w:rsidR="00A01DB4" w:rsidRDefault="00A01DB4" w:rsidP="00A01DB4">
      <w:pPr>
        <w:spacing w:after="0" w:line="276" w:lineRule="auto"/>
        <w:ind w:left="0" w:right="0" w:firstLine="0"/>
        <w:rPr>
          <w:rFonts w:ascii="ITC Avant Garde" w:hAnsi="ITC Avant Garde"/>
          <w:b/>
          <w:color w:val="auto"/>
        </w:rPr>
      </w:pPr>
      <w:r w:rsidRPr="00343A4F">
        <w:rPr>
          <w:rFonts w:ascii="ITC Avant Garde" w:hAnsi="ITC Avant Garde"/>
          <w:b/>
          <w:color w:val="auto"/>
        </w:rPr>
        <w:lastRenderedPageBreak/>
        <w:t xml:space="preserve">Consideraciones del Instituto </w:t>
      </w:r>
    </w:p>
    <w:p w14:paraId="0D82562D" w14:textId="5B8848C1" w:rsidR="00A01DB4" w:rsidRDefault="00A01DB4" w:rsidP="0020547F">
      <w:pPr>
        <w:spacing w:after="0" w:line="276" w:lineRule="auto"/>
        <w:ind w:right="0"/>
        <w:rPr>
          <w:rFonts w:ascii="ITC Avant Garde" w:hAnsi="ITC Avant Garde"/>
          <w:color w:val="auto"/>
        </w:rPr>
      </w:pPr>
      <w:r w:rsidRPr="00A01DB4">
        <w:rPr>
          <w:rFonts w:ascii="ITC Avant Garde" w:hAnsi="ITC Avant Garde"/>
          <w:color w:val="auto"/>
        </w:rPr>
        <w:t>La cláusula otorga 120 días naturales para la negociación de las nuevas condiciones. Asimismo, este plazo se podrá prorrogar cuantas veces sea necesario</w:t>
      </w:r>
      <w:r w:rsidR="009A45F7">
        <w:rPr>
          <w:rFonts w:ascii="ITC Avant Garde" w:hAnsi="ITC Avant Garde"/>
          <w:color w:val="auto"/>
        </w:rPr>
        <w:t>.</w:t>
      </w:r>
    </w:p>
    <w:p w14:paraId="6078528B" w14:textId="0F365CC4" w:rsidR="009A45F7" w:rsidRDefault="009A45F7" w:rsidP="0020547F">
      <w:pPr>
        <w:spacing w:after="0" w:line="276" w:lineRule="auto"/>
        <w:ind w:right="0"/>
        <w:rPr>
          <w:rFonts w:ascii="ITC Avant Garde" w:hAnsi="ITC Avant Garde"/>
          <w:color w:val="auto"/>
        </w:rPr>
      </w:pPr>
    </w:p>
    <w:p w14:paraId="128815CE" w14:textId="39CD9588" w:rsidR="009A45F7" w:rsidRDefault="009A45F7" w:rsidP="009A45F7">
      <w:pPr>
        <w:spacing w:after="0" w:line="276" w:lineRule="auto"/>
        <w:ind w:right="0"/>
        <w:rPr>
          <w:rFonts w:ascii="ITC Avant Garde" w:hAnsi="ITC Avant Garde"/>
          <w:b/>
          <w:color w:val="auto"/>
          <w:u w:val="single"/>
        </w:rPr>
      </w:pPr>
      <w:r>
        <w:rPr>
          <w:rFonts w:ascii="ITC Avant Garde" w:hAnsi="ITC Avant Garde"/>
          <w:b/>
          <w:color w:val="auto"/>
          <w:u w:val="single"/>
        </w:rPr>
        <w:t>15.6</w:t>
      </w:r>
    </w:p>
    <w:p w14:paraId="09B93929" w14:textId="77777777" w:rsidR="009A45F7" w:rsidRPr="00D03698" w:rsidRDefault="009A45F7" w:rsidP="009A45F7">
      <w:pPr>
        <w:spacing w:after="0" w:line="276" w:lineRule="auto"/>
        <w:ind w:right="0"/>
        <w:rPr>
          <w:rFonts w:ascii="ITC Avant Garde" w:hAnsi="ITC Avant Garde"/>
          <w:b/>
          <w:color w:val="auto"/>
          <w:u w:val="single"/>
        </w:rPr>
      </w:pPr>
    </w:p>
    <w:p w14:paraId="21D28BA6" w14:textId="77777777" w:rsidR="009A45F7" w:rsidRDefault="009A45F7" w:rsidP="009A45F7">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5E8FFBEF" w14:textId="77777777" w:rsidR="009A45F7" w:rsidRPr="009A45F7" w:rsidRDefault="009A45F7" w:rsidP="009A45F7">
      <w:pPr>
        <w:spacing w:after="0" w:line="276" w:lineRule="auto"/>
        <w:ind w:right="0"/>
        <w:rPr>
          <w:rFonts w:ascii="ITC Avant Garde" w:hAnsi="ITC Avant Garde"/>
          <w:color w:val="auto"/>
        </w:rPr>
      </w:pPr>
      <w:r w:rsidRPr="009A45F7">
        <w:rPr>
          <w:rFonts w:ascii="ITC Avant Garde" w:hAnsi="ITC Avant Garde"/>
          <w:color w:val="auto"/>
        </w:rPr>
        <w:t xml:space="preserve">Menciona que es necesario especificar qué tipo de información puede ser causa de recisión del contrato en caso de resultar falsa, ya que existen datos que el concesionario no puede facilitar al AEP con total precisión, tal como la previsión del tráfico y el número de usuarios finales en las zonas que cuenten solamente con cobertura del AEP. </w:t>
      </w:r>
    </w:p>
    <w:p w14:paraId="43122BFB" w14:textId="77777777" w:rsidR="009A45F7" w:rsidRPr="003006F2" w:rsidRDefault="009A45F7" w:rsidP="009A45F7">
      <w:pPr>
        <w:spacing w:after="0" w:line="276" w:lineRule="auto"/>
        <w:ind w:left="0" w:right="0" w:firstLine="0"/>
        <w:rPr>
          <w:rFonts w:ascii="ITC Avant Garde" w:hAnsi="ITC Avant Garde"/>
          <w:color w:val="auto"/>
        </w:rPr>
      </w:pPr>
    </w:p>
    <w:p w14:paraId="2B2E01CB" w14:textId="77777777" w:rsidR="009A45F7" w:rsidRDefault="009A45F7" w:rsidP="009A45F7">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39187D2" w14:textId="211D21CC" w:rsidR="009A45F7" w:rsidRDefault="009A45F7" w:rsidP="0020547F">
      <w:pPr>
        <w:spacing w:after="0" w:line="276" w:lineRule="auto"/>
        <w:ind w:right="0"/>
        <w:rPr>
          <w:rFonts w:ascii="ITC Avant Garde" w:hAnsi="ITC Avant Garde"/>
          <w:color w:val="auto"/>
        </w:rPr>
      </w:pPr>
      <w:r w:rsidRPr="009A45F7">
        <w:rPr>
          <w:rFonts w:ascii="ITC Avant Garde" w:hAnsi="ITC Avant Garde"/>
          <w:color w:val="auto"/>
        </w:rPr>
        <w:t>Las proyecciones de demanda del servicio resultan fundamentales para la adecuada planeación de las redes de telecomunicaciones, tal como lo establece la medida Vigésima Novena de las Medidas Móviles</w:t>
      </w:r>
      <w:r w:rsidR="00A71AE7">
        <w:rPr>
          <w:rFonts w:ascii="ITC Avant Garde" w:hAnsi="ITC Avant Garde"/>
          <w:color w:val="auto"/>
        </w:rPr>
        <w:t>.</w:t>
      </w:r>
    </w:p>
    <w:p w14:paraId="799EA0BD" w14:textId="44098DA0" w:rsidR="00A71AE7" w:rsidRDefault="00A71AE7" w:rsidP="0020547F">
      <w:pPr>
        <w:spacing w:after="0" w:line="276" w:lineRule="auto"/>
        <w:ind w:right="0"/>
        <w:rPr>
          <w:rFonts w:ascii="ITC Avant Garde" w:hAnsi="ITC Avant Garde"/>
          <w:color w:val="auto"/>
        </w:rPr>
      </w:pPr>
    </w:p>
    <w:p w14:paraId="0BD1CE0C" w14:textId="208B0A43" w:rsidR="00A71AE7" w:rsidRDefault="00A71AE7" w:rsidP="00A71AE7">
      <w:pPr>
        <w:tabs>
          <w:tab w:val="left" w:pos="960"/>
        </w:tabs>
        <w:spacing w:after="0" w:line="276" w:lineRule="auto"/>
        <w:ind w:right="0"/>
        <w:rPr>
          <w:rFonts w:ascii="ITC Avant Garde" w:hAnsi="ITC Avant Garde"/>
          <w:b/>
          <w:color w:val="auto"/>
          <w:u w:val="single"/>
        </w:rPr>
      </w:pPr>
      <w:r>
        <w:rPr>
          <w:rFonts w:ascii="ITC Avant Garde" w:hAnsi="ITC Avant Garde"/>
          <w:b/>
          <w:color w:val="auto"/>
          <w:u w:val="single"/>
        </w:rPr>
        <w:t>15.9</w:t>
      </w:r>
    </w:p>
    <w:p w14:paraId="0ADA48BA" w14:textId="77777777" w:rsidR="00A71AE7" w:rsidRPr="00D03698" w:rsidRDefault="00A71AE7" w:rsidP="00A71AE7">
      <w:pPr>
        <w:spacing w:after="0" w:line="276" w:lineRule="auto"/>
        <w:ind w:right="0"/>
        <w:rPr>
          <w:rFonts w:ascii="ITC Avant Garde" w:hAnsi="ITC Avant Garde"/>
          <w:b/>
          <w:color w:val="auto"/>
          <w:u w:val="single"/>
        </w:rPr>
      </w:pPr>
    </w:p>
    <w:p w14:paraId="7324BB0B" w14:textId="77777777" w:rsidR="00A71AE7" w:rsidRDefault="00A71AE7" w:rsidP="00A71AE7">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25B74573" w14:textId="152CAFC1" w:rsidR="00A71AE7" w:rsidRDefault="00A71AE7" w:rsidP="00A71AE7">
      <w:pPr>
        <w:spacing w:after="0" w:line="276" w:lineRule="auto"/>
        <w:ind w:left="0" w:right="0" w:firstLine="0"/>
        <w:rPr>
          <w:rFonts w:ascii="ITC Avant Garde" w:hAnsi="ITC Avant Garde"/>
          <w:color w:val="auto"/>
        </w:rPr>
      </w:pPr>
      <w:r w:rsidRPr="00A71AE7">
        <w:rPr>
          <w:rFonts w:ascii="ITC Avant Garde" w:hAnsi="ITC Avant Garde"/>
          <w:color w:val="auto"/>
        </w:rPr>
        <w:t>Señala que el rescindir el contrato por la no entrega de las pólizas originales resulta desproporcionada e injustificada por parte del AEP, por lo que se requiere remover dicho numeral.</w:t>
      </w:r>
    </w:p>
    <w:p w14:paraId="6E5F47DE" w14:textId="77777777" w:rsidR="00A71AE7" w:rsidRPr="00A71AE7" w:rsidRDefault="00A71AE7" w:rsidP="00A71AE7">
      <w:pPr>
        <w:spacing w:after="0" w:line="276" w:lineRule="auto"/>
        <w:ind w:left="0" w:right="0" w:firstLine="0"/>
        <w:rPr>
          <w:rFonts w:ascii="ITC Avant Garde" w:hAnsi="ITC Avant Garde"/>
          <w:color w:val="auto"/>
        </w:rPr>
      </w:pPr>
    </w:p>
    <w:p w14:paraId="02F00294" w14:textId="77777777" w:rsidR="00A71AE7" w:rsidRDefault="00A71AE7" w:rsidP="00A71AE7">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D8B14FB" w14:textId="08E72DD7" w:rsidR="00A71AE7" w:rsidRDefault="00A71AE7" w:rsidP="0020547F">
      <w:pPr>
        <w:spacing w:after="0" w:line="276" w:lineRule="auto"/>
        <w:ind w:right="0"/>
        <w:rPr>
          <w:rFonts w:ascii="ITC Avant Garde" w:hAnsi="ITC Avant Garde"/>
          <w:color w:val="auto"/>
        </w:rPr>
      </w:pPr>
      <w:r w:rsidRPr="00A71AE7">
        <w:rPr>
          <w:rFonts w:ascii="ITC Avant Garde" w:hAnsi="ITC Avant Garde"/>
          <w:color w:val="auto"/>
        </w:rPr>
        <w:t>Se precisa que el concesionario deberá entregar la copia de la póliza del seguro. Sin embargo, se mantiene el incumplimiento de esta obligación como una causa de rescisión ya que la misma tiene el objetivo de asegurar la continuidad de los servicios de la Oferta</w:t>
      </w:r>
    </w:p>
    <w:p w14:paraId="27D65597" w14:textId="50A0F1F4" w:rsidR="002F3457" w:rsidRDefault="002F3457" w:rsidP="0020547F">
      <w:pPr>
        <w:spacing w:after="0" w:line="276" w:lineRule="auto"/>
        <w:ind w:right="0"/>
        <w:rPr>
          <w:rFonts w:ascii="ITC Avant Garde" w:hAnsi="ITC Avant Garde"/>
          <w:color w:val="auto"/>
        </w:rPr>
      </w:pPr>
    </w:p>
    <w:p w14:paraId="3BA66EE7" w14:textId="50A9A196" w:rsidR="002F3457" w:rsidRDefault="002F3457" w:rsidP="002F3457">
      <w:pPr>
        <w:tabs>
          <w:tab w:val="left" w:pos="960"/>
        </w:tabs>
        <w:spacing w:after="0" w:line="276" w:lineRule="auto"/>
        <w:ind w:right="0"/>
        <w:rPr>
          <w:rFonts w:ascii="ITC Avant Garde" w:hAnsi="ITC Avant Garde"/>
          <w:b/>
          <w:color w:val="auto"/>
          <w:u w:val="single"/>
        </w:rPr>
      </w:pPr>
      <w:r>
        <w:rPr>
          <w:rFonts w:ascii="ITC Avant Garde" w:hAnsi="ITC Avant Garde"/>
          <w:b/>
          <w:color w:val="auto"/>
          <w:u w:val="single"/>
        </w:rPr>
        <w:t>17.2</w:t>
      </w:r>
    </w:p>
    <w:p w14:paraId="7AF956FA" w14:textId="77777777" w:rsidR="002F3457" w:rsidRPr="00D03698" w:rsidRDefault="002F3457" w:rsidP="002F3457">
      <w:pPr>
        <w:spacing w:after="0" w:line="276" w:lineRule="auto"/>
        <w:ind w:right="0"/>
        <w:rPr>
          <w:rFonts w:ascii="ITC Avant Garde" w:hAnsi="ITC Avant Garde"/>
          <w:b/>
          <w:color w:val="auto"/>
          <w:u w:val="single"/>
        </w:rPr>
      </w:pPr>
    </w:p>
    <w:p w14:paraId="4A8AA477" w14:textId="77777777" w:rsidR="002F3457" w:rsidRDefault="002F3457" w:rsidP="002F3457">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3F18727D" w14:textId="0182ED2F" w:rsidR="002F3457" w:rsidRDefault="002F3457" w:rsidP="002F3457">
      <w:pPr>
        <w:spacing w:after="0" w:line="276" w:lineRule="auto"/>
        <w:ind w:left="0" w:right="0" w:firstLine="0"/>
        <w:rPr>
          <w:rFonts w:ascii="ITC Avant Garde" w:hAnsi="ITC Avant Garde"/>
          <w:color w:val="auto"/>
        </w:rPr>
      </w:pPr>
      <w:r w:rsidRPr="002F3457">
        <w:rPr>
          <w:rFonts w:ascii="ITC Avant Garde" w:hAnsi="ITC Avant Garde"/>
          <w:color w:val="auto"/>
        </w:rPr>
        <w:t>Indica que el SEG debe ser el único sistema donde converja toda la información, con el fin de que la Autoridad o terceros autorizados sean capaces de extraer toda la información y los datos relacionados con la provisión de los Servicios Mayoristas de Usuario Visitante para ser auditados.</w:t>
      </w:r>
    </w:p>
    <w:p w14:paraId="6B956AE6" w14:textId="77777777" w:rsidR="002F3457" w:rsidRPr="00A71AE7" w:rsidRDefault="002F3457" w:rsidP="002F3457">
      <w:pPr>
        <w:spacing w:after="0" w:line="276" w:lineRule="auto"/>
        <w:ind w:left="0" w:right="0" w:firstLine="0"/>
        <w:rPr>
          <w:rFonts w:ascii="ITC Avant Garde" w:hAnsi="ITC Avant Garde"/>
          <w:color w:val="auto"/>
        </w:rPr>
      </w:pPr>
    </w:p>
    <w:p w14:paraId="27ED0BB0" w14:textId="77777777" w:rsidR="002F3457" w:rsidRDefault="002F3457" w:rsidP="002F3457">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5CAB0FD" w14:textId="417309E4" w:rsidR="002F3457" w:rsidRDefault="002F3457" w:rsidP="0020547F">
      <w:pPr>
        <w:spacing w:after="0" w:line="276" w:lineRule="auto"/>
        <w:ind w:right="0"/>
        <w:rPr>
          <w:rFonts w:ascii="ITC Avant Garde" w:hAnsi="ITC Avant Garde"/>
          <w:color w:val="auto"/>
        </w:rPr>
      </w:pPr>
      <w:r w:rsidRPr="002F3457">
        <w:rPr>
          <w:rFonts w:ascii="ITC Avant Garde" w:hAnsi="ITC Avant Garde"/>
          <w:color w:val="auto"/>
        </w:rPr>
        <w:lastRenderedPageBreak/>
        <w:t>Las cláusulas 5.1.9 y 5.2.14 ya establecen las obligaciones tanto del AEP como del concesionario de realizar a través del SEG la contratación de servicios, dar seguimiento a las solicitudes, la atención a incidencias y todas aquellas actividades que sean parte del procedimiento de contratación y prestación de los servicios</w:t>
      </w:r>
      <w:r>
        <w:rPr>
          <w:rFonts w:ascii="ITC Avant Garde" w:hAnsi="ITC Avant Garde"/>
          <w:color w:val="auto"/>
        </w:rPr>
        <w:t>.</w:t>
      </w:r>
    </w:p>
    <w:p w14:paraId="4C64B7CB" w14:textId="0C721E7E" w:rsidR="0086569E" w:rsidRDefault="0086569E" w:rsidP="0020547F">
      <w:pPr>
        <w:spacing w:after="0" w:line="276" w:lineRule="auto"/>
        <w:ind w:right="0"/>
        <w:rPr>
          <w:rFonts w:ascii="ITC Avant Garde" w:hAnsi="ITC Avant Garde"/>
          <w:color w:val="auto"/>
        </w:rPr>
      </w:pPr>
    </w:p>
    <w:p w14:paraId="11F9BD0A" w14:textId="180799B4" w:rsidR="0086569E" w:rsidRDefault="0086569E" w:rsidP="0086569E">
      <w:pPr>
        <w:spacing w:after="0" w:line="276" w:lineRule="auto"/>
        <w:ind w:right="0"/>
        <w:rPr>
          <w:rFonts w:ascii="ITC Avant Garde" w:hAnsi="ITC Avant Garde"/>
          <w:b/>
          <w:color w:val="auto"/>
          <w:u w:val="single"/>
        </w:rPr>
      </w:pPr>
      <w:r w:rsidRPr="0086569E">
        <w:rPr>
          <w:rFonts w:ascii="ITC Avant Garde" w:hAnsi="ITC Avant Garde"/>
          <w:b/>
          <w:color w:val="auto"/>
          <w:u w:val="single"/>
        </w:rPr>
        <w:t>Cláusula Décima</w:t>
      </w:r>
      <w:r>
        <w:rPr>
          <w:rFonts w:ascii="ITC Avant Garde" w:hAnsi="ITC Avant Garde"/>
          <w:b/>
          <w:color w:val="auto"/>
          <w:u w:val="single"/>
        </w:rPr>
        <w:t xml:space="preserve"> </w:t>
      </w:r>
      <w:r w:rsidRPr="0086569E">
        <w:rPr>
          <w:rFonts w:ascii="ITC Avant Garde" w:hAnsi="ITC Avant Garde"/>
          <w:b/>
          <w:color w:val="auto"/>
          <w:u w:val="single"/>
        </w:rPr>
        <w:t>Octava.</w:t>
      </w:r>
      <w:r>
        <w:rPr>
          <w:rFonts w:ascii="ITC Avant Garde" w:hAnsi="ITC Avant Garde"/>
          <w:b/>
          <w:color w:val="auto"/>
          <w:u w:val="single"/>
        </w:rPr>
        <w:t xml:space="preserve"> </w:t>
      </w:r>
      <w:r w:rsidRPr="0086569E">
        <w:rPr>
          <w:rFonts w:ascii="ITC Avant Garde" w:hAnsi="ITC Avant Garde"/>
          <w:b/>
          <w:color w:val="auto"/>
          <w:u w:val="single"/>
        </w:rPr>
        <w:t>Modificaciones</w:t>
      </w:r>
    </w:p>
    <w:p w14:paraId="76A05964" w14:textId="77777777" w:rsidR="0086569E" w:rsidRPr="00D03698" w:rsidRDefault="0086569E" w:rsidP="0086569E">
      <w:pPr>
        <w:spacing w:after="0" w:line="276" w:lineRule="auto"/>
        <w:ind w:right="0"/>
        <w:rPr>
          <w:rFonts w:ascii="ITC Avant Garde" w:hAnsi="ITC Avant Garde"/>
          <w:b/>
          <w:color w:val="auto"/>
          <w:u w:val="single"/>
        </w:rPr>
      </w:pPr>
    </w:p>
    <w:p w14:paraId="34D5E63A" w14:textId="77777777" w:rsidR="0086569E" w:rsidRDefault="0086569E" w:rsidP="0086569E">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2144E21A" w14:textId="6E24D1E5" w:rsidR="0086569E" w:rsidRDefault="0086569E" w:rsidP="0086569E">
      <w:pPr>
        <w:spacing w:after="0" w:line="276" w:lineRule="auto"/>
        <w:ind w:left="0" w:right="0" w:firstLine="0"/>
        <w:rPr>
          <w:rFonts w:ascii="ITC Avant Garde" w:hAnsi="ITC Avant Garde"/>
          <w:color w:val="auto"/>
        </w:rPr>
      </w:pPr>
      <w:r w:rsidRPr="0086569E">
        <w:rPr>
          <w:rFonts w:ascii="ITC Avant Garde" w:hAnsi="ITC Avant Garde"/>
          <w:color w:val="auto"/>
        </w:rPr>
        <w:t>Señala que se debe eliminar esta cláusula ya que cualquier tipo de modificación a los términos y condiciones que rigen la prestación de un servicio regulado debe reflejarse en la Oferta de Referencia y debe estar mediado por la autoridad competente. Asimismo, esta no debe estar sujeta a un proceso de negociación entre el AEP y el concesionario</w:t>
      </w:r>
      <w:r>
        <w:rPr>
          <w:rFonts w:ascii="ITC Avant Garde" w:hAnsi="ITC Avant Garde"/>
          <w:color w:val="auto"/>
        </w:rPr>
        <w:t>.</w:t>
      </w:r>
    </w:p>
    <w:p w14:paraId="7A9BF85A" w14:textId="77777777" w:rsidR="0086569E" w:rsidRPr="00A71AE7" w:rsidRDefault="0086569E" w:rsidP="0086569E">
      <w:pPr>
        <w:spacing w:after="0" w:line="276" w:lineRule="auto"/>
        <w:ind w:left="0" w:right="0" w:firstLine="0"/>
        <w:rPr>
          <w:rFonts w:ascii="ITC Avant Garde" w:hAnsi="ITC Avant Garde"/>
          <w:color w:val="auto"/>
        </w:rPr>
      </w:pPr>
    </w:p>
    <w:p w14:paraId="6AA2B385" w14:textId="77777777" w:rsidR="0086569E" w:rsidRDefault="0086569E" w:rsidP="0086569E">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10889DD" w14:textId="53E98CC0" w:rsidR="0086569E" w:rsidRDefault="0086569E" w:rsidP="0020547F">
      <w:pPr>
        <w:spacing w:after="0" w:line="276" w:lineRule="auto"/>
        <w:ind w:right="0"/>
        <w:rPr>
          <w:rFonts w:ascii="ITC Avant Garde" w:hAnsi="ITC Avant Garde"/>
          <w:color w:val="auto"/>
        </w:rPr>
      </w:pPr>
      <w:r w:rsidRPr="0086569E">
        <w:rPr>
          <w:rFonts w:ascii="ITC Avant Garde" w:hAnsi="ITC Avant Garde"/>
          <w:color w:val="auto"/>
        </w:rPr>
        <w:t>La cláusula es congruente con la Medida Sexagésima de las Medidas Móviles, la cual establece que el AEP y el concesionario solicitante podrán negociar nuevas tarifas independientemente de las establecidas en la Oferta de Referencia. Asimismo, el Instituto determinará las tarifas en caso de desacuerdo</w:t>
      </w:r>
      <w:r w:rsidR="00642C04">
        <w:rPr>
          <w:rFonts w:ascii="ITC Avant Garde" w:hAnsi="ITC Avant Garde"/>
          <w:color w:val="auto"/>
        </w:rPr>
        <w:t>.</w:t>
      </w:r>
    </w:p>
    <w:p w14:paraId="275FF086" w14:textId="2670B9E2" w:rsidR="002101FF" w:rsidRDefault="002101FF" w:rsidP="0020547F">
      <w:pPr>
        <w:spacing w:after="0" w:line="276" w:lineRule="auto"/>
        <w:ind w:right="0"/>
        <w:rPr>
          <w:rFonts w:ascii="ITC Avant Garde" w:hAnsi="ITC Avant Garde"/>
          <w:color w:val="auto"/>
        </w:rPr>
      </w:pPr>
    </w:p>
    <w:p w14:paraId="10993297" w14:textId="7966440B" w:rsidR="002101FF" w:rsidRDefault="002101FF" w:rsidP="002101FF">
      <w:pPr>
        <w:spacing w:after="0" w:line="276" w:lineRule="auto"/>
        <w:ind w:right="0"/>
        <w:rPr>
          <w:rFonts w:ascii="ITC Avant Garde" w:hAnsi="ITC Avant Garde"/>
          <w:b/>
          <w:color w:val="auto"/>
          <w:u w:val="single"/>
        </w:rPr>
      </w:pPr>
      <w:r w:rsidRPr="002101FF">
        <w:rPr>
          <w:rFonts w:ascii="ITC Avant Garde" w:hAnsi="ITC Avant Garde"/>
          <w:b/>
          <w:color w:val="auto"/>
          <w:u w:val="single"/>
        </w:rPr>
        <w:t>21.12. Datos Personales</w:t>
      </w:r>
    </w:p>
    <w:p w14:paraId="634D4FEE" w14:textId="77777777" w:rsidR="002101FF" w:rsidRPr="00D03698" w:rsidRDefault="002101FF" w:rsidP="002101FF">
      <w:pPr>
        <w:spacing w:after="0" w:line="276" w:lineRule="auto"/>
        <w:ind w:right="0"/>
        <w:rPr>
          <w:rFonts w:ascii="ITC Avant Garde" w:hAnsi="ITC Avant Garde"/>
          <w:b/>
          <w:color w:val="auto"/>
          <w:u w:val="single"/>
        </w:rPr>
      </w:pPr>
    </w:p>
    <w:p w14:paraId="603691D0" w14:textId="77777777" w:rsidR="002101FF" w:rsidRDefault="002101FF" w:rsidP="002101FF">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05D10A30" w14:textId="1F1D95C4" w:rsidR="002101FF" w:rsidRDefault="002101FF" w:rsidP="002101FF">
      <w:pPr>
        <w:spacing w:after="0" w:line="276" w:lineRule="auto"/>
        <w:ind w:left="0" w:right="0" w:firstLine="0"/>
        <w:rPr>
          <w:rFonts w:ascii="ITC Avant Garde" w:hAnsi="ITC Avant Garde"/>
          <w:color w:val="auto"/>
        </w:rPr>
      </w:pPr>
      <w:r w:rsidRPr="002101FF">
        <w:rPr>
          <w:rFonts w:ascii="ITC Avant Garde" w:hAnsi="ITC Avant Garde"/>
          <w:color w:val="auto"/>
        </w:rPr>
        <w:t>Solicita que se elimine el numeral de datos personales, dado que impone obligaciones desproporcionadas en perjuicio de la correcta operación de la Oferta de Referencia.</w:t>
      </w:r>
    </w:p>
    <w:p w14:paraId="4D073540" w14:textId="77777777" w:rsidR="002101FF" w:rsidRPr="002101FF" w:rsidRDefault="002101FF" w:rsidP="002101FF">
      <w:pPr>
        <w:spacing w:after="0" w:line="276" w:lineRule="auto"/>
        <w:ind w:left="0" w:right="0" w:firstLine="0"/>
        <w:rPr>
          <w:rFonts w:ascii="ITC Avant Garde" w:hAnsi="ITC Avant Garde"/>
          <w:color w:val="auto"/>
        </w:rPr>
      </w:pPr>
    </w:p>
    <w:p w14:paraId="3F808FFB" w14:textId="77777777" w:rsidR="002101FF" w:rsidRDefault="002101FF" w:rsidP="002101FF">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D97DA22" w14:textId="18DC3D55" w:rsidR="002101FF" w:rsidRDefault="002101FF" w:rsidP="0020547F">
      <w:pPr>
        <w:spacing w:after="0" w:line="276" w:lineRule="auto"/>
        <w:ind w:right="0"/>
        <w:rPr>
          <w:rFonts w:ascii="ITC Avant Garde" w:hAnsi="ITC Avant Garde"/>
          <w:color w:val="auto"/>
        </w:rPr>
      </w:pPr>
      <w:r w:rsidRPr="002101FF">
        <w:rPr>
          <w:rFonts w:ascii="ITC Avant Garde" w:hAnsi="ITC Avant Garde"/>
          <w:color w:val="auto"/>
        </w:rPr>
        <w:t>La protección de los datos personales está consagrada en el artículo 16 de la Constitución, y es obligación de quienes traten datos personales de particulares cumplir con los ordenamientos jurídicos aplicables en la materia. Además, los términos y condiciones del numeral no contravienen las Medidas Móviles ni la legislación aplicable en la materia.</w:t>
      </w:r>
    </w:p>
    <w:p w14:paraId="54299E00" w14:textId="743F21FE" w:rsidR="00D54629" w:rsidRDefault="00D54629" w:rsidP="0020547F">
      <w:pPr>
        <w:spacing w:after="0" w:line="276" w:lineRule="auto"/>
        <w:ind w:right="0"/>
        <w:rPr>
          <w:rFonts w:ascii="ITC Avant Garde" w:hAnsi="ITC Avant Garde"/>
          <w:color w:val="auto"/>
        </w:rPr>
      </w:pPr>
    </w:p>
    <w:p w14:paraId="1701D7AB" w14:textId="12C41031" w:rsidR="00D54629" w:rsidRDefault="00D54629" w:rsidP="00D54629">
      <w:pPr>
        <w:spacing w:after="0" w:line="276" w:lineRule="auto"/>
        <w:ind w:right="0"/>
        <w:rPr>
          <w:rFonts w:ascii="ITC Avant Garde" w:hAnsi="ITC Avant Garde"/>
          <w:b/>
          <w:color w:val="auto"/>
          <w:u w:val="single"/>
        </w:rPr>
      </w:pPr>
      <w:r w:rsidRPr="00D54629">
        <w:rPr>
          <w:rFonts w:ascii="ITC Avant Garde" w:hAnsi="ITC Avant Garde"/>
          <w:b/>
          <w:color w:val="auto"/>
          <w:u w:val="single"/>
        </w:rPr>
        <w:t>21.13. Anticorrupción</w:t>
      </w:r>
    </w:p>
    <w:p w14:paraId="06ADDD61" w14:textId="77777777" w:rsidR="00D54629" w:rsidRPr="00D03698" w:rsidRDefault="00D54629" w:rsidP="00D54629">
      <w:pPr>
        <w:spacing w:after="0" w:line="276" w:lineRule="auto"/>
        <w:ind w:right="0"/>
        <w:rPr>
          <w:rFonts w:ascii="ITC Avant Garde" w:hAnsi="ITC Avant Garde"/>
          <w:b/>
          <w:color w:val="auto"/>
          <w:u w:val="single"/>
        </w:rPr>
      </w:pPr>
    </w:p>
    <w:p w14:paraId="3CBB88AC" w14:textId="77777777" w:rsidR="00D54629" w:rsidRDefault="00D54629" w:rsidP="00D54629">
      <w:pPr>
        <w:spacing w:after="0" w:line="276" w:lineRule="auto"/>
        <w:ind w:left="0" w:right="0" w:firstLine="0"/>
        <w:rPr>
          <w:rFonts w:ascii="ITC Avant Garde" w:hAnsi="ITC Avant Garde"/>
          <w:b/>
          <w:color w:val="auto"/>
        </w:rPr>
      </w:pPr>
      <w:r>
        <w:rPr>
          <w:rFonts w:ascii="ITC Avant Garde" w:hAnsi="ITC Avant Garde"/>
          <w:b/>
          <w:color w:val="auto"/>
        </w:rPr>
        <w:t>Grupo Televisa:</w:t>
      </w:r>
    </w:p>
    <w:p w14:paraId="4E8449F4" w14:textId="3E95D209" w:rsidR="00D54629" w:rsidRDefault="00D54629" w:rsidP="00D54629">
      <w:pPr>
        <w:spacing w:after="0" w:line="276" w:lineRule="auto"/>
        <w:ind w:left="0" w:right="0" w:firstLine="0"/>
        <w:rPr>
          <w:rFonts w:ascii="ITC Avant Garde" w:hAnsi="ITC Avant Garde"/>
          <w:color w:val="auto"/>
        </w:rPr>
      </w:pPr>
      <w:r w:rsidRPr="00D54629">
        <w:rPr>
          <w:rFonts w:ascii="ITC Avant Garde" w:hAnsi="ITC Avant Garde"/>
          <w:color w:val="auto"/>
        </w:rPr>
        <w:t>Señala que es necesario eliminar dicho numeral, ya que impone obligaciones desproporcionadas en perjuicio de la correcta operación de la Oferta de Referencia.</w:t>
      </w:r>
    </w:p>
    <w:p w14:paraId="14A7697B" w14:textId="77777777" w:rsidR="00D54629" w:rsidRPr="002101FF" w:rsidRDefault="00D54629" w:rsidP="00D54629">
      <w:pPr>
        <w:spacing w:after="0" w:line="276" w:lineRule="auto"/>
        <w:ind w:left="0" w:right="0" w:firstLine="0"/>
        <w:rPr>
          <w:rFonts w:ascii="ITC Avant Garde" w:hAnsi="ITC Avant Garde"/>
          <w:color w:val="auto"/>
        </w:rPr>
      </w:pPr>
    </w:p>
    <w:p w14:paraId="36E22878" w14:textId="3BB49773" w:rsidR="00D54629" w:rsidRDefault="00D54629" w:rsidP="00D54629">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1A22DF63" w14:textId="0294A270" w:rsidR="00D54629" w:rsidRDefault="00D54629" w:rsidP="00D54629">
      <w:pPr>
        <w:spacing w:after="0" w:line="276" w:lineRule="auto"/>
        <w:ind w:right="0"/>
        <w:rPr>
          <w:rFonts w:ascii="ITC Avant Garde" w:hAnsi="ITC Avant Garde"/>
          <w:color w:val="auto"/>
        </w:rPr>
      </w:pPr>
      <w:r w:rsidRPr="00D54629">
        <w:rPr>
          <w:rFonts w:ascii="ITC Avant Garde" w:hAnsi="ITC Avant Garde"/>
          <w:color w:val="auto"/>
        </w:rPr>
        <w:lastRenderedPageBreak/>
        <w:t>Este numeral es congruente con las obligaciones derivadas de la Ley General del Sistema Nacional Anticorrupción y la Ley General de Responsabilidades Administrativas. Asimismo, los términos y condiciones del numeral no contravienen las Medidas Móviles ni la legislación aplicable en la materia.</w:t>
      </w:r>
    </w:p>
    <w:p w14:paraId="7F5D1B22" w14:textId="77777777" w:rsidR="006B5074" w:rsidRDefault="006B5074" w:rsidP="006B5074">
      <w:pPr>
        <w:spacing w:after="0" w:line="276" w:lineRule="auto"/>
        <w:ind w:right="0"/>
        <w:rPr>
          <w:rFonts w:ascii="ITC Avant Garde" w:hAnsi="ITC Avant Garde"/>
          <w:color w:val="auto"/>
        </w:rPr>
      </w:pPr>
    </w:p>
    <w:p w14:paraId="04422DD5" w14:textId="581C58D6" w:rsidR="006B5074" w:rsidRDefault="006B5074" w:rsidP="006B5074">
      <w:pPr>
        <w:spacing w:after="0" w:line="276" w:lineRule="auto"/>
        <w:ind w:right="0"/>
        <w:rPr>
          <w:rFonts w:ascii="ITC Avant Garde" w:hAnsi="ITC Avant Garde"/>
          <w:b/>
          <w:color w:val="auto"/>
          <w:u w:val="single"/>
        </w:rPr>
      </w:pPr>
      <w:r w:rsidRPr="006B5074">
        <w:rPr>
          <w:rFonts w:ascii="ITC Avant Garde" w:hAnsi="ITC Avant Garde"/>
          <w:b/>
          <w:color w:val="auto"/>
          <w:u w:val="single"/>
        </w:rPr>
        <w:t>Anexo A. Precios y Tarifas</w:t>
      </w:r>
    </w:p>
    <w:p w14:paraId="5288FABC" w14:textId="77777777" w:rsidR="00610611" w:rsidRPr="00D03698" w:rsidRDefault="00610611" w:rsidP="006B5074">
      <w:pPr>
        <w:spacing w:after="0" w:line="276" w:lineRule="auto"/>
        <w:ind w:right="0"/>
        <w:rPr>
          <w:rFonts w:ascii="ITC Avant Garde" w:hAnsi="ITC Avant Garde"/>
          <w:b/>
          <w:color w:val="auto"/>
          <w:u w:val="single"/>
        </w:rPr>
      </w:pPr>
    </w:p>
    <w:p w14:paraId="438D0BDE" w14:textId="77777777" w:rsidR="00610611" w:rsidRDefault="00610611" w:rsidP="006B5074">
      <w:pPr>
        <w:spacing w:after="0" w:line="276" w:lineRule="auto"/>
        <w:ind w:left="0" w:right="0" w:firstLine="0"/>
        <w:rPr>
          <w:rFonts w:ascii="ITC Avant Garde" w:hAnsi="ITC Avant Garde"/>
          <w:b/>
          <w:color w:val="auto"/>
        </w:rPr>
      </w:pPr>
      <w:r w:rsidRPr="00610611">
        <w:rPr>
          <w:rFonts w:ascii="ITC Avant Garde" w:hAnsi="ITC Avant Garde"/>
          <w:b/>
          <w:color w:val="auto"/>
        </w:rPr>
        <w:t>CANIETI, TELEFÓNICA</w:t>
      </w:r>
    </w:p>
    <w:p w14:paraId="52602E1C" w14:textId="4BC7C9F3" w:rsidR="006B5074" w:rsidRDefault="00610611" w:rsidP="006B5074">
      <w:pPr>
        <w:spacing w:after="0" w:line="276" w:lineRule="auto"/>
        <w:ind w:left="0" w:right="0" w:firstLine="0"/>
        <w:rPr>
          <w:rFonts w:ascii="ITC Avant Garde" w:hAnsi="ITC Avant Garde"/>
          <w:color w:val="auto"/>
        </w:rPr>
      </w:pPr>
      <w:r w:rsidRPr="00610611">
        <w:rPr>
          <w:rFonts w:ascii="ITC Avant Garde" w:hAnsi="ITC Avant Garde"/>
          <w:color w:val="auto"/>
        </w:rPr>
        <w:t>Señalan que el nivel de tarifas del servicio mayorista de Usuario Visitante actuales no permite que un Concesionario pueda competir eficazmente con el AEP, por otra parte, mencionan que es necesario incorporar dentro de la Oferta descuentos por volúmenes.</w:t>
      </w:r>
    </w:p>
    <w:p w14:paraId="52CFC195" w14:textId="77777777" w:rsidR="00610611" w:rsidRPr="002101FF" w:rsidRDefault="00610611" w:rsidP="006B5074">
      <w:pPr>
        <w:spacing w:after="0" w:line="276" w:lineRule="auto"/>
        <w:ind w:left="0" w:right="0" w:firstLine="0"/>
        <w:rPr>
          <w:rFonts w:ascii="ITC Avant Garde" w:hAnsi="ITC Avant Garde"/>
          <w:color w:val="auto"/>
        </w:rPr>
      </w:pPr>
    </w:p>
    <w:p w14:paraId="4ED5CC6D" w14:textId="77777777" w:rsidR="006B5074" w:rsidRDefault="006B5074" w:rsidP="006B5074">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20BEE276" w14:textId="2E1762DE" w:rsidR="006B5074" w:rsidRDefault="00610611" w:rsidP="00610611">
      <w:pPr>
        <w:spacing w:after="0" w:line="276" w:lineRule="auto"/>
        <w:ind w:right="0"/>
        <w:rPr>
          <w:rFonts w:ascii="ITC Avant Garde" w:hAnsi="ITC Avant Garde"/>
          <w:color w:val="auto"/>
        </w:rPr>
      </w:pPr>
      <w:r w:rsidRPr="00610611">
        <w:rPr>
          <w:rFonts w:ascii="ITC Avant Garde" w:hAnsi="ITC Avant Garde"/>
          <w:color w:val="auto"/>
        </w:rPr>
        <w:t>Las tarifas del servicio de usuario visitante exceden el alcance de la presente consulta.</w:t>
      </w:r>
    </w:p>
    <w:p w14:paraId="5238B39E" w14:textId="2853D78E" w:rsidR="0007113B" w:rsidRDefault="0007113B" w:rsidP="00610611">
      <w:pPr>
        <w:spacing w:after="0" w:line="276" w:lineRule="auto"/>
        <w:ind w:right="0"/>
        <w:rPr>
          <w:rFonts w:ascii="ITC Avant Garde" w:hAnsi="ITC Avant Garde"/>
          <w:color w:val="auto"/>
        </w:rPr>
      </w:pPr>
    </w:p>
    <w:p w14:paraId="48C7FDDB" w14:textId="77777777" w:rsidR="0007113B" w:rsidRDefault="0007113B" w:rsidP="0007113B">
      <w:pPr>
        <w:spacing w:after="0" w:line="276" w:lineRule="auto"/>
        <w:ind w:left="0" w:right="0" w:firstLine="0"/>
        <w:rPr>
          <w:rFonts w:ascii="ITC Avant Garde" w:hAnsi="ITC Avant Garde"/>
          <w:b/>
          <w:color w:val="auto"/>
        </w:rPr>
      </w:pPr>
      <w:r w:rsidRPr="00610611">
        <w:rPr>
          <w:rFonts w:ascii="ITC Avant Garde" w:hAnsi="ITC Avant Garde"/>
          <w:b/>
          <w:color w:val="auto"/>
        </w:rPr>
        <w:t>CANIETI, TELEFÓNICA</w:t>
      </w:r>
    </w:p>
    <w:p w14:paraId="52596267" w14:textId="4B615C74" w:rsidR="0007113B" w:rsidRDefault="0007113B" w:rsidP="0007113B">
      <w:pPr>
        <w:spacing w:after="0" w:line="276" w:lineRule="auto"/>
        <w:ind w:left="0" w:right="0" w:firstLine="0"/>
        <w:rPr>
          <w:rFonts w:ascii="ITC Avant Garde" w:hAnsi="ITC Avant Garde"/>
          <w:color w:val="auto"/>
        </w:rPr>
      </w:pPr>
      <w:r w:rsidRPr="0007113B">
        <w:rPr>
          <w:rFonts w:ascii="ITC Avant Garde" w:hAnsi="ITC Avant Garde"/>
          <w:color w:val="auto"/>
        </w:rPr>
        <w:t>Señalan que se debe establecer una tarificación por throughput, esto es, por dimensionamiento de la capacidad.</w:t>
      </w:r>
    </w:p>
    <w:p w14:paraId="7124B743" w14:textId="77777777" w:rsidR="0007113B" w:rsidRPr="002101FF" w:rsidRDefault="0007113B" w:rsidP="0007113B">
      <w:pPr>
        <w:spacing w:after="0" w:line="276" w:lineRule="auto"/>
        <w:ind w:left="0" w:right="0" w:firstLine="0"/>
        <w:rPr>
          <w:rFonts w:ascii="ITC Avant Garde" w:hAnsi="ITC Avant Garde"/>
          <w:color w:val="auto"/>
        </w:rPr>
      </w:pPr>
    </w:p>
    <w:p w14:paraId="4A20F504" w14:textId="77777777" w:rsidR="0007113B" w:rsidRDefault="0007113B" w:rsidP="0007113B">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58A7FF93" w14:textId="25D777C2" w:rsidR="0007113B" w:rsidRDefault="0007113B" w:rsidP="00610611">
      <w:pPr>
        <w:spacing w:after="0" w:line="276" w:lineRule="auto"/>
        <w:ind w:right="0"/>
        <w:rPr>
          <w:rFonts w:ascii="ITC Avant Garde" w:hAnsi="ITC Avant Garde"/>
          <w:color w:val="auto"/>
        </w:rPr>
      </w:pPr>
      <w:r w:rsidRPr="0007113B">
        <w:rPr>
          <w:rFonts w:ascii="ITC Avant Garde" w:hAnsi="ITC Avant Garde"/>
          <w:color w:val="auto"/>
        </w:rPr>
        <w:t>El throughput es un parámetro para medir el desempeño de las redes más no para establecer tarifas, ya que el mismo está implícito en el nivel de consumo.</w:t>
      </w:r>
    </w:p>
    <w:p w14:paraId="561A2451" w14:textId="139B8175" w:rsidR="009631BF" w:rsidRDefault="009631BF" w:rsidP="00610611">
      <w:pPr>
        <w:spacing w:after="0" w:line="276" w:lineRule="auto"/>
        <w:ind w:right="0"/>
        <w:rPr>
          <w:rFonts w:ascii="ITC Avant Garde" w:hAnsi="ITC Avant Garde"/>
          <w:color w:val="auto"/>
        </w:rPr>
      </w:pPr>
    </w:p>
    <w:p w14:paraId="766BD6A5" w14:textId="77777777" w:rsidR="009631BF" w:rsidRDefault="009631BF" w:rsidP="009631BF">
      <w:pPr>
        <w:spacing w:after="0" w:line="276" w:lineRule="auto"/>
        <w:ind w:left="0" w:right="0" w:firstLine="0"/>
        <w:rPr>
          <w:rFonts w:ascii="ITC Avant Garde" w:hAnsi="ITC Avant Garde"/>
          <w:b/>
          <w:color w:val="auto"/>
        </w:rPr>
      </w:pPr>
      <w:r w:rsidRPr="00610611">
        <w:rPr>
          <w:rFonts w:ascii="ITC Avant Garde" w:hAnsi="ITC Avant Garde"/>
          <w:b/>
          <w:color w:val="auto"/>
        </w:rPr>
        <w:t>CANIETI, TELEFÓNICA</w:t>
      </w:r>
    </w:p>
    <w:p w14:paraId="530BF530" w14:textId="723A708E" w:rsidR="009631BF" w:rsidRDefault="009631BF" w:rsidP="009631BF">
      <w:pPr>
        <w:spacing w:after="0" w:line="276" w:lineRule="auto"/>
        <w:ind w:left="0" w:right="0" w:firstLine="0"/>
        <w:rPr>
          <w:rFonts w:ascii="ITC Avant Garde" w:hAnsi="ITC Avant Garde"/>
          <w:color w:val="auto"/>
        </w:rPr>
      </w:pPr>
      <w:r w:rsidRPr="009631BF">
        <w:rPr>
          <w:rFonts w:ascii="ITC Avant Garde" w:hAnsi="ITC Avant Garde"/>
          <w:color w:val="auto"/>
        </w:rPr>
        <w:t>Señalan que la Oferta debe establecer una tarifa orientada a costos por los servicios de IoT y M2M en cumplimiento al mandato de replicabilidad técnica</w:t>
      </w:r>
      <w:r>
        <w:rPr>
          <w:rFonts w:ascii="ITC Avant Garde" w:hAnsi="ITC Avant Garde"/>
          <w:color w:val="auto"/>
        </w:rPr>
        <w:t>.</w:t>
      </w:r>
    </w:p>
    <w:p w14:paraId="46FCF551" w14:textId="77777777" w:rsidR="009631BF" w:rsidRPr="002101FF" w:rsidRDefault="009631BF" w:rsidP="009631BF">
      <w:pPr>
        <w:spacing w:after="0" w:line="276" w:lineRule="auto"/>
        <w:ind w:left="0" w:right="0" w:firstLine="0"/>
        <w:rPr>
          <w:rFonts w:ascii="ITC Avant Garde" w:hAnsi="ITC Avant Garde"/>
          <w:color w:val="auto"/>
        </w:rPr>
      </w:pPr>
    </w:p>
    <w:p w14:paraId="0CCA12CC" w14:textId="77777777" w:rsidR="009631BF" w:rsidRDefault="009631BF" w:rsidP="009631BF">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4FC22006" w14:textId="66DB8D96" w:rsidR="009631BF" w:rsidRDefault="009631BF" w:rsidP="00610611">
      <w:pPr>
        <w:spacing w:after="0" w:line="276" w:lineRule="auto"/>
        <w:ind w:right="0"/>
        <w:rPr>
          <w:rFonts w:ascii="ITC Avant Garde" w:hAnsi="ITC Avant Garde"/>
          <w:color w:val="auto"/>
        </w:rPr>
      </w:pPr>
      <w:r w:rsidRPr="009631BF">
        <w:rPr>
          <w:rFonts w:ascii="ITC Avant Garde" w:hAnsi="ITC Avant Garde"/>
          <w:color w:val="auto"/>
        </w:rPr>
        <w:t>De acuerdo a la disposición cuarta del Acuerdo de Replicabilidad Técnica, la oferta de referencia de UV no está considerada para la acreditación de la Replicabilidad Técnica. Asimismo, la Medida Septuagésima séptima obliga al AEP a garantizar la replicabilidad técnica de los servicios que comercialice a usuarios finales; sin embargo, el servicio de usuario visitante no se comercializa de forma minorista por lo cual no está sujeta a esta obligación</w:t>
      </w:r>
      <w:r>
        <w:rPr>
          <w:rFonts w:ascii="ITC Avant Garde" w:hAnsi="ITC Avant Garde"/>
          <w:color w:val="auto"/>
        </w:rPr>
        <w:t>.</w:t>
      </w:r>
    </w:p>
    <w:p w14:paraId="4FA93C9D" w14:textId="77777777" w:rsidR="00201EAD" w:rsidRDefault="00201EAD" w:rsidP="00610611">
      <w:pPr>
        <w:spacing w:after="0" w:line="276" w:lineRule="auto"/>
        <w:ind w:right="0"/>
        <w:rPr>
          <w:rFonts w:ascii="ITC Avant Garde" w:hAnsi="ITC Avant Garde"/>
          <w:color w:val="auto"/>
        </w:rPr>
      </w:pPr>
    </w:p>
    <w:p w14:paraId="64C9BE7C" w14:textId="77777777" w:rsidR="00201EAD" w:rsidRDefault="00201EAD" w:rsidP="00201EAD">
      <w:pPr>
        <w:spacing w:after="0" w:line="276" w:lineRule="auto"/>
        <w:ind w:left="0" w:right="0" w:firstLine="0"/>
        <w:rPr>
          <w:rFonts w:ascii="ITC Avant Garde" w:hAnsi="ITC Avant Garde"/>
          <w:b/>
          <w:color w:val="auto"/>
        </w:rPr>
      </w:pPr>
      <w:r w:rsidRPr="00610611">
        <w:rPr>
          <w:rFonts w:ascii="ITC Avant Garde" w:hAnsi="ITC Avant Garde"/>
          <w:b/>
          <w:color w:val="auto"/>
        </w:rPr>
        <w:t>CANIETI, TELEFÓNICA</w:t>
      </w:r>
    </w:p>
    <w:p w14:paraId="76018C7B" w14:textId="2E132AD2" w:rsidR="00201EAD" w:rsidRDefault="00201EAD" w:rsidP="00201EAD">
      <w:pPr>
        <w:spacing w:after="0" w:line="276" w:lineRule="auto"/>
        <w:ind w:left="0" w:right="0" w:firstLine="0"/>
        <w:rPr>
          <w:rFonts w:ascii="ITC Avant Garde" w:hAnsi="ITC Avant Garde"/>
          <w:color w:val="auto"/>
        </w:rPr>
      </w:pPr>
      <w:r w:rsidRPr="00201EAD">
        <w:rPr>
          <w:rFonts w:ascii="ITC Avant Garde" w:hAnsi="ITC Avant Garde"/>
          <w:color w:val="auto"/>
        </w:rPr>
        <w:t>Señalan que no está justificado ningún pago adicional por ningún tipo de facilidad o actuación del Telcel pues estos ya están contemplados en la tarifa calculada por el modelo de costos.</w:t>
      </w:r>
    </w:p>
    <w:p w14:paraId="305E916F" w14:textId="77777777" w:rsidR="00201EAD" w:rsidRPr="002101FF" w:rsidRDefault="00201EAD" w:rsidP="00201EAD">
      <w:pPr>
        <w:spacing w:after="0" w:line="276" w:lineRule="auto"/>
        <w:ind w:left="0" w:right="0" w:firstLine="0"/>
        <w:rPr>
          <w:rFonts w:ascii="ITC Avant Garde" w:hAnsi="ITC Avant Garde"/>
          <w:color w:val="auto"/>
        </w:rPr>
      </w:pPr>
    </w:p>
    <w:p w14:paraId="34774677" w14:textId="77777777" w:rsidR="00201EAD" w:rsidRDefault="00201EAD" w:rsidP="00201EAD">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4C9C7968" w14:textId="3FAC8058" w:rsidR="00201EAD" w:rsidRDefault="00201EAD" w:rsidP="00610611">
      <w:pPr>
        <w:spacing w:after="0" w:line="276" w:lineRule="auto"/>
        <w:ind w:right="0"/>
        <w:rPr>
          <w:rFonts w:ascii="ITC Avant Garde" w:hAnsi="ITC Avant Garde"/>
          <w:color w:val="auto"/>
        </w:rPr>
      </w:pPr>
      <w:r w:rsidRPr="00201EAD">
        <w:rPr>
          <w:rFonts w:ascii="ITC Avant Garde" w:hAnsi="ITC Avant Garde"/>
          <w:color w:val="auto"/>
        </w:rPr>
        <w:t>El modelo de costos no toma en cuenta los trabajos de modificación de las áreas de servicio. Además, el alcance de estos trabajos puede variar mucho dependiendo de los requerimientos del concesionario</w:t>
      </w:r>
      <w:r w:rsidR="008D36E8">
        <w:rPr>
          <w:rFonts w:ascii="ITC Avant Garde" w:hAnsi="ITC Avant Garde"/>
          <w:color w:val="auto"/>
        </w:rPr>
        <w:t>.</w:t>
      </w:r>
    </w:p>
    <w:p w14:paraId="57C47FC4" w14:textId="16935A4A" w:rsidR="008D36E8" w:rsidRDefault="008D36E8" w:rsidP="00610611">
      <w:pPr>
        <w:spacing w:after="0" w:line="276" w:lineRule="auto"/>
        <w:ind w:right="0"/>
        <w:rPr>
          <w:rFonts w:ascii="ITC Avant Garde" w:hAnsi="ITC Avant Garde"/>
          <w:color w:val="auto"/>
        </w:rPr>
      </w:pPr>
    </w:p>
    <w:p w14:paraId="7938A1E1" w14:textId="70CEE64B" w:rsidR="008D36E8" w:rsidRDefault="008D36E8" w:rsidP="008D36E8">
      <w:pPr>
        <w:spacing w:after="0" w:line="276" w:lineRule="auto"/>
        <w:ind w:left="0" w:right="0" w:firstLine="0"/>
        <w:rPr>
          <w:rFonts w:ascii="ITC Avant Garde" w:hAnsi="ITC Avant Garde"/>
          <w:b/>
          <w:color w:val="auto"/>
        </w:rPr>
      </w:pPr>
      <w:r w:rsidRPr="00610611">
        <w:rPr>
          <w:rFonts w:ascii="ITC Avant Garde" w:hAnsi="ITC Avant Garde"/>
          <w:b/>
          <w:color w:val="auto"/>
        </w:rPr>
        <w:t>TELEFÓNICA</w:t>
      </w:r>
    </w:p>
    <w:p w14:paraId="04D4FCD1" w14:textId="651CF633" w:rsidR="008D36E8" w:rsidRDefault="008D36E8" w:rsidP="008D36E8">
      <w:pPr>
        <w:spacing w:after="0" w:line="276" w:lineRule="auto"/>
        <w:ind w:left="0" w:right="0" w:firstLine="0"/>
        <w:rPr>
          <w:rFonts w:ascii="ITC Avant Garde" w:hAnsi="ITC Avant Garde"/>
          <w:color w:val="auto"/>
        </w:rPr>
      </w:pPr>
      <w:r w:rsidRPr="008D36E8">
        <w:rPr>
          <w:rFonts w:ascii="ITC Avant Garde" w:hAnsi="ITC Avant Garde"/>
          <w:color w:val="auto"/>
        </w:rPr>
        <w:t>Señala que la información recibida en la factura del Bono por Consumo no permite conciliarla con el detalle de los CDR</w:t>
      </w:r>
      <w:r>
        <w:rPr>
          <w:rFonts w:ascii="ITC Avant Garde" w:hAnsi="ITC Avant Garde"/>
          <w:color w:val="auto"/>
        </w:rPr>
        <w:t>.</w:t>
      </w:r>
    </w:p>
    <w:p w14:paraId="231DFC96" w14:textId="77777777" w:rsidR="008D36E8" w:rsidRPr="002101FF" w:rsidRDefault="008D36E8" w:rsidP="008D36E8">
      <w:pPr>
        <w:spacing w:after="0" w:line="276" w:lineRule="auto"/>
        <w:ind w:left="0" w:right="0" w:firstLine="0"/>
        <w:rPr>
          <w:rFonts w:ascii="ITC Avant Garde" w:hAnsi="ITC Avant Garde"/>
          <w:color w:val="auto"/>
        </w:rPr>
      </w:pPr>
    </w:p>
    <w:p w14:paraId="79F398D1" w14:textId="77777777" w:rsidR="008D36E8" w:rsidRDefault="008D36E8" w:rsidP="008D36E8">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652EA917" w14:textId="743A52AD" w:rsidR="008D36E8" w:rsidRDefault="008D36E8" w:rsidP="00610611">
      <w:pPr>
        <w:spacing w:after="0" w:line="276" w:lineRule="auto"/>
        <w:ind w:right="0"/>
        <w:rPr>
          <w:rFonts w:ascii="ITC Avant Garde" w:hAnsi="ITC Avant Garde"/>
          <w:color w:val="auto"/>
        </w:rPr>
      </w:pPr>
      <w:r w:rsidRPr="008D36E8">
        <w:rPr>
          <w:rFonts w:ascii="ITC Avant Garde" w:hAnsi="ITC Avant Garde"/>
          <w:color w:val="auto"/>
        </w:rPr>
        <w:t>Se precisa que el Bono por Consumo incluirá el número de A, el número de B, la fecha, la hora, la duración del evento o llamada y la identificación de la celda en la que se establece la comunicación en cumplimiento a la Medida Vigésimo Octava</w:t>
      </w:r>
    </w:p>
    <w:p w14:paraId="02DE035B" w14:textId="23118013" w:rsidR="00C16D9B" w:rsidRDefault="00C16D9B" w:rsidP="00610611">
      <w:pPr>
        <w:spacing w:after="0" w:line="276" w:lineRule="auto"/>
        <w:ind w:right="0"/>
        <w:rPr>
          <w:rFonts w:ascii="ITC Avant Garde" w:hAnsi="ITC Avant Garde"/>
          <w:color w:val="auto"/>
        </w:rPr>
      </w:pPr>
    </w:p>
    <w:p w14:paraId="55A7203C" w14:textId="4406BC6B" w:rsidR="00C16D9B" w:rsidRDefault="00C16D9B" w:rsidP="00C16D9B">
      <w:pPr>
        <w:spacing w:after="0" w:line="276" w:lineRule="auto"/>
        <w:ind w:left="0" w:right="0" w:firstLine="0"/>
        <w:rPr>
          <w:rFonts w:ascii="ITC Avant Garde" w:hAnsi="ITC Avant Garde"/>
          <w:b/>
          <w:color w:val="auto"/>
        </w:rPr>
      </w:pPr>
      <w:r>
        <w:rPr>
          <w:rFonts w:ascii="ITC Avant Garde" w:hAnsi="ITC Avant Garde"/>
          <w:b/>
          <w:color w:val="auto"/>
        </w:rPr>
        <w:t>Altán:</w:t>
      </w:r>
    </w:p>
    <w:p w14:paraId="367F8FBA" w14:textId="6180866B" w:rsidR="00C16D9B" w:rsidRDefault="00C16D9B" w:rsidP="00C16D9B">
      <w:pPr>
        <w:spacing w:after="0" w:line="276" w:lineRule="auto"/>
        <w:ind w:left="0" w:right="0" w:firstLine="0"/>
        <w:rPr>
          <w:rFonts w:ascii="ITC Avant Garde" w:hAnsi="ITC Avant Garde"/>
          <w:color w:val="auto"/>
        </w:rPr>
      </w:pPr>
      <w:r w:rsidRPr="00C16D9B">
        <w:rPr>
          <w:rFonts w:ascii="ITC Avant Garde" w:hAnsi="ITC Avant Garde"/>
          <w:color w:val="auto"/>
        </w:rPr>
        <w:t>Señala que la actualización de tarifas y de trato no discriminatorio son elementos indispensables para reducir los costos de acceso en el mercado, y para la consecución fundamental de la regulación de promover la competencia en los servicios, por lo que es necesario que las tarifas cumplan con lo estipulado en el artículo 120 y se ajusten los montos a un nivel equivalente o menor a la tarifa más baja vigente en el momento de la autorización de Oferta</w:t>
      </w:r>
      <w:r>
        <w:rPr>
          <w:rFonts w:ascii="ITC Avant Garde" w:hAnsi="ITC Avant Garde"/>
          <w:color w:val="auto"/>
        </w:rPr>
        <w:t>.</w:t>
      </w:r>
    </w:p>
    <w:p w14:paraId="1AB1A505" w14:textId="77777777" w:rsidR="00C16D9B" w:rsidRPr="002101FF" w:rsidRDefault="00C16D9B" w:rsidP="00C16D9B">
      <w:pPr>
        <w:spacing w:after="0" w:line="276" w:lineRule="auto"/>
        <w:ind w:left="0" w:right="0" w:firstLine="0"/>
        <w:rPr>
          <w:rFonts w:ascii="ITC Avant Garde" w:hAnsi="ITC Avant Garde"/>
          <w:color w:val="auto"/>
        </w:rPr>
      </w:pPr>
    </w:p>
    <w:p w14:paraId="56B9AB36" w14:textId="77777777" w:rsidR="00C16D9B" w:rsidRDefault="00C16D9B" w:rsidP="00C16D9B">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716B0C4D" w14:textId="6AE00A69" w:rsidR="00C16D9B" w:rsidRDefault="00C16D9B" w:rsidP="00610611">
      <w:pPr>
        <w:spacing w:after="0" w:line="276" w:lineRule="auto"/>
        <w:ind w:right="0"/>
        <w:rPr>
          <w:rFonts w:ascii="ITC Avant Garde" w:hAnsi="ITC Avant Garde"/>
          <w:color w:val="auto"/>
        </w:rPr>
      </w:pPr>
      <w:r w:rsidRPr="00C16D9B">
        <w:rPr>
          <w:rFonts w:ascii="ITC Avant Garde" w:hAnsi="ITC Avant Garde"/>
          <w:color w:val="auto"/>
        </w:rPr>
        <w:t>La determinación de las Tarifas excede el alcance de la consulta. Sin embargo, el Instituto es el encargado de determinar las tarifas en caso de desacuerdo en cumplimiento a la Medida Sexagésima</w:t>
      </w:r>
      <w:r w:rsidR="00AE7D0F">
        <w:rPr>
          <w:rFonts w:ascii="ITC Avant Garde" w:hAnsi="ITC Avant Garde"/>
          <w:color w:val="auto"/>
        </w:rPr>
        <w:t>.</w:t>
      </w:r>
    </w:p>
    <w:p w14:paraId="38873DEA" w14:textId="37A5D340" w:rsidR="00AE7D0F" w:rsidRDefault="00AE7D0F" w:rsidP="00610611">
      <w:pPr>
        <w:spacing w:after="0" w:line="276" w:lineRule="auto"/>
        <w:ind w:right="0"/>
        <w:rPr>
          <w:rFonts w:ascii="ITC Avant Garde" w:hAnsi="ITC Avant Garde"/>
          <w:color w:val="auto"/>
        </w:rPr>
      </w:pPr>
    </w:p>
    <w:p w14:paraId="153F8362" w14:textId="2AF6AAFA" w:rsidR="00AE7D0F" w:rsidRDefault="00AE7D0F" w:rsidP="00AE7D0F">
      <w:pPr>
        <w:spacing w:after="0" w:line="276" w:lineRule="auto"/>
        <w:ind w:right="0"/>
        <w:rPr>
          <w:rFonts w:ascii="ITC Avant Garde" w:hAnsi="ITC Avant Garde"/>
          <w:b/>
          <w:color w:val="auto"/>
          <w:u w:val="single"/>
        </w:rPr>
      </w:pPr>
      <w:r>
        <w:rPr>
          <w:rFonts w:ascii="ITC Avant Garde" w:hAnsi="ITC Avant Garde"/>
          <w:b/>
          <w:color w:val="auto"/>
          <w:u w:val="single"/>
        </w:rPr>
        <w:t>Comentarios Generales:</w:t>
      </w:r>
    </w:p>
    <w:p w14:paraId="40A0064A" w14:textId="77777777" w:rsidR="00AE7D0F" w:rsidRPr="00D03698" w:rsidRDefault="00AE7D0F" w:rsidP="00AE7D0F">
      <w:pPr>
        <w:spacing w:after="0" w:line="276" w:lineRule="auto"/>
        <w:ind w:right="0"/>
        <w:rPr>
          <w:rFonts w:ascii="ITC Avant Garde" w:hAnsi="ITC Avant Garde"/>
          <w:b/>
          <w:color w:val="auto"/>
          <w:u w:val="single"/>
        </w:rPr>
      </w:pPr>
    </w:p>
    <w:p w14:paraId="561E2DDB" w14:textId="77777777" w:rsidR="00AE7D0F" w:rsidRDefault="00AE7D0F" w:rsidP="00AE7D0F">
      <w:pPr>
        <w:spacing w:after="0" w:line="276" w:lineRule="auto"/>
        <w:ind w:left="0" w:right="0" w:firstLine="0"/>
        <w:rPr>
          <w:rFonts w:ascii="ITC Avant Garde" w:hAnsi="ITC Avant Garde"/>
          <w:b/>
          <w:color w:val="auto"/>
        </w:rPr>
      </w:pPr>
      <w:r w:rsidRPr="00610611">
        <w:rPr>
          <w:rFonts w:ascii="ITC Avant Garde" w:hAnsi="ITC Avant Garde"/>
          <w:b/>
          <w:color w:val="auto"/>
        </w:rPr>
        <w:t>CANIETI, TELEFÓNICA</w:t>
      </w:r>
    </w:p>
    <w:p w14:paraId="49D7E67A" w14:textId="3B1BBF30" w:rsidR="00AE7D0F" w:rsidRPr="00AE7D0F" w:rsidRDefault="00AE7D0F" w:rsidP="00AE7D0F">
      <w:pPr>
        <w:spacing w:after="0" w:line="276" w:lineRule="auto"/>
        <w:ind w:left="0" w:right="0" w:firstLine="0"/>
        <w:rPr>
          <w:rFonts w:ascii="ITC Avant Garde" w:hAnsi="ITC Avant Garde"/>
          <w:color w:val="auto"/>
        </w:rPr>
      </w:pPr>
      <w:r w:rsidRPr="00AE7D0F">
        <w:rPr>
          <w:rFonts w:ascii="ITC Avant Garde" w:hAnsi="ITC Avant Garde"/>
          <w:color w:val="auto"/>
        </w:rPr>
        <w:t>Indican que la Oferta debe incluir un desglose de servicios por tecnología 2</w:t>
      </w:r>
      <w:r>
        <w:rPr>
          <w:rFonts w:ascii="ITC Avant Garde" w:hAnsi="ITC Avant Garde"/>
          <w:color w:val="auto"/>
        </w:rPr>
        <w:t>G voz y datos, 3G voz y datos (HSDPA, HSUPA, HSPA+), 4G (LTE, 4.5G LTE Advance)</w:t>
      </w:r>
      <w:r w:rsidRPr="00AE7D0F">
        <w:rPr>
          <w:rFonts w:ascii="ITC Avant Garde" w:hAnsi="ITC Avant Garde"/>
          <w:color w:val="auto"/>
        </w:rPr>
        <w:t>, VoLTE, IoT y M2M. Lo anterior con el fin de que el Concesionario decidiera la tecnología concreta que demandaría.</w:t>
      </w:r>
    </w:p>
    <w:p w14:paraId="3CBFCF0B" w14:textId="77777777" w:rsidR="00AE7D0F" w:rsidRPr="002101FF" w:rsidRDefault="00AE7D0F" w:rsidP="00AE7D0F">
      <w:pPr>
        <w:spacing w:after="0" w:line="276" w:lineRule="auto"/>
        <w:ind w:left="0" w:right="0" w:firstLine="0"/>
        <w:rPr>
          <w:rFonts w:ascii="ITC Avant Garde" w:hAnsi="ITC Avant Garde"/>
          <w:color w:val="auto"/>
        </w:rPr>
      </w:pPr>
    </w:p>
    <w:p w14:paraId="2576A62D" w14:textId="77777777" w:rsidR="00AE7D0F" w:rsidRDefault="00AE7D0F" w:rsidP="00AE7D0F">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6FA60DD2" w14:textId="1669374C" w:rsidR="00AE7D0F" w:rsidRDefault="00AE7D0F" w:rsidP="00610611">
      <w:pPr>
        <w:spacing w:after="0" w:line="276" w:lineRule="auto"/>
        <w:ind w:right="0"/>
        <w:rPr>
          <w:rFonts w:ascii="ITC Avant Garde" w:hAnsi="ITC Avant Garde"/>
          <w:color w:val="auto"/>
        </w:rPr>
      </w:pPr>
      <w:r w:rsidRPr="00AE7D0F">
        <w:rPr>
          <w:rFonts w:ascii="ITC Avant Garde" w:hAnsi="ITC Avant Garde"/>
          <w:color w:val="auto"/>
        </w:rPr>
        <w:t xml:space="preserve">La Oferta ya considera las solicitudes de servicio por tecnología (LAC, RAC y/o TAC) tal como se observa en el Anexo V. Los servicios como HSDPA, HSUPA, HSPA+, </w:t>
      </w:r>
      <w:r>
        <w:rPr>
          <w:rFonts w:ascii="ITC Avant Garde" w:hAnsi="ITC Avant Garde"/>
          <w:color w:val="auto"/>
        </w:rPr>
        <w:t xml:space="preserve">así como Carrier Agreggation y </w:t>
      </w:r>
      <w:r w:rsidRPr="00AE7D0F">
        <w:rPr>
          <w:rFonts w:ascii="ITC Avant Garde" w:hAnsi="ITC Avant Garde"/>
          <w:color w:val="auto"/>
        </w:rPr>
        <w:t xml:space="preserve">MIMO de 4.5G son servicios del operador móvil que le permiten administrar sus recursos radio, de tal forma que son prestados bajo criterios </w:t>
      </w:r>
      <w:r w:rsidRPr="00AE7D0F">
        <w:rPr>
          <w:rFonts w:ascii="ITC Avant Garde" w:hAnsi="ITC Avant Garde"/>
          <w:color w:val="auto"/>
        </w:rPr>
        <w:lastRenderedPageBreak/>
        <w:t>como son la carga (tráfico) de la red, las condiciones del medio (interface de aire), a los servicios requeridos por el usuario y a la cobertura. Por lo cual, no es posible una asignación de tales recursos por criterios diferentes como el que el usuario se encuentre de roaming en Telcel.</w:t>
      </w:r>
    </w:p>
    <w:p w14:paraId="5F5411CF" w14:textId="77777777" w:rsidR="00EE72DC" w:rsidRDefault="00EE72DC" w:rsidP="00610611">
      <w:pPr>
        <w:spacing w:after="0" w:line="276" w:lineRule="auto"/>
        <w:ind w:right="0"/>
        <w:rPr>
          <w:rFonts w:ascii="ITC Avant Garde" w:hAnsi="ITC Avant Garde"/>
          <w:color w:val="auto"/>
        </w:rPr>
      </w:pPr>
    </w:p>
    <w:p w14:paraId="377F571A" w14:textId="77777777" w:rsidR="00EE72DC" w:rsidRDefault="00EE72DC" w:rsidP="00EE72DC">
      <w:pPr>
        <w:spacing w:after="0" w:line="276" w:lineRule="auto"/>
        <w:ind w:left="0" w:right="0" w:firstLine="0"/>
        <w:rPr>
          <w:rFonts w:ascii="ITC Avant Garde" w:hAnsi="ITC Avant Garde"/>
          <w:b/>
          <w:color w:val="auto"/>
        </w:rPr>
      </w:pPr>
      <w:r w:rsidRPr="00610611">
        <w:rPr>
          <w:rFonts w:ascii="ITC Avant Garde" w:hAnsi="ITC Avant Garde"/>
          <w:b/>
          <w:color w:val="auto"/>
        </w:rPr>
        <w:t>CANIETI, TELEFÓNICA</w:t>
      </w:r>
    </w:p>
    <w:p w14:paraId="69592FBC" w14:textId="2FA3439A" w:rsidR="00EE72DC" w:rsidRDefault="00EE72DC" w:rsidP="00EE72DC">
      <w:pPr>
        <w:spacing w:after="0" w:line="276" w:lineRule="auto"/>
        <w:ind w:left="0" w:right="0" w:firstLine="0"/>
        <w:rPr>
          <w:rFonts w:ascii="ITC Avant Garde" w:hAnsi="ITC Avant Garde"/>
          <w:color w:val="auto"/>
        </w:rPr>
      </w:pPr>
      <w:r w:rsidRPr="00EE72DC">
        <w:rPr>
          <w:rFonts w:ascii="ITC Avant Garde" w:hAnsi="ITC Avant Garde"/>
          <w:color w:val="auto"/>
        </w:rPr>
        <w:t>Indican que los servicios de IoT y M2M deben incorporarse como una obligación y no como un acuerdo entre las partes con base en el mandato de replicabilidad técnica.</w:t>
      </w:r>
    </w:p>
    <w:p w14:paraId="25653487" w14:textId="77777777" w:rsidR="00EE72DC" w:rsidRPr="00EE72DC" w:rsidRDefault="00EE72DC" w:rsidP="00EE72DC">
      <w:pPr>
        <w:spacing w:after="0" w:line="276" w:lineRule="auto"/>
        <w:ind w:left="0" w:right="0" w:firstLine="0"/>
        <w:rPr>
          <w:rFonts w:ascii="ITC Avant Garde" w:hAnsi="ITC Avant Garde"/>
          <w:color w:val="auto"/>
        </w:rPr>
      </w:pPr>
    </w:p>
    <w:p w14:paraId="1D893A7B" w14:textId="77777777" w:rsidR="00EE72DC" w:rsidRDefault="00EE72DC" w:rsidP="00EE72DC">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3FCD5878" w14:textId="41197C51" w:rsidR="00EE72DC" w:rsidRDefault="00EE72DC" w:rsidP="00610611">
      <w:pPr>
        <w:spacing w:after="0" w:line="276" w:lineRule="auto"/>
        <w:ind w:right="0"/>
        <w:rPr>
          <w:rFonts w:ascii="ITC Avant Garde" w:hAnsi="ITC Avant Garde"/>
          <w:color w:val="auto"/>
        </w:rPr>
      </w:pPr>
      <w:r w:rsidRPr="00EE72DC">
        <w:rPr>
          <w:rFonts w:ascii="ITC Avant Garde" w:hAnsi="ITC Avant Garde"/>
          <w:color w:val="auto"/>
        </w:rPr>
        <w:t>Los servicios de IoT y M2M están considerados dentro de la oferta, lo que se señala en la misma es que, se acordarán los términos y condiciones para la prestación. Asimismo, se precisa que el Instituto podrá resolver sobre las condiciones no convenidas.</w:t>
      </w:r>
    </w:p>
    <w:p w14:paraId="09C30885" w14:textId="1478CBC7" w:rsidR="00F33442" w:rsidRDefault="00F33442" w:rsidP="00610611">
      <w:pPr>
        <w:spacing w:after="0" w:line="276" w:lineRule="auto"/>
        <w:ind w:right="0"/>
        <w:rPr>
          <w:rFonts w:ascii="ITC Avant Garde" w:hAnsi="ITC Avant Garde"/>
          <w:color w:val="auto"/>
        </w:rPr>
      </w:pPr>
    </w:p>
    <w:p w14:paraId="40A02355" w14:textId="77777777" w:rsidR="00F33442" w:rsidRDefault="00F33442" w:rsidP="00F33442">
      <w:pPr>
        <w:spacing w:after="0" w:line="276" w:lineRule="auto"/>
        <w:ind w:left="0" w:right="0" w:firstLine="0"/>
        <w:rPr>
          <w:rFonts w:ascii="ITC Avant Garde" w:hAnsi="ITC Avant Garde"/>
          <w:b/>
          <w:color w:val="auto"/>
        </w:rPr>
      </w:pPr>
      <w:r w:rsidRPr="00610611">
        <w:rPr>
          <w:rFonts w:ascii="ITC Avant Garde" w:hAnsi="ITC Avant Garde"/>
          <w:b/>
          <w:color w:val="auto"/>
        </w:rPr>
        <w:t>CANIETI, TELEFÓNICA</w:t>
      </w:r>
    </w:p>
    <w:p w14:paraId="531F6AF7" w14:textId="04F0C2D8" w:rsidR="00F33442" w:rsidRDefault="00F33442" w:rsidP="00F33442">
      <w:pPr>
        <w:spacing w:after="0" w:line="276" w:lineRule="auto"/>
        <w:ind w:left="0" w:right="0" w:firstLine="0"/>
        <w:rPr>
          <w:rFonts w:ascii="ITC Avant Garde" w:hAnsi="ITC Avant Garde"/>
          <w:color w:val="auto"/>
        </w:rPr>
      </w:pPr>
      <w:r w:rsidRPr="00F33442">
        <w:rPr>
          <w:rFonts w:ascii="ITC Avant Garde" w:hAnsi="ITC Avant Garde"/>
          <w:color w:val="auto"/>
        </w:rPr>
        <w:t>Señalan que se debe posibilitar la utilización de cualquier tecnología o servicio que el AEP ya ha desplegado o publicado en una determinada área</w:t>
      </w:r>
      <w:r>
        <w:rPr>
          <w:rFonts w:ascii="ITC Avant Garde" w:hAnsi="ITC Avant Garde"/>
          <w:color w:val="auto"/>
        </w:rPr>
        <w:t xml:space="preserve"> de servicio (LAC, TAC y/o RAC)</w:t>
      </w:r>
      <w:r w:rsidRPr="00F33442">
        <w:rPr>
          <w:rFonts w:ascii="ITC Avant Garde" w:hAnsi="ITC Avant Garde"/>
          <w:color w:val="auto"/>
        </w:rPr>
        <w:t xml:space="preserve"> de manera desglosada, independiente y sin tener que utilizar el resto de servicios o tecnologías. Asimismo, Telefónica señala que el AEP debe ofrecer el servicio o tecnología en el área de servicio solicitada por el concesionario, aunque este disponga de infraestructura de otros servicios y/o tecnologías en esa área.</w:t>
      </w:r>
    </w:p>
    <w:p w14:paraId="5A633E0B" w14:textId="77777777" w:rsidR="00F33442" w:rsidRPr="00EE72DC" w:rsidRDefault="00F33442" w:rsidP="00F33442">
      <w:pPr>
        <w:spacing w:after="0" w:line="276" w:lineRule="auto"/>
        <w:ind w:left="0" w:right="0" w:firstLine="0"/>
        <w:rPr>
          <w:rFonts w:ascii="ITC Avant Garde" w:hAnsi="ITC Avant Garde"/>
          <w:color w:val="auto"/>
        </w:rPr>
      </w:pPr>
    </w:p>
    <w:p w14:paraId="775765B6" w14:textId="77777777" w:rsidR="00F33442" w:rsidRDefault="00F33442" w:rsidP="00F33442">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0E651506" w14:textId="68113B45" w:rsidR="00F33442" w:rsidRDefault="00F33442" w:rsidP="00610611">
      <w:pPr>
        <w:spacing w:after="0" w:line="276" w:lineRule="auto"/>
        <w:ind w:right="0"/>
        <w:rPr>
          <w:rFonts w:ascii="ITC Avant Garde" w:hAnsi="ITC Avant Garde"/>
          <w:color w:val="auto"/>
        </w:rPr>
      </w:pPr>
      <w:r w:rsidRPr="00F33442">
        <w:rPr>
          <w:rFonts w:ascii="ITC Avant Garde" w:hAnsi="ITC Avant Garde"/>
          <w:color w:val="auto"/>
        </w:rPr>
        <w:t>Los servicios se solicitan por tecnología (LAC, TAC o RAC) tal como se puede observar en el Anexo V referente a la solicitud de servicios. Sin embargo, estos se prestarán de manera temporal y exclusivamente en las zonas en las que el concesionario no cuente con infraestructura o no preste el servicio móvil de conformidad con la Medida Vigésimo Tercera. Cualquier otro servicio que se preste en las zonas donde el concesionario tenga infraestructura o preste el servicio móvil, así como aquellos distintos a los considerados en la oferta, serán considerados como servicios adicionales.</w:t>
      </w:r>
    </w:p>
    <w:p w14:paraId="3334DCDE" w14:textId="77A58061" w:rsidR="007D75F9" w:rsidRDefault="007D75F9" w:rsidP="00610611">
      <w:pPr>
        <w:spacing w:after="0" w:line="276" w:lineRule="auto"/>
        <w:ind w:right="0"/>
        <w:rPr>
          <w:rFonts w:ascii="ITC Avant Garde" w:hAnsi="ITC Avant Garde"/>
          <w:color w:val="auto"/>
        </w:rPr>
      </w:pPr>
    </w:p>
    <w:p w14:paraId="30A7530E" w14:textId="1DC91AAA" w:rsidR="007D75F9" w:rsidRDefault="007D75F9" w:rsidP="007D75F9">
      <w:pPr>
        <w:spacing w:after="0" w:line="276" w:lineRule="auto"/>
        <w:ind w:left="0" w:right="0" w:firstLine="0"/>
        <w:rPr>
          <w:rFonts w:ascii="ITC Avant Garde" w:hAnsi="ITC Avant Garde"/>
          <w:b/>
          <w:color w:val="auto"/>
        </w:rPr>
      </w:pPr>
      <w:r w:rsidRPr="00610611">
        <w:rPr>
          <w:rFonts w:ascii="ITC Avant Garde" w:hAnsi="ITC Avant Garde"/>
          <w:b/>
          <w:color w:val="auto"/>
        </w:rPr>
        <w:t>TELEFÓNICA</w:t>
      </w:r>
    </w:p>
    <w:p w14:paraId="0CCC7250" w14:textId="77777777" w:rsidR="007D75F9" w:rsidRPr="007D75F9" w:rsidRDefault="007D75F9" w:rsidP="007D75F9">
      <w:pPr>
        <w:spacing w:after="0" w:line="276" w:lineRule="auto"/>
        <w:ind w:left="0" w:right="0" w:firstLine="0"/>
        <w:rPr>
          <w:rFonts w:ascii="ITC Avant Garde" w:hAnsi="ITC Avant Garde"/>
          <w:color w:val="auto"/>
        </w:rPr>
      </w:pPr>
      <w:r w:rsidRPr="007D75F9">
        <w:rPr>
          <w:rFonts w:ascii="ITC Avant Garde" w:hAnsi="ITC Avant Garde"/>
          <w:color w:val="auto"/>
        </w:rPr>
        <w:t>Señala que el AEP debe utilizar el SEG para la auto provisión de sus servicios de red con los mismos procedimientos y prioridades que para los Concesionarios. Indica que se deben incluir las tareas de planificación, actuaciones en red, atención de incidencias, análisis de su propia cobertura, etc.</w:t>
      </w:r>
    </w:p>
    <w:p w14:paraId="1A4A1A51" w14:textId="77777777" w:rsidR="007D75F9" w:rsidRPr="007D75F9" w:rsidRDefault="007D75F9" w:rsidP="007D75F9">
      <w:pPr>
        <w:spacing w:after="0" w:line="276" w:lineRule="auto"/>
        <w:ind w:left="0" w:right="0" w:firstLine="0"/>
        <w:rPr>
          <w:rFonts w:ascii="ITC Avant Garde" w:hAnsi="ITC Avant Garde"/>
          <w:color w:val="auto"/>
        </w:rPr>
      </w:pPr>
    </w:p>
    <w:p w14:paraId="27E05232" w14:textId="77777777" w:rsidR="007D75F9" w:rsidRPr="007D75F9" w:rsidRDefault="007D75F9" w:rsidP="007D75F9">
      <w:pPr>
        <w:spacing w:after="0" w:line="276" w:lineRule="auto"/>
        <w:ind w:left="0" w:right="0" w:firstLine="0"/>
        <w:rPr>
          <w:rFonts w:ascii="ITC Avant Garde" w:hAnsi="ITC Avant Garde"/>
          <w:color w:val="auto"/>
        </w:rPr>
      </w:pPr>
      <w:r w:rsidRPr="007D75F9">
        <w:rPr>
          <w:rFonts w:ascii="ITC Avant Garde" w:hAnsi="ITC Avant Garde"/>
          <w:color w:val="auto"/>
        </w:rPr>
        <w:t>Asimismo, indica que el SEG debe incluir informes comparativos de al menos los siguientes indicadores de desempeño entre el Concesionario y el AEP:</w:t>
      </w:r>
    </w:p>
    <w:p w14:paraId="63BE078D" w14:textId="77777777" w:rsidR="007D75F9" w:rsidRPr="007D75F9" w:rsidRDefault="007D75F9" w:rsidP="007D75F9">
      <w:pPr>
        <w:spacing w:after="0" w:line="276" w:lineRule="auto"/>
        <w:ind w:left="0" w:right="0" w:firstLine="0"/>
        <w:rPr>
          <w:rFonts w:ascii="ITC Avant Garde" w:hAnsi="ITC Avant Garde"/>
          <w:color w:val="auto"/>
        </w:rPr>
      </w:pPr>
    </w:p>
    <w:p w14:paraId="0C349FB1" w14:textId="77777777" w:rsidR="007D75F9" w:rsidRPr="007D75F9" w:rsidRDefault="007D75F9" w:rsidP="007D75F9">
      <w:pPr>
        <w:spacing w:after="0" w:line="276" w:lineRule="auto"/>
        <w:ind w:left="0" w:right="0" w:firstLine="0"/>
        <w:rPr>
          <w:rFonts w:ascii="ITC Avant Garde" w:hAnsi="ITC Avant Garde"/>
          <w:color w:val="auto"/>
        </w:rPr>
      </w:pPr>
      <w:r w:rsidRPr="007D75F9">
        <w:rPr>
          <w:rFonts w:ascii="ITC Avant Garde" w:hAnsi="ITC Avant Garde"/>
          <w:color w:val="auto"/>
        </w:rPr>
        <w:t>- Resolución de incidencias: número de incidencias, severidad, tiempo de resolución, etc.</w:t>
      </w:r>
    </w:p>
    <w:p w14:paraId="59DEF941" w14:textId="77777777" w:rsidR="007D75F9" w:rsidRPr="007D75F9" w:rsidRDefault="007D75F9" w:rsidP="007D75F9">
      <w:pPr>
        <w:spacing w:after="0" w:line="276" w:lineRule="auto"/>
        <w:ind w:left="0" w:right="0" w:firstLine="0"/>
        <w:rPr>
          <w:rFonts w:ascii="ITC Avant Garde" w:hAnsi="ITC Avant Garde"/>
          <w:color w:val="auto"/>
        </w:rPr>
      </w:pPr>
      <w:r w:rsidRPr="007D75F9">
        <w:rPr>
          <w:rFonts w:ascii="ITC Avant Garde" w:hAnsi="ITC Avant Garde"/>
          <w:color w:val="auto"/>
        </w:rPr>
        <w:t>- Tiempos de provisión del servicio.</w:t>
      </w:r>
    </w:p>
    <w:p w14:paraId="4D5A2B7D" w14:textId="5EE7BCC9" w:rsidR="007D75F9" w:rsidRDefault="007D75F9" w:rsidP="007D75F9">
      <w:pPr>
        <w:spacing w:after="0" w:line="276" w:lineRule="auto"/>
        <w:ind w:left="0" w:right="0" w:firstLine="0"/>
        <w:rPr>
          <w:rFonts w:ascii="ITC Avant Garde" w:hAnsi="ITC Avant Garde"/>
          <w:color w:val="auto"/>
        </w:rPr>
      </w:pPr>
      <w:r w:rsidRPr="007D75F9">
        <w:rPr>
          <w:rFonts w:ascii="ITC Avant Garde" w:hAnsi="ITC Avant Garde"/>
          <w:color w:val="auto"/>
        </w:rPr>
        <w:t>- Calidad de servicio: porcentaje de llamadas de voz caídas, velocidad de descarga de datos, velocidad de subida de datos, latencia, etc., con el nivel de desagregación adecuado por geografía y tecnología para hacer las comparativas homogéneas.</w:t>
      </w:r>
    </w:p>
    <w:p w14:paraId="7B42605B" w14:textId="77777777" w:rsidR="00411D3A" w:rsidRPr="007D75F9" w:rsidRDefault="00411D3A" w:rsidP="007D75F9">
      <w:pPr>
        <w:spacing w:after="0" w:line="276" w:lineRule="auto"/>
        <w:ind w:left="0" w:right="0" w:firstLine="0"/>
        <w:rPr>
          <w:rFonts w:ascii="ITC Avant Garde" w:hAnsi="ITC Avant Garde"/>
          <w:color w:val="auto"/>
        </w:rPr>
      </w:pPr>
    </w:p>
    <w:p w14:paraId="17433A9F" w14:textId="77777777" w:rsidR="007D75F9" w:rsidRDefault="007D75F9" w:rsidP="007D75F9">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233B1249" w14:textId="3B524C7B" w:rsidR="007D75F9" w:rsidRDefault="007D75F9" w:rsidP="00610611">
      <w:pPr>
        <w:spacing w:after="0" w:line="276" w:lineRule="auto"/>
        <w:ind w:right="0"/>
        <w:rPr>
          <w:rFonts w:ascii="ITC Avant Garde" w:hAnsi="ITC Avant Garde"/>
          <w:color w:val="auto"/>
        </w:rPr>
      </w:pPr>
      <w:r w:rsidRPr="007D75F9">
        <w:rPr>
          <w:rFonts w:ascii="ITC Avant Garde" w:hAnsi="ITC Avant Garde"/>
          <w:color w:val="auto"/>
        </w:rPr>
        <w:t xml:space="preserve">El AEP no se provee asimismo el servicio de UV. Asimismo, los indicadores de desempeño que debe reportar el AEP y todos los concesionarios se encuentran contenidos en </w:t>
      </w:r>
      <w:r w:rsidR="00D27C25">
        <w:rPr>
          <w:rFonts w:ascii="ITC Avant Garde" w:hAnsi="ITC Avant Garde"/>
          <w:color w:val="auto"/>
        </w:rPr>
        <w:t>los Lineamientos</w:t>
      </w:r>
      <w:r w:rsidRPr="007D75F9">
        <w:rPr>
          <w:rFonts w:ascii="ITC Avant Garde" w:hAnsi="ITC Avant Garde"/>
          <w:color w:val="auto"/>
        </w:rPr>
        <w:t xml:space="preserve"> de Calidad, en el cual se especifican la proporción de llamadas caídas, tasa de transmisión promedio de carga y descarga, la latencia. Sin embargo, la medición de voz y SMS se realizará en la cobertura garantizada de GSM y 3G, mientras que la medición de datos se realizará en la cobertura garantizada de 3G, LTE y tecnologías superiores. Además, las ubicaciones geográficas en donde se realizará la medición se determinará con base en un muestreo por estratos. Asimismo, la obligación de entregar los contadores de desempeño son para todos los concesionarios que cuentan con sistemas de gestión y que generen los mismos</w:t>
      </w:r>
      <w:r w:rsidR="00FD6B4C">
        <w:rPr>
          <w:rFonts w:ascii="ITC Avant Garde" w:hAnsi="ITC Avant Garde"/>
          <w:color w:val="auto"/>
        </w:rPr>
        <w:t>.</w:t>
      </w:r>
    </w:p>
    <w:p w14:paraId="28611EC3" w14:textId="406B399D" w:rsidR="00FD6B4C" w:rsidRDefault="00FD6B4C" w:rsidP="00610611">
      <w:pPr>
        <w:spacing w:after="0" w:line="276" w:lineRule="auto"/>
        <w:ind w:right="0"/>
        <w:rPr>
          <w:rFonts w:ascii="ITC Avant Garde" w:hAnsi="ITC Avant Garde"/>
          <w:color w:val="auto"/>
        </w:rPr>
      </w:pPr>
    </w:p>
    <w:p w14:paraId="1F6203A9" w14:textId="46E230DC" w:rsidR="00FD6B4C" w:rsidRDefault="00FD6B4C" w:rsidP="00FD6B4C">
      <w:pPr>
        <w:spacing w:after="0" w:line="276" w:lineRule="auto"/>
        <w:ind w:left="0" w:right="0" w:firstLine="0"/>
        <w:rPr>
          <w:rFonts w:ascii="ITC Avant Garde" w:hAnsi="ITC Avant Garde"/>
          <w:b/>
          <w:color w:val="auto"/>
        </w:rPr>
      </w:pPr>
      <w:r>
        <w:rPr>
          <w:rFonts w:ascii="ITC Avant Garde" w:hAnsi="ITC Avant Garde"/>
          <w:b/>
          <w:color w:val="auto"/>
        </w:rPr>
        <w:t>Altán</w:t>
      </w:r>
    </w:p>
    <w:p w14:paraId="5B277902" w14:textId="58E6EE6F" w:rsidR="00FD6B4C" w:rsidRDefault="00FD6B4C" w:rsidP="00FD6B4C">
      <w:pPr>
        <w:spacing w:after="0" w:line="276" w:lineRule="auto"/>
        <w:ind w:left="0" w:right="0" w:firstLine="0"/>
        <w:rPr>
          <w:rFonts w:ascii="ITC Avant Garde" w:hAnsi="ITC Avant Garde"/>
          <w:color w:val="auto"/>
        </w:rPr>
      </w:pPr>
      <w:r w:rsidRPr="00FD6B4C">
        <w:rPr>
          <w:rFonts w:ascii="ITC Avant Garde" w:hAnsi="ITC Avant Garde"/>
          <w:color w:val="auto"/>
        </w:rPr>
        <w:t>Señala que la Oferta debe de reflejar la obligación de que se brinde el servicio a operadores mayoristas que revendan los servicios a otros clientes, ya sean concesionarios, autorizados o permisionarios, sin restricción del modelo de negocio.</w:t>
      </w:r>
    </w:p>
    <w:p w14:paraId="2E5601C0" w14:textId="77777777" w:rsidR="00FD6B4C" w:rsidRPr="00FD6B4C" w:rsidRDefault="00FD6B4C" w:rsidP="00FD6B4C">
      <w:pPr>
        <w:spacing w:after="0" w:line="276" w:lineRule="auto"/>
        <w:ind w:left="0" w:right="0" w:firstLine="0"/>
        <w:rPr>
          <w:rFonts w:ascii="ITC Avant Garde" w:hAnsi="ITC Avant Garde"/>
          <w:color w:val="auto"/>
        </w:rPr>
      </w:pPr>
    </w:p>
    <w:p w14:paraId="145A2D40" w14:textId="77777777" w:rsidR="00FD6B4C" w:rsidRDefault="00FD6B4C" w:rsidP="00FD6B4C">
      <w:pPr>
        <w:spacing w:after="0" w:line="276" w:lineRule="auto"/>
        <w:ind w:right="0"/>
        <w:rPr>
          <w:rFonts w:ascii="ITC Avant Garde" w:hAnsi="ITC Avant Garde"/>
          <w:b/>
          <w:color w:val="auto"/>
        </w:rPr>
      </w:pPr>
      <w:r w:rsidRPr="00343A4F">
        <w:rPr>
          <w:rFonts w:ascii="ITC Avant Garde" w:hAnsi="ITC Avant Garde"/>
          <w:b/>
          <w:color w:val="auto"/>
        </w:rPr>
        <w:t>Consideraciones del Instituto</w:t>
      </w:r>
    </w:p>
    <w:p w14:paraId="6C8E0191" w14:textId="6BF927D3" w:rsidR="00FD6B4C" w:rsidRPr="00610611" w:rsidRDefault="00FD6B4C" w:rsidP="00610611">
      <w:pPr>
        <w:spacing w:after="0" w:line="276" w:lineRule="auto"/>
        <w:ind w:right="0"/>
        <w:rPr>
          <w:rFonts w:ascii="ITC Avant Garde" w:hAnsi="ITC Avant Garde"/>
          <w:color w:val="auto"/>
        </w:rPr>
      </w:pPr>
      <w:r w:rsidRPr="00FD6B4C">
        <w:rPr>
          <w:rFonts w:ascii="ITC Avant Garde" w:hAnsi="ITC Avant Garde"/>
          <w:color w:val="auto"/>
        </w:rPr>
        <w:t>En la cláusula 2.1 se precisa la obligación de Telcel de prestar los servicios de la Oferta a redes mayoristas. Asimismo, en el Anexo IX se establecen los mismos plazos que la Oferta vigente para la entrega de los servicios. Además, el Instituto es el encargado de determinar las tarifas en caso de desacuerdo en cumplimiento a la Medida Sexagésima</w:t>
      </w:r>
    </w:p>
    <w:sectPr w:rsidR="00FD6B4C" w:rsidRPr="00610611" w:rsidSect="006B068D">
      <w:footerReference w:type="default" r:id="rId9"/>
      <w:pgSz w:w="12240" w:h="15840"/>
      <w:pgMar w:top="1417" w:right="1608" w:bottom="1417" w:left="156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9268A" w16cid:durableId="1DD9478A"/>
  <w16cid:commentId w16cid:paraId="46524846" w16cid:durableId="1DD9478B"/>
  <w16cid:commentId w16cid:paraId="7F440B07" w16cid:durableId="1DD9478C"/>
  <w16cid:commentId w16cid:paraId="14C00981" w16cid:durableId="1DD9478D"/>
  <w16cid:commentId w16cid:paraId="1AFF13EC" w16cid:durableId="1DD9478E"/>
  <w16cid:commentId w16cid:paraId="144641A8" w16cid:durableId="1DD9478F"/>
  <w16cid:commentId w16cid:paraId="7D54DE88" w16cid:durableId="1DD94790"/>
  <w16cid:commentId w16cid:paraId="21DFEC6C" w16cid:durableId="1E0B611C"/>
  <w16cid:commentId w16cid:paraId="29F40C8F" w16cid:durableId="1DD94791"/>
  <w16cid:commentId w16cid:paraId="78A87DD2" w16cid:durableId="1DD94792"/>
  <w16cid:commentId w16cid:paraId="394ADD52" w16cid:durableId="1DD94793"/>
  <w16cid:commentId w16cid:paraId="37BE0E9E" w16cid:durableId="1DD94794"/>
  <w16cid:commentId w16cid:paraId="0B621C89" w16cid:durableId="1D83D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5202A" w14:textId="77777777" w:rsidR="00B400CA" w:rsidRDefault="00B400CA" w:rsidP="00493685">
      <w:pPr>
        <w:spacing w:after="0" w:line="240" w:lineRule="auto"/>
      </w:pPr>
      <w:r>
        <w:separator/>
      </w:r>
    </w:p>
  </w:endnote>
  <w:endnote w:type="continuationSeparator" w:id="0">
    <w:p w14:paraId="0978AB88" w14:textId="77777777" w:rsidR="00B400CA" w:rsidRDefault="00B400CA"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927181"/>
      <w:docPartObj>
        <w:docPartGallery w:val="Page Numbers (Bottom of Page)"/>
        <w:docPartUnique/>
      </w:docPartObj>
    </w:sdtPr>
    <w:sdtEndPr/>
    <w:sdtContent>
      <w:p w14:paraId="2C1FCB72" w14:textId="51203E25" w:rsidR="003C287F" w:rsidRDefault="003C287F">
        <w:pPr>
          <w:pStyle w:val="Piedepgina"/>
          <w:jc w:val="right"/>
        </w:pPr>
        <w:r>
          <w:fldChar w:fldCharType="begin"/>
        </w:r>
        <w:r>
          <w:instrText>PAGE   \* MERGEFORMAT</w:instrText>
        </w:r>
        <w:r>
          <w:fldChar w:fldCharType="separate"/>
        </w:r>
        <w:r w:rsidR="00EA1D37" w:rsidRPr="00EA1D37">
          <w:rPr>
            <w:noProof/>
            <w:lang w:val="es-ES"/>
          </w:rPr>
          <w:t>3</w:t>
        </w:r>
        <w:r>
          <w:fldChar w:fldCharType="end"/>
        </w:r>
      </w:p>
    </w:sdtContent>
  </w:sdt>
  <w:p w14:paraId="17CF8DEA" w14:textId="77777777" w:rsidR="003C287F" w:rsidRDefault="003C28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8F932" w14:textId="77777777" w:rsidR="00B400CA" w:rsidRDefault="00B400CA" w:rsidP="00493685">
      <w:pPr>
        <w:spacing w:after="0" w:line="240" w:lineRule="auto"/>
      </w:pPr>
      <w:r>
        <w:separator/>
      </w:r>
    </w:p>
  </w:footnote>
  <w:footnote w:type="continuationSeparator" w:id="0">
    <w:p w14:paraId="37DD0062" w14:textId="77777777" w:rsidR="00B400CA" w:rsidRDefault="00B400CA" w:rsidP="00493685">
      <w:pPr>
        <w:spacing w:after="0" w:line="240" w:lineRule="auto"/>
      </w:pPr>
      <w:r>
        <w:continuationSeparator/>
      </w:r>
    </w:p>
  </w:footnote>
  <w:footnote w:id="1">
    <w:p w14:paraId="4FEE34DB" w14:textId="144D9DBC" w:rsidR="00830B1D" w:rsidRPr="00830B1D" w:rsidRDefault="00830B1D" w:rsidP="00830B1D">
      <w:pPr>
        <w:pStyle w:val="Textonotapie"/>
        <w:jc w:val="both"/>
        <w:rPr>
          <w:rFonts w:ascii="ITC Avant Garde" w:hAnsi="ITC Avant Garde"/>
          <w:sz w:val="18"/>
          <w:szCs w:val="18"/>
          <w:lang w:val="es-MX"/>
        </w:rPr>
      </w:pPr>
      <w:r w:rsidRPr="00830B1D">
        <w:rPr>
          <w:rStyle w:val="Refdenotaalpie"/>
          <w:rFonts w:ascii="ITC Avant Garde" w:hAnsi="ITC Avant Garde"/>
          <w:sz w:val="18"/>
          <w:szCs w:val="18"/>
        </w:rPr>
        <w:footnoteRef/>
      </w:r>
      <w:r w:rsidRPr="00830B1D">
        <w:rPr>
          <w:rFonts w:ascii="ITC Avant Garde" w:hAnsi="ITC Avant Garde"/>
          <w:sz w:val="18"/>
          <w:szCs w:val="18"/>
        </w:rPr>
        <w:t xml:space="preserve"> </w:t>
      </w:r>
      <w:r w:rsidRPr="00830B1D">
        <w:rPr>
          <w:rFonts w:ascii="ITC Avant Garde" w:hAnsi="ITC Avant Garde"/>
          <w:color w:val="2F2F2F"/>
          <w:sz w:val="18"/>
          <w:szCs w:val="18"/>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Pr>
          <w:rFonts w:ascii="ITC Avant Garde" w:hAnsi="ITC Avant Garde"/>
          <w:color w:val="2F2F2F"/>
          <w:sz w:val="18"/>
          <w:szCs w:val="18"/>
        </w:rPr>
        <w:t>, publicado en el DOF el 17/01/2018.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7"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0"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1"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4"/>
  </w:num>
  <w:num w:numId="5">
    <w:abstractNumId w:val="2"/>
  </w:num>
  <w:num w:numId="6">
    <w:abstractNumId w:val="3"/>
  </w:num>
  <w:num w:numId="7">
    <w:abstractNumId w:val="10"/>
  </w:num>
  <w:num w:numId="8">
    <w:abstractNumId w:val="9"/>
  </w:num>
  <w:num w:numId="9">
    <w:abstractNumId w:val="11"/>
  </w:num>
  <w:num w:numId="10">
    <w:abstractNumId w:val="8"/>
  </w:num>
  <w:num w:numId="11">
    <w:abstractNumId w:val="7"/>
  </w:num>
  <w:num w:numId="12">
    <w:abstractNumId w:val="6"/>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331B"/>
    <w:rsid w:val="00013BAC"/>
    <w:rsid w:val="000146B8"/>
    <w:rsid w:val="00014926"/>
    <w:rsid w:val="00014D42"/>
    <w:rsid w:val="00015889"/>
    <w:rsid w:val="00015958"/>
    <w:rsid w:val="00015EB9"/>
    <w:rsid w:val="0001660E"/>
    <w:rsid w:val="00017027"/>
    <w:rsid w:val="0002034F"/>
    <w:rsid w:val="00021DD2"/>
    <w:rsid w:val="00021EB5"/>
    <w:rsid w:val="00022BFC"/>
    <w:rsid w:val="00022E01"/>
    <w:rsid w:val="00023182"/>
    <w:rsid w:val="0002377D"/>
    <w:rsid w:val="000239D1"/>
    <w:rsid w:val="00024A0F"/>
    <w:rsid w:val="00024B17"/>
    <w:rsid w:val="000252EF"/>
    <w:rsid w:val="00025C43"/>
    <w:rsid w:val="00025D0F"/>
    <w:rsid w:val="0002608C"/>
    <w:rsid w:val="0002647D"/>
    <w:rsid w:val="00026C88"/>
    <w:rsid w:val="00026F99"/>
    <w:rsid w:val="000271BB"/>
    <w:rsid w:val="00030395"/>
    <w:rsid w:val="000318C7"/>
    <w:rsid w:val="00031A90"/>
    <w:rsid w:val="00033962"/>
    <w:rsid w:val="00034189"/>
    <w:rsid w:val="000346C1"/>
    <w:rsid w:val="00034F2E"/>
    <w:rsid w:val="00036AD3"/>
    <w:rsid w:val="00036D35"/>
    <w:rsid w:val="00037219"/>
    <w:rsid w:val="00037DC7"/>
    <w:rsid w:val="000400AF"/>
    <w:rsid w:val="0004079A"/>
    <w:rsid w:val="00040829"/>
    <w:rsid w:val="000410EF"/>
    <w:rsid w:val="00041A70"/>
    <w:rsid w:val="000426D2"/>
    <w:rsid w:val="000427ED"/>
    <w:rsid w:val="00044709"/>
    <w:rsid w:val="00045A86"/>
    <w:rsid w:val="00045D23"/>
    <w:rsid w:val="00045FF3"/>
    <w:rsid w:val="0004645C"/>
    <w:rsid w:val="0004667E"/>
    <w:rsid w:val="00046703"/>
    <w:rsid w:val="00046B10"/>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EEF"/>
    <w:rsid w:val="000611EE"/>
    <w:rsid w:val="00062045"/>
    <w:rsid w:val="000624F5"/>
    <w:rsid w:val="000627D7"/>
    <w:rsid w:val="00062BC4"/>
    <w:rsid w:val="0006356F"/>
    <w:rsid w:val="000660A0"/>
    <w:rsid w:val="00066E87"/>
    <w:rsid w:val="00067B66"/>
    <w:rsid w:val="00067CCA"/>
    <w:rsid w:val="00067D53"/>
    <w:rsid w:val="00067F68"/>
    <w:rsid w:val="000702E6"/>
    <w:rsid w:val="0007113B"/>
    <w:rsid w:val="000713B2"/>
    <w:rsid w:val="00071815"/>
    <w:rsid w:val="00072D92"/>
    <w:rsid w:val="00072DA7"/>
    <w:rsid w:val="000740E0"/>
    <w:rsid w:val="00074422"/>
    <w:rsid w:val="00074C2F"/>
    <w:rsid w:val="00075BCA"/>
    <w:rsid w:val="00076180"/>
    <w:rsid w:val="00076D97"/>
    <w:rsid w:val="00076DA6"/>
    <w:rsid w:val="0007752D"/>
    <w:rsid w:val="00077DE8"/>
    <w:rsid w:val="00077E39"/>
    <w:rsid w:val="00080AD0"/>
    <w:rsid w:val="000816D2"/>
    <w:rsid w:val="00081CBE"/>
    <w:rsid w:val="00081DCB"/>
    <w:rsid w:val="00082E6E"/>
    <w:rsid w:val="00083962"/>
    <w:rsid w:val="00084072"/>
    <w:rsid w:val="00085382"/>
    <w:rsid w:val="00085C21"/>
    <w:rsid w:val="000860A2"/>
    <w:rsid w:val="0008643B"/>
    <w:rsid w:val="000869C7"/>
    <w:rsid w:val="00086FC2"/>
    <w:rsid w:val="0008739D"/>
    <w:rsid w:val="00087545"/>
    <w:rsid w:val="00090469"/>
    <w:rsid w:val="00091B17"/>
    <w:rsid w:val="00091DAF"/>
    <w:rsid w:val="00093566"/>
    <w:rsid w:val="00093D2F"/>
    <w:rsid w:val="0009499D"/>
    <w:rsid w:val="0009533F"/>
    <w:rsid w:val="00095421"/>
    <w:rsid w:val="0009562E"/>
    <w:rsid w:val="000962FD"/>
    <w:rsid w:val="00097866"/>
    <w:rsid w:val="00097AE9"/>
    <w:rsid w:val="00097B7E"/>
    <w:rsid w:val="000A0137"/>
    <w:rsid w:val="000A0646"/>
    <w:rsid w:val="000A18EA"/>
    <w:rsid w:val="000A2D8A"/>
    <w:rsid w:val="000A2FE6"/>
    <w:rsid w:val="000A381D"/>
    <w:rsid w:val="000A3F9A"/>
    <w:rsid w:val="000A4328"/>
    <w:rsid w:val="000A4462"/>
    <w:rsid w:val="000A59DD"/>
    <w:rsid w:val="000A631B"/>
    <w:rsid w:val="000A7644"/>
    <w:rsid w:val="000B03AD"/>
    <w:rsid w:val="000B0DDB"/>
    <w:rsid w:val="000B24A7"/>
    <w:rsid w:val="000B30D0"/>
    <w:rsid w:val="000B3495"/>
    <w:rsid w:val="000B3A7A"/>
    <w:rsid w:val="000B435A"/>
    <w:rsid w:val="000B4616"/>
    <w:rsid w:val="000B4642"/>
    <w:rsid w:val="000B46AC"/>
    <w:rsid w:val="000B46CF"/>
    <w:rsid w:val="000B46EA"/>
    <w:rsid w:val="000B4F36"/>
    <w:rsid w:val="000B53BD"/>
    <w:rsid w:val="000B5810"/>
    <w:rsid w:val="000B5D25"/>
    <w:rsid w:val="000B652D"/>
    <w:rsid w:val="000B7A04"/>
    <w:rsid w:val="000C01BA"/>
    <w:rsid w:val="000C18A7"/>
    <w:rsid w:val="000C191C"/>
    <w:rsid w:val="000C30F1"/>
    <w:rsid w:val="000C4AA9"/>
    <w:rsid w:val="000C5059"/>
    <w:rsid w:val="000D151D"/>
    <w:rsid w:val="000D1B51"/>
    <w:rsid w:val="000D25F9"/>
    <w:rsid w:val="000D2D00"/>
    <w:rsid w:val="000D3E6A"/>
    <w:rsid w:val="000D4068"/>
    <w:rsid w:val="000D4EC6"/>
    <w:rsid w:val="000D5105"/>
    <w:rsid w:val="000D51FD"/>
    <w:rsid w:val="000D5954"/>
    <w:rsid w:val="000D5F43"/>
    <w:rsid w:val="000D6C71"/>
    <w:rsid w:val="000D6D9E"/>
    <w:rsid w:val="000E106A"/>
    <w:rsid w:val="000E1EAD"/>
    <w:rsid w:val="000E223D"/>
    <w:rsid w:val="000E2576"/>
    <w:rsid w:val="000E2672"/>
    <w:rsid w:val="000E32A8"/>
    <w:rsid w:val="000E353D"/>
    <w:rsid w:val="000E3E0E"/>
    <w:rsid w:val="000E47CD"/>
    <w:rsid w:val="000E5B37"/>
    <w:rsid w:val="000E64F4"/>
    <w:rsid w:val="000E6A0C"/>
    <w:rsid w:val="000E6FE7"/>
    <w:rsid w:val="000F13C8"/>
    <w:rsid w:val="000F216A"/>
    <w:rsid w:val="000F22F2"/>
    <w:rsid w:val="000F23FD"/>
    <w:rsid w:val="000F25B0"/>
    <w:rsid w:val="000F3095"/>
    <w:rsid w:val="000F3283"/>
    <w:rsid w:val="000F347C"/>
    <w:rsid w:val="000F39E4"/>
    <w:rsid w:val="000F4004"/>
    <w:rsid w:val="000F40ED"/>
    <w:rsid w:val="000F43AD"/>
    <w:rsid w:val="000F5C39"/>
    <w:rsid w:val="000F5C83"/>
    <w:rsid w:val="000F6034"/>
    <w:rsid w:val="000F6E14"/>
    <w:rsid w:val="000F77F9"/>
    <w:rsid w:val="000F7DAE"/>
    <w:rsid w:val="00100519"/>
    <w:rsid w:val="00102408"/>
    <w:rsid w:val="00102828"/>
    <w:rsid w:val="001035CC"/>
    <w:rsid w:val="00104F67"/>
    <w:rsid w:val="00105207"/>
    <w:rsid w:val="0010577B"/>
    <w:rsid w:val="00105BED"/>
    <w:rsid w:val="0010649B"/>
    <w:rsid w:val="00106D8A"/>
    <w:rsid w:val="00107206"/>
    <w:rsid w:val="00107A7F"/>
    <w:rsid w:val="00110D96"/>
    <w:rsid w:val="00110F3C"/>
    <w:rsid w:val="00111F64"/>
    <w:rsid w:val="001121F9"/>
    <w:rsid w:val="00112282"/>
    <w:rsid w:val="00112D38"/>
    <w:rsid w:val="00112DDF"/>
    <w:rsid w:val="00114092"/>
    <w:rsid w:val="001144FF"/>
    <w:rsid w:val="00114CCB"/>
    <w:rsid w:val="00115579"/>
    <w:rsid w:val="00115FF1"/>
    <w:rsid w:val="00116D92"/>
    <w:rsid w:val="0011794D"/>
    <w:rsid w:val="00121796"/>
    <w:rsid w:val="0012200F"/>
    <w:rsid w:val="00122BDC"/>
    <w:rsid w:val="0012302F"/>
    <w:rsid w:val="00123378"/>
    <w:rsid w:val="0012374A"/>
    <w:rsid w:val="001239A7"/>
    <w:rsid w:val="00123CFC"/>
    <w:rsid w:val="001240DD"/>
    <w:rsid w:val="0012443F"/>
    <w:rsid w:val="00124E0A"/>
    <w:rsid w:val="00124E68"/>
    <w:rsid w:val="00124E72"/>
    <w:rsid w:val="0012501E"/>
    <w:rsid w:val="00126E14"/>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8A7"/>
    <w:rsid w:val="00143024"/>
    <w:rsid w:val="00143996"/>
    <w:rsid w:val="00143A99"/>
    <w:rsid w:val="00145020"/>
    <w:rsid w:val="00145573"/>
    <w:rsid w:val="00145B79"/>
    <w:rsid w:val="00146A15"/>
    <w:rsid w:val="001475AC"/>
    <w:rsid w:val="00147EED"/>
    <w:rsid w:val="00151228"/>
    <w:rsid w:val="0015142D"/>
    <w:rsid w:val="0015149B"/>
    <w:rsid w:val="001523D2"/>
    <w:rsid w:val="00152517"/>
    <w:rsid w:val="00152D44"/>
    <w:rsid w:val="001532B7"/>
    <w:rsid w:val="001532BB"/>
    <w:rsid w:val="00153AE3"/>
    <w:rsid w:val="00153E95"/>
    <w:rsid w:val="00154285"/>
    <w:rsid w:val="001546E4"/>
    <w:rsid w:val="001549AF"/>
    <w:rsid w:val="00154B61"/>
    <w:rsid w:val="00155155"/>
    <w:rsid w:val="0015580F"/>
    <w:rsid w:val="00155F3E"/>
    <w:rsid w:val="00156451"/>
    <w:rsid w:val="00156804"/>
    <w:rsid w:val="00157C35"/>
    <w:rsid w:val="00160E90"/>
    <w:rsid w:val="00160F50"/>
    <w:rsid w:val="001632EF"/>
    <w:rsid w:val="001646A0"/>
    <w:rsid w:val="00164F64"/>
    <w:rsid w:val="00166A7B"/>
    <w:rsid w:val="00170BCA"/>
    <w:rsid w:val="00172482"/>
    <w:rsid w:val="00173372"/>
    <w:rsid w:val="00173460"/>
    <w:rsid w:val="00174C34"/>
    <w:rsid w:val="0017518D"/>
    <w:rsid w:val="0017613E"/>
    <w:rsid w:val="00176D5A"/>
    <w:rsid w:val="00177681"/>
    <w:rsid w:val="00177B38"/>
    <w:rsid w:val="00180209"/>
    <w:rsid w:val="00180690"/>
    <w:rsid w:val="001813B4"/>
    <w:rsid w:val="00181646"/>
    <w:rsid w:val="001817AE"/>
    <w:rsid w:val="00181847"/>
    <w:rsid w:val="00182545"/>
    <w:rsid w:val="00182EDF"/>
    <w:rsid w:val="0018339C"/>
    <w:rsid w:val="00183694"/>
    <w:rsid w:val="00184791"/>
    <w:rsid w:val="00184811"/>
    <w:rsid w:val="00184EE0"/>
    <w:rsid w:val="0018652B"/>
    <w:rsid w:val="0018652E"/>
    <w:rsid w:val="0018654C"/>
    <w:rsid w:val="0018673E"/>
    <w:rsid w:val="00186BED"/>
    <w:rsid w:val="0019000D"/>
    <w:rsid w:val="00190D5C"/>
    <w:rsid w:val="0019208E"/>
    <w:rsid w:val="001929AB"/>
    <w:rsid w:val="00192F9F"/>
    <w:rsid w:val="00193095"/>
    <w:rsid w:val="001945D8"/>
    <w:rsid w:val="00194FC8"/>
    <w:rsid w:val="001959A6"/>
    <w:rsid w:val="00195E3D"/>
    <w:rsid w:val="00196E1F"/>
    <w:rsid w:val="001A0303"/>
    <w:rsid w:val="001A04B7"/>
    <w:rsid w:val="001A0A83"/>
    <w:rsid w:val="001A0E2F"/>
    <w:rsid w:val="001A11A2"/>
    <w:rsid w:val="001A11C5"/>
    <w:rsid w:val="001A4642"/>
    <w:rsid w:val="001A64F3"/>
    <w:rsid w:val="001A6C30"/>
    <w:rsid w:val="001A6CC9"/>
    <w:rsid w:val="001A6DE0"/>
    <w:rsid w:val="001A7828"/>
    <w:rsid w:val="001A7FCB"/>
    <w:rsid w:val="001B03A4"/>
    <w:rsid w:val="001B0D9E"/>
    <w:rsid w:val="001B2F10"/>
    <w:rsid w:val="001B3B8E"/>
    <w:rsid w:val="001B3C65"/>
    <w:rsid w:val="001B4318"/>
    <w:rsid w:val="001B560B"/>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D3A"/>
    <w:rsid w:val="001D2D8A"/>
    <w:rsid w:val="001D476E"/>
    <w:rsid w:val="001D4F6E"/>
    <w:rsid w:val="001D50AC"/>
    <w:rsid w:val="001D5AEB"/>
    <w:rsid w:val="001D7A9C"/>
    <w:rsid w:val="001E0AA4"/>
    <w:rsid w:val="001E0C9C"/>
    <w:rsid w:val="001E1182"/>
    <w:rsid w:val="001E11B3"/>
    <w:rsid w:val="001E20F2"/>
    <w:rsid w:val="001E462C"/>
    <w:rsid w:val="001E5E2F"/>
    <w:rsid w:val="001E5E93"/>
    <w:rsid w:val="001E607F"/>
    <w:rsid w:val="001E6314"/>
    <w:rsid w:val="001E635C"/>
    <w:rsid w:val="001E673A"/>
    <w:rsid w:val="001F10C3"/>
    <w:rsid w:val="001F1BCC"/>
    <w:rsid w:val="001F2635"/>
    <w:rsid w:val="001F33A2"/>
    <w:rsid w:val="001F4098"/>
    <w:rsid w:val="001F48F6"/>
    <w:rsid w:val="001F4C39"/>
    <w:rsid w:val="001F628F"/>
    <w:rsid w:val="001F78C1"/>
    <w:rsid w:val="002000A2"/>
    <w:rsid w:val="002002F1"/>
    <w:rsid w:val="00201EAD"/>
    <w:rsid w:val="0020202A"/>
    <w:rsid w:val="0020219B"/>
    <w:rsid w:val="00202EFC"/>
    <w:rsid w:val="002038F5"/>
    <w:rsid w:val="002041A9"/>
    <w:rsid w:val="0020457B"/>
    <w:rsid w:val="0020547F"/>
    <w:rsid w:val="002056A3"/>
    <w:rsid w:val="00206023"/>
    <w:rsid w:val="00206D64"/>
    <w:rsid w:val="00206DF8"/>
    <w:rsid w:val="00207956"/>
    <w:rsid w:val="00207D97"/>
    <w:rsid w:val="00210148"/>
    <w:rsid w:val="002101FF"/>
    <w:rsid w:val="00210F65"/>
    <w:rsid w:val="002112F4"/>
    <w:rsid w:val="002114C3"/>
    <w:rsid w:val="0021194D"/>
    <w:rsid w:val="0021380F"/>
    <w:rsid w:val="00214A6E"/>
    <w:rsid w:val="00214E2F"/>
    <w:rsid w:val="002157E9"/>
    <w:rsid w:val="0021646E"/>
    <w:rsid w:val="002168E1"/>
    <w:rsid w:val="00216C22"/>
    <w:rsid w:val="002170E6"/>
    <w:rsid w:val="00217892"/>
    <w:rsid w:val="00217E09"/>
    <w:rsid w:val="00217E5D"/>
    <w:rsid w:val="00220623"/>
    <w:rsid w:val="00220AA3"/>
    <w:rsid w:val="002218EB"/>
    <w:rsid w:val="00221F39"/>
    <w:rsid w:val="00222C0C"/>
    <w:rsid w:val="002258D1"/>
    <w:rsid w:val="0022799A"/>
    <w:rsid w:val="00227A48"/>
    <w:rsid w:val="0023025E"/>
    <w:rsid w:val="00231441"/>
    <w:rsid w:val="00231A96"/>
    <w:rsid w:val="00231E1E"/>
    <w:rsid w:val="002340B9"/>
    <w:rsid w:val="00234A35"/>
    <w:rsid w:val="002351B6"/>
    <w:rsid w:val="00237428"/>
    <w:rsid w:val="00237B45"/>
    <w:rsid w:val="00240574"/>
    <w:rsid w:val="00241391"/>
    <w:rsid w:val="00241474"/>
    <w:rsid w:val="002427AB"/>
    <w:rsid w:val="00242A75"/>
    <w:rsid w:val="00243709"/>
    <w:rsid w:val="002439E1"/>
    <w:rsid w:val="00243FEA"/>
    <w:rsid w:val="002448ED"/>
    <w:rsid w:val="0024504B"/>
    <w:rsid w:val="00245509"/>
    <w:rsid w:val="00247051"/>
    <w:rsid w:val="00247864"/>
    <w:rsid w:val="002506E4"/>
    <w:rsid w:val="00250912"/>
    <w:rsid w:val="00250D0C"/>
    <w:rsid w:val="00250D72"/>
    <w:rsid w:val="00252A34"/>
    <w:rsid w:val="00253DB4"/>
    <w:rsid w:val="00253DED"/>
    <w:rsid w:val="00254B5F"/>
    <w:rsid w:val="00254EC9"/>
    <w:rsid w:val="002551C4"/>
    <w:rsid w:val="002561F0"/>
    <w:rsid w:val="002562C4"/>
    <w:rsid w:val="002566F4"/>
    <w:rsid w:val="00256900"/>
    <w:rsid w:val="00256D40"/>
    <w:rsid w:val="00257C25"/>
    <w:rsid w:val="00262859"/>
    <w:rsid w:val="0026402D"/>
    <w:rsid w:val="002668B7"/>
    <w:rsid w:val="002702AE"/>
    <w:rsid w:val="002710E0"/>
    <w:rsid w:val="00271552"/>
    <w:rsid w:val="00271A36"/>
    <w:rsid w:val="00271B7F"/>
    <w:rsid w:val="0027218B"/>
    <w:rsid w:val="0027248F"/>
    <w:rsid w:val="002725D4"/>
    <w:rsid w:val="00272D78"/>
    <w:rsid w:val="00272EDE"/>
    <w:rsid w:val="002732E2"/>
    <w:rsid w:val="00273B26"/>
    <w:rsid w:val="00273EF6"/>
    <w:rsid w:val="002742E3"/>
    <w:rsid w:val="002746A9"/>
    <w:rsid w:val="002746EB"/>
    <w:rsid w:val="00274CEF"/>
    <w:rsid w:val="00276697"/>
    <w:rsid w:val="00277614"/>
    <w:rsid w:val="00280421"/>
    <w:rsid w:val="00280780"/>
    <w:rsid w:val="00280C75"/>
    <w:rsid w:val="00281DFC"/>
    <w:rsid w:val="0028208B"/>
    <w:rsid w:val="00284828"/>
    <w:rsid w:val="0028567D"/>
    <w:rsid w:val="002856EC"/>
    <w:rsid w:val="00285A94"/>
    <w:rsid w:val="0028705A"/>
    <w:rsid w:val="0028789C"/>
    <w:rsid w:val="002878F1"/>
    <w:rsid w:val="002907B0"/>
    <w:rsid w:val="00291A24"/>
    <w:rsid w:val="00291AB7"/>
    <w:rsid w:val="0029262E"/>
    <w:rsid w:val="002928B2"/>
    <w:rsid w:val="00292DCA"/>
    <w:rsid w:val="00293C6A"/>
    <w:rsid w:val="00294DDC"/>
    <w:rsid w:val="00295195"/>
    <w:rsid w:val="0029526D"/>
    <w:rsid w:val="00295449"/>
    <w:rsid w:val="002959C1"/>
    <w:rsid w:val="00296904"/>
    <w:rsid w:val="00296E04"/>
    <w:rsid w:val="002A0167"/>
    <w:rsid w:val="002A0455"/>
    <w:rsid w:val="002A0831"/>
    <w:rsid w:val="002A1A41"/>
    <w:rsid w:val="002A355F"/>
    <w:rsid w:val="002A38B3"/>
    <w:rsid w:val="002A3FCE"/>
    <w:rsid w:val="002A41A0"/>
    <w:rsid w:val="002A48BC"/>
    <w:rsid w:val="002A4B71"/>
    <w:rsid w:val="002A50FC"/>
    <w:rsid w:val="002A52F9"/>
    <w:rsid w:val="002A5610"/>
    <w:rsid w:val="002A5B98"/>
    <w:rsid w:val="002A67C9"/>
    <w:rsid w:val="002A70BE"/>
    <w:rsid w:val="002A71BB"/>
    <w:rsid w:val="002A7903"/>
    <w:rsid w:val="002A7B8E"/>
    <w:rsid w:val="002A7E0A"/>
    <w:rsid w:val="002B016A"/>
    <w:rsid w:val="002B058F"/>
    <w:rsid w:val="002B1C11"/>
    <w:rsid w:val="002B1C47"/>
    <w:rsid w:val="002B1ECF"/>
    <w:rsid w:val="002B2933"/>
    <w:rsid w:val="002B4812"/>
    <w:rsid w:val="002B5DAC"/>
    <w:rsid w:val="002B64C9"/>
    <w:rsid w:val="002B68FA"/>
    <w:rsid w:val="002B6EEA"/>
    <w:rsid w:val="002B6F88"/>
    <w:rsid w:val="002B79B8"/>
    <w:rsid w:val="002B7F7A"/>
    <w:rsid w:val="002C14DB"/>
    <w:rsid w:val="002C1740"/>
    <w:rsid w:val="002C3451"/>
    <w:rsid w:val="002C366C"/>
    <w:rsid w:val="002C375C"/>
    <w:rsid w:val="002C3A95"/>
    <w:rsid w:val="002C3EAC"/>
    <w:rsid w:val="002C433A"/>
    <w:rsid w:val="002C4C54"/>
    <w:rsid w:val="002C50D0"/>
    <w:rsid w:val="002C6703"/>
    <w:rsid w:val="002C6811"/>
    <w:rsid w:val="002C7ECB"/>
    <w:rsid w:val="002C7F0F"/>
    <w:rsid w:val="002D083F"/>
    <w:rsid w:val="002D2268"/>
    <w:rsid w:val="002D2818"/>
    <w:rsid w:val="002D4A1C"/>
    <w:rsid w:val="002D55B8"/>
    <w:rsid w:val="002D5A80"/>
    <w:rsid w:val="002D5FE4"/>
    <w:rsid w:val="002D6486"/>
    <w:rsid w:val="002D64D5"/>
    <w:rsid w:val="002D75B1"/>
    <w:rsid w:val="002D76C9"/>
    <w:rsid w:val="002E06EC"/>
    <w:rsid w:val="002E0860"/>
    <w:rsid w:val="002E09C8"/>
    <w:rsid w:val="002E0CB1"/>
    <w:rsid w:val="002E144E"/>
    <w:rsid w:val="002E1DF9"/>
    <w:rsid w:val="002E23A9"/>
    <w:rsid w:val="002E2868"/>
    <w:rsid w:val="002E2B95"/>
    <w:rsid w:val="002E2C9D"/>
    <w:rsid w:val="002E3889"/>
    <w:rsid w:val="002E4014"/>
    <w:rsid w:val="002E45B0"/>
    <w:rsid w:val="002E4DC8"/>
    <w:rsid w:val="002E4F6E"/>
    <w:rsid w:val="002E5677"/>
    <w:rsid w:val="002E615F"/>
    <w:rsid w:val="002E61A3"/>
    <w:rsid w:val="002E62FE"/>
    <w:rsid w:val="002E6853"/>
    <w:rsid w:val="002E6DE0"/>
    <w:rsid w:val="002E76F2"/>
    <w:rsid w:val="002F0087"/>
    <w:rsid w:val="002F06CB"/>
    <w:rsid w:val="002F074E"/>
    <w:rsid w:val="002F1284"/>
    <w:rsid w:val="002F143D"/>
    <w:rsid w:val="002F1CC1"/>
    <w:rsid w:val="002F339F"/>
    <w:rsid w:val="002F3457"/>
    <w:rsid w:val="002F3CB2"/>
    <w:rsid w:val="002F4FC7"/>
    <w:rsid w:val="002F6DDF"/>
    <w:rsid w:val="002F71F0"/>
    <w:rsid w:val="002F7BB7"/>
    <w:rsid w:val="002F7D35"/>
    <w:rsid w:val="002F7F2F"/>
    <w:rsid w:val="0030018B"/>
    <w:rsid w:val="003006F2"/>
    <w:rsid w:val="003014DB"/>
    <w:rsid w:val="00301EA8"/>
    <w:rsid w:val="0030210E"/>
    <w:rsid w:val="0030245D"/>
    <w:rsid w:val="003033BB"/>
    <w:rsid w:val="00303986"/>
    <w:rsid w:val="00304815"/>
    <w:rsid w:val="003051CB"/>
    <w:rsid w:val="003053DE"/>
    <w:rsid w:val="0030545A"/>
    <w:rsid w:val="0030587E"/>
    <w:rsid w:val="00307709"/>
    <w:rsid w:val="00307B3C"/>
    <w:rsid w:val="00307CAA"/>
    <w:rsid w:val="00310A51"/>
    <w:rsid w:val="00311C2C"/>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203AE"/>
    <w:rsid w:val="00321D9D"/>
    <w:rsid w:val="00322348"/>
    <w:rsid w:val="003225F8"/>
    <w:rsid w:val="00322EC6"/>
    <w:rsid w:val="00323632"/>
    <w:rsid w:val="0032366D"/>
    <w:rsid w:val="00323C80"/>
    <w:rsid w:val="00323F4A"/>
    <w:rsid w:val="003243D8"/>
    <w:rsid w:val="00324C88"/>
    <w:rsid w:val="00324E4C"/>
    <w:rsid w:val="00325E77"/>
    <w:rsid w:val="003260DF"/>
    <w:rsid w:val="00327B44"/>
    <w:rsid w:val="003310CC"/>
    <w:rsid w:val="003328AF"/>
    <w:rsid w:val="00333176"/>
    <w:rsid w:val="00333A7C"/>
    <w:rsid w:val="00333ED4"/>
    <w:rsid w:val="003340CA"/>
    <w:rsid w:val="00334E2D"/>
    <w:rsid w:val="00334E75"/>
    <w:rsid w:val="0033532F"/>
    <w:rsid w:val="00335E1A"/>
    <w:rsid w:val="00335F0E"/>
    <w:rsid w:val="00336A1C"/>
    <w:rsid w:val="00336D48"/>
    <w:rsid w:val="0033732E"/>
    <w:rsid w:val="00337D5D"/>
    <w:rsid w:val="00337FD0"/>
    <w:rsid w:val="0034000A"/>
    <w:rsid w:val="00340185"/>
    <w:rsid w:val="0034096C"/>
    <w:rsid w:val="00341DBC"/>
    <w:rsid w:val="00342A96"/>
    <w:rsid w:val="00342C06"/>
    <w:rsid w:val="00342C6D"/>
    <w:rsid w:val="0034368A"/>
    <w:rsid w:val="00343A4F"/>
    <w:rsid w:val="00343D3E"/>
    <w:rsid w:val="0034470D"/>
    <w:rsid w:val="00344D7E"/>
    <w:rsid w:val="00344F53"/>
    <w:rsid w:val="003457A4"/>
    <w:rsid w:val="00345D31"/>
    <w:rsid w:val="003461F9"/>
    <w:rsid w:val="00347B01"/>
    <w:rsid w:val="00350010"/>
    <w:rsid w:val="00350666"/>
    <w:rsid w:val="00350AE0"/>
    <w:rsid w:val="00350D18"/>
    <w:rsid w:val="0035148F"/>
    <w:rsid w:val="00352184"/>
    <w:rsid w:val="00352A0E"/>
    <w:rsid w:val="00352EEF"/>
    <w:rsid w:val="00352FC2"/>
    <w:rsid w:val="003535F8"/>
    <w:rsid w:val="00353B69"/>
    <w:rsid w:val="00354744"/>
    <w:rsid w:val="00354A65"/>
    <w:rsid w:val="00354D78"/>
    <w:rsid w:val="00355E21"/>
    <w:rsid w:val="00355FE5"/>
    <w:rsid w:val="00356FBC"/>
    <w:rsid w:val="00357CEA"/>
    <w:rsid w:val="00357E91"/>
    <w:rsid w:val="003602B7"/>
    <w:rsid w:val="003602F1"/>
    <w:rsid w:val="003606A1"/>
    <w:rsid w:val="00360BE0"/>
    <w:rsid w:val="00361B88"/>
    <w:rsid w:val="00362618"/>
    <w:rsid w:val="00363C01"/>
    <w:rsid w:val="00363D3E"/>
    <w:rsid w:val="00363E43"/>
    <w:rsid w:val="00365566"/>
    <w:rsid w:val="003665A4"/>
    <w:rsid w:val="00366DFE"/>
    <w:rsid w:val="00366E31"/>
    <w:rsid w:val="0036712A"/>
    <w:rsid w:val="00370CE1"/>
    <w:rsid w:val="003722E4"/>
    <w:rsid w:val="003726DF"/>
    <w:rsid w:val="0037286C"/>
    <w:rsid w:val="00372EB8"/>
    <w:rsid w:val="00372EE1"/>
    <w:rsid w:val="00373A37"/>
    <w:rsid w:val="00373BE9"/>
    <w:rsid w:val="00373FDF"/>
    <w:rsid w:val="00374DDC"/>
    <w:rsid w:val="00374FA6"/>
    <w:rsid w:val="00374FAA"/>
    <w:rsid w:val="003750A9"/>
    <w:rsid w:val="003761D3"/>
    <w:rsid w:val="00376750"/>
    <w:rsid w:val="00376DD6"/>
    <w:rsid w:val="00377BFA"/>
    <w:rsid w:val="00377DDF"/>
    <w:rsid w:val="00380A58"/>
    <w:rsid w:val="00380C08"/>
    <w:rsid w:val="0038166F"/>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718B"/>
    <w:rsid w:val="00387FC3"/>
    <w:rsid w:val="0039034F"/>
    <w:rsid w:val="003908B0"/>
    <w:rsid w:val="00390E03"/>
    <w:rsid w:val="00390F37"/>
    <w:rsid w:val="003912EF"/>
    <w:rsid w:val="003918D3"/>
    <w:rsid w:val="00392193"/>
    <w:rsid w:val="0039228A"/>
    <w:rsid w:val="00392711"/>
    <w:rsid w:val="003927A0"/>
    <w:rsid w:val="00392B8C"/>
    <w:rsid w:val="00393FEC"/>
    <w:rsid w:val="00395A83"/>
    <w:rsid w:val="00395D87"/>
    <w:rsid w:val="003A0208"/>
    <w:rsid w:val="003A1610"/>
    <w:rsid w:val="003A17EA"/>
    <w:rsid w:val="003A1ABA"/>
    <w:rsid w:val="003A1D1D"/>
    <w:rsid w:val="003A251C"/>
    <w:rsid w:val="003A3015"/>
    <w:rsid w:val="003A3583"/>
    <w:rsid w:val="003A39F1"/>
    <w:rsid w:val="003A4377"/>
    <w:rsid w:val="003A4568"/>
    <w:rsid w:val="003A4D98"/>
    <w:rsid w:val="003A4FC9"/>
    <w:rsid w:val="003A60A5"/>
    <w:rsid w:val="003A69F1"/>
    <w:rsid w:val="003A6C97"/>
    <w:rsid w:val="003A72B3"/>
    <w:rsid w:val="003A7FB4"/>
    <w:rsid w:val="003B07BE"/>
    <w:rsid w:val="003B2488"/>
    <w:rsid w:val="003B30E0"/>
    <w:rsid w:val="003B4034"/>
    <w:rsid w:val="003B56CC"/>
    <w:rsid w:val="003B5ACF"/>
    <w:rsid w:val="003B5CF5"/>
    <w:rsid w:val="003B5E47"/>
    <w:rsid w:val="003B6BEE"/>
    <w:rsid w:val="003B7045"/>
    <w:rsid w:val="003B7672"/>
    <w:rsid w:val="003B783E"/>
    <w:rsid w:val="003B7D21"/>
    <w:rsid w:val="003C1926"/>
    <w:rsid w:val="003C287F"/>
    <w:rsid w:val="003C4331"/>
    <w:rsid w:val="003C5374"/>
    <w:rsid w:val="003C678D"/>
    <w:rsid w:val="003C6815"/>
    <w:rsid w:val="003C6E8E"/>
    <w:rsid w:val="003C742D"/>
    <w:rsid w:val="003D004D"/>
    <w:rsid w:val="003D07B4"/>
    <w:rsid w:val="003D0922"/>
    <w:rsid w:val="003D0936"/>
    <w:rsid w:val="003D1EB1"/>
    <w:rsid w:val="003D1FA8"/>
    <w:rsid w:val="003D203A"/>
    <w:rsid w:val="003D3458"/>
    <w:rsid w:val="003D3749"/>
    <w:rsid w:val="003D3931"/>
    <w:rsid w:val="003D3EA0"/>
    <w:rsid w:val="003D4A06"/>
    <w:rsid w:val="003D5155"/>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3AA6"/>
    <w:rsid w:val="003E3E34"/>
    <w:rsid w:val="003E4A67"/>
    <w:rsid w:val="003E500C"/>
    <w:rsid w:val="003E74B1"/>
    <w:rsid w:val="003F031C"/>
    <w:rsid w:val="003F08F6"/>
    <w:rsid w:val="003F0A7E"/>
    <w:rsid w:val="003F25A9"/>
    <w:rsid w:val="003F305C"/>
    <w:rsid w:val="003F3995"/>
    <w:rsid w:val="003F59DD"/>
    <w:rsid w:val="003F6159"/>
    <w:rsid w:val="003F62D3"/>
    <w:rsid w:val="003F734F"/>
    <w:rsid w:val="003F7C53"/>
    <w:rsid w:val="003F7F76"/>
    <w:rsid w:val="0040024E"/>
    <w:rsid w:val="00400B78"/>
    <w:rsid w:val="00400E24"/>
    <w:rsid w:val="0040178A"/>
    <w:rsid w:val="00401C06"/>
    <w:rsid w:val="00401CDC"/>
    <w:rsid w:val="0040203F"/>
    <w:rsid w:val="00402FD6"/>
    <w:rsid w:val="00403461"/>
    <w:rsid w:val="00404E7F"/>
    <w:rsid w:val="004055AD"/>
    <w:rsid w:val="00405674"/>
    <w:rsid w:val="00405A85"/>
    <w:rsid w:val="00405F8D"/>
    <w:rsid w:val="00406DAD"/>
    <w:rsid w:val="00407B24"/>
    <w:rsid w:val="00407EF7"/>
    <w:rsid w:val="00410CB3"/>
    <w:rsid w:val="00411D3A"/>
    <w:rsid w:val="00412378"/>
    <w:rsid w:val="0041297C"/>
    <w:rsid w:val="00412AEF"/>
    <w:rsid w:val="00412D46"/>
    <w:rsid w:val="00413693"/>
    <w:rsid w:val="0041506B"/>
    <w:rsid w:val="00415934"/>
    <w:rsid w:val="00415C8F"/>
    <w:rsid w:val="004161EA"/>
    <w:rsid w:val="004164AC"/>
    <w:rsid w:val="004171B1"/>
    <w:rsid w:val="004174A4"/>
    <w:rsid w:val="00420047"/>
    <w:rsid w:val="004225BE"/>
    <w:rsid w:val="00422A14"/>
    <w:rsid w:val="004232D8"/>
    <w:rsid w:val="004245DD"/>
    <w:rsid w:val="00424AB3"/>
    <w:rsid w:val="0042514D"/>
    <w:rsid w:val="00426811"/>
    <w:rsid w:val="0043012E"/>
    <w:rsid w:val="00430C44"/>
    <w:rsid w:val="00431032"/>
    <w:rsid w:val="004315E5"/>
    <w:rsid w:val="00431F67"/>
    <w:rsid w:val="00431F9F"/>
    <w:rsid w:val="00432B9B"/>
    <w:rsid w:val="00432C0D"/>
    <w:rsid w:val="00433000"/>
    <w:rsid w:val="004338C4"/>
    <w:rsid w:val="00435BD5"/>
    <w:rsid w:val="00435D92"/>
    <w:rsid w:val="00436837"/>
    <w:rsid w:val="004377BA"/>
    <w:rsid w:val="00440430"/>
    <w:rsid w:val="0044160B"/>
    <w:rsid w:val="00441776"/>
    <w:rsid w:val="00442091"/>
    <w:rsid w:val="0044348D"/>
    <w:rsid w:val="0044395D"/>
    <w:rsid w:val="00443E15"/>
    <w:rsid w:val="00444990"/>
    <w:rsid w:val="004455B6"/>
    <w:rsid w:val="004455C8"/>
    <w:rsid w:val="004461CF"/>
    <w:rsid w:val="0044659A"/>
    <w:rsid w:val="00446D69"/>
    <w:rsid w:val="004501D8"/>
    <w:rsid w:val="00450526"/>
    <w:rsid w:val="00451DA7"/>
    <w:rsid w:val="00452433"/>
    <w:rsid w:val="004560A0"/>
    <w:rsid w:val="00456437"/>
    <w:rsid w:val="004565FA"/>
    <w:rsid w:val="0045679C"/>
    <w:rsid w:val="00456AA1"/>
    <w:rsid w:val="00456B75"/>
    <w:rsid w:val="00456FDA"/>
    <w:rsid w:val="00461905"/>
    <w:rsid w:val="00462304"/>
    <w:rsid w:val="00462311"/>
    <w:rsid w:val="004626A8"/>
    <w:rsid w:val="00463CD3"/>
    <w:rsid w:val="00463F6E"/>
    <w:rsid w:val="004645FA"/>
    <w:rsid w:val="0046463F"/>
    <w:rsid w:val="00464910"/>
    <w:rsid w:val="00466BB7"/>
    <w:rsid w:val="0047077B"/>
    <w:rsid w:val="004709B2"/>
    <w:rsid w:val="00470BE2"/>
    <w:rsid w:val="0047148D"/>
    <w:rsid w:val="00472630"/>
    <w:rsid w:val="00472780"/>
    <w:rsid w:val="00473857"/>
    <w:rsid w:val="00473DF9"/>
    <w:rsid w:val="00474155"/>
    <w:rsid w:val="00474E85"/>
    <w:rsid w:val="00474EA6"/>
    <w:rsid w:val="0047507D"/>
    <w:rsid w:val="00475107"/>
    <w:rsid w:val="00475645"/>
    <w:rsid w:val="00475994"/>
    <w:rsid w:val="00475E49"/>
    <w:rsid w:val="004763DA"/>
    <w:rsid w:val="00476734"/>
    <w:rsid w:val="00476CDA"/>
    <w:rsid w:val="004800B2"/>
    <w:rsid w:val="004813BE"/>
    <w:rsid w:val="0048337D"/>
    <w:rsid w:val="004845CC"/>
    <w:rsid w:val="00485214"/>
    <w:rsid w:val="00485452"/>
    <w:rsid w:val="00487615"/>
    <w:rsid w:val="004879FB"/>
    <w:rsid w:val="00487B08"/>
    <w:rsid w:val="00487DF1"/>
    <w:rsid w:val="00487EA4"/>
    <w:rsid w:val="004909E7"/>
    <w:rsid w:val="0049122F"/>
    <w:rsid w:val="004912D6"/>
    <w:rsid w:val="004919B7"/>
    <w:rsid w:val="00493001"/>
    <w:rsid w:val="004930E5"/>
    <w:rsid w:val="00493685"/>
    <w:rsid w:val="00493BA3"/>
    <w:rsid w:val="00494096"/>
    <w:rsid w:val="004953E0"/>
    <w:rsid w:val="00495B56"/>
    <w:rsid w:val="00495C6B"/>
    <w:rsid w:val="004962D3"/>
    <w:rsid w:val="004966B4"/>
    <w:rsid w:val="0049711A"/>
    <w:rsid w:val="00497632"/>
    <w:rsid w:val="004A089B"/>
    <w:rsid w:val="004A0F1B"/>
    <w:rsid w:val="004A0F43"/>
    <w:rsid w:val="004A2DF1"/>
    <w:rsid w:val="004A30A3"/>
    <w:rsid w:val="004A3202"/>
    <w:rsid w:val="004A4078"/>
    <w:rsid w:val="004A4882"/>
    <w:rsid w:val="004A59A7"/>
    <w:rsid w:val="004A624B"/>
    <w:rsid w:val="004A72AC"/>
    <w:rsid w:val="004A73A8"/>
    <w:rsid w:val="004A74D2"/>
    <w:rsid w:val="004B07AC"/>
    <w:rsid w:val="004B1E82"/>
    <w:rsid w:val="004B24A5"/>
    <w:rsid w:val="004B2AFF"/>
    <w:rsid w:val="004B300D"/>
    <w:rsid w:val="004B4628"/>
    <w:rsid w:val="004B49AE"/>
    <w:rsid w:val="004B50E4"/>
    <w:rsid w:val="004B5491"/>
    <w:rsid w:val="004B68CA"/>
    <w:rsid w:val="004B7E72"/>
    <w:rsid w:val="004C04DA"/>
    <w:rsid w:val="004C12AE"/>
    <w:rsid w:val="004C29F9"/>
    <w:rsid w:val="004C2EEC"/>
    <w:rsid w:val="004C321C"/>
    <w:rsid w:val="004C338D"/>
    <w:rsid w:val="004C4C20"/>
    <w:rsid w:val="004C51E7"/>
    <w:rsid w:val="004C5977"/>
    <w:rsid w:val="004C65CF"/>
    <w:rsid w:val="004C6BDB"/>
    <w:rsid w:val="004C7048"/>
    <w:rsid w:val="004D021A"/>
    <w:rsid w:val="004D1128"/>
    <w:rsid w:val="004D1155"/>
    <w:rsid w:val="004D15C4"/>
    <w:rsid w:val="004D1923"/>
    <w:rsid w:val="004D1F0C"/>
    <w:rsid w:val="004D317E"/>
    <w:rsid w:val="004D3EA0"/>
    <w:rsid w:val="004D4214"/>
    <w:rsid w:val="004D45ED"/>
    <w:rsid w:val="004D47C9"/>
    <w:rsid w:val="004D50D7"/>
    <w:rsid w:val="004D5451"/>
    <w:rsid w:val="004D5E34"/>
    <w:rsid w:val="004D6A4A"/>
    <w:rsid w:val="004D7385"/>
    <w:rsid w:val="004D7623"/>
    <w:rsid w:val="004D7CE3"/>
    <w:rsid w:val="004E0A17"/>
    <w:rsid w:val="004E1DFF"/>
    <w:rsid w:val="004E2586"/>
    <w:rsid w:val="004E2828"/>
    <w:rsid w:val="004E361A"/>
    <w:rsid w:val="004E36F1"/>
    <w:rsid w:val="004E48E0"/>
    <w:rsid w:val="004E4B10"/>
    <w:rsid w:val="004E5B94"/>
    <w:rsid w:val="004E647C"/>
    <w:rsid w:val="004E6A51"/>
    <w:rsid w:val="004E6AB0"/>
    <w:rsid w:val="004E7363"/>
    <w:rsid w:val="004E7A65"/>
    <w:rsid w:val="004F039B"/>
    <w:rsid w:val="004F0D68"/>
    <w:rsid w:val="004F10CB"/>
    <w:rsid w:val="004F26E3"/>
    <w:rsid w:val="004F3310"/>
    <w:rsid w:val="004F3D93"/>
    <w:rsid w:val="004F7124"/>
    <w:rsid w:val="004F7238"/>
    <w:rsid w:val="004F79BB"/>
    <w:rsid w:val="004F7B34"/>
    <w:rsid w:val="004F7CC5"/>
    <w:rsid w:val="00500100"/>
    <w:rsid w:val="00500315"/>
    <w:rsid w:val="005016BA"/>
    <w:rsid w:val="00501E30"/>
    <w:rsid w:val="00502674"/>
    <w:rsid w:val="00502CF7"/>
    <w:rsid w:val="00502F82"/>
    <w:rsid w:val="00504D46"/>
    <w:rsid w:val="00504EC8"/>
    <w:rsid w:val="0050524B"/>
    <w:rsid w:val="00505A4C"/>
    <w:rsid w:val="005060F4"/>
    <w:rsid w:val="0050625F"/>
    <w:rsid w:val="00506EC6"/>
    <w:rsid w:val="00507513"/>
    <w:rsid w:val="005078D4"/>
    <w:rsid w:val="00507F62"/>
    <w:rsid w:val="005106BB"/>
    <w:rsid w:val="00512408"/>
    <w:rsid w:val="00512E29"/>
    <w:rsid w:val="00514765"/>
    <w:rsid w:val="005150F0"/>
    <w:rsid w:val="00515E11"/>
    <w:rsid w:val="00515F51"/>
    <w:rsid w:val="00516C4B"/>
    <w:rsid w:val="005202DF"/>
    <w:rsid w:val="0052134B"/>
    <w:rsid w:val="00522091"/>
    <w:rsid w:val="00522DCF"/>
    <w:rsid w:val="00523100"/>
    <w:rsid w:val="0052352F"/>
    <w:rsid w:val="00523794"/>
    <w:rsid w:val="00524FAB"/>
    <w:rsid w:val="00525677"/>
    <w:rsid w:val="00525CBD"/>
    <w:rsid w:val="00525E2C"/>
    <w:rsid w:val="00526613"/>
    <w:rsid w:val="0053062A"/>
    <w:rsid w:val="00530CDE"/>
    <w:rsid w:val="005312F2"/>
    <w:rsid w:val="00531658"/>
    <w:rsid w:val="005318ED"/>
    <w:rsid w:val="00532911"/>
    <w:rsid w:val="00533D88"/>
    <w:rsid w:val="0053526B"/>
    <w:rsid w:val="00535898"/>
    <w:rsid w:val="005363AD"/>
    <w:rsid w:val="00536401"/>
    <w:rsid w:val="00536DFD"/>
    <w:rsid w:val="00536FE3"/>
    <w:rsid w:val="005370D0"/>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54B"/>
    <w:rsid w:val="005475E3"/>
    <w:rsid w:val="005479B7"/>
    <w:rsid w:val="00547F30"/>
    <w:rsid w:val="00550ED3"/>
    <w:rsid w:val="005514E2"/>
    <w:rsid w:val="0055177F"/>
    <w:rsid w:val="00553673"/>
    <w:rsid w:val="005554BC"/>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8AB"/>
    <w:rsid w:val="00564B24"/>
    <w:rsid w:val="00564F21"/>
    <w:rsid w:val="00565491"/>
    <w:rsid w:val="005661B9"/>
    <w:rsid w:val="00566239"/>
    <w:rsid w:val="00566F61"/>
    <w:rsid w:val="005674D8"/>
    <w:rsid w:val="00570149"/>
    <w:rsid w:val="005701CA"/>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797B"/>
    <w:rsid w:val="00590CF3"/>
    <w:rsid w:val="00590D4B"/>
    <w:rsid w:val="00591300"/>
    <w:rsid w:val="0059155B"/>
    <w:rsid w:val="005939A3"/>
    <w:rsid w:val="005945A4"/>
    <w:rsid w:val="005954FA"/>
    <w:rsid w:val="0059556E"/>
    <w:rsid w:val="0059575D"/>
    <w:rsid w:val="005962F2"/>
    <w:rsid w:val="00597C08"/>
    <w:rsid w:val="00597C71"/>
    <w:rsid w:val="005A0159"/>
    <w:rsid w:val="005A0470"/>
    <w:rsid w:val="005A0F30"/>
    <w:rsid w:val="005A13C3"/>
    <w:rsid w:val="005A156C"/>
    <w:rsid w:val="005A2C79"/>
    <w:rsid w:val="005A2C95"/>
    <w:rsid w:val="005A34FE"/>
    <w:rsid w:val="005A4489"/>
    <w:rsid w:val="005A4824"/>
    <w:rsid w:val="005A4A67"/>
    <w:rsid w:val="005A7600"/>
    <w:rsid w:val="005A7990"/>
    <w:rsid w:val="005A7BB3"/>
    <w:rsid w:val="005A7D7B"/>
    <w:rsid w:val="005A7F25"/>
    <w:rsid w:val="005B0016"/>
    <w:rsid w:val="005B0023"/>
    <w:rsid w:val="005B083D"/>
    <w:rsid w:val="005B0897"/>
    <w:rsid w:val="005B0C61"/>
    <w:rsid w:val="005B0CCD"/>
    <w:rsid w:val="005B1077"/>
    <w:rsid w:val="005B265A"/>
    <w:rsid w:val="005B27DE"/>
    <w:rsid w:val="005B2A79"/>
    <w:rsid w:val="005B35BE"/>
    <w:rsid w:val="005B36F9"/>
    <w:rsid w:val="005B4B5E"/>
    <w:rsid w:val="005B78EE"/>
    <w:rsid w:val="005B7955"/>
    <w:rsid w:val="005B7968"/>
    <w:rsid w:val="005C038E"/>
    <w:rsid w:val="005C0C70"/>
    <w:rsid w:val="005C0D72"/>
    <w:rsid w:val="005C1E2A"/>
    <w:rsid w:val="005C2139"/>
    <w:rsid w:val="005C2456"/>
    <w:rsid w:val="005C2AF9"/>
    <w:rsid w:val="005C2EA8"/>
    <w:rsid w:val="005C4B4F"/>
    <w:rsid w:val="005C5B1A"/>
    <w:rsid w:val="005C5DB7"/>
    <w:rsid w:val="005C616B"/>
    <w:rsid w:val="005C63EC"/>
    <w:rsid w:val="005C687D"/>
    <w:rsid w:val="005C6D2D"/>
    <w:rsid w:val="005C6E03"/>
    <w:rsid w:val="005D0FBC"/>
    <w:rsid w:val="005D1042"/>
    <w:rsid w:val="005D1171"/>
    <w:rsid w:val="005D1252"/>
    <w:rsid w:val="005D1811"/>
    <w:rsid w:val="005D200F"/>
    <w:rsid w:val="005D268B"/>
    <w:rsid w:val="005D42A4"/>
    <w:rsid w:val="005D46D5"/>
    <w:rsid w:val="005D5FAF"/>
    <w:rsid w:val="005D61A6"/>
    <w:rsid w:val="005D6594"/>
    <w:rsid w:val="005D676C"/>
    <w:rsid w:val="005D7C9B"/>
    <w:rsid w:val="005E1FF9"/>
    <w:rsid w:val="005E2651"/>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618"/>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7268"/>
    <w:rsid w:val="006007A0"/>
    <w:rsid w:val="00600E31"/>
    <w:rsid w:val="00602665"/>
    <w:rsid w:val="006049AB"/>
    <w:rsid w:val="00604C63"/>
    <w:rsid w:val="006051D9"/>
    <w:rsid w:val="0060527B"/>
    <w:rsid w:val="00605E1F"/>
    <w:rsid w:val="00605FEF"/>
    <w:rsid w:val="00606A0F"/>
    <w:rsid w:val="00606B4E"/>
    <w:rsid w:val="00607983"/>
    <w:rsid w:val="00610396"/>
    <w:rsid w:val="00610611"/>
    <w:rsid w:val="00610D2B"/>
    <w:rsid w:val="00610F9E"/>
    <w:rsid w:val="0061285E"/>
    <w:rsid w:val="00612A1C"/>
    <w:rsid w:val="006136F4"/>
    <w:rsid w:val="00613F1C"/>
    <w:rsid w:val="00614061"/>
    <w:rsid w:val="00614ACF"/>
    <w:rsid w:val="00614D30"/>
    <w:rsid w:val="00614DD3"/>
    <w:rsid w:val="00615291"/>
    <w:rsid w:val="006158C1"/>
    <w:rsid w:val="00616000"/>
    <w:rsid w:val="006160CF"/>
    <w:rsid w:val="006163CD"/>
    <w:rsid w:val="00616B11"/>
    <w:rsid w:val="00617FA8"/>
    <w:rsid w:val="00621D97"/>
    <w:rsid w:val="00621F81"/>
    <w:rsid w:val="00623045"/>
    <w:rsid w:val="00623633"/>
    <w:rsid w:val="00624558"/>
    <w:rsid w:val="00624F7E"/>
    <w:rsid w:val="006262A8"/>
    <w:rsid w:val="006270DE"/>
    <w:rsid w:val="006279FF"/>
    <w:rsid w:val="00627BC7"/>
    <w:rsid w:val="006300F5"/>
    <w:rsid w:val="00631456"/>
    <w:rsid w:val="00632D40"/>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C5D"/>
    <w:rsid w:val="00644C9C"/>
    <w:rsid w:val="00645C6F"/>
    <w:rsid w:val="0064782E"/>
    <w:rsid w:val="00650096"/>
    <w:rsid w:val="0065066B"/>
    <w:rsid w:val="0065093A"/>
    <w:rsid w:val="00650D31"/>
    <w:rsid w:val="0065133F"/>
    <w:rsid w:val="00651716"/>
    <w:rsid w:val="00651FAB"/>
    <w:rsid w:val="00652EF5"/>
    <w:rsid w:val="006540C9"/>
    <w:rsid w:val="00654894"/>
    <w:rsid w:val="006549C2"/>
    <w:rsid w:val="00654E32"/>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CEF"/>
    <w:rsid w:val="00663000"/>
    <w:rsid w:val="00663DA7"/>
    <w:rsid w:val="00663E31"/>
    <w:rsid w:val="00663E94"/>
    <w:rsid w:val="006641CC"/>
    <w:rsid w:val="006645E3"/>
    <w:rsid w:val="00665A6A"/>
    <w:rsid w:val="00665D70"/>
    <w:rsid w:val="00667610"/>
    <w:rsid w:val="00667A94"/>
    <w:rsid w:val="00670617"/>
    <w:rsid w:val="00670B76"/>
    <w:rsid w:val="00671BBC"/>
    <w:rsid w:val="00671EB0"/>
    <w:rsid w:val="00672082"/>
    <w:rsid w:val="006732C7"/>
    <w:rsid w:val="00673CD5"/>
    <w:rsid w:val="006751FC"/>
    <w:rsid w:val="00675895"/>
    <w:rsid w:val="0067601C"/>
    <w:rsid w:val="006761D8"/>
    <w:rsid w:val="006764DC"/>
    <w:rsid w:val="00676584"/>
    <w:rsid w:val="00676C3A"/>
    <w:rsid w:val="006776ED"/>
    <w:rsid w:val="00677A1C"/>
    <w:rsid w:val="00677D20"/>
    <w:rsid w:val="0068006E"/>
    <w:rsid w:val="00680C7E"/>
    <w:rsid w:val="006826E6"/>
    <w:rsid w:val="00682A19"/>
    <w:rsid w:val="00682F41"/>
    <w:rsid w:val="006830C1"/>
    <w:rsid w:val="006835E8"/>
    <w:rsid w:val="00684056"/>
    <w:rsid w:val="006843F9"/>
    <w:rsid w:val="00684BD3"/>
    <w:rsid w:val="006862B8"/>
    <w:rsid w:val="00687E40"/>
    <w:rsid w:val="00690B0F"/>
    <w:rsid w:val="00692297"/>
    <w:rsid w:val="0069247E"/>
    <w:rsid w:val="00693982"/>
    <w:rsid w:val="00694303"/>
    <w:rsid w:val="006943B3"/>
    <w:rsid w:val="006948D6"/>
    <w:rsid w:val="00694A02"/>
    <w:rsid w:val="00695418"/>
    <w:rsid w:val="00696EE6"/>
    <w:rsid w:val="00697172"/>
    <w:rsid w:val="006A0378"/>
    <w:rsid w:val="006A0EB6"/>
    <w:rsid w:val="006A0F7A"/>
    <w:rsid w:val="006A20A0"/>
    <w:rsid w:val="006A33DE"/>
    <w:rsid w:val="006A4417"/>
    <w:rsid w:val="006A514E"/>
    <w:rsid w:val="006A5EC2"/>
    <w:rsid w:val="006A5FAF"/>
    <w:rsid w:val="006A7394"/>
    <w:rsid w:val="006A7A64"/>
    <w:rsid w:val="006A7FDE"/>
    <w:rsid w:val="006B02CB"/>
    <w:rsid w:val="006B068D"/>
    <w:rsid w:val="006B0F62"/>
    <w:rsid w:val="006B0FC0"/>
    <w:rsid w:val="006B14BB"/>
    <w:rsid w:val="006B2E67"/>
    <w:rsid w:val="006B32D3"/>
    <w:rsid w:val="006B3AAB"/>
    <w:rsid w:val="006B3B25"/>
    <w:rsid w:val="006B477C"/>
    <w:rsid w:val="006B5074"/>
    <w:rsid w:val="006B5D28"/>
    <w:rsid w:val="006B5E6B"/>
    <w:rsid w:val="006B68D9"/>
    <w:rsid w:val="006B6E59"/>
    <w:rsid w:val="006B7697"/>
    <w:rsid w:val="006B7994"/>
    <w:rsid w:val="006C04F6"/>
    <w:rsid w:val="006C051A"/>
    <w:rsid w:val="006C06C8"/>
    <w:rsid w:val="006C1381"/>
    <w:rsid w:val="006C152C"/>
    <w:rsid w:val="006C1F2D"/>
    <w:rsid w:val="006C321C"/>
    <w:rsid w:val="006C47C3"/>
    <w:rsid w:val="006C49A3"/>
    <w:rsid w:val="006C4E80"/>
    <w:rsid w:val="006C5444"/>
    <w:rsid w:val="006C654A"/>
    <w:rsid w:val="006C675A"/>
    <w:rsid w:val="006D0E13"/>
    <w:rsid w:val="006D0FCB"/>
    <w:rsid w:val="006D27BA"/>
    <w:rsid w:val="006D3806"/>
    <w:rsid w:val="006D3E3C"/>
    <w:rsid w:val="006D435A"/>
    <w:rsid w:val="006D4C22"/>
    <w:rsid w:val="006D5781"/>
    <w:rsid w:val="006D62C4"/>
    <w:rsid w:val="006D704D"/>
    <w:rsid w:val="006D7263"/>
    <w:rsid w:val="006D72D6"/>
    <w:rsid w:val="006D72E7"/>
    <w:rsid w:val="006E0CD7"/>
    <w:rsid w:val="006E1597"/>
    <w:rsid w:val="006E3510"/>
    <w:rsid w:val="006E3C57"/>
    <w:rsid w:val="006E4678"/>
    <w:rsid w:val="006E55B8"/>
    <w:rsid w:val="006E5922"/>
    <w:rsid w:val="006E657D"/>
    <w:rsid w:val="006E6CBC"/>
    <w:rsid w:val="006E6F98"/>
    <w:rsid w:val="006E7F30"/>
    <w:rsid w:val="006F0A2E"/>
    <w:rsid w:val="006F1011"/>
    <w:rsid w:val="006F10E4"/>
    <w:rsid w:val="006F3F8F"/>
    <w:rsid w:val="006F40A1"/>
    <w:rsid w:val="006F4D51"/>
    <w:rsid w:val="006F50AF"/>
    <w:rsid w:val="006F5CB8"/>
    <w:rsid w:val="006F5FBB"/>
    <w:rsid w:val="006F6416"/>
    <w:rsid w:val="006F6553"/>
    <w:rsid w:val="006F6C3C"/>
    <w:rsid w:val="006F7E03"/>
    <w:rsid w:val="007001E9"/>
    <w:rsid w:val="00700273"/>
    <w:rsid w:val="00700B5E"/>
    <w:rsid w:val="007014FF"/>
    <w:rsid w:val="00701D00"/>
    <w:rsid w:val="00704FB2"/>
    <w:rsid w:val="00705989"/>
    <w:rsid w:val="00706DB4"/>
    <w:rsid w:val="00710AE8"/>
    <w:rsid w:val="00710D28"/>
    <w:rsid w:val="0071123F"/>
    <w:rsid w:val="00712F80"/>
    <w:rsid w:val="00713635"/>
    <w:rsid w:val="00713B6C"/>
    <w:rsid w:val="00713DB7"/>
    <w:rsid w:val="00715AE9"/>
    <w:rsid w:val="00716890"/>
    <w:rsid w:val="00716B63"/>
    <w:rsid w:val="00717369"/>
    <w:rsid w:val="00720775"/>
    <w:rsid w:val="00721BD9"/>
    <w:rsid w:val="007229F6"/>
    <w:rsid w:val="0072389C"/>
    <w:rsid w:val="007238E9"/>
    <w:rsid w:val="00723C8F"/>
    <w:rsid w:val="0072427F"/>
    <w:rsid w:val="00724AC7"/>
    <w:rsid w:val="00726128"/>
    <w:rsid w:val="0072622F"/>
    <w:rsid w:val="00726486"/>
    <w:rsid w:val="0072652F"/>
    <w:rsid w:val="00726896"/>
    <w:rsid w:val="00726B0D"/>
    <w:rsid w:val="0072756C"/>
    <w:rsid w:val="00730458"/>
    <w:rsid w:val="00730E37"/>
    <w:rsid w:val="007310D9"/>
    <w:rsid w:val="00732359"/>
    <w:rsid w:val="007343C9"/>
    <w:rsid w:val="00734659"/>
    <w:rsid w:val="00734718"/>
    <w:rsid w:val="00734C32"/>
    <w:rsid w:val="00735E4E"/>
    <w:rsid w:val="00735F36"/>
    <w:rsid w:val="0073766E"/>
    <w:rsid w:val="00740B17"/>
    <w:rsid w:val="007418D6"/>
    <w:rsid w:val="007433D6"/>
    <w:rsid w:val="00743653"/>
    <w:rsid w:val="00743BE2"/>
    <w:rsid w:val="007459F9"/>
    <w:rsid w:val="0074780B"/>
    <w:rsid w:val="00747D9E"/>
    <w:rsid w:val="00751457"/>
    <w:rsid w:val="00751493"/>
    <w:rsid w:val="007516F5"/>
    <w:rsid w:val="00752E32"/>
    <w:rsid w:val="0075347F"/>
    <w:rsid w:val="00753619"/>
    <w:rsid w:val="007548A1"/>
    <w:rsid w:val="00754CD2"/>
    <w:rsid w:val="00755BCF"/>
    <w:rsid w:val="00755D57"/>
    <w:rsid w:val="00757425"/>
    <w:rsid w:val="00757E44"/>
    <w:rsid w:val="007601EB"/>
    <w:rsid w:val="0076085E"/>
    <w:rsid w:val="00760ACC"/>
    <w:rsid w:val="007614E1"/>
    <w:rsid w:val="00761E50"/>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1EC4"/>
    <w:rsid w:val="00774037"/>
    <w:rsid w:val="0077410B"/>
    <w:rsid w:val="00774395"/>
    <w:rsid w:val="00774CD6"/>
    <w:rsid w:val="007752B8"/>
    <w:rsid w:val="00776085"/>
    <w:rsid w:val="007767A0"/>
    <w:rsid w:val="00776907"/>
    <w:rsid w:val="00776A94"/>
    <w:rsid w:val="00776DD1"/>
    <w:rsid w:val="00777758"/>
    <w:rsid w:val="00780182"/>
    <w:rsid w:val="0078035D"/>
    <w:rsid w:val="0078141F"/>
    <w:rsid w:val="007816C1"/>
    <w:rsid w:val="0078278F"/>
    <w:rsid w:val="00782DBD"/>
    <w:rsid w:val="00783320"/>
    <w:rsid w:val="00783AAD"/>
    <w:rsid w:val="007840AF"/>
    <w:rsid w:val="00784BFD"/>
    <w:rsid w:val="0078503E"/>
    <w:rsid w:val="00785C21"/>
    <w:rsid w:val="00785D45"/>
    <w:rsid w:val="00787791"/>
    <w:rsid w:val="0078795A"/>
    <w:rsid w:val="00787CDB"/>
    <w:rsid w:val="00790323"/>
    <w:rsid w:val="007903BD"/>
    <w:rsid w:val="00791328"/>
    <w:rsid w:val="00791C3F"/>
    <w:rsid w:val="00792E3A"/>
    <w:rsid w:val="007930BF"/>
    <w:rsid w:val="0079413F"/>
    <w:rsid w:val="00794527"/>
    <w:rsid w:val="0079473A"/>
    <w:rsid w:val="007947C9"/>
    <w:rsid w:val="00796767"/>
    <w:rsid w:val="00796C3A"/>
    <w:rsid w:val="00797824"/>
    <w:rsid w:val="007A068D"/>
    <w:rsid w:val="007A0FCA"/>
    <w:rsid w:val="007A17B1"/>
    <w:rsid w:val="007A17E7"/>
    <w:rsid w:val="007A236F"/>
    <w:rsid w:val="007A2802"/>
    <w:rsid w:val="007A2C24"/>
    <w:rsid w:val="007A2E8C"/>
    <w:rsid w:val="007A4E67"/>
    <w:rsid w:val="007A688C"/>
    <w:rsid w:val="007A70A3"/>
    <w:rsid w:val="007A70D6"/>
    <w:rsid w:val="007A7764"/>
    <w:rsid w:val="007B0E47"/>
    <w:rsid w:val="007B1608"/>
    <w:rsid w:val="007B1A17"/>
    <w:rsid w:val="007B31DC"/>
    <w:rsid w:val="007B4671"/>
    <w:rsid w:val="007B53A6"/>
    <w:rsid w:val="007B5D3A"/>
    <w:rsid w:val="007B73AB"/>
    <w:rsid w:val="007B7735"/>
    <w:rsid w:val="007B7E52"/>
    <w:rsid w:val="007C013D"/>
    <w:rsid w:val="007C1E41"/>
    <w:rsid w:val="007C227F"/>
    <w:rsid w:val="007C2B54"/>
    <w:rsid w:val="007C3292"/>
    <w:rsid w:val="007C3939"/>
    <w:rsid w:val="007C40E7"/>
    <w:rsid w:val="007C4BF3"/>
    <w:rsid w:val="007C7179"/>
    <w:rsid w:val="007C763E"/>
    <w:rsid w:val="007D05A6"/>
    <w:rsid w:val="007D26E0"/>
    <w:rsid w:val="007D3019"/>
    <w:rsid w:val="007D36B5"/>
    <w:rsid w:val="007D3FC8"/>
    <w:rsid w:val="007D47D4"/>
    <w:rsid w:val="007D4BEE"/>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A9E"/>
    <w:rsid w:val="007E2E74"/>
    <w:rsid w:val="007E35AA"/>
    <w:rsid w:val="007E3E5E"/>
    <w:rsid w:val="007E462F"/>
    <w:rsid w:val="007E6191"/>
    <w:rsid w:val="007E6C94"/>
    <w:rsid w:val="007E7C1F"/>
    <w:rsid w:val="007F0C5D"/>
    <w:rsid w:val="007F1DC9"/>
    <w:rsid w:val="007F2C37"/>
    <w:rsid w:val="007F465A"/>
    <w:rsid w:val="007F5FF4"/>
    <w:rsid w:val="007F69AB"/>
    <w:rsid w:val="007F718C"/>
    <w:rsid w:val="008002EB"/>
    <w:rsid w:val="00800C09"/>
    <w:rsid w:val="008015E0"/>
    <w:rsid w:val="00801C97"/>
    <w:rsid w:val="0080206D"/>
    <w:rsid w:val="00802408"/>
    <w:rsid w:val="00802E6D"/>
    <w:rsid w:val="008039B6"/>
    <w:rsid w:val="00803E83"/>
    <w:rsid w:val="00804090"/>
    <w:rsid w:val="00804AD4"/>
    <w:rsid w:val="00804E73"/>
    <w:rsid w:val="00804F1A"/>
    <w:rsid w:val="0080577D"/>
    <w:rsid w:val="008060D0"/>
    <w:rsid w:val="00806705"/>
    <w:rsid w:val="00807310"/>
    <w:rsid w:val="00812E1E"/>
    <w:rsid w:val="008138FB"/>
    <w:rsid w:val="0081408A"/>
    <w:rsid w:val="00814444"/>
    <w:rsid w:val="00816448"/>
    <w:rsid w:val="00816AE5"/>
    <w:rsid w:val="00817D79"/>
    <w:rsid w:val="0082015A"/>
    <w:rsid w:val="00820AC6"/>
    <w:rsid w:val="00820DA5"/>
    <w:rsid w:val="00822C19"/>
    <w:rsid w:val="008237D0"/>
    <w:rsid w:val="00823BFA"/>
    <w:rsid w:val="0082414B"/>
    <w:rsid w:val="0082421B"/>
    <w:rsid w:val="0082610F"/>
    <w:rsid w:val="00826115"/>
    <w:rsid w:val="00826397"/>
    <w:rsid w:val="00826B47"/>
    <w:rsid w:val="00827665"/>
    <w:rsid w:val="00827B67"/>
    <w:rsid w:val="00827E0C"/>
    <w:rsid w:val="00830B1D"/>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39D9"/>
    <w:rsid w:val="008442E0"/>
    <w:rsid w:val="008447D0"/>
    <w:rsid w:val="008448ED"/>
    <w:rsid w:val="00846CAB"/>
    <w:rsid w:val="008512D7"/>
    <w:rsid w:val="0085167E"/>
    <w:rsid w:val="00851D57"/>
    <w:rsid w:val="00851ECA"/>
    <w:rsid w:val="008521D3"/>
    <w:rsid w:val="00852838"/>
    <w:rsid w:val="00854332"/>
    <w:rsid w:val="008543F0"/>
    <w:rsid w:val="0085469A"/>
    <w:rsid w:val="00854B67"/>
    <w:rsid w:val="00854C1E"/>
    <w:rsid w:val="0085515E"/>
    <w:rsid w:val="008554FE"/>
    <w:rsid w:val="008556A5"/>
    <w:rsid w:val="00855769"/>
    <w:rsid w:val="00856CB3"/>
    <w:rsid w:val="00856FFD"/>
    <w:rsid w:val="00857929"/>
    <w:rsid w:val="00860EE1"/>
    <w:rsid w:val="00861FA6"/>
    <w:rsid w:val="0086312B"/>
    <w:rsid w:val="008641E7"/>
    <w:rsid w:val="008647FC"/>
    <w:rsid w:val="00864990"/>
    <w:rsid w:val="0086569E"/>
    <w:rsid w:val="00865999"/>
    <w:rsid w:val="00867A79"/>
    <w:rsid w:val="00870E6F"/>
    <w:rsid w:val="00870EBF"/>
    <w:rsid w:val="00871AD5"/>
    <w:rsid w:val="00871D62"/>
    <w:rsid w:val="008729E4"/>
    <w:rsid w:val="0087300A"/>
    <w:rsid w:val="00873ACC"/>
    <w:rsid w:val="008748FB"/>
    <w:rsid w:val="00874B3A"/>
    <w:rsid w:val="00874CBE"/>
    <w:rsid w:val="00875484"/>
    <w:rsid w:val="0087578E"/>
    <w:rsid w:val="00876737"/>
    <w:rsid w:val="008768C2"/>
    <w:rsid w:val="00880B5A"/>
    <w:rsid w:val="00880F91"/>
    <w:rsid w:val="0088174B"/>
    <w:rsid w:val="00881DA2"/>
    <w:rsid w:val="008832D9"/>
    <w:rsid w:val="00884A2C"/>
    <w:rsid w:val="008852F2"/>
    <w:rsid w:val="00885523"/>
    <w:rsid w:val="00885968"/>
    <w:rsid w:val="0088597B"/>
    <w:rsid w:val="00886533"/>
    <w:rsid w:val="00886848"/>
    <w:rsid w:val="008879CF"/>
    <w:rsid w:val="00891335"/>
    <w:rsid w:val="00891F39"/>
    <w:rsid w:val="00893211"/>
    <w:rsid w:val="0089372D"/>
    <w:rsid w:val="008938A6"/>
    <w:rsid w:val="00894965"/>
    <w:rsid w:val="008954E4"/>
    <w:rsid w:val="00895A11"/>
    <w:rsid w:val="0089635F"/>
    <w:rsid w:val="00896C55"/>
    <w:rsid w:val="00896C61"/>
    <w:rsid w:val="00897764"/>
    <w:rsid w:val="00897A87"/>
    <w:rsid w:val="008A02EE"/>
    <w:rsid w:val="008A0801"/>
    <w:rsid w:val="008A1544"/>
    <w:rsid w:val="008A2BCC"/>
    <w:rsid w:val="008A3D8D"/>
    <w:rsid w:val="008A3DDC"/>
    <w:rsid w:val="008A55D2"/>
    <w:rsid w:val="008B0AAD"/>
    <w:rsid w:val="008B1648"/>
    <w:rsid w:val="008B1B3B"/>
    <w:rsid w:val="008B2C45"/>
    <w:rsid w:val="008B48DB"/>
    <w:rsid w:val="008B496B"/>
    <w:rsid w:val="008B508B"/>
    <w:rsid w:val="008B5B27"/>
    <w:rsid w:val="008B6125"/>
    <w:rsid w:val="008B74DD"/>
    <w:rsid w:val="008B77C5"/>
    <w:rsid w:val="008B7869"/>
    <w:rsid w:val="008C0079"/>
    <w:rsid w:val="008C0A51"/>
    <w:rsid w:val="008C0C3D"/>
    <w:rsid w:val="008C2218"/>
    <w:rsid w:val="008C295E"/>
    <w:rsid w:val="008C36A3"/>
    <w:rsid w:val="008C37E4"/>
    <w:rsid w:val="008C45F5"/>
    <w:rsid w:val="008C499F"/>
    <w:rsid w:val="008C4BDF"/>
    <w:rsid w:val="008C515C"/>
    <w:rsid w:val="008C58B9"/>
    <w:rsid w:val="008C5B6B"/>
    <w:rsid w:val="008C60A2"/>
    <w:rsid w:val="008C6B6B"/>
    <w:rsid w:val="008C7415"/>
    <w:rsid w:val="008C7439"/>
    <w:rsid w:val="008C79E5"/>
    <w:rsid w:val="008C7C52"/>
    <w:rsid w:val="008D0D0D"/>
    <w:rsid w:val="008D0E3A"/>
    <w:rsid w:val="008D16D0"/>
    <w:rsid w:val="008D2188"/>
    <w:rsid w:val="008D2304"/>
    <w:rsid w:val="008D2482"/>
    <w:rsid w:val="008D2D43"/>
    <w:rsid w:val="008D2FBB"/>
    <w:rsid w:val="008D32D3"/>
    <w:rsid w:val="008D3349"/>
    <w:rsid w:val="008D345A"/>
    <w:rsid w:val="008D36E8"/>
    <w:rsid w:val="008D3E7E"/>
    <w:rsid w:val="008D4388"/>
    <w:rsid w:val="008D45E9"/>
    <w:rsid w:val="008D4EBE"/>
    <w:rsid w:val="008D5D65"/>
    <w:rsid w:val="008D61CE"/>
    <w:rsid w:val="008D6C35"/>
    <w:rsid w:val="008E0250"/>
    <w:rsid w:val="008E058E"/>
    <w:rsid w:val="008E27D0"/>
    <w:rsid w:val="008E3071"/>
    <w:rsid w:val="008E5F21"/>
    <w:rsid w:val="008E6A63"/>
    <w:rsid w:val="008E6CF8"/>
    <w:rsid w:val="008E7CFA"/>
    <w:rsid w:val="008F02D0"/>
    <w:rsid w:val="008F0CC0"/>
    <w:rsid w:val="008F12C1"/>
    <w:rsid w:val="008F1CCF"/>
    <w:rsid w:val="008F20D8"/>
    <w:rsid w:val="008F21D7"/>
    <w:rsid w:val="008F341F"/>
    <w:rsid w:val="008F370D"/>
    <w:rsid w:val="008F38F4"/>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3DB"/>
    <w:rsid w:val="009074D4"/>
    <w:rsid w:val="00907E56"/>
    <w:rsid w:val="00907E99"/>
    <w:rsid w:val="00907EA3"/>
    <w:rsid w:val="00912394"/>
    <w:rsid w:val="0091304E"/>
    <w:rsid w:val="009138DD"/>
    <w:rsid w:val="0091467C"/>
    <w:rsid w:val="00914ACD"/>
    <w:rsid w:val="0091524F"/>
    <w:rsid w:val="009153EA"/>
    <w:rsid w:val="009154C0"/>
    <w:rsid w:val="00915EE1"/>
    <w:rsid w:val="00916B7A"/>
    <w:rsid w:val="009176B3"/>
    <w:rsid w:val="009200AF"/>
    <w:rsid w:val="00920590"/>
    <w:rsid w:val="00921FCD"/>
    <w:rsid w:val="00924F5E"/>
    <w:rsid w:val="009252E5"/>
    <w:rsid w:val="00926594"/>
    <w:rsid w:val="0092695B"/>
    <w:rsid w:val="00930A66"/>
    <w:rsid w:val="00930A91"/>
    <w:rsid w:val="0093160A"/>
    <w:rsid w:val="00931763"/>
    <w:rsid w:val="00931CA2"/>
    <w:rsid w:val="0093237F"/>
    <w:rsid w:val="009328A7"/>
    <w:rsid w:val="00932F92"/>
    <w:rsid w:val="00934541"/>
    <w:rsid w:val="009347D5"/>
    <w:rsid w:val="00935936"/>
    <w:rsid w:val="00935E30"/>
    <w:rsid w:val="00935FFF"/>
    <w:rsid w:val="0093646F"/>
    <w:rsid w:val="00936A93"/>
    <w:rsid w:val="009375E6"/>
    <w:rsid w:val="0094056F"/>
    <w:rsid w:val="0094066A"/>
    <w:rsid w:val="0094115F"/>
    <w:rsid w:val="00943E10"/>
    <w:rsid w:val="00944855"/>
    <w:rsid w:val="009448F1"/>
    <w:rsid w:val="00945E65"/>
    <w:rsid w:val="00946D0E"/>
    <w:rsid w:val="0094705A"/>
    <w:rsid w:val="009507AF"/>
    <w:rsid w:val="0095184D"/>
    <w:rsid w:val="009529C5"/>
    <w:rsid w:val="00953139"/>
    <w:rsid w:val="009537D9"/>
    <w:rsid w:val="00953C3F"/>
    <w:rsid w:val="00954FA4"/>
    <w:rsid w:val="0095546E"/>
    <w:rsid w:val="00955B31"/>
    <w:rsid w:val="00955B80"/>
    <w:rsid w:val="009563C8"/>
    <w:rsid w:val="00957203"/>
    <w:rsid w:val="00957CA8"/>
    <w:rsid w:val="00960C8B"/>
    <w:rsid w:val="00961394"/>
    <w:rsid w:val="00961864"/>
    <w:rsid w:val="009618D8"/>
    <w:rsid w:val="00962B42"/>
    <w:rsid w:val="00962B47"/>
    <w:rsid w:val="009631BF"/>
    <w:rsid w:val="009638A6"/>
    <w:rsid w:val="0096403F"/>
    <w:rsid w:val="00964B4E"/>
    <w:rsid w:val="0096656D"/>
    <w:rsid w:val="009667DE"/>
    <w:rsid w:val="00966D5B"/>
    <w:rsid w:val="00967EDC"/>
    <w:rsid w:val="00971B99"/>
    <w:rsid w:val="00971B9B"/>
    <w:rsid w:val="00971E06"/>
    <w:rsid w:val="00972349"/>
    <w:rsid w:val="0097271B"/>
    <w:rsid w:val="0097286D"/>
    <w:rsid w:val="00973212"/>
    <w:rsid w:val="00973823"/>
    <w:rsid w:val="0097390B"/>
    <w:rsid w:val="00976729"/>
    <w:rsid w:val="0097686A"/>
    <w:rsid w:val="00980170"/>
    <w:rsid w:val="00981087"/>
    <w:rsid w:val="00981326"/>
    <w:rsid w:val="009818EE"/>
    <w:rsid w:val="00981B05"/>
    <w:rsid w:val="00983BE8"/>
    <w:rsid w:val="00983CD6"/>
    <w:rsid w:val="00984902"/>
    <w:rsid w:val="009852C8"/>
    <w:rsid w:val="00985F3B"/>
    <w:rsid w:val="00986CA0"/>
    <w:rsid w:val="00990115"/>
    <w:rsid w:val="0099011B"/>
    <w:rsid w:val="0099177C"/>
    <w:rsid w:val="00991EBE"/>
    <w:rsid w:val="0099207D"/>
    <w:rsid w:val="00992506"/>
    <w:rsid w:val="009928D9"/>
    <w:rsid w:val="009936C3"/>
    <w:rsid w:val="00993C93"/>
    <w:rsid w:val="00994065"/>
    <w:rsid w:val="00994E04"/>
    <w:rsid w:val="00995304"/>
    <w:rsid w:val="00995BA4"/>
    <w:rsid w:val="00995DC5"/>
    <w:rsid w:val="00996052"/>
    <w:rsid w:val="009966C3"/>
    <w:rsid w:val="00996D6E"/>
    <w:rsid w:val="00996DCE"/>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5F7"/>
    <w:rsid w:val="009A4AF0"/>
    <w:rsid w:val="009A5FFB"/>
    <w:rsid w:val="009A608C"/>
    <w:rsid w:val="009A62EA"/>
    <w:rsid w:val="009A65EB"/>
    <w:rsid w:val="009A68E8"/>
    <w:rsid w:val="009B1302"/>
    <w:rsid w:val="009B136D"/>
    <w:rsid w:val="009B1E7E"/>
    <w:rsid w:val="009B1F0E"/>
    <w:rsid w:val="009B2680"/>
    <w:rsid w:val="009B5892"/>
    <w:rsid w:val="009B5958"/>
    <w:rsid w:val="009B597F"/>
    <w:rsid w:val="009B63D5"/>
    <w:rsid w:val="009C0B95"/>
    <w:rsid w:val="009C0ECF"/>
    <w:rsid w:val="009C2177"/>
    <w:rsid w:val="009C231C"/>
    <w:rsid w:val="009C23F0"/>
    <w:rsid w:val="009C2A14"/>
    <w:rsid w:val="009C2C83"/>
    <w:rsid w:val="009C31D6"/>
    <w:rsid w:val="009C3BF9"/>
    <w:rsid w:val="009C4FE5"/>
    <w:rsid w:val="009C61DB"/>
    <w:rsid w:val="009C6451"/>
    <w:rsid w:val="009D07C2"/>
    <w:rsid w:val="009D2C65"/>
    <w:rsid w:val="009D2FB0"/>
    <w:rsid w:val="009D3358"/>
    <w:rsid w:val="009D38AE"/>
    <w:rsid w:val="009D5CAD"/>
    <w:rsid w:val="009D6703"/>
    <w:rsid w:val="009D6713"/>
    <w:rsid w:val="009D6F74"/>
    <w:rsid w:val="009D74EB"/>
    <w:rsid w:val="009D7CC1"/>
    <w:rsid w:val="009D7E51"/>
    <w:rsid w:val="009E04D2"/>
    <w:rsid w:val="009E0A3F"/>
    <w:rsid w:val="009E0D5C"/>
    <w:rsid w:val="009E1C61"/>
    <w:rsid w:val="009E1E06"/>
    <w:rsid w:val="009E20E5"/>
    <w:rsid w:val="009E2317"/>
    <w:rsid w:val="009E360E"/>
    <w:rsid w:val="009E3733"/>
    <w:rsid w:val="009E3D70"/>
    <w:rsid w:val="009E3D91"/>
    <w:rsid w:val="009E3FCC"/>
    <w:rsid w:val="009E461F"/>
    <w:rsid w:val="009E5744"/>
    <w:rsid w:val="009F034C"/>
    <w:rsid w:val="009F0449"/>
    <w:rsid w:val="009F065A"/>
    <w:rsid w:val="009F10C3"/>
    <w:rsid w:val="009F1151"/>
    <w:rsid w:val="009F12B2"/>
    <w:rsid w:val="009F1314"/>
    <w:rsid w:val="009F15CB"/>
    <w:rsid w:val="009F1ABA"/>
    <w:rsid w:val="009F23F9"/>
    <w:rsid w:val="009F5B63"/>
    <w:rsid w:val="009F6D92"/>
    <w:rsid w:val="00A013E1"/>
    <w:rsid w:val="00A01693"/>
    <w:rsid w:val="00A01729"/>
    <w:rsid w:val="00A01DB4"/>
    <w:rsid w:val="00A0305E"/>
    <w:rsid w:val="00A0354D"/>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208E0"/>
    <w:rsid w:val="00A2258E"/>
    <w:rsid w:val="00A225EE"/>
    <w:rsid w:val="00A22897"/>
    <w:rsid w:val="00A22DFE"/>
    <w:rsid w:val="00A26BC2"/>
    <w:rsid w:val="00A27434"/>
    <w:rsid w:val="00A317EF"/>
    <w:rsid w:val="00A324D0"/>
    <w:rsid w:val="00A3353E"/>
    <w:rsid w:val="00A336C6"/>
    <w:rsid w:val="00A345FE"/>
    <w:rsid w:val="00A348D5"/>
    <w:rsid w:val="00A34D2F"/>
    <w:rsid w:val="00A36106"/>
    <w:rsid w:val="00A364E6"/>
    <w:rsid w:val="00A36C1B"/>
    <w:rsid w:val="00A40194"/>
    <w:rsid w:val="00A41457"/>
    <w:rsid w:val="00A42214"/>
    <w:rsid w:val="00A42E4C"/>
    <w:rsid w:val="00A42EA0"/>
    <w:rsid w:val="00A45013"/>
    <w:rsid w:val="00A45CA9"/>
    <w:rsid w:val="00A4663B"/>
    <w:rsid w:val="00A466D2"/>
    <w:rsid w:val="00A47D82"/>
    <w:rsid w:val="00A502AB"/>
    <w:rsid w:val="00A5054B"/>
    <w:rsid w:val="00A51210"/>
    <w:rsid w:val="00A51243"/>
    <w:rsid w:val="00A51826"/>
    <w:rsid w:val="00A5203F"/>
    <w:rsid w:val="00A524E1"/>
    <w:rsid w:val="00A526EB"/>
    <w:rsid w:val="00A5321A"/>
    <w:rsid w:val="00A53334"/>
    <w:rsid w:val="00A53AA8"/>
    <w:rsid w:val="00A53E29"/>
    <w:rsid w:val="00A54DC4"/>
    <w:rsid w:val="00A5502B"/>
    <w:rsid w:val="00A55BC8"/>
    <w:rsid w:val="00A55E0B"/>
    <w:rsid w:val="00A569A4"/>
    <w:rsid w:val="00A56EF8"/>
    <w:rsid w:val="00A5713C"/>
    <w:rsid w:val="00A57AF8"/>
    <w:rsid w:val="00A62960"/>
    <w:rsid w:val="00A63102"/>
    <w:rsid w:val="00A647C5"/>
    <w:rsid w:val="00A64C58"/>
    <w:rsid w:val="00A65DB6"/>
    <w:rsid w:val="00A664C2"/>
    <w:rsid w:val="00A66A5E"/>
    <w:rsid w:val="00A66C26"/>
    <w:rsid w:val="00A70475"/>
    <w:rsid w:val="00A70B83"/>
    <w:rsid w:val="00A70FC2"/>
    <w:rsid w:val="00A71872"/>
    <w:rsid w:val="00A71AE7"/>
    <w:rsid w:val="00A72068"/>
    <w:rsid w:val="00A7263F"/>
    <w:rsid w:val="00A72EBA"/>
    <w:rsid w:val="00A745BA"/>
    <w:rsid w:val="00A747E4"/>
    <w:rsid w:val="00A74CE9"/>
    <w:rsid w:val="00A7534A"/>
    <w:rsid w:val="00A7537A"/>
    <w:rsid w:val="00A76128"/>
    <w:rsid w:val="00A81473"/>
    <w:rsid w:val="00A822B1"/>
    <w:rsid w:val="00A82836"/>
    <w:rsid w:val="00A82BD8"/>
    <w:rsid w:val="00A83546"/>
    <w:rsid w:val="00A835AA"/>
    <w:rsid w:val="00A844E9"/>
    <w:rsid w:val="00A849CA"/>
    <w:rsid w:val="00A87B9E"/>
    <w:rsid w:val="00A87DB0"/>
    <w:rsid w:val="00A9003E"/>
    <w:rsid w:val="00A91A35"/>
    <w:rsid w:val="00A91AF0"/>
    <w:rsid w:val="00A9206A"/>
    <w:rsid w:val="00A92369"/>
    <w:rsid w:val="00A926BE"/>
    <w:rsid w:val="00A9334E"/>
    <w:rsid w:val="00A93C15"/>
    <w:rsid w:val="00A93E0C"/>
    <w:rsid w:val="00A93EF8"/>
    <w:rsid w:val="00A9403F"/>
    <w:rsid w:val="00A944E0"/>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46AD"/>
    <w:rsid w:val="00AA472F"/>
    <w:rsid w:val="00AA4A2F"/>
    <w:rsid w:val="00AA59F9"/>
    <w:rsid w:val="00AA5AE6"/>
    <w:rsid w:val="00AA70C4"/>
    <w:rsid w:val="00AB070A"/>
    <w:rsid w:val="00AB1F30"/>
    <w:rsid w:val="00AB26C9"/>
    <w:rsid w:val="00AB2785"/>
    <w:rsid w:val="00AB2A36"/>
    <w:rsid w:val="00AB3411"/>
    <w:rsid w:val="00AB34D7"/>
    <w:rsid w:val="00AB4179"/>
    <w:rsid w:val="00AB5CA1"/>
    <w:rsid w:val="00AB798D"/>
    <w:rsid w:val="00AC0D2A"/>
    <w:rsid w:val="00AC1A4D"/>
    <w:rsid w:val="00AC200A"/>
    <w:rsid w:val="00AC2531"/>
    <w:rsid w:val="00AC408E"/>
    <w:rsid w:val="00AC478D"/>
    <w:rsid w:val="00AC4ED3"/>
    <w:rsid w:val="00AD02E0"/>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4E4"/>
    <w:rsid w:val="00AE0AB7"/>
    <w:rsid w:val="00AE0B3F"/>
    <w:rsid w:val="00AE0B66"/>
    <w:rsid w:val="00AE1406"/>
    <w:rsid w:val="00AE2B57"/>
    <w:rsid w:val="00AE2E25"/>
    <w:rsid w:val="00AE30F9"/>
    <w:rsid w:val="00AE32ED"/>
    <w:rsid w:val="00AE365B"/>
    <w:rsid w:val="00AE397C"/>
    <w:rsid w:val="00AE66E5"/>
    <w:rsid w:val="00AE6827"/>
    <w:rsid w:val="00AE7D04"/>
    <w:rsid w:val="00AE7D0F"/>
    <w:rsid w:val="00AE7FB0"/>
    <w:rsid w:val="00AF130F"/>
    <w:rsid w:val="00AF1380"/>
    <w:rsid w:val="00AF1EAF"/>
    <w:rsid w:val="00AF285E"/>
    <w:rsid w:val="00AF304F"/>
    <w:rsid w:val="00AF37A3"/>
    <w:rsid w:val="00AF426F"/>
    <w:rsid w:val="00AF44E0"/>
    <w:rsid w:val="00AF4DA2"/>
    <w:rsid w:val="00AF586E"/>
    <w:rsid w:val="00AF6871"/>
    <w:rsid w:val="00AF755F"/>
    <w:rsid w:val="00AF761E"/>
    <w:rsid w:val="00AF7983"/>
    <w:rsid w:val="00AF7B16"/>
    <w:rsid w:val="00B0068D"/>
    <w:rsid w:val="00B01326"/>
    <w:rsid w:val="00B01F26"/>
    <w:rsid w:val="00B02239"/>
    <w:rsid w:val="00B0275D"/>
    <w:rsid w:val="00B02BEC"/>
    <w:rsid w:val="00B0366F"/>
    <w:rsid w:val="00B04081"/>
    <w:rsid w:val="00B04873"/>
    <w:rsid w:val="00B06B3C"/>
    <w:rsid w:val="00B07F37"/>
    <w:rsid w:val="00B10774"/>
    <w:rsid w:val="00B10B14"/>
    <w:rsid w:val="00B11E3F"/>
    <w:rsid w:val="00B12419"/>
    <w:rsid w:val="00B12C3E"/>
    <w:rsid w:val="00B13906"/>
    <w:rsid w:val="00B1436A"/>
    <w:rsid w:val="00B14396"/>
    <w:rsid w:val="00B148CC"/>
    <w:rsid w:val="00B15103"/>
    <w:rsid w:val="00B1663C"/>
    <w:rsid w:val="00B16EA0"/>
    <w:rsid w:val="00B16F42"/>
    <w:rsid w:val="00B175EE"/>
    <w:rsid w:val="00B17814"/>
    <w:rsid w:val="00B17BB0"/>
    <w:rsid w:val="00B17BF4"/>
    <w:rsid w:val="00B2129A"/>
    <w:rsid w:val="00B2180D"/>
    <w:rsid w:val="00B22AB2"/>
    <w:rsid w:val="00B2513D"/>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1B8"/>
    <w:rsid w:val="00B3529C"/>
    <w:rsid w:val="00B358D9"/>
    <w:rsid w:val="00B367B5"/>
    <w:rsid w:val="00B37455"/>
    <w:rsid w:val="00B37891"/>
    <w:rsid w:val="00B400CA"/>
    <w:rsid w:val="00B41A92"/>
    <w:rsid w:val="00B421E5"/>
    <w:rsid w:val="00B4266B"/>
    <w:rsid w:val="00B42840"/>
    <w:rsid w:val="00B42C0C"/>
    <w:rsid w:val="00B43A91"/>
    <w:rsid w:val="00B443A6"/>
    <w:rsid w:val="00B44803"/>
    <w:rsid w:val="00B4562D"/>
    <w:rsid w:val="00B45D81"/>
    <w:rsid w:val="00B46622"/>
    <w:rsid w:val="00B4689B"/>
    <w:rsid w:val="00B4757F"/>
    <w:rsid w:val="00B513EE"/>
    <w:rsid w:val="00B515F7"/>
    <w:rsid w:val="00B5185B"/>
    <w:rsid w:val="00B51C63"/>
    <w:rsid w:val="00B527D1"/>
    <w:rsid w:val="00B541AE"/>
    <w:rsid w:val="00B547C9"/>
    <w:rsid w:val="00B5506A"/>
    <w:rsid w:val="00B55B76"/>
    <w:rsid w:val="00B56363"/>
    <w:rsid w:val="00B56A08"/>
    <w:rsid w:val="00B56D15"/>
    <w:rsid w:val="00B56FA6"/>
    <w:rsid w:val="00B57B37"/>
    <w:rsid w:val="00B57C1A"/>
    <w:rsid w:val="00B57D54"/>
    <w:rsid w:val="00B57FCF"/>
    <w:rsid w:val="00B604CE"/>
    <w:rsid w:val="00B616D6"/>
    <w:rsid w:val="00B61B33"/>
    <w:rsid w:val="00B62850"/>
    <w:rsid w:val="00B62F5A"/>
    <w:rsid w:val="00B632C3"/>
    <w:rsid w:val="00B63ABC"/>
    <w:rsid w:val="00B6412B"/>
    <w:rsid w:val="00B658BA"/>
    <w:rsid w:val="00B66EDF"/>
    <w:rsid w:val="00B67A7F"/>
    <w:rsid w:val="00B707AB"/>
    <w:rsid w:val="00B70C34"/>
    <w:rsid w:val="00B71141"/>
    <w:rsid w:val="00B71C05"/>
    <w:rsid w:val="00B71D1C"/>
    <w:rsid w:val="00B724C6"/>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705"/>
    <w:rsid w:val="00B87FF8"/>
    <w:rsid w:val="00B90778"/>
    <w:rsid w:val="00B912FA"/>
    <w:rsid w:val="00B91642"/>
    <w:rsid w:val="00B91781"/>
    <w:rsid w:val="00B918AB"/>
    <w:rsid w:val="00B91C1B"/>
    <w:rsid w:val="00B92C61"/>
    <w:rsid w:val="00B92F64"/>
    <w:rsid w:val="00B93110"/>
    <w:rsid w:val="00B933DD"/>
    <w:rsid w:val="00B94762"/>
    <w:rsid w:val="00B95532"/>
    <w:rsid w:val="00B95BB7"/>
    <w:rsid w:val="00B9723D"/>
    <w:rsid w:val="00B975E1"/>
    <w:rsid w:val="00B977CA"/>
    <w:rsid w:val="00B97FDB"/>
    <w:rsid w:val="00BA0166"/>
    <w:rsid w:val="00BA0172"/>
    <w:rsid w:val="00BA1981"/>
    <w:rsid w:val="00BA1D6E"/>
    <w:rsid w:val="00BA21F8"/>
    <w:rsid w:val="00BA24AA"/>
    <w:rsid w:val="00BA2BBD"/>
    <w:rsid w:val="00BA39A8"/>
    <w:rsid w:val="00BA3C80"/>
    <w:rsid w:val="00BA56E3"/>
    <w:rsid w:val="00BA5A57"/>
    <w:rsid w:val="00BA5C92"/>
    <w:rsid w:val="00BA60A4"/>
    <w:rsid w:val="00BA6A9A"/>
    <w:rsid w:val="00BA6D48"/>
    <w:rsid w:val="00BA7435"/>
    <w:rsid w:val="00BB0862"/>
    <w:rsid w:val="00BB163B"/>
    <w:rsid w:val="00BB2237"/>
    <w:rsid w:val="00BB24DA"/>
    <w:rsid w:val="00BB25D9"/>
    <w:rsid w:val="00BB2B9D"/>
    <w:rsid w:val="00BB2EDC"/>
    <w:rsid w:val="00BB383D"/>
    <w:rsid w:val="00BB3CE5"/>
    <w:rsid w:val="00BB3EA5"/>
    <w:rsid w:val="00BB5136"/>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DCE"/>
    <w:rsid w:val="00BC6D71"/>
    <w:rsid w:val="00BC7399"/>
    <w:rsid w:val="00BD0164"/>
    <w:rsid w:val="00BD0959"/>
    <w:rsid w:val="00BD0A1E"/>
    <w:rsid w:val="00BD0CC4"/>
    <w:rsid w:val="00BD0F95"/>
    <w:rsid w:val="00BD128A"/>
    <w:rsid w:val="00BD1403"/>
    <w:rsid w:val="00BD1E32"/>
    <w:rsid w:val="00BD2C1B"/>
    <w:rsid w:val="00BD31B8"/>
    <w:rsid w:val="00BD3408"/>
    <w:rsid w:val="00BD5502"/>
    <w:rsid w:val="00BD5801"/>
    <w:rsid w:val="00BD58E0"/>
    <w:rsid w:val="00BD60CB"/>
    <w:rsid w:val="00BD6B4C"/>
    <w:rsid w:val="00BD750C"/>
    <w:rsid w:val="00BD7D12"/>
    <w:rsid w:val="00BE1C7B"/>
    <w:rsid w:val="00BE1F7D"/>
    <w:rsid w:val="00BE323E"/>
    <w:rsid w:val="00BE35EE"/>
    <w:rsid w:val="00BE3706"/>
    <w:rsid w:val="00BE39AA"/>
    <w:rsid w:val="00BE3A35"/>
    <w:rsid w:val="00BE3B56"/>
    <w:rsid w:val="00BE433B"/>
    <w:rsid w:val="00BE468A"/>
    <w:rsid w:val="00BE46D0"/>
    <w:rsid w:val="00BE4A90"/>
    <w:rsid w:val="00BE53BA"/>
    <w:rsid w:val="00BE6EDD"/>
    <w:rsid w:val="00BE7E7F"/>
    <w:rsid w:val="00BF02DC"/>
    <w:rsid w:val="00BF1106"/>
    <w:rsid w:val="00BF129D"/>
    <w:rsid w:val="00BF13DA"/>
    <w:rsid w:val="00BF16A8"/>
    <w:rsid w:val="00BF2CD1"/>
    <w:rsid w:val="00BF4720"/>
    <w:rsid w:val="00BF50EF"/>
    <w:rsid w:val="00BF6B90"/>
    <w:rsid w:val="00BF7C11"/>
    <w:rsid w:val="00BF7E27"/>
    <w:rsid w:val="00C01C5C"/>
    <w:rsid w:val="00C01E01"/>
    <w:rsid w:val="00C02001"/>
    <w:rsid w:val="00C03E9E"/>
    <w:rsid w:val="00C042D4"/>
    <w:rsid w:val="00C045C4"/>
    <w:rsid w:val="00C048D8"/>
    <w:rsid w:val="00C0496B"/>
    <w:rsid w:val="00C04D2D"/>
    <w:rsid w:val="00C0527E"/>
    <w:rsid w:val="00C057C4"/>
    <w:rsid w:val="00C05E66"/>
    <w:rsid w:val="00C06541"/>
    <w:rsid w:val="00C06CE5"/>
    <w:rsid w:val="00C07438"/>
    <w:rsid w:val="00C07835"/>
    <w:rsid w:val="00C0789C"/>
    <w:rsid w:val="00C10267"/>
    <w:rsid w:val="00C10785"/>
    <w:rsid w:val="00C1105A"/>
    <w:rsid w:val="00C11CFC"/>
    <w:rsid w:val="00C11F32"/>
    <w:rsid w:val="00C12B77"/>
    <w:rsid w:val="00C13139"/>
    <w:rsid w:val="00C1333A"/>
    <w:rsid w:val="00C13923"/>
    <w:rsid w:val="00C13E68"/>
    <w:rsid w:val="00C140F9"/>
    <w:rsid w:val="00C15506"/>
    <w:rsid w:val="00C16D9B"/>
    <w:rsid w:val="00C177D3"/>
    <w:rsid w:val="00C17ABA"/>
    <w:rsid w:val="00C214C9"/>
    <w:rsid w:val="00C21BB8"/>
    <w:rsid w:val="00C227F2"/>
    <w:rsid w:val="00C2297F"/>
    <w:rsid w:val="00C235BF"/>
    <w:rsid w:val="00C24AF9"/>
    <w:rsid w:val="00C25232"/>
    <w:rsid w:val="00C253FD"/>
    <w:rsid w:val="00C25F88"/>
    <w:rsid w:val="00C26EF8"/>
    <w:rsid w:val="00C27223"/>
    <w:rsid w:val="00C30207"/>
    <w:rsid w:val="00C30288"/>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A9A"/>
    <w:rsid w:val="00C40D96"/>
    <w:rsid w:val="00C4150E"/>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8BB"/>
    <w:rsid w:val="00C531DC"/>
    <w:rsid w:val="00C55C3C"/>
    <w:rsid w:val="00C562A5"/>
    <w:rsid w:val="00C578D8"/>
    <w:rsid w:val="00C608D3"/>
    <w:rsid w:val="00C60FA1"/>
    <w:rsid w:val="00C61077"/>
    <w:rsid w:val="00C612F2"/>
    <w:rsid w:val="00C625C8"/>
    <w:rsid w:val="00C62B78"/>
    <w:rsid w:val="00C6359B"/>
    <w:rsid w:val="00C63D92"/>
    <w:rsid w:val="00C641EC"/>
    <w:rsid w:val="00C64739"/>
    <w:rsid w:val="00C648E8"/>
    <w:rsid w:val="00C64CB7"/>
    <w:rsid w:val="00C65C1C"/>
    <w:rsid w:val="00C673F7"/>
    <w:rsid w:val="00C702C5"/>
    <w:rsid w:val="00C7076B"/>
    <w:rsid w:val="00C711FA"/>
    <w:rsid w:val="00C719FC"/>
    <w:rsid w:val="00C720DA"/>
    <w:rsid w:val="00C74DC7"/>
    <w:rsid w:val="00C76E5F"/>
    <w:rsid w:val="00C77792"/>
    <w:rsid w:val="00C77AFC"/>
    <w:rsid w:val="00C8041E"/>
    <w:rsid w:val="00C80479"/>
    <w:rsid w:val="00C806DD"/>
    <w:rsid w:val="00C80798"/>
    <w:rsid w:val="00C8168A"/>
    <w:rsid w:val="00C819C7"/>
    <w:rsid w:val="00C82779"/>
    <w:rsid w:val="00C833E7"/>
    <w:rsid w:val="00C83613"/>
    <w:rsid w:val="00C8365B"/>
    <w:rsid w:val="00C83E6D"/>
    <w:rsid w:val="00C84205"/>
    <w:rsid w:val="00C848A5"/>
    <w:rsid w:val="00C84EE1"/>
    <w:rsid w:val="00C85952"/>
    <w:rsid w:val="00C85B18"/>
    <w:rsid w:val="00C8684B"/>
    <w:rsid w:val="00C86ED0"/>
    <w:rsid w:val="00C870D1"/>
    <w:rsid w:val="00C876EF"/>
    <w:rsid w:val="00C90127"/>
    <w:rsid w:val="00C901EE"/>
    <w:rsid w:val="00C90A67"/>
    <w:rsid w:val="00C9400F"/>
    <w:rsid w:val="00C9477B"/>
    <w:rsid w:val="00C9514C"/>
    <w:rsid w:val="00C95585"/>
    <w:rsid w:val="00C958AC"/>
    <w:rsid w:val="00C96A15"/>
    <w:rsid w:val="00C97CDD"/>
    <w:rsid w:val="00CA004F"/>
    <w:rsid w:val="00CA0ACF"/>
    <w:rsid w:val="00CA28FA"/>
    <w:rsid w:val="00CA295E"/>
    <w:rsid w:val="00CA391F"/>
    <w:rsid w:val="00CA3D26"/>
    <w:rsid w:val="00CA4E7E"/>
    <w:rsid w:val="00CA5512"/>
    <w:rsid w:val="00CA5739"/>
    <w:rsid w:val="00CA5B26"/>
    <w:rsid w:val="00CA5EDF"/>
    <w:rsid w:val="00CA6515"/>
    <w:rsid w:val="00CA67F7"/>
    <w:rsid w:val="00CA70A4"/>
    <w:rsid w:val="00CA73A7"/>
    <w:rsid w:val="00CA7B14"/>
    <w:rsid w:val="00CA7CF3"/>
    <w:rsid w:val="00CA7FC7"/>
    <w:rsid w:val="00CB04EF"/>
    <w:rsid w:val="00CB11F8"/>
    <w:rsid w:val="00CB1308"/>
    <w:rsid w:val="00CB16F9"/>
    <w:rsid w:val="00CB1EE3"/>
    <w:rsid w:val="00CB2E8A"/>
    <w:rsid w:val="00CB2F66"/>
    <w:rsid w:val="00CB3106"/>
    <w:rsid w:val="00CB43F2"/>
    <w:rsid w:val="00CB4587"/>
    <w:rsid w:val="00CB5CAF"/>
    <w:rsid w:val="00CB6153"/>
    <w:rsid w:val="00CB6FD5"/>
    <w:rsid w:val="00CB70C4"/>
    <w:rsid w:val="00CB7632"/>
    <w:rsid w:val="00CB77C1"/>
    <w:rsid w:val="00CC0407"/>
    <w:rsid w:val="00CC0A17"/>
    <w:rsid w:val="00CC0CFA"/>
    <w:rsid w:val="00CC0E2A"/>
    <w:rsid w:val="00CC206D"/>
    <w:rsid w:val="00CC24AA"/>
    <w:rsid w:val="00CC3A82"/>
    <w:rsid w:val="00CC4857"/>
    <w:rsid w:val="00CC5564"/>
    <w:rsid w:val="00CC55EF"/>
    <w:rsid w:val="00CC5F56"/>
    <w:rsid w:val="00CC6714"/>
    <w:rsid w:val="00CC67C5"/>
    <w:rsid w:val="00CC72B9"/>
    <w:rsid w:val="00CC7339"/>
    <w:rsid w:val="00CD0B8B"/>
    <w:rsid w:val="00CD1697"/>
    <w:rsid w:val="00CD16E2"/>
    <w:rsid w:val="00CD1A2B"/>
    <w:rsid w:val="00CD1CBD"/>
    <w:rsid w:val="00CD2DF3"/>
    <w:rsid w:val="00CD4718"/>
    <w:rsid w:val="00CD4AB4"/>
    <w:rsid w:val="00CD53C9"/>
    <w:rsid w:val="00CD5574"/>
    <w:rsid w:val="00CD5D2F"/>
    <w:rsid w:val="00CD64E0"/>
    <w:rsid w:val="00CD66DD"/>
    <w:rsid w:val="00CD6DED"/>
    <w:rsid w:val="00CD7350"/>
    <w:rsid w:val="00CD74DA"/>
    <w:rsid w:val="00CD7928"/>
    <w:rsid w:val="00CE02EA"/>
    <w:rsid w:val="00CE0E44"/>
    <w:rsid w:val="00CE101F"/>
    <w:rsid w:val="00CE1CFC"/>
    <w:rsid w:val="00CE2EEE"/>
    <w:rsid w:val="00CE34FE"/>
    <w:rsid w:val="00CE35B2"/>
    <w:rsid w:val="00CE40A2"/>
    <w:rsid w:val="00CE4144"/>
    <w:rsid w:val="00CE48BE"/>
    <w:rsid w:val="00CE4A00"/>
    <w:rsid w:val="00CE50AF"/>
    <w:rsid w:val="00CE58E1"/>
    <w:rsid w:val="00CE5E24"/>
    <w:rsid w:val="00CE6ADB"/>
    <w:rsid w:val="00CE74AD"/>
    <w:rsid w:val="00CE76D3"/>
    <w:rsid w:val="00CE7D0F"/>
    <w:rsid w:val="00CF0247"/>
    <w:rsid w:val="00CF0855"/>
    <w:rsid w:val="00CF1A56"/>
    <w:rsid w:val="00CF275A"/>
    <w:rsid w:val="00CF2F08"/>
    <w:rsid w:val="00CF32E1"/>
    <w:rsid w:val="00CF3888"/>
    <w:rsid w:val="00CF417A"/>
    <w:rsid w:val="00CF41A7"/>
    <w:rsid w:val="00CF48D9"/>
    <w:rsid w:val="00CF5B16"/>
    <w:rsid w:val="00CF6318"/>
    <w:rsid w:val="00CF6FC8"/>
    <w:rsid w:val="00CF704C"/>
    <w:rsid w:val="00D006AB"/>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110FB"/>
    <w:rsid w:val="00D11BD2"/>
    <w:rsid w:val="00D1241C"/>
    <w:rsid w:val="00D12671"/>
    <w:rsid w:val="00D12DAE"/>
    <w:rsid w:val="00D12EAF"/>
    <w:rsid w:val="00D13FD7"/>
    <w:rsid w:val="00D1421B"/>
    <w:rsid w:val="00D14B0F"/>
    <w:rsid w:val="00D14D08"/>
    <w:rsid w:val="00D158E3"/>
    <w:rsid w:val="00D15C03"/>
    <w:rsid w:val="00D16316"/>
    <w:rsid w:val="00D173BF"/>
    <w:rsid w:val="00D17F2E"/>
    <w:rsid w:val="00D20517"/>
    <w:rsid w:val="00D20E2A"/>
    <w:rsid w:val="00D2221E"/>
    <w:rsid w:val="00D223B5"/>
    <w:rsid w:val="00D22775"/>
    <w:rsid w:val="00D22B3E"/>
    <w:rsid w:val="00D2316F"/>
    <w:rsid w:val="00D2373C"/>
    <w:rsid w:val="00D24344"/>
    <w:rsid w:val="00D24D8B"/>
    <w:rsid w:val="00D24DB6"/>
    <w:rsid w:val="00D25C98"/>
    <w:rsid w:val="00D25DD9"/>
    <w:rsid w:val="00D260C4"/>
    <w:rsid w:val="00D26540"/>
    <w:rsid w:val="00D272C5"/>
    <w:rsid w:val="00D2731A"/>
    <w:rsid w:val="00D27C25"/>
    <w:rsid w:val="00D27EFA"/>
    <w:rsid w:val="00D3001E"/>
    <w:rsid w:val="00D30723"/>
    <w:rsid w:val="00D3128F"/>
    <w:rsid w:val="00D326DD"/>
    <w:rsid w:val="00D35169"/>
    <w:rsid w:val="00D35C12"/>
    <w:rsid w:val="00D362BA"/>
    <w:rsid w:val="00D36E45"/>
    <w:rsid w:val="00D3742A"/>
    <w:rsid w:val="00D37E18"/>
    <w:rsid w:val="00D4006D"/>
    <w:rsid w:val="00D400AF"/>
    <w:rsid w:val="00D401CD"/>
    <w:rsid w:val="00D4028C"/>
    <w:rsid w:val="00D40FDA"/>
    <w:rsid w:val="00D4197D"/>
    <w:rsid w:val="00D41D16"/>
    <w:rsid w:val="00D42A72"/>
    <w:rsid w:val="00D43A38"/>
    <w:rsid w:val="00D43B16"/>
    <w:rsid w:val="00D43EFC"/>
    <w:rsid w:val="00D43FB4"/>
    <w:rsid w:val="00D44461"/>
    <w:rsid w:val="00D44DFC"/>
    <w:rsid w:val="00D44E13"/>
    <w:rsid w:val="00D44E2F"/>
    <w:rsid w:val="00D450C5"/>
    <w:rsid w:val="00D45527"/>
    <w:rsid w:val="00D45631"/>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F8E"/>
    <w:rsid w:val="00D604DC"/>
    <w:rsid w:val="00D60672"/>
    <w:rsid w:val="00D61A6D"/>
    <w:rsid w:val="00D61BF6"/>
    <w:rsid w:val="00D628F9"/>
    <w:rsid w:val="00D635B2"/>
    <w:rsid w:val="00D636C6"/>
    <w:rsid w:val="00D63860"/>
    <w:rsid w:val="00D63CBA"/>
    <w:rsid w:val="00D647A3"/>
    <w:rsid w:val="00D647AC"/>
    <w:rsid w:val="00D65646"/>
    <w:rsid w:val="00D6606A"/>
    <w:rsid w:val="00D66B01"/>
    <w:rsid w:val="00D677EE"/>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7BA4"/>
    <w:rsid w:val="00D77E38"/>
    <w:rsid w:val="00D81657"/>
    <w:rsid w:val="00D81EA4"/>
    <w:rsid w:val="00D82287"/>
    <w:rsid w:val="00D82A59"/>
    <w:rsid w:val="00D82B84"/>
    <w:rsid w:val="00D837CB"/>
    <w:rsid w:val="00D83AE3"/>
    <w:rsid w:val="00D84610"/>
    <w:rsid w:val="00D84A39"/>
    <w:rsid w:val="00D85357"/>
    <w:rsid w:val="00D85561"/>
    <w:rsid w:val="00D857D4"/>
    <w:rsid w:val="00D87560"/>
    <w:rsid w:val="00D87CF7"/>
    <w:rsid w:val="00D90D99"/>
    <w:rsid w:val="00D9189B"/>
    <w:rsid w:val="00D91C72"/>
    <w:rsid w:val="00D91D88"/>
    <w:rsid w:val="00D93948"/>
    <w:rsid w:val="00D945F6"/>
    <w:rsid w:val="00D9541E"/>
    <w:rsid w:val="00D9547F"/>
    <w:rsid w:val="00D95568"/>
    <w:rsid w:val="00DA0260"/>
    <w:rsid w:val="00DA046C"/>
    <w:rsid w:val="00DA0A6C"/>
    <w:rsid w:val="00DA0F6F"/>
    <w:rsid w:val="00DA0FFE"/>
    <w:rsid w:val="00DA1394"/>
    <w:rsid w:val="00DA1780"/>
    <w:rsid w:val="00DA2289"/>
    <w:rsid w:val="00DA2D4A"/>
    <w:rsid w:val="00DA2E0B"/>
    <w:rsid w:val="00DA42C2"/>
    <w:rsid w:val="00DA4876"/>
    <w:rsid w:val="00DA4C57"/>
    <w:rsid w:val="00DA4E40"/>
    <w:rsid w:val="00DA5E33"/>
    <w:rsid w:val="00DA6233"/>
    <w:rsid w:val="00DA6EBA"/>
    <w:rsid w:val="00DB03E4"/>
    <w:rsid w:val="00DB0B9B"/>
    <w:rsid w:val="00DB104F"/>
    <w:rsid w:val="00DB1198"/>
    <w:rsid w:val="00DB13A8"/>
    <w:rsid w:val="00DB17E6"/>
    <w:rsid w:val="00DB2F0A"/>
    <w:rsid w:val="00DB3473"/>
    <w:rsid w:val="00DB3A63"/>
    <w:rsid w:val="00DB5E1E"/>
    <w:rsid w:val="00DB6EAA"/>
    <w:rsid w:val="00DC0D3E"/>
    <w:rsid w:val="00DC16C1"/>
    <w:rsid w:val="00DC1BFB"/>
    <w:rsid w:val="00DC3582"/>
    <w:rsid w:val="00DC59F0"/>
    <w:rsid w:val="00DC65AB"/>
    <w:rsid w:val="00DC7B9F"/>
    <w:rsid w:val="00DD060C"/>
    <w:rsid w:val="00DD075B"/>
    <w:rsid w:val="00DD111C"/>
    <w:rsid w:val="00DD13FA"/>
    <w:rsid w:val="00DD17AB"/>
    <w:rsid w:val="00DD194A"/>
    <w:rsid w:val="00DD2889"/>
    <w:rsid w:val="00DD36F6"/>
    <w:rsid w:val="00DD421A"/>
    <w:rsid w:val="00DD42FC"/>
    <w:rsid w:val="00DD4633"/>
    <w:rsid w:val="00DD46E1"/>
    <w:rsid w:val="00DD56A3"/>
    <w:rsid w:val="00DD5B72"/>
    <w:rsid w:val="00DD604A"/>
    <w:rsid w:val="00DD656D"/>
    <w:rsid w:val="00DD6FC3"/>
    <w:rsid w:val="00DD7458"/>
    <w:rsid w:val="00DD7A21"/>
    <w:rsid w:val="00DE0B42"/>
    <w:rsid w:val="00DE0CF3"/>
    <w:rsid w:val="00DE1802"/>
    <w:rsid w:val="00DE2335"/>
    <w:rsid w:val="00DE2962"/>
    <w:rsid w:val="00DE2BF5"/>
    <w:rsid w:val="00DE327C"/>
    <w:rsid w:val="00DE3758"/>
    <w:rsid w:val="00DE465D"/>
    <w:rsid w:val="00DE4EF1"/>
    <w:rsid w:val="00DE5013"/>
    <w:rsid w:val="00DE5239"/>
    <w:rsid w:val="00DE595A"/>
    <w:rsid w:val="00DE5D2F"/>
    <w:rsid w:val="00DE6A62"/>
    <w:rsid w:val="00DE794E"/>
    <w:rsid w:val="00DF1DCF"/>
    <w:rsid w:val="00DF2DCF"/>
    <w:rsid w:val="00DF34D0"/>
    <w:rsid w:val="00DF4B5F"/>
    <w:rsid w:val="00DF5023"/>
    <w:rsid w:val="00DF533B"/>
    <w:rsid w:val="00DF55DD"/>
    <w:rsid w:val="00DF5689"/>
    <w:rsid w:val="00DF6158"/>
    <w:rsid w:val="00DF6AD0"/>
    <w:rsid w:val="00DF6BF7"/>
    <w:rsid w:val="00E00218"/>
    <w:rsid w:val="00E01101"/>
    <w:rsid w:val="00E01162"/>
    <w:rsid w:val="00E0153B"/>
    <w:rsid w:val="00E0217C"/>
    <w:rsid w:val="00E0283B"/>
    <w:rsid w:val="00E02875"/>
    <w:rsid w:val="00E03F29"/>
    <w:rsid w:val="00E04FA1"/>
    <w:rsid w:val="00E05285"/>
    <w:rsid w:val="00E05EDF"/>
    <w:rsid w:val="00E06B53"/>
    <w:rsid w:val="00E06C2F"/>
    <w:rsid w:val="00E06C8C"/>
    <w:rsid w:val="00E07387"/>
    <w:rsid w:val="00E0750E"/>
    <w:rsid w:val="00E10D05"/>
    <w:rsid w:val="00E10D93"/>
    <w:rsid w:val="00E115B1"/>
    <w:rsid w:val="00E125CE"/>
    <w:rsid w:val="00E13616"/>
    <w:rsid w:val="00E161CE"/>
    <w:rsid w:val="00E1641B"/>
    <w:rsid w:val="00E167F2"/>
    <w:rsid w:val="00E167F4"/>
    <w:rsid w:val="00E17719"/>
    <w:rsid w:val="00E17A06"/>
    <w:rsid w:val="00E17A48"/>
    <w:rsid w:val="00E2081A"/>
    <w:rsid w:val="00E20822"/>
    <w:rsid w:val="00E214A5"/>
    <w:rsid w:val="00E241F6"/>
    <w:rsid w:val="00E24241"/>
    <w:rsid w:val="00E2507A"/>
    <w:rsid w:val="00E25AB3"/>
    <w:rsid w:val="00E26017"/>
    <w:rsid w:val="00E27163"/>
    <w:rsid w:val="00E276EA"/>
    <w:rsid w:val="00E27AFE"/>
    <w:rsid w:val="00E30EA8"/>
    <w:rsid w:val="00E313C4"/>
    <w:rsid w:val="00E322F6"/>
    <w:rsid w:val="00E3235C"/>
    <w:rsid w:val="00E32604"/>
    <w:rsid w:val="00E32F8E"/>
    <w:rsid w:val="00E333AF"/>
    <w:rsid w:val="00E3432C"/>
    <w:rsid w:val="00E348AE"/>
    <w:rsid w:val="00E3593E"/>
    <w:rsid w:val="00E35CF0"/>
    <w:rsid w:val="00E35FFB"/>
    <w:rsid w:val="00E36FBF"/>
    <w:rsid w:val="00E37389"/>
    <w:rsid w:val="00E378BD"/>
    <w:rsid w:val="00E37CD6"/>
    <w:rsid w:val="00E40C33"/>
    <w:rsid w:val="00E41149"/>
    <w:rsid w:val="00E4118F"/>
    <w:rsid w:val="00E415AE"/>
    <w:rsid w:val="00E41AE2"/>
    <w:rsid w:val="00E423B3"/>
    <w:rsid w:val="00E4242E"/>
    <w:rsid w:val="00E424E0"/>
    <w:rsid w:val="00E425B9"/>
    <w:rsid w:val="00E42EAC"/>
    <w:rsid w:val="00E4400C"/>
    <w:rsid w:val="00E45043"/>
    <w:rsid w:val="00E45554"/>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713"/>
    <w:rsid w:val="00E63CBD"/>
    <w:rsid w:val="00E63D03"/>
    <w:rsid w:val="00E663D6"/>
    <w:rsid w:val="00E663DD"/>
    <w:rsid w:val="00E66C34"/>
    <w:rsid w:val="00E70081"/>
    <w:rsid w:val="00E709CC"/>
    <w:rsid w:val="00E71B98"/>
    <w:rsid w:val="00E71BD6"/>
    <w:rsid w:val="00E722E5"/>
    <w:rsid w:val="00E724B2"/>
    <w:rsid w:val="00E72684"/>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4A16"/>
    <w:rsid w:val="00E854F1"/>
    <w:rsid w:val="00E85509"/>
    <w:rsid w:val="00E85DB7"/>
    <w:rsid w:val="00E871D0"/>
    <w:rsid w:val="00E87379"/>
    <w:rsid w:val="00E8740E"/>
    <w:rsid w:val="00E90E96"/>
    <w:rsid w:val="00E91533"/>
    <w:rsid w:val="00E9287A"/>
    <w:rsid w:val="00E9460D"/>
    <w:rsid w:val="00E94660"/>
    <w:rsid w:val="00E94E05"/>
    <w:rsid w:val="00E95242"/>
    <w:rsid w:val="00E9542B"/>
    <w:rsid w:val="00E95BB5"/>
    <w:rsid w:val="00E95F6E"/>
    <w:rsid w:val="00E96FE8"/>
    <w:rsid w:val="00E97BEA"/>
    <w:rsid w:val="00EA0261"/>
    <w:rsid w:val="00EA03A7"/>
    <w:rsid w:val="00EA0B7F"/>
    <w:rsid w:val="00EA0D99"/>
    <w:rsid w:val="00EA10D9"/>
    <w:rsid w:val="00EA14C0"/>
    <w:rsid w:val="00EA16EE"/>
    <w:rsid w:val="00EA1D37"/>
    <w:rsid w:val="00EA29D4"/>
    <w:rsid w:val="00EA29F2"/>
    <w:rsid w:val="00EA2CD3"/>
    <w:rsid w:val="00EA38B3"/>
    <w:rsid w:val="00EA38C4"/>
    <w:rsid w:val="00EA3C99"/>
    <w:rsid w:val="00EA45A9"/>
    <w:rsid w:val="00EA45FF"/>
    <w:rsid w:val="00EA51A1"/>
    <w:rsid w:val="00EA5EC0"/>
    <w:rsid w:val="00EA622E"/>
    <w:rsid w:val="00EA6BE3"/>
    <w:rsid w:val="00EA7344"/>
    <w:rsid w:val="00EA7749"/>
    <w:rsid w:val="00EA7B1F"/>
    <w:rsid w:val="00EB0EE4"/>
    <w:rsid w:val="00EB27E8"/>
    <w:rsid w:val="00EB29FF"/>
    <w:rsid w:val="00EB2BB8"/>
    <w:rsid w:val="00EB4990"/>
    <w:rsid w:val="00EB5374"/>
    <w:rsid w:val="00EB59E0"/>
    <w:rsid w:val="00EB68AC"/>
    <w:rsid w:val="00EB6CED"/>
    <w:rsid w:val="00EC0804"/>
    <w:rsid w:val="00EC1101"/>
    <w:rsid w:val="00EC114A"/>
    <w:rsid w:val="00EC18E0"/>
    <w:rsid w:val="00EC1F39"/>
    <w:rsid w:val="00EC2495"/>
    <w:rsid w:val="00EC266D"/>
    <w:rsid w:val="00EC28BE"/>
    <w:rsid w:val="00EC390C"/>
    <w:rsid w:val="00EC3C07"/>
    <w:rsid w:val="00EC40CE"/>
    <w:rsid w:val="00EC45B6"/>
    <w:rsid w:val="00EC4F13"/>
    <w:rsid w:val="00EC54EC"/>
    <w:rsid w:val="00EC578A"/>
    <w:rsid w:val="00EC6436"/>
    <w:rsid w:val="00EC67A0"/>
    <w:rsid w:val="00EC692E"/>
    <w:rsid w:val="00EC7138"/>
    <w:rsid w:val="00ED020C"/>
    <w:rsid w:val="00ED0DAE"/>
    <w:rsid w:val="00ED1058"/>
    <w:rsid w:val="00ED194C"/>
    <w:rsid w:val="00ED31FF"/>
    <w:rsid w:val="00ED37D8"/>
    <w:rsid w:val="00ED412B"/>
    <w:rsid w:val="00ED57FE"/>
    <w:rsid w:val="00ED5DF4"/>
    <w:rsid w:val="00ED712A"/>
    <w:rsid w:val="00ED75CF"/>
    <w:rsid w:val="00ED7679"/>
    <w:rsid w:val="00ED7961"/>
    <w:rsid w:val="00ED79A9"/>
    <w:rsid w:val="00EE0823"/>
    <w:rsid w:val="00EE082F"/>
    <w:rsid w:val="00EE22A0"/>
    <w:rsid w:val="00EE2EDC"/>
    <w:rsid w:val="00EE3D59"/>
    <w:rsid w:val="00EE42A7"/>
    <w:rsid w:val="00EE4BD1"/>
    <w:rsid w:val="00EE4CD7"/>
    <w:rsid w:val="00EE50C5"/>
    <w:rsid w:val="00EE6FCF"/>
    <w:rsid w:val="00EE72DC"/>
    <w:rsid w:val="00EE73C5"/>
    <w:rsid w:val="00EF01AC"/>
    <w:rsid w:val="00EF1EB8"/>
    <w:rsid w:val="00EF23C2"/>
    <w:rsid w:val="00EF23EE"/>
    <w:rsid w:val="00EF54EB"/>
    <w:rsid w:val="00EF55A5"/>
    <w:rsid w:val="00EF623C"/>
    <w:rsid w:val="00EF6CF2"/>
    <w:rsid w:val="00EF6D14"/>
    <w:rsid w:val="00EF6D65"/>
    <w:rsid w:val="00EF70A8"/>
    <w:rsid w:val="00EF7E76"/>
    <w:rsid w:val="00F00A1A"/>
    <w:rsid w:val="00F0265C"/>
    <w:rsid w:val="00F06613"/>
    <w:rsid w:val="00F070CB"/>
    <w:rsid w:val="00F07B6A"/>
    <w:rsid w:val="00F10909"/>
    <w:rsid w:val="00F11EBE"/>
    <w:rsid w:val="00F11F36"/>
    <w:rsid w:val="00F11F9F"/>
    <w:rsid w:val="00F12A63"/>
    <w:rsid w:val="00F12AF0"/>
    <w:rsid w:val="00F12F4C"/>
    <w:rsid w:val="00F133AD"/>
    <w:rsid w:val="00F142B6"/>
    <w:rsid w:val="00F143CA"/>
    <w:rsid w:val="00F16C8B"/>
    <w:rsid w:val="00F16F9B"/>
    <w:rsid w:val="00F17A2E"/>
    <w:rsid w:val="00F208D3"/>
    <w:rsid w:val="00F20B38"/>
    <w:rsid w:val="00F20D46"/>
    <w:rsid w:val="00F21266"/>
    <w:rsid w:val="00F219E7"/>
    <w:rsid w:val="00F22A94"/>
    <w:rsid w:val="00F23339"/>
    <w:rsid w:val="00F24D82"/>
    <w:rsid w:val="00F252F6"/>
    <w:rsid w:val="00F25B2D"/>
    <w:rsid w:val="00F25ECF"/>
    <w:rsid w:val="00F274E1"/>
    <w:rsid w:val="00F3094C"/>
    <w:rsid w:val="00F30B72"/>
    <w:rsid w:val="00F315EA"/>
    <w:rsid w:val="00F31C29"/>
    <w:rsid w:val="00F32784"/>
    <w:rsid w:val="00F32825"/>
    <w:rsid w:val="00F32857"/>
    <w:rsid w:val="00F3285D"/>
    <w:rsid w:val="00F32B4C"/>
    <w:rsid w:val="00F32C83"/>
    <w:rsid w:val="00F32CDF"/>
    <w:rsid w:val="00F32F79"/>
    <w:rsid w:val="00F33442"/>
    <w:rsid w:val="00F33E55"/>
    <w:rsid w:val="00F340BD"/>
    <w:rsid w:val="00F3469D"/>
    <w:rsid w:val="00F34B38"/>
    <w:rsid w:val="00F353FF"/>
    <w:rsid w:val="00F35706"/>
    <w:rsid w:val="00F35808"/>
    <w:rsid w:val="00F35A65"/>
    <w:rsid w:val="00F374A5"/>
    <w:rsid w:val="00F374C6"/>
    <w:rsid w:val="00F37A2F"/>
    <w:rsid w:val="00F410C8"/>
    <w:rsid w:val="00F4119B"/>
    <w:rsid w:val="00F421C1"/>
    <w:rsid w:val="00F423AF"/>
    <w:rsid w:val="00F42DD0"/>
    <w:rsid w:val="00F43E16"/>
    <w:rsid w:val="00F43E29"/>
    <w:rsid w:val="00F4447B"/>
    <w:rsid w:val="00F44F3C"/>
    <w:rsid w:val="00F45748"/>
    <w:rsid w:val="00F45F1E"/>
    <w:rsid w:val="00F47057"/>
    <w:rsid w:val="00F47775"/>
    <w:rsid w:val="00F47A5D"/>
    <w:rsid w:val="00F50FDA"/>
    <w:rsid w:val="00F51196"/>
    <w:rsid w:val="00F537A6"/>
    <w:rsid w:val="00F53F23"/>
    <w:rsid w:val="00F5450A"/>
    <w:rsid w:val="00F55242"/>
    <w:rsid w:val="00F557E6"/>
    <w:rsid w:val="00F55D04"/>
    <w:rsid w:val="00F570C6"/>
    <w:rsid w:val="00F570FA"/>
    <w:rsid w:val="00F60BE6"/>
    <w:rsid w:val="00F61DD4"/>
    <w:rsid w:val="00F639BA"/>
    <w:rsid w:val="00F639FC"/>
    <w:rsid w:val="00F64F4A"/>
    <w:rsid w:val="00F650E7"/>
    <w:rsid w:val="00F65423"/>
    <w:rsid w:val="00F65CFA"/>
    <w:rsid w:val="00F66015"/>
    <w:rsid w:val="00F66959"/>
    <w:rsid w:val="00F70B13"/>
    <w:rsid w:val="00F71A34"/>
    <w:rsid w:val="00F71B22"/>
    <w:rsid w:val="00F71E57"/>
    <w:rsid w:val="00F72413"/>
    <w:rsid w:val="00F72874"/>
    <w:rsid w:val="00F731AF"/>
    <w:rsid w:val="00F73470"/>
    <w:rsid w:val="00F73F02"/>
    <w:rsid w:val="00F74628"/>
    <w:rsid w:val="00F74A45"/>
    <w:rsid w:val="00F74D41"/>
    <w:rsid w:val="00F75FBD"/>
    <w:rsid w:val="00F7671F"/>
    <w:rsid w:val="00F76999"/>
    <w:rsid w:val="00F76C00"/>
    <w:rsid w:val="00F77090"/>
    <w:rsid w:val="00F7775A"/>
    <w:rsid w:val="00F77D7B"/>
    <w:rsid w:val="00F804EC"/>
    <w:rsid w:val="00F80E34"/>
    <w:rsid w:val="00F8194D"/>
    <w:rsid w:val="00F81AA6"/>
    <w:rsid w:val="00F82023"/>
    <w:rsid w:val="00F83091"/>
    <w:rsid w:val="00F84A3D"/>
    <w:rsid w:val="00F84A4E"/>
    <w:rsid w:val="00F84FA1"/>
    <w:rsid w:val="00F85C53"/>
    <w:rsid w:val="00F86A5C"/>
    <w:rsid w:val="00F86EA1"/>
    <w:rsid w:val="00F87465"/>
    <w:rsid w:val="00F90C6D"/>
    <w:rsid w:val="00F91A8B"/>
    <w:rsid w:val="00F91EFB"/>
    <w:rsid w:val="00F9244B"/>
    <w:rsid w:val="00F94080"/>
    <w:rsid w:val="00F94224"/>
    <w:rsid w:val="00F9422F"/>
    <w:rsid w:val="00F94826"/>
    <w:rsid w:val="00F9582C"/>
    <w:rsid w:val="00F96FDE"/>
    <w:rsid w:val="00F97E50"/>
    <w:rsid w:val="00FA020F"/>
    <w:rsid w:val="00FA30BF"/>
    <w:rsid w:val="00FA3480"/>
    <w:rsid w:val="00FA4128"/>
    <w:rsid w:val="00FA5A70"/>
    <w:rsid w:val="00FA73A0"/>
    <w:rsid w:val="00FB0740"/>
    <w:rsid w:val="00FB1245"/>
    <w:rsid w:val="00FB18C9"/>
    <w:rsid w:val="00FB19F4"/>
    <w:rsid w:val="00FB1A31"/>
    <w:rsid w:val="00FB26F0"/>
    <w:rsid w:val="00FB5146"/>
    <w:rsid w:val="00FB52B2"/>
    <w:rsid w:val="00FB5C65"/>
    <w:rsid w:val="00FB60DF"/>
    <w:rsid w:val="00FB6C6B"/>
    <w:rsid w:val="00FB7168"/>
    <w:rsid w:val="00FB7266"/>
    <w:rsid w:val="00FB73F5"/>
    <w:rsid w:val="00FB746D"/>
    <w:rsid w:val="00FB7C82"/>
    <w:rsid w:val="00FC031A"/>
    <w:rsid w:val="00FC050D"/>
    <w:rsid w:val="00FC0B38"/>
    <w:rsid w:val="00FC0C44"/>
    <w:rsid w:val="00FC1DD3"/>
    <w:rsid w:val="00FC236B"/>
    <w:rsid w:val="00FC28DA"/>
    <w:rsid w:val="00FC293E"/>
    <w:rsid w:val="00FC3152"/>
    <w:rsid w:val="00FC35B2"/>
    <w:rsid w:val="00FC3BA8"/>
    <w:rsid w:val="00FC4BA0"/>
    <w:rsid w:val="00FC61E6"/>
    <w:rsid w:val="00FC711D"/>
    <w:rsid w:val="00FC74FC"/>
    <w:rsid w:val="00FC7C50"/>
    <w:rsid w:val="00FD0549"/>
    <w:rsid w:val="00FD0851"/>
    <w:rsid w:val="00FD2737"/>
    <w:rsid w:val="00FD2A58"/>
    <w:rsid w:val="00FD4701"/>
    <w:rsid w:val="00FD56D6"/>
    <w:rsid w:val="00FD5FEC"/>
    <w:rsid w:val="00FD6B4C"/>
    <w:rsid w:val="00FD782C"/>
    <w:rsid w:val="00FE0BDF"/>
    <w:rsid w:val="00FE11EE"/>
    <w:rsid w:val="00FE216E"/>
    <w:rsid w:val="00FE2F4C"/>
    <w:rsid w:val="00FE44DF"/>
    <w:rsid w:val="00FE45BC"/>
    <w:rsid w:val="00FE4D25"/>
    <w:rsid w:val="00FE4D2E"/>
    <w:rsid w:val="00FE5AF8"/>
    <w:rsid w:val="00FE60B2"/>
    <w:rsid w:val="00FE613B"/>
    <w:rsid w:val="00FE67A2"/>
    <w:rsid w:val="00FE78CA"/>
    <w:rsid w:val="00FE7C16"/>
    <w:rsid w:val="00FF0299"/>
    <w:rsid w:val="00FF0692"/>
    <w:rsid w:val="00FF0C54"/>
    <w:rsid w:val="00FF1148"/>
    <w:rsid w:val="00FF1497"/>
    <w:rsid w:val="00FF22E3"/>
    <w:rsid w:val="00FF32E4"/>
    <w:rsid w:val="00FF4BF4"/>
    <w:rsid w:val="00FF533B"/>
    <w:rsid w:val="00FF6795"/>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2E911187-2A47-4894-A9E9-79983EB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character" w:styleId="Textoennegrita">
    <w:name w:val="Strong"/>
    <w:basedOn w:val="Fuentedeprrafopredeter"/>
    <w:uiPriority w:val="22"/>
    <w:qFormat/>
    <w:rsid w:val="002A5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2482">
      <w:bodyDiv w:val="1"/>
      <w:marLeft w:val="0"/>
      <w:marRight w:val="0"/>
      <w:marTop w:val="0"/>
      <w:marBottom w:val="0"/>
      <w:divBdr>
        <w:top w:val="none" w:sz="0" w:space="0" w:color="auto"/>
        <w:left w:val="none" w:sz="0" w:space="0" w:color="auto"/>
        <w:bottom w:val="none" w:sz="0" w:space="0" w:color="auto"/>
        <w:right w:val="none" w:sz="0" w:space="0" w:color="auto"/>
      </w:divBdr>
    </w:div>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11399372">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289630464">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E0E9-724A-42B0-A6F7-9CFA8B79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10682</Words>
  <Characters>58755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Williams Hernandez</dc:creator>
  <cp:lastModifiedBy>Adriana Williams Hernandez</cp:lastModifiedBy>
  <cp:revision>6</cp:revision>
  <cp:lastPrinted>2014-12-10T22:16:00Z</cp:lastPrinted>
  <dcterms:created xsi:type="dcterms:W3CDTF">2019-05-06T21:51:00Z</dcterms:created>
  <dcterms:modified xsi:type="dcterms:W3CDTF">2019-05-06T21:55:00Z</dcterms:modified>
</cp:coreProperties>
</file>