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AF" w:rsidRDefault="00F23AAF" w:rsidP="00246898">
      <w:pPr>
        <w:spacing w:after="0" w:line="23" w:lineRule="atLeast"/>
        <w:contextualSpacing/>
        <w:jc w:val="both"/>
        <w:rPr>
          <w:rFonts w:ascii="ITC Avant Garde" w:hAnsi="ITC Avant Garde"/>
          <w:b/>
        </w:rPr>
      </w:pPr>
      <w:r w:rsidRPr="001A2D33">
        <w:rPr>
          <w:rFonts w:ascii="ITC Avant Garde" w:hAnsi="ITC Avant Garde"/>
          <w:b/>
        </w:rPr>
        <w:t xml:space="preserve">RESPUESTAS GENERALES </w:t>
      </w:r>
      <w:r>
        <w:rPr>
          <w:rFonts w:ascii="ITC Avant Garde" w:hAnsi="ITC Avant Garde"/>
          <w:b/>
        </w:rPr>
        <w:t xml:space="preserve">DEL INSTITUTO FEDERAL DE TELECOMUNICACIONES </w:t>
      </w:r>
      <w:r w:rsidRPr="001A2D33">
        <w:rPr>
          <w:rFonts w:ascii="ITC Avant Garde" w:hAnsi="ITC Avant Garde"/>
          <w:b/>
        </w:rPr>
        <w:t xml:space="preserve">A LOS COMENTARIOS, OPINIONES Y MANIFESTACIONES RECIBIDAS DURANTE LA CONSULTA PÚBLICA DEL ANTEPROYECTO </w:t>
      </w:r>
      <w:r w:rsidRPr="00F23AAF">
        <w:rPr>
          <w:rFonts w:ascii="ITC Avant Garde" w:hAnsi="ITC Avant Garde"/>
          <w:b/>
        </w:rPr>
        <w:t>DE ACUERDO MEDIANTE EL CUAL SE MODIFICAN LAS FRACCIONES XXIV Y XXXIV DEL ARTÍCULO 2, ASÍ COMO EL PÁRRAFO SEGUNDO Y LA FRACCIÓN VIII DEL ARTÍCULO 8 Y SE ADICIONA EL FORMATO “IFT-CONCESIÓN ESPECTRO RADIOELÉCTRICO TIPO B2” A LOS LINEAMIENTOS GENERALES PARA EL OTORGAMIENTO DE LAS CONCESIONES A QUE SE REFIERE EL TÍTULO CUARTO DE LA LEY FEDERAL DE TEL</w:t>
      </w:r>
      <w:r w:rsidR="00182874">
        <w:rPr>
          <w:rFonts w:ascii="ITC Avant Garde" w:hAnsi="ITC Avant Garde"/>
          <w:b/>
        </w:rPr>
        <w:t>ECOMUNICACIONES Y RADIODIFUSIÓN</w:t>
      </w:r>
    </w:p>
    <w:p w:rsidR="00246898" w:rsidRDefault="00246898" w:rsidP="00246898">
      <w:pPr>
        <w:spacing w:after="0" w:line="23" w:lineRule="atLeast"/>
        <w:contextualSpacing/>
        <w:jc w:val="both"/>
        <w:rPr>
          <w:rFonts w:ascii="ITC Avant Garde" w:hAnsi="ITC Avant Garde"/>
          <w:b/>
        </w:rPr>
      </w:pPr>
    </w:p>
    <w:p w:rsidR="00F23AAF" w:rsidRDefault="00F23AAF" w:rsidP="00246898">
      <w:pPr>
        <w:spacing w:after="0" w:line="23" w:lineRule="atLeast"/>
        <w:contextualSpacing/>
        <w:jc w:val="both"/>
        <w:rPr>
          <w:rFonts w:ascii="ITC Avant Garde" w:hAnsi="ITC Avant Garde"/>
        </w:rPr>
      </w:pPr>
      <w:r>
        <w:rPr>
          <w:rFonts w:ascii="ITC Avant Garde" w:hAnsi="ITC Avant Garde"/>
        </w:rPr>
        <w:t>Con relación a los comentarios, opiniones y manifestaciones recibidas durante el período comprendido del 13 de agosto</w:t>
      </w:r>
      <w:r w:rsidRPr="00D033D2">
        <w:rPr>
          <w:rFonts w:ascii="ITC Avant Garde" w:hAnsi="ITC Avant Garde"/>
        </w:rPr>
        <w:t xml:space="preserve"> </w:t>
      </w:r>
      <w:r>
        <w:rPr>
          <w:rFonts w:ascii="ITC Avant Garde" w:hAnsi="ITC Avant Garde"/>
        </w:rPr>
        <w:t>al 7 de septiembre de 2018, en relación con el Anteproyecto materia de la consulta pública de mérito, se informa que el Instituto Federal de Telecomunicaciones (el “Instituto”) identificó diversos temas coincidentes y reiterados en su contenido, por lo que para efectos de su atención éstos han sido agrupados conforme a diversos temas genéricos para su mejor identificación. No obstante, se menciona que todas las opiniones y pronunciamientos recibidos, se encuentran disponibles para su consulta en la página de Internet del Instituto.</w:t>
      </w:r>
    </w:p>
    <w:p w:rsidR="00246898" w:rsidRDefault="00246898" w:rsidP="00246898">
      <w:pPr>
        <w:spacing w:after="0" w:line="23" w:lineRule="atLeast"/>
        <w:contextualSpacing/>
        <w:jc w:val="both"/>
        <w:rPr>
          <w:rFonts w:ascii="ITC Avant Garde" w:hAnsi="ITC Avant Garde"/>
        </w:rPr>
      </w:pPr>
    </w:p>
    <w:p w:rsidR="00F23AAF" w:rsidRDefault="00F23AAF" w:rsidP="00246898">
      <w:pPr>
        <w:spacing w:after="0" w:line="23" w:lineRule="atLeast"/>
        <w:contextualSpacing/>
        <w:jc w:val="both"/>
        <w:rPr>
          <w:rFonts w:ascii="ITC Avant Garde" w:hAnsi="ITC Avant Garde"/>
        </w:rPr>
      </w:pPr>
      <w:r>
        <w:rPr>
          <w:rFonts w:ascii="ITC Avant Garde" w:hAnsi="ITC Avant Garde"/>
        </w:rPr>
        <w:t>Una vez concluido el plazo de consulta respectivo, se publicaron en el portal de Internet del Instituto todos y cada uno de los comentarios, opiniones y propuestas concretas recibidas respecto del Anteproyecto materia de la consulta.</w:t>
      </w:r>
    </w:p>
    <w:p w:rsidR="00246898" w:rsidRDefault="00246898" w:rsidP="00246898">
      <w:pPr>
        <w:spacing w:after="0" w:line="23" w:lineRule="atLeast"/>
        <w:contextualSpacing/>
        <w:jc w:val="both"/>
        <w:rPr>
          <w:rFonts w:ascii="ITC Avant Garde" w:hAnsi="ITC Avant Garde"/>
        </w:rPr>
      </w:pPr>
    </w:p>
    <w:p w:rsidR="00F23AAF" w:rsidRDefault="00F23AAF" w:rsidP="00246898">
      <w:pPr>
        <w:spacing w:after="0" w:line="23" w:lineRule="atLeast"/>
        <w:contextualSpacing/>
        <w:jc w:val="both"/>
        <w:rPr>
          <w:rFonts w:ascii="ITC Avant Garde" w:hAnsi="ITC Avant Garde"/>
        </w:rPr>
      </w:pPr>
      <w:r>
        <w:rPr>
          <w:rFonts w:ascii="ITC Avant Garde" w:hAnsi="ITC Avant Garde"/>
        </w:rPr>
        <w:t>En este sentido, se señala que el orden en que son abordados cada uno de los temas genéricos que a continuación se señalan, obedece principalmente al orden en que cada uno de éstos aparece en el Anteproyecto de</w:t>
      </w:r>
      <w:r w:rsidR="00CF1EEE">
        <w:rPr>
          <w:rFonts w:ascii="ITC Avant Garde" w:hAnsi="ITC Avant Garde"/>
        </w:rPr>
        <w:t xml:space="preserve"> Acuerdo mediante el c</w:t>
      </w:r>
      <w:r w:rsidR="00CF1EEE" w:rsidRPr="00CF1EEE">
        <w:rPr>
          <w:rFonts w:ascii="ITC Avant Garde" w:hAnsi="ITC Avant Garde"/>
        </w:rPr>
        <w:t xml:space="preserve">ual </w:t>
      </w:r>
      <w:r w:rsidR="00CF1EEE">
        <w:rPr>
          <w:rFonts w:ascii="ITC Avant Garde" w:hAnsi="ITC Avant Garde"/>
        </w:rPr>
        <w:t>se modifican l</w:t>
      </w:r>
      <w:r w:rsidR="00CF1EEE" w:rsidRPr="00CF1EEE">
        <w:rPr>
          <w:rFonts w:ascii="ITC Avant Garde" w:hAnsi="ITC Avant Garde"/>
        </w:rPr>
        <w:t xml:space="preserve">as </w:t>
      </w:r>
      <w:r w:rsidR="00CF1EEE">
        <w:rPr>
          <w:rFonts w:ascii="ITC Avant Garde" w:hAnsi="ITC Avant Garde"/>
        </w:rPr>
        <w:t>f</w:t>
      </w:r>
      <w:r w:rsidR="00CF1EEE" w:rsidRPr="00CF1EEE">
        <w:rPr>
          <w:rFonts w:ascii="ITC Avant Garde" w:hAnsi="ITC Avant Garde"/>
        </w:rPr>
        <w:t xml:space="preserve">racciones XXIV </w:t>
      </w:r>
      <w:r w:rsidR="00CF1EEE">
        <w:rPr>
          <w:rFonts w:ascii="ITC Avant Garde" w:hAnsi="ITC Avant Garde"/>
        </w:rPr>
        <w:t>y</w:t>
      </w:r>
      <w:r w:rsidR="00CF1EEE" w:rsidRPr="00CF1EEE">
        <w:rPr>
          <w:rFonts w:ascii="ITC Avant Garde" w:hAnsi="ITC Avant Garde"/>
        </w:rPr>
        <w:t xml:space="preserve"> XXXIV</w:t>
      </w:r>
      <w:r w:rsidR="00CF1EEE">
        <w:rPr>
          <w:rFonts w:ascii="ITC Avant Garde" w:hAnsi="ITC Avant Garde"/>
        </w:rPr>
        <w:t xml:space="preserve"> del a</w:t>
      </w:r>
      <w:r w:rsidR="00CF1EEE" w:rsidRPr="00CF1EEE">
        <w:rPr>
          <w:rFonts w:ascii="ITC Avant Garde" w:hAnsi="ITC Avant Garde"/>
        </w:rPr>
        <w:t>rtículo 2, así como el párrafo segundo y la fracción VIII del artículo 8 y se adiciona el formato “IFT-</w:t>
      </w:r>
      <w:r w:rsidR="00CF1EEE">
        <w:rPr>
          <w:rFonts w:ascii="ITC Avant Garde" w:hAnsi="ITC Avant Garde"/>
        </w:rPr>
        <w:t>C</w:t>
      </w:r>
      <w:r w:rsidR="00CF1EEE" w:rsidRPr="00CF1EEE">
        <w:rPr>
          <w:rFonts w:ascii="ITC Avant Garde" w:hAnsi="ITC Avant Garde"/>
        </w:rPr>
        <w:t xml:space="preserve">oncesión </w:t>
      </w:r>
      <w:r w:rsidR="00CF1EEE">
        <w:rPr>
          <w:rFonts w:ascii="ITC Avant Garde" w:hAnsi="ITC Avant Garde"/>
        </w:rPr>
        <w:t>Espectro Radioeléctrico Tipo B</w:t>
      </w:r>
      <w:r w:rsidR="00CF1EEE" w:rsidRPr="00CF1EEE">
        <w:rPr>
          <w:rFonts w:ascii="ITC Avant Garde" w:hAnsi="ITC Avant Garde"/>
        </w:rPr>
        <w:t xml:space="preserve">2” a los </w:t>
      </w:r>
      <w:r w:rsidR="00182874">
        <w:rPr>
          <w:rFonts w:ascii="ITC Avant Garde" w:hAnsi="ITC Avant Garde"/>
        </w:rPr>
        <w:t>L</w:t>
      </w:r>
      <w:r w:rsidR="00CF1EEE" w:rsidRPr="00CF1EEE">
        <w:rPr>
          <w:rFonts w:ascii="ITC Avant Garde" w:hAnsi="ITC Avant Garde"/>
        </w:rPr>
        <w:t>ineamientos generales para el otorgamiento de las c</w:t>
      </w:r>
      <w:r w:rsidR="00182874">
        <w:rPr>
          <w:rFonts w:ascii="ITC Avant Garde" w:hAnsi="ITC Avant Garde"/>
        </w:rPr>
        <w:t>oncesiones a que se refiere el Título C</w:t>
      </w:r>
      <w:r w:rsidR="00CF1EEE" w:rsidRPr="00CF1EEE">
        <w:rPr>
          <w:rFonts w:ascii="ITC Avant Garde" w:hAnsi="ITC Avant Garde"/>
        </w:rPr>
        <w:t>uarto</w:t>
      </w:r>
      <w:r w:rsidR="00182874">
        <w:rPr>
          <w:rFonts w:ascii="ITC Avant Garde" w:hAnsi="ITC Avant Garde"/>
        </w:rPr>
        <w:t xml:space="preserve"> de la Ley Federal de T</w:t>
      </w:r>
      <w:r w:rsidR="00CF1EEE" w:rsidRPr="00CF1EEE">
        <w:rPr>
          <w:rFonts w:ascii="ITC Avant Garde" w:hAnsi="ITC Avant Garde"/>
        </w:rPr>
        <w:t xml:space="preserve">elecomunicaciones y </w:t>
      </w:r>
      <w:r w:rsidR="00182874">
        <w:rPr>
          <w:rFonts w:ascii="ITC Avant Garde" w:hAnsi="ITC Avant Garde"/>
        </w:rPr>
        <w:t>R</w:t>
      </w:r>
      <w:r w:rsidR="00CF1EEE" w:rsidRPr="00CF1EEE">
        <w:rPr>
          <w:rFonts w:ascii="ITC Avant Garde" w:hAnsi="ITC Avant Garde"/>
        </w:rPr>
        <w:t>adiodifusión.</w:t>
      </w:r>
    </w:p>
    <w:p w:rsidR="00246898" w:rsidRDefault="00246898" w:rsidP="00246898">
      <w:pPr>
        <w:spacing w:after="0" w:line="23" w:lineRule="atLeast"/>
        <w:contextualSpacing/>
        <w:jc w:val="both"/>
        <w:rPr>
          <w:rFonts w:ascii="ITC Avant Garde" w:hAnsi="ITC Avant Garde"/>
        </w:rPr>
      </w:pPr>
    </w:p>
    <w:p w:rsidR="00F23AAF" w:rsidRPr="00246898" w:rsidRDefault="00F23AAF" w:rsidP="00246898">
      <w:pPr>
        <w:pStyle w:val="Prrafodelista"/>
        <w:numPr>
          <w:ilvl w:val="0"/>
          <w:numId w:val="6"/>
        </w:numPr>
        <w:spacing w:after="0" w:line="23" w:lineRule="atLeast"/>
        <w:jc w:val="both"/>
        <w:rPr>
          <w:rFonts w:ascii="ITC Avant Garde" w:hAnsi="ITC Avant Garde"/>
          <w:b/>
        </w:rPr>
      </w:pPr>
      <w:r w:rsidRPr="00246898">
        <w:rPr>
          <w:rFonts w:ascii="ITC Avant Garde" w:hAnsi="ITC Avant Garde"/>
          <w:b/>
        </w:rPr>
        <w:t>COMENTARIOS GENERALES</w:t>
      </w:r>
    </w:p>
    <w:p w:rsidR="00F472B3" w:rsidRDefault="00F472B3" w:rsidP="00246898">
      <w:pPr>
        <w:spacing w:after="0" w:line="23" w:lineRule="atLeast"/>
        <w:contextualSpacing/>
        <w:jc w:val="both"/>
        <w:rPr>
          <w:rFonts w:ascii="ITC Avant Garde" w:hAnsi="ITC Avant Garde"/>
        </w:rPr>
      </w:pPr>
    </w:p>
    <w:p w:rsidR="00182874" w:rsidRDefault="00F76309" w:rsidP="00246898">
      <w:pPr>
        <w:spacing w:after="0" w:line="23" w:lineRule="atLeast"/>
        <w:contextualSpacing/>
        <w:jc w:val="both"/>
        <w:rPr>
          <w:rFonts w:ascii="ITC Avant Garde" w:hAnsi="ITC Avant Garde"/>
        </w:rPr>
      </w:pPr>
      <w:r>
        <w:rPr>
          <w:rFonts w:ascii="ITC Avant Garde" w:hAnsi="ITC Avant Garde"/>
        </w:rPr>
        <w:t>Fue</w:t>
      </w:r>
      <w:r w:rsidR="00182874">
        <w:rPr>
          <w:rFonts w:ascii="ITC Avant Garde" w:hAnsi="ITC Avant Garde"/>
        </w:rPr>
        <w:t xml:space="preserve"> mediante tres participaciones </w:t>
      </w:r>
      <w:r>
        <w:rPr>
          <w:rFonts w:ascii="ITC Avant Garde" w:hAnsi="ITC Avant Garde"/>
        </w:rPr>
        <w:t xml:space="preserve">que </w:t>
      </w:r>
      <w:r w:rsidR="00182874">
        <w:rPr>
          <w:rFonts w:ascii="ITC Avant Garde" w:hAnsi="ITC Avant Garde"/>
        </w:rPr>
        <w:t xml:space="preserve">se </w:t>
      </w:r>
      <w:r>
        <w:rPr>
          <w:rFonts w:ascii="ITC Avant Garde" w:hAnsi="ITC Avant Garde"/>
        </w:rPr>
        <w:t>realizaron diversos comentarios tanto en lo general, al no recaer en algún artículo o sección en particular del anteproyecto, como en lo particular respecto a artículos en concreto respecto del Anteproyecto; el primero de ellos es la Federación Mexicana de Radio Experimentadores, A.C. (en lo sucesivo</w:t>
      </w:r>
      <w:r w:rsidR="00E7441E">
        <w:rPr>
          <w:rFonts w:ascii="ITC Avant Garde" w:hAnsi="ITC Avant Garde"/>
        </w:rPr>
        <w:t>,</w:t>
      </w:r>
      <w:r>
        <w:rPr>
          <w:rFonts w:ascii="ITC Avant Garde" w:hAnsi="ITC Avant Garde"/>
        </w:rPr>
        <w:t xml:space="preserve"> </w:t>
      </w:r>
      <w:r w:rsidR="00E7441E">
        <w:rPr>
          <w:rFonts w:ascii="ITC Avant Garde" w:hAnsi="ITC Avant Garde"/>
        </w:rPr>
        <w:t>“</w:t>
      </w:r>
      <w:r>
        <w:rPr>
          <w:rFonts w:ascii="ITC Avant Garde" w:hAnsi="ITC Avant Garde"/>
        </w:rPr>
        <w:t xml:space="preserve">la </w:t>
      </w:r>
      <w:r w:rsidR="00182874">
        <w:rPr>
          <w:rFonts w:ascii="ITC Avant Garde" w:hAnsi="ITC Avant Garde"/>
        </w:rPr>
        <w:t>FMRE</w:t>
      </w:r>
      <w:r w:rsidR="00E7441E">
        <w:rPr>
          <w:rFonts w:ascii="ITC Avant Garde" w:hAnsi="ITC Avant Garde"/>
        </w:rPr>
        <w:t>”</w:t>
      </w:r>
      <w:r>
        <w:rPr>
          <w:rFonts w:ascii="ITC Avant Garde" w:hAnsi="ITC Avant Garde"/>
        </w:rPr>
        <w:t xml:space="preserve">), el segundo es </w:t>
      </w:r>
      <w:r w:rsidR="00182874">
        <w:rPr>
          <w:rFonts w:ascii="ITC Avant Garde" w:hAnsi="ITC Avant Garde"/>
        </w:rPr>
        <w:t>del C. José Ignacio Medina y por último la Asociación Iberoamericana de Centros de Investigación y Empresas de Telecomunicaciones (en lo sucesivo “la ASIET”)</w:t>
      </w:r>
      <w:r>
        <w:rPr>
          <w:rFonts w:ascii="ITC Avant Garde" w:hAnsi="ITC Avant Garde"/>
        </w:rPr>
        <w:t xml:space="preserve"> por condu</w:t>
      </w:r>
      <w:r w:rsidR="00182874">
        <w:rPr>
          <w:rFonts w:ascii="ITC Avant Garde" w:hAnsi="ITC Avant Garde"/>
        </w:rPr>
        <w:t>cto de Pablo Bello Arellano.</w:t>
      </w:r>
    </w:p>
    <w:p w:rsidR="00D01A55" w:rsidRDefault="00D01A55" w:rsidP="00246898">
      <w:pPr>
        <w:spacing w:after="0" w:line="23" w:lineRule="atLeast"/>
        <w:contextualSpacing/>
        <w:jc w:val="both"/>
        <w:rPr>
          <w:rFonts w:ascii="ITC Avant Garde" w:hAnsi="ITC Avant Garde"/>
        </w:rPr>
      </w:pPr>
      <w:r w:rsidRPr="00D01A55">
        <w:rPr>
          <w:rFonts w:ascii="ITC Avant Garde" w:hAnsi="ITC Avant Garde"/>
          <w:b/>
        </w:rPr>
        <w:lastRenderedPageBreak/>
        <w:t>Comentario</w:t>
      </w:r>
      <w:r w:rsidR="00EE1AEA">
        <w:rPr>
          <w:rFonts w:ascii="ITC Avant Garde" w:hAnsi="ITC Avant Garde"/>
          <w:b/>
        </w:rPr>
        <w:t xml:space="preserve"> 1.1.</w:t>
      </w:r>
      <w:r>
        <w:rPr>
          <w:rFonts w:ascii="ITC Avant Garde" w:hAnsi="ITC Avant Garde"/>
        </w:rPr>
        <w:t xml:space="preserve"> </w:t>
      </w:r>
      <w:r w:rsidR="00F23AAF">
        <w:rPr>
          <w:rFonts w:ascii="ITC Avant Garde" w:hAnsi="ITC Avant Garde"/>
        </w:rPr>
        <w:t xml:space="preserve">En lo que respecta a los comentarios </w:t>
      </w:r>
      <w:r w:rsidR="00101965">
        <w:rPr>
          <w:rFonts w:ascii="ITC Avant Garde" w:hAnsi="ITC Avant Garde"/>
        </w:rPr>
        <w:t xml:space="preserve">de la </w:t>
      </w:r>
      <w:r w:rsidR="00182874">
        <w:rPr>
          <w:rFonts w:ascii="ITC Avant Garde" w:hAnsi="ITC Avant Garde"/>
        </w:rPr>
        <w:t>FMRE, esta sugiere</w:t>
      </w:r>
      <w:r w:rsidR="00101965">
        <w:rPr>
          <w:rFonts w:ascii="ITC Avant Garde" w:hAnsi="ITC Avant Garde"/>
        </w:rPr>
        <w:t xml:space="preserve"> incluir en el objeto del Anteproyecto la regulación de los permisos correspondientes a radioaficionados que visitan nuestro país y que desean hacen uso de </w:t>
      </w:r>
      <w:r w:rsidR="00AB63F1">
        <w:rPr>
          <w:rFonts w:ascii="ITC Avant Garde" w:hAnsi="ITC Avant Garde"/>
        </w:rPr>
        <w:t>las</w:t>
      </w:r>
      <w:r w:rsidR="00101965">
        <w:rPr>
          <w:rFonts w:ascii="ITC Avant Garde" w:hAnsi="ITC Avant Garde"/>
        </w:rPr>
        <w:t xml:space="preserve"> </w:t>
      </w:r>
      <w:r w:rsidR="00AB63F1">
        <w:rPr>
          <w:rFonts w:ascii="ITC Avant Garde" w:hAnsi="ITC Avant Garde"/>
        </w:rPr>
        <w:t>frecuencias</w:t>
      </w:r>
      <w:r w:rsidR="00101965">
        <w:rPr>
          <w:rFonts w:ascii="ITC Avant Garde" w:hAnsi="ITC Avant Garde"/>
        </w:rPr>
        <w:t xml:space="preserve"> de</w:t>
      </w:r>
      <w:r w:rsidR="00AB63F1">
        <w:rPr>
          <w:rFonts w:ascii="ITC Avant Garde" w:hAnsi="ITC Avant Garde"/>
        </w:rPr>
        <w:t>l</w:t>
      </w:r>
      <w:r>
        <w:rPr>
          <w:rFonts w:ascii="ITC Avant Garde" w:hAnsi="ITC Avant Garde"/>
        </w:rPr>
        <w:t xml:space="preserve"> espectro radioeléctrico.</w:t>
      </w:r>
    </w:p>
    <w:p w:rsidR="00D01A55" w:rsidRDefault="00D01A55" w:rsidP="00246898">
      <w:pPr>
        <w:spacing w:after="0" w:line="23" w:lineRule="atLeast"/>
        <w:contextualSpacing/>
        <w:jc w:val="both"/>
        <w:rPr>
          <w:rFonts w:ascii="ITC Avant Garde" w:hAnsi="ITC Avant Garde"/>
        </w:rPr>
      </w:pPr>
    </w:p>
    <w:p w:rsidR="00101965" w:rsidRDefault="00D01A55" w:rsidP="00246898">
      <w:pPr>
        <w:spacing w:after="0" w:line="23" w:lineRule="atLeast"/>
        <w:contextualSpacing/>
        <w:jc w:val="both"/>
        <w:rPr>
          <w:rFonts w:ascii="ITC Avant Garde" w:hAnsi="ITC Avant Garde"/>
        </w:rPr>
      </w:pPr>
      <w:r w:rsidRPr="00D01A55">
        <w:rPr>
          <w:rFonts w:ascii="ITC Avant Garde" w:hAnsi="ITC Avant Garde"/>
          <w:b/>
        </w:rPr>
        <w:t>Respuesta</w:t>
      </w:r>
      <w:r w:rsidR="00EE1AEA">
        <w:rPr>
          <w:rFonts w:ascii="ITC Avant Garde" w:hAnsi="ITC Avant Garde"/>
          <w:b/>
        </w:rPr>
        <w:t xml:space="preserve"> 1.1.</w:t>
      </w:r>
      <w:r w:rsidR="00101965">
        <w:rPr>
          <w:rFonts w:ascii="ITC Avant Garde" w:hAnsi="ITC Avant Garde"/>
        </w:rPr>
        <w:t xml:space="preserve"> </w:t>
      </w:r>
      <w:r>
        <w:rPr>
          <w:rFonts w:ascii="ITC Avant Garde" w:hAnsi="ITC Avant Garde"/>
        </w:rPr>
        <w:t>L</w:t>
      </w:r>
      <w:r w:rsidR="00101965">
        <w:rPr>
          <w:rFonts w:ascii="ITC Avant Garde" w:hAnsi="ITC Avant Garde"/>
        </w:rPr>
        <w:t>a propuesta de modificación</w:t>
      </w:r>
      <w:r w:rsidR="00AB63F1">
        <w:rPr>
          <w:rFonts w:ascii="ITC Avant Garde" w:hAnsi="ITC Avant Garde"/>
        </w:rPr>
        <w:t>, en esta ocasión,</w:t>
      </w:r>
      <w:r w:rsidR="00101965">
        <w:rPr>
          <w:rFonts w:ascii="ITC Avant Garde" w:hAnsi="ITC Avant Garde"/>
        </w:rPr>
        <w:t xml:space="preserve"> se limita únicamente a las necesidades de la embajadas o misiones diplomáticas que visiten el país y sin fines de explotación comercial, en este sentido, se informa que la inclusión sugerida, no es objeto del Anteproyecto en consulta, no obstante, se toma nota de sus comentarios para que en su oportunidad sean </w:t>
      </w:r>
      <w:r w:rsidR="00AB63F1">
        <w:rPr>
          <w:rFonts w:ascii="ITC Avant Garde" w:hAnsi="ITC Avant Garde"/>
        </w:rPr>
        <w:t>analizados</w:t>
      </w:r>
      <w:r w:rsidR="00101965">
        <w:rPr>
          <w:rFonts w:ascii="ITC Avant Garde" w:hAnsi="ITC Avant Garde"/>
        </w:rPr>
        <w:t>.</w:t>
      </w:r>
    </w:p>
    <w:p w:rsidR="00D54B40" w:rsidRDefault="00D54B40" w:rsidP="00246898">
      <w:pPr>
        <w:spacing w:after="0" w:line="23" w:lineRule="atLeast"/>
        <w:contextualSpacing/>
        <w:jc w:val="both"/>
        <w:rPr>
          <w:rFonts w:ascii="ITC Avant Garde" w:hAnsi="ITC Avant Garde"/>
        </w:rPr>
      </w:pPr>
    </w:p>
    <w:p w:rsidR="002A588F" w:rsidRDefault="002A588F" w:rsidP="002A588F">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1.2. </w:t>
      </w:r>
      <w:r w:rsidRPr="002A588F">
        <w:rPr>
          <w:rFonts w:ascii="ITC Avant Garde" w:hAnsi="ITC Avant Garde"/>
        </w:rPr>
        <w:t xml:space="preserve">El C. José Ignacio Medina </w:t>
      </w:r>
      <w:r>
        <w:rPr>
          <w:rFonts w:ascii="ITC Avant Garde" w:hAnsi="ITC Avant Garde"/>
        </w:rPr>
        <w:t>hace referencia a</w:t>
      </w:r>
      <w:r w:rsidRPr="002A588F">
        <w:rPr>
          <w:rFonts w:ascii="ITC Avant Garde" w:hAnsi="ITC Avant Garde"/>
        </w:rPr>
        <w:t xml:space="preserve"> </w:t>
      </w:r>
      <w:r>
        <w:rPr>
          <w:rFonts w:ascii="ITC Avant Garde" w:hAnsi="ITC Avant Garde"/>
        </w:rPr>
        <w:t>las definiciones de i) Concesión de Espectro Radioeléctrico para Uso Privado, ii) Concesión de Recursos Orbitales para Uso Privado y iii) Concesión Única para Uso Privado, las cuales se encuentran en los Lineamientos, resaltando para las dos primeras la última parte de la definición que refiere a</w:t>
      </w:r>
      <w:r w:rsidR="007D6E40">
        <w:rPr>
          <w:rFonts w:ascii="ITC Avant Garde" w:hAnsi="ITC Avant Garde"/>
        </w:rPr>
        <w:t xml:space="preserve"> que se encuentran contempladas las correspondientes a “satisfacer necesidades de comunicación para embajadas o misiones diplomáticas que visiten el país”, agregando además “y sin fines de explotación comercial”, y para el caso de Concesión Única, agrega a la definición dicho texto.</w:t>
      </w:r>
    </w:p>
    <w:p w:rsidR="00D01A55" w:rsidRDefault="00D01A55" w:rsidP="00246898">
      <w:pPr>
        <w:spacing w:after="0" w:line="23" w:lineRule="atLeast"/>
        <w:contextualSpacing/>
        <w:jc w:val="both"/>
        <w:rPr>
          <w:rFonts w:ascii="ITC Avant Garde" w:hAnsi="ITC Avant Garde"/>
        </w:rPr>
      </w:pPr>
    </w:p>
    <w:p w:rsidR="002A588F" w:rsidRDefault="007D6E40" w:rsidP="002A588F">
      <w:pPr>
        <w:spacing w:after="0" w:line="23" w:lineRule="atLeast"/>
        <w:contextualSpacing/>
        <w:jc w:val="both"/>
        <w:rPr>
          <w:rFonts w:ascii="ITC Avant Garde" w:hAnsi="ITC Avant Garde"/>
        </w:rPr>
      </w:pPr>
      <w:r w:rsidRPr="007D6E40">
        <w:rPr>
          <w:rFonts w:ascii="ITC Avant Garde" w:hAnsi="ITC Avant Garde"/>
          <w:b/>
        </w:rPr>
        <w:t>R</w:t>
      </w:r>
      <w:r w:rsidR="002A588F">
        <w:rPr>
          <w:rFonts w:ascii="ITC Avant Garde" w:hAnsi="ITC Avant Garde"/>
          <w:b/>
        </w:rPr>
        <w:t>espuesta 1.</w:t>
      </w:r>
      <w:r>
        <w:rPr>
          <w:rFonts w:ascii="ITC Avant Garde" w:hAnsi="ITC Avant Garde"/>
          <w:b/>
        </w:rPr>
        <w:t>2</w:t>
      </w:r>
      <w:r w:rsidR="002A588F">
        <w:rPr>
          <w:rFonts w:ascii="ITC Avant Garde" w:hAnsi="ITC Avant Garde"/>
          <w:b/>
        </w:rPr>
        <w:t>.</w:t>
      </w:r>
      <w:r>
        <w:rPr>
          <w:rFonts w:ascii="ITC Avant Garde" w:hAnsi="ITC Avant Garde"/>
          <w:b/>
        </w:rPr>
        <w:t xml:space="preserve"> </w:t>
      </w:r>
      <w:r w:rsidRPr="007D6E40">
        <w:rPr>
          <w:rFonts w:ascii="ITC Avant Garde" w:hAnsi="ITC Avant Garde"/>
        </w:rPr>
        <w:t>Al r</w:t>
      </w:r>
      <w:r>
        <w:rPr>
          <w:rFonts w:ascii="ITC Avant Garde" w:hAnsi="ITC Avant Garde"/>
        </w:rPr>
        <w:t>e</w:t>
      </w:r>
      <w:r w:rsidRPr="007D6E40">
        <w:rPr>
          <w:rFonts w:ascii="ITC Avant Garde" w:hAnsi="ITC Avant Garde"/>
        </w:rPr>
        <w:t>specto, si bien</w:t>
      </w:r>
      <w:r>
        <w:rPr>
          <w:rFonts w:ascii="ITC Avant Garde" w:hAnsi="ITC Avant Garde"/>
        </w:rPr>
        <w:t xml:space="preserve"> el C. José Ignacio Medina no señala petición expresa alguna respecto a la</w:t>
      </w:r>
      <w:r w:rsidR="00104CDC">
        <w:rPr>
          <w:rFonts w:ascii="ITC Avant Garde" w:hAnsi="ITC Avant Garde"/>
        </w:rPr>
        <w:t>s</w:t>
      </w:r>
      <w:r>
        <w:rPr>
          <w:rFonts w:ascii="ITC Avant Garde" w:hAnsi="ITC Avant Garde"/>
        </w:rPr>
        <w:t xml:space="preserve"> definiciones que incorpora como comentarios, el Instituto infiere por el texto resaltado que la intención del mismo refiere a contemplar para el caso de concesión de recursos orbitales y concesión </w:t>
      </w:r>
      <w:r w:rsidR="00104CDC">
        <w:rPr>
          <w:rFonts w:ascii="ITC Avant Garde" w:hAnsi="ITC Avant Garde"/>
        </w:rPr>
        <w:t>única, a las embajadas o misiones diplomáticas. En este sentido se hace necesario realizar las precisiones correspondientes en el proyecto final</w:t>
      </w:r>
      <w:r w:rsidR="00AE5F8A">
        <w:rPr>
          <w:rFonts w:ascii="ITC Avant Garde" w:hAnsi="ITC Avant Garde"/>
        </w:rPr>
        <w:t xml:space="preserve"> a fin de establecer que las embajadas o misiones diplomáticas no requieren de Concesión Única y para indicar lo correspondiente a las concesiones de recursos orbitales de uso privado, lo cual se verá reflejado en una modificación adicional al artículo 8, así como la modificación respectiva al artículo 11 de los Lineamientos.</w:t>
      </w:r>
    </w:p>
    <w:p w:rsidR="00AE5F8A" w:rsidRDefault="00AE5F8A" w:rsidP="002A588F">
      <w:pPr>
        <w:spacing w:after="0" w:line="23" w:lineRule="atLeast"/>
        <w:contextualSpacing/>
        <w:jc w:val="both"/>
        <w:rPr>
          <w:rFonts w:ascii="ITC Avant Garde" w:hAnsi="ITC Avant Garde"/>
        </w:rPr>
      </w:pPr>
    </w:p>
    <w:p w:rsidR="00D54B40" w:rsidRPr="00D54B40" w:rsidRDefault="00D01A55" w:rsidP="00D54B40">
      <w:pPr>
        <w:spacing w:after="0" w:line="23" w:lineRule="atLeast"/>
        <w:contextualSpacing/>
        <w:jc w:val="both"/>
        <w:rPr>
          <w:rFonts w:ascii="ITC Avant Garde" w:hAnsi="ITC Avant Garde"/>
        </w:rPr>
      </w:pPr>
      <w:r w:rsidRPr="00D01A55">
        <w:rPr>
          <w:rFonts w:ascii="ITC Avant Garde" w:hAnsi="ITC Avant Garde"/>
          <w:b/>
        </w:rPr>
        <w:t>Comentario</w:t>
      </w:r>
      <w:r w:rsidR="002A588F">
        <w:rPr>
          <w:rFonts w:ascii="ITC Avant Garde" w:hAnsi="ITC Avant Garde"/>
          <w:b/>
        </w:rPr>
        <w:t xml:space="preserve"> 1.3</w:t>
      </w:r>
      <w:r w:rsidR="00EE1AEA">
        <w:rPr>
          <w:rFonts w:ascii="ITC Avant Garde" w:hAnsi="ITC Avant Garde"/>
          <w:b/>
        </w:rPr>
        <w:t>.</w:t>
      </w:r>
      <w:r w:rsidRPr="00D01A55">
        <w:rPr>
          <w:rFonts w:ascii="ITC Avant Garde" w:hAnsi="ITC Avant Garde"/>
          <w:b/>
        </w:rPr>
        <w:t xml:space="preserve"> </w:t>
      </w:r>
      <w:r w:rsidR="00411586">
        <w:rPr>
          <w:rFonts w:ascii="ITC Avant Garde" w:hAnsi="ITC Avant Garde"/>
        </w:rPr>
        <w:t>La</w:t>
      </w:r>
      <w:r w:rsidR="00D54B40">
        <w:rPr>
          <w:rFonts w:ascii="ITC Avant Garde" w:hAnsi="ITC Avant Garde"/>
        </w:rPr>
        <w:t xml:space="preserve"> ASIET refiere que m</w:t>
      </w:r>
      <w:r w:rsidR="00D54B40" w:rsidRPr="00D54B40">
        <w:rPr>
          <w:rFonts w:ascii="ITC Avant Garde" w:hAnsi="ITC Avant Garde"/>
        </w:rPr>
        <w:t>ientras que con la propuesta en consulta se busca generar un marco normativo propicio para el cumplimiento de lo establecido en el artículo 76 fracción III, inciso b) de la Ley Federal de Telecomunicaciones y Radiodifusión (</w:t>
      </w:r>
      <w:r w:rsidR="00E7441E">
        <w:rPr>
          <w:rFonts w:ascii="ITC Avant Garde" w:hAnsi="ITC Avant Garde"/>
        </w:rPr>
        <w:t>en lo sucesivo, “</w:t>
      </w:r>
      <w:r w:rsidR="00D54B40" w:rsidRPr="00D54B40">
        <w:rPr>
          <w:rFonts w:ascii="ITC Avant Garde" w:hAnsi="ITC Avant Garde"/>
        </w:rPr>
        <w:t>LFTR</w:t>
      </w:r>
      <w:r w:rsidR="00E7441E">
        <w:rPr>
          <w:rFonts w:ascii="ITC Avant Garde" w:hAnsi="ITC Avant Garde"/>
        </w:rPr>
        <w:t>”</w:t>
      </w:r>
      <w:r w:rsidR="00D54B40" w:rsidRPr="00D54B40">
        <w:rPr>
          <w:rFonts w:ascii="ITC Avant Garde" w:hAnsi="ITC Avant Garde"/>
        </w:rPr>
        <w:t xml:space="preserve">), respecto a la previsión “para satisfacer necesidades de comunicación para embajadas y misiones diplomáticas que visiten el país”, el procedimiento descrito para el otorgamiento directo de concesiones de uso privado por parte del </w:t>
      </w:r>
      <w:r w:rsidR="00290C7D">
        <w:rPr>
          <w:rFonts w:ascii="ITC Avant Garde" w:hAnsi="ITC Avant Garde"/>
        </w:rPr>
        <w:t>Instituto</w:t>
      </w:r>
      <w:r w:rsidR="00D54B40" w:rsidRPr="00D54B40">
        <w:rPr>
          <w:rFonts w:ascii="ITC Avant Garde" w:hAnsi="ITC Avant Garde"/>
        </w:rPr>
        <w:t xml:space="preserve"> genera incertidumbre y no precisa cómo se atenderán diversos aspectos que podrían resultar problemáticos. </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D54B40">
      <w:pPr>
        <w:spacing w:after="0" w:line="23" w:lineRule="atLeast"/>
        <w:contextualSpacing/>
        <w:jc w:val="both"/>
        <w:rPr>
          <w:rFonts w:ascii="ITC Avant Garde" w:hAnsi="ITC Avant Garde"/>
        </w:rPr>
      </w:pPr>
      <w:r>
        <w:rPr>
          <w:rFonts w:ascii="ITC Avant Garde" w:hAnsi="ITC Avant Garde"/>
        </w:rPr>
        <w:t>Asimismo refiere, que d</w:t>
      </w:r>
      <w:r w:rsidRPr="00D54B40">
        <w:rPr>
          <w:rFonts w:ascii="ITC Avant Garde" w:hAnsi="ITC Avant Garde"/>
        </w:rPr>
        <w:t xml:space="preserve">e acuerdo a lo estipulado en los Lineamientos Generales para el otorgamiento de las Concesiones a que se refiere el Título Cuarto de la LFTyR </w:t>
      </w:r>
      <w:r w:rsidRPr="00D54B40">
        <w:rPr>
          <w:rFonts w:ascii="ITC Avant Garde" w:hAnsi="ITC Avant Garde"/>
        </w:rPr>
        <w:lastRenderedPageBreak/>
        <w:t xml:space="preserve">el espectro a asignarse a embajadas o misiones diplomáticas deberá estar disponible, es decir, no haber sido asignado, y conforme al programa anual de bandas de frecuencias se deberá contemplar su asignación conforme </w:t>
      </w:r>
      <w:r w:rsidR="00411586">
        <w:rPr>
          <w:rFonts w:ascii="ITC Avant Garde" w:hAnsi="ITC Avant Garde"/>
        </w:rPr>
        <w:t>a las solicitudes que realicen e</w:t>
      </w:r>
      <w:r w:rsidRPr="00D54B40">
        <w:rPr>
          <w:rFonts w:ascii="ITC Avant Garde" w:hAnsi="ITC Avant Garde"/>
        </w:rPr>
        <w:t xml:space="preserve">stas. Por otro lado, </w:t>
      </w:r>
      <w:r>
        <w:rPr>
          <w:rFonts w:ascii="ITC Avant Garde" w:hAnsi="ITC Avant Garde"/>
        </w:rPr>
        <w:t xml:space="preserve">refiere que </w:t>
      </w:r>
      <w:r w:rsidRPr="00D54B40">
        <w:rPr>
          <w:rFonts w:ascii="ITC Avant Garde" w:hAnsi="ITC Avant Garde"/>
        </w:rPr>
        <w:t>los programas anuales emitidos al día de hoy han establecido que “en lo tocante a las concesiones con fines de comunicación privada, así como las requeridas por emba</w:t>
      </w:r>
      <w:r w:rsidR="00411586">
        <w:rPr>
          <w:rFonts w:ascii="ITC Avant Garde" w:hAnsi="ITC Avant Garde"/>
        </w:rPr>
        <w:t>jadas o misiones diplomáticas, e</w:t>
      </w:r>
      <w:r w:rsidRPr="00D54B40">
        <w:rPr>
          <w:rFonts w:ascii="ITC Avant Garde" w:hAnsi="ITC Avant Garde"/>
        </w:rPr>
        <w:t xml:space="preserve">stas son otorgadas a petición de parte por lo que no es posible su planificación.” </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D54B40">
      <w:pPr>
        <w:spacing w:after="0" w:line="23" w:lineRule="atLeast"/>
        <w:contextualSpacing/>
        <w:jc w:val="both"/>
        <w:rPr>
          <w:rFonts w:ascii="ITC Avant Garde" w:hAnsi="ITC Avant Garde"/>
        </w:rPr>
      </w:pPr>
      <w:r>
        <w:rPr>
          <w:rFonts w:ascii="ITC Avant Garde" w:hAnsi="ITC Avant Garde"/>
        </w:rPr>
        <w:t>Señalando que ello</w:t>
      </w:r>
      <w:r w:rsidRPr="00D54B40">
        <w:rPr>
          <w:rFonts w:ascii="ITC Avant Garde" w:hAnsi="ITC Avant Garde"/>
        </w:rPr>
        <w:t xml:space="preserve"> provoca una alta incertidumbre, ya que al mencionar expresamente que no es posible su planificación y dada la ambigüedad que existe en los lineamientos, no es posible determinar ex ante el impacto que podría tener el aprovechamiento y la asignación óptima de tan importante recurso. </w:t>
      </w:r>
      <w:r>
        <w:rPr>
          <w:rFonts w:ascii="ITC Avant Garde" w:hAnsi="ITC Avant Garde"/>
        </w:rPr>
        <w:t>Indica que a</w:t>
      </w:r>
      <w:r w:rsidRPr="00D54B40">
        <w:rPr>
          <w:rFonts w:ascii="ITC Avant Garde" w:hAnsi="ITC Avant Garde"/>
        </w:rPr>
        <w:t>lgunas interrogantes que se presentan y no son respondidas por los lineamientos o la propuesta de modificación es la cantidad o el límite de espectro que se podrá asignar a las embajadas. Además,</w:t>
      </w:r>
      <w:r>
        <w:rPr>
          <w:rFonts w:ascii="ITC Avant Garde" w:hAnsi="ITC Avant Garde"/>
        </w:rPr>
        <w:t xml:space="preserve"> sugiere que</w:t>
      </w:r>
      <w:r w:rsidRPr="00D54B40">
        <w:rPr>
          <w:rFonts w:ascii="ITC Avant Garde" w:hAnsi="ITC Avant Garde"/>
        </w:rPr>
        <w:t xml:space="preserve"> se debe considerar que, conforme a información pública de la Secretaría de Relaciones Exteriores, en México tienen presencia 89 embajadas (https://bit.ly/2oGuZUD)2 por lo que sería prudente prever de mejor manera las necesidades que podrían derivarse en la materia. Al respecto, debe considerarse el costo de oportunidad y el impacto económico y social de no asignar ese espectro para otros fines. </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D54B40">
      <w:pPr>
        <w:spacing w:after="0" w:line="23" w:lineRule="atLeast"/>
        <w:contextualSpacing/>
        <w:jc w:val="both"/>
        <w:rPr>
          <w:rFonts w:ascii="ITC Avant Garde" w:hAnsi="ITC Avant Garde"/>
        </w:rPr>
      </w:pPr>
      <w:r>
        <w:rPr>
          <w:rFonts w:ascii="ITC Avant Garde" w:hAnsi="ITC Avant Garde"/>
        </w:rPr>
        <w:t>Refiere también que e</w:t>
      </w:r>
      <w:r w:rsidRPr="00D54B40">
        <w:rPr>
          <w:rFonts w:ascii="ITC Avant Garde" w:hAnsi="ITC Avant Garde"/>
        </w:rPr>
        <w:t xml:space="preserve">s necesario considerar algunos otros aspectos igualmente relevantes. En lo que se refiere a los equipos que podrían utilizarse para las frecuencias asignadas es necesario establecer criterios claros de homologación; se requiere señalar el alcance geográfico del uso del espectro asignado para embajadas y misiones diplomáticas y prever la posibilidad de interferencias en bandas de frecuencias ya asignadas con fines comerciales. </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D54B40">
      <w:pPr>
        <w:spacing w:after="0" w:line="23" w:lineRule="atLeast"/>
        <w:contextualSpacing/>
        <w:jc w:val="both"/>
        <w:rPr>
          <w:rFonts w:ascii="ITC Avant Garde" w:hAnsi="ITC Avant Garde"/>
        </w:rPr>
      </w:pPr>
      <w:r>
        <w:rPr>
          <w:rFonts w:ascii="ITC Avant Garde" w:hAnsi="ITC Avant Garde"/>
        </w:rPr>
        <w:t>Señala que e</w:t>
      </w:r>
      <w:r w:rsidRPr="00D54B40">
        <w:rPr>
          <w:rFonts w:ascii="ITC Avant Garde" w:hAnsi="ITC Avant Garde"/>
        </w:rPr>
        <w:t xml:space="preserve">n el </w:t>
      </w:r>
      <w:r w:rsidR="00411586">
        <w:rPr>
          <w:rFonts w:ascii="ITC Avant Garde" w:hAnsi="ITC Avant Garde"/>
        </w:rPr>
        <w:t>análisis de impacto regulatorio elaborado</w:t>
      </w:r>
      <w:r w:rsidRPr="00D54B40">
        <w:rPr>
          <w:rFonts w:ascii="ITC Avant Garde" w:hAnsi="ITC Avant Garde"/>
        </w:rPr>
        <w:t xml:space="preserve"> se argumenta que lo establecido en el artículo 76 fracción III, inciso b) de la LFTR, en lo relacionado con el otorgamiento de concesiones, constituye una excepción a la re</w:t>
      </w:r>
      <w:r w:rsidR="00411586">
        <w:rPr>
          <w:rFonts w:ascii="ITC Avant Garde" w:hAnsi="ITC Avant Garde"/>
        </w:rPr>
        <w:t>gla de que e</w:t>
      </w:r>
      <w:r w:rsidRPr="00D54B40">
        <w:rPr>
          <w:rFonts w:ascii="ITC Avant Garde" w:hAnsi="ITC Avant Garde"/>
        </w:rPr>
        <w:t>stas estén disponibles para personas físicas o morales mexicanas</w:t>
      </w:r>
      <w:r w:rsidR="00411586">
        <w:rPr>
          <w:rFonts w:ascii="ITC Avant Garde" w:hAnsi="ITC Avant Garde"/>
        </w:rPr>
        <w:t xml:space="preserve">, indicando que dicha afirmación </w:t>
      </w:r>
      <w:r w:rsidRPr="00D54B40">
        <w:rPr>
          <w:rFonts w:ascii="ITC Avant Garde" w:hAnsi="ITC Avant Garde"/>
        </w:rPr>
        <w:t>no tiene un sustento sólido, ya que no resulta claro que la decisió</w:t>
      </w:r>
      <w:r w:rsidR="00411586">
        <w:rPr>
          <w:rFonts w:ascii="ITC Avant Garde" w:hAnsi="ITC Avant Garde"/>
        </w:rPr>
        <w:t xml:space="preserve">n del legislador haya sido esa, y que </w:t>
      </w:r>
      <w:r w:rsidRPr="00D54B40">
        <w:rPr>
          <w:rFonts w:ascii="ITC Avant Garde" w:hAnsi="ITC Avant Garde"/>
        </w:rPr>
        <w:t xml:space="preserve">resulta más congruente interpretar que, desde un inicio, el legislador contempló para cumplir con lo estipulado en la LFTR, el procedimiento vigente, en el cual la Secretaría de Relaciones Exteriores es el concesionario. </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411586">
      <w:pPr>
        <w:spacing w:after="0" w:line="23" w:lineRule="atLeast"/>
        <w:contextualSpacing/>
        <w:jc w:val="both"/>
        <w:rPr>
          <w:rFonts w:ascii="ITC Avant Garde" w:hAnsi="ITC Avant Garde"/>
        </w:rPr>
      </w:pPr>
      <w:r>
        <w:rPr>
          <w:rFonts w:ascii="ITC Avant Garde" w:hAnsi="ITC Avant Garde"/>
        </w:rPr>
        <w:t>Considera que el Instituto</w:t>
      </w:r>
      <w:r w:rsidRPr="00D54B40">
        <w:rPr>
          <w:rFonts w:ascii="ITC Avant Garde" w:hAnsi="ITC Avant Garde"/>
        </w:rPr>
        <w:t xml:space="preserve"> estaría limitado en su mandato de mantener “en todo momento la rectoría </w:t>
      </w:r>
      <w:r w:rsidR="00411586">
        <w:rPr>
          <w:rFonts w:ascii="ITC Avant Garde" w:hAnsi="ITC Avant Garde"/>
        </w:rPr>
        <w:t>por parte del Estado Mexicano”</w:t>
      </w:r>
      <w:r w:rsidRPr="00D54B40">
        <w:rPr>
          <w:rFonts w:ascii="ITC Avant Garde" w:hAnsi="ITC Avant Garde"/>
        </w:rPr>
        <w:t>, ante la imposibilidad de supervisar y solicitar información a las embajadas y misiones diplomáticas en sus actividades como concesionarios</w:t>
      </w:r>
      <w:r w:rsidR="00411586">
        <w:rPr>
          <w:rFonts w:ascii="ITC Avant Garde" w:hAnsi="ITC Avant Garde"/>
        </w:rPr>
        <w:t>.</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7D6E40" w:rsidP="00D54B40">
      <w:pPr>
        <w:spacing w:after="0" w:line="23" w:lineRule="atLeast"/>
        <w:contextualSpacing/>
        <w:jc w:val="both"/>
        <w:rPr>
          <w:rFonts w:ascii="ITC Avant Garde" w:hAnsi="ITC Avant Garde"/>
        </w:rPr>
      </w:pPr>
      <w:r>
        <w:rPr>
          <w:rFonts w:ascii="ITC Avant Garde" w:hAnsi="ITC Avant Garde"/>
          <w:b/>
        </w:rPr>
        <w:t>Respuesta 1.3</w:t>
      </w:r>
      <w:r w:rsidR="00EE1AEA">
        <w:rPr>
          <w:rFonts w:ascii="ITC Avant Garde" w:hAnsi="ITC Avant Garde"/>
          <w:b/>
        </w:rPr>
        <w:t xml:space="preserve">. </w:t>
      </w:r>
      <w:r w:rsidR="00F95C53">
        <w:rPr>
          <w:rFonts w:ascii="ITC Avant Garde" w:hAnsi="ITC Avant Garde"/>
        </w:rPr>
        <w:t>En este sentido, se informa que respecto al</w:t>
      </w:r>
      <w:r w:rsidR="00D54B40" w:rsidRPr="00D54B40">
        <w:rPr>
          <w:rFonts w:ascii="ITC Avant Garde" w:hAnsi="ITC Avant Garde"/>
        </w:rPr>
        <w:t xml:space="preserve"> comentario de que se crea incertidumbre sobre planificación y cantidad de espectro que podrá ser asignada, es de señalar que, de conformidad con lo establecido en la </w:t>
      </w:r>
      <w:r w:rsidR="00E7441E">
        <w:rPr>
          <w:rFonts w:ascii="ITC Avant Garde" w:hAnsi="ITC Avant Garde"/>
        </w:rPr>
        <w:t>LFTR</w:t>
      </w:r>
      <w:r w:rsidR="00D54B40" w:rsidRPr="00D54B40">
        <w:rPr>
          <w:rFonts w:ascii="ITC Avant Garde" w:hAnsi="ITC Avant Garde"/>
        </w:rPr>
        <w:t>, el Instituto tiene diversas responsabilidades y atribuciones para la adecuada planeación, administración y control del espectro radioeléctrico, lo cual será observado en la asignación de las frecuencias a embajadas o misiones diplomáticas.</w:t>
      </w:r>
    </w:p>
    <w:p w:rsidR="00D54B40" w:rsidRPr="00D54B40" w:rsidRDefault="00D54B40" w:rsidP="00D54B40">
      <w:pPr>
        <w:spacing w:after="0" w:line="23" w:lineRule="atLeast"/>
        <w:contextualSpacing/>
        <w:jc w:val="both"/>
        <w:rPr>
          <w:rFonts w:ascii="ITC Avant Garde" w:hAnsi="ITC Avant Garde"/>
        </w:rPr>
      </w:pPr>
    </w:p>
    <w:p w:rsidR="00D54B40" w:rsidRPr="00D54B40" w:rsidRDefault="00D54B40" w:rsidP="00D54B40">
      <w:pPr>
        <w:spacing w:after="0" w:line="23" w:lineRule="atLeast"/>
        <w:contextualSpacing/>
        <w:jc w:val="both"/>
        <w:rPr>
          <w:rFonts w:ascii="ITC Avant Garde" w:hAnsi="ITC Avant Garde"/>
        </w:rPr>
      </w:pPr>
      <w:r w:rsidRPr="00D54B40">
        <w:rPr>
          <w:rFonts w:ascii="ITC Avant Garde" w:hAnsi="ITC Avant Garde"/>
        </w:rPr>
        <w:t>Asimismo, en el título de concesión que, en su caso, se otorgue se establecerán las condiciones mínimas para el uso del espectro por parte de las embajadas o misiones diplomáticas que deberán cumplir las mismas, al momento de aceptar dicho título, pudiendo el Instituto ejercer la rectoría sobre el espectro radioeléctrico, respetando en todo momento la legislación y normatividad aplicable al derecho internacional.</w:t>
      </w:r>
    </w:p>
    <w:p w:rsidR="00D54B40" w:rsidRDefault="00D54B40" w:rsidP="00246898">
      <w:pPr>
        <w:spacing w:after="0" w:line="23" w:lineRule="atLeast"/>
        <w:contextualSpacing/>
        <w:jc w:val="both"/>
        <w:rPr>
          <w:rFonts w:ascii="ITC Avant Garde" w:hAnsi="ITC Avant Garde"/>
        </w:rPr>
      </w:pPr>
    </w:p>
    <w:p w:rsidR="00246898" w:rsidRDefault="00246898" w:rsidP="00246898">
      <w:pPr>
        <w:spacing w:after="0" w:line="23" w:lineRule="atLeast"/>
        <w:contextualSpacing/>
        <w:jc w:val="both"/>
        <w:rPr>
          <w:rFonts w:ascii="ITC Avant Garde" w:hAnsi="ITC Avant Garde"/>
        </w:rPr>
      </w:pPr>
    </w:p>
    <w:p w:rsidR="00F23AAF" w:rsidRPr="00F6645A" w:rsidRDefault="00BD2013" w:rsidP="00246898">
      <w:pPr>
        <w:pStyle w:val="Prrafodelista"/>
        <w:numPr>
          <w:ilvl w:val="0"/>
          <w:numId w:val="6"/>
        </w:numPr>
        <w:spacing w:after="0" w:line="23" w:lineRule="atLeast"/>
        <w:jc w:val="both"/>
        <w:rPr>
          <w:rFonts w:ascii="ITC Avant Garde" w:hAnsi="ITC Avant Garde"/>
          <w:b/>
        </w:rPr>
      </w:pPr>
      <w:r>
        <w:rPr>
          <w:rFonts w:ascii="ITC Avant Garde" w:hAnsi="ITC Avant Garde"/>
          <w:b/>
        </w:rPr>
        <w:t xml:space="preserve">COMENTARIOS </w:t>
      </w:r>
      <w:r w:rsidR="0080184A">
        <w:rPr>
          <w:rFonts w:ascii="ITC Avant Garde" w:hAnsi="ITC Avant Garde"/>
          <w:b/>
        </w:rPr>
        <w:t>AL</w:t>
      </w:r>
      <w:r w:rsidR="00423F56">
        <w:rPr>
          <w:rFonts w:ascii="ITC Avant Garde" w:hAnsi="ITC Avant Garde"/>
          <w:b/>
        </w:rPr>
        <w:t xml:space="preserve"> ANTEPROYECTO</w:t>
      </w:r>
    </w:p>
    <w:p w:rsidR="00246898" w:rsidRDefault="00246898" w:rsidP="00246898">
      <w:pPr>
        <w:spacing w:after="0" w:line="23" w:lineRule="atLeast"/>
        <w:contextualSpacing/>
        <w:jc w:val="both"/>
        <w:rPr>
          <w:rFonts w:ascii="ITC Avant Garde" w:hAnsi="ITC Avant Garde"/>
        </w:rPr>
      </w:pPr>
    </w:p>
    <w:p w:rsidR="00F6645A" w:rsidRDefault="00246898" w:rsidP="00F6645A">
      <w:pPr>
        <w:spacing w:after="0" w:line="23" w:lineRule="atLeast"/>
        <w:contextualSpacing/>
        <w:jc w:val="both"/>
        <w:rPr>
          <w:rFonts w:ascii="ITC Avant Garde" w:hAnsi="ITC Avant Garde"/>
        </w:rPr>
      </w:pPr>
      <w:r>
        <w:rPr>
          <w:rFonts w:ascii="ITC Avant Garde" w:hAnsi="ITC Avant Garde"/>
        </w:rPr>
        <w:t xml:space="preserve">En lo relativo al </w:t>
      </w:r>
      <w:r w:rsidR="00BD2013">
        <w:rPr>
          <w:rFonts w:ascii="ITC Avant Garde" w:hAnsi="ITC Avant Garde"/>
        </w:rPr>
        <w:t xml:space="preserve">Anexo 1. </w:t>
      </w:r>
      <w:r w:rsidR="0080184A">
        <w:rPr>
          <w:rFonts w:ascii="ITC Avant Garde" w:hAnsi="ITC Avant Garde"/>
        </w:rPr>
        <w:t xml:space="preserve">de la consulta pública </w:t>
      </w:r>
      <w:r w:rsidR="00D01A55">
        <w:rPr>
          <w:rFonts w:ascii="ITC Avant Garde" w:hAnsi="ITC Avant Garde"/>
        </w:rPr>
        <w:t>correspondiente</w:t>
      </w:r>
      <w:r w:rsidR="00BD2013">
        <w:rPr>
          <w:rFonts w:ascii="ITC Avant Garde" w:hAnsi="ITC Avant Garde"/>
        </w:rPr>
        <w:t xml:space="preserve"> al Anteproyecto de modificación de los Lineamientos</w:t>
      </w:r>
      <w:r w:rsidR="00D01A55">
        <w:rPr>
          <w:rFonts w:ascii="ITC Avant Garde" w:hAnsi="ITC Avant Garde"/>
        </w:rPr>
        <w:t>,</w:t>
      </w:r>
      <w:r>
        <w:rPr>
          <w:rFonts w:ascii="ITC Avant Garde" w:hAnsi="ITC Avant Garde"/>
        </w:rPr>
        <w:t xml:space="preserve"> </w:t>
      </w:r>
      <w:r w:rsidR="00F23AAF">
        <w:rPr>
          <w:rFonts w:ascii="ITC Avant Garde" w:hAnsi="ITC Avant Garde"/>
        </w:rPr>
        <w:t>se recibieron</w:t>
      </w:r>
      <w:r>
        <w:rPr>
          <w:rFonts w:ascii="ITC Avant Garde" w:hAnsi="ITC Avant Garde"/>
        </w:rPr>
        <w:t xml:space="preserve"> </w:t>
      </w:r>
      <w:r w:rsidR="00D01A55">
        <w:rPr>
          <w:rFonts w:ascii="ITC Avant Garde" w:hAnsi="ITC Avant Garde"/>
        </w:rPr>
        <w:t xml:space="preserve">comentarios del C. José Ignacio Medina </w:t>
      </w:r>
      <w:r>
        <w:rPr>
          <w:rFonts w:ascii="ITC Avant Garde" w:hAnsi="ITC Avant Garde"/>
        </w:rPr>
        <w:t>y de la ASIET,</w:t>
      </w:r>
      <w:r w:rsidR="00F23AAF">
        <w:rPr>
          <w:rFonts w:ascii="ITC Avant Garde" w:hAnsi="ITC Avant Garde"/>
        </w:rPr>
        <w:t xml:space="preserve"> mismos qu</w:t>
      </w:r>
      <w:r>
        <w:rPr>
          <w:rFonts w:ascii="ITC Avant Garde" w:hAnsi="ITC Avant Garde"/>
        </w:rPr>
        <w:t>e para su atención se agruparon atendiendo a la sección y al artículo en concreto</w:t>
      </w:r>
      <w:r w:rsidR="00F6645A">
        <w:rPr>
          <w:rFonts w:ascii="ITC Avant Garde" w:hAnsi="ITC Avant Garde"/>
        </w:rPr>
        <w:t xml:space="preserve"> para su mejor claridad.</w:t>
      </w:r>
    </w:p>
    <w:p w:rsidR="00F6645A" w:rsidRDefault="00F6645A" w:rsidP="00F6645A">
      <w:pPr>
        <w:spacing w:after="0" w:line="23" w:lineRule="atLeast"/>
        <w:contextualSpacing/>
        <w:jc w:val="both"/>
        <w:rPr>
          <w:rFonts w:ascii="ITC Avant Garde" w:hAnsi="ITC Avant Garde"/>
        </w:rPr>
      </w:pPr>
    </w:p>
    <w:p w:rsidR="00F23AAF" w:rsidRPr="00EE1AEA" w:rsidRDefault="00D01A55" w:rsidP="0021394F">
      <w:pPr>
        <w:pStyle w:val="Prrafodelista"/>
        <w:numPr>
          <w:ilvl w:val="1"/>
          <w:numId w:val="6"/>
        </w:numPr>
        <w:spacing w:after="0" w:line="23" w:lineRule="atLeast"/>
        <w:ind w:left="788" w:hanging="431"/>
        <w:jc w:val="both"/>
        <w:rPr>
          <w:rFonts w:ascii="ITC Avant Garde" w:hAnsi="ITC Avant Garde"/>
          <w:b/>
        </w:rPr>
      </w:pPr>
      <w:r w:rsidRPr="00EE1AEA">
        <w:rPr>
          <w:rFonts w:ascii="ITC Avant Garde" w:hAnsi="ITC Avant Garde"/>
          <w:b/>
        </w:rPr>
        <w:t>NUMERAL PRIMERO</w:t>
      </w:r>
      <w:r w:rsidR="00EE1AEA" w:rsidRPr="00EE1AEA">
        <w:rPr>
          <w:rFonts w:ascii="ITC Avant Garde" w:hAnsi="ITC Avant Garde"/>
          <w:b/>
        </w:rPr>
        <w:t xml:space="preserve"> DEL ANTEPROYECTO</w:t>
      </w:r>
    </w:p>
    <w:p w:rsidR="00F6645A" w:rsidRPr="00EE1AEA" w:rsidRDefault="00F6645A" w:rsidP="00F6645A">
      <w:pPr>
        <w:spacing w:after="0" w:line="23" w:lineRule="atLeast"/>
        <w:contextualSpacing/>
        <w:jc w:val="both"/>
        <w:rPr>
          <w:rFonts w:ascii="ITC Avant Garde" w:hAnsi="ITC Avant Garde"/>
        </w:rPr>
      </w:pPr>
    </w:p>
    <w:p w:rsidR="00F34EBC" w:rsidRDefault="00EE1AEA" w:rsidP="00246898">
      <w:pPr>
        <w:spacing w:after="0" w:line="23" w:lineRule="atLeast"/>
        <w:contextualSpacing/>
        <w:jc w:val="both"/>
        <w:rPr>
          <w:rFonts w:ascii="ITC Avant Garde" w:hAnsi="ITC Avant Garde"/>
        </w:rPr>
      </w:pPr>
      <w:r w:rsidRPr="00EE1AEA">
        <w:rPr>
          <w:rFonts w:ascii="ITC Avant Garde" w:hAnsi="ITC Avant Garde"/>
          <w:b/>
        </w:rPr>
        <w:t>Comentario</w:t>
      </w:r>
      <w:r>
        <w:rPr>
          <w:rFonts w:ascii="ITC Avant Garde" w:hAnsi="ITC Avant Garde"/>
          <w:b/>
        </w:rPr>
        <w:t xml:space="preserve"> 2.1.1. </w:t>
      </w:r>
      <w:r w:rsidR="00CF1EEE">
        <w:rPr>
          <w:rFonts w:ascii="ITC Avant Garde" w:hAnsi="ITC Avant Garde"/>
        </w:rPr>
        <w:t>Se recibieron comentarios de la ASIET respecto del contenido del</w:t>
      </w:r>
      <w:r w:rsidR="00F23AAF">
        <w:rPr>
          <w:rFonts w:ascii="ITC Avant Garde" w:hAnsi="ITC Avant Garde"/>
        </w:rPr>
        <w:t xml:space="preserve"> </w:t>
      </w:r>
      <w:r w:rsidR="00D01A55">
        <w:rPr>
          <w:rFonts w:ascii="ITC Avant Garde" w:hAnsi="ITC Avant Garde"/>
        </w:rPr>
        <w:t>numeral Primero conforme a lo siguiente:</w:t>
      </w:r>
    </w:p>
    <w:p w:rsidR="00CF1EEE" w:rsidRDefault="00CF1EEE" w:rsidP="00246898">
      <w:pPr>
        <w:spacing w:after="0" w:line="23" w:lineRule="atLeast"/>
        <w:contextualSpacing/>
        <w:jc w:val="both"/>
        <w:rPr>
          <w:rFonts w:ascii="ITC Avant Garde" w:hAnsi="ITC Avant Garde"/>
        </w:rPr>
      </w:pPr>
    </w:p>
    <w:p w:rsidR="00F34EBC" w:rsidRDefault="00F34EBC" w:rsidP="00246898">
      <w:pPr>
        <w:spacing w:after="0" w:line="23" w:lineRule="atLeast"/>
        <w:contextualSpacing/>
        <w:jc w:val="both"/>
        <w:rPr>
          <w:rFonts w:ascii="ITC Avant Garde" w:hAnsi="ITC Avant Garde"/>
        </w:rPr>
      </w:pPr>
      <w:r>
        <w:rPr>
          <w:rFonts w:ascii="ITC Avant Garde" w:hAnsi="ITC Avant Garde"/>
        </w:rPr>
        <w:t>En particular comentaron acerca de que l</w:t>
      </w:r>
      <w:r w:rsidRPr="00F34EBC">
        <w:rPr>
          <w:rFonts w:ascii="ITC Avant Garde" w:hAnsi="ITC Avant Garde"/>
        </w:rPr>
        <w:t xml:space="preserve">a naturaleza jurídica de las embajadas o misiones diplomáticas no es compatible con las categorías de “concesionario” e “interesado” consideradas en los Lineamientos generales para el </w:t>
      </w:r>
      <w:r w:rsidR="00D01A55">
        <w:rPr>
          <w:rFonts w:ascii="ITC Avant Garde" w:hAnsi="ITC Avant Garde"/>
        </w:rPr>
        <w:t>otorgamiento de las concesiones, m</w:t>
      </w:r>
      <w:r>
        <w:rPr>
          <w:rFonts w:ascii="ITC Avant Garde" w:hAnsi="ITC Avant Garde"/>
        </w:rPr>
        <w:t>anifestando que la</w:t>
      </w:r>
      <w:r w:rsidRPr="00F34EBC">
        <w:rPr>
          <w:rFonts w:ascii="ITC Avant Garde" w:hAnsi="ITC Avant Garde"/>
        </w:rPr>
        <w:t xml:space="preserve"> incorporación de dichas representaciones en la definición de “concesionario” e “interesado” plantea diversas contradicciones que no son atendidas en la propuesta en consulta. </w:t>
      </w:r>
    </w:p>
    <w:p w:rsidR="00F34EBC" w:rsidRPr="00F34EBC" w:rsidRDefault="00F34EBC" w:rsidP="00246898">
      <w:pPr>
        <w:spacing w:after="0" w:line="23" w:lineRule="atLeast"/>
        <w:contextualSpacing/>
        <w:jc w:val="both"/>
        <w:rPr>
          <w:rFonts w:ascii="ITC Avant Garde" w:hAnsi="ITC Avant Garde"/>
        </w:rPr>
      </w:pPr>
    </w:p>
    <w:p w:rsidR="00F34EBC" w:rsidRDefault="00F34EBC" w:rsidP="00246898">
      <w:pPr>
        <w:spacing w:after="0" w:line="23" w:lineRule="atLeast"/>
        <w:contextualSpacing/>
        <w:jc w:val="both"/>
        <w:rPr>
          <w:rFonts w:ascii="ITC Avant Garde" w:hAnsi="ITC Avant Garde"/>
        </w:rPr>
      </w:pPr>
      <w:r>
        <w:rPr>
          <w:rFonts w:ascii="ITC Avant Garde" w:hAnsi="ITC Avant Garde"/>
        </w:rPr>
        <w:t>Citando como ejemplo</w:t>
      </w:r>
      <w:r w:rsidRPr="00F34EBC">
        <w:rPr>
          <w:rFonts w:ascii="ITC Avant Garde" w:hAnsi="ITC Avant Garde"/>
        </w:rPr>
        <w:t xml:space="preserve"> de la manera en que se entienden las características de las embajadas y misiones a nivel internacional, la definición contenida en la legislación de nuestro país. </w:t>
      </w:r>
      <w:r>
        <w:rPr>
          <w:rFonts w:ascii="ITC Avant Garde" w:hAnsi="ITC Avant Garde"/>
        </w:rPr>
        <w:t>Asimismo</w:t>
      </w:r>
      <w:r w:rsidR="00F6645A">
        <w:rPr>
          <w:rFonts w:ascii="ITC Avant Garde" w:hAnsi="ITC Avant Garde"/>
        </w:rPr>
        <w:t>,</w:t>
      </w:r>
      <w:r>
        <w:rPr>
          <w:rFonts w:ascii="ITC Avant Garde" w:hAnsi="ITC Avant Garde"/>
        </w:rPr>
        <w:t xml:space="preserve"> señala que l</w:t>
      </w:r>
      <w:r w:rsidRPr="00F34EBC">
        <w:rPr>
          <w:rFonts w:ascii="ITC Avant Garde" w:hAnsi="ITC Avant Garde"/>
        </w:rPr>
        <w:t xml:space="preserve">a fracción IX de la Ley del Servicio Exterior Mexicano define a la Embajada de la siguiente manera: “La representación permanente del Estado mexicano ante el gobierno de otro país. Sus principales funciones son de carácter político.” Tan solo tomando como base dicho concepto es posible identificar que las embajadas o misiones diplomáticas pueden enfrentar </w:t>
      </w:r>
      <w:r w:rsidRPr="00F34EBC">
        <w:rPr>
          <w:rFonts w:ascii="ITC Avant Garde" w:hAnsi="ITC Avant Garde"/>
        </w:rPr>
        <w:lastRenderedPageBreak/>
        <w:t xml:space="preserve">problemas para asumir el carácter de concesionarios, debido a que estarían limitadas en sus atribuciones para cumplir con dicho rol. </w:t>
      </w:r>
    </w:p>
    <w:p w:rsidR="00F34EBC" w:rsidRPr="00F34EBC" w:rsidRDefault="00F34EBC" w:rsidP="00246898">
      <w:pPr>
        <w:spacing w:after="0" w:line="23" w:lineRule="atLeast"/>
        <w:contextualSpacing/>
        <w:jc w:val="both"/>
        <w:rPr>
          <w:rFonts w:ascii="ITC Avant Garde" w:hAnsi="ITC Avant Garde"/>
        </w:rPr>
      </w:pPr>
    </w:p>
    <w:p w:rsidR="00F34EBC" w:rsidRDefault="00F34EBC" w:rsidP="00246898">
      <w:pPr>
        <w:spacing w:after="0" w:line="23" w:lineRule="atLeast"/>
        <w:contextualSpacing/>
        <w:jc w:val="both"/>
        <w:rPr>
          <w:rFonts w:ascii="ITC Avant Garde" w:hAnsi="ITC Avant Garde"/>
        </w:rPr>
      </w:pPr>
      <w:r w:rsidRPr="00F34EBC">
        <w:rPr>
          <w:rFonts w:ascii="ITC Avant Garde" w:hAnsi="ITC Avant Garde"/>
        </w:rPr>
        <w:t xml:space="preserve">De manera particular, el Titular de Misión o Agente Diplomático (el cual sería el Acreditado para recibir el Título de Concesión de acuerdo con la propuesta de Formato Espectro Radioeléctrico Tipo B2) podría verse impedido por la legislación de su país para solicitar y recibir un Título de Concesión. </w:t>
      </w:r>
    </w:p>
    <w:p w:rsidR="00F6645A" w:rsidRDefault="00F6645A" w:rsidP="00246898">
      <w:pPr>
        <w:spacing w:after="0" w:line="23" w:lineRule="atLeast"/>
        <w:contextualSpacing/>
        <w:jc w:val="both"/>
        <w:rPr>
          <w:rFonts w:ascii="ITC Avant Garde" w:hAnsi="ITC Avant Garde"/>
        </w:rPr>
      </w:pPr>
    </w:p>
    <w:p w:rsidR="00F34EBC" w:rsidRPr="00F6645A" w:rsidRDefault="00EE1AEA" w:rsidP="00246898">
      <w:pPr>
        <w:spacing w:after="0" w:line="23" w:lineRule="atLeast"/>
        <w:contextualSpacing/>
        <w:jc w:val="both"/>
        <w:rPr>
          <w:rFonts w:ascii="ITC Avant Garde" w:hAnsi="ITC Avant Garde"/>
        </w:rPr>
      </w:pPr>
      <w:r>
        <w:rPr>
          <w:rFonts w:ascii="ITC Avant Garde" w:hAnsi="ITC Avant Garde"/>
          <w:b/>
        </w:rPr>
        <w:t xml:space="preserve">Respuesta 2.1.1. </w:t>
      </w:r>
      <w:r w:rsidR="00F6645A" w:rsidRPr="00F6645A">
        <w:rPr>
          <w:rFonts w:ascii="ITC Avant Garde" w:hAnsi="ITC Avant Garde"/>
        </w:rPr>
        <w:t>El este sentido el Instituto hace referencia a lo que contempla</w:t>
      </w:r>
      <w:r w:rsidR="00F34EBC" w:rsidRPr="00F6645A">
        <w:rPr>
          <w:rFonts w:ascii="ITC Avant Garde" w:hAnsi="ITC Avant Garde"/>
        </w:rPr>
        <w:t xml:space="preserve"> el artículo 76, fracción III, inciso b) </w:t>
      </w:r>
      <w:r w:rsidR="00F6645A" w:rsidRPr="00F6645A">
        <w:rPr>
          <w:rFonts w:ascii="ITC Avant Garde" w:hAnsi="ITC Avant Garde"/>
        </w:rPr>
        <w:t xml:space="preserve">de la </w:t>
      </w:r>
      <w:r w:rsidR="00E7441E">
        <w:rPr>
          <w:rFonts w:ascii="ITC Avant Garde" w:hAnsi="ITC Avant Garde"/>
        </w:rPr>
        <w:t>LFTR</w:t>
      </w:r>
      <w:r w:rsidR="00F6645A" w:rsidRPr="00F6645A">
        <w:rPr>
          <w:rFonts w:ascii="ITC Avant Garde" w:hAnsi="ITC Avant Garde"/>
        </w:rPr>
        <w:t xml:space="preserve">, que señala </w:t>
      </w:r>
      <w:r w:rsidR="00F34EBC" w:rsidRPr="00F6645A">
        <w:rPr>
          <w:rFonts w:ascii="ITC Avant Garde" w:hAnsi="ITC Avant Garde"/>
        </w:rPr>
        <w:t>como parte de las concesiones para usar, aprovechar y explotar bandas de frecuencias del espectro radioeléctrico para uso privado, el de satisfacer necesidades de comunicación para embajadas o misiones diplomáticas, lo cual se reflejó a su vez en los Lineamientos sometidos a consulta pública, por lo que no ha lugar considerarlo como una contradicción a los propios Lineamientos, más aun considerando que el carácter de concesionario, que en su caso adoptarán, será para fines privados, lo cual igualmente se</w:t>
      </w:r>
      <w:r w:rsidR="00290C7D">
        <w:rPr>
          <w:rFonts w:ascii="ITC Avant Garde" w:hAnsi="ITC Avant Garde"/>
        </w:rPr>
        <w:t xml:space="preserve"> encuentra establecido en la LFTR</w:t>
      </w:r>
      <w:r w:rsidR="00F34EBC" w:rsidRPr="00F6645A">
        <w:rPr>
          <w:rFonts w:ascii="ITC Avant Garde" w:hAnsi="ITC Avant Garde"/>
        </w:rPr>
        <w:t xml:space="preserve"> al señalar que “En este tipo de concesiones no se confiere el derecho para usar, aprovechar y explotar comercialmente bandas de  frecuencias del espectro radioeléctrico de uso determinado …”</w:t>
      </w:r>
    </w:p>
    <w:p w:rsidR="00F6645A" w:rsidRPr="00F6645A" w:rsidRDefault="00F6645A" w:rsidP="00246898">
      <w:pPr>
        <w:spacing w:after="0" w:line="23" w:lineRule="atLeast"/>
        <w:contextualSpacing/>
        <w:jc w:val="both"/>
        <w:rPr>
          <w:rFonts w:ascii="ITC Avant Garde" w:hAnsi="ITC Avant Garde"/>
        </w:rPr>
      </w:pPr>
    </w:p>
    <w:p w:rsidR="00F34EBC" w:rsidRDefault="00F6645A" w:rsidP="00246898">
      <w:pPr>
        <w:spacing w:after="0" w:line="23" w:lineRule="atLeast"/>
        <w:contextualSpacing/>
        <w:jc w:val="both"/>
        <w:rPr>
          <w:rFonts w:ascii="ITC Avant Garde" w:hAnsi="ITC Avant Garde"/>
        </w:rPr>
      </w:pPr>
      <w:r>
        <w:rPr>
          <w:rFonts w:ascii="ITC Avant Garde" w:hAnsi="ITC Avant Garde"/>
        </w:rPr>
        <w:t>Ahora bien, p</w:t>
      </w:r>
      <w:r w:rsidR="00F34EBC" w:rsidRPr="00F6645A">
        <w:rPr>
          <w:rFonts w:ascii="ITC Avant Garde" w:hAnsi="ITC Avant Garde"/>
        </w:rPr>
        <w:t>or lo que hace al señalamiento de que podrían existir Titulares de Misión o Agentes diplomáticos impedidos por la legislación de su país de origen, para solicitar una concesión de uso privado,</w:t>
      </w:r>
      <w:r>
        <w:rPr>
          <w:rFonts w:ascii="ITC Avant Garde" w:hAnsi="ITC Avant Garde"/>
        </w:rPr>
        <w:t xml:space="preserve"> se señala que es un tema que</w:t>
      </w:r>
      <w:r w:rsidR="00F34EBC" w:rsidRPr="00F6645A">
        <w:rPr>
          <w:rFonts w:ascii="ITC Avant Garde" w:hAnsi="ITC Avant Garde"/>
        </w:rPr>
        <w:t xml:space="preserve"> excede la jurisdicción de la legislación mexicana y sería responsabilidad del funcionario observar las normas que lo rijan en su actuar como diplomático.</w:t>
      </w:r>
    </w:p>
    <w:p w:rsidR="00F6645A" w:rsidRDefault="00F6645A" w:rsidP="00F6645A">
      <w:pPr>
        <w:pStyle w:val="Prrafodelista"/>
        <w:spacing w:after="0" w:line="23" w:lineRule="atLeast"/>
        <w:ind w:left="788"/>
        <w:jc w:val="both"/>
        <w:rPr>
          <w:rFonts w:ascii="ITC Avant Garde" w:hAnsi="ITC Avant Garde"/>
          <w:highlight w:val="yellow"/>
        </w:rPr>
      </w:pPr>
    </w:p>
    <w:p w:rsidR="00F6645A" w:rsidRPr="00EE1AEA" w:rsidRDefault="00F6645A" w:rsidP="00EE1AEA">
      <w:pPr>
        <w:spacing w:after="0" w:line="23" w:lineRule="atLeast"/>
        <w:jc w:val="both"/>
        <w:rPr>
          <w:rFonts w:ascii="ITC Avant Garde" w:hAnsi="ITC Avant Garde"/>
          <w:highlight w:val="yellow"/>
        </w:rPr>
      </w:pPr>
    </w:p>
    <w:p w:rsidR="00F6645A" w:rsidRDefault="00EE1AEA" w:rsidP="00F6645A">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2.1.2. </w:t>
      </w:r>
      <w:r>
        <w:rPr>
          <w:rFonts w:ascii="ITC Avant Garde" w:hAnsi="ITC Avant Garde"/>
        </w:rPr>
        <w:t>El C. José Ignacio Medina</w:t>
      </w:r>
      <w:r w:rsidR="00F6645A">
        <w:rPr>
          <w:rFonts w:ascii="ITC Avant Garde" w:hAnsi="ITC Avant Garde"/>
        </w:rPr>
        <w:t xml:space="preserve"> sugiere </w:t>
      </w:r>
      <w:r w:rsidR="00F6645A" w:rsidRPr="00F6645A">
        <w:rPr>
          <w:rFonts w:ascii="ITC Avant Garde" w:hAnsi="ITC Avant Garde"/>
        </w:rPr>
        <w:t>incluir la figura de personal Técnico Administrativo o empleado autorizado por la Misión Diplomática como un interesado, de tal manera que siempre exista el mecanismo de solicitar una concesión en ausencia del Titular de la Misión o Agente Diplomático, ya que con frecuencia deben viajar a otros Consulados y lugares del país por períodos extendidos.</w:t>
      </w:r>
    </w:p>
    <w:p w:rsidR="00F6645A" w:rsidRDefault="00F6645A" w:rsidP="00F6645A">
      <w:pPr>
        <w:spacing w:after="0" w:line="23" w:lineRule="atLeast"/>
        <w:contextualSpacing/>
        <w:jc w:val="both"/>
        <w:rPr>
          <w:rFonts w:ascii="ITC Avant Garde" w:hAnsi="ITC Avant Garde"/>
        </w:rPr>
      </w:pPr>
    </w:p>
    <w:p w:rsidR="00F6645A" w:rsidRDefault="00EE1AEA" w:rsidP="00F6645A">
      <w:pPr>
        <w:spacing w:after="0" w:line="23" w:lineRule="atLeast"/>
        <w:contextualSpacing/>
        <w:jc w:val="both"/>
        <w:rPr>
          <w:rFonts w:ascii="ITC Avant Garde" w:hAnsi="ITC Avant Garde"/>
        </w:rPr>
      </w:pPr>
      <w:r>
        <w:rPr>
          <w:rFonts w:ascii="ITC Avant Garde" w:hAnsi="ITC Avant Garde"/>
          <w:b/>
        </w:rPr>
        <w:t xml:space="preserve">Respuesta 2.1.2. </w:t>
      </w:r>
      <w:r w:rsidR="00F6645A">
        <w:rPr>
          <w:rFonts w:ascii="ITC Avant Garde" w:hAnsi="ITC Avant Garde"/>
        </w:rPr>
        <w:t>En este sentido es necesario señalar que l</w:t>
      </w:r>
      <w:r w:rsidR="00F6645A" w:rsidRPr="00F6645A">
        <w:rPr>
          <w:rFonts w:ascii="ITC Avant Garde" w:hAnsi="ITC Avant Garde"/>
        </w:rPr>
        <w:t>a figura de personal técnico administrativo se encuentra considerado como el personal con el cual se podrá gestionar el otorgamiento del título de concesión (numeral I.3. del formato de la solicitud), sin embargo, sí resulta necesario que el Titular de la Misión o el Agente Diplomático sea el responsable de la solicitud de concesión y en su caso de la recepción de la misma.</w:t>
      </w:r>
    </w:p>
    <w:p w:rsidR="00F6645A" w:rsidRDefault="00F6645A" w:rsidP="00F6645A">
      <w:pPr>
        <w:spacing w:after="0" w:line="23" w:lineRule="atLeast"/>
        <w:contextualSpacing/>
        <w:jc w:val="both"/>
        <w:rPr>
          <w:rFonts w:ascii="ITC Avant Garde" w:hAnsi="ITC Avant Garde"/>
        </w:rPr>
      </w:pPr>
    </w:p>
    <w:p w:rsidR="00EE1AEA" w:rsidRDefault="00EE1AEA" w:rsidP="00F6645A">
      <w:pPr>
        <w:spacing w:after="0" w:line="23" w:lineRule="atLeast"/>
        <w:contextualSpacing/>
        <w:jc w:val="both"/>
        <w:rPr>
          <w:rFonts w:ascii="ITC Avant Garde" w:hAnsi="ITC Avant Garde"/>
        </w:rPr>
      </w:pPr>
    </w:p>
    <w:p w:rsidR="00F23AAF" w:rsidRPr="00EE1AEA" w:rsidRDefault="00EE1AEA" w:rsidP="00246898">
      <w:pPr>
        <w:pStyle w:val="Prrafodelista"/>
        <w:numPr>
          <w:ilvl w:val="1"/>
          <w:numId w:val="6"/>
        </w:numPr>
        <w:spacing w:after="0" w:line="23" w:lineRule="atLeast"/>
        <w:ind w:left="788" w:hanging="431"/>
        <w:jc w:val="both"/>
        <w:rPr>
          <w:rFonts w:ascii="ITC Avant Garde" w:hAnsi="ITC Avant Garde"/>
          <w:b/>
        </w:rPr>
      </w:pPr>
      <w:r w:rsidRPr="00EE1AEA">
        <w:rPr>
          <w:rFonts w:ascii="ITC Avant Garde" w:hAnsi="ITC Avant Garde"/>
          <w:b/>
        </w:rPr>
        <w:lastRenderedPageBreak/>
        <w:t>NUMERAL SEGUNDO DEL ANTEPROYECTO</w:t>
      </w:r>
    </w:p>
    <w:p w:rsidR="00F6645A" w:rsidRPr="00DC2E05" w:rsidRDefault="00F6645A" w:rsidP="00F6645A">
      <w:pPr>
        <w:pStyle w:val="Prrafodelista"/>
        <w:spacing w:after="0" w:line="23" w:lineRule="atLeast"/>
        <w:ind w:left="788"/>
        <w:jc w:val="both"/>
        <w:rPr>
          <w:rFonts w:ascii="ITC Avant Garde" w:hAnsi="ITC Avant Garde"/>
          <w:highlight w:val="yellow"/>
        </w:rPr>
      </w:pPr>
    </w:p>
    <w:p w:rsidR="006844F4" w:rsidRDefault="00F6645A" w:rsidP="00246898">
      <w:pPr>
        <w:spacing w:after="0" w:line="23" w:lineRule="atLeast"/>
        <w:contextualSpacing/>
        <w:jc w:val="both"/>
        <w:rPr>
          <w:rFonts w:ascii="ITC Avant Garde" w:hAnsi="ITC Avant Garde"/>
        </w:rPr>
      </w:pPr>
      <w:r>
        <w:rPr>
          <w:rFonts w:ascii="ITC Avant Garde" w:hAnsi="ITC Avant Garde"/>
        </w:rPr>
        <w:t xml:space="preserve">En esta sección se recibieron </w:t>
      </w:r>
      <w:r w:rsidR="00F23AAF">
        <w:rPr>
          <w:rFonts w:ascii="ITC Avant Garde" w:hAnsi="ITC Avant Garde"/>
        </w:rPr>
        <w:t xml:space="preserve">comentarios </w:t>
      </w:r>
      <w:r w:rsidR="00EE1AEA">
        <w:rPr>
          <w:rFonts w:ascii="ITC Avant Garde" w:hAnsi="ITC Avant Garde"/>
        </w:rPr>
        <w:t>del C. José Ignacio Medina</w:t>
      </w:r>
      <w:r>
        <w:rPr>
          <w:rFonts w:ascii="ITC Avant Garde" w:hAnsi="ITC Avant Garde"/>
        </w:rPr>
        <w:t xml:space="preserve"> y de la ASIET.</w:t>
      </w:r>
      <w:r w:rsidR="00F23AAF">
        <w:rPr>
          <w:rFonts w:ascii="ITC Avant Garde" w:hAnsi="ITC Avant Garde"/>
        </w:rPr>
        <w:t xml:space="preserve"> </w:t>
      </w:r>
    </w:p>
    <w:p w:rsidR="006844F4" w:rsidRDefault="006844F4" w:rsidP="00246898">
      <w:pPr>
        <w:spacing w:after="0" w:line="23" w:lineRule="atLeast"/>
        <w:contextualSpacing/>
        <w:jc w:val="both"/>
        <w:rPr>
          <w:rFonts w:ascii="ITC Avant Garde" w:hAnsi="ITC Avant Garde"/>
        </w:rPr>
      </w:pPr>
    </w:p>
    <w:p w:rsidR="006844F4" w:rsidRDefault="00EE1AEA" w:rsidP="006844F4">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2.2.1. </w:t>
      </w:r>
      <w:r w:rsidR="006844F4">
        <w:rPr>
          <w:rFonts w:ascii="ITC Avant Garde" w:hAnsi="ITC Avant Garde"/>
        </w:rPr>
        <w:t xml:space="preserve">Por un lado, </w:t>
      </w:r>
      <w:r>
        <w:rPr>
          <w:rFonts w:ascii="ITC Avant Garde" w:hAnsi="ITC Avant Garde"/>
        </w:rPr>
        <w:t>el C. José Ignacio Medina</w:t>
      </w:r>
      <w:r w:rsidR="006844F4">
        <w:rPr>
          <w:rFonts w:ascii="ITC Avant Garde" w:hAnsi="ITC Avant Garde"/>
        </w:rPr>
        <w:t xml:space="preserve"> sugiere que se consideren</w:t>
      </w:r>
      <w:r w:rsidR="006844F4" w:rsidRPr="006844F4">
        <w:rPr>
          <w:rFonts w:ascii="ITC Avant Garde" w:hAnsi="ITC Avant Garde"/>
        </w:rPr>
        <w:t xml:space="preserve"> los casos en los que se requieren concesione</w:t>
      </w:r>
      <w:r w:rsidR="006844F4">
        <w:rPr>
          <w:rFonts w:ascii="ITC Avant Garde" w:hAnsi="ITC Avant Garde"/>
        </w:rPr>
        <w:t>s con vigencia menor a 20 días, proponiendo</w:t>
      </w:r>
      <w:r w:rsidR="006844F4" w:rsidRPr="006844F4">
        <w:rPr>
          <w:rFonts w:ascii="ITC Avant Garde" w:hAnsi="ITC Avant Garde"/>
        </w:rPr>
        <w:t xml:space="preserve"> un bloque de frecuencias que, de ser susceptibles de asignación para uso temporal, puedan ser utilizadas por los cuerpos de seguridad diplomática para y durante el desarrollo de visitas oficiales de Estado, cuya estancia no rebase los 15 días naturales. </w:t>
      </w:r>
    </w:p>
    <w:p w:rsidR="006844F4" w:rsidRPr="006844F4" w:rsidRDefault="006844F4" w:rsidP="006844F4">
      <w:pPr>
        <w:spacing w:after="0" w:line="23" w:lineRule="atLeast"/>
        <w:contextualSpacing/>
        <w:jc w:val="both"/>
        <w:rPr>
          <w:rFonts w:ascii="ITC Avant Garde" w:hAnsi="ITC Avant Garde"/>
        </w:rPr>
      </w:pPr>
    </w:p>
    <w:p w:rsidR="006844F4" w:rsidRDefault="006844F4" w:rsidP="006844F4">
      <w:pPr>
        <w:spacing w:after="0" w:line="23" w:lineRule="atLeast"/>
        <w:contextualSpacing/>
        <w:jc w:val="both"/>
        <w:rPr>
          <w:rFonts w:ascii="ITC Avant Garde" w:hAnsi="ITC Avant Garde"/>
        </w:rPr>
      </w:pPr>
      <w:r w:rsidRPr="006844F4">
        <w:rPr>
          <w:rFonts w:ascii="ITC Avant Garde" w:hAnsi="ITC Avant Garde"/>
        </w:rPr>
        <w:t xml:space="preserve">En relación con las visitas oficiales, </w:t>
      </w:r>
      <w:r w:rsidR="00EE1AEA">
        <w:rPr>
          <w:rFonts w:ascii="ITC Avant Garde" w:hAnsi="ITC Avant Garde"/>
        </w:rPr>
        <w:t>recomienda</w:t>
      </w:r>
      <w:r w:rsidRPr="006844F4">
        <w:rPr>
          <w:rFonts w:ascii="ITC Avant Garde" w:hAnsi="ITC Avant Garde"/>
        </w:rPr>
        <w:t xml:space="preserve"> proporcionar un formato de aviso en donde las Misiones Diplomáticas puedan informar sobre las frecuencias que pretenden utilizar durante el desarrollo de una visita diplomática</w:t>
      </w:r>
      <w:r>
        <w:rPr>
          <w:rFonts w:ascii="ITC Avant Garde" w:hAnsi="ITC Avant Garde"/>
        </w:rPr>
        <w:t xml:space="preserve">. </w:t>
      </w:r>
      <w:r w:rsidRPr="006844F4">
        <w:rPr>
          <w:rFonts w:ascii="ITC Avant Garde" w:hAnsi="ITC Avant Garde"/>
        </w:rPr>
        <w:t>En su defecto, establecer un mecanismo simplificado de solicitud temporal de frecuencias en las bandas VHF y UHF que pueda ser iniciado y concluido dentro de los 5 días hábiles previos a la realización de una visita de Estado.</w:t>
      </w:r>
    </w:p>
    <w:p w:rsidR="006844F4" w:rsidRDefault="006844F4" w:rsidP="006844F4">
      <w:pPr>
        <w:spacing w:after="0" w:line="23" w:lineRule="atLeast"/>
        <w:contextualSpacing/>
        <w:jc w:val="both"/>
        <w:rPr>
          <w:rFonts w:ascii="ITC Avant Garde" w:hAnsi="ITC Avant Garde"/>
        </w:rPr>
      </w:pPr>
    </w:p>
    <w:p w:rsidR="006844F4" w:rsidRDefault="00EE1AEA" w:rsidP="006844F4">
      <w:pPr>
        <w:spacing w:after="0" w:line="23" w:lineRule="atLeast"/>
        <w:contextualSpacing/>
        <w:jc w:val="both"/>
        <w:rPr>
          <w:rFonts w:ascii="ITC Avant Garde" w:hAnsi="ITC Avant Garde"/>
        </w:rPr>
      </w:pPr>
      <w:r>
        <w:rPr>
          <w:rFonts w:ascii="ITC Avant Garde" w:hAnsi="ITC Avant Garde"/>
          <w:b/>
        </w:rPr>
        <w:t xml:space="preserve">Respuesta 2.2.1. </w:t>
      </w:r>
      <w:r w:rsidR="007D19A8">
        <w:rPr>
          <w:rFonts w:ascii="ITC Avant Garde" w:hAnsi="ITC Avant Garde"/>
        </w:rPr>
        <w:t xml:space="preserve">En este sentido, </w:t>
      </w:r>
      <w:r w:rsidR="006844F4" w:rsidRPr="006844F4">
        <w:rPr>
          <w:rFonts w:ascii="ITC Avant Garde" w:hAnsi="ITC Avant Garde"/>
        </w:rPr>
        <w:t>las “Reglas de carácter general que establecen los plazos y requisitos para el otorgamiento de autorizaciones en materia de telecomunicaciones establecidas en la Ley Federal de Telecomunicaciones y Radiodifusión” establecen en el Capítulo 7 la normatividad aplicable para el otorgamiento de autorizaciones para el uso temporal de bandas del espectro para visitas diplomáticas de conformidad con lo establecido en el ar</w:t>
      </w:r>
      <w:r w:rsidR="006844F4">
        <w:rPr>
          <w:rFonts w:ascii="ITC Avant Garde" w:hAnsi="ITC Avant Garde"/>
        </w:rPr>
        <w:t xml:space="preserve">tículo 170 fracción V de la </w:t>
      </w:r>
      <w:r w:rsidR="00290C7D">
        <w:rPr>
          <w:rFonts w:ascii="ITC Avant Garde" w:hAnsi="ITC Avant Garde"/>
        </w:rPr>
        <w:t>LFTR</w:t>
      </w:r>
      <w:r w:rsidR="006844F4">
        <w:rPr>
          <w:rFonts w:ascii="ITC Avant Garde" w:hAnsi="ITC Avant Garde"/>
        </w:rPr>
        <w:t>.</w:t>
      </w:r>
    </w:p>
    <w:p w:rsidR="006844F4" w:rsidRDefault="006844F4" w:rsidP="006844F4">
      <w:pPr>
        <w:spacing w:after="0" w:line="23" w:lineRule="atLeast"/>
        <w:contextualSpacing/>
        <w:jc w:val="both"/>
        <w:rPr>
          <w:rFonts w:ascii="ITC Avant Garde" w:hAnsi="ITC Avant Garde"/>
        </w:rPr>
      </w:pPr>
    </w:p>
    <w:p w:rsidR="006844F4" w:rsidRDefault="007D19A8" w:rsidP="006844F4">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2.2.2. </w:t>
      </w:r>
      <w:r w:rsidR="006844F4">
        <w:rPr>
          <w:rFonts w:ascii="ITC Avant Garde" w:hAnsi="ITC Avant Garde"/>
        </w:rPr>
        <w:t>La ASIET por otra parte señala que considera importante: i)</w:t>
      </w:r>
      <w:r w:rsidR="006844F4" w:rsidRPr="006844F4">
        <w:rPr>
          <w:rFonts w:ascii="ITC Avant Garde" w:hAnsi="ITC Avant Garde"/>
        </w:rPr>
        <w:t xml:space="preserve"> </w:t>
      </w:r>
      <w:r w:rsidR="006844F4">
        <w:rPr>
          <w:rFonts w:ascii="ITC Avant Garde" w:hAnsi="ITC Avant Garde"/>
        </w:rPr>
        <w:t>l</w:t>
      </w:r>
      <w:r w:rsidR="006844F4" w:rsidRPr="006844F4">
        <w:rPr>
          <w:rFonts w:ascii="ITC Avant Garde" w:hAnsi="ITC Avant Garde"/>
        </w:rPr>
        <w:t>a realización de un comparativo internacional en el Análisis de Impacto Regulatorio que permita reconocer cuáles son las prácticas comunes a nivel internacional y los principios que siguen los países con los que México ma</w:t>
      </w:r>
      <w:r w:rsidR="006844F4">
        <w:rPr>
          <w:rFonts w:ascii="ITC Avant Garde" w:hAnsi="ITC Avant Garde"/>
        </w:rPr>
        <w:t>ntiene relaciones diplomáticas; ii) a</w:t>
      </w:r>
      <w:r w:rsidR="006844F4" w:rsidRPr="006844F4">
        <w:rPr>
          <w:rFonts w:ascii="ITC Avant Garde" w:hAnsi="ITC Avant Garde"/>
        </w:rPr>
        <w:t>nalizar y explicar a profundidad las razones por las cuales el mecanismo de adjudicación v</w:t>
      </w:r>
      <w:r>
        <w:rPr>
          <w:rFonts w:ascii="ITC Avant Garde" w:hAnsi="ITC Avant Garde"/>
        </w:rPr>
        <w:t xml:space="preserve">igente no ha sido implementado, </w:t>
      </w:r>
      <w:r w:rsidR="006844F4">
        <w:rPr>
          <w:rFonts w:ascii="ITC Avant Garde" w:hAnsi="ITC Avant Garde"/>
        </w:rPr>
        <w:t xml:space="preserve">y iii) </w:t>
      </w:r>
      <w:r>
        <w:rPr>
          <w:rFonts w:ascii="ITC Avant Garde" w:hAnsi="ITC Avant Garde"/>
        </w:rPr>
        <w:t>f</w:t>
      </w:r>
      <w:r w:rsidR="006844F4" w:rsidRPr="006844F4">
        <w:rPr>
          <w:rFonts w:ascii="ITC Avant Garde" w:hAnsi="ITC Avant Garde"/>
        </w:rPr>
        <w:t xml:space="preserve">undamentar y motivar, con base en argumentos lógico-jurídicos, la interpretación de que el inciso b) de la fracción III de la </w:t>
      </w:r>
      <w:r w:rsidR="00290C7D">
        <w:rPr>
          <w:rFonts w:ascii="ITC Avant Garde" w:hAnsi="ITC Avant Garde"/>
        </w:rPr>
        <w:t>LFTR</w:t>
      </w:r>
      <w:r w:rsidR="006844F4" w:rsidRPr="006844F4">
        <w:rPr>
          <w:rFonts w:ascii="ITC Avant Garde" w:hAnsi="ITC Avant Garde"/>
        </w:rPr>
        <w:t xml:space="preserve"> permite el otorgamiento de concesiones para </w:t>
      </w:r>
      <w:r>
        <w:rPr>
          <w:rFonts w:ascii="ITC Avant Garde" w:hAnsi="ITC Avant Garde"/>
        </w:rPr>
        <w:t>uso p</w:t>
      </w:r>
      <w:r w:rsidR="006844F4" w:rsidRPr="006844F4">
        <w:rPr>
          <w:rFonts w:ascii="ITC Avant Garde" w:hAnsi="ITC Avant Garde"/>
        </w:rPr>
        <w:t xml:space="preserve">rivado para satisfacer necesidades de comunicación para embajadas o misiones diplomáticas que visiten el país, de manera directa, pese a no tener nacionalidad mexicana. </w:t>
      </w:r>
    </w:p>
    <w:p w:rsidR="006844F4" w:rsidRDefault="006844F4" w:rsidP="006844F4">
      <w:pPr>
        <w:spacing w:after="0" w:line="23" w:lineRule="atLeast"/>
        <w:contextualSpacing/>
        <w:jc w:val="both"/>
        <w:rPr>
          <w:rFonts w:ascii="ITC Avant Garde" w:hAnsi="ITC Avant Garde"/>
        </w:rPr>
      </w:pPr>
    </w:p>
    <w:p w:rsidR="006844F4" w:rsidRPr="006844F4" w:rsidRDefault="007D19A8" w:rsidP="006844F4">
      <w:pPr>
        <w:jc w:val="both"/>
        <w:rPr>
          <w:rFonts w:ascii="ITC Avant Garde" w:hAnsi="ITC Avant Garde"/>
        </w:rPr>
      </w:pPr>
      <w:r>
        <w:rPr>
          <w:rFonts w:ascii="ITC Avant Garde" w:hAnsi="ITC Avant Garde"/>
          <w:b/>
        </w:rPr>
        <w:t xml:space="preserve">Respuesta 2.2.2. </w:t>
      </w:r>
      <w:r w:rsidRPr="007D19A8">
        <w:rPr>
          <w:rFonts w:ascii="ITC Avant Garde" w:hAnsi="ITC Avant Garde"/>
        </w:rPr>
        <w:t>L</w:t>
      </w:r>
      <w:r w:rsidR="006844F4" w:rsidRPr="006844F4">
        <w:rPr>
          <w:rFonts w:ascii="ITC Avant Garde" w:hAnsi="ITC Avant Garde"/>
        </w:rPr>
        <w:t>as prácticas comunes en este tema y las razones o argumentos lógico-jurídicos por las cuales es conveniente el otorgamiento directo de co</w:t>
      </w:r>
      <w:r w:rsidR="00A31639">
        <w:rPr>
          <w:rFonts w:ascii="ITC Avant Garde" w:hAnsi="ITC Avant Garde"/>
        </w:rPr>
        <w:t>ncesiones de uso privado a las embajadas o m</w:t>
      </w:r>
      <w:r w:rsidR="006844F4" w:rsidRPr="006844F4">
        <w:rPr>
          <w:rFonts w:ascii="ITC Avant Garde" w:hAnsi="ITC Avant Garde"/>
        </w:rPr>
        <w:t xml:space="preserve">isiones diplomáticas, </w:t>
      </w:r>
      <w:r w:rsidR="006844F4">
        <w:rPr>
          <w:rFonts w:ascii="ITC Avant Garde" w:hAnsi="ITC Avant Garde"/>
        </w:rPr>
        <w:t xml:space="preserve">se </w:t>
      </w:r>
      <w:r w:rsidR="006844F4">
        <w:rPr>
          <w:rFonts w:ascii="ITC Avant Garde" w:hAnsi="ITC Avant Garde"/>
        </w:rPr>
        <w:lastRenderedPageBreak/>
        <w:t>encuentra</w:t>
      </w:r>
      <w:r>
        <w:rPr>
          <w:rFonts w:ascii="ITC Avant Garde" w:hAnsi="ITC Avant Garde"/>
        </w:rPr>
        <w:t>n</w:t>
      </w:r>
      <w:r w:rsidR="006844F4">
        <w:rPr>
          <w:rFonts w:ascii="ITC Avant Garde" w:hAnsi="ITC Avant Garde"/>
        </w:rPr>
        <w:t xml:space="preserve"> debidamente desarrollad</w:t>
      </w:r>
      <w:r>
        <w:rPr>
          <w:rFonts w:ascii="ITC Avant Garde" w:hAnsi="ITC Avant Garde"/>
        </w:rPr>
        <w:t>as</w:t>
      </w:r>
      <w:r w:rsidR="006844F4" w:rsidRPr="006844F4">
        <w:rPr>
          <w:rFonts w:ascii="ITC Avant Garde" w:hAnsi="ITC Avant Garde"/>
        </w:rPr>
        <w:t xml:space="preserve"> en el </w:t>
      </w:r>
      <w:r>
        <w:rPr>
          <w:rFonts w:ascii="ITC Avant Garde" w:hAnsi="ITC Avant Garde"/>
        </w:rPr>
        <w:t>Análisis de Impacto Regulatorio</w:t>
      </w:r>
      <w:r w:rsidR="00D059E2">
        <w:rPr>
          <w:rFonts w:ascii="ITC Avant Garde" w:hAnsi="ITC Avant Garde"/>
        </w:rPr>
        <w:t xml:space="preserve"> y la resolución que al efecto se emita para modificar los Lineamientos</w:t>
      </w:r>
      <w:r>
        <w:rPr>
          <w:rFonts w:ascii="ITC Avant Garde" w:hAnsi="ITC Avant Garde"/>
        </w:rPr>
        <w:t xml:space="preserve">. </w:t>
      </w:r>
    </w:p>
    <w:p w:rsidR="006844F4" w:rsidRPr="006844F4" w:rsidRDefault="006844F4" w:rsidP="006844F4">
      <w:pPr>
        <w:spacing w:after="0" w:line="23" w:lineRule="atLeast"/>
        <w:contextualSpacing/>
        <w:jc w:val="both"/>
        <w:rPr>
          <w:rFonts w:ascii="ITC Avant Garde" w:hAnsi="ITC Avant Garde"/>
        </w:rPr>
      </w:pPr>
    </w:p>
    <w:p w:rsidR="006844F4" w:rsidRDefault="006844F4" w:rsidP="006844F4">
      <w:pPr>
        <w:spacing w:after="0" w:line="23" w:lineRule="atLeast"/>
        <w:contextualSpacing/>
        <w:jc w:val="both"/>
        <w:rPr>
          <w:rFonts w:ascii="ITC Avant Garde" w:hAnsi="ITC Avant Garde"/>
        </w:rPr>
      </w:pPr>
    </w:p>
    <w:p w:rsidR="00DC2E05" w:rsidRPr="00A31639" w:rsidRDefault="00423F56" w:rsidP="00246898">
      <w:pPr>
        <w:pStyle w:val="Prrafodelista"/>
        <w:numPr>
          <w:ilvl w:val="0"/>
          <w:numId w:val="6"/>
        </w:numPr>
        <w:spacing w:after="0" w:line="23" w:lineRule="atLeast"/>
        <w:jc w:val="both"/>
        <w:rPr>
          <w:rFonts w:ascii="ITC Avant Garde" w:hAnsi="ITC Avant Garde"/>
          <w:b/>
        </w:rPr>
      </w:pPr>
      <w:r w:rsidRPr="00A31639">
        <w:rPr>
          <w:rFonts w:ascii="ITC Avant Garde" w:hAnsi="ITC Avant Garde"/>
          <w:b/>
        </w:rPr>
        <w:t xml:space="preserve">COMENTARIOS AL </w:t>
      </w:r>
      <w:r w:rsidR="0080184A" w:rsidRPr="00A31639">
        <w:rPr>
          <w:rFonts w:ascii="ITC Avant Garde" w:hAnsi="ITC Avant Garde"/>
          <w:b/>
        </w:rPr>
        <w:t>FORMATO</w:t>
      </w:r>
    </w:p>
    <w:p w:rsidR="0021394F" w:rsidRPr="0021394F" w:rsidRDefault="0021394F" w:rsidP="0021394F">
      <w:pPr>
        <w:pStyle w:val="Prrafodelista"/>
        <w:spacing w:after="0" w:line="23" w:lineRule="atLeast"/>
        <w:ind w:left="788"/>
        <w:jc w:val="both"/>
        <w:rPr>
          <w:rFonts w:ascii="ITC Avant Garde" w:hAnsi="ITC Avant Garde"/>
          <w:b/>
          <w:highlight w:val="yellow"/>
        </w:rPr>
      </w:pPr>
    </w:p>
    <w:p w:rsidR="0021394F" w:rsidRDefault="0021394F" w:rsidP="0021394F">
      <w:pPr>
        <w:spacing w:after="0" w:line="23" w:lineRule="atLeast"/>
        <w:contextualSpacing/>
        <w:jc w:val="both"/>
        <w:rPr>
          <w:rFonts w:ascii="ITC Avant Garde" w:hAnsi="ITC Avant Garde"/>
        </w:rPr>
      </w:pPr>
      <w:r>
        <w:rPr>
          <w:rFonts w:ascii="ITC Avant Garde" w:hAnsi="ITC Avant Garde"/>
        </w:rPr>
        <w:t xml:space="preserve">Se recibieron comentarios </w:t>
      </w:r>
      <w:r w:rsidR="0080184A">
        <w:rPr>
          <w:rFonts w:ascii="ITC Avant Garde" w:hAnsi="ITC Avant Garde"/>
        </w:rPr>
        <w:t>del C. José Ignacio Medina</w:t>
      </w:r>
      <w:r>
        <w:rPr>
          <w:rFonts w:ascii="ITC Avant Garde" w:hAnsi="ITC Avant Garde"/>
        </w:rPr>
        <w:t xml:space="preserve"> y de la ASIET respecto a</w:t>
      </w:r>
      <w:r w:rsidR="0080184A">
        <w:rPr>
          <w:rFonts w:ascii="ITC Avant Garde" w:hAnsi="ITC Avant Garde"/>
        </w:rPr>
        <w:t xml:space="preserve">l </w:t>
      </w:r>
      <w:r w:rsidR="0080184A" w:rsidRPr="0080184A">
        <w:rPr>
          <w:rFonts w:ascii="ITC Avant Garde" w:hAnsi="ITC Avant Garde"/>
        </w:rPr>
        <w:t xml:space="preserve">Formato Espectro Radioeléctrico Tipo B2 </w:t>
      </w:r>
      <w:r w:rsidRPr="0080184A">
        <w:rPr>
          <w:rFonts w:ascii="ITC Avant Garde" w:hAnsi="ITC Avant Garde"/>
        </w:rPr>
        <w:t>incluido</w:t>
      </w:r>
      <w:r w:rsidR="00A31639">
        <w:rPr>
          <w:rFonts w:ascii="ITC Avant Garde" w:hAnsi="ITC Avant Garde"/>
        </w:rPr>
        <w:t xml:space="preserve"> como A</w:t>
      </w:r>
      <w:r>
        <w:rPr>
          <w:rFonts w:ascii="ITC Avant Garde" w:hAnsi="ITC Avant Garde"/>
        </w:rPr>
        <w:t xml:space="preserve">nexo </w:t>
      </w:r>
      <w:r w:rsidR="00A31639">
        <w:rPr>
          <w:rFonts w:ascii="ITC Avant Garde" w:hAnsi="ITC Avant Garde"/>
        </w:rPr>
        <w:t>2.</w:t>
      </w:r>
    </w:p>
    <w:p w:rsidR="00A31639" w:rsidRDefault="00A31639" w:rsidP="0021394F">
      <w:pPr>
        <w:spacing w:after="0" w:line="23" w:lineRule="atLeast"/>
        <w:contextualSpacing/>
        <w:jc w:val="both"/>
        <w:rPr>
          <w:rFonts w:ascii="ITC Avant Garde" w:hAnsi="ITC Avant Garde"/>
        </w:rPr>
      </w:pPr>
    </w:p>
    <w:p w:rsidR="0021394F" w:rsidRPr="0021394F" w:rsidRDefault="00A31639" w:rsidP="0021394F">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3.1. </w:t>
      </w:r>
      <w:r>
        <w:rPr>
          <w:rFonts w:ascii="ITC Avant Garde" w:hAnsi="ITC Avant Garde"/>
        </w:rPr>
        <w:t xml:space="preserve"> El C. José Ignacio Medina</w:t>
      </w:r>
      <w:r w:rsidR="0021394F">
        <w:rPr>
          <w:rFonts w:ascii="ITC Avant Garde" w:hAnsi="ITC Avant Garde"/>
        </w:rPr>
        <w:t xml:space="preserve"> recomienda que en </w:t>
      </w:r>
      <w:r w:rsidR="0021394F" w:rsidRPr="0021394F">
        <w:rPr>
          <w:rFonts w:ascii="ITC Avant Garde" w:hAnsi="ITC Avant Garde"/>
        </w:rPr>
        <w:t>la sección de Datos Generales, I.2 – Acreditado para recibir el título de concesión (Titular de Misión o Agente Diplomático) se inclu</w:t>
      </w:r>
      <w:r w:rsidR="0021394F">
        <w:rPr>
          <w:rFonts w:ascii="ITC Avant Garde" w:hAnsi="ITC Avant Garde"/>
        </w:rPr>
        <w:t>ya</w:t>
      </w:r>
      <w:r w:rsidR="0021394F" w:rsidRPr="0021394F">
        <w:rPr>
          <w:rFonts w:ascii="ITC Avant Garde" w:hAnsi="ITC Avant Garde"/>
        </w:rPr>
        <w:t xml:space="preserve"> la figura de personal Técnico Administrativo o empleado autorizado por la Misión Diplomática, de tal manera que siempre exista el mecanismo de designar a un empleado de la Misión Diplomática y no existan impedimentos para recibir el título de concesión por ausencia del Titular de la Misión o Agente Diplomático , ya que con frecuencia deben viajar a otros Consulados y lugares del país por períodos extendidos. </w:t>
      </w:r>
    </w:p>
    <w:p w:rsidR="0021394F" w:rsidRPr="0021394F" w:rsidRDefault="0021394F" w:rsidP="0021394F">
      <w:pPr>
        <w:spacing w:after="0" w:line="23" w:lineRule="atLeast"/>
        <w:contextualSpacing/>
        <w:jc w:val="both"/>
        <w:rPr>
          <w:rFonts w:ascii="ITC Avant Garde" w:hAnsi="ITC Avant Garde"/>
        </w:rPr>
      </w:pPr>
    </w:p>
    <w:p w:rsidR="0021394F" w:rsidRDefault="0021394F" w:rsidP="0021394F">
      <w:pPr>
        <w:spacing w:after="0" w:line="23" w:lineRule="atLeast"/>
        <w:contextualSpacing/>
        <w:jc w:val="both"/>
        <w:rPr>
          <w:rFonts w:ascii="ITC Avant Garde" w:hAnsi="ITC Avant Garde"/>
        </w:rPr>
      </w:pPr>
      <w:r>
        <w:rPr>
          <w:rFonts w:ascii="ITC Avant Garde" w:hAnsi="ITC Avant Garde"/>
        </w:rPr>
        <w:t>Lo mismo</w:t>
      </w:r>
      <w:r w:rsidRPr="0021394F">
        <w:rPr>
          <w:rFonts w:ascii="ITC Avant Garde" w:hAnsi="ITC Avant Garde"/>
        </w:rPr>
        <w:t xml:space="preserve"> comenta en la sección I.7 – documentaci</w:t>
      </w:r>
      <w:r w:rsidR="00A31639">
        <w:rPr>
          <w:rFonts w:ascii="ITC Avant Garde" w:hAnsi="ITC Avant Garde"/>
        </w:rPr>
        <w:t>ón para acreditar personalidad, e</w:t>
      </w:r>
      <w:r>
        <w:rPr>
          <w:rFonts w:ascii="ITC Avant Garde" w:hAnsi="ITC Avant Garde"/>
        </w:rPr>
        <w:t>n la que</w:t>
      </w:r>
      <w:r w:rsidRPr="0021394F">
        <w:rPr>
          <w:rFonts w:ascii="ITC Avant Garde" w:hAnsi="ITC Avant Garde"/>
        </w:rPr>
        <w:t xml:space="preserve"> sugiere incluir la opción de que se designe un responsable técnico o empleado</w:t>
      </w:r>
      <w:r>
        <w:rPr>
          <w:rFonts w:ascii="ITC Avant Garde" w:hAnsi="ITC Avant Garde"/>
        </w:rPr>
        <w:t xml:space="preserve"> local que permita al Instituto</w:t>
      </w:r>
      <w:r w:rsidRPr="0021394F">
        <w:rPr>
          <w:rFonts w:ascii="ITC Avant Garde" w:hAnsi="ITC Avant Garde"/>
        </w:rPr>
        <w:t xml:space="preserve">, dar continuidad a los temas y mantener un punto de contacto en la Misión Diplomática, ya que los oficiales consulares y diplomáticos tienen una estancia corta en el país y están sujetos a una rotación cada dos o tres años, de acuerdo a las necesidades diplomáticas de su país, por lo que existe el riesgo de perder continuidad en el seguimiento de temas ante la ausencia de un diplomático designado, a pesar de que la Misión Diplomática continúe en operación. </w:t>
      </w:r>
    </w:p>
    <w:p w:rsidR="0021394F" w:rsidRDefault="0021394F" w:rsidP="0021394F">
      <w:pPr>
        <w:spacing w:after="0" w:line="23" w:lineRule="atLeast"/>
        <w:contextualSpacing/>
        <w:jc w:val="both"/>
        <w:rPr>
          <w:rFonts w:ascii="ITC Avant Garde" w:hAnsi="ITC Avant Garde"/>
        </w:rPr>
      </w:pPr>
    </w:p>
    <w:p w:rsidR="0021394F" w:rsidRPr="0021394F" w:rsidRDefault="00A31639" w:rsidP="0021394F">
      <w:pPr>
        <w:spacing w:after="0" w:line="23" w:lineRule="atLeast"/>
        <w:contextualSpacing/>
        <w:jc w:val="both"/>
        <w:rPr>
          <w:rFonts w:ascii="ITC Avant Garde" w:hAnsi="ITC Avant Garde"/>
        </w:rPr>
      </w:pPr>
      <w:r w:rsidRPr="00D01A55">
        <w:rPr>
          <w:rFonts w:ascii="ITC Avant Garde" w:hAnsi="ITC Avant Garde"/>
          <w:b/>
        </w:rPr>
        <w:t>Comentario</w:t>
      </w:r>
      <w:r>
        <w:rPr>
          <w:rFonts w:ascii="ITC Avant Garde" w:hAnsi="ITC Avant Garde"/>
          <w:b/>
        </w:rPr>
        <w:t xml:space="preserve"> 3.2. </w:t>
      </w:r>
      <w:r w:rsidR="0021394F">
        <w:rPr>
          <w:rFonts w:ascii="ITC Avant Garde" w:hAnsi="ITC Avant Garde"/>
        </w:rPr>
        <w:t xml:space="preserve">La ASIET plantea </w:t>
      </w:r>
      <w:r w:rsidR="0021394F" w:rsidRPr="0021394F">
        <w:rPr>
          <w:rFonts w:ascii="ITC Avant Garde" w:hAnsi="ITC Avant Garde"/>
        </w:rPr>
        <w:t>que el acreditado para atender solicitudes de información o requerimientos sea un agente diplomático, un miembro del personal técnico administrativo de la misión diplomática o un tercero, sin considerar que, para solicitudes de información específicas, y considerando el carácter de las embajadas y misiones diplomáticas, dichos funcionarios puedan estar impedidos para</w:t>
      </w:r>
      <w:r w:rsidR="0021394F">
        <w:rPr>
          <w:rFonts w:ascii="ITC Avant Garde" w:hAnsi="ITC Avant Garde"/>
        </w:rPr>
        <w:t xml:space="preserve"> proporcionar información al Instituto</w:t>
      </w:r>
      <w:r w:rsidR="0021394F" w:rsidRPr="0021394F">
        <w:rPr>
          <w:rFonts w:ascii="ITC Avant Garde" w:hAnsi="ITC Avant Garde"/>
        </w:rPr>
        <w:t xml:space="preserve">. </w:t>
      </w:r>
    </w:p>
    <w:p w:rsidR="0021394F" w:rsidRPr="0021394F" w:rsidRDefault="0021394F" w:rsidP="0021394F">
      <w:pPr>
        <w:spacing w:after="0" w:line="23" w:lineRule="atLeast"/>
        <w:contextualSpacing/>
        <w:jc w:val="both"/>
        <w:rPr>
          <w:rFonts w:ascii="ITC Avant Garde" w:hAnsi="ITC Avant Garde"/>
        </w:rPr>
      </w:pPr>
    </w:p>
    <w:p w:rsidR="0021394F" w:rsidRDefault="0021394F" w:rsidP="0021394F">
      <w:pPr>
        <w:spacing w:after="0" w:line="23" w:lineRule="atLeast"/>
        <w:contextualSpacing/>
        <w:jc w:val="both"/>
        <w:rPr>
          <w:rFonts w:ascii="ITC Avant Garde" w:hAnsi="ITC Avant Garde"/>
        </w:rPr>
      </w:pPr>
      <w:r>
        <w:rPr>
          <w:rFonts w:ascii="ITC Avant Garde" w:hAnsi="ITC Avant Garde"/>
        </w:rPr>
        <w:t xml:space="preserve">Asimismo, considera que </w:t>
      </w:r>
      <w:r w:rsidRPr="0021394F">
        <w:rPr>
          <w:rFonts w:ascii="ITC Avant Garde" w:hAnsi="ITC Avant Garde"/>
        </w:rPr>
        <w:t>no</w:t>
      </w:r>
      <w:r>
        <w:rPr>
          <w:rFonts w:ascii="ITC Avant Garde" w:hAnsi="ITC Avant Garde"/>
        </w:rPr>
        <w:t xml:space="preserve"> es</w:t>
      </w:r>
      <w:r w:rsidRPr="0021394F">
        <w:rPr>
          <w:rFonts w:ascii="ITC Avant Garde" w:hAnsi="ITC Avant Garde"/>
        </w:rPr>
        <w:t xml:space="preserve"> factible que el I</w:t>
      </w:r>
      <w:r>
        <w:rPr>
          <w:rFonts w:ascii="ITC Avant Garde" w:hAnsi="ITC Avant Garde"/>
        </w:rPr>
        <w:t xml:space="preserve">nstituto </w:t>
      </w:r>
      <w:r w:rsidRPr="0021394F">
        <w:rPr>
          <w:rFonts w:ascii="ITC Avant Garde" w:hAnsi="ITC Avant Garde"/>
        </w:rPr>
        <w:t>pueda supervisar o solicitar información a las embajadas o misiones diplomáticas en su desempeño como concesionario</w:t>
      </w:r>
      <w:r>
        <w:rPr>
          <w:rFonts w:ascii="ITC Avant Garde" w:hAnsi="ITC Avant Garde"/>
        </w:rPr>
        <w:t xml:space="preserve">s ya que </w:t>
      </w:r>
      <w:r w:rsidRPr="0021394F">
        <w:rPr>
          <w:rFonts w:ascii="ITC Avant Garde" w:hAnsi="ITC Avant Garde"/>
        </w:rPr>
        <w:t>son una representación de un gobierno extranjero, es decir, no son independientes en sí mismas, sino que obedecen al mandato de los Estados que representan.</w:t>
      </w:r>
    </w:p>
    <w:p w:rsidR="0021394F" w:rsidRDefault="0021394F" w:rsidP="0021394F">
      <w:pPr>
        <w:spacing w:after="0" w:line="23" w:lineRule="atLeast"/>
        <w:contextualSpacing/>
        <w:jc w:val="both"/>
        <w:rPr>
          <w:rFonts w:ascii="ITC Avant Garde" w:hAnsi="ITC Avant Garde"/>
        </w:rPr>
      </w:pPr>
    </w:p>
    <w:p w:rsidR="0021394F" w:rsidRPr="0021394F" w:rsidRDefault="00A31639" w:rsidP="0021394F">
      <w:pPr>
        <w:spacing w:after="0" w:line="23" w:lineRule="atLeast"/>
        <w:contextualSpacing/>
        <w:jc w:val="both"/>
        <w:rPr>
          <w:rFonts w:ascii="ITC Avant Garde" w:hAnsi="ITC Avant Garde"/>
        </w:rPr>
      </w:pPr>
      <w:r>
        <w:rPr>
          <w:rFonts w:ascii="ITC Avant Garde" w:hAnsi="ITC Avant Garde"/>
          <w:b/>
        </w:rPr>
        <w:lastRenderedPageBreak/>
        <w:t xml:space="preserve">Respuesta 3.1. y 3.2. </w:t>
      </w:r>
      <w:r w:rsidRPr="00A31639">
        <w:rPr>
          <w:rFonts w:ascii="ITC Avant Garde" w:hAnsi="ITC Avant Garde"/>
        </w:rPr>
        <w:t>Como se</w:t>
      </w:r>
      <w:r>
        <w:rPr>
          <w:rFonts w:ascii="ITC Avant Garde" w:hAnsi="ITC Avant Garde"/>
        </w:rPr>
        <w:t xml:space="preserve"> mencionó en la respuesta 2.1.2., tras haber evaluado, se considera que debe ser el </w:t>
      </w:r>
      <w:r w:rsidRPr="0021394F">
        <w:rPr>
          <w:rFonts w:ascii="ITC Avant Garde" w:hAnsi="ITC Avant Garde"/>
        </w:rPr>
        <w:t>Titular de la Misión o el Agente Diplomático el responsable de la solicitud y en su caso de la recepción de</w:t>
      </w:r>
      <w:r>
        <w:rPr>
          <w:rFonts w:ascii="ITC Avant Garde" w:hAnsi="ITC Avant Garde"/>
        </w:rPr>
        <w:t xml:space="preserve"> la concesión, mientras que el </w:t>
      </w:r>
      <w:r w:rsidR="0021394F" w:rsidRPr="0021394F">
        <w:rPr>
          <w:rFonts w:ascii="ITC Avant Garde" w:hAnsi="ITC Avant Garde"/>
        </w:rPr>
        <w:t>personal técnico administrativo s</w:t>
      </w:r>
      <w:r>
        <w:rPr>
          <w:rFonts w:ascii="ITC Avant Garde" w:hAnsi="ITC Avant Garde"/>
        </w:rPr>
        <w:t xml:space="preserve">erá </w:t>
      </w:r>
      <w:r w:rsidR="0021394F" w:rsidRPr="0021394F">
        <w:rPr>
          <w:rFonts w:ascii="ITC Avant Garde" w:hAnsi="ITC Avant Garde"/>
        </w:rPr>
        <w:t>con el cual se podrá gestionar el otorg</w:t>
      </w:r>
      <w:r>
        <w:rPr>
          <w:rFonts w:ascii="ITC Avant Garde" w:hAnsi="ITC Avant Garde"/>
        </w:rPr>
        <w:t>amiento del título de concesión.</w:t>
      </w:r>
    </w:p>
    <w:p w:rsidR="0021394F" w:rsidRPr="0021394F" w:rsidRDefault="0021394F" w:rsidP="0021394F">
      <w:pPr>
        <w:spacing w:after="0" w:line="23" w:lineRule="atLeast"/>
        <w:contextualSpacing/>
        <w:jc w:val="both"/>
        <w:rPr>
          <w:rFonts w:ascii="ITC Avant Garde" w:hAnsi="ITC Avant Garde"/>
        </w:rPr>
      </w:pPr>
    </w:p>
    <w:p w:rsidR="0021394F" w:rsidRDefault="0021394F" w:rsidP="0021394F">
      <w:pPr>
        <w:spacing w:after="0" w:line="23" w:lineRule="atLeast"/>
        <w:contextualSpacing/>
        <w:jc w:val="both"/>
        <w:rPr>
          <w:rFonts w:ascii="ITC Avant Garde" w:hAnsi="ITC Avant Garde"/>
        </w:rPr>
      </w:pPr>
      <w:r>
        <w:rPr>
          <w:rFonts w:ascii="ITC Avant Garde" w:hAnsi="ITC Avant Garde"/>
        </w:rPr>
        <w:t>Ahora bien, p</w:t>
      </w:r>
      <w:r w:rsidRPr="0021394F">
        <w:rPr>
          <w:rFonts w:ascii="ITC Avant Garde" w:hAnsi="ITC Avant Garde"/>
        </w:rPr>
        <w:t xml:space="preserve">or lo que hace al argumento de que el </w:t>
      </w:r>
      <w:r w:rsidR="00290C7D">
        <w:rPr>
          <w:rFonts w:ascii="ITC Avant Garde" w:hAnsi="ITC Avant Garde"/>
        </w:rPr>
        <w:t>Instituto</w:t>
      </w:r>
      <w:r w:rsidRPr="0021394F">
        <w:rPr>
          <w:rFonts w:ascii="ITC Avant Garde" w:hAnsi="ITC Avant Garde"/>
        </w:rPr>
        <w:t xml:space="preserve"> no pueda supervisar o solicitar a las embajadas o misiones diplomáticas información en su desempeño como concesionarios por ser una representación extranjera, se señala que la información que se requeriría sería estrictamente la necesaria para el otorgamiento de la concesión y estas se acogerían a las condiciones para su uso en términos del título y la normatividad respectiva. Es importante reiterar que con este tipo de concesiones solo se otorga el derecho de uso del espectro radioeléctrico, de conformidad con la </w:t>
      </w:r>
      <w:r w:rsidR="00290C7D">
        <w:rPr>
          <w:rFonts w:ascii="ITC Avant Garde" w:hAnsi="ITC Avant Garde"/>
        </w:rPr>
        <w:t>LFTR</w:t>
      </w:r>
      <w:r w:rsidRPr="0021394F">
        <w:rPr>
          <w:rFonts w:ascii="ITC Avant Garde" w:hAnsi="ITC Avant Garde"/>
        </w:rPr>
        <w:t>, sin que se permita de ninguna manera que exploten de manera comercial dicho bien.</w:t>
      </w:r>
    </w:p>
    <w:sectPr w:rsidR="0021394F" w:rsidSect="00F23AAF">
      <w:headerReference w:type="even" r:id="rId7"/>
      <w:headerReference w:type="default" r:id="rId8"/>
      <w:footerReference w:type="even" r:id="rId9"/>
      <w:footerReference w:type="default" r:id="rId10"/>
      <w:headerReference w:type="first" r:id="rId11"/>
      <w:footerReference w:type="first" r:id="rId12"/>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FB" w:rsidRDefault="00A219FB">
      <w:pPr>
        <w:spacing w:after="0" w:line="240" w:lineRule="auto"/>
      </w:pPr>
      <w:r>
        <w:separator/>
      </w:r>
    </w:p>
  </w:endnote>
  <w:endnote w:type="continuationSeparator" w:id="0">
    <w:p w:rsidR="00A219FB" w:rsidRDefault="00A2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EB" w:rsidRDefault="00D258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684706264"/>
      <w:docPartObj>
        <w:docPartGallery w:val="Page Numbers (Bottom of Page)"/>
        <w:docPartUnique/>
      </w:docPartObj>
    </w:sdtPr>
    <w:sdtEndPr/>
    <w:sdtContent>
      <w:sdt>
        <w:sdtPr>
          <w:rPr>
            <w:rFonts w:ascii="ITC Avant Garde" w:hAnsi="ITC Avant Garde"/>
            <w:sz w:val="20"/>
            <w:szCs w:val="20"/>
          </w:rPr>
          <w:id w:val="-729993138"/>
          <w:docPartObj>
            <w:docPartGallery w:val="Page Numbers (Top of Page)"/>
            <w:docPartUnique/>
          </w:docPartObj>
        </w:sdtPr>
        <w:sdtEndPr/>
        <w:sdtContent>
          <w:p w:rsidR="00F76309" w:rsidRPr="00D258EB" w:rsidRDefault="00F76309">
            <w:pPr>
              <w:pStyle w:val="Piedepgina"/>
              <w:jc w:val="right"/>
              <w:rPr>
                <w:rFonts w:ascii="ITC Avant Garde" w:hAnsi="ITC Avant Garde"/>
                <w:sz w:val="20"/>
                <w:szCs w:val="20"/>
              </w:rPr>
            </w:pPr>
            <w:r w:rsidRPr="00D258EB">
              <w:rPr>
                <w:rFonts w:ascii="ITC Avant Garde" w:hAnsi="ITC Avant Garde"/>
                <w:sz w:val="20"/>
                <w:szCs w:val="20"/>
                <w:lang w:val="es-ES"/>
              </w:rPr>
              <w:t xml:space="preserve">Página </w:t>
            </w:r>
            <w:r w:rsidRPr="00D258EB">
              <w:rPr>
                <w:rFonts w:ascii="ITC Avant Garde" w:hAnsi="ITC Avant Garde"/>
                <w:b/>
                <w:bCs/>
                <w:sz w:val="20"/>
                <w:szCs w:val="20"/>
              </w:rPr>
              <w:fldChar w:fldCharType="begin"/>
            </w:r>
            <w:r w:rsidRPr="00D258EB">
              <w:rPr>
                <w:rFonts w:ascii="ITC Avant Garde" w:hAnsi="ITC Avant Garde"/>
                <w:b/>
                <w:bCs/>
                <w:sz w:val="20"/>
                <w:szCs w:val="20"/>
              </w:rPr>
              <w:instrText>PAGE</w:instrText>
            </w:r>
            <w:r w:rsidRPr="00D258EB">
              <w:rPr>
                <w:rFonts w:ascii="ITC Avant Garde" w:hAnsi="ITC Avant Garde"/>
                <w:b/>
                <w:bCs/>
                <w:sz w:val="20"/>
                <w:szCs w:val="20"/>
              </w:rPr>
              <w:fldChar w:fldCharType="separate"/>
            </w:r>
            <w:r w:rsidR="00D258EB">
              <w:rPr>
                <w:rFonts w:ascii="ITC Avant Garde" w:hAnsi="ITC Avant Garde"/>
                <w:b/>
                <w:bCs/>
                <w:noProof/>
                <w:sz w:val="20"/>
                <w:szCs w:val="20"/>
              </w:rPr>
              <w:t>7</w:t>
            </w:r>
            <w:r w:rsidRPr="00D258EB">
              <w:rPr>
                <w:rFonts w:ascii="ITC Avant Garde" w:hAnsi="ITC Avant Garde"/>
                <w:b/>
                <w:bCs/>
                <w:sz w:val="20"/>
                <w:szCs w:val="20"/>
              </w:rPr>
              <w:fldChar w:fldCharType="end"/>
            </w:r>
            <w:r w:rsidRPr="00D258EB">
              <w:rPr>
                <w:rFonts w:ascii="ITC Avant Garde" w:hAnsi="ITC Avant Garde"/>
                <w:sz w:val="20"/>
                <w:szCs w:val="20"/>
                <w:lang w:val="es-ES"/>
              </w:rPr>
              <w:t xml:space="preserve"> de </w:t>
            </w:r>
            <w:r w:rsidRPr="00D258EB">
              <w:rPr>
                <w:rFonts w:ascii="ITC Avant Garde" w:hAnsi="ITC Avant Garde"/>
                <w:b/>
                <w:bCs/>
                <w:sz w:val="20"/>
                <w:szCs w:val="20"/>
              </w:rPr>
              <w:fldChar w:fldCharType="begin"/>
            </w:r>
            <w:r w:rsidRPr="00D258EB">
              <w:rPr>
                <w:rFonts w:ascii="ITC Avant Garde" w:hAnsi="ITC Avant Garde"/>
                <w:b/>
                <w:bCs/>
                <w:sz w:val="20"/>
                <w:szCs w:val="20"/>
              </w:rPr>
              <w:instrText>NUMPAGES</w:instrText>
            </w:r>
            <w:r w:rsidRPr="00D258EB">
              <w:rPr>
                <w:rFonts w:ascii="ITC Avant Garde" w:hAnsi="ITC Avant Garde"/>
                <w:b/>
                <w:bCs/>
                <w:sz w:val="20"/>
                <w:szCs w:val="20"/>
              </w:rPr>
              <w:fldChar w:fldCharType="separate"/>
            </w:r>
            <w:r w:rsidR="00D258EB">
              <w:rPr>
                <w:rFonts w:ascii="ITC Avant Garde" w:hAnsi="ITC Avant Garde"/>
                <w:b/>
                <w:bCs/>
                <w:noProof/>
                <w:sz w:val="20"/>
                <w:szCs w:val="20"/>
              </w:rPr>
              <w:t>8</w:t>
            </w:r>
            <w:r w:rsidRPr="00D258EB">
              <w:rPr>
                <w:rFonts w:ascii="ITC Avant Garde" w:hAnsi="ITC Avant Garde"/>
                <w:b/>
                <w:bCs/>
                <w:sz w:val="20"/>
                <w:szCs w:val="20"/>
              </w:rPr>
              <w:fldChar w:fldCharType="end"/>
            </w:r>
          </w:p>
        </w:sdtContent>
      </w:sdt>
    </w:sdtContent>
  </w:sdt>
  <w:p w:rsidR="00F76309" w:rsidRPr="00D258EB" w:rsidRDefault="00F76309">
    <w:pPr>
      <w:pStyle w:val="Piedepgina"/>
      <w:rPr>
        <w:rFonts w:ascii="ITC Avant Garde" w:hAnsi="ITC Avant Gard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EB" w:rsidRDefault="00D258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FB" w:rsidRDefault="00A219FB">
      <w:pPr>
        <w:spacing w:after="0" w:line="240" w:lineRule="auto"/>
      </w:pPr>
      <w:r>
        <w:separator/>
      </w:r>
    </w:p>
  </w:footnote>
  <w:footnote w:type="continuationSeparator" w:id="0">
    <w:p w:rsidR="00A219FB" w:rsidRDefault="00A2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EB" w:rsidRDefault="00D258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09" w:rsidRDefault="00A219FB">
    <w:pPr>
      <w:pStyle w:val="Encabezado"/>
    </w:pPr>
    <w:bookmarkStart w:id="0" w:name="_GoBack"/>
    <w:bookmarkEnd w:id="0"/>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85.05pt;margin-top:-120.45pt;width:612pt;height:11in;z-index:-25165875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EB" w:rsidRDefault="00D258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2B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635B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A00A7"/>
    <w:multiLevelType w:val="hybridMultilevel"/>
    <w:tmpl w:val="11065F5C"/>
    <w:lvl w:ilvl="0" w:tplc="D2F24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13C5C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126D1E"/>
    <w:multiLevelType w:val="hybridMultilevel"/>
    <w:tmpl w:val="BEB6D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E32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50F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8E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175D0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7D33B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F22E0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A732D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C14C1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8085C"/>
    <w:multiLevelType w:val="hybridMultilevel"/>
    <w:tmpl w:val="C7324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C9749B"/>
    <w:multiLevelType w:val="hybridMultilevel"/>
    <w:tmpl w:val="9182C5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000B8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E56AB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80EA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105453"/>
    <w:multiLevelType w:val="hybridMultilevel"/>
    <w:tmpl w:val="1D8020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E49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03386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AB50D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A80B2B"/>
    <w:multiLevelType w:val="hybridMultilevel"/>
    <w:tmpl w:val="521A3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1C6DF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D273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E55A0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02001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4"/>
  </w:num>
  <w:num w:numId="3">
    <w:abstractNumId w:val="2"/>
  </w:num>
  <w:num w:numId="4">
    <w:abstractNumId w:val="9"/>
  </w:num>
  <w:num w:numId="5">
    <w:abstractNumId w:val="24"/>
  </w:num>
  <w:num w:numId="6">
    <w:abstractNumId w:val="16"/>
  </w:num>
  <w:num w:numId="7">
    <w:abstractNumId w:val="1"/>
  </w:num>
  <w:num w:numId="8">
    <w:abstractNumId w:val="15"/>
  </w:num>
  <w:num w:numId="9">
    <w:abstractNumId w:val="21"/>
  </w:num>
  <w:num w:numId="10">
    <w:abstractNumId w:val="23"/>
  </w:num>
  <w:num w:numId="11">
    <w:abstractNumId w:val="10"/>
  </w:num>
  <w:num w:numId="12">
    <w:abstractNumId w:val="8"/>
  </w:num>
  <w:num w:numId="13">
    <w:abstractNumId w:val="19"/>
  </w:num>
  <w:num w:numId="14">
    <w:abstractNumId w:val="7"/>
  </w:num>
  <w:num w:numId="15">
    <w:abstractNumId w:val="5"/>
  </w:num>
  <w:num w:numId="16">
    <w:abstractNumId w:val="0"/>
  </w:num>
  <w:num w:numId="17">
    <w:abstractNumId w:val="25"/>
  </w:num>
  <w:num w:numId="18">
    <w:abstractNumId w:val="20"/>
  </w:num>
  <w:num w:numId="19">
    <w:abstractNumId w:val="12"/>
  </w:num>
  <w:num w:numId="20">
    <w:abstractNumId w:val="26"/>
  </w:num>
  <w:num w:numId="21">
    <w:abstractNumId w:val="11"/>
  </w:num>
  <w:num w:numId="22">
    <w:abstractNumId w:val="17"/>
  </w:num>
  <w:num w:numId="23">
    <w:abstractNumId w:val="3"/>
  </w:num>
  <w:num w:numId="24">
    <w:abstractNumId w:val="6"/>
  </w:num>
  <w:num w:numId="25">
    <w:abstractNumId w:val="13"/>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AF"/>
    <w:rsid w:val="00096DE9"/>
    <w:rsid w:val="00101965"/>
    <w:rsid w:val="00104CDC"/>
    <w:rsid w:val="00182874"/>
    <w:rsid w:val="0021394F"/>
    <w:rsid w:val="002420BB"/>
    <w:rsid w:val="00246898"/>
    <w:rsid w:val="00290C7D"/>
    <w:rsid w:val="002A588F"/>
    <w:rsid w:val="003A2693"/>
    <w:rsid w:val="00411586"/>
    <w:rsid w:val="00423F56"/>
    <w:rsid w:val="00572BE8"/>
    <w:rsid w:val="00601E77"/>
    <w:rsid w:val="006844F4"/>
    <w:rsid w:val="007D19A8"/>
    <w:rsid w:val="007D6E40"/>
    <w:rsid w:val="0080184A"/>
    <w:rsid w:val="00A219FB"/>
    <w:rsid w:val="00A31639"/>
    <w:rsid w:val="00AB63F1"/>
    <w:rsid w:val="00AE5F8A"/>
    <w:rsid w:val="00BD2013"/>
    <w:rsid w:val="00CF1EEE"/>
    <w:rsid w:val="00D01A55"/>
    <w:rsid w:val="00D059E2"/>
    <w:rsid w:val="00D258EB"/>
    <w:rsid w:val="00D54B40"/>
    <w:rsid w:val="00DC2E05"/>
    <w:rsid w:val="00E7441E"/>
    <w:rsid w:val="00EE1AEA"/>
    <w:rsid w:val="00F23AAF"/>
    <w:rsid w:val="00F34EBC"/>
    <w:rsid w:val="00F472B3"/>
    <w:rsid w:val="00F6645A"/>
    <w:rsid w:val="00F76309"/>
    <w:rsid w:val="00F95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C25666-B138-4CF2-9B78-C92A00BF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AF"/>
  </w:style>
  <w:style w:type="paragraph" w:styleId="Ttulo2">
    <w:name w:val="heading 2"/>
    <w:basedOn w:val="Normal"/>
    <w:next w:val="Normal"/>
    <w:link w:val="Ttulo2Car"/>
    <w:uiPriority w:val="9"/>
    <w:unhideWhenUsed/>
    <w:qFormat/>
    <w:rsid w:val="00F23AAF"/>
    <w:pPr>
      <w:keepNext/>
      <w:keepLines/>
      <w:spacing w:before="40" w:after="0"/>
      <w:jc w:val="center"/>
      <w:outlineLvl w:val="1"/>
    </w:pPr>
    <w:rPr>
      <w:rFonts w:ascii="ITC Avant Garde" w:eastAsiaTheme="majorEastAsia" w:hAnsi="ITC Avant Garde"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3AAF"/>
    <w:rPr>
      <w:rFonts w:ascii="ITC Avant Garde" w:eastAsiaTheme="majorEastAsia" w:hAnsi="ITC Avant Garde" w:cstheme="majorBidi"/>
      <w:b/>
      <w:color w:val="000000" w:themeColor="text1"/>
      <w:sz w:val="24"/>
      <w:szCs w:val="26"/>
    </w:rPr>
  </w:style>
  <w:style w:type="paragraph" w:styleId="Prrafodelista">
    <w:name w:val="List Paragraph"/>
    <w:basedOn w:val="Normal"/>
    <w:link w:val="PrrafodelistaCar"/>
    <w:uiPriority w:val="34"/>
    <w:qFormat/>
    <w:rsid w:val="00F23AAF"/>
    <w:pPr>
      <w:ind w:left="720"/>
      <w:contextualSpacing/>
    </w:pPr>
  </w:style>
  <w:style w:type="character" w:customStyle="1" w:styleId="PrrafodelistaCar">
    <w:name w:val="Párrafo de lista Car"/>
    <w:link w:val="Prrafodelista"/>
    <w:uiPriority w:val="34"/>
    <w:locked/>
    <w:rsid w:val="00F23AAF"/>
  </w:style>
  <w:style w:type="paragraph" w:styleId="Encabezado">
    <w:name w:val="header"/>
    <w:basedOn w:val="Normal"/>
    <w:link w:val="EncabezadoCar"/>
    <w:uiPriority w:val="99"/>
    <w:unhideWhenUsed/>
    <w:rsid w:val="00F23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AF"/>
  </w:style>
  <w:style w:type="paragraph" w:styleId="Piedepgina">
    <w:name w:val="footer"/>
    <w:basedOn w:val="Normal"/>
    <w:link w:val="PiedepginaCar"/>
    <w:uiPriority w:val="99"/>
    <w:unhideWhenUsed/>
    <w:rsid w:val="00F23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AF"/>
  </w:style>
  <w:style w:type="paragraph" w:customStyle="1" w:styleId="Default">
    <w:name w:val="Default"/>
    <w:rsid w:val="00F23AA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F23AAF"/>
    <w:rPr>
      <w:color w:val="0563C1" w:themeColor="hyperlink"/>
      <w:u w:val="single"/>
    </w:rPr>
  </w:style>
  <w:style w:type="paragraph" w:styleId="Textodeglobo">
    <w:name w:val="Balloon Text"/>
    <w:basedOn w:val="Normal"/>
    <w:link w:val="TextodegloboCar"/>
    <w:uiPriority w:val="99"/>
    <w:semiHidden/>
    <w:unhideWhenUsed/>
    <w:rsid w:val="00DC2E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00050">
      <w:bodyDiv w:val="1"/>
      <w:marLeft w:val="0"/>
      <w:marRight w:val="0"/>
      <w:marTop w:val="0"/>
      <w:marBottom w:val="0"/>
      <w:divBdr>
        <w:top w:val="none" w:sz="0" w:space="0" w:color="auto"/>
        <w:left w:val="none" w:sz="0" w:space="0" w:color="auto"/>
        <w:bottom w:val="none" w:sz="0" w:space="0" w:color="auto"/>
        <w:right w:val="none" w:sz="0" w:space="0" w:color="auto"/>
      </w:divBdr>
    </w:div>
    <w:div w:id="6707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2964</Words>
  <Characters>16305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Leticia Diaz Villalobos</cp:lastModifiedBy>
  <cp:revision>2</cp:revision>
  <cp:lastPrinted>2018-11-07T22:29:00Z</cp:lastPrinted>
  <dcterms:created xsi:type="dcterms:W3CDTF">2018-11-09T20:42:00Z</dcterms:created>
  <dcterms:modified xsi:type="dcterms:W3CDTF">2018-11-09T20:42:00Z</dcterms:modified>
</cp:coreProperties>
</file>