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FE3F5" w14:textId="77777777" w:rsidR="007F6493" w:rsidRPr="00D936CA" w:rsidRDefault="007F6493" w:rsidP="00D936CA">
      <w:pPr>
        <w:pStyle w:val="Sinespaciado"/>
        <w:rPr>
          <w:rFonts w:ascii="ITC Avant Garde" w:hAnsi="ITC Avant Garde"/>
          <w:lang w:val="es-MX"/>
        </w:rPr>
      </w:pPr>
    </w:p>
    <w:p w14:paraId="33CFE3F6"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7"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8"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9"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A"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B"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C"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D"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E" w14:textId="77777777" w:rsidR="007F6493" w:rsidRPr="00D936CA" w:rsidRDefault="007F6493" w:rsidP="00D936CA">
      <w:pPr>
        <w:pStyle w:val="Arial14Bold"/>
        <w:spacing w:line="360" w:lineRule="auto"/>
        <w:contextualSpacing/>
        <w:rPr>
          <w:rFonts w:ascii="ITC Avant Garde" w:hAnsi="ITC Avant Garde"/>
          <w:sz w:val="22"/>
          <w:szCs w:val="22"/>
          <w:lang w:val="es-MX"/>
        </w:rPr>
      </w:pPr>
    </w:p>
    <w:p w14:paraId="33CFE3FF" w14:textId="77777777" w:rsidR="008161F6" w:rsidRPr="00D936CA" w:rsidRDefault="008161F6" w:rsidP="00D936CA">
      <w:pPr>
        <w:pStyle w:val="Arial14Bold"/>
        <w:spacing w:line="360" w:lineRule="auto"/>
        <w:contextualSpacing/>
        <w:rPr>
          <w:rFonts w:ascii="ITC Avant Garde" w:hAnsi="ITC Avant Garde"/>
          <w:sz w:val="36"/>
          <w:szCs w:val="22"/>
          <w:lang w:val="es-MX"/>
        </w:rPr>
      </w:pPr>
    </w:p>
    <w:p w14:paraId="33CFE400" w14:textId="77777777" w:rsidR="008126EE" w:rsidRPr="00D936CA" w:rsidRDefault="00011A1B" w:rsidP="00D936CA">
      <w:pPr>
        <w:spacing w:line="360" w:lineRule="auto"/>
        <w:contextualSpacing/>
        <w:jc w:val="center"/>
        <w:rPr>
          <w:rFonts w:ascii="ITC Avant Garde" w:hAnsi="ITC Avant Garde"/>
          <w:sz w:val="36"/>
          <w:szCs w:val="22"/>
        </w:rPr>
      </w:pPr>
      <w:r w:rsidRPr="00D936CA">
        <w:rPr>
          <w:rFonts w:ascii="ITC Avant Garde" w:hAnsi="ITC Avant Garde"/>
          <w:sz w:val="36"/>
          <w:szCs w:val="22"/>
        </w:rPr>
        <w:t>Oferta de Referencia para la Desagregación del Bucle Local</w:t>
      </w:r>
    </w:p>
    <w:p w14:paraId="33CFE401" w14:textId="77777777" w:rsidR="0001712E" w:rsidRPr="00D936CA" w:rsidRDefault="00011A1B" w:rsidP="00D936CA">
      <w:pPr>
        <w:spacing w:line="360" w:lineRule="auto"/>
        <w:contextualSpacing/>
        <w:jc w:val="center"/>
        <w:rPr>
          <w:rFonts w:ascii="ITC Avant Garde" w:hAnsi="ITC Avant Garde"/>
          <w:sz w:val="36"/>
          <w:szCs w:val="22"/>
        </w:rPr>
      </w:pPr>
      <w:r w:rsidRPr="00D936CA">
        <w:rPr>
          <w:rFonts w:ascii="ITC Avant Garde" w:hAnsi="ITC Avant Garde"/>
          <w:sz w:val="36"/>
          <w:szCs w:val="22"/>
        </w:rPr>
        <w:t>(OREDA-Telmex)</w:t>
      </w:r>
    </w:p>
    <w:p w14:paraId="33CFE402" w14:textId="1347A86B" w:rsidR="005450EF" w:rsidRPr="00D936CA" w:rsidRDefault="005450EF" w:rsidP="00D936CA">
      <w:pPr>
        <w:spacing w:line="360" w:lineRule="auto"/>
        <w:contextualSpacing/>
        <w:jc w:val="center"/>
        <w:rPr>
          <w:rFonts w:ascii="ITC Avant Garde" w:hAnsi="ITC Avant Garde"/>
          <w:sz w:val="36"/>
          <w:szCs w:val="22"/>
        </w:rPr>
      </w:pPr>
      <w:r w:rsidRPr="00D936CA">
        <w:rPr>
          <w:rFonts w:ascii="ITC Avant Garde" w:hAnsi="ITC Avant Garde"/>
          <w:sz w:val="36"/>
          <w:szCs w:val="22"/>
        </w:rPr>
        <w:t>201</w:t>
      </w:r>
      <w:r w:rsidR="00C616B3">
        <w:rPr>
          <w:rFonts w:ascii="ITC Avant Garde" w:hAnsi="ITC Avant Garde"/>
          <w:sz w:val="36"/>
          <w:szCs w:val="22"/>
        </w:rPr>
        <w:t>9</w:t>
      </w:r>
    </w:p>
    <w:p w14:paraId="33CFE403" w14:textId="77777777" w:rsidR="00FD1726" w:rsidRPr="00D936CA" w:rsidRDefault="00FD1726" w:rsidP="00D936CA">
      <w:pPr>
        <w:spacing w:line="360" w:lineRule="auto"/>
        <w:contextualSpacing/>
        <w:jc w:val="both"/>
        <w:rPr>
          <w:rFonts w:ascii="ITC Avant Garde" w:hAnsi="ITC Avant Garde"/>
          <w:sz w:val="36"/>
          <w:szCs w:val="22"/>
        </w:rPr>
      </w:pPr>
    </w:p>
    <w:p w14:paraId="33CFE404" w14:textId="77777777" w:rsidR="00787BAC" w:rsidRPr="00D936CA" w:rsidRDefault="00787BAC" w:rsidP="00D936CA">
      <w:pPr>
        <w:spacing w:line="360" w:lineRule="auto"/>
        <w:contextualSpacing/>
        <w:jc w:val="both"/>
        <w:rPr>
          <w:rFonts w:ascii="ITC Avant Garde" w:hAnsi="ITC Avant Garde"/>
          <w:sz w:val="22"/>
          <w:szCs w:val="22"/>
        </w:rPr>
      </w:pPr>
    </w:p>
    <w:p w14:paraId="33CFE405" w14:textId="77777777" w:rsidR="00787BAC" w:rsidRPr="00D936CA" w:rsidRDefault="00787BAC" w:rsidP="00D936CA">
      <w:pPr>
        <w:rPr>
          <w:rFonts w:ascii="ITC Avant Garde" w:hAnsi="ITC Avant Garde"/>
          <w:sz w:val="22"/>
          <w:szCs w:val="22"/>
        </w:rPr>
      </w:pPr>
    </w:p>
    <w:p w14:paraId="33CFE406" w14:textId="77777777" w:rsidR="00FD1726" w:rsidRPr="00D936CA" w:rsidRDefault="00787BAC" w:rsidP="00D936CA">
      <w:pPr>
        <w:tabs>
          <w:tab w:val="center" w:pos="4420"/>
        </w:tabs>
        <w:rPr>
          <w:rFonts w:ascii="ITC Avant Garde" w:hAnsi="ITC Avant Garde"/>
          <w:sz w:val="22"/>
          <w:szCs w:val="22"/>
        </w:rPr>
        <w:sectPr w:rsidR="00FD1726" w:rsidRPr="00D936CA" w:rsidSect="00E22E73">
          <w:footerReference w:type="default" r:id="rId11"/>
          <w:pgSz w:w="12242" w:h="15842" w:code="1"/>
          <w:pgMar w:top="1985" w:right="1701" w:bottom="1417" w:left="1701" w:header="851" w:footer="1138" w:gutter="0"/>
          <w:cols w:space="720"/>
          <w:titlePg/>
          <w:docGrid w:linePitch="326"/>
        </w:sectPr>
      </w:pPr>
      <w:r w:rsidRPr="00D936CA">
        <w:rPr>
          <w:rFonts w:ascii="ITC Avant Garde" w:hAnsi="ITC Avant Garde"/>
          <w:sz w:val="22"/>
          <w:szCs w:val="22"/>
        </w:rPr>
        <w:tab/>
      </w:r>
    </w:p>
    <w:p w14:paraId="33CFE407" w14:textId="77777777" w:rsidR="008126EE" w:rsidRPr="00D936CA" w:rsidRDefault="00011A1B" w:rsidP="00D936CA">
      <w:pPr>
        <w:pStyle w:val="Ttulo1"/>
      </w:pPr>
      <w:bookmarkStart w:id="0" w:name="_Toc434612303"/>
      <w:bookmarkStart w:id="1" w:name="_Toc434626638"/>
      <w:bookmarkStart w:id="2" w:name="_Toc434858815"/>
      <w:bookmarkStart w:id="3" w:name="_Toc434932567"/>
      <w:bookmarkStart w:id="4" w:name="_Toc434932721"/>
      <w:bookmarkStart w:id="5" w:name="_Toc434934629"/>
      <w:bookmarkStart w:id="6" w:name="_Toc435110209"/>
      <w:bookmarkStart w:id="7" w:name="_Toc436840859"/>
      <w:bookmarkStart w:id="8" w:name="_Toc436846296"/>
      <w:bookmarkStart w:id="9" w:name="_Toc436848246"/>
      <w:bookmarkStart w:id="10" w:name="_Toc436856494"/>
      <w:bookmarkStart w:id="11" w:name="_Toc436862640"/>
      <w:bookmarkStart w:id="12" w:name="_Toc436866290"/>
      <w:bookmarkStart w:id="13" w:name="_Toc436870869"/>
      <w:bookmarkStart w:id="14" w:name="_Toc436875861"/>
      <w:bookmarkStart w:id="15" w:name="_Toc467248671"/>
      <w:bookmarkStart w:id="16" w:name="_Toc518031943"/>
      <w:r w:rsidRPr="00D936CA">
        <w:lastRenderedPageBreak/>
        <w:t>Índice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bookmarkStart w:id="17" w:name="OLE_LINK9"/>
    <w:bookmarkStart w:id="18" w:name="OLE_LINK6"/>
    <w:p w14:paraId="0877FDA5" w14:textId="495283CF" w:rsidR="00726AA1" w:rsidRPr="00E040AB" w:rsidRDefault="00AC69D3">
      <w:pPr>
        <w:pStyle w:val="TDC1"/>
        <w:rPr>
          <w:rFonts w:asciiTheme="minorHAnsi" w:eastAsiaTheme="minorEastAsia" w:hAnsiTheme="minorHAnsi" w:cstheme="minorBidi"/>
          <w:bCs w:val="0"/>
          <w:caps w:val="0"/>
          <w:sz w:val="22"/>
          <w:szCs w:val="22"/>
          <w:lang w:val="es-MX" w:eastAsia="es-MX"/>
        </w:rPr>
      </w:pPr>
      <w:r w:rsidRPr="00E040AB">
        <w:rPr>
          <w:rFonts w:asciiTheme="minorHAnsi" w:hAnsiTheme="minorHAnsi"/>
          <w:sz w:val="22"/>
          <w:szCs w:val="22"/>
          <w:lang w:val="es-MX"/>
        </w:rPr>
        <w:fldChar w:fldCharType="begin"/>
      </w:r>
      <w:r w:rsidR="00011A1B" w:rsidRPr="00E040AB">
        <w:rPr>
          <w:rFonts w:asciiTheme="minorHAnsi" w:hAnsiTheme="minorHAnsi"/>
          <w:sz w:val="22"/>
          <w:szCs w:val="22"/>
          <w:lang w:val="es-MX"/>
        </w:rPr>
        <w:instrText xml:space="preserve"> TOC \o "1-5" \h \z \u </w:instrText>
      </w:r>
      <w:r w:rsidRPr="00E040AB">
        <w:rPr>
          <w:rFonts w:asciiTheme="minorHAnsi" w:hAnsiTheme="minorHAnsi"/>
          <w:sz w:val="22"/>
          <w:szCs w:val="22"/>
          <w:lang w:val="es-MX"/>
        </w:rPr>
        <w:fldChar w:fldCharType="separate"/>
      </w:r>
      <w:hyperlink w:anchor="_Toc518031943" w:history="1">
        <w:r w:rsidR="00726AA1" w:rsidRPr="00E040AB">
          <w:rPr>
            <w:rStyle w:val="Hipervnculo"/>
            <w:rFonts w:asciiTheme="minorHAnsi" w:hAnsiTheme="minorHAnsi"/>
            <w:sz w:val="22"/>
            <w:szCs w:val="22"/>
          </w:rPr>
          <w:t>Índice</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_Toc518031943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2</w:t>
        </w:r>
        <w:r w:rsidR="00726AA1" w:rsidRPr="00E040AB">
          <w:rPr>
            <w:rFonts w:asciiTheme="minorHAnsi" w:hAnsiTheme="minorHAnsi"/>
            <w:webHidden/>
            <w:sz w:val="22"/>
            <w:szCs w:val="22"/>
          </w:rPr>
          <w:fldChar w:fldCharType="end"/>
        </w:r>
      </w:hyperlink>
    </w:p>
    <w:p w14:paraId="7E4A54C4" w14:textId="4A7920B2"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44" w:history="1">
        <w:r w:rsidR="00726AA1" w:rsidRPr="00E040AB">
          <w:rPr>
            <w:rStyle w:val="Hipervnculo"/>
            <w:rFonts w:asciiTheme="minorHAnsi" w:hAnsiTheme="minorHAnsi"/>
            <w:sz w:val="22"/>
            <w:szCs w:val="22"/>
          </w:rPr>
          <w:t>Definiciones</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_Toc518031944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5</w:t>
        </w:r>
        <w:r w:rsidR="00726AA1" w:rsidRPr="00E040AB">
          <w:rPr>
            <w:rFonts w:asciiTheme="minorHAnsi" w:hAnsiTheme="minorHAnsi"/>
            <w:webHidden/>
            <w:sz w:val="22"/>
            <w:szCs w:val="22"/>
          </w:rPr>
          <w:fldChar w:fldCharType="end"/>
        </w:r>
      </w:hyperlink>
    </w:p>
    <w:p w14:paraId="04A2DB64" w14:textId="7638C5AA"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45" w:history="1">
        <w:r w:rsidR="00726AA1" w:rsidRPr="00E040AB">
          <w:rPr>
            <w:rStyle w:val="Hipervnculo"/>
            <w:rFonts w:asciiTheme="minorHAnsi" w:hAnsiTheme="minorHAnsi"/>
            <w:sz w:val="22"/>
            <w:szCs w:val="22"/>
          </w:rPr>
          <w:t>Acrónimos</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_Toc518031945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14</w:t>
        </w:r>
        <w:r w:rsidR="00726AA1" w:rsidRPr="00E040AB">
          <w:rPr>
            <w:rFonts w:asciiTheme="minorHAnsi" w:hAnsiTheme="minorHAnsi"/>
            <w:webHidden/>
            <w:sz w:val="22"/>
            <w:szCs w:val="22"/>
          </w:rPr>
          <w:fldChar w:fldCharType="end"/>
        </w:r>
      </w:hyperlink>
    </w:p>
    <w:p w14:paraId="76C74C4A" w14:textId="6EF80158"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46" w:history="1">
        <w:r w:rsidR="00726AA1" w:rsidRPr="00E040AB">
          <w:rPr>
            <w:rStyle w:val="Hipervnculo"/>
            <w:rFonts w:asciiTheme="minorHAnsi" w:hAnsiTheme="minorHAnsi"/>
            <w:sz w:val="22"/>
            <w:szCs w:val="22"/>
          </w:rPr>
          <w:t>1.</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Introducción y Generales</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_Toc518031946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16</w:t>
        </w:r>
        <w:r w:rsidR="00726AA1" w:rsidRPr="00E040AB">
          <w:rPr>
            <w:rFonts w:asciiTheme="minorHAnsi" w:hAnsiTheme="minorHAnsi"/>
            <w:webHidden/>
            <w:sz w:val="22"/>
            <w:szCs w:val="22"/>
          </w:rPr>
          <w:fldChar w:fldCharType="end"/>
        </w:r>
      </w:hyperlink>
    </w:p>
    <w:p w14:paraId="56C69F3A" w14:textId="31107877" w:rsidR="00726AA1" w:rsidRPr="00E040AB" w:rsidRDefault="00AA13B3">
      <w:pPr>
        <w:pStyle w:val="TDC2"/>
        <w:rPr>
          <w:rFonts w:eastAsiaTheme="minorEastAsia" w:cstheme="minorBidi"/>
          <w:b w:val="0"/>
          <w:smallCaps w:val="0"/>
          <w:szCs w:val="22"/>
          <w:lang w:val="es-MX" w:eastAsia="es-MX"/>
        </w:rPr>
      </w:pPr>
      <w:hyperlink w:anchor="_Toc518031947" w:history="1">
        <w:r w:rsidR="00726AA1" w:rsidRPr="00E040AB">
          <w:rPr>
            <w:rStyle w:val="Hipervnculo"/>
            <w:szCs w:val="22"/>
          </w:rPr>
          <w:t>1.1 Prerrequisitos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_Toc518031947 \h </w:instrText>
        </w:r>
        <w:r w:rsidR="00726AA1" w:rsidRPr="00E040AB">
          <w:rPr>
            <w:webHidden/>
            <w:szCs w:val="22"/>
          </w:rPr>
        </w:r>
        <w:r w:rsidR="00726AA1" w:rsidRPr="00E040AB">
          <w:rPr>
            <w:webHidden/>
            <w:szCs w:val="22"/>
          </w:rPr>
          <w:fldChar w:fldCharType="separate"/>
        </w:r>
        <w:r w:rsidR="00726AA1" w:rsidRPr="00E040AB">
          <w:rPr>
            <w:webHidden/>
            <w:szCs w:val="22"/>
          </w:rPr>
          <w:t>17</w:t>
        </w:r>
        <w:r w:rsidR="00726AA1" w:rsidRPr="00E040AB">
          <w:rPr>
            <w:webHidden/>
            <w:szCs w:val="22"/>
          </w:rPr>
          <w:fldChar w:fldCharType="end"/>
        </w:r>
      </w:hyperlink>
    </w:p>
    <w:p w14:paraId="1CD76716" w14:textId="2D5C618A" w:rsidR="00726AA1" w:rsidRPr="00E040AB" w:rsidRDefault="00AA13B3">
      <w:pPr>
        <w:pStyle w:val="TDC2"/>
        <w:rPr>
          <w:rFonts w:eastAsiaTheme="minorEastAsia" w:cstheme="minorBidi"/>
          <w:b w:val="0"/>
          <w:smallCaps w:val="0"/>
          <w:szCs w:val="22"/>
          <w:lang w:val="es-MX" w:eastAsia="es-MX"/>
        </w:rPr>
      </w:pPr>
      <w:hyperlink w:anchor="_Toc518031948" w:history="1">
        <w:r w:rsidR="00726AA1" w:rsidRPr="00E040AB">
          <w:rPr>
            <w:rStyle w:val="Hipervnculo"/>
            <w:szCs w:val="22"/>
          </w:rPr>
          <w:t>1.2 Pronóstico de servicio.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_Toc518031948 \h </w:instrText>
        </w:r>
        <w:r w:rsidR="00726AA1" w:rsidRPr="00E040AB">
          <w:rPr>
            <w:webHidden/>
            <w:szCs w:val="22"/>
          </w:rPr>
        </w:r>
        <w:r w:rsidR="00726AA1" w:rsidRPr="00E040AB">
          <w:rPr>
            <w:webHidden/>
            <w:szCs w:val="22"/>
          </w:rPr>
          <w:fldChar w:fldCharType="separate"/>
        </w:r>
        <w:r w:rsidR="00726AA1" w:rsidRPr="00E040AB">
          <w:rPr>
            <w:webHidden/>
            <w:szCs w:val="22"/>
          </w:rPr>
          <w:t>18</w:t>
        </w:r>
        <w:r w:rsidR="00726AA1" w:rsidRPr="00E040AB">
          <w:rPr>
            <w:webHidden/>
            <w:szCs w:val="22"/>
          </w:rPr>
          <w:fldChar w:fldCharType="end"/>
        </w:r>
      </w:hyperlink>
    </w:p>
    <w:p w14:paraId="0E9A89DE" w14:textId="1E608D0F" w:rsidR="00726AA1" w:rsidRPr="00E040AB" w:rsidRDefault="00AA13B3">
      <w:pPr>
        <w:pStyle w:val="TDC2"/>
        <w:rPr>
          <w:rFonts w:eastAsiaTheme="minorEastAsia" w:cstheme="minorBidi"/>
          <w:b w:val="0"/>
          <w:smallCaps w:val="0"/>
          <w:szCs w:val="22"/>
          <w:lang w:val="es-MX" w:eastAsia="es-MX"/>
        </w:rPr>
      </w:pPr>
      <w:hyperlink w:anchor="_Toc518031949" w:history="1">
        <w:r w:rsidR="00726AA1" w:rsidRPr="00E040AB">
          <w:rPr>
            <w:rStyle w:val="Hipervnculo"/>
            <w:szCs w:val="22"/>
          </w:rPr>
          <w:t>1.3 Situación de la Acometida del usuario final.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_Toc518031949 \h </w:instrText>
        </w:r>
        <w:r w:rsidR="00726AA1" w:rsidRPr="00E040AB">
          <w:rPr>
            <w:webHidden/>
            <w:szCs w:val="22"/>
          </w:rPr>
        </w:r>
        <w:r w:rsidR="00726AA1" w:rsidRPr="00E040AB">
          <w:rPr>
            <w:webHidden/>
            <w:szCs w:val="22"/>
          </w:rPr>
          <w:fldChar w:fldCharType="separate"/>
        </w:r>
        <w:r w:rsidR="00726AA1" w:rsidRPr="00E040AB">
          <w:rPr>
            <w:webHidden/>
            <w:szCs w:val="22"/>
          </w:rPr>
          <w:t>19</w:t>
        </w:r>
        <w:r w:rsidR="00726AA1" w:rsidRPr="00E040AB">
          <w:rPr>
            <w:webHidden/>
            <w:szCs w:val="22"/>
          </w:rPr>
          <w:fldChar w:fldCharType="end"/>
        </w:r>
      </w:hyperlink>
    </w:p>
    <w:p w14:paraId="59A7B914" w14:textId="3ABABB8E" w:rsidR="00726AA1" w:rsidRPr="00E040AB" w:rsidRDefault="00AA13B3">
      <w:pPr>
        <w:pStyle w:val="TDC2"/>
        <w:rPr>
          <w:rFonts w:eastAsiaTheme="minorEastAsia" w:cstheme="minorBidi"/>
          <w:b w:val="0"/>
          <w:smallCaps w:val="0"/>
          <w:szCs w:val="22"/>
          <w:lang w:val="es-MX" w:eastAsia="es-MX"/>
        </w:rPr>
      </w:pPr>
      <w:hyperlink w:anchor="_Toc518031950" w:history="1">
        <w:r w:rsidR="00726AA1" w:rsidRPr="00E040AB">
          <w:rPr>
            <w:rStyle w:val="Hipervnculo"/>
            <w:szCs w:val="22"/>
          </w:rPr>
          <w:t>1.4 Disponibilidad de recursos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_Toc518031950 \h </w:instrText>
        </w:r>
        <w:r w:rsidR="00726AA1" w:rsidRPr="00E040AB">
          <w:rPr>
            <w:webHidden/>
            <w:szCs w:val="22"/>
          </w:rPr>
        </w:r>
        <w:r w:rsidR="00726AA1" w:rsidRPr="00E040AB">
          <w:rPr>
            <w:webHidden/>
            <w:szCs w:val="22"/>
          </w:rPr>
          <w:fldChar w:fldCharType="separate"/>
        </w:r>
        <w:r w:rsidR="00726AA1" w:rsidRPr="00E040AB">
          <w:rPr>
            <w:webHidden/>
            <w:szCs w:val="22"/>
          </w:rPr>
          <w:t>21</w:t>
        </w:r>
        <w:r w:rsidR="00726AA1" w:rsidRPr="00E040AB">
          <w:rPr>
            <w:webHidden/>
            <w:szCs w:val="22"/>
          </w:rPr>
          <w:fldChar w:fldCharType="end"/>
        </w:r>
      </w:hyperlink>
    </w:p>
    <w:p w14:paraId="12740D49" w14:textId="5C2BCB85" w:rsidR="00726AA1" w:rsidRPr="00E040AB" w:rsidRDefault="00AA13B3">
      <w:pPr>
        <w:pStyle w:val="TDC3"/>
        <w:rPr>
          <w:rFonts w:eastAsiaTheme="minorEastAsia" w:cstheme="minorBidi"/>
          <w:b w:val="0"/>
          <w:i w:val="0"/>
          <w:iCs w:val="0"/>
          <w:lang w:val="es-MX" w:eastAsia="es-MX"/>
        </w:rPr>
      </w:pPr>
      <w:hyperlink w:anchor="_Toc518031951" w:history="1">
        <w:r w:rsidR="00726AA1" w:rsidRPr="00E040AB">
          <w:rPr>
            <w:rStyle w:val="Hipervnculo"/>
            <w:i w:val="0"/>
          </w:rPr>
          <w:t>1.4.1.</w:t>
        </w:r>
        <w:r w:rsidR="00726AA1" w:rsidRPr="00E040AB">
          <w:rPr>
            <w:rFonts w:eastAsiaTheme="minorEastAsia" w:cstheme="minorBidi"/>
            <w:b w:val="0"/>
            <w:i w:val="0"/>
            <w:iCs w:val="0"/>
            <w:lang w:val="es-MX" w:eastAsia="es-MX"/>
          </w:rPr>
          <w:tab/>
        </w:r>
        <w:r w:rsidR="00726AA1" w:rsidRPr="00E040AB">
          <w:rPr>
            <w:rStyle w:val="Hipervnculo"/>
            <w:i w:val="0"/>
          </w:rPr>
          <w:t>Recursos de red asociados a los servicios</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_Toc518031951 \h </w:instrText>
        </w:r>
        <w:r w:rsidR="00726AA1" w:rsidRPr="00E040AB">
          <w:rPr>
            <w:i w:val="0"/>
            <w:webHidden/>
          </w:rPr>
        </w:r>
        <w:r w:rsidR="00726AA1" w:rsidRPr="00E040AB">
          <w:rPr>
            <w:i w:val="0"/>
            <w:webHidden/>
          </w:rPr>
          <w:fldChar w:fldCharType="separate"/>
        </w:r>
        <w:r w:rsidR="00726AA1" w:rsidRPr="00E040AB">
          <w:rPr>
            <w:i w:val="0"/>
            <w:webHidden/>
          </w:rPr>
          <w:t>21</w:t>
        </w:r>
        <w:r w:rsidR="00726AA1" w:rsidRPr="00E040AB">
          <w:rPr>
            <w:i w:val="0"/>
            <w:webHidden/>
          </w:rPr>
          <w:fldChar w:fldCharType="end"/>
        </w:r>
      </w:hyperlink>
    </w:p>
    <w:p w14:paraId="092E54E8" w14:textId="66C69A7B" w:rsidR="00726AA1" w:rsidRPr="00E040AB" w:rsidRDefault="00AA13B3">
      <w:pPr>
        <w:pStyle w:val="TDC2"/>
        <w:rPr>
          <w:rFonts w:eastAsiaTheme="minorEastAsia" w:cstheme="minorBidi"/>
          <w:b w:val="0"/>
          <w:smallCaps w:val="0"/>
          <w:szCs w:val="22"/>
          <w:lang w:val="es-MX" w:eastAsia="es-MX"/>
        </w:rPr>
      </w:pPr>
      <w:hyperlink w:anchor="_Toc518031952" w:history="1">
        <w:r w:rsidR="00726AA1" w:rsidRPr="00E040AB">
          <w:rPr>
            <w:rStyle w:val="Hipervnculo"/>
            <w:szCs w:val="22"/>
          </w:rPr>
          <w:t>1.5 Causales de suspensión temporal en la instalación de servicios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_Toc518031952 \h </w:instrText>
        </w:r>
        <w:r w:rsidR="00726AA1" w:rsidRPr="00E040AB">
          <w:rPr>
            <w:webHidden/>
            <w:szCs w:val="22"/>
          </w:rPr>
        </w:r>
        <w:r w:rsidR="00726AA1" w:rsidRPr="00E040AB">
          <w:rPr>
            <w:webHidden/>
            <w:szCs w:val="22"/>
          </w:rPr>
          <w:fldChar w:fldCharType="separate"/>
        </w:r>
        <w:r w:rsidR="00726AA1" w:rsidRPr="00E040AB">
          <w:rPr>
            <w:webHidden/>
            <w:szCs w:val="22"/>
          </w:rPr>
          <w:t>24</w:t>
        </w:r>
        <w:r w:rsidR="00726AA1" w:rsidRPr="00E040AB">
          <w:rPr>
            <w:webHidden/>
            <w:szCs w:val="22"/>
          </w:rPr>
          <w:fldChar w:fldCharType="end"/>
        </w:r>
      </w:hyperlink>
    </w:p>
    <w:p w14:paraId="517C0246" w14:textId="62D35258" w:rsidR="00726AA1" w:rsidRPr="00E040AB" w:rsidRDefault="00AA13B3">
      <w:pPr>
        <w:pStyle w:val="TDC2"/>
        <w:rPr>
          <w:rFonts w:eastAsiaTheme="minorEastAsia" w:cstheme="minorBidi"/>
          <w:b w:val="0"/>
          <w:smallCaps w:val="0"/>
          <w:szCs w:val="22"/>
          <w:lang w:val="es-MX" w:eastAsia="es-MX"/>
        </w:rPr>
      </w:pPr>
      <w:hyperlink w:anchor="_Toc518031953" w:history="1">
        <w:r w:rsidR="00726AA1" w:rsidRPr="00E040AB">
          <w:rPr>
            <w:rStyle w:val="Hipervnculo"/>
            <w:szCs w:val="22"/>
          </w:rPr>
          <w:t>1.6 Procedimiento para la verificación de la voluntad del suscriptor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_Toc518031953 \h </w:instrText>
        </w:r>
        <w:r w:rsidR="00726AA1" w:rsidRPr="00E040AB">
          <w:rPr>
            <w:webHidden/>
            <w:szCs w:val="22"/>
          </w:rPr>
        </w:r>
        <w:r w:rsidR="00726AA1" w:rsidRPr="00E040AB">
          <w:rPr>
            <w:webHidden/>
            <w:szCs w:val="22"/>
          </w:rPr>
          <w:fldChar w:fldCharType="separate"/>
        </w:r>
        <w:r w:rsidR="00726AA1" w:rsidRPr="00E040AB">
          <w:rPr>
            <w:webHidden/>
            <w:szCs w:val="22"/>
          </w:rPr>
          <w:t>24</w:t>
        </w:r>
        <w:r w:rsidR="00726AA1" w:rsidRPr="00E040AB">
          <w:rPr>
            <w:webHidden/>
            <w:szCs w:val="22"/>
          </w:rPr>
          <w:fldChar w:fldCharType="end"/>
        </w:r>
      </w:hyperlink>
    </w:p>
    <w:p w14:paraId="1D7027E6" w14:textId="77FF26F5" w:rsidR="00726AA1" w:rsidRPr="00E040AB" w:rsidRDefault="00AA13B3">
      <w:pPr>
        <w:pStyle w:val="TDC2"/>
        <w:rPr>
          <w:rFonts w:eastAsiaTheme="minorEastAsia" w:cstheme="minorBidi"/>
          <w:b w:val="0"/>
          <w:smallCaps w:val="0"/>
          <w:szCs w:val="22"/>
          <w:lang w:val="es-MX" w:eastAsia="es-MX"/>
        </w:rPr>
      </w:pPr>
      <w:hyperlink w:anchor="_Toc518031954" w:history="1">
        <w:r w:rsidR="00726AA1" w:rsidRPr="00E040AB">
          <w:rPr>
            <w:rStyle w:val="Hipervnculo"/>
            <w:szCs w:val="22"/>
          </w:rPr>
          <w:t>1.7 Procedimiento de calificación del bucle de cobre.</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_Toc518031954 \h </w:instrText>
        </w:r>
        <w:r w:rsidR="00726AA1" w:rsidRPr="00E040AB">
          <w:rPr>
            <w:webHidden/>
            <w:szCs w:val="22"/>
          </w:rPr>
        </w:r>
        <w:r w:rsidR="00726AA1" w:rsidRPr="00E040AB">
          <w:rPr>
            <w:webHidden/>
            <w:szCs w:val="22"/>
          </w:rPr>
          <w:fldChar w:fldCharType="separate"/>
        </w:r>
        <w:r w:rsidR="00726AA1" w:rsidRPr="00E040AB">
          <w:rPr>
            <w:webHidden/>
            <w:szCs w:val="22"/>
          </w:rPr>
          <w:t>29</w:t>
        </w:r>
        <w:r w:rsidR="00726AA1" w:rsidRPr="00E040AB">
          <w:rPr>
            <w:webHidden/>
            <w:szCs w:val="22"/>
          </w:rPr>
          <w:fldChar w:fldCharType="end"/>
        </w:r>
      </w:hyperlink>
    </w:p>
    <w:p w14:paraId="72B76EAE" w14:textId="30CBDA10" w:rsidR="00726AA1" w:rsidRPr="00E040AB" w:rsidRDefault="00AA13B3">
      <w:pPr>
        <w:pStyle w:val="TDC2"/>
        <w:rPr>
          <w:rFonts w:eastAsiaTheme="minorEastAsia" w:cstheme="minorBidi"/>
          <w:b w:val="0"/>
          <w:smallCaps w:val="0"/>
          <w:szCs w:val="22"/>
          <w:lang w:val="es-MX" w:eastAsia="es-MX"/>
        </w:rPr>
      </w:pPr>
      <w:hyperlink w:anchor="_Toc518031955" w:history="1">
        <w:r w:rsidR="00726AA1" w:rsidRPr="00E040AB">
          <w:rPr>
            <w:rStyle w:val="Hipervnculo"/>
            <w:szCs w:val="22"/>
          </w:rPr>
          <w:t>1.8 Solicitudes masivas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_Toc518031955 \h </w:instrText>
        </w:r>
        <w:r w:rsidR="00726AA1" w:rsidRPr="00E040AB">
          <w:rPr>
            <w:webHidden/>
            <w:szCs w:val="22"/>
          </w:rPr>
        </w:r>
        <w:r w:rsidR="00726AA1" w:rsidRPr="00E040AB">
          <w:rPr>
            <w:webHidden/>
            <w:szCs w:val="22"/>
          </w:rPr>
          <w:fldChar w:fldCharType="separate"/>
        </w:r>
        <w:r w:rsidR="00726AA1" w:rsidRPr="00E040AB">
          <w:rPr>
            <w:webHidden/>
            <w:szCs w:val="22"/>
          </w:rPr>
          <w:t>32</w:t>
        </w:r>
        <w:r w:rsidR="00726AA1" w:rsidRPr="00E040AB">
          <w:rPr>
            <w:webHidden/>
            <w:szCs w:val="22"/>
          </w:rPr>
          <w:fldChar w:fldCharType="end"/>
        </w:r>
      </w:hyperlink>
    </w:p>
    <w:p w14:paraId="021DF809" w14:textId="0226FB07" w:rsidR="00726AA1" w:rsidRPr="00E040AB" w:rsidRDefault="00AA13B3">
      <w:pPr>
        <w:pStyle w:val="TDC2"/>
        <w:rPr>
          <w:rFonts w:eastAsiaTheme="minorEastAsia" w:cstheme="minorBidi"/>
          <w:b w:val="0"/>
          <w:smallCaps w:val="0"/>
          <w:szCs w:val="22"/>
          <w:lang w:val="es-MX" w:eastAsia="es-MX"/>
        </w:rPr>
      </w:pPr>
      <w:hyperlink w:anchor="_Toc518031956" w:history="1">
        <w:r w:rsidR="00726AA1" w:rsidRPr="00E040AB">
          <w:rPr>
            <w:rStyle w:val="Hipervnculo"/>
            <w:szCs w:val="22"/>
          </w:rPr>
          <w:t>1.9 Condiciones generales para la prestación de los servicios.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_Toc518031956 \h </w:instrText>
        </w:r>
        <w:r w:rsidR="00726AA1" w:rsidRPr="00E040AB">
          <w:rPr>
            <w:webHidden/>
            <w:szCs w:val="22"/>
          </w:rPr>
        </w:r>
        <w:r w:rsidR="00726AA1" w:rsidRPr="00E040AB">
          <w:rPr>
            <w:webHidden/>
            <w:szCs w:val="22"/>
          </w:rPr>
          <w:fldChar w:fldCharType="separate"/>
        </w:r>
        <w:r w:rsidR="00726AA1" w:rsidRPr="00E040AB">
          <w:rPr>
            <w:webHidden/>
            <w:szCs w:val="22"/>
          </w:rPr>
          <w:t>32</w:t>
        </w:r>
        <w:r w:rsidR="00726AA1" w:rsidRPr="00E040AB">
          <w:rPr>
            <w:webHidden/>
            <w:szCs w:val="22"/>
          </w:rPr>
          <w:fldChar w:fldCharType="end"/>
        </w:r>
      </w:hyperlink>
    </w:p>
    <w:p w14:paraId="52C11742" w14:textId="71E56DB7"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57" w:history="1">
        <w:r w:rsidR="00726AA1" w:rsidRPr="00E040AB">
          <w:rPr>
            <w:rStyle w:val="Hipervnculo"/>
            <w:rFonts w:asciiTheme="minorHAnsi" w:hAnsiTheme="minorHAnsi"/>
            <w:sz w:val="22"/>
            <w:szCs w:val="22"/>
          </w:rPr>
          <w:t>2.</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Inicio de la prestación de los servicios.</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_Toc518031957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34</w:t>
        </w:r>
        <w:r w:rsidR="00726AA1" w:rsidRPr="00E040AB">
          <w:rPr>
            <w:rFonts w:asciiTheme="minorHAnsi" w:hAnsiTheme="minorHAnsi"/>
            <w:webHidden/>
            <w:sz w:val="22"/>
            <w:szCs w:val="22"/>
          </w:rPr>
          <w:fldChar w:fldCharType="end"/>
        </w:r>
      </w:hyperlink>
    </w:p>
    <w:p w14:paraId="54A61C57" w14:textId="32F0D2ED" w:rsidR="00726AA1" w:rsidRPr="00E040AB" w:rsidRDefault="00AA13B3">
      <w:pPr>
        <w:pStyle w:val="TDC2"/>
        <w:rPr>
          <w:rFonts w:eastAsiaTheme="minorEastAsia" w:cstheme="minorBidi"/>
          <w:b w:val="0"/>
          <w:smallCaps w:val="0"/>
          <w:szCs w:val="22"/>
          <w:lang w:val="es-MX" w:eastAsia="es-MX"/>
        </w:rPr>
      </w:pPr>
      <w:hyperlink w:anchor="_Toc518031958" w:history="1">
        <w:r w:rsidR="00726AA1" w:rsidRPr="00E040AB">
          <w:rPr>
            <w:rStyle w:val="Hipervnculo"/>
            <w:szCs w:val="22"/>
          </w:rPr>
          <w:t>2.1</w:t>
        </w:r>
        <w:r w:rsidR="00726AA1" w:rsidRPr="00E040AB">
          <w:rPr>
            <w:rFonts w:eastAsiaTheme="minorEastAsia" w:cstheme="minorBidi"/>
            <w:b w:val="0"/>
            <w:smallCaps w:val="0"/>
            <w:szCs w:val="22"/>
            <w:lang w:val="es-MX" w:eastAsia="es-MX"/>
          </w:rPr>
          <w:tab/>
        </w:r>
        <w:r w:rsidR="00726AA1" w:rsidRPr="00E040AB">
          <w:rPr>
            <w:rStyle w:val="Hipervnculo"/>
            <w:szCs w:val="22"/>
          </w:rPr>
          <w:t>Pruebas de Primera Aplicación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_Toc518031958 \h </w:instrText>
        </w:r>
        <w:r w:rsidR="00726AA1" w:rsidRPr="00E040AB">
          <w:rPr>
            <w:webHidden/>
            <w:szCs w:val="22"/>
          </w:rPr>
        </w:r>
        <w:r w:rsidR="00726AA1" w:rsidRPr="00E040AB">
          <w:rPr>
            <w:webHidden/>
            <w:szCs w:val="22"/>
          </w:rPr>
          <w:fldChar w:fldCharType="separate"/>
        </w:r>
        <w:r w:rsidR="00726AA1" w:rsidRPr="00E040AB">
          <w:rPr>
            <w:webHidden/>
            <w:szCs w:val="22"/>
          </w:rPr>
          <w:t>36</w:t>
        </w:r>
        <w:r w:rsidR="00726AA1" w:rsidRPr="00E040AB">
          <w:rPr>
            <w:webHidden/>
            <w:szCs w:val="22"/>
          </w:rPr>
          <w:fldChar w:fldCharType="end"/>
        </w:r>
      </w:hyperlink>
    </w:p>
    <w:p w14:paraId="039A0C87" w14:textId="43863A33"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59" w:history="1">
        <w:r w:rsidR="00726AA1" w:rsidRPr="00E040AB">
          <w:rPr>
            <w:rStyle w:val="Hipervnculo"/>
            <w:rFonts w:asciiTheme="minorHAnsi" w:hAnsiTheme="minorHAnsi"/>
            <w:sz w:val="22"/>
            <w:szCs w:val="22"/>
          </w:rPr>
          <w:t>3.</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Información relacionada con los servicios</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_Toc518031959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36</w:t>
        </w:r>
        <w:r w:rsidR="00726AA1" w:rsidRPr="00E040AB">
          <w:rPr>
            <w:rFonts w:asciiTheme="minorHAnsi" w:hAnsiTheme="minorHAnsi"/>
            <w:webHidden/>
            <w:sz w:val="22"/>
            <w:szCs w:val="22"/>
          </w:rPr>
          <w:fldChar w:fldCharType="end"/>
        </w:r>
      </w:hyperlink>
    </w:p>
    <w:p w14:paraId="47DF3F21" w14:textId="2A31FA31" w:rsidR="00726AA1" w:rsidRPr="00E040AB" w:rsidRDefault="00AA13B3">
      <w:pPr>
        <w:pStyle w:val="TDC2"/>
        <w:rPr>
          <w:rFonts w:eastAsiaTheme="minorEastAsia" w:cstheme="minorBidi"/>
          <w:b w:val="0"/>
          <w:smallCaps w:val="0"/>
          <w:szCs w:val="22"/>
          <w:lang w:val="es-MX" w:eastAsia="es-MX"/>
        </w:rPr>
      </w:pPr>
      <w:hyperlink w:anchor="_Toc518031960" w:history="1">
        <w:r w:rsidR="00726AA1" w:rsidRPr="00E040AB">
          <w:rPr>
            <w:rStyle w:val="Hipervnculo"/>
            <w:szCs w:val="22"/>
          </w:rPr>
          <w:t>3.1</w:t>
        </w:r>
        <w:r w:rsidR="00726AA1" w:rsidRPr="00E040AB">
          <w:rPr>
            <w:rFonts w:eastAsiaTheme="minorEastAsia" w:cstheme="minorBidi"/>
            <w:b w:val="0"/>
            <w:smallCaps w:val="0"/>
            <w:szCs w:val="22"/>
            <w:lang w:val="es-MX" w:eastAsia="es-MX"/>
          </w:rPr>
          <w:tab/>
        </w:r>
        <w:r w:rsidR="00726AA1" w:rsidRPr="00E040AB">
          <w:rPr>
            <w:rStyle w:val="Hipervnculo"/>
            <w:szCs w:val="22"/>
          </w:rPr>
          <w:t>Descripción de las bases de datos, documentos e información a la que se tiene acceso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_Toc518031960 \h </w:instrText>
        </w:r>
        <w:r w:rsidR="00726AA1" w:rsidRPr="00E040AB">
          <w:rPr>
            <w:webHidden/>
            <w:szCs w:val="22"/>
          </w:rPr>
        </w:r>
        <w:r w:rsidR="00726AA1" w:rsidRPr="00E040AB">
          <w:rPr>
            <w:webHidden/>
            <w:szCs w:val="22"/>
          </w:rPr>
          <w:fldChar w:fldCharType="separate"/>
        </w:r>
        <w:r w:rsidR="00726AA1" w:rsidRPr="00E040AB">
          <w:rPr>
            <w:webHidden/>
            <w:szCs w:val="22"/>
          </w:rPr>
          <w:t>38</w:t>
        </w:r>
        <w:r w:rsidR="00726AA1" w:rsidRPr="00E040AB">
          <w:rPr>
            <w:webHidden/>
            <w:szCs w:val="22"/>
          </w:rPr>
          <w:fldChar w:fldCharType="end"/>
        </w:r>
      </w:hyperlink>
    </w:p>
    <w:p w14:paraId="5A85B5A5" w14:textId="69077CC6" w:rsidR="00726AA1" w:rsidRPr="00E040AB" w:rsidRDefault="00AA13B3">
      <w:pPr>
        <w:pStyle w:val="TDC2"/>
        <w:rPr>
          <w:rFonts w:eastAsiaTheme="minorEastAsia" w:cstheme="minorBidi"/>
          <w:b w:val="0"/>
          <w:smallCaps w:val="0"/>
          <w:szCs w:val="22"/>
          <w:lang w:val="es-MX" w:eastAsia="es-MX"/>
        </w:rPr>
      </w:pPr>
      <w:hyperlink w:anchor="_Toc518031961" w:history="1">
        <w:r w:rsidR="00726AA1" w:rsidRPr="00E040AB">
          <w:rPr>
            <w:rStyle w:val="Hipervnculo"/>
            <w:szCs w:val="22"/>
          </w:rPr>
          <w:t>3.2</w:t>
        </w:r>
        <w:r w:rsidR="00726AA1" w:rsidRPr="00E040AB">
          <w:rPr>
            <w:rFonts w:eastAsiaTheme="minorEastAsia" w:cstheme="minorBidi"/>
            <w:b w:val="0"/>
            <w:smallCaps w:val="0"/>
            <w:szCs w:val="22"/>
            <w:lang w:val="es-MX" w:eastAsia="es-MX"/>
          </w:rPr>
          <w:tab/>
        </w:r>
        <w:r w:rsidR="00726AA1" w:rsidRPr="00E040AB">
          <w:rPr>
            <w:rStyle w:val="Hipervnculo"/>
            <w:szCs w:val="22"/>
          </w:rPr>
          <w:t>Procedimiento de acceso a la información contenida en el sitio de Internet</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_Toc518031961 \h </w:instrText>
        </w:r>
        <w:r w:rsidR="00726AA1" w:rsidRPr="00E040AB">
          <w:rPr>
            <w:webHidden/>
            <w:szCs w:val="22"/>
          </w:rPr>
        </w:r>
        <w:r w:rsidR="00726AA1" w:rsidRPr="00E040AB">
          <w:rPr>
            <w:webHidden/>
            <w:szCs w:val="22"/>
          </w:rPr>
          <w:fldChar w:fldCharType="separate"/>
        </w:r>
        <w:r w:rsidR="00726AA1" w:rsidRPr="00E040AB">
          <w:rPr>
            <w:webHidden/>
            <w:szCs w:val="22"/>
          </w:rPr>
          <w:t>48</w:t>
        </w:r>
        <w:r w:rsidR="00726AA1" w:rsidRPr="00E040AB">
          <w:rPr>
            <w:webHidden/>
            <w:szCs w:val="22"/>
          </w:rPr>
          <w:fldChar w:fldCharType="end"/>
        </w:r>
      </w:hyperlink>
    </w:p>
    <w:p w14:paraId="569660EB" w14:textId="1D708BCD" w:rsidR="00726AA1" w:rsidRPr="00E040AB" w:rsidRDefault="00AA13B3">
      <w:pPr>
        <w:pStyle w:val="TDC3"/>
        <w:rPr>
          <w:rFonts w:eastAsiaTheme="minorEastAsia" w:cstheme="minorBidi"/>
          <w:b w:val="0"/>
          <w:i w:val="0"/>
          <w:iCs w:val="0"/>
          <w:lang w:val="es-MX" w:eastAsia="es-MX"/>
        </w:rPr>
      </w:pPr>
      <w:hyperlink w:anchor="_Toc518031962" w:history="1">
        <w:r w:rsidR="00726AA1" w:rsidRPr="00E040AB">
          <w:rPr>
            <w:rStyle w:val="Hipervnculo"/>
            <w:i w:val="0"/>
          </w:rPr>
          <w:t>3.2.1.</w:t>
        </w:r>
        <w:r w:rsidR="00726AA1" w:rsidRPr="00E040AB">
          <w:rPr>
            <w:rFonts w:eastAsiaTheme="minorEastAsia" w:cstheme="minorBidi"/>
            <w:b w:val="0"/>
            <w:i w:val="0"/>
            <w:iCs w:val="0"/>
            <w:lang w:val="es-MX" w:eastAsia="es-MX"/>
          </w:rPr>
          <w:tab/>
        </w:r>
        <w:r w:rsidR="00726AA1" w:rsidRPr="00E040AB">
          <w:rPr>
            <w:rStyle w:val="Hipervnculo"/>
            <w:i w:val="0"/>
          </w:rPr>
          <w:t>Guía de Acceso y uso del sitio de Internet</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_Toc518031962 \h </w:instrText>
        </w:r>
        <w:r w:rsidR="00726AA1" w:rsidRPr="00E040AB">
          <w:rPr>
            <w:i w:val="0"/>
            <w:webHidden/>
          </w:rPr>
        </w:r>
        <w:r w:rsidR="00726AA1" w:rsidRPr="00E040AB">
          <w:rPr>
            <w:i w:val="0"/>
            <w:webHidden/>
          </w:rPr>
          <w:fldChar w:fldCharType="separate"/>
        </w:r>
        <w:r w:rsidR="00726AA1" w:rsidRPr="00E040AB">
          <w:rPr>
            <w:i w:val="0"/>
            <w:webHidden/>
          </w:rPr>
          <w:t>48</w:t>
        </w:r>
        <w:r w:rsidR="00726AA1" w:rsidRPr="00E040AB">
          <w:rPr>
            <w:i w:val="0"/>
            <w:webHidden/>
          </w:rPr>
          <w:fldChar w:fldCharType="end"/>
        </w:r>
      </w:hyperlink>
    </w:p>
    <w:p w14:paraId="6210F960" w14:textId="19759E2F" w:rsidR="00726AA1" w:rsidRPr="00E040AB" w:rsidRDefault="00AA13B3">
      <w:pPr>
        <w:pStyle w:val="TDC2"/>
        <w:rPr>
          <w:rFonts w:eastAsiaTheme="minorEastAsia" w:cstheme="minorBidi"/>
          <w:b w:val="0"/>
          <w:smallCaps w:val="0"/>
          <w:szCs w:val="22"/>
          <w:lang w:val="es-MX" w:eastAsia="es-MX"/>
        </w:rPr>
      </w:pPr>
      <w:hyperlink w:anchor="_Toc518031963" w:history="1">
        <w:r w:rsidR="00726AA1" w:rsidRPr="00E040AB">
          <w:rPr>
            <w:rStyle w:val="Hipervnculo"/>
            <w:szCs w:val="22"/>
          </w:rPr>
          <w:t>3.3</w:t>
        </w:r>
        <w:r w:rsidR="00726AA1" w:rsidRPr="00E040AB">
          <w:rPr>
            <w:rFonts w:eastAsiaTheme="minorEastAsia" w:cstheme="minorBidi"/>
            <w:b w:val="0"/>
            <w:smallCaps w:val="0"/>
            <w:szCs w:val="22"/>
            <w:lang w:val="es-MX" w:eastAsia="es-MX"/>
          </w:rPr>
          <w:tab/>
        </w:r>
        <w:r w:rsidR="00726AA1" w:rsidRPr="00E040AB">
          <w:rPr>
            <w:rStyle w:val="Hipervnculo"/>
            <w:szCs w:val="22"/>
          </w:rPr>
          <w:t>Procedimiento de acceso a la información contenida en el SEG</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_Toc518031963 \h </w:instrText>
        </w:r>
        <w:r w:rsidR="00726AA1" w:rsidRPr="00E040AB">
          <w:rPr>
            <w:webHidden/>
            <w:szCs w:val="22"/>
          </w:rPr>
        </w:r>
        <w:r w:rsidR="00726AA1" w:rsidRPr="00E040AB">
          <w:rPr>
            <w:webHidden/>
            <w:szCs w:val="22"/>
          </w:rPr>
          <w:fldChar w:fldCharType="separate"/>
        </w:r>
        <w:r w:rsidR="00726AA1" w:rsidRPr="00E040AB">
          <w:rPr>
            <w:webHidden/>
            <w:szCs w:val="22"/>
          </w:rPr>
          <w:t>52</w:t>
        </w:r>
        <w:r w:rsidR="00726AA1" w:rsidRPr="00E040AB">
          <w:rPr>
            <w:webHidden/>
            <w:szCs w:val="22"/>
          </w:rPr>
          <w:fldChar w:fldCharType="end"/>
        </w:r>
      </w:hyperlink>
    </w:p>
    <w:p w14:paraId="403BC831" w14:textId="09113292" w:rsidR="00726AA1" w:rsidRPr="00E040AB" w:rsidRDefault="00AA13B3">
      <w:pPr>
        <w:pStyle w:val="TDC2"/>
        <w:rPr>
          <w:rFonts w:eastAsiaTheme="minorEastAsia" w:cstheme="minorBidi"/>
          <w:b w:val="0"/>
          <w:smallCaps w:val="0"/>
          <w:szCs w:val="22"/>
          <w:lang w:val="es-MX" w:eastAsia="es-MX"/>
        </w:rPr>
      </w:pPr>
      <w:hyperlink w:anchor="_Toc518031964" w:history="1">
        <w:r w:rsidR="00726AA1" w:rsidRPr="00E040AB">
          <w:rPr>
            <w:rStyle w:val="Hipervnculo"/>
            <w:szCs w:val="22"/>
          </w:rPr>
          <w:t>3.4</w:t>
        </w:r>
        <w:r w:rsidR="00726AA1" w:rsidRPr="00E040AB">
          <w:rPr>
            <w:rFonts w:eastAsiaTheme="minorEastAsia" w:cstheme="minorBidi"/>
            <w:b w:val="0"/>
            <w:smallCaps w:val="0"/>
            <w:szCs w:val="22"/>
            <w:lang w:val="es-MX" w:eastAsia="es-MX"/>
          </w:rPr>
          <w:tab/>
        </w:r>
        <w:r w:rsidR="00726AA1" w:rsidRPr="00E040AB">
          <w:rPr>
            <w:rStyle w:val="Hipervnculo"/>
            <w:szCs w:val="22"/>
          </w:rPr>
          <w:t>Procedimiento de acceso a la información de forma presencial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_Toc518031964 \h </w:instrText>
        </w:r>
        <w:r w:rsidR="00726AA1" w:rsidRPr="00E040AB">
          <w:rPr>
            <w:webHidden/>
            <w:szCs w:val="22"/>
          </w:rPr>
        </w:r>
        <w:r w:rsidR="00726AA1" w:rsidRPr="00E040AB">
          <w:rPr>
            <w:webHidden/>
            <w:szCs w:val="22"/>
          </w:rPr>
          <w:fldChar w:fldCharType="separate"/>
        </w:r>
        <w:r w:rsidR="00726AA1" w:rsidRPr="00E040AB">
          <w:rPr>
            <w:webHidden/>
            <w:szCs w:val="22"/>
          </w:rPr>
          <w:t>52</w:t>
        </w:r>
        <w:r w:rsidR="00726AA1" w:rsidRPr="00E040AB">
          <w:rPr>
            <w:webHidden/>
            <w:szCs w:val="22"/>
          </w:rPr>
          <w:fldChar w:fldCharType="end"/>
        </w:r>
      </w:hyperlink>
    </w:p>
    <w:p w14:paraId="507BE45B" w14:textId="51AA5A5D" w:rsidR="00726AA1" w:rsidRPr="00E040AB" w:rsidRDefault="00AA13B3">
      <w:pPr>
        <w:pStyle w:val="TDC2"/>
        <w:rPr>
          <w:rFonts w:eastAsiaTheme="minorEastAsia" w:cstheme="minorBidi"/>
          <w:b w:val="0"/>
          <w:smallCaps w:val="0"/>
          <w:szCs w:val="22"/>
          <w:lang w:val="es-MX" w:eastAsia="es-MX"/>
        </w:rPr>
      </w:pPr>
      <w:hyperlink w:anchor="_Toc518031965" w:history="1">
        <w:r w:rsidR="00726AA1" w:rsidRPr="00E040AB">
          <w:rPr>
            <w:rStyle w:val="Hipervnculo"/>
            <w:szCs w:val="22"/>
          </w:rPr>
          <w:t>3.5</w:t>
        </w:r>
        <w:r w:rsidR="00726AA1" w:rsidRPr="00E040AB">
          <w:rPr>
            <w:rFonts w:eastAsiaTheme="minorEastAsia" w:cstheme="minorBidi"/>
            <w:b w:val="0"/>
            <w:smallCaps w:val="0"/>
            <w:szCs w:val="22"/>
            <w:lang w:val="es-MX" w:eastAsia="es-MX"/>
          </w:rPr>
          <w:tab/>
        </w:r>
        <w:r w:rsidR="00726AA1" w:rsidRPr="00E040AB">
          <w:rPr>
            <w:rStyle w:val="Hipervnculo"/>
            <w:szCs w:val="22"/>
          </w:rPr>
          <w:t>Procedimiento de acceso a la información a través del medio alterno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_Toc518031965 \h </w:instrText>
        </w:r>
        <w:r w:rsidR="00726AA1" w:rsidRPr="00E040AB">
          <w:rPr>
            <w:webHidden/>
            <w:szCs w:val="22"/>
          </w:rPr>
        </w:r>
        <w:r w:rsidR="00726AA1" w:rsidRPr="00E040AB">
          <w:rPr>
            <w:webHidden/>
            <w:szCs w:val="22"/>
          </w:rPr>
          <w:fldChar w:fldCharType="separate"/>
        </w:r>
        <w:r w:rsidR="00726AA1" w:rsidRPr="00E040AB">
          <w:rPr>
            <w:webHidden/>
            <w:szCs w:val="22"/>
          </w:rPr>
          <w:t>53</w:t>
        </w:r>
        <w:r w:rsidR="00726AA1" w:rsidRPr="00E040AB">
          <w:rPr>
            <w:webHidden/>
            <w:szCs w:val="22"/>
          </w:rPr>
          <w:fldChar w:fldCharType="end"/>
        </w:r>
      </w:hyperlink>
    </w:p>
    <w:p w14:paraId="3BF447C2" w14:textId="4DBE9516" w:rsidR="00726AA1" w:rsidRPr="00E040AB" w:rsidRDefault="00AA13B3">
      <w:pPr>
        <w:pStyle w:val="TDC2"/>
        <w:rPr>
          <w:rFonts w:eastAsiaTheme="minorEastAsia" w:cstheme="minorBidi"/>
          <w:b w:val="0"/>
          <w:smallCaps w:val="0"/>
          <w:szCs w:val="22"/>
          <w:lang w:val="es-MX" w:eastAsia="es-MX"/>
        </w:rPr>
      </w:pPr>
      <w:hyperlink w:anchor="_Toc518031966" w:history="1">
        <w:r w:rsidR="00726AA1" w:rsidRPr="00E040AB">
          <w:rPr>
            <w:rStyle w:val="Hipervnculo"/>
            <w:szCs w:val="22"/>
          </w:rPr>
          <w:t>3.6</w:t>
        </w:r>
        <w:r w:rsidR="00726AA1" w:rsidRPr="00E040AB">
          <w:rPr>
            <w:rFonts w:eastAsiaTheme="minorEastAsia" w:cstheme="minorBidi"/>
            <w:b w:val="0"/>
            <w:smallCaps w:val="0"/>
            <w:szCs w:val="22"/>
            <w:lang w:val="es-MX" w:eastAsia="es-MX"/>
          </w:rPr>
          <w:tab/>
        </w:r>
        <w:r w:rsidR="00726AA1" w:rsidRPr="00E040AB">
          <w:rPr>
            <w:rStyle w:val="Hipervnculo"/>
            <w:szCs w:val="22"/>
          </w:rPr>
          <w:t>Procedimiento de acceso al Sistema Electrónico de Gestión SEG a través de La Red Privada Virtual VPN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_Toc518031966 \h </w:instrText>
        </w:r>
        <w:r w:rsidR="00726AA1" w:rsidRPr="00E040AB">
          <w:rPr>
            <w:webHidden/>
            <w:szCs w:val="22"/>
          </w:rPr>
        </w:r>
        <w:r w:rsidR="00726AA1" w:rsidRPr="00E040AB">
          <w:rPr>
            <w:webHidden/>
            <w:szCs w:val="22"/>
          </w:rPr>
          <w:fldChar w:fldCharType="separate"/>
        </w:r>
        <w:r w:rsidR="00726AA1" w:rsidRPr="00E040AB">
          <w:rPr>
            <w:webHidden/>
            <w:szCs w:val="22"/>
          </w:rPr>
          <w:t>53</w:t>
        </w:r>
        <w:r w:rsidR="00726AA1" w:rsidRPr="00E040AB">
          <w:rPr>
            <w:webHidden/>
            <w:szCs w:val="22"/>
          </w:rPr>
          <w:fldChar w:fldCharType="end"/>
        </w:r>
      </w:hyperlink>
    </w:p>
    <w:p w14:paraId="2571A902" w14:textId="41FD01B8"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67" w:history="1">
        <w:r w:rsidR="00726AA1" w:rsidRPr="00E040AB">
          <w:rPr>
            <w:rStyle w:val="Hipervnculo"/>
            <w:rFonts w:asciiTheme="minorHAnsi" w:hAnsiTheme="minorHAnsi"/>
            <w:sz w:val="22"/>
            <w:szCs w:val="22"/>
          </w:rPr>
          <w:t>4.</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Servicio de Reventa de Línea</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_Toc518031967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55</w:t>
        </w:r>
        <w:r w:rsidR="00726AA1" w:rsidRPr="00E040AB">
          <w:rPr>
            <w:rFonts w:asciiTheme="minorHAnsi" w:hAnsiTheme="minorHAnsi"/>
            <w:webHidden/>
            <w:sz w:val="22"/>
            <w:szCs w:val="22"/>
          </w:rPr>
          <w:fldChar w:fldCharType="end"/>
        </w:r>
      </w:hyperlink>
    </w:p>
    <w:p w14:paraId="146D68CD" w14:textId="379DC545" w:rsidR="00726AA1" w:rsidRPr="00E040AB" w:rsidRDefault="00AA13B3">
      <w:pPr>
        <w:pStyle w:val="TDC2"/>
        <w:rPr>
          <w:rFonts w:eastAsiaTheme="minorEastAsia" w:cstheme="minorBidi"/>
          <w:b w:val="0"/>
          <w:smallCaps w:val="0"/>
          <w:szCs w:val="22"/>
          <w:lang w:val="es-MX" w:eastAsia="es-MX"/>
        </w:rPr>
      </w:pPr>
      <w:hyperlink w:anchor="_Toc518031968" w:history="1">
        <w:r w:rsidR="00726AA1" w:rsidRPr="00E040AB">
          <w:rPr>
            <w:rStyle w:val="Hipervnculo"/>
            <w:szCs w:val="22"/>
          </w:rPr>
          <w:t>4.1</w:t>
        </w:r>
        <w:r w:rsidR="00726AA1" w:rsidRPr="00E040AB">
          <w:rPr>
            <w:rFonts w:eastAsiaTheme="minorEastAsia" w:cstheme="minorBidi"/>
            <w:b w:val="0"/>
            <w:smallCaps w:val="0"/>
            <w:szCs w:val="22"/>
            <w:lang w:val="es-MX" w:eastAsia="es-MX"/>
          </w:rPr>
          <w:tab/>
        </w:r>
        <w:r w:rsidR="00726AA1" w:rsidRPr="00E040AB">
          <w:rPr>
            <w:rStyle w:val="Hipervnculo"/>
            <w:szCs w:val="22"/>
          </w:rPr>
          <w:t>Servicio de Reventa de Línea Telefónica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_Toc518031968 \h </w:instrText>
        </w:r>
        <w:r w:rsidR="00726AA1" w:rsidRPr="00E040AB">
          <w:rPr>
            <w:webHidden/>
            <w:szCs w:val="22"/>
          </w:rPr>
        </w:r>
        <w:r w:rsidR="00726AA1" w:rsidRPr="00E040AB">
          <w:rPr>
            <w:webHidden/>
            <w:szCs w:val="22"/>
          </w:rPr>
          <w:fldChar w:fldCharType="separate"/>
        </w:r>
        <w:r w:rsidR="00726AA1" w:rsidRPr="00E040AB">
          <w:rPr>
            <w:webHidden/>
            <w:szCs w:val="22"/>
          </w:rPr>
          <w:t>55</w:t>
        </w:r>
        <w:r w:rsidR="00726AA1" w:rsidRPr="00E040AB">
          <w:rPr>
            <w:webHidden/>
            <w:szCs w:val="22"/>
          </w:rPr>
          <w:fldChar w:fldCharType="end"/>
        </w:r>
      </w:hyperlink>
    </w:p>
    <w:p w14:paraId="445A475B" w14:textId="77C6E0E9" w:rsidR="00726AA1" w:rsidRPr="00E040AB" w:rsidRDefault="00AA13B3">
      <w:pPr>
        <w:pStyle w:val="TDC2"/>
        <w:rPr>
          <w:rFonts w:eastAsiaTheme="minorEastAsia" w:cstheme="minorBidi"/>
          <w:b w:val="0"/>
          <w:smallCaps w:val="0"/>
          <w:szCs w:val="22"/>
          <w:lang w:val="es-MX" w:eastAsia="es-MX"/>
        </w:rPr>
      </w:pPr>
      <w:hyperlink w:anchor="_Toc518031969" w:history="1">
        <w:r w:rsidR="00726AA1" w:rsidRPr="00E040AB">
          <w:rPr>
            <w:rStyle w:val="Hipervnculo"/>
            <w:szCs w:val="22"/>
          </w:rPr>
          <w:t>4.2</w:t>
        </w:r>
        <w:r w:rsidR="00726AA1" w:rsidRPr="00E040AB">
          <w:rPr>
            <w:rFonts w:eastAsiaTheme="minorEastAsia" w:cstheme="minorBidi"/>
            <w:b w:val="0"/>
            <w:smallCaps w:val="0"/>
            <w:szCs w:val="22"/>
            <w:lang w:val="es-MX" w:eastAsia="es-MX"/>
          </w:rPr>
          <w:tab/>
        </w:r>
        <w:r w:rsidR="00726AA1" w:rsidRPr="00E040AB">
          <w:rPr>
            <w:rStyle w:val="Hipervnculo"/>
            <w:szCs w:val="22"/>
          </w:rPr>
          <w:t>Servicio de Reventa de Internet y Servicios de Reventa de Paquetes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_Toc518031969 \h </w:instrText>
        </w:r>
        <w:r w:rsidR="00726AA1" w:rsidRPr="00E040AB">
          <w:rPr>
            <w:webHidden/>
            <w:szCs w:val="22"/>
          </w:rPr>
        </w:r>
        <w:r w:rsidR="00726AA1" w:rsidRPr="00E040AB">
          <w:rPr>
            <w:webHidden/>
            <w:szCs w:val="22"/>
          </w:rPr>
          <w:fldChar w:fldCharType="separate"/>
        </w:r>
        <w:r w:rsidR="00726AA1" w:rsidRPr="00E040AB">
          <w:rPr>
            <w:webHidden/>
            <w:szCs w:val="22"/>
          </w:rPr>
          <w:t>58</w:t>
        </w:r>
        <w:r w:rsidR="00726AA1" w:rsidRPr="00E040AB">
          <w:rPr>
            <w:webHidden/>
            <w:szCs w:val="22"/>
          </w:rPr>
          <w:fldChar w:fldCharType="end"/>
        </w:r>
      </w:hyperlink>
    </w:p>
    <w:p w14:paraId="56704174" w14:textId="2939F294" w:rsidR="00726AA1" w:rsidRPr="00E040AB" w:rsidRDefault="00AA13B3">
      <w:pPr>
        <w:pStyle w:val="TDC3"/>
        <w:rPr>
          <w:rFonts w:eastAsiaTheme="minorEastAsia" w:cstheme="minorBidi"/>
          <w:b w:val="0"/>
          <w:i w:val="0"/>
          <w:iCs w:val="0"/>
          <w:lang w:val="es-MX" w:eastAsia="es-MX"/>
        </w:rPr>
      </w:pPr>
      <w:hyperlink w:anchor="_Toc518031970" w:history="1">
        <w:r w:rsidR="00726AA1" w:rsidRPr="00E040AB">
          <w:rPr>
            <w:rStyle w:val="Hipervnculo"/>
            <w:i w:val="0"/>
          </w:rPr>
          <w:t>4.2.1</w:t>
        </w:r>
        <w:r w:rsidR="00726AA1" w:rsidRPr="00E040AB">
          <w:rPr>
            <w:rFonts w:eastAsiaTheme="minorEastAsia" w:cstheme="minorBidi"/>
            <w:b w:val="0"/>
            <w:i w:val="0"/>
            <w:iCs w:val="0"/>
            <w:lang w:val="es-MX" w:eastAsia="es-MX"/>
          </w:rPr>
          <w:tab/>
        </w:r>
        <w:r w:rsidR="00726AA1" w:rsidRPr="00E040AB">
          <w:rPr>
            <w:rStyle w:val="Hipervnculo"/>
            <w:i w:val="0"/>
          </w:rPr>
          <w:t>Servicio de Reventa de Internet</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_Toc518031970 \h </w:instrText>
        </w:r>
        <w:r w:rsidR="00726AA1" w:rsidRPr="00E040AB">
          <w:rPr>
            <w:i w:val="0"/>
            <w:webHidden/>
          </w:rPr>
        </w:r>
        <w:r w:rsidR="00726AA1" w:rsidRPr="00E040AB">
          <w:rPr>
            <w:i w:val="0"/>
            <w:webHidden/>
          </w:rPr>
          <w:fldChar w:fldCharType="separate"/>
        </w:r>
        <w:r w:rsidR="00726AA1" w:rsidRPr="00E040AB">
          <w:rPr>
            <w:i w:val="0"/>
            <w:webHidden/>
          </w:rPr>
          <w:t>58</w:t>
        </w:r>
        <w:r w:rsidR="00726AA1" w:rsidRPr="00E040AB">
          <w:rPr>
            <w:i w:val="0"/>
            <w:webHidden/>
          </w:rPr>
          <w:fldChar w:fldCharType="end"/>
        </w:r>
      </w:hyperlink>
    </w:p>
    <w:p w14:paraId="2B8BDF5A" w14:textId="2EB012A4" w:rsidR="00726AA1" w:rsidRPr="00E040AB" w:rsidRDefault="00AA13B3">
      <w:pPr>
        <w:pStyle w:val="TDC3"/>
        <w:rPr>
          <w:rFonts w:eastAsiaTheme="minorEastAsia" w:cstheme="minorBidi"/>
          <w:b w:val="0"/>
          <w:i w:val="0"/>
          <w:iCs w:val="0"/>
          <w:lang w:val="es-MX" w:eastAsia="es-MX"/>
        </w:rPr>
      </w:pPr>
      <w:hyperlink w:anchor="_Toc518031971" w:history="1">
        <w:r w:rsidR="00726AA1" w:rsidRPr="00E040AB">
          <w:rPr>
            <w:rStyle w:val="Hipervnculo"/>
            <w:i w:val="0"/>
          </w:rPr>
          <w:t>4.2.2</w:t>
        </w:r>
        <w:r w:rsidR="00726AA1" w:rsidRPr="00E040AB">
          <w:rPr>
            <w:rFonts w:eastAsiaTheme="minorEastAsia" w:cstheme="minorBidi"/>
            <w:b w:val="0"/>
            <w:i w:val="0"/>
            <w:iCs w:val="0"/>
            <w:lang w:val="es-MX" w:eastAsia="es-MX"/>
          </w:rPr>
          <w:tab/>
        </w:r>
        <w:r w:rsidR="00726AA1" w:rsidRPr="00E040AB">
          <w:rPr>
            <w:rStyle w:val="Hipervnculo"/>
            <w:i w:val="0"/>
          </w:rPr>
          <w:t>Servicio de Reventa de Paquetes</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_Toc518031971 \h </w:instrText>
        </w:r>
        <w:r w:rsidR="00726AA1" w:rsidRPr="00E040AB">
          <w:rPr>
            <w:i w:val="0"/>
            <w:webHidden/>
          </w:rPr>
        </w:r>
        <w:r w:rsidR="00726AA1" w:rsidRPr="00E040AB">
          <w:rPr>
            <w:i w:val="0"/>
            <w:webHidden/>
          </w:rPr>
          <w:fldChar w:fldCharType="separate"/>
        </w:r>
        <w:r w:rsidR="00726AA1" w:rsidRPr="00E040AB">
          <w:rPr>
            <w:i w:val="0"/>
            <w:webHidden/>
          </w:rPr>
          <w:t>59</w:t>
        </w:r>
        <w:r w:rsidR="00726AA1" w:rsidRPr="00E040AB">
          <w:rPr>
            <w:i w:val="0"/>
            <w:webHidden/>
          </w:rPr>
          <w:fldChar w:fldCharType="end"/>
        </w:r>
      </w:hyperlink>
    </w:p>
    <w:p w14:paraId="30043BDD" w14:textId="2270C680" w:rsidR="00726AA1" w:rsidRPr="00E040AB" w:rsidRDefault="00AA13B3">
      <w:pPr>
        <w:pStyle w:val="TDC2"/>
        <w:rPr>
          <w:rFonts w:eastAsiaTheme="minorEastAsia" w:cstheme="minorBidi"/>
          <w:b w:val="0"/>
          <w:smallCaps w:val="0"/>
          <w:szCs w:val="22"/>
          <w:lang w:val="es-MX" w:eastAsia="es-MX"/>
        </w:rPr>
      </w:pPr>
      <w:hyperlink w:anchor="_Toc518031972" w:history="1">
        <w:r w:rsidR="00726AA1" w:rsidRPr="00E040AB">
          <w:rPr>
            <w:rStyle w:val="Hipervnculo"/>
            <w:szCs w:val="22"/>
          </w:rPr>
          <w:t>4.3</w:t>
        </w:r>
        <w:r w:rsidR="00726AA1" w:rsidRPr="00E040AB">
          <w:rPr>
            <w:rFonts w:eastAsiaTheme="minorEastAsia" w:cstheme="minorBidi"/>
            <w:b w:val="0"/>
            <w:smallCaps w:val="0"/>
            <w:szCs w:val="22"/>
            <w:lang w:val="es-MX" w:eastAsia="es-MX"/>
          </w:rPr>
          <w:tab/>
        </w:r>
        <w:r w:rsidR="00726AA1" w:rsidRPr="00E040AB">
          <w:rPr>
            <w:rStyle w:val="Hipervnculo"/>
            <w:szCs w:val="22"/>
          </w:rPr>
          <w:t>Moléculas de incremento de velocidad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_Toc518031972 \h </w:instrText>
        </w:r>
        <w:r w:rsidR="00726AA1" w:rsidRPr="00E040AB">
          <w:rPr>
            <w:webHidden/>
            <w:szCs w:val="22"/>
          </w:rPr>
        </w:r>
        <w:r w:rsidR="00726AA1" w:rsidRPr="00E040AB">
          <w:rPr>
            <w:webHidden/>
            <w:szCs w:val="22"/>
          </w:rPr>
          <w:fldChar w:fldCharType="separate"/>
        </w:r>
        <w:r w:rsidR="00726AA1" w:rsidRPr="00E040AB">
          <w:rPr>
            <w:webHidden/>
            <w:szCs w:val="22"/>
          </w:rPr>
          <w:t>61</w:t>
        </w:r>
        <w:r w:rsidR="00726AA1" w:rsidRPr="00E040AB">
          <w:rPr>
            <w:webHidden/>
            <w:szCs w:val="22"/>
          </w:rPr>
          <w:fldChar w:fldCharType="end"/>
        </w:r>
      </w:hyperlink>
    </w:p>
    <w:p w14:paraId="2D7961A8" w14:textId="5453E1E3" w:rsidR="00726AA1" w:rsidRPr="00E040AB" w:rsidRDefault="00AA13B3">
      <w:pPr>
        <w:pStyle w:val="TDC2"/>
        <w:rPr>
          <w:rFonts w:eastAsiaTheme="minorEastAsia" w:cstheme="minorBidi"/>
          <w:b w:val="0"/>
          <w:smallCaps w:val="0"/>
          <w:szCs w:val="22"/>
          <w:lang w:val="es-MX" w:eastAsia="es-MX"/>
        </w:rPr>
      </w:pPr>
      <w:hyperlink w:anchor="_Toc518031973" w:history="1">
        <w:r w:rsidR="00726AA1" w:rsidRPr="00E040AB">
          <w:rPr>
            <w:rStyle w:val="Hipervnculo"/>
            <w:szCs w:val="22"/>
          </w:rPr>
          <w:t>4.4</w:t>
        </w:r>
        <w:r w:rsidR="00726AA1" w:rsidRPr="00E040AB">
          <w:rPr>
            <w:rFonts w:eastAsiaTheme="minorEastAsia" w:cstheme="minorBidi"/>
            <w:b w:val="0"/>
            <w:smallCaps w:val="0"/>
            <w:szCs w:val="22"/>
            <w:lang w:val="es-MX" w:eastAsia="es-MX"/>
          </w:rPr>
          <w:tab/>
        </w:r>
        <w:r w:rsidR="00726AA1" w:rsidRPr="00E040AB">
          <w:rPr>
            <w:rStyle w:val="Hipervnculo"/>
            <w:szCs w:val="22"/>
          </w:rPr>
          <w:t>Venta de Módem y ONT para Reventa.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_Toc518031973 \h </w:instrText>
        </w:r>
        <w:r w:rsidR="00726AA1" w:rsidRPr="00E040AB">
          <w:rPr>
            <w:webHidden/>
            <w:szCs w:val="22"/>
          </w:rPr>
        </w:r>
        <w:r w:rsidR="00726AA1" w:rsidRPr="00E040AB">
          <w:rPr>
            <w:webHidden/>
            <w:szCs w:val="22"/>
          </w:rPr>
          <w:fldChar w:fldCharType="separate"/>
        </w:r>
        <w:r w:rsidR="00726AA1" w:rsidRPr="00E040AB">
          <w:rPr>
            <w:webHidden/>
            <w:szCs w:val="22"/>
          </w:rPr>
          <w:t>62</w:t>
        </w:r>
        <w:r w:rsidR="00726AA1" w:rsidRPr="00E040AB">
          <w:rPr>
            <w:webHidden/>
            <w:szCs w:val="22"/>
          </w:rPr>
          <w:fldChar w:fldCharType="end"/>
        </w:r>
      </w:hyperlink>
    </w:p>
    <w:p w14:paraId="24A431BD" w14:textId="6E5FF6DA" w:rsidR="00726AA1" w:rsidRPr="00E040AB" w:rsidRDefault="00AA13B3">
      <w:pPr>
        <w:pStyle w:val="TDC2"/>
        <w:rPr>
          <w:rFonts w:eastAsiaTheme="minorEastAsia" w:cstheme="minorBidi"/>
          <w:b w:val="0"/>
          <w:smallCaps w:val="0"/>
          <w:szCs w:val="22"/>
          <w:lang w:val="es-MX" w:eastAsia="es-MX"/>
        </w:rPr>
      </w:pPr>
      <w:hyperlink w:anchor="_Toc518031974" w:history="1">
        <w:r w:rsidR="00726AA1" w:rsidRPr="00E040AB">
          <w:rPr>
            <w:rStyle w:val="Hipervnculo"/>
            <w:szCs w:val="22"/>
          </w:rPr>
          <w:t>4.5</w:t>
        </w:r>
        <w:r w:rsidR="00726AA1" w:rsidRPr="00E040AB">
          <w:rPr>
            <w:rFonts w:eastAsiaTheme="minorEastAsia" w:cstheme="minorBidi"/>
            <w:b w:val="0"/>
            <w:smallCaps w:val="0"/>
            <w:szCs w:val="22"/>
            <w:lang w:val="es-MX" w:eastAsia="es-MX"/>
          </w:rPr>
          <w:tab/>
        </w:r>
        <w:r w:rsidR="00726AA1" w:rsidRPr="00E040AB">
          <w:rPr>
            <w:rStyle w:val="Hipervnculo"/>
            <w:szCs w:val="22"/>
          </w:rPr>
          <w:t>Registro de llamadas (CDR)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_Toc518031974 \h </w:instrText>
        </w:r>
        <w:r w:rsidR="00726AA1" w:rsidRPr="00E040AB">
          <w:rPr>
            <w:webHidden/>
            <w:szCs w:val="22"/>
          </w:rPr>
        </w:r>
        <w:r w:rsidR="00726AA1" w:rsidRPr="00E040AB">
          <w:rPr>
            <w:webHidden/>
            <w:szCs w:val="22"/>
          </w:rPr>
          <w:fldChar w:fldCharType="separate"/>
        </w:r>
        <w:r w:rsidR="00726AA1" w:rsidRPr="00E040AB">
          <w:rPr>
            <w:webHidden/>
            <w:szCs w:val="22"/>
          </w:rPr>
          <w:t>66</w:t>
        </w:r>
        <w:r w:rsidR="00726AA1" w:rsidRPr="00E040AB">
          <w:rPr>
            <w:webHidden/>
            <w:szCs w:val="22"/>
          </w:rPr>
          <w:fldChar w:fldCharType="end"/>
        </w:r>
      </w:hyperlink>
    </w:p>
    <w:p w14:paraId="4A14F2FB" w14:textId="02BBF717" w:rsidR="00726AA1" w:rsidRPr="00E040AB" w:rsidRDefault="00AA13B3">
      <w:pPr>
        <w:pStyle w:val="TDC3"/>
        <w:rPr>
          <w:rFonts w:eastAsiaTheme="minorEastAsia" w:cstheme="minorBidi"/>
          <w:b w:val="0"/>
          <w:i w:val="0"/>
          <w:iCs w:val="0"/>
          <w:lang w:val="es-MX" w:eastAsia="es-MX"/>
        </w:rPr>
      </w:pPr>
      <w:hyperlink w:anchor="_Toc518031975" w:history="1">
        <w:r w:rsidR="00726AA1" w:rsidRPr="00E040AB">
          <w:rPr>
            <w:rStyle w:val="Hipervnculo"/>
            <w:i w:val="0"/>
          </w:rPr>
          <w:t>4.4.1</w:t>
        </w:r>
        <w:r w:rsidR="00726AA1" w:rsidRPr="00E040AB">
          <w:rPr>
            <w:rFonts w:eastAsiaTheme="minorEastAsia" w:cstheme="minorBidi"/>
            <w:b w:val="0"/>
            <w:i w:val="0"/>
            <w:iCs w:val="0"/>
            <w:lang w:val="es-MX" w:eastAsia="es-MX"/>
          </w:rPr>
          <w:tab/>
        </w:r>
        <w:r w:rsidR="00726AA1" w:rsidRPr="00E040AB">
          <w:rPr>
            <w:rStyle w:val="Hipervnculo"/>
            <w:i w:val="0"/>
          </w:rPr>
          <w:t>Layout para la entrega de los registros de consumo del Servicio de Reventa de Línea</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_Toc518031975 \h </w:instrText>
        </w:r>
        <w:r w:rsidR="00726AA1" w:rsidRPr="00E040AB">
          <w:rPr>
            <w:i w:val="0"/>
            <w:webHidden/>
          </w:rPr>
        </w:r>
        <w:r w:rsidR="00726AA1" w:rsidRPr="00E040AB">
          <w:rPr>
            <w:i w:val="0"/>
            <w:webHidden/>
          </w:rPr>
          <w:fldChar w:fldCharType="separate"/>
        </w:r>
        <w:r w:rsidR="00726AA1" w:rsidRPr="00E040AB">
          <w:rPr>
            <w:i w:val="0"/>
            <w:webHidden/>
          </w:rPr>
          <w:t>66</w:t>
        </w:r>
        <w:r w:rsidR="00726AA1" w:rsidRPr="00E040AB">
          <w:rPr>
            <w:i w:val="0"/>
            <w:webHidden/>
          </w:rPr>
          <w:fldChar w:fldCharType="end"/>
        </w:r>
      </w:hyperlink>
    </w:p>
    <w:p w14:paraId="20BA606D" w14:textId="73AFAFD9" w:rsidR="00726AA1" w:rsidRPr="00E040AB" w:rsidRDefault="00AA13B3">
      <w:pPr>
        <w:pStyle w:val="TDC2"/>
        <w:rPr>
          <w:rFonts w:eastAsiaTheme="minorEastAsia" w:cstheme="minorBidi"/>
          <w:b w:val="0"/>
          <w:smallCaps w:val="0"/>
          <w:szCs w:val="22"/>
          <w:lang w:val="es-MX" w:eastAsia="es-MX"/>
        </w:rPr>
      </w:pPr>
      <w:hyperlink w:anchor="_Toc518031976" w:history="1">
        <w:r w:rsidR="00726AA1" w:rsidRPr="00E040AB">
          <w:rPr>
            <w:rStyle w:val="Hipervnculo"/>
            <w:szCs w:val="22"/>
          </w:rPr>
          <w:t>4.6</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 los servicios de Reventa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_Toc518031976 \h </w:instrText>
        </w:r>
        <w:r w:rsidR="00726AA1" w:rsidRPr="00E040AB">
          <w:rPr>
            <w:webHidden/>
            <w:szCs w:val="22"/>
          </w:rPr>
        </w:r>
        <w:r w:rsidR="00726AA1" w:rsidRPr="00E040AB">
          <w:rPr>
            <w:webHidden/>
            <w:szCs w:val="22"/>
          </w:rPr>
          <w:fldChar w:fldCharType="separate"/>
        </w:r>
        <w:r w:rsidR="00726AA1" w:rsidRPr="00E040AB">
          <w:rPr>
            <w:webHidden/>
            <w:szCs w:val="22"/>
          </w:rPr>
          <w:t>68</w:t>
        </w:r>
        <w:r w:rsidR="00726AA1" w:rsidRPr="00E040AB">
          <w:rPr>
            <w:webHidden/>
            <w:szCs w:val="22"/>
          </w:rPr>
          <w:fldChar w:fldCharType="end"/>
        </w:r>
      </w:hyperlink>
    </w:p>
    <w:p w14:paraId="2911F5E3" w14:textId="2DE3BF48" w:rsidR="00726AA1" w:rsidRPr="00E040AB" w:rsidRDefault="00AA13B3">
      <w:pPr>
        <w:pStyle w:val="TDC2"/>
        <w:rPr>
          <w:rFonts w:eastAsiaTheme="minorEastAsia" w:cstheme="minorBidi"/>
          <w:b w:val="0"/>
          <w:smallCaps w:val="0"/>
          <w:szCs w:val="22"/>
          <w:lang w:val="es-MX" w:eastAsia="es-MX"/>
        </w:rPr>
      </w:pPr>
      <w:hyperlink w:anchor="_Toc518031977" w:history="1">
        <w:r w:rsidR="00726AA1" w:rsidRPr="00E040AB">
          <w:rPr>
            <w:rStyle w:val="Hipervnculo"/>
            <w:szCs w:val="22"/>
          </w:rPr>
          <w:t>4.7</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 los Servicios de Reventa.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_Toc518031977 \h </w:instrText>
        </w:r>
        <w:r w:rsidR="00726AA1" w:rsidRPr="00E040AB">
          <w:rPr>
            <w:webHidden/>
            <w:szCs w:val="22"/>
          </w:rPr>
        </w:r>
        <w:r w:rsidR="00726AA1" w:rsidRPr="00E040AB">
          <w:rPr>
            <w:webHidden/>
            <w:szCs w:val="22"/>
          </w:rPr>
          <w:fldChar w:fldCharType="separate"/>
        </w:r>
        <w:r w:rsidR="00726AA1" w:rsidRPr="00E040AB">
          <w:rPr>
            <w:webHidden/>
            <w:szCs w:val="22"/>
          </w:rPr>
          <w:t>79</w:t>
        </w:r>
        <w:r w:rsidR="00726AA1" w:rsidRPr="00E040AB">
          <w:rPr>
            <w:webHidden/>
            <w:szCs w:val="22"/>
          </w:rPr>
          <w:fldChar w:fldCharType="end"/>
        </w:r>
      </w:hyperlink>
    </w:p>
    <w:p w14:paraId="3112D976" w14:textId="64E9C10B" w:rsidR="00726AA1" w:rsidRPr="00E040AB" w:rsidRDefault="00AA13B3">
      <w:pPr>
        <w:pStyle w:val="TDC2"/>
        <w:rPr>
          <w:rFonts w:eastAsiaTheme="minorEastAsia" w:cstheme="minorBidi"/>
          <w:b w:val="0"/>
          <w:smallCaps w:val="0"/>
          <w:szCs w:val="22"/>
          <w:lang w:val="es-MX" w:eastAsia="es-MX"/>
        </w:rPr>
      </w:pPr>
      <w:hyperlink w:anchor="_Toc518031978" w:history="1">
        <w:r w:rsidR="00726AA1" w:rsidRPr="00E040AB">
          <w:rPr>
            <w:rStyle w:val="Hipervnculo"/>
            <w:szCs w:val="22"/>
          </w:rPr>
          <w:t>4.8</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para los Servicios de Reventa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_Toc518031978 \h </w:instrText>
        </w:r>
        <w:r w:rsidR="00726AA1" w:rsidRPr="00E040AB">
          <w:rPr>
            <w:webHidden/>
            <w:szCs w:val="22"/>
          </w:rPr>
        </w:r>
        <w:r w:rsidR="00726AA1" w:rsidRPr="00E040AB">
          <w:rPr>
            <w:webHidden/>
            <w:szCs w:val="22"/>
          </w:rPr>
          <w:fldChar w:fldCharType="separate"/>
        </w:r>
        <w:r w:rsidR="00726AA1" w:rsidRPr="00E040AB">
          <w:rPr>
            <w:webHidden/>
            <w:szCs w:val="22"/>
          </w:rPr>
          <w:t>80</w:t>
        </w:r>
        <w:r w:rsidR="00726AA1" w:rsidRPr="00E040AB">
          <w:rPr>
            <w:webHidden/>
            <w:szCs w:val="22"/>
          </w:rPr>
          <w:fldChar w:fldCharType="end"/>
        </w:r>
      </w:hyperlink>
    </w:p>
    <w:p w14:paraId="3B2D4F19" w14:textId="2E2305EF" w:rsidR="00726AA1" w:rsidRPr="00E040AB" w:rsidRDefault="00AA13B3">
      <w:pPr>
        <w:pStyle w:val="TDC3"/>
        <w:rPr>
          <w:rFonts w:eastAsiaTheme="minorEastAsia" w:cstheme="minorBidi"/>
          <w:b w:val="0"/>
          <w:i w:val="0"/>
          <w:iCs w:val="0"/>
          <w:lang w:val="es-MX" w:eastAsia="es-MX"/>
        </w:rPr>
      </w:pPr>
      <w:hyperlink w:anchor="_Toc518031979" w:history="1">
        <w:r w:rsidR="00726AA1" w:rsidRPr="00E040AB">
          <w:rPr>
            <w:rStyle w:val="Hipervnculo"/>
            <w:i w:val="0"/>
          </w:rPr>
          <w:t>4.8.1</w:t>
        </w:r>
        <w:r w:rsidR="00726AA1" w:rsidRPr="00E040AB">
          <w:rPr>
            <w:rFonts w:eastAsiaTheme="minorEastAsia" w:cstheme="minorBidi"/>
            <w:b w:val="0"/>
            <w:i w:val="0"/>
            <w:iCs w:val="0"/>
            <w:lang w:val="es-MX" w:eastAsia="es-MX"/>
          </w:rPr>
          <w:tab/>
        </w:r>
        <w:r w:rsidR="00726AA1" w:rsidRPr="00E040AB">
          <w:rPr>
            <w:rStyle w:val="Hipervnculo"/>
            <w:i w:val="0"/>
          </w:rPr>
          <w:t>Propuesta de mejora de parámetros de calidad</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_Toc518031979 \h </w:instrText>
        </w:r>
        <w:r w:rsidR="00726AA1" w:rsidRPr="00E040AB">
          <w:rPr>
            <w:i w:val="0"/>
            <w:webHidden/>
          </w:rPr>
        </w:r>
        <w:r w:rsidR="00726AA1" w:rsidRPr="00E040AB">
          <w:rPr>
            <w:i w:val="0"/>
            <w:webHidden/>
          </w:rPr>
          <w:fldChar w:fldCharType="separate"/>
        </w:r>
        <w:r w:rsidR="00726AA1" w:rsidRPr="00E040AB">
          <w:rPr>
            <w:i w:val="0"/>
            <w:webHidden/>
          </w:rPr>
          <w:t>84</w:t>
        </w:r>
        <w:r w:rsidR="00726AA1" w:rsidRPr="00E040AB">
          <w:rPr>
            <w:i w:val="0"/>
            <w:webHidden/>
          </w:rPr>
          <w:fldChar w:fldCharType="end"/>
        </w:r>
      </w:hyperlink>
    </w:p>
    <w:p w14:paraId="544033A5" w14:textId="0A12D99F" w:rsidR="00726AA1" w:rsidRPr="00E040AB" w:rsidRDefault="00AA13B3">
      <w:pPr>
        <w:pStyle w:val="TDC2"/>
        <w:rPr>
          <w:rFonts w:eastAsiaTheme="minorEastAsia" w:cstheme="minorBidi"/>
          <w:b w:val="0"/>
          <w:smallCaps w:val="0"/>
          <w:szCs w:val="22"/>
          <w:lang w:val="es-MX" w:eastAsia="es-MX"/>
        </w:rPr>
      </w:pPr>
      <w:hyperlink w:anchor="_Toc518031980" w:history="1">
        <w:r w:rsidR="00726AA1" w:rsidRPr="00E040AB">
          <w:rPr>
            <w:rStyle w:val="Hipervnculo"/>
            <w:szCs w:val="22"/>
          </w:rPr>
          <w:t>4.9</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realización de pruebas de entrega de los servicios de Reventa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_Toc518031980 \h </w:instrText>
        </w:r>
        <w:r w:rsidR="00726AA1" w:rsidRPr="00E040AB">
          <w:rPr>
            <w:webHidden/>
            <w:szCs w:val="22"/>
          </w:rPr>
        </w:r>
        <w:r w:rsidR="00726AA1" w:rsidRPr="00E040AB">
          <w:rPr>
            <w:webHidden/>
            <w:szCs w:val="22"/>
          </w:rPr>
          <w:fldChar w:fldCharType="separate"/>
        </w:r>
        <w:r w:rsidR="00726AA1" w:rsidRPr="00E040AB">
          <w:rPr>
            <w:webHidden/>
            <w:szCs w:val="22"/>
          </w:rPr>
          <w:t>84</w:t>
        </w:r>
        <w:r w:rsidR="00726AA1" w:rsidRPr="00E040AB">
          <w:rPr>
            <w:webHidden/>
            <w:szCs w:val="22"/>
          </w:rPr>
          <w:fldChar w:fldCharType="end"/>
        </w:r>
      </w:hyperlink>
    </w:p>
    <w:p w14:paraId="3E0A184F" w14:textId="42189470"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81" w:history="1">
        <w:r w:rsidR="00726AA1" w:rsidRPr="00E040AB">
          <w:rPr>
            <w:rStyle w:val="Hipervnculo"/>
            <w:rFonts w:asciiTheme="minorHAnsi" w:hAnsiTheme="minorHAnsi"/>
            <w:sz w:val="22"/>
            <w:szCs w:val="22"/>
          </w:rPr>
          <w:t>5.</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Servicio de Reventa Mayorista de Línea Telefónica (SRMLT)</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_Toc518031981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86</w:t>
        </w:r>
        <w:r w:rsidR="00726AA1" w:rsidRPr="00E040AB">
          <w:rPr>
            <w:rFonts w:asciiTheme="minorHAnsi" w:hAnsiTheme="minorHAnsi"/>
            <w:webHidden/>
            <w:sz w:val="22"/>
            <w:szCs w:val="22"/>
          </w:rPr>
          <w:fldChar w:fldCharType="end"/>
        </w:r>
      </w:hyperlink>
    </w:p>
    <w:p w14:paraId="24536099" w14:textId="13557055" w:rsidR="00726AA1" w:rsidRPr="00E040AB" w:rsidRDefault="00AA13B3">
      <w:pPr>
        <w:pStyle w:val="TDC2"/>
        <w:rPr>
          <w:rFonts w:eastAsiaTheme="minorEastAsia" w:cstheme="minorBidi"/>
          <w:b w:val="0"/>
          <w:smallCaps w:val="0"/>
          <w:szCs w:val="22"/>
          <w:lang w:val="es-MX" w:eastAsia="es-MX"/>
        </w:rPr>
      </w:pPr>
      <w:hyperlink w:anchor="_Toc518031982" w:history="1">
        <w:r w:rsidR="00726AA1" w:rsidRPr="00E040AB">
          <w:rPr>
            <w:rStyle w:val="Hipervnculo"/>
            <w:szCs w:val="22"/>
          </w:rPr>
          <w:t>5.1</w:t>
        </w:r>
        <w:r w:rsidR="00726AA1" w:rsidRPr="00E040AB">
          <w:rPr>
            <w:rFonts w:eastAsiaTheme="minorEastAsia" w:cstheme="minorBidi"/>
            <w:b w:val="0"/>
            <w:smallCaps w:val="0"/>
            <w:szCs w:val="22"/>
            <w:lang w:val="es-MX" w:eastAsia="es-MX"/>
          </w:rPr>
          <w:tab/>
        </w:r>
        <w:r w:rsidR="00726AA1" w:rsidRPr="00E040AB">
          <w:rPr>
            <w:rStyle w:val="Hipervnculo"/>
            <w:szCs w:val="22"/>
          </w:rPr>
          <w:t>Descripción del Servicio de Reventa Mayorista de Línea Telefónica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_Toc518031982 \h </w:instrText>
        </w:r>
        <w:r w:rsidR="00726AA1" w:rsidRPr="00E040AB">
          <w:rPr>
            <w:webHidden/>
            <w:szCs w:val="22"/>
          </w:rPr>
        </w:r>
        <w:r w:rsidR="00726AA1" w:rsidRPr="00E040AB">
          <w:rPr>
            <w:webHidden/>
            <w:szCs w:val="22"/>
          </w:rPr>
          <w:fldChar w:fldCharType="separate"/>
        </w:r>
        <w:r w:rsidR="00726AA1" w:rsidRPr="00E040AB">
          <w:rPr>
            <w:webHidden/>
            <w:szCs w:val="22"/>
          </w:rPr>
          <w:t>86</w:t>
        </w:r>
        <w:r w:rsidR="00726AA1" w:rsidRPr="00E040AB">
          <w:rPr>
            <w:webHidden/>
            <w:szCs w:val="22"/>
          </w:rPr>
          <w:fldChar w:fldCharType="end"/>
        </w:r>
      </w:hyperlink>
    </w:p>
    <w:p w14:paraId="2DAD9584" w14:textId="49B1F544" w:rsidR="00726AA1" w:rsidRPr="00E040AB" w:rsidRDefault="00AA13B3">
      <w:pPr>
        <w:pStyle w:val="TDC2"/>
        <w:rPr>
          <w:rFonts w:eastAsiaTheme="minorEastAsia" w:cstheme="minorBidi"/>
          <w:b w:val="0"/>
          <w:smallCaps w:val="0"/>
          <w:szCs w:val="22"/>
          <w:lang w:val="es-MX" w:eastAsia="es-MX"/>
        </w:rPr>
      </w:pPr>
      <w:hyperlink w:anchor="_Toc518031983" w:history="1">
        <w:r w:rsidR="00726AA1" w:rsidRPr="00E040AB">
          <w:rPr>
            <w:rStyle w:val="Hipervnculo"/>
            <w:szCs w:val="22"/>
          </w:rPr>
          <w:t>5.1.1</w:t>
        </w:r>
        <w:r w:rsidR="00726AA1" w:rsidRPr="00E040AB">
          <w:rPr>
            <w:rFonts w:eastAsiaTheme="minorEastAsia" w:cstheme="minorBidi"/>
            <w:b w:val="0"/>
            <w:smallCaps w:val="0"/>
            <w:szCs w:val="22"/>
            <w:lang w:val="es-MX" w:eastAsia="es-MX"/>
          </w:rPr>
          <w:tab/>
        </w:r>
        <w:r w:rsidR="00726AA1" w:rsidRPr="00E040AB">
          <w:rPr>
            <w:rStyle w:val="Hipervnculo"/>
            <w:szCs w:val="22"/>
          </w:rPr>
          <w:t>Premisas e Implicaciones del Servicio.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_Toc518031983 \h </w:instrText>
        </w:r>
        <w:r w:rsidR="00726AA1" w:rsidRPr="00E040AB">
          <w:rPr>
            <w:webHidden/>
            <w:szCs w:val="22"/>
          </w:rPr>
        </w:r>
        <w:r w:rsidR="00726AA1" w:rsidRPr="00E040AB">
          <w:rPr>
            <w:webHidden/>
            <w:szCs w:val="22"/>
          </w:rPr>
          <w:fldChar w:fldCharType="separate"/>
        </w:r>
        <w:r w:rsidR="00726AA1" w:rsidRPr="00E040AB">
          <w:rPr>
            <w:webHidden/>
            <w:szCs w:val="22"/>
          </w:rPr>
          <w:t>86</w:t>
        </w:r>
        <w:r w:rsidR="00726AA1" w:rsidRPr="00E040AB">
          <w:rPr>
            <w:webHidden/>
            <w:szCs w:val="22"/>
          </w:rPr>
          <w:fldChar w:fldCharType="end"/>
        </w:r>
      </w:hyperlink>
    </w:p>
    <w:p w14:paraId="774DAAD0" w14:textId="79EB1A17" w:rsidR="00726AA1" w:rsidRPr="00E040AB" w:rsidRDefault="00AA13B3">
      <w:pPr>
        <w:pStyle w:val="TDC2"/>
        <w:rPr>
          <w:rFonts w:eastAsiaTheme="minorEastAsia" w:cstheme="minorBidi"/>
          <w:b w:val="0"/>
          <w:smallCaps w:val="0"/>
          <w:szCs w:val="22"/>
          <w:lang w:val="es-MX" w:eastAsia="es-MX"/>
        </w:rPr>
      </w:pPr>
      <w:hyperlink w:anchor="_Toc518031984" w:history="1">
        <w:r w:rsidR="00726AA1" w:rsidRPr="00E040AB">
          <w:rPr>
            <w:rStyle w:val="Hipervnculo"/>
            <w:szCs w:val="22"/>
          </w:rPr>
          <w:t>5.1.2</w:t>
        </w:r>
        <w:r w:rsidR="00726AA1" w:rsidRPr="00E040AB">
          <w:rPr>
            <w:rFonts w:eastAsiaTheme="minorEastAsia" w:cstheme="minorBidi"/>
            <w:b w:val="0"/>
            <w:smallCaps w:val="0"/>
            <w:szCs w:val="22"/>
            <w:lang w:val="es-MX" w:eastAsia="es-MX"/>
          </w:rPr>
          <w:tab/>
        </w:r>
        <w:r w:rsidR="00726AA1" w:rsidRPr="00E040AB">
          <w:rPr>
            <w:rStyle w:val="Hipervnculo"/>
            <w:szCs w:val="22"/>
          </w:rPr>
          <w:t>Arquitectura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_Toc518031984 \h </w:instrText>
        </w:r>
        <w:r w:rsidR="00726AA1" w:rsidRPr="00E040AB">
          <w:rPr>
            <w:webHidden/>
            <w:szCs w:val="22"/>
          </w:rPr>
        </w:r>
        <w:r w:rsidR="00726AA1" w:rsidRPr="00E040AB">
          <w:rPr>
            <w:webHidden/>
            <w:szCs w:val="22"/>
          </w:rPr>
          <w:fldChar w:fldCharType="separate"/>
        </w:r>
        <w:r w:rsidR="00726AA1" w:rsidRPr="00E040AB">
          <w:rPr>
            <w:webHidden/>
            <w:szCs w:val="22"/>
          </w:rPr>
          <w:t>88</w:t>
        </w:r>
        <w:r w:rsidR="00726AA1" w:rsidRPr="00E040AB">
          <w:rPr>
            <w:webHidden/>
            <w:szCs w:val="22"/>
          </w:rPr>
          <w:fldChar w:fldCharType="end"/>
        </w:r>
      </w:hyperlink>
    </w:p>
    <w:p w14:paraId="799EE0CD" w14:textId="6DBFC463" w:rsidR="00726AA1" w:rsidRPr="00E040AB" w:rsidRDefault="00AA13B3">
      <w:pPr>
        <w:pStyle w:val="TDC2"/>
        <w:rPr>
          <w:rFonts w:eastAsiaTheme="minorEastAsia" w:cstheme="minorBidi"/>
          <w:b w:val="0"/>
          <w:smallCaps w:val="0"/>
          <w:szCs w:val="22"/>
          <w:lang w:val="es-MX" w:eastAsia="es-MX"/>
        </w:rPr>
      </w:pPr>
      <w:hyperlink w:anchor="_Toc518031985" w:history="1">
        <w:r w:rsidR="00726AA1" w:rsidRPr="00E040AB">
          <w:rPr>
            <w:rStyle w:val="Hipervnculo"/>
            <w:szCs w:val="22"/>
          </w:rPr>
          <w:t>5.1.3</w:t>
        </w:r>
        <w:r w:rsidR="00726AA1" w:rsidRPr="00E040AB">
          <w:rPr>
            <w:rFonts w:eastAsiaTheme="minorEastAsia" w:cstheme="minorBidi"/>
            <w:b w:val="0"/>
            <w:smallCaps w:val="0"/>
            <w:szCs w:val="22"/>
            <w:lang w:val="es-MX" w:eastAsia="es-MX"/>
          </w:rPr>
          <w:tab/>
        </w:r>
        <w:r w:rsidR="00726AA1" w:rsidRPr="00E040AB">
          <w:rPr>
            <w:rStyle w:val="Hipervnculo"/>
            <w:szCs w:val="22"/>
          </w:rPr>
          <w:t>Características técnicas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_Toc518031985 \h </w:instrText>
        </w:r>
        <w:r w:rsidR="00726AA1" w:rsidRPr="00E040AB">
          <w:rPr>
            <w:webHidden/>
            <w:szCs w:val="22"/>
          </w:rPr>
        </w:r>
        <w:r w:rsidR="00726AA1" w:rsidRPr="00E040AB">
          <w:rPr>
            <w:webHidden/>
            <w:szCs w:val="22"/>
          </w:rPr>
          <w:fldChar w:fldCharType="separate"/>
        </w:r>
        <w:r w:rsidR="00726AA1" w:rsidRPr="00E040AB">
          <w:rPr>
            <w:webHidden/>
            <w:szCs w:val="22"/>
          </w:rPr>
          <w:t>90</w:t>
        </w:r>
        <w:r w:rsidR="00726AA1" w:rsidRPr="00E040AB">
          <w:rPr>
            <w:webHidden/>
            <w:szCs w:val="22"/>
          </w:rPr>
          <w:fldChar w:fldCharType="end"/>
        </w:r>
      </w:hyperlink>
    </w:p>
    <w:p w14:paraId="5F230066" w14:textId="0033F769" w:rsidR="00726AA1" w:rsidRPr="00E040AB" w:rsidRDefault="00AA13B3">
      <w:pPr>
        <w:pStyle w:val="TDC2"/>
        <w:rPr>
          <w:rFonts w:eastAsiaTheme="minorEastAsia" w:cstheme="minorBidi"/>
          <w:b w:val="0"/>
          <w:smallCaps w:val="0"/>
          <w:szCs w:val="22"/>
          <w:lang w:val="es-MX" w:eastAsia="es-MX"/>
        </w:rPr>
      </w:pPr>
      <w:hyperlink w:anchor="_Toc518031986" w:history="1">
        <w:r w:rsidR="00726AA1" w:rsidRPr="00E040AB">
          <w:rPr>
            <w:rStyle w:val="Hipervnculo"/>
            <w:szCs w:val="22"/>
          </w:rPr>
          <w:t>5.1.4</w:t>
        </w:r>
        <w:r w:rsidR="00726AA1" w:rsidRPr="00E040AB">
          <w:rPr>
            <w:rFonts w:eastAsiaTheme="minorEastAsia" w:cstheme="minorBidi"/>
            <w:b w:val="0"/>
            <w:smallCaps w:val="0"/>
            <w:szCs w:val="22"/>
            <w:lang w:val="es-MX" w:eastAsia="es-MX"/>
          </w:rPr>
          <w:tab/>
        </w:r>
        <w:r w:rsidR="00726AA1" w:rsidRPr="00E040AB">
          <w:rPr>
            <w:rStyle w:val="Hipervnculo"/>
            <w:szCs w:val="22"/>
          </w:rPr>
          <w:t>Señalización e identificación de códigos IDD e IDO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_Toc518031986 \h </w:instrText>
        </w:r>
        <w:r w:rsidR="00726AA1" w:rsidRPr="00E040AB">
          <w:rPr>
            <w:webHidden/>
            <w:szCs w:val="22"/>
          </w:rPr>
        </w:r>
        <w:r w:rsidR="00726AA1" w:rsidRPr="00E040AB">
          <w:rPr>
            <w:webHidden/>
            <w:szCs w:val="22"/>
          </w:rPr>
          <w:fldChar w:fldCharType="separate"/>
        </w:r>
        <w:r w:rsidR="00726AA1" w:rsidRPr="00E040AB">
          <w:rPr>
            <w:webHidden/>
            <w:szCs w:val="22"/>
          </w:rPr>
          <w:t>91</w:t>
        </w:r>
        <w:r w:rsidR="00726AA1" w:rsidRPr="00E040AB">
          <w:rPr>
            <w:webHidden/>
            <w:szCs w:val="22"/>
          </w:rPr>
          <w:fldChar w:fldCharType="end"/>
        </w:r>
      </w:hyperlink>
    </w:p>
    <w:p w14:paraId="5CD3207F" w14:textId="719A1590" w:rsidR="00726AA1" w:rsidRPr="00E040AB" w:rsidRDefault="00AA13B3">
      <w:pPr>
        <w:pStyle w:val="TDC2"/>
        <w:rPr>
          <w:rFonts w:eastAsiaTheme="minorEastAsia" w:cstheme="minorBidi"/>
          <w:b w:val="0"/>
          <w:smallCaps w:val="0"/>
          <w:szCs w:val="22"/>
          <w:lang w:val="es-MX" w:eastAsia="es-MX"/>
        </w:rPr>
      </w:pPr>
      <w:hyperlink w:anchor="_Toc518031987" w:history="1">
        <w:r w:rsidR="00726AA1" w:rsidRPr="00E040AB">
          <w:rPr>
            <w:rStyle w:val="Hipervnculo"/>
            <w:szCs w:val="22"/>
          </w:rPr>
          <w:t>5.1.5</w:t>
        </w:r>
        <w:r w:rsidR="00726AA1" w:rsidRPr="00E040AB">
          <w:rPr>
            <w:rFonts w:eastAsiaTheme="minorEastAsia" w:cstheme="minorBidi"/>
            <w:b w:val="0"/>
            <w:smallCaps w:val="0"/>
            <w:szCs w:val="22"/>
            <w:lang w:val="es-MX" w:eastAsia="es-MX"/>
          </w:rPr>
          <w:tab/>
        </w:r>
        <w:r w:rsidR="00726AA1" w:rsidRPr="00E040AB">
          <w:rPr>
            <w:rStyle w:val="Hipervnculo"/>
            <w:szCs w:val="22"/>
          </w:rPr>
          <w:t>Lista de servicios digitales aplicables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_Toc518031987 \h </w:instrText>
        </w:r>
        <w:r w:rsidR="00726AA1" w:rsidRPr="00E040AB">
          <w:rPr>
            <w:webHidden/>
            <w:szCs w:val="22"/>
          </w:rPr>
        </w:r>
        <w:r w:rsidR="00726AA1" w:rsidRPr="00E040AB">
          <w:rPr>
            <w:webHidden/>
            <w:szCs w:val="22"/>
          </w:rPr>
          <w:fldChar w:fldCharType="separate"/>
        </w:r>
        <w:r w:rsidR="00726AA1" w:rsidRPr="00E040AB">
          <w:rPr>
            <w:webHidden/>
            <w:szCs w:val="22"/>
          </w:rPr>
          <w:t>93</w:t>
        </w:r>
        <w:r w:rsidR="00726AA1" w:rsidRPr="00E040AB">
          <w:rPr>
            <w:webHidden/>
            <w:szCs w:val="22"/>
          </w:rPr>
          <w:fldChar w:fldCharType="end"/>
        </w:r>
      </w:hyperlink>
    </w:p>
    <w:p w14:paraId="2A928101" w14:textId="29DF86DA" w:rsidR="00726AA1" w:rsidRPr="00E040AB" w:rsidRDefault="00AA13B3">
      <w:pPr>
        <w:pStyle w:val="TDC2"/>
        <w:rPr>
          <w:rFonts w:eastAsiaTheme="minorEastAsia" w:cstheme="minorBidi"/>
          <w:b w:val="0"/>
          <w:smallCaps w:val="0"/>
          <w:szCs w:val="22"/>
          <w:lang w:val="es-MX" w:eastAsia="es-MX"/>
        </w:rPr>
      </w:pPr>
      <w:hyperlink w:anchor="_Toc518031988" w:history="1">
        <w:r w:rsidR="00726AA1" w:rsidRPr="00E040AB">
          <w:rPr>
            <w:rStyle w:val="Hipervnculo"/>
            <w:szCs w:val="22"/>
          </w:rPr>
          <w:t>5.1.6</w:t>
        </w:r>
        <w:r w:rsidR="00726AA1" w:rsidRPr="00E040AB">
          <w:rPr>
            <w:rFonts w:eastAsiaTheme="minorEastAsia" w:cstheme="minorBidi"/>
            <w:b w:val="0"/>
            <w:smallCaps w:val="0"/>
            <w:szCs w:val="22"/>
            <w:lang w:val="es-MX" w:eastAsia="es-MX"/>
          </w:rPr>
          <w:tab/>
        </w:r>
        <w:r w:rsidR="00726AA1" w:rsidRPr="00E040AB">
          <w:rPr>
            <w:rStyle w:val="Hipervnculo"/>
            <w:szCs w:val="22"/>
          </w:rPr>
          <w:t>Interfaces de Usuario y de Red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_Toc518031988 \h </w:instrText>
        </w:r>
        <w:r w:rsidR="00726AA1" w:rsidRPr="00E040AB">
          <w:rPr>
            <w:webHidden/>
            <w:szCs w:val="22"/>
          </w:rPr>
        </w:r>
        <w:r w:rsidR="00726AA1" w:rsidRPr="00E040AB">
          <w:rPr>
            <w:webHidden/>
            <w:szCs w:val="22"/>
          </w:rPr>
          <w:fldChar w:fldCharType="separate"/>
        </w:r>
        <w:r w:rsidR="00726AA1" w:rsidRPr="00E040AB">
          <w:rPr>
            <w:webHidden/>
            <w:szCs w:val="22"/>
          </w:rPr>
          <w:t>93</w:t>
        </w:r>
        <w:r w:rsidR="00726AA1" w:rsidRPr="00E040AB">
          <w:rPr>
            <w:webHidden/>
            <w:szCs w:val="22"/>
          </w:rPr>
          <w:fldChar w:fldCharType="end"/>
        </w:r>
      </w:hyperlink>
    </w:p>
    <w:p w14:paraId="516BC72C" w14:textId="6EE28AFE" w:rsidR="00726AA1" w:rsidRPr="00E040AB" w:rsidRDefault="00AA13B3">
      <w:pPr>
        <w:pStyle w:val="TDC2"/>
        <w:rPr>
          <w:rFonts w:eastAsiaTheme="minorEastAsia" w:cstheme="minorBidi"/>
          <w:b w:val="0"/>
          <w:smallCaps w:val="0"/>
          <w:szCs w:val="22"/>
          <w:lang w:val="es-MX" w:eastAsia="es-MX"/>
        </w:rPr>
      </w:pPr>
      <w:hyperlink w:anchor="_Toc518031989" w:history="1">
        <w:r w:rsidR="00726AA1" w:rsidRPr="00E040AB">
          <w:rPr>
            <w:rStyle w:val="Hipervnculo"/>
            <w:szCs w:val="22"/>
          </w:rPr>
          <w:t>5.1.7</w:t>
        </w:r>
        <w:r w:rsidR="00726AA1" w:rsidRPr="00E040AB">
          <w:rPr>
            <w:rFonts w:eastAsiaTheme="minorEastAsia" w:cstheme="minorBidi"/>
            <w:b w:val="0"/>
            <w:smallCaps w:val="0"/>
            <w:szCs w:val="22"/>
            <w:lang w:val="es-MX" w:eastAsia="es-MX"/>
          </w:rPr>
          <w:tab/>
        </w:r>
        <w:r w:rsidR="00726AA1" w:rsidRPr="00E040AB">
          <w:rPr>
            <w:rStyle w:val="Hipervnculo"/>
            <w:szCs w:val="22"/>
          </w:rPr>
          <w:t>Otros aspectos del servicio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_Toc518031989 \h </w:instrText>
        </w:r>
        <w:r w:rsidR="00726AA1" w:rsidRPr="00E040AB">
          <w:rPr>
            <w:webHidden/>
            <w:szCs w:val="22"/>
          </w:rPr>
        </w:r>
        <w:r w:rsidR="00726AA1" w:rsidRPr="00E040AB">
          <w:rPr>
            <w:webHidden/>
            <w:szCs w:val="22"/>
          </w:rPr>
          <w:fldChar w:fldCharType="separate"/>
        </w:r>
        <w:r w:rsidR="00726AA1" w:rsidRPr="00E040AB">
          <w:rPr>
            <w:webHidden/>
            <w:szCs w:val="22"/>
          </w:rPr>
          <w:t>93</w:t>
        </w:r>
        <w:r w:rsidR="00726AA1" w:rsidRPr="00E040AB">
          <w:rPr>
            <w:webHidden/>
            <w:szCs w:val="22"/>
          </w:rPr>
          <w:fldChar w:fldCharType="end"/>
        </w:r>
      </w:hyperlink>
    </w:p>
    <w:p w14:paraId="2EC4CB96" w14:textId="5639ABB5" w:rsidR="00726AA1" w:rsidRPr="00E040AB" w:rsidRDefault="00AA13B3">
      <w:pPr>
        <w:pStyle w:val="TDC2"/>
        <w:rPr>
          <w:rFonts w:eastAsiaTheme="minorEastAsia" w:cstheme="minorBidi"/>
          <w:b w:val="0"/>
          <w:smallCaps w:val="0"/>
          <w:szCs w:val="22"/>
          <w:lang w:val="es-MX" w:eastAsia="es-MX"/>
        </w:rPr>
      </w:pPr>
      <w:hyperlink w:anchor="_Toc518031990" w:history="1">
        <w:r w:rsidR="00726AA1" w:rsidRPr="00E040AB">
          <w:rPr>
            <w:rStyle w:val="Hipervnculo"/>
            <w:szCs w:val="22"/>
          </w:rPr>
          <w:t>5.2</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del SRMLT</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_Toc518031990 \h </w:instrText>
        </w:r>
        <w:r w:rsidR="00726AA1" w:rsidRPr="00E040AB">
          <w:rPr>
            <w:webHidden/>
            <w:szCs w:val="22"/>
          </w:rPr>
        </w:r>
        <w:r w:rsidR="00726AA1" w:rsidRPr="00E040AB">
          <w:rPr>
            <w:webHidden/>
            <w:szCs w:val="22"/>
          </w:rPr>
          <w:fldChar w:fldCharType="separate"/>
        </w:r>
        <w:r w:rsidR="00726AA1" w:rsidRPr="00E040AB">
          <w:rPr>
            <w:webHidden/>
            <w:szCs w:val="22"/>
          </w:rPr>
          <w:t>94</w:t>
        </w:r>
        <w:r w:rsidR="00726AA1" w:rsidRPr="00E040AB">
          <w:rPr>
            <w:webHidden/>
            <w:szCs w:val="22"/>
          </w:rPr>
          <w:fldChar w:fldCharType="end"/>
        </w:r>
      </w:hyperlink>
    </w:p>
    <w:p w14:paraId="4EC302D9" w14:textId="78928F79" w:rsidR="00726AA1" w:rsidRPr="00E040AB" w:rsidRDefault="00AA13B3">
      <w:pPr>
        <w:pStyle w:val="TDC2"/>
        <w:rPr>
          <w:rFonts w:eastAsiaTheme="minorEastAsia" w:cstheme="minorBidi"/>
          <w:b w:val="0"/>
          <w:smallCaps w:val="0"/>
          <w:szCs w:val="22"/>
          <w:lang w:val="es-MX" w:eastAsia="es-MX"/>
        </w:rPr>
      </w:pPr>
      <w:hyperlink w:anchor="_Toc518031991" w:history="1">
        <w:r w:rsidR="00726AA1" w:rsidRPr="00E040AB">
          <w:rPr>
            <w:rStyle w:val="Hipervnculo"/>
            <w:szCs w:val="22"/>
          </w:rPr>
          <w:t>5.3</w:t>
        </w:r>
        <w:r w:rsidR="00726AA1" w:rsidRPr="00E040AB">
          <w:rPr>
            <w:rFonts w:eastAsiaTheme="minorEastAsia" w:cstheme="minorBidi"/>
            <w:b w:val="0"/>
            <w:smallCaps w:val="0"/>
            <w:szCs w:val="22"/>
            <w:lang w:val="es-MX" w:eastAsia="es-MX"/>
          </w:rPr>
          <w:tab/>
        </w:r>
        <w:r w:rsidR="00726AA1" w:rsidRPr="00E040AB">
          <w:rPr>
            <w:rStyle w:val="Hipervnculo"/>
            <w:szCs w:val="22"/>
          </w:rPr>
          <w:t>Parámetros de Calidad de SRMLT</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_Toc518031991 \h </w:instrText>
        </w:r>
        <w:r w:rsidR="00726AA1" w:rsidRPr="00E040AB">
          <w:rPr>
            <w:webHidden/>
            <w:szCs w:val="22"/>
          </w:rPr>
        </w:r>
        <w:r w:rsidR="00726AA1" w:rsidRPr="00E040AB">
          <w:rPr>
            <w:webHidden/>
            <w:szCs w:val="22"/>
          </w:rPr>
          <w:fldChar w:fldCharType="separate"/>
        </w:r>
        <w:r w:rsidR="00726AA1" w:rsidRPr="00E040AB">
          <w:rPr>
            <w:webHidden/>
            <w:szCs w:val="22"/>
          </w:rPr>
          <w:t>101</w:t>
        </w:r>
        <w:r w:rsidR="00726AA1" w:rsidRPr="00E040AB">
          <w:rPr>
            <w:webHidden/>
            <w:szCs w:val="22"/>
          </w:rPr>
          <w:fldChar w:fldCharType="end"/>
        </w:r>
      </w:hyperlink>
    </w:p>
    <w:p w14:paraId="2A511201" w14:textId="74ADBDEE"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1992" w:history="1">
        <w:r w:rsidR="00726AA1" w:rsidRPr="00E040AB">
          <w:rPr>
            <w:rStyle w:val="Hipervnculo"/>
            <w:rFonts w:asciiTheme="minorHAnsi" w:hAnsiTheme="minorHAnsi"/>
            <w:sz w:val="22"/>
            <w:szCs w:val="22"/>
          </w:rPr>
          <w:t>6.</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Servicio de Acceso Indirecto al Bucle</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_Toc518031992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104</w:t>
        </w:r>
        <w:r w:rsidR="00726AA1" w:rsidRPr="00E040AB">
          <w:rPr>
            <w:rFonts w:asciiTheme="minorHAnsi" w:hAnsiTheme="minorHAnsi"/>
            <w:webHidden/>
            <w:sz w:val="22"/>
            <w:szCs w:val="22"/>
          </w:rPr>
          <w:fldChar w:fldCharType="end"/>
        </w:r>
      </w:hyperlink>
    </w:p>
    <w:p w14:paraId="032C7BAC" w14:textId="41EDD014" w:rsidR="00726AA1" w:rsidRPr="00E040AB" w:rsidRDefault="00AA13B3">
      <w:pPr>
        <w:pStyle w:val="TDC2"/>
        <w:rPr>
          <w:rFonts w:eastAsiaTheme="minorEastAsia" w:cstheme="minorBidi"/>
          <w:b w:val="0"/>
          <w:smallCaps w:val="0"/>
          <w:szCs w:val="22"/>
          <w:lang w:val="es-MX" w:eastAsia="es-MX"/>
        </w:rPr>
      </w:pPr>
      <w:hyperlink w:anchor="_Toc518031993" w:history="1">
        <w:r w:rsidR="00726AA1" w:rsidRPr="00E040AB">
          <w:rPr>
            <w:rStyle w:val="Hipervnculo"/>
            <w:szCs w:val="22"/>
          </w:rPr>
          <w:t>6.1</w:t>
        </w:r>
        <w:r w:rsidR="00726AA1" w:rsidRPr="00E040AB">
          <w:rPr>
            <w:rFonts w:eastAsiaTheme="minorEastAsia" w:cstheme="minorBidi"/>
            <w:b w:val="0"/>
            <w:smallCaps w:val="0"/>
            <w:szCs w:val="22"/>
            <w:lang w:val="es-MX" w:eastAsia="es-MX"/>
          </w:rPr>
          <w:tab/>
        </w:r>
        <w:r w:rsidR="00726AA1" w:rsidRPr="00E040AB">
          <w:rPr>
            <w:rStyle w:val="Hipervnculo"/>
            <w:szCs w:val="22"/>
          </w:rPr>
          <w:t>Descripción del Servicio de Acceso Indirecto al Bucle</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_Toc518031993 \h </w:instrText>
        </w:r>
        <w:r w:rsidR="00726AA1" w:rsidRPr="00E040AB">
          <w:rPr>
            <w:webHidden/>
            <w:szCs w:val="22"/>
          </w:rPr>
        </w:r>
        <w:r w:rsidR="00726AA1" w:rsidRPr="00E040AB">
          <w:rPr>
            <w:webHidden/>
            <w:szCs w:val="22"/>
          </w:rPr>
          <w:fldChar w:fldCharType="separate"/>
        </w:r>
        <w:r w:rsidR="00726AA1" w:rsidRPr="00E040AB">
          <w:rPr>
            <w:webHidden/>
            <w:szCs w:val="22"/>
          </w:rPr>
          <w:t>104</w:t>
        </w:r>
        <w:r w:rsidR="00726AA1" w:rsidRPr="00E040AB">
          <w:rPr>
            <w:webHidden/>
            <w:szCs w:val="22"/>
          </w:rPr>
          <w:fldChar w:fldCharType="end"/>
        </w:r>
      </w:hyperlink>
    </w:p>
    <w:p w14:paraId="5C9117A6" w14:textId="63F8CE1E" w:rsidR="00726AA1" w:rsidRPr="00E040AB" w:rsidRDefault="00AA13B3">
      <w:pPr>
        <w:pStyle w:val="TDC2"/>
        <w:rPr>
          <w:rFonts w:eastAsiaTheme="minorEastAsia" w:cstheme="minorBidi"/>
          <w:b w:val="0"/>
          <w:smallCaps w:val="0"/>
          <w:szCs w:val="22"/>
          <w:lang w:val="es-MX" w:eastAsia="es-MX"/>
        </w:rPr>
      </w:pPr>
      <w:hyperlink w:anchor="_Toc518031994" w:history="1">
        <w:r w:rsidR="00726AA1" w:rsidRPr="00E040AB">
          <w:rPr>
            <w:rStyle w:val="Hipervnculo"/>
            <w:szCs w:val="22"/>
          </w:rPr>
          <w:t>6.2</w:t>
        </w:r>
        <w:r w:rsidR="00726AA1" w:rsidRPr="00E040AB">
          <w:rPr>
            <w:rFonts w:eastAsiaTheme="minorEastAsia" w:cstheme="minorBidi"/>
            <w:b w:val="0"/>
            <w:smallCaps w:val="0"/>
            <w:szCs w:val="22"/>
            <w:lang w:val="es-MX" w:eastAsia="es-MX"/>
          </w:rPr>
          <w:tab/>
        </w:r>
        <w:r w:rsidR="00726AA1" w:rsidRPr="00E040AB">
          <w:rPr>
            <w:rStyle w:val="Hipervnculo"/>
            <w:szCs w:val="22"/>
          </w:rPr>
          <w:t>Módem y ONT del usuario final para SAIB</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_Toc518031994 \h </w:instrText>
        </w:r>
        <w:r w:rsidR="00726AA1" w:rsidRPr="00E040AB">
          <w:rPr>
            <w:webHidden/>
            <w:szCs w:val="22"/>
          </w:rPr>
        </w:r>
        <w:r w:rsidR="00726AA1" w:rsidRPr="00E040AB">
          <w:rPr>
            <w:webHidden/>
            <w:szCs w:val="22"/>
          </w:rPr>
          <w:fldChar w:fldCharType="separate"/>
        </w:r>
        <w:r w:rsidR="00726AA1" w:rsidRPr="00E040AB">
          <w:rPr>
            <w:webHidden/>
            <w:szCs w:val="22"/>
          </w:rPr>
          <w:t>109</w:t>
        </w:r>
        <w:r w:rsidR="00726AA1" w:rsidRPr="00E040AB">
          <w:rPr>
            <w:webHidden/>
            <w:szCs w:val="22"/>
          </w:rPr>
          <w:fldChar w:fldCharType="end"/>
        </w:r>
      </w:hyperlink>
    </w:p>
    <w:p w14:paraId="454534EA" w14:textId="0D52A85F" w:rsidR="00726AA1" w:rsidRPr="00E040AB" w:rsidRDefault="00AA13B3">
      <w:pPr>
        <w:pStyle w:val="TDC2"/>
        <w:rPr>
          <w:rFonts w:eastAsiaTheme="minorEastAsia" w:cstheme="minorBidi"/>
          <w:b w:val="0"/>
          <w:smallCaps w:val="0"/>
          <w:szCs w:val="22"/>
          <w:lang w:val="es-MX" w:eastAsia="es-MX"/>
        </w:rPr>
      </w:pPr>
      <w:hyperlink w:anchor="_Toc518031995" w:history="1">
        <w:r w:rsidR="00726AA1" w:rsidRPr="00E040AB">
          <w:rPr>
            <w:rStyle w:val="Hipervnculo"/>
            <w:szCs w:val="22"/>
          </w:rPr>
          <w:t>6.3</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del SAIB.</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_Toc518031995 \h </w:instrText>
        </w:r>
        <w:r w:rsidR="00726AA1" w:rsidRPr="00E040AB">
          <w:rPr>
            <w:webHidden/>
            <w:szCs w:val="22"/>
          </w:rPr>
        </w:r>
        <w:r w:rsidR="00726AA1" w:rsidRPr="00E040AB">
          <w:rPr>
            <w:webHidden/>
            <w:szCs w:val="22"/>
          </w:rPr>
          <w:fldChar w:fldCharType="separate"/>
        </w:r>
        <w:r w:rsidR="00726AA1" w:rsidRPr="00E040AB">
          <w:rPr>
            <w:webHidden/>
            <w:szCs w:val="22"/>
          </w:rPr>
          <w:t>116</w:t>
        </w:r>
        <w:r w:rsidR="00726AA1" w:rsidRPr="00E040AB">
          <w:rPr>
            <w:webHidden/>
            <w:szCs w:val="22"/>
          </w:rPr>
          <w:fldChar w:fldCharType="end"/>
        </w:r>
      </w:hyperlink>
    </w:p>
    <w:p w14:paraId="0B0BDE49" w14:textId="6CD3FD2C" w:rsidR="00726AA1" w:rsidRPr="00E040AB" w:rsidRDefault="00AA13B3">
      <w:pPr>
        <w:pStyle w:val="TDC2"/>
        <w:rPr>
          <w:rFonts w:eastAsiaTheme="minorEastAsia" w:cstheme="minorBidi"/>
          <w:b w:val="0"/>
          <w:smallCaps w:val="0"/>
          <w:szCs w:val="22"/>
          <w:lang w:val="es-MX" w:eastAsia="es-MX"/>
        </w:rPr>
      </w:pPr>
      <w:hyperlink w:anchor="_Toc518031996" w:history="1">
        <w:r w:rsidR="00726AA1" w:rsidRPr="00E040AB">
          <w:rPr>
            <w:rStyle w:val="Hipervnculo"/>
            <w:szCs w:val="22"/>
          </w:rPr>
          <w:t>6.4</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 SAIB.</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_Toc518031996 \h </w:instrText>
        </w:r>
        <w:r w:rsidR="00726AA1" w:rsidRPr="00E040AB">
          <w:rPr>
            <w:webHidden/>
            <w:szCs w:val="22"/>
          </w:rPr>
        </w:r>
        <w:r w:rsidR="00726AA1" w:rsidRPr="00E040AB">
          <w:rPr>
            <w:webHidden/>
            <w:szCs w:val="22"/>
          </w:rPr>
          <w:fldChar w:fldCharType="separate"/>
        </w:r>
        <w:r w:rsidR="00726AA1" w:rsidRPr="00E040AB">
          <w:rPr>
            <w:webHidden/>
            <w:szCs w:val="22"/>
          </w:rPr>
          <w:t>125</w:t>
        </w:r>
        <w:r w:rsidR="00726AA1" w:rsidRPr="00E040AB">
          <w:rPr>
            <w:webHidden/>
            <w:szCs w:val="22"/>
          </w:rPr>
          <w:fldChar w:fldCharType="end"/>
        </w:r>
      </w:hyperlink>
    </w:p>
    <w:p w14:paraId="615B51DC" w14:textId="481EC4E2" w:rsidR="00726AA1" w:rsidRPr="00E040AB" w:rsidRDefault="00AA13B3">
      <w:pPr>
        <w:pStyle w:val="TDC2"/>
        <w:rPr>
          <w:rFonts w:eastAsiaTheme="minorEastAsia" w:cstheme="minorBidi"/>
          <w:b w:val="0"/>
          <w:smallCaps w:val="0"/>
          <w:szCs w:val="22"/>
          <w:lang w:val="es-MX" w:eastAsia="es-MX"/>
        </w:rPr>
      </w:pPr>
      <w:hyperlink w:anchor="_Toc518031997" w:history="1">
        <w:r w:rsidR="00726AA1" w:rsidRPr="00E040AB">
          <w:rPr>
            <w:rStyle w:val="Hipervnculo"/>
            <w:szCs w:val="22"/>
          </w:rPr>
          <w:t>6.5</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para SAIB</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_Toc518031997 \h </w:instrText>
        </w:r>
        <w:r w:rsidR="00726AA1" w:rsidRPr="00E040AB">
          <w:rPr>
            <w:webHidden/>
            <w:szCs w:val="22"/>
          </w:rPr>
        </w:r>
        <w:r w:rsidR="00726AA1" w:rsidRPr="00E040AB">
          <w:rPr>
            <w:webHidden/>
            <w:szCs w:val="22"/>
          </w:rPr>
          <w:fldChar w:fldCharType="separate"/>
        </w:r>
        <w:r w:rsidR="00726AA1" w:rsidRPr="00E040AB">
          <w:rPr>
            <w:webHidden/>
            <w:szCs w:val="22"/>
          </w:rPr>
          <w:t>126</w:t>
        </w:r>
        <w:r w:rsidR="00726AA1" w:rsidRPr="00E040AB">
          <w:rPr>
            <w:webHidden/>
            <w:szCs w:val="22"/>
          </w:rPr>
          <w:fldChar w:fldCharType="end"/>
        </w:r>
      </w:hyperlink>
    </w:p>
    <w:p w14:paraId="07605FBC" w14:textId="49AA6C15" w:rsidR="00726AA1" w:rsidRPr="00E040AB" w:rsidRDefault="00AA13B3">
      <w:pPr>
        <w:pStyle w:val="TDC2"/>
        <w:rPr>
          <w:rFonts w:eastAsiaTheme="minorEastAsia" w:cstheme="minorBidi"/>
          <w:b w:val="0"/>
          <w:smallCaps w:val="0"/>
          <w:szCs w:val="22"/>
          <w:lang w:val="es-MX" w:eastAsia="es-MX"/>
        </w:rPr>
      </w:pPr>
      <w:hyperlink w:anchor="_Toc518031998" w:history="1">
        <w:r w:rsidR="00726AA1" w:rsidRPr="00E040AB">
          <w:rPr>
            <w:rStyle w:val="Hipervnculo"/>
            <w:szCs w:val="22"/>
          </w:rPr>
          <w:t>6.5.1</w:t>
        </w:r>
        <w:r w:rsidR="00726AA1" w:rsidRPr="00E040AB">
          <w:rPr>
            <w:rFonts w:eastAsiaTheme="minorEastAsia" w:cstheme="minorBidi"/>
            <w:b w:val="0"/>
            <w:smallCaps w:val="0"/>
            <w:szCs w:val="22"/>
            <w:lang w:val="es-MX" w:eastAsia="es-MX"/>
          </w:rPr>
          <w:tab/>
        </w:r>
        <w:r w:rsidR="00726AA1" w:rsidRPr="00E040AB">
          <w:rPr>
            <w:rStyle w:val="Hipervnculo"/>
            <w:szCs w:val="22"/>
          </w:rPr>
          <w:t>Propuesta de mejora de parámetros de calidad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_Toc518031998 \h </w:instrText>
        </w:r>
        <w:r w:rsidR="00726AA1" w:rsidRPr="00E040AB">
          <w:rPr>
            <w:webHidden/>
            <w:szCs w:val="22"/>
          </w:rPr>
        </w:r>
        <w:r w:rsidR="00726AA1" w:rsidRPr="00E040AB">
          <w:rPr>
            <w:webHidden/>
            <w:szCs w:val="22"/>
          </w:rPr>
          <w:fldChar w:fldCharType="separate"/>
        </w:r>
        <w:r w:rsidR="00726AA1" w:rsidRPr="00E040AB">
          <w:rPr>
            <w:webHidden/>
            <w:szCs w:val="22"/>
          </w:rPr>
          <w:t>129</w:t>
        </w:r>
        <w:r w:rsidR="00726AA1" w:rsidRPr="00E040AB">
          <w:rPr>
            <w:webHidden/>
            <w:szCs w:val="22"/>
          </w:rPr>
          <w:fldChar w:fldCharType="end"/>
        </w:r>
      </w:hyperlink>
    </w:p>
    <w:p w14:paraId="1745579C" w14:textId="74575485" w:rsidR="00726AA1" w:rsidRPr="00E040AB" w:rsidRDefault="00AA13B3">
      <w:pPr>
        <w:pStyle w:val="TDC2"/>
        <w:rPr>
          <w:rFonts w:eastAsiaTheme="minorEastAsia" w:cstheme="minorBidi"/>
          <w:b w:val="0"/>
          <w:smallCaps w:val="0"/>
          <w:szCs w:val="22"/>
          <w:lang w:val="es-MX" w:eastAsia="es-MX"/>
        </w:rPr>
      </w:pPr>
      <w:hyperlink w:anchor="_Toc518031999" w:history="1">
        <w:r w:rsidR="00726AA1" w:rsidRPr="00E040AB">
          <w:rPr>
            <w:rStyle w:val="Hipervnculo"/>
            <w:szCs w:val="22"/>
          </w:rPr>
          <w:t>6.6</w:t>
        </w:r>
        <w:r w:rsidR="00726AA1" w:rsidRPr="00E040AB">
          <w:rPr>
            <w:rFonts w:eastAsiaTheme="minorEastAsia" w:cstheme="minorBidi"/>
            <w:b w:val="0"/>
            <w:smallCaps w:val="0"/>
            <w:szCs w:val="22"/>
            <w:lang w:val="es-MX" w:eastAsia="es-MX"/>
          </w:rPr>
          <w:tab/>
        </w:r>
        <w:r w:rsidR="00726AA1" w:rsidRPr="00E040AB">
          <w:rPr>
            <w:rStyle w:val="Hipervnculo"/>
            <w:szCs w:val="22"/>
          </w:rPr>
          <w:t>Procedimiento de pruebas de entrega del SAIB.</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_Toc518031999 \h </w:instrText>
        </w:r>
        <w:r w:rsidR="00726AA1" w:rsidRPr="00E040AB">
          <w:rPr>
            <w:webHidden/>
            <w:szCs w:val="22"/>
          </w:rPr>
        </w:r>
        <w:r w:rsidR="00726AA1" w:rsidRPr="00E040AB">
          <w:rPr>
            <w:webHidden/>
            <w:szCs w:val="22"/>
          </w:rPr>
          <w:fldChar w:fldCharType="separate"/>
        </w:r>
        <w:r w:rsidR="00726AA1" w:rsidRPr="00E040AB">
          <w:rPr>
            <w:webHidden/>
            <w:szCs w:val="22"/>
          </w:rPr>
          <w:t>129</w:t>
        </w:r>
        <w:r w:rsidR="00726AA1" w:rsidRPr="00E040AB">
          <w:rPr>
            <w:webHidden/>
            <w:szCs w:val="22"/>
          </w:rPr>
          <w:fldChar w:fldCharType="end"/>
        </w:r>
      </w:hyperlink>
    </w:p>
    <w:p w14:paraId="5A3ECADF" w14:textId="2F636A16" w:rsidR="00726AA1" w:rsidRPr="00E040AB" w:rsidRDefault="00AA13B3">
      <w:pPr>
        <w:pStyle w:val="TDC2"/>
        <w:rPr>
          <w:rFonts w:eastAsiaTheme="minorEastAsia" w:cstheme="minorBidi"/>
          <w:b w:val="0"/>
          <w:smallCaps w:val="0"/>
          <w:szCs w:val="22"/>
          <w:lang w:val="es-MX" w:eastAsia="es-MX"/>
        </w:rPr>
      </w:pPr>
      <w:hyperlink w:anchor="_Toc518032000" w:history="1">
        <w:r w:rsidR="00726AA1" w:rsidRPr="00E040AB">
          <w:rPr>
            <w:rStyle w:val="Hipervnculo"/>
            <w:szCs w:val="22"/>
          </w:rPr>
          <w:t>6.7</w:t>
        </w:r>
        <w:r w:rsidR="00726AA1" w:rsidRPr="00E040AB">
          <w:rPr>
            <w:rFonts w:eastAsiaTheme="minorEastAsia" w:cstheme="minorBidi"/>
            <w:b w:val="0"/>
            <w:smallCaps w:val="0"/>
            <w:szCs w:val="22"/>
            <w:lang w:val="es-MX" w:eastAsia="es-MX"/>
          </w:rPr>
          <w:tab/>
        </w:r>
        <w:r w:rsidR="00726AA1" w:rsidRPr="00E040AB">
          <w:rPr>
            <w:rStyle w:val="Hipervnculo"/>
            <w:szCs w:val="22"/>
          </w:rPr>
          <w:t>Puntos de Concentración para el SAIB a través del Servicio de Concentración y Distribución (SCyD)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_Toc518032000 \h </w:instrText>
        </w:r>
        <w:r w:rsidR="00726AA1" w:rsidRPr="00E040AB">
          <w:rPr>
            <w:webHidden/>
            <w:szCs w:val="22"/>
          </w:rPr>
        </w:r>
        <w:r w:rsidR="00726AA1" w:rsidRPr="00E040AB">
          <w:rPr>
            <w:webHidden/>
            <w:szCs w:val="22"/>
          </w:rPr>
          <w:fldChar w:fldCharType="separate"/>
        </w:r>
        <w:r w:rsidR="00726AA1" w:rsidRPr="00E040AB">
          <w:rPr>
            <w:webHidden/>
            <w:szCs w:val="22"/>
          </w:rPr>
          <w:t>130</w:t>
        </w:r>
        <w:r w:rsidR="00726AA1" w:rsidRPr="00E040AB">
          <w:rPr>
            <w:webHidden/>
            <w:szCs w:val="22"/>
          </w:rPr>
          <w:fldChar w:fldCharType="end"/>
        </w:r>
      </w:hyperlink>
    </w:p>
    <w:p w14:paraId="35F9A6A0" w14:textId="56CDF9E2" w:rsidR="00726AA1" w:rsidRPr="00E040AB" w:rsidRDefault="00AA13B3">
      <w:pPr>
        <w:pStyle w:val="TDC2"/>
        <w:rPr>
          <w:rFonts w:eastAsiaTheme="minorEastAsia" w:cstheme="minorBidi"/>
          <w:b w:val="0"/>
          <w:smallCaps w:val="0"/>
          <w:szCs w:val="22"/>
          <w:lang w:val="es-MX" w:eastAsia="es-MX"/>
        </w:rPr>
      </w:pPr>
      <w:hyperlink w:anchor="_Toc518032001" w:history="1">
        <w:r w:rsidR="00726AA1" w:rsidRPr="00E040AB">
          <w:rPr>
            <w:rStyle w:val="Hipervnculo"/>
            <w:szCs w:val="22"/>
          </w:rPr>
          <w:t>6.8</w:t>
        </w:r>
        <w:r w:rsidR="00726AA1" w:rsidRPr="00E040AB">
          <w:rPr>
            <w:rFonts w:eastAsiaTheme="minorEastAsia" w:cstheme="minorBidi"/>
            <w:b w:val="0"/>
            <w:smallCaps w:val="0"/>
            <w:szCs w:val="22"/>
            <w:lang w:val="es-MX" w:eastAsia="es-MX"/>
          </w:rPr>
          <w:tab/>
        </w:r>
        <w:r w:rsidR="00726AA1" w:rsidRPr="00E040AB">
          <w:rPr>
            <w:rStyle w:val="Hipervnculo"/>
            <w:szCs w:val="22"/>
          </w:rPr>
          <w:t>Servicio de Concentración y Distribución.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_Toc518032001 \h </w:instrText>
        </w:r>
        <w:r w:rsidR="00726AA1" w:rsidRPr="00E040AB">
          <w:rPr>
            <w:webHidden/>
            <w:szCs w:val="22"/>
          </w:rPr>
        </w:r>
        <w:r w:rsidR="00726AA1" w:rsidRPr="00E040AB">
          <w:rPr>
            <w:webHidden/>
            <w:szCs w:val="22"/>
          </w:rPr>
          <w:fldChar w:fldCharType="separate"/>
        </w:r>
        <w:r w:rsidR="00726AA1" w:rsidRPr="00E040AB">
          <w:rPr>
            <w:webHidden/>
            <w:szCs w:val="22"/>
          </w:rPr>
          <w:t>131</w:t>
        </w:r>
        <w:r w:rsidR="00726AA1" w:rsidRPr="00E040AB">
          <w:rPr>
            <w:webHidden/>
            <w:szCs w:val="22"/>
          </w:rPr>
          <w:fldChar w:fldCharType="end"/>
        </w:r>
      </w:hyperlink>
    </w:p>
    <w:p w14:paraId="457A2B41" w14:textId="286D50ED" w:rsidR="00726AA1" w:rsidRPr="00E040AB" w:rsidRDefault="00AA13B3">
      <w:pPr>
        <w:pStyle w:val="TDC2"/>
        <w:rPr>
          <w:rFonts w:eastAsiaTheme="minorEastAsia" w:cstheme="minorBidi"/>
          <w:b w:val="0"/>
          <w:smallCaps w:val="0"/>
          <w:szCs w:val="22"/>
          <w:lang w:val="es-MX" w:eastAsia="es-MX"/>
        </w:rPr>
      </w:pPr>
      <w:hyperlink w:anchor="_Toc518032002" w:history="1">
        <w:r w:rsidR="00726AA1" w:rsidRPr="00E040AB">
          <w:rPr>
            <w:rStyle w:val="Hipervnculo"/>
            <w:szCs w:val="22"/>
          </w:rPr>
          <w:t>6.9</w:t>
        </w:r>
        <w:r w:rsidR="00726AA1" w:rsidRPr="00E040AB">
          <w:rPr>
            <w:rFonts w:eastAsiaTheme="minorEastAsia" w:cstheme="minorBidi"/>
            <w:b w:val="0"/>
            <w:smallCaps w:val="0"/>
            <w:szCs w:val="22"/>
            <w:lang w:val="es-MX" w:eastAsia="es-MX"/>
          </w:rPr>
          <w:tab/>
        </w:r>
        <w:r w:rsidR="00726AA1" w:rsidRPr="00E040AB">
          <w:rPr>
            <w:rStyle w:val="Hipervnculo"/>
            <w:szCs w:val="22"/>
          </w:rPr>
          <w:t>Servicio de Concentración y Distribución-Local.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_Toc518032002 \h </w:instrText>
        </w:r>
        <w:r w:rsidR="00726AA1" w:rsidRPr="00E040AB">
          <w:rPr>
            <w:webHidden/>
            <w:szCs w:val="22"/>
          </w:rPr>
        </w:r>
        <w:r w:rsidR="00726AA1" w:rsidRPr="00E040AB">
          <w:rPr>
            <w:webHidden/>
            <w:szCs w:val="22"/>
          </w:rPr>
          <w:fldChar w:fldCharType="separate"/>
        </w:r>
        <w:r w:rsidR="00726AA1" w:rsidRPr="00E040AB">
          <w:rPr>
            <w:webHidden/>
            <w:szCs w:val="22"/>
          </w:rPr>
          <w:t>134</w:t>
        </w:r>
        <w:r w:rsidR="00726AA1" w:rsidRPr="00E040AB">
          <w:rPr>
            <w:webHidden/>
            <w:szCs w:val="22"/>
          </w:rPr>
          <w:fldChar w:fldCharType="end"/>
        </w:r>
      </w:hyperlink>
    </w:p>
    <w:p w14:paraId="7ADA425D" w14:textId="31330517" w:rsidR="00726AA1" w:rsidRPr="00E040AB" w:rsidRDefault="00AA13B3">
      <w:pPr>
        <w:pStyle w:val="TDC2"/>
        <w:rPr>
          <w:rFonts w:eastAsiaTheme="minorEastAsia" w:cstheme="minorBidi"/>
          <w:b w:val="0"/>
          <w:smallCaps w:val="0"/>
          <w:szCs w:val="22"/>
          <w:lang w:val="es-MX" w:eastAsia="es-MX"/>
        </w:rPr>
      </w:pPr>
      <w:hyperlink w:anchor="_Toc518032003" w:history="1">
        <w:r w:rsidR="00726AA1" w:rsidRPr="00E040AB">
          <w:rPr>
            <w:rStyle w:val="Hipervnculo"/>
            <w:szCs w:val="22"/>
          </w:rPr>
          <w:t>6.10</w:t>
        </w:r>
        <w:r w:rsidR="00726AA1" w:rsidRPr="00E040AB">
          <w:rPr>
            <w:rFonts w:eastAsiaTheme="minorEastAsia" w:cstheme="minorBidi"/>
            <w:b w:val="0"/>
            <w:smallCaps w:val="0"/>
            <w:szCs w:val="22"/>
            <w:lang w:val="es-MX" w:eastAsia="es-MX"/>
          </w:rPr>
          <w:tab/>
        </w:r>
        <w:r w:rsidR="00726AA1" w:rsidRPr="00E040AB">
          <w:rPr>
            <w:rStyle w:val="Hipervnculo"/>
            <w:szCs w:val="22"/>
          </w:rPr>
          <w:t>Servicio de Concentración y Distribución-Regional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_Toc518032003 \h </w:instrText>
        </w:r>
        <w:r w:rsidR="00726AA1" w:rsidRPr="00E040AB">
          <w:rPr>
            <w:webHidden/>
            <w:szCs w:val="22"/>
          </w:rPr>
        </w:r>
        <w:r w:rsidR="00726AA1" w:rsidRPr="00E040AB">
          <w:rPr>
            <w:webHidden/>
            <w:szCs w:val="22"/>
          </w:rPr>
          <w:fldChar w:fldCharType="separate"/>
        </w:r>
        <w:r w:rsidR="00726AA1" w:rsidRPr="00E040AB">
          <w:rPr>
            <w:webHidden/>
            <w:szCs w:val="22"/>
          </w:rPr>
          <w:t>135</w:t>
        </w:r>
        <w:r w:rsidR="00726AA1" w:rsidRPr="00E040AB">
          <w:rPr>
            <w:webHidden/>
            <w:szCs w:val="22"/>
          </w:rPr>
          <w:fldChar w:fldCharType="end"/>
        </w:r>
      </w:hyperlink>
    </w:p>
    <w:p w14:paraId="2230DD40" w14:textId="2E675AB3" w:rsidR="00726AA1" w:rsidRPr="00E040AB" w:rsidRDefault="00AA13B3">
      <w:pPr>
        <w:pStyle w:val="TDC2"/>
        <w:rPr>
          <w:rFonts w:eastAsiaTheme="minorEastAsia" w:cstheme="minorBidi"/>
          <w:b w:val="0"/>
          <w:smallCaps w:val="0"/>
          <w:szCs w:val="22"/>
          <w:lang w:val="es-MX" w:eastAsia="es-MX"/>
        </w:rPr>
      </w:pPr>
      <w:hyperlink w:anchor="_Toc518032004" w:history="1">
        <w:r w:rsidR="00726AA1" w:rsidRPr="00E040AB">
          <w:rPr>
            <w:rStyle w:val="Hipervnculo"/>
            <w:szCs w:val="22"/>
          </w:rPr>
          <w:t>6.11</w:t>
        </w:r>
        <w:r w:rsidR="00726AA1" w:rsidRPr="00E040AB">
          <w:rPr>
            <w:rFonts w:eastAsiaTheme="minorEastAsia" w:cstheme="minorBidi"/>
            <w:b w:val="0"/>
            <w:smallCaps w:val="0"/>
            <w:szCs w:val="22"/>
            <w:lang w:val="es-MX" w:eastAsia="es-MX"/>
          </w:rPr>
          <w:tab/>
        </w:r>
        <w:r w:rsidR="00726AA1" w:rsidRPr="00E040AB">
          <w:rPr>
            <w:rStyle w:val="Hipervnculo"/>
            <w:szCs w:val="22"/>
          </w:rPr>
          <w:t>Servicio de Concentración y Distribución-Nacional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_Toc518032004 \h </w:instrText>
        </w:r>
        <w:r w:rsidR="00726AA1" w:rsidRPr="00E040AB">
          <w:rPr>
            <w:webHidden/>
            <w:szCs w:val="22"/>
          </w:rPr>
        </w:r>
        <w:r w:rsidR="00726AA1" w:rsidRPr="00E040AB">
          <w:rPr>
            <w:webHidden/>
            <w:szCs w:val="22"/>
          </w:rPr>
          <w:fldChar w:fldCharType="separate"/>
        </w:r>
        <w:r w:rsidR="00726AA1" w:rsidRPr="00E040AB">
          <w:rPr>
            <w:webHidden/>
            <w:szCs w:val="22"/>
          </w:rPr>
          <w:t>136</w:t>
        </w:r>
        <w:r w:rsidR="00726AA1" w:rsidRPr="00E040AB">
          <w:rPr>
            <w:webHidden/>
            <w:szCs w:val="22"/>
          </w:rPr>
          <w:fldChar w:fldCharType="end"/>
        </w:r>
      </w:hyperlink>
    </w:p>
    <w:p w14:paraId="47A4B6A4" w14:textId="0ED989D9" w:rsidR="00726AA1" w:rsidRPr="00E040AB" w:rsidRDefault="00AA13B3">
      <w:pPr>
        <w:pStyle w:val="TDC2"/>
        <w:rPr>
          <w:rFonts w:eastAsiaTheme="minorEastAsia" w:cstheme="minorBidi"/>
          <w:b w:val="0"/>
          <w:smallCaps w:val="0"/>
          <w:szCs w:val="22"/>
          <w:lang w:val="es-MX" w:eastAsia="es-MX"/>
        </w:rPr>
      </w:pPr>
      <w:hyperlink w:anchor="_Toc518032005" w:history="1">
        <w:r w:rsidR="00726AA1" w:rsidRPr="00E040AB">
          <w:rPr>
            <w:rStyle w:val="Hipervnculo"/>
            <w:szCs w:val="22"/>
          </w:rPr>
          <w:t>6.12</w:t>
        </w:r>
        <w:r w:rsidR="00726AA1" w:rsidRPr="00E040AB">
          <w:rPr>
            <w:rFonts w:eastAsiaTheme="minorEastAsia" w:cstheme="minorBidi"/>
            <w:b w:val="0"/>
            <w:smallCaps w:val="0"/>
            <w:szCs w:val="22"/>
            <w:lang w:val="es-MX" w:eastAsia="es-MX"/>
          </w:rPr>
          <w:tab/>
        </w:r>
        <w:r w:rsidR="00726AA1" w:rsidRPr="00E040AB">
          <w:rPr>
            <w:rStyle w:val="Hipervnculo"/>
            <w:szCs w:val="22"/>
          </w:rPr>
          <w:t>Características de configuración física y lógica del pCAI</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_Toc518032005 \h </w:instrText>
        </w:r>
        <w:r w:rsidR="00726AA1" w:rsidRPr="00E040AB">
          <w:rPr>
            <w:webHidden/>
            <w:szCs w:val="22"/>
          </w:rPr>
        </w:r>
        <w:r w:rsidR="00726AA1" w:rsidRPr="00E040AB">
          <w:rPr>
            <w:webHidden/>
            <w:szCs w:val="22"/>
          </w:rPr>
          <w:fldChar w:fldCharType="separate"/>
        </w:r>
        <w:r w:rsidR="00726AA1" w:rsidRPr="00E040AB">
          <w:rPr>
            <w:webHidden/>
            <w:szCs w:val="22"/>
          </w:rPr>
          <w:t>136</w:t>
        </w:r>
        <w:r w:rsidR="00726AA1" w:rsidRPr="00E040AB">
          <w:rPr>
            <w:webHidden/>
            <w:szCs w:val="22"/>
          </w:rPr>
          <w:fldChar w:fldCharType="end"/>
        </w:r>
      </w:hyperlink>
    </w:p>
    <w:p w14:paraId="14FF9BFB" w14:textId="51BA3EAE" w:rsidR="00726AA1" w:rsidRPr="00E040AB" w:rsidRDefault="00AA13B3">
      <w:pPr>
        <w:pStyle w:val="TDC2"/>
        <w:rPr>
          <w:rFonts w:eastAsiaTheme="minorEastAsia" w:cstheme="minorBidi"/>
          <w:b w:val="0"/>
          <w:smallCaps w:val="0"/>
          <w:szCs w:val="22"/>
          <w:lang w:val="es-MX" w:eastAsia="es-MX"/>
        </w:rPr>
      </w:pPr>
      <w:hyperlink w:anchor="_Toc518032006" w:history="1">
        <w:r w:rsidR="00726AA1" w:rsidRPr="00E040AB">
          <w:rPr>
            <w:rStyle w:val="Hipervnculo"/>
            <w:iCs/>
            <w:szCs w:val="22"/>
          </w:rPr>
          <w:t>6.13</w:t>
        </w:r>
        <w:r w:rsidR="00726AA1" w:rsidRPr="00E040AB">
          <w:rPr>
            <w:rFonts w:eastAsiaTheme="minorEastAsia" w:cstheme="minorBidi"/>
            <w:b w:val="0"/>
            <w:smallCaps w:val="0"/>
            <w:szCs w:val="22"/>
            <w:lang w:val="es-MX" w:eastAsia="es-MX"/>
          </w:rPr>
          <w:tab/>
        </w:r>
        <w:r w:rsidR="00726AA1" w:rsidRPr="00E040AB">
          <w:rPr>
            <w:rStyle w:val="Hipervnculo"/>
            <w:szCs w:val="22"/>
          </w:rPr>
          <w:t>Plan de VLAN’s: Servicio de Concentración y Distribución Local, Regional y Nacional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_Toc518032006 \h </w:instrText>
        </w:r>
        <w:r w:rsidR="00726AA1" w:rsidRPr="00E040AB">
          <w:rPr>
            <w:webHidden/>
            <w:szCs w:val="22"/>
          </w:rPr>
        </w:r>
        <w:r w:rsidR="00726AA1" w:rsidRPr="00E040AB">
          <w:rPr>
            <w:webHidden/>
            <w:szCs w:val="22"/>
          </w:rPr>
          <w:fldChar w:fldCharType="separate"/>
        </w:r>
        <w:r w:rsidR="00726AA1" w:rsidRPr="00E040AB">
          <w:rPr>
            <w:webHidden/>
            <w:szCs w:val="22"/>
          </w:rPr>
          <w:t>138</w:t>
        </w:r>
        <w:r w:rsidR="00726AA1" w:rsidRPr="00E040AB">
          <w:rPr>
            <w:webHidden/>
            <w:szCs w:val="22"/>
          </w:rPr>
          <w:fldChar w:fldCharType="end"/>
        </w:r>
      </w:hyperlink>
    </w:p>
    <w:p w14:paraId="2D0F9CF7" w14:textId="2F4A4B30" w:rsidR="00726AA1" w:rsidRPr="00E040AB" w:rsidRDefault="00AA13B3">
      <w:pPr>
        <w:pStyle w:val="TDC2"/>
        <w:rPr>
          <w:rFonts w:eastAsiaTheme="minorEastAsia" w:cstheme="minorBidi"/>
          <w:b w:val="0"/>
          <w:smallCaps w:val="0"/>
          <w:szCs w:val="22"/>
          <w:lang w:val="es-MX" w:eastAsia="es-MX"/>
        </w:rPr>
      </w:pPr>
      <w:hyperlink w:anchor="_Toc518032007" w:history="1">
        <w:r w:rsidR="00726AA1" w:rsidRPr="00E040AB">
          <w:rPr>
            <w:rStyle w:val="Hipervnculo"/>
            <w:szCs w:val="22"/>
          </w:rPr>
          <w:t>6.14</w:t>
        </w:r>
        <w:r w:rsidR="00726AA1" w:rsidRPr="00E040AB">
          <w:rPr>
            <w:rFonts w:eastAsiaTheme="minorEastAsia" w:cstheme="minorBidi"/>
            <w:b w:val="0"/>
            <w:smallCaps w:val="0"/>
            <w:szCs w:val="22"/>
            <w:lang w:val="es-MX" w:eastAsia="es-MX"/>
          </w:rPr>
          <w:tab/>
        </w:r>
        <w:r w:rsidR="00726AA1" w:rsidRPr="00E040AB">
          <w:rPr>
            <w:rStyle w:val="Hipervnculo"/>
            <w:szCs w:val="22"/>
          </w:rPr>
          <w:t>Servicio a Ubicación Distante</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_Toc518032007 \h </w:instrText>
        </w:r>
        <w:r w:rsidR="00726AA1" w:rsidRPr="00E040AB">
          <w:rPr>
            <w:webHidden/>
            <w:szCs w:val="22"/>
          </w:rPr>
        </w:r>
        <w:r w:rsidR="00726AA1" w:rsidRPr="00E040AB">
          <w:rPr>
            <w:webHidden/>
            <w:szCs w:val="22"/>
          </w:rPr>
          <w:fldChar w:fldCharType="separate"/>
        </w:r>
        <w:r w:rsidR="00726AA1" w:rsidRPr="00E040AB">
          <w:rPr>
            <w:webHidden/>
            <w:szCs w:val="22"/>
          </w:rPr>
          <w:t>140</w:t>
        </w:r>
        <w:r w:rsidR="00726AA1" w:rsidRPr="00E040AB">
          <w:rPr>
            <w:webHidden/>
            <w:szCs w:val="22"/>
          </w:rPr>
          <w:fldChar w:fldCharType="end"/>
        </w:r>
      </w:hyperlink>
    </w:p>
    <w:p w14:paraId="4B056CB9" w14:textId="7CC6D76E" w:rsidR="00726AA1" w:rsidRPr="00E040AB" w:rsidRDefault="00AA13B3">
      <w:pPr>
        <w:pStyle w:val="TDC2"/>
        <w:rPr>
          <w:rFonts w:eastAsiaTheme="minorEastAsia" w:cstheme="minorBidi"/>
          <w:b w:val="0"/>
          <w:smallCaps w:val="0"/>
          <w:szCs w:val="22"/>
          <w:lang w:val="es-MX" w:eastAsia="es-MX"/>
        </w:rPr>
      </w:pPr>
      <w:hyperlink w:anchor="_Toc518032008" w:history="1">
        <w:r w:rsidR="00726AA1" w:rsidRPr="00E040AB">
          <w:rPr>
            <w:rStyle w:val="Hipervnculo"/>
            <w:szCs w:val="22"/>
          </w:rPr>
          <w:t>6.15</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solicitud, modificación y baja del SCyD.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_Toc518032008 \h </w:instrText>
        </w:r>
        <w:r w:rsidR="00726AA1" w:rsidRPr="00E040AB">
          <w:rPr>
            <w:webHidden/>
            <w:szCs w:val="22"/>
          </w:rPr>
        </w:r>
        <w:r w:rsidR="00726AA1" w:rsidRPr="00E040AB">
          <w:rPr>
            <w:webHidden/>
            <w:szCs w:val="22"/>
          </w:rPr>
          <w:fldChar w:fldCharType="separate"/>
        </w:r>
        <w:r w:rsidR="00726AA1" w:rsidRPr="00E040AB">
          <w:rPr>
            <w:webHidden/>
            <w:szCs w:val="22"/>
          </w:rPr>
          <w:t>140</w:t>
        </w:r>
        <w:r w:rsidR="00726AA1" w:rsidRPr="00E040AB">
          <w:rPr>
            <w:webHidden/>
            <w:szCs w:val="22"/>
          </w:rPr>
          <w:fldChar w:fldCharType="end"/>
        </w:r>
      </w:hyperlink>
    </w:p>
    <w:p w14:paraId="2A28C981" w14:textId="0E8FE0C1" w:rsidR="00726AA1" w:rsidRPr="00E040AB" w:rsidRDefault="00AA13B3">
      <w:pPr>
        <w:pStyle w:val="TDC2"/>
        <w:rPr>
          <w:rFonts w:eastAsiaTheme="minorEastAsia" w:cstheme="minorBidi"/>
          <w:b w:val="0"/>
          <w:smallCaps w:val="0"/>
          <w:szCs w:val="22"/>
          <w:lang w:val="es-MX" w:eastAsia="es-MX"/>
        </w:rPr>
      </w:pPr>
      <w:hyperlink w:anchor="_Toc518032009" w:history="1">
        <w:r w:rsidR="00726AA1" w:rsidRPr="00E040AB">
          <w:rPr>
            <w:rStyle w:val="Hipervnculo"/>
            <w:szCs w:val="22"/>
          </w:rPr>
          <w:t>6.16</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 SCyD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_Toc518032009 \h </w:instrText>
        </w:r>
        <w:r w:rsidR="00726AA1" w:rsidRPr="00E040AB">
          <w:rPr>
            <w:webHidden/>
            <w:szCs w:val="22"/>
          </w:rPr>
        </w:r>
        <w:r w:rsidR="00726AA1" w:rsidRPr="00E040AB">
          <w:rPr>
            <w:webHidden/>
            <w:szCs w:val="22"/>
          </w:rPr>
          <w:fldChar w:fldCharType="separate"/>
        </w:r>
        <w:r w:rsidR="00726AA1" w:rsidRPr="00E040AB">
          <w:rPr>
            <w:webHidden/>
            <w:szCs w:val="22"/>
          </w:rPr>
          <w:t>146</w:t>
        </w:r>
        <w:r w:rsidR="00726AA1" w:rsidRPr="00E040AB">
          <w:rPr>
            <w:webHidden/>
            <w:szCs w:val="22"/>
          </w:rPr>
          <w:fldChar w:fldCharType="end"/>
        </w:r>
      </w:hyperlink>
    </w:p>
    <w:p w14:paraId="79C71A99" w14:textId="1A3565D2" w:rsidR="00726AA1" w:rsidRPr="00E040AB" w:rsidRDefault="00AA13B3">
      <w:pPr>
        <w:pStyle w:val="TDC2"/>
        <w:rPr>
          <w:rFonts w:eastAsiaTheme="minorEastAsia" w:cstheme="minorBidi"/>
          <w:b w:val="0"/>
          <w:smallCaps w:val="0"/>
          <w:szCs w:val="22"/>
          <w:lang w:val="es-MX" w:eastAsia="es-MX"/>
        </w:rPr>
      </w:pPr>
      <w:hyperlink w:anchor="_Toc518032010" w:history="1">
        <w:r w:rsidR="00726AA1" w:rsidRPr="00E040AB">
          <w:rPr>
            <w:rStyle w:val="Hipervnculo"/>
            <w:szCs w:val="22"/>
          </w:rPr>
          <w:t>6.17</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para SCyD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_Toc518032010 \h </w:instrText>
        </w:r>
        <w:r w:rsidR="00726AA1" w:rsidRPr="00E040AB">
          <w:rPr>
            <w:webHidden/>
            <w:szCs w:val="22"/>
          </w:rPr>
        </w:r>
        <w:r w:rsidR="00726AA1" w:rsidRPr="00E040AB">
          <w:rPr>
            <w:webHidden/>
            <w:szCs w:val="22"/>
          </w:rPr>
          <w:fldChar w:fldCharType="separate"/>
        </w:r>
        <w:r w:rsidR="00726AA1" w:rsidRPr="00E040AB">
          <w:rPr>
            <w:webHidden/>
            <w:szCs w:val="22"/>
          </w:rPr>
          <w:t>147</w:t>
        </w:r>
        <w:r w:rsidR="00726AA1" w:rsidRPr="00E040AB">
          <w:rPr>
            <w:webHidden/>
            <w:szCs w:val="22"/>
          </w:rPr>
          <w:fldChar w:fldCharType="end"/>
        </w:r>
      </w:hyperlink>
    </w:p>
    <w:p w14:paraId="66545D62" w14:textId="6808C3F1" w:rsidR="00726AA1" w:rsidRPr="00E040AB" w:rsidRDefault="00AA13B3">
      <w:pPr>
        <w:pStyle w:val="TDC2"/>
        <w:rPr>
          <w:rFonts w:eastAsiaTheme="minorEastAsia" w:cstheme="minorBidi"/>
          <w:b w:val="0"/>
          <w:smallCaps w:val="0"/>
          <w:szCs w:val="22"/>
          <w:lang w:val="es-MX" w:eastAsia="es-MX"/>
        </w:rPr>
      </w:pPr>
      <w:hyperlink w:anchor="_Toc518032011" w:history="1">
        <w:r w:rsidR="00726AA1" w:rsidRPr="00E040AB">
          <w:rPr>
            <w:rStyle w:val="Hipervnculo"/>
            <w:szCs w:val="22"/>
          </w:rPr>
          <w:t>6.18</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realización de pruebas para el SCyD</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_Toc518032011 \h </w:instrText>
        </w:r>
        <w:r w:rsidR="00726AA1" w:rsidRPr="00E040AB">
          <w:rPr>
            <w:webHidden/>
            <w:szCs w:val="22"/>
          </w:rPr>
        </w:r>
        <w:r w:rsidR="00726AA1" w:rsidRPr="00E040AB">
          <w:rPr>
            <w:webHidden/>
            <w:szCs w:val="22"/>
          </w:rPr>
          <w:fldChar w:fldCharType="separate"/>
        </w:r>
        <w:r w:rsidR="00726AA1" w:rsidRPr="00E040AB">
          <w:rPr>
            <w:webHidden/>
            <w:szCs w:val="22"/>
          </w:rPr>
          <w:t>148</w:t>
        </w:r>
        <w:r w:rsidR="00726AA1" w:rsidRPr="00E040AB">
          <w:rPr>
            <w:webHidden/>
            <w:szCs w:val="22"/>
          </w:rPr>
          <w:fldChar w:fldCharType="end"/>
        </w:r>
      </w:hyperlink>
    </w:p>
    <w:p w14:paraId="4D8F77E7" w14:textId="28356055" w:rsidR="00726AA1" w:rsidRPr="00E040AB" w:rsidRDefault="00AA13B3">
      <w:pPr>
        <w:pStyle w:val="TDC2"/>
        <w:rPr>
          <w:rFonts w:eastAsiaTheme="minorEastAsia" w:cstheme="minorBidi"/>
          <w:b w:val="0"/>
          <w:smallCaps w:val="0"/>
          <w:szCs w:val="22"/>
          <w:lang w:val="es-MX" w:eastAsia="es-MX"/>
        </w:rPr>
      </w:pPr>
      <w:hyperlink w:anchor="_Toc518032012" w:history="1">
        <w:r w:rsidR="00726AA1" w:rsidRPr="00E040AB">
          <w:rPr>
            <w:rStyle w:val="Hipervnculo"/>
            <w:szCs w:val="22"/>
          </w:rPr>
          <w:t>6.19</w:t>
        </w:r>
        <w:r w:rsidR="00726AA1" w:rsidRPr="00E040AB">
          <w:rPr>
            <w:rFonts w:eastAsiaTheme="minorEastAsia" w:cstheme="minorBidi"/>
            <w:b w:val="0"/>
            <w:smallCaps w:val="0"/>
            <w:szCs w:val="22"/>
            <w:lang w:val="es-MX" w:eastAsia="es-MX"/>
          </w:rPr>
          <w:tab/>
        </w:r>
        <w:r w:rsidR="00726AA1" w:rsidRPr="00E040AB">
          <w:rPr>
            <w:rStyle w:val="Hipervnculo"/>
            <w:szCs w:val="22"/>
          </w:rPr>
          <w:t>Servicio auxiliar de Tendido de Cable de DFO-TMX a DFO-CS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_Toc518032012 \h </w:instrText>
        </w:r>
        <w:r w:rsidR="00726AA1" w:rsidRPr="00E040AB">
          <w:rPr>
            <w:webHidden/>
            <w:szCs w:val="22"/>
          </w:rPr>
        </w:r>
        <w:r w:rsidR="00726AA1" w:rsidRPr="00E040AB">
          <w:rPr>
            <w:webHidden/>
            <w:szCs w:val="22"/>
          </w:rPr>
          <w:fldChar w:fldCharType="separate"/>
        </w:r>
        <w:r w:rsidR="00726AA1" w:rsidRPr="00E040AB">
          <w:rPr>
            <w:webHidden/>
            <w:szCs w:val="22"/>
          </w:rPr>
          <w:t>149</w:t>
        </w:r>
        <w:r w:rsidR="00726AA1" w:rsidRPr="00E040AB">
          <w:rPr>
            <w:webHidden/>
            <w:szCs w:val="22"/>
          </w:rPr>
          <w:fldChar w:fldCharType="end"/>
        </w:r>
      </w:hyperlink>
    </w:p>
    <w:p w14:paraId="13F7CA10" w14:textId="4525AB5F" w:rsidR="00726AA1" w:rsidRPr="00E040AB" w:rsidRDefault="00AA13B3">
      <w:pPr>
        <w:pStyle w:val="TDC2"/>
        <w:rPr>
          <w:rFonts w:eastAsiaTheme="minorEastAsia" w:cstheme="minorBidi"/>
          <w:b w:val="0"/>
          <w:smallCaps w:val="0"/>
          <w:szCs w:val="22"/>
          <w:lang w:val="es-MX" w:eastAsia="es-MX"/>
        </w:rPr>
      </w:pPr>
      <w:hyperlink w:anchor="_Toc518032013" w:history="1">
        <w:r w:rsidR="00726AA1" w:rsidRPr="00E040AB">
          <w:rPr>
            <w:rStyle w:val="Hipervnculo"/>
            <w:szCs w:val="22"/>
          </w:rPr>
          <w:t>6.20</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del servicio de Cableado de DFO-TMX a DFO-CS.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_Toc518032013 \h </w:instrText>
        </w:r>
        <w:r w:rsidR="00726AA1" w:rsidRPr="00E040AB">
          <w:rPr>
            <w:webHidden/>
            <w:szCs w:val="22"/>
          </w:rPr>
        </w:r>
        <w:r w:rsidR="00726AA1" w:rsidRPr="00E040AB">
          <w:rPr>
            <w:webHidden/>
            <w:szCs w:val="22"/>
          </w:rPr>
          <w:fldChar w:fldCharType="separate"/>
        </w:r>
        <w:r w:rsidR="00726AA1" w:rsidRPr="00E040AB">
          <w:rPr>
            <w:webHidden/>
            <w:szCs w:val="22"/>
          </w:rPr>
          <w:t>150</w:t>
        </w:r>
        <w:r w:rsidR="00726AA1" w:rsidRPr="00E040AB">
          <w:rPr>
            <w:webHidden/>
            <w:szCs w:val="22"/>
          </w:rPr>
          <w:fldChar w:fldCharType="end"/>
        </w:r>
      </w:hyperlink>
    </w:p>
    <w:p w14:paraId="240F85EE" w14:textId="0627EF86" w:rsidR="00726AA1" w:rsidRPr="00E040AB" w:rsidRDefault="00AA13B3">
      <w:pPr>
        <w:pStyle w:val="TDC2"/>
        <w:rPr>
          <w:rFonts w:eastAsiaTheme="minorEastAsia" w:cstheme="minorBidi"/>
          <w:b w:val="0"/>
          <w:smallCaps w:val="0"/>
          <w:szCs w:val="22"/>
          <w:lang w:val="es-MX" w:eastAsia="es-MX"/>
        </w:rPr>
      </w:pPr>
      <w:hyperlink w:anchor="_Toc518032014" w:history="1">
        <w:r w:rsidR="00726AA1" w:rsidRPr="00E040AB">
          <w:rPr>
            <w:rStyle w:val="Hipervnculo"/>
            <w:szCs w:val="22"/>
          </w:rPr>
          <w:t>6.21</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 Cableado de DFO-TMX a DFO-CS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_Toc518032014 \h </w:instrText>
        </w:r>
        <w:r w:rsidR="00726AA1" w:rsidRPr="00E040AB">
          <w:rPr>
            <w:webHidden/>
            <w:szCs w:val="22"/>
          </w:rPr>
        </w:r>
        <w:r w:rsidR="00726AA1" w:rsidRPr="00E040AB">
          <w:rPr>
            <w:webHidden/>
            <w:szCs w:val="22"/>
          </w:rPr>
          <w:fldChar w:fldCharType="separate"/>
        </w:r>
        <w:r w:rsidR="00726AA1" w:rsidRPr="00E040AB">
          <w:rPr>
            <w:webHidden/>
            <w:szCs w:val="22"/>
          </w:rPr>
          <w:t>153</w:t>
        </w:r>
        <w:r w:rsidR="00726AA1" w:rsidRPr="00E040AB">
          <w:rPr>
            <w:webHidden/>
            <w:szCs w:val="22"/>
          </w:rPr>
          <w:fldChar w:fldCharType="end"/>
        </w:r>
      </w:hyperlink>
    </w:p>
    <w:p w14:paraId="0291C532" w14:textId="2FAE789C" w:rsidR="00726AA1" w:rsidRPr="00E040AB" w:rsidRDefault="00AA13B3">
      <w:pPr>
        <w:pStyle w:val="TDC2"/>
        <w:rPr>
          <w:rFonts w:eastAsiaTheme="minorEastAsia" w:cstheme="minorBidi"/>
          <w:b w:val="0"/>
          <w:smallCaps w:val="0"/>
          <w:szCs w:val="22"/>
          <w:lang w:val="es-MX" w:eastAsia="es-MX"/>
        </w:rPr>
      </w:pPr>
      <w:hyperlink w:anchor="_Toc518032015" w:history="1">
        <w:r w:rsidR="00726AA1" w:rsidRPr="00E040AB">
          <w:rPr>
            <w:rStyle w:val="Hipervnculo"/>
            <w:szCs w:val="22"/>
          </w:rPr>
          <w:t>6.22</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realización de pruebas de entrega para el servicio auxiliar de Cableado de DFO-TMX a DFO-CS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_Toc518032015 \h </w:instrText>
        </w:r>
        <w:r w:rsidR="00726AA1" w:rsidRPr="00E040AB">
          <w:rPr>
            <w:webHidden/>
            <w:szCs w:val="22"/>
          </w:rPr>
        </w:r>
        <w:r w:rsidR="00726AA1" w:rsidRPr="00E040AB">
          <w:rPr>
            <w:webHidden/>
            <w:szCs w:val="22"/>
          </w:rPr>
          <w:fldChar w:fldCharType="separate"/>
        </w:r>
        <w:r w:rsidR="00726AA1" w:rsidRPr="00E040AB">
          <w:rPr>
            <w:webHidden/>
            <w:szCs w:val="22"/>
          </w:rPr>
          <w:t>153</w:t>
        </w:r>
        <w:r w:rsidR="00726AA1" w:rsidRPr="00E040AB">
          <w:rPr>
            <w:webHidden/>
            <w:szCs w:val="22"/>
          </w:rPr>
          <w:fldChar w:fldCharType="end"/>
        </w:r>
      </w:hyperlink>
    </w:p>
    <w:p w14:paraId="2D46B873" w14:textId="2499A753"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2016" w:history="1">
        <w:r w:rsidR="00726AA1" w:rsidRPr="00E040AB">
          <w:rPr>
            <w:rStyle w:val="Hipervnculo"/>
            <w:rFonts w:asciiTheme="minorHAnsi" w:hAnsiTheme="minorHAnsi"/>
            <w:sz w:val="22"/>
            <w:szCs w:val="22"/>
          </w:rPr>
          <w:t>7.</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Servicio de Desagregación.</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_Toc518032016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153</w:t>
        </w:r>
        <w:r w:rsidR="00726AA1" w:rsidRPr="00E040AB">
          <w:rPr>
            <w:rFonts w:asciiTheme="minorHAnsi" w:hAnsiTheme="minorHAnsi"/>
            <w:webHidden/>
            <w:sz w:val="22"/>
            <w:szCs w:val="22"/>
          </w:rPr>
          <w:fldChar w:fldCharType="end"/>
        </w:r>
      </w:hyperlink>
    </w:p>
    <w:p w14:paraId="0D1EF0D8" w14:textId="32DF08CC" w:rsidR="00726AA1" w:rsidRPr="00E040AB" w:rsidRDefault="00AA13B3">
      <w:pPr>
        <w:pStyle w:val="TDC2"/>
        <w:rPr>
          <w:rFonts w:eastAsiaTheme="minorEastAsia" w:cstheme="minorBidi"/>
          <w:b w:val="0"/>
          <w:smallCaps w:val="0"/>
          <w:szCs w:val="22"/>
          <w:lang w:val="es-MX" w:eastAsia="es-MX"/>
        </w:rPr>
      </w:pPr>
      <w:hyperlink w:anchor="_Toc518032017" w:history="1">
        <w:r w:rsidR="00726AA1" w:rsidRPr="00E040AB">
          <w:rPr>
            <w:rStyle w:val="Hipervnculo"/>
            <w:szCs w:val="22"/>
          </w:rPr>
          <w:t>7.1</w:t>
        </w:r>
        <w:r w:rsidR="00726AA1" w:rsidRPr="00E040AB">
          <w:rPr>
            <w:rFonts w:eastAsiaTheme="minorEastAsia" w:cstheme="minorBidi"/>
            <w:b w:val="0"/>
            <w:smallCaps w:val="0"/>
            <w:szCs w:val="22"/>
            <w:lang w:val="es-MX" w:eastAsia="es-MX"/>
          </w:rPr>
          <w:tab/>
        </w:r>
        <w:r w:rsidR="00726AA1" w:rsidRPr="00E040AB">
          <w:rPr>
            <w:rStyle w:val="Hipervnculo"/>
            <w:szCs w:val="22"/>
          </w:rPr>
          <w:t>Servicio de Desagregación Total del Bucle Local y Servicio de Desagregación Compartida del Bucle Local.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_Toc518032017 \h </w:instrText>
        </w:r>
        <w:r w:rsidR="00726AA1" w:rsidRPr="00E040AB">
          <w:rPr>
            <w:webHidden/>
            <w:szCs w:val="22"/>
          </w:rPr>
        </w:r>
        <w:r w:rsidR="00726AA1" w:rsidRPr="00E040AB">
          <w:rPr>
            <w:webHidden/>
            <w:szCs w:val="22"/>
          </w:rPr>
          <w:fldChar w:fldCharType="separate"/>
        </w:r>
        <w:r w:rsidR="00726AA1" w:rsidRPr="00E040AB">
          <w:rPr>
            <w:webHidden/>
            <w:szCs w:val="22"/>
          </w:rPr>
          <w:t>155</w:t>
        </w:r>
        <w:r w:rsidR="00726AA1" w:rsidRPr="00E040AB">
          <w:rPr>
            <w:webHidden/>
            <w:szCs w:val="22"/>
          </w:rPr>
          <w:fldChar w:fldCharType="end"/>
        </w:r>
      </w:hyperlink>
    </w:p>
    <w:p w14:paraId="770A4982" w14:textId="7178EAE9" w:rsidR="00726AA1" w:rsidRPr="00E040AB" w:rsidRDefault="00AA13B3">
      <w:pPr>
        <w:pStyle w:val="TDC3"/>
        <w:rPr>
          <w:rFonts w:eastAsiaTheme="minorEastAsia" w:cstheme="minorBidi"/>
          <w:b w:val="0"/>
          <w:i w:val="0"/>
          <w:iCs w:val="0"/>
          <w:lang w:val="es-MX" w:eastAsia="es-MX"/>
        </w:rPr>
      </w:pPr>
      <w:hyperlink w:anchor="_Toc518032018" w:history="1">
        <w:r w:rsidR="00726AA1" w:rsidRPr="00E040AB">
          <w:rPr>
            <w:rStyle w:val="Hipervnculo"/>
            <w:i w:val="0"/>
          </w:rPr>
          <w:t>7.1.1</w:t>
        </w:r>
        <w:r w:rsidR="00726AA1" w:rsidRPr="00E040AB">
          <w:rPr>
            <w:rFonts w:eastAsiaTheme="minorEastAsia" w:cstheme="minorBidi"/>
            <w:b w:val="0"/>
            <w:i w:val="0"/>
            <w:iCs w:val="0"/>
            <w:lang w:val="es-MX" w:eastAsia="es-MX"/>
          </w:rPr>
          <w:tab/>
        </w:r>
        <w:r w:rsidR="00726AA1" w:rsidRPr="00E040AB">
          <w:rPr>
            <w:rStyle w:val="Hipervnculo"/>
            <w:i w:val="0"/>
          </w:rPr>
          <w:t>Servicio de Desagregación Total del Bucle Local</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_Toc518032018 \h </w:instrText>
        </w:r>
        <w:r w:rsidR="00726AA1" w:rsidRPr="00E040AB">
          <w:rPr>
            <w:i w:val="0"/>
            <w:webHidden/>
          </w:rPr>
        </w:r>
        <w:r w:rsidR="00726AA1" w:rsidRPr="00E040AB">
          <w:rPr>
            <w:i w:val="0"/>
            <w:webHidden/>
          </w:rPr>
          <w:fldChar w:fldCharType="separate"/>
        </w:r>
        <w:r w:rsidR="00726AA1" w:rsidRPr="00E040AB">
          <w:rPr>
            <w:i w:val="0"/>
            <w:webHidden/>
          </w:rPr>
          <w:t>155</w:t>
        </w:r>
        <w:r w:rsidR="00726AA1" w:rsidRPr="00E040AB">
          <w:rPr>
            <w:i w:val="0"/>
            <w:webHidden/>
          </w:rPr>
          <w:fldChar w:fldCharType="end"/>
        </w:r>
      </w:hyperlink>
    </w:p>
    <w:p w14:paraId="60B30586" w14:textId="60D82503" w:rsidR="00726AA1" w:rsidRPr="00E040AB" w:rsidRDefault="00AA13B3">
      <w:pPr>
        <w:pStyle w:val="TDC3"/>
        <w:rPr>
          <w:rFonts w:eastAsiaTheme="minorEastAsia" w:cstheme="minorBidi"/>
          <w:b w:val="0"/>
          <w:i w:val="0"/>
          <w:iCs w:val="0"/>
          <w:lang w:val="es-MX" w:eastAsia="es-MX"/>
        </w:rPr>
      </w:pPr>
      <w:hyperlink w:anchor="_Toc518032019" w:history="1">
        <w:r w:rsidR="00726AA1" w:rsidRPr="00E040AB">
          <w:rPr>
            <w:rStyle w:val="Hipervnculo"/>
            <w:i w:val="0"/>
          </w:rPr>
          <w:t>7.1.2</w:t>
        </w:r>
        <w:r w:rsidR="00726AA1" w:rsidRPr="00E040AB">
          <w:rPr>
            <w:rFonts w:eastAsiaTheme="minorEastAsia" w:cstheme="minorBidi"/>
            <w:b w:val="0"/>
            <w:i w:val="0"/>
            <w:iCs w:val="0"/>
            <w:lang w:val="es-MX" w:eastAsia="es-MX"/>
          </w:rPr>
          <w:tab/>
        </w:r>
        <w:r w:rsidR="00726AA1" w:rsidRPr="00E040AB">
          <w:rPr>
            <w:rStyle w:val="Hipervnculo"/>
            <w:i w:val="0"/>
          </w:rPr>
          <w:t>Servicio de Desagregación Compartida del Bucle Local.</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_Toc518032019 \h </w:instrText>
        </w:r>
        <w:r w:rsidR="00726AA1" w:rsidRPr="00E040AB">
          <w:rPr>
            <w:i w:val="0"/>
            <w:webHidden/>
          </w:rPr>
        </w:r>
        <w:r w:rsidR="00726AA1" w:rsidRPr="00E040AB">
          <w:rPr>
            <w:i w:val="0"/>
            <w:webHidden/>
          </w:rPr>
          <w:fldChar w:fldCharType="separate"/>
        </w:r>
        <w:r w:rsidR="00726AA1" w:rsidRPr="00E040AB">
          <w:rPr>
            <w:i w:val="0"/>
            <w:webHidden/>
          </w:rPr>
          <w:t>159</w:t>
        </w:r>
        <w:r w:rsidR="00726AA1" w:rsidRPr="00E040AB">
          <w:rPr>
            <w:i w:val="0"/>
            <w:webHidden/>
          </w:rPr>
          <w:fldChar w:fldCharType="end"/>
        </w:r>
      </w:hyperlink>
    </w:p>
    <w:p w14:paraId="4EE7C4EA" w14:textId="1C80AF14" w:rsidR="00726AA1" w:rsidRPr="00E040AB" w:rsidRDefault="00AA13B3">
      <w:pPr>
        <w:pStyle w:val="TDC2"/>
        <w:rPr>
          <w:rFonts w:eastAsiaTheme="minorEastAsia" w:cstheme="minorBidi"/>
          <w:b w:val="0"/>
          <w:smallCaps w:val="0"/>
          <w:szCs w:val="22"/>
          <w:lang w:val="es-MX" w:eastAsia="es-MX"/>
        </w:rPr>
      </w:pPr>
      <w:hyperlink w:anchor="_Toc518032020" w:history="1">
        <w:r w:rsidR="00726AA1" w:rsidRPr="00E040AB">
          <w:rPr>
            <w:rStyle w:val="Hipervnculo"/>
            <w:szCs w:val="22"/>
          </w:rPr>
          <w:t>7.2</w:t>
        </w:r>
        <w:r w:rsidR="00726AA1" w:rsidRPr="00E040AB">
          <w:rPr>
            <w:rFonts w:eastAsiaTheme="minorEastAsia" w:cstheme="minorBidi"/>
            <w:b w:val="0"/>
            <w:smallCaps w:val="0"/>
            <w:szCs w:val="22"/>
            <w:lang w:val="es-MX" w:eastAsia="es-MX"/>
          </w:rPr>
          <w:tab/>
        </w:r>
        <w:r w:rsidR="00726AA1" w:rsidRPr="00E040AB">
          <w:rPr>
            <w:rStyle w:val="Hipervnculo"/>
            <w:szCs w:val="22"/>
          </w:rPr>
          <w:t>Servicio de Desagregación Total del Sub Bucle Local y Servicio de Desagregación Compartida del Sub-Bucle Local.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_Toc518032020 \h </w:instrText>
        </w:r>
        <w:r w:rsidR="00726AA1" w:rsidRPr="00E040AB">
          <w:rPr>
            <w:webHidden/>
            <w:szCs w:val="22"/>
          </w:rPr>
        </w:r>
        <w:r w:rsidR="00726AA1" w:rsidRPr="00E040AB">
          <w:rPr>
            <w:webHidden/>
            <w:szCs w:val="22"/>
          </w:rPr>
          <w:fldChar w:fldCharType="separate"/>
        </w:r>
        <w:r w:rsidR="00726AA1" w:rsidRPr="00E040AB">
          <w:rPr>
            <w:webHidden/>
            <w:szCs w:val="22"/>
          </w:rPr>
          <w:t>162</w:t>
        </w:r>
        <w:r w:rsidR="00726AA1" w:rsidRPr="00E040AB">
          <w:rPr>
            <w:webHidden/>
            <w:szCs w:val="22"/>
          </w:rPr>
          <w:fldChar w:fldCharType="end"/>
        </w:r>
      </w:hyperlink>
    </w:p>
    <w:p w14:paraId="2C7A19AE" w14:textId="091AB50E" w:rsidR="00726AA1" w:rsidRPr="00E040AB" w:rsidRDefault="00AA13B3">
      <w:pPr>
        <w:pStyle w:val="TDC3"/>
        <w:rPr>
          <w:rFonts w:eastAsiaTheme="minorEastAsia" w:cstheme="minorBidi"/>
          <w:b w:val="0"/>
          <w:i w:val="0"/>
          <w:iCs w:val="0"/>
          <w:lang w:val="es-MX" w:eastAsia="es-MX"/>
        </w:rPr>
      </w:pPr>
      <w:hyperlink w:anchor="_Toc518032021" w:history="1">
        <w:r w:rsidR="00726AA1" w:rsidRPr="00E040AB">
          <w:rPr>
            <w:rStyle w:val="Hipervnculo"/>
            <w:i w:val="0"/>
          </w:rPr>
          <w:t>7.2.1</w:t>
        </w:r>
        <w:r w:rsidR="00726AA1" w:rsidRPr="00E040AB">
          <w:rPr>
            <w:rFonts w:eastAsiaTheme="minorEastAsia" w:cstheme="minorBidi"/>
            <w:b w:val="0"/>
            <w:i w:val="0"/>
            <w:iCs w:val="0"/>
            <w:lang w:val="es-MX" w:eastAsia="es-MX"/>
          </w:rPr>
          <w:tab/>
        </w:r>
        <w:r w:rsidR="00726AA1" w:rsidRPr="00E040AB">
          <w:rPr>
            <w:rStyle w:val="Hipervnculo"/>
            <w:i w:val="0"/>
          </w:rPr>
          <w:t>Servicio de Desagregación Total del Sub Bucle Local.</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_Toc518032021 \h </w:instrText>
        </w:r>
        <w:r w:rsidR="00726AA1" w:rsidRPr="00E040AB">
          <w:rPr>
            <w:i w:val="0"/>
            <w:webHidden/>
          </w:rPr>
        </w:r>
        <w:r w:rsidR="00726AA1" w:rsidRPr="00E040AB">
          <w:rPr>
            <w:i w:val="0"/>
            <w:webHidden/>
          </w:rPr>
          <w:fldChar w:fldCharType="separate"/>
        </w:r>
        <w:r w:rsidR="00726AA1" w:rsidRPr="00E040AB">
          <w:rPr>
            <w:i w:val="0"/>
            <w:webHidden/>
          </w:rPr>
          <w:t>162</w:t>
        </w:r>
        <w:r w:rsidR="00726AA1" w:rsidRPr="00E040AB">
          <w:rPr>
            <w:i w:val="0"/>
            <w:webHidden/>
          </w:rPr>
          <w:fldChar w:fldCharType="end"/>
        </w:r>
      </w:hyperlink>
    </w:p>
    <w:p w14:paraId="6337E56D" w14:textId="2A3F5772" w:rsidR="00726AA1" w:rsidRPr="00E040AB" w:rsidRDefault="00AA13B3">
      <w:pPr>
        <w:pStyle w:val="TDC3"/>
        <w:rPr>
          <w:rFonts w:eastAsiaTheme="minorEastAsia" w:cstheme="minorBidi"/>
          <w:b w:val="0"/>
          <w:i w:val="0"/>
          <w:iCs w:val="0"/>
          <w:lang w:val="es-MX" w:eastAsia="es-MX"/>
        </w:rPr>
      </w:pPr>
      <w:hyperlink w:anchor="_Toc518032022" w:history="1">
        <w:r w:rsidR="00726AA1" w:rsidRPr="00E040AB">
          <w:rPr>
            <w:rStyle w:val="Hipervnculo"/>
            <w:i w:val="0"/>
          </w:rPr>
          <w:t>7.2.2</w:t>
        </w:r>
        <w:r w:rsidR="00726AA1" w:rsidRPr="00E040AB">
          <w:rPr>
            <w:rFonts w:eastAsiaTheme="minorEastAsia" w:cstheme="minorBidi"/>
            <w:b w:val="0"/>
            <w:i w:val="0"/>
            <w:iCs w:val="0"/>
            <w:lang w:val="es-MX" w:eastAsia="es-MX"/>
          </w:rPr>
          <w:tab/>
        </w:r>
        <w:r w:rsidR="00726AA1" w:rsidRPr="00E040AB">
          <w:rPr>
            <w:rStyle w:val="Hipervnculo"/>
            <w:i w:val="0"/>
          </w:rPr>
          <w:t>Servicio de Desagregación Compartida del Sub-bucle Local.</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_Toc518032022 \h </w:instrText>
        </w:r>
        <w:r w:rsidR="00726AA1" w:rsidRPr="00E040AB">
          <w:rPr>
            <w:i w:val="0"/>
            <w:webHidden/>
          </w:rPr>
        </w:r>
        <w:r w:rsidR="00726AA1" w:rsidRPr="00E040AB">
          <w:rPr>
            <w:i w:val="0"/>
            <w:webHidden/>
          </w:rPr>
          <w:fldChar w:fldCharType="separate"/>
        </w:r>
        <w:r w:rsidR="00726AA1" w:rsidRPr="00E040AB">
          <w:rPr>
            <w:i w:val="0"/>
            <w:webHidden/>
          </w:rPr>
          <w:t>165</w:t>
        </w:r>
        <w:r w:rsidR="00726AA1" w:rsidRPr="00E040AB">
          <w:rPr>
            <w:i w:val="0"/>
            <w:webHidden/>
          </w:rPr>
          <w:fldChar w:fldCharType="end"/>
        </w:r>
      </w:hyperlink>
    </w:p>
    <w:p w14:paraId="72696FCB" w14:textId="35BA9C52" w:rsidR="00726AA1" w:rsidRPr="00E040AB" w:rsidRDefault="00AA13B3">
      <w:pPr>
        <w:pStyle w:val="TDC2"/>
        <w:rPr>
          <w:rFonts w:eastAsiaTheme="minorEastAsia" w:cstheme="minorBidi"/>
          <w:b w:val="0"/>
          <w:smallCaps w:val="0"/>
          <w:szCs w:val="22"/>
          <w:lang w:val="es-MX" w:eastAsia="es-MX"/>
        </w:rPr>
      </w:pPr>
      <w:hyperlink w:anchor="_Toc518032023" w:history="1">
        <w:r w:rsidR="00726AA1" w:rsidRPr="00E040AB">
          <w:rPr>
            <w:rStyle w:val="Hipervnculo"/>
            <w:szCs w:val="22"/>
          </w:rPr>
          <w:t>7.3</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 los servicios SDTBL, SDCBL, SDTSBL, SDCSBL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_Toc518032023 \h </w:instrText>
        </w:r>
        <w:r w:rsidR="00726AA1" w:rsidRPr="00E040AB">
          <w:rPr>
            <w:webHidden/>
            <w:szCs w:val="22"/>
          </w:rPr>
        </w:r>
        <w:r w:rsidR="00726AA1" w:rsidRPr="00E040AB">
          <w:rPr>
            <w:webHidden/>
            <w:szCs w:val="22"/>
          </w:rPr>
          <w:fldChar w:fldCharType="separate"/>
        </w:r>
        <w:r w:rsidR="00726AA1" w:rsidRPr="00E040AB">
          <w:rPr>
            <w:webHidden/>
            <w:szCs w:val="22"/>
          </w:rPr>
          <w:t>169</w:t>
        </w:r>
        <w:r w:rsidR="00726AA1" w:rsidRPr="00E040AB">
          <w:rPr>
            <w:webHidden/>
            <w:szCs w:val="22"/>
          </w:rPr>
          <w:fldChar w:fldCharType="end"/>
        </w:r>
      </w:hyperlink>
    </w:p>
    <w:p w14:paraId="51F2BFD9" w14:textId="442AF1DF" w:rsidR="00726AA1" w:rsidRPr="00E040AB" w:rsidRDefault="00AA13B3">
      <w:pPr>
        <w:pStyle w:val="TDC2"/>
        <w:rPr>
          <w:rFonts w:eastAsiaTheme="minorEastAsia" w:cstheme="minorBidi"/>
          <w:b w:val="0"/>
          <w:smallCaps w:val="0"/>
          <w:szCs w:val="22"/>
          <w:lang w:val="es-MX" w:eastAsia="es-MX"/>
        </w:rPr>
      </w:pPr>
      <w:hyperlink w:anchor="_Toc518032024" w:history="1">
        <w:r w:rsidR="00726AA1" w:rsidRPr="00E040AB">
          <w:rPr>
            <w:rStyle w:val="Hipervnculo"/>
            <w:szCs w:val="22"/>
          </w:rPr>
          <w:t>7.4</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_Toc518032024 \h </w:instrText>
        </w:r>
        <w:r w:rsidR="00726AA1" w:rsidRPr="00E040AB">
          <w:rPr>
            <w:webHidden/>
            <w:szCs w:val="22"/>
          </w:rPr>
        </w:r>
        <w:r w:rsidR="00726AA1" w:rsidRPr="00E040AB">
          <w:rPr>
            <w:webHidden/>
            <w:szCs w:val="22"/>
          </w:rPr>
          <w:fldChar w:fldCharType="separate"/>
        </w:r>
        <w:r w:rsidR="00726AA1" w:rsidRPr="00E040AB">
          <w:rPr>
            <w:webHidden/>
            <w:szCs w:val="22"/>
          </w:rPr>
          <w:t>175</w:t>
        </w:r>
        <w:r w:rsidR="00726AA1" w:rsidRPr="00E040AB">
          <w:rPr>
            <w:webHidden/>
            <w:szCs w:val="22"/>
          </w:rPr>
          <w:fldChar w:fldCharType="end"/>
        </w:r>
      </w:hyperlink>
    </w:p>
    <w:p w14:paraId="68B6C078" w14:textId="4E4CD68B" w:rsidR="00726AA1" w:rsidRPr="00E040AB" w:rsidRDefault="00AA13B3">
      <w:pPr>
        <w:pStyle w:val="TDC2"/>
        <w:rPr>
          <w:rFonts w:eastAsiaTheme="minorEastAsia" w:cstheme="minorBidi"/>
          <w:b w:val="0"/>
          <w:smallCaps w:val="0"/>
          <w:szCs w:val="22"/>
          <w:lang w:val="es-MX" w:eastAsia="es-MX"/>
        </w:rPr>
      </w:pPr>
      <w:hyperlink w:anchor="_Toc518032025" w:history="1">
        <w:r w:rsidR="00726AA1" w:rsidRPr="00E040AB">
          <w:rPr>
            <w:rStyle w:val="Hipervnculo"/>
            <w:szCs w:val="22"/>
          </w:rPr>
          <w:t>7.5</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de SDTBL, SDCBL, SDTSBL y SDCSBL.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_Toc518032025 \h </w:instrText>
        </w:r>
        <w:r w:rsidR="00726AA1" w:rsidRPr="00E040AB">
          <w:rPr>
            <w:webHidden/>
            <w:szCs w:val="22"/>
          </w:rPr>
        </w:r>
        <w:r w:rsidR="00726AA1" w:rsidRPr="00E040AB">
          <w:rPr>
            <w:webHidden/>
            <w:szCs w:val="22"/>
          </w:rPr>
          <w:fldChar w:fldCharType="separate"/>
        </w:r>
        <w:r w:rsidR="00726AA1" w:rsidRPr="00E040AB">
          <w:rPr>
            <w:webHidden/>
            <w:szCs w:val="22"/>
          </w:rPr>
          <w:t>176</w:t>
        </w:r>
        <w:r w:rsidR="00726AA1" w:rsidRPr="00E040AB">
          <w:rPr>
            <w:webHidden/>
            <w:szCs w:val="22"/>
          </w:rPr>
          <w:fldChar w:fldCharType="end"/>
        </w:r>
      </w:hyperlink>
    </w:p>
    <w:p w14:paraId="4602B73A" w14:textId="7ED18249" w:rsidR="00726AA1" w:rsidRPr="00E040AB" w:rsidRDefault="00AA13B3">
      <w:pPr>
        <w:pStyle w:val="TDC3"/>
        <w:rPr>
          <w:rFonts w:eastAsiaTheme="minorEastAsia" w:cstheme="minorBidi"/>
          <w:b w:val="0"/>
          <w:i w:val="0"/>
          <w:iCs w:val="0"/>
          <w:lang w:val="es-MX" w:eastAsia="es-MX"/>
        </w:rPr>
      </w:pPr>
      <w:hyperlink w:anchor="_Toc518032026" w:history="1">
        <w:r w:rsidR="00726AA1" w:rsidRPr="00E040AB">
          <w:rPr>
            <w:rStyle w:val="Hipervnculo"/>
            <w:i w:val="0"/>
          </w:rPr>
          <w:t>7.5.1</w:t>
        </w:r>
        <w:r w:rsidR="00726AA1" w:rsidRPr="00E040AB">
          <w:rPr>
            <w:rFonts w:eastAsiaTheme="minorEastAsia" w:cstheme="minorBidi"/>
            <w:b w:val="0"/>
            <w:i w:val="0"/>
            <w:iCs w:val="0"/>
            <w:lang w:val="es-MX" w:eastAsia="es-MX"/>
          </w:rPr>
          <w:tab/>
        </w:r>
        <w:r w:rsidR="00726AA1" w:rsidRPr="00E040AB">
          <w:rPr>
            <w:rStyle w:val="Hipervnculo"/>
            <w:i w:val="0"/>
          </w:rPr>
          <w:t>Propuesta de mejora de parámetros de calidad</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_Toc518032026 \h </w:instrText>
        </w:r>
        <w:r w:rsidR="00726AA1" w:rsidRPr="00E040AB">
          <w:rPr>
            <w:i w:val="0"/>
            <w:webHidden/>
          </w:rPr>
        </w:r>
        <w:r w:rsidR="00726AA1" w:rsidRPr="00E040AB">
          <w:rPr>
            <w:i w:val="0"/>
            <w:webHidden/>
          </w:rPr>
          <w:fldChar w:fldCharType="separate"/>
        </w:r>
        <w:r w:rsidR="00726AA1" w:rsidRPr="00E040AB">
          <w:rPr>
            <w:i w:val="0"/>
            <w:webHidden/>
          </w:rPr>
          <w:t>179</w:t>
        </w:r>
        <w:r w:rsidR="00726AA1" w:rsidRPr="00E040AB">
          <w:rPr>
            <w:i w:val="0"/>
            <w:webHidden/>
          </w:rPr>
          <w:fldChar w:fldCharType="end"/>
        </w:r>
      </w:hyperlink>
    </w:p>
    <w:p w14:paraId="713BFAAB" w14:textId="6B28A5F8" w:rsidR="00726AA1" w:rsidRPr="00E040AB" w:rsidRDefault="00AA13B3">
      <w:pPr>
        <w:pStyle w:val="TDC2"/>
        <w:rPr>
          <w:rFonts w:eastAsiaTheme="minorEastAsia" w:cstheme="minorBidi"/>
          <w:b w:val="0"/>
          <w:smallCaps w:val="0"/>
          <w:szCs w:val="22"/>
          <w:lang w:val="es-MX" w:eastAsia="es-MX"/>
        </w:rPr>
      </w:pPr>
      <w:hyperlink w:anchor="_Toc518032027" w:history="1">
        <w:r w:rsidR="00726AA1" w:rsidRPr="00E040AB">
          <w:rPr>
            <w:rStyle w:val="Hipervnculo"/>
            <w:szCs w:val="22"/>
          </w:rPr>
          <w:t>7.6</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realización de pruebas de la entrega del SDTBL, SDCBL, SDTSBL, SDCSBL</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_Toc518032027 \h </w:instrText>
        </w:r>
        <w:r w:rsidR="00726AA1" w:rsidRPr="00E040AB">
          <w:rPr>
            <w:webHidden/>
            <w:szCs w:val="22"/>
          </w:rPr>
        </w:r>
        <w:r w:rsidR="00726AA1" w:rsidRPr="00E040AB">
          <w:rPr>
            <w:webHidden/>
            <w:szCs w:val="22"/>
          </w:rPr>
          <w:fldChar w:fldCharType="separate"/>
        </w:r>
        <w:r w:rsidR="00726AA1" w:rsidRPr="00E040AB">
          <w:rPr>
            <w:webHidden/>
            <w:szCs w:val="22"/>
          </w:rPr>
          <w:t>179</w:t>
        </w:r>
        <w:r w:rsidR="00726AA1" w:rsidRPr="00E040AB">
          <w:rPr>
            <w:webHidden/>
            <w:szCs w:val="22"/>
          </w:rPr>
          <w:fldChar w:fldCharType="end"/>
        </w:r>
      </w:hyperlink>
    </w:p>
    <w:p w14:paraId="250C60B8" w14:textId="7D2A094A" w:rsidR="00726AA1" w:rsidRPr="00E040AB" w:rsidRDefault="00AA13B3">
      <w:pPr>
        <w:pStyle w:val="TDC2"/>
        <w:rPr>
          <w:rFonts w:eastAsiaTheme="minorEastAsia" w:cstheme="minorBidi"/>
          <w:b w:val="0"/>
          <w:smallCaps w:val="0"/>
          <w:szCs w:val="22"/>
          <w:lang w:val="es-MX" w:eastAsia="es-MX"/>
        </w:rPr>
      </w:pPr>
      <w:hyperlink w:anchor="_Toc518032028" w:history="1">
        <w:r w:rsidR="00726AA1" w:rsidRPr="00E040AB">
          <w:rPr>
            <w:rStyle w:val="Hipervnculo"/>
            <w:szCs w:val="22"/>
          </w:rPr>
          <w:t>7.7</w:t>
        </w:r>
        <w:r w:rsidR="00726AA1" w:rsidRPr="00E040AB">
          <w:rPr>
            <w:rFonts w:eastAsiaTheme="minorEastAsia" w:cstheme="minorBidi"/>
            <w:b w:val="0"/>
            <w:smallCaps w:val="0"/>
            <w:szCs w:val="22"/>
            <w:lang w:val="es-MX" w:eastAsia="es-MX"/>
          </w:rPr>
          <w:tab/>
        </w:r>
        <w:r w:rsidR="00726AA1" w:rsidRPr="00E040AB">
          <w:rPr>
            <w:rStyle w:val="Hipervnculo"/>
            <w:szCs w:val="22"/>
          </w:rPr>
          <w:t>Servicio Auxiliar de Cableado Multipar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_Toc518032028 \h </w:instrText>
        </w:r>
        <w:r w:rsidR="00726AA1" w:rsidRPr="00E040AB">
          <w:rPr>
            <w:webHidden/>
            <w:szCs w:val="22"/>
          </w:rPr>
        </w:r>
        <w:r w:rsidR="00726AA1" w:rsidRPr="00E040AB">
          <w:rPr>
            <w:webHidden/>
            <w:szCs w:val="22"/>
          </w:rPr>
          <w:fldChar w:fldCharType="separate"/>
        </w:r>
        <w:r w:rsidR="00726AA1" w:rsidRPr="00E040AB">
          <w:rPr>
            <w:webHidden/>
            <w:szCs w:val="22"/>
          </w:rPr>
          <w:t>180</w:t>
        </w:r>
        <w:r w:rsidR="00726AA1" w:rsidRPr="00E040AB">
          <w:rPr>
            <w:webHidden/>
            <w:szCs w:val="22"/>
          </w:rPr>
          <w:fldChar w:fldCharType="end"/>
        </w:r>
      </w:hyperlink>
    </w:p>
    <w:p w14:paraId="66E72A37" w14:textId="709F144B" w:rsidR="00726AA1" w:rsidRPr="00E040AB" w:rsidRDefault="00AA13B3">
      <w:pPr>
        <w:pStyle w:val="TDC2"/>
        <w:rPr>
          <w:rFonts w:eastAsiaTheme="minorEastAsia" w:cstheme="minorBidi"/>
          <w:b w:val="0"/>
          <w:smallCaps w:val="0"/>
          <w:szCs w:val="22"/>
          <w:lang w:val="es-MX" w:eastAsia="es-MX"/>
        </w:rPr>
      </w:pPr>
      <w:hyperlink w:anchor="_Toc518032029" w:history="1">
        <w:r w:rsidR="00726AA1" w:rsidRPr="00E040AB">
          <w:rPr>
            <w:rStyle w:val="Hipervnculo"/>
            <w:szCs w:val="22"/>
          </w:rPr>
          <w:t>7.8</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del servicio de Cableado Multipar.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_Toc518032029 \h </w:instrText>
        </w:r>
        <w:r w:rsidR="00726AA1" w:rsidRPr="00E040AB">
          <w:rPr>
            <w:webHidden/>
            <w:szCs w:val="22"/>
          </w:rPr>
        </w:r>
        <w:r w:rsidR="00726AA1" w:rsidRPr="00E040AB">
          <w:rPr>
            <w:webHidden/>
            <w:szCs w:val="22"/>
          </w:rPr>
          <w:fldChar w:fldCharType="separate"/>
        </w:r>
        <w:r w:rsidR="00726AA1" w:rsidRPr="00E040AB">
          <w:rPr>
            <w:webHidden/>
            <w:szCs w:val="22"/>
          </w:rPr>
          <w:t>182</w:t>
        </w:r>
        <w:r w:rsidR="00726AA1" w:rsidRPr="00E040AB">
          <w:rPr>
            <w:webHidden/>
            <w:szCs w:val="22"/>
          </w:rPr>
          <w:fldChar w:fldCharType="end"/>
        </w:r>
      </w:hyperlink>
    </w:p>
    <w:p w14:paraId="4D4B62BC" w14:textId="05A90F31" w:rsidR="00726AA1" w:rsidRPr="00E040AB" w:rsidRDefault="00AA13B3">
      <w:pPr>
        <w:pStyle w:val="TDC2"/>
        <w:rPr>
          <w:rFonts w:eastAsiaTheme="minorEastAsia" w:cstheme="minorBidi"/>
          <w:b w:val="0"/>
          <w:smallCaps w:val="0"/>
          <w:szCs w:val="22"/>
          <w:lang w:val="es-MX" w:eastAsia="es-MX"/>
        </w:rPr>
      </w:pPr>
      <w:hyperlink w:anchor="_Toc518032030" w:history="1">
        <w:r w:rsidR="00726AA1" w:rsidRPr="00E040AB">
          <w:rPr>
            <w:rStyle w:val="Hipervnculo"/>
            <w:szCs w:val="22"/>
          </w:rPr>
          <w:t>7.9</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 Cableado Multipar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_Toc518032030 \h </w:instrText>
        </w:r>
        <w:r w:rsidR="00726AA1" w:rsidRPr="00E040AB">
          <w:rPr>
            <w:webHidden/>
            <w:szCs w:val="22"/>
          </w:rPr>
        </w:r>
        <w:r w:rsidR="00726AA1" w:rsidRPr="00E040AB">
          <w:rPr>
            <w:webHidden/>
            <w:szCs w:val="22"/>
          </w:rPr>
          <w:fldChar w:fldCharType="separate"/>
        </w:r>
        <w:r w:rsidR="00726AA1" w:rsidRPr="00E040AB">
          <w:rPr>
            <w:webHidden/>
            <w:szCs w:val="22"/>
          </w:rPr>
          <w:t>186</w:t>
        </w:r>
        <w:r w:rsidR="00726AA1" w:rsidRPr="00E040AB">
          <w:rPr>
            <w:webHidden/>
            <w:szCs w:val="22"/>
          </w:rPr>
          <w:fldChar w:fldCharType="end"/>
        </w:r>
      </w:hyperlink>
    </w:p>
    <w:p w14:paraId="6017AF92" w14:textId="44CA3976" w:rsidR="00726AA1" w:rsidRPr="00E040AB" w:rsidRDefault="00AA13B3">
      <w:pPr>
        <w:pStyle w:val="TDC2"/>
        <w:rPr>
          <w:rFonts w:eastAsiaTheme="minorEastAsia" w:cstheme="minorBidi"/>
          <w:b w:val="0"/>
          <w:smallCaps w:val="0"/>
          <w:szCs w:val="22"/>
          <w:lang w:val="es-MX" w:eastAsia="es-MX"/>
        </w:rPr>
      </w:pPr>
      <w:hyperlink w:anchor="_Toc518032031" w:history="1">
        <w:r w:rsidR="00726AA1" w:rsidRPr="00E040AB">
          <w:rPr>
            <w:rStyle w:val="Hipervnculo"/>
            <w:szCs w:val="22"/>
          </w:rPr>
          <w:t>7.10</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realización de pruebas de entrega para el servicio auxiliar de cableado multipar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_Toc518032031 \h </w:instrText>
        </w:r>
        <w:r w:rsidR="00726AA1" w:rsidRPr="00E040AB">
          <w:rPr>
            <w:webHidden/>
            <w:szCs w:val="22"/>
          </w:rPr>
        </w:r>
        <w:r w:rsidR="00726AA1" w:rsidRPr="00E040AB">
          <w:rPr>
            <w:webHidden/>
            <w:szCs w:val="22"/>
          </w:rPr>
          <w:fldChar w:fldCharType="separate"/>
        </w:r>
        <w:r w:rsidR="00726AA1" w:rsidRPr="00E040AB">
          <w:rPr>
            <w:webHidden/>
            <w:szCs w:val="22"/>
          </w:rPr>
          <w:t>186</w:t>
        </w:r>
        <w:r w:rsidR="00726AA1" w:rsidRPr="00E040AB">
          <w:rPr>
            <w:webHidden/>
            <w:szCs w:val="22"/>
          </w:rPr>
          <w:fldChar w:fldCharType="end"/>
        </w:r>
      </w:hyperlink>
    </w:p>
    <w:p w14:paraId="07B755C0" w14:textId="4532E46D" w:rsidR="00726AA1" w:rsidRPr="00E040AB" w:rsidRDefault="00AA13B3">
      <w:pPr>
        <w:pStyle w:val="TDC2"/>
        <w:rPr>
          <w:rFonts w:eastAsiaTheme="minorEastAsia" w:cstheme="minorBidi"/>
          <w:b w:val="0"/>
          <w:smallCaps w:val="0"/>
          <w:szCs w:val="22"/>
          <w:lang w:val="es-MX" w:eastAsia="es-MX"/>
        </w:rPr>
      </w:pPr>
      <w:hyperlink w:anchor="_Toc518032032" w:history="1">
        <w:r w:rsidR="00726AA1" w:rsidRPr="00E040AB">
          <w:rPr>
            <w:rStyle w:val="Hipervnculo"/>
            <w:szCs w:val="22"/>
          </w:rPr>
          <w:t>7.11</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de Cableado Multipar</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_Toc518032032 \h </w:instrText>
        </w:r>
        <w:r w:rsidR="00726AA1" w:rsidRPr="00E040AB">
          <w:rPr>
            <w:webHidden/>
            <w:szCs w:val="22"/>
          </w:rPr>
        </w:r>
        <w:r w:rsidR="00726AA1" w:rsidRPr="00E040AB">
          <w:rPr>
            <w:webHidden/>
            <w:szCs w:val="22"/>
          </w:rPr>
          <w:fldChar w:fldCharType="separate"/>
        </w:r>
        <w:r w:rsidR="00726AA1" w:rsidRPr="00E040AB">
          <w:rPr>
            <w:webHidden/>
            <w:szCs w:val="22"/>
          </w:rPr>
          <w:t>187</w:t>
        </w:r>
        <w:r w:rsidR="00726AA1" w:rsidRPr="00E040AB">
          <w:rPr>
            <w:webHidden/>
            <w:szCs w:val="22"/>
          </w:rPr>
          <w:fldChar w:fldCharType="end"/>
        </w:r>
      </w:hyperlink>
    </w:p>
    <w:p w14:paraId="1F6154D5" w14:textId="5E554590" w:rsidR="00726AA1" w:rsidRPr="00E040AB" w:rsidRDefault="00AA13B3">
      <w:pPr>
        <w:pStyle w:val="TDC2"/>
        <w:rPr>
          <w:rFonts w:eastAsiaTheme="minorEastAsia" w:cstheme="minorBidi"/>
          <w:b w:val="0"/>
          <w:smallCaps w:val="0"/>
          <w:szCs w:val="22"/>
          <w:lang w:val="es-MX" w:eastAsia="es-MX"/>
        </w:rPr>
      </w:pPr>
      <w:hyperlink w:anchor="_Toc518032033" w:history="1">
        <w:r w:rsidR="00726AA1" w:rsidRPr="00E040AB">
          <w:rPr>
            <w:rStyle w:val="Hipervnculo"/>
            <w:szCs w:val="22"/>
          </w:rPr>
          <w:t>7.12</w:t>
        </w:r>
        <w:r w:rsidR="00726AA1" w:rsidRPr="00E040AB">
          <w:rPr>
            <w:rFonts w:eastAsiaTheme="minorEastAsia" w:cstheme="minorBidi"/>
            <w:b w:val="0"/>
            <w:smallCaps w:val="0"/>
            <w:szCs w:val="22"/>
            <w:lang w:val="es-MX" w:eastAsia="es-MX"/>
          </w:rPr>
          <w:tab/>
        </w:r>
        <w:r w:rsidR="00726AA1" w:rsidRPr="00E040AB">
          <w:rPr>
            <w:rStyle w:val="Hipervnculo"/>
            <w:szCs w:val="22"/>
          </w:rPr>
          <w:t>Servicio Auxiliar de Anexo de Caja de Distribución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_Toc518032033 \h </w:instrText>
        </w:r>
        <w:r w:rsidR="00726AA1" w:rsidRPr="00E040AB">
          <w:rPr>
            <w:webHidden/>
            <w:szCs w:val="22"/>
          </w:rPr>
        </w:r>
        <w:r w:rsidR="00726AA1" w:rsidRPr="00E040AB">
          <w:rPr>
            <w:webHidden/>
            <w:szCs w:val="22"/>
          </w:rPr>
          <w:fldChar w:fldCharType="separate"/>
        </w:r>
        <w:r w:rsidR="00726AA1" w:rsidRPr="00E040AB">
          <w:rPr>
            <w:webHidden/>
            <w:szCs w:val="22"/>
          </w:rPr>
          <w:t>188</w:t>
        </w:r>
        <w:r w:rsidR="00726AA1" w:rsidRPr="00E040AB">
          <w:rPr>
            <w:webHidden/>
            <w:szCs w:val="22"/>
          </w:rPr>
          <w:fldChar w:fldCharType="end"/>
        </w:r>
      </w:hyperlink>
    </w:p>
    <w:p w14:paraId="74003E0D" w14:textId="0BF21826" w:rsidR="00726AA1" w:rsidRPr="00E040AB" w:rsidRDefault="00AA13B3">
      <w:pPr>
        <w:pStyle w:val="TDC2"/>
        <w:rPr>
          <w:rFonts w:eastAsiaTheme="minorEastAsia" w:cstheme="minorBidi"/>
          <w:b w:val="0"/>
          <w:smallCaps w:val="0"/>
          <w:szCs w:val="22"/>
          <w:lang w:val="es-MX" w:eastAsia="es-MX"/>
        </w:rPr>
      </w:pPr>
      <w:hyperlink w:anchor="_Toc518032034" w:history="1">
        <w:r w:rsidR="00726AA1" w:rsidRPr="00E040AB">
          <w:rPr>
            <w:rStyle w:val="Hipervnculo"/>
            <w:szCs w:val="22"/>
          </w:rPr>
          <w:t>7.13</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y baja del servicio de Anexo de Caja.</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_Toc518032034 \h </w:instrText>
        </w:r>
        <w:r w:rsidR="00726AA1" w:rsidRPr="00E040AB">
          <w:rPr>
            <w:webHidden/>
            <w:szCs w:val="22"/>
          </w:rPr>
        </w:r>
        <w:r w:rsidR="00726AA1" w:rsidRPr="00E040AB">
          <w:rPr>
            <w:webHidden/>
            <w:szCs w:val="22"/>
          </w:rPr>
          <w:fldChar w:fldCharType="separate"/>
        </w:r>
        <w:r w:rsidR="00726AA1" w:rsidRPr="00E040AB">
          <w:rPr>
            <w:webHidden/>
            <w:szCs w:val="22"/>
          </w:rPr>
          <w:t>189</w:t>
        </w:r>
        <w:r w:rsidR="00726AA1" w:rsidRPr="00E040AB">
          <w:rPr>
            <w:webHidden/>
            <w:szCs w:val="22"/>
          </w:rPr>
          <w:fldChar w:fldCharType="end"/>
        </w:r>
      </w:hyperlink>
    </w:p>
    <w:p w14:paraId="48596E49" w14:textId="2720E8B1" w:rsidR="00726AA1" w:rsidRPr="00E040AB" w:rsidRDefault="00AA13B3">
      <w:pPr>
        <w:pStyle w:val="TDC2"/>
        <w:rPr>
          <w:rFonts w:eastAsiaTheme="minorEastAsia" w:cstheme="minorBidi"/>
          <w:b w:val="0"/>
          <w:smallCaps w:val="0"/>
          <w:szCs w:val="22"/>
          <w:lang w:val="es-MX" w:eastAsia="es-MX"/>
        </w:rPr>
      </w:pPr>
      <w:hyperlink w:anchor="_Toc518032035" w:history="1">
        <w:r w:rsidR="00726AA1" w:rsidRPr="00E040AB">
          <w:rPr>
            <w:rStyle w:val="Hipervnculo"/>
            <w:szCs w:val="22"/>
          </w:rPr>
          <w:t>7.14</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del Anexo de Caja de Distribución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_Toc518032035 \h </w:instrText>
        </w:r>
        <w:r w:rsidR="00726AA1" w:rsidRPr="00E040AB">
          <w:rPr>
            <w:webHidden/>
            <w:szCs w:val="22"/>
          </w:rPr>
        </w:r>
        <w:r w:rsidR="00726AA1" w:rsidRPr="00E040AB">
          <w:rPr>
            <w:webHidden/>
            <w:szCs w:val="22"/>
          </w:rPr>
          <w:fldChar w:fldCharType="separate"/>
        </w:r>
        <w:r w:rsidR="00726AA1" w:rsidRPr="00E040AB">
          <w:rPr>
            <w:webHidden/>
            <w:szCs w:val="22"/>
          </w:rPr>
          <w:t>199</w:t>
        </w:r>
        <w:r w:rsidR="00726AA1" w:rsidRPr="00E040AB">
          <w:rPr>
            <w:webHidden/>
            <w:szCs w:val="22"/>
          </w:rPr>
          <w:fldChar w:fldCharType="end"/>
        </w:r>
      </w:hyperlink>
    </w:p>
    <w:p w14:paraId="29E8C036" w14:textId="4303AEBA" w:rsidR="00726AA1" w:rsidRPr="00E040AB" w:rsidRDefault="00AA13B3">
      <w:pPr>
        <w:pStyle w:val="TDC2"/>
        <w:rPr>
          <w:rFonts w:eastAsiaTheme="minorEastAsia" w:cstheme="minorBidi"/>
          <w:b w:val="0"/>
          <w:smallCaps w:val="0"/>
          <w:szCs w:val="22"/>
          <w:lang w:val="es-MX" w:eastAsia="es-MX"/>
        </w:rPr>
      </w:pPr>
      <w:hyperlink w:anchor="_Toc518032036" w:history="1">
        <w:r w:rsidR="00726AA1" w:rsidRPr="00E040AB">
          <w:rPr>
            <w:rStyle w:val="Hipervnculo"/>
            <w:szCs w:val="22"/>
          </w:rPr>
          <w:t>7.15</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para el Anexo de Caja de Distribución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_Toc518032036 \h </w:instrText>
        </w:r>
        <w:r w:rsidR="00726AA1" w:rsidRPr="00E040AB">
          <w:rPr>
            <w:webHidden/>
            <w:szCs w:val="22"/>
          </w:rPr>
        </w:r>
        <w:r w:rsidR="00726AA1" w:rsidRPr="00E040AB">
          <w:rPr>
            <w:webHidden/>
            <w:szCs w:val="22"/>
          </w:rPr>
          <w:fldChar w:fldCharType="separate"/>
        </w:r>
        <w:r w:rsidR="00726AA1" w:rsidRPr="00E040AB">
          <w:rPr>
            <w:webHidden/>
            <w:szCs w:val="22"/>
          </w:rPr>
          <w:t>199</w:t>
        </w:r>
        <w:r w:rsidR="00726AA1" w:rsidRPr="00E040AB">
          <w:rPr>
            <w:webHidden/>
            <w:szCs w:val="22"/>
          </w:rPr>
          <w:fldChar w:fldCharType="end"/>
        </w:r>
      </w:hyperlink>
    </w:p>
    <w:p w14:paraId="61229B5A" w14:textId="6EE92006" w:rsidR="00726AA1" w:rsidRPr="00E040AB" w:rsidRDefault="00AA13B3">
      <w:pPr>
        <w:pStyle w:val="TDC2"/>
        <w:rPr>
          <w:rFonts w:eastAsiaTheme="minorEastAsia" w:cstheme="minorBidi"/>
          <w:b w:val="0"/>
          <w:smallCaps w:val="0"/>
          <w:szCs w:val="22"/>
          <w:lang w:val="es-MX" w:eastAsia="es-MX"/>
        </w:rPr>
      </w:pPr>
      <w:hyperlink w:anchor="_Toc518032037" w:history="1">
        <w:r w:rsidR="00726AA1" w:rsidRPr="00E040AB">
          <w:rPr>
            <w:rStyle w:val="Hipervnculo"/>
            <w:szCs w:val="22"/>
          </w:rPr>
          <w:t>7.16</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realización de pruebas de entrega para el cableado en el Servicio Auxiliar de Anexo de Caja de Distribución.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_Toc518032037 \h </w:instrText>
        </w:r>
        <w:r w:rsidR="00726AA1" w:rsidRPr="00E040AB">
          <w:rPr>
            <w:webHidden/>
            <w:szCs w:val="22"/>
          </w:rPr>
        </w:r>
        <w:r w:rsidR="00726AA1" w:rsidRPr="00E040AB">
          <w:rPr>
            <w:webHidden/>
            <w:szCs w:val="22"/>
          </w:rPr>
          <w:fldChar w:fldCharType="separate"/>
        </w:r>
        <w:r w:rsidR="00726AA1" w:rsidRPr="00E040AB">
          <w:rPr>
            <w:webHidden/>
            <w:szCs w:val="22"/>
          </w:rPr>
          <w:t>200</w:t>
        </w:r>
        <w:r w:rsidR="00726AA1" w:rsidRPr="00E040AB">
          <w:rPr>
            <w:webHidden/>
            <w:szCs w:val="22"/>
          </w:rPr>
          <w:fldChar w:fldCharType="end"/>
        </w:r>
      </w:hyperlink>
    </w:p>
    <w:p w14:paraId="07AEAD55" w14:textId="0F2CD026"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2038" w:history="1">
        <w:r w:rsidR="00726AA1" w:rsidRPr="00E040AB">
          <w:rPr>
            <w:rStyle w:val="Hipervnculo"/>
            <w:rFonts w:asciiTheme="minorHAnsi" w:hAnsiTheme="minorHAnsi"/>
            <w:sz w:val="22"/>
            <w:szCs w:val="22"/>
          </w:rPr>
          <w:t>8.</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Servicio de Coubicación para Desagregación del Bucle</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_Toc518032038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201</w:t>
        </w:r>
        <w:r w:rsidR="00726AA1" w:rsidRPr="00E040AB">
          <w:rPr>
            <w:rFonts w:asciiTheme="minorHAnsi" w:hAnsiTheme="minorHAnsi"/>
            <w:webHidden/>
            <w:sz w:val="22"/>
            <w:szCs w:val="22"/>
          </w:rPr>
          <w:fldChar w:fldCharType="end"/>
        </w:r>
      </w:hyperlink>
    </w:p>
    <w:p w14:paraId="533C3CFE" w14:textId="295CE998" w:rsidR="00726AA1" w:rsidRPr="00E040AB" w:rsidRDefault="00AA13B3">
      <w:pPr>
        <w:pStyle w:val="TDC2"/>
        <w:rPr>
          <w:rFonts w:eastAsiaTheme="minorEastAsia" w:cstheme="minorBidi"/>
          <w:b w:val="0"/>
          <w:smallCaps w:val="0"/>
          <w:szCs w:val="22"/>
          <w:lang w:val="es-MX" w:eastAsia="es-MX"/>
        </w:rPr>
      </w:pPr>
      <w:hyperlink w:anchor="_Toc518032039" w:history="1">
        <w:r w:rsidR="00726AA1" w:rsidRPr="00E040AB">
          <w:rPr>
            <w:rStyle w:val="Hipervnculo"/>
            <w:szCs w:val="22"/>
          </w:rPr>
          <w:t>8.1</w:t>
        </w:r>
        <w:r w:rsidR="00726AA1" w:rsidRPr="00E040AB">
          <w:rPr>
            <w:rFonts w:eastAsiaTheme="minorEastAsia" w:cstheme="minorBidi"/>
            <w:b w:val="0"/>
            <w:smallCaps w:val="0"/>
            <w:szCs w:val="22"/>
            <w:lang w:val="es-MX" w:eastAsia="es-MX"/>
          </w:rPr>
          <w:tab/>
        </w:r>
        <w:r w:rsidR="00726AA1" w:rsidRPr="00E040AB">
          <w:rPr>
            <w:rStyle w:val="Hipervnculo"/>
            <w:szCs w:val="22"/>
          </w:rPr>
          <w:t>Generalidades.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_Toc518032039 \h </w:instrText>
        </w:r>
        <w:r w:rsidR="00726AA1" w:rsidRPr="00E040AB">
          <w:rPr>
            <w:webHidden/>
            <w:szCs w:val="22"/>
          </w:rPr>
        </w:r>
        <w:r w:rsidR="00726AA1" w:rsidRPr="00E040AB">
          <w:rPr>
            <w:webHidden/>
            <w:szCs w:val="22"/>
          </w:rPr>
          <w:fldChar w:fldCharType="separate"/>
        </w:r>
        <w:r w:rsidR="00726AA1" w:rsidRPr="00E040AB">
          <w:rPr>
            <w:webHidden/>
            <w:szCs w:val="22"/>
          </w:rPr>
          <w:t>201</w:t>
        </w:r>
        <w:r w:rsidR="00726AA1" w:rsidRPr="00E040AB">
          <w:rPr>
            <w:webHidden/>
            <w:szCs w:val="22"/>
          </w:rPr>
          <w:fldChar w:fldCharType="end"/>
        </w:r>
      </w:hyperlink>
    </w:p>
    <w:p w14:paraId="48FCAF12" w14:textId="15D570EF" w:rsidR="00726AA1" w:rsidRPr="00E040AB" w:rsidRDefault="00AA13B3">
      <w:pPr>
        <w:pStyle w:val="TDC3"/>
        <w:rPr>
          <w:rFonts w:eastAsiaTheme="minorEastAsia" w:cstheme="minorBidi"/>
          <w:b w:val="0"/>
          <w:i w:val="0"/>
          <w:iCs w:val="0"/>
          <w:lang w:val="es-MX" w:eastAsia="es-MX"/>
        </w:rPr>
      </w:pPr>
      <w:hyperlink w:anchor="_Toc518032040" w:history="1">
        <w:r w:rsidR="00726AA1" w:rsidRPr="00E040AB">
          <w:rPr>
            <w:rStyle w:val="Hipervnculo"/>
            <w:i w:val="0"/>
          </w:rPr>
          <w:t>8.1.1</w:t>
        </w:r>
        <w:r w:rsidR="00726AA1" w:rsidRPr="00E040AB">
          <w:rPr>
            <w:rFonts w:eastAsiaTheme="minorEastAsia" w:cstheme="minorBidi"/>
            <w:b w:val="0"/>
            <w:i w:val="0"/>
            <w:iCs w:val="0"/>
            <w:lang w:val="es-MX" w:eastAsia="es-MX"/>
          </w:rPr>
          <w:tab/>
        </w:r>
        <w:r w:rsidR="00726AA1" w:rsidRPr="00E040AB">
          <w:rPr>
            <w:rStyle w:val="Hipervnculo"/>
            <w:i w:val="0"/>
          </w:rPr>
          <w:t>Características técnicas mínimas para los tipos de coubicación:</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_Toc518032040 \h </w:instrText>
        </w:r>
        <w:r w:rsidR="00726AA1" w:rsidRPr="00E040AB">
          <w:rPr>
            <w:i w:val="0"/>
            <w:webHidden/>
          </w:rPr>
        </w:r>
        <w:r w:rsidR="00726AA1" w:rsidRPr="00E040AB">
          <w:rPr>
            <w:i w:val="0"/>
            <w:webHidden/>
          </w:rPr>
          <w:fldChar w:fldCharType="separate"/>
        </w:r>
        <w:r w:rsidR="00726AA1" w:rsidRPr="00E040AB">
          <w:rPr>
            <w:i w:val="0"/>
            <w:webHidden/>
          </w:rPr>
          <w:t>204</w:t>
        </w:r>
        <w:r w:rsidR="00726AA1" w:rsidRPr="00E040AB">
          <w:rPr>
            <w:i w:val="0"/>
            <w:webHidden/>
          </w:rPr>
          <w:fldChar w:fldCharType="end"/>
        </w:r>
      </w:hyperlink>
    </w:p>
    <w:p w14:paraId="20D5145E" w14:textId="68BC8C28" w:rsidR="00726AA1" w:rsidRPr="00E040AB" w:rsidRDefault="00AA13B3">
      <w:pPr>
        <w:pStyle w:val="TDC2"/>
        <w:rPr>
          <w:rFonts w:eastAsiaTheme="minorEastAsia" w:cstheme="minorBidi"/>
          <w:b w:val="0"/>
          <w:smallCaps w:val="0"/>
          <w:szCs w:val="22"/>
          <w:lang w:val="es-MX" w:eastAsia="es-MX"/>
        </w:rPr>
      </w:pPr>
      <w:hyperlink w:anchor="_Toc518032041" w:history="1">
        <w:r w:rsidR="00726AA1" w:rsidRPr="00E040AB">
          <w:rPr>
            <w:rStyle w:val="Hipervnculo"/>
            <w:szCs w:val="22"/>
          </w:rPr>
          <w:t>8.2</w:t>
        </w:r>
        <w:r w:rsidR="00726AA1" w:rsidRPr="00E040AB">
          <w:rPr>
            <w:rFonts w:eastAsiaTheme="minorEastAsia" w:cstheme="minorBidi"/>
            <w:b w:val="0"/>
            <w:smallCaps w:val="0"/>
            <w:szCs w:val="22"/>
            <w:lang w:val="es-MX" w:eastAsia="es-MX"/>
          </w:rPr>
          <w:tab/>
        </w:r>
        <w:r w:rsidR="00726AA1" w:rsidRPr="00E040AB">
          <w:rPr>
            <w:rStyle w:val="Hipervnculo"/>
            <w:szCs w:val="22"/>
          </w:rPr>
          <w:t>Adecuaciones disponibles para la Coubicación.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_Toc518032041 \h </w:instrText>
        </w:r>
        <w:r w:rsidR="00726AA1" w:rsidRPr="00E040AB">
          <w:rPr>
            <w:webHidden/>
            <w:szCs w:val="22"/>
          </w:rPr>
        </w:r>
        <w:r w:rsidR="00726AA1" w:rsidRPr="00E040AB">
          <w:rPr>
            <w:webHidden/>
            <w:szCs w:val="22"/>
          </w:rPr>
          <w:fldChar w:fldCharType="separate"/>
        </w:r>
        <w:r w:rsidR="00726AA1" w:rsidRPr="00E040AB">
          <w:rPr>
            <w:webHidden/>
            <w:szCs w:val="22"/>
          </w:rPr>
          <w:t>205</w:t>
        </w:r>
        <w:r w:rsidR="00726AA1" w:rsidRPr="00E040AB">
          <w:rPr>
            <w:webHidden/>
            <w:szCs w:val="22"/>
          </w:rPr>
          <w:fldChar w:fldCharType="end"/>
        </w:r>
      </w:hyperlink>
    </w:p>
    <w:p w14:paraId="297B10EC" w14:textId="6E70372E" w:rsidR="00726AA1" w:rsidRPr="00E040AB" w:rsidRDefault="00AA13B3">
      <w:pPr>
        <w:pStyle w:val="TDC2"/>
        <w:rPr>
          <w:rFonts w:eastAsiaTheme="minorEastAsia" w:cstheme="minorBidi"/>
          <w:b w:val="0"/>
          <w:smallCaps w:val="0"/>
          <w:szCs w:val="22"/>
          <w:lang w:val="es-MX" w:eastAsia="es-MX"/>
        </w:rPr>
      </w:pPr>
      <w:hyperlink w:anchor="_Toc518032042" w:history="1">
        <w:r w:rsidR="00726AA1" w:rsidRPr="00E040AB">
          <w:rPr>
            <w:rStyle w:val="Hipervnculo"/>
            <w:szCs w:val="22"/>
          </w:rPr>
          <w:t>8.3</w:t>
        </w:r>
        <w:r w:rsidR="00726AA1" w:rsidRPr="00E040AB">
          <w:rPr>
            <w:rFonts w:eastAsiaTheme="minorEastAsia" w:cstheme="minorBidi"/>
            <w:b w:val="0"/>
            <w:smallCaps w:val="0"/>
            <w:szCs w:val="22"/>
            <w:lang w:val="es-MX" w:eastAsia="es-MX"/>
          </w:rPr>
          <w:tab/>
        </w:r>
        <w:r w:rsidR="00726AA1" w:rsidRPr="00E040AB">
          <w:rPr>
            <w:rStyle w:val="Hipervnculo"/>
            <w:szCs w:val="22"/>
          </w:rPr>
          <w:t>Identificador de Ubicación en Lenguaje Común (CLLI)</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_Toc518032042 \h </w:instrText>
        </w:r>
        <w:r w:rsidR="00726AA1" w:rsidRPr="00E040AB">
          <w:rPr>
            <w:webHidden/>
            <w:szCs w:val="22"/>
          </w:rPr>
        </w:r>
        <w:r w:rsidR="00726AA1" w:rsidRPr="00E040AB">
          <w:rPr>
            <w:webHidden/>
            <w:szCs w:val="22"/>
          </w:rPr>
          <w:fldChar w:fldCharType="separate"/>
        </w:r>
        <w:r w:rsidR="00726AA1" w:rsidRPr="00E040AB">
          <w:rPr>
            <w:webHidden/>
            <w:szCs w:val="22"/>
          </w:rPr>
          <w:t>205</w:t>
        </w:r>
        <w:r w:rsidR="00726AA1" w:rsidRPr="00E040AB">
          <w:rPr>
            <w:webHidden/>
            <w:szCs w:val="22"/>
          </w:rPr>
          <w:fldChar w:fldCharType="end"/>
        </w:r>
      </w:hyperlink>
    </w:p>
    <w:p w14:paraId="7144FF1B" w14:textId="79A3184E" w:rsidR="00726AA1" w:rsidRPr="00E040AB" w:rsidRDefault="00AA13B3">
      <w:pPr>
        <w:pStyle w:val="TDC2"/>
        <w:rPr>
          <w:rFonts w:eastAsiaTheme="minorEastAsia" w:cstheme="minorBidi"/>
          <w:b w:val="0"/>
          <w:smallCaps w:val="0"/>
          <w:szCs w:val="22"/>
          <w:lang w:val="es-MX" w:eastAsia="es-MX"/>
        </w:rPr>
      </w:pPr>
      <w:hyperlink w:anchor="_Toc518032043" w:history="1">
        <w:r w:rsidR="00726AA1" w:rsidRPr="00E040AB">
          <w:rPr>
            <w:rStyle w:val="Hipervnculo"/>
            <w:szCs w:val="22"/>
          </w:rPr>
          <w:t>8.4</w:t>
        </w:r>
        <w:r w:rsidR="00726AA1" w:rsidRPr="00E040AB">
          <w:rPr>
            <w:rFonts w:eastAsiaTheme="minorEastAsia" w:cstheme="minorBidi"/>
            <w:b w:val="0"/>
            <w:smallCaps w:val="0"/>
            <w:szCs w:val="22"/>
            <w:lang w:val="es-MX" w:eastAsia="es-MX"/>
          </w:rPr>
          <w:tab/>
        </w:r>
        <w:r w:rsidR="00726AA1" w:rsidRPr="00E040AB">
          <w:rPr>
            <w:rStyle w:val="Hipervnculo"/>
            <w:szCs w:val="22"/>
          </w:rPr>
          <w:t>Servicio de Reasignación y Servicio de Recuperación de Espacio de Coubicación para Desagregación.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_Toc518032043 \h </w:instrText>
        </w:r>
        <w:r w:rsidR="00726AA1" w:rsidRPr="00E040AB">
          <w:rPr>
            <w:webHidden/>
            <w:szCs w:val="22"/>
          </w:rPr>
        </w:r>
        <w:r w:rsidR="00726AA1" w:rsidRPr="00E040AB">
          <w:rPr>
            <w:webHidden/>
            <w:szCs w:val="22"/>
          </w:rPr>
          <w:fldChar w:fldCharType="separate"/>
        </w:r>
        <w:r w:rsidR="00726AA1" w:rsidRPr="00E040AB">
          <w:rPr>
            <w:webHidden/>
            <w:szCs w:val="22"/>
          </w:rPr>
          <w:t>206</w:t>
        </w:r>
        <w:r w:rsidR="00726AA1" w:rsidRPr="00E040AB">
          <w:rPr>
            <w:webHidden/>
            <w:szCs w:val="22"/>
          </w:rPr>
          <w:fldChar w:fldCharType="end"/>
        </w:r>
      </w:hyperlink>
    </w:p>
    <w:p w14:paraId="7EFB92AF" w14:textId="5E3AEB97" w:rsidR="00726AA1" w:rsidRPr="00E040AB" w:rsidRDefault="00AA13B3">
      <w:pPr>
        <w:pStyle w:val="TDC2"/>
        <w:rPr>
          <w:rFonts w:eastAsiaTheme="minorEastAsia" w:cstheme="minorBidi"/>
          <w:b w:val="0"/>
          <w:smallCaps w:val="0"/>
          <w:szCs w:val="22"/>
          <w:lang w:val="es-MX" w:eastAsia="es-MX"/>
        </w:rPr>
      </w:pPr>
      <w:hyperlink w:anchor="_Toc518032044" w:history="1">
        <w:r w:rsidR="00726AA1" w:rsidRPr="00E040AB">
          <w:rPr>
            <w:rStyle w:val="Hipervnculo"/>
            <w:szCs w:val="22"/>
          </w:rPr>
          <w:t>8.5</w:t>
        </w:r>
        <w:r w:rsidR="00726AA1" w:rsidRPr="00E040AB">
          <w:rPr>
            <w:rFonts w:eastAsiaTheme="minorEastAsia" w:cstheme="minorBidi"/>
            <w:b w:val="0"/>
            <w:smallCaps w:val="0"/>
            <w:szCs w:val="22"/>
            <w:lang w:val="es-MX" w:eastAsia="es-MX"/>
          </w:rPr>
          <w:tab/>
        </w:r>
        <w:r w:rsidR="00726AA1" w:rsidRPr="00E040AB">
          <w:rPr>
            <w:rStyle w:val="Hipervnculo"/>
            <w:szCs w:val="22"/>
          </w:rPr>
          <w:t>Procedimientos de contratación, modificación, mantenimiento y baja del servicio.</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_Toc518032044 \h </w:instrText>
        </w:r>
        <w:r w:rsidR="00726AA1" w:rsidRPr="00E040AB">
          <w:rPr>
            <w:webHidden/>
            <w:szCs w:val="22"/>
          </w:rPr>
        </w:r>
        <w:r w:rsidR="00726AA1" w:rsidRPr="00E040AB">
          <w:rPr>
            <w:webHidden/>
            <w:szCs w:val="22"/>
          </w:rPr>
          <w:fldChar w:fldCharType="separate"/>
        </w:r>
        <w:r w:rsidR="00726AA1" w:rsidRPr="00E040AB">
          <w:rPr>
            <w:webHidden/>
            <w:szCs w:val="22"/>
          </w:rPr>
          <w:t>207</w:t>
        </w:r>
        <w:r w:rsidR="00726AA1" w:rsidRPr="00E040AB">
          <w:rPr>
            <w:webHidden/>
            <w:szCs w:val="22"/>
          </w:rPr>
          <w:fldChar w:fldCharType="end"/>
        </w:r>
      </w:hyperlink>
    </w:p>
    <w:p w14:paraId="143748BA" w14:textId="5FD28F93" w:rsidR="00726AA1" w:rsidRPr="00E040AB" w:rsidRDefault="00AA13B3">
      <w:pPr>
        <w:pStyle w:val="TDC2"/>
        <w:rPr>
          <w:rFonts w:eastAsiaTheme="minorEastAsia" w:cstheme="minorBidi"/>
          <w:b w:val="0"/>
          <w:smallCaps w:val="0"/>
          <w:szCs w:val="22"/>
          <w:lang w:val="es-MX" w:eastAsia="es-MX"/>
        </w:rPr>
      </w:pPr>
      <w:hyperlink w:anchor="_Toc518032045" w:history="1">
        <w:r w:rsidR="00726AA1" w:rsidRPr="00E040AB">
          <w:rPr>
            <w:rStyle w:val="Hipervnculo"/>
            <w:szCs w:val="22"/>
          </w:rPr>
          <w:t>8.6</w:t>
        </w:r>
        <w:r w:rsidR="00726AA1" w:rsidRPr="00E040AB">
          <w:rPr>
            <w:rFonts w:eastAsiaTheme="minorEastAsia" w:cstheme="minorBidi"/>
            <w:b w:val="0"/>
            <w:smallCaps w:val="0"/>
            <w:szCs w:val="22"/>
            <w:lang w:val="es-MX" w:eastAsia="es-MX"/>
          </w:rPr>
          <w:tab/>
        </w:r>
        <w:r w:rsidR="00726AA1" w:rsidRPr="00E040AB">
          <w:rPr>
            <w:rStyle w:val="Hipervnculo"/>
            <w:szCs w:val="22"/>
          </w:rPr>
          <w:t>Plazos de Entrega de Coubicación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_Toc518032045 \h </w:instrText>
        </w:r>
        <w:r w:rsidR="00726AA1" w:rsidRPr="00E040AB">
          <w:rPr>
            <w:webHidden/>
            <w:szCs w:val="22"/>
          </w:rPr>
        </w:r>
        <w:r w:rsidR="00726AA1" w:rsidRPr="00E040AB">
          <w:rPr>
            <w:webHidden/>
            <w:szCs w:val="22"/>
          </w:rPr>
          <w:fldChar w:fldCharType="separate"/>
        </w:r>
        <w:r w:rsidR="00726AA1" w:rsidRPr="00E040AB">
          <w:rPr>
            <w:webHidden/>
            <w:szCs w:val="22"/>
          </w:rPr>
          <w:t>215</w:t>
        </w:r>
        <w:r w:rsidR="00726AA1" w:rsidRPr="00E040AB">
          <w:rPr>
            <w:webHidden/>
            <w:szCs w:val="22"/>
          </w:rPr>
          <w:fldChar w:fldCharType="end"/>
        </w:r>
      </w:hyperlink>
    </w:p>
    <w:p w14:paraId="27EDB282" w14:textId="25BC02C4" w:rsidR="00726AA1" w:rsidRPr="00E040AB" w:rsidRDefault="00AA13B3">
      <w:pPr>
        <w:pStyle w:val="TDC2"/>
        <w:rPr>
          <w:rFonts w:eastAsiaTheme="minorEastAsia" w:cstheme="minorBidi"/>
          <w:b w:val="0"/>
          <w:smallCaps w:val="0"/>
          <w:szCs w:val="22"/>
          <w:lang w:val="es-MX" w:eastAsia="es-MX"/>
        </w:rPr>
      </w:pPr>
      <w:hyperlink w:anchor="_Toc518032046" w:history="1">
        <w:r w:rsidR="00726AA1" w:rsidRPr="00E040AB">
          <w:rPr>
            <w:rStyle w:val="Hipervnculo"/>
            <w:szCs w:val="22"/>
          </w:rPr>
          <w:t>8.7</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para los Servicios de Coubicación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_Toc518032046 \h </w:instrText>
        </w:r>
        <w:r w:rsidR="00726AA1" w:rsidRPr="00E040AB">
          <w:rPr>
            <w:webHidden/>
            <w:szCs w:val="22"/>
          </w:rPr>
        </w:r>
        <w:r w:rsidR="00726AA1" w:rsidRPr="00E040AB">
          <w:rPr>
            <w:webHidden/>
            <w:szCs w:val="22"/>
          </w:rPr>
          <w:fldChar w:fldCharType="separate"/>
        </w:r>
        <w:r w:rsidR="00726AA1" w:rsidRPr="00E040AB">
          <w:rPr>
            <w:webHidden/>
            <w:szCs w:val="22"/>
          </w:rPr>
          <w:t>215</w:t>
        </w:r>
        <w:r w:rsidR="00726AA1" w:rsidRPr="00E040AB">
          <w:rPr>
            <w:webHidden/>
            <w:szCs w:val="22"/>
          </w:rPr>
          <w:fldChar w:fldCharType="end"/>
        </w:r>
      </w:hyperlink>
    </w:p>
    <w:p w14:paraId="64E5DBC6" w14:textId="70859035" w:rsidR="00726AA1" w:rsidRPr="00E040AB" w:rsidRDefault="00AA13B3">
      <w:pPr>
        <w:pStyle w:val="TDC3"/>
        <w:rPr>
          <w:rFonts w:eastAsiaTheme="minorEastAsia" w:cstheme="minorBidi"/>
          <w:b w:val="0"/>
          <w:i w:val="0"/>
          <w:iCs w:val="0"/>
          <w:lang w:val="es-MX" w:eastAsia="es-MX"/>
        </w:rPr>
      </w:pPr>
      <w:hyperlink w:anchor="_Toc518032047" w:history="1">
        <w:r w:rsidR="00726AA1" w:rsidRPr="00E040AB">
          <w:rPr>
            <w:rStyle w:val="Hipervnculo"/>
            <w:i w:val="0"/>
          </w:rPr>
          <w:t>8.7.1</w:t>
        </w:r>
        <w:r w:rsidR="00726AA1" w:rsidRPr="00E040AB">
          <w:rPr>
            <w:rFonts w:eastAsiaTheme="minorEastAsia" w:cstheme="minorBidi"/>
            <w:b w:val="0"/>
            <w:i w:val="0"/>
            <w:iCs w:val="0"/>
            <w:lang w:val="es-MX" w:eastAsia="es-MX"/>
          </w:rPr>
          <w:tab/>
        </w:r>
        <w:r w:rsidR="00726AA1" w:rsidRPr="00E040AB">
          <w:rPr>
            <w:rStyle w:val="Hipervnculo"/>
            <w:i w:val="0"/>
          </w:rPr>
          <w:t>Propuesta de mejora de parámetros de calidad</w:t>
        </w:r>
        <w:r w:rsidR="00726AA1" w:rsidRPr="00E040AB">
          <w:rPr>
            <w:i w:val="0"/>
            <w:webHidden/>
          </w:rPr>
          <w:tab/>
        </w:r>
        <w:r w:rsidR="00726AA1" w:rsidRPr="00E040AB">
          <w:rPr>
            <w:i w:val="0"/>
            <w:webHidden/>
          </w:rPr>
          <w:fldChar w:fldCharType="begin"/>
        </w:r>
        <w:r w:rsidR="00726AA1" w:rsidRPr="00E040AB">
          <w:rPr>
            <w:i w:val="0"/>
            <w:webHidden/>
          </w:rPr>
          <w:instrText xml:space="preserve"> PAGEREF _Toc518032047 \h </w:instrText>
        </w:r>
        <w:r w:rsidR="00726AA1" w:rsidRPr="00E040AB">
          <w:rPr>
            <w:i w:val="0"/>
            <w:webHidden/>
          </w:rPr>
        </w:r>
        <w:r w:rsidR="00726AA1" w:rsidRPr="00E040AB">
          <w:rPr>
            <w:i w:val="0"/>
            <w:webHidden/>
          </w:rPr>
          <w:fldChar w:fldCharType="separate"/>
        </w:r>
        <w:r w:rsidR="00726AA1" w:rsidRPr="00E040AB">
          <w:rPr>
            <w:i w:val="0"/>
            <w:webHidden/>
          </w:rPr>
          <w:t>218</w:t>
        </w:r>
        <w:r w:rsidR="00726AA1" w:rsidRPr="00E040AB">
          <w:rPr>
            <w:i w:val="0"/>
            <w:webHidden/>
          </w:rPr>
          <w:fldChar w:fldCharType="end"/>
        </w:r>
      </w:hyperlink>
    </w:p>
    <w:p w14:paraId="612D1DC2" w14:textId="687C8F19" w:rsidR="00726AA1" w:rsidRPr="00E040AB" w:rsidRDefault="00AA13B3">
      <w:pPr>
        <w:pStyle w:val="TDC2"/>
        <w:rPr>
          <w:rFonts w:eastAsiaTheme="minorEastAsia" w:cstheme="minorBidi"/>
          <w:b w:val="0"/>
          <w:smallCaps w:val="0"/>
          <w:szCs w:val="22"/>
          <w:lang w:val="es-MX" w:eastAsia="es-MX"/>
        </w:rPr>
      </w:pPr>
      <w:hyperlink w:anchor="_Toc518032048" w:history="1">
        <w:r w:rsidR="00726AA1" w:rsidRPr="00E040AB">
          <w:rPr>
            <w:rStyle w:val="Hipervnculo"/>
            <w:szCs w:val="22"/>
          </w:rPr>
          <w:t>8.8</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la entrega del Servicio de Coubicación para Desagregación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_Toc518032048 \h </w:instrText>
        </w:r>
        <w:r w:rsidR="00726AA1" w:rsidRPr="00E040AB">
          <w:rPr>
            <w:webHidden/>
            <w:szCs w:val="22"/>
          </w:rPr>
        </w:r>
        <w:r w:rsidR="00726AA1" w:rsidRPr="00E040AB">
          <w:rPr>
            <w:webHidden/>
            <w:szCs w:val="22"/>
          </w:rPr>
          <w:fldChar w:fldCharType="separate"/>
        </w:r>
        <w:r w:rsidR="00726AA1" w:rsidRPr="00E040AB">
          <w:rPr>
            <w:webHidden/>
            <w:szCs w:val="22"/>
          </w:rPr>
          <w:t>218</w:t>
        </w:r>
        <w:r w:rsidR="00726AA1" w:rsidRPr="00E040AB">
          <w:rPr>
            <w:webHidden/>
            <w:szCs w:val="22"/>
          </w:rPr>
          <w:fldChar w:fldCharType="end"/>
        </w:r>
      </w:hyperlink>
    </w:p>
    <w:p w14:paraId="1ADB8BB9" w14:textId="07014AC3" w:rsidR="00726AA1" w:rsidRPr="00E040AB" w:rsidRDefault="00AA13B3">
      <w:pPr>
        <w:pStyle w:val="TDC2"/>
        <w:rPr>
          <w:rFonts w:eastAsiaTheme="minorEastAsia" w:cstheme="minorBidi"/>
          <w:b w:val="0"/>
          <w:smallCaps w:val="0"/>
          <w:szCs w:val="22"/>
          <w:lang w:val="es-MX" w:eastAsia="es-MX"/>
        </w:rPr>
      </w:pPr>
      <w:hyperlink w:anchor="_Toc518032049" w:history="1">
        <w:r w:rsidR="00726AA1" w:rsidRPr="00E040AB">
          <w:rPr>
            <w:rStyle w:val="Hipervnculo"/>
            <w:szCs w:val="22"/>
          </w:rPr>
          <w:t>8.9</w:t>
        </w:r>
        <w:r w:rsidR="00726AA1" w:rsidRPr="00E040AB">
          <w:rPr>
            <w:rFonts w:eastAsiaTheme="minorEastAsia" w:cstheme="minorBidi"/>
            <w:b w:val="0"/>
            <w:smallCaps w:val="0"/>
            <w:szCs w:val="22"/>
            <w:lang w:val="es-MX" w:eastAsia="es-MX"/>
          </w:rPr>
          <w:tab/>
        </w:r>
        <w:r w:rsidR="00726AA1" w:rsidRPr="00E040AB">
          <w:rPr>
            <w:rStyle w:val="Hipervnculo"/>
            <w:szCs w:val="22"/>
          </w:rPr>
          <w:t>Formatos del Servicio de Coubicación para Desagregación</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_Toc518032049 \h </w:instrText>
        </w:r>
        <w:r w:rsidR="00726AA1" w:rsidRPr="00E040AB">
          <w:rPr>
            <w:webHidden/>
            <w:szCs w:val="22"/>
          </w:rPr>
        </w:r>
        <w:r w:rsidR="00726AA1" w:rsidRPr="00E040AB">
          <w:rPr>
            <w:webHidden/>
            <w:szCs w:val="22"/>
          </w:rPr>
          <w:fldChar w:fldCharType="separate"/>
        </w:r>
        <w:r w:rsidR="00726AA1" w:rsidRPr="00E040AB">
          <w:rPr>
            <w:webHidden/>
            <w:szCs w:val="22"/>
          </w:rPr>
          <w:t>219</w:t>
        </w:r>
        <w:r w:rsidR="00726AA1" w:rsidRPr="00E040AB">
          <w:rPr>
            <w:webHidden/>
            <w:szCs w:val="22"/>
          </w:rPr>
          <w:fldChar w:fldCharType="end"/>
        </w:r>
      </w:hyperlink>
    </w:p>
    <w:p w14:paraId="738BEF6D" w14:textId="7A266249"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2050" w:history="1">
        <w:r w:rsidR="00726AA1" w:rsidRPr="00E040AB">
          <w:rPr>
            <w:rStyle w:val="Hipervnculo"/>
            <w:rFonts w:asciiTheme="minorHAnsi" w:hAnsiTheme="minorHAnsi"/>
            <w:sz w:val="22"/>
            <w:szCs w:val="22"/>
          </w:rPr>
          <w:t>9.</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Trabajos Especiales</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_Toc518032050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223</w:t>
        </w:r>
        <w:r w:rsidR="00726AA1" w:rsidRPr="00E040AB">
          <w:rPr>
            <w:rFonts w:asciiTheme="minorHAnsi" w:hAnsiTheme="minorHAnsi"/>
            <w:webHidden/>
            <w:sz w:val="22"/>
            <w:szCs w:val="22"/>
          </w:rPr>
          <w:fldChar w:fldCharType="end"/>
        </w:r>
      </w:hyperlink>
    </w:p>
    <w:p w14:paraId="5A6D23C7" w14:textId="7971973B" w:rsidR="00726AA1" w:rsidRPr="00E040AB" w:rsidRDefault="00AA13B3">
      <w:pPr>
        <w:pStyle w:val="TDC2"/>
        <w:rPr>
          <w:rFonts w:eastAsiaTheme="minorEastAsia" w:cstheme="minorBidi"/>
          <w:b w:val="0"/>
          <w:smallCaps w:val="0"/>
          <w:szCs w:val="22"/>
          <w:lang w:val="es-MX" w:eastAsia="es-MX"/>
        </w:rPr>
      </w:pPr>
      <w:hyperlink w:anchor="_Toc518032051" w:history="1">
        <w:r w:rsidR="00726AA1" w:rsidRPr="00E040AB">
          <w:rPr>
            <w:rStyle w:val="Hipervnculo"/>
            <w:szCs w:val="22"/>
          </w:rPr>
          <w:t>9.1</w:t>
        </w:r>
        <w:r w:rsidR="00726AA1" w:rsidRPr="00E040AB">
          <w:rPr>
            <w:rFonts w:eastAsiaTheme="minorEastAsia" w:cstheme="minorBidi"/>
            <w:b w:val="0"/>
            <w:smallCaps w:val="0"/>
            <w:szCs w:val="22"/>
            <w:lang w:val="es-MX" w:eastAsia="es-MX"/>
          </w:rPr>
          <w:tab/>
        </w:r>
        <w:r w:rsidR="00726AA1" w:rsidRPr="00E040AB">
          <w:rPr>
            <w:rStyle w:val="Hipervnculo"/>
            <w:szCs w:val="22"/>
          </w:rPr>
          <w:t>Procedimiento para solicitud, aceptación y entrega de Trabajos Especiales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_Toc518032051 \h </w:instrText>
        </w:r>
        <w:r w:rsidR="00726AA1" w:rsidRPr="00E040AB">
          <w:rPr>
            <w:webHidden/>
            <w:szCs w:val="22"/>
          </w:rPr>
        </w:r>
        <w:r w:rsidR="00726AA1" w:rsidRPr="00E040AB">
          <w:rPr>
            <w:webHidden/>
            <w:szCs w:val="22"/>
          </w:rPr>
          <w:fldChar w:fldCharType="separate"/>
        </w:r>
        <w:r w:rsidR="00726AA1" w:rsidRPr="00E040AB">
          <w:rPr>
            <w:webHidden/>
            <w:szCs w:val="22"/>
          </w:rPr>
          <w:t>224</w:t>
        </w:r>
        <w:r w:rsidR="00726AA1" w:rsidRPr="00E040AB">
          <w:rPr>
            <w:webHidden/>
            <w:szCs w:val="22"/>
          </w:rPr>
          <w:fldChar w:fldCharType="end"/>
        </w:r>
      </w:hyperlink>
    </w:p>
    <w:p w14:paraId="28027AD0" w14:textId="46689852" w:rsidR="00726AA1" w:rsidRPr="00E040AB" w:rsidRDefault="00AA13B3">
      <w:pPr>
        <w:pStyle w:val="TDC2"/>
        <w:rPr>
          <w:rFonts w:eastAsiaTheme="minorEastAsia" w:cstheme="minorBidi"/>
          <w:b w:val="0"/>
          <w:smallCaps w:val="0"/>
          <w:szCs w:val="22"/>
          <w:lang w:val="es-MX" w:eastAsia="es-MX"/>
        </w:rPr>
      </w:pPr>
      <w:hyperlink w:anchor="_Toc518032052" w:history="1">
        <w:r w:rsidR="00726AA1" w:rsidRPr="00E040AB">
          <w:rPr>
            <w:rStyle w:val="Hipervnculo"/>
            <w:szCs w:val="22"/>
          </w:rPr>
          <w:t>9.2</w:t>
        </w:r>
        <w:r w:rsidR="00726AA1" w:rsidRPr="00E040AB">
          <w:rPr>
            <w:rFonts w:eastAsiaTheme="minorEastAsia" w:cstheme="minorBidi"/>
            <w:b w:val="0"/>
            <w:smallCaps w:val="0"/>
            <w:szCs w:val="22"/>
            <w:lang w:val="es-MX" w:eastAsia="es-MX"/>
          </w:rPr>
          <w:tab/>
        </w:r>
        <w:r w:rsidR="00726AA1" w:rsidRPr="00E040AB">
          <w:rPr>
            <w:rStyle w:val="Hipervnculo"/>
            <w:szCs w:val="22"/>
          </w:rPr>
          <w:t>Parámetros e Indicadores de Calidad de Trabajos Especiales</w:t>
        </w:r>
        <w:r w:rsidR="00726AA1" w:rsidRPr="00E040AB">
          <w:rPr>
            <w:webHidden/>
            <w:szCs w:val="22"/>
          </w:rPr>
          <w:tab/>
        </w:r>
        <w:r w:rsidR="00726AA1" w:rsidRPr="00E040AB">
          <w:rPr>
            <w:webHidden/>
            <w:szCs w:val="22"/>
          </w:rPr>
          <w:fldChar w:fldCharType="begin"/>
        </w:r>
        <w:r w:rsidR="00726AA1" w:rsidRPr="00E040AB">
          <w:rPr>
            <w:webHidden/>
            <w:szCs w:val="22"/>
          </w:rPr>
          <w:instrText xml:space="preserve"> PAGEREF _Toc518032052 \h </w:instrText>
        </w:r>
        <w:r w:rsidR="00726AA1" w:rsidRPr="00E040AB">
          <w:rPr>
            <w:webHidden/>
            <w:szCs w:val="22"/>
          </w:rPr>
        </w:r>
        <w:r w:rsidR="00726AA1" w:rsidRPr="00E040AB">
          <w:rPr>
            <w:webHidden/>
            <w:szCs w:val="22"/>
          </w:rPr>
          <w:fldChar w:fldCharType="separate"/>
        </w:r>
        <w:r w:rsidR="00726AA1" w:rsidRPr="00E040AB">
          <w:rPr>
            <w:webHidden/>
            <w:szCs w:val="22"/>
          </w:rPr>
          <w:t>225</w:t>
        </w:r>
        <w:r w:rsidR="00726AA1" w:rsidRPr="00E040AB">
          <w:rPr>
            <w:webHidden/>
            <w:szCs w:val="22"/>
          </w:rPr>
          <w:fldChar w:fldCharType="end"/>
        </w:r>
      </w:hyperlink>
    </w:p>
    <w:p w14:paraId="022E3829" w14:textId="2B085193" w:rsidR="00726AA1" w:rsidRPr="00E040AB" w:rsidRDefault="00AA13B3">
      <w:pPr>
        <w:pStyle w:val="TDC1"/>
        <w:rPr>
          <w:rFonts w:asciiTheme="minorHAnsi" w:eastAsiaTheme="minorEastAsia" w:hAnsiTheme="minorHAnsi" w:cstheme="minorBidi"/>
          <w:bCs w:val="0"/>
          <w:caps w:val="0"/>
          <w:sz w:val="22"/>
          <w:szCs w:val="22"/>
          <w:lang w:val="es-MX" w:eastAsia="es-MX"/>
        </w:rPr>
      </w:pPr>
      <w:hyperlink w:anchor="_Toc518032053" w:history="1">
        <w:r w:rsidR="00726AA1" w:rsidRPr="00E040AB">
          <w:rPr>
            <w:rStyle w:val="Hipervnculo"/>
            <w:rFonts w:asciiTheme="minorHAnsi" w:hAnsiTheme="minorHAnsi"/>
            <w:sz w:val="22"/>
            <w:szCs w:val="22"/>
          </w:rPr>
          <w:t>10.</w:t>
        </w:r>
        <w:r w:rsidR="00726AA1" w:rsidRPr="00E040AB">
          <w:rPr>
            <w:rFonts w:asciiTheme="minorHAnsi" w:eastAsiaTheme="minorEastAsia" w:hAnsiTheme="minorHAnsi" w:cstheme="minorBidi"/>
            <w:bCs w:val="0"/>
            <w:caps w:val="0"/>
            <w:sz w:val="22"/>
            <w:szCs w:val="22"/>
            <w:lang w:val="es-MX" w:eastAsia="es-MX"/>
          </w:rPr>
          <w:tab/>
        </w:r>
        <w:r w:rsidR="00726AA1" w:rsidRPr="00E040AB">
          <w:rPr>
            <w:rStyle w:val="Hipervnculo"/>
            <w:rFonts w:asciiTheme="minorHAnsi" w:hAnsiTheme="minorHAnsi"/>
            <w:sz w:val="22"/>
            <w:szCs w:val="22"/>
          </w:rPr>
          <w:t>Servicio Opcional de Cableado Interior de usuario final</w:t>
        </w:r>
        <w:r w:rsidR="00726AA1" w:rsidRPr="00E040AB">
          <w:rPr>
            <w:rFonts w:asciiTheme="minorHAnsi" w:hAnsiTheme="minorHAnsi"/>
            <w:webHidden/>
            <w:sz w:val="22"/>
            <w:szCs w:val="22"/>
          </w:rPr>
          <w:tab/>
        </w:r>
        <w:r w:rsidR="00726AA1" w:rsidRPr="00E040AB">
          <w:rPr>
            <w:rFonts w:asciiTheme="minorHAnsi" w:hAnsiTheme="minorHAnsi"/>
            <w:webHidden/>
            <w:sz w:val="22"/>
            <w:szCs w:val="22"/>
          </w:rPr>
          <w:fldChar w:fldCharType="begin"/>
        </w:r>
        <w:r w:rsidR="00726AA1" w:rsidRPr="00E040AB">
          <w:rPr>
            <w:rFonts w:asciiTheme="minorHAnsi" w:hAnsiTheme="minorHAnsi"/>
            <w:webHidden/>
            <w:sz w:val="22"/>
            <w:szCs w:val="22"/>
          </w:rPr>
          <w:instrText xml:space="preserve"> PAGEREF _Toc518032053 \h </w:instrText>
        </w:r>
        <w:r w:rsidR="00726AA1" w:rsidRPr="00E040AB">
          <w:rPr>
            <w:rFonts w:asciiTheme="minorHAnsi" w:hAnsiTheme="minorHAnsi"/>
            <w:webHidden/>
            <w:sz w:val="22"/>
            <w:szCs w:val="22"/>
          </w:rPr>
        </w:r>
        <w:r w:rsidR="00726AA1" w:rsidRPr="00E040AB">
          <w:rPr>
            <w:rFonts w:asciiTheme="minorHAnsi" w:hAnsiTheme="minorHAnsi"/>
            <w:webHidden/>
            <w:sz w:val="22"/>
            <w:szCs w:val="22"/>
          </w:rPr>
          <w:fldChar w:fldCharType="separate"/>
        </w:r>
        <w:r w:rsidR="00726AA1" w:rsidRPr="00E040AB">
          <w:rPr>
            <w:rFonts w:asciiTheme="minorHAnsi" w:hAnsiTheme="minorHAnsi"/>
            <w:webHidden/>
            <w:sz w:val="22"/>
            <w:szCs w:val="22"/>
          </w:rPr>
          <w:t>225</w:t>
        </w:r>
        <w:r w:rsidR="00726AA1" w:rsidRPr="00E040AB">
          <w:rPr>
            <w:rFonts w:asciiTheme="minorHAnsi" w:hAnsiTheme="minorHAnsi"/>
            <w:webHidden/>
            <w:sz w:val="22"/>
            <w:szCs w:val="22"/>
          </w:rPr>
          <w:fldChar w:fldCharType="end"/>
        </w:r>
      </w:hyperlink>
    </w:p>
    <w:p w14:paraId="3DB83908" w14:textId="16DF1D69" w:rsidR="00A26B23" w:rsidRPr="00D936CA" w:rsidRDefault="00AC69D3" w:rsidP="00D936CA">
      <w:pPr>
        <w:spacing w:line="360" w:lineRule="auto"/>
        <w:contextualSpacing/>
        <w:mirrorIndents/>
        <w:jc w:val="both"/>
        <w:rPr>
          <w:rFonts w:ascii="ITC Avant Garde Std Bk" w:hAnsi="ITC Avant Garde Std Bk" w:cs="Arial"/>
          <w:sz w:val="20"/>
          <w:szCs w:val="20"/>
          <w:lang w:val="es-MX"/>
        </w:rPr>
      </w:pPr>
      <w:r w:rsidRPr="00E040AB">
        <w:rPr>
          <w:rFonts w:cs="Arial"/>
          <w:sz w:val="22"/>
          <w:szCs w:val="22"/>
          <w:lang w:val="es-MX"/>
        </w:rPr>
        <w:fldChar w:fldCharType="end"/>
      </w:r>
      <w:bookmarkStart w:id="19" w:name="_Hlt120011809"/>
      <w:bookmarkStart w:id="20" w:name="_Toc375583281"/>
      <w:bookmarkEnd w:id="17"/>
      <w:bookmarkEnd w:id="18"/>
      <w:bookmarkEnd w:id="19"/>
    </w:p>
    <w:p w14:paraId="309862A7" w14:textId="77777777" w:rsidR="00A26B23" w:rsidRPr="00D936CA" w:rsidRDefault="00A26B23" w:rsidP="00D936CA">
      <w:pPr>
        <w:spacing w:line="360" w:lineRule="auto"/>
        <w:contextualSpacing/>
        <w:mirrorIndents/>
        <w:jc w:val="both"/>
        <w:rPr>
          <w:rFonts w:ascii="ITC Avant Garde" w:hAnsi="ITC Avant Garde" w:cs="Arial"/>
          <w:sz w:val="20"/>
          <w:szCs w:val="20"/>
          <w:lang w:val="es-MX"/>
        </w:rPr>
        <w:sectPr w:rsidR="00A26B23" w:rsidRPr="00D936CA" w:rsidSect="00EE3826">
          <w:headerReference w:type="even" r:id="rId12"/>
          <w:headerReference w:type="default" r:id="rId13"/>
          <w:headerReference w:type="first" r:id="rId14"/>
          <w:pgSz w:w="12242" w:h="15842" w:code="1"/>
          <w:pgMar w:top="1417" w:right="1701" w:bottom="1417" w:left="1701" w:header="567" w:footer="567" w:gutter="0"/>
          <w:cols w:space="720"/>
          <w:docGrid w:linePitch="326"/>
        </w:sectPr>
      </w:pPr>
    </w:p>
    <w:p w14:paraId="33CFE47A" w14:textId="77777777" w:rsidR="00CD03BB" w:rsidRPr="00D936CA" w:rsidRDefault="00CD03BB" w:rsidP="00D936CA">
      <w:pPr>
        <w:pStyle w:val="Ttulo1"/>
      </w:pPr>
      <w:bookmarkStart w:id="21" w:name="_Toc436840860"/>
      <w:bookmarkStart w:id="22" w:name="_Toc436846297"/>
      <w:bookmarkStart w:id="23" w:name="_Toc436848247"/>
      <w:bookmarkStart w:id="24" w:name="_Toc436856495"/>
      <w:bookmarkStart w:id="25" w:name="_Toc436862641"/>
      <w:bookmarkStart w:id="26" w:name="_Toc436866291"/>
      <w:bookmarkStart w:id="27" w:name="_Toc436870870"/>
      <w:bookmarkStart w:id="28" w:name="_Toc436875862"/>
      <w:bookmarkStart w:id="29" w:name="_Toc467248672"/>
      <w:bookmarkStart w:id="30" w:name="_Toc518031944"/>
      <w:bookmarkEnd w:id="20"/>
      <w:r w:rsidRPr="00D936CA">
        <w:lastRenderedPageBreak/>
        <w:t>Definiciones</w:t>
      </w:r>
      <w:bookmarkEnd w:id="21"/>
      <w:bookmarkEnd w:id="22"/>
      <w:bookmarkEnd w:id="23"/>
      <w:bookmarkEnd w:id="24"/>
      <w:bookmarkEnd w:id="25"/>
      <w:bookmarkEnd w:id="26"/>
      <w:bookmarkEnd w:id="27"/>
      <w:bookmarkEnd w:id="28"/>
      <w:bookmarkEnd w:id="29"/>
      <w:bookmarkEnd w:id="30"/>
      <w:r w:rsidRPr="00D936CA">
        <w:t xml:space="preserve"> </w:t>
      </w:r>
    </w:p>
    <w:p w14:paraId="33CFE47B" w14:textId="5B4B93CE"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Acometida o conexión al domicilio del usuario final:</w:t>
      </w:r>
      <w:r w:rsidRPr="00D936CA">
        <w:rPr>
          <w:rFonts w:ascii="ITC Avant Garde" w:hAnsi="ITC Avant Garde"/>
          <w:sz w:val="22"/>
          <w:szCs w:val="22"/>
          <w:lang w:val="es-ES"/>
        </w:rPr>
        <w:t xml:space="preserve"> Infraestructura de telecomunicaciones que permite conectar desde la caja terminal de distribución de la red local de </w:t>
      </w:r>
      <w:r w:rsidR="00910798" w:rsidRPr="00D936CA">
        <w:rPr>
          <w:rFonts w:ascii="ITC Avant Garde" w:hAnsi="ITC Avant Garde"/>
          <w:sz w:val="22"/>
          <w:szCs w:val="22"/>
          <w:lang w:val="es-ES"/>
        </w:rPr>
        <w:t>Teléfonos de México, S.A.B. de C.V</w:t>
      </w:r>
      <w:r w:rsidRPr="00D936CA">
        <w:rPr>
          <w:rFonts w:ascii="ITC Avant Garde" w:hAnsi="ITC Avant Garde"/>
          <w:sz w:val="22"/>
          <w:szCs w:val="22"/>
          <w:lang w:val="es-ES"/>
        </w:rPr>
        <w:t xml:space="preserve"> </w:t>
      </w:r>
      <w:r w:rsidR="00412551" w:rsidRPr="00D936CA">
        <w:rPr>
          <w:rFonts w:ascii="ITC Avant Garde" w:hAnsi="ITC Avant Garde"/>
          <w:sz w:val="22"/>
          <w:szCs w:val="22"/>
          <w:lang w:val="es-ES"/>
        </w:rPr>
        <w:t>(</w:t>
      </w:r>
      <w:r w:rsidRPr="00D936CA">
        <w:rPr>
          <w:rFonts w:ascii="ITC Avant Garde" w:hAnsi="ITC Avant Garde"/>
          <w:sz w:val="22"/>
          <w:szCs w:val="22"/>
          <w:lang w:val="es-ES"/>
        </w:rPr>
        <w:t>Telmex</w:t>
      </w:r>
      <w:r w:rsidR="00412551" w:rsidRPr="00D936CA">
        <w:rPr>
          <w:rFonts w:ascii="ITC Avant Garde" w:hAnsi="ITC Avant Garde"/>
          <w:sz w:val="22"/>
          <w:szCs w:val="22"/>
        </w:rPr>
        <w:t>)</w:t>
      </w:r>
      <w:r w:rsidRPr="00D936CA">
        <w:rPr>
          <w:rFonts w:ascii="ITC Avant Garde" w:hAnsi="ITC Avant Garde"/>
          <w:sz w:val="22"/>
          <w:szCs w:val="22"/>
          <w:lang w:val="es-ES"/>
        </w:rPr>
        <w:t xml:space="preserve"> hasta el punto de conexión terminal de la red ubicado en el domicilio del usuario.</w:t>
      </w:r>
    </w:p>
    <w:p w14:paraId="33CFE47C" w14:textId="5DE06A27"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Acuerdo de Nivel de Servicio: </w:t>
      </w:r>
      <w:r w:rsidRPr="00D936CA">
        <w:rPr>
          <w:rFonts w:ascii="ITC Avant Garde" w:hAnsi="ITC Avant Garde"/>
          <w:sz w:val="22"/>
          <w:szCs w:val="22"/>
          <w:lang w:val="es-ES"/>
        </w:rPr>
        <w:t xml:space="preserve">Acuerdo formal entre dos o más </w:t>
      </w:r>
      <w:r w:rsidR="00387038" w:rsidRPr="00D936CA">
        <w:rPr>
          <w:rFonts w:ascii="ITC Avant Garde" w:hAnsi="ITC Avant Garde"/>
          <w:sz w:val="22"/>
          <w:szCs w:val="22"/>
          <w:lang w:val="es-ES"/>
        </w:rPr>
        <w:t>partes</w:t>
      </w:r>
      <w:r w:rsidR="006A451C" w:rsidRPr="00D936CA">
        <w:rPr>
          <w:rFonts w:ascii="ITC Avant Garde" w:hAnsi="ITC Avant Garde"/>
          <w:sz w:val="22"/>
          <w:szCs w:val="22"/>
          <w:lang w:val="es-ES"/>
        </w:rPr>
        <w:t xml:space="preserve"> </w:t>
      </w:r>
      <w:r w:rsidRPr="00D936CA">
        <w:rPr>
          <w:rFonts w:ascii="ITC Avant Garde" w:hAnsi="ITC Avant Garde"/>
          <w:sz w:val="22"/>
          <w:szCs w:val="22"/>
          <w:lang w:val="es-ES"/>
        </w:rPr>
        <w:t>que se alcanza después de un periodo de negociación con el fin de establecer las características del servicio, las responsabilidades</w:t>
      </w:r>
      <w:r w:rsidR="00AD6A62" w:rsidRPr="00D936CA">
        <w:rPr>
          <w:rFonts w:ascii="ITC Avant Garde" w:hAnsi="ITC Avant Garde"/>
          <w:sz w:val="22"/>
          <w:szCs w:val="22"/>
          <w:lang w:val="es-ES"/>
        </w:rPr>
        <w:t>,</w:t>
      </w:r>
      <w:r w:rsidRPr="00D936CA">
        <w:rPr>
          <w:rFonts w:ascii="ITC Avant Garde" w:hAnsi="ITC Avant Garde"/>
          <w:sz w:val="22"/>
          <w:szCs w:val="22"/>
          <w:lang w:val="es-ES"/>
        </w:rPr>
        <w:t xml:space="preserve"> las </w:t>
      </w:r>
      <w:r w:rsidRPr="00D936CA" w:rsidDel="00895FF2">
        <w:rPr>
          <w:rFonts w:ascii="ITC Avant Garde" w:hAnsi="ITC Avant Garde"/>
          <w:sz w:val="22"/>
          <w:szCs w:val="22"/>
          <w:lang w:val="es-ES"/>
        </w:rPr>
        <w:t>prioridades</w:t>
      </w:r>
      <w:r w:rsidRPr="00D936CA">
        <w:rPr>
          <w:rFonts w:ascii="ITC Avant Garde" w:hAnsi="ITC Avant Garde"/>
          <w:sz w:val="22"/>
          <w:szCs w:val="22"/>
          <w:lang w:val="es-ES"/>
        </w:rPr>
        <w:t>, y los derechos y obligaciones de todas las partes.</w:t>
      </w:r>
    </w:p>
    <w:p w14:paraId="33CFE47D" w14:textId="77777777" w:rsidR="00F777E5" w:rsidRPr="00D936CA" w:rsidRDefault="00F777E5"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Agente Económico Preponderante:</w:t>
      </w:r>
      <w:r w:rsidRPr="00D936CA">
        <w:rPr>
          <w:rFonts w:ascii="ITC Avant Garde" w:hAnsi="ITC Avant Garde"/>
          <w:sz w:val="22"/>
          <w:szCs w:val="22"/>
          <w:lang w:val="es-ES"/>
        </w:rPr>
        <w:t xml:space="preserve"> Grupo de Interés Económico del que forman parte América Móvil, S.A.B. de C. V., Teléfonos de México, S.A.B. de C.V., Teléfonos del Noroeste, S.A. de C.V., Radiomóvil Dipsa, S.A. de C.V., Grupo Carso, S.A.B. de C.V., y Grupo Financiero Inbursa, S.A.B. de C.V.</w:t>
      </w:r>
    </w:p>
    <w:p w14:paraId="33CFE47E" w14:textId="5B2952AC" w:rsidR="00CD03BB"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Anexo de Caja de Distribución:</w:t>
      </w:r>
      <w:r w:rsidRPr="00D936CA">
        <w:rPr>
          <w:rFonts w:ascii="ITC Avant Garde" w:hAnsi="ITC Avant Garde"/>
          <w:sz w:val="22"/>
          <w:szCs w:val="22"/>
          <w:lang w:val="es-ES"/>
        </w:rPr>
        <w:t xml:space="preserve"> Elemento de red de Planta Externa que se instala adjunto a la Caja de Distribución que permite terminar el cable de cobre en los puertos de los equipos de telecomunicaciones para acceder a la red secundaria.</w:t>
      </w:r>
    </w:p>
    <w:p w14:paraId="5B556F91" w14:textId="033443A8" w:rsidR="00F36FCE" w:rsidRPr="00D936CA" w:rsidRDefault="00F36FCE" w:rsidP="00D936CA">
      <w:pPr>
        <w:pStyle w:val="Prrafodelista"/>
        <w:numPr>
          <w:ilvl w:val="0"/>
          <w:numId w:val="26"/>
        </w:numPr>
        <w:spacing w:after="200" w:line="276" w:lineRule="auto"/>
        <w:ind w:left="426"/>
        <w:jc w:val="both"/>
        <w:rPr>
          <w:rFonts w:ascii="ITC Avant Garde" w:hAnsi="ITC Avant Garde"/>
          <w:sz w:val="22"/>
          <w:szCs w:val="22"/>
          <w:lang w:val="es-ES"/>
        </w:rPr>
      </w:pPr>
      <w:r>
        <w:rPr>
          <w:rFonts w:ascii="ITC Avant Garde" w:hAnsi="ITC Avant Garde"/>
          <w:b/>
          <w:i/>
          <w:sz w:val="22"/>
          <w:szCs w:val="22"/>
          <w:lang w:val="es-ES"/>
        </w:rPr>
        <w:t>Autorizado Solicitante:</w:t>
      </w:r>
      <w:r>
        <w:rPr>
          <w:rFonts w:ascii="ITC Avant Garde" w:hAnsi="ITC Avant Garde"/>
          <w:sz w:val="22"/>
          <w:szCs w:val="22"/>
          <w:lang w:val="es-ES"/>
        </w:rPr>
        <w:t xml:space="preserve"> </w:t>
      </w:r>
      <w:r w:rsidR="00630D3F" w:rsidRPr="00060B2E">
        <w:rPr>
          <w:rFonts w:ascii="ITC Avant Garde" w:hAnsi="ITC Avant Garde"/>
          <w:sz w:val="22"/>
          <w:szCs w:val="22"/>
          <w:lang w:val="es-ES"/>
        </w:rPr>
        <w:t xml:space="preserve">Persona física o moral que cuenta con una autorización otorgada por el Instituto y que solicita servicios mayoristas regulados, acceso y/o accede a la infraestructura de la red </w:t>
      </w:r>
      <w:r w:rsidR="0016645F">
        <w:rPr>
          <w:rFonts w:ascii="ITC Avant Garde" w:hAnsi="ITC Avant Garde"/>
          <w:sz w:val="22"/>
          <w:szCs w:val="22"/>
          <w:lang w:val="es-ES"/>
        </w:rPr>
        <w:t xml:space="preserve">local </w:t>
      </w:r>
      <w:r w:rsidR="00630D3F" w:rsidRPr="00060B2E">
        <w:rPr>
          <w:rFonts w:ascii="ITC Avant Garde" w:hAnsi="ITC Avant Garde"/>
          <w:sz w:val="22"/>
          <w:szCs w:val="22"/>
          <w:lang w:val="es-ES"/>
        </w:rPr>
        <w:t>de</w:t>
      </w:r>
      <w:r w:rsidR="00B27A43">
        <w:rPr>
          <w:rFonts w:ascii="ITC Avant Garde" w:hAnsi="ITC Avant Garde"/>
          <w:sz w:val="22"/>
          <w:szCs w:val="22"/>
          <w:lang w:val="es-ES"/>
        </w:rPr>
        <w:t xml:space="preserve"> Telmex</w:t>
      </w:r>
      <w:r w:rsidR="00630D3F" w:rsidRPr="00060B2E">
        <w:rPr>
          <w:rFonts w:ascii="ITC Avant Garde" w:hAnsi="ITC Avant Garde"/>
          <w:sz w:val="22"/>
          <w:szCs w:val="22"/>
          <w:lang w:val="es-ES"/>
        </w:rPr>
        <w:t xml:space="preserve"> a fin de prestar servicios de telecomunicaciones a </w:t>
      </w:r>
      <w:r w:rsidR="00B27A43">
        <w:rPr>
          <w:rFonts w:ascii="ITC Avant Garde" w:hAnsi="ITC Avant Garde"/>
          <w:sz w:val="22"/>
          <w:szCs w:val="22"/>
          <w:lang w:val="es-ES"/>
        </w:rPr>
        <w:t xml:space="preserve">sus </w:t>
      </w:r>
      <w:r w:rsidR="00630D3F" w:rsidRPr="00060B2E">
        <w:rPr>
          <w:rFonts w:ascii="ITC Avant Garde" w:hAnsi="ITC Avant Garde"/>
          <w:sz w:val="22"/>
          <w:szCs w:val="22"/>
          <w:lang w:val="es-ES"/>
        </w:rPr>
        <w:t>usuarios finales;</w:t>
      </w:r>
    </w:p>
    <w:p w14:paraId="563B2C6C" w14:textId="1E63D8A3" w:rsidR="00097622" w:rsidRPr="00060B2E" w:rsidRDefault="00097622" w:rsidP="00097622">
      <w:pPr>
        <w:pStyle w:val="Prrafodelista"/>
        <w:numPr>
          <w:ilvl w:val="0"/>
          <w:numId w:val="26"/>
        </w:numPr>
        <w:spacing w:after="200" w:line="276" w:lineRule="auto"/>
        <w:ind w:left="426"/>
        <w:jc w:val="both"/>
        <w:rPr>
          <w:rFonts w:ascii="ITC Avant Garde" w:hAnsi="ITC Avant Garde"/>
          <w:sz w:val="22"/>
          <w:szCs w:val="22"/>
          <w:lang w:val="es-ES"/>
        </w:rPr>
      </w:pPr>
      <w:r>
        <w:rPr>
          <w:rFonts w:ascii="ITC Avant Garde" w:hAnsi="ITC Avant Garde"/>
          <w:b/>
          <w:i/>
          <w:sz w:val="22"/>
          <w:szCs w:val="22"/>
          <w:lang w:val="es-ES"/>
        </w:rPr>
        <w:t>Baja del servicio</w:t>
      </w:r>
      <w:r w:rsidRPr="003543E9">
        <w:rPr>
          <w:rFonts w:ascii="ITC Avant Garde" w:hAnsi="ITC Avant Garde"/>
          <w:sz w:val="22"/>
          <w:szCs w:val="22"/>
          <w:lang w:val="es-ES"/>
        </w:rPr>
        <w:t>:</w:t>
      </w:r>
      <w:r>
        <w:rPr>
          <w:rFonts w:ascii="ITC Avant Garde" w:hAnsi="ITC Avant Garde"/>
          <w:sz w:val="22"/>
          <w:szCs w:val="22"/>
          <w:lang w:val="es-ES"/>
        </w:rPr>
        <w:t xml:space="preserve"> Se refiere a la suspensión definitiva de un</w:t>
      </w:r>
      <w:r w:rsidR="00E120B5">
        <w:rPr>
          <w:rFonts w:ascii="ITC Avant Garde" w:hAnsi="ITC Avant Garde"/>
          <w:sz w:val="22"/>
          <w:szCs w:val="22"/>
          <w:lang w:val="es-ES"/>
        </w:rPr>
        <w:t xml:space="preserve"> determinado</w:t>
      </w:r>
      <w:r>
        <w:rPr>
          <w:rFonts w:ascii="ITC Avant Garde" w:hAnsi="ITC Avant Garde"/>
          <w:sz w:val="22"/>
          <w:szCs w:val="22"/>
          <w:lang w:val="es-ES"/>
        </w:rPr>
        <w:t xml:space="preserve"> </w:t>
      </w:r>
      <w:r w:rsidR="00E120B5">
        <w:rPr>
          <w:rFonts w:ascii="ITC Avant Garde" w:hAnsi="ITC Avant Garde"/>
          <w:sz w:val="22"/>
          <w:szCs w:val="22"/>
          <w:lang w:val="es-ES"/>
        </w:rPr>
        <w:t>S</w:t>
      </w:r>
      <w:r>
        <w:rPr>
          <w:rFonts w:ascii="ITC Avant Garde" w:hAnsi="ITC Avant Garde"/>
          <w:sz w:val="22"/>
          <w:szCs w:val="22"/>
          <w:lang w:val="es-ES"/>
        </w:rPr>
        <w:t>ervicio</w:t>
      </w:r>
      <w:r w:rsidR="00E120B5">
        <w:rPr>
          <w:rFonts w:ascii="ITC Avant Garde" w:hAnsi="ITC Avant Garde"/>
          <w:sz w:val="22"/>
          <w:szCs w:val="22"/>
          <w:lang w:val="es-ES"/>
        </w:rPr>
        <w:t xml:space="preserve"> de</w:t>
      </w:r>
      <w:r w:rsidR="00446A2F">
        <w:rPr>
          <w:rFonts w:ascii="ITC Avant Garde" w:hAnsi="ITC Avant Garde"/>
          <w:sz w:val="22"/>
          <w:szCs w:val="22"/>
          <w:lang w:val="es-ES"/>
        </w:rPr>
        <w:t xml:space="preserve"> la Oferta de</w:t>
      </w:r>
      <w:r w:rsidR="00007875">
        <w:rPr>
          <w:rFonts w:ascii="ITC Avant Garde" w:hAnsi="ITC Avant Garde"/>
          <w:sz w:val="22"/>
          <w:szCs w:val="22"/>
          <w:lang w:val="es-ES"/>
        </w:rPr>
        <w:t xml:space="preserve"> Referencia de</w:t>
      </w:r>
      <w:r>
        <w:rPr>
          <w:rFonts w:ascii="ITC Avant Garde" w:hAnsi="ITC Avant Garde"/>
          <w:sz w:val="22"/>
          <w:szCs w:val="22"/>
          <w:lang w:val="es-ES"/>
        </w:rPr>
        <w:t xml:space="preserve"> Desagre</w:t>
      </w:r>
      <w:r w:rsidR="00E120B5">
        <w:rPr>
          <w:rFonts w:ascii="ITC Avant Garde" w:hAnsi="ITC Avant Garde"/>
          <w:sz w:val="22"/>
          <w:szCs w:val="22"/>
          <w:lang w:val="es-ES"/>
        </w:rPr>
        <w:t>gación del Bucle Local</w:t>
      </w:r>
      <w:r>
        <w:rPr>
          <w:rFonts w:ascii="ITC Avant Garde" w:hAnsi="ITC Avant Garde"/>
          <w:sz w:val="22"/>
          <w:szCs w:val="22"/>
          <w:lang w:val="es-ES"/>
        </w:rPr>
        <w:t>, a petición del CS.</w:t>
      </w:r>
    </w:p>
    <w:p w14:paraId="33CFE47F" w14:textId="6F100FCD"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rPr>
      </w:pPr>
      <w:r w:rsidRPr="00D936CA">
        <w:rPr>
          <w:rFonts w:ascii="ITC Avant Garde" w:hAnsi="ITC Avant Garde"/>
          <w:b/>
          <w:bCs/>
          <w:i/>
          <w:iCs/>
          <w:sz w:val="22"/>
          <w:szCs w:val="22"/>
        </w:rPr>
        <w:t>Banda inferior de frecuencias:</w:t>
      </w:r>
      <w:r w:rsidRPr="00D936CA">
        <w:rPr>
          <w:rFonts w:ascii="ITC Avant Garde" w:hAnsi="ITC Avant Garde"/>
          <w:sz w:val="22"/>
          <w:szCs w:val="22"/>
        </w:rPr>
        <w:t xml:space="preserve"> Frecuencias en el par de cobre que se utilizan para ofrecer el servicio telefónico, integran el </w:t>
      </w:r>
      <w:r w:rsidRPr="00D936CA">
        <w:rPr>
          <w:rFonts w:ascii="ITC Avant Garde" w:hAnsi="ITC Avant Garde"/>
          <w:bCs/>
          <w:iCs/>
          <w:sz w:val="22"/>
          <w:szCs w:val="22"/>
        </w:rPr>
        <w:t xml:space="preserve">grupo de frecuencias que van desde 0 a 25 </w:t>
      </w:r>
      <w:r w:rsidR="00D13961" w:rsidRPr="00D936CA">
        <w:rPr>
          <w:rFonts w:ascii="ITC Avant Garde" w:hAnsi="ITC Avant Garde"/>
          <w:bCs/>
          <w:iCs/>
          <w:sz w:val="22"/>
          <w:szCs w:val="22"/>
        </w:rPr>
        <w:t>k</w:t>
      </w:r>
      <w:r w:rsidRPr="00D936CA">
        <w:rPr>
          <w:rFonts w:ascii="ITC Avant Garde" w:hAnsi="ITC Avant Garde"/>
          <w:bCs/>
          <w:iCs/>
          <w:sz w:val="22"/>
          <w:szCs w:val="22"/>
        </w:rPr>
        <w:t>Hz.</w:t>
      </w:r>
      <w:r w:rsidRPr="00D936CA">
        <w:rPr>
          <w:rFonts w:ascii="ITC Avant Garde" w:hAnsi="ITC Avant Garde"/>
          <w:b/>
          <w:bCs/>
          <w:i/>
          <w:iCs/>
          <w:sz w:val="22"/>
          <w:szCs w:val="22"/>
        </w:rPr>
        <w:t xml:space="preserve"> </w:t>
      </w:r>
    </w:p>
    <w:p w14:paraId="33CFE480" w14:textId="77777777"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rPr>
      </w:pPr>
      <w:r w:rsidRPr="00D936CA">
        <w:rPr>
          <w:rFonts w:ascii="ITC Avant Garde" w:hAnsi="ITC Avant Garde"/>
          <w:b/>
          <w:bCs/>
          <w:i/>
          <w:iCs/>
          <w:sz w:val="22"/>
          <w:szCs w:val="22"/>
        </w:rPr>
        <w:t xml:space="preserve">Banda superior de frecuencias: </w:t>
      </w:r>
      <w:r w:rsidRPr="00D936CA">
        <w:rPr>
          <w:rFonts w:ascii="ITC Avant Garde" w:hAnsi="ITC Avant Garde"/>
          <w:sz w:val="22"/>
          <w:szCs w:val="22"/>
        </w:rPr>
        <w:t xml:space="preserve">Frecuencias en el par de cobre que se utilizan para ofrecer servicios de datos con las tecnologías xDSL, integran el </w:t>
      </w:r>
      <w:r w:rsidRPr="00D936CA">
        <w:rPr>
          <w:rFonts w:ascii="ITC Avant Garde" w:hAnsi="ITC Avant Garde"/>
          <w:bCs/>
          <w:iCs/>
          <w:sz w:val="22"/>
          <w:szCs w:val="22"/>
        </w:rPr>
        <w:t xml:space="preserve">grupo de frecuencias que van desde </w:t>
      </w:r>
      <w:r w:rsidR="00D13961" w:rsidRPr="00D936CA">
        <w:rPr>
          <w:rFonts w:ascii="ITC Avant Garde" w:hAnsi="ITC Avant Garde"/>
          <w:bCs/>
          <w:iCs/>
          <w:sz w:val="22"/>
          <w:szCs w:val="22"/>
        </w:rPr>
        <w:t>26 k</w:t>
      </w:r>
      <w:r w:rsidRPr="00D936CA">
        <w:rPr>
          <w:rFonts w:ascii="ITC Avant Garde" w:hAnsi="ITC Avant Garde"/>
          <w:bCs/>
          <w:iCs/>
          <w:sz w:val="22"/>
          <w:szCs w:val="22"/>
        </w:rPr>
        <w:t>Hz a 30 MHz.</w:t>
      </w:r>
    </w:p>
    <w:p w14:paraId="33CFE481" w14:textId="77777777"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Bucle Local:</w:t>
      </w:r>
      <w:r w:rsidRPr="00D936CA">
        <w:rPr>
          <w:rFonts w:ascii="ITC Avant Garde" w:hAnsi="ITC Avant Garde"/>
          <w:sz w:val="22"/>
          <w:szCs w:val="22"/>
          <w:lang w:val="es-ES"/>
        </w:rPr>
        <w:t xml:space="preserve"> El circuito físico que conecta el punto de conexión terminal de la red en el domicilio del usuario a la Central telefónica o Instalación Equivalente </w:t>
      </w:r>
      <w:r w:rsidRPr="00D936CA">
        <w:rPr>
          <w:rFonts w:ascii="ITC Avant Garde" w:hAnsi="ITC Avant Garde"/>
          <w:sz w:val="22"/>
          <w:szCs w:val="22"/>
          <w:lang w:val="es-ES"/>
        </w:rPr>
        <w:lastRenderedPageBreak/>
        <w:t>de la red pública de telecomunicaciones desde la cual se presta el servicio al usuario.</w:t>
      </w:r>
    </w:p>
    <w:p w14:paraId="33CFE482" w14:textId="77777777" w:rsidR="006E7295"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Caja de Distribución</w:t>
      </w:r>
      <w:r w:rsidR="00CD03BB" w:rsidRPr="00D936CA">
        <w:rPr>
          <w:rFonts w:ascii="ITC Avant Garde" w:hAnsi="ITC Avant Garde"/>
          <w:b/>
          <w:i/>
          <w:sz w:val="22"/>
          <w:szCs w:val="22"/>
          <w:lang w:val="es-ES"/>
        </w:rPr>
        <w:t>:</w:t>
      </w:r>
      <w:r w:rsidRPr="00D936CA">
        <w:rPr>
          <w:rFonts w:ascii="ITC Avant Garde" w:hAnsi="ITC Avant Garde"/>
          <w:sz w:val="22"/>
          <w:szCs w:val="22"/>
          <w:lang w:val="es-ES"/>
        </w:rPr>
        <w:t xml:space="preserve"> Elemento de la red de Planta Externa que permite la interconexión de redes de cobre entre el medio de transmisión de la Red Principal y el medio de transmisión de la Red Secundaria.</w:t>
      </w:r>
    </w:p>
    <w:p w14:paraId="33CFE483" w14:textId="0A738C08" w:rsidR="006E7295"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Canalización: </w:t>
      </w:r>
      <w:r w:rsidRPr="00D936CA">
        <w:rPr>
          <w:rFonts w:ascii="ITC Avant Garde" w:hAnsi="ITC Avant Garde"/>
          <w:sz w:val="22"/>
          <w:szCs w:val="22"/>
          <w:lang w:val="es-ES"/>
        </w:rPr>
        <w:t>Conjunto de ductos de concreto y cloruro de polivinilo (PVC) dentro de una obra subterránea con recubrimiento normalizado de arena o concreto.</w:t>
      </w:r>
    </w:p>
    <w:p w14:paraId="58F0467B" w14:textId="77777777" w:rsidR="000359AF" w:rsidRPr="000359AF" w:rsidRDefault="00D37984" w:rsidP="00D936CA">
      <w:pPr>
        <w:pStyle w:val="Prrafodelista"/>
        <w:numPr>
          <w:ilvl w:val="0"/>
          <w:numId w:val="26"/>
        </w:numPr>
        <w:spacing w:after="200" w:line="276" w:lineRule="auto"/>
        <w:ind w:left="426"/>
        <w:jc w:val="both"/>
        <w:rPr>
          <w:rFonts w:ascii="ITC Avant Garde" w:hAnsi="ITC Avant Garde"/>
          <w:sz w:val="22"/>
          <w:szCs w:val="22"/>
        </w:rPr>
      </w:pPr>
      <w:r>
        <w:rPr>
          <w:rFonts w:ascii="ITC Avant Garde" w:hAnsi="ITC Avant Garde"/>
          <w:b/>
          <w:i/>
          <w:sz w:val="22"/>
          <w:szCs w:val="22"/>
          <w:lang w:val="es-ES"/>
        </w:rPr>
        <w:t>Cancelación</w:t>
      </w:r>
      <w:r w:rsidRPr="00060B2E">
        <w:rPr>
          <w:rFonts w:ascii="ITC Avant Garde" w:hAnsi="ITC Avant Garde"/>
          <w:sz w:val="22"/>
          <w:szCs w:val="22"/>
          <w:lang w:val="es-ES"/>
        </w:rPr>
        <w:t>:</w:t>
      </w:r>
      <w:r>
        <w:rPr>
          <w:rFonts w:ascii="ITC Avant Garde" w:hAnsi="ITC Avant Garde"/>
          <w:sz w:val="22"/>
          <w:szCs w:val="22"/>
          <w:lang w:val="es-ES"/>
        </w:rPr>
        <w:t xml:space="preserve"> Se refiere a la interrupción, a solicitud del CS, del proceso de instalación </w:t>
      </w:r>
      <w:r w:rsidR="00007875">
        <w:rPr>
          <w:rFonts w:ascii="ITC Avant Garde" w:hAnsi="ITC Avant Garde"/>
          <w:sz w:val="22"/>
          <w:szCs w:val="22"/>
          <w:lang w:val="es-ES"/>
        </w:rPr>
        <w:t>un determinado Servicio de la Oferta de Referencia de Desagregación del Bucle Local</w:t>
      </w:r>
      <w:r>
        <w:rPr>
          <w:rFonts w:ascii="ITC Avant Garde" w:hAnsi="ITC Avant Garde"/>
          <w:sz w:val="22"/>
          <w:szCs w:val="22"/>
          <w:lang w:val="es-ES"/>
        </w:rPr>
        <w:t xml:space="preserve"> previamente contratado y que aún no ha sido entregado.</w:t>
      </w:r>
    </w:p>
    <w:p w14:paraId="33CFE484" w14:textId="426C89D3" w:rsidR="006E7295" w:rsidRPr="00D936CA" w:rsidRDefault="00011A1B" w:rsidP="00D936CA">
      <w:pPr>
        <w:pStyle w:val="Prrafodelista"/>
        <w:numPr>
          <w:ilvl w:val="0"/>
          <w:numId w:val="26"/>
        </w:numPr>
        <w:spacing w:after="200" w:line="276" w:lineRule="auto"/>
        <w:ind w:left="426"/>
        <w:jc w:val="both"/>
        <w:rPr>
          <w:rFonts w:ascii="ITC Avant Garde" w:hAnsi="ITC Avant Garde"/>
          <w:sz w:val="22"/>
          <w:szCs w:val="22"/>
        </w:rPr>
      </w:pPr>
      <w:r w:rsidRPr="00D936CA">
        <w:rPr>
          <w:rFonts w:ascii="ITC Avant Garde" w:hAnsi="ITC Avant Garde"/>
          <w:b/>
          <w:bCs/>
          <w:i/>
          <w:iCs/>
          <w:sz w:val="22"/>
          <w:szCs w:val="22"/>
        </w:rPr>
        <w:t xml:space="preserve">Capa 2: </w:t>
      </w:r>
      <w:r w:rsidRPr="00D936CA">
        <w:rPr>
          <w:rFonts w:ascii="ITC Avant Garde" w:hAnsi="ITC Avant Garde"/>
          <w:sz w:val="22"/>
          <w:szCs w:val="22"/>
        </w:rPr>
        <w:t xml:space="preserve">Capa 2 del modelo OSI o capa de Enlace de Datos, encargada de la entrega de tramas </w:t>
      </w:r>
      <w:r w:rsidR="003A3949" w:rsidRPr="00D936CA">
        <w:rPr>
          <w:rFonts w:ascii="ITC Avant Garde" w:hAnsi="ITC Avant Garde"/>
          <w:sz w:val="22"/>
          <w:szCs w:val="22"/>
        </w:rPr>
        <w:t xml:space="preserve">de bits </w:t>
      </w:r>
      <w:r w:rsidRPr="00D936CA">
        <w:rPr>
          <w:rFonts w:ascii="ITC Avant Garde" w:hAnsi="ITC Avant Garde"/>
          <w:sz w:val="22"/>
          <w:szCs w:val="22"/>
        </w:rPr>
        <w:t>entre dispositivos en la misma red de área local (LAN).</w:t>
      </w:r>
    </w:p>
    <w:p w14:paraId="33CFE485" w14:textId="1A942966"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rPr>
        <w:t>Caso Fortuito o Fuerza Mayor:</w:t>
      </w:r>
      <w:r w:rsidRPr="00D936CA">
        <w:rPr>
          <w:rFonts w:ascii="ITC Avant Garde" w:hAnsi="ITC Avant Garde"/>
          <w:b/>
          <w:bCs/>
          <w:sz w:val="22"/>
          <w:szCs w:val="22"/>
        </w:rPr>
        <w:t xml:space="preserve"> </w:t>
      </w:r>
      <w:r w:rsidR="0015096C" w:rsidRPr="00D936CA">
        <w:rPr>
          <w:rFonts w:ascii="ITC Avant Garde" w:hAnsi="ITC Avant Garde"/>
          <w:sz w:val="22"/>
          <w:szCs w:val="22"/>
          <w:lang w:val="es-ES"/>
        </w:rPr>
        <w:t>Son sucesos de la naturaleza o hechos del hombre que, siendo extraños al obligado, lo afectan en su esfera jurídica, impidiéndole temporal o definitivamente el cumplimiento parcial o total de una obligación, sin que tales hechos le sean imputables directa o indirectamente por culpa, y cuya afectación no puede evitar con los instrumentos de que normalmente se disponga en el medio social en el que se desenvuelve, ya para prevenir el acontecimiento o para oponerse a él y resistirlo</w:t>
      </w:r>
      <w:r w:rsidRPr="00D936CA">
        <w:rPr>
          <w:rFonts w:ascii="ITC Avant Garde" w:hAnsi="ITC Avant Garde"/>
          <w:sz w:val="22"/>
          <w:szCs w:val="22"/>
          <w:lang w:val="es-ES"/>
        </w:rPr>
        <w:t>.</w:t>
      </w:r>
    </w:p>
    <w:p w14:paraId="33CFE486" w14:textId="77777777" w:rsidR="006E7295"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Central Telefónica o Instalación Equivalente:</w:t>
      </w:r>
      <w:r w:rsidRPr="00D936CA">
        <w:rPr>
          <w:rFonts w:ascii="ITC Avant Garde" w:hAnsi="ITC Avant Garde"/>
          <w:sz w:val="22"/>
          <w:szCs w:val="22"/>
          <w:lang w:val="es-ES"/>
        </w:rPr>
        <w:t xml:space="preserve"> Nodo de la red destinado a albergar equipos y dispositivos de telecomunicaciones donde se conectan los bucles de acceso local para la provisión de servicios de telecomunicaciones.</w:t>
      </w:r>
    </w:p>
    <w:p w14:paraId="33CFE487" w14:textId="7426A2E2" w:rsidR="006E7295"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Concesionario Solicitante:</w:t>
      </w:r>
      <w:r w:rsidRPr="00D936CA">
        <w:rPr>
          <w:rFonts w:ascii="ITC Avant Garde" w:hAnsi="ITC Avant Garde"/>
          <w:sz w:val="22"/>
          <w:szCs w:val="22"/>
          <w:lang w:val="es-ES"/>
        </w:rPr>
        <w:t xml:space="preserve"> Concesionario(s) de telecomunicaciones que solicita(n) acceso y/o accede(n) a la infraestructura de la red local </w:t>
      </w:r>
      <w:r w:rsidR="003A3949" w:rsidRPr="00D936CA">
        <w:rPr>
          <w:rFonts w:ascii="ITC Avant Garde" w:hAnsi="ITC Avant Garde"/>
          <w:sz w:val="22"/>
          <w:szCs w:val="22"/>
        </w:rPr>
        <w:t xml:space="preserve">de </w:t>
      </w:r>
      <w:r w:rsidR="00EB66AE" w:rsidRPr="00D936CA">
        <w:rPr>
          <w:rFonts w:ascii="ITC Avant Garde" w:hAnsi="ITC Avant Garde"/>
          <w:sz w:val="22"/>
          <w:szCs w:val="22"/>
        </w:rPr>
        <w:t>Telmex</w:t>
      </w:r>
      <w:r w:rsidR="003A3949" w:rsidRPr="00D936CA" w:rsidDel="003A3949">
        <w:rPr>
          <w:rFonts w:ascii="ITC Avant Garde" w:hAnsi="ITC Avant Garde"/>
          <w:sz w:val="22"/>
          <w:szCs w:val="22"/>
          <w:lang w:val="es-ES"/>
        </w:rPr>
        <w:t xml:space="preserve"> </w:t>
      </w:r>
      <w:r w:rsidRPr="00D936CA">
        <w:rPr>
          <w:rFonts w:ascii="ITC Avant Garde" w:hAnsi="ITC Avant Garde"/>
          <w:sz w:val="22"/>
          <w:szCs w:val="22"/>
          <w:lang w:val="es-ES"/>
        </w:rPr>
        <w:t>a fin de prestar servicios de telecomunicaciones</w:t>
      </w:r>
      <w:r w:rsidR="009C70C9">
        <w:rPr>
          <w:rFonts w:ascii="ITC Avant Garde" w:hAnsi="ITC Avant Garde"/>
          <w:sz w:val="22"/>
          <w:szCs w:val="22"/>
          <w:lang w:val="es-ES"/>
        </w:rPr>
        <w:t xml:space="preserve"> a sus usuarios finales</w:t>
      </w:r>
      <w:r w:rsidRPr="00D936CA">
        <w:rPr>
          <w:rFonts w:ascii="ITC Avant Garde" w:hAnsi="ITC Avant Garde"/>
          <w:sz w:val="22"/>
          <w:szCs w:val="22"/>
          <w:lang w:val="es-ES"/>
        </w:rPr>
        <w:t>.</w:t>
      </w:r>
    </w:p>
    <w:p w14:paraId="33CFE488" w14:textId="77777777" w:rsidR="003A3949" w:rsidRPr="00D936CA" w:rsidRDefault="003A3949"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Coubicación</w:t>
      </w:r>
      <w:r w:rsidRPr="00D936CA">
        <w:rPr>
          <w:rFonts w:ascii="ITC Avant Garde" w:hAnsi="ITC Avant Garde"/>
          <w:sz w:val="22"/>
          <w:szCs w:val="22"/>
          <w:lang w:val="es-ES"/>
        </w:rPr>
        <w:t xml:space="preserve"> </w:t>
      </w:r>
      <w:r w:rsidRPr="00D936CA">
        <w:rPr>
          <w:rFonts w:ascii="ITC Avant Garde" w:hAnsi="ITC Avant Garde"/>
          <w:b/>
          <w:i/>
          <w:sz w:val="22"/>
          <w:szCs w:val="22"/>
          <w:lang w:val="es-ES"/>
        </w:rPr>
        <w:t>Externa</w:t>
      </w:r>
      <w:r w:rsidRPr="00D936CA">
        <w:rPr>
          <w:rFonts w:ascii="ITC Avant Garde" w:hAnsi="ITC Avant Garde"/>
          <w:sz w:val="22"/>
          <w:szCs w:val="22"/>
          <w:lang w:val="es-ES"/>
        </w:rPr>
        <w:t xml:space="preserve">: Espacio arrendado, que provee las facilidades técnicas necesarias para la colocación de equipos y dispositivos de telecomunicaciones del Concesionario Solicitante necesarios para acceder a los servicios de desagregación, ubicados dentro del predio donde se ubica la </w:t>
      </w:r>
      <w:r w:rsidRPr="00D936CA">
        <w:rPr>
          <w:rFonts w:ascii="ITC Avant Garde" w:hAnsi="ITC Avant Garde"/>
          <w:sz w:val="22"/>
          <w:szCs w:val="22"/>
          <w:lang w:val="es-ES"/>
        </w:rPr>
        <w:lastRenderedPageBreak/>
        <w:t>Central Telefónica o Instalación Equivalente abierta a la desagregación, pero fuera del edificio de la Central Telefónica o Instalación Equivalente.</w:t>
      </w:r>
    </w:p>
    <w:p w14:paraId="33CFE489" w14:textId="77777777" w:rsidR="003A3949" w:rsidRPr="00D936CA" w:rsidRDefault="003A3949"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Coubicación Interna:</w:t>
      </w:r>
      <w:r w:rsidRPr="00D936CA">
        <w:rPr>
          <w:rFonts w:ascii="ITC Avant Garde" w:hAnsi="ITC Avant Garde"/>
          <w:sz w:val="22"/>
          <w:szCs w:val="22"/>
          <w:lang w:val="es-ES"/>
        </w:rPr>
        <w:t xml:space="preserve"> Espacio arrendado dentro del edificio de la Central Telefónica o Instalación Equivalente abierta a la desagregación, que provee las facilidades técnicas necesarias para la ubicación de los equipos y dispositivos de telecomunicaciones del Concesionario Solicitante necesarios para acceder a los servicios de desagregación.</w:t>
      </w:r>
    </w:p>
    <w:p w14:paraId="33CFE48A" w14:textId="77777777" w:rsidR="00252E5D"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Distribuidor de Fibra Óptica</w:t>
      </w:r>
      <w:r w:rsidR="00FD74B4" w:rsidRPr="00D936CA">
        <w:rPr>
          <w:rFonts w:ascii="ITC Avant Garde" w:hAnsi="ITC Avant Garde"/>
          <w:b/>
          <w:i/>
          <w:sz w:val="22"/>
          <w:szCs w:val="22"/>
          <w:lang w:val="es-ES"/>
        </w:rPr>
        <w:t>:</w:t>
      </w:r>
      <w:r w:rsidRPr="00D936CA">
        <w:rPr>
          <w:rFonts w:ascii="ITC Avant Garde" w:hAnsi="ITC Avant Garde"/>
          <w:b/>
          <w:i/>
          <w:sz w:val="22"/>
          <w:szCs w:val="22"/>
          <w:lang w:val="es-ES"/>
        </w:rPr>
        <w:t xml:space="preserve"> </w:t>
      </w:r>
      <w:r w:rsidRPr="00D936CA">
        <w:rPr>
          <w:rFonts w:ascii="ITC Avant Garde" w:hAnsi="ITC Avant Garde"/>
          <w:i/>
          <w:sz w:val="22"/>
          <w:szCs w:val="22"/>
          <w:lang w:val="es-ES"/>
        </w:rPr>
        <w:t xml:space="preserve">Dispositivo que facilita la centralización, interconexión y derivaciones de </w:t>
      </w:r>
      <w:r w:rsidRPr="00D936CA">
        <w:rPr>
          <w:rFonts w:ascii="ITC Avant Garde" w:hAnsi="ITC Avant Garde"/>
          <w:sz w:val="22"/>
          <w:szCs w:val="22"/>
          <w:lang w:val="es-ES"/>
        </w:rPr>
        <w:t>cables de fibra óptica.</w:t>
      </w:r>
    </w:p>
    <w:p w14:paraId="33CFE48B" w14:textId="77777777" w:rsidR="00252E5D"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Distribuidor General</w:t>
      </w:r>
      <w:r w:rsidR="00FD74B4" w:rsidRPr="00D936CA">
        <w:rPr>
          <w:rFonts w:ascii="ITC Avant Garde" w:hAnsi="ITC Avant Garde"/>
          <w:b/>
          <w:i/>
          <w:sz w:val="22"/>
          <w:szCs w:val="22"/>
          <w:lang w:val="es-ES"/>
        </w:rPr>
        <w:t>:</w:t>
      </w:r>
      <w:r w:rsidRPr="00D936CA">
        <w:rPr>
          <w:rFonts w:ascii="ITC Avant Garde" w:hAnsi="ITC Avant Garde"/>
          <w:b/>
          <w:i/>
          <w:sz w:val="22"/>
          <w:szCs w:val="22"/>
          <w:lang w:val="es-ES"/>
        </w:rPr>
        <w:t xml:space="preserve"> </w:t>
      </w:r>
      <w:r w:rsidRPr="00D936CA">
        <w:rPr>
          <w:rFonts w:ascii="ITC Avant Garde" w:hAnsi="ITC Avant Garde"/>
          <w:sz w:val="22"/>
          <w:szCs w:val="22"/>
          <w:lang w:val="es-ES"/>
        </w:rPr>
        <w:t>Es una estructura organizada de tablillas denominadas horizontales y verticales, entre las cuales se realizan los puentes de pares de Red principal de cobre con los puertos de los equipos de Telmex.</w:t>
      </w:r>
    </w:p>
    <w:p w14:paraId="33CFE48C" w14:textId="77777777" w:rsidR="0029697F" w:rsidRPr="00D936CA" w:rsidRDefault="0029697F"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Dominio Administrativo Ethernet: </w:t>
      </w:r>
      <w:r w:rsidRPr="00D936CA">
        <w:rPr>
          <w:rFonts w:ascii="ITC Avant Garde" w:hAnsi="ITC Avant Garde"/>
          <w:sz w:val="22"/>
          <w:szCs w:val="22"/>
          <w:lang w:val="es-ES"/>
        </w:rPr>
        <w:t>Conjunto de uno o varios nodos de concentración de acceso indirecto (NCAI) ubicados en una o varias centrales o instalaciones equivalentes relacionados a una cobertura geográfica determinada.</w:t>
      </w:r>
    </w:p>
    <w:p w14:paraId="33CFE48D" w14:textId="77777777" w:rsidR="00252E5D"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Ducto:</w:t>
      </w:r>
      <w:r w:rsidRPr="00D936CA">
        <w:rPr>
          <w:rFonts w:ascii="ITC Avant Garde" w:hAnsi="ITC Avant Garde"/>
          <w:sz w:val="22"/>
          <w:szCs w:val="22"/>
          <w:lang w:val="es-ES"/>
        </w:rPr>
        <w:t xml:space="preserve"> Estructura de canalización cerrada de un diámetro específico que se emplea como vía para alojar y proteger los cables de fibra óptica o cobre de las redes de telecomunicaciones.</w:t>
      </w:r>
    </w:p>
    <w:p w14:paraId="33CFE48E" w14:textId="77777777" w:rsidR="00252E5D"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Espacio Vacante:</w:t>
      </w:r>
      <w:r w:rsidRPr="00D936CA">
        <w:rPr>
          <w:rFonts w:ascii="ITC Avant Garde" w:hAnsi="ITC Avant Garde"/>
          <w:sz w:val="22"/>
          <w:szCs w:val="22"/>
          <w:lang w:val="es-ES"/>
        </w:rPr>
        <w:t xml:space="preserve"> Se refiere a los espacios al interior de las instalaciones </w:t>
      </w:r>
      <w:r w:rsidR="00D13961" w:rsidRPr="00D936CA">
        <w:rPr>
          <w:rFonts w:ascii="ITC Avant Garde" w:hAnsi="ITC Avant Garde"/>
          <w:sz w:val="22"/>
          <w:szCs w:val="22"/>
          <w:lang w:val="es-ES"/>
        </w:rPr>
        <w:t xml:space="preserve">de </w:t>
      </w:r>
      <w:r w:rsidRPr="00D936CA">
        <w:rPr>
          <w:rFonts w:ascii="ITC Avant Garde" w:hAnsi="ITC Avant Garde"/>
          <w:sz w:val="22"/>
          <w:szCs w:val="22"/>
          <w:lang w:val="es-ES"/>
        </w:rPr>
        <w:t>Telmex que no estén ocupados por equipos de telecomunicaciones y otros equipamientos auxiliares y personal necesarios para su mantenimiento, ni sean espacios comunes necesarios para la movilidad de personas y equipos (tales como pasillos y accesos para apertura de puertas), y puedan ser físicamente empleados para la instalación de equipos de telecomunicaciones de Telmex o de otros Concesionarios Solicitantes.</w:t>
      </w:r>
    </w:p>
    <w:p w14:paraId="33CFE48F" w14:textId="77777777"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Fibra hasta el Hogar: </w:t>
      </w:r>
      <w:r w:rsidRPr="00D936CA">
        <w:rPr>
          <w:rFonts w:ascii="ITC Avant Garde" w:hAnsi="ITC Avant Garde"/>
          <w:sz w:val="22"/>
          <w:szCs w:val="22"/>
          <w:lang w:val="es-ES"/>
        </w:rPr>
        <w:t xml:space="preserve">Arquitectura de despliegue de red acceso basada en fibra óptica como medio de transmisión </w:t>
      </w:r>
      <w:r w:rsidRPr="00D936CA">
        <w:rPr>
          <w:rFonts w:ascii="ITC Avant Garde" w:hAnsi="ITC Avant Garde"/>
          <w:sz w:val="22"/>
          <w:szCs w:val="22"/>
        </w:rPr>
        <w:t>la cual emplea tecnologías que permiten el acceso</w:t>
      </w:r>
      <w:r w:rsidRPr="00D936CA" w:rsidDel="00473BB6">
        <w:rPr>
          <w:rFonts w:ascii="ITC Avant Garde" w:hAnsi="ITC Avant Garde"/>
          <w:sz w:val="22"/>
          <w:szCs w:val="22"/>
          <w:lang w:val="es-ES"/>
        </w:rPr>
        <w:t xml:space="preserve"> </w:t>
      </w:r>
      <w:r w:rsidRPr="00D936CA">
        <w:rPr>
          <w:rFonts w:ascii="ITC Avant Garde" w:hAnsi="ITC Avant Garde"/>
          <w:sz w:val="22"/>
          <w:szCs w:val="22"/>
          <w:lang w:val="es-ES"/>
        </w:rPr>
        <w:t>hasta el domicilio del usuario final.</w:t>
      </w:r>
    </w:p>
    <w:p w14:paraId="33CFE490" w14:textId="59401441" w:rsidR="007232AB" w:rsidRPr="00D936CA" w:rsidRDefault="007232A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Fibra hasta el Nodo</w:t>
      </w:r>
      <w:r w:rsidR="0029697F" w:rsidRPr="00D936CA">
        <w:rPr>
          <w:rFonts w:ascii="ITC Avant Garde" w:hAnsi="ITC Avant Garde"/>
          <w:sz w:val="22"/>
          <w:szCs w:val="22"/>
          <w:lang w:val="es-ES"/>
        </w:rPr>
        <w:t>: Arquitectura de f</w:t>
      </w:r>
      <w:r w:rsidRPr="00D936CA">
        <w:rPr>
          <w:rFonts w:ascii="ITC Avant Garde" w:hAnsi="ITC Avant Garde"/>
          <w:sz w:val="22"/>
          <w:szCs w:val="22"/>
          <w:lang w:val="es-ES"/>
        </w:rPr>
        <w:t>ibra</w:t>
      </w:r>
      <w:r w:rsidR="0029697F" w:rsidRPr="00D936CA">
        <w:rPr>
          <w:rFonts w:ascii="ITC Avant Garde" w:hAnsi="ITC Avant Garde"/>
          <w:sz w:val="22"/>
          <w:szCs w:val="22"/>
          <w:lang w:val="es-ES"/>
        </w:rPr>
        <w:t xml:space="preserve"> óptica</w:t>
      </w:r>
      <w:r w:rsidRPr="00D936CA">
        <w:rPr>
          <w:rFonts w:ascii="ITC Avant Garde" w:hAnsi="ITC Avant Garde"/>
          <w:sz w:val="22"/>
          <w:szCs w:val="22"/>
          <w:lang w:val="es-ES"/>
        </w:rPr>
        <w:t xml:space="preserve"> implementada desde la central telefónica hasta una terminal remota, después de</w:t>
      </w:r>
      <w:r w:rsidR="004E06DE" w:rsidRPr="00D936CA">
        <w:rPr>
          <w:rFonts w:ascii="ITC Avant Garde" w:hAnsi="ITC Avant Garde"/>
          <w:sz w:val="22"/>
          <w:szCs w:val="22"/>
          <w:lang w:val="es-ES"/>
        </w:rPr>
        <w:t xml:space="preserve"> </w:t>
      </w:r>
      <w:r w:rsidRPr="00D936CA">
        <w:rPr>
          <w:rFonts w:ascii="ITC Avant Garde" w:hAnsi="ITC Avant Garde"/>
          <w:sz w:val="22"/>
          <w:szCs w:val="22"/>
          <w:lang w:val="es-ES"/>
        </w:rPr>
        <w:t>l</w:t>
      </w:r>
      <w:r w:rsidR="004E06DE" w:rsidRPr="00D936CA">
        <w:rPr>
          <w:rFonts w:ascii="ITC Avant Garde" w:hAnsi="ITC Avant Garde"/>
          <w:sz w:val="22"/>
          <w:szCs w:val="22"/>
          <w:lang w:val="es-ES"/>
        </w:rPr>
        <w:t>a terminal remota</w:t>
      </w:r>
      <w:r w:rsidRPr="00D936CA">
        <w:rPr>
          <w:rFonts w:ascii="ITC Avant Garde" w:hAnsi="ITC Avant Garde"/>
          <w:sz w:val="22"/>
          <w:szCs w:val="22"/>
          <w:lang w:val="es-ES"/>
        </w:rPr>
        <w:t xml:space="preserve"> un bucle de cobre es empleado para llegar a las premisas de los usuarios a distancias hasta 1.5Km. El ancho de banda está limitado por la longitud del bucle de cobre. </w:t>
      </w:r>
      <w:r w:rsidR="00F262EB" w:rsidRPr="00D936CA">
        <w:rPr>
          <w:rFonts w:ascii="ITC Avant Garde" w:hAnsi="ITC Avant Garde"/>
          <w:sz w:val="22"/>
          <w:szCs w:val="22"/>
          <w:lang w:val="es-ES"/>
        </w:rPr>
        <w:t>(</w:t>
      </w:r>
      <w:r w:rsidRPr="00D936CA">
        <w:rPr>
          <w:rFonts w:ascii="ITC Avant Garde" w:hAnsi="ITC Avant Garde"/>
          <w:sz w:val="22"/>
          <w:szCs w:val="22"/>
          <w:lang w:val="es-ES"/>
        </w:rPr>
        <w:t>Recomendación UIT-T L.86(07/2010)</w:t>
      </w:r>
      <w:r w:rsidR="00F262EB" w:rsidRPr="00D936CA">
        <w:rPr>
          <w:rFonts w:ascii="ITC Avant Garde" w:hAnsi="ITC Avant Garde"/>
          <w:sz w:val="22"/>
          <w:szCs w:val="22"/>
          <w:lang w:val="es-ES"/>
        </w:rPr>
        <w:t>)</w:t>
      </w:r>
    </w:p>
    <w:p w14:paraId="33CFE491" w14:textId="41050040"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lastRenderedPageBreak/>
        <w:t>Inciden</w:t>
      </w:r>
      <w:r w:rsidR="00CC01E2">
        <w:rPr>
          <w:rFonts w:ascii="ITC Avant Garde" w:hAnsi="ITC Avant Garde"/>
          <w:b/>
          <w:i/>
          <w:sz w:val="22"/>
          <w:szCs w:val="22"/>
          <w:lang w:val="es-ES"/>
        </w:rPr>
        <w:t>cia</w:t>
      </w:r>
      <w:r w:rsidR="001437CA" w:rsidRPr="00D936CA">
        <w:rPr>
          <w:rFonts w:ascii="ITC Avant Garde" w:hAnsi="ITC Avant Garde"/>
          <w:b/>
          <w:i/>
          <w:sz w:val="22"/>
          <w:szCs w:val="22"/>
          <w:lang w:val="es-ES"/>
        </w:rPr>
        <w:t xml:space="preserve"> o falla</w:t>
      </w:r>
      <w:r w:rsidRPr="00D936CA">
        <w:rPr>
          <w:rFonts w:ascii="ITC Avant Garde" w:hAnsi="ITC Avant Garde"/>
          <w:b/>
          <w:i/>
          <w:sz w:val="22"/>
          <w:szCs w:val="22"/>
          <w:lang w:val="es-ES"/>
        </w:rPr>
        <w:t>:</w:t>
      </w:r>
      <w:r w:rsidRPr="00D936CA">
        <w:rPr>
          <w:rFonts w:ascii="ITC Avant Garde" w:hAnsi="ITC Avant Garde"/>
          <w:b/>
          <w:sz w:val="22"/>
          <w:szCs w:val="22"/>
          <w:lang w:val="es-ES"/>
        </w:rPr>
        <w:t xml:space="preserve"> </w:t>
      </w:r>
      <w:r w:rsidRPr="00D936CA">
        <w:rPr>
          <w:rFonts w:ascii="ITC Avant Garde" w:hAnsi="ITC Avant Garde"/>
          <w:sz w:val="22"/>
          <w:szCs w:val="22"/>
          <w:lang w:val="es-ES"/>
        </w:rPr>
        <w:t xml:space="preserve">Es la interrupción no planeada de un </w:t>
      </w:r>
      <w:r w:rsidR="00473BB6" w:rsidRPr="00D936CA">
        <w:rPr>
          <w:rFonts w:ascii="ITC Avant Garde" w:hAnsi="ITC Avant Garde"/>
          <w:sz w:val="22"/>
          <w:szCs w:val="22"/>
          <w:lang w:val="es-ES"/>
        </w:rPr>
        <w:t xml:space="preserve">servicio </w:t>
      </w:r>
      <w:r w:rsidRPr="00D936CA">
        <w:rPr>
          <w:rFonts w:ascii="ITC Avant Garde" w:hAnsi="ITC Avant Garde"/>
          <w:sz w:val="22"/>
          <w:szCs w:val="22"/>
          <w:lang w:val="es-ES"/>
        </w:rPr>
        <w:t>o la reducción en la calidad de dicho servicio fuera de los parámetros específicos para cada servicio indicados.</w:t>
      </w:r>
    </w:p>
    <w:p w14:paraId="33CFE492"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Instituto:</w:t>
      </w:r>
      <w:r w:rsidRPr="00D936CA">
        <w:rPr>
          <w:rFonts w:ascii="ITC Avant Garde" w:hAnsi="ITC Avant Garde"/>
          <w:sz w:val="22"/>
          <w:szCs w:val="22"/>
          <w:lang w:val="es-ES"/>
        </w:rPr>
        <w:t xml:space="preserve"> El Instituto Federal de Telecomunicaciones.</w:t>
      </w:r>
    </w:p>
    <w:p w14:paraId="33CFE493" w14:textId="028F45D2" w:rsidR="00BE4343" w:rsidRPr="00D936CA" w:rsidRDefault="00011A1B" w:rsidP="00D936CA">
      <w:pPr>
        <w:pStyle w:val="Prrafodelista"/>
        <w:numPr>
          <w:ilvl w:val="0"/>
          <w:numId w:val="26"/>
        </w:numPr>
        <w:spacing w:after="200" w:line="276" w:lineRule="auto"/>
        <w:ind w:left="426"/>
        <w:jc w:val="both"/>
        <w:rPr>
          <w:rFonts w:ascii="ITC Avant Garde" w:eastAsiaTheme="minorHAnsi" w:hAnsi="ITC Avant Garde" w:cstheme="minorBidi"/>
          <w:sz w:val="22"/>
          <w:szCs w:val="22"/>
          <w:lang w:val="es-ES" w:eastAsia="en-US"/>
        </w:rPr>
      </w:pPr>
      <w:r w:rsidRPr="00D936CA">
        <w:rPr>
          <w:rFonts w:ascii="ITC Avant Garde" w:hAnsi="ITC Avant Garde" w:cs="ITC Avant Garde"/>
          <w:b/>
          <w:i/>
          <w:sz w:val="22"/>
          <w:szCs w:val="22"/>
          <w:lang w:val="es-MX" w:eastAsia="es-MX"/>
        </w:rPr>
        <w:t xml:space="preserve">Interoperabilidad: </w:t>
      </w:r>
      <w:r w:rsidR="00334D38" w:rsidRPr="00D936CA">
        <w:rPr>
          <w:rFonts w:ascii="ITC Avant Garde" w:eastAsiaTheme="minorHAnsi" w:hAnsi="ITC Avant Garde" w:cstheme="minorBidi"/>
          <w:sz w:val="22"/>
          <w:szCs w:val="22"/>
          <w:lang w:val="es-ES" w:eastAsia="en-US"/>
        </w:rPr>
        <w:t>Características técnicas de las redes públicas,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p w14:paraId="33CFE494" w14:textId="0CB2141C" w:rsidR="00C65C38"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Línea de Suscriptor Digital:</w:t>
      </w:r>
      <w:r w:rsidRPr="00D936CA">
        <w:rPr>
          <w:rFonts w:ascii="ITC Avant Garde" w:hAnsi="ITC Avant Garde"/>
          <w:sz w:val="22"/>
          <w:szCs w:val="22"/>
          <w:lang w:val="es-ES"/>
        </w:rPr>
        <w:t xml:space="preserve"> Familias de tecnologías empleadas para ofrecer transporte de datos digitales sobre líneas telefónicas de cobre.</w:t>
      </w:r>
    </w:p>
    <w:p w14:paraId="26BA1E7C" w14:textId="2C7D1E12" w:rsidR="00AA0171" w:rsidRPr="00326B1C" w:rsidRDefault="00AA0171" w:rsidP="00B40F8D">
      <w:pPr>
        <w:pStyle w:val="Prrafodelista"/>
        <w:numPr>
          <w:ilvl w:val="0"/>
          <w:numId w:val="26"/>
        </w:numPr>
        <w:spacing w:after="200" w:line="276" w:lineRule="auto"/>
        <w:ind w:left="426"/>
        <w:jc w:val="both"/>
        <w:rPr>
          <w:rFonts w:ascii="ITC Avant Garde" w:hAnsi="ITC Avant Garde"/>
          <w:sz w:val="22"/>
          <w:szCs w:val="22"/>
          <w:lang w:val="es-ES"/>
        </w:rPr>
      </w:pPr>
      <w:r w:rsidRPr="00B40F8D">
        <w:rPr>
          <w:rFonts w:ascii="ITC Avant Garde" w:hAnsi="ITC Avant Garde"/>
          <w:b/>
          <w:sz w:val="22"/>
          <w:szCs w:val="22"/>
          <w:lang w:val="es-ES"/>
        </w:rPr>
        <w:t>Medidas:</w:t>
      </w:r>
      <w:r w:rsidRPr="00B40F8D">
        <w:rPr>
          <w:rFonts w:ascii="ITC Avant Garde" w:hAnsi="ITC Avant Garde"/>
          <w:sz w:val="22"/>
          <w:szCs w:val="22"/>
          <w:lang w:val="es-ES"/>
        </w:rPr>
        <w:t xml:space="preserve"> Son las “Medidas que permiten la </w:t>
      </w:r>
      <w:r w:rsidRPr="00DC669F">
        <w:rPr>
          <w:rFonts w:ascii="ITC Avant Garde" w:hAnsi="ITC Avant Garde"/>
          <w:sz w:val="22"/>
          <w:szCs w:val="22"/>
          <w:lang w:val="es-ES"/>
        </w:rPr>
        <w:t xml:space="preserve">desagregación efectiva </w:t>
      </w:r>
      <w:r w:rsidRPr="008F5E2F">
        <w:rPr>
          <w:rFonts w:ascii="ITC Avant Garde" w:hAnsi="ITC Avant Garde"/>
          <w:sz w:val="22"/>
          <w:szCs w:val="22"/>
          <w:lang w:val="es-ES"/>
        </w:rPr>
        <w:t xml:space="preserve">de la red local del Agente Económico Preponderante en telecomunicaciones de manera que otros concesionarios de telecomunicaciones  puedan acceder, entre otros, a los medios físicos, técnicos y lógicos de conexión entre cualquier </w:t>
      </w:r>
      <w:r w:rsidRPr="007B75EC">
        <w:rPr>
          <w:rFonts w:ascii="ITC Avant Garde" w:hAnsi="ITC Avant Garde"/>
          <w:sz w:val="22"/>
          <w:szCs w:val="22"/>
          <w:lang w:val="es-ES"/>
        </w:rPr>
        <w:t>punto terminal de la red pública de telecomunicaciones y el punto de acceso a la red local perteneciente a dicho agente.”, que constituye el Anexo 3 de la Resolución de Preponderancia, y que han sido suprimidas, modificadas y/o adicionadas en términos de l</w:t>
      </w:r>
      <w:r w:rsidRPr="00326B1C">
        <w:rPr>
          <w:rFonts w:ascii="ITC Avant Garde" w:hAnsi="ITC Avant Garde"/>
          <w:sz w:val="22"/>
          <w:szCs w:val="22"/>
          <w:lang w:val="es-ES"/>
        </w:rPr>
        <w:t>a Resolución Bienal.</w:t>
      </w:r>
    </w:p>
    <w:p w14:paraId="33CFE495" w14:textId="77777777" w:rsidR="00163DFB" w:rsidRPr="00691B02"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691B02">
        <w:rPr>
          <w:rFonts w:ascii="ITC Avant Garde" w:hAnsi="ITC Avant Garde"/>
          <w:b/>
          <w:i/>
          <w:sz w:val="22"/>
          <w:szCs w:val="22"/>
          <w:lang w:val="es-ES"/>
        </w:rPr>
        <w:t xml:space="preserve">Multicast: </w:t>
      </w:r>
      <w:r w:rsidRPr="00691B02">
        <w:rPr>
          <w:rFonts w:ascii="ITC Avant Garde" w:hAnsi="ITC Avant Garde"/>
          <w:sz w:val="22"/>
          <w:szCs w:val="22"/>
        </w:rPr>
        <w:t xml:space="preserve">Envío </w:t>
      </w:r>
      <w:r w:rsidR="003B42D4" w:rsidRPr="00691B02">
        <w:rPr>
          <w:rFonts w:ascii="ITC Avant Garde" w:hAnsi="ITC Avant Garde"/>
          <w:sz w:val="22"/>
          <w:szCs w:val="22"/>
        </w:rPr>
        <w:t xml:space="preserve">simultáneo </w:t>
      </w:r>
      <w:r w:rsidRPr="00691B02">
        <w:rPr>
          <w:rFonts w:ascii="ITC Avant Garde" w:hAnsi="ITC Avant Garde"/>
          <w:sz w:val="22"/>
          <w:szCs w:val="22"/>
        </w:rPr>
        <w:t>de información entre un único origen a un grupo de destinos.</w:t>
      </w:r>
    </w:p>
    <w:p w14:paraId="33CFE496" w14:textId="2C571A18"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Multiplexor de Acceso a línea de Abonado Digital: </w:t>
      </w:r>
      <w:r w:rsidRPr="00D936CA">
        <w:rPr>
          <w:rFonts w:ascii="ITC Avant Garde" w:hAnsi="ITC Avant Garde"/>
          <w:sz w:val="22"/>
          <w:szCs w:val="22"/>
          <w:lang w:val="es-ES"/>
        </w:rPr>
        <w:t xml:space="preserve">Es el equipo </w:t>
      </w:r>
      <w:r w:rsidR="00D13961" w:rsidRPr="00D936CA">
        <w:rPr>
          <w:rFonts w:ascii="ITC Avant Garde" w:hAnsi="ITC Avant Garde"/>
          <w:sz w:val="22"/>
          <w:szCs w:val="22"/>
          <w:lang w:val="es-ES"/>
        </w:rPr>
        <w:t xml:space="preserve">en donde </w:t>
      </w:r>
      <w:r w:rsidRPr="00D936CA">
        <w:rPr>
          <w:rFonts w:ascii="ITC Avant Garde" w:hAnsi="ITC Avant Garde"/>
          <w:sz w:val="22"/>
          <w:szCs w:val="22"/>
          <w:lang w:val="es-ES"/>
        </w:rPr>
        <w:t xml:space="preserve">termina y concentra el tráfico de datos de un cierto número de líneas digitales provenientes de distintos </w:t>
      </w:r>
      <w:r w:rsidR="00473BB6" w:rsidRPr="00D936CA">
        <w:rPr>
          <w:rFonts w:ascii="ITC Avant Garde" w:hAnsi="ITC Avant Garde"/>
          <w:sz w:val="22"/>
          <w:szCs w:val="22"/>
        </w:rPr>
        <w:t>clientes</w:t>
      </w:r>
      <w:r w:rsidR="00473BB6" w:rsidRPr="00D936CA" w:rsidDel="00473BB6">
        <w:rPr>
          <w:rFonts w:ascii="ITC Avant Garde" w:hAnsi="ITC Avant Garde"/>
          <w:sz w:val="22"/>
          <w:szCs w:val="22"/>
          <w:lang w:val="es-ES"/>
        </w:rPr>
        <w:t xml:space="preserve"> </w:t>
      </w:r>
      <w:r w:rsidRPr="00D936CA">
        <w:rPr>
          <w:rFonts w:ascii="ITC Avant Garde" w:hAnsi="ITC Avant Garde"/>
          <w:sz w:val="22"/>
          <w:szCs w:val="22"/>
          <w:lang w:val="es-ES"/>
        </w:rPr>
        <w:t>en un solo flujo de datos hacia la Red de Telecomunicaciones.</w:t>
      </w:r>
    </w:p>
    <w:p w14:paraId="3D66A978" w14:textId="06689FD5" w:rsidR="00E57ECE"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Nodo de Conexión de Acceso Indirecto</w:t>
      </w:r>
      <w:r w:rsidR="00DD485D" w:rsidRPr="00D936CA">
        <w:rPr>
          <w:rFonts w:ascii="ITC Avant Garde" w:hAnsi="ITC Avant Garde"/>
          <w:b/>
          <w:i/>
          <w:sz w:val="22"/>
          <w:szCs w:val="22"/>
          <w:lang w:val="es-ES"/>
        </w:rPr>
        <w:t xml:space="preserve"> (NCAI)</w:t>
      </w:r>
      <w:r w:rsidRPr="00D936CA">
        <w:rPr>
          <w:rFonts w:ascii="ITC Avant Garde" w:hAnsi="ITC Avant Garde"/>
          <w:b/>
          <w:i/>
          <w:sz w:val="22"/>
          <w:szCs w:val="22"/>
          <w:lang w:val="es-ES"/>
        </w:rPr>
        <w:t xml:space="preserve">: </w:t>
      </w:r>
      <w:r w:rsidR="00E57ECE" w:rsidRPr="00D936CA">
        <w:rPr>
          <w:rFonts w:ascii="ITC Avant Garde" w:hAnsi="ITC Avant Garde"/>
          <w:i/>
          <w:sz w:val="22"/>
          <w:szCs w:val="22"/>
          <w:lang w:val="es-ES"/>
        </w:rPr>
        <w:t>Nodos de entrega del servicio a nivel local, regional o nacional. En ellos se localizan los puertos (pCAI) o interfaces lógicas de entrega del servicio.</w:t>
      </w:r>
    </w:p>
    <w:p w14:paraId="33CFE499"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NCAI Local (NCAI-L):</w:t>
      </w:r>
      <w:r w:rsidRPr="00D936CA">
        <w:rPr>
          <w:rFonts w:ascii="ITC Avant Garde" w:hAnsi="ITC Avant Garde"/>
          <w:sz w:val="22"/>
          <w:szCs w:val="22"/>
          <w:lang w:val="es-ES"/>
        </w:rPr>
        <w:t xml:space="preserve"> NCAI al que solo se conectan directamente los equipos de acceso.</w:t>
      </w:r>
    </w:p>
    <w:p w14:paraId="33CFE49A"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NCAI regional (NCAI-R):</w:t>
      </w:r>
      <w:r w:rsidRPr="00D936CA">
        <w:rPr>
          <w:rFonts w:ascii="ITC Avant Garde" w:hAnsi="ITC Avant Garde"/>
          <w:sz w:val="22"/>
          <w:szCs w:val="22"/>
          <w:lang w:val="es-ES"/>
        </w:rPr>
        <w:t xml:space="preserve"> NCAI al que se conectan directamente otros nodos locales NCAI-L además de los equipos de acceso.</w:t>
      </w:r>
    </w:p>
    <w:p w14:paraId="33CFE49B"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lastRenderedPageBreak/>
        <w:t>NCAI nacional (NCAI-N):</w:t>
      </w:r>
      <w:r w:rsidRPr="00D936CA">
        <w:rPr>
          <w:rFonts w:ascii="ITC Avant Garde" w:hAnsi="ITC Avant Garde"/>
          <w:sz w:val="22"/>
          <w:szCs w:val="22"/>
          <w:lang w:val="es-ES"/>
        </w:rPr>
        <w:t xml:space="preserve"> NCAI al que se conectan directamente otros nodos regionales NCAI-R y locales NCAI-L además de los equipos de acceso.</w:t>
      </w:r>
    </w:p>
    <w:p w14:paraId="33CFE49C"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Número de Identificación de Solicitud: </w:t>
      </w:r>
      <w:r w:rsidRPr="00D936CA">
        <w:rPr>
          <w:rFonts w:ascii="ITC Avant Garde" w:hAnsi="ITC Avant Garde"/>
          <w:sz w:val="22"/>
          <w:szCs w:val="22"/>
          <w:lang w:val="es-ES"/>
        </w:rPr>
        <w:t>Identificador asignado a cada solicitud de servicios de desagregación.</w:t>
      </w:r>
    </w:p>
    <w:p w14:paraId="33CFE49D" w14:textId="305B308C"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Perfil de línea: </w:t>
      </w:r>
      <w:r w:rsidRPr="00D936CA">
        <w:rPr>
          <w:rFonts w:ascii="ITC Avant Garde" w:hAnsi="ITC Avant Garde"/>
          <w:sz w:val="22"/>
          <w:szCs w:val="22"/>
          <w:lang w:val="es-ES"/>
        </w:rPr>
        <w:t>conjunto de parámetros que definen las características de un servicio determinado, como el Ancho de Banda de Bajada, Ancho de Banda de Subida, Máscara de PSD</w:t>
      </w:r>
      <w:r w:rsidR="009E573A" w:rsidRPr="00D936CA">
        <w:rPr>
          <w:rFonts w:ascii="ITC Avant Garde" w:hAnsi="ITC Avant Garde"/>
          <w:sz w:val="22"/>
          <w:szCs w:val="22"/>
          <w:lang w:val="es-ES"/>
        </w:rPr>
        <w:t xml:space="preserve"> </w:t>
      </w:r>
      <w:r w:rsidRPr="00D936CA">
        <w:rPr>
          <w:rFonts w:ascii="ITC Avant Garde" w:hAnsi="ITC Avant Garde"/>
          <w:sz w:val="22"/>
          <w:szCs w:val="22"/>
          <w:lang w:val="es-ES"/>
        </w:rPr>
        <w:t>a emplear, tipo de señalización, modo de operación, entre otros, de la red hacia el usuario final como a la inversa</w:t>
      </w:r>
      <w:r w:rsidRPr="00D936CA">
        <w:rPr>
          <w:rFonts w:ascii="ITC Avant Garde" w:hAnsi="ITC Avant Garde" w:cs="Arial"/>
          <w:sz w:val="22"/>
          <w:szCs w:val="22"/>
          <w:lang w:val="es-ES"/>
        </w:rPr>
        <w:t>.</w:t>
      </w:r>
    </w:p>
    <w:p w14:paraId="33CFE49E"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Planta Externa: </w:t>
      </w:r>
      <w:r w:rsidRPr="00D936CA">
        <w:rPr>
          <w:rFonts w:ascii="ITC Avant Garde" w:hAnsi="ITC Avant Garde"/>
          <w:sz w:val="22"/>
          <w:szCs w:val="22"/>
          <w:lang w:val="es-ES"/>
        </w:rPr>
        <w:t xml:space="preserve">Estructura que se requiere para unir la Central Telefónica o Instalación Equivalente con los equipos o elementos de red de los usuarios, o para interconectar entre sí distintas Centrales Telefónicas o Instalaciones Equivalentes. </w:t>
      </w:r>
    </w:p>
    <w:p w14:paraId="33CFE49F"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Pozo:</w:t>
      </w:r>
      <w:r w:rsidRPr="00D936CA">
        <w:rPr>
          <w:rFonts w:ascii="ITC Avant Garde" w:hAnsi="ITC Avant Garde"/>
          <w:sz w:val="22"/>
          <w:szCs w:val="22"/>
          <w:lang w:val="es-ES"/>
        </w:rPr>
        <w:t xml:space="preserve"> Obra civil subterránea destinada a permitir la instalación de cables, la distribución de la red, así como para alojar empalmes.</w:t>
      </w:r>
    </w:p>
    <w:p w14:paraId="7207D29D" w14:textId="77777777" w:rsidR="00E320F4"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Puerto de conexión de acceso indirecto</w:t>
      </w:r>
      <w:r w:rsidR="00DD485D" w:rsidRPr="00D936CA">
        <w:rPr>
          <w:rFonts w:ascii="ITC Avant Garde" w:hAnsi="ITC Avant Garde"/>
          <w:b/>
          <w:i/>
          <w:sz w:val="22"/>
          <w:szCs w:val="22"/>
          <w:lang w:val="es-ES"/>
        </w:rPr>
        <w:t xml:space="preserve"> (pCAI)</w:t>
      </w:r>
      <w:r w:rsidR="00F81625" w:rsidRPr="00D936CA">
        <w:rPr>
          <w:rFonts w:ascii="ITC Avant Garde" w:hAnsi="ITC Avant Garde"/>
          <w:b/>
          <w:i/>
          <w:sz w:val="22"/>
          <w:szCs w:val="22"/>
          <w:lang w:val="es-ES"/>
        </w:rPr>
        <w:t>:</w:t>
      </w:r>
      <w:r w:rsidR="00734910" w:rsidRPr="00D936CA">
        <w:rPr>
          <w:rFonts w:ascii="ITC Avant Garde" w:hAnsi="ITC Avant Garde"/>
          <w:b/>
          <w:i/>
          <w:sz w:val="22"/>
          <w:szCs w:val="22"/>
          <w:lang w:val="es-ES"/>
        </w:rPr>
        <w:t xml:space="preserve"> </w:t>
      </w:r>
      <w:r w:rsidR="00E320F4" w:rsidRPr="00D936CA">
        <w:rPr>
          <w:rFonts w:ascii="ITC Avant Garde" w:hAnsi="ITC Avant Garde"/>
          <w:sz w:val="22"/>
          <w:szCs w:val="22"/>
          <w:lang w:val="es-ES"/>
        </w:rPr>
        <w:t>Puerto de un NCAI. Es la interfaz física (puerto) en la que se entrega el tráfico de un CS correspondiente a un determinado conjunto de equipos de acceso (DSLAM/OLT).</w:t>
      </w:r>
      <w:r w:rsidR="00E320F4" w:rsidRPr="00D936CA">
        <w:rPr>
          <w:rFonts w:ascii="ITC Avant Garde" w:hAnsi="ITC Avant Garde"/>
          <w:i/>
          <w:sz w:val="22"/>
          <w:szCs w:val="22"/>
          <w:lang w:val="es-ES"/>
        </w:rPr>
        <w:t xml:space="preserve"> </w:t>
      </w:r>
    </w:p>
    <w:p w14:paraId="33CFE4A1"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Punto de concentración (Local/Regional/Nacional):</w:t>
      </w:r>
      <w:r w:rsidRPr="00D936CA">
        <w:rPr>
          <w:rFonts w:ascii="ITC Avant Garde" w:hAnsi="ITC Avant Garde"/>
          <w:sz w:val="22"/>
          <w:szCs w:val="22"/>
          <w:lang w:val="es-ES"/>
        </w:rPr>
        <w:t xml:space="preserve"> es la ubicación física del nodo cabecera de una red de agregación ya sea Local, Regional o Nacional.</w:t>
      </w:r>
    </w:p>
    <w:p w14:paraId="33CFE4A2"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lang w:val="es-ES"/>
        </w:rPr>
        <w:t>Punto de Conexión Terminal con filtro centralizado</w:t>
      </w:r>
      <w:r w:rsidRPr="00D936CA">
        <w:rPr>
          <w:rFonts w:ascii="ITC Avant Garde" w:hAnsi="ITC Avant Garde"/>
          <w:b/>
          <w:bCs/>
          <w:sz w:val="22"/>
          <w:szCs w:val="22"/>
          <w:lang w:val="es-ES"/>
        </w:rPr>
        <w:t>:</w:t>
      </w:r>
      <w:r w:rsidRPr="00D936CA">
        <w:rPr>
          <w:rFonts w:ascii="ITC Avant Garde" w:hAnsi="ITC Avant Garde"/>
          <w:sz w:val="22"/>
          <w:szCs w:val="22"/>
          <w:lang w:val="es-ES"/>
        </w:rPr>
        <w:t xml:space="preserve"> Dispositivo unilínea que delimita la red de Telmex con la red del usuario y que separa la banda de frecuencias altas de la banda de frecuencias bajas.</w:t>
      </w:r>
    </w:p>
    <w:p w14:paraId="33CFE4A3" w14:textId="77777777" w:rsidR="00163DFB" w:rsidRPr="00D936CA" w:rsidRDefault="00F81625"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lang w:val="es-ES"/>
        </w:rPr>
        <w:t>Punto de Conexión Terminal</w:t>
      </w:r>
      <w:r w:rsidR="00CD03BB" w:rsidRPr="00D936CA">
        <w:rPr>
          <w:rFonts w:ascii="ITC Avant Garde" w:hAnsi="ITC Avant Garde"/>
          <w:b/>
          <w:bCs/>
          <w:i/>
          <w:iCs/>
          <w:sz w:val="22"/>
          <w:szCs w:val="22"/>
          <w:lang w:val="es-ES"/>
        </w:rPr>
        <w:t>:</w:t>
      </w:r>
      <w:r w:rsidR="00011A1B" w:rsidRPr="00D936CA">
        <w:rPr>
          <w:rFonts w:ascii="ITC Avant Garde" w:hAnsi="ITC Avant Garde"/>
          <w:b/>
          <w:bCs/>
          <w:sz w:val="22"/>
          <w:szCs w:val="22"/>
          <w:lang w:val="es-ES"/>
        </w:rPr>
        <w:t xml:space="preserve"> </w:t>
      </w:r>
      <w:r w:rsidR="00011A1B" w:rsidRPr="00D936CA">
        <w:rPr>
          <w:rFonts w:ascii="ITC Avant Garde" w:hAnsi="ITC Avant Garde"/>
          <w:sz w:val="22"/>
          <w:szCs w:val="22"/>
          <w:lang w:val="es-ES"/>
        </w:rPr>
        <w:t>Dispositivo unilínea o multilínea, que delimita la red de Telmex con la red del usuario final, el cual se instala en el sitio del usuario final y sirve como frontera o demarcación de la responsabilidad de Telmex para los servicios.</w:t>
      </w:r>
    </w:p>
    <w:p w14:paraId="33CFE4A4" w14:textId="77777777" w:rsidR="00897B10"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Punto de Dispersión (Terminal):</w:t>
      </w:r>
      <w:r w:rsidRPr="00D936CA">
        <w:rPr>
          <w:rFonts w:ascii="ITC Avant Garde" w:hAnsi="ITC Avant Garde"/>
          <w:sz w:val="22"/>
          <w:szCs w:val="22"/>
          <w:lang w:val="es-ES"/>
        </w:rPr>
        <w:t xml:space="preserve"> Punto de terminación de la red secundaria donde se realiza la conexión del cable de acometida que va al Usuario final. Se instala normalmente en postes, fachadas, interiores de edificios, azoteas o postes de instalación oculta, entre otros.</w:t>
      </w:r>
    </w:p>
    <w:p w14:paraId="33CFE4A5" w14:textId="77777777" w:rsidR="00897B10"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lastRenderedPageBreak/>
        <w:t>Punto de Interconexión:</w:t>
      </w:r>
      <w:r w:rsidRPr="00D936CA">
        <w:rPr>
          <w:rFonts w:ascii="ITC Avant Garde" w:hAnsi="ITC Avant Garde"/>
          <w:sz w:val="22"/>
          <w:szCs w:val="22"/>
          <w:lang w:val="es-ES"/>
        </w:rPr>
        <w:t xml:space="preserve"> Punto físico o virtual donde se establece la interconexión entre redes públicas de telecomunicaciones para el intercambio de tráfico.</w:t>
      </w:r>
    </w:p>
    <w:p w14:paraId="33CFE4A6"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Red de agregación local:</w:t>
      </w:r>
      <w:r w:rsidRPr="00D936CA">
        <w:rPr>
          <w:rFonts w:ascii="ITC Avant Garde" w:hAnsi="ITC Avant Garde"/>
          <w:sz w:val="22"/>
          <w:szCs w:val="22"/>
          <w:lang w:val="es-ES"/>
        </w:rPr>
        <w:t xml:space="preserve"> Red conformada por un NCAI, al menos un pCAI en dicho nodo y el conjunto de los medios de transmisión y enrutamiento físicos y lógicos que permiten la Concentración y Distribución de los equipos de acceso asociados.</w:t>
      </w:r>
    </w:p>
    <w:p w14:paraId="33CFE4A7"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Red de agregación regional:</w:t>
      </w:r>
      <w:r w:rsidRPr="00D936CA">
        <w:rPr>
          <w:rFonts w:ascii="ITC Avant Garde" w:hAnsi="ITC Avant Garde"/>
          <w:sz w:val="22"/>
          <w:szCs w:val="22"/>
          <w:lang w:val="es-ES"/>
        </w:rPr>
        <w:t xml:space="preserve"> Red conformada por un NCAI-R regional, al menos un pCAI en dicho nodo, los nodos locales afectados (NCAI-L) y el conjunto de los medios de transmisión y enrutamiento físicos y lógicos que permiten la Concentración y Distribución entre estos y con sus equipos de acceso asociados.</w:t>
      </w:r>
    </w:p>
    <w:p w14:paraId="33CFE4A8" w14:textId="77777777"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Red de agregación nacional:</w:t>
      </w:r>
      <w:r w:rsidRPr="00D936CA">
        <w:rPr>
          <w:rFonts w:ascii="ITC Avant Garde" w:hAnsi="ITC Avant Garde"/>
          <w:sz w:val="22"/>
          <w:szCs w:val="22"/>
          <w:lang w:val="es-ES"/>
        </w:rPr>
        <w:t xml:space="preserve"> Red conformada por un NCAI-N nacional, al menos un pCAI en dicho nodo, los nodos regionales NCAI-R y locales afectados (NCAI-L) y el conjunto de los medios de transmisión y enrutamiento físicos y lógicos que permiten la Concentración y Distribución entre estos y con sus equipos de acceso asociados.</w:t>
      </w:r>
    </w:p>
    <w:p w14:paraId="33CFE4AA" w14:textId="2AC15DE0" w:rsidR="00163DFB" w:rsidRPr="00D936CA" w:rsidRDefault="00011A1B" w:rsidP="00DC669F">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Red de Área Local Virtual: </w:t>
      </w:r>
      <w:r w:rsidR="00537B83" w:rsidRPr="00D936CA">
        <w:rPr>
          <w:rFonts w:ascii="ITC Avant Garde" w:hAnsi="ITC Avant Garde"/>
          <w:i/>
          <w:sz w:val="22"/>
          <w:szCs w:val="22"/>
          <w:lang w:val="es-ES"/>
        </w:rPr>
        <w:t xml:space="preserve"> U</w:t>
      </w:r>
      <w:r w:rsidR="00451DFE" w:rsidRPr="00D936CA">
        <w:rPr>
          <w:rFonts w:ascii="ITC Avant Garde" w:hAnsi="ITC Avant Garde"/>
          <w:i/>
          <w:sz w:val="22"/>
          <w:szCs w:val="22"/>
          <w:lang w:val="es-ES"/>
        </w:rPr>
        <w:t>na Red Puenteada Virtual</w:t>
      </w:r>
      <w:r w:rsidR="00DC669F">
        <w:rPr>
          <w:rFonts w:ascii="ITC Avant Garde" w:hAnsi="ITC Avant Garde"/>
          <w:i/>
          <w:sz w:val="22"/>
          <w:szCs w:val="22"/>
          <w:lang w:val="es-ES"/>
        </w:rPr>
        <w:t xml:space="preserve"> que es una c</w:t>
      </w:r>
      <w:r w:rsidR="0075785A" w:rsidRPr="00D936CA">
        <w:rPr>
          <w:rFonts w:ascii="ITC Avant Garde" w:hAnsi="ITC Avant Garde"/>
          <w:i/>
          <w:sz w:val="22"/>
          <w:szCs w:val="22"/>
          <w:lang w:val="es-ES"/>
        </w:rPr>
        <w:t xml:space="preserve">oncatenación de </w:t>
      </w:r>
      <w:r w:rsidR="00537B83" w:rsidRPr="00D936CA">
        <w:rPr>
          <w:rFonts w:ascii="ITC Avant Garde" w:hAnsi="ITC Avant Garde"/>
          <w:i/>
          <w:sz w:val="22"/>
          <w:szCs w:val="22"/>
          <w:lang w:val="es-ES"/>
        </w:rPr>
        <w:t>r</w:t>
      </w:r>
      <w:r w:rsidR="0075785A" w:rsidRPr="00D936CA">
        <w:rPr>
          <w:rFonts w:ascii="ITC Avant Garde" w:hAnsi="ITC Avant Garde"/>
          <w:i/>
          <w:sz w:val="22"/>
          <w:szCs w:val="22"/>
          <w:lang w:val="es-ES"/>
        </w:rPr>
        <w:t xml:space="preserve">edes de </w:t>
      </w:r>
      <w:r w:rsidR="00537B83" w:rsidRPr="00D936CA">
        <w:rPr>
          <w:rFonts w:ascii="ITC Avant Garde" w:hAnsi="ITC Avant Garde"/>
          <w:i/>
          <w:sz w:val="22"/>
          <w:szCs w:val="22"/>
          <w:lang w:val="es-ES"/>
        </w:rPr>
        <w:t>á</w:t>
      </w:r>
      <w:r w:rsidR="0075785A" w:rsidRPr="00D936CA">
        <w:rPr>
          <w:rFonts w:ascii="ITC Avant Garde" w:hAnsi="ITC Avant Garde"/>
          <w:i/>
          <w:sz w:val="22"/>
          <w:szCs w:val="22"/>
          <w:lang w:val="es-ES"/>
        </w:rPr>
        <w:t xml:space="preserve">rea </w:t>
      </w:r>
      <w:r w:rsidR="00537B83" w:rsidRPr="00D936CA">
        <w:rPr>
          <w:rFonts w:ascii="ITC Avant Garde" w:hAnsi="ITC Avant Garde"/>
          <w:i/>
          <w:sz w:val="22"/>
          <w:szCs w:val="22"/>
          <w:lang w:val="es-ES"/>
        </w:rPr>
        <w:t>l</w:t>
      </w:r>
      <w:r w:rsidR="0075785A" w:rsidRPr="00D936CA">
        <w:rPr>
          <w:rFonts w:ascii="ITC Avant Garde" w:hAnsi="ITC Avant Garde"/>
          <w:i/>
          <w:sz w:val="22"/>
          <w:szCs w:val="22"/>
          <w:lang w:val="es-ES"/>
        </w:rPr>
        <w:t xml:space="preserve">ocal </w:t>
      </w:r>
      <w:r w:rsidR="00537B83" w:rsidRPr="00D936CA">
        <w:rPr>
          <w:rFonts w:ascii="ITC Avant Garde" w:hAnsi="ITC Avant Garde"/>
          <w:i/>
          <w:sz w:val="22"/>
          <w:szCs w:val="22"/>
          <w:lang w:val="es-ES"/>
        </w:rPr>
        <w:t>i</w:t>
      </w:r>
      <w:r w:rsidR="0075785A" w:rsidRPr="00D936CA">
        <w:rPr>
          <w:rFonts w:ascii="ITC Avant Garde" w:hAnsi="ITC Avant Garde"/>
          <w:i/>
          <w:sz w:val="22"/>
          <w:szCs w:val="22"/>
          <w:lang w:val="es-ES"/>
        </w:rPr>
        <w:t xml:space="preserve">ndividuales interconectadas por </w:t>
      </w:r>
      <w:r w:rsidR="00537B83" w:rsidRPr="00D936CA">
        <w:rPr>
          <w:rFonts w:ascii="ITC Avant Garde" w:hAnsi="ITC Avant Garde"/>
          <w:i/>
          <w:sz w:val="22"/>
          <w:szCs w:val="22"/>
          <w:lang w:val="es-ES"/>
        </w:rPr>
        <w:t>p</w:t>
      </w:r>
      <w:r w:rsidR="0075785A" w:rsidRPr="00D936CA">
        <w:rPr>
          <w:rFonts w:ascii="ITC Avant Garde" w:hAnsi="ITC Avant Garde"/>
          <w:i/>
          <w:sz w:val="22"/>
          <w:szCs w:val="22"/>
          <w:lang w:val="es-ES"/>
        </w:rPr>
        <w:t>uentes, incluyendo redes de área local virtual</w:t>
      </w:r>
      <w:r w:rsidRPr="00D936CA">
        <w:rPr>
          <w:rFonts w:ascii="ITC Avant Garde" w:hAnsi="ITC Avant Garde"/>
          <w:sz w:val="22"/>
          <w:szCs w:val="22"/>
          <w:lang w:val="es-ES"/>
        </w:rPr>
        <w:t xml:space="preserve">. (Referencia: </w:t>
      </w:r>
      <w:r w:rsidR="00451DFE" w:rsidRPr="00D936CA">
        <w:t>IEEE 802.1Q-2014</w:t>
      </w:r>
      <w:r w:rsidRPr="00D936CA">
        <w:rPr>
          <w:rFonts w:ascii="ITC Avant Garde" w:hAnsi="ITC Avant Garde" w:cs="Courier New"/>
          <w:sz w:val="22"/>
          <w:szCs w:val="22"/>
          <w:lang w:val="es-ES" w:eastAsia="es-MX"/>
        </w:rPr>
        <w:t>)</w:t>
      </w:r>
      <w:r w:rsidR="00451DFE" w:rsidRPr="00D936CA">
        <w:rPr>
          <w:rStyle w:val="Refdenotaalpie"/>
          <w:rFonts w:ascii="ITC Avant Garde" w:hAnsi="ITC Avant Garde" w:cs="Courier New"/>
          <w:sz w:val="22"/>
          <w:szCs w:val="22"/>
          <w:lang w:val="es-ES" w:eastAsia="es-MX"/>
        </w:rPr>
        <w:footnoteReference w:id="2"/>
      </w:r>
      <w:r w:rsidRPr="00D936CA">
        <w:rPr>
          <w:rFonts w:ascii="ITC Avant Garde" w:hAnsi="ITC Avant Garde"/>
          <w:sz w:val="22"/>
          <w:szCs w:val="22"/>
          <w:lang w:val="es-ES"/>
        </w:rPr>
        <w:t>.</w:t>
      </w:r>
    </w:p>
    <w:p w14:paraId="33CFE4AB"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Red Óptica Pasiva Gigabit: </w:t>
      </w:r>
      <w:r w:rsidRPr="00D936CA">
        <w:rPr>
          <w:rFonts w:ascii="ITC Avant Garde" w:hAnsi="ITC Avant Garde"/>
          <w:sz w:val="22"/>
          <w:szCs w:val="22"/>
          <w:lang w:val="es-ES"/>
        </w:rPr>
        <w:t>Tecnología de acceso de fibra óptica, que transporta información en una configuración punto a multipunto mediante divisores ópticos pasivos.</w:t>
      </w:r>
    </w:p>
    <w:p w14:paraId="33CFE4AC" w14:textId="77777777" w:rsidR="00A971A8" w:rsidRPr="00D936CA" w:rsidRDefault="00A971A8" w:rsidP="00D936CA">
      <w:pPr>
        <w:pStyle w:val="Prrafodelista"/>
        <w:numPr>
          <w:ilvl w:val="0"/>
          <w:numId w:val="26"/>
        </w:numPr>
        <w:spacing w:after="200" w:line="276" w:lineRule="auto"/>
        <w:ind w:left="426"/>
        <w:jc w:val="both"/>
        <w:rPr>
          <w:rFonts w:ascii="ITC Avant Garde" w:hAnsi="ITC Avant Garde"/>
          <w:b/>
          <w:sz w:val="22"/>
          <w:szCs w:val="22"/>
          <w:lang w:val="es-ES"/>
        </w:rPr>
      </w:pPr>
      <w:r w:rsidRPr="00D936CA">
        <w:rPr>
          <w:rFonts w:ascii="ITC Avant Garde" w:hAnsi="ITC Avant Garde"/>
          <w:b/>
          <w:sz w:val="22"/>
          <w:szCs w:val="22"/>
          <w:lang w:val="es-ES"/>
        </w:rPr>
        <w:t xml:space="preserve">Red Principal: </w:t>
      </w:r>
      <w:r w:rsidRPr="00D936CA">
        <w:rPr>
          <w:rFonts w:ascii="ITC Avant Garde" w:hAnsi="ITC Avant Garde"/>
          <w:sz w:val="22"/>
          <w:szCs w:val="22"/>
          <w:lang w:val="es-ES"/>
        </w:rPr>
        <w:t>Segmento de la red de telecomunicaciones conectado a la Central Telefónica o Instalación Equivalente por medio del distribuidor general, saliendo de esta por la fosa de cables, para ir alojados en canalizaciones de concreto o PVC hacia las Cajas de Distribución</w:t>
      </w:r>
      <w:r w:rsidRPr="00D936CA">
        <w:rPr>
          <w:rFonts w:ascii="ITC Avant Garde" w:hAnsi="ITC Avant Garde"/>
          <w:b/>
          <w:sz w:val="22"/>
          <w:szCs w:val="22"/>
          <w:lang w:val="es-ES"/>
        </w:rPr>
        <w:t>.</w:t>
      </w:r>
    </w:p>
    <w:p w14:paraId="33CFE4AD" w14:textId="77777777" w:rsidR="00A971A8" w:rsidRPr="00D936CA" w:rsidRDefault="00A971A8" w:rsidP="00D936CA">
      <w:pPr>
        <w:pStyle w:val="Prrafodelista"/>
        <w:numPr>
          <w:ilvl w:val="0"/>
          <w:numId w:val="26"/>
        </w:numPr>
        <w:spacing w:after="200" w:line="276" w:lineRule="auto"/>
        <w:ind w:left="426"/>
        <w:jc w:val="both"/>
        <w:rPr>
          <w:rFonts w:ascii="ITC Avant Garde" w:hAnsi="ITC Avant Garde"/>
          <w:sz w:val="22"/>
          <w:szCs w:val="22"/>
        </w:rPr>
      </w:pPr>
      <w:r w:rsidRPr="00D936CA">
        <w:rPr>
          <w:rFonts w:ascii="ITC Avant Garde" w:hAnsi="ITC Avant Garde"/>
          <w:b/>
          <w:sz w:val="22"/>
          <w:szCs w:val="22"/>
          <w:lang w:val="es-ES"/>
        </w:rPr>
        <w:lastRenderedPageBreak/>
        <w:t xml:space="preserve">Red Secundaria: </w:t>
      </w:r>
      <w:r w:rsidRPr="00D936CA">
        <w:rPr>
          <w:rFonts w:ascii="ITC Avant Garde" w:hAnsi="ITC Avant Garde"/>
          <w:sz w:val="22"/>
          <w:szCs w:val="22"/>
          <w:lang w:val="es-ES"/>
        </w:rPr>
        <w:t>Segmento de la red de telecomunicaciones</w:t>
      </w:r>
      <w:r w:rsidRPr="00D936CA">
        <w:rPr>
          <w:rFonts w:ascii="ITC Avant Garde" w:hAnsi="ITC Avant Garde"/>
          <w:sz w:val="22"/>
          <w:szCs w:val="22"/>
        </w:rPr>
        <w:t xml:space="preserve"> conectado desde una caja de distribución y que se despliega en la vía pública por medio de puntos de dispersión hacia las cajas terminales.</w:t>
      </w:r>
    </w:p>
    <w:p w14:paraId="007C1036" w14:textId="798B874B" w:rsidR="00DC669F" w:rsidRDefault="00DC669F" w:rsidP="00DC669F">
      <w:pPr>
        <w:pStyle w:val="Prrafodelista"/>
        <w:numPr>
          <w:ilvl w:val="0"/>
          <w:numId w:val="26"/>
        </w:numPr>
        <w:spacing w:after="200" w:line="276" w:lineRule="auto"/>
        <w:ind w:left="426"/>
        <w:jc w:val="both"/>
        <w:rPr>
          <w:rFonts w:ascii="ITC Avant Garde" w:hAnsi="ITC Avant Garde"/>
          <w:sz w:val="22"/>
          <w:szCs w:val="22"/>
        </w:rPr>
      </w:pPr>
      <w:r>
        <w:rPr>
          <w:rFonts w:ascii="ITC Avant Garde" w:hAnsi="ITC Avant Garde"/>
          <w:b/>
          <w:sz w:val="22"/>
          <w:szCs w:val="22"/>
        </w:rPr>
        <w:t>Resolución de Preponderancia</w:t>
      </w:r>
      <w:r w:rsidRPr="00D32F94">
        <w:rPr>
          <w:rFonts w:ascii="ITC Avant Garde" w:hAnsi="ITC Avant Garde"/>
          <w:sz w:val="22"/>
          <w:szCs w:val="22"/>
        </w:rPr>
        <w:t>:</w:t>
      </w:r>
      <w:r>
        <w:rPr>
          <w:rFonts w:ascii="ITC Avant Garde" w:hAnsi="ITC Avant Garde"/>
          <w:sz w:val="22"/>
          <w:szCs w:val="22"/>
        </w:rPr>
        <w:t xml:space="preserve"> </w:t>
      </w:r>
      <w:r w:rsidRPr="00361A9B">
        <w:rPr>
          <w:rFonts w:ascii="ITC Avant Garde" w:hAnsi="ITC Avant Garde"/>
          <w:sz w:val="22"/>
          <w:szCs w:val="22"/>
          <w:lang w:val="es-ES"/>
        </w:rPr>
        <w:t>Es la resolución P/IFT/EXT/060314/76, emitida por el Pleno del Instituto, mediante la cual se determinó a T</w:t>
      </w:r>
      <w:r w:rsidR="00003B66">
        <w:rPr>
          <w:rFonts w:ascii="ITC Avant Garde" w:hAnsi="ITC Avant Garde"/>
          <w:sz w:val="22"/>
          <w:szCs w:val="22"/>
          <w:lang w:val="es-ES"/>
        </w:rPr>
        <w:t>elmex</w:t>
      </w:r>
      <w:r w:rsidRPr="00361A9B">
        <w:rPr>
          <w:rFonts w:ascii="ITC Avant Garde" w:hAnsi="ITC Avant Garde"/>
          <w:sz w:val="22"/>
          <w:szCs w:val="22"/>
          <w:lang w:val="es-ES"/>
        </w:rPr>
        <w:t xml:space="preserve"> como Agente Económico Preponderante y se le impusieron las </w:t>
      </w:r>
      <w:r>
        <w:rPr>
          <w:rFonts w:ascii="ITC Avant Garde" w:hAnsi="ITC Avant Garde"/>
          <w:sz w:val="22"/>
          <w:szCs w:val="22"/>
          <w:lang w:val="es-ES"/>
        </w:rPr>
        <w:t>M</w:t>
      </w:r>
      <w:r w:rsidRPr="00361A9B">
        <w:rPr>
          <w:rFonts w:ascii="ITC Avant Garde" w:hAnsi="ITC Avant Garde"/>
          <w:sz w:val="22"/>
          <w:szCs w:val="22"/>
          <w:lang w:val="es-ES"/>
        </w:rPr>
        <w:t>edidas.</w:t>
      </w:r>
    </w:p>
    <w:p w14:paraId="3286939A" w14:textId="77777777" w:rsidR="00DC669F" w:rsidRPr="00D32F94" w:rsidRDefault="00DC669F" w:rsidP="00DC669F">
      <w:pPr>
        <w:pStyle w:val="Prrafodelista"/>
        <w:numPr>
          <w:ilvl w:val="0"/>
          <w:numId w:val="26"/>
        </w:numPr>
        <w:spacing w:after="200" w:line="276" w:lineRule="auto"/>
        <w:ind w:left="426"/>
        <w:jc w:val="both"/>
        <w:rPr>
          <w:rFonts w:ascii="ITC Avant Garde" w:hAnsi="ITC Avant Garde"/>
          <w:b/>
          <w:sz w:val="22"/>
          <w:szCs w:val="22"/>
        </w:rPr>
      </w:pPr>
      <w:r w:rsidRPr="00D32F94">
        <w:rPr>
          <w:rFonts w:ascii="ITC Avant Garde" w:hAnsi="ITC Avant Garde"/>
          <w:b/>
          <w:sz w:val="22"/>
          <w:szCs w:val="22"/>
        </w:rPr>
        <w:t>Resolución Bienal:</w:t>
      </w:r>
      <w:r>
        <w:rPr>
          <w:rFonts w:ascii="ITC Avant Garde" w:hAnsi="ITC Avant Garde"/>
          <w:b/>
          <w:sz w:val="22"/>
          <w:szCs w:val="22"/>
        </w:rPr>
        <w:t xml:space="preserve"> </w:t>
      </w:r>
      <w:r w:rsidRPr="00361A9B">
        <w:rPr>
          <w:rFonts w:ascii="ITC Avant Garde" w:hAnsi="ITC Avant Garde"/>
          <w:sz w:val="22"/>
          <w:szCs w:val="22"/>
          <w:lang w:val="es-ES"/>
        </w:rPr>
        <w:t xml:space="preserve">Es la </w:t>
      </w:r>
      <w:r w:rsidRPr="00361A9B">
        <w:rPr>
          <w:rFonts w:ascii="ITC Avant Garde" w:hAnsi="ITC Avant Garde" w:cs="Arial"/>
          <w:bCs/>
          <w:i/>
          <w:sz w:val="22"/>
          <w:szCs w:val="22"/>
          <w:lang w:val="es-MX" w:eastAsia="x-none"/>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361A9B">
        <w:rPr>
          <w:rFonts w:ascii="ITC Avant Garde" w:hAnsi="ITC Avant Garde" w:cs="Arial"/>
          <w:bCs/>
          <w:sz w:val="22"/>
          <w:szCs w:val="22"/>
          <w:lang w:val="es-MX" w:eastAsia="x-none"/>
        </w:rPr>
        <w:t>, determinada mediante Acuerdo P/IFT/EXT/270217/119, de fecha 27 de febrero de 2017,</w:t>
      </w:r>
      <w:r w:rsidRPr="00361A9B">
        <w:rPr>
          <w:rFonts w:ascii="ITC Avant Garde" w:hAnsi="ITC Avant Garde"/>
          <w:sz w:val="22"/>
          <w:szCs w:val="22"/>
          <w:lang w:val="es-ES"/>
        </w:rPr>
        <w:t xml:space="preserve"> mediante la cual el Instituto suprime, modifica y adiciona las Medidas.</w:t>
      </w:r>
    </w:p>
    <w:p w14:paraId="33CFE4AE"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Servicio de Acceso Indirecto al Bucle Local:</w:t>
      </w:r>
      <w:r w:rsidRPr="00D936CA">
        <w:rPr>
          <w:rFonts w:ascii="ITC Avant Garde" w:hAnsi="ITC Avant Garde"/>
          <w:sz w:val="22"/>
          <w:szCs w:val="22"/>
          <w:lang w:val="es-ES"/>
        </w:rPr>
        <w:t xml:space="preserve"> Mediante este servicio Telmex pone a disposición del Concesionario Solicitante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 Telmex.</w:t>
      </w:r>
    </w:p>
    <w:p w14:paraId="33CFE4AF"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Servicio de Coubicación para Desagregación:</w:t>
      </w:r>
      <w:r w:rsidRPr="00D936CA">
        <w:rPr>
          <w:rFonts w:ascii="ITC Avant Garde" w:hAnsi="ITC Avant Garde"/>
          <w:sz w:val="22"/>
          <w:szCs w:val="22"/>
          <w:lang w:val="es-ES"/>
        </w:rPr>
        <w:t xml:space="preserve"> Servicio de arrendamiento de espacio para la colocación de equipos y dispositivos del Concesionario Solicitante necesarios para acceder a los servicios de desagregación, mediante su ubicación en los espacios físicos abiertos o cerrados en las Instalaciones de Telmex, que incluye el acondicionamiento necesario para la instalación de equipos, la provisión de recursos técnicos, suministro de energía, medidas de seguridad, aire acondicionado, y demás facilidades necesarias para su adecuada operación, así como el acceso a los espacios físicos mencionados.</w:t>
      </w:r>
    </w:p>
    <w:p w14:paraId="33CFE4B0"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Servicio de Desagregación Compartida del Bucle Local:</w:t>
      </w:r>
      <w:r w:rsidRPr="00D936CA">
        <w:rPr>
          <w:rFonts w:ascii="ITC Avant Garde" w:hAnsi="ITC Avant Garde" w:cs="ITC Avant Garde"/>
          <w:sz w:val="22"/>
          <w:szCs w:val="22"/>
          <w:lang w:val="es-MX" w:eastAsia="es-MX"/>
        </w:rPr>
        <w:t xml:space="preserve"> Mediante este servicio </w:t>
      </w:r>
      <w:r w:rsidRPr="00D936CA">
        <w:rPr>
          <w:rFonts w:ascii="ITC Avant Garde" w:hAnsi="ITC Avant Garde"/>
          <w:sz w:val="22"/>
          <w:szCs w:val="22"/>
          <w:lang w:val="es-ES"/>
        </w:rPr>
        <w:t xml:space="preserve">Telmex </w:t>
      </w:r>
      <w:r w:rsidRPr="00D936CA">
        <w:rPr>
          <w:rFonts w:ascii="ITC Avant Garde" w:hAnsi="ITC Avant Garde" w:cs="ITC Avant Garde"/>
          <w:sz w:val="22"/>
          <w:szCs w:val="22"/>
          <w:lang w:val="es-MX" w:eastAsia="es-MX"/>
        </w:rPr>
        <w:t>permite el uso del Bucle Local al Concesionario Solicitante, de tal manera que este último puede hacer uso parcial de la capacidad de transmisión, entregando el circuito en la Central telefónica o instalación equivalente.</w:t>
      </w:r>
    </w:p>
    <w:p w14:paraId="33CFE4B1"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Servicio de Desagregación Compartida del Sub-bucle Local:</w:t>
      </w:r>
      <w:r w:rsidRPr="00D936CA">
        <w:rPr>
          <w:rFonts w:ascii="ITC Avant Garde" w:hAnsi="ITC Avant Garde" w:cs="ITC Avant Garde"/>
          <w:sz w:val="22"/>
          <w:szCs w:val="22"/>
          <w:lang w:val="es-MX" w:eastAsia="es-MX"/>
        </w:rPr>
        <w:t xml:space="preserve"> Mediante este servicio </w:t>
      </w:r>
      <w:r w:rsidRPr="00D936CA">
        <w:rPr>
          <w:rFonts w:ascii="ITC Avant Garde" w:hAnsi="ITC Avant Garde"/>
          <w:sz w:val="22"/>
          <w:szCs w:val="22"/>
          <w:lang w:val="es-ES"/>
        </w:rPr>
        <w:t xml:space="preserve">Telmex </w:t>
      </w:r>
      <w:r w:rsidRPr="00D936CA">
        <w:rPr>
          <w:rFonts w:ascii="ITC Avant Garde" w:hAnsi="ITC Avant Garde" w:cs="ITC Avant Garde"/>
          <w:sz w:val="22"/>
          <w:szCs w:val="22"/>
          <w:lang w:val="es-MX" w:eastAsia="es-MX"/>
        </w:rPr>
        <w:t xml:space="preserve">permite el uso del Sub-Bucle Local al Concesionario Solicitante, de tal manera que este último puede hacer uso parcial de la capacidad de </w:t>
      </w:r>
      <w:r w:rsidRPr="00D936CA">
        <w:rPr>
          <w:rFonts w:ascii="ITC Avant Garde" w:hAnsi="ITC Avant Garde" w:cs="ITC Avant Garde"/>
          <w:sz w:val="22"/>
          <w:szCs w:val="22"/>
          <w:lang w:val="es-MX" w:eastAsia="es-MX"/>
        </w:rPr>
        <w:lastRenderedPageBreak/>
        <w:t>transmisión, entregando el circuito en un punto técnicamente factible entre el domicilio del usuario final y la Central telefónica o instalación equivalente.</w:t>
      </w:r>
    </w:p>
    <w:p w14:paraId="33CFE4B2"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Servicio de Desagregación Total del Bucle Local:</w:t>
      </w:r>
      <w:r w:rsidRPr="00D936CA">
        <w:rPr>
          <w:rFonts w:ascii="ITC Avant Garde" w:hAnsi="ITC Avant Garde" w:cs="ITC Avant Garde"/>
          <w:sz w:val="22"/>
          <w:szCs w:val="22"/>
          <w:lang w:val="es-MX" w:eastAsia="es-MX"/>
        </w:rPr>
        <w:t xml:space="preserve"> Mediante este servicio Telmex permite el uso del Bucle Local al Concesionario Solicitante, de tal manera que este último puede hacer uso de la capacidad de transmisión completa, entregando el circuito en la Central telefónica o instalación equivalente.</w:t>
      </w:r>
    </w:p>
    <w:p w14:paraId="33CFE4B3"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Servicio de Desagregación Total del Sub-bucle Local:</w:t>
      </w:r>
      <w:r w:rsidRPr="00D936CA">
        <w:rPr>
          <w:rFonts w:ascii="ITC Avant Garde" w:hAnsi="ITC Avant Garde" w:cs="ITC Avant Garde"/>
          <w:sz w:val="22"/>
          <w:szCs w:val="22"/>
          <w:lang w:val="es-MX" w:eastAsia="es-MX"/>
        </w:rPr>
        <w:t xml:space="preserve"> </w:t>
      </w:r>
      <w:r w:rsidRPr="00D936CA">
        <w:rPr>
          <w:rFonts w:ascii="ITC Avant Garde" w:hAnsi="ITC Avant Garde"/>
          <w:sz w:val="22"/>
          <w:szCs w:val="22"/>
        </w:rPr>
        <w:t xml:space="preserve">Mediante este servicio </w:t>
      </w:r>
      <w:r w:rsidRPr="00D936CA">
        <w:rPr>
          <w:rFonts w:ascii="ITC Avant Garde" w:hAnsi="ITC Avant Garde"/>
          <w:sz w:val="22"/>
          <w:szCs w:val="22"/>
          <w:lang w:val="es-ES"/>
        </w:rPr>
        <w:t xml:space="preserve">Telmex </w:t>
      </w:r>
      <w:r w:rsidRPr="00D936CA">
        <w:rPr>
          <w:rFonts w:ascii="ITC Avant Garde" w:hAnsi="ITC Avant Garde"/>
          <w:sz w:val="22"/>
          <w:szCs w:val="22"/>
        </w:rPr>
        <w:t xml:space="preserve">permite el uso del Sub-bucle Local al Concesionario Solicitante, de tal manera que este último puede hacer uso de la capacidad de transmisión completa, entregando el circuito en un punto técnicamente factible entre el domicilio del usuario final y la Central telefónica o instalación equivalente. </w:t>
      </w:r>
    </w:p>
    <w:p w14:paraId="33CFE4B4" w14:textId="6280DAFA" w:rsidR="00163DFB" w:rsidRPr="00060B2E"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 xml:space="preserve">Servicio de Reventa de Línea: </w:t>
      </w:r>
      <w:r w:rsidRPr="00D936CA">
        <w:rPr>
          <w:rFonts w:ascii="ITC Avant Garde" w:hAnsi="ITC Avant Garde" w:cs="ITC Avant Garde"/>
          <w:sz w:val="22"/>
          <w:szCs w:val="22"/>
          <w:lang w:val="es-MX" w:eastAsia="es-MX"/>
        </w:rPr>
        <w:t>Mediante este servicio se permite que el Concesionario Solicitante realice la reventa o comercialización de la línea telefónica de la red pública de telecomunicaciones de Telmex, para la prestación de servicios de telecomunicaciones.</w:t>
      </w:r>
    </w:p>
    <w:p w14:paraId="045D861C" w14:textId="4DB05C16" w:rsidR="00C616B3" w:rsidRPr="00060B2E" w:rsidRDefault="00C616B3" w:rsidP="00D936CA">
      <w:pPr>
        <w:pStyle w:val="Prrafodelista"/>
        <w:numPr>
          <w:ilvl w:val="0"/>
          <w:numId w:val="26"/>
        </w:numPr>
        <w:spacing w:after="200" w:line="276" w:lineRule="auto"/>
        <w:ind w:left="426"/>
        <w:jc w:val="both"/>
        <w:rPr>
          <w:rFonts w:ascii="ITC Avant Garde" w:hAnsi="ITC Avant Garde"/>
          <w:sz w:val="22"/>
          <w:szCs w:val="22"/>
          <w:lang w:val="es-ES"/>
        </w:rPr>
      </w:pPr>
      <w:r>
        <w:rPr>
          <w:rFonts w:ascii="ITC Avant Garde" w:hAnsi="ITC Avant Garde" w:cs="ITC Avant Garde"/>
          <w:b/>
          <w:i/>
          <w:sz w:val="22"/>
          <w:szCs w:val="22"/>
          <w:lang w:val="es-MX" w:eastAsia="es-MX"/>
        </w:rPr>
        <w:t xml:space="preserve">Servicio de Reventa Mayorista de Línea Telefónica: </w:t>
      </w:r>
      <w:r w:rsidRPr="00060B2E">
        <w:rPr>
          <w:rFonts w:ascii="ITC Avant Garde" w:hAnsi="ITC Avant Garde" w:cs="ITC Avant Garde"/>
          <w:i/>
          <w:sz w:val="22"/>
          <w:szCs w:val="22"/>
          <w:lang w:val="es-MX" w:eastAsia="es-MX"/>
        </w:rPr>
        <w:t>Servicio Mayorista que hace uso de la red telefónica de Telmex para la entrega de todas las llamadas telefónicas originadas por l</w:t>
      </w:r>
      <w:r w:rsidR="00F8554D">
        <w:rPr>
          <w:rFonts w:ascii="ITC Avant Garde" w:hAnsi="ITC Avant Garde" w:cs="ITC Avant Garde"/>
          <w:i/>
          <w:sz w:val="22"/>
          <w:szCs w:val="22"/>
          <w:lang w:val="es-MX" w:eastAsia="es-MX"/>
        </w:rPr>
        <w:t>os</w:t>
      </w:r>
      <w:r>
        <w:rPr>
          <w:rFonts w:ascii="ITC Avant Garde" w:hAnsi="ITC Avant Garde" w:cs="ITC Avant Garde"/>
          <w:i/>
          <w:sz w:val="22"/>
          <w:szCs w:val="22"/>
          <w:lang w:val="es-MX" w:eastAsia="es-MX"/>
        </w:rPr>
        <w:t xml:space="preserve"> usuario</w:t>
      </w:r>
      <w:r w:rsidR="00F8554D">
        <w:rPr>
          <w:rFonts w:ascii="ITC Avant Garde" w:hAnsi="ITC Avant Garde" w:cs="ITC Avant Garde"/>
          <w:i/>
          <w:sz w:val="22"/>
          <w:szCs w:val="22"/>
          <w:lang w:val="es-MX" w:eastAsia="es-MX"/>
        </w:rPr>
        <w:t>s</w:t>
      </w:r>
      <w:r>
        <w:rPr>
          <w:rFonts w:ascii="ITC Avant Garde" w:hAnsi="ITC Avant Garde" w:cs="ITC Avant Garde"/>
          <w:i/>
          <w:sz w:val="22"/>
          <w:szCs w:val="22"/>
          <w:lang w:val="es-MX" w:eastAsia="es-MX"/>
        </w:rPr>
        <w:t xml:space="preserve"> final</w:t>
      </w:r>
      <w:r w:rsidR="00F8554D">
        <w:rPr>
          <w:rFonts w:ascii="ITC Avant Garde" w:hAnsi="ITC Avant Garde" w:cs="ITC Avant Garde"/>
          <w:i/>
          <w:sz w:val="22"/>
          <w:szCs w:val="22"/>
          <w:lang w:val="es-MX" w:eastAsia="es-MX"/>
        </w:rPr>
        <w:t>es</w:t>
      </w:r>
      <w:r w:rsidR="00520256">
        <w:rPr>
          <w:rFonts w:ascii="ITC Avant Garde" w:hAnsi="ITC Avant Garde" w:cs="ITC Avant Garde"/>
          <w:i/>
          <w:sz w:val="22"/>
          <w:szCs w:val="22"/>
          <w:lang w:val="es-MX" w:eastAsia="es-MX"/>
        </w:rPr>
        <w:t xml:space="preserve">. Tales llamadas </w:t>
      </w:r>
      <w:r>
        <w:rPr>
          <w:rFonts w:ascii="ITC Avant Garde" w:hAnsi="ITC Avant Garde" w:cs="ITC Avant Garde"/>
          <w:i/>
          <w:sz w:val="22"/>
          <w:szCs w:val="22"/>
          <w:lang w:val="es-MX" w:eastAsia="es-MX"/>
        </w:rPr>
        <w:t>se entregan en un punto de interconexión al</w:t>
      </w:r>
      <w:r w:rsidRPr="00060B2E">
        <w:rPr>
          <w:rFonts w:ascii="ITC Avant Garde" w:hAnsi="ITC Avant Garde" w:cs="ITC Avant Garde"/>
          <w:i/>
          <w:sz w:val="22"/>
          <w:szCs w:val="22"/>
          <w:lang w:val="es-MX" w:eastAsia="es-MX"/>
        </w:rPr>
        <w:t xml:space="preserve"> Concesionario Solicitante</w:t>
      </w:r>
      <w:r>
        <w:rPr>
          <w:rFonts w:ascii="ITC Avant Garde" w:hAnsi="ITC Avant Garde" w:cs="ITC Avant Garde"/>
          <w:i/>
          <w:sz w:val="22"/>
          <w:szCs w:val="22"/>
          <w:lang w:val="es-MX" w:eastAsia="es-MX"/>
        </w:rPr>
        <w:t xml:space="preserve"> para su terminación.</w:t>
      </w:r>
    </w:p>
    <w:p w14:paraId="33CFE4B5"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Servicios Auxiliares:</w:t>
      </w:r>
      <w:r w:rsidRPr="00D936CA">
        <w:rPr>
          <w:rFonts w:ascii="ITC Avant Garde" w:hAnsi="ITC Avant Garde" w:cs="ITC Avant Garde"/>
          <w:sz w:val="22"/>
          <w:szCs w:val="22"/>
          <w:lang w:val="es-MX" w:eastAsia="es-MX"/>
        </w:rPr>
        <w:t xml:space="preserve"> Servicios necesarios para la adecuada operación de los servicios de desagregación provistos por </w:t>
      </w:r>
      <w:r w:rsidRPr="00D936CA">
        <w:rPr>
          <w:rFonts w:ascii="ITC Avant Garde" w:hAnsi="ITC Avant Garde"/>
          <w:sz w:val="22"/>
          <w:szCs w:val="22"/>
          <w:lang w:val="es-ES"/>
        </w:rPr>
        <w:t>Telmex</w:t>
      </w:r>
      <w:r w:rsidRPr="00D936CA">
        <w:rPr>
          <w:rFonts w:ascii="ITC Avant Garde" w:hAnsi="ITC Avant Garde" w:cs="ITC Avant Garde"/>
          <w:sz w:val="22"/>
          <w:szCs w:val="22"/>
          <w:lang w:val="es-MX" w:eastAsia="es-MX"/>
        </w:rPr>
        <w:t>, que incluyen el suministro de gabinetes, cableado interno de las instalaciones y entre las instalaciones, alimentación eléctrica, cables de sujeción, servicios de mantenimiento, entre otros.</w:t>
      </w:r>
    </w:p>
    <w:p w14:paraId="33CFE4B7" w14:textId="6D269E5B"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Sistema Electrónico de Gestión: </w:t>
      </w:r>
      <w:r w:rsidR="00AD75C7" w:rsidRPr="00D936CA">
        <w:rPr>
          <w:rFonts w:ascii="ITC Avant Garde" w:hAnsi="ITC Avant Garde"/>
          <w:sz w:val="22"/>
          <w:szCs w:val="22"/>
          <w:lang w:val="es-ES"/>
        </w:rPr>
        <w:t>H</w:t>
      </w:r>
      <w:r w:rsidRPr="00D936CA">
        <w:rPr>
          <w:rFonts w:ascii="ITC Avant Garde" w:hAnsi="ITC Avant Garde"/>
          <w:sz w:val="22"/>
          <w:szCs w:val="22"/>
          <w:lang w:val="es-ES"/>
        </w:rPr>
        <w:t xml:space="preserve">erramienta que tiene como objetivo permitir a los Concesionarios Solicitantes consultar información actualizada de la Red Pública de Telecomunicaciones </w:t>
      </w:r>
      <w:r w:rsidR="004D29C3" w:rsidRPr="00D936CA">
        <w:rPr>
          <w:rFonts w:ascii="ITC Avant Garde" w:hAnsi="ITC Avant Garde"/>
          <w:sz w:val="22"/>
          <w:szCs w:val="22"/>
          <w:lang w:val="es-ES"/>
        </w:rPr>
        <w:t>de Telmex</w:t>
      </w:r>
      <w:r w:rsidRPr="00D936CA">
        <w:rPr>
          <w:rFonts w:ascii="ITC Avant Garde" w:hAnsi="ITC Avant Garde"/>
          <w:sz w:val="22"/>
          <w:szCs w:val="22"/>
          <w:lang w:val="es-ES"/>
        </w:rPr>
        <w:t>, solicitar los servicios de interconexión, enlaces dedicados, compartición de infraestructura y desagregación, así como dar seguimiento a sus solicitudes hasta la entrega del servicio, reportar fallas, y monitorear la solución de las mismas, y todas aquellas actividades que sean necesarias para la correcta operación de los servicios.</w:t>
      </w:r>
    </w:p>
    <w:p w14:paraId="33CFE4B8"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rPr>
        <w:lastRenderedPageBreak/>
        <w:t xml:space="preserve">Splitter: </w:t>
      </w:r>
      <w:r w:rsidRPr="00D936CA">
        <w:rPr>
          <w:rFonts w:ascii="ITC Avant Garde" w:hAnsi="ITC Avant Garde"/>
          <w:bCs/>
          <w:iCs/>
          <w:sz w:val="22"/>
          <w:szCs w:val="22"/>
        </w:rPr>
        <w:t>Filtro que separa las señales de frecuencias bajas de las señales de frecuencias altas, denominado frecuentemente divisor del servicio telefónico ordinario.</w:t>
      </w:r>
    </w:p>
    <w:p w14:paraId="33CFE4B9" w14:textId="77777777"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 xml:space="preserve">Sub-bucle Local: </w:t>
      </w:r>
      <w:r w:rsidRPr="00D936CA">
        <w:rPr>
          <w:rFonts w:ascii="ITC Avant Garde" w:hAnsi="ITC Avant Garde" w:cs="ITC Avant Garde"/>
          <w:sz w:val="22"/>
          <w:szCs w:val="22"/>
          <w:lang w:val="es-MX" w:eastAsia="es-MX"/>
        </w:rPr>
        <w:t>El circuito físico que conecta el punto de conexión terminal de la red en el domicilio del usuario a un punto técnicamente factible entre el domicilio del usuario final y la Central telefónica o instalación equivalente de la red pública de telecomunicaciones desde la cual se presta el servicio al usuario.</w:t>
      </w:r>
    </w:p>
    <w:p w14:paraId="33CFE4BA" w14:textId="0D5BC7BC" w:rsidR="00F262EB" w:rsidRPr="00D936CA" w:rsidRDefault="00F262E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Terminal de Banda Ancha:</w:t>
      </w:r>
      <w:r w:rsidRPr="00D936CA">
        <w:rPr>
          <w:rFonts w:ascii="ITC Avant Garde" w:hAnsi="ITC Avant Garde"/>
          <w:sz w:val="22"/>
          <w:szCs w:val="22"/>
          <w:lang w:val="es-ES"/>
        </w:rPr>
        <w:t xml:space="preserve"> </w:t>
      </w:r>
      <w:r w:rsidRPr="00D936CA">
        <w:rPr>
          <w:rFonts w:ascii="ITC Avant Garde" w:hAnsi="ITC Avant Garde" w:cs="ITC Avant Garde"/>
          <w:sz w:val="22"/>
          <w:szCs w:val="22"/>
          <w:lang w:val="es-MX" w:eastAsia="es-MX"/>
        </w:rPr>
        <w:t xml:space="preserve">Equipos activos normalmente de tecnología xDSL </w:t>
      </w:r>
      <w:r w:rsidR="0015096C" w:rsidRPr="00D936CA">
        <w:rPr>
          <w:rFonts w:ascii="ITC Avant Garde" w:hAnsi="ITC Avant Garde" w:cs="ITC Avant Garde"/>
          <w:sz w:val="22"/>
          <w:szCs w:val="22"/>
          <w:lang w:val="es-MX" w:eastAsia="es-MX"/>
        </w:rPr>
        <w:t>localizados en un nodo, que están conectados mediante fibra óptica desde un armario ubicado en la calle hasta una OLT de la central y que alimentan al sub-bucles de cobre a partir del armario ubicado en calle que permiten el acceso hasta el domicilio del usuario final.</w:t>
      </w:r>
      <w:r w:rsidRPr="00D936CA">
        <w:rPr>
          <w:rFonts w:ascii="ITC Avant Garde" w:hAnsi="ITC Avant Garde" w:cs="ITC Avant Garde"/>
          <w:sz w:val="22"/>
          <w:szCs w:val="22"/>
          <w:lang w:val="es-MX" w:eastAsia="es-MX"/>
        </w:rPr>
        <w:t>.</w:t>
      </w:r>
    </w:p>
    <w:p w14:paraId="33CFE4BB" w14:textId="150A2262" w:rsidR="00CD03BB" w:rsidRPr="00D936CA" w:rsidRDefault="00CD03B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Terminal de Línea Óptica: </w:t>
      </w:r>
      <w:r w:rsidRPr="00D936CA">
        <w:rPr>
          <w:rFonts w:ascii="ITC Avant Garde" w:hAnsi="ITC Avant Garde"/>
          <w:sz w:val="22"/>
          <w:szCs w:val="22"/>
          <w:lang w:val="es-ES"/>
        </w:rPr>
        <w:t>Equipo de telecomunicaciones ubicado en las instalaciones de la central que delimita la red óptica de acceso.  Este elemento está del lado de la red de fibra óptica que establece la interfa</w:t>
      </w:r>
      <w:r w:rsidR="00B05CC0" w:rsidRPr="00D936CA">
        <w:rPr>
          <w:rFonts w:ascii="ITC Avant Garde" w:hAnsi="ITC Avant Garde"/>
          <w:sz w:val="22"/>
          <w:szCs w:val="22"/>
          <w:lang w:val="es-ES"/>
        </w:rPr>
        <w:t>z</w:t>
      </w:r>
      <w:r w:rsidR="000F4C3A" w:rsidRPr="00D936CA">
        <w:rPr>
          <w:rFonts w:ascii="ITC Avant Garde" w:hAnsi="ITC Avant Garde"/>
          <w:sz w:val="22"/>
          <w:szCs w:val="22"/>
          <w:lang w:val="es-ES"/>
        </w:rPr>
        <w:t xml:space="preserve"> &lt;</w:t>
      </w:r>
      <w:r w:rsidRPr="00D936CA">
        <w:rPr>
          <w:rFonts w:ascii="ITC Avant Garde" w:hAnsi="ITC Avant Garde"/>
          <w:sz w:val="22"/>
          <w:szCs w:val="22"/>
          <w:lang w:val="es-ES"/>
        </w:rPr>
        <w:t xml:space="preserve"> hacia las redes de operación que proporcionan los servicios de telecomunicaciones.</w:t>
      </w:r>
    </w:p>
    <w:p w14:paraId="33CFE4BC"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Terminal de Red Óptica</w:t>
      </w:r>
      <w:r w:rsidR="00CD03BB" w:rsidRPr="00D936CA">
        <w:rPr>
          <w:rFonts w:ascii="ITC Avant Garde" w:hAnsi="ITC Avant Garde"/>
          <w:b/>
          <w:i/>
          <w:sz w:val="22"/>
          <w:szCs w:val="22"/>
          <w:lang w:val="es-ES"/>
        </w:rPr>
        <w:t>:</w:t>
      </w:r>
      <w:r w:rsidRPr="00D936CA">
        <w:rPr>
          <w:rFonts w:ascii="ITC Avant Garde" w:hAnsi="ITC Avant Garde"/>
          <w:b/>
          <w:i/>
          <w:sz w:val="22"/>
          <w:szCs w:val="22"/>
          <w:lang w:val="es-ES"/>
        </w:rPr>
        <w:t xml:space="preserve"> </w:t>
      </w:r>
      <w:r w:rsidRPr="00D936CA">
        <w:rPr>
          <w:rFonts w:ascii="ITC Avant Garde" w:hAnsi="ITC Avant Garde"/>
          <w:sz w:val="22"/>
          <w:szCs w:val="22"/>
          <w:lang w:val="es-ES"/>
        </w:rPr>
        <w:t xml:space="preserve">Equipo de telecomunicaciones ubicado en las instalaciones del </w:t>
      </w:r>
      <w:r w:rsidR="006A7616" w:rsidRPr="00D936CA">
        <w:rPr>
          <w:rFonts w:ascii="ITC Avant Garde" w:hAnsi="ITC Avant Garde"/>
          <w:sz w:val="22"/>
          <w:szCs w:val="22"/>
          <w:lang w:val="es-ES"/>
        </w:rPr>
        <w:t xml:space="preserve">cliente </w:t>
      </w:r>
      <w:r w:rsidRPr="00D936CA">
        <w:rPr>
          <w:rFonts w:ascii="ITC Avant Garde" w:hAnsi="ITC Avant Garde"/>
          <w:sz w:val="22"/>
          <w:szCs w:val="22"/>
          <w:lang w:val="es-ES"/>
        </w:rPr>
        <w:t xml:space="preserve">final que termina la red óptica de acceso. Este elemento está del lado de la red que provee la </w:t>
      </w:r>
      <w:r w:rsidR="00D13961" w:rsidRPr="00D936CA">
        <w:rPr>
          <w:rFonts w:ascii="ITC Avant Garde" w:hAnsi="ITC Avant Garde"/>
          <w:sz w:val="22"/>
          <w:szCs w:val="22"/>
          <w:lang w:val="es-ES"/>
        </w:rPr>
        <w:t>interfaz</w:t>
      </w:r>
      <w:r w:rsidRPr="00D936CA">
        <w:rPr>
          <w:rFonts w:ascii="ITC Avant Garde" w:hAnsi="ITC Avant Garde"/>
          <w:sz w:val="22"/>
          <w:szCs w:val="22"/>
          <w:lang w:val="es-ES"/>
        </w:rPr>
        <w:t xml:space="preserve"> del usuario hacia la red de fibra óptica.</w:t>
      </w:r>
    </w:p>
    <w:p w14:paraId="33CFE4BD"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cs="ITC Avant Garde"/>
          <w:b/>
          <w:i/>
          <w:sz w:val="22"/>
          <w:szCs w:val="22"/>
          <w:lang w:val="es-MX" w:eastAsia="es-MX"/>
        </w:rPr>
        <w:t xml:space="preserve">Tráfico: </w:t>
      </w:r>
      <w:r w:rsidRPr="00D936CA">
        <w:rPr>
          <w:rFonts w:ascii="ITC Avant Garde" w:hAnsi="ITC Avant Garde" w:cs="ITC Avant Garde"/>
          <w:sz w:val="22"/>
          <w:szCs w:val="22"/>
          <w:lang w:val="es-MX" w:eastAsia="es-MX"/>
        </w:rPr>
        <w:t>Toda emisión, transmisión o recepción de signos, señales, datos, escritos, imágenes, voz, sonidos o información de cualquier naturaleza que se conduce a través de una red pública de telecomunicaciones.</w:t>
      </w:r>
    </w:p>
    <w:p w14:paraId="33CFE4BE"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rPr>
        <w:t>Ubicación distante:</w:t>
      </w:r>
      <w:r w:rsidRPr="00D936CA">
        <w:rPr>
          <w:rFonts w:ascii="ITC Avant Garde" w:hAnsi="ITC Avant Garde"/>
          <w:bCs/>
          <w:i/>
          <w:iCs/>
          <w:sz w:val="22"/>
          <w:szCs w:val="22"/>
        </w:rPr>
        <w:t xml:space="preserve"> </w:t>
      </w:r>
      <w:r w:rsidRPr="00D936CA">
        <w:rPr>
          <w:rFonts w:ascii="ITC Avant Garde" w:hAnsi="ITC Avant Garde"/>
          <w:bCs/>
          <w:iCs/>
          <w:sz w:val="22"/>
          <w:szCs w:val="22"/>
        </w:rPr>
        <w:t>La colocación de equipos y dispositivos del Concesionario Solicitante, necesarios para acceder a los servicios de desagregación, mediante la ubicación en espacios físicos fuera de las instalaciones, en donde se encuentran los equipos de Telmex.</w:t>
      </w:r>
    </w:p>
    <w:p w14:paraId="33CFE4BF"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rPr>
        <w:t xml:space="preserve">Unicast: </w:t>
      </w:r>
      <w:r w:rsidRPr="00D936CA">
        <w:rPr>
          <w:rFonts w:ascii="ITC Avant Garde" w:hAnsi="ITC Avant Garde"/>
          <w:bCs/>
          <w:iCs/>
          <w:sz w:val="22"/>
          <w:szCs w:val="22"/>
        </w:rPr>
        <w:t>Envío de información entre un único origen y un único destino.</w:t>
      </w:r>
    </w:p>
    <w:p w14:paraId="33CFE4C0" w14:textId="77777777"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bCs/>
          <w:i/>
          <w:iCs/>
          <w:sz w:val="22"/>
          <w:szCs w:val="22"/>
        </w:rPr>
        <w:t>Usuario Final:</w:t>
      </w:r>
      <w:r w:rsidRPr="00D936CA">
        <w:rPr>
          <w:rFonts w:ascii="ITC Avant Garde" w:hAnsi="ITC Avant Garde"/>
          <w:sz w:val="22"/>
          <w:szCs w:val="22"/>
          <w:lang w:val="es-MX"/>
        </w:rPr>
        <w:t xml:space="preserve"> Persona física o moral que utiliza un servicio de telecomunicaciones como destinatario final.</w:t>
      </w:r>
    </w:p>
    <w:p w14:paraId="33CFE4C2" w14:textId="6DBB1176" w:rsidR="00163DFB" w:rsidRPr="00D936CA" w:rsidRDefault="00011A1B" w:rsidP="00D936CA">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t xml:space="preserve">Voz sobre IP: </w:t>
      </w:r>
      <w:r w:rsidRPr="00D936CA">
        <w:rPr>
          <w:rFonts w:ascii="ITC Avant Garde" w:hAnsi="ITC Avant Garde"/>
          <w:sz w:val="22"/>
          <w:szCs w:val="22"/>
          <w:lang w:val="es-ES"/>
        </w:rPr>
        <w:t>Término genérico para describir la técnica utilizada para cursar tráfico de voz sobre IP</w:t>
      </w:r>
      <w:r w:rsidR="008E3C4F" w:rsidRPr="00D936CA">
        <w:rPr>
          <w:rFonts w:ascii="ITC Avant Garde" w:hAnsi="ITC Avant Garde"/>
          <w:sz w:val="22"/>
          <w:szCs w:val="22"/>
          <w:lang w:val="es-ES"/>
        </w:rPr>
        <w:t>.</w:t>
      </w:r>
    </w:p>
    <w:p w14:paraId="505ADE0B" w14:textId="1D389F6F" w:rsidR="000A501E" w:rsidRPr="00060B2E" w:rsidRDefault="00011A1B" w:rsidP="00060B2E">
      <w:pPr>
        <w:pStyle w:val="Prrafodelista"/>
        <w:numPr>
          <w:ilvl w:val="0"/>
          <w:numId w:val="26"/>
        </w:numPr>
        <w:spacing w:after="200" w:line="276" w:lineRule="auto"/>
        <w:ind w:left="426"/>
        <w:jc w:val="both"/>
        <w:rPr>
          <w:rFonts w:ascii="ITC Avant Garde" w:hAnsi="ITC Avant Garde"/>
          <w:sz w:val="22"/>
          <w:szCs w:val="22"/>
          <w:lang w:val="es-ES"/>
        </w:rPr>
      </w:pPr>
      <w:r w:rsidRPr="00D936CA">
        <w:rPr>
          <w:rFonts w:ascii="ITC Avant Garde" w:hAnsi="ITC Avant Garde"/>
          <w:b/>
          <w:i/>
          <w:sz w:val="22"/>
          <w:szCs w:val="22"/>
          <w:lang w:val="es-ES"/>
        </w:rPr>
        <w:lastRenderedPageBreak/>
        <w:t xml:space="preserve">Zona de cobertura: </w:t>
      </w:r>
      <w:r w:rsidRPr="00D936CA">
        <w:rPr>
          <w:rFonts w:ascii="ITC Avant Garde" w:hAnsi="ITC Avant Garde"/>
          <w:sz w:val="22"/>
          <w:szCs w:val="22"/>
          <w:lang w:val="es-ES"/>
        </w:rPr>
        <w:t>Área geográfica en la cual están conectados usuarios finales en un punto determinado de la red</w:t>
      </w:r>
      <w:r w:rsidR="00AD75C7" w:rsidRPr="00D936CA">
        <w:rPr>
          <w:rFonts w:ascii="ITC Avant Garde" w:hAnsi="ITC Avant Garde"/>
          <w:sz w:val="22"/>
          <w:szCs w:val="22"/>
          <w:lang w:val="es-ES"/>
        </w:rPr>
        <w:t>.</w:t>
      </w:r>
    </w:p>
    <w:p w14:paraId="271D5245" w14:textId="77777777" w:rsidR="000A501E" w:rsidRPr="00060B2E" w:rsidRDefault="000A501E" w:rsidP="00060B2E">
      <w:pPr>
        <w:spacing w:after="200" w:line="276" w:lineRule="auto"/>
        <w:jc w:val="both"/>
        <w:rPr>
          <w:rFonts w:ascii="ITC Avant Garde" w:hAnsi="ITC Avant Garde"/>
          <w:sz w:val="22"/>
          <w:szCs w:val="22"/>
          <w:lang w:val="es-ES"/>
        </w:rPr>
      </w:pPr>
    </w:p>
    <w:p w14:paraId="33CFE4C4" w14:textId="77777777" w:rsidR="00B54180" w:rsidRPr="00D936CA" w:rsidRDefault="00B54180" w:rsidP="00D936CA">
      <w:pPr>
        <w:rPr>
          <w:rFonts w:ascii="ITC Avant Garde" w:hAnsi="ITC Avant Garde"/>
        </w:rPr>
      </w:pPr>
      <w:r w:rsidRPr="00D936CA">
        <w:rPr>
          <w:rFonts w:ascii="ITC Avant Garde" w:hAnsi="ITC Avant Garde"/>
        </w:rPr>
        <w:br w:type="page"/>
      </w:r>
    </w:p>
    <w:p w14:paraId="33CFE4C5" w14:textId="77777777" w:rsidR="0068389F" w:rsidRPr="00D936CA" w:rsidRDefault="0068389F" w:rsidP="00D936CA">
      <w:pPr>
        <w:pStyle w:val="Ttulo1"/>
      </w:pPr>
      <w:bookmarkStart w:id="31" w:name="_Toc436840861"/>
      <w:bookmarkStart w:id="32" w:name="_Toc436846298"/>
      <w:bookmarkStart w:id="33" w:name="_Toc436848248"/>
      <w:bookmarkStart w:id="34" w:name="_Toc436856496"/>
      <w:bookmarkStart w:id="35" w:name="_Toc436862642"/>
      <w:bookmarkStart w:id="36" w:name="_Toc436866292"/>
      <w:bookmarkStart w:id="37" w:name="_Toc436870871"/>
      <w:bookmarkStart w:id="38" w:name="_Toc436875863"/>
      <w:bookmarkStart w:id="39" w:name="_Toc467248673"/>
      <w:bookmarkStart w:id="40" w:name="_Toc518031945"/>
      <w:r w:rsidRPr="00D936CA">
        <w:lastRenderedPageBreak/>
        <w:t>Acrónimos</w:t>
      </w:r>
      <w:bookmarkEnd w:id="31"/>
      <w:bookmarkEnd w:id="32"/>
      <w:bookmarkEnd w:id="33"/>
      <w:bookmarkEnd w:id="34"/>
      <w:bookmarkEnd w:id="35"/>
      <w:bookmarkEnd w:id="36"/>
      <w:bookmarkEnd w:id="37"/>
      <w:bookmarkEnd w:id="38"/>
      <w:bookmarkEnd w:id="39"/>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
        <w:gridCol w:w="7439"/>
      </w:tblGrid>
      <w:tr w:rsidR="00D936CA" w:rsidRPr="00D936CA" w14:paraId="33CFE4C8" w14:textId="77777777" w:rsidTr="0068389F">
        <w:trPr>
          <w:trHeight w:val="300"/>
          <w:jc w:val="center"/>
        </w:trPr>
        <w:tc>
          <w:tcPr>
            <w:tcW w:w="907" w:type="dxa"/>
            <w:shd w:val="clear" w:color="auto" w:fill="auto"/>
            <w:noWrap/>
            <w:vAlign w:val="center"/>
          </w:tcPr>
          <w:p w14:paraId="33CFE4C6"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b/>
                <w:sz w:val="20"/>
                <w:szCs w:val="18"/>
                <w:lang w:eastAsia="es-MX"/>
              </w:rPr>
              <w:t>BRAS</w:t>
            </w:r>
          </w:p>
        </w:tc>
        <w:tc>
          <w:tcPr>
            <w:tcW w:w="7439" w:type="dxa"/>
            <w:shd w:val="clear" w:color="auto" w:fill="auto"/>
            <w:noWrap/>
            <w:vAlign w:val="center"/>
          </w:tcPr>
          <w:p w14:paraId="33CFE4C7"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Servidor de Acceso Remoto de Banda ancha</w:t>
            </w:r>
          </w:p>
        </w:tc>
      </w:tr>
      <w:tr w:rsidR="007C5B7A" w:rsidRPr="00D936CA" w14:paraId="723FCEEE" w14:textId="77777777" w:rsidTr="0068389F">
        <w:trPr>
          <w:trHeight w:val="300"/>
          <w:jc w:val="center"/>
        </w:trPr>
        <w:tc>
          <w:tcPr>
            <w:tcW w:w="907" w:type="dxa"/>
            <w:shd w:val="clear" w:color="auto" w:fill="auto"/>
            <w:noWrap/>
            <w:vAlign w:val="center"/>
          </w:tcPr>
          <w:p w14:paraId="5173D90A" w14:textId="35D71FDC" w:rsidR="007C5B7A" w:rsidRPr="00D936CA" w:rsidRDefault="007C5B7A" w:rsidP="00D936CA">
            <w:pPr>
              <w:rPr>
                <w:rFonts w:ascii="ITC Avant Garde" w:hAnsi="ITC Avant Garde"/>
                <w:b/>
                <w:sz w:val="20"/>
                <w:szCs w:val="18"/>
                <w:lang w:eastAsia="es-MX"/>
              </w:rPr>
            </w:pPr>
            <w:r>
              <w:rPr>
                <w:rFonts w:ascii="ITC Avant Garde" w:hAnsi="ITC Avant Garde"/>
                <w:b/>
                <w:sz w:val="20"/>
                <w:szCs w:val="18"/>
                <w:lang w:eastAsia="es-MX"/>
              </w:rPr>
              <w:t>CAO</w:t>
            </w:r>
          </w:p>
        </w:tc>
        <w:tc>
          <w:tcPr>
            <w:tcW w:w="7439" w:type="dxa"/>
            <w:shd w:val="clear" w:color="auto" w:fill="auto"/>
            <w:noWrap/>
            <w:vAlign w:val="center"/>
          </w:tcPr>
          <w:p w14:paraId="645A2B66" w14:textId="14F2695D" w:rsidR="007C5B7A" w:rsidRPr="00D936CA" w:rsidRDefault="007C5B7A" w:rsidP="00D936CA">
            <w:pPr>
              <w:rPr>
                <w:rFonts w:ascii="ITC Avant Garde" w:hAnsi="ITC Avant Garde"/>
                <w:sz w:val="20"/>
                <w:szCs w:val="18"/>
                <w:lang w:eastAsia="es-MX"/>
              </w:rPr>
            </w:pPr>
            <w:r>
              <w:rPr>
                <w:rFonts w:ascii="ITC Avant Garde" w:hAnsi="ITC Avant Garde" w:cs="Arial"/>
                <w:sz w:val="22"/>
                <w:szCs w:val="22"/>
                <w:lang w:val="es-ES" w:eastAsia="es-MX"/>
              </w:rPr>
              <w:t>Centro de Atención de Operadores (CAO)</w:t>
            </w:r>
          </w:p>
        </w:tc>
      </w:tr>
      <w:tr w:rsidR="00A90ABE" w:rsidRPr="00D936CA" w14:paraId="4F1EE2FF" w14:textId="77777777" w:rsidTr="00060B2E">
        <w:trPr>
          <w:trHeight w:val="300"/>
          <w:jc w:val="center"/>
        </w:trPr>
        <w:tc>
          <w:tcPr>
            <w:tcW w:w="907" w:type="dxa"/>
            <w:shd w:val="clear" w:color="auto" w:fill="auto"/>
            <w:noWrap/>
          </w:tcPr>
          <w:p w14:paraId="03BB333A" w14:textId="2A5626E5" w:rsidR="00A90ABE" w:rsidRPr="00D936CA" w:rsidRDefault="00A90ABE" w:rsidP="00A90ABE">
            <w:pPr>
              <w:rPr>
                <w:rFonts w:ascii="ITC Avant Garde" w:hAnsi="ITC Avant Garde"/>
                <w:b/>
                <w:sz w:val="20"/>
                <w:szCs w:val="18"/>
                <w:lang w:eastAsia="es-MX"/>
              </w:rPr>
            </w:pPr>
            <w:r w:rsidRPr="00060B2E">
              <w:rPr>
                <w:rFonts w:ascii="ITC Avant Garde" w:hAnsi="ITC Avant Garde"/>
                <w:b/>
                <w:sz w:val="20"/>
                <w:szCs w:val="18"/>
                <w:lang w:eastAsia="es-MX"/>
              </w:rPr>
              <w:t>CCE</w:t>
            </w:r>
          </w:p>
        </w:tc>
        <w:tc>
          <w:tcPr>
            <w:tcW w:w="7439" w:type="dxa"/>
            <w:shd w:val="clear" w:color="auto" w:fill="auto"/>
            <w:noWrap/>
          </w:tcPr>
          <w:p w14:paraId="3FA8F07E" w14:textId="461EE938" w:rsidR="00A90ABE" w:rsidRPr="00A90ABE" w:rsidRDefault="00A90ABE" w:rsidP="00A90ABE">
            <w:pPr>
              <w:rPr>
                <w:rFonts w:ascii="ITC Avant Garde" w:hAnsi="ITC Avant Garde"/>
                <w:sz w:val="20"/>
                <w:szCs w:val="18"/>
                <w:lang w:eastAsia="es-MX"/>
              </w:rPr>
            </w:pPr>
            <w:r w:rsidRPr="00060B2E">
              <w:rPr>
                <w:rFonts w:ascii="ITC Avant Garde" w:hAnsi="ITC Avant Garde"/>
                <w:sz w:val="20"/>
                <w:szCs w:val="18"/>
                <w:lang w:eastAsia="es-MX"/>
              </w:rPr>
              <w:t>Centros con Capacidad de Enrutamiento</w:t>
            </w:r>
          </w:p>
        </w:tc>
      </w:tr>
      <w:tr w:rsidR="00D936CA" w:rsidRPr="00D936CA" w14:paraId="33CFE4CB" w14:textId="77777777" w:rsidTr="0068389F">
        <w:trPr>
          <w:trHeight w:val="300"/>
          <w:jc w:val="center"/>
        </w:trPr>
        <w:tc>
          <w:tcPr>
            <w:tcW w:w="907" w:type="dxa"/>
            <w:shd w:val="clear" w:color="auto" w:fill="auto"/>
            <w:noWrap/>
            <w:vAlign w:val="center"/>
            <w:hideMark/>
          </w:tcPr>
          <w:p w14:paraId="33CFE4C9"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CD</w:t>
            </w:r>
          </w:p>
        </w:tc>
        <w:tc>
          <w:tcPr>
            <w:tcW w:w="7439" w:type="dxa"/>
            <w:shd w:val="clear" w:color="auto" w:fill="auto"/>
            <w:noWrap/>
            <w:vAlign w:val="center"/>
            <w:hideMark/>
          </w:tcPr>
          <w:p w14:paraId="33CFE4CA"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Caja de Distribución</w:t>
            </w:r>
          </w:p>
        </w:tc>
      </w:tr>
      <w:tr w:rsidR="00D936CA" w:rsidRPr="00D936CA" w14:paraId="33CFE4CE" w14:textId="77777777" w:rsidTr="0068389F">
        <w:trPr>
          <w:trHeight w:val="300"/>
          <w:jc w:val="center"/>
        </w:trPr>
        <w:tc>
          <w:tcPr>
            <w:tcW w:w="907" w:type="dxa"/>
            <w:shd w:val="clear" w:color="auto" w:fill="auto"/>
            <w:noWrap/>
            <w:vAlign w:val="center"/>
            <w:hideMark/>
          </w:tcPr>
          <w:p w14:paraId="33CFE4CC"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CDR</w:t>
            </w:r>
          </w:p>
        </w:tc>
        <w:tc>
          <w:tcPr>
            <w:tcW w:w="7439" w:type="dxa"/>
            <w:shd w:val="clear" w:color="auto" w:fill="auto"/>
            <w:noWrap/>
            <w:vAlign w:val="center"/>
            <w:hideMark/>
          </w:tcPr>
          <w:p w14:paraId="33CFE4CD"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Registro de Llamadas Realizadas (CDR, por sus siglas en inglés)</w:t>
            </w:r>
          </w:p>
        </w:tc>
      </w:tr>
      <w:tr w:rsidR="00D936CA" w:rsidRPr="00D936CA" w14:paraId="33CFE4D1" w14:textId="77777777" w:rsidTr="0068389F">
        <w:trPr>
          <w:trHeight w:val="300"/>
          <w:jc w:val="center"/>
        </w:trPr>
        <w:tc>
          <w:tcPr>
            <w:tcW w:w="907" w:type="dxa"/>
            <w:shd w:val="clear" w:color="auto" w:fill="auto"/>
            <w:noWrap/>
            <w:vAlign w:val="center"/>
            <w:hideMark/>
          </w:tcPr>
          <w:p w14:paraId="33CFE4CF"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CE</w:t>
            </w:r>
          </w:p>
        </w:tc>
        <w:tc>
          <w:tcPr>
            <w:tcW w:w="7439" w:type="dxa"/>
            <w:shd w:val="clear" w:color="auto" w:fill="auto"/>
            <w:noWrap/>
            <w:vAlign w:val="center"/>
            <w:hideMark/>
          </w:tcPr>
          <w:p w14:paraId="33CFE4D0"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Coubicación Externa</w:t>
            </w:r>
          </w:p>
        </w:tc>
      </w:tr>
      <w:tr w:rsidR="00D936CA" w:rsidRPr="00D936CA" w14:paraId="33CFE4D4" w14:textId="77777777" w:rsidTr="0068389F">
        <w:trPr>
          <w:trHeight w:val="300"/>
          <w:jc w:val="center"/>
        </w:trPr>
        <w:tc>
          <w:tcPr>
            <w:tcW w:w="907" w:type="dxa"/>
            <w:shd w:val="clear" w:color="auto" w:fill="auto"/>
            <w:noWrap/>
            <w:vAlign w:val="center"/>
            <w:hideMark/>
          </w:tcPr>
          <w:p w14:paraId="33CFE4D2"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CI</w:t>
            </w:r>
          </w:p>
        </w:tc>
        <w:tc>
          <w:tcPr>
            <w:tcW w:w="7439" w:type="dxa"/>
            <w:shd w:val="clear" w:color="auto" w:fill="auto"/>
            <w:noWrap/>
            <w:vAlign w:val="center"/>
            <w:hideMark/>
          </w:tcPr>
          <w:p w14:paraId="33CFE4D3"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Coubicación Interna</w:t>
            </w:r>
          </w:p>
        </w:tc>
      </w:tr>
      <w:tr w:rsidR="00D936CA" w:rsidRPr="00D936CA" w14:paraId="33CFE4D7" w14:textId="77777777" w:rsidTr="0068389F">
        <w:trPr>
          <w:trHeight w:val="300"/>
          <w:jc w:val="center"/>
        </w:trPr>
        <w:tc>
          <w:tcPr>
            <w:tcW w:w="907" w:type="dxa"/>
            <w:shd w:val="clear" w:color="auto" w:fill="auto"/>
            <w:noWrap/>
            <w:vAlign w:val="center"/>
            <w:hideMark/>
          </w:tcPr>
          <w:p w14:paraId="33CFE4D5"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CIC</w:t>
            </w:r>
          </w:p>
        </w:tc>
        <w:tc>
          <w:tcPr>
            <w:tcW w:w="7439" w:type="dxa"/>
            <w:shd w:val="clear" w:color="auto" w:fill="auto"/>
            <w:noWrap/>
            <w:vAlign w:val="center"/>
            <w:hideMark/>
          </w:tcPr>
          <w:p w14:paraId="33CFE4D6"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Cableado Interior del Cliente</w:t>
            </w:r>
          </w:p>
        </w:tc>
      </w:tr>
      <w:tr w:rsidR="00D936CA" w:rsidRPr="00D936CA" w14:paraId="33CFE4DA" w14:textId="77777777" w:rsidTr="004B2C51">
        <w:trPr>
          <w:trHeight w:val="300"/>
          <w:jc w:val="center"/>
        </w:trPr>
        <w:tc>
          <w:tcPr>
            <w:tcW w:w="907" w:type="dxa"/>
            <w:shd w:val="clear" w:color="auto" w:fill="auto"/>
            <w:noWrap/>
          </w:tcPr>
          <w:p w14:paraId="33CFE4D8" w14:textId="77777777" w:rsidR="004B2C51" w:rsidRPr="00D936CA" w:rsidRDefault="004B2C51" w:rsidP="00D936CA">
            <w:pPr>
              <w:rPr>
                <w:rFonts w:ascii="ITC Avant Garde" w:hAnsi="ITC Avant Garde"/>
                <w:b/>
                <w:sz w:val="20"/>
                <w:szCs w:val="18"/>
                <w:lang w:eastAsia="es-MX"/>
              </w:rPr>
            </w:pPr>
            <w:r w:rsidRPr="00D936CA">
              <w:rPr>
                <w:rFonts w:ascii="ITC Avant Garde" w:hAnsi="ITC Avant Garde"/>
                <w:b/>
                <w:sz w:val="20"/>
                <w:szCs w:val="18"/>
                <w:lang w:eastAsia="es-MX"/>
              </w:rPr>
              <w:t>CLLI</w:t>
            </w:r>
          </w:p>
        </w:tc>
        <w:tc>
          <w:tcPr>
            <w:tcW w:w="7439" w:type="dxa"/>
            <w:shd w:val="clear" w:color="auto" w:fill="auto"/>
            <w:noWrap/>
          </w:tcPr>
          <w:p w14:paraId="33CFE4D9" w14:textId="77777777" w:rsidR="004B2C51" w:rsidRPr="00D936CA" w:rsidRDefault="004B2C51" w:rsidP="00D936CA">
            <w:pPr>
              <w:rPr>
                <w:rFonts w:ascii="ITC Avant Garde" w:hAnsi="ITC Avant Garde"/>
                <w:sz w:val="20"/>
                <w:szCs w:val="18"/>
                <w:lang w:eastAsia="es-MX"/>
              </w:rPr>
            </w:pPr>
            <w:r w:rsidRPr="00D936CA">
              <w:rPr>
                <w:rFonts w:ascii="ITC Avant Garde" w:hAnsi="ITC Avant Garde"/>
                <w:sz w:val="20"/>
                <w:szCs w:val="18"/>
                <w:lang w:eastAsia="es-MX"/>
              </w:rPr>
              <w:t>Identificador de Ubicación de Lenguaje Común</w:t>
            </w:r>
          </w:p>
        </w:tc>
      </w:tr>
      <w:tr w:rsidR="00D936CA" w:rsidRPr="00D936CA" w14:paraId="33CFE4DD" w14:textId="77777777" w:rsidTr="0068389F">
        <w:trPr>
          <w:trHeight w:val="300"/>
          <w:jc w:val="center"/>
        </w:trPr>
        <w:tc>
          <w:tcPr>
            <w:tcW w:w="907" w:type="dxa"/>
            <w:shd w:val="clear" w:color="auto" w:fill="auto"/>
            <w:noWrap/>
            <w:vAlign w:val="center"/>
            <w:hideMark/>
          </w:tcPr>
          <w:p w14:paraId="33CFE4DB"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CPE</w:t>
            </w:r>
          </w:p>
        </w:tc>
        <w:tc>
          <w:tcPr>
            <w:tcW w:w="7439" w:type="dxa"/>
            <w:shd w:val="clear" w:color="auto" w:fill="auto"/>
            <w:noWrap/>
            <w:vAlign w:val="center"/>
            <w:hideMark/>
          </w:tcPr>
          <w:p w14:paraId="33CFE4DC"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Equipo Terminal del Usuario (CPE, por sus siglas en inglés)</w:t>
            </w:r>
          </w:p>
        </w:tc>
      </w:tr>
      <w:tr w:rsidR="00630D3F" w:rsidRPr="00D936CA" w14:paraId="2346F9A7" w14:textId="77777777" w:rsidTr="0068389F">
        <w:trPr>
          <w:trHeight w:val="300"/>
          <w:jc w:val="center"/>
        </w:trPr>
        <w:tc>
          <w:tcPr>
            <w:tcW w:w="907" w:type="dxa"/>
            <w:shd w:val="clear" w:color="auto" w:fill="auto"/>
            <w:noWrap/>
            <w:vAlign w:val="center"/>
          </w:tcPr>
          <w:p w14:paraId="47F69494" w14:textId="745B48CC" w:rsidR="00630D3F" w:rsidRPr="00D936CA" w:rsidRDefault="00630D3F" w:rsidP="00D936CA">
            <w:pPr>
              <w:rPr>
                <w:rFonts w:ascii="ITC Avant Garde" w:hAnsi="ITC Avant Garde"/>
                <w:b/>
                <w:sz w:val="20"/>
                <w:szCs w:val="18"/>
                <w:lang w:eastAsia="es-MX"/>
              </w:rPr>
            </w:pPr>
            <w:r>
              <w:rPr>
                <w:rFonts w:ascii="ITC Avant Garde" w:hAnsi="ITC Avant Garde"/>
                <w:b/>
                <w:sz w:val="20"/>
                <w:szCs w:val="18"/>
                <w:lang w:eastAsia="es-MX"/>
              </w:rPr>
              <w:t>CS</w:t>
            </w:r>
          </w:p>
        </w:tc>
        <w:tc>
          <w:tcPr>
            <w:tcW w:w="7439" w:type="dxa"/>
            <w:shd w:val="clear" w:color="auto" w:fill="auto"/>
            <w:noWrap/>
            <w:vAlign w:val="center"/>
          </w:tcPr>
          <w:p w14:paraId="59AED5A5" w14:textId="1D71EA56" w:rsidR="00630D3F" w:rsidRPr="00D936CA" w:rsidRDefault="00630D3F" w:rsidP="00D936CA">
            <w:pPr>
              <w:rPr>
                <w:rFonts w:ascii="ITC Avant Garde" w:hAnsi="ITC Avant Garde"/>
                <w:sz w:val="20"/>
                <w:szCs w:val="18"/>
                <w:lang w:eastAsia="es-MX"/>
              </w:rPr>
            </w:pPr>
            <w:r>
              <w:rPr>
                <w:rFonts w:ascii="ITC Avant Garde" w:hAnsi="ITC Avant Garde"/>
                <w:sz w:val="20"/>
                <w:szCs w:val="18"/>
                <w:lang w:eastAsia="es-MX"/>
              </w:rPr>
              <w:t>Concesionario Solicitante/Autorizado Solicitante</w:t>
            </w:r>
          </w:p>
        </w:tc>
      </w:tr>
      <w:tr w:rsidR="00D936CA" w:rsidRPr="00D936CA" w14:paraId="33CFE4E0" w14:textId="77777777" w:rsidTr="0068389F">
        <w:trPr>
          <w:trHeight w:val="300"/>
          <w:jc w:val="center"/>
        </w:trPr>
        <w:tc>
          <w:tcPr>
            <w:tcW w:w="907" w:type="dxa"/>
            <w:shd w:val="clear" w:color="auto" w:fill="auto"/>
            <w:noWrap/>
            <w:vAlign w:val="center"/>
            <w:hideMark/>
          </w:tcPr>
          <w:p w14:paraId="33CFE4DE"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DFO</w:t>
            </w:r>
          </w:p>
        </w:tc>
        <w:tc>
          <w:tcPr>
            <w:tcW w:w="7439" w:type="dxa"/>
            <w:shd w:val="clear" w:color="auto" w:fill="auto"/>
            <w:noWrap/>
            <w:vAlign w:val="center"/>
            <w:hideMark/>
          </w:tcPr>
          <w:p w14:paraId="33CFE4DF"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Distribuidor de Fibra Óptica</w:t>
            </w:r>
          </w:p>
        </w:tc>
      </w:tr>
      <w:tr w:rsidR="00D936CA" w:rsidRPr="00D936CA" w14:paraId="33CFE4E3" w14:textId="77777777" w:rsidTr="0068389F">
        <w:trPr>
          <w:trHeight w:val="300"/>
          <w:jc w:val="center"/>
        </w:trPr>
        <w:tc>
          <w:tcPr>
            <w:tcW w:w="907" w:type="dxa"/>
            <w:shd w:val="clear" w:color="auto" w:fill="auto"/>
            <w:noWrap/>
            <w:vAlign w:val="center"/>
            <w:hideMark/>
          </w:tcPr>
          <w:p w14:paraId="33CFE4E1"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DG</w:t>
            </w:r>
          </w:p>
        </w:tc>
        <w:tc>
          <w:tcPr>
            <w:tcW w:w="7439" w:type="dxa"/>
            <w:shd w:val="clear" w:color="auto" w:fill="auto"/>
            <w:noWrap/>
            <w:vAlign w:val="center"/>
            <w:hideMark/>
          </w:tcPr>
          <w:p w14:paraId="33CFE4E2"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Distribuidor General</w:t>
            </w:r>
          </w:p>
        </w:tc>
      </w:tr>
      <w:tr w:rsidR="00D936CA" w:rsidRPr="00D936CA" w14:paraId="33CFE4E6" w14:textId="77777777" w:rsidTr="0068389F">
        <w:trPr>
          <w:trHeight w:val="300"/>
          <w:jc w:val="center"/>
        </w:trPr>
        <w:tc>
          <w:tcPr>
            <w:tcW w:w="907" w:type="dxa"/>
            <w:shd w:val="clear" w:color="auto" w:fill="auto"/>
            <w:noWrap/>
            <w:vAlign w:val="center"/>
            <w:hideMark/>
          </w:tcPr>
          <w:p w14:paraId="33CFE4E4"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DSL</w:t>
            </w:r>
          </w:p>
        </w:tc>
        <w:tc>
          <w:tcPr>
            <w:tcW w:w="7439" w:type="dxa"/>
            <w:shd w:val="clear" w:color="auto" w:fill="auto"/>
            <w:noWrap/>
            <w:vAlign w:val="center"/>
            <w:hideMark/>
          </w:tcPr>
          <w:p w14:paraId="33CFE4E5"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Línea de Abonado Digital (DSL, por sus siglas en inglés)</w:t>
            </w:r>
          </w:p>
        </w:tc>
      </w:tr>
      <w:tr w:rsidR="00D936CA" w:rsidRPr="00D936CA" w14:paraId="33CFE4E9" w14:textId="77777777" w:rsidTr="0068389F">
        <w:trPr>
          <w:trHeight w:val="300"/>
          <w:jc w:val="center"/>
        </w:trPr>
        <w:tc>
          <w:tcPr>
            <w:tcW w:w="907" w:type="dxa"/>
            <w:shd w:val="clear" w:color="auto" w:fill="auto"/>
            <w:noWrap/>
            <w:vAlign w:val="center"/>
            <w:hideMark/>
          </w:tcPr>
          <w:p w14:paraId="33CFE4E7"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DSLAM</w:t>
            </w:r>
          </w:p>
        </w:tc>
        <w:tc>
          <w:tcPr>
            <w:tcW w:w="7439" w:type="dxa"/>
            <w:shd w:val="clear" w:color="auto" w:fill="auto"/>
            <w:noWrap/>
            <w:vAlign w:val="center"/>
            <w:hideMark/>
          </w:tcPr>
          <w:p w14:paraId="33CFE4E8"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Multiplexor de Acceso a Línea de Abonado Digital (DSLAM, por sus siglas en inglés).</w:t>
            </w:r>
          </w:p>
        </w:tc>
      </w:tr>
      <w:tr w:rsidR="00D936CA" w:rsidRPr="00D936CA" w14:paraId="33CFE4EC" w14:textId="77777777" w:rsidTr="0068389F">
        <w:trPr>
          <w:trHeight w:val="300"/>
          <w:jc w:val="center"/>
        </w:trPr>
        <w:tc>
          <w:tcPr>
            <w:tcW w:w="907" w:type="dxa"/>
            <w:shd w:val="clear" w:color="auto" w:fill="auto"/>
            <w:noWrap/>
            <w:vAlign w:val="center"/>
            <w:hideMark/>
          </w:tcPr>
          <w:p w14:paraId="33CFE4EA"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FTTH</w:t>
            </w:r>
          </w:p>
        </w:tc>
        <w:tc>
          <w:tcPr>
            <w:tcW w:w="7439" w:type="dxa"/>
            <w:shd w:val="clear" w:color="auto" w:fill="auto"/>
            <w:noWrap/>
            <w:vAlign w:val="center"/>
            <w:hideMark/>
          </w:tcPr>
          <w:p w14:paraId="33CFE4EB"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Fibra hasta el Hogar (FTTH, por sus siglas en inglés)</w:t>
            </w:r>
          </w:p>
        </w:tc>
      </w:tr>
      <w:tr w:rsidR="00D936CA" w:rsidRPr="00D936CA" w14:paraId="33CFE4EF" w14:textId="77777777" w:rsidTr="0068389F">
        <w:trPr>
          <w:trHeight w:val="300"/>
          <w:jc w:val="center"/>
        </w:trPr>
        <w:tc>
          <w:tcPr>
            <w:tcW w:w="907" w:type="dxa"/>
            <w:shd w:val="clear" w:color="auto" w:fill="auto"/>
            <w:noWrap/>
            <w:vAlign w:val="center"/>
            <w:hideMark/>
          </w:tcPr>
          <w:p w14:paraId="33CFE4ED" w14:textId="77777777" w:rsidR="00A971A8" w:rsidRPr="00D936CA" w:rsidRDefault="00A971A8" w:rsidP="00D936CA">
            <w:pPr>
              <w:rPr>
                <w:rFonts w:ascii="ITC Avant Garde" w:hAnsi="ITC Avant Garde"/>
                <w:b/>
                <w:sz w:val="20"/>
                <w:szCs w:val="18"/>
                <w:lang w:eastAsia="es-MX"/>
              </w:rPr>
            </w:pPr>
            <w:r w:rsidRPr="00D936CA">
              <w:rPr>
                <w:rFonts w:ascii="ITC Avant Garde" w:hAnsi="ITC Avant Garde"/>
                <w:b/>
                <w:sz w:val="20"/>
                <w:szCs w:val="18"/>
                <w:lang w:eastAsia="es-MX"/>
              </w:rPr>
              <w:t>FTTN</w:t>
            </w:r>
          </w:p>
        </w:tc>
        <w:tc>
          <w:tcPr>
            <w:tcW w:w="7439" w:type="dxa"/>
            <w:shd w:val="clear" w:color="auto" w:fill="auto"/>
            <w:noWrap/>
            <w:vAlign w:val="center"/>
            <w:hideMark/>
          </w:tcPr>
          <w:p w14:paraId="33CFE4EE" w14:textId="77777777" w:rsidR="00A971A8" w:rsidRPr="00D936CA" w:rsidRDefault="00A971A8" w:rsidP="00D936CA">
            <w:pPr>
              <w:rPr>
                <w:rFonts w:ascii="ITC Avant Garde" w:hAnsi="ITC Avant Garde"/>
                <w:sz w:val="20"/>
                <w:szCs w:val="18"/>
                <w:lang w:eastAsia="es-MX"/>
              </w:rPr>
            </w:pPr>
            <w:r w:rsidRPr="00D936CA">
              <w:rPr>
                <w:rFonts w:ascii="ITC Avant Garde" w:hAnsi="ITC Avant Garde"/>
                <w:sz w:val="20"/>
                <w:szCs w:val="18"/>
                <w:lang w:eastAsia="es-MX"/>
              </w:rPr>
              <w:t>Fibra hasta el Nodo (FTTN, por sus siglas en inglés)</w:t>
            </w:r>
          </w:p>
        </w:tc>
      </w:tr>
      <w:tr w:rsidR="00D936CA" w:rsidRPr="00D936CA" w14:paraId="33CFE4F2" w14:textId="77777777" w:rsidTr="0068389F">
        <w:trPr>
          <w:trHeight w:val="300"/>
          <w:jc w:val="center"/>
        </w:trPr>
        <w:tc>
          <w:tcPr>
            <w:tcW w:w="907" w:type="dxa"/>
            <w:shd w:val="clear" w:color="auto" w:fill="auto"/>
            <w:noWrap/>
            <w:vAlign w:val="center"/>
            <w:hideMark/>
          </w:tcPr>
          <w:p w14:paraId="33CFE4F0"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GPON</w:t>
            </w:r>
          </w:p>
        </w:tc>
        <w:tc>
          <w:tcPr>
            <w:tcW w:w="7439" w:type="dxa"/>
            <w:shd w:val="clear" w:color="auto" w:fill="auto"/>
            <w:noWrap/>
            <w:vAlign w:val="center"/>
            <w:hideMark/>
          </w:tcPr>
          <w:p w14:paraId="33CFE4F1"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Red Óptica Pasiva Gigabit (GPON, por sus siglas en inglés)</w:t>
            </w:r>
          </w:p>
        </w:tc>
      </w:tr>
      <w:tr w:rsidR="007D430B" w:rsidRPr="00D936CA" w14:paraId="3FC006FA" w14:textId="77777777" w:rsidTr="0068389F">
        <w:trPr>
          <w:trHeight w:val="300"/>
          <w:jc w:val="center"/>
        </w:trPr>
        <w:tc>
          <w:tcPr>
            <w:tcW w:w="907" w:type="dxa"/>
            <w:shd w:val="clear" w:color="auto" w:fill="auto"/>
            <w:noWrap/>
            <w:vAlign w:val="center"/>
          </w:tcPr>
          <w:p w14:paraId="24391F08" w14:textId="4D501D01" w:rsidR="007D430B" w:rsidRPr="00D936CA" w:rsidRDefault="007D430B" w:rsidP="00D936CA">
            <w:pPr>
              <w:rPr>
                <w:rFonts w:ascii="ITC Avant Garde" w:hAnsi="ITC Avant Garde"/>
                <w:b/>
                <w:sz w:val="20"/>
                <w:szCs w:val="18"/>
                <w:lang w:eastAsia="es-MX"/>
              </w:rPr>
            </w:pPr>
            <w:r>
              <w:rPr>
                <w:rFonts w:ascii="ITC Avant Garde" w:hAnsi="ITC Avant Garde"/>
                <w:b/>
                <w:sz w:val="20"/>
                <w:szCs w:val="18"/>
                <w:lang w:eastAsia="es-MX"/>
              </w:rPr>
              <w:t>IDO</w:t>
            </w:r>
          </w:p>
        </w:tc>
        <w:tc>
          <w:tcPr>
            <w:tcW w:w="7439" w:type="dxa"/>
            <w:shd w:val="clear" w:color="auto" w:fill="auto"/>
            <w:noWrap/>
            <w:vAlign w:val="center"/>
          </w:tcPr>
          <w:p w14:paraId="3E683B84" w14:textId="00CD6699" w:rsidR="007D430B" w:rsidRPr="00D936CA" w:rsidRDefault="007D430B" w:rsidP="00D936CA">
            <w:pPr>
              <w:rPr>
                <w:rFonts w:ascii="ITC Avant Garde" w:hAnsi="ITC Avant Garde"/>
                <w:sz w:val="20"/>
                <w:szCs w:val="18"/>
                <w:lang w:eastAsia="es-MX"/>
              </w:rPr>
            </w:pPr>
            <w:r>
              <w:rPr>
                <w:rFonts w:ascii="ITC Avant Garde" w:hAnsi="ITC Avant Garde"/>
                <w:sz w:val="20"/>
                <w:szCs w:val="18"/>
                <w:lang w:eastAsia="es-MX"/>
              </w:rPr>
              <w:t>Indicador de Red de Origen</w:t>
            </w:r>
          </w:p>
        </w:tc>
      </w:tr>
      <w:tr w:rsidR="00A90ABE" w:rsidRPr="00D936CA" w14:paraId="00AFB524" w14:textId="77777777" w:rsidTr="0068389F">
        <w:trPr>
          <w:trHeight w:val="300"/>
          <w:jc w:val="center"/>
        </w:trPr>
        <w:tc>
          <w:tcPr>
            <w:tcW w:w="907" w:type="dxa"/>
            <w:shd w:val="clear" w:color="auto" w:fill="auto"/>
            <w:noWrap/>
            <w:vAlign w:val="center"/>
          </w:tcPr>
          <w:p w14:paraId="0049CF44" w14:textId="7F82CE2B" w:rsidR="00A90ABE" w:rsidRDefault="00A90ABE" w:rsidP="00D936CA">
            <w:pPr>
              <w:rPr>
                <w:rFonts w:ascii="ITC Avant Garde" w:hAnsi="ITC Avant Garde"/>
                <w:b/>
                <w:sz w:val="20"/>
                <w:szCs w:val="18"/>
                <w:lang w:eastAsia="es-MX"/>
              </w:rPr>
            </w:pPr>
            <w:r>
              <w:rPr>
                <w:rFonts w:ascii="ITC Avant Garde" w:hAnsi="ITC Avant Garde"/>
                <w:b/>
                <w:sz w:val="20"/>
                <w:szCs w:val="18"/>
                <w:lang w:eastAsia="es-MX"/>
              </w:rPr>
              <w:t>IDD</w:t>
            </w:r>
          </w:p>
        </w:tc>
        <w:tc>
          <w:tcPr>
            <w:tcW w:w="7439" w:type="dxa"/>
            <w:shd w:val="clear" w:color="auto" w:fill="auto"/>
            <w:noWrap/>
            <w:vAlign w:val="center"/>
          </w:tcPr>
          <w:p w14:paraId="2AA11502" w14:textId="5C9DB609" w:rsidR="00A90ABE" w:rsidRDefault="00A90ABE" w:rsidP="00D936CA">
            <w:pPr>
              <w:rPr>
                <w:rFonts w:ascii="ITC Avant Garde" w:hAnsi="ITC Avant Garde"/>
                <w:sz w:val="20"/>
                <w:szCs w:val="18"/>
                <w:lang w:eastAsia="es-MX"/>
              </w:rPr>
            </w:pPr>
            <w:r>
              <w:rPr>
                <w:rFonts w:ascii="ITC Avant Garde" w:hAnsi="ITC Avant Garde"/>
                <w:sz w:val="20"/>
                <w:szCs w:val="18"/>
                <w:lang w:eastAsia="es-MX"/>
              </w:rPr>
              <w:t>Indicador de Red de Destino</w:t>
            </w:r>
          </w:p>
        </w:tc>
      </w:tr>
      <w:tr w:rsidR="00D936CA" w:rsidRPr="00D936CA" w14:paraId="163059F9" w14:textId="77777777" w:rsidTr="0068389F">
        <w:trPr>
          <w:trHeight w:val="300"/>
          <w:jc w:val="center"/>
        </w:trPr>
        <w:tc>
          <w:tcPr>
            <w:tcW w:w="907" w:type="dxa"/>
            <w:shd w:val="clear" w:color="auto" w:fill="auto"/>
            <w:noWrap/>
            <w:vAlign w:val="center"/>
          </w:tcPr>
          <w:p w14:paraId="2B80F5F9" w14:textId="6F773782" w:rsidR="002F54A4" w:rsidRPr="00D936CA" w:rsidRDefault="002F54A4" w:rsidP="00D936CA">
            <w:pPr>
              <w:rPr>
                <w:rFonts w:ascii="ITC Avant Garde" w:hAnsi="ITC Avant Garde"/>
                <w:b/>
                <w:sz w:val="20"/>
                <w:szCs w:val="18"/>
                <w:lang w:eastAsia="es-MX"/>
              </w:rPr>
            </w:pPr>
            <w:r w:rsidRPr="00D936CA">
              <w:rPr>
                <w:rFonts w:ascii="ITC Avant Garde" w:hAnsi="ITC Avant Garde"/>
                <w:b/>
                <w:sz w:val="20"/>
                <w:szCs w:val="18"/>
                <w:lang w:eastAsia="es-MX"/>
              </w:rPr>
              <w:t>IP</w:t>
            </w:r>
          </w:p>
        </w:tc>
        <w:tc>
          <w:tcPr>
            <w:tcW w:w="7439" w:type="dxa"/>
            <w:shd w:val="clear" w:color="auto" w:fill="auto"/>
            <w:noWrap/>
            <w:vAlign w:val="center"/>
          </w:tcPr>
          <w:p w14:paraId="0D692801" w14:textId="4474F539" w:rsidR="002F54A4" w:rsidRPr="00D936CA" w:rsidRDefault="002F54A4" w:rsidP="00D936CA">
            <w:pPr>
              <w:rPr>
                <w:rFonts w:ascii="ITC Avant Garde" w:hAnsi="ITC Avant Garde"/>
                <w:sz w:val="20"/>
                <w:szCs w:val="18"/>
                <w:lang w:eastAsia="es-MX"/>
              </w:rPr>
            </w:pPr>
            <w:r w:rsidRPr="00D936CA">
              <w:rPr>
                <w:rFonts w:ascii="ITC Avant Garde" w:hAnsi="ITC Avant Garde"/>
                <w:sz w:val="20"/>
                <w:szCs w:val="18"/>
                <w:lang w:eastAsia="es-MX"/>
              </w:rPr>
              <w:t>Protocolo de Internet (IP, por sus siglas en inglés</w:t>
            </w:r>
            <w:r w:rsidR="00B064AA" w:rsidRPr="00D936CA">
              <w:rPr>
                <w:rFonts w:ascii="ITC Avant Garde" w:hAnsi="ITC Avant Garde"/>
                <w:sz w:val="20"/>
                <w:szCs w:val="18"/>
                <w:lang w:eastAsia="es-MX"/>
              </w:rPr>
              <w:t>)</w:t>
            </w:r>
          </w:p>
        </w:tc>
      </w:tr>
      <w:tr w:rsidR="00D936CA" w:rsidRPr="00D936CA" w14:paraId="33CFE4F5" w14:textId="77777777" w:rsidTr="0068389F">
        <w:trPr>
          <w:trHeight w:val="300"/>
          <w:jc w:val="center"/>
        </w:trPr>
        <w:tc>
          <w:tcPr>
            <w:tcW w:w="907" w:type="dxa"/>
            <w:shd w:val="clear" w:color="auto" w:fill="auto"/>
            <w:noWrap/>
            <w:vAlign w:val="center"/>
            <w:hideMark/>
          </w:tcPr>
          <w:p w14:paraId="33CFE4F3" w14:textId="77777777" w:rsidR="0068389F" w:rsidRPr="00D936CA" w:rsidRDefault="0068389F" w:rsidP="00D936CA">
            <w:pPr>
              <w:rPr>
                <w:rFonts w:ascii="ITC Avant Garde" w:hAnsi="ITC Avant Garde"/>
                <w:b/>
                <w:sz w:val="20"/>
                <w:szCs w:val="18"/>
                <w:lang w:eastAsia="es-MX"/>
              </w:rPr>
            </w:pPr>
            <w:r w:rsidRPr="00D936CA">
              <w:rPr>
                <w:rFonts w:ascii="ITC Avant Garde" w:hAnsi="ITC Avant Garde"/>
                <w:b/>
                <w:sz w:val="20"/>
                <w:szCs w:val="18"/>
                <w:lang w:eastAsia="es-MX"/>
              </w:rPr>
              <w:t>LAN</w:t>
            </w:r>
          </w:p>
        </w:tc>
        <w:tc>
          <w:tcPr>
            <w:tcW w:w="7439" w:type="dxa"/>
            <w:shd w:val="clear" w:color="auto" w:fill="auto"/>
            <w:noWrap/>
            <w:vAlign w:val="center"/>
            <w:hideMark/>
          </w:tcPr>
          <w:p w14:paraId="33CFE4F4" w14:textId="77777777" w:rsidR="0068389F" w:rsidRPr="00D936CA" w:rsidRDefault="0068389F" w:rsidP="00D936CA">
            <w:pPr>
              <w:rPr>
                <w:rFonts w:ascii="ITC Avant Garde" w:hAnsi="ITC Avant Garde"/>
                <w:sz w:val="20"/>
                <w:szCs w:val="18"/>
                <w:lang w:eastAsia="es-MX"/>
              </w:rPr>
            </w:pPr>
            <w:r w:rsidRPr="00D936CA">
              <w:rPr>
                <w:rFonts w:ascii="ITC Avant Garde" w:hAnsi="ITC Avant Garde"/>
                <w:sz w:val="20"/>
                <w:szCs w:val="18"/>
                <w:lang w:eastAsia="es-MX"/>
              </w:rPr>
              <w:t>Red de Área Local (LAN, por sus siglas en inglés)</w:t>
            </w:r>
          </w:p>
        </w:tc>
      </w:tr>
      <w:tr w:rsidR="007D430B" w:rsidRPr="00D936CA" w14:paraId="332AAEDB" w14:textId="77777777" w:rsidTr="00060B2E">
        <w:trPr>
          <w:trHeight w:val="300"/>
          <w:jc w:val="center"/>
        </w:trPr>
        <w:tc>
          <w:tcPr>
            <w:tcW w:w="907" w:type="dxa"/>
            <w:shd w:val="clear" w:color="auto" w:fill="auto"/>
            <w:noWrap/>
          </w:tcPr>
          <w:p w14:paraId="112341F0" w14:textId="3813F99D" w:rsidR="007D430B" w:rsidRPr="00D936CA" w:rsidRDefault="007D430B" w:rsidP="007D430B">
            <w:pPr>
              <w:rPr>
                <w:rFonts w:ascii="ITC Avant Garde" w:hAnsi="ITC Avant Garde"/>
                <w:b/>
                <w:sz w:val="20"/>
                <w:szCs w:val="18"/>
                <w:lang w:eastAsia="es-MX"/>
              </w:rPr>
            </w:pPr>
            <w:r w:rsidRPr="00060B2E">
              <w:rPr>
                <w:rFonts w:ascii="ITC Avant Garde" w:hAnsi="ITC Avant Garde"/>
                <w:b/>
                <w:sz w:val="20"/>
                <w:szCs w:val="18"/>
                <w:lang w:eastAsia="es-MX"/>
              </w:rPr>
              <w:t>N.A.</w:t>
            </w:r>
          </w:p>
        </w:tc>
        <w:tc>
          <w:tcPr>
            <w:tcW w:w="7439" w:type="dxa"/>
            <w:shd w:val="clear" w:color="auto" w:fill="auto"/>
            <w:noWrap/>
          </w:tcPr>
          <w:p w14:paraId="10A55E98" w14:textId="715BBBDF" w:rsidR="007D430B" w:rsidRPr="007D430B" w:rsidRDefault="007D430B" w:rsidP="007D430B">
            <w:pPr>
              <w:rPr>
                <w:rFonts w:ascii="ITC Avant Garde" w:hAnsi="ITC Avant Garde"/>
                <w:sz w:val="20"/>
                <w:szCs w:val="18"/>
                <w:lang w:eastAsia="es-MX"/>
              </w:rPr>
            </w:pPr>
            <w:r w:rsidRPr="00060B2E">
              <w:rPr>
                <w:rFonts w:ascii="ITC Avant Garde" w:hAnsi="ITC Avant Garde"/>
                <w:sz w:val="20"/>
                <w:szCs w:val="18"/>
                <w:lang w:eastAsia="es-MX"/>
              </w:rPr>
              <w:t>Numero de A</w:t>
            </w:r>
          </w:p>
        </w:tc>
      </w:tr>
      <w:tr w:rsidR="007D430B" w:rsidRPr="00D936CA" w14:paraId="5F61150C" w14:textId="77777777" w:rsidTr="00A90ABE">
        <w:trPr>
          <w:trHeight w:val="300"/>
          <w:jc w:val="center"/>
        </w:trPr>
        <w:tc>
          <w:tcPr>
            <w:tcW w:w="907" w:type="dxa"/>
            <w:shd w:val="clear" w:color="auto" w:fill="auto"/>
            <w:noWrap/>
          </w:tcPr>
          <w:p w14:paraId="1B41927D" w14:textId="5CAACC22" w:rsidR="007D430B" w:rsidRPr="00060B2E" w:rsidRDefault="007D430B" w:rsidP="007D430B">
            <w:pPr>
              <w:rPr>
                <w:rFonts w:ascii="ITC Avant Garde" w:hAnsi="ITC Avant Garde"/>
                <w:b/>
                <w:sz w:val="20"/>
                <w:szCs w:val="18"/>
                <w:lang w:eastAsia="es-MX"/>
              </w:rPr>
            </w:pPr>
            <w:r w:rsidRPr="00060B2E">
              <w:rPr>
                <w:rFonts w:ascii="ITC Avant Garde" w:hAnsi="ITC Avant Garde"/>
                <w:b/>
                <w:sz w:val="20"/>
                <w:szCs w:val="18"/>
                <w:lang w:eastAsia="es-MX"/>
              </w:rPr>
              <w:t>N.B.</w:t>
            </w:r>
          </w:p>
        </w:tc>
        <w:tc>
          <w:tcPr>
            <w:tcW w:w="7439" w:type="dxa"/>
            <w:shd w:val="clear" w:color="auto" w:fill="auto"/>
            <w:noWrap/>
          </w:tcPr>
          <w:p w14:paraId="3D9D876C" w14:textId="1F6614B6" w:rsidR="007D430B" w:rsidRPr="00060B2E" w:rsidRDefault="007D430B" w:rsidP="007D430B">
            <w:pPr>
              <w:rPr>
                <w:rFonts w:ascii="ITC Avant Garde" w:hAnsi="ITC Avant Garde"/>
                <w:sz w:val="20"/>
                <w:szCs w:val="18"/>
                <w:lang w:eastAsia="es-MX"/>
              </w:rPr>
            </w:pPr>
            <w:r w:rsidRPr="00060B2E">
              <w:rPr>
                <w:rFonts w:ascii="ITC Avant Garde" w:hAnsi="ITC Avant Garde"/>
                <w:sz w:val="20"/>
                <w:szCs w:val="18"/>
                <w:lang w:eastAsia="es-MX"/>
              </w:rPr>
              <w:t>Numero de B</w:t>
            </w:r>
          </w:p>
        </w:tc>
      </w:tr>
      <w:tr w:rsidR="007D430B" w:rsidRPr="00D936CA" w14:paraId="33CFE4F8" w14:textId="77777777" w:rsidTr="0068389F">
        <w:trPr>
          <w:trHeight w:val="300"/>
          <w:jc w:val="center"/>
        </w:trPr>
        <w:tc>
          <w:tcPr>
            <w:tcW w:w="907" w:type="dxa"/>
            <w:shd w:val="clear" w:color="auto" w:fill="auto"/>
            <w:noWrap/>
            <w:vAlign w:val="center"/>
            <w:hideMark/>
          </w:tcPr>
          <w:p w14:paraId="33CFE4F6"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NCAI</w:t>
            </w:r>
          </w:p>
        </w:tc>
        <w:tc>
          <w:tcPr>
            <w:tcW w:w="7439" w:type="dxa"/>
            <w:shd w:val="clear" w:color="auto" w:fill="auto"/>
            <w:noWrap/>
            <w:vAlign w:val="center"/>
            <w:hideMark/>
          </w:tcPr>
          <w:p w14:paraId="33CFE4F7"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Nodo de Conexión de Acceso Indirecto</w:t>
            </w:r>
          </w:p>
        </w:tc>
      </w:tr>
      <w:tr w:rsidR="007D430B" w:rsidRPr="00D936CA" w14:paraId="33CFE4FB" w14:textId="77777777" w:rsidTr="0068389F">
        <w:trPr>
          <w:trHeight w:val="300"/>
          <w:jc w:val="center"/>
        </w:trPr>
        <w:tc>
          <w:tcPr>
            <w:tcW w:w="907" w:type="dxa"/>
            <w:shd w:val="clear" w:color="auto" w:fill="auto"/>
            <w:noWrap/>
            <w:vAlign w:val="center"/>
            <w:hideMark/>
          </w:tcPr>
          <w:p w14:paraId="33CFE4F9"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NIS</w:t>
            </w:r>
          </w:p>
        </w:tc>
        <w:tc>
          <w:tcPr>
            <w:tcW w:w="7439" w:type="dxa"/>
            <w:shd w:val="clear" w:color="auto" w:fill="auto"/>
            <w:noWrap/>
            <w:vAlign w:val="center"/>
            <w:hideMark/>
          </w:tcPr>
          <w:p w14:paraId="33CFE4FA"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Número de Identificación de Solicitud</w:t>
            </w:r>
          </w:p>
        </w:tc>
      </w:tr>
      <w:tr w:rsidR="007D430B" w:rsidRPr="00D936CA" w14:paraId="5F843ABC" w14:textId="77777777" w:rsidTr="0068389F">
        <w:trPr>
          <w:trHeight w:val="300"/>
          <w:jc w:val="center"/>
        </w:trPr>
        <w:tc>
          <w:tcPr>
            <w:tcW w:w="907" w:type="dxa"/>
            <w:shd w:val="clear" w:color="auto" w:fill="auto"/>
            <w:noWrap/>
            <w:vAlign w:val="center"/>
          </w:tcPr>
          <w:p w14:paraId="1251D13B" w14:textId="6382DF8B" w:rsidR="007D430B" w:rsidRPr="00D936CA" w:rsidRDefault="007D430B" w:rsidP="007D430B">
            <w:pPr>
              <w:rPr>
                <w:rFonts w:ascii="ITC Avant Garde" w:hAnsi="ITC Avant Garde"/>
                <w:b/>
                <w:sz w:val="20"/>
                <w:szCs w:val="18"/>
                <w:lang w:eastAsia="es-MX"/>
              </w:rPr>
            </w:pPr>
            <w:r>
              <w:rPr>
                <w:rFonts w:ascii="ITC Avant Garde" w:hAnsi="ITC Avant Garde"/>
                <w:b/>
                <w:sz w:val="20"/>
                <w:szCs w:val="18"/>
                <w:lang w:eastAsia="es-MX"/>
              </w:rPr>
              <w:t>N.N</w:t>
            </w:r>
          </w:p>
        </w:tc>
        <w:tc>
          <w:tcPr>
            <w:tcW w:w="7439" w:type="dxa"/>
            <w:shd w:val="clear" w:color="auto" w:fill="auto"/>
            <w:noWrap/>
            <w:vAlign w:val="center"/>
          </w:tcPr>
          <w:p w14:paraId="67D48877" w14:textId="0C5EADAF" w:rsidR="007D430B" w:rsidRPr="00D936CA" w:rsidRDefault="007D430B" w:rsidP="007D430B">
            <w:pPr>
              <w:rPr>
                <w:rFonts w:ascii="ITC Avant Garde" w:hAnsi="ITC Avant Garde"/>
                <w:sz w:val="20"/>
                <w:szCs w:val="18"/>
                <w:lang w:eastAsia="es-MX"/>
              </w:rPr>
            </w:pPr>
            <w:r>
              <w:rPr>
                <w:rFonts w:ascii="ITC Avant Garde" w:hAnsi="ITC Avant Garde"/>
                <w:sz w:val="20"/>
                <w:szCs w:val="18"/>
                <w:lang w:eastAsia="es-MX"/>
              </w:rPr>
              <w:t>Número Nacional</w:t>
            </w:r>
          </w:p>
        </w:tc>
      </w:tr>
      <w:tr w:rsidR="007D430B" w:rsidRPr="00D936CA" w14:paraId="33CFE4FE" w14:textId="77777777" w:rsidTr="0068389F">
        <w:trPr>
          <w:trHeight w:val="300"/>
          <w:jc w:val="center"/>
        </w:trPr>
        <w:tc>
          <w:tcPr>
            <w:tcW w:w="907" w:type="dxa"/>
            <w:shd w:val="clear" w:color="auto" w:fill="auto"/>
            <w:noWrap/>
            <w:vAlign w:val="center"/>
            <w:hideMark/>
          </w:tcPr>
          <w:p w14:paraId="33CFE4FC"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NTP</w:t>
            </w:r>
          </w:p>
        </w:tc>
        <w:tc>
          <w:tcPr>
            <w:tcW w:w="7439" w:type="dxa"/>
            <w:shd w:val="clear" w:color="auto" w:fill="auto"/>
            <w:noWrap/>
            <w:vAlign w:val="center"/>
            <w:hideMark/>
          </w:tcPr>
          <w:p w14:paraId="33CFE4FD"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Punto de Terminación de la Red (NTP, por sus siglas en inglés)</w:t>
            </w:r>
          </w:p>
        </w:tc>
      </w:tr>
      <w:tr w:rsidR="007D430B" w:rsidRPr="00D936CA" w14:paraId="33CFE501" w14:textId="77777777" w:rsidTr="0068389F">
        <w:trPr>
          <w:trHeight w:val="300"/>
          <w:jc w:val="center"/>
        </w:trPr>
        <w:tc>
          <w:tcPr>
            <w:tcW w:w="907" w:type="dxa"/>
            <w:shd w:val="clear" w:color="auto" w:fill="auto"/>
            <w:noWrap/>
            <w:vAlign w:val="center"/>
            <w:hideMark/>
          </w:tcPr>
          <w:p w14:paraId="33CFE4FF"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OLT</w:t>
            </w:r>
          </w:p>
        </w:tc>
        <w:tc>
          <w:tcPr>
            <w:tcW w:w="7439" w:type="dxa"/>
            <w:shd w:val="clear" w:color="auto" w:fill="auto"/>
            <w:noWrap/>
            <w:vAlign w:val="center"/>
            <w:hideMark/>
          </w:tcPr>
          <w:p w14:paraId="33CFE500"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Terminal de Línea Óptica (OLT, por sus siglas en inglés)</w:t>
            </w:r>
          </w:p>
        </w:tc>
      </w:tr>
      <w:tr w:rsidR="007D430B" w:rsidRPr="00D936CA" w14:paraId="33CFE504" w14:textId="77777777" w:rsidTr="0068389F">
        <w:trPr>
          <w:trHeight w:val="300"/>
          <w:jc w:val="center"/>
        </w:trPr>
        <w:tc>
          <w:tcPr>
            <w:tcW w:w="907" w:type="dxa"/>
            <w:shd w:val="clear" w:color="auto" w:fill="auto"/>
            <w:noWrap/>
            <w:vAlign w:val="center"/>
            <w:hideMark/>
          </w:tcPr>
          <w:p w14:paraId="33CFE502"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ONT</w:t>
            </w:r>
          </w:p>
        </w:tc>
        <w:tc>
          <w:tcPr>
            <w:tcW w:w="7439" w:type="dxa"/>
            <w:shd w:val="clear" w:color="auto" w:fill="auto"/>
            <w:noWrap/>
            <w:vAlign w:val="center"/>
            <w:hideMark/>
          </w:tcPr>
          <w:p w14:paraId="33CFE503"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 xml:space="preserve">Terminal de Red Óptica (ONT, por sus siglas en inglés) </w:t>
            </w:r>
          </w:p>
        </w:tc>
      </w:tr>
      <w:tr w:rsidR="007D430B" w:rsidRPr="00D936CA" w14:paraId="33CFE507" w14:textId="77777777" w:rsidTr="0068389F">
        <w:trPr>
          <w:trHeight w:val="300"/>
          <w:jc w:val="center"/>
        </w:trPr>
        <w:tc>
          <w:tcPr>
            <w:tcW w:w="907" w:type="dxa"/>
            <w:shd w:val="clear" w:color="auto" w:fill="auto"/>
            <w:noWrap/>
            <w:vAlign w:val="center"/>
          </w:tcPr>
          <w:p w14:paraId="33CFE505"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OREDA</w:t>
            </w:r>
          </w:p>
        </w:tc>
        <w:tc>
          <w:tcPr>
            <w:tcW w:w="7439" w:type="dxa"/>
            <w:shd w:val="clear" w:color="auto" w:fill="auto"/>
            <w:noWrap/>
            <w:vAlign w:val="center"/>
          </w:tcPr>
          <w:p w14:paraId="33CFE506"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Oferta de Referencia para la Desagregación del Bucle Local</w:t>
            </w:r>
          </w:p>
        </w:tc>
      </w:tr>
      <w:tr w:rsidR="007D430B" w:rsidRPr="00D936CA" w14:paraId="33CFE50A" w14:textId="77777777" w:rsidTr="0068389F">
        <w:trPr>
          <w:trHeight w:val="300"/>
          <w:jc w:val="center"/>
        </w:trPr>
        <w:tc>
          <w:tcPr>
            <w:tcW w:w="907" w:type="dxa"/>
            <w:shd w:val="clear" w:color="auto" w:fill="auto"/>
            <w:noWrap/>
            <w:vAlign w:val="center"/>
            <w:hideMark/>
          </w:tcPr>
          <w:p w14:paraId="33CFE508"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OSI</w:t>
            </w:r>
          </w:p>
        </w:tc>
        <w:tc>
          <w:tcPr>
            <w:tcW w:w="7439" w:type="dxa"/>
            <w:shd w:val="clear" w:color="auto" w:fill="auto"/>
            <w:noWrap/>
            <w:vAlign w:val="center"/>
            <w:hideMark/>
          </w:tcPr>
          <w:p w14:paraId="33CFE509"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Interconexión de Sistemas Abiertos (OSI, por sus siglas en inglés)</w:t>
            </w:r>
          </w:p>
        </w:tc>
      </w:tr>
      <w:tr w:rsidR="007D430B" w:rsidRPr="00D936CA" w14:paraId="33CFE50D" w14:textId="77777777" w:rsidTr="0068389F">
        <w:trPr>
          <w:trHeight w:val="300"/>
          <w:jc w:val="center"/>
        </w:trPr>
        <w:tc>
          <w:tcPr>
            <w:tcW w:w="907" w:type="dxa"/>
            <w:shd w:val="clear" w:color="auto" w:fill="auto"/>
            <w:noWrap/>
            <w:vAlign w:val="center"/>
            <w:hideMark/>
          </w:tcPr>
          <w:p w14:paraId="33CFE50B"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pCAI</w:t>
            </w:r>
          </w:p>
        </w:tc>
        <w:tc>
          <w:tcPr>
            <w:tcW w:w="7439" w:type="dxa"/>
            <w:shd w:val="clear" w:color="auto" w:fill="auto"/>
            <w:noWrap/>
            <w:vAlign w:val="center"/>
            <w:hideMark/>
          </w:tcPr>
          <w:p w14:paraId="33CFE50C"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Puerto de Conexión de Acceso Indirecto</w:t>
            </w:r>
          </w:p>
        </w:tc>
      </w:tr>
      <w:tr w:rsidR="00A90ABE" w:rsidRPr="00D936CA" w14:paraId="396E14B7" w14:textId="77777777" w:rsidTr="00060B2E">
        <w:trPr>
          <w:trHeight w:val="300"/>
          <w:jc w:val="center"/>
        </w:trPr>
        <w:tc>
          <w:tcPr>
            <w:tcW w:w="907" w:type="dxa"/>
            <w:shd w:val="clear" w:color="auto" w:fill="auto"/>
            <w:noWrap/>
          </w:tcPr>
          <w:p w14:paraId="20DABB31" w14:textId="11055D6A" w:rsidR="00A90ABE" w:rsidRPr="00D936CA" w:rsidRDefault="00A90ABE" w:rsidP="00A90ABE">
            <w:pPr>
              <w:rPr>
                <w:rFonts w:ascii="ITC Avant Garde" w:hAnsi="ITC Avant Garde"/>
                <w:b/>
                <w:sz w:val="20"/>
                <w:szCs w:val="18"/>
                <w:lang w:eastAsia="es-MX"/>
              </w:rPr>
            </w:pPr>
            <w:r w:rsidRPr="00AC1C14">
              <w:t>PDIC</w:t>
            </w:r>
          </w:p>
        </w:tc>
        <w:tc>
          <w:tcPr>
            <w:tcW w:w="7439" w:type="dxa"/>
            <w:shd w:val="clear" w:color="auto" w:fill="auto"/>
            <w:noWrap/>
          </w:tcPr>
          <w:p w14:paraId="024C0525" w14:textId="15DD6954" w:rsidR="00A90ABE" w:rsidRPr="00A90ABE" w:rsidRDefault="00A90ABE" w:rsidP="00A90ABE">
            <w:pPr>
              <w:rPr>
                <w:rFonts w:ascii="ITC Avant Garde" w:hAnsi="ITC Avant Garde"/>
                <w:sz w:val="20"/>
                <w:szCs w:val="18"/>
                <w:lang w:eastAsia="es-MX"/>
              </w:rPr>
            </w:pPr>
            <w:r w:rsidRPr="00060B2E">
              <w:rPr>
                <w:rFonts w:ascii="ITC Avant Garde" w:hAnsi="ITC Avant Garde"/>
                <w:sz w:val="20"/>
                <w:szCs w:val="18"/>
                <w:lang w:eastAsia="es-MX"/>
              </w:rPr>
              <w:t>Punto de Interconexión</w:t>
            </w:r>
          </w:p>
        </w:tc>
      </w:tr>
      <w:tr w:rsidR="007D430B" w:rsidRPr="00D936CA" w14:paraId="33CFE510" w14:textId="77777777" w:rsidTr="0068389F">
        <w:trPr>
          <w:trHeight w:val="300"/>
          <w:jc w:val="center"/>
        </w:trPr>
        <w:tc>
          <w:tcPr>
            <w:tcW w:w="907" w:type="dxa"/>
            <w:shd w:val="clear" w:color="auto" w:fill="auto"/>
            <w:noWrap/>
            <w:vAlign w:val="center"/>
            <w:hideMark/>
          </w:tcPr>
          <w:p w14:paraId="33CFE50E"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POTS</w:t>
            </w:r>
          </w:p>
        </w:tc>
        <w:tc>
          <w:tcPr>
            <w:tcW w:w="7439" w:type="dxa"/>
            <w:shd w:val="clear" w:color="auto" w:fill="auto"/>
            <w:noWrap/>
            <w:vAlign w:val="center"/>
            <w:hideMark/>
          </w:tcPr>
          <w:p w14:paraId="33CFE50F"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Telefónico Simple (POTS, por sus siglas en inglés)</w:t>
            </w:r>
          </w:p>
        </w:tc>
      </w:tr>
      <w:tr w:rsidR="007D430B" w:rsidRPr="00D936CA" w14:paraId="33CFE513" w14:textId="77777777" w:rsidTr="0068389F">
        <w:trPr>
          <w:trHeight w:val="300"/>
          <w:jc w:val="center"/>
        </w:trPr>
        <w:tc>
          <w:tcPr>
            <w:tcW w:w="907" w:type="dxa"/>
            <w:shd w:val="clear" w:color="auto" w:fill="auto"/>
            <w:noWrap/>
            <w:vAlign w:val="center"/>
            <w:hideMark/>
          </w:tcPr>
          <w:p w14:paraId="33CFE511"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PCT</w:t>
            </w:r>
          </w:p>
        </w:tc>
        <w:tc>
          <w:tcPr>
            <w:tcW w:w="7439" w:type="dxa"/>
            <w:shd w:val="clear" w:color="auto" w:fill="auto"/>
            <w:noWrap/>
            <w:vAlign w:val="center"/>
            <w:hideMark/>
          </w:tcPr>
          <w:p w14:paraId="33CFE512"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Punto de Conexión Terminal</w:t>
            </w:r>
          </w:p>
        </w:tc>
      </w:tr>
      <w:tr w:rsidR="007D430B" w:rsidRPr="00D936CA" w14:paraId="33CFE516" w14:textId="77777777" w:rsidTr="0068389F">
        <w:trPr>
          <w:trHeight w:val="300"/>
          <w:jc w:val="center"/>
        </w:trPr>
        <w:tc>
          <w:tcPr>
            <w:tcW w:w="907" w:type="dxa"/>
            <w:shd w:val="clear" w:color="auto" w:fill="auto"/>
            <w:noWrap/>
            <w:vAlign w:val="center"/>
            <w:hideMark/>
          </w:tcPr>
          <w:p w14:paraId="33CFE514"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PGE</w:t>
            </w:r>
          </w:p>
        </w:tc>
        <w:tc>
          <w:tcPr>
            <w:tcW w:w="7439" w:type="dxa"/>
            <w:shd w:val="clear" w:color="auto" w:fill="auto"/>
            <w:noWrap/>
            <w:vAlign w:val="center"/>
            <w:hideMark/>
          </w:tcPr>
          <w:p w14:paraId="33CFE515"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Plan de Gestión del Espectro</w:t>
            </w:r>
          </w:p>
        </w:tc>
      </w:tr>
      <w:tr w:rsidR="007D430B" w:rsidRPr="00D936CA" w14:paraId="4C245B3D" w14:textId="77777777" w:rsidTr="0068389F">
        <w:trPr>
          <w:trHeight w:val="300"/>
          <w:jc w:val="center"/>
        </w:trPr>
        <w:tc>
          <w:tcPr>
            <w:tcW w:w="907" w:type="dxa"/>
            <w:shd w:val="clear" w:color="auto" w:fill="auto"/>
            <w:noWrap/>
            <w:vAlign w:val="center"/>
          </w:tcPr>
          <w:p w14:paraId="1539CB4B" w14:textId="5E9BB2B5"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lastRenderedPageBreak/>
              <w:t>PSD</w:t>
            </w:r>
          </w:p>
        </w:tc>
        <w:tc>
          <w:tcPr>
            <w:tcW w:w="7439" w:type="dxa"/>
            <w:shd w:val="clear" w:color="auto" w:fill="auto"/>
            <w:noWrap/>
            <w:vAlign w:val="center"/>
          </w:tcPr>
          <w:p w14:paraId="6538B92A" w14:textId="2676E0E8"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 xml:space="preserve">Densidad Espectral de Potencia (PSD, por sus siglas en inglés) </w:t>
            </w:r>
          </w:p>
        </w:tc>
      </w:tr>
      <w:tr w:rsidR="007D430B" w:rsidRPr="00D936CA" w14:paraId="33CFE519" w14:textId="77777777" w:rsidTr="0068389F">
        <w:trPr>
          <w:trHeight w:val="300"/>
          <w:jc w:val="center"/>
        </w:trPr>
        <w:tc>
          <w:tcPr>
            <w:tcW w:w="907" w:type="dxa"/>
            <w:shd w:val="clear" w:color="auto" w:fill="auto"/>
            <w:noWrap/>
            <w:vAlign w:val="center"/>
            <w:hideMark/>
          </w:tcPr>
          <w:p w14:paraId="33CFE517"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PTR</w:t>
            </w:r>
          </w:p>
        </w:tc>
        <w:tc>
          <w:tcPr>
            <w:tcW w:w="7439" w:type="dxa"/>
            <w:shd w:val="clear" w:color="auto" w:fill="auto"/>
            <w:noWrap/>
            <w:vAlign w:val="center"/>
            <w:hideMark/>
          </w:tcPr>
          <w:p w14:paraId="33CFE518"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Punto de Terminación de la Red</w:t>
            </w:r>
          </w:p>
        </w:tc>
      </w:tr>
      <w:tr w:rsidR="007D430B" w:rsidRPr="00D936CA" w14:paraId="33CFE51C" w14:textId="77777777" w:rsidTr="0068389F">
        <w:trPr>
          <w:trHeight w:val="300"/>
          <w:jc w:val="center"/>
        </w:trPr>
        <w:tc>
          <w:tcPr>
            <w:tcW w:w="907" w:type="dxa"/>
            <w:shd w:val="clear" w:color="auto" w:fill="auto"/>
            <w:noWrap/>
            <w:vAlign w:val="center"/>
            <w:hideMark/>
          </w:tcPr>
          <w:p w14:paraId="33CFE51A"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PVC</w:t>
            </w:r>
          </w:p>
        </w:tc>
        <w:tc>
          <w:tcPr>
            <w:tcW w:w="7439" w:type="dxa"/>
            <w:shd w:val="clear" w:color="auto" w:fill="auto"/>
            <w:noWrap/>
            <w:vAlign w:val="center"/>
            <w:hideMark/>
          </w:tcPr>
          <w:p w14:paraId="33CFE51B"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Cloruro de Polivinilo</w:t>
            </w:r>
          </w:p>
        </w:tc>
      </w:tr>
      <w:tr w:rsidR="007D430B" w:rsidRPr="00D936CA" w14:paraId="33CFE51F" w14:textId="77777777" w:rsidTr="0068389F">
        <w:trPr>
          <w:trHeight w:val="300"/>
          <w:jc w:val="center"/>
        </w:trPr>
        <w:tc>
          <w:tcPr>
            <w:tcW w:w="907" w:type="dxa"/>
            <w:shd w:val="clear" w:color="auto" w:fill="auto"/>
            <w:noWrap/>
            <w:vAlign w:val="center"/>
            <w:hideMark/>
          </w:tcPr>
          <w:p w14:paraId="33CFE51D"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SAIB</w:t>
            </w:r>
          </w:p>
        </w:tc>
        <w:tc>
          <w:tcPr>
            <w:tcW w:w="7439" w:type="dxa"/>
            <w:shd w:val="clear" w:color="auto" w:fill="auto"/>
            <w:noWrap/>
            <w:vAlign w:val="center"/>
            <w:hideMark/>
          </w:tcPr>
          <w:p w14:paraId="33CFE51E"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Acceso Indirecto al Bucle Local</w:t>
            </w:r>
          </w:p>
        </w:tc>
      </w:tr>
      <w:tr w:rsidR="007D430B" w:rsidRPr="00D936CA" w14:paraId="33CFE522" w14:textId="77777777" w:rsidTr="0068389F">
        <w:trPr>
          <w:trHeight w:val="300"/>
          <w:jc w:val="center"/>
        </w:trPr>
        <w:tc>
          <w:tcPr>
            <w:tcW w:w="907" w:type="dxa"/>
            <w:shd w:val="clear" w:color="auto" w:fill="auto"/>
            <w:noWrap/>
            <w:vAlign w:val="center"/>
            <w:hideMark/>
          </w:tcPr>
          <w:p w14:paraId="33CFE520"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SCD</w:t>
            </w:r>
          </w:p>
        </w:tc>
        <w:tc>
          <w:tcPr>
            <w:tcW w:w="7439" w:type="dxa"/>
            <w:shd w:val="clear" w:color="auto" w:fill="auto"/>
            <w:noWrap/>
            <w:vAlign w:val="center"/>
            <w:hideMark/>
          </w:tcPr>
          <w:p w14:paraId="33CFE521"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Coubicación para Desagregación</w:t>
            </w:r>
          </w:p>
        </w:tc>
      </w:tr>
      <w:tr w:rsidR="007D430B" w:rsidRPr="00D936CA" w14:paraId="33CFE525" w14:textId="77777777" w:rsidTr="0068389F">
        <w:trPr>
          <w:trHeight w:val="300"/>
          <w:jc w:val="center"/>
        </w:trPr>
        <w:tc>
          <w:tcPr>
            <w:tcW w:w="907" w:type="dxa"/>
            <w:shd w:val="clear" w:color="auto" w:fill="auto"/>
            <w:noWrap/>
            <w:vAlign w:val="center"/>
            <w:hideMark/>
          </w:tcPr>
          <w:p w14:paraId="33CFE523"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SCyD</w:t>
            </w:r>
          </w:p>
        </w:tc>
        <w:tc>
          <w:tcPr>
            <w:tcW w:w="7439" w:type="dxa"/>
            <w:shd w:val="clear" w:color="auto" w:fill="auto"/>
            <w:noWrap/>
            <w:vAlign w:val="center"/>
            <w:hideMark/>
          </w:tcPr>
          <w:p w14:paraId="33CFE524"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Concentración y Distribución</w:t>
            </w:r>
          </w:p>
        </w:tc>
      </w:tr>
      <w:tr w:rsidR="007D430B" w:rsidRPr="00D936CA" w14:paraId="33CFE528" w14:textId="77777777" w:rsidTr="0068389F">
        <w:trPr>
          <w:trHeight w:val="300"/>
          <w:jc w:val="center"/>
        </w:trPr>
        <w:tc>
          <w:tcPr>
            <w:tcW w:w="907" w:type="dxa"/>
            <w:shd w:val="clear" w:color="auto" w:fill="auto"/>
            <w:noWrap/>
            <w:vAlign w:val="center"/>
            <w:hideMark/>
          </w:tcPr>
          <w:p w14:paraId="33CFE526"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SDCBL</w:t>
            </w:r>
          </w:p>
        </w:tc>
        <w:tc>
          <w:tcPr>
            <w:tcW w:w="7439" w:type="dxa"/>
            <w:shd w:val="clear" w:color="auto" w:fill="auto"/>
            <w:noWrap/>
            <w:vAlign w:val="center"/>
            <w:hideMark/>
          </w:tcPr>
          <w:p w14:paraId="33CFE527"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Desagregación Compartida del Bucle Local</w:t>
            </w:r>
          </w:p>
        </w:tc>
      </w:tr>
      <w:tr w:rsidR="007D430B" w:rsidRPr="00D936CA" w14:paraId="33CFE52B" w14:textId="77777777" w:rsidTr="0068389F">
        <w:trPr>
          <w:trHeight w:val="300"/>
          <w:jc w:val="center"/>
        </w:trPr>
        <w:tc>
          <w:tcPr>
            <w:tcW w:w="907" w:type="dxa"/>
            <w:shd w:val="clear" w:color="auto" w:fill="auto"/>
            <w:noWrap/>
            <w:vAlign w:val="center"/>
            <w:hideMark/>
          </w:tcPr>
          <w:p w14:paraId="33CFE529"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SDCSBL</w:t>
            </w:r>
          </w:p>
        </w:tc>
        <w:tc>
          <w:tcPr>
            <w:tcW w:w="7439" w:type="dxa"/>
            <w:shd w:val="clear" w:color="auto" w:fill="auto"/>
            <w:noWrap/>
            <w:vAlign w:val="center"/>
            <w:hideMark/>
          </w:tcPr>
          <w:p w14:paraId="33CFE52A"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Desagregación Compartida del Sub-Bucle Local</w:t>
            </w:r>
          </w:p>
        </w:tc>
      </w:tr>
      <w:tr w:rsidR="007D430B" w:rsidRPr="00D936CA" w14:paraId="33CFE52E" w14:textId="77777777" w:rsidTr="0068389F">
        <w:trPr>
          <w:trHeight w:val="300"/>
          <w:jc w:val="center"/>
        </w:trPr>
        <w:tc>
          <w:tcPr>
            <w:tcW w:w="907" w:type="dxa"/>
            <w:shd w:val="clear" w:color="auto" w:fill="auto"/>
            <w:noWrap/>
            <w:vAlign w:val="center"/>
            <w:hideMark/>
          </w:tcPr>
          <w:p w14:paraId="33CFE52C"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SDTBL</w:t>
            </w:r>
          </w:p>
        </w:tc>
        <w:tc>
          <w:tcPr>
            <w:tcW w:w="7439" w:type="dxa"/>
            <w:shd w:val="clear" w:color="auto" w:fill="auto"/>
            <w:noWrap/>
            <w:vAlign w:val="center"/>
            <w:hideMark/>
          </w:tcPr>
          <w:p w14:paraId="33CFE52D"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Desagregación Total del Bucle Local</w:t>
            </w:r>
          </w:p>
        </w:tc>
      </w:tr>
      <w:tr w:rsidR="007D430B" w:rsidRPr="00D936CA" w14:paraId="33CFE531" w14:textId="77777777" w:rsidTr="0068389F">
        <w:trPr>
          <w:trHeight w:val="300"/>
          <w:jc w:val="center"/>
        </w:trPr>
        <w:tc>
          <w:tcPr>
            <w:tcW w:w="907" w:type="dxa"/>
            <w:shd w:val="clear" w:color="auto" w:fill="auto"/>
            <w:noWrap/>
            <w:vAlign w:val="center"/>
            <w:hideMark/>
          </w:tcPr>
          <w:p w14:paraId="33CFE52F" w14:textId="7777777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SDTSBL</w:t>
            </w:r>
          </w:p>
        </w:tc>
        <w:tc>
          <w:tcPr>
            <w:tcW w:w="7439" w:type="dxa"/>
            <w:shd w:val="clear" w:color="auto" w:fill="auto"/>
            <w:noWrap/>
            <w:vAlign w:val="center"/>
            <w:hideMark/>
          </w:tcPr>
          <w:p w14:paraId="33CFE530" w14:textId="77777777"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Desagregación Total del Sub-Bucle Local</w:t>
            </w:r>
          </w:p>
        </w:tc>
      </w:tr>
      <w:tr w:rsidR="007D430B" w:rsidRPr="00D936CA" w14:paraId="766A01FE" w14:textId="77777777" w:rsidTr="0068389F">
        <w:trPr>
          <w:trHeight w:val="300"/>
          <w:jc w:val="center"/>
        </w:trPr>
        <w:tc>
          <w:tcPr>
            <w:tcW w:w="907" w:type="dxa"/>
            <w:shd w:val="clear" w:color="auto" w:fill="auto"/>
            <w:noWrap/>
            <w:vAlign w:val="center"/>
          </w:tcPr>
          <w:p w14:paraId="5F894AF6" w14:textId="2F68AE44" w:rsidR="007D430B" w:rsidRPr="00D936CA" w:rsidRDefault="007D430B" w:rsidP="007D430B">
            <w:pPr>
              <w:rPr>
                <w:rFonts w:ascii="ITC Avant Garde" w:hAnsi="ITC Avant Garde"/>
                <w:b/>
                <w:sz w:val="20"/>
                <w:szCs w:val="18"/>
                <w:lang w:eastAsia="es-MX"/>
              </w:rPr>
            </w:pPr>
            <w:r>
              <w:rPr>
                <w:rFonts w:ascii="ITC Avant Garde" w:hAnsi="ITC Avant Garde"/>
                <w:b/>
                <w:sz w:val="20"/>
                <w:szCs w:val="18"/>
                <w:lang w:eastAsia="es-MX"/>
              </w:rPr>
              <w:t>SRMLT</w:t>
            </w:r>
          </w:p>
        </w:tc>
        <w:tc>
          <w:tcPr>
            <w:tcW w:w="7439" w:type="dxa"/>
            <w:shd w:val="clear" w:color="auto" w:fill="auto"/>
            <w:noWrap/>
            <w:vAlign w:val="center"/>
          </w:tcPr>
          <w:p w14:paraId="310DB874" w14:textId="36155574" w:rsidR="007D430B" w:rsidRPr="00D936CA" w:rsidRDefault="007D430B" w:rsidP="007D430B">
            <w:pPr>
              <w:rPr>
                <w:rFonts w:ascii="ITC Avant Garde" w:hAnsi="ITC Avant Garde"/>
                <w:sz w:val="20"/>
                <w:szCs w:val="18"/>
                <w:lang w:eastAsia="es-MX"/>
              </w:rPr>
            </w:pPr>
            <w:r>
              <w:rPr>
                <w:rFonts w:ascii="ITC Avant Garde" w:hAnsi="ITC Avant Garde"/>
                <w:sz w:val="20"/>
                <w:szCs w:val="18"/>
                <w:lang w:eastAsia="es-MX"/>
              </w:rPr>
              <w:t>Servicio de Reventa Mayorista de Línea Telefónica</w:t>
            </w:r>
          </w:p>
        </w:tc>
      </w:tr>
      <w:tr w:rsidR="007D430B" w:rsidRPr="00D936CA" w14:paraId="33CFE534" w14:textId="77777777" w:rsidTr="0068389F">
        <w:trPr>
          <w:trHeight w:val="300"/>
          <w:jc w:val="center"/>
        </w:trPr>
        <w:tc>
          <w:tcPr>
            <w:tcW w:w="907" w:type="dxa"/>
            <w:shd w:val="clear" w:color="auto" w:fill="auto"/>
            <w:noWrap/>
            <w:vAlign w:val="center"/>
            <w:hideMark/>
          </w:tcPr>
          <w:p w14:paraId="33CFE532" w14:textId="04EF7B5F"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SEG</w:t>
            </w:r>
          </w:p>
        </w:tc>
        <w:tc>
          <w:tcPr>
            <w:tcW w:w="7439" w:type="dxa"/>
            <w:shd w:val="clear" w:color="auto" w:fill="auto"/>
            <w:noWrap/>
            <w:vAlign w:val="center"/>
            <w:hideMark/>
          </w:tcPr>
          <w:p w14:paraId="33CFE533" w14:textId="646C172D"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Sistema Electrónico de Gestión</w:t>
            </w:r>
          </w:p>
        </w:tc>
      </w:tr>
      <w:tr w:rsidR="007D430B" w:rsidRPr="00D936CA" w14:paraId="33CFE537" w14:textId="77777777" w:rsidTr="0068389F">
        <w:trPr>
          <w:trHeight w:val="300"/>
          <w:jc w:val="center"/>
        </w:trPr>
        <w:tc>
          <w:tcPr>
            <w:tcW w:w="907" w:type="dxa"/>
            <w:shd w:val="clear" w:color="auto" w:fill="auto"/>
            <w:noWrap/>
            <w:vAlign w:val="center"/>
            <w:hideMark/>
          </w:tcPr>
          <w:p w14:paraId="33CFE535" w14:textId="2DF38C8D"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SLA</w:t>
            </w:r>
          </w:p>
        </w:tc>
        <w:tc>
          <w:tcPr>
            <w:tcW w:w="7439" w:type="dxa"/>
            <w:shd w:val="clear" w:color="auto" w:fill="auto"/>
            <w:noWrap/>
            <w:vAlign w:val="center"/>
            <w:hideMark/>
          </w:tcPr>
          <w:p w14:paraId="33CFE536" w14:textId="57699C0E"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Acuerdos de Nivel de Servicio (SLA, por sus siglas en inglés)</w:t>
            </w:r>
          </w:p>
        </w:tc>
      </w:tr>
      <w:tr w:rsidR="007D430B" w:rsidRPr="00D936CA" w14:paraId="33CFE540" w14:textId="77777777" w:rsidTr="0068389F">
        <w:trPr>
          <w:trHeight w:val="300"/>
          <w:jc w:val="center"/>
        </w:trPr>
        <w:tc>
          <w:tcPr>
            <w:tcW w:w="907" w:type="dxa"/>
            <w:shd w:val="clear" w:color="auto" w:fill="auto"/>
            <w:noWrap/>
            <w:vAlign w:val="center"/>
          </w:tcPr>
          <w:p w14:paraId="33CFE53E" w14:textId="701AB797"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SRI</w:t>
            </w:r>
          </w:p>
        </w:tc>
        <w:tc>
          <w:tcPr>
            <w:tcW w:w="7439" w:type="dxa"/>
            <w:shd w:val="clear" w:color="auto" w:fill="auto"/>
            <w:noWrap/>
            <w:vAlign w:val="center"/>
          </w:tcPr>
          <w:p w14:paraId="33CFE53F" w14:textId="03B6EE58"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Reventa de Internet</w:t>
            </w:r>
          </w:p>
        </w:tc>
      </w:tr>
      <w:tr w:rsidR="007D430B" w:rsidRPr="00D936CA" w14:paraId="33CFE543" w14:textId="77777777" w:rsidTr="0068389F">
        <w:trPr>
          <w:trHeight w:val="300"/>
          <w:jc w:val="center"/>
        </w:trPr>
        <w:tc>
          <w:tcPr>
            <w:tcW w:w="907" w:type="dxa"/>
            <w:shd w:val="clear" w:color="auto" w:fill="auto"/>
            <w:noWrap/>
            <w:vAlign w:val="center"/>
          </w:tcPr>
          <w:p w14:paraId="33CFE541" w14:textId="557FDCBB"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SRP</w:t>
            </w:r>
          </w:p>
        </w:tc>
        <w:tc>
          <w:tcPr>
            <w:tcW w:w="7439" w:type="dxa"/>
            <w:shd w:val="clear" w:color="auto" w:fill="auto"/>
            <w:noWrap/>
            <w:vAlign w:val="center"/>
          </w:tcPr>
          <w:p w14:paraId="33CFE542" w14:textId="37F279D0"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Servicio de Reventa de Paquetes</w:t>
            </w:r>
          </w:p>
        </w:tc>
      </w:tr>
      <w:tr w:rsidR="007D430B" w:rsidRPr="00D936CA" w14:paraId="33CFE546" w14:textId="77777777" w:rsidTr="0068389F">
        <w:trPr>
          <w:trHeight w:val="300"/>
          <w:jc w:val="center"/>
        </w:trPr>
        <w:tc>
          <w:tcPr>
            <w:tcW w:w="907" w:type="dxa"/>
            <w:shd w:val="clear" w:color="auto" w:fill="auto"/>
            <w:noWrap/>
            <w:vAlign w:val="center"/>
          </w:tcPr>
          <w:p w14:paraId="33CFE544" w14:textId="3B152D03"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TBA</w:t>
            </w:r>
          </w:p>
        </w:tc>
        <w:tc>
          <w:tcPr>
            <w:tcW w:w="7439" w:type="dxa"/>
            <w:shd w:val="clear" w:color="auto" w:fill="auto"/>
            <w:noWrap/>
            <w:vAlign w:val="center"/>
          </w:tcPr>
          <w:p w14:paraId="33CFE545" w14:textId="00D03104"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Terminal de Banda Ancha</w:t>
            </w:r>
          </w:p>
        </w:tc>
      </w:tr>
      <w:tr w:rsidR="007D430B" w:rsidRPr="00D936CA" w14:paraId="33CFE549" w14:textId="77777777" w:rsidTr="0068389F">
        <w:trPr>
          <w:trHeight w:val="300"/>
          <w:jc w:val="center"/>
        </w:trPr>
        <w:tc>
          <w:tcPr>
            <w:tcW w:w="907" w:type="dxa"/>
            <w:shd w:val="clear" w:color="auto" w:fill="auto"/>
            <w:noWrap/>
            <w:vAlign w:val="center"/>
          </w:tcPr>
          <w:p w14:paraId="33CFE547" w14:textId="5027032B"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VLAN</w:t>
            </w:r>
          </w:p>
        </w:tc>
        <w:tc>
          <w:tcPr>
            <w:tcW w:w="7439" w:type="dxa"/>
            <w:shd w:val="clear" w:color="auto" w:fill="auto"/>
            <w:noWrap/>
            <w:vAlign w:val="center"/>
          </w:tcPr>
          <w:p w14:paraId="33CFE548" w14:textId="454C4F5C"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Red de Área Local Virtual (VLAN, por sus siglas en inglés)</w:t>
            </w:r>
          </w:p>
        </w:tc>
      </w:tr>
      <w:tr w:rsidR="007D430B" w:rsidRPr="00D936CA" w14:paraId="33CFE54C" w14:textId="77777777" w:rsidTr="0068389F">
        <w:trPr>
          <w:trHeight w:val="300"/>
          <w:jc w:val="center"/>
        </w:trPr>
        <w:tc>
          <w:tcPr>
            <w:tcW w:w="907" w:type="dxa"/>
            <w:shd w:val="clear" w:color="auto" w:fill="auto"/>
            <w:noWrap/>
            <w:vAlign w:val="center"/>
            <w:hideMark/>
          </w:tcPr>
          <w:p w14:paraId="33CFE54A" w14:textId="19D3E743" w:rsidR="007D430B" w:rsidRPr="00D936CA" w:rsidRDefault="007D430B" w:rsidP="007D430B">
            <w:pPr>
              <w:rPr>
                <w:rFonts w:ascii="ITC Avant Garde" w:hAnsi="ITC Avant Garde"/>
                <w:b/>
                <w:sz w:val="20"/>
                <w:szCs w:val="18"/>
                <w:lang w:eastAsia="es-MX"/>
              </w:rPr>
            </w:pPr>
            <w:r w:rsidRPr="00D936CA">
              <w:rPr>
                <w:rFonts w:ascii="ITC Avant Garde" w:hAnsi="ITC Avant Garde"/>
                <w:b/>
                <w:sz w:val="20"/>
                <w:szCs w:val="18"/>
                <w:lang w:eastAsia="es-MX"/>
              </w:rPr>
              <w:t>VoIP</w:t>
            </w:r>
          </w:p>
        </w:tc>
        <w:tc>
          <w:tcPr>
            <w:tcW w:w="7439" w:type="dxa"/>
            <w:shd w:val="clear" w:color="auto" w:fill="auto"/>
            <w:noWrap/>
            <w:vAlign w:val="center"/>
            <w:hideMark/>
          </w:tcPr>
          <w:p w14:paraId="33CFE54B" w14:textId="66C6B04F" w:rsidR="007D430B" w:rsidRPr="00D936CA" w:rsidRDefault="007D430B" w:rsidP="007D430B">
            <w:pPr>
              <w:rPr>
                <w:rFonts w:ascii="ITC Avant Garde" w:hAnsi="ITC Avant Garde"/>
                <w:sz w:val="20"/>
                <w:szCs w:val="18"/>
                <w:lang w:eastAsia="es-MX"/>
              </w:rPr>
            </w:pPr>
            <w:r w:rsidRPr="00D936CA">
              <w:rPr>
                <w:rFonts w:ascii="ITC Avant Garde" w:hAnsi="ITC Avant Garde"/>
                <w:sz w:val="20"/>
                <w:szCs w:val="18"/>
                <w:lang w:eastAsia="es-MX"/>
              </w:rPr>
              <w:t>Voz sobre Protocolo de Internet (VoIP, por sus siglas en inglés)</w:t>
            </w:r>
          </w:p>
        </w:tc>
      </w:tr>
    </w:tbl>
    <w:p w14:paraId="0A0BFDBD" w14:textId="0911EBD8" w:rsidR="007D430B" w:rsidRDefault="007D430B" w:rsidP="00D936CA">
      <w:pPr>
        <w:rPr>
          <w:rFonts w:ascii="ITC Avant Garde" w:hAnsi="ITC Avant Garde"/>
        </w:rPr>
      </w:pPr>
    </w:p>
    <w:p w14:paraId="0F916915" w14:textId="77777777" w:rsidR="007D430B" w:rsidRPr="00060B2E" w:rsidRDefault="007D430B" w:rsidP="00060B2E">
      <w:pPr>
        <w:pStyle w:val="Texto1"/>
        <w:spacing w:after="200" w:line="276" w:lineRule="auto"/>
        <w:ind w:left="0"/>
        <w:rPr>
          <w:rFonts w:ascii="ITC Avant Garde" w:hAnsi="ITC Avant Garde"/>
          <w:sz w:val="22"/>
          <w:szCs w:val="22"/>
          <w:lang w:val="es-MX"/>
        </w:rPr>
      </w:pPr>
    </w:p>
    <w:p w14:paraId="6995FB37" w14:textId="393206F1" w:rsidR="000A501E" w:rsidRPr="00060B2E" w:rsidRDefault="000A501E" w:rsidP="00060B2E">
      <w:pPr>
        <w:pStyle w:val="Texto1"/>
        <w:spacing w:after="200" w:line="276" w:lineRule="auto"/>
        <w:ind w:left="0"/>
        <w:rPr>
          <w:rFonts w:ascii="ITC Avant Garde" w:hAnsi="ITC Avant Garde"/>
          <w:sz w:val="22"/>
          <w:szCs w:val="22"/>
          <w:lang w:val="es-MX"/>
        </w:rPr>
      </w:pPr>
      <w:r w:rsidRPr="00060B2E">
        <w:rPr>
          <w:rFonts w:ascii="ITC Avant Garde" w:hAnsi="ITC Avant Garde"/>
          <w:sz w:val="22"/>
          <w:szCs w:val="22"/>
          <w:lang w:val="es-MX"/>
        </w:rPr>
        <w:t>Las definiciones y abreviaturas comprendidas en la presente Oferta podrán ser utilizadas indistintamente en singular o plural, en masculino o femenino, según corresponda,</w:t>
      </w:r>
    </w:p>
    <w:p w14:paraId="33CFE550" w14:textId="4D58FAAF" w:rsidR="00060B2E" w:rsidRPr="00060B2E" w:rsidRDefault="00060B2E" w:rsidP="00060B2E">
      <w:pPr>
        <w:pStyle w:val="Texto1"/>
        <w:spacing w:after="200" w:line="276" w:lineRule="auto"/>
        <w:ind w:left="0"/>
        <w:rPr>
          <w:rFonts w:ascii="ITC Avant Garde" w:hAnsi="ITC Avant Garde"/>
          <w:sz w:val="22"/>
          <w:szCs w:val="22"/>
          <w:lang w:val="es-MX"/>
        </w:rPr>
        <w:sectPr w:rsidR="00060B2E" w:rsidRPr="00060B2E" w:rsidSect="00EE3826">
          <w:pgSz w:w="12242" w:h="15842" w:code="1"/>
          <w:pgMar w:top="1417" w:right="1701" w:bottom="1417" w:left="1701" w:header="567" w:footer="567" w:gutter="0"/>
          <w:cols w:space="720"/>
          <w:docGrid w:linePitch="326"/>
        </w:sectPr>
      </w:pPr>
    </w:p>
    <w:p w14:paraId="33CFE551" w14:textId="77777777" w:rsidR="0068389F" w:rsidRPr="00D936CA" w:rsidRDefault="0068389F" w:rsidP="00D936CA">
      <w:pPr>
        <w:spacing w:line="360" w:lineRule="auto"/>
        <w:contextualSpacing/>
        <w:jc w:val="both"/>
        <w:rPr>
          <w:rFonts w:ascii="ITC Avant Garde" w:hAnsi="ITC Avant Garde" w:cs="Arial"/>
          <w:sz w:val="22"/>
          <w:szCs w:val="22"/>
        </w:rPr>
        <w:sectPr w:rsidR="0068389F" w:rsidRPr="00D936CA" w:rsidSect="00273F89">
          <w:type w:val="continuous"/>
          <w:pgSz w:w="12242" w:h="15842" w:code="1"/>
          <w:pgMar w:top="1417" w:right="1701" w:bottom="1417" w:left="1701" w:header="567" w:footer="567" w:gutter="0"/>
          <w:cols w:num="2" w:space="720"/>
          <w:docGrid w:linePitch="326"/>
        </w:sectPr>
      </w:pPr>
    </w:p>
    <w:p w14:paraId="33CFE552" w14:textId="77777777" w:rsidR="0068389F" w:rsidRPr="00D936CA" w:rsidRDefault="0068389F" w:rsidP="00D936CA">
      <w:pPr>
        <w:rPr>
          <w:rFonts w:ascii="ITC Avant Garde" w:hAnsi="ITC Avant Garde"/>
        </w:rPr>
      </w:pPr>
    </w:p>
    <w:p w14:paraId="33CFE553" w14:textId="77777777" w:rsidR="00530A32" w:rsidRPr="00D936CA" w:rsidRDefault="00011A1B" w:rsidP="00B50532">
      <w:pPr>
        <w:pStyle w:val="1TitPrin"/>
      </w:pPr>
      <w:bookmarkStart w:id="41" w:name="_Toc436840862"/>
      <w:bookmarkStart w:id="42" w:name="_Toc436846299"/>
      <w:bookmarkStart w:id="43" w:name="_Toc436848249"/>
      <w:bookmarkStart w:id="44" w:name="_Toc436856497"/>
      <w:bookmarkStart w:id="45" w:name="_Toc436862643"/>
      <w:bookmarkStart w:id="46" w:name="_Toc436866293"/>
      <w:bookmarkStart w:id="47" w:name="_Toc436870872"/>
      <w:bookmarkStart w:id="48" w:name="_Toc436875864"/>
      <w:bookmarkStart w:id="49" w:name="_Toc467248674"/>
      <w:bookmarkStart w:id="50" w:name="_Toc518031946"/>
      <w:bookmarkStart w:id="51" w:name="_Toc375583284"/>
      <w:r w:rsidRPr="00D936CA">
        <w:t>Introducción y Generales</w:t>
      </w:r>
      <w:bookmarkEnd w:id="41"/>
      <w:bookmarkEnd w:id="42"/>
      <w:bookmarkEnd w:id="43"/>
      <w:bookmarkEnd w:id="44"/>
      <w:bookmarkEnd w:id="45"/>
      <w:bookmarkEnd w:id="46"/>
      <w:bookmarkEnd w:id="47"/>
      <w:bookmarkEnd w:id="48"/>
      <w:bookmarkEnd w:id="49"/>
      <w:bookmarkEnd w:id="50"/>
    </w:p>
    <w:p w14:paraId="33CFE554" w14:textId="6FE86114" w:rsidR="00832B68" w:rsidRPr="00D936CA" w:rsidRDefault="00011A1B" w:rsidP="00D936CA">
      <w:pPr>
        <w:pStyle w:val="Texto1"/>
        <w:spacing w:after="200" w:line="276" w:lineRule="auto"/>
        <w:ind w:left="0"/>
        <w:rPr>
          <w:rFonts w:ascii="ITC Avant Garde" w:hAnsi="ITC Avant Garde"/>
          <w:sz w:val="22"/>
          <w:szCs w:val="22"/>
        </w:rPr>
      </w:pPr>
      <w:r w:rsidRPr="00D936CA">
        <w:rPr>
          <w:rFonts w:ascii="ITC Avant Garde" w:hAnsi="ITC Avant Garde"/>
          <w:sz w:val="22"/>
          <w:szCs w:val="22"/>
          <w:lang w:val="es-MX"/>
        </w:rPr>
        <w:t xml:space="preserve">La OREDA tiene como objetivo establecer los términos y condiciones para los servicios de Desagregación del </w:t>
      </w:r>
      <w:r w:rsidRPr="00D936CA">
        <w:rPr>
          <w:rFonts w:ascii="ITC Avant Garde" w:hAnsi="ITC Avant Garde"/>
          <w:sz w:val="22"/>
          <w:szCs w:val="22"/>
        </w:rPr>
        <w:t xml:space="preserve">Bucle Local, de tal forma que los Concesionarios Solicitantes (CS) con Título de Concesión </w:t>
      </w:r>
      <w:r w:rsidR="007D4A3C" w:rsidRPr="00D936CA">
        <w:rPr>
          <w:rFonts w:ascii="ITC Avant Garde" w:hAnsi="ITC Avant Garde"/>
          <w:sz w:val="22"/>
          <w:szCs w:val="22"/>
          <w:lang w:val="es-MX"/>
        </w:rPr>
        <w:t xml:space="preserve">(o Concesión Única), </w:t>
      </w:r>
      <w:r w:rsidRPr="00D936CA">
        <w:rPr>
          <w:rFonts w:ascii="ITC Avant Garde" w:hAnsi="ITC Avant Garde"/>
          <w:sz w:val="22"/>
          <w:szCs w:val="22"/>
        </w:rPr>
        <w:t xml:space="preserve">para operar redes públicas de </w:t>
      </w:r>
      <w:r w:rsidR="00004B87" w:rsidRPr="00D936CA">
        <w:rPr>
          <w:rFonts w:ascii="ITC Avant Garde" w:hAnsi="ITC Avant Garde"/>
          <w:sz w:val="22"/>
          <w:szCs w:val="22"/>
        </w:rPr>
        <w:t>t</w:t>
      </w:r>
      <w:r w:rsidRPr="00D936CA">
        <w:rPr>
          <w:rFonts w:ascii="ITC Avant Garde" w:hAnsi="ITC Avant Garde"/>
          <w:sz w:val="22"/>
          <w:szCs w:val="22"/>
        </w:rPr>
        <w:t>elecomunicaciones</w:t>
      </w:r>
      <w:r w:rsidR="00825EF2">
        <w:rPr>
          <w:rFonts w:ascii="ITC Avant Garde" w:hAnsi="ITC Avant Garde"/>
          <w:sz w:val="22"/>
          <w:szCs w:val="22"/>
        </w:rPr>
        <w:t>, o bien los Autorizados Solicitantes,</w:t>
      </w:r>
      <w:r w:rsidRPr="00D936CA">
        <w:rPr>
          <w:rFonts w:ascii="ITC Avant Garde" w:hAnsi="ITC Avant Garde"/>
          <w:sz w:val="22"/>
          <w:szCs w:val="22"/>
        </w:rPr>
        <w:t xml:space="preserve"> puedan proveer servicios de </w:t>
      </w:r>
      <w:r w:rsidR="00004B87" w:rsidRPr="00D936CA">
        <w:rPr>
          <w:rFonts w:ascii="ITC Avant Garde" w:hAnsi="ITC Avant Garde"/>
          <w:sz w:val="22"/>
          <w:szCs w:val="22"/>
        </w:rPr>
        <w:t>t</w:t>
      </w:r>
      <w:r w:rsidRPr="00D936CA">
        <w:rPr>
          <w:rFonts w:ascii="ITC Avant Garde" w:hAnsi="ITC Avant Garde"/>
          <w:sz w:val="22"/>
          <w:szCs w:val="22"/>
        </w:rPr>
        <w:t xml:space="preserve">elecomunicaciones a </w:t>
      </w:r>
      <w:r w:rsidR="00A310FA">
        <w:rPr>
          <w:rFonts w:ascii="ITC Avant Garde" w:hAnsi="ITC Avant Garde"/>
          <w:sz w:val="22"/>
          <w:szCs w:val="22"/>
        </w:rPr>
        <w:t>sus</w:t>
      </w:r>
      <w:r w:rsidR="00825EF2">
        <w:rPr>
          <w:rFonts w:ascii="ITC Avant Garde" w:hAnsi="ITC Avant Garde"/>
          <w:sz w:val="22"/>
          <w:szCs w:val="22"/>
        </w:rPr>
        <w:t xml:space="preserve"> </w:t>
      </w:r>
      <w:r w:rsidRPr="00D936CA">
        <w:rPr>
          <w:rFonts w:ascii="ITC Avant Garde" w:hAnsi="ITC Avant Garde"/>
          <w:sz w:val="22"/>
          <w:szCs w:val="22"/>
        </w:rPr>
        <w:t xml:space="preserve">usuarios finales mediante los servicios contenidos en esta </w:t>
      </w:r>
      <w:r w:rsidR="00CA026A" w:rsidRPr="00D936CA">
        <w:rPr>
          <w:rFonts w:ascii="ITC Avant Garde" w:hAnsi="ITC Avant Garde"/>
          <w:sz w:val="22"/>
          <w:szCs w:val="22"/>
        </w:rPr>
        <w:t>OREDA</w:t>
      </w:r>
      <w:r w:rsidRPr="00D936CA">
        <w:rPr>
          <w:rFonts w:ascii="ITC Avant Garde" w:hAnsi="ITC Avant Garde"/>
          <w:sz w:val="22"/>
          <w:szCs w:val="22"/>
        </w:rPr>
        <w:t xml:space="preserve">. </w:t>
      </w:r>
    </w:p>
    <w:p w14:paraId="33CFE555" w14:textId="77777777" w:rsidR="00832B68" w:rsidRPr="00D936CA" w:rsidRDefault="00011A1B" w:rsidP="00D936CA">
      <w:pPr>
        <w:pStyle w:val="Texto1"/>
        <w:spacing w:after="200" w:line="276" w:lineRule="auto"/>
        <w:ind w:left="0"/>
        <w:rPr>
          <w:rFonts w:ascii="ITC Avant Garde" w:hAnsi="ITC Avant Garde"/>
          <w:sz w:val="22"/>
          <w:szCs w:val="22"/>
        </w:rPr>
      </w:pPr>
      <w:r w:rsidRPr="00D936CA">
        <w:rPr>
          <w:rFonts w:ascii="ITC Avant Garde" w:hAnsi="ITC Avant Garde"/>
          <w:sz w:val="22"/>
          <w:szCs w:val="22"/>
        </w:rPr>
        <w:t xml:space="preserve">Los </w:t>
      </w:r>
      <w:r w:rsidRPr="00D936CA">
        <w:rPr>
          <w:rFonts w:ascii="ITC Avant Garde" w:hAnsi="ITC Avant Garde"/>
          <w:b/>
          <w:sz w:val="22"/>
          <w:szCs w:val="22"/>
        </w:rPr>
        <w:t xml:space="preserve">Servicios de Desagregación del Bucle Local </w:t>
      </w:r>
      <w:r w:rsidRPr="00D936CA">
        <w:rPr>
          <w:rFonts w:ascii="ITC Avant Garde" w:hAnsi="ITC Avant Garde"/>
          <w:sz w:val="22"/>
          <w:szCs w:val="22"/>
        </w:rPr>
        <w:t xml:space="preserve">contenidos en la </w:t>
      </w:r>
      <w:r w:rsidR="00CA026A" w:rsidRPr="00D936CA">
        <w:rPr>
          <w:rFonts w:ascii="ITC Avant Garde" w:hAnsi="ITC Avant Garde"/>
          <w:sz w:val="22"/>
          <w:szCs w:val="22"/>
        </w:rPr>
        <w:t>OREDA</w:t>
      </w:r>
      <w:r w:rsidRPr="00D936CA">
        <w:rPr>
          <w:rFonts w:ascii="ITC Avant Garde" w:hAnsi="ITC Avant Garde"/>
          <w:sz w:val="22"/>
          <w:szCs w:val="22"/>
        </w:rPr>
        <w:t xml:space="preserve"> son:</w:t>
      </w:r>
    </w:p>
    <w:p w14:paraId="33CFE556" w14:textId="6DB33BA9" w:rsidR="00832B68" w:rsidRPr="00D936CA" w:rsidRDefault="00011A1B" w:rsidP="00D936CA">
      <w:pPr>
        <w:pStyle w:val="Prrafodelista"/>
        <w:numPr>
          <w:ilvl w:val="0"/>
          <w:numId w:val="28"/>
        </w:numPr>
        <w:spacing w:after="200" w:line="276" w:lineRule="auto"/>
        <w:jc w:val="both"/>
        <w:rPr>
          <w:rFonts w:ascii="ITC Avant Garde" w:hAnsi="ITC Avant Garde"/>
          <w:sz w:val="22"/>
          <w:szCs w:val="22"/>
        </w:rPr>
      </w:pPr>
      <w:r w:rsidRPr="00D936CA">
        <w:rPr>
          <w:rFonts w:ascii="ITC Avant Garde" w:hAnsi="ITC Avant Garde"/>
          <w:sz w:val="22"/>
          <w:szCs w:val="22"/>
        </w:rPr>
        <w:t>Servicio de Reventa (SRL)</w:t>
      </w:r>
      <w:r w:rsidR="00651F67">
        <w:rPr>
          <w:rFonts w:ascii="ITC Avant Garde" w:hAnsi="ITC Avant Garde"/>
          <w:sz w:val="22"/>
          <w:szCs w:val="22"/>
        </w:rPr>
        <w:t>:</w:t>
      </w:r>
    </w:p>
    <w:p w14:paraId="33CFE557" w14:textId="40E12F35" w:rsidR="00832B68"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Reventa de Línea Telefónica (</w:t>
      </w:r>
      <w:r w:rsidR="001E6506">
        <w:rPr>
          <w:rFonts w:ascii="ITC Avant Garde" w:hAnsi="ITC Avant Garde"/>
          <w:sz w:val="22"/>
          <w:szCs w:val="22"/>
        </w:rPr>
        <w:t>SRL</w:t>
      </w:r>
      <w:r w:rsidRPr="00D936CA">
        <w:rPr>
          <w:rFonts w:ascii="ITC Avant Garde" w:hAnsi="ITC Avant Garde"/>
          <w:sz w:val="22"/>
          <w:szCs w:val="22"/>
        </w:rPr>
        <w:t>)</w:t>
      </w:r>
      <w:r w:rsidR="00374A1D">
        <w:rPr>
          <w:rFonts w:ascii="ITC Avant Garde" w:hAnsi="ITC Avant Garde"/>
          <w:sz w:val="22"/>
          <w:szCs w:val="22"/>
        </w:rPr>
        <w:t>;</w:t>
      </w:r>
    </w:p>
    <w:p w14:paraId="33CFE558" w14:textId="19077E5F" w:rsidR="00832B68"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Reventa de In</w:t>
      </w:r>
      <w:r w:rsidR="003A1E87" w:rsidRPr="00D936CA">
        <w:rPr>
          <w:rFonts w:ascii="ITC Avant Garde" w:hAnsi="ITC Avant Garde"/>
          <w:sz w:val="22"/>
          <w:szCs w:val="22"/>
        </w:rPr>
        <w:t>ternet</w:t>
      </w:r>
      <w:r w:rsidRPr="00D936CA">
        <w:rPr>
          <w:rFonts w:ascii="ITC Avant Garde" w:hAnsi="ITC Avant Garde"/>
          <w:sz w:val="22"/>
          <w:szCs w:val="22"/>
        </w:rPr>
        <w:t xml:space="preserve"> (SRI)</w:t>
      </w:r>
      <w:r w:rsidR="00374A1D">
        <w:rPr>
          <w:rFonts w:ascii="ITC Avant Garde" w:hAnsi="ITC Avant Garde"/>
          <w:sz w:val="22"/>
          <w:szCs w:val="22"/>
        </w:rPr>
        <w:t>;</w:t>
      </w:r>
    </w:p>
    <w:p w14:paraId="33CFE559" w14:textId="4F87C50C" w:rsidR="00DB072C"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Reventa de Paquetes (SRP)</w:t>
      </w:r>
      <w:r w:rsidR="00374A1D">
        <w:rPr>
          <w:rFonts w:ascii="ITC Avant Garde" w:hAnsi="ITC Avant Garde"/>
          <w:sz w:val="22"/>
          <w:szCs w:val="22"/>
        </w:rPr>
        <w:t>;</w:t>
      </w:r>
    </w:p>
    <w:p w14:paraId="3F3DD910" w14:textId="4EEBC574" w:rsidR="00EE0C9A" w:rsidRDefault="00EE0C9A" w:rsidP="00D936CA">
      <w:pPr>
        <w:pStyle w:val="Prrafodelista"/>
        <w:numPr>
          <w:ilvl w:val="0"/>
          <w:numId w:val="28"/>
        </w:numPr>
        <w:spacing w:after="200" w:line="276" w:lineRule="auto"/>
        <w:jc w:val="both"/>
        <w:rPr>
          <w:rFonts w:ascii="ITC Avant Garde" w:hAnsi="ITC Avant Garde"/>
          <w:sz w:val="22"/>
          <w:szCs w:val="22"/>
        </w:rPr>
      </w:pPr>
      <w:r>
        <w:rPr>
          <w:rFonts w:ascii="ITC Avant Garde" w:hAnsi="ITC Avant Garde"/>
          <w:sz w:val="22"/>
          <w:szCs w:val="22"/>
        </w:rPr>
        <w:t>Servicio de Reventa Mayorista de Línea Telefónica (SRMLT);</w:t>
      </w:r>
    </w:p>
    <w:p w14:paraId="33CFE55A" w14:textId="2DA581D8" w:rsidR="00832B68" w:rsidRDefault="00EE0C9A" w:rsidP="00D936CA">
      <w:pPr>
        <w:pStyle w:val="Prrafodelista"/>
        <w:numPr>
          <w:ilvl w:val="0"/>
          <w:numId w:val="28"/>
        </w:numPr>
        <w:spacing w:after="200" w:line="276" w:lineRule="auto"/>
        <w:jc w:val="both"/>
        <w:rPr>
          <w:rFonts w:ascii="ITC Avant Garde" w:hAnsi="ITC Avant Garde"/>
          <w:sz w:val="22"/>
          <w:szCs w:val="22"/>
        </w:rPr>
      </w:pPr>
      <w:r>
        <w:rPr>
          <w:rFonts w:ascii="ITC Avant Garde" w:hAnsi="ITC Avant Garde"/>
          <w:sz w:val="22"/>
          <w:szCs w:val="22"/>
        </w:rPr>
        <w:t xml:space="preserve">Servicio de </w:t>
      </w:r>
      <w:r w:rsidR="00011A1B" w:rsidRPr="00D936CA">
        <w:rPr>
          <w:rFonts w:ascii="ITC Avant Garde" w:hAnsi="ITC Avant Garde"/>
          <w:sz w:val="22"/>
          <w:szCs w:val="22"/>
        </w:rPr>
        <w:t xml:space="preserve">Acceso Indirecto al Bucle (SAIB); </w:t>
      </w:r>
    </w:p>
    <w:p w14:paraId="33CFE55C" w14:textId="1D99A826" w:rsidR="00A31E2B" w:rsidRPr="00D936CA" w:rsidRDefault="00011A1B" w:rsidP="00D936CA">
      <w:pPr>
        <w:pStyle w:val="Prrafodelista"/>
        <w:numPr>
          <w:ilvl w:val="0"/>
          <w:numId w:val="28"/>
        </w:numPr>
        <w:spacing w:after="200" w:line="276" w:lineRule="auto"/>
        <w:jc w:val="both"/>
        <w:rPr>
          <w:rFonts w:ascii="ITC Avant Garde" w:hAnsi="ITC Avant Garde"/>
          <w:sz w:val="22"/>
          <w:szCs w:val="22"/>
        </w:rPr>
      </w:pPr>
      <w:r w:rsidRPr="00D936CA">
        <w:rPr>
          <w:rFonts w:ascii="ITC Avant Garde" w:hAnsi="ITC Avant Garde"/>
          <w:sz w:val="22"/>
          <w:szCs w:val="22"/>
        </w:rPr>
        <w:t>Servicios de Desagregación</w:t>
      </w:r>
      <w:r w:rsidR="00651F67">
        <w:rPr>
          <w:rFonts w:ascii="ITC Avant Garde" w:hAnsi="ITC Avant Garde"/>
          <w:sz w:val="22"/>
          <w:szCs w:val="22"/>
        </w:rPr>
        <w:t>:</w:t>
      </w:r>
    </w:p>
    <w:p w14:paraId="33CFE55D" w14:textId="77777777" w:rsidR="00530A32"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Desagregación Total del Bucle (SDTBL);</w:t>
      </w:r>
    </w:p>
    <w:p w14:paraId="33CFE55E" w14:textId="77777777" w:rsidR="00C53C5D"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Desagregación Compartida del Bucle (SDCBL);</w:t>
      </w:r>
    </w:p>
    <w:p w14:paraId="33CFE55F" w14:textId="77777777" w:rsidR="00530A32"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Desagregación Total del Sub Bucle (SDTSBL);</w:t>
      </w:r>
    </w:p>
    <w:p w14:paraId="33CFE560" w14:textId="77777777" w:rsidR="00530A32" w:rsidRPr="00D936CA" w:rsidRDefault="00011A1B" w:rsidP="00D936CA">
      <w:pPr>
        <w:pStyle w:val="Prrafodelista"/>
        <w:numPr>
          <w:ilvl w:val="1"/>
          <w:numId w:val="28"/>
        </w:numPr>
        <w:spacing w:after="200" w:line="276" w:lineRule="auto"/>
        <w:jc w:val="both"/>
        <w:rPr>
          <w:rFonts w:ascii="ITC Avant Garde" w:hAnsi="ITC Avant Garde"/>
          <w:sz w:val="22"/>
          <w:szCs w:val="22"/>
        </w:rPr>
      </w:pPr>
      <w:r w:rsidRPr="00D936CA">
        <w:rPr>
          <w:rFonts w:ascii="ITC Avant Garde" w:hAnsi="ITC Avant Garde"/>
          <w:sz w:val="22"/>
          <w:szCs w:val="22"/>
        </w:rPr>
        <w:t>Desagregación Compartida del Sub Bucle (SDCSBL);</w:t>
      </w:r>
    </w:p>
    <w:p w14:paraId="33CFE561" w14:textId="2490DCFE" w:rsidR="00832B68" w:rsidRPr="00D936CA" w:rsidRDefault="00EE0C9A" w:rsidP="00D936CA">
      <w:pPr>
        <w:pStyle w:val="Prrafodelista"/>
        <w:numPr>
          <w:ilvl w:val="0"/>
          <w:numId w:val="28"/>
        </w:numPr>
        <w:spacing w:after="200" w:line="276" w:lineRule="auto"/>
        <w:jc w:val="both"/>
        <w:rPr>
          <w:rFonts w:ascii="ITC Avant Garde" w:hAnsi="ITC Avant Garde"/>
          <w:sz w:val="22"/>
          <w:szCs w:val="22"/>
        </w:rPr>
      </w:pPr>
      <w:r>
        <w:rPr>
          <w:rFonts w:ascii="ITC Avant Garde" w:hAnsi="ITC Avant Garde"/>
          <w:sz w:val="22"/>
          <w:szCs w:val="22"/>
        </w:rPr>
        <w:t xml:space="preserve">Servicio de </w:t>
      </w:r>
      <w:r w:rsidR="00011A1B" w:rsidRPr="00D936CA">
        <w:rPr>
          <w:rFonts w:ascii="ITC Avant Garde" w:hAnsi="ITC Avant Garde"/>
          <w:sz w:val="22"/>
          <w:szCs w:val="22"/>
        </w:rPr>
        <w:t>Coubicación</w:t>
      </w:r>
      <w:r w:rsidR="00872D6D" w:rsidRPr="00D936CA">
        <w:rPr>
          <w:rFonts w:ascii="ITC Avant Garde" w:hAnsi="ITC Avant Garde"/>
          <w:sz w:val="22"/>
          <w:szCs w:val="22"/>
        </w:rPr>
        <w:t xml:space="preserve"> </w:t>
      </w:r>
      <w:r>
        <w:rPr>
          <w:rFonts w:ascii="ITC Avant Garde" w:hAnsi="ITC Avant Garde"/>
          <w:sz w:val="22"/>
          <w:szCs w:val="22"/>
        </w:rPr>
        <w:t>para</w:t>
      </w:r>
      <w:r w:rsidRPr="00D936CA">
        <w:rPr>
          <w:rFonts w:ascii="ITC Avant Garde" w:hAnsi="ITC Avant Garde"/>
          <w:sz w:val="22"/>
          <w:szCs w:val="22"/>
        </w:rPr>
        <w:t xml:space="preserve"> </w:t>
      </w:r>
      <w:r w:rsidR="00011A1B" w:rsidRPr="00D936CA">
        <w:rPr>
          <w:rFonts w:ascii="ITC Avant Garde" w:hAnsi="ITC Avant Garde"/>
          <w:sz w:val="22"/>
          <w:szCs w:val="22"/>
        </w:rPr>
        <w:t>Desagregación</w:t>
      </w:r>
      <w:r w:rsidR="006266DF" w:rsidRPr="00D936CA">
        <w:rPr>
          <w:rFonts w:ascii="ITC Avant Garde" w:hAnsi="ITC Avant Garde"/>
          <w:sz w:val="22"/>
          <w:szCs w:val="22"/>
        </w:rPr>
        <w:t xml:space="preserve"> (</w:t>
      </w:r>
      <w:r>
        <w:rPr>
          <w:rFonts w:ascii="ITC Avant Garde" w:hAnsi="ITC Avant Garde"/>
          <w:sz w:val="22"/>
          <w:szCs w:val="22"/>
        </w:rPr>
        <w:t>S</w:t>
      </w:r>
      <w:r w:rsidR="006266DF" w:rsidRPr="00D936CA">
        <w:rPr>
          <w:rFonts w:ascii="ITC Avant Garde" w:hAnsi="ITC Avant Garde"/>
          <w:sz w:val="22"/>
          <w:szCs w:val="22"/>
        </w:rPr>
        <w:t>C</w:t>
      </w:r>
      <w:r>
        <w:rPr>
          <w:rFonts w:ascii="ITC Avant Garde" w:hAnsi="ITC Avant Garde"/>
          <w:sz w:val="22"/>
          <w:szCs w:val="22"/>
        </w:rPr>
        <w:t>D</w:t>
      </w:r>
      <w:r w:rsidR="006266DF" w:rsidRPr="00D936CA">
        <w:rPr>
          <w:rFonts w:ascii="ITC Avant Garde" w:hAnsi="ITC Avant Garde"/>
          <w:sz w:val="22"/>
          <w:szCs w:val="22"/>
        </w:rPr>
        <w:t>)</w:t>
      </w:r>
      <w:r w:rsidR="00011A1B" w:rsidRPr="00D936CA">
        <w:rPr>
          <w:rFonts w:ascii="ITC Avant Garde" w:hAnsi="ITC Avant Garde"/>
          <w:sz w:val="22"/>
          <w:szCs w:val="22"/>
        </w:rPr>
        <w:t>;</w:t>
      </w:r>
    </w:p>
    <w:p w14:paraId="33CFE562" w14:textId="1D8289D7" w:rsidR="00832B68" w:rsidRPr="00D936CA" w:rsidRDefault="00556413" w:rsidP="00D936CA">
      <w:pPr>
        <w:spacing w:after="200" w:line="276" w:lineRule="auto"/>
        <w:jc w:val="both"/>
        <w:rPr>
          <w:rFonts w:ascii="ITC Avant Garde" w:hAnsi="ITC Avant Garde"/>
          <w:sz w:val="22"/>
          <w:szCs w:val="22"/>
        </w:rPr>
      </w:pPr>
      <w:r w:rsidRPr="00D936CA">
        <w:rPr>
          <w:rFonts w:ascii="ITC Avant Garde" w:hAnsi="ITC Avant Garde"/>
          <w:sz w:val="22"/>
          <w:szCs w:val="22"/>
        </w:rPr>
        <w:t>E</w:t>
      </w:r>
      <w:r w:rsidR="00011A1B" w:rsidRPr="00D936CA">
        <w:rPr>
          <w:rFonts w:ascii="ITC Avant Garde" w:hAnsi="ITC Avant Garde"/>
          <w:sz w:val="22"/>
          <w:szCs w:val="22"/>
        </w:rPr>
        <w:t xml:space="preserve">n la </w:t>
      </w:r>
      <w:r w:rsidR="00207012">
        <w:rPr>
          <w:rFonts w:ascii="ITC Avant Garde" w:hAnsi="ITC Avant Garde"/>
          <w:sz w:val="22"/>
          <w:szCs w:val="22"/>
        </w:rPr>
        <w:t>presente Oferta</w:t>
      </w:r>
      <w:r w:rsidRPr="00D936CA">
        <w:rPr>
          <w:rFonts w:ascii="ITC Avant Garde" w:hAnsi="ITC Avant Garde"/>
          <w:sz w:val="22"/>
          <w:szCs w:val="22"/>
        </w:rPr>
        <w:t xml:space="preserve"> </w:t>
      </w:r>
      <w:r w:rsidR="00011A1B" w:rsidRPr="00D936CA">
        <w:rPr>
          <w:rFonts w:ascii="ITC Avant Garde" w:hAnsi="ITC Avant Garde"/>
          <w:sz w:val="22"/>
          <w:szCs w:val="22"/>
        </w:rPr>
        <w:t xml:space="preserve">se encuentran los </w:t>
      </w:r>
      <w:r w:rsidR="00011A1B" w:rsidRPr="00D936CA">
        <w:rPr>
          <w:rFonts w:ascii="ITC Avant Garde" w:hAnsi="ITC Avant Garde"/>
          <w:b/>
          <w:sz w:val="22"/>
          <w:szCs w:val="22"/>
        </w:rPr>
        <w:t xml:space="preserve">servicios auxiliares </w:t>
      </w:r>
      <w:r w:rsidR="00011A1B" w:rsidRPr="00D936CA">
        <w:rPr>
          <w:rFonts w:ascii="ITC Avant Garde" w:hAnsi="ITC Avant Garde"/>
          <w:sz w:val="22"/>
          <w:szCs w:val="22"/>
        </w:rPr>
        <w:t xml:space="preserve">que </w:t>
      </w:r>
      <w:r w:rsidR="007232AB" w:rsidRPr="00D936CA">
        <w:rPr>
          <w:rFonts w:ascii="ITC Avant Garde" w:hAnsi="ITC Avant Garde"/>
          <w:sz w:val="22"/>
          <w:szCs w:val="22"/>
        </w:rPr>
        <w:t xml:space="preserve">sirven </w:t>
      </w:r>
      <w:r w:rsidR="00011A1B" w:rsidRPr="00D936CA">
        <w:rPr>
          <w:rFonts w:ascii="ITC Avant Garde" w:hAnsi="ITC Avant Garde"/>
          <w:sz w:val="22"/>
          <w:szCs w:val="22"/>
        </w:rPr>
        <w:t>de apoyo a los Servicios de Desagregación:</w:t>
      </w:r>
    </w:p>
    <w:p w14:paraId="33CFE563" w14:textId="77777777" w:rsidR="00664862" w:rsidRPr="00D936CA" w:rsidRDefault="00011A1B" w:rsidP="00D936CA">
      <w:pPr>
        <w:pStyle w:val="Prrafodelista"/>
        <w:numPr>
          <w:ilvl w:val="0"/>
          <w:numId w:val="28"/>
        </w:numPr>
        <w:spacing w:after="200" w:line="276" w:lineRule="auto"/>
        <w:jc w:val="both"/>
        <w:rPr>
          <w:rFonts w:ascii="ITC Avant Garde" w:hAnsi="ITC Avant Garde"/>
          <w:sz w:val="22"/>
          <w:szCs w:val="22"/>
        </w:rPr>
      </w:pPr>
      <w:r w:rsidRPr="00D936CA">
        <w:rPr>
          <w:rFonts w:ascii="ITC Avant Garde" w:hAnsi="ITC Avant Garde"/>
          <w:sz w:val="22"/>
          <w:szCs w:val="22"/>
        </w:rPr>
        <w:t>Cableado Multipar</w:t>
      </w:r>
    </w:p>
    <w:p w14:paraId="33CFE564" w14:textId="33EEACC3" w:rsidR="00832B68" w:rsidRDefault="00011A1B" w:rsidP="00D936CA">
      <w:pPr>
        <w:pStyle w:val="Prrafodelista"/>
        <w:numPr>
          <w:ilvl w:val="0"/>
          <w:numId w:val="28"/>
        </w:numPr>
        <w:spacing w:after="200" w:line="276" w:lineRule="auto"/>
        <w:jc w:val="both"/>
        <w:rPr>
          <w:rFonts w:ascii="ITC Avant Garde" w:hAnsi="ITC Avant Garde"/>
          <w:sz w:val="22"/>
          <w:szCs w:val="22"/>
        </w:rPr>
      </w:pPr>
      <w:r w:rsidRPr="00D936CA">
        <w:rPr>
          <w:rFonts w:ascii="ITC Avant Garde" w:hAnsi="ITC Avant Garde"/>
          <w:sz w:val="22"/>
          <w:szCs w:val="22"/>
        </w:rPr>
        <w:t>Anexo de Caja de Distribución</w:t>
      </w:r>
    </w:p>
    <w:p w14:paraId="10E91A75" w14:textId="53CE7943" w:rsidR="00EE0C9A" w:rsidRDefault="00EE0C9A" w:rsidP="00D936CA">
      <w:pPr>
        <w:pStyle w:val="Prrafodelista"/>
        <w:numPr>
          <w:ilvl w:val="0"/>
          <w:numId w:val="28"/>
        </w:numPr>
        <w:spacing w:after="200" w:line="276" w:lineRule="auto"/>
        <w:jc w:val="both"/>
        <w:rPr>
          <w:rFonts w:ascii="ITC Avant Garde" w:hAnsi="ITC Avant Garde"/>
          <w:sz w:val="22"/>
          <w:szCs w:val="22"/>
        </w:rPr>
      </w:pPr>
      <w:r>
        <w:rPr>
          <w:rFonts w:ascii="ITC Avant Garde" w:hAnsi="ITC Avant Garde"/>
          <w:sz w:val="22"/>
          <w:szCs w:val="22"/>
        </w:rPr>
        <w:t>Servicio de Concentración y Distribución</w:t>
      </w:r>
    </w:p>
    <w:p w14:paraId="50C86B1C" w14:textId="7C47E94A" w:rsidR="00EE0C9A" w:rsidRPr="00D936CA" w:rsidRDefault="00EE0C9A" w:rsidP="00D936CA">
      <w:pPr>
        <w:pStyle w:val="Prrafodelista"/>
        <w:numPr>
          <w:ilvl w:val="0"/>
          <w:numId w:val="28"/>
        </w:numPr>
        <w:spacing w:after="200" w:line="276" w:lineRule="auto"/>
        <w:jc w:val="both"/>
        <w:rPr>
          <w:rFonts w:ascii="ITC Avant Garde" w:hAnsi="ITC Avant Garde"/>
          <w:sz w:val="22"/>
          <w:szCs w:val="22"/>
        </w:rPr>
      </w:pPr>
      <w:r>
        <w:rPr>
          <w:rFonts w:ascii="ITC Avant Garde" w:hAnsi="ITC Avant Garde"/>
          <w:sz w:val="22"/>
          <w:szCs w:val="22"/>
        </w:rPr>
        <w:t>Cableado de DFO-T</w:t>
      </w:r>
      <w:r w:rsidR="00DB545B">
        <w:rPr>
          <w:rFonts w:ascii="ITC Avant Garde" w:hAnsi="ITC Avant Garde"/>
          <w:sz w:val="22"/>
          <w:szCs w:val="22"/>
        </w:rPr>
        <w:t>MX</w:t>
      </w:r>
      <w:r>
        <w:rPr>
          <w:rFonts w:ascii="ITC Avant Garde" w:hAnsi="ITC Avant Garde"/>
          <w:sz w:val="22"/>
          <w:szCs w:val="22"/>
        </w:rPr>
        <w:t xml:space="preserve"> a DFO-CS</w:t>
      </w:r>
    </w:p>
    <w:p w14:paraId="33CFE569" w14:textId="35444D2E" w:rsidR="00D57040" w:rsidRPr="00D936CA" w:rsidRDefault="005B6969"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lastRenderedPageBreak/>
        <w:t>Adicionalmente</w:t>
      </w:r>
      <w:r w:rsidR="00F262EB" w:rsidRPr="00D936CA">
        <w:rPr>
          <w:rFonts w:ascii="ITC Avant Garde" w:hAnsi="ITC Avant Garde"/>
          <w:sz w:val="22"/>
          <w:szCs w:val="22"/>
          <w:lang w:val="es-MX"/>
        </w:rPr>
        <w:t xml:space="preserve"> al primer CIC que forma parte del servicio de acometida</w:t>
      </w:r>
      <w:r w:rsidRPr="00D936CA">
        <w:rPr>
          <w:rFonts w:ascii="ITC Avant Garde" w:hAnsi="ITC Avant Garde"/>
          <w:sz w:val="22"/>
          <w:szCs w:val="22"/>
          <w:lang w:val="es-MX"/>
        </w:rPr>
        <w:t xml:space="preserve">, el </w:t>
      </w:r>
      <w:r w:rsidR="00011A1B" w:rsidRPr="00D936CA">
        <w:rPr>
          <w:rFonts w:ascii="ITC Avant Garde" w:hAnsi="ITC Avant Garde"/>
          <w:sz w:val="22"/>
          <w:szCs w:val="22"/>
          <w:lang w:val="es-MX"/>
        </w:rPr>
        <w:t xml:space="preserve">CS </w:t>
      </w:r>
      <w:r w:rsidR="007232AB" w:rsidRPr="00D936CA">
        <w:rPr>
          <w:rFonts w:ascii="ITC Avant Garde" w:hAnsi="ITC Avant Garde"/>
          <w:sz w:val="22"/>
          <w:szCs w:val="22"/>
          <w:lang w:val="es-MX"/>
        </w:rPr>
        <w:t xml:space="preserve">puede </w:t>
      </w:r>
      <w:r w:rsidR="00011A1B" w:rsidRPr="00D936CA">
        <w:rPr>
          <w:rFonts w:ascii="ITC Avant Garde" w:hAnsi="ITC Avant Garde"/>
          <w:sz w:val="22"/>
          <w:szCs w:val="22"/>
          <w:lang w:val="es-MX"/>
        </w:rPr>
        <w:t xml:space="preserve">contratar el servicio opcional de instalación de </w:t>
      </w:r>
      <w:r w:rsidR="00F262EB" w:rsidRPr="00D936CA">
        <w:rPr>
          <w:rFonts w:ascii="ITC Avant Garde" w:hAnsi="ITC Avant Garde"/>
          <w:sz w:val="22"/>
          <w:szCs w:val="22"/>
          <w:lang w:val="es-MX"/>
        </w:rPr>
        <w:t>c</w:t>
      </w:r>
      <w:r w:rsidR="00011A1B" w:rsidRPr="00D936CA">
        <w:rPr>
          <w:rFonts w:ascii="ITC Avant Garde" w:hAnsi="ITC Avant Garde"/>
          <w:sz w:val="22"/>
          <w:szCs w:val="22"/>
          <w:lang w:val="es-MX"/>
        </w:rPr>
        <w:t xml:space="preserve">ableado </w:t>
      </w:r>
      <w:r w:rsidR="00F262EB" w:rsidRPr="00D936CA">
        <w:rPr>
          <w:rFonts w:ascii="ITC Avant Garde" w:hAnsi="ITC Avant Garde"/>
          <w:sz w:val="22"/>
          <w:szCs w:val="22"/>
          <w:lang w:val="es-MX"/>
        </w:rPr>
        <w:t>i</w:t>
      </w:r>
      <w:r w:rsidR="00011A1B" w:rsidRPr="00D936CA">
        <w:rPr>
          <w:rFonts w:ascii="ITC Avant Garde" w:hAnsi="ITC Avant Garde"/>
          <w:sz w:val="22"/>
          <w:szCs w:val="22"/>
          <w:lang w:val="es-MX"/>
        </w:rPr>
        <w:t xml:space="preserve">nterior </w:t>
      </w:r>
      <w:r w:rsidRPr="00D936CA">
        <w:rPr>
          <w:rFonts w:ascii="ITC Avant Garde" w:hAnsi="ITC Avant Garde"/>
          <w:sz w:val="22"/>
          <w:szCs w:val="22"/>
          <w:lang w:val="es-MX"/>
        </w:rPr>
        <w:t>dentro de las premisas de su usuario</w:t>
      </w:r>
      <w:r w:rsidR="004A0099" w:rsidRPr="00D936CA">
        <w:rPr>
          <w:rFonts w:ascii="ITC Avant Garde" w:hAnsi="ITC Avant Garde"/>
          <w:sz w:val="22"/>
          <w:szCs w:val="22"/>
          <w:lang w:val="es-MX"/>
        </w:rPr>
        <w:t xml:space="preserve"> (tal como está establecido en el Título de Concesión de Telmex, condición 1-3 que se trata de un servicio “en el inmueble del suscriptor”)</w:t>
      </w:r>
      <w:r w:rsidRPr="00D936CA">
        <w:rPr>
          <w:rFonts w:ascii="ITC Avant Garde" w:hAnsi="ITC Avant Garde"/>
          <w:sz w:val="22"/>
          <w:szCs w:val="22"/>
          <w:lang w:val="es-MX"/>
        </w:rPr>
        <w:t xml:space="preserve">, </w:t>
      </w:r>
      <w:r w:rsidR="00F262EB" w:rsidRPr="00D936CA">
        <w:rPr>
          <w:rFonts w:ascii="ITC Avant Garde" w:hAnsi="ITC Avant Garde"/>
          <w:sz w:val="22"/>
          <w:szCs w:val="22"/>
          <w:lang w:val="es-MX"/>
        </w:rPr>
        <w:t xml:space="preserve">ya sea para extensiones de CIC </w:t>
      </w:r>
      <w:r w:rsidR="004749A2" w:rsidRPr="00D936CA">
        <w:rPr>
          <w:rFonts w:ascii="ITC Avant Garde" w:hAnsi="ITC Avant Garde"/>
          <w:sz w:val="22"/>
          <w:szCs w:val="22"/>
          <w:lang w:val="es-MX"/>
        </w:rPr>
        <w:t xml:space="preserve">o </w:t>
      </w:r>
      <w:r w:rsidR="00011A1B" w:rsidRPr="00D936CA">
        <w:rPr>
          <w:rFonts w:ascii="ITC Avant Garde" w:hAnsi="ITC Avant Garde"/>
          <w:sz w:val="22"/>
          <w:szCs w:val="22"/>
          <w:lang w:val="es-MX"/>
        </w:rPr>
        <w:t xml:space="preserve">de forma complementaria a cualquier servicio que se hubiera contratado por un CS respecto a esta </w:t>
      </w:r>
      <w:r w:rsidR="00CA026A" w:rsidRPr="00D936CA">
        <w:rPr>
          <w:rFonts w:ascii="ITC Avant Garde" w:hAnsi="ITC Avant Garde"/>
          <w:sz w:val="22"/>
          <w:szCs w:val="22"/>
          <w:lang w:val="es-MX"/>
        </w:rPr>
        <w:t>OREDA</w:t>
      </w:r>
      <w:r w:rsidR="00F262EB" w:rsidRPr="00D936CA">
        <w:rPr>
          <w:rFonts w:ascii="ITC Avant Garde" w:hAnsi="ITC Avant Garde"/>
          <w:sz w:val="22"/>
          <w:szCs w:val="22"/>
          <w:lang w:val="es-MX"/>
        </w:rPr>
        <w:t>.</w:t>
      </w:r>
      <w:r w:rsidR="00011A1B" w:rsidRPr="00D936CA">
        <w:rPr>
          <w:rFonts w:ascii="ITC Avant Garde" w:hAnsi="ITC Avant Garde"/>
          <w:sz w:val="22"/>
          <w:szCs w:val="22"/>
          <w:lang w:val="es-MX"/>
        </w:rPr>
        <w:t xml:space="preserve"> </w:t>
      </w:r>
      <w:r w:rsidR="00F262EB" w:rsidRPr="00D936CA">
        <w:rPr>
          <w:rFonts w:ascii="ITC Avant Garde" w:hAnsi="ITC Avant Garde"/>
          <w:sz w:val="22"/>
          <w:szCs w:val="22"/>
          <w:lang w:val="es-MX"/>
        </w:rPr>
        <w:t>L</w:t>
      </w:r>
      <w:r w:rsidR="00011A1B" w:rsidRPr="00D936CA">
        <w:rPr>
          <w:rFonts w:ascii="ITC Avant Garde" w:hAnsi="ITC Avant Garde"/>
          <w:sz w:val="22"/>
          <w:szCs w:val="22"/>
          <w:lang w:val="es-MX"/>
        </w:rPr>
        <w:t xml:space="preserve">as condiciones particulares en que se prestará dicho servicio se establecen en la sección </w:t>
      </w:r>
      <w:r w:rsidR="00872D6D" w:rsidRPr="00D936CA">
        <w:rPr>
          <w:rFonts w:ascii="ITC Avant Garde" w:hAnsi="ITC Avant Garde"/>
          <w:sz w:val="22"/>
          <w:szCs w:val="22"/>
          <w:lang w:val="es-MX"/>
        </w:rPr>
        <w:t xml:space="preserve">9 </w:t>
      </w:r>
      <w:r w:rsidR="00011A1B" w:rsidRPr="00D936CA">
        <w:rPr>
          <w:rFonts w:ascii="ITC Avant Garde" w:hAnsi="ITC Avant Garde"/>
          <w:sz w:val="22"/>
          <w:szCs w:val="22"/>
          <w:lang w:val="es-MX"/>
        </w:rPr>
        <w:t>de este documento.</w:t>
      </w:r>
    </w:p>
    <w:p w14:paraId="33CFE56A" w14:textId="77777777" w:rsidR="001A1C19"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Telmex a petición de los CS </w:t>
      </w:r>
      <w:r w:rsidR="00CF6AC9" w:rsidRPr="00D936CA">
        <w:rPr>
          <w:rFonts w:ascii="ITC Avant Garde" w:hAnsi="ITC Avant Garde"/>
          <w:sz w:val="22"/>
          <w:szCs w:val="22"/>
          <w:lang w:val="es-MX"/>
        </w:rPr>
        <w:t xml:space="preserve">puede </w:t>
      </w:r>
      <w:r w:rsidRPr="00D936CA">
        <w:rPr>
          <w:rFonts w:ascii="ITC Avant Garde" w:hAnsi="ITC Avant Garde"/>
          <w:sz w:val="22"/>
          <w:szCs w:val="22"/>
          <w:lang w:val="es-MX"/>
        </w:rPr>
        <w:t>proveer</w:t>
      </w:r>
      <w:r w:rsidR="00556413" w:rsidRPr="00D936CA">
        <w:rPr>
          <w:rFonts w:ascii="ITC Avant Garde" w:hAnsi="ITC Avant Garde"/>
          <w:sz w:val="22"/>
          <w:szCs w:val="22"/>
          <w:lang w:val="es-MX"/>
        </w:rPr>
        <w:t xml:space="preserve"> y/o </w:t>
      </w:r>
      <w:r w:rsidRPr="00D936CA">
        <w:rPr>
          <w:rFonts w:ascii="ITC Avant Garde" w:hAnsi="ITC Avant Garde"/>
          <w:sz w:val="22"/>
          <w:szCs w:val="22"/>
          <w:lang w:val="es-MX"/>
        </w:rPr>
        <w:t>instalar los Módem</w:t>
      </w:r>
      <w:r w:rsidR="00556413" w:rsidRPr="00D936CA">
        <w:rPr>
          <w:rFonts w:ascii="ITC Avant Garde" w:hAnsi="ITC Avant Garde"/>
          <w:sz w:val="22"/>
          <w:szCs w:val="22"/>
          <w:lang w:val="es-MX"/>
        </w:rPr>
        <w:t xml:space="preserve"> y/o </w:t>
      </w:r>
      <w:r w:rsidRPr="00D936CA">
        <w:rPr>
          <w:rFonts w:ascii="ITC Avant Garde" w:hAnsi="ITC Avant Garde"/>
          <w:sz w:val="22"/>
          <w:szCs w:val="22"/>
          <w:lang w:val="es-MX"/>
        </w:rPr>
        <w:t xml:space="preserve">ONT en el domicilio del usuario, en las mismas condiciones </w:t>
      </w:r>
      <w:r w:rsidR="00DD080E" w:rsidRPr="00D936CA">
        <w:rPr>
          <w:rFonts w:ascii="ITC Avant Garde" w:hAnsi="ITC Avant Garde"/>
          <w:sz w:val="22"/>
          <w:szCs w:val="22"/>
          <w:lang w:val="es-MX"/>
        </w:rPr>
        <w:t xml:space="preserve">en </w:t>
      </w:r>
      <w:r w:rsidRPr="00D936CA">
        <w:rPr>
          <w:rFonts w:ascii="ITC Avant Garde" w:hAnsi="ITC Avant Garde"/>
          <w:sz w:val="22"/>
          <w:szCs w:val="22"/>
          <w:lang w:val="es-MX"/>
        </w:rPr>
        <w:t>que Telmex lo hace para sus usuarios, de conformidad con la siguiente tabla:</w:t>
      </w:r>
    </w:p>
    <w:tbl>
      <w:tblPr>
        <w:tblStyle w:val="Tablaconcuadrcula"/>
        <w:tblW w:w="0" w:type="auto"/>
        <w:jc w:val="center"/>
        <w:tblLook w:val="04A0" w:firstRow="1" w:lastRow="0" w:firstColumn="1" w:lastColumn="0" w:noHBand="0" w:noVBand="1"/>
      </w:tblPr>
      <w:tblGrid>
        <w:gridCol w:w="4931"/>
        <w:gridCol w:w="1985"/>
        <w:gridCol w:w="1882"/>
      </w:tblGrid>
      <w:tr w:rsidR="00D936CA" w:rsidRPr="00D936CA" w14:paraId="33CFE56E" w14:textId="77777777" w:rsidTr="00113B3E">
        <w:trPr>
          <w:jc w:val="center"/>
        </w:trPr>
        <w:tc>
          <w:tcPr>
            <w:tcW w:w="4931" w:type="dxa"/>
            <w:shd w:val="clear" w:color="auto" w:fill="548DD4" w:themeFill="text2" w:themeFillTint="99"/>
          </w:tcPr>
          <w:p w14:paraId="33CFE56B"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Servicio</w:t>
            </w:r>
          </w:p>
        </w:tc>
        <w:tc>
          <w:tcPr>
            <w:tcW w:w="1985" w:type="dxa"/>
            <w:shd w:val="clear" w:color="auto" w:fill="548DD4" w:themeFill="text2" w:themeFillTint="99"/>
          </w:tcPr>
          <w:p w14:paraId="33CFE56C"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Módem</w:t>
            </w:r>
          </w:p>
        </w:tc>
        <w:tc>
          <w:tcPr>
            <w:tcW w:w="1882" w:type="dxa"/>
            <w:shd w:val="clear" w:color="auto" w:fill="548DD4" w:themeFill="text2" w:themeFillTint="99"/>
          </w:tcPr>
          <w:p w14:paraId="33CFE56D"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ONT</w:t>
            </w:r>
          </w:p>
        </w:tc>
      </w:tr>
      <w:tr w:rsidR="00D936CA" w:rsidRPr="00D936CA" w14:paraId="33CFE572" w14:textId="77777777" w:rsidTr="00F81625">
        <w:trPr>
          <w:jc w:val="center"/>
        </w:trPr>
        <w:tc>
          <w:tcPr>
            <w:tcW w:w="4931" w:type="dxa"/>
          </w:tcPr>
          <w:p w14:paraId="33CFE56F" w14:textId="77777777" w:rsidR="00530A32" w:rsidRPr="00D936CA" w:rsidRDefault="00011A1B" w:rsidP="00D936CA">
            <w:pPr>
              <w:spacing w:before="60" w:after="60" w:line="276" w:lineRule="auto"/>
              <w:jc w:val="both"/>
              <w:rPr>
                <w:rFonts w:ascii="ITC Avant Garde" w:hAnsi="ITC Avant Garde"/>
                <w:sz w:val="20"/>
                <w:szCs w:val="20"/>
                <w:lang w:val="es-MX"/>
              </w:rPr>
            </w:pPr>
            <w:r w:rsidRPr="00D936CA">
              <w:rPr>
                <w:rFonts w:ascii="ITC Avant Garde" w:hAnsi="ITC Avant Garde"/>
                <w:sz w:val="20"/>
                <w:szCs w:val="20"/>
                <w:lang w:val="es-MX"/>
              </w:rPr>
              <w:t>Servicios de Reventa</w:t>
            </w:r>
          </w:p>
        </w:tc>
        <w:tc>
          <w:tcPr>
            <w:tcW w:w="1985" w:type="dxa"/>
          </w:tcPr>
          <w:p w14:paraId="33CFE570"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Proveer/Instalar</w:t>
            </w:r>
          </w:p>
        </w:tc>
        <w:tc>
          <w:tcPr>
            <w:tcW w:w="1882" w:type="dxa"/>
          </w:tcPr>
          <w:p w14:paraId="33CFE571"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Proveer/Instalar</w:t>
            </w:r>
          </w:p>
        </w:tc>
      </w:tr>
      <w:tr w:rsidR="00D936CA" w:rsidRPr="00D936CA" w14:paraId="33CFE576" w14:textId="77777777" w:rsidTr="00F81625">
        <w:trPr>
          <w:jc w:val="center"/>
        </w:trPr>
        <w:tc>
          <w:tcPr>
            <w:tcW w:w="4931" w:type="dxa"/>
          </w:tcPr>
          <w:p w14:paraId="33CFE573" w14:textId="77777777" w:rsidR="00530A32" w:rsidRPr="00D936CA" w:rsidRDefault="00011A1B" w:rsidP="00D936CA">
            <w:pPr>
              <w:spacing w:before="60" w:after="60" w:line="276" w:lineRule="auto"/>
              <w:jc w:val="both"/>
              <w:rPr>
                <w:rFonts w:ascii="ITC Avant Garde" w:hAnsi="ITC Avant Garde"/>
                <w:sz w:val="20"/>
                <w:szCs w:val="20"/>
                <w:lang w:val="es-MX"/>
              </w:rPr>
            </w:pPr>
            <w:r w:rsidRPr="00D936CA">
              <w:rPr>
                <w:rFonts w:ascii="ITC Avant Garde" w:hAnsi="ITC Avant Garde"/>
                <w:sz w:val="20"/>
                <w:szCs w:val="20"/>
                <w:lang w:val="es-MX"/>
              </w:rPr>
              <w:t>SAIB</w:t>
            </w:r>
          </w:p>
        </w:tc>
        <w:tc>
          <w:tcPr>
            <w:tcW w:w="1985" w:type="dxa"/>
          </w:tcPr>
          <w:p w14:paraId="33CFE574"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Proveer</w:t>
            </w:r>
          </w:p>
        </w:tc>
        <w:tc>
          <w:tcPr>
            <w:tcW w:w="1882" w:type="dxa"/>
          </w:tcPr>
          <w:p w14:paraId="33CFE575"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Proveer/Instalar</w:t>
            </w:r>
          </w:p>
        </w:tc>
      </w:tr>
    </w:tbl>
    <w:p w14:paraId="33CFE57B" w14:textId="77777777" w:rsidR="00530A32" w:rsidRPr="00D936CA" w:rsidRDefault="00C61E66" w:rsidP="00D936CA">
      <w:pPr>
        <w:spacing w:before="120" w:after="200" w:line="276" w:lineRule="auto"/>
        <w:jc w:val="center"/>
        <w:rPr>
          <w:rFonts w:ascii="ITC Avant Garde" w:hAnsi="ITC Avant Garde"/>
          <w:sz w:val="18"/>
          <w:szCs w:val="18"/>
          <w:lang w:val="es-MX"/>
        </w:rPr>
      </w:pPr>
      <w:r w:rsidRPr="00D936CA">
        <w:rPr>
          <w:rFonts w:ascii="ITC Avant Garde" w:hAnsi="ITC Avant Garde"/>
          <w:sz w:val="18"/>
          <w:szCs w:val="18"/>
          <w:lang w:val="es-MX"/>
        </w:rPr>
        <w:t xml:space="preserve">Tabla 1. </w:t>
      </w:r>
      <w:r w:rsidR="00011A1B" w:rsidRPr="00D936CA">
        <w:rPr>
          <w:rFonts w:ascii="ITC Avant Garde" w:hAnsi="ITC Avant Garde"/>
          <w:sz w:val="18"/>
          <w:szCs w:val="18"/>
          <w:lang w:val="es-MX"/>
        </w:rPr>
        <w:t>Casos de entrega de Módem</w:t>
      </w:r>
    </w:p>
    <w:p w14:paraId="33CFE57C" w14:textId="77777777" w:rsidR="00530A32"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Las condiciones particulares en que se presta dicho servicio se establecen en la sección relativa a Módem/ONT para cada Servicio.</w:t>
      </w:r>
    </w:p>
    <w:p w14:paraId="33CFE57D" w14:textId="469904C4" w:rsidR="00CC7872"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Telmex atenderá todas las solicitudes que le sean presentadas por los CS relativas a la presente </w:t>
      </w:r>
      <w:r w:rsidR="00CA026A" w:rsidRPr="00D936CA">
        <w:rPr>
          <w:rFonts w:ascii="ITC Avant Garde" w:hAnsi="ITC Avant Garde"/>
          <w:sz w:val="22"/>
          <w:szCs w:val="22"/>
          <w:lang w:val="es-MX"/>
        </w:rPr>
        <w:t>OREDA</w:t>
      </w:r>
      <w:r w:rsidR="00556413" w:rsidRPr="00D936CA">
        <w:rPr>
          <w:rFonts w:ascii="ITC Avant Garde" w:hAnsi="ITC Avant Garde"/>
          <w:sz w:val="22"/>
          <w:szCs w:val="22"/>
          <w:lang w:val="es-MX"/>
        </w:rPr>
        <w:t xml:space="preserve"> en los términos y condiciones estipulados</w:t>
      </w:r>
      <w:r w:rsidRPr="00D936CA">
        <w:rPr>
          <w:rFonts w:ascii="ITC Avant Garde" w:hAnsi="ITC Avant Garde"/>
          <w:sz w:val="22"/>
          <w:szCs w:val="22"/>
          <w:lang w:val="es-MX"/>
        </w:rPr>
        <w:t>, salvo cuando no sea factible su atención y esto sea demostrado</w:t>
      </w:r>
      <w:r w:rsidR="009F0A67" w:rsidRPr="00D936CA">
        <w:rPr>
          <w:rFonts w:ascii="ITC Avant Garde" w:hAnsi="ITC Avant Garde"/>
          <w:sz w:val="22"/>
          <w:szCs w:val="22"/>
          <w:lang w:val="es-MX"/>
        </w:rPr>
        <w:t xml:space="preserve"> conforme se señala en la</w:t>
      </w:r>
      <w:r w:rsidR="002714EC" w:rsidRPr="00D936CA">
        <w:rPr>
          <w:rFonts w:ascii="ITC Avant Garde" w:hAnsi="ITC Avant Garde"/>
          <w:sz w:val="22"/>
          <w:szCs w:val="22"/>
          <w:lang w:val="es-MX"/>
        </w:rPr>
        <w:t>s</w:t>
      </w:r>
      <w:r w:rsidR="009F0A67" w:rsidRPr="00D936CA">
        <w:rPr>
          <w:rFonts w:ascii="ITC Avant Garde" w:hAnsi="ITC Avant Garde"/>
          <w:sz w:val="22"/>
          <w:szCs w:val="22"/>
          <w:lang w:val="es-MX"/>
        </w:rPr>
        <w:t xml:space="preserve"> secci</w:t>
      </w:r>
      <w:r w:rsidR="002714EC" w:rsidRPr="00D936CA">
        <w:rPr>
          <w:rFonts w:ascii="ITC Avant Garde" w:hAnsi="ITC Avant Garde"/>
          <w:sz w:val="22"/>
          <w:szCs w:val="22"/>
          <w:lang w:val="es-MX"/>
        </w:rPr>
        <w:t>ones</w:t>
      </w:r>
      <w:r w:rsidR="009F0A67" w:rsidRPr="00D936CA">
        <w:rPr>
          <w:rFonts w:ascii="ITC Avant Garde" w:hAnsi="ITC Avant Garde"/>
          <w:sz w:val="22"/>
          <w:szCs w:val="22"/>
          <w:lang w:val="es-MX"/>
        </w:rPr>
        <w:t xml:space="preserve"> 1.4 </w:t>
      </w:r>
      <w:r w:rsidR="002714EC" w:rsidRPr="00D936CA">
        <w:rPr>
          <w:rFonts w:ascii="ITC Avant Garde" w:hAnsi="ITC Avant Garde"/>
          <w:sz w:val="22"/>
          <w:szCs w:val="22"/>
          <w:lang w:val="es-MX"/>
        </w:rPr>
        <w:t xml:space="preserve">y 1.5 </w:t>
      </w:r>
      <w:r w:rsidR="009F0A67" w:rsidRPr="00D936CA">
        <w:rPr>
          <w:rFonts w:ascii="ITC Avant Garde" w:hAnsi="ITC Avant Garde"/>
          <w:sz w:val="22"/>
          <w:szCs w:val="22"/>
          <w:lang w:val="es-MX"/>
        </w:rPr>
        <w:t>de esta OREDA</w:t>
      </w:r>
      <w:r w:rsidRPr="00D936CA">
        <w:rPr>
          <w:rFonts w:ascii="ITC Avant Garde" w:hAnsi="ITC Avant Garde"/>
          <w:sz w:val="22"/>
          <w:szCs w:val="22"/>
          <w:lang w:val="es-MX"/>
        </w:rPr>
        <w:t>.</w:t>
      </w:r>
    </w:p>
    <w:p w14:paraId="1432D874" w14:textId="6ADFEE1D" w:rsidR="00214902" w:rsidRPr="00D936CA" w:rsidRDefault="00BF56DF"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rPr>
        <w:t>Al momento de la contratación de los servicios e</w:t>
      </w:r>
      <w:r w:rsidRPr="00D936CA">
        <w:rPr>
          <w:rFonts w:ascii="ITC Avant Garde" w:hAnsi="ITC Avant Garde" w:cs="Arial"/>
          <w:sz w:val="22"/>
          <w:szCs w:val="22"/>
        </w:rPr>
        <w:t>l CS deberá expresar el tipo de usuario que desea contratar. Si el domicilio del usuario final para el que se ha solicitado una línea residencial no es persona física, se habilitará la línea en la modalidad comercial.</w:t>
      </w:r>
    </w:p>
    <w:p w14:paraId="33CFE57E" w14:textId="18D6E742" w:rsidR="00530A32" w:rsidRPr="00D936CA" w:rsidRDefault="001E05FB" w:rsidP="00D936CA">
      <w:pPr>
        <w:pStyle w:val="Ttulo2"/>
        <w:ind w:left="851" w:hanging="425"/>
      </w:pPr>
      <w:bookmarkStart w:id="52" w:name="_Toc436840863"/>
      <w:bookmarkStart w:id="53" w:name="_Toc436846300"/>
      <w:bookmarkStart w:id="54" w:name="_Toc436848250"/>
      <w:bookmarkStart w:id="55" w:name="_Toc436856498"/>
      <w:bookmarkStart w:id="56" w:name="_Toc436862644"/>
      <w:bookmarkStart w:id="57" w:name="_Toc436866294"/>
      <w:bookmarkStart w:id="58" w:name="_Toc436870873"/>
      <w:bookmarkStart w:id="59" w:name="_Toc436875865"/>
      <w:bookmarkStart w:id="60" w:name="_Toc467248675"/>
      <w:bookmarkStart w:id="61" w:name="_Toc518031947"/>
      <w:r w:rsidRPr="00D936CA">
        <w:t xml:space="preserve">1.1 </w:t>
      </w:r>
      <w:r w:rsidR="00011A1B" w:rsidRPr="00D936CA">
        <w:t>Prerrequisitos</w:t>
      </w:r>
      <w:bookmarkEnd w:id="52"/>
      <w:bookmarkEnd w:id="53"/>
      <w:bookmarkEnd w:id="54"/>
      <w:bookmarkEnd w:id="55"/>
      <w:bookmarkEnd w:id="56"/>
      <w:bookmarkEnd w:id="57"/>
      <w:bookmarkEnd w:id="58"/>
      <w:bookmarkEnd w:id="59"/>
      <w:bookmarkEnd w:id="60"/>
      <w:bookmarkEnd w:id="61"/>
    </w:p>
    <w:p w14:paraId="33CFE57F" w14:textId="77777777" w:rsidR="00DC4A8F"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Para contratar los servicios objeto de la </w:t>
      </w:r>
      <w:r w:rsidR="00CA026A" w:rsidRPr="00D936CA">
        <w:rPr>
          <w:rFonts w:ascii="ITC Avant Garde" w:hAnsi="ITC Avant Garde"/>
          <w:sz w:val="22"/>
          <w:szCs w:val="22"/>
          <w:lang w:val="es-MX"/>
        </w:rPr>
        <w:t>OREDA</w:t>
      </w:r>
      <w:r w:rsidRPr="00D936CA">
        <w:rPr>
          <w:rFonts w:ascii="ITC Avant Garde" w:hAnsi="ITC Avant Garde"/>
          <w:sz w:val="22"/>
          <w:szCs w:val="22"/>
          <w:lang w:val="es-MX"/>
        </w:rPr>
        <w:t xml:space="preserve"> </w:t>
      </w:r>
      <w:r w:rsidR="00D84EC1" w:rsidRPr="00D936CA">
        <w:rPr>
          <w:rFonts w:ascii="ITC Avant Garde" w:hAnsi="ITC Avant Garde"/>
          <w:sz w:val="22"/>
          <w:szCs w:val="22"/>
          <w:lang w:val="es-MX"/>
        </w:rPr>
        <w:t>el</w:t>
      </w:r>
      <w:r w:rsidR="00E95C4B" w:rsidRPr="00D936CA">
        <w:rPr>
          <w:rFonts w:ascii="ITC Avant Garde" w:hAnsi="ITC Avant Garde"/>
          <w:sz w:val="22"/>
          <w:szCs w:val="22"/>
          <w:lang w:val="es-MX"/>
        </w:rPr>
        <w:t xml:space="preserve"> </w:t>
      </w:r>
      <w:r w:rsidR="00036FA4" w:rsidRPr="00D936CA">
        <w:rPr>
          <w:rFonts w:ascii="ITC Avant Garde" w:hAnsi="ITC Avant Garde"/>
          <w:sz w:val="22"/>
          <w:szCs w:val="22"/>
          <w:lang w:val="es-MX"/>
        </w:rPr>
        <w:t>CS</w:t>
      </w:r>
      <w:r w:rsidRPr="00D936CA">
        <w:rPr>
          <w:rFonts w:ascii="ITC Avant Garde" w:hAnsi="ITC Avant Garde"/>
          <w:sz w:val="22"/>
          <w:szCs w:val="22"/>
          <w:lang w:val="es-MX"/>
        </w:rPr>
        <w:t xml:space="preserve"> deberá</w:t>
      </w:r>
      <w:r w:rsidR="005C624A" w:rsidRPr="00D936CA">
        <w:rPr>
          <w:rFonts w:ascii="ITC Avant Garde" w:hAnsi="ITC Avant Garde"/>
          <w:sz w:val="22"/>
          <w:szCs w:val="22"/>
          <w:lang w:val="es-MX"/>
        </w:rPr>
        <w:t>:</w:t>
      </w:r>
      <w:r w:rsidRPr="00D936CA">
        <w:rPr>
          <w:rFonts w:ascii="ITC Avant Garde" w:hAnsi="ITC Avant Garde"/>
          <w:sz w:val="22"/>
          <w:szCs w:val="22"/>
          <w:lang w:val="es-MX"/>
        </w:rPr>
        <w:t xml:space="preserve"> </w:t>
      </w:r>
    </w:p>
    <w:p w14:paraId="33CFE580" w14:textId="04BF1A71" w:rsidR="00DC4A8F" w:rsidRPr="00D936CA" w:rsidRDefault="00DC4A8F" w:rsidP="00D936CA">
      <w:pPr>
        <w:pStyle w:val="Prrafodelista"/>
        <w:numPr>
          <w:ilvl w:val="0"/>
          <w:numId w:val="88"/>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S</w:t>
      </w:r>
      <w:r w:rsidR="00D84EC1" w:rsidRPr="00D936CA">
        <w:rPr>
          <w:rFonts w:ascii="ITC Avant Garde" w:hAnsi="ITC Avant Garde"/>
          <w:sz w:val="22"/>
          <w:szCs w:val="22"/>
          <w:lang w:val="es-MX"/>
        </w:rPr>
        <w:t xml:space="preserve">er titular </w:t>
      </w:r>
      <w:r w:rsidR="004A25A6" w:rsidRPr="00D936CA">
        <w:rPr>
          <w:rFonts w:ascii="ITC Avant Garde" w:hAnsi="ITC Avant Garde"/>
          <w:sz w:val="22"/>
          <w:szCs w:val="22"/>
          <w:lang w:val="es-MX"/>
        </w:rPr>
        <w:t>de concesión</w:t>
      </w:r>
      <w:r w:rsidR="000F474C" w:rsidRPr="00D936CA">
        <w:rPr>
          <w:rFonts w:ascii="ITC Avant Garde" w:hAnsi="ITC Avant Garde"/>
          <w:sz w:val="22"/>
          <w:szCs w:val="22"/>
          <w:lang w:val="es-MX"/>
        </w:rPr>
        <w:t xml:space="preserve"> </w:t>
      </w:r>
      <w:r w:rsidR="00EE0C9A" w:rsidRPr="00D936CA">
        <w:rPr>
          <w:rFonts w:ascii="ITC Avant Garde" w:hAnsi="ITC Avant Garde"/>
          <w:sz w:val="22"/>
          <w:szCs w:val="22"/>
          <w:lang w:val="es-MX"/>
        </w:rPr>
        <w:t>para operar redes públicas de telecomunicaciones</w:t>
      </w:r>
      <w:r w:rsidR="00EE0C9A" w:rsidRPr="00D936CA" w:rsidDel="00EE0C9A">
        <w:rPr>
          <w:rFonts w:ascii="ITC Avant Garde" w:hAnsi="ITC Avant Garde"/>
          <w:sz w:val="22"/>
          <w:szCs w:val="22"/>
          <w:lang w:val="es-MX"/>
        </w:rPr>
        <w:t xml:space="preserve"> </w:t>
      </w:r>
      <w:r w:rsidR="000F474C" w:rsidRPr="00D936CA">
        <w:rPr>
          <w:rFonts w:ascii="ITC Avant Garde" w:hAnsi="ITC Avant Garde"/>
          <w:sz w:val="22"/>
          <w:szCs w:val="22"/>
          <w:lang w:val="es-MX"/>
        </w:rPr>
        <w:t>o tener Concesión única)</w:t>
      </w:r>
      <w:r w:rsidR="004A25A6" w:rsidRPr="00D936CA">
        <w:rPr>
          <w:rFonts w:ascii="ITC Avant Garde" w:hAnsi="ITC Avant Garde"/>
          <w:sz w:val="22"/>
          <w:szCs w:val="22"/>
          <w:lang w:val="es-MX"/>
        </w:rPr>
        <w:t xml:space="preserve"> otorgado por conducto de la Secretaría de Comunicaciones y Transportes o del Instituto Federal de Telecomunicaciones, el cual deberá </w:t>
      </w:r>
      <w:r w:rsidR="00AA04C8" w:rsidRPr="00D936CA">
        <w:rPr>
          <w:rFonts w:ascii="ITC Avant Garde" w:hAnsi="ITC Avant Garde"/>
          <w:sz w:val="22"/>
          <w:szCs w:val="22"/>
          <w:lang w:val="es-MX"/>
        </w:rPr>
        <w:t>estar</w:t>
      </w:r>
      <w:r w:rsidR="004A25A6" w:rsidRPr="00D936CA">
        <w:rPr>
          <w:rFonts w:ascii="ITC Avant Garde" w:hAnsi="ITC Avant Garde"/>
          <w:sz w:val="22"/>
          <w:szCs w:val="22"/>
          <w:lang w:val="es-MX"/>
        </w:rPr>
        <w:t xml:space="preserve"> vigente</w:t>
      </w:r>
      <w:r w:rsidR="00030EE8">
        <w:rPr>
          <w:rFonts w:ascii="ITC Avant Garde" w:hAnsi="ITC Avant Garde"/>
          <w:sz w:val="22"/>
          <w:szCs w:val="22"/>
          <w:lang w:val="es-MX"/>
        </w:rPr>
        <w:t>, o bien, estar debidamente facultado por el Instituto para prestar servicios de telecomunicaciones</w:t>
      </w:r>
      <w:r w:rsidRPr="00D936CA">
        <w:rPr>
          <w:rFonts w:ascii="ITC Avant Garde" w:hAnsi="ITC Avant Garde"/>
          <w:sz w:val="22"/>
          <w:szCs w:val="22"/>
          <w:lang w:val="es-MX"/>
        </w:rPr>
        <w:t>.</w:t>
      </w:r>
      <w:r w:rsidR="00011A1B" w:rsidRPr="00D936CA">
        <w:rPr>
          <w:rFonts w:ascii="ITC Avant Garde" w:hAnsi="ITC Avant Garde"/>
          <w:sz w:val="22"/>
          <w:szCs w:val="22"/>
          <w:lang w:val="es-MX"/>
        </w:rPr>
        <w:t xml:space="preserve"> </w:t>
      </w:r>
    </w:p>
    <w:p w14:paraId="33CFE581" w14:textId="50E0492F" w:rsidR="00384366" w:rsidRPr="00D936CA" w:rsidRDefault="00DC4A8F" w:rsidP="00D936CA">
      <w:pPr>
        <w:pStyle w:val="Prrafodelista"/>
        <w:numPr>
          <w:ilvl w:val="0"/>
          <w:numId w:val="88"/>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lastRenderedPageBreak/>
        <w:t>F</w:t>
      </w:r>
      <w:r w:rsidR="00011A1B" w:rsidRPr="00D936CA">
        <w:rPr>
          <w:rFonts w:ascii="ITC Avant Garde" w:hAnsi="ITC Avant Garde"/>
          <w:sz w:val="22"/>
          <w:szCs w:val="22"/>
          <w:lang w:val="es-MX"/>
        </w:rPr>
        <w:t xml:space="preserve">irmar el </w:t>
      </w:r>
      <w:r w:rsidR="00011A1B" w:rsidRPr="00D936CA">
        <w:rPr>
          <w:rFonts w:ascii="ITC Avant Garde" w:hAnsi="ITC Avant Garde"/>
          <w:sz w:val="22"/>
          <w:szCs w:val="22"/>
        </w:rPr>
        <w:t>Convenio</w:t>
      </w:r>
      <w:r w:rsidR="00384366" w:rsidRPr="00D936CA">
        <w:rPr>
          <w:rFonts w:ascii="ITC Avant Garde" w:hAnsi="ITC Avant Garde"/>
          <w:sz w:val="22"/>
          <w:szCs w:val="22"/>
        </w:rPr>
        <w:t xml:space="preserve">. Telmex deberá firmar </w:t>
      </w:r>
      <w:r w:rsidR="002B1639">
        <w:rPr>
          <w:rFonts w:ascii="ITC Avant Garde" w:hAnsi="ITC Avant Garde"/>
          <w:sz w:val="22"/>
          <w:szCs w:val="22"/>
        </w:rPr>
        <w:t xml:space="preserve">el Convenio respectivo en un plazo no mayor </w:t>
      </w:r>
      <w:r w:rsidR="00384366" w:rsidRPr="00D936CA">
        <w:rPr>
          <w:rFonts w:ascii="ITC Avant Garde" w:hAnsi="ITC Avant Garde"/>
          <w:sz w:val="22"/>
          <w:szCs w:val="22"/>
        </w:rPr>
        <w:t xml:space="preserve">a 15 días hábiles </w:t>
      </w:r>
      <w:r w:rsidR="00086EC9">
        <w:rPr>
          <w:rFonts w:ascii="ITC Avant Garde" w:hAnsi="ITC Avant Garde"/>
          <w:sz w:val="22"/>
          <w:szCs w:val="22"/>
        </w:rPr>
        <w:t xml:space="preserve">contados a partir </w:t>
      </w:r>
      <w:r w:rsidR="00384366" w:rsidRPr="00D936CA">
        <w:rPr>
          <w:rFonts w:ascii="ITC Avant Garde" w:hAnsi="ITC Avant Garde"/>
          <w:sz w:val="22"/>
          <w:szCs w:val="22"/>
        </w:rPr>
        <w:t xml:space="preserve">de </w:t>
      </w:r>
      <w:r w:rsidR="00F63469">
        <w:rPr>
          <w:rFonts w:ascii="ITC Avant Garde" w:hAnsi="ITC Avant Garde"/>
          <w:sz w:val="22"/>
          <w:szCs w:val="22"/>
        </w:rPr>
        <w:t>la solicitud</w:t>
      </w:r>
      <w:r w:rsidR="003E463B">
        <w:rPr>
          <w:rFonts w:ascii="ITC Avant Garde" w:hAnsi="ITC Avant Garde"/>
          <w:sz w:val="22"/>
          <w:szCs w:val="22"/>
        </w:rPr>
        <w:t xml:space="preserve"> </w:t>
      </w:r>
      <w:r w:rsidR="00384366" w:rsidRPr="00D936CA">
        <w:rPr>
          <w:rFonts w:ascii="ITC Avant Garde" w:hAnsi="ITC Avant Garde"/>
          <w:sz w:val="22"/>
          <w:szCs w:val="22"/>
        </w:rPr>
        <w:t xml:space="preserve">que haya </w:t>
      </w:r>
      <w:r w:rsidR="003E463B">
        <w:rPr>
          <w:rFonts w:ascii="ITC Avant Garde" w:hAnsi="ITC Avant Garde"/>
          <w:sz w:val="22"/>
          <w:szCs w:val="22"/>
        </w:rPr>
        <w:t>realizado</w:t>
      </w:r>
      <w:r w:rsidR="003E463B" w:rsidRPr="00D936CA">
        <w:rPr>
          <w:rFonts w:ascii="ITC Avant Garde" w:hAnsi="ITC Avant Garde"/>
          <w:sz w:val="22"/>
          <w:szCs w:val="22"/>
        </w:rPr>
        <w:t xml:space="preserve"> </w:t>
      </w:r>
      <w:r w:rsidR="00384366" w:rsidRPr="00D936CA">
        <w:rPr>
          <w:rFonts w:ascii="ITC Avant Garde" w:hAnsi="ITC Avant Garde"/>
          <w:sz w:val="22"/>
          <w:szCs w:val="22"/>
        </w:rPr>
        <w:t>el CS a través del</w:t>
      </w:r>
      <w:r w:rsidR="00DE40C1">
        <w:rPr>
          <w:rFonts w:ascii="ITC Avant Garde" w:hAnsi="ITC Avant Garde"/>
          <w:sz w:val="22"/>
          <w:szCs w:val="22"/>
        </w:rPr>
        <w:t xml:space="preserve"> correo electrónico</w:t>
      </w:r>
      <w:r w:rsidR="00384366" w:rsidRPr="00D936CA">
        <w:rPr>
          <w:rFonts w:ascii="ITC Avant Garde" w:hAnsi="ITC Avant Garde"/>
          <w:sz w:val="22"/>
          <w:szCs w:val="22"/>
        </w:rPr>
        <w:t xml:space="preserve"> </w:t>
      </w:r>
      <w:r w:rsidR="00E610EA">
        <w:rPr>
          <w:rFonts w:ascii="ITC Avant Garde" w:hAnsi="ITC Avant Garde"/>
          <w:sz w:val="22"/>
          <w:szCs w:val="22"/>
        </w:rPr>
        <w:t>desagregacion@telmex.com</w:t>
      </w:r>
    </w:p>
    <w:p w14:paraId="33CFE582" w14:textId="78565ADD" w:rsidR="00544FA5" w:rsidRPr="00D936CA" w:rsidRDefault="00011A1B" w:rsidP="00D936CA">
      <w:pPr>
        <w:pStyle w:val="Prrafodelista"/>
        <w:numPr>
          <w:ilvl w:val="0"/>
          <w:numId w:val="88"/>
        </w:numPr>
        <w:spacing w:after="200" w:line="276" w:lineRule="auto"/>
        <w:jc w:val="both"/>
        <w:rPr>
          <w:rFonts w:ascii="ITC Avant Garde" w:hAnsi="ITC Avant Garde"/>
          <w:sz w:val="22"/>
          <w:szCs w:val="22"/>
          <w:lang w:val="es-MX"/>
        </w:rPr>
      </w:pPr>
      <w:r w:rsidRPr="00D936CA">
        <w:rPr>
          <w:rFonts w:ascii="ITC Avant Garde" w:hAnsi="ITC Avant Garde"/>
          <w:sz w:val="22"/>
          <w:szCs w:val="22"/>
        </w:rPr>
        <w:t xml:space="preserve"> </w:t>
      </w:r>
      <w:r w:rsidR="00384366" w:rsidRPr="00D936CA">
        <w:rPr>
          <w:rFonts w:ascii="ITC Avant Garde" w:hAnsi="ITC Avant Garde"/>
          <w:sz w:val="22"/>
          <w:szCs w:val="22"/>
          <w:lang w:val="es-MX"/>
        </w:rPr>
        <w:t>S</w:t>
      </w:r>
      <w:r w:rsidRPr="00D936CA">
        <w:rPr>
          <w:rFonts w:ascii="ITC Avant Garde" w:hAnsi="ITC Avant Garde"/>
          <w:sz w:val="22"/>
          <w:szCs w:val="22"/>
          <w:lang w:val="es-MX"/>
        </w:rPr>
        <w:t>olicitar los servicios mediante el SEG</w:t>
      </w:r>
      <w:r w:rsidR="00392319" w:rsidRPr="00D936CA">
        <w:rPr>
          <w:rFonts w:ascii="ITC Avant Garde" w:hAnsi="ITC Avant Garde"/>
          <w:sz w:val="22"/>
          <w:szCs w:val="22"/>
          <w:lang w:val="es-MX"/>
        </w:rPr>
        <w:t>.</w:t>
      </w:r>
      <w:r w:rsidRPr="00D936CA">
        <w:rPr>
          <w:rFonts w:ascii="ITC Avant Garde" w:hAnsi="ITC Avant Garde"/>
          <w:sz w:val="22"/>
          <w:szCs w:val="22"/>
          <w:lang w:val="es-MX"/>
        </w:rPr>
        <w:t xml:space="preserve"> </w:t>
      </w:r>
    </w:p>
    <w:p w14:paraId="33CFE583" w14:textId="1EDFCFAB" w:rsidR="00530A32" w:rsidRPr="00D936CA" w:rsidRDefault="001E05FB" w:rsidP="00D936CA">
      <w:pPr>
        <w:pStyle w:val="Ttulo2"/>
        <w:ind w:left="851" w:hanging="425"/>
      </w:pPr>
      <w:bookmarkStart w:id="62" w:name="_Toc436840864"/>
      <w:bookmarkStart w:id="63" w:name="_Toc436846301"/>
      <w:bookmarkStart w:id="64" w:name="_Toc436848251"/>
      <w:bookmarkStart w:id="65" w:name="_Toc436856499"/>
      <w:bookmarkStart w:id="66" w:name="_Toc436862645"/>
      <w:bookmarkStart w:id="67" w:name="_Toc436866295"/>
      <w:bookmarkStart w:id="68" w:name="_Toc436870874"/>
      <w:bookmarkStart w:id="69" w:name="_Toc436875866"/>
      <w:bookmarkStart w:id="70" w:name="_Toc467248676"/>
      <w:bookmarkStart w:id="71" w:name="_Toc518031948"/>
      <w:r w:rsidRPr="00D936CA">
        <w:t xml:space="preserve">1.2 </w:t>
      </w:r>
      <w:r w:rsidR="00011A1B" w:rsidRPr="00D936CA">
        <w:t>Pronóstico de servicio.</w:t>
      </w:r>
      <w:bookmarkEnd w:id="62"/>
      <w:bookmarkEnd w:id="63"/>
      <w:bookmarkEnd w:id="64"/>
      <w:bookmarkEnd w:id="65"/>
      <w:bookmarkEnd w:id="66"/>
      <w:bookmarkEnd w:id="67"/>
      <w:bookmarkEnd w:id="68"/>
      <w:bookmarkEnd w:id="69"/>
      <w:bookmarkEnd w:id="70"/>
      <w:bookmarkEnd w:id="71"/>
    </w:p>
    <w:p w14:paraId="33CFE584" w14:textId="47516BF5" w:rsidR="00C82861" w:rsidRPr="00D936CA" w:rsidRDefault="00D12FD8" w:rsidP="00D936CA">
      <w:pPr>
        <w:pStyle w:val="IFTnormal"/>
      </w:pPr>
      <w:r w:rsidRPr="00D936CA">
        <w:t>El CS podrá entregar un pronóstico para los servicios de desagregación, teniendo en cu</w:t>
      </w:r>
      <w:r w:rsidR="007F2438" w:rsidRPr="00D936CA">
        <w:t>e</w:t>
      </w:r>
      <w:r w:rsidRPr="00D936CA">
        <w:t xml:space="preserve">nta que el no entregar pronósticos no constituyen una condicionante </w:t>
      </w:r>
      <w:r w:rsidR="00AE4552" w:rsidRPr="00D936CA">
        <w:t>para la entrega de los</w:t>
      </w:r>
      <w:r w:rsidRPr="00D936CA">
        <w:t xml:space="preserve"> servicios y que al no entregar pronósticos para el SDTBL, SDCBL, SDTSBL, SDCSBL y el SCD los parámetros e indicadores de calidad se podrán ver disminuidos conforme a lo estipulado en  esta OREDA en las secciones de cada uno de los servicios (en este sentido la entrega o no de pronósticos para el SRL y SAIB o cualquier servicio auxiliar, no afectará los parámetros o indicadores de calidad de éstos). En su caso, la entrega se realizará conforme a lo siguiente:</w:t>
      </w:r>
    </w:p>
    <w:p w14:paraId="33CFE585" w14:textId="77777777" w:rsidR="00D12FD8" w:rsidRPr="00D936CA" w:rsidRDefault="00D12FD8" w:rsidP="00D936CA">
      <w:pPr>
        <w:pStyle w:val="IFTnorm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4846"/>
      </w:tblGrid>
      <w:tr w:rsidR="00D936CA" w:rsidRPr="00D936CA" w14:paraId="33CFE588" w14:textId="77777777" w:rsidTr="00113B3E">
        <w:trPr>
          <w:jc w:val="center"/>
        </w:trPr>
        <w:tc>
          <w:tcPr>
            <w:tcW w:w="2082" w:type="dxa"/>
            <w:shd w:val="clear" w:color="auto" w:fill="548DD4" w:themeFill="text2" w:themeFillTint="99"/>
            <w:vAlign w:val="center"/>
          </w:tcPr>
          <w:p w14:paraId="33CFE586" w14:textId="77777777" w:rsidR="00530A32" w:rsidRPr="00D936CA" w:rsidRDefault="00220D97" w:rsidP="00D936CA">
            <w:pPr>
              <w:pStyle w:val="Texto"/>
              <w:spacing w:before="60" w:after="60" w:line="276" w:lineRule="auto"/>
              <w:ind w:firstLine="0"/>
              <w:jc w:val="center"/>
              <w:rPr>
                <w:rFonts w:ascii="ITC Avant Garde" w:hAnsi="ITC Avant Garde" w:cs="Arial"/>
                <w:b/>
                <w:sz w:val="20"/>
              </w:rPr>
            </w:pPr>
            <w:r w:rsidRPr="00D936CA">
              <w:rPr>
                <w:rFonts w:ascii="ITC Avant Garde" w:hAnsi="ITC Avant Garde" w:cs="Arial"/>
                <w:sz w:val="22"/>
                <w:szCs w:val="22"/>
                <w:lang w:val="es-MX"/>
              </w:rPr>
              <w:t xml:space="preserve"> </w:t>
            </w:r>
            <w:r w:rsidR="00011A1B" w:rsidRPr="00D936CA">
              <w:rPr>
                <w:rFonts w:ascii="ITC Avant Garde" w:hAnsi="ITC Avant Garde" w:cs="Arial"/>
                <w:b/>
                <w:sz w:val="20"/>
              </w:rPr>
              <w:t>Fecha límite</w:t>
            </w:r>
          </w:p>
        </w:tc>
        <w:tc>
          <w:tcPr>
            <w:tcW w:w="4846" w:type="dxa"/>
            <w:shd w:val="clear" w:color="auto" w:fill="548DD4" w:themeFill="text2" w:themeFillTint="99"/>
            <w:vAlign w:val="center"/>
          </w:tcPr>
          <w:p w14:paraId="33CFE587" w14:textId="77777777" w:rsidR="00530A32" w:rsidRPr="00D936CA" w:rsidRDefault="00011A1B" w:rsidP="00D936CA">
            <w:pPr>
              <w:pStyle w:val="Texto"/>
              <w:spacing w:before="60" w:after="60" w:line="276" w:lineRule="auto"/>
              <w:ind w:firstLine="0"/>
              <w:jc w:val="center"/>
              <w:rPr>
                <w:rFonts w:ascii="ITC Avant Garde" w:hAnsi="ITC Avant Garde" w:cs="Arial"/>
                <w:b/>
                <w:sz w:val="20"/>
              </w:rPr>
            </w:pPr>
            <w:r w:rsidRPr="00D936CA">
              <w:rPr>
                <w:rFonts w:ascii="ITC Avant Garde" w:hAnsi="ITC Avant Garde" w:cs="Arial"/>
                <w:b/>
                <w:sz w:val="20"/>
              </w:rPr>
              <w:t>Periodo de aprovisionamiento</w:t>
            </w:r>
          </w:p>
        </w:tc>
      </w:tr>
      <w:tr w:rsidR="00D936CA" w:rsidRPr="00D936CA" w14:paraId="33CFE58B" w14:textId="77777777" w:rsidTr="00F1613B">
        <w:trPr>
          <w:jc w:val="center"/>
        </w:trPr>
        <w:tc>
          <w:tcPr>
            <w:tcW w:w="2082" w:type="dxa"/>
            <w:vAlign w:val="center"/>
          </w:tcPr>
          <w:p w14:paraId="33CFE589" w14:textId="77777777"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30 de junio</w:t>
            </w:r>
          </w:p>
        </w:tc>
        <w:tc>
          <w:tcPr>
            <w:tcW w:w="4846" w:type="dxa"/>
            <w:vAlign w:val="center"/>
          </w:tcPr>
          <w:p w14:paraId="33CFE58A" w14:textId="77777777"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Enero-junio del año inmediato posterior.</w:t>
            </w:r>
          </w:p>
        </w:tc>
      </w:tr>
      <w:tr w:rsidR="00D936CA" w:rsidRPr="00D936CA" w14:paraId="33CFE58E" w14:textId="77777777" w:rsidTr="00F1613B">
        <w:trPr>
          <w:jc w:val="center"/>
        </w:trPr>
        <w:tc>
          <w:tcPr>
            <w:tcW w:w="2082" w:type="dxa"/>
            <w:vAlign w:val="center"/>
          </w:tcPr>
          <w:p w14:paraId="33CFE58C" w14:textId="77777777"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31 de diciembre</w:t>
            </w:r>
          </w:p>
        </w:tc>
        <w:tc>
          <w:tcPr>
            <w:tcW w:w="4846" w:type="dxa"/>
            <w:vAlign w:val="center"/>
          </w:tcPr>
          <w:p w14:paraId="33CFE58D" w14:textId="77777777"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Julio-diciembre del año inmediato posterior.</w:t>
            </w:r>
          </w:p>
        </w:tc>
      </w:tr>
    </w:tbl>
    <w:p w14:paraId="33CFE58F" w14:textId="77777777" w:rsidR="00C839AE" w:rsidRPr="00D936CA" w:rsidRDefault="00424F8D" w:rsidP="00D936CA">
      <w:pPr>
        <w:spacing w:before="120" w:after="200" w:line="276" w:lineRule="auto"/>
        <w:ind w:left="708" w:firstLine="285"/>
        <w:jc w:val="center"/>
        <w:rPr>
          <w:rFonts w:ascii="ITC Avant Garde" w:hAnsi="ITC Avant Garde"/>
          <w:sz w:val="18"/>
          <w:szCs w:val="18"/>
          <w:lang w:val="es-MX"/>
        </w:rPr>
      </w:pPr>
      <w:r w:rsidRPr="00D936CA">
        <w:rPr>
          <w:rFonts w:ascii="ITC Avant Garde" w:hAnsi="ITC Avant Garde"/>
          <w:sz w:val="18"/>
          <w:szCs w:val="18"/>
          <w:lang w:val="es-MX"/>
        </w:rPr>
        <w:t>Tabla 2</w:t>
      </w:r>
      <w:r w:rsidR="00712AA4" w:rsidRPr="00D936CA">
        <w:rPr>
          <w:rFonts w:ascii="ITC Avant Garde" w:hAnsi="ITC Avant Garde"/>
          <w:sz w:val="18"/>
          <w:szCs w:val="18"/>
          <w:lang w:val="es-MX"/>
        </w:rPr>
        <w:t xml:space="preserve"> </w:t>
      </w:r>
      <w:r w:rsidR="00011A1B" w:rsidRPr="00D936CA">
        <w:rPr>
          <w:rFonts w:ascii="ITC Avant Garde" w:hAnsi="ITC Avant Garde"/>
          <w:sz w:val="18"/>
          <w:szCs w:val="18"/>
          <w:lang w:val="es-MX"/>
        </w:rPr>
        <w:t>Fechas para pronósticos del servicio.</w:t>
      </w:r>
    </w:p>
    <w:p w14:paraId="33CFE590" w14:textId="77777777" w:rsidR="00C839AE"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Asimismo, los CS podrán ajustar sus pronósticos conforme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4846"/>
      </w:tblGrid>
      <w:tr w:rsidR="00D936CA" w:rsidRPr="00D936CA" w14:paraId="33CFE593" w14:textId="77777777" w:rsidTr="00113B3E">
        <w:trPr>
          <w:jc w:val="center"/>
        </w:trPr>
        <w:tc>
          <w:tcPr>
            <w:tcW w:w="2082" w:type="dxa"/>
            <w:shd w:val="clear" w:color="auto" w:fill="548DD4" w:themeFill="text2" w:themeFillTint="99"/>
            <w:vAlign w:val="center"/>
          </w:tcPr>
          <w:p w14:paraId="33CFE591" w14:textId="77777777" w:rsidR="00530A32" w:rsidRPr="00D936CA" w:rsidRDefault="00011A1B" w:rsidP="00D936CA">
            <w:pPr>
              <w:pStyle w:val="Texto"/>
              <w:spacing w:before="60" w:after="60" w:line="276" w:lineRule="auto"/>
              <w:ind w:firstLine="0"/>
              <w:jc w:val="center"/>
              <w:rPr>
                <w:rFonts w:ascii="ITC Avant Garde" w:hAnsi="ITC Avant Garde" w:cs="Arial"/>
                <w:b/>
                <w:sz w:val="20"/>
              </w:rPr>
            </w:pPr>
            <w:r w:rsidRPr="00D936CA">
              <w:rPr>
                <w:rFonts w:ascii="ITC Avant Garde" w:hAnsi="ITC Avant Garde" w:cs="Arial"/>
                <w:b/>
                <w:sz w:val="20"/>
              </w:rPr>
              <w:t>Fecha límite</w:t>
            </w:r>
          </w:p>
        </w:tc>
        <w:tc>
          <w:tcPr>
            <w:tcW w:w="4846" w:type="dxa"/>
            <w:shd w:val="clear" w:color="auto" w:fill="548DD4" w:themeFill="text2" w:themeFillTint="99"/>
            <w:vAlign w:val="center"/>
          </w:tcPr>
          <w:p w14:paraId="33CFE592" w14:textId="77777777" w:rsidR="00530A32" w:rsidRPr="00D936CA" w:rsidRDefault="00011A1B" w:rsidP="00D936CA">
            <w:pPr>
              <w:pStyle w:val="Texto"/>
              <w:spacing w:before="60" w:after="60" w:line="276" w:lineRule="auto"/>
              <w:ind w:firstLine="0"/>
              <w:jc w:val="center"/>
              <w:rPr>
                <w:rFonts w:ascii="ITC Avant Garde" w:hAnsi="ITC Avant Garde" w:cs="Arial"/>
                <w:b/>
                <w:sz w:val="20"/>
              </w:rPr>
            </w:pPr>
            <w:r w:rsidRPr="00D936CA">
              <w:rPr>
                <w:rFonts w:ascii="ITC Avant Garde" w:hAnsi="ITC Avant Garde" w:cs="Arial"/>
                <w:b/>
                <w:sz w:val="20"/>
              </w:rPr>
              <w:t>Periodo de ajuste de pronóstico</w:t>
            </w:r>
          </w:p>
        </w:tc>
      </w:tr>
      <w:tr w:rsidR="00D936CA" w:rsidRPr="00D936CA" w14:paraId="33CFE596" w14:textId="77777777" w:rsidTr="00F1613B">
        <w:trPr>
          <w:jc w:val="center"/>
        </w:trPr>
        <w:tc>
          <w:tcPr>
            <w:tcW w:w="2082" w:type="dxa"/>
            <w:vAlign w:val="center"/>
          </w:tcPr>
          <w:p w14:paraId="33CFE594" w14:textId="23E8D8F5"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 xml:space="preserve">30 de </w:t>
            </w:r>
            <w:r w:rsidR="00132BD5" w:rsidRPr="00D936CA">
              <w:rPr>
                <w:rFonts w:ascii="ITC Avant Garde" w:hAnsi="ITC Avant Garde" w:cs="Arial"/>
                <w:sz w:val="20"/>
              </w:rPr>
              <w:t>septiembre</w:t>
            </w:r>
          </w:p>
        </w:tc>
        <w:tc>
          <w:tcPr>
            <w:tcW w:w="4846" w:type="dxa"/>
            <w:vAlign w:val="center"/>
          </w:tcPr>
          <w:p w14:paraId="33CFE595" w14:textId="77777777"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Enero-junio del año inmediato posterior.</w:t>
            </w:r>
          </w:p>
        </w:tc>
      </w:tr>
      <w:tr w:rsidR="00D936CA" w:rsidRPr="00D936CA" w14:paraId="33CFE599" w14:textId="77777777" w:rsidTr="00F1613B">
        <w:trPr>
          <w:jc w:val="center"/>
        </w:trPr>
        <w:tc>
          <w:tcPr>
            <w:tcW w:w="2082" w:type="dxa"/>
            <w:vAlign w:val="center"/>
          </w:tcPr>
          <w:p w14:paraId="33CFE597" w14:textId="36D7EE78"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 xml:space="preserve">31 de </w:t>
            </w:r>
            <w:r w:rsidR="00132BD5" w:rsidRPr="00D936CA">
              <w:rPr>
                <w:rFonts w:ascii="ITC Avant Garde" w:hAnsi="ITC Avant Garde" w:cs="Arial"/>
                <w:sz w:val="20"/>
              </w:rPr>
              <w:t>marzo</w:t>
            </w:r>
          </w:p>
        </w:tc>
        <w:tc>
          <w:tcPr>
            <w:tcW w:w="4846" w:type="dxa"/>
            <w:vAlign w:val="center"/>
          </w:tcPr>
          <w:p w14:paraId="33CFE598" w14:textId="77777777" w:rsidR="00530A32" w:rsidRPr="00D936CA" w:rsidRDefault="00011A1B"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 xml:space="preserve">Julio-diciembre del año </w:t>
            </w:r>
            <w:r w:rsidR="00555FA6" w:rsidRPr="00D936CA">
              <w:rPr>
                <w:rFonts w:ascii="ITC Avant Garde" w:hAnsi="ITC Avant Garde" w:cs="Arial"/>
                <w:sz w:val="20"/>
              </w:rPr>
              <w:t>corriente</w:t>
            </w:r>
            <w:r w:rsidRPr="00D936CA">
              <w:rPr>
                <w:rFonts w:ascii="ITC Avant Garde" w:hAnsi="ITC Avant Garde" w:cs="Arial"/>
                <w:sz w:val="20"/>
              </w:rPr>
              <w:t>.</w:t>
            </w:r>
          </w:p>
        </w:tc>
      </w:tr>
    </w:tbl>
    <w:p w14:paraId="33CFE59A" w14:textId="77777777" w:rsidR="00FA1C46" w:rsidRPr="00D936CA" w:rsidRDefault="00712AA4" w:rsidP="00D936CA">
      <w:pPr>
        <w:spacing w:before="120" w:after="200" w:line="276" w:lineRule="auto"/>
        <w:ind w:left="708" w:firstLine="285"/>
        <w:jc w:val="center"/>
        <w:rPr>
          <w:rFonts w:ascii="ITC Avant Garde" w:hAnsi="ITC Avant Garde"/>
          <w:sz w:val="18"/>
          <w:szCs w:val="18"/>
          <w:lang w:val="es-MX"/>
        </w:rPr>
      </w:pPr>
      <w:r w:rsidRPr="00D936CA">
        <w:rPr>
          <w:rFonts w:ascii="ITC Avant Garde" w:hAnsi="ITC Avant Garde"/>
          <w:sz w:val="18"/>
          <w:szCs w:val="18"/>
          <w:lang w:val="es-MX"/>
        </w:rPr>
        <w:t>T</w:t>
      </w:r>
      <w:r w:rsidR="00424F8D" w:rsidRPr="00D936CA">
        <w:rPr>
          <w:rFonts w:ascii="ITC Avant Garde" w:hAnsi="ITC Avant Garde"/>
          <w:sz w:val="18"/>
          <w:szCs w:val="18"/>
          <w:lang w:val="es-MX"/>
        </w:rPr>
        <w:t>abla 3</w:t>
      </w:r>
      <w:r w:rsidRPr="00D936CA">
        <w:rPr>
          <w:rFonts w:ascii="ITC Avant Garde" w:hAnsi="ITC Avant Garde"/>
          <w:sz w:val="18"/>
          <w:szCs w:val="18"/>
          <w:lang w:val="es-MX"/>
        </w:rPr>
        <w:t xml:space="preserve"> </w:t>
      </w:r>
      <w:r w:rsidR="00011A1B" w:rsidRPr="00D936CA">
        <w:rPr>
          <w:rFonts w:ascii="ITC Avant Garde" w:hAnsi="ITC Avant Garde"/>
          <w:sz w:val="18"/>
          <w:szCs w:val="18"/>
          <w:lang w:val="es-MX"/>
        </w:rPr>
        <w:t>Fechas para ajustar los pronósticos del servicio.</w:t>
      </w:r>
    </w:p>
    <w:p w14:paraId="33CFE59B" w14:textId="77777777" w:rsidR="005479C0"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Si los pronósticos no son entregados dentro de la fecha indicada, se considerarán como no entregados. Sin embargo, en ningún caso la provisión de los servicios de </w:t>
      </w:r>
      <w:r w:rsidR="00B86D0A" w:rsidRPr="00D936CA">
        <w:rPr>
          <w:rFonts w:ascii="ITC Avant Garde" w:hAnsi="ITC Avant Garde"/>
          <w:sz w:val="22"/>
          <w:szCs w:val="22"/>
          <w:lang w:val="es-ES"/>
        </w:rPr>
        <w:t>d</w:t>
      </w:r>
      <w:r w:rsidRPr="00D936CA">
        <w:rPr>
          <w:rFonts w:ascii="ITC Avant Garde" w:hAnsi="ITC Avant Garde"/>
          <w:sz w:val="22"/>
          <w:szCs w:val="22"/>
          <w:lang w:val="es-ES"/>
        </w:rPr>
        <w:t>esagregación estará condicionada a la entrega de pronósticos.</w:t>
      </w:r>
    </w:p>
    <w:p w14:paraId="33CFE59C" w14:textId="647AC0AE" w:rsidR="00601BA1"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La granularidad que deberán tener los pronósticos entregados por los Concesionarios Solicitantes, será al menos la siguiente:</w:t>
      </w:r>
    </w:p>
    <w:p w14:paraId="543ECD31" w14:textId="77777777" w:rsidR="00311FAB" w:rsidRPr="00D936CA" w:rsidRDefault="00311FAB" w:rsidP="00D936CA">
      <w:pPr>
        <w:spacing w:after="200" w:line="276" w:lineRule="auto"/>
        <w:jc w:val="both"/>
        <w:rPr>
          <w:rFonts w:ascii="ITC Avant Garde" w:hAnsi="ITC Avant Garde"/>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9"/>
        <w:gridCol w:w="5775"/>
      </w:tblGrid>
      <w:tr w:rsidR="00D936CA" w:rsidRPr="00D936CA" w14:paraId="33CFE59F" w14:textId="77777777" w:rsidTr="00113B3E">
        <w:trPr>
          <w:jc w:val="center"/>
        </w:trPr>
        <w:tc>
          <w:tcPr>
            <w:tcW w:w="2039" w:type="dxa"/>
            <w:shd w:val="clear" w:color="auto" w:fill="548DD4" w:themeFill="text2" w:themeFillTint="99"/>
            <w:vAlign w:val="center"/>
          </w:tcPr>
          <w:p w14:paraId="33CFE59D" w14:textId="77777777" w:rsidR="00530A32" w:rsidRPr="00D936CA" w:rsidRDefault="00011A1B" w:rsidP="00D936CA">
            <w:pPr>
              <w:pStyle w:val="Texto"/>
              <w:spacing w:before="60" w:after="60" w:line="276" w:lineRule="auto"/>
              <w:ind w:firstLine="0"/>
              <w:jc w:val="center"/>
              <w:rPr>
                <w:rFonts w:ascii="ITC Avant Garde" w:hAnsi="ITC Avant Garde" w:cs="Arial"/>
                <w:b/>
                <w:sz w:val="20"/>
              </w:rPr>
            </w:pPr>
            <w:r w:rsidRPr="00D936CA">
              <w:rPr>
                <w:rFonts w:ascii="ITC Avant Garde" w:hAnsi="ITC Avant Garde" w:cs="Arial"/>
                <w:b/>
                <w:sz w:val="20"/>
              </w:rPr>
              <w:lastRenderedPageBreak/>
              <w:t>Servicio</w:t>
            </w:r>
          </w:p>
        </w:tc>
        <w:tc>
          <w:tcPr>
            <w:tcW w:w="5775" w:type="dxa"/>
            <w:shd w:val="clear" w:color="auto" w:fill="548DD4" w:themeFill="text2" w:themeFillTint="99"/>
            <w:vAlign w:val="center"/>
          </w:tcPr>
          <w:p w14:paraId="33CFE59E" w14:textId="77777777" w:rsidR="00530A32" w:rsidRPr="00D936CA" w:rsidRDefault="00011A1B" w:rsidP="00D936CA">
            <w:pPr>
              <w:pStyle w:val="Texto"/>
              <w:spacing w:before="60" w:after="60" w:line="276" w:lineRule="auto"/>
              <w:ind w:firstLine="0"/>
              <w:jc w:val="center"/>
              <w:rPr>
                <w:rFonts w:ascii="ITC Avant Garde" w:hAnsi="ITC Avant Garde" w:cs="Arial"/>
                <w:b/>
                <w:sz w:val="20"/>
              </w:rPr>
            </w:pPr>
            <w:r w:rsidRPr="00D936CA">
              <w:rPr>
                <w:rFonts w:ascii="ITC Avant Garde" w:hAnsi="ITC Avant Garde" w:cs="Arial"/>
                <w:b/>
                <w:sz w:val="20"/>
              </w:rPr>
              <w:t>Granularidad</w:t>
            </w:r>
          </w:p>
        </w:tc>
      </w:tr>
      <w:tr w:rsidR="00D936CA" w:rsidRPr="00D936CA" w14:paraId="33CFE5A2" w14:textId="77777777" w:rsidTr="005D7A8B">
        <w:trPr>
          <w:jc w:val="center"/>
        </w:trPr>
        <w:tc>
          <w:tcPr>
            <w:tcW w:w="2039" w:type="dxa"/>
            <w:vAlign w:val="center"/>
          </w:tcPr>
          <w:p w14:paraId="33CFE5A0" w14:textId="77777777" w:rsidR="00F36842" w:rsidRPr="00D936CA" w:rsidRDefault="00B12714"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SDTBL y SDCBL</w:t>
            </w:r>
          </w:p>
        </w:tc>
        <w:tc>
          <w:tcPr>
            <w:tcW w:w="5775" w:type="dxa"/>
            <w:vAlign w:val="center"/>
          </w:tcPr>
          <w:p w14:paraId="33CFE5A1" w14:textId="77777777" w:rsidR="00F36842" w:rsidRPr="00D936CA" w:rsidRDefault="00B12714"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Número de Bucles por Central Telefónica o Instalación Equivalente</w:t>
            </w:r>
          </w:p>
        </w:tc>
      </w:tr>
      <w:tr w:rsidR="00D936CA" w:rsidRPr="00D936CA" w14:paraId="33CFE5A5" w14:textId="77777777" w:rsidTr="005D7A8B">
        <w:trPr>
          <w:jc w:val="center"/>
        </w:trPr>
        <w:tc>
          <w:tcPr>
            <w:tcW w:w="2039" w:type="dxa"/>
            <w:vAlign w:val="center"/>
          </w:tcPr>
          <w:p w14:paraId="33CFE5A3" w14:textId="77777777" w:rsidR="00530A32" w:rsidRPr="00D936CA" w:rsidRDefault="00B12714"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SDTSBL y SDCSBL</w:t>
            </w:r>
          </w:p>
        </w:tc>
        <w:tc>
          <w:tcPr>
            <w:tcW w:w="5775" w:type="dxa"/>
            <w:vAlign w:val="center"/>
          </w:tcPr>
          <w:p w14:paraId="33CFE5A4" w14:textId="77777777" w:rsidR="00530A32" w:rsidRPr="00D936CA" w:rsidRDefault="00B12714"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Número de Sub-bucles asociados a Central Telefónica o instalación equivalente</w:t>
            </w:r>
          </w:p>
        </w:tc>
      </w:tr>
      <w:tr w:rsidR="00D936CA" w:rsidRPr="00D936CA" w14:paraId="33CFE5A8" w14:textId="77777777" w:rsidTr="005D7A8B">
        <w:trPr>
          <w:jc w:val="center"/>
        </w:trPr>
        <w:tc>
          <w:tcPr>
            <w:tcW w:w="2039" w:type="dxa"/>
            <w:vAlign w:val="center"/>
          </w:tcPr>
          <w:p w14:paraId="33CFE5A6" w14:textId="77777777" w:rsidR="00530A32" w:rsidRPr="00D936CA" w:rsidRDefault="00B12714"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pacing w:val="-4"/>
                <w:sz w:val="20"/>
              </w:rPr>
              <w:t xml:space="preserve">Servicio de Coubicación para </w:t>
            </w:r>
            <w:r w:rsidRPr="00D936CA">
              <w:rPr>
                <w:rFonts w:ascii="ITC Avant Garde" w:hAnsi="ITC Avant Garde" w:cs="Arial"/>
                <w:sz w:val="20"/>
              </w:rPr>
              <w:t>Desagregación</w:t>
            </w:r>
          </w:p>
        </w:tc>
        <w:tc>
          <w:tcPr>
            <w:tcW w:w="5775" w:type="dxa"/>
            <w:vAlign w:val="center"/>
          </w:tcPr>
          <w:p w14:paraId="33CFE5A7" w14:textId="77777777" w:rsidR="00530A32" w:rsidRPr="00D936CA" w:rsidRDefault="00B12714" w:rsidP="00D936CA">
            <w:pPr>
              <w:pStyle w:val="Texto"/>
              <w:spacing w:before="60" w:after="60" w:line="276" w:lineRule="auto"/>
              <w:ind w:firstLine="0"/>
              <w:jc w:val="left"/>
              <w:rPr>
                <w:rFonts w:ascii="ITC Avant Garde" w:hAnsi="ITC Avant Garde" w:cs="Arial"/>
                <w:sz w:val="20"/>
              </w:rPr>
            </w:pPr>
            <w:r w:rsidRPr="00D936CA">
              <w:rPr>
                <w:rFonts w:ascii="ITC Avant Garde" w:hAnsi="ITC Avant Garde" w:cs="Arial"/>
                <w:sz w:val="20"/>
              </w:rPr>
              <w:t>Número de Centrales Telefónicas o instalaciones equivalentes</w:t>
            </w:r>
          </w:p>
        </w:tc>
      </w:tr>
    </w:tbl>
    <w:p w14:paraId="33CFE5AC" w14:textId="77777777" w:rsidR="00530A32" w:rsidRPr="00D936CA" w:rsidRDefault="00424F8D" w:rsidP="00D936CA">
      <w:pPr>
        <w:spacing w:before="120" w:after="200" w:line="276" w:lineRule="auto"/>
        <w:ind w:left="708" w:firstLine="1"/>
        <w:jc w:val="center"/>
        <w:rPr>
          <w:rFonts w:ascii="ITC Avant Garde" w:hAnsi="ITC Avant Garde"/>
          <w:sz w:val="18"/>
          <w:szCs w:val="18"/>
          <w:lang w:val="es-MX"/>
        </w:rPr>
      </w:pPr>
      <w:r w:rsidRPr="00D936CA">
        <w:rPr>
          <w:rFonts w:ascii="ITC Avant Garde" w:hAnsi="ITC Avant Garde"/>
          <w:sz w:val="18"/>
          <w:szCs w:val="18"/>
          <w:lang w:val="es-MX"/>
        </w:rPr>
        <w:t>Tabla 4</w:t>
      </w:r>
      <w:r w:rsidR="00712AA4" w:rsidRPr="00D936CA">
        <w:rPr>
          <w:rFonts w:ascii="ITC Avant Garde" w:hAnsi="ITC Avant Garde"/>
          <w:sz w:val="18"/>
          <w:szCs w:val="18"/>
          <w:lang w:val="es-MX"/>
        </w:rPr>
        <w:t xml:space="preserve"> </w:t>
      </w:r>
      <w:r w:rsidR="00011A1B" w:rsidRPr="00D936CA">
        <w:rPr>
          <w:rFonts w:ascii="ITC Avant Garde" w:hAnsi="ITC Avant Garde"/>
          <w:sz w:val="18"/>
          <w:szCs w:val="18"/>
          <w:lang w:val="es-MX"/>
        </w:rPr>
        <w:t>Granularidad de Pronósticos</w:t>
      </w:r>
    </w:p>
    <w:p w14:paraId="33CFE5AD" w14:textId="48DC133C" w:rsidR="00175577"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En caso de que los servicios solicitados excedan un 20% o más a los pronosticados, los servicios excedentes serán instalados en un plazo definido por mutuo acuerdo bajo el esquema fecha compromiso (Due Date), y delimitado a un máximo de 150% de los plazos originales de entrega. </w:t>
      </w:r>
    </w:p>
    <w:p w14:paraId="33CFE5AE" w14:textId="464E006E" w:rsidR="00177F26"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En caso de que los servicios contratados en el año </w:t>
      </w:r>
      <w:r w:rsidR="00B439DB" w:rsidRPr="00D936CA">
        <w:rPr>
          <w:rFonts w:ascii="ITC Avant Garde" w:hAnsi="ITC Avant Garde"/>
          <w:sz w:val="22"/>
          <w:szCs w:val="22"/>
          <w:lang w:val="es-ES"/>
        </w:rPr>
        <w:t>anterior de referencia</w:t>
      </w:r>
      <w:r w:rsidRPr="00D936CA">
        <w:rPr>
          <w:rFonts w:ascii="ITC Avant Garde" w:hAnsi="ITC Avant Garde"/>
          <w:sz w:val="22"/>
          <w:szCs w:val="22"/>
          <w:lang w:val="es-ES"/>
        </w:rPr>
        <w:t xml:space="preserve"> N sean menores al 70% de lo pronosticado, el </w:t>
      </w:r>
      <w:r w:rsidR="00847A6D" w:rsidRPr="00D936CA">
        <w:rPr>
          <w:rFonts w:ascii="ITC Avant Garde" w:hAnsi="ITC Avant Garde"/>
          <w:sz w:val="22"/>
          <w:szCs w:val="22"/>
          <w:lang w:val="es-ES"/>
        </w:rPr>
        <w:t>CS</w:t>
      </w:r>
      <w:r w:rsidRPr="00D936CA">
        <w:rPr>
          <w:rFonts w:ascii="ITC Avant Garde" w:hAnsi="ITC Avant Garde"/>
          <w:sz w:val="22"/>
          <w:szCs w:val="22"/>
          <w:lang w:val="es-ES"/>
        </w:rPr>
        <w:t xml:space="preserve"> considerará en el pronóstico del año N+1 un volumen de servicios no mayor al equivalente al 120% de los servicios realmente contratados en el año N.</w:t>
      </w:r>
    </w:p>
    <w:p w14:paraId="33CFE5B9" w14:textId="222B6F9F" w:rsidR="005B0995" w:rsidRPr="00D936CA" w:rsidRDefault="005B0995" w:rsidP="00D936CA">
      <w:pPr>
        <w:spacing w:line="360" w:lineRule="auto"/>
        <w:contextualSpacing/>
        <w:jc w:val="both"/>
        <w:rPr>
          <w:rFonts w:ascii="ITC Avant Garde" w:hAnsi="ITC Avant Garde"/>
          <w:sz w:val="22"/>
          <w:szCs w:val="22"/>
          <w:lang w:val="es-ES"/>
        </w:rPr>
      </w:pPr>
    </w:p>
    <w:p w14:paraId="33CFE5BA" w14:textId="34E6DA54" w:rsidR="00530A32" w:rsidRPr="00D936CA" w:rsidRDefault="001E05FB" w:rsidP="00D936CA">
      <w:pPr>
        <w:pStyle w:val="Ttulo2"/>
        <w:ind w:left="851" w:hanging="425"/>
      </w:pPr>
      <w:bookmarkStart w:id="72" w:name="_Toc436840866"/>
      <w:bookmarkStart w:id="73" w:name="_Toc436846303"/>
      <w:bookmarkStart w:id="74" w:name="_Toc436848253"/>
      <w:bookmarkStart w:id="75" w:name="_Toc436856501"/>
      <w:bookmarkStart w:id="76" w:name="_Toc436862647"/>
      <w:bookmarkStart w:id="77" w:name="_Toc436866297"/>
      <w:bookmarkStart w:id="78" w:name="_Toc436870876"/>
      <w:bookmarkStart w:id="79" w:name="_Toc436875868"/>
      <w:bookmarkStart w:id="80" w:name="_Toc467248678"/>
      <w:bookmarkStart w:id="81" w:name="_Toc518031949"/>
      <w:r w:rsidRPr="00D936CA">
        <w:t xml:space="preserve">1.3 </w:t>
      </w:r>
      <w:r w:rsidR="00011A1B" w:rsidRPr="00D936CA">
        <w:t>Situación de la Acometida del usuario final.</w:t>
      </w:r>
      <w:bookmarkEnd w:id="72"/>
      <w:bookmarkEnd w:id="73"/>
      <w:bookmarkEnd w:id="74"/>
      <w:bookmarkEnd w:id="75"/>
      <w:bookmarkEnd w:id="76"/>
      <w:bookmarkEnd w:id="77"/>
      <w:bookmarkEnd w:id="78"/>
      <w:bookmarkEnd w:id="79"/>
      <w:bookmarkEnd w:id="80"/>
      <w:bookmarkEnd w:id="81"/>
    </w:p>
    <w:p w14:paraId="33CFE5BB" w14:textId="77777777" w:rsidR="00530A32" w:rsidRPr="00D936CA" w:rsidRDefault="00011A1B" w:rsidP="00D936CA">
      <w:pPr>
        <w:pStyle w:val="Texto1"/>
        <w:spacing w:after="200" w:line="276" w:lineRule="auto"/>
        <w:ind w:left="0"/>
        <w:rPr>
          <w:rFonts w:ascii="ITC Avant Garde" w:hAnsi="ITC Avant Garde"/>
          <w:sz w:val="22"/>
          <w:szCs w:val="22"/>
          <w:lang w:val="es-ES"/>
        </w:rPr>
      </w:pPr>
      <w:r w:rsidRPr="00D936CA">
        <w:rPr>
          <w:rFonts w:ascii="ITC Avant Garde" w:hAnsi="ITC Avant Garde"/>
          <w:sz w:val="22"/>
          <w:szCs w:val="22"/>
          <w:lang w:val="es-ES"/>
        </w:rPr>
        <w:t xml:space="preserve">La acometida al domicilio del usuario final </w:t>
      </w:r>
      <w:r w:rsidRPr="00D936CA">
        <w:rPr>
          <w:rFonts w:ascii="ITC Avant Garde" w:hAnsi="ITC Avant Garde"/>
          <w:sz w:val="22"/>
          <w:szCs w:val="22"/>
        </w:rPr>
        <w:t>constituye la parte común de los servicios de desagregación y</w:t>
      </w:r>
      <w:r w:rsidRPr="00D936CA">
        <w:rPr>
          <w:rFonts w:ascii="ITC Avant Garde" w:hAnsi="ITC Avant Garde"/>
          <w:sz w:val="22"/>
          <w:szCs w:val="22"/>
          <w:lang w:val="es-ES"/>
        </w:rPr>
        <w:t xml:space="preserve"> presenta </w:t>
      </w:r>
      <w:r w:rsidR="005670D1" w:rsidRPr="00D936CA">
        <w:rPr>
          <w:rFonts w:ascii="ITC Avant Garde" w:hAnsi="ITC Avant Garde"/>
          <w:sz w:val="22"/>
          <w:szCs w:val="22"/>
          <w:lang w:val="es-ES"/>
        </w:rPr>
        <w:t xml:space="preserve">tres </w:t>
      </w:r>
      <w:r w:rsidRPr="00D936CA">
        <w:rPr>
          <w:rFonts w:ascii="ITC Avant Garde" w:hAnsi="ITC Avant Garde"/>
          <w:sz w:val="22"/>
          <w:szCs w:val="22"/>
          <w:lang w:val="es-ES"/>
        </w:rPr>
        <w:t xml:space="preserve">posibles escenarios. En la </w:t>
      </w:r>
      <w:r w:rsidR="00496C1A" w:rsidRPr="00D936CA">
        <w:rPr>
          <w:rFonts w:ascii="ITC Avant Garde" w:hAnsi="ITC Avant Garde"/>
          <w:sz w:val="22"/>
          <w:szCs w:val="22"/>
          <w:lang w:val="es-ES"/>
        </w:rPr>
        <w:t>siguiente</w:t>
      </w:r>
      <w:r w:rsidRPr="00D936CA">
        <w:rPr>
          <w:rFonts w:ascii="ITC Avant Garde" w:hAnsi="ITC Avant Garde"/>
          <w:sz w:val="22"/>
          <w:szCs w:val="22"/>
          <w:lang w:val="es-ES"/>
        </w:rPr>
        <w:t xml:space="preserve"> tabla se muestra el alcance del servicio en estos casos:</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7"/>
        <w:gridCol w:w="3541"/>
        <w:gridCol w:w="3547"/>
      </w:tblGrid>
      <w:tr w:rsidR="00D936CA" w:rsidRPr="00D936CA" w14:paraId="33CFE5BF" w14:textId="77777777" w:rsidTr="005911AE">
        <w:trPr>
          <w:trHeight w:val="502"/>
          <w:tblHeader/>
        </w:trPr>
        <w:tc>
          <w:tcPr>
            <w:tcW w:w="1507" w:type="pct"/>
            <w:shd w:val="clear" w:color="auto" w:fill="548DD4" w:themeFill="text2" w:themeFillTint="99"/>
            <w:vAlign w:val="center"/>
          </w:tcPr>
          <w:p w14:paraId="33CFE5BC" w14:textId="77777777" w:rsidR="00530A32" w:rsidRPr="00D936CA" w:rsidRDefault="00011A1B" w:rsidP="00D936CA">
            <w:pPr>
              <w:pStyle w:val="Texto1"/>
              <w:spacing w:before="60" w:after="60" w:line="276" w:lineRule="auto"/>
              <w:ind w:left="0"/>
              <w:jc w:val="center"/>
              <w:rPr>
                <w:rFonts w:ascii="ITC Avant Garde" w:hAnsi="ITC Avant Garde"/>
                <w:b/>
                <w:sz w:val="20"/>
                <w:szCs w:val="20"/>
                <w:lang w:val="es-ES"/>
              </w:rPr>
            </w:pPr>
            <w:r w:rsidRPr="00D936CA">
              <w:rPr>
                <w:rFonts w:ascii="ITC Avant Garde" w:hAnsi="ITC Avant Garde"/>
                <w:b/>
                <w:sz w:val="20"/>
                <w:szCs w:val="20"/>
                <w:lang w:val="es-ES"/>
              </w:rPr>
              <w:t>Relación contractual actual del servicio.</w:t>
            </w:r>
          </w:p>
        </w:tc>
        <w:tc>
          <w:tcPr>
            <w:tcW w:w="1745" w:type="pct"/>
            <w:shd w:val="clear" w:color="auto" w:fill="548DD4" w:themeFill="text2" w:themeFillTint="99"/>
            <w:vAlign w:val="center"/>
          </w:tcPr>
          <w:p w14:paraId="33CFE5BD" w14:textId="77777777" w:rsidR="00530A32" w:rsidRPr="00D936CA" w:rsidRDefault="00011A1B" w:rsidP="00D936CA">
            <w:pPr>
              <w:pStyle w:val="Texto1"/>
              <w:spacing w:before="60" w:after="60" w:line="276" w:lineRule="auto"/>
              <w:ind w:left="0"/>
              <w:jc w:val="center"/>
              <w:rPr>
                <w:rFonts w:ascii="ITC Avant Garde" w:hAnsi="ITC Avant Garde"/>
                <w:b/>
                <w:sz w:val="20"/>
                <w:szCs w:val="20"/>
                <w:lang w:val="es-ES"/>
              </w:rPr>
            </w:pPr>
            <w:r w:rsidRPr="00D936CA">
              <w:rPr>
                <w:rFonts w:ascii="ITC Avant Garde" w:hAnsi="ITC Avant Garde"/>
                <w:b/>
                <w:sz w:val="20"/>
                <w:szCs w:val="20"/>
                <w:lang w:val="es-ES"/>
              </w:rPr>
              <w:t>Condición física de la acometida.</w:t>
            </w:r>
          </w:p>
        </w:tc>
        <w:tc>
          <w:tcPr>
            <w:tcW w:w="1748" w:type="pct"/>
            <w:shd w:val="clear" w:color="auto" w:fill="548DD4" w:themeFill="text2" w:themeFillTint="99"/>
            <w:vAlign w:val="center"/>
          </w:tcPr>
          <w:p w14:paraId="33CFE5BE" w14:textId="77777777" w:rsidR="00530A32" w:rsidRPr="00D936CA" w:rsidRDefault="00011A1B" w:rsidP="00D936CA">
            <w:pPr>
              <w:pStyle w:val="Texto1"/>
              <w:spacing w:before="60" w:after="60" w:line="276" w:lineRule="auto"/>
              <w:ind w:left="0"/>
              <w:jc w:val="center"/>
              <w:rPr>
                <w:rFonts w:ascii="ITC Avant Garde" w:hAnsi="ITC Avant Garde"/>
                <w:b/>
                <w:sz w:val="20"/>
                <w:szCs w:val="20"/>
                <w:lang w:val="es-ES"/>
              </w:rPr>
            </w:pPr>
            <w:r w:rsidRPr="00D936CA">
              <w:rPr>
                <w:rFonts w:ascii="ITC Avant Garde" w:hAnsi="ITC Avant Garde"/>
                <w:b/>
                <w:sz w:val="20"/>
                <w:szCs w:val="20"/>
                <w:lang w:val="es-ES"/>
              </w:rPr>
              <w:t>Responsabilidad de Telmex.</w:t>
            </w:r>
          </w:p>
        </w:tc>
      </w:tr>
      <w:tr w:rsidR="00D936CA" w:rsidRPr="00D936CA" w14:paraId="33CFE5C4" w14:textId="77777777" w:rsidTr="00B303D2">
        <w:trPr>
          <w:trHeight w:val="537"/>
        </w:trPr>
        <w:tc>
          <w:tcPr>
            <w:tcW w:w="1507" w:type="pct"/>
            <w:vAlign w:val="center"/>
          </w:tcPr>
          <w:p w14:paraId="33CFE5C0" w14:textId="77777777" w:rsidR="00530A32" w:rsidRPr="00D936CA" w:rsidRDefault="00011A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Existe servicio telefónico y/o de datos activo, provisto por Telmex.</w:t>
            </w:r>
          </w:p>
        </w:tc>
        <w:tc>
          <w:tcPr>
            <w:tcW w:w="1745" w:type="pct"/>
            <w:vAlign w:val="center"/>
          </w:tcPr>
          <w:p w14:paraId="33CFE5C1" w14:textId="77777777" w:rsidR="00530A32" w:rsidRPr="00D936CA" w:rsidRDefault="00011A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Existe acometida directa a la casa o edificio del usuario final</w:t>
            </w:r>
            <w:r w:rsidR="005670D1" w:rsidRPr="00D936CA">
              <w:rPr>
                <w:rFonts w:ascii="ITC Avant Garde" w:hAnsi="ITC Avant Garde"/>
                <w:sz w:val="20"/>
                <w:szCs w:val="20"/>
                <w:lang w:val="es-ES"/>
              </w:rPr>
              <w:t xml:space="preserve"> y permite brindar los servicios solicitados por el CS</w:t>
            </w:r>
            <w:r w:rsidRPr="00D936CA">
              <w:rPr>
                <w:rFonts w:ascii="ITC Avant Garde" w:hAnsi="ITC Avant Garde"/>
                <w:sz w:val="20"/>
                <w:szCs w:val="20"/>
                <w:lang w:val="es-ES"/>
              </w:rPr>
              <w:t>.</w:t>
            </w:r>
          </w:p>
        </w:tc>
        <w:tc>
          <w:tcPr>
            <w:tcW w:w="1748" w:type="pct"/>
            <w:vAlign w:val="center"/>
          </w:tcPr>
          <w:p w14:paraId="33CFE5C2" w14:textId="77777777" w:rsidR="00530A32" w:rsidRPr="00D936CA" w:rsidRDefault="00011A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 xml:space="preserve">El bucle se entrega con la acometida actual. </w:t>
            </w:r>
          </w:p>
          <w:p w14:paraId="33CFE5C3" w14:textId="77777777" w:rsidR="00530A32" w:rsidRPr="00D936CA" w:rsidRDefault="00A96FBE"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El mantenimiento de la Acometida, ya sea para su reparación o reemplazo será responsabilidad de Telmex.</w:t>
            </w:r>
          </w:p>
        </w:tc>
      </w:tr>
      <w:tr w:rsidR="00D936CA" w:rsidRPr="00D936CA" w14:paraId="33CFE5C9" w14:textId="77777777" w:rsidTr="00413423">
        <w:trPr>
          <w:trHeight w:val="2338"/>
        </w:trPr>
        <w:tc>
          <w:tcPr>
            <w:tcW w:w="1507" w:type="pct"/>
            <w:vAlign w:val="center"/>
          </w:tcPr>
          <w:p w14:paraId="33CFE5C5" w14:textId="77777777" w:rsidR="00A7291B" w:rsidRPr="00D936CA" w:rsidRDefault="00A729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lastRenderedPageBreak/>
              <w:t>No existe servicio activo al momento de la solicitud de desagregación, pero existen facilidades de Bucle o Sub-bucle</w:t>
            </w:r>
          </w:p>
        </w:tc>
        <w:tc>
          <w:tcPr>
            <w:tcW w:w="1745" w:type="pct"/>
            <w:vAlign w:val="center"/>
          </w:tcPr>
          <w:p w14:paraId="33CFE5C6" w14:textId="77777777" w:rsidR="00A7291B" w:rsidRPr="00D936CA" w:rsidRDefault="00A729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No existe acometida directa a la casa o edificio del usuario final</w:t>
            </w:r>
            <w:r w:rsidR="005670D1" w:rsidRPr="00D936CA">
              <w:rPr>
                <w:rFonts w:ascii="ITC Avant Garde" w:hAnsi="ITC Avant Garde"/>
                <w:sz w:val="20"/>
                <w:szCs w:val="20"/>
                <w:lang w:val="es-ES"/>
              </w:rPr>
              <w:t xml:space="preserve"> o la existente no permite brindar servicios solicitados por el CS</w:t>
            </w:r>
            <w:r w:rsidRPr="00D936CA">
              <w:rPr>
                <w:rFonts w:ascii="ITC Avant Garde" w:hAnsi="ITC Avant Garde"/>
                <w:sz w:val="20"/>
                <w:szCs w:val="20"/>
                <w:lang w:val="es-ES"/>
              </w:rPr>
              <w:t>.</w:t>
            </w:r>
          </w:p>
        </w:tc>
        <w:tc>
          <w:tcPr>
            <w:tcW w:w="1748" w:type="pct"/>
            <w:vAlign w:val="center"/>
          </w:tcPr>
          <w:p w14:paraId="33CFE5C7" w14:textId="77777777" w:rsidR="00A7291B" w:rsidRPr="00D936CA" w:rsidRDefault="00A729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 xml:space="preserve">Telmex debe instalar la acometida hasta el PCT, con cargo al CS. </w:t>
            </w:r>
          </w:p>
          <w:p w14:paraId="33CFE5C8" w14:textId="77777777" w:rsidR="00A7291B" w:rsidRPr="00D936CA" w:rsidRDefault="00A7291B"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El mantenimiento de la Acometida, ya sea para su reparación o reemplazo será responsabilidad de Telmex.</w:t>
            </w:r>
          </w:p>
        </w:tc>
      </w:tr>
      <w:tr w:rsidR="00D936CA" w:rsidRPr="00D936CA" w14:paraId="33CFE5CE" w14:textId="77777777" w:rsidTr="00413423">
        <w:trPr>
          <w:trHeight w:val="2338"/>
        </w:trPr>
        <w:tc>
          <w:tcPr>
            <w:tcW w:w="1507" w:type="pct"/>
            <w:vAlign w:val="center"/>
          </w:tcPr>
          <w:p w14:paraId="33CFE5CA" w14:textId="77777777" w:rsidR="005670D1" w:rsidRPr="00D936CA" w:rsidRDefault="005670D1"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No existe servicio activo al momento de la solicitud de desagregación, pero existe acometida directa a la casa o edificio del usuario final.</w:t>
            </w:r>
          </w:p>
        </w:tc>
        <w:tc>
          <w:tcPr>
            <w:tcW w:w="1745" w:type="pct"/>
            <w:vAlign w:val="center"/>
          </w:tcPr>
          <w:p w14:paraId="33CFE5CB" w14:textId="77777777" w:rsidR="005670D1" w:rsidRPr="00D936CA" w:rsidRDefault="005670D1"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Existe acometida directa a la casa o edificio del usuario final y permite brindar los servicios solicitados por el CS.</w:t>
            </w:r>
          </w:p>
        </w:tc>
        <w:tc>
          <w:tcPr>
            <w:tcW w:w="1748" w:type="pct"/>
            <w:vAlign w:val="center"/>
          </w:tcPr>
          <w:p w14:paraId="33CFE5CC" w14:textId="77777777" w:rsidR="005670D1" w:rsidRPr="00D936CA" w:rsidRDefault="005670D1"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 xml:space="preserve">El bucle se entrega con la acometida actual. </w:t>
            </w:r>
          </w:p>
          <w:p w14:paraId="33CFE5CD" w14:textId="77777777" w:rsidR="005670D1" w:rsidRPr="00D936CA" w:rsidRDefault="005670D1" w:rsidP="00D936CA">
            <w:pPr>
              <w:spacing w:before="60" w:after="60" w:line="276" w:lineRule="auto"/>
              <w:rPr>
                <w:rFonts w:ascii="ITC Avant Garde" w:hAnsi="ITC Avant Garde"/>
                <w:sz w:val="20"/>
                <w:szCs w:val="20"/>
                <w:lang w:val="es-ES"/>
              </w:rPr>
            </w:pPr>
            <w:r w:rsidRPr="00D936CA">
              <w:rPr>
                <w:rFonts w:ascii="ITC Avant Garde" w:hAnsi="ITC Avant Garde"/>
                <w:sz w:val="20"/>
                <w:szCs w:val="20"/>
                <w:lang w:val="es-ES"/>
              </w:rPr>
              <w:t>El mantenimiento de la Acometida, ya sea para su reparación o reemplazo será responsabilidad de Telmex.</w:t>
            </w:r>
          </w:p>
        </w:tc>
      </w:tr>
    </w:tbl>
    <w:p w14:paraId="33CFE5CF" w14:textId="77777777" w:rsidR="00DF07CF" w:rsidRPr="00D936CA" w:rsidRDefault="00424F8D" w:rsidP="00D936CA">
      <w:pPr>
        <w:spacing w:before="120" w:after="200" w:line="276" w:lineRule="auto"/>
        <w:ind w:firstLine="1"/>
        <w:jc w:val="center"/>
        <w:rPr>
          <w:rFonts w:ascii="ITC Avant Garde" w:hAnsi="ITC Avant Garde"/>
          <w:sz w:val="18"/>
          <w:szCs w:val="18"/>
          <w:lang w:val="es-MX"/>
        </w:rPr>
      </w:pPr>
      <w:r w:rsidRPr="00D936CA">
        <w:rPr>
          <w:rFonts w:ascii="ITC Avant Garde" w:hAnsi="ITC Avant Garde"/>
          <w:sz w:val="18"/>
          <w:szCs w:val="18"/>
          <w:lang w:val="es-MX"/>
        </w:rPr>
        <w:t>Tabla 5</w:t>
      </w:r>
      <w:r w:rsidR="00397F98" w:rsidRPr="00D936CA">
        <w:rPr>
          <w:rFonts w:ascii="ITC Avant Garde" w:hAnsi="ITC Avant Garde"/>
          <w:sz w:val="18"/>
          <w:szCs w:val="18"/>
          <w:lang w:val="es-MX"/>
        </w:rPr>
        <w:t xml:space="preserve"> </w:t>
      </w:r>
      <w:r w:rsidR="00011A1B" w:rsidRPr="00D936CA">
        <w:rPr>
          <w:rFonts w:ascii="ITC Avant Garde" w:hAnsi="ITC Avant Garde"/>
          <w:sz w:val="18"/>
          <w:szCs w:val="18"/>
          <w:lang w:val="es-MX"/>
        </w:rPr>
        <w:t>Situación de la acometida al usuario final.</w:t>
      </w:r>
    </w:p>
    <w:p w14:paraId="33CFE5D0" w14:textId="77777777" w:rsidR="005670D1" w:rsidRPr="00D936CA" w:rsidRDefault="005670D1" w:rsidP="00D936CA">
      <w:pPr>
        <w:pStyle w:val="IFTnormal"/>
      </w:pPr>
      <w:r w:rsidRPr="00D936CA">
        <w:t>En los casos en que se nece</w:t>
      </w:r>
      <w:r w:rsidR="001C1AEA" w:rsidRPr="00D936CA">
        <w:t>s</w:t>
      </w:r>
      <w:r w:rsidRPr="00D936CA">
        <w:t>ite instalar la acometida, el alcance del servic</w:t>
      </w:r>
      <w:r w:rsidR="001C1AEA" w:rsidRPr="00D936CA">
        <w:t>i</w:t>
      </w:r>
      <w:r w:rsidRPr="00D936CA">
        <w:t>o inclu</w:t>
      </w:r>
      <w:r w:rsidR="001C1AEA" w:rsidRPr="00D936CA">
        <w:t>i</w:t>
      </w:r>
      <w:r w:rsidRPr="00D936CA">
        <w:t>r</w:t>
      </w:r>
      <w:r w:rsidR="001C1AEA" w:rsidRPr="00D936CA">
        <w:t>á</w:t>
      </w:r>
      <w:r w:rsidRPr="00D936CA">
        <w:t xml:space="preserve"> la instalación de la misma, así como el primer </w:t>
      </w:r>
      <w:r w:rsidR="004749A2" w:rsidRPr="00D936CA">
        <w:t>CIC</w:t>
      </w:r>
      <w:r w:rsidRPr="00D936CA">
        <w:t xml:space="preserve">, por lo que el </w:t>
      </w:r>
      <w:r w:rsidR="001C1AEA" w:rsidRPr="00D936CA">
        <w:t>servicio</w:t>
      </w:r>
      <w:r w:rsidRPr="00D936CA">
        <w:t xml:space="preserve"> incluye el </w:t>
      </w:r>
      <w:r w:rsidR="001C1AEA" w:rsidRPr="00D936CA">
        <w:t>cableado</w:t>
      </w:r>
      <w:r w:rsidRPr="00D936CA">
        <w:t xml:space="preserve"> necesario para cubrir:</w:t>
      </w:r>
    </w:p>
    <w:p w14:paraId="33CFE5D1" w14:textId="77777777" w:rsidR="005670D1" w:rsidRPr="00D936CA" w:rsidRDefault="005670D1" w:rsidP="00D936CA">
      <w:pPr>
        <w:pStyle w:val="IFTnormal"/>
      </w:pPr>
      <w:r w:rsidRPr="00D936CA">
        <w:t>Para acometida de cobre:</w:t>
      </w:r>
    </w:p>
    <w:p w14:paraId="33CFE5D2" w14:textId="77777777" w:rsidR="005670D1" w:rsidRPr="00D936CA" w:rsidRDefault="005670D1" w:rsidP="00D936CA">
      <w:pPr>
        <w:pStyle w:val="CondicionesFinales"/>
        <w:numPr>
          <w:ilvl w:val="0"/>
          <w:numId w:val="89"/>
        </w:numPr>
        <w:rPr>
          <w:color w:val="auto"/>
        </w:rPr>
      </w:pPr>
      <w:r w:rsidRPr="00D936CA">
        <w:rPr>
          <w:color w:val="auto"/>
        </w:rPr>
        <w:t>Bajante</w:t>
      </w:r>
    </w:p>
    <w:p w14:paraId="33CFE5D3" w14:textId="77777777" w:rsidR="005670D1" w:rsidRPr="00D936CA" w:rsidRDefault="005670D1" w:rsidP="00D936CA">
      <w:pPr>
        <w:pStyle w:val="CondicionesFinales"/>
        <w:numPr>
          <w:ilvl w:val="0"/>
          <w:numId w:val="89"/>
        </w:numPr>
        <w:rPr>
          <w:color w:val="auto"/>
        </w:rPr>
      </w:pPr>
      <w:r w:rsidRPr="00D936CA">
        <w:rPr>
          <w:color w:val="auto"/>
        </w:rPr>
        <w:t>DIT</w:t>
      </w:r>
    </w:p>
    <w:p w14:paraId="33CFE5D4" w14:textId="77777777" w:rsidR="005670D1" w:rsidRPr="00D936CA" w:rsidRDefault="005670D1" w:rsidP="00D936CA">
      <w:pPr>
        <w:pStyle w:val="CondicionesFinales"/>
        <w:numPr>
          <w:ilvl w:val="0"/>
          <w:numId w:val="89"/>
        </w:numPr>
        <w:rPr>
          <w:color w:val="auto"/>
        </w:rPr>
      </w:pPr>
      <w:r w:rsidRPr="00D936CA">
        <w:rPr>
          <w:color w:val="auto"/>
        </w:rPr>
        <w:t>Ro</w:t>
      </w:r>
      <w:r w:rsidR="007C693D" w:rsidRPr="00D936CA">
        <w:rPr>
          <w:color w:val="auto"/>
        </w:rPr>
        <w:t>s</w:t>
      </w:r>
      <w:r w:rsidRPr="00D936CA">
        <w:rPr>
          <w:color w:val="auto"/>
        </w:rPr>
        <w:t>eta</w:t>
      </w:r>
    </w:p>
    <w:p w14:paraId="33CFE5D5" w14:textId="77777777" w:rsidR="005670D1" w:rsidRPr="00D936CA" w:rsidRDefault="005670D1" w:rsidP="00D936CA">
      <w:pPr>
        <w:pStyle w:val="IFTnormal"/>
      </w:pPr>
      <w:r w:rsidRPr="00D936CA">
        <w:t>Para acometida de fibra:</w:t>
      </w:r>
    </w:p>
    <w:p w14:paraId="33CFE5D6" w14:textId="77777777" w:rsidR="005670D1" w:rsidRPr="00D936CA" w:rsidRDefault="005670D1" w:rsidP="00D936CA">
      <w:pPr>
        <w:pStyle w:val="CondicionesFinales"/>
        <w:numPr>
          <w:ilvl w:val="0"/>
          <w:numId w:val="89"/>
        </w:numPr>
        <w:rPr>
          <w:color w:val="auto"/>
        </w:rPr>
      </w:pPr>
      <w:r w:rsidRPr="00D936CA">
        <w:rPr>
          <w:color w:val="auto"/>
        </w:rPr>
        <w:t>Bajante óptico</w:t>
      </w:r>
    </w:p>
    <w:p w14:paraId="33CFE5D7" w14:textId="77777777" w:rsidR="005670D1" w:rsidRPr="00D936CA" w:rsidRDefault="005670D1" w:rsidP="00D936CA">
      <w:pPr>
        <w:pStyle w:val="CondicionesFinales"/>
        <w:numPr>
          <w:ilvl w:val="0"/>
          <w:numId w:val="89"/>
        </w:numPr>
        <w:rPr>
          <w:color w:val="auto"/>
          <w:lang w:val="es-ES"/>
        </w:rPr>
      </w:pPr>
      <w:r w:rsidRPr="00D936CA">
        <w:rPr>
          <w:color w:val="auto"/>
        </w:rPr>
        <w:t xml:space="preserve">Jumper </w:t>
      </w:r>
    </w:p>
    <w:p w14:paraId="33CFE5D8" w14:textId="77777777" w:rsidR="005670D1" w:rsidRPr="00D936CA" w:rsidRDefault="005670D1" w:rsidP="00D936CA">
      <w:pPr>
        <w:pStyle w:val="CondicionesFinales"/>
        <w:numPr>
          <w:ilvl w:val="0"/>
          <w:numId w:val="89"/>
        </w:numPr>
        <w:rPr>
          <w:color w:val="auto"/>
          <w:lang w:val="es-ES"/>
        </w:rPr>
      </w:pPr>
      <w:r w:rsidRPr="00D936CA">
        <w:rPr>
          <w:color w:val="auto"/>
        </w:rPr>
        <w:t>Ro</w:t>
      </w:r>
      <w:r w:rsidR="007C693D" w:rsidRPr="00D936CA">
        <w:rPr>
          <w:color w:val="auto"/>
        </w:rPr>
        <w:t>s</w:t>
      </w:r>
      <w:r w:rsidRPr="00D936CA">
        <w:rPr>
          <w:color w:val="auto"/>
        </w:rPr>
        <w:t>eta óptica</w:t>
      </w:r>
    </w:p>
    <w:p w14:paraId="33CFE5DA" w14:textId="6A1F8D04" w:rsidR="00B473FF" w:rsidRPr="00D936CA" w:rsidRDefault="00011A1B" w:rsidP="00D936CA">
      <w:pPr>
        <w:pStyle w:val="Texto1"/>
        <w:spacing w:after="200" w:line="276" w:lineRule="auto"/>
        <w:ind w:left="0"/>
        <w:rPr>
          <w:rFonts w:ascii="ITC Avant Garde" w:hAnsi="ITC Avant Garde"/>
          <w:sz w:val="22"/>
          <w:szCs w:val="22"/>
          <w:lang w:val="es-ES"/>
        </w:rPr>
      </w:pPr>
      <w:r w:rsidRPr="00D936CA">
        <w:rPr>
          <w:rFonts w:ascii="ITC Avant Garde" w:hAnsi="ITC Avant Garde"/>
          <w:sz w:val="22"/>
          <w:szCs w:val="22"/>
          <w:lang w:val="es-ES"/>
        </w:rPr>
        <w:t xml:space="preserve">Cuando Telmex instale la acometida o sea necesario que adecue la acometida existente, el CS deberá </w:t>
      </w:r>
      <w:r w:rsidR="00220D97" w:rsidRPr="00D936CA">
        <w:rPr>
          <w:rFonts w:ascii="ITC Avant Garde" w:hAnsi="ITC Avant Garde"/>
          <w:sz w:val="22"/>
          <w:szCs w:val="22"/>
          <w:lang w:val="es-ES"/>
        </w:rPr>
        <w:t>procurar</w:t>
      </w:r>
      <w:r w:rsidRPr="00D936CA">
        <w:rPr>
          <w:rFonts w:ascii="ITC Avant Garde" w:hAnsi="ITC Avant Garde"/>
          <w:sz w:val="22"/>
          <w:szCs w:val="22"/>
          <w:lang w:val="es-ES"/>
        </w:rPr>
        <w:t xml:space="preserve"> que el usuario se encuentre en el domicilio, y que éste permitirá el </w:t>
      </w:r>
      <w:r w:rsidRPr="00D936CA">
        <w:rPr>
          <w:rFonts w:ascii="ITC Avant Garde" w:hAnsi="ITC Avant Garde"/>
          <w:sz w:val="22"/>
          <w:szCs w:val="22"/>
          <w:lang w:val="es-ES"/>
        </w:rPr>
        <w:lastRenderedPageBreak/>
        <w:t>acceso a Telmex</w:t>
      </w:r>
      <w:r w:rsidR="000657B0" w:rsidRPr="00D936CA">
        <w:rPr>
          <w:rFonts w:ascii="ITC Avant Garde" w:hAnsi="ITC Avant Garde"/>
          <w:sz w:val="22"/>
          <w:szCs w:val="22"/>
          <w:lang w:val="es-ES"/>
        </w:rPr>
        <w:t xml:space="preserve"> para la instalación del CIC que va acompañado con la instalación de la acometida para la entrega del servicio ya sea en cobre o fibra óptica</w:t>
      </w:r>
      <w:r w:rsidRPr="00D936CA">
        <w:rPr>
          <w:rFonts w:ascii="ITC Avant Garde" w:hAnsi="ITC Avant Garde"/>
          <w:sz w:val="22"/>
          <w:szCs w:val="22"/>
          <w:lang w:val="es-ES"/>
        </w:rPr>
        <w:t xml:space="preserve">. En caso de visita en falso </w:t>
      </w:r>
      <w:r w:rsidR="000657B0" w:rsidRPr="00D936CA">
        <w:rPr>
          <w:rFonts w:ascii="ITC Avant Garde" w:hAnsi="ITC Avant Garde"/>
          <w:sz w:val="22"/>
          <w:szCs w:val="22"/>
          <w:lang w:val="es-ES"/>
        </w:rPr>
        <w:t>se aplicará cobro al CS.</w:t>
      </w:r>
      <w:r w:rsidR="006201BD" w:rsidRPr="00D936CA">
        <w:rPr>
          <w:rFonts w:ascii="ITC Avant Garde" w:hAnsi="ITC Avant Garde"/>
          <w:sz w:val="22"/>
          <w:szCs w:val="22"/>
          <w:lang w:val="es-ES"/>
        </w:rPr>
        <w:t xml:space="preserve"> </w:t>
      </w:r>
      <w:r w:rsidR="000657B0" w:rsidRPr="00D936CA">
        <w:rPr>
          <w:rFonts w:ascii="ITC Avant Garde" w:hAnsi="ITC Avant Garde"/>
          <w:sz w:val="22"/>
          <w:szCs w:val="22"/>
          <w:lang w:val="es-ES"/>
        </w:rPr>
        <w:t>E</w:t>
      </w:r>
      <w:r w:rsidR="006201BD" w:rsidRPr="00D936CA">
        <w:rPr>
          <w:rFonts w:ascii="ITC Avant Garde" w:hAnsi="ITC Avant Garde"/>
          <w:sz w:val="22"/>
          <w:szCs w:val="22"/>
          <w:lang w:val="es-ES"/>
        </w:rPr>
        <w:t xml:space="preserve">n caso de que no se instale la acometida por responsabilidad de Telmex, </w:t>
      </w:r>
      <w:r w:rsidR="00496C1A" w:rsidRPr="00D936CA">
        <w:rPr>
          <w:rFonts w:ascii="ITC Avant Garde" w:hAnsi="ITC Avant Garde"/>
          <w:sz w:val="22"/>
          <w:szCs w:val="22"/>
          <w:lang w:val="es-ES"/>
        </w:rPr>
        <w:t xml:space="preserve">éste </w:t>
      </w:r>
      <w:r w:rsidR="006201BD" w:rsidRPr="00D936CA">
        <w:rPr>
          <w:rFonts w:ascii="ITC Avant Garde" w:hAnsi="ITC Avant Garde"/>
          <w:sz w:val="22"/>
          <w:szCs w:val="22"/>
          <w:lang w:val="es-ES"/>
        </w:rPr>
        <w:t xml:space="preserve">se hará acreedor a la pena correspondiente según lo estipulado en el </w:t>
      </w:r>
      <w:r w:rsidR="00496C1A" w:rsidRPr="00D936CA">
        <w:rPr>
          <w:rFonts w:ascii="ITC Avant Garde" w:hAnsi="ITC Avant Garde"/>
          <w:sz w:val="22"/>
          <w:szCs w:val="22"/>
          <w:lang w:val="es-ES"/>
        </w:rPr>
        <w:t xml:space="preserve">Anexo </w:t>
      </w:r>
      <w:r w:rsidR="006201BD" w:rsidRPr="00D936CA">
        <w:rPr>
          <w:rFonts w:ascii="ITC Avant Garde" w:hAnsi="ITC Avant Garde"/>
          <w:sz w:val="22"/>
          <w:szCs w:val="22"/>
          <w:lang w:val="es-ES"/>
        </w:rPr>
        <w:t>B</w:t>
      </w:r>
      <w:r w:rsidRPr="00D936CA">
        <w:rPr>
          <w:rFonts w:ascii="ITC Avant Garde" w:hAnsi="ITC Avant Garde"/>
          <w:sz w:val="22"/>
          <w:szCs w:val="22"/>
          <w:lang w:val="es-ES"/>
        </w:rPr>
        <w:t xml:space="preserve">. </w:t>
      </w:r>
      <w:r w:rsidR="00B66335" w:rsidRPr="00D936CA">
        <w:rPr>
          <w:rFonts w:ascii="ITC Avant Garde" w:hAnsi="ITC Avant Garde"/>
          <w:sz w:val="22"/>
          <w:szCs w:val="22"/>
          <w:lang w:val="es-ES"/>
        </w:rPr>
        <w:t>Cuando se trate de un cambio de tecnología de cobre a fibra óptica, se considerará como un usuario nuevo sin acometida, en caso de que no exista tal.</w:t>
      </w:r>
    </w:p>
    <w:p w14:paraId="33CFE5DB" w14:textId="7C2A3183" w:rsidR="00527CB3" w:rsidRPr="00D936CA" w:rsidRDefault="001E05FB" w:rsidP="00D936CA">
      <w:pPr>
        <w:pStyle w:val="Ttulo2"/>
        <w:ind w:left="851" w:hanging="425"/>
      </w:pPr>
      <w:bookmarkStart w:id="82" w:name="_Toc467248679"/>
      <w:bookmarkStart w:id="83" w:name="_Toc518031950"/>
      <w:bookmarkStart w:id="84" w:name="_Toc436840867"/>
      <w:bookmarkStart w:id="85" w:name="_Toc436846304"/>
      <w:bookmarkStart w:id="86" w:name="_Toc436848254"/>
      <w:bookmarkStart w:id="87" w:name="_Toc436856502"/>
      <w:bookmarkStart w:id="88" w:name="_Toc436862648"/>
      <w:bookmarkStart w:id="89" w:name="_Toc436866298"/>
      <w:bookmarkStart w:id="90" w:name="_Toc436870877"/>
      <w:bookmarkStart w:id="91" w:name="_Toc436875869"/>
      <w:r w:rsidRPr="00D936CA">
        <w:t xml:space="preserve">1.4 </w:t>
      </w:r>
      <w:r w:rsidR="00527CB3" w:rsidRPr="00D936CA">
        <w:t>Disponibilidad de recursos</w:t>
      </w:r>
      <w:bookmarkEnd w:id="82"/>
      <w:bookmarkEnd w:id="83"/>
      <w:r w:rsidR="00527CB3" w:rsidRPr="00D936CA">
        <w:t xml:space="preserve"> </w:t>
      </w:r>
    </w:p>
    <w:p w14:paraId="33CFE5DC" w14:textId="77777777" w:rsidR="00530A32" w:rsidRPr="00D936CA" w:rsidRDefault="00527CB3" w:rsidP="00D936CA">
      <w:pPr>
        <w:ind w:left="1276" w:hanging="425"/>
        <w:outlineLvl w:val="2"/>
        <w:rPr>
          <w:rFonts w:ascii="ITC Avant Garde" w:hAnsi="ITC Avant Garde"/>
          <w:b/>
          <w:sz w:val="22"/>
        </w:rPr>
      </w:pPr>
      <w:bookmarkStart w:id="92" w:name="_Toc467248680"/>
      <w:bookmarkStart w:id="93" w:name="_Toc518031951"/>
      <w:r w:rsidRPr="00D936CA">
        <w:rPr>
          <w:rFonts w:ascii="ITC Avant Garde" w:hAnsi="ITC Avant Garde"/>
          <w:b/>
          <w:sz w:val="22"/>
        </w:rPr>
        <w:t>1.4.1.</w:t>
      </w:r>
      <w:r w:rsidRPr="00D936CA">
        <w:rPr>
          <w:rFonts w:ascii="ITC Avant Garde" w:hAnsi="ITC Avant Garde"/>
          <w:b/>
          <w:sz w:val="22"/>
        </w:rPr>
        <w:tab/>
      </w:r>
      <w:r w:rsidR="00011A1B" w:rsidRPr="00D936CA">
        <w:rPr>
          <w:rFonts w:ascii="ITC Avant Garde" w:hAnsi="ITC Avant Garde"/>
          <w:b/>
          <w:sz w:val="22"/>
        </w:rPr>
        <w:t>Recursos de red asociados a los servicios</w:t>
      </w:r>
      <w:bookmarkEnd w:id="84"/>
      <w:bookmarkEnd w:id="85"/>
      <w:bookmarkEnd w:id="86"/>
      <w:bookmarkEnd w:id="87"/>
      <w:bookmarkEnd w:id="88"/>
      <w:bookmarkEnd w:id="89"/>
      <w:bookmarkEnd w:id="90"/>
      <w:bookmarkEnd w:id="91"/>
      <w:bookmarkEnd w:id="92"/>
      <w:bookmarkEnd w:id="93"/>
    </w:p>
    <w:p w14:paraId="33CFE5DD" w14:textId="77777777" w:rsidR="003A1941" w:rsidRPr="00D936CA" w:rsidRDefault="003A1941" w:rsidP="00D936CA"/>
    <w:p w14:paraId="33CFE5DE" w14:textId="2FC1C424" w:rsidR="00D961CB" w:rsidRPr="00D936CA" w:rsidRDefault="00011A1B" w:rsidP="00D936CA">
      <w:pPr>
        <w:pStyle w:val="Texto1"/>
        <w:spacing w:after="200" w:line="276" w:lineRule="auto"/>
        <w:ind w:left="0"/>
        <w:rPr>
          <w:rFonts w:ascii="ITC Avant Garde" w:hAnsi="ITC Avant Garde"/>
          <w:sz w:val="22"/>
          <w:szCs w:val="22"/>
          <w:lang w:val="es-ES"/>
        </w:rPr>
      </w:pPr>
      <w:r w:rsidRPr="00D936CA">
        <w:rPr>
          <w:rFonts w:ascii="ITC Avant Garde" w:hAnsi="ITC Avant Garde"/>
          <w:sz w:val="22"/>
          <w:szCs w:val="22"/>
          <w:lang w:val="es-ES"/>
        </w:rPr>
        <w:t xml:space="preserve">Telmex prestará los servicios de desagregación </w:t>
      </w:r>
      <w:r w:rsidR="003106A7" w:rsidRPr="00D936CA">
        <w:rPr>
          <w:rFonts w:ascii="ITC Avant Garde" w:hAnsi="ITC Avant Garde"/>
          <w:sz w:val="22"/>
          <w:szCs w:val="22"/>
          <w:lang w:val="es-ES"/>
        </w:rPr>
        <w:t xml:space="preserve">sin que sea necesaria la revisión de disponibilidad de los recursos de red </w:t>
      </w:r>
      <w:r w:rsidRPr="00D936CA">
        <w:rPr>
          <w:rFonts w:ascii="ITC Avant Garde" w:hAnsi="ITC Avant Garde"/>
          <w:sz w:val="22"/>
          <w:szCs w:val="22"/>
          <w:lang w:val="es-ES"/>
        </w:rPr>
        <w:t xml:space="preserve">en todos los casos en que el usuario final cuente con servicio </w:t>
      </w:r>
      <w:r w:rsidR="008F3E7B" w:rsidRPr="00D936CA">
        <w:rPr>
          <w:rFonts w:ascii="ITC Avant Garde" w:hAnsi="ITC Avant Garde"/>
          <w:sz w:val="22"/>
          <w:szCs w:val="22"/>
          <w:lang w:val="es-ES"/>
        </w:rPr>
        <w:t>telefónico o</w:t>
      </w:r>
      <w:r w:rsidRPr="00D936CA">
        <w:rPr>
          <w:rFonts w:ascii="ITC Avant Garde" w:hAnsi="ITC Avant Garde"/>
          <w:sz w:val="22"/>
          <w:szCs w:val="22"/>
          <w:lang w:val="es-ES"/>
        </w:rPr>
        <w:t xml:space="preserve"> de datos activo provisto por Telmex</w:t>
      </w:r>
      <w:r w:rsidR="00AD0A9C" w:rsidRPr="00D936CA">
        <w:rPr>
          <w:rFonts w:ascii="ITC Avant Garde" w:hAnsi="ITC Avant Garde"/>
          <w:sz w:val="22"/>
          <w:szCs w:val="22"/>
          <w:lang w:val="es-ES"/>
        </w:rPr>
        <w:t xml:space="preserve"> </w:t>
      </w:r>
      <w:r w:rsidR="00D961CB" w:rsidRPr="00D936CA">
        <w:rPr>
          <w:rFonts w:ascii="ITC Avant Garde" w:hAnsi="ITC Avant Garde"/>
          <w:sz w:val="22"/>
          <w:szCs w:val="22"/>
          <w:lang w:val="es-ES"/>
        </w:rPr>
        <w:t>o exista acometida en el domicilio del usuario final que permita la prestación de los servicios</w:t>
      </w:r>
      <w:r w:rsidR="00D677F3" w:rsidRPr="00D936CA">
        <w:rPr>
          <w:rFonts w:ascii="ITC Avant Garde" w:hAnsi="ITC Avant Garde"/>
          <w:sz w:val="22"/>
          <w:szCs w:val="22"/>
          <w:lang w:val="es-ES"/>
        </w:rPr>
        <w:t xml:space="preserve">. </w:t>
      </w:r>
      <w:r w:rsidR="00D961CB" w:rsidRPr="00D936CA">
        <w:rPr>
          <w:rFonts w:ascii="ITC Avant Garde" w:hAnsi="ITC Avant Garde"/>
          <w:sz w:val="22"/>
          <w:szCs w:val="22"/>
          <w:lang w:val="es-ES"/>
        </w:rPr>
        <w:t>En estos casos y específicamente cuando se solicite SRI, SRP o SAIB tampoco será necesaria la revisión de recursos de red y factibilidad técnica si los CS solicitan velocidades de internet iguales o menores a la velocidad máxima soportada por el bucle. Para esto Telmex se responsabiliza a:</w:t>
      </w:r>
      <w:r w:rsidR="00D677F3" w:rsidRPr="00D936CA">
        <w:rPr>
          <w:rFonts w:ascii="ITC Avant Garde" w:hAnsi="ITC Avant Garde"/>
          <w:sz w:val="22"/>
          <w:szCs w:val="22"/>
          <w:lang w:val="es-ES"/>
        </w:rPr>
        <w:t xml:space="preserve"> </w:t>
      </w:r>
    </w:p>
    <w:p w14:paraId="33CFE5DF" w14:textId="2B7DED6E" w:rsidR="00D961CB" w:rsidRPr="00D936CA" w:rsidRDefault="00D961CB" w:rsidP="00D936CA">
      <w:pPr>
        <w:pStyle w:val="IFTnormal"/>
        <w:numPr>
          <w:ilvl w:val="0"/>
          <w:numId w:val="120"/>
        </w:numPr>
        <w:rPr>
          <w:lang w:val="es-ES"/>
        </w:rPr>
      </w:pPr>
      <w:r w:rsidRPr="00D936CA">
        <w:t>Registrar en las bases de datos a la</w:t>
      </w:r>
      <w:r w:rsidR="00D36252">
        <w:t>s</w:t>
      </w:r>
      <w:r w:rsidRPr="00D936CA">
        <w:t xml:space="preserve"> que los CS tendrán acceso según lo estipulado en la sección 3 de la OREDA, la velocidad de Internet máxima factible asociados a una dirección especifica.</w:t>
      </w:r>
    </w:p>
    <w:p w14:paraId="33CFE5E0" w14:textId="084DD8E2" w:rsidR="00530A32" w:rsidRPr="00D936CA" w:rsidRDefault="00D961CB" w:rsidP="00D936CA">
      <w:pPr>
        <w:pStyle w:val="IFTnormal"/>
        <w:numPr>
          <w:ilvl w:val="0"/>
          <w:numId w:val="120"/>
        </w:numPr>
        <w:rPr>
          <w:lang w:val="es-ES"/>
        </w:rPr>
      </w:pPr>
      <w:r w:rsidRPr="00D936CA">
        <w:t>En caso de que una velocidad máxima esté reportada en las bases de datos, Telmex se obliga a brindar este perfil de velocidad, sin que esto implique algún cobro extra o retraso al CS o en su caso penalización</w:t>
      </w:r>
      <w:r w:rsidR="00E270E3">
        <w:t>.</w:t>
      </w:r>
    </w:p>
    <w:p w14:paraId="33CFE5E1" w14:textId="5771BDAD" w:rsidR="00D961CB" w:rsidRPr="00D936CA" w:rsidRDefault="00D961CB" w:rsidP="00D936CA">
      <w:pPr>
        <w:pStyle w:val="IFTnormal"/>
      </w:pPr>
      <w:r w:rsidRPr="00132BD5">
        <w:t xml:space="preserve">Conforme </w:t>
      </w:r>
      <w:r w:rsidR="00E270E3">
        <w:t>a</w:t>
      </w:r>
      <w:r w:rsidRPr="00132BD5">
        <w:t xml:space="preserve">l apartado </w:t>
      </w:r>
      <w:r w:rsidR="00011A1B" w:rsidRPr="00132BD5">
        <w:t>anterior</w:t>
      </w:r>
      <w:r w:rsidRPr="00132BD5">
        <w:t xml:space="preserve"> Telmex también brindará los servicios cuando no existan acometidas a los domicilios de los usuarios</w:t>
      </w:r>
      <w:r w:rsidR="00132BD5">
        <w:t>,</w:t>
      </w:r>
      <w:r w:rsidRPr="00132BD5">
        <w:t xml:space="preserve"> pero se cuente con los recursos de red asociados para prestar los servicios a dichos domicilios. La ausencia de recursos de red será notificada a los CS mediante</w:t>
      </w:r>
      <w:r w:rsidR="00ED7342" w:rsidRPr="00132BD5">
        <w:t>, entre otras,</w:t>
      </w:r>
      <w:r w:rsidRPr="00132BD5">
        <w:t xml:space="preserve"> las siguientes etiquetas del sistema:</w:t>
      </w:r>
    </w:p>
    <w:p w14:paraId="33CFE5E2"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SRL</w:t>
      </w:r>
      <w:r w:rsidRPr="00D936CA">
        <w:rPr>
          <w:rFonts w:ascii="ITC Avant Garde" w:hAnsi="ITC Avant Garde"/>
          <w:sz w:val="22"/>
          <w:szCs w:val="22"/>
        </w:rPr>
        <w:t xml:space="preserve">: </w:t>
      </w:r>
    </w:p>
    <w:p w14:paraId="33CFE5E3" w14:textId="77777777" w:rsidR="00D961CB" w:rsidRPr="00D936CA" w:rsidRDefault="00D961CB" w:rsidP="00D936CA">
      <w:pPr>
        <w:pStyle w:val="Texto1"/>
        <w:numPr>
          <w:ilvl w:val="0"/>
          <w:numId w:val="79"/>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Líneas Telefónicas; </w:t>
      </w:r>
    </w:p>
    <w:p w14:paraId="33CFE5E5" w14:textId="3F22BE45" w:rsidR="00D961CB" w:rsidRPr="00D936CA" w:rsidRDefault="00D961CB" w:rsidP="00D936CA">
      <w:pPr>
        <w:pStyle w:val="Texto1"/>
        <w:numPr>
          <w:ilvl w:val="0"/>
          <w:numId w:val="79"/>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Principal; </w:t>
      </w:r>
    </w:p>
    <w:p w14:paraId="33CFE5E6" w14:textId="77777777" w:rsidR="00D961CB" w:rsidRPr="00D936CA" w:rsidRDefault="00D961CB" w:rsidP="00D936CA">
      <w:pPr>
        <w:pStyle w:val="Texto1"/>
        <w:numPr>
          <w:ilvl w:val="0"/>
          <w:numId w:val="79"/>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Secundaria; </w:t>
      </w:r>
    </w:p>
    <w:p w14:paraId="33CFE5E7"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SRI y SRP</w:t>
      </w:r>
      <w:r w:rsidRPr="00D936CA">
        <w:rPr>
          <w:rFonts w:ascii="ITC Avant Garde" w:hAnsi="ITC Avant Garde"/>
          <w:sz w:val="22"/>
          <w:szCs w:val="22"/>
        </w:rPr>
        <w:t xml:space="preserve">: </w:t>
      </w:r>
    </w:p>
    <w:p w14:paraId="33CFE5E8" w14:textId="77777777" w:rsidR="00D961CB" w:rsidRPr="00D936CA" w:rsidRDefault="00D961CB" w:rsidP="00D936CA">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lastRenderedPageBreak/>
        <w:t xml:space="preserve">No hay facilidades de Líneas Telefónicas; </w:t>
      </w:r>
    </w:p>
    <w:p w14:paraId="33CFE5E9" w14:textId="77777777" w:rsidR="00D961CB" w:rsidRPr="00D936CA" w:rsidRDefault="00D961CB" w:rsidP="00D936CA">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Principal; </w:t>
      </w:r>
    </w:p>
    <w:p w14:paraId="33CFE5EA" w14:textId="77777777" w:rsidR="00D961CB" w:rsidRPr="00D936CA" w:rsidRDefault="00D961CB" w:rsidP="00D936CA">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Secundaria; </w:t>
      </w:r>
    </w:p>
    <w:p w14:paraId="33CFE5EB" w14:textId="77777777" w:rsidR="00D961CB" w:rsidRPr="00D936CA" w:rsidRDefault="00D961CB" w:rsidP="00D936CA">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t xml:space="preserve">Calificación del Bucle (Distancia/Velocidad) inadecuada; </w:t>
      </w:r>
    </w:p>
    <w:p w14:paraId="483BB85E" w14:textId="13C2715F" w:rsidR="001E6D44" w:rsidRDefault="001E6D44" w:rsidP="00D936CA">
      <w:pPr>
        <w:pStyle w:val="Texto1"/>
        <w:spacing w:after="200" w:line="276" w:lineRule="auto"/>
        <w:ind w:left="720"/>
        <w:rPr>
          <w:rFonts w:ascii="ITC Avant Garde" w:hAnsi="ITC Avant Garde"/>
          <w:b/>
          <w:sz w:val="22"/>
          <w:szCs w:val="22"/>
        </w:rPr>
      </w:pPr>
      <w:r w:rsidRPr="00D936CA">
        <w:rPr>
          <w:rFonts w:ascii="ITC Avant Garde" w:hAnsi="ITC Avant Garde"/>
          <w:b/>
          <w:sz w:val="22"/>
          <w:szCs w:val="22"/>
        </w:rPr>
        <w:t>•</w:t>
      </w:r>
      <w:r w:rsidRPr="00D936CA">
        <w:rPr>
          <w:rFonts w:ascii="ITC Avant Garde" w:hAnsi="ITC Avant Garde"/>
          <w:b/>
          <w:sz w:val="22"/>
          <w:szCs w:val="22"/>
        </w:rPr>
        <w:tab/>
      </w:r>
      <w:r>
        <w:rPr>
          <w:rFonts w:ascii="ITC Avant Garde" w:hAnsi="ITC Avant Garde"/>
          <w:b/>
          <w:sz w:val="22"/>
          <w:szCs w:val="22"/>
        </w:rPr>
        <w:t>SRMLT;</w:t>
      </w:r>
    </w:p>
    <w:p w14:paraId="47A83CA6" w14:textId="77777777" w:rsidR="001E6D44" w:rsidRPr="00D936CA" w:rsidRDefault="001E6D44" w:rsidP="001E6D44">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Líneas Telefónicas; </w:t>
      </w:r>
    </w:p>
    <w:p w14:paraId="1C2B8672" w14:textId="77777777" w:rsidR="001E6D44" w:rsidRPr="00D936CA" w:rsidRDefault="001E6D44" w:rsidP="001E6D44">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Principal; </w:t>
      </w:r>
    </w:p>
    <w:p w14:paraId="4CD18A98" w14:textId="77777777" w:rsidR="001E6D44" w:rsidRPr="00D936CA" w:rsidRDefault="001E6D44" w:rsidP="001E6D44">
      <w:pPr>
        <w:pStyle w:val="Texto1"/>
        <w:numPr>
          <w:ilvl w:val="0"/>
          <w:numId w:val="80"/>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Secundaria; </w:t>
      </w:r>
    </w:p>
    <w:p w14:paraId="5D1D795C" w14:textId="77777777" w:rsidR="001E6D44" w:rsidRPr="00811804" w:rsidRDefault="001E6D44" w:rsidP="001E6D44">
      <w:pPr>
        <w:pStyle w:val="Texto1"/>
        <w:numPr>
          <w:ilvl w:val="0"/>
          <w:numId w:val="80"/>
        </w:numPr>
        <w:spacing w:after="200" w:line="276" w:lineRule="auto"/>
        <w:rPr>
          <w:rFonts w:ascii="ITC Avant Garde" w:hAnsi="ITC Avant Garde"/>
          <w:sz w:val="22"/>
          <w:szCs w:val="22"/>
        </w:rPr>
      </w:pPr>
      <w:r w:rsidRPr="00811804">
        <w:rPr>
          <w:rFonts w:ascii="ITC Avant Garde" w:hAnsi="ITC Avant Garde"/>
          <w:sz w:val="22"/>
          <w:szCs w:val="22"/>
        </w:rPr>
        <w:t>No hay Capacidad de Memoria en Central</w:t>
      </w:r>
      <w:r>
        <w:rPr>
          <w:rFonts w:ascii="ITC Avant Garde" w:hAnsi="ITC Avant Garde"/>
          <w:sz w:val="22"/>
          <w:szCs w:val="22"/>
        </w:rPr>
        <w:t>;</w:t>
      </w:r>
    </w:p>
    <w:p w14:paraId="4EC5B45C" w14:textId="77777777" w:rsidR="001E6D44" w:rsidRPr="00811804" w:rsidRDefault="001E6D44" w:rsidP="001E6D44">
      <w:pPr>
        <w:pStyle w:val="Texto1"/>
        <w:numPr>
          <w:ilvl w:val="0"/>
          <w:numId w:val="80"/>
        </w:numPr>
        <w:spacing w:after="200" w:line="276" w:lineRule="auto"/>
        <w:rPr>
          <w:rFonts w:ascii="ITC Avant Garde" w:hAnsi="ITC Avant Garde"/>
          <w:sz w:val="22"/>
          <w:szCs w:val="22"/>
        </w:rPr>
      </w:pPr>
      <w:r w:rsidRPr="00811804">
        <w:rPr>
          <w:rFonts w:ascii="ITC Avant Garde" w:hAnsi="ITC Avant Garde"/>
          <w:sz w:val="22"/>
          <w:szCs w:val="22"/>
        </w:rPr>
        <w:t>No hay Capacidad de Procesamiento en Central</w:t>
      </w:r>
      <w:r>
        <w:rPr>
          <w:rFonts w:ascii="ITC Avant Garde" w:hAnsi="ITC Avant Garde"/>
          <w:sz w:val="22"/>
          <w:szCs w:val="22"/>
        </w:rPr>
        <w:t>;</w:t>
      </w:r>
    </w:p>
    <w:p w14:paraId="11A50385" w14:textId="77777777" w:rsidR="001E6D44" w:rsidRPr="00D936CA" w:rsidRDefault="001E6D44" w:rsidP="001E6D44">
      <w:pPr>
        <w:pStyle w:val="Texto1"/>
        <w:numPr>
          <w:ilvl w:val="0"/>
          <w:numId w:val="80"/>
        </w:numPr>
        <w:spacing w:after="200" w:line="276" w:lineRule="auto"/>
        <w:rPr>
          <w:rFonts w:ascii="ITC Avant Garde" w:hAnsi="ITC Avant Garde"/>
          <w:sz w:val="22"/>
          <w:szCs w:val="22"/>
        </w:rPr>
      </w:pPr>
      <w:r w:rsidRPr="00811804">
        <w:rPr>
          <w:rFonts w:ascii="ITC Avant Garde" w:hAnsi="ITC Avant Garde"/>
          <w:sz w:val="22"/>
          <w:szCs w:val="22"/>
        </w:rPr>
        <w:t>No se tiene un PDIC dado de alta</w:t>
      </w:r>
      <w:r>
        <w:rPr>
          <w:rFonts w:ascii="ITC Avant Garde" w:hAnsi="ITC Avant Garde"/>
          <w:sz w:val="22"/>
          <w:szCs w:val="22"/>
        </w:rPr>
        <w:t>;</w:t>
      </w:r>
    </w:p>
    <w:p w14:paraId="33CFE5ED" w14:textId="378E655C"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SAIB</w:t>
      </w:r>
      <w:r w:rsidRPr="00D936CA">
        <w:rPr>
          <w:rFonts w:ascii="ITC Avant Garde" w:hAnsi="ITC Avant Garde"/>
          <w:sz w:val="22"/>
          <w:szCs w:val="22"/>
        </w:rPr>
        <w:t xml:space="preserve">: </w:t>
      </w:r>
    </w:p>
    <w:p w14:paraId="33CFE5EE" w14:textId="77777777" w:rsidR="00D961CB" w:rsidRPr="00D936CA" w:rsidRDefault="00D961CB" w:rsidP="00D936CA">
      <w:pPr>
        <w:pStyle w:val="Texto1"/>
        <w:numPr>
          <w:ilvl w:val="0"/>
          <w:numId w:val="81"/>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Principal; </w:t>
      </w:r>
    </w:p>
    <w:p w14:paraId="33CFE5EF" w14:textId="77777777" w:rsidR="00D961CB" w:rsidRPr="00D936CA" w:rsidRDefault="00D961CB" w:rsidP="00D936CA">
      <w:pPr>
        <w:pStyle w:val="Texto1"/>
        <w:numPr>
          <w:ilvl w:val="0"/>
          <w:numId w:val="81"/>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Secundaria; </w:t>
      </w:r>
    </w:p>
    <w:p w14:paraId="33CFE5F0" w14:textId="66EB308F" w:rsidR="00D961CB" w:rsidRPr="00D936CA" w:rsidRDefault="00D961CB" w:rsidP="00D936CA">
      <w:pPr>
        <w:pStyle w:val="Texto1"/>
        <w:numPr>
          <w:ilvl w:val="0"/>
          <w:numId w:val="81"/>
        </w:numPr>
        <w:spacing w:after="200" w:line="276" w:lineRule="auto"/>
        <w:rPr>
          <w:rFonts w:ascii="ITC Avant Garde" w:hAnsi="ITC Avant Garde"/>
          <w:sz w:val="22"/>
          <w:szCs w:val="22"/>
        </w:rPr>
      </w:pPr>
      <w:r w:rsidRPr="00D936CA">
        <w:rPr>
          <w:rFonts w:ascii="ITC Avant Garde" w:hAnsi="ITC Avant Garde"/>
          <w:sz w:val="22"/>
          <w:szCs w:val="22"/>
        </w:rPr>
        <w:t xml:space="preserve">No hay </w:t>
      </w:r>
      <w:r w:rsidR="00AE4552" w:rsidRPr="00D936CA">
        <w:rPr>
          <w:rFonts w:ascii="ITC Avant Garde" w:hAnsi="ITC Avant Garde"/>
          <w:sz w:val="22"/>
          <w:szCs w:val="22"/>
        </w:rPr>
        <w:t>puerto disponible</w:t>
      </w:r>
      <w:r w:rsidRPr="00D936CA">
        <w:rPr>
          <w:rFonts w:ascii="ITC Avant Garde" w:hAnsi="ITC Avant Garde"/>
          <w:sz w:val="22"/>
          <w:szCs w:val="22"/>
        </w:rPr>
        <w:t xml:space="preserve">; </w:t>
      </w:r>
    </w:p>
    <w:p w14:paraId="33CFE5F5" w14:textId="3C8B4602" w:rsidR="00D961CB" w:rsidRPr="00D936CA" w:rsidRDefault="00D961CB" w:rsidP="00D936CA">
      <w:pPr>
        <w:pStyle w:val="Texto1"/>
        <w:numPr>
          <w:ilvl w:val="0"/>
          <w:numId w:val="81"/>
        </w:numPr>
        <w:spacing w:after="200" w:line="276" w:lineRule="auto"/>
        <w:rPr>
          <w:rFonts w:ascii="ITC Avant Garde" w:hAnsi="ITC Avant Garde"/>
          <w:sz w:val="22"/>
          <w:szCs w:val="22"/>
        </w:rPr>
      </w:pPr>
      <w:r w:rsidRPr="00D936CA">
        <w:rPr>
          <w:rFonts w:ascii="ITC Avant Garde" w:hAnsi="ITC Avant Garde"/>
          <w:sz w:val="22"/>
          <w:szCs w:val="22"/>
        </w:rPr>
        <w:t>Calificación del Bucle (Distancia/Velocidad)</w:t>
      </w:r>
      <w:r w:rsidR="00C33197" w:rsidRPr="00D936CA">
        <w:rPr>
          <w:rFonts w:ascii="ITC Avant Garde" w:hAnsi="ITC Avant Garde"/>
          <w:sz w:val="22"/>
          <w:szCs w:val="22"/>
        </w:rPr>
        <w:t xml:space="preserve"> inadecuada;</w:t>
      </w:r>
    </w:p>
    <w:p w14:paraId="33CFE5F6"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SDTBL y SDCBL</w:t>
      </w:r>
      <w:r w:rsidRPr="00D936CA">
        <w:rPr>
          <w:rFonts w:ascii="ITC Avant Garde" w:hAnsi="ITC Avant Garde"/>
          <w:sz w:val="22"/>
          <w:szCs w:val="22"/>
        </w:rPr>
        <w:t xml:space="preserve">: </w:t>
      </w:r>
    </w:p>
    <w:p w14:paraId="33CFE5F7" w14:textId="77777777" w:rsidR="00D961CB" w:rsidRPr="00D936CA" w:rsidRDefault="00D961CB" w:rsidP="00D936CA">
      <w:pPr>
        <w:pStyle w:val="Texto1"/>
        <w:numPr>
          <w:ilvl w:val="0"/>
          <w:numId w:val="82"/>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Principal; </w:t>
      </w:r>
    </w:p>
    <w:p w14:paraId="33CFE5F9" w14:textId="4826C7D6" w:rsidR="00D961CB" w:rsidRPr="00D936CA" w:rsidRDefault="00D961CB" w:rsidP="00D936CA">
      <w:pPr>
        <w:pStyle w:val="Texto1"/>
        <w:numPr>
          <w:ilvl w:val="0"/>
          <w:numId w:val="82"/>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w:t>
      </w:r>
      <w:r w:rsidR="0084637E" w:rsidRPr="00D936CA">
        <w:rPr>
          <w:rFonts w:ascii="ITC Avant Garde" w:hAnsi="ITC Avant Garde"/>
          <w:sz w:val="22"/>
          <w:szCs w:val="22"/>
        </w:rPr>
        <w:t>de cableado multipar</w:t>
      </w:r>
      <w:r w:rsidRPr="00D936CA">
        <w:rPr>
          <w:rFonts w:ascii="ITC Avant Garde" w:hAnsi="ITC Avant Garde"/>
          <w:sz w:val="22"/>
          <w:szCs w:val="22"/>
        </w:rPr>
        <w:t xml:space="preserve">; </w:t>
      </w:r>
    </w:p>
    <w:p w14:paraId="33CFE5FA" w14:textId="77777777" w:rsidR="00D961CB" w:rsidRPr="00D936CA" w:rsidRDefault="00D961CB" w:rsidP="00D936CA">
      <w:pPr>
        <w:pStyle w:val="Texto1"/>
        <w:numPr>
          <w:ilvl w:val="0"/>
          <w:numId w:val="82"/>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de Red Secundaria; </w:t>
      </w:r>
    </w:p>
    <w:p w14:paraId="33CFE5FB" w14:textId="12CD3430" w:rsidR="00D961CB" w:rsidRPr="00D936CA" w:rsidRDefault="00D961CB" w:rsidP="00D936CA">
      <w:pPr>
        <w:pStyle w:val="Texto1"/>
        <w:numPr>
          <w:ilvl w:val="0"/>
          <w:numId w:val="82"/>
        </w:numPr>
        <w:spacing w:after="200" w:line="276" w:lineRule="auto"/>
        <w:rPr>
          <w:rFonts w:ascii="ITC Avant Garde" w:hAnsi="ITC Avant Garde"/>
          <w:sz w:val="22"/>
          <w:szCs w:val="22"/>
        </w:rPr>
      </w:pPr>
      <w:r w:rsidRPr="00D936CA">
        <w:rPr>
          <w:rFonts w:ascii="ITC Avant Garde" w:hAnsi="ITC Avant Garde"/>
          <w:sz w:val="22"/>
          <w:szCs w:val="22"/>
        </w:rPr>
        <w:t xml:space="preserve">No hay disponibilidad para este servicio, el </w:t>
      </w:r>
      <w:r w:rsidR="00783CB1" w:rsidRPr="00D936CA">
        <w:rPr>
          <w:rFonts w:ascii="ITC Avant Garde" w:hAnsi="ITC Avant Garde"/>
          <w:sz w:val="22"/>
          <w:szCs w:val="22"/>
        </w:rPr>
        <w:t>porcentaje</w:t>
      </w:r>
      <w:r w:rsidRPr="00D936CA">
        <w:rPr>
          <w:rFonts w:ascii="ITC Avant Garde" w:hAnsi="ITC Avant Garde"/>
          <w:sz w:val="22"/>
          <w:szCs w:val="22"/>
        </w:rPr>
        <w:t xml:space="preserve"> de ocupación es mayor al 70% (según condiciones del PGE).</w:t>
      </w:r>
    </w:p>
    <w:p w14:paraId="33CFE5FC"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SDTSBL y SDCSBL</w:t>
      </w:r>
      <w:r w:rsidRPr="00D936CA">
        <w:rPr>
          <w:rFonts w:ascii="ITC Avant Garde" w:hAnsi="ITC Avant Garde"/>
          <w:sz w:val="22"/>
          <w:szCs w:val="22"/>
        </w:rPr>
        <w:t xml:space="preserve">: </w:t>
      </w:r>
    </w:p>
    <w:p w14:paraId="33CFE5FD" w14:textId="6557C7F0" w:rsidR="00D961CB" w:rsidRPr="00D936CA" w:rsidRDefault="00D961CB" w:rsidP="00D936CA">
      <w:pPr>
        <w:pStyle w:val="Texto1"/>
        <w:numPr>
          <w:ilvl w:val="0"/>
          <w:numId w:val="83"/>
        </w:numPr>
        <w:spacing w:after="200" w:line="276" w:lineRule="auto"/>
        <w:rPr>
          <w:rFonts w:ascii="ITC Avant Garde" w:hAnsi="ITC Avant Garde"/>
          <w:sz w:val="22"/>
          <w:szCs w:val="22"/>
        </w:rPr>
      </w:pPr>
      <w:r w:rsidRPr="00D936CA">
        <w:rPr>
          <w:rFonts w:ascii="ITC Avant Garde" w:hAnsi="ITC Avant Garde"/>
          <w:sz w:val="22"/>
          <w:szCs w:val="22"/>
        </w:rPr>
        <w:t xml:space="preserve">No hay facilidades en </w:t>
      </w:r>
      <w:r w:rsidR="0084637E" w:rsidRPr="00D936CA">
        <w:rPr>
          <w:rFonts w:ascii="ITC Avant Garde" w:hAnsi="ITC Avant Garde"/>
          <w:sz w:val="22"/>
          <w:szCs w:val="22"/>
        </w:rPr>
        <w:t>Anexo de Caja de Distribución</w:t>
      </w:r>
      <w:r w:rsidRPr="00D936CA">
        <w:rPr>
          <w:rFonts w:ascii="ITC Avant Garde" w:hAnsi="ITC Avant Garde"/>
          <w:sz w:val="22"/>
          <w:szCs w:val="22"/>
        </w:rPr>
        <w:t xml:space="preserve">; </w:t>
      </w:r>
    </w:p>
    <w:p w14:paraId="33CFE5FE" w14:textId="77777777" w:rsidR="00D961CB" w:rsidRPr="00D936CA" w:rsidRDefault="00D961CB" w:rsidP="00D936CA">
      <w:pPr>
        <w:pStyle w:val="Texto1"/>
        <w:numPr>
          <w:ilvl w:val="0"/>
          <w:numId w:val="83"/>
        </w:numPr>
        <w:spacing w:after="200" w:line="276" w:lineRule="auto"/>
        <w:rPr>
          <w:rFonts w:ascii="ITC Avant Garde" w:hAnsi="ITC Avant Garde"/>
          <w:sz w:val="22"/>
          <w:szCs w:val="22"/>
        </w:rPr>
      </w:pPr>
      <w:r w:rsidRPr="00D936CA">
        <w:rPr>
          <w:rFonts w:ascii="ITC Avant Garde" w:hAnsi="ITC Avant Garde"/>
          <w:sz w:val="22"/>
          <w:szCs w:val="22"/>
        </w:rPr>
        <w:lastRenderedPageBreak/>
        <w:t xml:space="preserve">No hay facilidades de Red Secundaria; </w:t>
      </w:r>
    </w:p>
    <w:p w14:paraId="33CFE600" w14:textId="730767DA" w:rsidR="00D961CB" w:rsidRPr="00D936CA" w:rsidRDefault="00D961CB" w:rsidP="00D936CA">
      <w:pPr>
        <w:pStyle w:val="Texto1"/>
        <w:numPr>
          <w:ilvl w:val="0"/>
          <w:numId w:val="83"/>
        </w:numPr>
        <w:spacing w:after="200" w:line="276" w:lineRule="auto"/>
        <w:rPr>
          <w:rFonts w:ascii="ITC Avant Garde" w:hAnsi="ITC Avant Garde"/>
          <w:sz w:val="22"/>
          <w:szCs w:val="22"/>
        </w:rPr>
      </w:pPr>
      <w:r w:rsidRPr="00D936CA">
        <w:rPr>
          <w:rFonts w:ascii="ITC Avant Garde" w:hAnsi="ITC Avant Garde"/>
          <w:sz w:val="22"/>
          <w:szCs w:val="22"/>
        </w:rPr>
        <w:t xml:space="preserve">No hay disponibilidad para este servicio, el </w:t>
      </w:r>
      <w:r w:rsidR="0084637E" w:rsidRPr="00D936CA">
        <w:rPr>
          <w:rFonts w:ascii="ITC Avant Garde" w:hAnsi="ITC Avant Garde"/>
          <w:sz w:val="22"/>
          <w:szCs w:val="22"/>
        </w:rPr>
        <w:t>porcentaje</w:t>
      </w:r>
      <w:r w:rsidRPr="00D936CA">
        <w:rPr>
          <w:rFonts w:ascii="ITC Avant Garde" w:hAnsi="ITC Avant Garde"/>
          <w:sz w:val="22"/>
          <w:szCs w:val="22"/>
        </w:rPr>
        <w:t xml:space="preserve"> de ocupación es mayor al 70%</w:t>
      </w:r>
      <w:r w:rsidR="0084637E" w:rsidRPr="00D936CA">
        <w:rPr>
          <w:rFonts w:ascii="ITC Avant Garde" w:hAnsi="ITC Avant Garde"/>
          <w:sz w:val="22"/>
          <w:szCs w:val="22"/>
        </w:rPr>
        <w:t xml:space="preserve"> </w:t>
      </w:r>
      <w:r w:rsidRPr="00D936CA">
        <w:rPr>
          <w:rFonts w:ascii="ITC Avant Garde" w:hAnsi="ITC Avant Garde"/>
          <w:sz w:val="22"/>
          <w:szCs w:val="22"/>
        </w:rPr>
        <w:t xml:space="preserve">(según condiciones del PGE). </w:t>
      </w:r>
      <w:r w:rsidRPr="00D936CA">
        <w:rPr>
          <w:rFonts w:ascii="ITC Avant Garde" w:hAnsi="ITC Avant Garde"/>
          <w:b/>
          <w:sz w:val="22"/>
          <w:szCs w:val="22"/>
        </w:rPr>
        <w:tab/>
      </w:r>
    </w:p>
    <w:p w14:paraId="33CFE601"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Coubicación</w:t>
      </w:r>
      <w:r w:rsidRPr="00D936CA">
        <w:rPr>
          <w:rFonts w:ascii="ITC Avant Garde" w:hAnsi="ITC Avant Garde"/>
          <w:sz w:val="22"/>
          <w:szCs w:val="22"/>
        </w:rPr>
        <w:t xml:space="preserve">: </w:t>
      </w:r>
    </w:p>
    <w:p w14:paraId="33CFE605" w14:textId="42F5B5A0" w:rsidR="00D961CB" w:rsidRPr="00D936CA" w:rsidRDefault="00D961CB" w:rsidP="00D936CA">
      <w:pPr>
        <w:pStyle w:val="Texto1"/>
        <w:numPr>
          <w:ilvl w:val="0"/>
          <w:numId w:val="84"/>
        </w:numPr>
        <w:spacing w:after="200" w:line="276" w:lineRule="auto"/>
      </w:pPr>
      <w:r w:rsidRPr="00D936CA">
        <w:rPr>
          <w:rFonts w:ascii="ITC Avant Garde" w:hAnsi="ITC Avant Garde"/>
          <w:sz w:val="22"/>
          <w:szCs w:val="22"/>
        </w:rPr>
        <w:t xml:space="preserve">No existe disponibilidad de espacio; </w:t>
      </w:r>
    </w:p>
    <w:p w14:paraId="33CFE606"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Cableado Multipar</w:t>
      </w:r>
      <w:r w:rsidRPr="00D936CA">
        <w:rPr>
          <w:rFonts w:ascii="ITC Avant Garde" w:hAnsi="ITC Avant Garde"/>
          <w:sz w:val="22"/>
          <w:szCs w:val="22"/>
        </w:rPr>
        <w:t xml:space="preserve">: </w:t>
      </w:r>
    </w:p>
    <w:p w14:paraId="33CFE607" w14:textId="77777777" w:rsidR="00D961CB" w:rsidRPr="00D936CA" w:rsidRDefault="00D961CB" w:rsidP="00D936CA">
      <w:pPr>
        <w:pStyle w:val="Texto1"/>
        <w:numPr>
          <w:ilvl w:val="0"/>
          <w:numId w:val="85"/>
        </w:numPr>
        <w:spacing w:after="200" w:line="276" w:lineRule="auto"/>
        <w:rPr>
          <w:rFonts w:ascii="ITC Avant Garde" w:hAnsi="ITC Avant Garde"/>
          <w:sz w:val="22"/>
          <w:szCs w:val="22"/>
        </w:rPr>
      </w:pPr>
      <w:r w:rsidRPr="00D936CA">
        <w:rPr>
          <w:rFonts w:ascii="ITC Avant Garde" w:hAnsi="ITC Avant Garde"/>
          <w:sz w:val="22"/>
          <w:szCs w:val="22"/>
        </w:rPr>
        <w:t xml:space="preserve">No hay trayectoria disponible para la instalación de escalerillas; </w:t>
      </w:r>
    </w:p>
    <w:p w14:paraId="33CFE608" w14:textId="77777777" w:rsidR="00D961CB" w:rsidRPr="00D936CA" w:rsidRDefault="00D961CB" w:rsidP="00D936CA">
      <w:pPr>
        <w:pStyle w:val="Texto1"/>
        <w:numPr>
          <w:ilvl w:val="0"/>
          <w:numId w:val="85"/>
        </w:numPr>
        <w:spacing w:after="200" w:line="276" w:lineRule="auto"/>
        <w:rPr>
          <w:rFonts w:ascii="ITC Avant Garde" w:hAnsi="ITC Avant Garde"/>
          <w:sz w:val="22"/>
          <w:szCs w:val="22"/>
        </w:rPr>
      </w:pPr>
      <w:r w:rsidRPr="00D936CA">
        <w:rPr>
          <w:rFonts w:ascii="ITC Avant Garde" w:hAnsi="ITC Avant Garde"/>
          <w:sz w:val="22"/>
          <w:szCs w:val="22"/>
        </w:rPr>
        <w:t>El número de tablillas en el DG está completo.</w:t>
      </w:r>
    </w:p>
    <w:p w14:paraId="33CFE609" w14:textId="77777777" w:rsidR="00D961CB" w:rsidRPr="00D936CA" w:rsidRDefault="00D961CB" w:rsidP="00D936CA">
      <w:pPr>
        <w:pStyle w:val="Texto1"/>
        <w:spacing w:after="200" w:line="276" w:lineRule="auto"/>
        <w:ind w:left="720"/>
        <w:rPr>
          <w:rFonts w:ascii="ITC Avant Garde" w:hAnsi="ITC Avant Garde"/>
          <w:sz w:val="22"/>
          <w:szCs w:val="22"/>
        </w:rPr>
      </w:pPr>
      <w:r w:rsidRPr="00D936CA">
        <w:rPr>
          <w:rFonts w:ascii="ITC Avant Garde" w:hAnsi="ITC Avant Garde"/>
          <w:b/>
          <w:sz w:val="22"/>
          <w:szCs w:val="22"/>
        </w:rPr>
        <w:t>•</w:t>
      </w:r>
      <w:r w:rsidRPr="00D936CA">
        <w:rPr>
          <w:rFonts w:ascii="ITC Avant Garde" w:hAnsi="ITC Avant Garde"/>
          <w:b/>
          <w:sz w:val="22"/>
          <w:szCs w:val="22"/>
        </w:rPr>
        <w:tab/>
        <w:t>Anexo de Caja de Distribución</w:t>
      </w:r>
      <w:r w:rsidRPr="00D936CA">
        <w:rPr>
          <w:rFonts w:ascii="ITC Avant Garde" w:hAnsi="ITC Avant Garde"/>
          <w:sz w:val="22"/>
          <w:szCs w:val="22"/>
        </w:rPr>
        <w:t xml:space="preserve">: </w:t>
      </w:r>
    </w:p>
    <w:p w14:paraId="33CFE60A" w14:textId="77777777" w:rsidR="00D961CB" w:rsidRPr="00D936CA" w:rsidRDefault="00D961CB" w:rsidP="00D936CA">
      <w:pPr>
        <w:pStyle w:val="Texto1"/>
        <w:numPr>
          <w:ilvl w:val="0"/>
          <w:numId w:val="86"/>
        </w:numPr>
        <w:spacing w:after="200" w:line="276" w:lineRule="auto"/>
        <w:rPr>
          <w:rFonts w:ascii="ITC Avant Garde" w:hAnsi="ITC Avant Garde"/>
          <w:sz w:val="22"/>
          <w:szCs w:val="22"/>
        </w:rPr>
      </w:pPr>
      <w:r w:rsidRPr="00D936CA">
        <w:rPr>
          <w:rFonts w:ascii="ITC Avant Garde" w:hAnsi="ITC Avant Garde"/>
          <w:sz w:val="22"/>
          <w:szCs w:val="22"/>
        </w:rPr>
        <w:t xml:space="preserve">No se cuenta con espacio disponible para la instalación del Anexo de Caja de Distribución; </w:t>
      </w:r>
    </w:p>
    <w:p w14:paraId="33CFE60B" w14:textId="77777777" w:rsidR="00D961CB" w:rsidRPr="00D936CA" w:rsidRDefault="00D961CB" w:rsidP="00D936CA">
      <w:pPr>
        <w:pStyle w:val="Texto1"/>
        <w:numPr>
          <w:ilvl w:val="0"/>
          <w:numId w:val="86"/>
        </w:numPr>
        <w:spacing w:after="200" w:line="276" w:lineRule="auto"/>
        <w:rPr>
          <w:rFonts w:ascii="ITC Avant Garde" w:hAnsi="ITC Avant Garde"/>
          <w:sz w:val="22"/>
          <w:szCs w:val="22"/>
        </w:rPr>
      </w:pPr>
      <w:r w:rsidRPr="00D936CA">
        <w:rPr>
          <w:rFonts w:ascii="ITC Avant Garde" w:hAnsi="ITC Avant Garde"/>
          <w:sz w:val="22"/>
          <w:szCs w:val="22"/>
        </w:rPr>
        <w:t xml:space="preserve">El modelo de la caja de distribución no permite instalar anexo; </w:t>
      </w:r>
    </w:p>
    <w:p w14:paraId="33CFE60C" w14:textId="77777777" w:rsidR="00D961CB" w:rsidRPr="00D936CA" w:rsidRDefault="00D961CB" w:rsidP="00D936CA">
      <w:pPr>
        <w:pStyle w:val="Texto1"/>
        <w:numPr>
          <w:ilvl w:val="0"/>
          <w:numId w:val="86"/>
        </w:numPr>
        <w:spacing w:after="200" w:line="276" w:lineRule="auto"/>
        <w:rPr>
          <w:rFonts w:ascii="ITC Avant Garde" w:hAnsi="ITC Avant Garde"/>
          <w:sz w:val="22"/>
          <w:szCs w:val="22"/>
        </w:rPr>
      </w:pPr>
      <w:r w:rsidRPr="00D936CA">
        <w:rPr>
          <w:rFonts w:ascii="ITC Avant Garde" w:hAnsi="ITC Avant Garde"/>
          <w:sz w:val="22"/>
          <w:szCs w:val="22"/>
        </w:rPr>
        <w:t xml:space="preserve">El número de tablillas en el Anexo de Caja de Distribución está completo; </w:t>
      </w:r>
    </w:p>
    <w:p w14:paraId="33CFE60E" w14:textId="2C4C3454" w:rsidR="00D961CB" w:rsidRDefault="00D961CB" w:rsidP="00D936CA">
      <w:pPr>
        <w:pStyle w:val="Texto1"/>
        <w:numPr>
          <w:ilvl w:val="0"/>
          <w:numId w:val="86"/>
        </w:numPr>
        <w:spacing w:after="200" w:line="276" w:lineRule="auto"/>
        <w:rPr>
          <w:rFonts w:ascii="ITC Avant Garde" w:hAnsi="ITC Avant Garde"/>
          <w:sz w:val="22"/>
          <w:szCs w:val="22"/>
        </w:rPr>
      </w:pPr>
      <w:r w:rsidRPr="00D936CA">
        <w:rPr>
          <w:rFonts w:ascii="ITC Avant Garde" w:hAnsi="ITC Avant Garde"/>
          <w:sz w:val="22"/>
          <w:szCs w:val="22"/>
        </w:rPr>
        <w:t xml:space="preserve">Existen afectaciones a servicios subterráneos existentes (gas, agua); </w:t>
      </w:r>
    </w:p>
    <w:p w14:paraId="343CB51D" w14:textId="788A7A45" w:rsidR="001E6D44" w:rsidRPr="001E6D44" w:rsidRDefault="001E6D44" w:rsidP="00060B2E">
      <w:pPr>
        <w:pStyle w:val="Texto1"/>
        <w:spacing w:after="200" w:line="276" w:lineRule="auto"/>
        <w:ind w:left="720"/>
        <w:rPr>
          <w:rFonts w:ascii="ITC Avant Garde" w:hAnsi="ITC Avant Garde"/>
          <w:b/>
          <w:sz w:val="22"/>
          <w:szCs w:val="22"/>
        </w:rPr>
      </w:pPr>
      <w:r w:rsidRPr="00D936CA">
        <w:rPr>
          <w:rFonts w:ascii="ITC Avant Garde" w:hAnsi="ITC Avant Garde"/>
          <w:b/>
          <w:sz w:val="22"/>
          <w:szCs w:val="22"/>
        </w:rPr>
        <w:t>•</w:t>
      </w:r>
      <w:r w:rsidRPr="00D936CA">
        <w:rPr>
          <w:rFonts w:ascii="ITC Avant Garde" w:hAnsi="ITC Avant Garde"/>
          <w:b/>
          <w:sz w:val="22"/>
          <w:szCs w:val="22"/>
        </w:rPr>
        <w:tab/>
      </w:r>
      <w:r w:rsidRPr="00060B2E">
        <w:rPr>
          <w:rFonts w:ascii="ITC Avant Garde" w:hAnsi="ITC Avant Garde"/>
          <w:b/>
          <w:sz w:val="22"/>
          <w:szCs w:val="22"/>
        </w:rPr>
        <w:t>SCyD:</w:t>
      </w:r>
    </w:p>
    <w:p w14:paraId="0F8A403C" w14:textId="3529010E" w:rsidR="001E6D44" w:rsidRDefault="001E6D44" w:rsidP="001E6D44">
      <w:pPr>
        <w:pStyle w:val="Texto1"/>
        <w:numPr>
          <w:ilvl w:val="0"/>
          <w:numId w:val="86"/>
        </w:numPr>
        <w:spacing w:after="200" w:line="276" w:lineRule="auto"/>
        <w:rPr>
          <w:rFonts w:ascii="ITC Avant Garde" w:hAnsi="ITC Avant Garde"/>
          <w:sz w:val="22"/>
          <w:szCs w:val="22"/>
          <w:lang w:val="es-MX"/>
        </w:rPr>
      </w:pPr>
      <w:r w:rsidRPr="00BA3EA9">
        <w:rPr>
          <w:rFonts w:ascii="ITC Avant Garde" w:hAnsi="ITC Avant Garde"/>
          <w:sz w:val="22"/>
          <w:szCs w:val="22"/>
          <w:lang w:val="es-MX"/>
        </w:rPr>
        <w:t xml:space="preserve"> </w:t>
      </w:r>
      <w:r w:rsidR="00273F1B" w:rsidRPr="001C4107">
        <w:rPr>
          <w:rFonts w:ascii="ITC Avant Garde" w:hAnsi="ITC Avant Garde"/>
          <w:sz w:val="22"/>
          <w:szCs w:val="22"/>
          <w:lang w:val="es-MX"/>
        </w:rPr>
        <w:t xml:space="preserve">No existe disponibilidad de </w:t>
      </w:r>
      <w:r w:rsidRPr="001C4107">
        <w:rPr>
          <w:rFonts w:ascii="ITC Avant Garde" w:hAnsi="ITC Avant Garde"/>
          <w:sz w:val="22"/>
          <w:szCs w:val="22"/>
          <w:lang w:val="es-MX"/>
        </w:rPr>
        <w:t>Puerto (pCAI).</w:t>
      </w:r>
    </w:p>
    <w:p w14:paraId="5105B6D5" w14:textId="66C9FA3D" w:rsidR="00D816F6" w:rsidRPr="00060B2E" w:rsidRDefault="00D816F6" w:rsidP="00060B2E">
      <w:pPr>
        <w:pStyle w:val="Texto1"/>
        <w:spacing w:after="200" w:line="276" w:lineRule="auto"/>
        <w:ind w:left="720"/>
        <w:rPr>
          <w:rFonts w:ascii="ITC Avant Garde" w:hAnsi="ITC Avant Garde"/>
          <w:b/>
          <w:sz w:val="22"/>
          <w:szCs w:val="22"/>
        </w:rPr>
      </w:pPr>
      <w:r w:rsidRPr="002A07FB">
        <w:rPr>
          <w:rFonts w:ascii="ITC Avant Garde" w:hAnsi="ITC Avant Garde"/>
          <w:b/>
          <w:sz w:val="22"/>
          <w:szCs w:val="22"/>
        </w:rPr>
        <w:t>Cableado de DFO-T</w:t>
      </w:r>
      <w:r w:rsidR="00713548">
        <w:rPr>
          <w:rFonts w:ascii="ITC Avant Garde" w:hAnsi="ITC Avant Garde"/>
          <w:b/>
          <w:sz w:val="22"/>
          <w:szCs w:val="22"/>
        </w:rPr>
        <w:t>MX</w:t>
      </w:r>
      <w:r w:rsidRPr="002A07FB">
        <w:rPr>
          <w:rFonts w:ascii="ITC Avant Garde" w:hAnsi="ITC Avant Garde"/>
          <w:b/>
          <w:sz w:val="22"/>
          <w:szCs w:val="22"/>
        </w:rPr>
        <w:t xml:space="preserve"> a DFO-CS</w:t>
      </w:r>
      <w:r w:rsidRPr="00060B2E">
        <w:rPr>
          <w:rFonts w:ascii="ITC Avant Garde" w:hAnsi="ITC Avant Garde"/>
          <w:b/>
          <w:sz w:val="22"/>
          <w:szCs w:val="22"/>
        </w:rPr>
        <w:t xml:space="preserve">: </w:t>
      </w:r>
    </w:p>
    <w:p w14:paraId="2A692357" w14:textId="1E7D8937" w:rsidR="00D816F6" w:rsidRPr="002A07FB" w:rsidRDefault="00D816F6" w:rsidP="00D816F6">
      <w:pPr>
        <w:pStyle w:val="Texto1"/>
        <w:numPr>
          <w:ilvl w:val="0"/>
          <w:numId w:val="86"/>
        </w:numPr>
        <w:spacing w:after="200" w:line="276" w:lineRule="auto"/>
        <w:rPr>
          <w:rFonts w:ascii="ITC Avant Garde" w:hAnsi="ITC Avant Garde"/>
          <w:sz w:val="22"/>
          <w:szCs w:val="22"/>
        </w:rPr>
      </w:pPr>
      <w:r w:rsidRPr="002A07FB">
        <w:rPr>
          <w:rFonts w:ascii="ITC Avant Garde" w:hAnsi="ITC Avant Garde"/>
          <w:sz w:val="22"/>
          <w:szCs w:val="22"/>
        </w:rPr>
        <w:t>Referencia de una Coubicación a fin de poder rematar el cableado y proporcionar el servicio.</w:t>
      </w:r>
    </w:p>
    <w:p w14:paraId="46766BD1" w14:textId="77777777" w:rsidR="00242559" w:rsidRPr="00D936CA" w:rsidRDefault="00242559" w:rsidP="002A07FB">
      <w:pPr>
        <w:pStyle w:val="Texto1"/>
        <w:spacing w:after="200" w:line="276" w:lineRule="auto"/>
        <w:ind w:left="0"/>
        <w:rPr>
          <w:rFonts w:ascii="ITC Avant Garde" w:hAnsi="ITC Avant Garde"/>
          <w:sz w:val="22"/>
          <w:szCs w:val="22"/>
        </w:rPr>
      </w:pPr>
    </w:p>
    <w:p w14:paraId="33CFE63A" w14:textId="77777777" w:rsidR="00141900" w:rsidRPr="00D936CA" w:rsidRDefault="00141900" w:rsidP="00D936CA">
      <w:pPr>
        <w:spacing w:after="200" w:line="276" w:lineRule="auto"/>
        <w:jc w:val="both"/>
        <w:rPr>
          <w:rFonts w:ascii="ITC Avant Garde" w:hAnsi="ITC Avant Garde"/>
          <w:sz w:val="22"/>
          <w:szCs w:val="22"/>
        </w:rPr>
      </w:pPr>
      <w:bookmarkStart w:id="94" w:name="_Toc436840868"/>
      <w:bookmarkStart w:id="95" w:name="_Toc436846305"/>
      <w:bookmarkStart w:id="96" w:name="_Toc436848255"/>
      <w:bookmarkStart w:id="97" w:name="_Toc436856503"/>
      <w:bookmarkStart w:id="98" w:name="_Toc436862649"/>
      <w:bookmarkStart w:id="99" w:name="_Toc436866299"/>
      <w:bookmarkStart w:id="100" w:name="_Toc436870878"/>
      <w:bookmarkStart w:id="101" w:name="_Toc436875870"/>
      <w:r w:rsidRPr="00D936CA">
        <w:rPr>
          <w:rFonts w:ascii="ITC Avant Garde" w:hAnsi="ITC Avant Garde"/>
          <w:sz w:val="22"/>
          <w:szCs w:val="22"/>
        </w:rPr>
        <w:t>Las referencias anteriores a determinados elementos de red y al hecho de que su indisponibilidad supone la denegación de la correspondiente solicitud de los CS, deberá realizarse de acuerdo con el siguiente criterio:</w:t>
      </w:r>
    </w:p>
    <w:p w14:paraId="33CFE63B" w14:textId="77777777" w:rsidR="004363B3" w:rsidRPr="00D936CA" w:rsidRDefault="00141900"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Se considerará disponible y por lo tanto Telmex no podrá denegar el servicio si la falta de recursos de red es solucionable en un plazo de tiempo razonable o sin recurrir en costos elevados, </w:t>
      </w:r>
      <w:r w:rsidR="004363B3" w:rsidRPr="00D936CA">
        <w:rPr>
          <w:rFonts w:ascii="ITC Avant Garde" w:hAnsi="ITC Avant Garde"/>
          <w:sz w:val="22"/>
          <w:szCs w:val="22"/>
        </w:rPr>
        <w:t xml:space="preserve">e implica un escalamiento normal de los servicios por crecimiento de la demanda, </w:t>
      </w:r>
      <w:r w:rsidRPr="00D936CA">
        <w:rPr>
          <w:rFonts w:ascii="ITC Avant Garde" w:hAnsi="ITC Avant Garde"/>
          <w:sz w:val="22"/>
          <w:szCs w:val="22"/>
        </w:rPr>
        <w:t xml:space="preserve">actuando tal y como Telmex lo haría con sus propias operaciones. La consideración de </w:t>
      </w:r>
      <w:r w:rsidRPr="00D936CA">
        <w:rPr>
          <w:rFonts w:ascii="ITC Avant Garde" w:hAnsi="ITC Avant Garde"/>
          <w:sz w:val="22"/>
          <w:szCs w:val="22"/>
        </w:rPr>
        <w:lastRenderedPageBreak/>
        <w:t>indisponible para un recurso y su aplicación para denegar solicitudes debe motivarse en base al criterio anterior</w:t>
      </w:r>
      <w:r w:rsidR="004363B3" w:rsidRPr="00D936CA">
        <w:rPr>
          <w:rFonts w:ascii="ITC Avant Garde" w:hAnsi="ITC Avant Garde"/>
          <w:sz w:val="22"/>
          <w:szCs w:val="22"/>
        </w:rPr>
        <w:t>.</w:t>
      </w:r>
    </w:p>
    <w:p w14:paraId="33CFE63D" w14:textId="3D5787F9" w:rsidR="00651555" w:rsidRDefault="004363B3" w:rsidP="00D936CA">
      <w:pPr>
        <w:spacing w:after="200" w:line="276" w:lineRule="auto"/>
        <w:jc w:val="both"/>
        <w:rPr>
          <w:rFonts w:ascii="ITC Avant Garde" w:hAnsi="ITC Avant Garde"/>
          <w:sz w:val="22"/>
          <w:szCs w:val="22"/>
        </w:rPr>
      </w:pPr>
      <w:r w:rsidRPr="00D936CA">
        <w:rPr>
          <w:rFonts w:ascii="ITC Avant Garde" w:hAnsi="ITC Avant Garde"/>
          <w:sz w:val="22"/>
          <w:szCs w:val="22"/>
        </w:rPr>
        <w:t>E</w:t>
      </w:r>
      <w:r w:rsidR="00141900" w:rsidRPr="00D936CA">
        <w:rPr>
          <w:rFonts w:ascii="ITC Avant Garde" w:hAnsi="ITC Avant Garde"/>
          <w:sz w:val="22"/>
          <w:szCs w:val="22"/>
        </w:rPr>
        <w:t>n particular se considerará que aquellos elementos de red que requieran realización de obra civil en la planta externa o nuevos tendidos de par de cobre o de cable óptico no demandado por la propia operativa de Telmex no forman parte del criterio anterior.</w:t>
      </w:r>
    </w:p>
    <w:p w14:paraId="62083CCA" w14:textId="77777777" w:rsidR="00242559" w:rsidRPr="00D936CA" w:rsidRDefault="00242559" w:rsidP="00D936CA">
      <w:pPr>
        <w:spacing w:after="200" w:line="276" w:lineRule="auto"/>
        <w:jc w:val="both"/>
        <w:rPr>
          <w:rFonts w:ascii="ITC Avant Garde" w:hAnsi="ITC Avant Garde"/>
          <w:sz w:val="22"/>
          <w:szCs w:val="22"/>
        </w:rPr>
      </w:pPr>
    </w:p>
    <w:p w14:paraId="33CFE63E" w14:textId="5B177B3C" w:rsidR="00964E12" w:rsidRPr="00D936CA" w:rsidRDefault="001E05FB" w:rsidP="00D936CA">
      <w:pPr>
        <w:pStyle w:val="Ttulo2"/>
        <w:ind w:left="851" w:hanging="425"/>
      </w:pPr>
      <w:bookmarkStart w:id="102" w:name="_Toc467248681"/>
      <w:bookmarkStart w:id="103" w:name="_Toc518031952"/>
      <w:r w:rsidRPr="00D936CA">
        <w:t xml:space="preserve">1.5 </w:t>
      </w:r>
      <w:r w:rsidR="00003A56" w:rsidRPr="00D936CA">
        <w:t>Causales de suspensión temporal en la instalación de servicios</w:t>
      </w:r>
      <w:bookmarkEnd w:id="102"/>
      <w:bookmarkEnd w:id="103"/>
    </w:p>
    <w:p w14:paraId="33CFE63F" w14:textId="72B6F220" w:rsidR="00964E12" w:rsidRPr="00D936CA" w:rsidRDefault="00697DE9" w:rsidP="00D936CA">
      <w:pPr>
        <w:spacing w:after="200" w:line="276" w:lineRule="auto"/>
        <w:jc w:val="both"/>
        <w:rPr>
          <w:rFonts w:ascii="ITC Avant Garde" w:hAnsi="ITC Avant Garde"/>
          <w:sz w:val="22"/>
          <w:szCs w:val="22"/>
        </w:rPr>
      </w:pPr>
      <w:r w:rsidRPr="00D936CA">
        <w:rPr>
          <w:rFonts w:ascii="ITC Avant Garde" w:hAnsi="ITC Avant Garde"/>
          <w:sz w:val="22"/>
          <w:szCs w:val="22"/>
        </w:rPr>
        <w:t>Telmex podrá suspender temporalmente la entrega de los servicios por alguno de los motivos administrativos siguientes:</w:t>
      </w:r>
    </w:p>
    <w:p w14:paraId="33CFE640" w14:textId="77777777" w:rsidR="00CD095E" w:rsidRPr="00D936CA" w:rsidRDefault="00371341" w:rsidP="00D936CA">
      <w:pPr>
        <w:pStyle w:val="Texto1"/>
        <w:spacing w:after="200" w:line="276" w:lineRule="auto"/>
        <w:rPr>
          <w:rFonts w:ascii="ITC Avant Garde" w:hAnsi="ITC Avant Garde"/>
          <w:sz w:val="22"/>
        </w:rPr>
      </w:pPr>
      <w:r w:rsidRPr="00D936CA">
        <w:rPr>
          <w:rFonts w:ascii="ITC Avant Garde" w:hAnsi="ITC Avant Garde"/>
          <w:sz w:val="22"/>
        </w:rPr>
        <w:t>•</w:t>
      </w:r>
      <w:r w:rsidRPr="00D936CA">
        <w:rPr>
          <w:rFonts w:ascii="ITC Avant Garde" w:hAnsi="ITC Avant Garde"/>
          <w:sz w:val="22"/>
        </w:rPr>
        <w:tab/>
        <w:t>Que el número tenga una Orden de Servicio abierta por:</w:t>
      </w:r>
    </w:p>
    <w:p w14:paraId="33CFE641" w14:textId="77777777" w:rsidR="00CD095E" w:rsidRPr="00D936CA" w:rsidRDefault="00D418BD" w:rsidP="00D936CA">
      <w:pPr>
        <w:pStyle w:val="Texto1"/>
        <w:spacing w:after="200" w:line="276" w:lineRule="auto"/>
        <w:ind w:firstLine="356"/>
        <w:rPr>
          <w:rFonts w:ascii="ITC Avant Garde" w:hAnsi="ITC Avant Garde"/>
          <w:sz w:val="22"/>
        </w:rPr>
      </w:pPr>
      <w:r w:rsidRPr="00D936CA">
        <w:rPr>
          <w:rFonts w:ascii="ITC Avant Garde" w:hAnsi="ITC Avant Garde"/>
          <w:sz w:val="22"/>
        </w:rPr>
        <w:t>–</w:t>
      </w:r>
      <w:r w:rsidR="00371341" w:rsidRPr="00D936CA">
        <w:rPr>
          <w:rFonts w:ascii="ITC Avant Garde" w:hAnsi="ITC Avant Garde"/>
          <w:sz w:val="22"/>
        </w:rPr>
        <w:tab/>
        <w:t>Baja de la línea</w:t>
      </w:r>
    </w:p>
    <w:p w14:paraId="33CFE642" w14:textId="77777777" w:rsidR="00CD095E" w:rsidRPr="00D936CA" w:rsidRDefault="00D418BD" w:rsidP="00D936CA">
      <w:pPr>
        <w:pStyle w:val="Texto1"/>
        <w:spacing w:after="200" w:line="276" w:lineRule="auto"/>
        <w:ind w:firstLine="356"/>
        <w:rPr>
          <w:rFonts w:ascii="ITC Avant Garde" w:hAnsi="ITC Avant Garde"/>
          <w:sz w:val="22"/>
        </w:rPr>
      </w:pPr>
      <w:r w:rsidRPr="00D936CA">
        <w:rPr>
          <w:rFonts w:ascii="ITC Avant Garde" w:hAnsi="ITC Avant Garde"/>
          <w:sz w:val="22"/>
        </w:rPr>
        <w:t>–</w:t>
      </w:r>
      <w:r w:rsidR="00371341" w:rsidRPr="00D936CA">
        <w:rPr>
          <w:rFonts w:ascii="ITC Avant Garde" w:hAnsi="ITC Avant Garde"/>
          <w:sz w:val="22"/>
        </w:rPr>
        <w:tab/>
        <w:t>Cambio de domicilio</w:t>
      </w:r>
    </w:p>
    <w:p w14:paraId="33CFE643" w14:textId="77777777" w:rsidR="00CD095E" w:rsidRPr="00D936CA" w:rsidRDefault="00D418BD" w:rsidP="00D936CA">
      <w:pPr>
        <w:pStyle w:val="Texto1"/>
        <w:spacing w:after="200" w:line="276" w:lineRule="auto"/>
        <w:ind w:firstLine="356"/>
        <w:rPr>
          <w:rFonts w:ascii="ITC Avant Garde" w:hAnsi="ITC Avant Garde"/>
          <w:sz w:val="22"/>
        </w:rPr>
      </w:pPr>
      <w:r w:rsidRPr="00D936CA">
        <w:rPr>
          <w:rFonts w:ascii="ITC Avant Garde" w:hAnsi="ITC Avant Garde"/>
          <w:sz w:val="22"/>
        </w:rPr>
        <w:t>–</w:t>
      </w:r>
      <w:r w:rsidR="00371341" w:rsidRPr="00D936CA">
        <w:rPr>
          <w:rFonts w:ascii="ITC Avant Garde" w:hAnsi="ITC Avant Garde"/>
          <w:sz w:val="22"/>
        </w:rPr>
        <w:tab/>
        <w:t>Cambio de número</w:t>
      </w:r>
    </w:p>
    <w:p w14:paraId="33CFE644" w14:textId="77777777" w:rsidR="00CD095E" w:rsidRPr="00D936CA" w:rsidRDefault="00D418BD" w:rsidP="00D936CA">
      <w:pPr>
        <w:pStyle w:val="Texto1"/>
        <w:spacing w:after="200" w:line="276" w:lineRule="auto"/>
        <w:ind w:firstLine="356"/>
        <w:rPr>
          <w:rFonts w:ascii="ITC Avant Garde" w:hAnsi="ITC Avant Garde"/>
          <w:sz w:val="22"/>
        </w:rPr>
      </w:pPr>
      <w:r w:rsidRPr="00D936CA">
        <w:rPr>
          <w:rFonts w:ascii="ITC Avant Garde" w:hAnsi="ITC Avant Garde"/>
          <w:sz w:val="22"/>
        </w:rPr>
        <w:t>–</w:t>
      </w:r>
      <w:r w:rsidR="00371341" w:rsidRPr="00D936CA">
        <w:rPr>
          <w:rFonts w:ascii="ITC Avant Garde" w:hAnsi="ITC Avant Garde"/>
          <w:sz w:val="22"/>
        </w:rPr>
        <w:tab/>
        <w:t>Desagregación con otro CS</w:t>
      </w:r>
    </w:p>
    <w:p w14:paraId="33CFE645" w14:textId="77777777" w:rsidR="00CD095E" w:rsidRPr="00D936CA" w:rsidRDefault="00D418BD" w:rsidP="00D936CA">
      <w:pPr>
        <w:pStyle w:val="Texto1"/>
        <w:spacing w:after="200" w:line="276" w:lineRule="auto"/>
        <w:ind w:firstLine="356"/>
        <w:rPr>
          <w:rFonts w:ascii="ITC Avant Garde" w:hAnsi="ITC Avant Garde"/>
          <w:sz w:val="22"/>
        </w:rPr>
      </w:pPr>
      <w:r w:rsidRPr="00D936CA">
        <w:rPr>
          <w:rFonts w:ascii="ITC Avant Garde" w:hAnsi="ITC Avant Garde"/>
          <w:sz w:val="22"/>
        </w:rPr>
        <w:t>–</w:t>
      </w:r>
      <w:r w:rsidR="00E512D7" w:rsidRPr="00D936CA">
        <w:rPr>
          <w:rFonts w:ascii="ITC Avant Garde" w:hAnsi="ITC Avant Garde"/>
          <w:sz w:val="22"/>
        </w:rPr>
        <w:tab/>
      </w:r>
      <w:r w:rsidR="001B245A" w:rsidRPr="00D936CA">
        <w:rPr>
          <w:rFonts w:ascii="ITC Avant Garde" w:hAnsi="ITC Avant Garde"/>
          <w:sz w:val="22"/>
        </w:rPr>
        <w:t>Que est</w:t>
      </w:r>
      <w:r w:rsidR="00E512D7" w:rsidRPr="00D936CA">
        <w:rPr>
          <w:rFonts w:ascii="ITC Avant Garde" w:hAnsi="ITC Avant Garde"/>
          <w:sz w:val="22"/>
        </w:rPr>
        <w:t>é</w:t>
      </w:r>
      <w:r w:rsidR="00371341" w:rsidRPr="00D936CA">
        <w:rPr>
          <w:rFonts w:ascii="ITC Avant Garde" w:hAnsi="ITC Avant Garde"/>
          <w:sz w:val="22"/>
        </w:rPr>
        <w:t xml:space="preserve"> en proceso de portabilidad</w:t>
      </w:r>
    </w:p>
    <w:p w14:paraId="33CFE647" w14:textId="1999E831" w:rsidR="006A42CA" w:rsidRPr="00D936CA" w:rsidRDefault="006A42CA" w:rsidP="00D936CA">
      <w:pPr>
        <w:pStyle w:val="Texto1"/>
        <w:spacing w:after="200" w:line="276" w:lineRule="auto"/>
        <w:rPr>
          <w:rFonts w:ascii="ITC Avant Garde" w:hAnsi="ITC Avant Garde"/>
        </w:rPr>
      </w:pPr>
    </w:p>
    <w:p w14:paraId="33CFE648" w14:textId="54E55C4C" w:rsidR="00530A32" w:rsidRPr="00D936CA" w:rsidRDefault="001E05FB" w:rsidP="00D936CA">
      <w:pPr>
        <w:pStyle w:val="Ttulo2"/>
        <w:ind w:left="851" w:hanging="425"/>
      </w:pPr>
      <w:bookmarkStart w:id="104" w:name="_Toc467248682"/>
      <w:bookmarkStart w:id="105" w:name="_Toc518031953"/>
      <w:r w:rsidRPr="00D936CA">
        <w:t xml:space="preserve">1.6 </w:t>
      </w:r>
      <w:r w:rsidR="00011A1B" w:rsidRPr="00D936CA">
        <w:t xml:space="preserve">Procedimiento para la verificación de la voluntad del </w:t>
      </w:r>
      <w:r w:rsidR="006A046A" w:rsidRPr="00D936CA">
        <w:t>suscriptor</w:t>
      </w:r>
      <w:bookmarkEnd w:id="94"/>
      <w:bookmarkEnd w:id="95"/>
      <w:bookmarkEnd w:id="96"/>
      <w:bookmarkEnd w:id="97"/>
      <w:bookmarkEnd w:id="98"/>
      <w:bookmarkEnd w:id="99"/>
      <w:bookmarkEnd w:id="100"/>
      <w:bookmarkEnd w:id="101"/>
      <w:bookmarkEnd w:id="104"/>
      <w:bookmarkEnd w:id="105"/>
      <w:r w:rsidR="00011A1B" w:rsidRPr="00D936CA">
        <w:t xml:space="preserve"> </w:t>
      </w:r>
    </w:p>
    <w:p w14:paraId="33CFE649" w14:textId="7669D0EA" w:rsidR="000928D7" w:rsidRDefault="00C34AB8" w:rsidP="00D936CA">
      <w:pPr>
        <w:spacing w:after="200" w:line="276" w:lineRule="auto"/>
        <w:jc w:val="both"/>
        <w:rPr>
          <w:rFonts w:ascii="ITC Avant Garde" w:hAnsi="ITC Avant Garde"/>
          <w:sz w:val="22"/>
          <w:szCs w:val="22"/>
          <w:lang w:val="es-MX"/>
        </w:rPr>
      </w:pPr>
      <w:r w:rsidRPr="00D936CA">
        <w:rPr>
          <w:rStyle w:val="IFTnormalCar"/>
        </w:rPr>
        <w:t xml:space="preserve">La verificación de la voluntad del suscriptor/usuario final corresponde exclusivamente para aquellos casos en que el suscriptor/usuario final desee cambiar de proveedor de los servicios de telecomunicaciones, por lo que la verificación de la voluntad no aplica para la baja o modificación de servicios, ni para cualquier otra situación que no implique el cambio de proveedor de los servicios de telecomunicaciones. </w:t>
      </w:r>
      <w:r w:rsidR="00011A1B" w:rsidRPr="00D936CA">
        <w:rPr>
          <w:rFonts w:ascii="ITC Avant Garde" w:hAnsi="ITC Avant Garde"/>
          <w:sz w:val="22"/>
          <w:szCs w:val="22"/>
          <w:lang w:val="es-MX"/>
        </w:rPr>
        <w:t>El único requisito que se solicitará para la verificación de la voluntad del suscriptor</w:t>
      </w:r>
      <w:r w:rsidR="00655466" w:rsidRPr="00D936CA">
        <w:rPr>
          <w:rFonts w:ascii="ITC Avant Garde" w:hAnsi="ITC Avant Garde"/>
          <w:sz w:val="22"/>
          <w:szCs w:val="22"/>
          <w:lang w:val="es-MX"/>
        </w:rPr>
        <w:t>/usuario final</w:t>
      </w:r>
      <w:r w:rsidR="004B6426" w:rsidRPr="00D936CA">
        <w:rPr>
          <w:rFonts w:ascii="ITC Avant Garde" w:hAnsi="ITC Avant Garde"/>
          <w:sz w:val="22"/>
          <w:szCs w:val="22"/>
          <w:lang w:val="es-MX"/>
        </w:rPr>
        <w:t>, es la presentación del</w:t>
      </w:r>
      <w:r w:rsidR="00556413" w:rsidRPr="00D936CA">
        <w:rPr>
          <w:rFonts w:ascii="ITC Avant Garde" w:hAnsi="ITC Avant Garde"/>
          <w:sz w:val="22"/>
          <w:szCs w:val="22"/>
          <w:lang w:val="es-MX"/>
        </w:rPr>
        <w:t xml:space="preserve"> siguiente</w:t>
      </w:r>
      <w:r w:rsidR="00011A1B" w:rsidRPr="00D936CA">
        <w:rPr>
          <w:rFonts w:ascii="ITC Avant Garde" w:hAnsi="ITC Avant Garde"/>
          <w:sz w:val="22"/>
          <w:szCs w:val="22"/>
          <w:lang w:val="es-MX"/>
        </w:rPr>
        <w:t xml:space="preserve"> Formato de verificación de la voluntad del </w:t>
      </w:r>
      <w:r w:rsidR="006A046A" w:rsidRPr="00D936CA">
        <w:rPr>
          <w:rFonts w:ascii="ITC Avant Garde" w:hAnsi="ITC Avant Garde"/>
          <w:sz w:val="22"/>
          <w:szCs w:val="22"/>
          <w:lang w:val="es-MX"/>
        </w:rPr>
        <w:t>s</w:t>
      </w:r>
      <w:r w:rsidR="00442838" w:rsidRPr="00D936CA">
        <w:rPr>
          <w:rFonts w:ascii="ITC Avant Garde" w:hAnsi="ITC Avant Garde"/>
          <w:sz w:val="22"/>
          <w:szCs w:val="22"/>
          <w:lang w:val="es-MX"/>
        </w:rPr>
        <w:t>uscriptor</w:t>
      </w:r>
      <w:r w:rsidR="006A046A" w:rsidRPr="00D936CA">
        <w:rPr>
          <w:rFonts w:ascii="ITC Avant Garde" w:hAnsi="ITC Avant Garde"/>
          <w:sz w:val="22"/>
          <w:szCs w:val="22"/>
          <w:lang w:val="es-MX"/>
        </w:rPr>
        <w:t>/usuario final</w:t>
      </w:r>
      <w:r w:rsidR="006A046A" w:rsidRPr="00D936CA">
        <w:rPr>
          <w:rStyle w:val="Refdenotaalpie"/>
          <w:rFonts w:ascii="ITC Avant Garde" w:hAnsi="ITC Avant Garde"/>
          <w:sz w:val="22"/>
          <w:szCs w:val="22"/>
          <w:lang w:val="es-MX"/>
        </w:rPr>
        <w:footnoteReference w:id="3"/>
      </w:r>
      <w:r w:rsidR="00011A1B" w:rsidRPr="00D936CA">
        <w:rPr>
          <w:rFonts w:ascii="ITC Avant Garde" w:hAnsi="ITC Avant Garde"/>
          <w:sz w:val="22"/>
          <w:szCs w:val="22"/>
          <w:lang w:val="es-MX"/>
        </w:rPr>
        <w:t>:</w:t>
      </w:r>
    </w:p>
    <w:p w14:paraId="5480A75A" w14:textId="77777777" w:rsidR="0091302A" w:rsidRDefault="0091302A" w:rsidP="0091302A">
      <w:pPr>
        <w:spacing w:after="200" w:line="276" w:lineRule="auto"/>
        <w:jc w:val="center"/>
        <w:rPr>
          <w:rFonts w:ascii="ITC Avant Garde" w:hAnsi="ITC Avant Garde"/>
          <w:sz w:val="22"/>
          <w:szCs w:val="22"/>
          <w:lang w:val="es-MX"/>
        </w:rPr>
      </w:pPr>
    </w:p>
    <w:p w14:paraId="1B296B3F" w14:textId="23FC4AFB" w:rsidR="0091302A" w:rsidRPr="00D936CA" w:rsidRDefault="0091302A" w:rsidP="0091302A">
      <w:pPr>
        <w:spacing w:after="200" w:line="276" w:lineRule="auto"/>
        <w:jc w:val="center"/>
        <w:rPr>
          <w:rFonts w:ascii="ITC Avant Garde" w:hAnsi="ITC Avant Garde"/>
          <w:sz w:val="22"/>
          <w:szCs w:val="22"/>
          <w:lang w:val="es-MX"/>
        </w:rPr>
      </w:pPr>
      <w:r w:rsidRPr="0091302A">
        <w:rPr>
          <w:noProof/>
          <w:lang w:val="es-MX" w:eastAsia="es-MX"/>
        </w:rPr>
        <w:drawing>
          <wp:inline distT="0" distB="0" distL="0" distR="0" wp14:anchorId="6A344037" wp14:editId="72A75EFF">
            <wp:extent cx="5118248" cy="7027782"/>
            <wp:effectExtent l="0" t="0" r="635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248" cy="7027782"/>
                    </a:xfrm>
                    <a:prstGeom prst="rect">
                      <a:avLst/>
                    </a:prstGeom>
                    <a:noFill/>
                    <a:ln>
                      <a:noFill/>
                    </a:ln>
                  </pic:spPr>
                </pic:pic>
              </a:graphicData>
            </a:graphic>
          </wp:inline>
        </w:drawing>
      </w:r>
    </w:p>
    <w:p w14:paraId="33CFE64A" w14:textId="6F73B048" w:rsidR="00681F24" w:rsidRPr="00D936CA" w:rsidRDefault="00681F24" w:rsidP="0091302A">
      <w:pPr>
        <w:spacing w:after="200" w:line="276" w:lineRule="auto"/>
        <w:jc w:val="center"/>
        <w:rPr>
          <w:rFonts w:ascii="ITC Avant Garde" w:hAnsi="ITC Avant Garde"/>
          <w:sz w:val="22"/>
          <w:szCs w:val="22"/>
          <w:lang w:val="es-MX"/>
        </w:rPr>
      </w:pPr>
    </w:p>
    <w:p w14:paraId="33CFE64B" w14:textId="512307DB" w:rsidR="00BA548C" w:rsidRPr="00D936CA" w:rsidRDefault="00532914"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La verificación de la voluntad del suscriptor corresponde exclusivamente para aquellos casos en que el suscriptor/usuario final desea cambiar de proveedor de los servicios de telecomunicaciones que tiene contratados. El nuevo proveedor del servicio será responsable de la verificación de la voluntad para el cambio de proveedor, </w:t>
      </w:r>
      <w:r w:rsidRPr="00021555">
        <w:rPr>
          <w:rFonts w:ascii="ITC Avant Garde" w:hAnsi="ITC Avant Garde"/>
          <w:sz w:val="22"/>
          <w:szCs w:val="22"/>
          <w:lang w:val="es-ES"/>
        </w:rPr>
        <w:t>así como de ejecutar la portabilidad</w:t>
      </w:r>
      <w:r w:rsidR="00F97C9D" w:rsidRPr="00021555">
        <w:rPr>
          <w:rFonts w:ascii="ITC Avant Garde" w:hAnsi="ITC Avant Garde"/>
          <w:sz w:val="22"/>
          <w:szCs w:val="22"/>
          <w:lang w:val="es-ES"/>
        </w:rPr>
        <w:t xml:space="preserve"> cuando se requiera</w:t>
      </w:r>
      <w:r w:rsidRPr="00021555">
        <w:rPr>
          <w:rFonts w:ascii="ITC Avant Garde" w:hAnsi="ITC Avant Garde"/>
          <w:sz w:val="22"/>
          <w:szCs w:val="22"/>
          <w:lang w:val="es-ES"/>
        </w:rPr>
        <w:t>.</w:t>
      </w:r>
      <w:r w:rsidRPr="00D936CA">
        <w:rPr>
          <w:rFonts w:ascii="ITC Avant Garde" w:hAnsi="ITC Avant Garde"/>
          <w:sz w:val="22"/>
          <w:szCs w:val="22"/>
          <w:lang w:val="es-ES"/>
        </w:rPr>
        <w:t xml:space="preserve"> </w:t>
      </w:r>
    </w:p>
    <w:p w14:paraId="706B0458" w14:textId="443EA155" w:rsidR="00C41819" w:rsidRPr="00D936CA" w:rsidRDefault="00532914" w:rsidP="00D936CA">
      <w:pPr>
        <w:spacing w:after="200" w:line="276" w:lineRule="auto"/>
        <w:jc w:val="both"/>
        <w:rPr>
          <w:rFonts w:ascii="ITC Avant Garde" w:hAnsi="ITC Avant Garde"/>
          <w:lang w:val="es-ES" w:eastAsia="en-US"/>
        </w:rPr>
      </w:pPr>
      <w:r w:rsidRPr="00D936CA">
        <w:rPr>
          <w:rFonts w:ascii="ITC Avant Garde" w:hAnsi="ITC Avant Garde"/>
          <w:sz w:val="22"/>
          <w:szCs w:val="22"/>
          <w:lang w:val="es-ES"/>
        </w:rPr>
        <w:t>El nuevo proveedor (receptor), incluido Telmex, será responsable de resguardar, por un período de cuando menos 6</w:t>
      </w:r>
      <w:r w:rsidR="00C547DE" w:rsidRPr="00D936CA">
        <w:rPr>
          <w:rFonts w:ascii="ITC Avant Garde" w:hAnsi="ITC Avant Garde"/>
          <w:sz w:val="22"/>
          <w:szCs w:val="22"/>
          <w:lang w:val="es-ES"/>
        </w:rPr>
        <w:t xml:space="preserve"> </w:t>
      </w:r>
      <w:r w:rsidRPr="00D936CA">
        <w:rPr>
          <w:rFonts w:ascii="ITC Avant Garde" w:hAnsi="ITC Avant Garde"/>
          <w:sz w:val="22"/>
          <w:szCs w:val="22"/>
          <w:lang w:val="es-ES"/>
        </w:rPr>
        <w:t>(seis) meses, la documentación proporcionada por el usuario final/suscriptor, así como entregar al Instituto dicha documentación en caso de requerirla.</w:t>
      </w:r>
      <w:r w:rsidR="00EB2AF6" w:rsidRPr="00D936CA">
        <w:rPr>
          <w:rFonts w:ascii="ITC Avant Garde" w:hAnsi="ITC Avant Garde"/>
          <w:sz w:val="22"/>
          <w:szCs w:val="22"/>
          <w:lang w:val="es-ES"/>
        </w:rPr>
        <w:t xml:space="preserve"> Transcurrido el periodo señalado, </w:t>
      </w:r>
      <w:r w:rsidR="00C41819" w:rsidRPr="00D936CA">
        <w:rPr>
          <w:rFonts w:ascii="ITC Avant Garde" w:hAnsi="ITC Avant Garde"/>
          <w:sz w:val="22"/>
          <w:szCs w:val="22"/>
          <w:lang w:val="es-ES"/>
        </w:rPr>
        <w:t xml:space="preserve">el responsable deberá de suprimir dicha </w:t>
      </w:r>
      <w:r w:rsidR="00BB19C5" w:rsidRPr="00D936CA">
        <w:rPr>
          <w:rFonts w:ascii="ITC Avant Garde" w:hAnsi="ITC Avant Garde"/>
          <w:sz w:val="22"/>
          <w:szCs w:val="22"/>
          <w:lang w:val="es-ES"/>
        </w:rPr>
        <w:t>información</w:t>
      </w:r>
      <w:r w:rsidR="00C41819" w:rsidRPr="00D936CA">
        <w:rPr>
          <w:rFonts w:ascii="ITC Avant Garde" w:hAnsi="ITC Avant Garde"/>
          <w:sz w:val="22"/>
          <w:szCs w:val="22"/>
          <w:lang w:val="es-ES"/>
        </w:rPr>
        <w:t xml:space="preserve">. </w:t>
      </w:r>
    </w:p>
    <w:p w14:paraId="33CFE64C" w14:textId="3ACF288A" w:rsidR="00532914" w:rsidRPr="00DD2DF8" w:rsidRDefault="00C41819" w:rsidP="00D936CA">
      <w:pPr>
        <w:spacing w:after="200" w:line="276" w:lineRule="auto"/>
        <w:jc w:val="both"/>
        <w:rPr>
          <w:rFonts w:ascii="ITC Avant Garde" w:hAnsi="ITC Avant Garde"/>
          <w:sz w:val="22"/>
          <w:szCs w:val="22"/>
          <w:lang w:val="es-ES"/>
        </w:rPr>
      </w:pPr>
      <w:r w:rsidRPr="00060B2E">
        <w:rPr>
          <w:rFonts w:ascii="ITC Avant Garde" w:hAnsi="ITC Avant Garde"/>
          <w:sz w:val="22"/>
          <w:szCs w:val="22"/>
          <w:lang w:val="es-ES"/>
        </w:rPr>
        <w:t xml:space="preserve">La información relativa a datos personales deberá ser utilizada únicamente para los fines para los cuales fue recabada, asimismo cuando hayan cumplido con la finalidad para la que fueron proporcionados, </w:t>
      </w:r>
      <w:r w:rsidR="003142A4">
        <w:rPr>
          <w:rFonts w:ascii="ITC Avant Garde" w:hAnsi="ITC Avant Garde"/>
          <w:sz w:val="22"/>
          <w:szCs w:val="22"/>
          <w:lang w:val="es-ES"/>
        </w:rPr>
        <w:t xml:space="preserve">el </w:t>
      </w:r>
      <w:r w:rsidRPr="00060B2E">
        <w:rPr>
          <w:rFonts w:ascii="ITC Avant Garde" w:hAnsi="ITC Avant Garde"/>
          <w:sz w:val="22"/>
          <w:szCs w:val="22"/>
          <w:lang w:val="es-ES"/>
        </w:rPr>
        <w:t>responsable podrá conservar los datos personales exclusivamente para efectos de las responsabilidades nacidas del tratamiento</w:t>
      </w:r>
      <w:r w:rsidR="00E1445F" w:rsidRPr="00060B2E">
        <w:rPr>
          <w:rFonts w:ascii="ITC Avant Garde" w:hAnsi="ITC Avant Garde"/>
          <w:sz w:val="22"/>
          <w:szCs w:val="22"/>
          <w:lang w:val="es-ES"/>
        </w:rPr>
        <w:t>, observando en todo momento la legislación aplicable</w:t>
      </w:r>
      <w:r w:rsidR="00BB19C5" w:rsidRPr="00060B2E">
        <w:rPr>
          <w:rFonts w:ascii="ITC Avant Garde" w:hAnsi="ITC Avant Garde"/>
          <w:sz w:val="22"/>
          <w:szCs w:val="22"/>
          <w:lang w:val="es-ES"/>
        </w:rPr>
        <w:t xml:space="preserve"> </w:t>
      </w:r>
      <w:r w:rsidR="00BB19C5" w:rsidRPr="003142A4">
        <w:rPr>
          <w:rFonts w:ascii="ITC Avant Garde" w:hAnsi="ITC Avant Garde"/>
          <w:sz w:val="22"/>
          <w:szCs w:val="22"/>
          <w:lang w:val="es-ES"/>
        </w:rPr>
        <w:t>en materia de acceso a la información y tratamiento y protección de datos personales</w:t>
      </w:r>
      <w:r w:rsidR="00E1445F" w:rsidRPr="00DD2DF8">
        <w:rPr>
          <w:rFonts w:ascii="ITC Avant Garde" w:hAnsi="ITC Avant Garde"/>
          <w:sz w:val="22"/>
          <w:szCs w:val="22"/>
          <w:lang w:val="es-ES"/>
        </w:rPr>
        <w:t>.</w:t>
      </w:r>
    </w:p>
    <w:p w14:paraId="33CFE64D" w14:textId="77777777" w:rsidR="002166B7" w:rsidRPr="00D936CA" w:rsidRDefault="002166B7" w:rsidP="00D936CA">
      <w:pPr>
        <w:pStyle w:val="IFTnormal"/>
      </w:pPr>
      <w:r w:rsidRPr="00D936CA">
        <w:t>Telmex no incurrirá en actividades de retención</w:t>
      </w:r>
      <w:r w:rsidR="00773426" w:rsidRPr="00D936CA">
        <w:t xml:space="preserve"> o de promoción de sus propios servicios</w:t>
      </w:r>
      <w:r w:rsidRPr="00D936CA">
        <w:t xml:space="preserve">, por lo que </w:t>
      </w:r>
      <w:r w:rsidR="002B5450" w:rsidRPr="00D936CA">
        <w:t>para tal efecto</w:t>
      </w:r>
      <w:r w:rsidRPr="00D936CA">
        <w:t xml:space="preserve"> no deberá establecer comunicación con el suscriptor que solicite el cambio de proveedor</w:t>
      </w:r>
      <w:r w:rsidR="006C6132" w:rsidRPr="00D936CA">
        <w:t>, a partir</w:t>
      </w:r>
      <w:r w:rsidRPr="00D936CA">
        <w:t xml:space="preserve"> de </w:t>
      </w:r>
      <w:r w:rsidR="006C6132" w:rsidRPr="00D936CA">
        <w:t xml:space="preserve">que reciba la solicitud </w:t>
      </w:r>
      <w:r w:rsidRPr="00D936CA">
        <w:t xml:space="preserve">de </w:t>
      </w:r>
      <w:r w:rsidR="006C6132" w:rsidRPr="00D936CA">
        <w:t>la verificación de la voluntad</w:t>
      </w:r>
      <w:r w:rsidR="002B5450" w:rsidRPr="00D936CA">
        <w:t>,</w:t>
      </w:r>
      <w:r w:rsidRPr="00D936CA">
        <w:t xml:space="preserve"> durante el tiempo en el que se tramita su solicitud y </w:t>
      </w:r>
      <w:r w:rsidR="002B5450" w:rsidRPr="00D936CA">
        <w:t xml:space="preserve">hasta 15 días naturales después de que </w:t>
      </w:r>
      <w:r w:rsidRPr="00D936CA">
        <w:t xml:space="preserve">se </w:t>
      </w:r>
      <w:r w:rsidRPr="00D936CA" w:rsidDel="00E159F0">
        <w:t xml:space="preserve">habiliten </w:t>
      </w:r>
      <w:r w:rsidRPr="00D936CA">
        <w:t>los servicios de telecomunicaciones solicitados.</w:t>
      </w:r>
    </w:p>
    <w:p w14:paraId="33CFE64E" w14:textId="31C0185D" w:rsidR="00762FC2" w:rsidRPr="00D936CA" w:rsidRDefault="00BD405F" w:rsidP="00D936CA">
      <w:pPr>
        <w:spacing w:after="200" w:line="276" w:lineRule="auto"/>
        <w:jc w:val="both"/>
        <w:rPr>
          <w:rFonts w:ascii="ITC Avant Garde" w:hAnsi="ITC Avant Garde" w:cs="Arial"/>
          <w:sz w:val="22"/>
          <w:szCs w:val="22"/>
          <w:lang w:val="es-ES"/>
        </w:rPr>
      </w:pPr>
      <w:r w:rsidRPr="00D936CA">
        <w:rPr>
          <w:rFonts w:ascii="ITC Avant Garde" w:hAnsi="ITC Avant Garde" w:cs="Arial"/>
          <w:sz w:val="22"/>
          <w:szCs w:val="22"/>
          <w:lang w:val="es-ES"/>
        </w:rPr>
        <w:t>L</w:t>
      </w:r>
      <w:r w:rsidR="00011A1B" w:rsidRPr="00D936CA">
        <w:rPr>
          <w:rFonts w:ascii="ITC Avant Garde" w:hAnsi="ITC Avant Garde" w:cs="Arial"/>
          <w:sz w:val="22"/>
          <w:szCs w:val="22"/>
          <w:lang w:val="es-ES"/>
        </w:rPr>
        <w:t xml:space="preserve">as solicitudes que se reciban serán atendidas como alta de servicio, por tanto, se dará de baja el servicio con el </w:t>
      </w:r>
      <w:r w:rsidR="0023587D" w:rsidRPr="00D936CA">
        <w:rPr>
          <w:rFonts w:ascii="ITC Avant Garde" w:hAnsi="ITC Avant Garde" w:cs="Arial"/>
          <w:sz w:val="22"/>
          <w:szCs w:val="22"/>
          <w:lang w:val="es-ES"/>
        </w:rPr>
        <w:t>proveedor</w:t>
      </w:r>
      <w:r w:rsidR="00556413" w:rsidRPr="00D936CA">
        <w:rPr>
          <w:rFonts w:ascii="ITC Avant Garde" w:hAnsi="ITC Avant Garde" w:cs="Arial"/>
          <w:sz w:val="22"/>
          <w:szCs w:val="22"/>
          <w:lang w:val="es-ES"/>
        </w:rPr>
        <w:t xml:space="preserve"> actual</w:t>
      </w:r>
      <w:r w:rsidR="00011A1B" w:rsidRPr="00D936CA">
        <w:rPr>
          <w:rFonts w:ascii="ITC Avant Garde" w:hAnsi="ITC Avant Garde" w:cs="Arial"/>
          <w:sz w:val="22"/>
          <w:szCs w:val="22"/>
          <w:lang w:val="es-ES"/>
        </w:rPr>
        <w:t xml:space="preserve"> (donador) y se hará el cambio con el nuevo </w:t>
      </w:r>
      <w:r w:rsidR="0023587D" w:rsidRPr="00D936CA">
        <w:rPr>
          <w:rFonts w:ascii="ITC Avant Garde" w:hAnsi="ITC Avant Garde" w:cs="Arial"/>
          <w:sz w:val="22"/>
          <w:szCs w:val="22"/>
          <w:lang w:val="es-ES"/>
        </w:rPr>
        <w:t xml:space="preserve">proveedor del servicio </w:t>
      </w:r>
      <w:r w:rsidR="00011A1B" w:rsidRPr="00D936CA">
        <w:rPr>
          <w:rFonts w:ascii="ITC Avant Garde" w:hAnsi="ITC Avant Garde" w:cs="Arial"/>
          <w:sz w:val="22"/>
          <w:szCs w:val="22"/>
          <w:lang w:val="es-ES"/>
        </w:rPr>
        <w:t xml:space="preserve">(receptor). Para realizar la verificación de la voluntad el </w:t>
      </w:r>
      <w:r w:rsidR="00BF5CB5" w:rsidRPr="00D936CA">
        <w:rPr>
          <w:rFonts w:ascii="ITC Avant Garde" w:hAnsi="ITC Avant Garde" w:cs="Arial"/>
          <w:sz w:val="22"/>
          <w:szCs w:val="22"/>
          <w:lang w:val="es-ES"/>
        </w:rPr>
        <w:t>suscriptor</w:t>
      </w:r>
      <w:r w:rsidR="00011A1B" w:rsidRPr="00D936CA">
        <w:rPr>
          <w:rFonts w:ascii="ITC Avant Garde" w:hAnsi="ITC Avant Garde" w:cs="Arial"/>
          <w:sz w:val="22"/>
          <w:szCs w:val="22"/>
          <w:lang w:val="es-ES"/>
        </w:rPr>
        <w:t>/usuario final</w:t>
      </w:r>
      <w:r w:rsidR="00BF5CB5" w:rsidRPr="00D936CA">
        <w:rPr>
          <w:rFonts w:ascii="ITC Avant Garde" w:hAnsi="ITC Avant Garde" w:cs="Arial"/>
          <w:sz w:val="22"/>
          <w:szCs w:val="22"/>
          <w:lang w:val="es-ES"/>
        </w:rPr>
        <w:t xml:space="preserve"> </w:t>
      </w:r>
      <w:r w:rsidR="00011A1B" w:rsidRPr="00D936CA">
        <w:rPr>
          <w:rFonts w:ascii="ITC Avant Garde" w:hAnsi="ITC Avant Garde" w:cs="Arial"/>
          <w:sz w:val="22"/>
          <w:szCs w:val="22"/>
          <w:lang w:val="es-ES"/>
        </w:rPr>
        <w:t>se cuenta con tres escenarios:</w:t>
      </w:r>
    </w:p>
    <w:p w14:paraId="33CFE64F" w14:textId="31738380" w:rsidR="00FA1C46" w:rsidRPr="00D936CA" w:rsidRDefault="00021555" w:rsidP="00D936CA">
      <w:pPr>
        <w:pStyle w:val="Prrafodelista"/>
        <w:numPr>
          <w:ilvl w:val="0"/>
          <w:numId w:val="38"/>
        </w:numPr>
        <w:spacing w:after="200" w:line="276" w:lineRule="auto"/>
        <w:jc w:val="both"/>
        <w:rPr>
          <w:rFonts w:ascii="ITC Avant Garde" w:hAnsi="ITC Avant Garde" w:cs="Arial"/>
          <w:sz w:val="22"/>
          <w:szCs w:val="22"/>
          <w:lang w:val="es-ES"/>
        </w:rPr>
      </w:pPr>
      <w:r>
        <w:rPr>
          <w:rFonts w:ascii="ITC Avant Garde" w:hAnsi="ITC Avant Garde" w:cs="Arial"/>
          <w:sz w:val="22"/>
          <w:szCs w:val="22"/>
          <w:lang w:val="es-ES"/>
        </w:rPr>
        <w:t xml:space="preserve">De </w:t>
      </w:r>
      <w:r w:rsidR="00011A1B" w:rsidRPr="00D936CA">
        <w:rPr>
          <w:rFonts w:ascii="ITC Avant Garde" w:hAnsi="ITC Avant Garde" w:cs="Arial"/>
          <w:sz w:val="22"/>
          <w:szCs w:val="22"/>
          <w:lang w:val="es-ES"/>
        </w:rPr>
        <w:t>T</w:t>
      </w:r>
      <w:r w:rsidR="00156D9F" w:rsidRPr="00D936CA">
        <w:rPr>
          <w:rFonts w:ascii="ITC Avant Garde" w:hAnsi="ITC Avant Garde" w:cs="Arial"/>
          <w:sz w:val="22"/>
          <w:szCs w:val="22"/>
          <w:lang w:val="es-ES"/>
        </w:rPr>
        <w:t>elmex</w:t>
      </w:r>
      <w:r>
        <w:rPr>
          <w:rFonts w:ascii="ITC Avant Garde" w:hAnsi="ITC Avant Garde" w:cs="Arial"/>
          <w:sz w:val="22"/>
          <w:szCs w:val="22"/>
          <w:lang w:val="es-ES"/>
        </w:rPr>
        <w:t xml:space="preserve"> a </w:t>
      </w:r>
      <w:r w:rsidR="00C54750">
        <w:rPr>
          <w:rFonts w:ascii="ITC Avant Garde" w:hAnsi="ITC Avant Garde" w:cs="Arial"/>
          <w:sz w:val="22"/>
          <w:szCs w:val="22"/>
          <w:lang w:val="es-ES"/>
        </w:rPr>
        <w:t>CS</w:t>
      </w:r>
      <w:r w:rsidR="00011A1B" w:rsidRPr="00D936CA">
        <w:rPr>
          <w:rFonts w:ascii="ITC Avant Garde" w:hAnsi="ITC Avant Garde" w:cs="Arial"/>
          <w:sz w:val="22"/>
          <w:szCs w:val="22"/>
          <w:lang w:val="es-ES"/>
        </w:rPr>
        <w:t>: El CS realiza ante Telmex el cambio de proveedor del servicio de telecomunicaciones.</w:t>
      </w:r>
    </w:p>
    <w:p w14:paraId="33CFE650" w14:textId="37888591" w:rsidR="00FA1C46" w:rsidRPr="00D936CA" w:rsidRDefault="00021555" w:rsidP="00D936CA">
      <w:pPr>
        <w:pStyle w:val="Prrafodelista"/>
        <w:numPr>
          <w:ilvl w:val="0"/>
          <w:numId w:val="38"/>
        </w:numPr>
        <w:spacing w:after="200" w:line="276" w:lineRule="auto"/>
        <w:jc w:val="both"/>
        <w:rPr>
          <w:rFonts w:ascii="ITC Avant Garde" w:hAnsi="ITC Avant Garde" w:cs="Arial"/>
          <w:sz w:val="22"/>
          <w:szCs w:val="22"/>
          <w:lang w:val="es-ES"/>
        </w:rPr>
      </w:pPr>
      <w:r>
        <w:rPr>
          <w:rFonts w:ascii="ITC Avant Garde" w:hAnsi="ITC Avant Garde" w:cs="Arial"/>
          <w:sz w:val="22"/>
          <w:szCs w:val="22"/>
          <w:lang w:val="es-ES"/>
        </w:rPr>
        <w:t xml:space="preserve">De </w:t>
      </w:r>
      <w:r w:rsidR="00C54750">
        <w:rPr>
          <w:rFonts w:ascii="ITC Avant Garde" w:hAnsi="ITC Avant Garde" w:cs="Arial"/>
          <w:sz w:val="22"/>
          <w:szCs w:val="22"/>
          <w:lang w:val="es-ES"/>
        </w:rPr>
        <w:t>CS</w:t>
      </w:r>
      <w:r>
        <w:rPr>
          <w:rFonts w:ascii="ITC Avant Garde" w:hAnsi="ITC Avant Garde" w:cs="Arial"/>
          <w:sz w:val="22"/>
          <w:szCs w:val="22"/>
          <w:lang w:val="es-ES"/>
        </w:rPr>
        <w:t xml:space="preserve"> a </w:t>
      </w:r>
      <w:r w:rsidR="00156D9F" w:rsidRPr="00D936CA">
        <w:rPr>
          <w:rFonts w:ascii="ITC Avant Garde" w:hAnsi="ITC Avant Garde" w:cs="Arial"/>
          <w:sz w:val="22"/>
          <w:szCs w:val="22"/>
          <w:lang w:val="es-ES"/>
        </w:rPr>
        <w:t>Telmex</w:t>
      </w:r>
      <w:r w:rsidR="00011A1B" w:rsidRPr="00D936CA">
        <w:rPr>
          <w:rFonts w:ascii="ITC Avant Garde" w:hAnsi="ITC Avant Garde" w:cs="Arial"/>
          <w:sz w:val="22"/>
          <w:szCs w:val="22"/>
          <w:lang w:val="es-ES"/>
        </w:rPr>
        <w:t>: Telmex realiza ante el proveedor actual el cambio de proveedor del servicio de telecomunicaciones.</w:t>
      </w:r>
    </w:p>
    <w:p w14:paraId="33CFE651" w14:textId="0B78CAC5" w:rsidR="00FA1C46" w:rsidRPr="00D936CA" w:rsidRDefault="00021555" w:rsidP="00D936CA">
      <w:pPr>
        <w:pStyle w:val="Prrafodelista"/>
        <w:numPr>
          <w:ilvl w:val="0"/>
          <w:numId w:val="38"/>
        </w:numPr>
        <w:spacing w:after="200" w:line="276" w:lineRule="auto"/>
        <w:jc w:val="both"/>
        <w:rPr>
          <w:rFonts w:ascii="ITC Avant Garde" w:hAnsi="ITC Avant Garde" w:cs="Arial"/>
          <w:sz w:val="22"/>
          <w:szCs w:val="22"/>
          <w:lang w:val="es-ES"/>
        </w:rPr>
      </w:pPr>
      <w:r>
        <w:rPr>
          <w:rFonts w:ascii="ITC Avant Garde" w:hAnsi="ITC Avant Garde" w:cs="Arial"/>
          <w:sz w:val="22"/>
          <w:szCs w:val="22"/>
          <w:lang w:val="es-ES"/>
        </w:rPr>
        <w:t xml:space="preserve">De </w:t>
      </w:r>
      <w:r w:rsidR="00011A1B" w:rsidRPr="00D936CA">
        <w:rPr>
          <w:rFonts w:ascii="ITC Avant Garde" w:hAnsi="ITC Avant Garde" w:cs="Arial"/>
          <w:sz w:val="22"/>
          <w:szCs w:val="22"/>
          <w:lang w:val="es-ES"/>
        </w:rPr>
        <w:t>CS</w:t>
      </w:r>
      <w:r>
        <w:rPr>
          <w:rFonts w:ascii="ITC Avant Garde" w:hAnsi="ITC Avant Garde" w:cs="Arial"/>
          <w:sz w:val="22"/>
          <w:szCs w:val="22"/>
          <w:lang w:val="es-ES"/>
        </w:rPr>
        <w:t xml:space="preserve"> a </w:t>
      </w:r>
      <w:r w:rsidR="00011A1B" w:rsidRPr="00D936CA">
        <w:rPr>
          <w:rFonts w:ascii="ITC Avant Garde" w:hAnsi="ITC Avant Garde" w:cs="Arial"/>
          <w:sz w:val="22"/>
          <w:szCs w:val="22"/>
          <w:lang w:val="es-ES"/>
        </w:rPr>
        <w:t xml:space="preserve">CS: Un </w:t>
      </w:r>
      <w:r w:rsidR="00036FA4" w:rsidRPr="00D936CA">
        <w:rPr>
          <w:rFonts w:ascii="ITC Avant Garde" w:hAnsi="ITC Avant Garde" w:cs="Arial"/>
          <w:sz w:val="22"/>
          <w:szCs w:val="22"/>
          <w:lang w:val="es-ES"/>
        </w:rPr>
        <w:t>CS</w:t>
      </w:r>
      <w:r w:rsidR="00011A1B" w:rsidRPr="00D936CA">
        <w:rPr>
          <w:rFonts w:ascii="ITC Avant Garde" w:hAnsi="ITC Avant Garde" w:cs="Arial"/>
          <w:sz w:val="22"/>
          <w:szCs w:val="22"/>
          <w:lang w:val="es-ES"/>
        </w:rPr>
        <w:t xml:space="preserve"> </w:t>
      </w:r>
      <w:r w:rsidR="000C6362" w:rsidRPr="00D936CA">
        <w:rPr>
          <w:rFonts w:ascii="ITC Avant Garde" w:hAnsi="ITC Avant Garde" w:cs="Arial"/>
          <w:sz w:val="22"/>
          <w:szCs w:val="22"/>
          <w:lang w:val="es-ES"/>
        </w:rPr>
        <w:t xml:space="preserve">(nuevo proveedor del servicio) realiza el cambio de </w:t>
      </w:r>
      <w:r w:rsidR="00011A1B" w:rsidRPr="00D936CA">
        <w:rPr>
          <w:rFonts w:ascii="ITC Avant Garde" w:hAnsi="ITC Avant Garde" w:cs="Arial"/>
          <w:sz w:val="22"/>
          <w:szCs w:val="22"/>
          <w:lang w:val="es-ES"/>
        </w:rPr>
        <w:t xml:space="preserve">proveedor del servicio de telecomunicaciones ante el </w:t>
      </w:r>
      <w:r w:rsidR="00E00372" w:rsidRPr="00D936CA">
        <w:rPr>
          <w:rFonts w:ascii="ITC Avant Garde" w:hAnsi="ITC Avant Garde" w:cs="Arial"/>
          <w:sz w:val="22"/>
          <w:szCs w:val="22"/>
          <w:lang w:val="es-ES"/>
        </w:rPr>
        <w:t xml:space="preserve">proveedor </w:t>
      </w:r>
      <w:r w:rsidR="00011A1B" w:rsidRPr="00D936CA">
        <w:rPr>
          <w:rFonts w:ascii="ITC Avant Garde" w:hAnsi="ITC Avant Garde" w:cs="Arial"/>
          <w:sz w:val="22"/>
          <w:szCs w:val="22"/>
          <w:lang w:val="es-ES"/>
        </w:rPr>
        <w:t>actual y Telmex. En este caso se incluirá a Telmex para que éste realice las actuaciones correspondientes a</w:t>
      </w:r>
      <w:r w:rsidR="00E00372" w:rsidRPr="00D936CA">
        <w:rPr>
          <w:rFonts w:ascii="ITC Avant Garde" w:hAnsi="ITC Avant Garde" w:cs="Arial"/>
          <w:sz w:val="22"/>
          <w:szCs w:val="22"/>
          <w:lang w:val="es-ES"/>
        </w:rPr>
        <w:t xml:space="preserve"> los servicios de</w:t>
      </w:r>
      <w:r w:rsidR="00011A1B" w:rsidRPr="00D936CA">
        <w:rPr>
          <w:rFonts w:ascii="ITC Avant Garde" w:hAnsi="ITC Avant Garde" w:cs="Arial"/>
          <w:sz w:val="22"/>
          <w:szCs w:val="22"/>
          <w:lang w:val="es-ES"/>
        </w:rPr>
        <w:t xml:space="preserve"> desagregación.</w:t>
      </w:r>
    </w:p>
    <w:p w14:paraId="33CFE652" w14:textId="4538FECA" w:rsidR="00AA21B0" w:rsidRPr="00D936CA" w:rsidRDefault="00011A1B" w:rsidP="00D936CA">
      <w:pPr>
        <w:autoSpaceDE w:val="0"/>
        <w:autoSpaceDN w:val="0"/>
        <w:adjustRightInd w:val="0"/>
        <w:spacing w:after="200" w:line="276" w:lineRule="auto"/>
        <w:jc w:val="both"/>
        <w:rPr>
          <w:rFonts w:ascii="ITC Avant Garde" w:hAnsi="ITC Avant Garde" w:cs="Arial"/>
          <w:b/>
          <w:sz w:val="22"/>
          <w:szCs w:val="22"/>
          <w:lang w:val="es-ES"/>
        </w:rPr>
      </w:pPr>
      <w:r w:rsidRPr="00D936CA">
        <w:rPr>
          <w:rFonts w:ascii="ITC Avant Garde" w:hAnsi="ITC Avant Garde" w:cs="Arial"/>
          <w:b/>
          <w:sz w:val="22"/>
          <w:szCs w:val="22"/>
          <w:lang w:val="es-ES"/>
        </w:rPr>
        <w:lastRenderedPageBreak/>
        <w:t xml:space="preserve">Procedimiento de verificación de voluntad del </w:t>
      </w:r>
      <w:r w:rsidR="00BF5CB5" w:rsidRPr="00D936CA">
        <w:rPr>
          <w:rFonts w:ascii="ITC Avant Garde" w:hAnsi="ITC Avant Garde" w:cs="Arial"/>
          <w:b/>
          <w:sz w:val="22"/>
          <w:szCs w:val="22"/>
          <w:lang w:val="es-ES"/>
        </w:rPr>
        <w:t>suscriptor</w:t>
      </w:r>
      <w:r w:rsidRPr="00D936CA">
        <w:rPr>
          <w:rFonts w:ascii="ITC Avant Garde" w:hAnsi="ITC Avant Garde" w:cs="Arial"/>
          <w:b/>
          <w:sz w:val="22"/>
          <w:szCs w:val="22"/>
          <w:lang w:val="es-ES"/>
        </w:rPr>
        <w:t xml:space="preserve">/usuario final y cambio de Concesionario en los escenarios </w:t>
      </w:r>
      <w:r w:rsidR="00021555">
        <w:rPr>
          <w:rFonts w:ascii="ITC Avant Garde" w:hAnsi="ITC Avant Garde" w:cs="Arial"/>
          <w:b/>
          <w:sz w:val="22"/>
          <w:szCs w:val="22"/>
          <w:lang w:val="es-ES"/>
        </w:rPr>
        <w:t xml:space="preserve">de </w:t>
      </w:r>
      <w:r w:rsidRPr="00D936CA">
        <w:rPr>
          <w:rFonts w:ascii="ITC Avant Garde" w:hAnsi="ITC Avant Garde" w:cs="Arial"/>
          <w:b/>
          <w:sz w:val="22"/>
          <w:szCs w:val="22"/>
          <w:lang w:val="es-ES"/>
        </w:rPr>
        <w:t>CS</w:t>
      </w:r>
      <w:r w:rsidR="00021555">
        <w:rPr>
          <w:rFonts w:ascii="ITC Avant Garde" w:hAnsi="ITC Avant Garde" w:cs="Arial"/>
          <w:b/>
          <w:sz w:val="22"/>
          <w:szCs w:val="22"/>
          <w:lang w:val="es-ES"/>
        </w:rPr>
        <w:t xml:space="preserve"> a</w:t>
      </w:r>
      <w:r w:rsidR="008D2A4C">
        <w:rPr>
          <w:rFonts w:ascii="ITC Avant Garde" w:hAnsi="ITC Avant Garde" w:cs="Arial"/>
          <w:b/>
          <w:sz w:val="22"/>
          <w:szCs w:val="22"/>
          <w:lang w:val="es-ES"/>
        </w:rPr>
        <w:t xml:space="preserve"> </w:t>
      </w:r>
      <w:r w:rsidRPr="00D936CA">
        <w:rPr>
          <w:rFonts w:ascii="ITC Avant Garde" w:hAnsi="ITC Avant Garde" w:cs="Arial"/>
          <w:b/>
          <w:sz w:val="22"/>
          <w:szCs w:val="22"/>
          <w:lang w:val="es-ES"/>
        </w:rPr>
        <w:t>T</w:t>
      </w:r>
      <w:r w:rsidR="00156D9F" w:rsidRPr="00D936CA">
        <w:rPr>
          <w:rFonts w:ascii="ITC Avant Garde" w:hAnsi="ITC Avant Garde" w:cs="Arial"/>
          <w:b/>
          <w:sz w:val="22"/>
          <w:szCs w:val="22"/>
          <w:lang w:val="es-ES"/>
        </w:rPr>
        <w:t>elmex</w:t>
      </w:r>
      <w:r w:rsidRPr="00D936CA">
        <w:rPr>
          <w:rFonts w:ascii="ITC Avant Garde" w:hAnsi="ITC Avant Garde" w:cs="Arial"/>
          <w:b/>
          <w:sz w:val="22"/>
          <w:szCs w:val="22"/>
          <w:lang w:val="es-ES"/>
        </w:rPr>
        <w:t xml:space="preserve">, </w:t>
      </w:r>
      <w:r w:rsidR="00021555">
        <w:rPr>
          <w:rFonts w:ascii="ITC Avant Garde" w:hAnsi="ITC Avant Garde" w:cs="Arial"/>
          <w:b/>
          <w:sz w:val="22"/>
          <w:szCs w:val="22"/>
          <w:lang w:val="es-ES"/>
        </w:rPr>
        <w:t xml:space="preserve">de </w:t>
      </w:r>
      <w:r w:rsidRPr="00D936CA">
        <w:rPr>
          <w:rFonts w:ascii="ITC Avant Garde" w:hAnsi="ITC Avant Garde" w:cs="Arial"/>
          <w:b/>
          <w:sz w:val="22"/>
          <w:szCs w:val="22"/>
          <w:lang w:val="es-ES"/>
        </w:rPr>
        <w:t>T</w:t>
      </w:r>
      <w:r w:rsidR="00156D9F" w:rsidRPr="00D936CA">
        <w:rPr>
          <w:rFonts w:ascii="ITC Avant Garde" w:hAnsi="ITC Avant Garde" w:cs="Arial"/>
          <w:b/>
          <w:sz w:val="22"/>
          <w:szCs w:val="22"/>
          <w:lang w:val="es-ES"/>
        </w:rPr>
        <w:t>elmex</w:t>
      </w:r>
      <w:r w:rsidR="00021555">
        <w:rPr>
          <w:rFonts w:ascii="ITC Avant Garde" w:hAnsi="ITC Avant Garde" w:cs="Arial"/>
          <w:b/>
          <w:sz w:val="22"/>
          <w:szCs w:val="22"/>
          <w:lang w:val="es-ES"/>
        </w:rPr>
        <w:t xml:space="preserve"> a</w:t>
      </w:r>
      <w:r w:rsidR="008D2A4C">
        <w:rPr>
          <w:rFonts w:ascii="ITC Avant Garde" w:hAnsi="ITC Avant Garde" w:cs="Arial"/>
          <w:b/>
          <w:sz w:val="22"/>
          <w:szCs w:val="22"/>
          <w:lang w:val="es-ES"/>
        </w:rPr>
        <w:t xml:space="preserve"> </w:t>
      </w:r>
      <w:r w:rsidRPr="00D936CA">
        <w:rPr>
          <w:rFonts w:ascii="ITC Avant Garde" w:hAnsi="ITC Avant Garde" w:cs="Arial"/>
          <w:b/>
          <w:sz w:val="22"/>
          <w:szCs w:val="22"/>
          <w:lang w:val="es-ES"/>
        </w:rPr>
        <w:t xml:space="preserve">CS, </w:t>
      </w:r>
      <w:r w:rsidR="00021555">
        <w:rPr>
          <w:rFonts w:ascii="ITC Avant Garde" w:hAnsi="ITC Avant Garde" w:cs="Arial"/>
          <w:b/>
          <w:sz w:val="22"/>
          <w:szCs w:val="22"/>
          <w:lang w:val="es-ES"/>
        </w:rPr>
        <w:t xml:space="preserve">de </w:t>
      </w:r>
      <w:r w:rsidRPr="00D936CA">
        <w:rPr>
          <w:rFonts w:ascii="ITC Avant Garde" w:hAnsi="ITC Avant Garde" w:cs="Arial"/>
          <w:b/>
          <w:sz w:val="22"/>
          <w:szCs w:val="22"/>
          <w:lang w:val="es-ES"/>
        </w:rPr>
        <w:t>CS</w:t>
      </w:r>
      <w:r w:rsidR="00021555">
        <w:rPr>
          <w:rFonts w:ascii="ITC Avant Garde" w:hAnsi="ITC Avant Garde" w:cs="Arial"/>
          <w:b/>
          <w:sz w:val="22"/>
          <w:szCs w:val="22"/>
          <w:lang w:val="es-ES"/>
        </w:rPr>
        <w:t xml:space="preserve"> a</w:t>
      </w:r>
      <w:r w:rsidR="008D2A4C">
        <w:rPr>
          <w:rFonts w:ascii="ITC Avant Garde" w:hAnsi="ITC Avant Garde" w:cs="Arial"/>
          <w:b/>
          <w:sz w:val="22"/>
          <w:szCs w:val="22"/>
          <w:lang w:val="es-ES"/>
        </w:rPr>
        <w:t xml:space="preserve"> </w:t>
      </w:r>
      <w:r w:rsidRPr="00D936CA">
        <w:rPr>
          <w:rFonts w:ascii="ITC Avant Garde" w:hAnsi="ITC Avant Garde" w:cs="Arial"/>
          <w:b/>
          <w:sz w:val="22"/>
          <w:szCs w:val="22"/>
          <w:lang w:val="es-ES"/>
        </w:rPr>
        <w:t>CS (donador-receptor):</w:t>
      </w:r>
    </w:p>
    <w:p w14:paraId="33CFE653" w14:textId="369374BC" w:rsidR="000C6362" w:rsidRPr="00D936CA" w:rsidRDefault="000C6362" w:rsidP="00D936CA">
      <w:pPr>
        <w:pStyle w:val="Prrafodelista"/>
        <w:numPr>
          <w:ilvl w:val="0"/>
          <w:numId w:val="54"/>
        </w:numPr>
        <w:autoSpaceDE w:val="0"/>
        <w:autoSpaceDN w:val="0"/>
        <w:adjustRightInd w:val="0"/>
        <w:spacing w:after="200" w:line="276" w:lineRule="auto"/>
        <w:jc w:val="both"/>
        <w:rPr>
          <w:rFonts w:ascii="ITC Avant Garde" w:hAnsi="ITC Avant Garde" w:cs="Arial"/>
          <w:sz w:val="22"/>
          <w:szCs w:val="22"/>
          <w:lang w:val="es-ES"/>
        </w:rPr>
      </w:pPr>
      <w:r w:rsidRPr="00D936CA">
        <w:rPr>
          <w:rFonts w:ascii="ITC Avant Garde" w:hAnsi="ITC Avant Garde" w:cs="Arial"/>
          <w:b/>
          <w:sz w:val="22"/>
          <w:szCs w:val="22"/>
          <w:lang w:val="es-ES"/>
        </w:rPr>
        <w:t xml:space="preserve">Escenarios </w:t>
      </w:r>
      <w:r w:rsidR="00021555">
        <w:rPr>
          <w:rFonts w:ascii="ITC Avant Garde" w:hAnsi="ITC Avant Garde" w:cs="Arial"/>
          <w:b/>
          <w:sz w:val="22"/>
          <w:szCs w:val="22"/>
          <w:lang w:val="es-ES"/>
        </w:rPr>
        <w:t xml:space="preserve">de </w:t>
      </w:r>
      <w:r w:rsidRPr="00D936CA">
        <w:rPr>
          <w:rFonts w:ascii="ITC Avant Garde" w:hAnsi="ITC Avant Garde" w:cs="Arial"/>
          <w:b/>
          <w:sz w:val="22"/>
          <w:szCs w:val="22"/>
          <w:lang w:val="es-ES"/>
        </w:rPr>
        <w:t>Telmex</w:t>
      </w:r>
      <w:r w:rsidR="00021555">
        <w:rPr>
          <w:rFonts w:ascii="ITC Avant Garde" w:hAnsi="ITC Avant Garde" w:cs="Arial"/>
          <w:b/>
          <w:sz w:val="22"/>
          <w:szCs w:val="22"/>
          <w:lang w:val="es-ES"/>
        </w:rPr>
        <w:t xml:space="preserve"> a </w:t>
      </w:r>
      <w:r w:rsidR="003142A4">
        <w:rPr>
          <w:rFonts w:ascii="ITC Avant Garde" w:hAnsi="ITC Avant Garde" w:cs="Arial"/>
          <w:b/>
          <w:sz w:val="22"/>
          <w:szCs w:val="22"/>
          <w:lang w:val="es-ES"/>
        </w:rPr>
        <w:t>CS</w:t>
      </w:r>
    </w:p>
    <w:p w14:paraId="33CFE654" w14:textId="77777777" w:rsidR="00F56A29" w:rsidRPr="00D936CA" w:rsidRDefault="000C6362" w:rsidP="00D936CA">
      <w:pPr>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El CS, solicitará a Telmex los servicios de desagregación correspondientes anexando el formato de verificación de la voluntad debidamente firmado</w:t>
      </w:r>
      <w:r w:rsidR="00F56A29" w:rsidRPr="00D936CA">
        <w:rPr>
          <w:rFonts w:ascii="ITC Avant Garde" w:hAnsi="ITC Avant Garde" w:cs="Arial"/>
          <w:sz w:val="22"/>
          <w:szCs w:val="22"/>
          <w:lang w:val="es-ES"/>
        </w:rPr>
        <w:t>.</w:t>
      </w:r>
      <w:r w:rsidR="002C5022" w:rsidRPr="00D936CA">
        <w:rPr>
          <w:rFonts w:ascii="ITC Avant Garde" w:hAnsi="ITC Avant Garde" w:cs="Arial"/>
          <w:sz w:val="22"/>
          <w:szCs w:val="22"/>
          <w:lang w:val="es-ES"/>
        </w:rPr>
        <w:t xml:space="preserve"> </w:t>
      </w:r>
    </w:p>
    <w:p w14:paraId="33CFE655" w14:textId="77777777" w:rsidR="000C6362" w:rsidRPr="00D936CA" w:rsidRDefault="002C5022" w:rsidP="00D936CA">
      <w:pPr>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 xml:space="preserve">Telmex habilitará los servicios correspondientes al </w:t>
      </w:r>
      <w:r w:rsidR="00F56A29" w:rsidRPr="00D936CA">
        <w:rPr>
          <w:rFonts w:ascii="ITC Avant Garde" w:hAnsi="ITC Avant Garde" w:cs="Arial"/>
          <w:sz w:val="22"/>
          <w:szCs w:val="22"/>
          <w:lang w:val="es-ES"/>
        </w:rPr>
        <w:t>nuevo proveedor del servicio</w:t>
      </w:r>
      <w:r w:rsidRPr="00D936CA">
        <w:rPr>
          <w:rFonts w:ascii="ITC Avant Garde" w:hAnsi="ITC Avant Garde" w:cs="Arial"/>
          <w:sz w:val="22"/>
          <w:szCs w:val="22"/>
          <w:lang w:val="es-ES"/>
        </w:rPr>
        <w:t xml:space="preserve"> </w:t>
      </w:r>
      <w:r w:rsidR="00F56A29" w:rsidRPr="00D936CA">
        <w:rPr>
          <w:rFonts w:ascii="ITC Avant Garde" w:hAnsi="ITC Avant Garde" w:cs="Arial"/>
          <w:sz w:val="22"/>
          <w:szCs w:val="22"/>
          <w:lang w:val="es-ES"/>
        </w:rPr>
        <w:t>(</w:t>
      </w:r>
      <w:r w:rsidRPr="00D936CA">
        <w:rPr>
          <w:rFonts w:ascii="ITC Avant Garde" w:hAnsi="ITC Avant Garde" w:cs="Arial"/>
          <w:sz w:val="22"/>
          <w:szCs w:val="22"/>
          <w:lang w:val="es-ES"/>
        </w:rPr>
        <w:t>receptor</w:t>
      </w:r>
      <w:r w:rsidR="00F56A29" w:rsidRPr="00D936CA">
        <w:rPr>
          <w:rFonts w:ascii="ITC Avant Garde" w:hAnsi="ITC Avant Garde" w:cs="Arial"/>
          <w:sz w:val="22"/>
          <w:szCs w:val="22"/>
          <w:lang w:val="es-ES"/>
        </w:rPr>
        <w:t>)</w:t>
      </w:r>
      <w:r w:rsidR="000C6362" w:rsidRPr="00D936CA">
        <w:rPr>
          <w:rFonts w:ascii="ITC Avant Garde" w:hAnsi="ITC Avant Garde" w:cs="Arial"/>
          <w:sz w:val="22"/>
          <w:szCs w:val="22"/>
          <w:lang w:val="es-ES"/>
        </w:rPr>
        <w:t>.</w:t>
      </w:r>
    </w:p>
    <w:p w14:paraId="33CFE656" w14:textId="51F2129C" w:rsidR="000C6362" w:rsidRPr="00D936CA" w:rsidRDefault="000C6362" w:rsidP="00D936CA">
      <w:pPr>
        <w:pStyle w:val="Prrafodelista"/>
        <w:numPr>
          <w:ilvl w:val="0"/>
          <w:numId w:val="54"/>
        </w:numPr>
        <w:autoSpaceDE w:val="0"/>
        <w:autoSpaceDN w:val="0"/>
        <w:adjustRightInd w:val="0"/>
        <w:spacing w:after="200" w:line="276" w:lineRule="auto"/>
        <w:jc w:val="both"/>
        <w:rPr>
          <w:rFonts w:ascii="ITC Avant Garde" w:hAnsi="ITC Avant Garde" w:cs="Arial"/>
          <w:b/>
          <w:sz w:val="22"/>
          <w:szCs w:val="22"/>
          <w:lang w:val="es-ES"/>
        </w:rPr>
      </w:pPr>
      <w:r w:rsidRPr="00D936CA">
        <w:rPr>
          <w:rFonts w:ascii="ITC Avant Garde" w:hAnsi="ITC Avant Garde" w:cs="Arial"/>
          <w:b/>
          <w:sz w:val="22"/>
          <w:szCs w:val="22"/>
          <w:lang w:val="es-ES"/>
        </w:rPr>
        <w:t xml:space="preserve">Escenarios </w:t>
      </w:r>
      <w:r w:rsidR="00021555">
        <w:rPr>
          <w:rFonts w:ascii="ITC Avant Garde" w:hAnsi="ITC Avant Garde" w:cs="Arial"/>
          <w:b/>
          <w:sz w:val="22"/>
          <w:szCs w:val="22"/>
          <w:lang w:val="es-ES"/>
        </w:rPr>
        <w:t xml:space="preserve">de </w:t>
      </w:r>
      <w:r w:rsidR="003142A4">
        <w:rPr>
          <w:rFonts w:ascii="ITC Avant Garde" w:hAnsi="ITC Avant Garde" w:cs="Arial"/>
          <w:b/>
          <w:sz w:val="22"/>
          <w:szCs w:val="22"/>
          <w:lang w:val="es-ES"/>
        </w:rPr>
        <w:t>CS</w:t>
      </w:r>
      <w:r w:rsidR="00021555">
        <w:rPr>
          <w:rFonts w:ascii="ITC Avant Garde" w:hAnsi="ITC Avant Garde" w:cs="Arial"/>
          <w:b/>
          <w:sz w:val="22"/>
          <w:szCs w:val="22"/>
          <w:lang w:val="es-ES"/>
        </w:rPr>
        <w:t xml:space="preserve"> a </w:t>
      </w:r>
      <w:r w:rsidRPr="00D936CA">
        <w:rPr>
          <w:rFonts w:ascii="ITC Avant Garde" w:hAnsi="ITC Avant Garde" w:cs="Arial"/>
          <w:b/>
          <w:sz w:val="22"/>
          <w:szCs w:val="22"/>
          <w:lang w:val="es-ES"/>
        </w:rPr>
        <w:t>Telmex</w:t>
      </w:r>
    </w:p>
    <w:p w14:paraId="33CFE657" w14:textId="77777777" w:rsidR="000C6362" w:rsidRPr="00D936CA" w:rsidRDefault="002C5022" w:rsidP="00D936CA">
      <w:pPr>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Telmex entregará al proveedor actual de los servicios de telecomunicaciones copia del Formato de verificación de la voluntad, debidamente firmado.</w:t>
      </w:r>
    </w:p>
    <w:p w14:paraId="33CFE658" w14:textId="77777777" w:rsidR="002C5022" w:rsidRPr="00D936CA" w:rsidRDefault="002C5022" w:rsidP="00D936CA">
      <w:pPr>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 xml:space="preserve">El proveedor actual de los servicios de telecomunicaciones dará de baja los servicios contratados por el suscriptor. A su vez Telmex dará de baja los servicios de </w:t>
      </w:r>
      <w:r w:rsidR="00F56A29" w:rsidRPr="00D936CA">
        <w:rPr>
          <w:rFonts w:ascii="ITC Avant Garde" w:hAnsi="ITC Avant Garde" w:cs="Arial"/>
          <w:sz w:val="22"/>
          <w:szCs w:val="22"/>
          <w:lang w:val="es-ES"/>
        </w:rPr>
        <w:t>d</w:t>
      </w:r>
      <w:r w:rsidRPr="00D936CA">
        <w:rPr>
          <w:rFonts w:ascii="ITC Avant Garde" w:hAnsi="ITC Avant Garde" w:cs="Arial"/>
          <w:sz w:val="22"/>
          <w:szCs w:val="22"/>
          <w:lang w:val="es-ES"/>
        </w:rPr>
        <w:t>esagregación contratados por dicho proveedor.</w:t>
      </w:r>
    </w:p>
    <w:p w14:paraId="33CFE659" w14:textId="1AC8BA9D" w:rsidR="002C5022" w:rsidRPr="00D936CA" w:rsidRDefault="002C5022" w:rsidP="00D936CA">
      <w:pPr>
        <w:pStyle w:val="Prrafodelista"/>
        <w:numPr>
          <w:ilvl w:val="0"/>
          <w:numId w:val="54"/>
        </w:numPr>
        <w:autoSpaceDE w:val="0"/>
        <w:autoSpaceDN w:val="0"/>
        <w:adjustRightInd w:val="0"/>
        <w:spacing w:after="200" w:line="276" w:lineRule="auto"/>
        <w:jc w:val="both"/>
        <w:rPr>
          <w:rFonts w:ascii="ITC Avant Garde" w:hAnsi="ITC Avant Garde" w:cs="Arial"/>
          <w:b/>
          <w:sz w:val="22"/>
          <w:szCs w:val="22"/>
          <w:lang w:val="es-ES"/>
        </w:rPr>
      </w:pPr>
      <w:r w:rsidRPr="00D936CA">
        <w:rPr>
          <w:rFonts w:ascii="ITC Avant Garde" w:hAnsi="ITC Avant Garde" w:cs="Arial"/>
          <w:b/>
          <w:sz w:val="22"/>
          <w:szCs w:val="22"/>
          <w:lang w:val="es-ES"/>
        </w:rPr>
        <w:t xml:space="preserve">Escenarios </w:t>
      </w:r>
      <w:r w:rsidR="00021555">
        <w:rPr>
          <w:rFonts w:ascii="ITC Avant Garde" w:hAnsi="ITC Avant Garde" w:cs="Arial"/>
          <w:b/>
          <w:sz w:val="22"/>
          <w:szCs w:val="22"/>
          <w:lang w:val="es-ES"/>
        </w:rPr>
        <w:t xml:space="preserve">de </w:t>
      </w:r>
      <w:r w:rsidRPr="00D936CA">
        <w:rPr>
          <w:rFonts w:ascii="ITC Avant Garde" w:hAnsi="ITC Avant Garde" w:cs="Arial"/>
          <w:b/>
          <w:sz w:val="22"/>
          <w:szCs w:val="22"/>
          <w:lang w:val="es-ES"/>
        </w:rPr>
        <w:t>CS</w:t>
      </w:r>
      <w:r w:rsidR="00021555">
        <w:rPr>
          <w:rFonts w:ascii="ITC Avant Garde" w:hAnsi="ITC Avant Garde" w:cs="Arial"/>
          <w:b/>
          <w:sz w:val="22"/>
          <w:szCs w:val="22"/>
          <w:lang w:val="es-ES"/>
        </w:rPr>
        <w:t xml:space="preserve"> a</w:t>
      </w:r>
      <w:r w:rsidR="00311FAB">
        <w:rPr>
          <w:rFonts w:ascii="ITC Avant Garde" w:hAnsi="ITC Avant Garde" w:cs="Arial"/>
          <w:b/>
          <w:sz w:val="22"/>
          <w:szCs w:val="22"/>
          <w:lang w:val="es-ES"/>
        </w:rPr>
        <w:t xml:space="preserve"> </w:t>
      </w:r>
      <w:r w:rsidRPr="00D936CA">
        <w:rPr>
          <w:rFonts w:ascii="ITC Avant Garde" w:hAnsi="ITC Avant Garde" w:cs="Arial"/>
          <w:b/>
          <w:sz w:val="22"/>
          <w:szCs w:val="22"/>
          <w:lang w:val="es-ES"/>
        </w:rPr>
        <w:t xml:space="preserve">CS </w:t>
      </w:r>
    </w:p>
    <w:p w14:paraId="33CFE65A" w14:textId="77777777" w:rsidR="00F56A29" w:rsidRPr="00D936CA" w:rsidRDefault="002C5022" w:rsidP="00D936CA">
      <w:pPr>
        <w:pStyle w:val="Prrafodelista"/>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El CS-B, (nuevo proveedor del servicio) solicitará a Telmex los servicios de Desagregación correspondientes anexando el formato de verificación de la volunta</w:t>
      </w:r>
      <w:r w:rsidR="00F56A29" w:rsidRPr="00D936CA">
        <w:rPr>
          <w:rFonts w:ascii="ITC Avant Garde" w:hAnsi="ITC Avant Garde" w:cs="Arial"/>
          <w:sz w:val="22"/>
          <w:szCs w:val="22"/>
          <w:lang w:val="es-ES"/>
        </w:rPr>
        <w:t xml:space="preserve">d debidamente firmado. </w:t>
      </w:r>
    </w:p>
    <w:p w14:paraId="33CFE65B" w14:textId="77777777" w:rsidR="002C5022" w:rsidRPr="00D936CA" w:rsidRDefault="00F56A29" w:rsidP="00D936CA">
      <w:pPr>
        <w:pStyle w:val="Prrafodelista"/>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Telmex habilitará los servicios correspondientes al nuevo proveedor del servicio (receptor)</w:t>
      </w:r>
    </w:p>
    <w:p w14:paraId="33CFE65C" w14:textId="77777777" w:rsidR="00F17CD0" w:rsidRPr="00D936CA" w:rsidRDefault="00F17CD0" w:rsidP="00D936CA">
      <w:pPr>
        <w:pStyle w:val="Prrafodelista"/>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De manera simultánea, el CS-B deberá notificar al CS-A de la solicitud de cambio de proveedor por parte del suscriptor.</w:t>
      </w:r>
    </w:p>
    <w:p w14:paraId="33CFE65D" w14:textId="7412069D" w:rsidR="002C5022" w:rsidRPr="00D936CA" w:rsidRDefault="002C5022" w:rsidP="00D936CA">
      <w:pPr>
        <w:pStyle w:val="Prrafodelista"/>
        <w:autoSpaceDE w:val="0"/>
        <w:autoSpaceDN w:val="0"/>
        <w:adjustRightInd w:val="0"/>
        <w:spacing w:after="200" w:line="276" w:lineRule="auto"/>
        <w:ind w:left="720"/>
        <w:jc w:val="both"/>
        <w:rPr>
          <w:rFonts w:ascii="ITC Avant Garde" w:hAnsi="ITC Avant Garde" w:cs="Arial"/>
          <w:sz w:val="22"/>
          <w:szCs w:val="22"/>
          <w:lang w:val="es-ES"/>
        </w:rPr>
      </w:pPr>
      <w:r w:rsidRPr="00D936CA">
        <w:rPr>
          <w:rFonts w:ascii="ITC Avant Garde" w:hAnsi="ITC Avant Garde" w:cs="Arial"/>
          <w:sz w:val="22"/>
          <w:szCs w:val="22"/>
          <w:lang w:val="es-ES"/>
        </w:rPr>
        <w:t>Telmex notificará al CS-</w:t>
      </w:r>
      <w:r w:rsidR="00C54750">
        <w:rPr>
          <w:rFonts w:ascii="ITC Avant Garde" w:hAnsi="ITC Avant Garde" w:cs="Arial"/>
          <w:sz w:val="22"/>
          <w:szCs w:val="22"/>
          <w:lang w:val="es-ES"/>
        </w:rPr>
        <w:t>B</w:t>
      </w:r>
      <w:r w:rsidRPr="00D936CA">
        <w:rPr>
          <w:rFonts w:ascii="ITC Avant Garde" w:hAnsi="ITC Avant Garde" w:cs="Arial"/>
          <w:sz w:val="22"/>
          <w:szCs w:val="22"/>
          <w:lang w:val="es-ES"/>
        </w:rPr>
        <w:t xml:space="preserve"> (proveedor </w:t>
      </w:r>
      <w:r w:rsidR="008D2A4C">
        <w:rPr>
          <w:rFonts w:ascii="ITC Avant Garde" w:hAnsi="ITC Avant Garde" w:cs="Arial"/>
          <w:sz w:val="22"/>
          <w:szCs w:val="22"/>
          <w:lang w:val="es-ES"/>
        </w:rPr>
        <w:t>nuevo</w:t>
      </w:r>
      <w:r w:rsidRPr="00D936CA">
        <w:rPr>
          <w:rFonts w:ascii="ITC Avant Garde" w:hAnsi="ITC Avant Garde" w:cs="Arial"/>
          <w:sz w:val="22"/>
          <w:szCs w:val="22"/>
          <w:lang w:val="es-ES"/>
        </w:rPr>
        <w:t>) cuando se haya realizado el cambio de proveedor de los servicios de telecomunicaciones.</w:t>
      </w:r>
    </w:p>
    <w:p w14:paraId="33CFE65E" w14:textId="581380C7" w:rsidR="00ED611F" w:rsidRDefault="00011A1B" w:rsidP="00D936CA">
      <w:pPr>
        <w:spacing w:after="200" w:line="276" w:lineRule="auto"/>
        <w:jc w:val="both"/>
        <w:rPr>
          <w:rFonts w:ascii="ITC Avant Garde" w:hAnsi="ITC Avant Garde" w:cs="Arial"/>
          <w:sz w:val="22"/>
          <w:szCs w:val="22"/>
          <w:lang w:val="es-ES"/>
        </w:rPr>
      </w:pPr>
      <w:bookmarkStart w:id="106" w:name="_Hlk515614408"/>
      <w:r w:rsidRPr="00D936CA">
        <w:rPr>
          <w:rFonts w:ascii="ITC Avant Garde" w:hAnsi="ITC Avant Garde" w:cs="Arial"/>
          <w:sz w:val="22"/>
          <w:szCs w:val="22"/>
          <w:lang w:val="es-ES"/>
        </w:rPr>
        <w:t xml:space="preserve">En la verificación de voluntad del </w:t>
      </w:r>
      <w:r w:rsidR="0023587D" w:rsidRPr="00D936CA">
        <w:rPr>
          <w:rFonts w:ascii="ITC Avant Garde" w:hAnsi="ITC Avant Garde" w:cs="Arial"/>
          <w:sz w:val="22"/>
          <w:szCs w:val="22"/>
          <w:lang w:val="es-ES"/>
        </w:rPr>
        <w:t>suscriptor</w:t>
      </w:r>
      <w:r w:rsidRPr="00D936CA">
        <w:rPr>
          <w:rFonts w:ascii="ITC Avant Garde" w:hAnsi="ITC Avant Garde" w:cs="Arial"/>
          <w:sz w:val="22"/>
          <w:szCs w:val="22"/>
          <w:lang w:val="es-ES"/>
        </w:rPr>
        <w:t xml:space="preserve">/usuario final Telmex sólo validará que el número de línea </w:t>
      </w:r>
      <w:r w:rsidR="00393F39" w:rsidRPr="00D936CA">
        <w:rPr>
          <w:rFonts w:ascii="ITC Avant Garde" w:hAnsi="ITC Avant Garde" w:cs="Arial"/>
          <w:sz w:val="22"/>
          <w:szCs w:val="22"/>
          <w:lang w:val="es-ES"/>
        </w:rPr>
        <w:t>del</w:t>
      </w:r>
      <w:r w:rsidRPr="00D936CA">
        <w:rPr>
          <w:rFonts w:ascii="ITC Avant Garde" w:hAnsi="ITC Avant Garde" w:cs="Arial"/>
          <w:sz w:val="22"/>
          <w:szCs w:val="22"/>
          <w:lang w:val="es-ES"/>
        </w:rPr>
        <w:t xml:space="preserve"> </w:t>
      </w:r>
      <w:r w:rsidR="0023587D" w:rsidRPr="00D936CA">
        <w:rPr>
          <w:rFonts w:ascii="ITC Avant Garde" w:hAnsi="ITC Avant Garde" w:cs="Arial"/>
          <w:sz w:val="22"/>
          <w:szCs w:val="22"/>
          <w:lang w:val="es-ES"/>
        </w:rPr>
        <w:t>suscriptor</w:t>
      </w:r>
      <w:r w:rsidRPr="00D936CA">
        <w:rPr>
          <w:rFonts w:ascii="ITC Avant Garde" w:hAnsi="ITC Avant Garde" w:cs="Arial"/>
          <w:sz w:val="22"/>
          <w:szCs w:val="22"/>
          <w:lang w:val="es-ES"/>
        </w:rPr>
        <w:t xml:space="preserve">/usuario final </w:t>
      </w:r>
      <w:r w:rsidR="00EF5452" w:rsidRPr="00D936CA">
        <w:rPr>
          <w:rFonts w:ascii="ITC Avant Garde" w:hAnsi="ITC Avant Garde" w:cs="Arial"/>
          <w:sz w:val="22"/>
          <w:szCs w:val="22"/>
          <w:lang w:val="es-ES"/>
        </w:rPr>
        <w:t xml:space="preserve">o el número de suscriptor </w:t>
      </w:r>
      <w:r w:rsidRPr="00D936CA">
        <w:rPr>
          <w:rFonts w:ascii="ITC Avant Garde" w:hAnsi="ITC Avant Garde" w:cs="Arial"/>
          <w:sz w:val="22"/>
          <w:szCs w:val="22"/>
          <w:lang w:val="es-ES"/>
        </w:rPr>
        <w:t>est</w:t>
      </w:r>
      <w:r w:rsidR="00387854" w:rsidRPr="00D936CA">
        <w:rPr>
          <w:rFonts w:ascii="ITC Avant Garde" w:hAnsi="ITC Avant Garde" w:cs="Arial"/>
          <w:sz w:val="22"/>
          <w:szCs w:val="22"/>
          <w:lang w:val="es-ES"/>
        </w:rPr>
        <w:t>é</w:t>
      </w:r>
      <w:r w:rsidR="00EF5452" w:rsidRPr="00D936CA">
        <w:rPr>
          <w:rFonts w:ascii="ITC Avant Garde" w:hAnsi="ITC Avant Garde" w:cs="Arial"/>
          <w:sz w:val="22"/>
          <w:szCs w:val="22"/>
          <w:lang w:val="es-ES"/>
        </w:rPr>
        <w:t>n</w:t>
      </w:r>
      <w:r w:rsidRPr="00D936CA">
        <w:rPr>
          <w:rFonts w:ascii="ITC Avant Garde" w:hAnsi="ITC Avant Garde" w:cs="Arial"/>
          <w:sz w:val="22"/>
          <w:szCs w:val="22"/>
          <w:lang w:val="es-ES"/>
        </w:rPr>
        <w:t xml:space="preserve"> asociado</w:t>
      </w:r>
      <w:r w:rsidR="00EF5452" w:rsidRPr="00D936CA">
        <w:rPr>
          <w:rFonts w:ascii="ITC Avant Garde" w:hAnsi="ITC Avant Garde" w:cs="Arial"/>
          <w:sz w:val="22"/>
          <w:szCs w:val="22"/>
          <w:lang w:val="es-ES"/>
        </w:rPr>
        <w:t>s</w:t>
      </w:r>
      <w:r w:rsidRPr="00D936CA">
        <w:rPr>
          <w:rFonts w:ascii="ITC Avant Garde" w:hAnsi="ITC Avant Garde" w:cs="Arial"/>
          <w:sz w:val="22"/>
          <w:szCs w:val="22"/>
          <w:lang w:val="es-ES"/>
        </w:rPr>
        <w:t xml:space="preserve"> a un servicio activo y que </w:t>
      </w:r>
      <w:r w:rsidR="001255D9" w:rsidRPr="00D936CA">
        <w:rPr>
          <w:rFonts w:ascii="ITC Avant Garde" w:hAnsi="ITC Avant Garde" w:cs="Arial"/>
          <w:sz w:val="22"/>
          <w:szCs w:val="22"/>
          <w:lang w:val="es-ES"/>
        </w:rPr>
        <w:t xml:space="preserve">el nombre y el número del suscriptor </w:t>
      </w:r>
      <w:r w:rsidR="00ED611F" w:rsidRPr="00D936CA">
        <w:rPr>
          <w:rFonts w:ascii="ITC Avant Garde" w:hAnsi="ITC Avant Garde" w:cs="Arial"/>
          <w:sz w:val="22"/>
          <w:szCs w:val="22"/>
          <w:lang w:val="es-ES"/>
        </w:rPr>
        <w:t>coincida</w:t>
      </w:r>
      <w:r w:rsidR="001255D9" w:rsidRPr="00D936CA">
        <w:rPr>
          <w:rFonts w:ascii="ITC Avant Garde" w:hAnsi="ITC Avant Garde" w:cs="Arial"/>
          <w:sz w:val="22"/>
          <w:szCs w:val="22"/>
          <w:lang w:val="es-ES"/>
        </w:rPr>
        <w:t>n</w:t>
      </w:r>
      <w:r w:rsidRPr="00D936CA">
        <w:rPr>
          <w:rFonts w:ascii="ITC Avant Garde" w:hAnsi="ITC Avant Garde" w:cs="Arial"/>
          <w:sz w:val="22"/>
          <w:szCs w:val="22"/>
          <w:lang w:val="es-ES"/>
        </w:rPr>
        <w:t>, sin que esto signifique que Telmex validará la veracidad de la información proporcionada.</w:t>
      </w:r>
    </w:p>
    <w:p w14:paraId="7F402A7B" w14:textId="77777777" w:rsidR="00311FAB" w:rsidRPr="00D936CA" w:rsidRDefault="00311FAB" w:rsidP="00D936CA">
      <w:pPr>
        <w:spacing w:after="200" w:line="276" w:lineRule="auto"/>
        <w:jc w:val="both"/>
        <w:rPr>
          <w:rFonts w:ascii="ITC Avant Garde" w:hAnsi="ITC Avant Garde" w:cs="Arial"/>
          <w:sz w:val="22"/>
          <w:szCs w:val="22"/>
          <w:lang w:val="es-ES"/>
        </w:rPr>
      </w:pPr>
    </w:p>
    <w:bookmarkEnd w:id="106"/>
    <w:p w14:paraId="33CFE65F" w14:textId="0B57C3ED" w:rsidR="006C2AC2" w:rsidRPr="00D936CA" w:rsidRDefault="00011A1B" w:rsidP="00D936CA">
      <w:pPr>
        <w:spacing w:after="200" w:line="276" w:lineRule="auto"/>
        <w:jc w:val="both"/>
        <w:rPr>
          <w:rFonts w:ascii="ITC Avant Garde" w:hAnsi="ITC Avant Garde" w:cs="Arial"/>
          <w:b/>
          <w:sz w:val="22"/>
          <w:szCs w:val="22"/>
          <w:lang w:val="es-ES"/>
        </w:rPr>
      </w:pPr>
      <w:r w:rsidRPr="00D936CA">
        <w:rPr>
          <w:rFonts w:ascii="ITC Avant Garde" w:hAnsi="ITC Avant Garde" w:cs="Arial"/>
          <w:b/>
          <w:sz w:val="22"/>
          <w:szCs w:val="22"/>
          <w:lang w:val="es-ES"/>
        </w:rPr>
        <w:lastRenderedPageBreak/>
        <w:t>Verificación de la voluntad del usuario en caso de números de grupo</w:t>
      </w:r>
      <w:r w:rsidR="002E2817">
        <w:rPr>
          <w:rFonts w:ascii="ITC Avant Garde" w:hAnsi="ITC Avant Garde" w:cs="Arial"/>
          <w:b/>
          <w:sz w:val="22"/>
          <w:szCs w:val="22"/>
          <w:lang w:val="es-ES"/>
        </w:rPr>
        <w:t xml:space="preserve"> para el Servicio de Reventa</w:t>
      </w:r>
      <w:r w:rsidRPr="00D936CA">
        <w:rPr>
          <w:rFonts w:ascii="ITC Avant Garde" w:hAnsi="ITC Avant Garde" w:cs="Arial"/>
          <w:b/>
          <w:sz w:val="22"/>
          <w:szCs w:val="22"/>
          <w:lang w:val="es-ES"/>
        </w:rPr>
        <w:t xml:space="preserve">. </w:t>
      </w:r>
    </w:p>
    <w:p w14:paraId="33CFE660" w14:textId="77777777" w:rsidR="006C2AC2"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Para números de grupo, es decir, los casos donde exista servicio con agrupación de líneas, cada línea del grupo será considerada como un servicio de desagregación </w:t>
      </w:r>
      <w:r w:rsidR="00E24B74" w:rsidRPr="00D936CA">
        <w:rPr>
          <w:rFonts w:ascii="ITC Avant Garde" w:hAnsi="ITC Avant Garde"/>
          <w:sz w:val="22"/>
          <w:szCs w:val="22"/>
          <w:lang w:val="es-ES"/>
        </w:rPr>
        <w:t>independiente</w:t>
      </w:r>
      <w:r w:rsidR="00371341" w:rsidRPr="00D936CA">
        <w:rPr>
          <w:rFonts w:ascii="ITC Avant Garde" w:hAnsi="ITC Avant Garde"/>
          <w:sz w:val="22"/>
          <w:szCs w:val="22"/>
          <w:lang w:val="es-ES"/>
        </w:rPr>
        <w:t>.</w:t>
      </w:r>
      <w:r w:rsidRPr="00D936CA">
        <w:rPr>
          <w:rFonts w:ascii="ITC Avant Garde" w:hAnsi="ITC Avant Garde"/>
          <w:sz w:val="22"/>
          <w:szCs w:val="22"/>
          <w:lang w:val="es-ES"/>
        </w:rPr>
        <w:t xml:space="preserve"> Para solicitar los servicios, el CS deberá </w:t>
      </w:r>
      <w:r w:rsidR="00EB73C6" w:rsidRPr="00D936CA">
        <w:rPr>
          <w:rFonts w:ascii="ITC Avant Garde" w:hAnsi="ITC Avant Garde"/>
          <w:sz w:val="22"/>
          <w:szCs w:val="22"/>
          <w:lang w:val="es-ES"/>
        </w:rPr>
        <w:t xml:space="preserve">requerirlo a través de una sola solicitud e </w:t>
      </w:r>
      <w:r w:rsidRPr="00D936CA">
        <w:rPr>
          <w:rFonts w:ascii="ITC Avant Garde" w:hAnsi="ITC Avant Garde"/>
          <w:sz w:val="22"/>
          <w:szCs w:val="22"/>
          <w:lang w:val="es-ES"/>
        </w:rPr>
        <w:t>indicar en el formato respectivo la cabecera del número de grupo y los números asociados que desea contratar.</w:t>
      </w:r>
    </w:p>
    <w:p w14:paraId="33CFE661" w14:textId="77777777" w:rsidR="006C2AC2" w:rsidRPr="00D936CA" w:rsidRDefault="00011A1B" w:rsidP="00D936CA">
      <w:pPr>
        <w:spacing w:after="200" w:line="276" w:lineRule="auto"/>
        <w:jc w:val="both"/>
        <w:rPr>
          <w:rFonts w:ascii="ITC Avant Garde" w:hAnsi="ITC Avant Garde"/>
          <w:b/>
          <w:sz w:val="22"/>
          <w:szCs w:val="22"/>
          <w:lang w:val="es-ES"/>
        </w:rPr>
      </w:pPr>
      <w:r w:rsidRPr="00D936CA">
        <w:rPr>
          <w:rFonts w:ascii="ITC Avant Garde" w:hAnsi="ITC Avant Garde"/>
          <w:sz w:val="22"/>
          <w:szCs w:val="22"/>
          <w:lang w:val="es-ES"/>
        </w:rPr>
        <w:t xml:space="preserve">Cuando se solicite efectuar la desagregación de la línea que funge como cabecera de grupo, pero el </w:t>
      </w:r>
      <w:r w:rsidR="00F01E1E" w:rsidRPr="00D936CA">
        <w:rPr>
          <w:rFonts w:ascii="ITC Avant Garde" w:hAnsi="ITC Avant Garde"/>
          <w:sz w:val="22"/>
          <w:szCs w:val="22"/>
          <w:lang w:val="es-ES"/>
        </w:rPr>
        <w:t>suscriptor</w:t>
      </w:r>
      <w:r w:rsidRPr="00D936CA">
        <w:rPr>
          <w:rFonts w:ascii="ITC Avant Garde" w:hAnsi="ITC Avant Garde"/>
          <w:sz w:val="22"/>
          <w:szCs w:val="22"/>
          <w:lang w:val="es-ES"/>
        </w:rPr>
        <w:t xml:space="preserve">/usuario final desee conservar el grupo de líneas operando en la red de Telmex, se deberá indicar en </w:t>
      </w:r>
      <w:r w:rsidR="00F01E1E" w:rsidRPr="00D936CA">
        <w:rPr>
          <w:rFonts w:ascii="ITC Avant Garde" w:hAnsi="ITC Avant Garde"/>
          <w:sz w:val="22"/>
          <w:szCs w:val="22"/>
          <w:lang w:val="es-ES"/>
        </w:rPr>
        <w:t>el formato de</w:t>
      </w:r>
      <w:r w:rsidRPr="00D936CA">
        <w:rPr>
          <w:rFonts w:ascii="ITC Avant Garde" w:hAnsi="ITC Avant Garde"/>
          <w:sz w:val="22"/>
          <w:szCs w:val="22"/>
          <w:lang w:val="es-ES"/>
        </w:rPr>
        <w:t xml:space="preserve"> verificación de la voluntad del </w:t>
      </w:r>
      <w:r w:rsidR="00F01E1E" w:rsidRPr="00D936CA">
        <w:rPr>
          <w:rFonts w:ascii="ITC Avant Garde" w:hAnsi="ITC Avant Garde"/>
          <w:sz w:val="22"/>
          <w:szCs w:val="22"/>
          <w:lang w:val="es-ES"/>
        </w:rPr>
        <w:t>suscriptor</w:t>
      </w:r>
      <w:r w:rsidRPr="00D936CA">
        <w:rPr>
          <w:rFonts w:ascii="ITC Avant Garde" w:hAnsi="ITC Avant Garde"/>
          <w:sz w:val="22"/>
          <w:szCs w:val="22"/>
          <w:lang w:val="es-ES"/>
        </w:rPr>
        <w:t>/usuario final</w:t>
      </w:r>
      <w:r w:rsidR="00F01E1E" w:rsidRPr="00D936CA" w:rsidDel="00F01E1E">
        <w:rPr>
          <w:rFonts w:ascii="ITC Avant Garde" w:hAnsi="ITC Avant Garde"/>
          <w:sz w:val="22"/>
          <w:szCs w:val="22"/>
          <w:lang w:val="es-ES"/>
        </w:rPr>
        <w:t xml:space="preserve"> </w:t>
      </w:r>
      <w:r w:rsidRPr="00D936CA">
        <w:rPr>
          <w:rFonts w:ascii="ITC Avant Garde" w:hAnsi="ITC Avant Garde"/>
          <w:sz w:val="22"/>
          <w:szCs w:val="22"/>
          <w:lang w:val="es-ES"/>
        </w:rPr>
        <w:t>la nueva línea (Telmex) que será cabecera del grupo.</w:t>
      </w:r>
    </w:p>
    <w:p w14:paraId="33CFE662" w14:textId="77777777" w:rsidR="008A5005"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En caso de solicitar la desagregación de una o más líneas asociadas a un número de grupo sin que éste sufra modificaciones, se procederá al alta de las líneas en el servicio solicitado, no se deberá indicar un número adicional de cabecera.</w:t>
      </w:r>
    </w:p>
    <w:p w14:paraId="33CFE663" w14:textId="1AC9BA8B" w:rsidR="00626641"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En caso de que un CS solicite la desagregación de todas las líneas asociadas a un número de grupo y requiera mantener el número de grupo, el CS deberá solicitar la desagregación de cada una de las líneas que conforman el grupo. </w:t>
      </w:r>
    </w:p>
    <w:p w14:paraId="33CFE664" w14:textId="77777777" w:rsidR="006C23AB" w:rsidRPr="00D936CA" w:rsidRDefault="000B6824" w:rsidP="00D936CA">
      <w:pPr>
        <w:spacing w:after="200" w:line="276" w:lineRule="auto"/>
        <w:jc w:val="both"/>
        <w:rPr>
          <w:rFonts w:ascii="ITC Avant Garde" w:hAnsi="ITC Avant Garde" w:cs="Arial"/>
          <w:b/>
          <w:sz w:val="22"/>
          <w:szCs w:val="22"/>
          <w:lang w:val="es-ES"/>
        </w:rPr>
      </w:pPr>
      <w:r w:rsidRPr="00D936CA">
        <w:rPr>
          <w:rFonts w:ascii="ITC Avant Garde" w:hAnsi="ITC Avant Garde" w:cs="Arial"/>
          <w:b/>
          <w:sz w:val="22"/>
          <w:szCs w:val="22"/>
          <w:lang w:val="es-ES"/>
        </w:rPr>
        <w:t>C</w:t>
      </w:r>
      <w:r w:rsidR="00011A1B" w:rsidRPr="00D936CA">
        <w:rPr>
          <w:rFonts w:ascii="ITC Avant Garde" w:hAnsi="ITC Avant Garde" w:cs="Arial"/>
          <w:b/>
          <w:sz w:val="22"/>
          <w:szCs w:val="22"/>
          <w:lang w:val="es-ES"/>
        </w:rPr>
        <w:t xml:space="preserve">ontratación o modificación de alguno de los servicios de telecomunicaciones del </w:t>
      </w:r>
      <w:r w:rsidRPr="00D936CA">
        <w:rPr>
          <w:rFonts w:ascii="ITC Avant Garde" w:hAnsi="ITC Avant Garde" w:cs="Arial"/>
          <w:b/>
          <w:sz w:val="22"/>
          <w:szCs w:val="22"/>
          <w:lang w:val="es-ES"/>
        </w:rPr>
        <w:t>suscriptor</w:t>
      </w:r>
      <w:r w:rsidR="00011A1B" w:rsidRPr="00D936CA">
        <w:rPr>
          <w:rFonts w:ascii="ITC Avant Garde" w:hAnsi="ITC Avant Garde" w:cs="Arial"/>
          <w:b/>
          <w:sz w:val="22"/>
          <w:szCs w:val="22"/>
          <w:lang w:val="es-ES"/>
        </w:rPr>
        <w:t>/usuario final</w:t>
      </w:r>
      <w:r w:rsidRPr="00D936CA">
        <w:rPr>
          <w:rFonts w:ascii="ITC Avant Garde" w:hAnsi="ITC Avant Garde" w:cs="Arial"/>
          <w:b/>
          <w:sz w:val="22"/>
          <w:szCs w:val="22"/>
          <w:lang w:val="es-ES"/>
        </w:rPr>
        <w:t xml:space="preserve">. </w:t>
      </w:r>
    </w:p>
    <w:p w14:paraId="33CFE665" w14:textId="77777777" w:rsidR="006C23AB"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En caso de que el CS desee contratar o modificar alguno de los servicios de telecomunicaciones que hubiera contratado derivado de esta OREDA, deberá:</w:t>
      </w:r>
    </w:p>
    <w:p w14:paraId="33CFE666" w14:textId="57F1F1B3" w:rsidR="00530A32" w:rsidRPr="00D936CA" w:rsidRDefault="008C488F" w:rsidP="00D936CA">
      <w:pPr>
        <w:pStyle w:val="Prrafodelista"/>
        <w:numPr>
          <w:ilvl w:val="0"/>
          <w:numId w:val="45"/>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R</w:t>
      </w:r>
      <w:r w:rsidR="001A03B7" w:rsidRPr="00D936CA">
        <w:rPr>
          <w:rFonts w:ascii="ITC Avant Garde" w:hAnsi="ITC Avant Garde"/>
          <w:sz w:val="22"/>
          <w:szCs w:val="22"/>
          <w:lang w:val="es-ES"/>
        </w:rPr>
        <w:t>esguardar</w:t>
      </w:r>
      <w:r w:rsidR="00B91516" w:rsidRPr="00D936CA">
        <w:rPr>
          <w:rFonts w:ascii="ITC Avant Garde" w:hAnsi="ITC Avant Garde"/>
          <w:sz w:val="22"/>
          <w:szCs w:val="22"/>
          <w:lang w:val="es-ES"/>
        </w:rPr>
        <w:t xml:space="preserve"> el documento que refleje el consentimiento por parte </w:t>
      </w:r>
      <w:r w:rsidR="00DE0D4E">
        <w:rPr>
          <w:rFonts w:ascii="ITC Avant Garde" w:hAnsi="ITC Avant Garde"/>
          <w:sz w:val="22"/>
          <w:szCs w:val="22"/>
          <w:lang w:val="es-ES"/>
        </w:rPr>
        <w:t xml:space="preserve">del </w:t>
      </w:r>
      <w:r w:rsidR="00B91516" w:rsidRPr="00D936CA">
        <w:rPr>
          <w:rFonts w:ascii="ITC Avant Garde" w:hAnsi="ITC Avant Garde"/>
          <w:sz w:val="22"/>
          <w:szCs w:val="22"/>
          <w:lang w:val="es-ES"/>
        </w:rPr>
        <w:t>suscriptor</w:t>
      </w:r>
      <w:r w:rsidR="000A6471" w:rsidRPr="00D936CA">
        <w:rPr>
          <w:rFonts w:ascii="ITC Avant Garde" w:hAnsi="ITC Avant Garde"/>
          <w:sz w:val="22"/>
          <w:szCs w:val="22"/>
          <w:lang w:val="es-ES"/>
        </w:rPr>
        <w:t>/</w:t>
      </w:r>
      <w:r w:rsidR="00B91516" w:rsidRPr="00D936CA">
        <w:rPr>
          <w:rFonts w:ascii="ITC Avant Garde" w:hAnsi="ITC Avant Garde"/>
          <w:sz w:val="22"/>
          <w:szCs w:val="22"/>
          <w:lang w:val="es-ES"/>
        </w:rPr>
        <w:t>usuario final</w:t>
      </w:r>
      <w:r w:rsidR="00E24B74" w:rsidRPr="00D936CA">
        <w:rPr>
          <w:rFonts w:ascii="ITC Avant Garde" w:hAnsi="ITC Avant Garde"/>
          <w:sz w:val="22"/>
          <w:szCs w:val="22"/>
          <w:lang w:val="es-ES"/>
        </w:rPr>
        <w:t xml:space="preserve"> </w:t>
      </w:r>
      <w:r w:rsidR="00011A1B" w:rsidRPr="00D936CA">
        <w:rPr>
          <w:rFonts w:ascii="ITC Avant Garde" w:hAnsi="ITC Avant Garde"/>
          <w:sz w:val="22"/>
          <w:szCs w:val="22"/>
          <w:lang w:val="es-ES"/>
        </w:rPr>
        <w:t>para realizar la contratación o modificación de los servicios de telecomunicaciones.</w:t>
      </w:r>
    </w:p>
    <w:p w14:paraId="33CFE667" w14:textId="77777777" w:rsidR="0094601A" w:rsidRPr="00D936CA" w:rsidRDefault="0094601A" w:rsidP="00D936CA">
      <w:pPr>
        <w:pStyle w:val="Prrafodelista"/>
        <w:numPr>
          <w:ilvl w:val="0"/>
          <w:numId w:val="45"/>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En caso de que el CS requiera modificar servicios de desagregaci</w:t>
      </w:r>
      <w:r w:rsidR="009F3318" w:rsidRPr="00D936CA">
        <w:rPr>
          <w:rFonts w:ascii="ITC Avant Garde" w:hAnsi="ITC Avant Garde"/>
          <w:sz w:val="22"/>
          <w:szCs w:val="22"/>
          <w:lang w:val="es-ES"/>
        </w:rPr>
        <w:t>ón para proveer los ser</w:t>
      </w:r>
      <w:r w:rsidRPr="00D936CA">
        <w:rPr>
          <w:rFonts w:ascii="ITC Avant Garde" w:hAnsi="ITC Avant Garde"/>
          <w:sz w:val="22"/>
          <w:szCs w:val="22"/>
          <w:lang w:val="es-ES"/>
        </w:rPr>
        <w:t>v</w:t>
      </w:r>
      <w:r w:rsidR="009F3318" w:rsidRPr="00D936CA">
        <w:rPr>
          <w:rFonts w:ascii="ITC Avant Garde" w:hAnsi="ITC Avant Garde"/>
          <w:sz w:val="22"/>
          <w:szCs w:val="22"/>
          <w:lang w:val="es-ES"/>
        </w:rPr>
        <w:t>ic</w:t>
      </w:r>
      <w:r w:rsidRPr="00D936CA">
        <w:rPr>
          <w:rFonts w:ascii="ITC Avant Garde" w:hAnsi="ITC Avant Garde"/>
          <w:sz w:val="22"/>
          <w:szCs w:val="22"/>
          <w:lang w:val="es-ES"/>
        </w:rPr>
        <w:t xml:space="preserve">ios de telecomunicaciones al </w:t>
      </w:r>
      <w:r w:rsidR="009F3318" w:rsidRPr="00D936CA">
        <w:rPr>
          <w:rFonts w:ascii="ITC Avant Garde" w:hAnsi="ITC Avant Garde"/>
          <w:sz w:val="22"/>
          <w:szCs w:val="22"/>
          <w:lang w:val="es-ES"/>
        </w:rPr>
        <w:t>suscriptor</w:t>
      </w:r>
      <w:r w:rsidRPr="00D936CA">
        <w:rPr>
          <w:rFonts w:ascii="ITC Avant Garde" w:hAnsi="ITC Avant Garde"/>
          <w:sz w:val="22"/>
          <w:szCs w:val="22"/>
          <w:lang w:val="es-ES"/>
        </w:rPr>
        <w:t>/usuario final</w:t>
      </w:r>
      <w:r w:rsidR="00826280" w:rsidRPr="00D936CA">
        <w:rPr>
          <w:rFonts w:ascii="ITC Avant Garde" w:hAnsi="ITC Avant Garde"/>
          <w:sz w:val="22"/>
          <w:szCs w:val="22"/>
          <w:lang w:val="es-ES"/>
        </w:rPr>
        <w:t xml:space="preserve">, </w:t>
      </w:r>
      <w:r w:rsidR="00E64508" w:rsidRPr="00D936CA">
        <w:rPr>
          <w:rFonts w:ascii="ITC Avant Garde" w:hAnsi="ITC Avant Garde"/>
          <w:sz w:val="22"/>
          <w:szCs w:val="22"/>
          <w:lang w:val="es-ES"/>
        </w:rPr>
        <w:t>Telmex</w:t>
      </w:r>
      <w:r w:rsidR="00826280" w:rsidRPr="00D936CA">
        <w:rPr>
          <w:rFonts w:ascii="ITC Avant Garde" w:hAnsi="ITC Avant Garde"/>
          <w:sz w:val="22"/>
          <w:szCs w:val="22"/>
          <w:lang w:val="es-ES"/>
        </w:rPr>
        <w:t xml:space="preserve"> no podrá solicitar nuevamente al CS </w:t>
      </w:r>
      <w:r w:rsidR="00B05097" w:rsidRPr="00D936CA">
        <w:rPr>
          <w:rFonts w:ascii="ITC Avant Garde" w:hAnsi="ITC Avant Garde"/>
          <w:sz w:val="22"/>
          <w:szCs w:val="22"/>
          <w:lang w:val="es-ES"/>
        </w:rPr>
        <w:t>el</w:t>
      </w:r>
      <w:r w:rsidR="00826280" w:rsidRPr="00D936CA">
        <w:rPr>
          <w:rFonts w:ascii="ITC Avant Garde" w:hAnsi="ITC Avant Garde"/>
          <w:sz w:val="22"/>
          <w:szCs w:val="22"/>
          <w:lang w:val="es-ES"/>
        </w:rPr>
        <w:t xml:space="preserve"> formato</w:t>
      </w:r>
      <w:r w:rsidR="00B05097" w:rsidRPr="00D936CA">
        <w:rPr>
          <w:rFonts w:ascii="ITC Avant Garde" w:hAnsi="ITC Avant Garde"/>
          <w:sz w:val="22"/>
          <w:szCs w:val="22"/>
          <w:lang w:val="es-ES"/>
        </w:rPr>
        <w:t xml:space="preserve"> de verificación de voluntad</w:t>
      </w:r>
      <w:r w:rsidR="001A03B7" w:rsidRPr="00D936CA">
        <w:rPr>
          <w:rFonts w:ascii="ITC Avant Garde" w:hAnsi="ITC Avant Garde"/>
          <w:sz w:val="22"/>
          <w:szCs w:val="22"/>
          <w:lang w:val="es-ES"/>
        </w:rPr>
        <w:t>.</w:t>
      </w:r>
      <w:r w:rsidRPr="00D936CA">
        <w:rPr>
          <w:rFonts w:ascii="ITC Avant Garde" w:hAnsi="ITC Avant Garde"/>
          <w:sz w:val="22"/>
          <w:szCs w:val="22"/>
          <w:lang w:val="es-ES"/>
        </w:rPr>
        <w:t xml:space="preserve"> </w:t>
      </w:r>
    </w:p>
    <w:p w14:paraId="33CFE668" w14:textId="77777777" w:rsidR="00530A32" w:rsidRPr="00D936CA" w:rsidRDefault="00011A1B" w:rsidP="00D936CA">
      <w:pPr>
        <w:pStyle w:val="Prrafodelista"/>
        <w:numPr>
          <w:ilvl w:val="0"/>
          <w:numId w:val="45"/>
        </w:numPr>
        <w:spacing w:after="120" w:line="276" w:lineRule="auto"/>
        <w:ind w:left="714" w:hanging="357"/>
        <w:jc w:val="both"/>
        <w:rPr>
          <w:rFonts w:ascii="ITC Avant Garde" w:hAnsi="ITC Avant Garde"/>
          <w:sz w:val="22"/>
          <w:szCs w:val="22"/>
          <w:lang w:val="es-ES"/>
        </w:rPr>
      </w:pPr>
      <w:r w:rsidRPr="00D936CA">
        <w:rPr>
          <w:rFonts w:ascii="ITC Avant Garde" w:hAnsi="ITC Avant Garde"/>
          <w:sz w:val="22"/>
          <w:szCs w:val="22"/>
          <w:lang w:val="es-ES"/>
        </w:rPr>
        <w:t xml:space="preserve">Las contrataciones o modificaciones solicitadas serán atendidas conforme a los procedimientos que para cada uno de los servicios se señalan a lo largo de la presente </w:t>
      </w:r>
      <w:r w:rsidR="00CA026A" w:rsidRPr="00D936CA">
        <w:rPr>
          <w:rFonts w:ascii="ITC Avant Garde" w:hAnsi="ITC Avant Garde"/>
          <w:sz w:val="22"/>
          <w:szCs w:val="22"/>
          <w:lang w:val="es-ES"/>
        </w:rPr>
        <w:t>OREDA</w:t>
      </w:r>
      <w:r w:rsidRPr="00D936CA">
        <w:rPr>
          <w:rFonts w:ascii="ITC Avant Garde" w:hAnsi="ITC Avant Garde"/>
          <w:sz w:val="22"/>
          <w:szCs w:val="22"/>
          <w:lang w:val="es-ES"/>
        </w:rPr>
        <w:t>.</w:t>
      </w:r>
    </w:p>
    <w:p w14:paraId="33CFE669" w14:textId="77777777" w:rsidR="005757EC" w:rsidRPr="00D936CA" w:rsidRDefault="005757EC" w:rsidP="00D936CA">
      <w:pPr>
        <w:pStyle w:val="Prrafodelista"/>
        <w:spacing w:after="120" w:line="276" w:lineRule="auto"/>
        <w:ind w:left="720"/>
        <w:jc w:val="both"/>
        <w:rPr>
          <w:rFonts w:ascii="ITC Avant Garde" w:hAnsi="ITC Avant Garde"/>
          <w:sz w:val="16"/>
          <w:szCs w:val="16"/>
          <w:lang w:val="es-ES"/>
        </w:rPr>
      </w:pPr>
    </w:p>
    <w:p w14:paraId="33CFE66A" w14:textId="0076438D" w:rsidR="00530A32" w:rsidRPr="00D936CA" w:rsidRDefault="001E05FB" w:rsidP="00D936CA">
      <w:pPr>
        <w:pStyle w:val="Ttulo2"/>
        <w:ind w:left="851" w:hanging="425"/>
      </w:pPr>
      <w:bookmarkStart w:id="107" w:name="_Toc436840869"/>
      <w:bookmarkStart w:id="108" w:name="_Toc436846306"/>
      <w:bookmarkStart w:id="109" w:name="_Toc436848256"/>
      <w:bookmarkStart w:id="110" w:name="_Toc436856504"/>
      <w:bookmarkStart w:id="111" w:name="_Toc436862650"/>
      <w:bookmarkStart w:id="112" w:name="_Toc436866300"/>
      <w:bookmarkStart w:id="113" w:name="_Toc436870879"/>
      <w:bookmarkStart w:id="114" w:name="_Toc436875871"/>
      <w:bookmarkStart w:id="115" w:name="_Toc467248683"/>
      <w:bookmarkStart w:id="116" w:name="_Toc518031954"/>
      <w:r w:rsidRPr="00D936CA">
        <w:lastRenderedPageBreak/>
        <w:t xml:space="preserve">1.7 </w:t>
      </w:r>
      <w:r w:rsidR="00011A1B" w:rsidRPr="00D936CA">
        <w:t>Procedimiento de calificación del bucle de cobre.</w:t>
      </w:r>
      <w:bookmarkEnd w:id="107"/>
      <w:bookmarkEnd w:id="108"/>
      <w:bookmarkEnd w:id="109"/>
      <w:bookmarkEnd w:id="110"/>
      <w:bookmarkEnd w:id="111"/>
      <w:bookmarkEnd w:id="112"/>
      <w:bookmarkEnd w:id="113"/>
      <w:bookmarkEnd w:id="114"/>
      <w:bookmarkEnd w:id="115"/>
      <w:bookmarkEnd w:id="116"/>
    </w:p>
    <w:p w14:paraId="33CFE66B" w14:textId="77777777" w:rsidR="00530A32"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La determinación de la calificación en los bucles de cobre de la red de Telmex se basa en</w:t>
      </w:r>
      <w:r w:rsidR="00813353" w:rsidRPr="00D936CA">
        <w:rPr>
          <w:rFonts w:ascii="ITC Avant Garde" w:hAnsi="ITC Avant Garde"/>
          <w:sz w:val="22"/>
          <w:szCs w:val="22"/>
          <w:lang w:val="es-ES"/>
        </w:rPr>
        <w:t xml:space="preserve"> </w:t>
      </w:r>
      <w:r w:rsidR="00C54D9F" w:rsidRPr="00D936CA">
        <w:rPr>
          <w:rFonts w:ascii="ITC Avant Garde" w:hAnsi="ITC Avant Garde"/>
          <w:sz w:val="22"/>
          <w:szCs w:val="22"/>
          <w:lang w:val="es-ES"/>
        </w:rPr>
        <w:t>pruebas</w:t>
      </w:r>
      <w:r w:rsidR="00813353" w:rsidRPr="00D936CA">
        <w:rPr>
          <w:rFonts w:ascii="ITC Avant Garde" w:hAnsi="ITC Avant Garde"/>
          <w:sz w:val="22"/>
          <w:szCs w:val="22"/>
          <w:lang w:val="es-ES"/>
        </w:rPr>
        <w:t xml:space="preserve"> </w:t>
      </w:r>
      <w:r w:rsidRPr="00D936CA">
        <w:rPr>
          <w:rFonts w:ascii="ITC Avant Garde" w:hAnsi="ITC Avant Garde"/>
          <w:sz w:val="22"/>
          <w:szCs w:val="22"/>
          <w:lang w:val="es-ES"/>
        </w:rPr>
        <w:t xml:space="preserve">que reflejan la velocidad máxima alcanzable por </w:t>
      </w:r>
      <w:r w:rsidR="00CB2905" w:rsidRPr="00D936CA">
        <w:rPr>
          <w:rFonts w:ascii="ITC Avant Garde" w:hAnsi="ITC Avant Garde"/>
          <w:sz w:val="22"/>
          <w:szCs w:val="22"/>
          <w:lang w:val="es-ES"/>
        </w:rPr>
        <w:t>cada</w:t>
      </w:r>
      <w:r w:rsidRPr="00D936CA">
        <w:rPr>
          <w:rFonts w:ascii="ITC Avant Garde" w:hAnsi="ITC Avant Garde"/>
          <w:sz w:val="22"/>
          <w:szCs w:val="22"/>
          <w:lang w:val="es-ES"/>
        </w:rPr>
        <w:t xml:space="preserve"> bucle, dicha determinación permite asignar la velocidad máxima de datos en un bucle, de la misma forma en que lo hace Telmex para sus propias operaciones.</w:t>
      </w:r>
    </w:p>
    <w:p w14:paraId="33CFE66C" w14:textId="52B4FD1A" w:rsidR="00D11FC4" w:rsidRPr="00D936CA" w:rsidRDefault="00D11FC4"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La información disponible que indica la sección 3 de esta </w:t>
      </w:r>
      <w:r w:rsidR="00CA026A" w:rsidRPr="00D936CA">
        <w:rPr>
          <w:rFonts w:ascii="ITC Avant Garde" w:hAnsi="ITC Avant Garde"/>
          <w:sz w:val="22"/>
          <w:szCs w:val="22"/>
          <w:lang w:val="es-ES"/>
        </w:rPr>
        <w:t>OREDA</w:t>
      </w:r>
      <w:r w:rsidRPr="00D936CA">
        <w:rPr>
          <w:rFonts w:ascii="ITC Avant Garde" w:hAnsi="ITC Avant Garde"/>
          <w:sz w:val="22"/>
          <w:szCs w:val="22"/>
          <w:lang w:val="es-ES"/>
        </w:rPr>
        <w:t xml:space="preserve"> representa el resultado del procedimiento </w:t>
      </w:r>
      <w:r w:rsidR="00C54D9F" w:rsidRPr="00D936CA">
        <w:rPr>
          <w:rFonts w:ascii="ITC Avant Garde" w:hAnsi="ITC Avant Garde"/>
          <w:sz w:val="22"/>
          <w:szCs w:val="22"/>
          <w:lang w:val="es-ES"/>
        </w:rPr>
        <w:t>de pruebas</w:t>
      </w:r>
      <w:r w:rsidRPr="00D936CA">
        <w:rPr>
          <w:rFonts w:ascii="ITC Avant Garde" w:hAnsi="ITC Avant Garde"/>
          <w:sz w:val="22"/>
          <w:szCs w:val="22"/>
          <w:lang w:val="es-ES"/>
        </w:rPr>
        <w:t xml:space="preserve"> descrito para la obtención de la calificación del bucle.</w:t>
      </w:r>
    </w:p>
    <w:p w14:paraId="33CFE66D" w14:textId="77777777" w:rsidR="00C54D9F" w:rsidRPr="00D936CA" w:rsidRDefault="00C54D9F" w:rsidP="00D936CA">
      <w:pPr>
        <w:pStyle w:val="IFTnormal"/>
        <w:rPr>
          <w:lang w:val="es-ES"/>
        </w:rPr>
      </w:pPr>
      <w:r w:rsidRPr="00D936CA">
        <w:rPr>
          <w:lang w:val="es-ES"/>
        </w:rPr>
        <w:t xml:space="preserve">Adicionalmente, </w:t>
      </w:r>
      <w:r w:rsidRPr="00D936CA">
        <w:t>Telmex realizará las pruebas técnicas requeridas por el CS (quien tiene la posibilidad de participar y coordinarse con Telmex para la realización de las mismas) diferentes de las determinadas en la presente sección, sin que estas retrasen o permitan la negación de la entrega de los servicios de desagregación.</w:t>
      </w:r>
    </w:p>
    <w:p w14:paraId="33CFE66E" w14:textId="77777777" w:rsidR="00530A32"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El procedimiento para la obtención de la calificación del bucle </w:t>
      </w:r>
      <w:r w:rsidR="00685DAA" w:rsidRPr="00D936CA">
        <w:rPr>
          <w:rFonts w:ascii="ITC Avant Garde" w:hAnsi="ITC Avant Garde"/>
          <w:sz w:val="22"/>
          <w:szCs w:val="22"/>
          <w:lang w:val="es-ES"/>
        </w:rPr>
        <w:t xml:space="preserve">considera </w:t>
      </w:r>
      <w:r w:rsidRPr="00D936CA">
        <w:rPr>
          <w:rFonts w:ascii="ITC Avant Garde" w:hAnsi="ITC Avant Garde"/>
          <w:sz w:val="22"/>
          <w:szCs w:val="22"/>
          <w:lang w:val="es-ES"/>
        </w:rPr>
        <w:t>los siguientes escenarios</w:t>
      </w:r>
      <w:r w:rsidR="00D11FC4" w:rsidRPr="00D936CA">
        <w:rPr>
          <w:rFonts w:ascii="ITC Avant Garde" w:hAnsi="ITC Avant Garde"/>
          <w:sz w:val="22"/>
          <w:szCs w:val="22"/>
          <w:lang w:val="es-ES"/>
        </w:rPr>
        <w:t>:</w:t>
      </w:r>
      <w:r w:rsidRPr="00D936CA">
        <w:rPr>
          <w:rFonts w:ascii="ITC Avant Garde" w:hAnsi="ITC Avant Garde"/>
          <w:sz w:val="22"/>
          <w:szCs w:val="22"/>
          <w:lang w:val="es-ES"/>
        </w:rPr>
        <w:t xml:space="preserve"> Bucle Activo y Bucle Nuevo</w:t>
      </w:r>
      <w:r w:rsidR="00D11FC4" w:rsidRPr="00D936CA">
        <w:rPr>
          <w:rFonts w:ascii="ITC Avant Garde" w:hAnsi="ITC Avant Garde"/>
          <w:sz w:val="22"/>
          <w:szCs w:val="22"/>
          <w:lang w:val="es-ES"/>
        </w:rPr>
        <w:t>.</w:t>
      </w:r>
    </w:p>
    <w:p w14:paraId="33CFE66F" w14:textId="77777777" w:rsidR="00530A32" w:rsidRPr="00D936CA" w:rsidRDefault="00011A1B" w:rsidP="00D936CA">
      <w:pPr>
        <w:spacing w:after="200" w:line="276" w:lineRule="auto"/>
        <w:jc w:val="both"/>
        <w:rPr>
          <w:rFonts w:ascii="ITC Avant Garde" w:hAnsi="ITC Avant Garde"/>
          <w:b/>
          <w:sz w:val="22"/>
          <w:szCs w:val="22"/>
          <w:lang w:val="es-ES"/>
        </w:rPr>
      </w:pPr>
      <w:r w:rsidRPr="00D936CA">
        <w:rPr>
          <w:rFonts w:ascii="ITC Avant Garde" w:hAnsi="ITC Avant Garde"/>
          <w:b/>
          <w:sz w:val="22"/>
          <w:szCs w:val="22"/>
          <w:lang w:val="es-ES"/>
        </w:rPr>
        <w:t xml:space="preserve">Bucle Activo (Usuario Existente). </w:t>
      </w:r>
    </w:p>
    <w:p w14:paraId="33CFE670" w14:textId="77777777" w:rsidR="00530A32"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Premisas: Usuario con servicio activo de datos y/o voz.</w:t>
      </w:r>
    </w:p>
    <w:p w14:paraId="33CFE671" w14:textId="77777777" w:rsidR="00530A32"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Mecánica para calificar el bucle y determinar el ancho de banda por distancia:</w:t>
      </w:r>
    </w:p>
    <w:p w14:paraId="33CFE672" w14:textId="480618D9" w:rsidR="008B678E" w:rsidRPr="00D936CA" w:rsidRDefault="00371341" w:rsidP="00D936CA">
      <w:pPr>
        <w:pStyle w:val="Prrafodelista"/>
        <w:numPr>
          <w:ilvl w:val="0"/>
          <w:numId w:val="129"/>
        </w:numPr>
        <w:rPr>
          <w:rFonts w:ascii="ITC Avant Garde" w:hAnsi="ITC Avant Garde"/>
          <w:sz w:val="22"/>
          <w:szCs w:val="22"/>
          <w:lang w:val="es-MX"/>
        </w:rPr>
      </w:pPr>
      <w:r w:rsidRPr="00D936CA">
        <w:rPr>
          <w:rFonts w:ascii="ITC Avant Garde" w:hAnsi="ITC Avant Garde"/>
          <w:sz w:val="22"/>
          <w:szCs w:val="22"/>
          <w:lang w:val="es-ES"/>
        </w:rPr>
        <w:t>Para determinar la distancia del bucle se realizará mediante una prueba eléctrica por número telefónico utilizando las facilidades de central o las cabezas de prueba vigentes</w:t>
      </w:r>
      <w:r w:rsidRPr="00D936CA">
        <w:rPr>
          <w:rStyle w:val="Refdenotaalpie"/>
          <w:rFonts w:ascii="ITC Avant Garde" w:hAnsi="ITC Avant Garde"/>
          <w:sz w:val="22"/>
          <w:szCs w:val="22"/>
          <w:lang w:val="es-ES"/>
        </w:rPr>
        <w:footnoteReference w:id="4"/>
      </w:r>
      <w:r w:rsidR="00011A1B" w:rsidRPr="00D936CA">
        <w:rPr>
          <w:rFonts w:ascii="ITC Avant Garde" w:hAnsi="ITC Avant Garde"/>
          <w:sz w:val="22"/>
          <w:szCs w:val="22"/>
          <w:lang w:val="es-ES"/>
        </w:rPr>
        <w:t xml:space="preserve">. </w:t>
      </w:r>
      <w:r w:rsidR="00C54D9F" w:rsidRPr="00D936CA">
        <w:rPr>
          <w:rFonts w:ascii="ITC Avant Garde" w:hAnsi="ITC Avant Garde"/>
          <w:sz w:val="22"/>
          <w:szCs w:val="22"/>
          <w:lang w:val="es-ES"/>
        </w:rPr>
        <w:t>Como</w:t>
      </w:r>
      <w:r w:rsidR="00011A1B" w:rsidRPr="00D936CA">
        <w:rPr>
          <w:rFonts w:ascii="ITC Avant Garde" w:hAnsi="ITC Avant Garde"/>
          <w:sz w:val="22"/>
          <w:szCs w:val="22"/>
          <w:lang w:val="es-ES"/>
        </w:rPr>
        <w:t xml:space="preserve"> </w:t>
      </w:r>
      <w:r w:rsidR="00C54D9F" w:rsidRPr="00D936CA">
        <w:rPr>
          <w:rFonts w:ascii="ITC Avant Garde" w:hAnsi="ITC Avant Garde"/>
          <w:sz w:val="22"/>
          <w:szCs w:val="22"/>
          <w:lang w:val="es-ES"/>
        </w:rPr>
        <w:t>ejemplo se muestran los resultados de una medición donde se observa la resistencia de aislamiento y capacitancia para un bucle en específico:</w:t>
      </w:r>
    </w:p>
    <w:p w14:paraId="33CFE673" w14:textId="77777777" w:rsidR="00C54D9F" w:rsidRPr="00D936CA" w:rsidRDefault="00C54D9F" w:rsidP="00D936CA">
      <w:pPr>
        <w:rPr>
          <w:lang w:val="es-ES"/>
        </w:rPr>
      </w:pPr>
    </w:p>
    <w:p w14:paraId="33CFE674" w14:textId="2CF41912" w:rsidR="00C54D9F" w:rsidRDefault="00C54D9F" w:rsidP="00D936CA">
      <w:pPr>
        <w:pStyle w:val="IFTnormal"/>
        <w:jc w:val="center"/>
      </w:pPr>
    </w:p>
    <w:p w14:paraId="598E1370" w14:textId="77777777" w:rsidR="00636D9C" w:rsidRDefault="00636D9C" w:rsidP="00636D9C">
      <w:pPr>
        <w:jc w:val="center"/>
        <w:rPr>
          <w:rFonts w:ascii="Century Gothic" w:eastAsiaTheme="minorHAnsi" w:hAnsi="Century Gothic" w:cs="Calibri"/>
          <w:b/>
          <w:bCs/>
          <w:color w:val="403152"/>
          <w:sz w:val="22"/>
          <w:szCs w:val="22"/>
          <w:lang w:eastAsia="es-MX"/>
        </w:rPr>
      </w:pPr>
      <w:r w:rsidRPr="00BC4F70">
        <w:rPr>
          <w:noProof/>
          <w:lang w:val="es-MX" w:eastAsia="es-MX"/>
        </w:rPr>
        <w:drawing>
          <wp:inline distT="0" distB="0" distL="0" distR="0" wp14:anchorId="3C73927E" wp14:editId="74A4EA0D">
            <wp:extent cx="4928429" cy="925830"/>
            <wp:effectExtent l="0" t="0" r="571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32"/>
                    <a:stretch/>
                  </pic:blipFill>
                  <pic:spPr bwMode="auto">
                    <a:xfrm>
                      <a:off x="0" y="0"/>
                      <a:ext cx="4931256" cy="926361"/>
                    </a:xfrm>
                    <a:prstGeom prst="rect">
                      <a:avLst/>
                    </a:prstGeom>
                    <a:noFill/>
                    <a:ln>
                      <a:noFill/>
                    </a:ln>
                    <a:extLst>
                      <a:ext uri="{53640926-AAD7-44D8-BBD7-CCE9431645EC}">
                        <a14:shadowObscured xmlns:a14="http://schemas.microsoft.com/office/drawing/2010/main"/>
                      </a:ext>
                    </a:extLst>
                  </pic:spPr>
                </pic:pic>
              </a:graphicData>
            </a:graphic>
          </wp:inline>
        </w:drawing>
      </w:r>
    </w:p>
    <w:p w14:paraId="3A8C8914" w14:textId="77777777" w:rsidR="00636D9C" w:rsidRPr="00EC5495" w:rsidRDefault="00636D9C" w:rsidP="00636D9C">
      <w:pPr>
        <w:spacing w:after="200" w:line="276" w:lineRule="auto"/>
        <w:jc w:val="center"/>
        <w:rPr>
          <w:rFonts w:ascii="ITC Avant Garde" w:eastAsia="Calibri" w:hAnsi="ITC Avant Garde" w:cs="Arial"/>
          <w:sz w:val="22"/>
          <w:szCs w:val="22"/>
        </w:rPr>
      </w:pPr>
      <w:r w:rsidRPr="00EC5495">
        <w:rPr>
          <w:rFonts w:ascii="ITC Avant Garde" w:hAnsi="ITC Avant Garde"/>
          <w:sz w:val="18"/>
          <w:szCs w:val="18"/>
        </w:rPr>
        <w:t>Ejemplo de p</w:t>
      </w:r>
      <w:r w:rsidRPr="00E11E17">
        <w:rPr>
          <w:rFonts w:ascii="ITC Avant Garde" w:hAnsi="ITC Avant Garde"/>
          <w:sz w:val="18"/>
          <w:szCs w:val="18"/>
        </w:rPr>
        <w:t xml:space="preserve">arámetros </w:t>
      </w:r>
      <w:r w:rsidRPr="00EC5495">
        <w:rPr>
          <w:rFonts w:ascii="ITC Avant Garde" w:hAnsi="ITC Avant Garde"/>
          <w:sz w:val="18"/>
          <w:szCs w:val="18"/>
        </w:rPr>
        <w:t>para el servicio de voz</w:t>
      </w:r>
      <w:r w:rsidRPr="00E11E17">
        <w:rPr>
          <w:rFonts w:ascii="ITC Avant Garde" w:hAnsi="ITC Avant Garde"/>
          <w:sz w:val="18"/>
          <w:szCs w:val="18"/>
        </w:rPr>
        <w:t xml:space="preserve"> en cobre</w:t>
      </w:r>
    </w:p>
    <w:p w14:paraId="14FE8F05" w14:textId="40BE2494" w:rsidR="00021555" w:rsidRPr="00D936CA" w:rsidRDefault="00021555" w:rsidP="00D936CA">
      <w:pPr>
        <w:pStyle w:val="IFTnormal"/>
        <w:jc w:val="center"/>
      </w:pPr>
    </w:p>
    <w:p w14:paraId="33CFE675" w14:textId="77777777" w:rsidR="00C54D9F" w:rsidRPr="00D936CA" w:rsidRDefault="00C54D9F" w:rsidP="00D936CA">
      <w:pPr>
        <w:pStyle w:val="CondicionesFinales"/>
        <w:rPr>
          <w:color w:val="auto"/>
          <w:lang w:val="es-ES"/>
        </w:rPr>
      </w:pPr>
      <w:r w:rsidRPr="00D936CA">
        <w:rPr>
          <w:color w:val="auto"/>
          <w:lang w:val="es-ES"/>
        </w:rPr>
        <w:t xml:space="preserve">Cada prueba realizada que implique el uso de un equipo de medición deberá ser ejecutada una vez calibrado correctamente dicho equipo. </w:t>
      </w:r>
    </w:p>
    <w:p w14:paraId="33CFE676" w14:textId="2B729205" w:rsidR="00530A32" w:rsidRPr="00D936CA" w:rsidRDefault="0070265F" w:rsidP="00D936CA">
      <w:pPr>
        <w:pStyle w:val="CondicionesFinales"/>
        <w:rPr>
          <w:color w:val="auto"/>
          <w:lang w:val="es-ES"/>
        </w:rPr>
      </w:pPr>
      <w:r w:rsidRPr="00D936CA">
        <w:rPr>
          <w:color w:val="auto"/>
        </w:rPr>
        <w:t>E</w:t>
      </w:r>
      <w:r w:rsidR="00C54D9F" w:rsidRPr="00D936CA">
        <w:rPr>
          <w:color w:val="auto"/>
        </w:rPr>
        <w:t xml:space="preserve">n el ejemplo </w:t>
      </w:r>
      <w:r w:rsidR="00C54D9F" w:rsidRPr="00D936CA">
        <w:rPr>
          <w:color w:val="auto"/>
          <w:lang w:val="es-ES"/>
        </w:rPr>
        <w:t>l</w:t>
      </w:r>
      <w:r w:rsidR="00011A1B" w:rsidRPr="00D936CA">
        <w:rPr>
          <w:color w:val="auto"/>
          <w:lang w:val="es-ES"/>
        </w:rPr>
        <w:t>a medición de la distancia se calcula con base en la siguiente fórmula:</w:t>
      </w:r>
    </w:p>
    <w:tbl>
      <w:tblPr>
        <w:tblpPr w:leftFromText="141" w:rightFromText="141" w:vertAnchor="text" w:tblpXSpec="center" w:tblpY="49"/>
        <w:tblW w:w="0" w:type="auto"/>
        <w:tblCellMar>
          <w:left w:w="0" w:type="dxa"/>
          <w:right w:w="0" w:type="dxa"/>
        </w:tblCellMar>
        <w:tblLook w:val="04A0" w:firstRow="1" w:lastRow="0" w:firstColumn="1" w:lastColumn="0" w:noHBand="0" w:noVBand="1"/>
      </w:tblPr>
      <w:tblGrid>
        <w:gridCol w:w="2507"/>
        <w:gridCol w:w="3305"/>
      </w:tblGrid>
      <w:tr w:rsidR="00D936CA" w:rsidRPr="00D936CA" w14:paraId="33CFE679" w14:textId="77777777" w:rsidTr="00B14C61">
        <w:trPr>
          <w:cantSplit/>
        </w:trPr>
        <w:tc>
          <w:tcPr>
            <w:tcW w:w="2507" w:type="dxa"/>
            <w:vMerge w:val="restart"/>
            <w:tcMar>
              <w:top w:w="0" w:type="dxa"/>
              <w:left w:w="70" w:type="dxa"/>
              <w:bottom w:w="0" w:type="dxa"/>
              <w:right w:w="70" w:type="dxa"/>
            </w:tcMar>
            <w:vAlign w:val="center"/>
            <w:hideMark/>
          </w:tcPr>
          <w:p w14:paraId="33CFE677" w14:textId="77777777" w:rsidR="008B678E" w:rsidRPr="00D936CA" w:rsidRDefault="00011A1B" w:rsidP="00D936CA">
            <w:pPr>
              <w:rPr>
                <w:rFonts w:ascii="ITC Avant Garde" w:eastAsiaTheme="minorHAnsi" w:hAnsi="ITC Avant Garde" w:cs="Arial"/>
                <w:sz w:val="22"/>
                <w:szCs w:val="22"/>
                <w:lang w:val="en-US"/>
              </w:rPr>
            </w:pPr>
            <w:r w:rsidRPr="00D936CA">
              <w:rPr>
                <w:rFonts w:ascii="ITC Avant Garde" w:hAnsi="ITC Avant Garde"/>
                <w:b/>
                <w:i/>
                <w:sz w:val="22"/>
                <w:szCs w:val="22"/>
                <w:lang w:val="en-US"/>
              </w:rPr>
              <w:t xml:space="preserve">Distancia (Km) = </w:t>
            </w:r>
          </w:p>
        </w:tc>
        <w:tc>
          <w:tcPr>
            <w:tcW w:w="3305" w:type="dxa"/>
            <w:tcBorders>
              <w:top w:val="nil"/>
              <w:left w:val="nil"/>
              <w:bottom w:val="single" w:sz="18" w:space="0" w:color="auto"/>
              <w:right w:val="nil"/>
            </w:tcBorders>
            <w:tcMar>
              <w:top w:w="0" w:type="dxa"/>
              <w:left w:w="70" w:type="dxa"/>
              <w:bottom w:w="0" w:type="dxa"/>
              <w:right w:w="70" w:type="dxa"/>
            </w:tcMar>
            <w:vAlign w:val="center"/>
            <w:hideMark/>
          </w:tcPr>
          <w:p w14:paraId="33CFE678" w14:textId="77777777" w:rsidR="008B678E" w:rsidRPr="00D936CA" w:rsidRDefault="00011A1B" w:rsidP="00D936CA">
            <w:pPr>
              <w:jc w:val="center"/>
              <w:rPr>
                <w:rFonts w:ascii="ITC Avant Garde" w:eastAsiaTheme="minorHAnsi" w:hAnsi="ITC Avant Garde" w:cs="Arial"/>
                <w:sz w:val="22"/>
                <w:szCs w:val="22"/>
                <w:lang w:val="en-US"/>
              </w:rPr>
            </w:pPr>
            <w:r w:rsidRPr="00D936CA">
              <w:rPr>
                <w:rFonts w:ascii="ITC Avant Garde" w:hAnsi="ITC Avant Garde"/>
                <w:b/>
                <w:i/>
                <w:sz w:val="22"/>
                <w:szCs w:val="22"/>
                <w:lang w:val="en-US"/>
              </w:rPr>
              <w:t>MIN(Cat, Cbt)</w:t>
            </w:r>
          </w:p>
        </w:tc>
      </w:tr>
      <w:tr w:rsidR="00D936CA" w:rsidRPr="00D936CA" w14:paraId="33CFE67C" w14:textId="77777777" w:rsidTr="00B14C61">
        <w:trPr>
          <w:cantSplit/>
        </w:trPr>
        <w:tc>
          <w:tcPr>
            <w:tcW w:w="0" w:type="auto"/>
            <w:vMerge/>
            <w:vAlign w:val="center"/>
            <w:hideMark/>
          </w:tcPr>
          <w:p w14:paraId="33CFE67A" w14:textId="77777777" w:rsidR="008B678E" w:rsidRPr="00D936CA" w:rsidRDefault="008B678E" w:rsidP="00D936CA">
            <w:pPr>
              <w:rPr>
                <w:rFonts w:ascii="ITC Avant Garde" w:eastAsiaTheme="minorHAnsi" w:hAnsi="ITC Avant Garde" w:cs="Arial"/>
                <w:sz w:val="22"/>
                <w:szCs w:val="22"/>
                <w:lang w:val="en-US"/>
              </w:rPr>
            </w:pPr>
          </w:p>
        </w:tc>
        <w:tc>
          <w:tcPr>
            <w:tcW w:w="3305" w:type="dxa"/>
            <w:tcMar>
              <w:top w:w="0" w:type="dxa"/>
              <w:left w:w="70" w:type="dxa"/>
              <w:bottom w:w="0" w:type="dxa"/>
              <w:right w:w="70" w:type="dxa"/>
            </w:tcMar>
            <w:vAlign w:val="center"/>
            <w:hideMark/>
          </w:tcPr>
          <w:p w14:paraId="33CFE67B" w14:textId="77777777" w:rsidR="008B678E" w:rsidRPr="00D936CA" w:rsidRDefault="00011A1B" w:rsidP="00D936CA">
            <w:pPr>
              <w:jc w:val="center"/>
              <w:rPr>
                <w:rFonts w:ascii="ITC Avant Garde" w:eastAsiaTheme="minorHAnsi" w:hAnsi="ITC Avant Garde" w:cs="Arial"/>
                <w:sz w:val="22"/>
                <w:szCs w:val="22"/>
                <w:lang w:val="en-US"/>
              </w:rPr>
            </w:pPr>
            <w:r w:rsidRPr="00D936CA">
              <w:rPr>
                <w:rFonts w:ascii="ITC Avant Garde" w:hAnsi="ITC Avant Garde"/>
                <w:b/>
                <w:i/>
                <w:sz w:val="22"/>
                <w:szCs w:val="22"/>
                <w:lang w:val="en-US"/>
              </w:rPr>
              <w:t>64 nF/Km</w:t>
            </w:r>
          </w:p>
        </w:tc>
      </w:tr>
    </w:tbl>
    <w:p w14:paraId="33CFE67D" w14:textId="77777777" w:rsidR="008B678E" w:rsidRPr="00D936CA" w:rsidRDefault="008B678E" w:rsidP="00D936CA">
      <w:pPr>
        <w:pStyle w:val="Prrafodelista"/>
        <w:ind w:left="720"/>
        <w:rPr>
          <w:rFonts w:ascii="ITC Avant Garde" w:hAnsi="ITC Avant Garde"/>
          <w:sz w:val="22"/>
          <w:szCs w:val="22"/>
          <w:lang w:val="es-MX"/>
        </w:rPr>
      </w:pPr>
    </w:p>
    <w:p w14:paraId="33CFE67E" w14:textId="77777777" w:rsidR="008B678E" w:rsidRPr="00D936CA" w:rsidRDefault="008B678E" w:rsidP="00D936CA">
      <w:pPr>
        <w:pStyle w:val="Prrafodelista"/>
        <w:ind w:left="720"/>
        <w:rPr>
          <w:rFonts w:ascii="ITC Avant Garde" w:hAnsi="ITC Avant Garde"/>
          <w:sz w:val="22"/>
          <w:szCs w:val="22"/>
          <w:lang w:val="es-MX"/>
        </w:rPr>
      </w:pPr>
    </w:p>
    <w:p w14:paraId="33CFE67F" w14:textId="77777777" w:rsidR="00530A32" w:rsidRPr="00D936CA" w:rsidRDefault="00530A32" w:rsidP="00D936CA">
      <w:pPr>
        <w:rPr>
          <w:rFonts w:ascii="ITC Avant Garde" w:hAnsi="ITC Avant Garde"/>
          <w:sz w:val="22"/>
          <w:szCs w:val="22"/>
          <w:lang w:val="es-MX"/>
        </w:rPr>
      </w:pPr>
    </w:p>
    <w:p w14:paraId="33CFE680" w14:textId="77777777" w:rsidR="002B66BA" w:rsidRPr="00D936CA" w:rsidRDefault="002B66BA" w:rsidP="00060B2E">
      <w:pPr>
        <w:pStyle w:val="IFTnormal"/>
        <w:ind w:left="2127"/>
      </w:pPr>
      <w:r w:rsidRPr="00D936CA">
        <w:t>D</w:t>
      </w:r>
      <w:r w:rsidR="00093121" w:rsidRPr="00D936CA">
        <w:t>onde</w:t>
      </w:r>
      <w:r w:rsidRPr="00D936CA">
        <w:t>:</w:t>
      </w:r>
    </w:p>
    <w:p w14:paraId="33CFE681" w14:textId="0D0E13D7" w:rsidR="002B66BA" w:rsidRPr="00D936CA" w:rsidRDefault="002B66BA" w:rsidP="00060B2E">
      <w:pPr>
        <w:pStyle w:val="IFTnormal"/>
        <w:ind w:left="2127"/>
      </w:pPr>
      <w:r w:rsidRPr="00D936CA">
        <w:t>Cat</w:t>
      </w:r>
      <w:r w:rsidR="00B17F4A" w:rsidRPr="00D936CA">
        <w:t xml:space="preserve">: </w:t>
      </w:r>
      <w:r w:rsidR="00E24B74" w:rsidRPr="00D936CA">
        <w:t xml:space="preserve">Capacitancia del </w:t>
      </w:r>
      <w:r w:rsidRPr="00D936CA">
        <w:t>punto A a tierra.</w:t>
      </w:r>
      <w:r w:rsidR="009B5C6C" w:rsidRPr="00D936CA">
        <w:t>(nF)</w:t>
      </w:r>
    </w:p>
    <w:p w14:paraId="33CFE682" w14:textId="5B3400E1" w:rsidR="002B66BA" w:rsidRPr="00D936CA" w:rsidRDefault="002B66BA" w:rsidP="00060B2E">
      <w:pPr>
        <w:pStyle w:val="IFTnormal"/>
        <w:ind w:left="2127"/>
      </w:pPr>
      <w:r w:rsidRPr="00D936CA">
        <w:t>Cbt</w:t>
      </w:r>
      <w:r w:rsidR="00B17F4A" w:rsidRPr="00D936CA">
        <w:t xml:space="preserve">: </w:t>
      </w:r>
      <w:r w:rsidRPr="00D936CA">
        <w:t>Capacitancia del punto B a tierra.</w:t>
      </w:r>
      <w:r w:rsidR="009B5C6C" w:rsidRPr="00D936CA">
        <w:t>(nF)</w:t>
      </w:r>
    </w:p>
    <w:p w14:paraId="33CFE683" w14:textId="77777777" w:rsidR="00B17F4A" w:rsidRPr="00D936CA" w:rsidRDefault="004459DC" w:rsidP="00060B2E">
      <w:pPr>
        <w:pStyle w:val="IFTnormal"/>
        <w:ind w:left="2127"/>
      </w:pPr>
      <w:r w:rsidRPr="00D936CA">
        <w:t>MIN (Cat, Cbt</w:t>
      </w:r>
      <w:r w:rsidR="00B17F4A" w:rsidRPr="00D936CA">
        <w:t>): Mínimo entre Cat y Cbt</w:t>
      </w:r>
    </w:p>
    <w:p w14:paraId="33CFE684" w14:textId="77777777" w:rsidR="00530A32" w:rsidRPr="00D936CA" w:rsidRDefault="00011A1B" w:rsidP="00D936CA">
      <w:pPr>
        <w:pStyle w:val="Prrafodelista"/>
        <w:numPr>
          <w:ilvl w:val="1"/>
          <w:numId w:val="42"/>
        </w:numPr>
        <w:spacing w:after="200" w:line="276" w:lineRule="auto"/>
        <w:ind w:left="1434" w:hanging="357"/>
        <w:jc w:val="both"/>
        <w:rPr>
          <w:rFonts w:ascii="ITC Avant Garde" w:hAnsi="ITC Avant Garde"/>
          <w:sz w:val="22"/>
          <w:szCs w:val="22"/>
          <w:lang w:val="es-MX"/>
        </w:rPr>
      </w:pPr>
      <w:r w:rsidRPr="00D936CA">
        <w:rPr>
          <w:rFonts w:ascii="ITC Avant Garde" w:hAnsi="ITC Avant Garde"/>
          <w:sz w:val="22"/>
          <w:szCs w:val="22"/>
          <w:lang w:val="es-MX"/>
        </w:rPr>
        <w:t>Con base en el dato de distancia obtenido, los valores del ancho de banda alcanzable serán los indicados en la Tabla de Relación entre distancia y velocidad máxima alcanzable por bucle</w:t>
      </w:r>
      <w:r w:rsidR="00CB3EA9" w:rsidRPr="00D936CA">
        <w:rPr>
          <w:rFonts w:ascii="ITC Avant Garde" w:hAnsi="ITC Avant Garde"/>
          <w:sz w:val="22"/>
          <w:szCs w:val="22"/>
          <w:lang w:val="es-MX"/>
        </w:rPr>
        <w:t xml:space="preserve"> que ejemplifica los datos para el c</w:t>
      </w:r>
      <w:r w:rsidR="004459DC" w:rsidRPr="00D936CA">
        <w:rPr>
          <w:rFonts w:ascii="ITC Avant Garde" w:hAnsi="ITC Avant Garde"/>
          <w:sz w:val="22"/>
          <w:szCs w:val="22"/>
          <w:lang w:val="es-MX"/>
        </w:rPr>
        <w:t>aso de uso de tecnología ADSL2+</w:t>
      </w:r>
      <w:r w:rsidRPr="00D936CA">
        <w:rPr>
          <w:rFonts w:ascii="ITC Avant Garde" w:hAnsi="ITC Avant Garde"/>
          <w:sz w:val="22"/>
          <w:szCs w:val="22"/>
          <w:lang w:val="es-MX"/>
        </w:rPr>
        <w:t>.</w:t>
      </w:r>
    </w:p>
    <w:tbl>
      <w:tblPr>
        <w:tblStyle w:val="Tablaconcuadrcula"/>
        <w:tblW w:w="0" w:type="auto"/>
        <w:jc w:val="center"/>
        <w:tblLook w:val="04A0" w:firstRow="1" w:lastRow="0" w:firstColumn="1" w:lastColumn="0" w:noHBand="0" w:noVBand="1"/>
      </w:tblPr>
      <w:tblGrid>
        <w:gridCol w:w="2245"/>
        <w:gridCol w:w="2245"/>
        <w:gridCol w:w="2245"/>
        <w:gridCol w:w="2245"/>
      </w:tblGrid>
      <w:tr w:rsidR="00D936CA" w:rsidRPr="00D936CA" w14:paraId="33CFE688" w14:textId="77777777" w:rsidTr="005911AE">
        <w:trPr>
          <w:trHeight w:val="757"/>
          <w:jc w:val="center"/>
        </w:trPr>
        <w:tc>
          <w:tcPr>
            <w:tcW w:w="2245" w:type="dxa"/>
            <w:vMerge w:val="restart"/>
            <w:shd w:val="clear" w:color="auto" w:fill="548DD4" w:themeFill="text2" w:themeFillTint="99"/>
            <w:vAlign w:val="center"/>
          </w:tcPr>
          <w:p w14:paraId="33CFE685"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Distancia Máxima (km)</w:t>
            </w:r>
          </w:p>
        </w:tc>
        <w:tc>
          <w:tcPr>
            <w:tcW w:w="4490" w:type="dxa"/>
            <w:gridSpan w:val="2"/>
            <w:tcBorders>
              <w:bottom w:val="single" w:sz="4" w:space="0" w:color="auto"/>
            </w:tcBorders>
            <w:shd w:val="clear" w:color="auto" w:fill="548DD4" w:themeFill="text2" w:themeFillTint="99"/>
            <w:vAlign w:val="center"/>
          </w:tcPr>
          <w:p w14:paraId="33CFE686"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Ancho de Banda ADSL2+</w:t>
            </w:r>
          </w:p>
        </w:tc>
        <w:tc>
          <w:tcPr>
            <w:tcW w:w="2245" w:type="dxa"/>
            <w:vMerge w:val="restart"/>
            <w:shd w:val="clear" w:color="auto" w:fill="548DD4" w:themeFill="text2" w:themeFillTint="99"/>
            <w:vAlign w:val="center"/>
          </w:tcPr>
          <w:p w14:paraId="33CFE687"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Velocidad máxima alcanzable por Bucle</w:t>
            </w:r>
          </w:p>
        </w:tc>
      </w:tr>
      <w:tr w:rsidR="00D936CA" w:rsidRPr="00D936CA" w14:paraId="33CFE68D" w14:textId="77777777" w:rsidTr="005911AE">
        <w:trPr>
          <w:jc w:val="center"/>
        </w:trPr>
        <w:tc>
          <w:tcPr>
            <w:tcW w:w="2245" w:type="dxa"/>
            <w:vMerge/>
            <w:shd w:val="clear" w:color="auto" w:fill="0070C0"/>
          </w:tcPr>
          <w:p w14:paraId="33CFE689" w14:textId="77777777" w:rsidR="00530A32" w:rsidRPr="00D936CA" w:rsidRDefault="00530A32" w:rsidP="00D936CA">
            <w:pPr>
              <w:spacing w:before="60" w:after="60" w:line="276" w:lineRule="auto"/>
              <w:jc w:val="both"/>
              <w:rPr>
                <w:rFonts w:ascii="ITC Avant Garde" w:hAnsi="ITC Avant Garde"/>
                <w:b/>
                <w:sz w:val="20"/>
                <w:szCs w:val="20"/>
                <w:lang w:val="es-MX"/>
              </w:rPr>
            </w:pPr>
          </w:p>
        </w:tc>
        <w:tc>
          <w:tcPr>
            <w:tcW w:w="2245" w:type="dxa"/>
            <w:shd w:val="clear" w:color="auto" w:fill="548DD4" w:themeFill="text2" w:themeFillTint="99"/>
            <w:vAlign w:val="center"/>
          </w:tcPr>
          <w:p w14:paraId="33CFE68A"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UpStream Max (Kbps)</w:t>
            </w:r>
          </w:p>
        </w:tc>
        <w:tc>
          <w:tcPr>
            <w:tcW w:w="2245" w:type="dxa"/>
            <w:shd w:val="clear" w:color="auto" w:fill="548DD4" w:themeFill="text2" w:themeFillTint="99"/>
            <w:vAlign w:val="center"/>
          </w:tcPr>
          <w:p w14:paraId="33CFE68B" w14:textId="77777777" w:rsidR="00530A32" w:rsidRPr="00D936CA" w:rsidRDefault="00011A1B"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DownStream Max (Kbps)</w:t>
            </w:r>
          </w:p>
        </w:tc>
        <w:tc>
          <w:tcPr>
            <w:tcW w:w="2245" w:type="dxa"/>
            <w:vMerge/>
            <w:shd w:val="clear" w:color="auto" w:fill="0070C0"/>
          </w:tcPr>
          <w:p w14:paraId="33CFE68C" w14:textId="77777777" w:rsidR="00530A32" w:rsidRPr="00D936CA" w:rsidRDefault="00530A32" w:rsidP="00D936CA">
            <w:pPr>
              <w:spacing w:before="60" w:after="60" w:line="276" w:lineRule="auto"/>
              <w:jc w:val="both"/>
              <w:rPr>
                <w:rFonts w:ascii="ITC Avant Garde" w:hAnsi="ITC Avant Garde"/>
                <w:b/>
                <w:sz w:val="20"/>
                <w:szCs w:val="20"/>
                <w:lang w:val="es-MX"/>
              </w:rPr>
            </w:pPr>
          </w:p>
        </w:tc>
      </w:tr>
      <w:tr w:rsidR="00D936CA" w:rsidRPr="00D936CA" w14:paraId="33CFE692" w14:textId="77777777" w:rsidTr="00060B2E">
        <w:trPr>
          <w:jc w:val="center"/>
        </w:trPr>
        <w:tc>
          <w:tcPr>
            <w:tcW w:w="2245" w:type="dxa"/>
          </w:tcPr>
          <w:p w14:paraId="33CFE68E"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3.5</w:t>
            </w:r>
          </w:p>
        </w:tc>
        <w:tc>
          <w:tcPr>
            <w:tcW w:w="2245" w:type="dxa"/>
          </w:tcPr>
          <w:p w14:paraId="33CFE68F"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128</w:t>
            </w:r>
          </w:p>
        </w:tc>
        <w:tc>
          <w:tcPr>
            <w:tcW w:w="2245" w:type="dxa"/>
          </w:tcPr>
          <w:p w14:paraId="33CFE690"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1024</w:t>
            </w:r>
          </w:p>
        </w:tc>
        <w:tc>
          <w:tcPr>
            <w:tcW w:w="2245" w:type="dxa"/>
          </w:tcPr>
          <w:p w14:paraId="33CFE691" w14:textId="77777777" w:rsidR="00530A32" w:rsidRPr="00D936CA" w:rsidRDefault="00371341" w:rsidP="00D936CA">
            <w:pPr>
              <w:spacing w:before="60" w:after="60" w:line="276" w:lineRule="auto"/>
              <w:jc w:val="center"/>
              <w:outlineLvl w:val="6"/>
              <w:rPr>
                <w:rFonts w:ascii="ITC Avant Garde" w:hAnsi="ITC Avant Garde"/>
                <w:sz w:val="20"/>
                <w:szCs w:val="20"/>
                <w:lang w:val="es-MX"/>
              </w:rPr>
            </w:pPr>
            <w:r w:rsidRPr="00D936CA">
              <w:rPr>
                <w:rFonts w:ascii="ITC Avant Garde" w:hAnsi="ITC Avant Garde"/>
                <w:sz w:val="20"/>
                <w:szCs w:val="20"/>
                <w:lang w:val="es-MX"/>
              </w:rPr>
              <w:t>Hasta 1 Mbps</w:t>
            </w:r>
          </w:p>
        </w:tc>
      </w:tr>
      <w:tr w:rsidR="00D936CA" w:rsidRPr="00D936CA" w14:paraId="33CFE697" w14:textId="77777777" w:rsidTr="00060B2E">
        <w:trPr>
          <w:jc w:val="center"/>
        </w:trPr>
        <w:tc>
          <w:tcPr>
            <w:tcW w:w="2245" w:type="dxa"/>
          </w:tcPr>
          <w:p w14:paraId="33CFE693"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3.2</w:t>
            </w:r>
          </w:p>
        </w:tc>
        <w:tc>
          <w:tcPr>
            <w:tcW w:w="2245" w:type="dxa"/>
          </w:tcPr>
          <w:p w14:paraId="33CFE694"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384</w:t>
            </w:r>
          </w:p>
        </w:tc>
        <w:tc>
          <w:tcPr>
            <w:tcW w:w="2245" w:type="dxa"/>
          </w:tcPr>
          <w:p w14:paraId="33CFE695"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2048</w:t>
            </w:r>
          </w:p>
        </w:tc>
        <w:tc>
          <w:tcPr>
            <w:tcW w:w="2245" w:type="dxa"/>
          </w:tcPr>
          <w:p w14:paraId="33CFE696" w14:textId="77777777" w:rsidR="00530A32" w:rsidRPr="00D936CA" w:rsidRDefault="00371341" w:rsidP="00D936CA">
            <w:pPr>
              <w:spacing w:before="60" w:after="60" w:line="276" w:lineRule="auto"/>
              <w:jc w:val="center"/>
              <w:outlineLvl w:val="6"/>
              <w:rPr>
                <w:rFonts w:ascii="ITC Avant Garde" w:hAnsi="ITC Avant Garde"/>
                <w:sz w:val="20"/>
                <w:szCs w:val="20"/>
                <w:lang w:val="es-MX"/>
              </w:rPr>
            </w:pPr>
            <w:r w:rsidRPr="00D936CA">
              <w:rPr>
                <w:rFonts w:ascii="ITC Avant Garde" w:hAnsi="ITC Avant Garde"/>
                <w:sz w:val="20"/>
                <w:szCs w:val="20"/>
                <w:lang w:val="es-MX"/>
              </w:rPr>
              <w:t>Hasta 2 Mbps</w:t>
            </w:r>
          </w:p>
        </w:tc>
      </w:tr>
      <w:tr w:rsidR="00D936CA" w:rsidRPr="00D936CA" w14:paraId="33CFE69C" w14:textId="77777777" w:rsidTr="00060B2E">
        <w:trPr>
          <w:jc w:val="center"/>
        </w:trPr>
        <w:tc>
          <w:tcPr>
            <w:tcW w:w="2245" w:type="dxa"/>
          </w:tcPr>
          <w:p w14:paraId="33CFE698"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2.4</w:t>
            </w:r>
          </w:p>
        </w:tc>
        <w:tc>
          <w:tcPr>
            <w:tcW w:w="2245" w:type="dxa"/>
          </w:tcPr>
          <w:p w14:paraId="33CFE699"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384</w:t>
            </w:r>
          </w:p>
        </w:tc>
        <w:tc>
          <w:tcPr>
            <w:tcW w:w="2245" w:type="dxa"/>
          </w:tcPr>
          <w:p w14:paraId="33CFE69A"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3648</w:t>
            </w:r>
          </w:p>
        </w:tc>
        <w:tc>
          <w:tcPr>
            <w:tcW w:w="2245" w:type="dxa"/>
          </w:tcPr>
          <w:p w14:paraId="33CFE69B" w14:textId="77777777" w:rsidR="00530A32" w:rsidRPr="00D936CA" w:rsidRDefault="00371341" w:rsidP="00D936CA">
            <w:pPr>
              <w:spacing w:before="60" w:after="60" w:line="276" w:lineRule="auto"/>
              <w:jc w:val="center"/>
              <w:outlineLvl w:val="6"/>
              <w:rPr>
                <w:rFonts w:ascii="ITC Avant Garde" w:hAnsi="ITC Avant Garde"/>
                <w:sz w:val="20"/>
                <w:szCs w:val="20"/>
                <w:lang w:val="es-MX"/>
              </w:rPr>
            </w:pPr>
            <w:r w:rsidRPr="00D936CA">
              <w:rPr>
                <w:rFonts w:ascii="ITC Avant Garde" w:hAnsi="ITC Avant Garde"/>
                <w:sz w:val="20"/>
                <w:szCs w:val="20"/>
                <w:lang w:val="es-MX"/>
              </w:rPr>
              <w:t>Hasta 3 Mbps</w:t>
            </w:r>
          </w:p>
        </w:tc>
      </w:tr>
      <w:tr w:rsidR="00D936CA" w:rsidRPr="00D936CA" w14:paraId="33CFE6A1" w14:textId="77777777" w:rsidTr="00060B2E">
        <w:trPr>
          <w:jc w:val="center"/>
        </w:trPr>
        <w:tc>
          <w:tcPr>
            <w:tcW w:w="2245" w:type="dxa"/>
          </w:tcPr>
          <w:p w14:paraId="33CFE69D"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1.8</w:t>
            </w:r>
          </w:p>
        </w:tc>
        <w:tc>
          <w:tcPr>
            <w:tcW w:w="2245" w:type="dxa"/>
          </w:tcPr>
          <w:p w14:paraId="33CFE69E"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768</w:t>
            </w:r>
          </w:p>
        </w:tc>
        <w:tc>
          <w:tcPr>
            <w:tcW w:w="2245" w:type="dxa"/>
          </w:tcPr>
          <w:p w14:paraId="33CFE69F"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6016</w:t>
            </w:r>
          </w:p>
        </w:tc>
        <w:tc>
          <w:tcPr>
            <w:tcW w:w="2245" w:type="dxa"/>
          </w:tcPr>
          <w:p w14:paraId="33CFE6A0"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Hasta 5 Mbps</w:t>
            </w:r>
          </w:p>
        </w:tc>
      </w:tr>
      <w:tr w:rsidR="00D936CA" w:rsidRPr="00D936CA" w14:paraId="33CFE6A6" w14:textId="77777777" w:rsidTr="00060B2E">
        <w:trPr>
          <w:jc w:val="center"/>
        </w:trPr>
        <w:tc>
          <w:tcPr>
            <w:tcW w:w="2245" w:type="dxa"/>
          </w:tcPr>
          <w:p w14:paraId="33CFE6A2"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1.5</w:t>
            </w:r>
          </w:p>
        </w:tc>
        <w:tc>
          <w:tcPr>
            <w:tcW w:w="2245" w:type="dxa"/>
          </w:tcPr>
          <w:p w14:paraId="33CFE6A3"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960</w:t>
            </w:r>
          </w:p>
        </w:tc>
        <w:tc>
          <w:tcPr>
            <w:tcW w:w="2245" w:type="dxa"/>
          </w:tcPr>
          <w:p w14:paraId="33CFE6A4"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12544</w:t>
            </w:r>
          </w:p>
        </w:tc>
        <w:tc>
          <w:tcPr>
            <w:tcW w:w="2245" w:type="dxa"/>
          </w:tcPr>
          <w:p w14:paraId="33CFE6A5" w14:textId="77777777" w:rsidR="00530A32" w:rsidRPr="00D936CA" w:rsidRDefault="00011A1B"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Hasta 10 Mbps</w:t>
            </w:r>
          </w:p>
        </w:tc>
      </w:tr>
    </w:tbl>
    <w:p w14:paraId="33CFE6A7" w14:textId="77777777" w:rsidR="00530A32" w:rsidRPr="00D936CA" w:rsidRDefault="00424F8D" w:rsidP="00D936CA">
      <w:pPr>
        <w:spacing w:before="120" w:after="200" w:line="276" w:lineRule="auto"/>
        <w:jc w:val="center"/>
        <w:rPr>
          <w:rFonts w:ascii="ITC Avant Garde" w:hAnsi="ITC Avant Garde"/>
          <w:sz w:val="18"/>
          <w:szCs w:val="18"/>
          <w:lang w:val="es-MX"/>
        </w:rPr>
      </w:pPr>
      <w:r w:rsidRPr="00D936CA">
        <w:rPr>
          <w:rFonts w:ascii="ITC Avant Garde" w:hAnsi="ITC Avant Garde"/>
          <w:sz w:val="18"/>
          <w:szCs w:val="18"/>
          <w:lang w:val="es-MX"/>
        </w:rPr>
        <w:t>Tabla 6</w:t>
      </w:r>
      <w:r w:rsidR="00594A0A" w:rsidRPr="00D936CA">
        <w:rPr>
          <w:rFonts w:ascii="ITC Avant Garde" w:hAnsi="ITC Avant Garde"/>
          <w:sz w:val="18"/>
          <w:szCs w:val="18"/>
          <w:lang w:val="es-MX"/>
        </w:rPr>
        <w:t xml:space="preserve"> </w:t>
      </w:r>
      <w:r w:rsidR="00011A1B" w:rsidRPr="00D936CA">
        <w:rPr>
          <w:rFonts w:ascii="ITC Avant Garde" w:hAnsi="ITC Avant Garde"/>
          <w:sz w:val="18"/>
          <w:szCs w:val="18"/>
          <w:lang w:val="es-MX"/>
        </w:rPr>
        <w:t>Relación entre distancia y velocidad máxima alcanzable por bucle</w:t>
      </w:r>
    </w:p>
    <w:p w14:paraId="33CFE6A8" w14:textId="77777777" w:rsidR="005D7A8B" w:rsidRPr="00D936CA" w:rsidRDefault="00CB3EA9" w:rsidP="00D936CA">
      <w:pPr>
        <w:pStyle w:val="CondicionesFinales"/>
        <w:ind w:right="51"/>
        <w:rPr>
          <w:color w:val="auto"/>
        </w:rPr>
      </w:pPr>
      <w:r w:rsidRPr="00D936CA">
        <w:rPr>
          <w:color w:val="auto"/>
        </w:rPr>
        <w:t>Para cualquier otra de las tecnologías xDSL disponibles y vigentes se deberá utilizar la referencia de la recomendación de la UIT correspondiente.</w:t>
      </w:r>
    </w:p>
    <w:p w14:paraId="33CFE6A9" w14:textId="3D4B5720" w:rsidR="00530A32" w:rsidRPr="00D936CA" w:rsidRDefault="00011A1B" w:rsidP="00D936CA">
      <w:pPr>
        <w:pStyle w:val="Prrafodelista"/>
        <w:numPr>
          <w:ilvl w:val="0"/>
          <w:numId w:val="42"/>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Adicionalmente, el CS para poder contratar </w:t>
      </w:r>
      <w:r w:rsidR="00FF3870" w:rsidRPr="00D936CA">
        <w:rPr>
          <w:rFonts w:ascii="ITC Avant Garde" w:hAnsi="ITC Avant Garde"/>
          <w:sz w:val="22"/>
          <w:szCs w:val="22"/>
          <w:lang w:val="es-MX"/>
        </w:rPr>
        <w:t>los servicios de bucle y sub-bucle</w:t>
      </w:r>
      <w:r w:rsidRPr="00D936CA">
        <w:rPr>
          <w:rFonts w:ascii="ITC Avant Garde" w:hAnsi="ITC Avant Garde"/>
          <w:sz w:val="22"/>
          <w:szCs w:val="22"/>
          <w:lang w:val="es-MX"/>
        </w:rPr>
        <w:t xml:space="preserve"> también debe tomar en consideración que no se haya rebasado el porcentaje de penetración </w:t>
      </w:r>
      <w:r w:rsidR="00594A0A" w:rsidRPr="00D936CA">
        <w:rPr>
          <w:rFonts w:ascii="ITC Avant Garde" w:hAnsi="ITC Avant Garde"/>
          <w:sz w:val="22"/>
          <w:szCs w:val="22"/>
          <w:lang w:val="es-MX"/>
        </w:rPr>
        <w:lastRenderedPageBreak/>
        <w:t xml:space="preserve">permitido </w:t>
      </w:r>
      <w:r w:rsidRPr="00D936CA">
        <w:rPr>
          <w:rFonts w:ascii="ITC Avant Garde" w:hAnsi="ITC Avant Garde"/>
          <w:sz w:val="22"/>
          <w:szCs w:val="22"/>
          <w:lang w:val="es-MX"/>
        </w:rPr>
        <w:t xml:space="preserve">por tecnologías existentes en la red secundaria y primaria para los servicios indicados en las reglas de penetración del </w:t>
      </w:r>
      <w:r w:rsidR="003E0497" w:rsidRPr="00D936CA">
        <w:rPr>
          <w:rFonts w:ascii="ITC Avant Garde" w:hAnsi="ITC Avant Garde"/>
          <w:sz w:val="22"/>
          <w:szCs w:val="22"/>
          <w:lang w:val="es-MX"/>
        </w:rPr>
        <w:t>PGE</w:t>
      </w:r>
      <w:r w:rsidRPr="00D936CA">
        <w:rPr>
          <w:rFonts w:ascii="ITC Avant Garde" w:hAnsi="ITC Avant Garde"/>
          <w:sz w:val="22"/>
          <w:szCs w:val="22"/>
          <w:lang w:val="es-MX"/>
        </w:rPr>
        <w:t xml:space="preserve">, conforme la siguiente tabla: </w:t>
      </w:r>
    </w:p>
    <w:p w14:paraId="33CFE6AA" w14:textId="77777777" w:rsidR="002F1506" w:rsidRPr="00D936CA" w:rsidRDefault="002F1506" w:rsidP="00D936CA">
      <w:pPr>
        <w:spacing w:after="200" w:line="276" w:lineRule="auto"/>
        <w:jc w:val="both"/>
        <w:rPr>
          <w:rFonts w:ascii="ITC Avant Garde" w:hAnsi="ITC Avant Garde"/>
          <w:sz w:val="22"/>
          <w:szCs w:val="22"/>
          <w:lang w:val="es-MX"/>
        </w:rPr>
      </w:pP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3"/>
        <w:gridCol w:w="3006"/>
        <w:gridCol w:w="993"/>
        <w:gridCol w:w="1132"/>
        <w:gridCol w:w="1037"/>
        <w:gridCol w:w="1087"/>
      </w:tblGrid>
      <w:tr w:rsidR="00D936CA" w:rsidRPr="00D936CA" w14:paraId="33CFE6B1" w14:textId="77777777" w:rsidTr="005911AE">
        <w:trPr>
          <w:jc w:val="center"/>
        </w:trPr>
        <w:tc>
          <w:tcPr>
            <w:tcW w:w="649" w:type="pct"/>
            <w:shd w:val="clear" w:color="auto" w:fill="548DD4" w:themeFill="text2" w:themeFillTint="99"/>
            <w:tcMar>
              <w:top w:w="0" w:type="dxa"/>
              <w:left w:w="108" w:type="dxa"/>
              <w:bottom w:w="0" w:type="dxa"/>
              <w:right w:w="108" w:type="dxa"/>
            </w:tcMar>
            <w:vAlign w:val="center"/>
            <w:hideMark/>
          </w:tcPr>
          <w:p w14:paraId="33CFE6AB" w14:textId="77777777" w:rsidR="008B678E" w:rsidRPr="00D936CA" w:rsidRDefault="00011A1B" w:rsidP="00D936CA">
            <w:pPr>
              <w:spacing w:before="60" w:after="60" w:line="276" w:lineRule="auto"/>
              <w:jc w:val="center"/>
              <w:rPr>
                <w:rFonts w:ascii="ITC Avant Garde" w:eastAsiaTheme="minorHAnsi" w:hAnsi="ITC Avant Garde" w:cs="Arial"/>
                <w:b/>
                <w:bCs/>
                <w:spacing w:val="-4"/>
                <w:sz w:val="20"/>
                <w:szCs w:val="20"/>
              </w:rPr>
            </w:pPr>
            <w:r w:rsidRPr="00D936CA">
              <w:rPr>
                <w:rFonts w:ascii="ITC Avant Garde" w:hAnsi="ITC Avant Garde"/>
                <w:b/>
                <w:bCs/>
                <w:spacing w:val="-4"/>
                <w:sz w:val="20"/>
                <w:szCs w:val="20"/>
              </w:rPr>
              <w:t>Número de Grupo</w:t>
            </w:r>
          </w:p>
        </w:tc>
        <w:tc>
          <w:tcPr>
            <w:tcW w:w="1801" w:type="pct"/>
            <w:shd w:val="clear" w:color="auto" w:fill="548DD4" w:themeFill="text2" w:themeFillTint="99"/>
            <w:tcMar>
              <w:top w:w="0" w:type="dxa"/>
              <w:left w:w="108" w:type="dxa"/>
              <w:bottom w:w="0" w:type="dxa"/>
              <w:right w:w="108" w:type="dxa"/>
            </w:tcMar>
            <w:vAlign w:val="center"/>
            <w:hideMark/>
          </w:tcPr>
          <w:p w14:paraId="33CFE6AC" w14:textId="77777777" w:rsidR="00530A32" w:rsidRPr="00D936CA" w:rsidRDefault="00011A1B" w:rsidP="00D936CA">
            <w:pPr>
              <w:spacing w:before="60" w:after="60" w:line="276" w:lineRule="auto"/>
              <w:jc w:val="center"/>
              <w:rPr>
                <w:rFonts w:ascii="ITC Avant Garde" w:eastAsiaTheme="minorHAnsi" w:hAnsi="ITC Avant Garde" w:cs="Arial"/>
                <w:b/>
                <w:bCs/>
                <w:sz w:val="20"/>
                <w:szCs w:val="20"/>
              </w:rPr>
            </w:pPr>
            <w:r w:rsidRPr="00D936CA">
              <w:rPr>
                <w:rFonts w:ascii="ITC Avant Garde" w:hAnsi="ITC Avant Garde"/>
                <w:b/>
                <w:bCs/>
                <w:sz w:val="20"/>
                <w:szCs w:val="20"/>
              </w:rPr>
              <w:t>Clasificación</w:t>
            </w:r>
          </w:p>
        </w:tc>
        <w:tc>
          <w:tcPr>
            <w:tcW w:w="595" w:type="pct"/>
            <w:shd w:val="clear" w:color="auto" w:fill="548DD4" w:themeFill="text2" w:themeFillTint="99"/>
            <w:tcMar>
              <w:top w:w="0" w:type="dxa"/>
              <w:left w:w="108" w:type="dxa"/>
              <w:bottom w:w="0" w:type="dxa"/>
              <w:right w:w="108" w:type="dxa"/>
            </w:tcMar>
            <w:vAlign w:val="center"/>
            <w:hideMark/>
          </w:tcPr>
          <w:p w14:paraId="33CFE6AD" w14:textId="77777777" w:rsidR="00530A32" w:rsidRPr="00D936CA" w:rsidRDefault="00011A1B" w:rsidP="00D936CA">
            <w:pPr>
              <w:spacing w:before="60" w:after="60" w:line="276" w:lineRule="auto"/>
              <w:jc w:val="center"/>
              <w:rPr>
                <w:rFonts w:ascii="ITC Avant Garde" w:eastAsiaTheme="minorHAnsi" w:hAnsi="ITC Avant Garde" w:cs="Arial"/>
                <w:b/>
                <w:bCs/>
                <w:sz w:val="20"/>
                <w:szCs w:val="20"/>
              </w:rPr>
            </w:pPr>
            <w:r w:rsidRPr="00D936CA">
              <w:rPr>
                <w:rFonts w:ascii="ITC Avant Garde" w:hAnsi="ITC Avant Garde"/>
                <w:b/>
                <w:bCs/>
                <w:sz w:val="20"/>
                <w:szCs w:val="20"/>
              </w:rPr>
              <w:t>&lt;= 1 Km</w:t>
            </w:r>
          </w:p>
        </w:tc>
        <w:tc>
          <w:tcPr>
            <w:tcW w:w="679" w:type="pct"/>
            <w:shd w:val="clear" w:color="auto" w:fill="548DD4" w:themeFill="text2" w:themeFillTint="99"/>
            <w:tcMar>
              <w:top w:w="0" w:type="dxa"/>
              <w:left w:w="108" w:type="dxa"/>
              <w:bottom w:w="0" w:type="dxa"/>
              <w:right w:w="108" w:type="dxa"/>
            </w:tcMar>
            <w:vAlign w:val="center"/>
            <w:hideMark/>
          </w:tcPr>
          <w:p w14:paraId="33CFE6AE" w14:textId="77777777" w:rsidR="00530A32" w:rsidRPr="00D936CA" w:rsidRDefault="00011A1B" w:rsidP="00D936CA">
            <w:pPr>
              <w:spacing w:before="60" w:after="60" w:line="276" w:lineRule="auto"/>
              <w:jc w:val="center"/>
              <w:rPr>
                <w:rFonts w:ascii="ITC Avant Garde" w:eastAsiaTheme="minorHAnsi" w:hAnsi="ITC Avant Garde" w:cs="Arial"/>
                <w:b/>
                <w:bCs/>
                <w:sz w:val="20"/>
                <w:szCs w:val="20"/>
              </w:rPr>
            </w:pPr>
            <w:r w:rsidRPr="00D936CA">
              <w:rPr>
                <w:rFonts w:ascii="ITC Avant Garde" w:hAnsi="ITC Avant Garde"/>
                <w:b/>
                <w:bCs/>
                <w:sz w:val="20"/>
                <w:szCs w:val="20"/>
              </w:rPr>
              <w:t>&lt;= 2 Km</w:t>
            </w:r>
          </w:p>
        </w:tc>
        <w:tc>
          <w:tcPr>
            <w:tcW w:w="622" w:type="pct"/>
            <w:shd w:val="clear" w:color="auto" w:fill="548DD4" w:themeFill="text2" w:themeFillTint="99"/>
            <w:tcMar>
              <w:top w:w="0" w:type="dxa"/>
              <w:left w:w="108" w:type="dxa"/>
              <w:bottom w:w="0" w:type="dxa"/>
              <w:right w:w="108" w:type="dxa"/>
            </w:tcMar>
            <w:vAlign w:val="center"/>
            <w:hideMark/>
          </w:tcPr>
          <w:p w14:paraId="33CFE6AF" w14:textId="77777777" w:rsidR="00530A32" w:rsidRPr="00D936CA" w:rsidRDefault="00011A1B" w:rsidP="00D936CA">
            <w:pPr>
              <w:spacing w:before="60" w:after="60" w:line="276" w:lineRule="auto"/>
              <w:jc w:val="center"/>
              <w:rPr>
                <w:rFonts w:ascii="ITC Avant Garde" w:eastAsiaTheme="minorHAnsi" w:hAnsi="ITC Avant Garde" w:cs="Arial"/>
                <w:b/>
                <w:bCs/>
                <w:sz w:val="20"/>
                <w:szCs w:val="20"/>
              </w:rPr>
            </w:pPr>
            <w:r w:rsidRPr="00D936CA">
              <w:rPr>
                <w:rFonts w:ascii="ITC Avant Garde" w:hAnsi="ITC Avant Garde"/>
                <w:b/>
                <w:bCs/>
                <w:sz w:val="20"/>
                <w:szCs w:val="20"/>
              </w:rPr>
              <w:t>&lt;= 3 Km</w:t>
            </w:r>
          </w:p>
        </w:tc>
        <w:tc>
          <w:tcPr>
            <w:tcW w:w="652" w:type="pct"/>
            <w:shd w:val="clear" w:color="auto" w:fill="548DD4" w:themeFill="text2" w:themeFillTint="99"/>
            <w:tcMar>
              <w:top w:w="0" w:type="dxa"/>
              <w:left w:w="108" w:type="dxa"/>
              <w:bottom w:w="0" w:type="dxa"/>
              <w:right w:w="108" w:type="dxa"/>
            </w:tcMar>
            <w:vAlign w:val="center"/>
            <w:hideMark/>
          </w:tcPr>
          <w:p w14:paraId="33CFE6B0" w14:textId="77777777" w:rsidR="00530A32" w:rsidRPr="00D936CA" w:rsidRDefault="00011A1B" w:rsidP="00D936CA">
            <w:pPr>
              <w:spacing w:before="60" w:after="60" w:line="276" w:lineRule="auto"/>
              <w:jc w:val="center"/>
              <w:rPr>
                <w:rFonts w:ascii="ITC Avant Garde" w:eastAsiaTheme="minorHAnsi" w:hAnsi="ITC Avant Garde" w:cs="Arial"/>
                <w:b/>
                <w:bCs/>
                <w:sz w:val="20"/>
                <w:szCs w:val="20"/>
              </w:rPr>
            </w:pPr>
            <w:r w:rsidRPr="00D936CA">
              <w:rPr>
                <w:rFonts w:ascii="ITC Avant Garde" w:hAnsi="ITC Avant Garde"/>
                <w:b/>
                <w:bCs/>
                <w:sz w:val="20"/>
                <w:szCs w:val="20"/>
              </w:rPr>
              <w:t>&lt;= 4 Km</w:t>
            </w:r>
          </w:p>
        </w:tc>
      </w:tr>
      <w:tr w:rsidR="00D936CA" w:rsidRPr="00D936CA" w14:paraId="33CFE6B8" w14:textId="77777777" w:rsidTr="00774762">
        <w:trPr>
          <w:jc w:val="center"/>
        </w:trPr>
        <w:tc>
          <w:tcPr>
            <w:tcW w:w="649" w:type="pct"/>
            <w:tcMar>
              <w:top w:w="0" w:type="dxa"/>
              <w:left w:w="108" w:type="dxa"/>
              <w:bottom w:w="0" w:type="dxa"/>
              <w:right w:w="108" w:type="dxa"/>
            </w:tcMar>
            <w:vAlign w:val="center"/>
            <w:hideMark/>
          </w:tcPr>
          <w:p w14:paraId="33CFE6B2"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A</w:t>
            </w:r>
          </w:p>
        </w:tc>
        <w:tc>
          <w:tcPr>
            <w:tcW w:w="1801" w:type="pct"/>
            <w:tcMar>
              <w:top w:w="0" w:type="dxa"/>
              <w:left w:w="108" w:type="dxa"/>
              <w:bottom w:w="0" w:type="dxa"/>
              <w:right w:w="108" w:type="dxa"/>
            </w:tcMar>
            <w:vAlign w:val="center"/>
            <w:hideMark/>
          </w:tcPr>
          <w:p w14:paraId="33CFE6B3" w14:textId="77777777" w:rsidR="00530A32" w:rsidRPr="00D936CA" w:rsidRDefault="00011A1B" w:rsidP="00D936CA">
            <w:pPr>
              <w:spacing w:before="60" w:after="60" w:line="276" w:lineRule="auto"/>
              <w:rPr>
                <w:rFonts w:ascii="ITC Avant Garde" w:eastAsiaTheme="minorHAnsi" w:hAnsi="ITC Avant Garde" w:cs="Arial"/>
                <w:sz w:val="20"/>
                <w:szCs w:val="20"/>
              </w:rPr>
            </w:pPr>
            <w:r w:rsidRPr="00D936CA">
              <w:rPr>
                <w:rFonts w:ascii="ITC Avant Garde" w:hAnsi="ITC Avant Garde"/>
                <w:sz w:val="20"/>
                <w:szCs w:val="20"/>
              </w:rPr>
              <w:t>Sistemas de Alimentación de Corriente Directa (DC)</w:t>
            </w:r>
          </w:p>
        </w:tc>
        <w:tc>
          <w:tcPr>
            <w:tcW w:w="595" w:type="pct"/>
            <w:tcMar>
              <w:top w:w="0" w:type="dxa"/>
              <w:left w:w="108" w:type="dxa"/>
              <w:bottom w:w="0" w:type="dxa"/>
              <w:right w:w="108" w:type="dxa"/>
            </w:tcMar>
            <w:vAlign w:val="center"/>
            <w:hideMark/>
          </w:tcPr>
          <w:p w14:paraId="33CFE6B4"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79" w:type="pct"/>
            <w:tcMar>
              <w:top w:w="0" w:type="dxa"/>
              <w:left w:w="108" w:type="dxa"/>
              <w:bottom w:w="0" w:type="dxa"/>
              <w:right w:w="108" w:type="dxa"/>
            </w:tcMar>
            <w:vAlign w:val="center"/>
            <w:hideMark/>
          </w:tcPr>
          <w:p w14:paraId="33CFE6B5"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22" w:type="pct"/>
            <w:tcMar>
              <w:top w:w="0" w:type="dxa"/>
              <w:left w:w="108" w:type="dxa"/>
              <w:bottom w:w="0" w:type="dxa"/>
              <w:right w:w="108" w:type="dxa"/>
            </w:tcMar>
            <w:vAlign w:val="center"/>
            <w:hideMark/>
          </w:tcPr>
          <w:p w14:paraId="33CFE6B6"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52" w:type="pct"/>
            <w:tcMar>
              <w:top w:w="0" w:type="dxa"/>
              <w:left w:w="108" w:type="dxa"/>
              <w:bottom w:w="0" w:type="dxa"/>
              <w:right w:w="108" w:type="dxa"/>
            </w:tcMar>
            <w:vAlign w:val="center"/>
            <w:hideMark/>
          </w:tcPr>
          <w:p w14:paraId="33CFE6B7"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r>
      <w:tr w:rsidR="00D936CA" w:rsidRPr="00D936CA" w14:paraId="33CFE6BF" w14:textId="77777777" w:rsidTr="00774762">
        <w:trPr>
          <w:jc w:val="center"/>
        </w:trPr>
        <w:tc>
          <w:tcPr>
            <w:tcW w:w="649" w:type="pct"/>
            <w:tcMar>
              <w:top w:w="0" w:type="dxa"/>
              <w:left w:w="108" w:type="dxa"/>
              <w:bottom w:w="0" w:type="dxa"/>
              <w:right w:w="108" w:type="dxa"/>
            </w:tcMar>
            <w:vAlign w:val="center"/>
            <w:hideMark/>
          </w:tcPr>
          <w:p w14:paraId="33CFE6B9"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w:t>
            </w:r>
          </w:p>
        </w:tc>
        <w:tc>
          <w:tcPr>
            <w:tcW w:w="1801" w:type="pct"/>
            <w:tcMar>
              <w:top w:w="0" w:type="dxa"/>
              <w:left w:w="108" w:type="dxa"/>
              <w:bottom w:w="0" w:type="dxa"/>
              <w:right w:w="108" w:type="dxa"/>
            </w:tcMar>
            <w:vAlign w:val="center"/>
            <w:hideMark/>
          </w:tcPr>
          <w:p w14:paraId="33CFE6BA" w14:textId="77777777" w:rsidR="00530A32" w:rsidRPr="00D936CA" w:rsidRDefault="00011A1B" w:rsidP="00D936CA">
            <w:pPr>
              <w:spacing w:before="60" w:after="60" w:line="276" w:lineRule="auto"/>
              <w:rPr>
                <w:rFonts w:ascii="ITC Avant Garde" w:eastAsiaTheme="minorHAnsi" w:hAnsi="ITC Avant Garde" w:cs="Arial"/>
                <w:sz w:val="20"/>
                <w:szCs w:val="20"/>
              </w:rPr>
            </w:pPr>
            <w:r w:rsidRPr="00D936CA">
              <w:rPr>
                <w:rFonts w:ascii="ITC Avant Garde" w:hAnsi="ITC Avant Garde"/>
                <w:sz w:val="20"/>
                <w:szCs w:val="20"/>
              </w:rPr>
              <w:t>Servicios de Voz (POTS)</w:t>
            </w:r>
          </w:p>
        </w:tc>
        <w:tc>
          <w:tcPr>
            <w:tcW w:w="595" w:type="pct"/>
            <w:tcMar>
              <w:top w:w="0" w:type="dxa"/>
              <w:left w:w="108" w:type="dxa"/>
              <w:bottom w:w="0" w:type="dxa"/>
              <w:right w:w="108" w:type="dxa"/>
            </w:tcMar>
            <w:vAlign w:val="center"/>
            <w:hideMark/>
          </w:tcPr>
          <w:p w14:paraId="33CFE6BB"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79" w:type="pct"/>
            <w:tcMar>
              <w:top w:w="0" w:type="dxa"/>
              <w:left w:w="108" w:type="dxa"/>
              <w:bottom w:w="0" w:type="dxa"/>
              <w:right w:w="108" w:type="dxa"/>
            </w:tcMar>
            <w:vAlign w:val="center"/>
            <w:hideMark/>
          </w:tcPr>
          <w:p w14:paraId="33CFE6BC"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22" w:type="pct"/>
            <w:tcMar>
              <w:top w:w="0" w:type="dxa"/>
              <w:left w:w="108" w:type="dxa"/>
              <w:bottom w:w="0" w:type="dxa"/>
              <w:right w:w="108" w:type="dxa"/>
            </w:tcMar>
            <w:vAlign w:val="center"/>
            <w:hideMark/>
          </w:tcPr>
          <w:p w14:paraId="33CFE6BD"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52" w:type="pct"/>
            <w:tcMar>
              <w:top w:w="0" w:type="dxa"/>
              <w:left w:w="108" w:type="dxa"/>
              <w:bottom w:w="0" w:type="dxa"/>
              <w:right w:w="108" w:type="dxa"/>
            </w:tcMar>
            <w:vAlign w:val="center"/>
            <w:hideMark/>
          </w:tcPr>
          <w:p w14:paraId="33CFE6BE"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r>
      <w:tr w:rsidR="00D936CA" w:rsidRPr="00D936CA" w14:paraId="33CFE6C6" w14:textId="77777777" w:rsidTr="00774762">
        <w:trPr>
          <w:jc w:val="center"/>
        </w:trPr>
        <w:tc>
          <w:tcPr>
            <w:tcW w:w="649" w:type="pct"/>
            <w:tcMar>
              <w:top w:w="0" w:type="dxa"/>
              <w:left w:w="108" w:type="dxa"/>
              <w:bottom w:w="0" w:type="dxa"/>
              <w:right w:w="108" w:type="dxa"/>
            </w:tcMar>
            <w:vAlign w:val="center"/>
            <w:hideMark/>
          </w:tcPr>
          <w:p w14:paraId="33CFE6C0"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2</w:t>
            </w:r>
          </w:p>
        </w:tc>
        <w:tc>
          <w:tcPr>
            <w:tcW w:w="1801" w:type="pct"/>
            <w:tcMar>
              <w:top w:w="0" w:type="dxa"/>
              <w:left w:w="108" w:type="dxa"/>
              <w:bottom w:w="0" w:type="dxa"/>
              <w:right w:w="108" w:type="dxa"/>
            </w:tcMar>
            <w:vAlign w:val="center"/>
            <w:hideMark/>
          </w:tcPr>
          <w:p w14:paraId="33CFE6C1" w14:textId="77777777" w:rsidR="00530A32" w:rsidRPr="00D936CA" w:rsidRDefault="00011A1B" w:rsidP="00D936CA">
            <w:pPr>
              <w:spacing w:before="60" w:after="60" w:line="276" w:lineRule="auto"/>
              <w:rPr>
                <w:rFonts w:ascii="ITC Avant Garde" w:eastAsiaTheme="minorHAnsi" w:hAnsi="ITC Avant Garde" w:cs="Arial"/>
                <w:sz w:val="20"/>
                <w:szCs w:val="20"/>
              </w:rPr>
            </w:pPr>
            <w:r w:rsidRPr="00D936CA">
              <w:rPr>
                <w:rFonts w:ascii="ITC Avant Garde" w:hAnsi="ITC Avant Garde"/>
                <w:sz w:val="20"/>
                <w:szCs w:val="20"/>
              </w:rPr>
              <w:t>Semi-Banda Ancha (ISDN)</w:t>
            </w:r>
          </w:p>
        </w:tc>
        <w:tc>
          <w:tcPr>
            <w:tcW w:w="595" w:type="pct"/>
            <w:tcMar>
              <w:top w:w="0" w:type="dxa"/>
              <w:left w:w="108" w:type="dxa"/>
              <w:bottom w:w="0" w:type="dxa"/>
              <w:right w:w="108" w:type="dxa"/>
            </w:tcMar>
            <w:vAlign w:val="center"/>
            <w:hideMark/>
          </w:tcPr>
          <w:p w14:paraId="33CFE6C2"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30%</w:t>
            </w:r>
          </w:p>
        </w:tc>
        <w:tc>
          <w:tcPr>
            <w:tcW w:w="679" w:type="pct"/>
            <w:tcMar>
              <w:top w:w="0" w:type="dxa"/>
              <w:left w:w="108" w:type="dxa"/>
              <w:bottom w:w="0" w:type="dxa"/>
              <w:right w:w="108" w:type="dxa"/>
            </w:tcMar>
            <w:vAlign w:val="center"/>
            <w:hideMark/>
          </w:tcPr>
          <w:p w14:paraId="33CFE6C3"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30%</w:t>
            </w:r>
          </w:p>
        </w:tc>
        <w:tc>
          <w:tcPr>
            <w:tcW w:w="622" w:type="pct"/>
            <w:tcMar>
              <w:top w:w="0" w:type="dxa"/>
              <w:left w:w="108" w:type="dxa"/>
              <w:bottom w:w="0" w:type="dxa"/>
              <w:right w:w="108" w:type="dxa"/>
            </w:tcMar>
            <w:vAlign w:val="center"/>
            <w:hideMark/>
          </w:tcPr>
          <w:p w14:paraId="33CFE6C4"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30%</w:t>
            </w:r>
          </w:p>
        </w:tc>
        <w:tc>
          <w:tcPr>
            <w:tcW w:w="652" w:type="pct"/>
            <w:tcMar>
              <w:top w:w="0" w:type="dxa"/>
              <w:left w:w="108" w:type="dxa"/>
              <w:bottom w:w="0" w:type="dxa"/>
              <w:right w:w="108" w:type="dxa"/>
            </w:tcMar>
            <w:vAlign w:val="center"/>
            <w:hideMark/>
          </w:tcPr>
          <w:p w14:paraId="33CFE6C5"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20%</w:t>
            </w:r>
          </w:p>
        </w:tc>
      </w:tr>
      <w:tr w:rsidR="00D936CA" w:rsidRPr="00D936CA" w14:paraId="33CFE6CD" w14:textId="77777777" w:rsidTr="00774762">
        <w:trPr>
          <w:jc w:val="center"/>
        </w:trPr>
        <w:tc>
          <w:tcPr>
            <w:tcW w:w="649" w:type="pct"/>
            <w:tcMar>
              <w:top w:w="0" w:type="dxa"/>
              <w:left w:w="108" w:type="dxa"/>
              <w:bottom w:w="0" w:type="dxa"/>
              <w:right w:w="108" w:type="dxa"/>
            </w:tcMar>
            <w:vAlign w:val="center"/>
            <w:hideMark/>
          </w:tcPr>
          <w:p w14:paraId="33CFE6C7" w14:textId="77777777" w:rsidR="00530A32" w:rsidRPr="00D936CA" w:rsidRDefault="00011A1B" w:rsidP="00D936CA">
            <w:pPr>
              <w:autoSpaceDE w:val="0"/>
              <w:autoSpaceDN w:val="0"/>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3</w:t>
            </w:r>
          </w:p>
        </w:tc>
        <w:tc>
          <w:tcPr>
            <w:tcW w:w="1801" w:type="pct"/>
            <w:tcMar>
              <w:top w:w="0" w:type="dxa"/>
              <w:left w:w="108" w:type="dxa"/>
              <w:bottom w:w="0" w:type="dxa"/>
              <w:right w:w="108" w:type="dxa"/>
            </w:tcMar>
            <w:vAlign w:val="center"/>
            <w:hideMark/>
          </w:tcPr>
          <w:p w14:paraId="33CFE6C8" w14:textId="77777777" w:rsidR="00530A32" w:rsidRPr="00D936CA" w:rsidRDefault="00011A1B" w:rsidP="00D936CA">
            <w:pPr>
              <w:autoSpaceDE w:val="0"/>
              <w:autoSpaceDN w:val="0"/>
              <w:spacing w:before="60" w:after="60" w:line="276" w:lineRule="auto"/>
              <w:rPr>
                <w:rFonts w:ascii="ITC Avant Garde" w:eastAsiaTheme="minorHAnsi" w:hAnsi="ITC Avant Garde" w:cs="Arial"/>
                <w:sz w:val="20"/>
                <w:szCs w:val="20"/>
              </w:rPr>
            </w:pPr>
            <w:r w:rsidRPr="00D936CA">
              <w:rPr>
                <w:rFonts w:ascii="ITC Avant Garde" w:hAnsi="ITC Avant Garde"/>
                <w:sz w:val="20"/>
                <w:szCs w:val="20"/>
              </w:rPr>
              <w:t>Banda Ancha Simétrica (SHDSL)</w:t>
            </w:r>
          </w:p>
        </w:tc>
        <w:tc>
          <w:tcPr>
            <w:tcW w:w="595" w:type="pct"/>
            <w:tcMar>
              <w:top w:w="0" w:type="dxa"/>
              <w:left w:w="108" w:type="dxa"/>
              <w:bottom w:w="0" w:type="dxa"/>
              <w:right w:w="108" w:type="dxa"/>
            </w:tcMar>
            <w:vAlign w:val="center"/>
            <w:hideMark/>
          </w:tcPr>
          <w:p w14:paraId="33CFE6C9"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30%</w:t>
            </w:r>
          </w:p>
        </w:tc>
        <w:tc>
          <w:tcPr>
            <w:tcW w:w="679" w:type="pct"/>
            <w:tcMar>
              <w:top w:w="0" w:type="dxa"/>
              <w:left w:w="108" w:type="dxa"/>
              <w:bottom w:w="0" w:type="dxa"/>
              <w:right w:w="108" w:type="dxa"/>
            </w:tcMar>
            <w:vAlign w:val="center"/>
            <w:hideMark/>
          </w:tcPr>
          <w:p w14:paraId="33CFE6CA"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30%</w:t>
            </w:r>
          </w:p>
        </w:tc>
        <w:tc>
          <w:tcPr>
            <w:tcW w:w="622" w:type="pct"/>
            <w:tcMar>
              <w:top w:w="0" w:type="dxa"/>
              <w:left w:w="108" w:type="dxa"/>
              <w:bottom w:w="0" w:type="dxa"/>
              <w:right w:w="108" w:type="dxa"/>
            </w:tcMar>
            <w:vAlign w:val="center"/>
            <w:hideMark/>
          </w:tcPr>
          <w:p w14:paraId="33CFE6CB"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20%</w:t>
            </w:r>
          </w:p>
        </w:tc>
        <w:tc>
          <w:tcPr>
            <w:tcW w:w="652" w:type="pct"/>
            <w:tcMar>
              <w:top w:w="0" w:type="dxa"/>
              <w:left w:w="108" w:type="dxa"/>
              <w:bottom w:w="0" w:type="dxa"/>
              <w:right w:w="108" w:type="dxa"/>
            </w:tcMar>
            <w:vAlign w:val="center"/>
            <w:hideMark/>
          </w:tcPr>
          <w:p w14:paraId="33CFE6CC"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20%</w:t>
            </w:r>
          </w:p>
        </w:tc>
      </w:tr>
      <w:tr w:rsidR="00D936CA" w:rsidRPr="00D936CA" w14:paraId="33CFE6D5" w14:textId="77777777" w:rsidTr="00774762">
        <w:trPr>
          <w:jc w:val="center"/>
        </w:trPr>
        <w:tc>
          <w:tcPr>
            <w:tcW w:w="649" w:type="pct"/>
            <w:tcMar>
              <w:top w:w="0" w:type="dxa"/>
              <w:left w:w="108" w:type="dxa"/>
              <w:bottom w:w="0" w:type="dxa"/>
              <w:right w:w="108" w:type="dxa"/>
            </w:tcMar>
            <w:vAlign w:val="center"/>
            <w:hideMark/>
          </w:tcPr>
          <w:p w14:paraId="33CFE6CE" w14:textId="77777777" w:rsidR="00530A32" w:rsidRPr="00D936CA" w:rsidRDefault="00011A1B" w:rsidP="00D936CA">
            <w:pPr>
              <w:autoSpaceDE w:val="0"/>
              <w:autoSpaceDN w:val="0"/>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4</w:t>
            </w:r>
          </w:p>
        </w:tc>
        <w:tc>
          <w:tcPr>
            <w:tcW w:w="1801" w:type="pct"/>
            <w:tcMar>
              <w:top w:w="0" w:type="dxa"/>
              <w:left w:w="108" w:type="dxa"/>
              <w:bottom w:w="0" w:type="dxa"/>
              <w:right w:w="108" w:type="dxa"/>
            </w:tcMar>
            <w:vAlign w:val="center"/>
            <w:hideMark/>
          </w:tcPr>
          <w:p w14:paraId="33CFE6CF" w14:textId="77777777" w:rsidR="00530A32" w:rsidRPr="00D936CA" w:rsidRDefault="00011A1B" w:rsidP="00D936CA">
            <w:pPr>
              <w:autoSpaceDE w:val="0"/>
              <w:autoSpaceDN w:val="0"/>
              <w:spacing w:before="60" w:after="60" w:line="276" w:lineRule="auto"/>
              <w:rPr>
                <w:rFonts w:ascii="ITC Avant Garde" w:eastAsiaTheme="minorHAnsi" w:hAnsi="ITC Avant Garde" w:cs="Arial"/>
                <w:spacing w:val="-4"/>
                <w:sz w:val="20"/>
                <w:szCs w:val="20"/>
              </w:rPr>
            </w:pPr>
            <w:r w:rsidRPr="00D936CA">
              <w:rPr>
                <w:rFonts w:ascii="ITC Avant Garde" w:hAnsi="ITC Avant Garde"/>
                <w:spacing w:val="-4"/>
                <w:sz w:val="20"/>
                <w:szCs w:val="20"/>
              </w:rPr>
              <w:t>Banda Ancha Asimétrica</w:t>
            </w:r>
          </w:p>
          <w:p w14:paraId="33CFE6D0" w14:textId="77777777" w:rsidR="00530A32" w:rsidRPr="00D936CA" w:rsidRDefault="00011A1B" w:rsidP="00D936CA">
            <w:pPr>
              <w:spacing w:before="60" w:after="60" w:line="276" w:lineRule="auto"/>
              <w:rPr>
                <w:rFonts w:ascii="ITC Avant Garde" w:eastAsiaTheme="minorHAnsi" w:hAnsi="ITC Avant Garde" w:cs="Arial"/>
                <w:sz w:val="20"/>
                <w:szCs w:val="20"/>
              </w:rPr>
            </w:pPr>
            <w:r w:rsidRPr="00D936CA">
              <w:rPr>
                <w:rFonts w:ascii="ITC Avant Garde" w:hAnsi="ITC Avant Garde"/>
                <w:spacing w:val="-4"/>
                <w:sz w:val="20"/>
                <w:szCs w:val="20"/>
              </w:rPr>
              <w:t>Hasta 2.2 MHz (ADSL,ADSL2,ADSL2+)</w:t>
            </w:r>
          </w:p>
        </w:tc>
        <w:tc>
          <w:tcPr>
            <w:tcW w:w="595" w:type="pct"/>
            <w:tcMar>
              <w:top w:w="0" w:type="dxa"/>
              <w:left w:w="108" w:type="dxa"/>
              <w:bottom w:w="0" w:type="dxa"/>
              <w:right w:w="108" w:type="dxa"/>
            </w:tcMar>
            <w:vAlign w:val="center"/>
            <w:hideMark/>
          </w:tcPr>
          <w:p w14:paraId="33CFE6D1"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79" w:type="pct"/>
            <w:tcMar>
              <w:top w:w="0" w:type="dxa"/>
              <w:left w:w="108" w:type="dxa"/>
              <w:bottom w:w="0" w:type="dxa"/>
              <w:right w:w="108" w:type="dxa"/>
            </w:tcMar>
            <w:vAlign w:val="center"/>
            <w:hideMark/>
          </w:tcPr>
          <w:p w14:paraId="33CFE6D2"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60%</w:t>
            </w:r>
          </w:p>
        </w:tc>
        <w:tc>
          <w:tcPr>
            <w:tcW w:w="622" w:type="pct"/>
            <w:tcMar>
              <w:top w:w="0" w:type="dxa"/>
              <w:left w:w="108" w:type="dxa"/>
              <w:bottom w:w="0" w:type="dxa"/>
              <w:right w:w="108" w:type="dxa"/>
            </w:tcMar>
            <w:vAlign w:val="center"/>
            <w:hideMark/>
          </w:tcPr>
          <w:p w14:paraId="33CFE6D3"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50%</w:t>
            </w:r>
          </w:p>
        </w:tc>
        <w:tc>
          <w:tcPr>
            <w:tcW w:w="652" w:type="pct"/>
            <w:tcMar>
              <w:top w:w="0" w:type="dxa"/>
              <w:left w:w="108" w:type="dxa"/>
              <w:bottom w:w="0" w:type="dxa"/>
              <w:right w:w="108" w:type="dxa"/>
            </w:tcMar>
            <w:vAlign w:val="center"/>
            <w:hideMark/>
          </w:tcPr>
          <w:p w14:paraId="33CFE6D4"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40%</w:t>
            </w:r>
          </w:p>
        </w:tc>
      </w:tr>
      <w:tr w:rsidR="00D936CA" w:rsidRPr="00D936CA" w14:paraId="33CFE6DD" w14:textId="77777777" w:rsidTr="00774762">
        <w:trPr>
          <w:jc w:val="center"/>
        </w:trPr>
        <w:tc>
          <w:tcPr>
            <w:tcW w:w="649" w:type="pct"/>
            <w:tcMar>
              <w:top w:w="0" w:type="dxa"/>
              <w:left w:w="108" w:type="dxa"/>
              <w:bottom w:w="0" w:type="dxa"/>
              <w:right w:w="108" w:type="dxa"/>
            </w:tcMar>
            <w:vAlign w:val="center"/>
            <w:hideMark/>
          </w:tcPr>
          <w:p w14:paraId="33CFE6D6" w14:textId="77777777" w:rsidR="00530A32" w:rsidRPr="00D936CA" w:rsidRDefault="00011A1B" w:rsidP="00D936CA">
            <w:pPr>
              <w:autoSpaceDE w:val="0"/>
              <w:autoSpaceDN w:val="0"/>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5</w:t>
            </w:r>
          </w:p>
        </w:tc>
        <w:tc>
          <w:tcPr>
            <w:tcW w:w="1801" w:type="pct"/>
            <w:tcMar>
              <w:top w:w="0" w:type="dxa"/>
              <w:left w:w="108" w:type="dxa"/>
              <w:bottom w:w="0" w:type="dxa"/>
              <w:right w:w="108" w:type="dxa"/>
            </w:tcMar>
            <w:vAlign w:val="center"/>
            <w:hideMark/>
          </w:tcPr>
          <w:p w14:paraId="33CFE6D7" w14:textId="77777777" w:rsidR="00530A32" w:rsidRPr="00D936CA" w:rsidRDefault="00011A1B" w:rsidP="00D936CA">
            <w:pPr>
              <w:autoSpaceDE w:val="0"/>
              <w:autoSpaceDN w:val="0"/>
              <w:spacing w:before="60" w:after="60" w:line="276" w:lineRule="auto"/>
              <w:rPr>
                <w:rFonts w:ascii="ITC Avant Garde" w:eastAsiaTheme="minorHAnsi" w:hAnsi="ITC Avant Garde" w:cs="Arial"/>
                <w:sz w:val="20"/>
                <w:szCs w:val="20"/>
              </w:rPr>
            </w:pPr>
            <w:r w:rsidRPr="00D936CA">
              <w:rPr>
                <w:rFonts w:ascii="ITC Avant Garde" w:hAnsi="ITC Avant Garde"/>
                <w:sz w:val="20"/>
                <w:szCs w:val="20"/>
              </w:rPr>
              <w:t>Banda Ancha Asimétrica</w:t>
            </w:r>
          </w:p>
          <w:p w14:paraId="33CFE6D8" w14:textId="77777777" w:rsidR="00530A32" w:rsidRPr="00D936CA" w:rsidRDefault="00011A1B" w:rsidP="00D936CA">
            <w:pPr>
              <w:spacing w:before="60" w:after="60" w:line="276" w:lineRule="auto"/>
              <w:rPr>
                <w:rFonts w:ascii="ITC Avant Garde" w:eastAsiaTheme="minorHAnsi" w:hAnsi="ITC Avant Garde" w:cs="Arial"/>
                <w:sz w:val="20"/>
                <w:szCs w:val="20"/>
              </w:rPr>
            </w:pPr>
            <w:r w:rsidRPr="00D936CA">
              <w:rPr>
                <w:rFonts w:ascii="ITC Avant Garde" w:hAnsi="ITC Avant Garde"/>
                <w:sz w:val="20"/>
                <w:szCs w:val="20"/>
              </w:rPr>
              <w:t>Hasta 30 MHz (VDSL2)</w:t>
            </w:r>
          </w:p>
        </w:tc>
        <w:tc>
          <w:tcPr>
            <w:tcW w:w="595" w:type="pct"/>
            <w:tcMar>
              <w:top w:w="0" w:type="dxa"/>
              <w:left w:w="108" w:type="dxa"/>
              <w:bottom w:w="0" w:type="dxa"/>
              <w:right w:w="108" w:type="dxa"/>
            </w:tcMar>
            <w:vAlign w:val="center"/>
            <w:hideMark/>
          </w:tcPr>
          <w:p w14:paraId="33CFE6D9"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100%</w:t>
            </w:r>
          </w:p>
        </w:tc>
        <w:tc>
          <w:tcPr>
            <w:tcW w:w="679" w:type="pct"/>
            <w:tcMar>
              <w:top w:w="0" w:type="dxa"/>
              <w:left w:w="108" w:type="dxa"/>
              <w:bottom w:w="0" w:type="dxa"/>
              <w:right w:w="108" w:type="dxa"/>
            </w:tcMar>
            <w:vAlign w:val="center"/>
            <w:hideMark/>
          </w:tcPr>
          <w:p w14:paraId="33CFE6DA"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50%</w:t>
            </w:r>
          </w:p>
        </w:tc>
        <w:tc>
          <w:tcPr>
            <w:tcW w:w="622" w:type="pct"/>
            <w:tcMar>
              <w:top w:w="0" w:type="dxa"/>
              <w:left w:w="108" w:type="dxa"/>
              <w:bottom w:w="0" w:type="dxa"/>
              <w:right w:w="108" w:type="dxa"/>
            </w:tcMar>
            <w:vAlign w:val="center"/>
            <w:hideMark/>
          </w:tcPr>
          <w:p w14:paraId="33CFE6DB"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25%</w:t>
            </w:r>
          </w:p>
        </w:tc>
        <w:tc>
          <w:tcPr>
            <w:tcW w:w="652" w:type="pct"/>
            <w:tcMar>
              <w:top w:w="0" w:type="dxa"/>
              <w:left w:w="108" w:type="dxa"/>
              <w:bottom w:w="0" w:type="dxa"/>
              <w:right w:w="108" w:type="dxa"/>
            </w:tcMar>
            <w:vAlign w:val="center"/>
            <w:hideMark/>
          </w:tcPr>
          <w:p w14:paraId="33CFE6DC" w14:textId="77777777" w:rsidR="00530A32" w:rsidRPr="00D936CA" w:rsidRDefault="00011A1B" w:rsidP="00D936CA">
            <w:pPr>
              <w:spacing w:before="60" w:after="60" w:line="276" w:lineRule="auto"/>
              <w:jc w:val="center"/>
              <w:rPr>
                <w:rFonts w:ascii="ITC Avant Garde" w:eastAsiaTheme="minorHAnsi" w:hAnsi="ITC Avant Garde" w:cs="Arial"/>
                <w:sz w:val="20"/>
                <w:szCs w:val="20"/>
              </w:rPr>
            </w:pPr>
            <w:r w:rsidRPr="00D936CA">
              <w:rPr>
                <w:rFonts w:ascii="ITC Avant Garde" w:hAnsi="ITC Avant Garde"/>
                <w:sz w:val="20"/>
                <w:szCs w:val="20"/>
              </w:rPr>
              <w:t>0%</w:t>
            </w:r>
          </w:p>
        </w:tc>
      </w:tr>
    </w:tbl>
    <w:p w14:paraId="33CFE6DE" w14:textId="77777777" w:rsidR="00530A32" w:rsidRPr="00D936CA" w:rsidRDefault="00424F8D" w:rsidP="00D936CA">
      <w:pPr>
        <w:spacing w:before="120" w:after="200" w:line="276" w:lineRule="auto"/>
        <w:ind w:left="284"/>
        <w:jc w:val="center"/>
        <w:rPr>
          <w:rFonts w:ascii="ITC Avant Garde" w:hAnsi="ITC Avant Garde"/>
          <w:sz w:val="16"/>
          <w:szCs w:val="16"/>
          <w:lang w:val="es-MX"/>
        </w:rPr>
      </w:pPr>
      <w:r w:rsidRPr="00D936CA">
        <w:rPr>
          <w:rFonts w:ascii="ITC Avant Garde" w:hAnsi="ITC Avant Garde"/>
          <w:sz w:val="16"/>
          <w:szCs w:val="16"/>
          <w:lang w:val="es-MX"/>
        </w:rPr>
        <w:t>Tabla 7</w:t>
      </w:r>
      <w:r w:rsidR="00594A0A" w:rsidRPr="00D936CA">
        <w:rPr>
          <w:rFonts w:ascii="ITC Avant Garde" w:hAnsi="ITC Avant Garde"/>
          <w:sz w:val="16"/>
          <w:szCs w:val="16"/>
          <w:lang w:val="es-MX"/>
        </w:rPr>
        <w:t xml:space="preserve"> </w:t>
      </w:r>
      <w:r w:rsidR="00011A1B" w:rsidRPr="00D936CA">
        <w:rPr>
          <w:rFonts w:ascii="ITC Avant Garde" w:hAnsi="ITC Avant Garde"/>
          <w:sz w:val="16"/>
          <w:szCs w:val="16"/>
          <w:lang w:val="es-MX"/>
        </w:rPr>
        <w:t>Proporción de Penetración de Tecnologías en una unidad básica de bucle, de acuerdo al PGE</w:t>
      </w:r>
    </w:p>
    <w:p w14:paraId="33CFE6DF" w14:textId="77777777" w:rsidR="00530A32" w:rsidRPr="00D936CA" w:rsidRDefault="00011A1B" w:rsidP="00D936CA">
      <w:pPr>
        <w:spacing w:after="200" w:line="276" w:lineRule="auto"/>
        <w:ind w:left="425"/>
        <w:jc w:val="both"/>
        <w:rPr>
          <w:rFonts w:ascii="ITC Avant Garde" w:hAnsi="ITC Avant Garde"/>
          <w:sz w:val="22"/>
          <w:szCs w:val="22"/>
          <w:lang w:val="es-MX"/>
        </w:rPr>
      </w:pPr>
      <w:r w:rsidRPr="00D936CA">
        <w:rPr>
          <w:rFonts w:ascii="ITC Avant Garde" w:hAnsi="ITC Avant Garde"/>
          <w:sz w:val="22"/>
          <w:szCs w:val="22"/>
          <w:lang w:val="es-MX"/>
        </w:rPr>
        <w:t>Para las tecnologías digitales (Grupos 2 al 5) la penetración máxima a ser aplicada en un mismo cable multipar, no podrá rebasar el 70% de ocupación en cualquier combinación de tecnologías de estos grupos.</w:t>
      </w:r>
    </w:p>
    <w:p w14:paraId="33CFE6E0" w14:textId="77777777" w:rsidR="00530A32" w:rsidRPr="00D936CA" w:rsidRDefault="00011A1B" w:rsidP="00D936CA">
      <w:pPr>
        <w:spacing w:after="200" w:line="276" w:lineRule="auto"/>
        <w:rPr>
          <w:rFonts w:ascii="ITC Avant Garde" w:hAnsi="ITC Avant Garde"/>
          <w:b/>
          <w:i/>
          <w:sz w:val="22"/>
          <w:szCs w:val="22"/>
          <w:lang w:val="es-MX"/>
        </w:rPr>
      </w:pPr>
      <w:r w:rsidRPr="00D936CA">
        <w:rPr>
          <w:rFonts w:ascii="ITC Avant Garde" w:hAnsi="ITC Avant Garde"/>
          <w:b/>
          <w:i/>
          <w:sz w:val="22"/>
          <w:szCs w:val="22"/>
          <w:lang w:val="es-MX"/>
        </w:rPr>
        <w:t>Bucle Nuevo.</w:t>
      </w:r>
    </w:p>
    <w:p w14:paraId="33CFE6E1" w14:textId="77777777" w:rsidR="00530A32" w:rsidRPr="00D936CA" w:rsidRDefault="00011A1B" w:rsidP="00D936CA">
      <w:pPr>
        <w:spacing w:after="200" w:line="276" w:lineRule="auto"/>
        <w:rPr>
          <w:rFonts w:ascii="ITC Avant Garde" w:hAnsi="ITC Avant Garde"/>
          <w:sz w:val="22"/>
          <w:szCs w:val="22"/>
          <w:lang w:val="es-MX"/>
        </w:rPr>
      </w:pPr>
      <w:r w:rsidRPr="00D936CA">
        <w:rPr>
          <w:rFonts w:ascii="ITC Avant Garde" w:hAnsi="ITC Avant Garde"/>
          <w:sz w:val="22"/>
          <w:szCs w:val="22"/>
          <w:lang w:val="es-MX"/>
        </w:rPr>
        <w:t>Premisas: Usuario sin servicio activo de datos y/o voz.</w:t>
      </w:r>
    </w:p>
    <w:p w14:paraId="33CFE6E2" w14:textId="77777777" w:rsidR="00530A32"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Mecánica para calificar el bucle y determinar el ancho de banda por distancia:</w:t>
      </w:r>
    </w:p>
    <w:p w14:paraId="33CFE6E3" w14:textId="77777777" w:rsidR="00530A32" w:rsidRPr="00D936CA" w:rsidRDefault="00011A1B" w:rsidP="00D936CA">
      <w:pPr>
        <w:pStyle w:val="Prrafodelista"/>
        <w:numPr>
          <w:ilvl w:val="0"/>
          <w:numId w:val="43"/>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Para obtener el dato de la distancia del bucle se toma como referencia </w:t>
      </w:r>
      <w:r w:rsidR="006A7037" w:rsidRPr="00D936CA">
        <w:rPr>
          <w:rFonts w:ascii="ITC Avant Garde" w:hAnsi="ITC Avant Garde"/>
          <w:sz w:val="22"/>
          <w:szCs w:val="22"/>
          <w:lang w:val="es-MX"/>
        </w:rPr>
        <w:t>la caja de distribución</w:t>
      </w:r>
      <w:r w:rsidRPr="00D936CA">
        <w:rPr>
          <w:rFonts w:ascii="ITC Avant Garde" w:hAnsi="ITC Avant Garde"/>
          <w:sz w:val="22"/>
          <w:szCs w:val="22"/>
          <w:lang w:val="es-MX"/>
        </w:rPr>
        <w:t xml:space="preserve"> asociad</w:t>
      </w:r>
      <w:r w:rsidR="006A7037" w:rsidRPr="00D936CA">
        <w:rPr>
          <w:rFonts w:ascii="ITC Avant Garde" w:hAnsi="ITC Avant Garde"/>
          <w:sz w:val="22"/>
          <w:szCs w:val="22"/>
          <w:lang w:val="es-MX"/>
        </w:rPr>
        <w:t>a</w:t>
      </w:r>
      <w:r w:rsidRPr="00D936CA">
        <w:rPr>
          <w:rFonts w:ascii="ITC Avant Garde" w:hAnsi="ITC Avant Garde"/>
          <w:sz w:val="22"/>
          <w:szCs w:val="22"/>
          <w:lang w:val="es-MX"/>
        </w:rPr>
        <w:t xml:space="preserve"> al domicilio del cliente. De esta forma la distancia se calcula considerando la distancia de la central a</w:t>
      </w:r>
      <w:r w:rsidR="006A7037" w:rsidRPr="00D936CA">
        <w:rPr>
          <w:rFonts w:ascii="ITC Avant Garde" w:hAnsi="ITC Avant Garde"/>
          <w:sz w:val="22"/>
          <w:szCs w:val="22"/>
          <w:lang w:val="es-MX"/>
        </w:rPr>
        <w:t xml:space="preserve"> </w:t>
      </w:r>
      <w:r w:rsidRPr="00D936CA">
        <w:rPr>
          <w:rFonts w:ascii="ITC Avant Garde" w:hAnsi="ITC Avant Garde"/>
          <w:sz w:val="22"/>
          <w:szCs w:val="22"/>
          <w:lang w:val="es-MX"/>
        </w:rPr>
        <w:t>l</w:t>
      </w:r>
      <w:r w:rsidR="006A7037" w:rsidRPr="00D936CA">
        <w:rPr>
          <w:rFonts w:ascii="ITC Avant Garde" w:hAnsi="ITC Avant Garde"/>
          <w:sz w:val="22"/>
          <w:szCs w:val="22"/>
          <w:lang w:val="es-MX"/>
        </w:rPr>
        <w:t>a</w:t>
      </w:r>
      <w:r w:rsidRPr="00D936CA">
        <w:rPr>
          <w:rFonts w:ascii="ITC Avant Garde" w:hAnsi="ITC Avant Garde"/>
          <w:sz w:val="22"/>
          <w:szCs w:val="22"/>
          <w:lang w:val="es-MX"/>
        </w:rPr>
        <w:t xml:space="preserve"> </w:t>
      </w:r>
      <w:r w:rsidR="006A7037" w:rsidRPr="00D936CA">
        <w:rPr>
          <w:rFonts w:ascii="ITC Avant Garde" w:hAnsi="ITC Avant Garde"/>
          <w:sz w:val="22"/>
          <w:szCs w:val="22"/>
          <w:lang w:val="es-MX"/>
        </w:rPr>
        <w:t>caja de distribución</w:t>
      </w:r>
      <w:r w:rsidR="00813353" w:rsidRPr="00D936CA">
        <w:rPr>
          <w:rFonts w:ascii="ITC Avant Garde" w:hAnsi="ITC Avant Garde"/>
          <w:sz w:val="22"/>
          <w:szCs w:val="22"/>
          <w:lang w:val="es-MX"/>
        </w:rPr>
        <w:t xml:space="preserve"> de la construcción de red</w:t>
      </w:r>
      <w:r w:rsidRPr="00D936CA">
        <w:rPr>
          <w:rFonts w:ascii="ITC Avant Garde" w:hAnsi="ITC Avant Garde"/>
          <w:sz w:val="22"/>
          <w:szCs w:val="22"/>
          <w:lang w:val="es-MX"/>
        </w:rPr>
        <w:t xml:space="preserve">, adicionando </w:t>
      </w:r>
      <w:smartTag w:uri="urn:schemas-microsoft-com:office:smarttags" w:element="metricconverter">
        <w:smartTagPr>
          <w:attr w:name="ProductID" w:val="500 m"/>
        </w:smartTagPr>
        <w:r w:rsidRPr="00D936CA">
          <w:rPr>
            <w:rFonts w:ascii="ITC Avant Garde" w:hAnsi="ITC Avant Garde"/>
            <w:sz w:val="22"/>
            <w:szCs w:val="22"/>
            <w:lang w:val="es-MX"/>
          </w:rPr>
          <w:t>500 m</w:t>
        </w:r>
      </w:smartTag>
      <w:r w:rsidRPr="00D936CA">
        <w:rPr>
          <w:rFonts w:ascii="ITC Avant Garde" w:hAnsi="ITC Avant Garde"/>
          <w:sz w:val="22"/>
          <w:szCs w:val="22"/>
          <w:lang w:val="es-MX"/>
        </w:rPr>
        <w:t>etros correspondientes a la distancia promedio al domicilio del cliente. Los valores del ancho de banda alcanzables serán los referidos en la Tabla de Relación entre distancia y velocidad máxima alcanzable por bucle.</w:t>
      </w:r>
    </w:p>
    <w:p w14:paraId="33CFE6E4" w14:textId="77777777" w:rsidR="009B2F7B" w:rsidRPr="00D936CA" w:rsidRDefault="009B2F7B" w:rsidP="00060B2E">
      <w:pPr>
        <w:pStyle w:val="CondicionesFinales"/>
        <w:numPr>
          <w:ilvl w:val="0"/>
          <w:numId w:val="43"/>
        </w:numPr>
        <w:ind w:right="0"/>
        <w:rPr>
          <w:color w:val="auto"/>
        </w:rPr>
      </w:pPr>
      <w:r w:rsidRPr="00D936CA">
        <w:rPr>
          <w:color w:val="auto"/>
        </w:rPr>
        <w:lastRenderedPageBreak/>
        <w:t>Adicional a esta información se indicará si existen pares vacantes para los servicios indicados en las reglas de penetración del PGE, conforme a la tabla de Proporción de Penetración de Tecnologías en una unidad básica de bucle, de acuerdo al PGE.</w:t>
      </w:r>
    </w:p>
    <w:p w14:paraId="33CFE6E5" w14:textId="1CFC5C57" w:rsidR="00C841E3" w:rsidRPr="00D936CA" w:rsidRDefault="001E05FB" w:rsidP="00D936CA">
      <w:pPr>
        <w:pStyle w:val="Ttulo2"/>
        <w:ind w:left="851" w:hanging="425"/>
      </w:pPr>
      <w:bookmarkStart w:id="118" w:name="_Toc467248684"/>
      <w:bookmarkStart w:id="119" w:name="_Toc518031955"/>
      <w:bookmarkStart w:id="120" w:name="_Toc436840870"/>
      <w:bookmarkStart w:id="121" w:name="_Toc436846307"/>
      <w:bookmarkStart w:id="122" w:name="_Toc436848257"/>
      <w:bookmarkStart w:id="123" w:name="_Toc436856505"/>
      <w:bookmarkStart w:id="124" w:name="_Toc436862651"/>
      <w:bookmarkStart w:id="125" w:name="_Toc436866301"/>
      <w:bookmarkStart w:id="126" w:name="_Toc436870880"/>
      <w:bookmarkStart w:id="127" w:name="_Toc436875872"/>
      <w:r w:rsidRPr="00A9691F">
        <w:t xml:space="preserve">1.8 </w:t>
      </w:r>
      <w:r w:rsidR="00C841E3" w:rsidRPr="00A9691F">
        <w:t>Solicitudes masivas</w:t>
      </w:r>
      <w:bookmarkEnd w:id="118"/>
      <w:bookmarkEnd w:id="119"/>
    </w:p>
    <w:p w14:paraId="33CFE6E6" w14:textId="2BBAE5F1" w:rsidR="009B2F7B" w:rsidRPr="00D936CA" w:rsidRDefault="0039264D" w:rsidP="00D936CA">
      <w:pPr>
        <w:pStyle w:val="IFTnormal"/>
      </w:pPr>
      <w:r>
        <w:rPr>
          <w:lang w:val="es-ES"/>
        </w:rPr>
        <w:t>C</w:t>
      </w:r>
      <w:r w:rsidR="00BC0C20" w:rsidRPr="00D936CA">
        <w:rPr>
          <w:lang w:val="es-ES"/>
        </w:rPr>
        <w:t xml:space="preserve">on </w:t>
      </w:r>
      <w:r w:rsidR="00371341" w:rsidRPr="00D936CA">
        <w:rPr>
          <w:lang w:val="es-ES"/>
        </w:rPr>
        <w:t xml:space="preserve">la finalidad de hacer más eficiente el tratamiento administrativo </w:t>
      </w:r>
      <w:r w:rsidR="009B2F7B" w:rsidRPr="00D936CA">
        <w:t xml:space="preserve">y la prestación de los servicios de desagregación, se ofrece el uso de solicitudes </w:t>
      </w:r>
      <w:r w:rsidR="00E35FD7">
        <w:t xml:space="preserve">de alta </w:t>
      </w:r>
      <w:r w:rsidR="009B2F7B" w:rsidRPr="00D936CA">
        <w:t xml:space="preserve">masivas, en </w:t>
      </w:r>
      <w:r w:rsidR="00BC0C20">
        <w:t>un máximo de 50 servicios por archivo</w:t>
      </w:r>
      <w:r w:rsidR="009B2F7B" w:rsidRPr="00D936CA">
        <w:t>.</w:t>
      </w:r>
    </w:p>
    <w:p w14:paraId="33CFE6E7" w14:textId="5DAB9F3E" w:rsidR="009B2F7B" w:rsidRPr="00D936CA" w:rsidRDefault="009B2F7B" w:rsidP="00D936CA">
      <w:pPr>
        <w:pStyle w:val="IFTnormal"/>
      </w:pPr>
      <w:r w:rsidRPr="00D936CA">
        <w:t>Las solicitudes masivas se reflejará</w:t>
      </w:r>
      <w:r w:rsidR="00E248A6">
        <w:t>n</w:t>
      </w:r>
      <w:r w:rsidRPr="00D936CA">
        <w:t xml:space="preserve"> en el SEG permitiendo la carga de archivos Excel conteniendo diversas solicitudes con la información requerida en los formatos de alta, baja, cambio o cancelación, con el fin de procesar cada registro de forma particular, asignando un número de folio a cada uno de ellos como si se hubiesen capturado de manera individual.</w:t>
      </w:r>
    </w:p>
    <w:p w14:paraId="33CFE6E8" w14:textId="6816E020" w:rsidR="00D324A0" w:rsidRPr="00D936CA" w:rsidRDefault="009B2F7B" w:rsidP="00D936CA">
      <w:pPr>
        <w:pStyle w:val="IFTnormal"/>
      </w:pPr>
      <w:r w:rsidRPr="00D936CA">
        <w:t xml:space="preserve">Para lograr lo antes planteado, Telmex pondrá a disposición del CS de forma descargable en el SEG el formato base del archivo en Excel para que </w:t>
      </w:r>
      <w:r w:rsidR="00E248A6">
        <w:t>é</w:t>
      </w:r>
      <w:r w:rsidRPr="00D936CA">
        <w:t>ste sea llenado con la información requerida en los formatos de alta, baja, cambio o cancelación.</w:t>
      </w:r>
    </w:p>
    <w:p w14:paraId="1BC85EB1" w14:textId="1145572E" w:rsidR="009D00C2" w:rsidRPr="00D936CA" w:rsidRDefault="009D00C2" w:rsidP="00D936CA">
      <w:pPr>
        <w:pStyle w:val="IFTnormal"/>
      </w:pPr>
      <w:bookmarkStart w:id="128" w:name="_Toc467248685"/>
      <w:r w:rsidRPr="00D936CA">
        <w:t xml:space="preserve">En el proceso de validación de las solicitudes masivas se deben indicar para cada registro lo siguiente: </w:t>
      </w:r>
    </w:p>
    <w:p w14:paraId="70E56159" w14:textId="1F22E43D" w:rsidR="009D00C2" w:rsidRPr="00D936CA" w:rsidRDefault="009D00C2" w:rsidP="00D936CA">
      <w:pPr>
        <w:pStyle w:val="IFTnormal"/>
        <w:numPr>
          <w:ilvl w:val="0"/>
          <w:numId w:val="152"/>
        </w:numPr>
      </w:pPr>
      <w:r w:rsidRPr="00D936CA">
        <w:t>Si la solicitud es correcta, Telmex cambiará el folio previamente asignado por el Número de Identificación de Solicitud (NIS) el cual será por usuario en caso de solicitudes masivas y proporcionará la fecha de habilitación del servicio.</w:t>
      </w:r>
    </w:p>
    <w:p w14:paraId="3ED8B548" w14:textId="398E1CE5" w:rsidR="009D00C2" w:rsidRDefault="009D00C2" w:rsidP="00D936CA">
      <w:pPr>
        <w:pStyle w:val="IFTnormal"/>
        <w:numPr>
          <w:ilvl w:val="0"/>
          <w:numId w:val="152"/>
        </w:numPr>
      </w:pPr>
      <w:r w:rsidRPr="00D936CA">
        <w:t>Si es incorrecta, Telmex devolverá al CS el archivo de Excel indicando el motivo de rechazo para cada registro, para que sea corregida y reenviada nuevamente a validación.</w:t>
      </w:r>
    </w:p>
    <w:p w14:paraId="1BF752D6" w14:textId="77777777" w:rsidR="00C61196" w:rsidRPr="00D936CA" w:rsidRDefault="00C61196" w:rsidP="00C61196">
      <w:pPr>
        <w:pStyle w:val="IFTnormal"/>
      </w:pPr>
    </w:p>
    <w:p w14:paraId="33CFE6E9" w14:textId="65067B36" w:rsidR="00530A32" w:rsidRPr="00D936CA" w:rsidRDefault="001E05FB" w:rsidP="00D936CA">
      <w:pPr>
        <w:pStyle w:val="Ttulo2"/>
        <w:ind w:left="851" w:hanging="436"/>
      </w:pPr>
      <w:bookmarkStart w:id="129" w:name="_Toc518031956"/>
      <w:r w:rsidRPr="00D936CA">
        <w:t xml:space="preserve">1.9 </w:t>
      </w:r>
      <w:r w:rsidR="00011A1B" w:rsidRPr="00D936CA">
        <w:t>Condiciones generales para la prestación de los servicios.</w:t>
      </w:r>
      <w:bookmarkEnd w:id="120"/>
      <w:bookmarkEnd w:id="121"/>
      <w:bookmarkEnd w:id="122"/>
      <w:bookmarkEnd w:id="123"/>
      <w:bookmarkEnd w:id="124"/>
      <w:bookmarkEnd w:id="125"/>
      <w:bookmarkEnd w:id="126"/>
      <w:bookmarkEnd w:id="127"/>
      <w:bookmarkEnd w:id="128"/>
      <w:bookmarkEnd w:id="129"/>
      <w:r w:rsidR="00011A1B" w:rsidRPr="00D936CA">
        <w:t xml:space="preserve"> </w:t>
      </w:r>
    </w:p>
    <w:p w14:paraId="33CFE6EA" w14:textId="77777777" w:rsidR="007E0F7E" w:rsidRPr="00D936CA" w:rsidRDefault="00011A1B"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Generales:</w:t>
      </w:r>
    </w:p>
    <w:p w14:paraId="33CFE6EB" w14:textId="15099BE2" w:rsidR="007E0F7E"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Tanto Telmex como los CS no será</w:t>
      </w:r>
      <w:r w:rsidR="00CB2905" w:rsidRPr="00D936CA">
        <w:rPr>
          <w:rFonts w:ascii="ITC Avant Garde" w:hAnsi="ITC Avant Garde"/>
          <w:sz w:val="22"/>
          <w:szCs w:val="22"/>
        </w:rPr>
        <w:t>n</w:t>
      </w:r>
      <w:r w:rsidRPr="00D936CA">
        <w:rPr>
          <w:rFonts w:ascii="ITC Avant Garde" w:hAnsi="ITC Avant Garde"/>
          <w:sz w:val="22"/>
          <w:szCs w:val="22"/>
        </w:rPr>
        <w:t xml:space="preserve"> responsable</w:t>
      </w:r>
      <w:r w:rsidR="00AA10E9" w:rsidRPr="00D936CA">
        <w:rPr>
          <w:rFonts w:ascii="ITC Avant Garde" w:hAnsi="ITC Avant Garde"/>
          <w:sz w:val="22"/>
          <w:szCs w:val="22"/>
        </w:rPr>
        <w:t>s</w:t>
      </w:r>
      <w:r w:rsidRPr="00D936CA">
        <w:rPr>
          <w:rFonts w:ascii="ITC Avant Garde" w:hAnsi="ITC Avant Garde"/>
          <w:sz w:val="22"/>
          <w:szCs w:val="22"/>
        </w:rPr>
        <w:t xml:space="preserve"> por cualquier incidencia o daño que se presente en la red pública de telecomunicaciones por causas de fuerza mayor o caso fortuito, o por aquellas no imputables a Telmex</w:t>
      </w:r>
      <w:r w:rsidR="00566D37" w:rsidRPr="00D936CA">
        <w:rPr>
          <w:rFonts w:ascii="ITC Avant Garde" w:hAnsi="ITC Avant Garde"/>
          <w:sz w:val="22"/>
          <w:szCs w:val="22"/>
        </w:rPr>
        <w:t xml:space="preserve"> ni a los CS</w:t>
      </w:r>
      <w:r w:rsidRPr="00D936CA">
        <w:rPr>
          <w:rFonts w:ascii="ITC Avant Garde" w:hAnsi="ITC Avant Garde"/>
          <w:sz w:val="22"/>
          <w:szCs w:val="22"/>
        </w:rPr>
        <w:t xml:space="preserve">, las cuales de manera enunciativa más no limitativa pueden consistir en: vandalismo, manifestaciones, incendios, inundaciones, temblores, </w:t>
      </w:r>
      <w:r w:rsidR="00501BB0" w:rsidRPr="00D936CA">
        <w:rPr>
          <w:rFonts w:ascii="ITC Avant Garde" w:hAnsi="ITC Avant Garde"/>
          <w:sz w:val="22"/>
          <w:szCs w:val="22"/>
        </w:rPr>
        <w:t xml:space="preserve">obras públicas o daños provocados por terceros, </w:t>
      </w:r>
      <w:r w:rsidRPr="00D936CA">
        <w:rPr>
          <w:rFonts w:ascii="ITC Avant Garde" w:hAnsi="ITC Avant Garde"/>
          <w:sz w:val="22"/>
          <w:szCs w:val="22"/>
        </w:rPr>
        <w:lastRenderedPageBreak/>
        <w:t xml:space="preserve">etc., por ende cada </w:t>
      </w:r>
      <w:r w:rsidR="009E6685" w:rsidRPr="00D936CA">
        <w:rPr>
          <w:rFonts w:ascii="ITC Avant Garde" w:hAnsi="ITC Avant Garde"/>
          <w:sz w:val="22"/>
          <w:szCs w:val="22"/>
        </w:rPr>
        <w:t xml:space="preserve">CS </w:t>
      </w:r>
      <w:r w:rsidRPr="00D936CA">
        <w:rPr>
          <w:rFonts w:ascii="ITC Avant Garde" w:hAnsi="ITC Avant Garde"/>
          <w:sz w:val="22"/>
          <w:szCs w:val="22"/>
        </w:rPr>
        <w:t>será responsable del restablecimiento de sus servicios y de su red, por sus propios medios</w:t>
      </w:r>
      <w:r w:rsidR="00566D37" w:rsidRPr="00D936CA">
        <w:rPr>
          <w:rFonts w:ascii="ITC Avant Garde" w:hAnsi="ITC Avant Garde"/>
          <w:sz w:val="22"/>
          <w:szCs w:val="22"/>
        </w:rPr>
        <w:t>.</w:t>
      </w:r>
      <w:r w:rsidR="00464CEC" w:rsidRPr="00D936CA">
        <w:rPr>
          <w:rFonts w:ascii="ITC Avant Garde" w:hAnsi="ITC Avant Garde"/>
          <w:sz w:val="22"/>
          <w:szCs w:val="22"/>
        </w:rPr>
        <w:t xml:space="preserve"> </w:t>
      </w:r>
      <w:r w:rsidRPr="00D936CA">
        <w:rPr>
          <w:rFonts w:ascii="ITC Avant Garde" w:hAnsi="ITC Avant Garde"/>
          <w:sz w:val="22"/>
          <w:szCs w:val="22"/>
        </w:rPr>
        <w:t>En caso de que se presente alguno de los eventos anteriores, el periodo de afectación no será considerado dentro de los parámetros de calidad del servicio ni en la medición de tiempos de entrega.</w:t>
      </w:r>
      <w:r w:rsidR="008369C1" w:rsidRPr="00D936CA">
        <w:rPr>
          <w:rFonts w:ascii="ITC Avant Garde" w:hAnsi="ITC Avant Garde"/>
          <w:sz w:val="22"/>
          <w:szCs w:val="22"/>
        </w:rPr>
        <w:t xml:space="preserve"> </w:t>
      </w:r>
    </w:p>
    <w:p w14:paraId="33CFE6EC" w14:textId="77777777" w:rsidR="004A73B5"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Los tiempos de autorización de permisos por parte de la autoridad para la construcción de una obra civil, no serán considerados dentro de los tiempos de entrega de Telmex, siempre y cuando haya actuado con diligencia en la realización del trámite correspondiente.</w:t>
      </w:r>
    </w:p>
    <w:p w14:paraId="33CFE6ED" w14:textId="77777777" w:rsidR="004A73B5"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cs="Arial"/>
          <w:sz w:val="22"/>
          <w:szCs w:val="22"/>
          <w:lang w:val="es-MX" w:eastAsia="es-MX"/>
        </w:rPr>
        <w:t xml:space="preserve">El encargado de realizar una obra civil, ya sea Telmex o el </w:t>
      </w:r>
      <w:r w:rsidR="009E6685" w:rsidRPr="00D936CA">
        <w:rPr>
          <w:rFonts w:ascii="ITC Avant Garde" w:hAnsi="ITC Avant Garde" w:cs="Arial"/>
          <w:sz w:val="22"/>
          <w:szCs w:val="22"/>
          <w:lang w:val="es-MX" w:eastAsia="es-MX"/>
        </w:rPr>
        <w:t>CS</w:t>
      </w:r>
      <w:r w:rsidRPr="00D936CA">
        <w:rPr>
          <w:rFonts w:ascii="ITC Avant Garde" w:hAnsi="ITC Avant Garde" w:cs="Arial"/>
          <w:sz w:val="22"/>
          <w:szCs w:val="22"/>
          <w:lang w:val="es-MX" w:eastAsia="es-MX"/>
        </w:rPr>
        <w:t xml:space="preserve">, será responsable de la tramitación de los permisos de dicha obra civil ante la autoridad competente. Para la medición del cumplimiento de los plazos de entrega no se considerarán los días de retraso atribuibles a los </w:t>
      </w:r>
      <w:r w:rsidR="009E6685" w:rsidRPr="00D936CA">
        <w:rPr>
          <w:rFonts w:ascii="ITC Avant Garde" w:hAnsi="ITC Avant Garde" w:cs="Arial"/>
          <w:sz w:val="22"/>
          <w:szCs w:val="22"/>
          <w:lang w:val="es-MX" w:eastAsia="es-MX"/>
        </w:rPr>
        <w:t>CS</w:t>
      </w:r>
      <w:r w:rsidRPr="00D936CA">
        <w:rPr>
          <w:rFonts w:ascii="ITC Avant Garde" w:hAnsi="ITC Avant Garde" w:cs="Arial"/>
          <w:sz w:val="22"/>
          <w:szCs w:val="22"/>
          <w:lang w:val="es-MX" w:eastAsia="es-MX"/>
        </w:rPr>
        <w:t xml:space="preserve"> del servicio, ni los que deriven de una causa de fuerza mayor o caso fortuito, ni aquellos no imputables a Te</w:t>
      </w:r>
      <w:r w:rsidR="00C513BB" w:rsidRPr="00D936CA">
        <w:rPr>
          <w:rFonts w:ascii="ITC Avant Garde" w:hAnsi="ITC Avant Garde" w:cs="Arial"/>
          <w:sz w:val="22"/>
          <w:szCs w:val="22"/>
          <w:lang w:val="es-MX" w:eastAsia="es-MX"/>
        </w:rPr>
        <w:t>lmex</w:t>
      </w:r>
      <w:r w:rsidRPr="00D936CA">
        <w:rPr>
          <w:rFonts w:ascii="ITC Avant Garde" w:hAnsi="ITC Avant Garde" w:cs="Arial"/>
          <w:sz w:val="22"/>
          <w:szCs w:val="22"/>
          <w:lang w:val="es-MX" w:eastAsia="es-MX"/>
        </w:rPr>
        <w:t xml:space="preserve"> o a los </w:t>
      </w:r>
      <w:r w:rsidR="009E6685" w:rsidRPr="00D936CA">
        <w:rPr>
          <w:rFonts w:ascii="ITC Avant Garde" w:hAnsi="ITC Avant Garde" w:cs="Arial"/>
          <w:sz w:val="22"/>
          <w:szCs w:val="22"/>
          <w:lang w:val="es-MX" w:eastAsia="es-MX"/>
        </w:rPr>
        <w:t>CS</w:t>
      </w:r>
      <w:r w:rsidRPr="00D936CA">
        <w:rPr>
          <w:rFonts w:ascii="ITC Avant Garde" w:hAnsi="ITC Avant Garde" w:cs="Arial"/>
          <w:sz w:val="22"/>
          <w:szCs w:val="22"/>
          <w:lang w:val="es-MX" w:eastAsia="es-MX"/>
        </w:rPr>
        <w:t>.</w:t>
      </w:r>
    </w:p>
    <w:p w14:paraId="33CFE6EE" w14:textId="77777777" w:rsidR="007E0F7E"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 xml:space="preserve">Es responsabilidad tanto de Telmex como del </w:t>
      </w:r>
      <w:r w:rsidR="009E6685" w:rsidRPr="00D936CA">
        <w:rPr>
          <w:rFonts w:ascii="ITC Avant Garde" w:hAnsi="ITC Avant Garde"/>
          <w:sz w:val="22"/>
          <w:szCs w:val="22"/>
        </w:rPr>
        <w:t>CS</w:t>
      </w:r>
      <w:r w:rsidRPr="00D936CA">
        <w:rPr>
          <w:rFonts w:ascii="ITC Avant Garde" w:hAnsi="ITC Avant Garde"/>
          <w:sz w:val="22"/>
          <w:szCs w:val="22"/>
        </w:rPr>
        <w:t xml:space="preserve"> tomar las medidas precautorias necesarias en caso de fenómenos climatológicos, que pudieran afectar la prestación de los </w:t>
      </w:r>
      <w:r w:rsidR="00CA2349" w:rsidRPr="00D936CA">
        <w:rPr>
          <w:rFonts w:ascii="ITC Avant Garde" w:hAnsi="ITC Avant Garde"/>
          <w:sz w:val="22"/>
          <w:szCs w:val="22"/>
        </w:rPr>
        <w:t>servicios</w:t>
      </w:r>
      <w:r w:rsidRPr="00D936CA">
        <w:rPr>
          <w:rFonts w:ascii="ITC Avant Garde" w:hAnsi="ITC Avant Garde"/>
          <w:sz w:val="22"/>
          <w:szCs w:val="22"/>
        </w:rPr>
        <w:t xml:space="preserve"> de </w:t>
      </w:r>
      <w:r w:rsidR="00CA2349" w:rsidRPr="00D936CA">
        <w:rPr>
          <w:rFonts w:ascii="ITC Avant Garde" w:hAnsi="ITC Avant Garde"/>
          <w:sz w:val="22"/>
          <w:szCs w:val="22"/>
        </w:rPr>
        <w:t>d</w:t>
      </w:r>
      <w:r w:rsidRPr="00D936CA">
        <w:rPr>
          <w:rFonts w:ascii="ITC Avant Garde" w:hAnsi="ITC Avant Garde"/>
          <w:sz w:val="22"/>
          <w:szCs w:val="22"/>
        </w:rPr>
        <w:t>esagregación.</w:t>
      </w:r>
    </w:p>
    <w:p w14:paraId="33CFE6EF" w14:textId="77777777" w:rsidR="007E0F7E"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 xml:space="preserve">Telmex no será responsable de la provisión de servicios finales que el </w:t>
      </w:r>
      <w:r w:rsidR="009E6685" w:rsidRPr="00D936CA">
        <w:rPr>
          <w:rFonts w:ascii="ITC Avant Garde" w:hAnsi="ITC Avant Garde"/>
          <w:sz w:val="22"/>
          <w:szCs w:val="22"/>
        </w:rPr>
        <w:t>CS</w:t>
      </w:r>
      <w:r w:rsidRPr="00D936CA">
        <w:rPr>
          <w:rFonts w:ascii="ITC Avant Garde" w:hAnsi="ITC Avant Garde"/>
          <w:sz w:val="22"/>
          <w:szCs w:val="22"/>
        </w:rPr>
        <w:t xml:space="preserve"> proporcione a sus usuarios a través de la red de acceso desplegada mediante los servicios objeto del presente documento, con excepción de</w:t>
      </w:r>
      <w:r w:rsidR="007A78EB" w:rsidRPr="00D936CA">
        <w:rPr>
          <w:rFonts w:ascii="ITC Avant Garde" w:hAnsi="ITC Avant Garde"/>
          <w:sz w:val="22"/>
          <w:szCs w:val="22"/>
        </w:rPr>
        <w:t xml:space="preserve">l Servicio de Reventa de Línea que los </w:t>
      </w:r>
      <w:r w:rsidR="004E5E96" w:rsidRPr="00D936CA">
        <w:rPr>
          <w:rFonts w:ascii="ITC Avant Garde" w:hAnsi="ITC Avant Garde"/>
          <w:sz w:val="22"/>
          <w:szCs w:val="22"/>
        </w:rPr>
        <w:t>CS</w:t>
      </w:r>
      <w:r w:rsidR="007A78EB" w:rsidRPr="00D936CA">
        <w:rPr>
          <w:rFonts w:ascii="ITC Avant Garde" w:hAnsi="ITC Avant Garde"/>
          <w:sz w:val="22"/>
          <w:szCs w:val="22"/>
        </w:rPr>
        <w:t xml:space="preserve"> proporcionen a </w:t>
      </w:r>
      <w:r w:rsidR="001457DE" w:rsidRPr="00D936CA">
        <w:rPr>
          <w:rFonts w:ascii="ITC Avant Garde" w:hAnsi="ITC Avant Garde"/>
          <w:sz w:val="22"/>
          <w:szCs w:val="22"/>
        </w:rPr>
        <w:t>U</w:t>
      </w:r>
      <w:r w:rsidR="007A78EB" w:rsidRPr="00D936CA">
        <w:rPr>
          <w:rFonts w:ascii="ITC Avant Garde" w:hAnsi="ITC Avant Garde"/>
          <w:sz w:val="22"/>
          <w:szCs w:val="22"/>
        </w:rPr>
        <w:t xml:space="preserve">suarios </w:t>
      </w:r>
      <w:r w:rsidR="001457DE" w:rsidRPr="00D936CA">
        <w:rPr>
          <w:rFonts w:ascii="ITC Avant Garde" w:hAnsi="ITC Avant Garde"/>
          <w:sz w:val="22"/>
          <w:szCs w:val="22"/>
        </w:rPr>
        <w:t>F</w:t>
      </w:r>
      <w:r w:rsidR="007A78EB" w:rsidRPr="00D936CA">
        <w:rPr>
          <w:rFonts w:ascii="ITC Avant Garde" w:hAnsi="ITC Avant Garde"/>
          <w:sz w:val="22"/>
          <w:szCs w:val="22"/>
        </w:rPr>
        <w:t xml:space="preserve">inales hasta el Punto de Conexión Terminal, además del mantenimiento del Bucle y Sub-bucle Local, así como de la calidad del servicio y seguridad del Tráfico hasta el punto de entrega al </w:t>
      </w:r>
      <w:r w:rsidR="00340AE1" w:rsidRPr="00D936CA">
        <w:rPr>
          <w:rFonts w:ascii="ITC Avant Garde" w:hAnsi="ITC Avant Garde"/>
          <w:sz w:val="22"/>
          <w:szCs w:val="22"/>
        </w:rPr>
        <w:t>CS</w:t>
      </w:r>
      <w:r w:rsidR="007A78EB" w:rsidRPr="00D936CA">
        <w:rPr>
          <w:rFonts w:ascii="ITC Avant Garde" w:hAnsi="ITC Avant Garde"/>
          <w:sz w:val="22"/>
          <w:szCs w:val="22"/>
        </w:rPr>
        <w:t>.</w:t>
      </w:r>
    </w:p>
    <w:p w14:paraId="33CFE6F0" w14:textId="77777777" w:rsidR="00C513BB" w:rsidRPr="00D936CA" w:rsidRDefault="00C513B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 xml:space="preserve">Telmex y los CS, según sea el caso, serán responsables de aquellas fallas que llegaran a ocasionar a </w:t>
      </w:r>
      <w:r w:rsidR="00E2414C" w:rsidRPr="00D936CA">
        <w:rPr>
          <w:rFonts w:ascii="ITC Avant Garde" w:hAnsi="ITC Avant Garde"/>
          <w:sz w:val="22"/>
          <w:szCs w:val="22"/>
        </w:rPr>
        <w:t xml:space="preserve">los </w:t>
      </w:r>
      <w:r w:rsidRPr="00D936CA">
        <w:rPr>
          <w:rFonts w:ascii="ITC Avant Garde" w:hAnsi="ITC Avant Garde"/>
          <w:sz w:val="22"/>
          <w:szCs w:val="22"/>
        </w:rPr>
        <w:t xml:space="preserve">Usuarios </w:t>
      </w:r>
      <w:r w:rsidR="001457DE" w:rsidRPr="00D936CA">
        <w:rPr>
          <w:rFonts w:ascii="ITC Avant Garde" w:hAnsi="ITC Avant Garde"/>
          <w:sz w:val="22"/>
          <w:szCs w:val="22"/>
        </w:rPr>
        <w:t>F</w:t>
      </w:r>
      <w:r w:rsidRPr="00D936CA">
        <w:rPr>
          <w:rFonts w:ascii="ITC Avant Garde" w:hAnsi="ITC Avant Garde"/>
          <w:sz w:val="22"/>
          <w:szCs w:val="22"/>
        </w:rPr>
        <w:t>inales</w:t>
      </w:r>
      <w:r w:rsidR="00E2414C" w:rsidRPr="00D936CA">
        <w:rPr>
          <w:rFonts w:ascii="ITC Avant Garde" w:hAnsi="ITC Avant Garde"/>
          <w:sz w:val="22"/>
          <w:szCs w:val="22"/>
        </w:rPr>
        <w:t xml:space="preserve"> de cualquiera de las partes</w:t>
      </w:r>
      <w:r w:rsidRPr="00D936CA">
        <w:rPr>
          <w:rFonts w:ascii="ITC Avant Garde" w:hAnsi="ITC Avant Garde"/>
          <w:sz w:val="22"/>
          <w:szCs w:val="22"/>
        </w:rPr>
        <w:t xml:space="preserve">, con motivo de la incorrecta instalación del equipo sobre la red pública de telecomunicaciones y </w:t>
      </w:r>
      <w:r w:rsidR="00BF0992" w:rsidRPr="00D936CA">
        <w:rPr>
          <w:rFonts w:ascii="ITC Avant Garde" w:hAnsi="ITC Avant Garde"/>
          <w:sz w:val="22"/>
          <w:szCs w:val="22"/>
        </w:rPr>
        <w:t>deberán cubrir los daños y fallas a la parte afectada ocasionadas en la red pública de telecomunicaciones</w:t>
      </w:r>
      <w:r w:rsidRPr="00D936CA">
        <w:rPr>
          <w:rFonts w:ascii="ITC Avant Garde" w:hAnsi="ITC Avant Garde"/>
          <w:sz w:val="22"/>
          <w:szCs w:val="22"/>
        </w:rPr>
        <w:t xml:space="preserve"> y en los equipos a través de los cuales presten</w:t>
      </w:r>
      <w:r w:rsidRPr="00D936CA" w:rsidDel="00F13634">
        <w:rPr>
          <w:rFonts w:ascii="ITC Avant Garde" w:hAnsi="ITC Avant Garde"/>
          <w:sz w:val="22"/>
          <w:szCs w:val="22"/>
        </w:rPr>
        <w:t xml:space="preserve"> </w:t>
      </w:r>
      <w:r w:rsidRPr="00D936CA">
        <w:rPr>
          <w:rFonts w:ascii="ITC Avant Garde" w:hAnsi="ITC Avant Garde"/>
          <w:sz w:val="22"/>
          <w:szCs w:val="22"/>
        </w:rPr>
        <w:t>servicios a los Usuarios Finales, asociados exclusivamente a la instalación del equipo.</w:t>
      </w:r>
    </w:p>
    <w:p w14:paraId="33CFE6F1" w14:textId="77777777" w:rsidR="007E0F7E"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 xml:space="preserve">Telmex no será responsable cuando un CS solicite la baja de un servicio, y </w:t>
      </w:r>
      <w:r w:rsidR="00594A0A" w:rsidRPr="00D936CA">
        <w:rPr>
          <w:rFonts w:ascii="ITC Avant Garde" w:hAnsi="ITC Avant Garde"/>
          <w:sz w:val="22"/>
          <w:szCs w:val="22"/>
        </w:rPr>
        <w:t>tal CS</w:t>
      </w:r>
      <w:r w:rsidRPr="00D936CA">
        <w:rPr>
          <w:rFonts w:ascii="ITC Avant Garde" w:hAnsi="ITC Avant Garde"/>
          <w:sz w:val="22"/>
          <w:szCs w:val="22"/>
        </w:rPr>
        <w:t xml:space="preserve"> esté cursando tráfico en el momento de la baja, con excepción de los</w:t>
      </w:r>
      <w:r w:rsidR="00922271" w:rsidRPr="00D936CA">
        <w:rPr>
          <w:rFonts w:ascii="ITC Avant Garde" w:hAnsi="ITC Avant Garde"/>
          <w:sz w:val="22"/>
          <w:szCs w:val="22"/>
        </w:rPr>
        <w:t xml:space="preserve"> SRL</w:t>
      </w:r>
      <w:r w:rsidRPr="00D936CA">
        <w:rPr>
          <w:rFonts w:ascii="ITC Avant Garde" w:hAnsi="ITC Avant Garde"/>
          <w:sz w:val="22"/>
          <w:szCs w:val="22"/>
        </w:rPr>
        <w:t>.</w:t>
      </w:r>
    </w:p>
    <w:p w14:paraId="33CFE6F2" w14:textId="77777777" w:rsidR="007E0F7E"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sz w:val="22"/>
          <w:szCs w:val="22"/>
        </w:rPr>
        <w:t xml:space="preserve">Telmex no será responsable de proveer los servicios de desagregación cuando no existan recursos de red </w:t>
      </w:r>
      <w:r w:rsidR="00881023" w:rsidRPr="00D936CA">
        <w:rPr>
          <w:rFonts w:ascii="ITC Avant Garde" w:hAnsi="ITC Avant Garde"/>
          <w:sz w:val="22"/>
          <w:szCs w:val="22"/>
        </w:rPr>
        <w:t>(</w:t>
      </w:r>
      <w:r w:rsidR="00555323" w:rsidRPr="00D936CA">
        <w:rPr>
          <w:rFonts w:ascii="ITC Avant Garde" w:hAnsi="ITC Avant Garde"/>
          <w:sz w:val="22"/>
          <w:szCs w:val="22"/>
        </w:rPr>
        <w:t>en los términos a que se refiere el apartado 1.4 de la OREDA</w:t>
      </w:r>
      <w:r w:rsidR="00881023" w:rsidRPr="00D936CA">
        <w:rPr>
          <w:rFonts w:ascii="ITC Avant Garde" w:hAnsi="ITC Avant Garde"/>
          <w:sz w:val="22"/>
          <w:szCs w:val="22"/>
        </w:rPr>
        <w:t xml:space="preserve">) </w:t>
      </w:r>
      <w:r w:rsidRPr="00D936CA">
        <w:rPr>
          <w:rFonts w:ascii="ITC Avant Garde" w:hAnsi="ITC Avant Garde"/>
          <w:sz w:val="22"/>
          <w:szCs w:val="22"/>
        </w:rPr>
        <w:t>o facilidades asociadas al domicilio que el CS está solicitando</w:t>
      </w:r>
      <w:r w:rsidR="003B68B9" w:rsidRPr="00D936CA">
        <w:rPr>
          <w:rFonts w:ascii="ITC Avant Garde" w:hAnsi="ITC Avant Garde"/>
          <w:sz w:val="22"/>
          <w:szCs w:val="22"/>
        </w:rPr>
        <w:t>, con excepción de que el CS solicite un trabajo especial, el cual procederá conforme se detalla en la sección 1</w:t>
      </w:r>
      <w:r w:rsidR="004835A0" w:rsidRPr="00D936CA">
        <w:rPr>
          <w:rFonts w:ascii="ITC Avant Garde" w:hAnsi="ITC Avant Garde"/>
          <w:sz w:val="22"/>
          <w:szCs w:val="22"/>
        </w:rPr>
        <w:t>2</w:t>
      </w:r>
      <w:r w:rsidR="00B05A89" w:rsidRPr="00D936CA">
        <w:rPr>
          <w:rFonts w:ascii="ITC Avant Garde" w:hAnsi="ITC Avant Garde"/>
          <w:sz w:val="22"/>
          <w:szCs w:val="22"/>
        </w:rPr>
        <w:t xml:space="preserve">. </w:t>
      </w:r>
    </w:p>
    <w:p w14:paraId="33CFE6F3" w14:textId="77777777" w:rsidR="007E0F7E" w:rsidRPr="00D936CA" w:rsidRDefault="00011A1B" w:rsidP="00D936CA">
      <w:pPr>
        <w:numPr>
          <w:ilvl w:val="0"/>
          <w:numId w:val="33"/>
        </w:numPr>
        <w:tabs>
          <w:tab w:val="clear" w:pos="720"/>
          <w:tab w:val="num" w:pos="567"/>
        </w:tabs>
        <w:spacing w:after="200" w:line="276" w:lineRule="auto"/>
        <w:ind w:left="426"/>
        <w:jc w:val="both"/>
        <w:rPr>
          <w:rFonts w:ascii="ITC Avant Garde" w:hAnsi="ITC Avant Garde"/>
          <w:sz w:val="22"/>
          <w:szCs w:val="22"/>
        </w:rPr>
      </w:pPr>
      <w:r w:rsidRPr="00D936CA">
        <w:rPr>
          <w:rFonts w:ascii="ITC Avant Garde" w:hAnsi="ITC Avant Garde" w:cs="Arial"/>
          <w:sz w:val="22"/>
          <w:szCs w:val="22"/>
        </w:rPr>
        <w:lastRenderedPageBreak/>
        <w:t>Si un usuario final tiene contratados servicios de terceros o de tienda Telmex aplicarán las condiciones vigentes de acuerdo a su contrato.</w:t>
      </w:r>
    </w:p>
    <w:p w14:paraId="33CFE6F4" w14:textId="707AA67A" w:rsidR="007E0F7E" w:rsidRPr="00D936CA" w:rsidRDefault="002C4C87" w:rsidP="00D936CA">
      <w:pPr>
        <w:pStyle w:val="Prrafodelista"/>
        <w:numPr>
          <w:ilvl w:val="0"/>
          <w:numId w:val="33"/>
        </w:numPr>
        <w:tabs>
          <w:tab w:val="clear" w:pos="720"/>
          <w:tab w:val="num" w:pos="567"/>
        </w:tabs>
        <w:spacing w:after="200" w:line="276" w:lineRule="auto"/>
        <w:ind w:left="426"/>
        <w:jc w:val="both"/>
        <w:rPr>
          <w:rFonts w:ascii="ITC Avant Garde" w:hAnsi="ITC Avant Garde" w:cs="Arial"/>
          <w:sz w:val="22"/>
          <w:szCs w:val="22"/>
        </w:rPr>
      </w:pPr>
      <w:r w:rsidRPr="00D936CA">
        <w:rPr>
          <w:rFonts w:ascii="ITC Avant Garde" w:hAnsi="ITC Avant Garde" w:cs="Arial"/>
          <w:sz w:val="22"/>
          <w:szCs w:val="22"/>
        </w:rPr>
        <w:t>L</w:t>
      </w:r>
      <w:r w:rsidR="00011A1B" w:rsidRPr="00D936CA">
        <w:rPr>
          <w:rFonts w:ascii="ITC Avant Garde" w:hAnsi="ITC Avant Garde" w:cs="Arial"/>
          <w:sz w:val="22"/>
          <w:szCs w:val="22"/>
        </w:rPr>
        <w:t>os retrasos generados por proveedores de equipo</w:t>
      </w:r>
      <w:r w:rsidR="005E067D">
        <w:rPr>
          <w:rFonts w:ascii="ITC Avant Garde" w:hAnsi="ITC Avant Garde" w:cs="Arial"/>
          <w:sz w:val="22"/>
          <w:szCs w:val="22"/>
        </w:rPr>
        <w:t xml:space="preserve"> no</w:t>
      </w:r>
      <w:r w:rsidRPr="00D936CA">
        <w:rPr>
          <w:rFonts w:ascii="ITC Avant Garde" w:hAnsi="ITC Avant Garde" w:cs="Arial"/>
          <w:sz w:val="22"/>
          <w:szCs w:val="22"/>
        </w:rPr>
        <w:t xml:space="preserve"> serán contabilizados en los tiempos de entrega.</w:t>
      </w:r>
    </w:p>
    <w:p w14:paraId="33CFE6F5" w14:textId="7A8095EF" w:rsidR="00530A32" w:rsidRPr="00D936CA" w:rsidRDefault="00011A1B" w:rsidP="00D936CA">
      <w:pPr>
        <w:pStyle w:val="Prrafodelista"/>
        <w:numPr>
          <w:ilvl w:val="0"/>
          <w:numId w:val="33"/>
        </w:numPr>
        <w:tabs>
          <w:tab w:val="clear" w:pos="720"/>
          <w:tab w:val="num" w:pos="567"/>
        </w:tabs>
        <w:spacing w:after="200" w:line="276" w:lineRule="auto"/>
        <w:ind w:left="426"/>
        <w:jc w:val="both"/>
        <w:rPr>
          <w:rFonts w:ascii="ITC Avant Garde" w:hAnsi="ITC Avant Garde"/>
          <w:sz w:val="22"/>
          <w:szCs w:val="22"/>
          <w:lang w:val="es-ES"/>
        </w:rPr>
      </w:pPr>
      <w:r w:rsidRPr="00D936CA">
        <w:rPr>
          <w:rFonts w:ascii="ITC Avant Garde" w:hAnsi="ITC Avant Garde"/>
          <w:sz w:val="22"/>
          <w:szCs w:val="22"/>
          <w:lang w:val="es-ES"/>
        </w:rPr>
        <w:t xml:space="preserve">En el momento que sea necesario actualizar o modernizar los elementos de red con que opera actualmente Telmex, éste se obliga a </w:t>
      </w:r>
      <w:r w:rsidR="00DA728A" w:rsidRPr="00D936CA">
        <w:rPr>
          <w:rFonts w:ascii="ITC Avant Garde" w:hAnsi="ITC Avant Garde"/>
          <w:sz w:val="22"/>
          <w:szCs w:val="22"/>
          <w:lang w:val="es-ES"/>
        </w:rPr>
        <w:t xml:space="preserve">avisar en el SEG </w:t>
      </w:r>
      <w:r w:rsidRPr="00D936CA">
        <w:rPr>
          <w:rFonts w:ascii="ITC Avant Garde" w:hAnsi="ITC Avant Garde"/>
          <w:sz w:val="22"/>
          <w:szCs w:val="22"/>
          <w:lang w:val="es-ES"/>
        </w:rPr>
        <w:t>a los CS con</w:t>
      </w:r>
      <w:r w:rsidR="00463D0D" w:rsidRPr="00D936CA">
        <w:rPr>
          <w:rFonts w:ascii="ITC Avant Garde" w:hAnsi="ITC Avant Garde"/>
          <w:sz w:val="22"/>
          <w:szCs w:val="22"/>
          <w:lang w:val="es-ES"/>
        </w:rPr>
        <w:t xml:space="preserve"> </w:t>
      </w:r>
      <w:r w:rsidRPr="00D936CA">
        <w:rPr>
          <w:rFonts w:ascii="ITC Avant Garde" w:hAnsi="ITC Avant Garde"/>
          <w:sz w:val="22"/>
          <w:szCs w:val="22"/>
          <w:lang w:val="es-ES"/>
        </w:rPr>
        <w:t xml:space="preserve">6 meses de antelación en el caso de nueva tecnología o funcionalidades. </w:t>
      </w:r>
      <w:r w:rsidR="00371341" w:rsidRPr="00D936CA">
        <w:rPr>
          <w:rFonts w:ascii="ITC Avant Garde" w:hAnsi="ITC Avant Garde"/>
          <w:sz w:val="22"/>
          <w:szCs w:val="22"/>
          <w:lang w:val="es-ES"/>
        </w:rPr>
        <w:t>Para el caso de actualizaciones de software se avisará al CS vía el SEG</w:t>
      </w:r>
      <w:r w:rsidR="003B68B9" w:rsidRPr="00D936CA">
        <w:rPr>
          <w:rFonts w:ascii="ITC Avant Garde" w:hAnsi="ITC Avant Garde"/>
          <w:sz w:val="22"/>
          <w:szCs w:val="22"/>
          <w:lang w:val="es-ES"/>
        </w:rPr>
        <w:t xml:space="preserve"> con </w:t>
      </w:r>
      <w:r w:rsidR="001C40D2" w:rsidRPr="00D936CA">
        <w:rPr>
          <w:rFonts w:ascii="ITC Avant Garde" w:hAnsi="ITC Avant Garde"/>
          <w:sz w:val="22"/>
          <w:szCs w:val="22"/>
          <w:lang w:val="es-ES"/>
        </w:rPr>
        <w:t xml:space="preserve">al menos </w:t>
      </w:r>
      <w:r w:rsidR="0007342A" w:rsidRPr="00D936CA">
        <w:rPr>
          <w:rFonts w:ascii="ITC Avant Garde" w:hAnsi="ITC Avant Garde"/>
          <w:sz w:val="22"/>
          <w:szCs w:val="22"/>
          <w:lang w:val="es-ES"/>
        </w:rPr>
        <w:t>30 días de</w:t>
      </w:r>
      <w:r w:rsidR="003B68B9" w:rsidRPr="00D936CA">
        <w:rPr>
          <w:rFonts w:ascii="ITC Avant Garde" w:hAnsi="ITC Avant Garde"/>
          <w:sz w:val="22"/>
          <w:szCs w:val="22"/>
          <w:lang w:val="es-ES"/>
        </w:rPr>
        <w:t xml:space="preserve"> antelación.</w:t>
      </w:r>
    </w:p>
    <w:p w14:paraId="33CFE6F6" w14:textId="77777777" w:rsidR="001928DB" w:rsidRPr="00D936CA" w:rsidRDefault="001928DB" w:rsidP="00D936CA">
      <w:pPr>
        <w:pStyle w:val="Prrafodelista"/>
        <w:numPr>
          <w:ilvl w:val="0"/>
          <w:numId w:val="33"/>
        </w:numPr>
        <w:tabs>
          <w:tab w:val="clear" w:pos="720"/>
          <w:tab w:val="num" w:pos="567"/>
        </w:tabs>
        <w:spacing w:after="200" w:line="276" w:lineRule="auto"/>
        <w:ind w:left="426"/>
        <w:jc w:val="both"/>
        <w:rPr>
          <w:rFonts w:ascii="ITC Avant Garde" w:hAnsi="ITC Avant Garde"/>
          <w:sz w:val="22"/>
          <w:szCs w:val="22"/>
          <w:lang w:val="es-ES"/>
        </w:rPr>
      </w:pPr>
      <w:r w:rsidRPr="00D936CA">
        <w:rPr>
          <w:rFonts w:ascii="ITC Avant Garde" w:hAnsi="ITC Avant Garde"/>
          <w:sz w:val="22"/>
          <w:szCs w:val="22"/>
          <w:lang w:val="es-ES"/>
        </w:rPr>
        <w:t>Telmex notificará a los CS con 12 meses de anticipación el cierre de una Central o Instalación Equivalente.</w:t>
      </w:r>
    </w:p>
    <w:p w14:paraId="33CFE6F7" w14:textId="77777777" w:rsidR="003B68B9" w:rsidRPr="00D936CA" w:rsidRDefault="0075785A" w:rsidP="00D936CA">
      <w:pPr>
        <w:pStyle w:val="Prrafodelista"/>
        <w:numPr>
          <w:ilvl w:val="0"/>
          <w:numId w:val="33"/>
        </w:numPr>
        <w:tabs>
          <w:tab w:val="clear" w:pos="720"/>
          <w:tab w:val="num" w:pos="567"/>
        </w:tabs>
        <w:spacing w:after="200" w:line="276" w:lineRule="auto"/>
        <w:ind w:left="426"/>
        <w:jc w:val="both"/>
        <w:rPr>
          <w:rFonts w:ascii="ITC Avant Garde" w:hAnsi="ITC Avant Garde"/>
          <w:sz w:val="22"/>
          <w:szCs w:val="22"/>
          <w:lang w:val="es-ES"/>
        </w:rPr>
      </w:pPr>
      <w:r w:rsidRPr="00D936CA">
        <w:rPr>
          <w:rFonts w:ascii="ITC Avant Garde" w:hAnsi="ITC Avant Garde"/>
          <w:sz w:val="22"/>
          <w:szCs w:val="22"/>
          <w:lang w:val="es-ES"/>
        </w:rPr>
        <w:t>En el caso de que la línea cuente con serv</w:t>
      </w:r>
      <w:r w:rsidR="003B68B9" w:rsidRPr="00D936CA">
        <w:rPr>
          <w:rFonts w:ascii="ITC Avant Garde" w:hAnsi="ITC Avant Garde"/>
          <w:sz w:val="22"/>
          <w:szCs w:val="22"/>
          <w:lang w:val="es-ES"/>
        </w:rPr>
        <w:t>icio telefónico activo se</w:t>
      </w:r>
      <w:r w:rsidRPr="00D936CA">
        <w:rPr>
          <w:rFonts w:ascii="ITC Avant Garde" w:hAnsi="ITC Avant Garde"/>
          <w:sz w:val="22"/>
          <w:szCs w:val="22"/>
          <w:lang w:val="es-ES"/>
        </w:rPr>
        <w:t xml:space="preserve"> garantizar</w:t>
      </w:r>
      <w:r w:rsidR="003B68B9" w:rsidRPr="00D936CA">
        <w:rPr>
          <w:rFonts w:ascii="ITC Avant Garde" w:hAnsi="ITC Avant Garde"/>
          <w:sz w:val="22"/>
          <w:szCs w:val="22"/>
          <w:lang w:val="es-ES"/>
        </w:rPr>
        <w:t>á</w:t>
      </w:r>
      <w:r w:rsidRPr="00D936CA">
        <w:rPr>
          <w:rFonts w:ascii="ITC Avant Garde" w:hAnsi="ITC Avant Garde"/>
          <w:sz w:val="22"/>
          <w:szCs w:val="22"/>
          <w:lang w:val="es-ES"/>
        </w:rPr>
        <w:t xml:space="preserve"> que la continuidad del servicio no sufra interrupción como consecuencia de </w:t>
      </w:r>
      <w:r w:rsidR="003B68B9" w:rsidRPr="00D936CA">
        <w:rPr>
          <w:rFonts w:ascii="ITC Avant Garde" w:hAnsi="ITC Avant Garde"/>
          <w:sz w:val="22"/>
          <w:szCs w:val="22"/>
          <w:lang w:val="es-ES"/>
        </w:rPr>
        <w:t>los procesos que se lleva</w:t>
      </w:r>
      <w:r w:rsidRPr="00D936CA">
        <w:rPr>
          <w:rFonts w:ascii="ITC Avant Garde" w:hAnsi="ITC Avant Garde"/>
          <w:sz w:val="22"/>
          <w:szCs w:val="22"/>
          <w:lang w:val="es-ES"/>
        </w:rPr>
        <w:t>n a cabo para habilitar la prestación de los servicios de desagregación; para lo cual el periodo sin servicio no deberá exceder de treinta minutos en el noventa y cinco por ciento de los casos, y ninguno deberá ser mayor a ciento veinte minutos, por lo que respecta a hechos imputables a</w:t>
      </w:r>
      <w:r w:rsidR="003B68B9" w:rsidRPr="00D936CA">
        <w:rPr>
          <w:rFonts w:ascii="ITC Avant Garde" w:hAnsi="ITC Avant Garde"/>
          <w:sz w:val="22"/>
          <w:szCs w:val="22"/>
          <w:lang w:val="es-ES"/>
        </w:rPr>
        <w:t xml:space="preserve"> Telmex</w:t>
      </w:r>
      <w:r w:rsidRPr="00D936CA">
        <w:rPr>
          <w:rFonts w:ascii="ITC Avant Garde" w:hAnsi="ITC Avant Garde"/>
          <w:sz w:val="22"/>
          <w:szCs w:val="22"/>
          <w:lang w:val="es-ES"/>
        </w:rPr>
        <w:t xml:space="preserve">. </w:t>
      </w:r>
    </w:p>
    <w:p w14:paraId="33CFE6F8" w14:textId="77777777" w:rsidR="007E0F7E" w:rsidRPr="00D936CA" w:rsidRDefault="00011A1B" w:rsidP="00D936CA">
      <w:pPr>
        <w:pStyle w:val="Prrafodelista"/>
        <w:numPr>
          <w:ilvl w:val="0"/>
          <w:numId w:val="33"/>
        </w:numPr>
        <w:tabs>
          <w:tab w:val="clear" w:pos="720"/>
          <w:tab w:val="num" w:pos="567"/>
        </w:tabs>
        <w:spacing w:after="200" w:line="276" w:lineRule="auto"/>
        <w:ind w:left="426"/>
        <w:jc w:val="both"/>
        <w:rPr>
          <w:rFonts w:ascii="ITC Avant Garde" w:hAnsi="ITC Avant Garde" w:cs="Arial"/>
          <w:sz w:val="22"/>
          <w:szCs w:val="22"/>
        </w:rPr>
      </w:pPr>
      <w:r w:rsidRPr="00D936CA">
        <w:rPr>
          <w:rFonts w:ascii="ITC Avant Garde" w:hAnsi="ITC Avant Garde" w:cs="Arial"/>
          <w:sz w:val="22"/>
          <w:szCs w:val="22"/>
        </w:rPr>
        <w:t xml:space="preserve">En caso de que Telmex </w:t>
      </w:r>
      <w:r w:rsidR="00EF2F8A" w:rsidRPr="00D936CA">
        <w:rPr>
          <w:rFonts w:ascii="ITC Avant Garde" w:hAnsi="ITC Avant Garde" w:cs="Arial"/>
          <w:sz w:val="22"/>
          <w:szCs w:val="22"/>
        </w:rPr>
        <w:t>no</w:t>
      </w:r>
      <w:r w:rsidRPr="00D936CA">
        <w:rPr>
          <w:rFonts w:ascii="ITC Avant Garde" w:hAnsi="ITC Avant Garde" w:cs="Arial"/>
          <w:sz w:val="22"/>
          <w:szCs w:val="22"/>
        </w:rPr>
        <w:t xml:space="preserve"> realice la instalación </w:t>
      </w:r>
      <w:r w:rsidR="000C1A46" w:rsidRPr="00D936CA">
        <w:rPr>
          <w:rFonts w:ascii="ITC Avant Garde" w:hAnsi="ITC Avant Garde" w:cs="Arial"/>
          <w:sz w:val="22"/>
          <w:szCs w:val="22"/>
        </w:rPr>
        <w:t>o adecuación</w:t>
      </w:r>
      <w:r w:rsidRPr="00D936CA">
        <w:rPr>
          <w:rFonts w:ascii="ITC Avant Garde" w:hAnsi="ITC Avant Garde" w:cs="Arial"/>
          <w:sz w:val="22"/>
          <w:szCs w:val="22"/>
        </w:rPr>
        <w:t xml:space="preserve"> de la acometida derivado de razones asociadas al usuario</w:t>
      </w:r>
      <w:r w:rsidR="00EF2F8A" w:rsidRPr="00D936CA">
        <w:rPr>
          <w:rFonts w:ascii="ITC Avant Garde" w:hAnsi="ITC Avant Garde" w:cs="Arial"/>
          <w:sz w:val="22"/>
          <w:szCs w:val="22"/>
        </w:rPr>
        <w:t>,</w:t>
      </w:r>
      <w:r w:rsidRPr="00D936CA">
        <w:rPr>
          <w:rFonts w:ascii="ITC Avant Garde" w:hAnsi="ITC Avant Garde" w:cs="Arial"/>
          <w:sz w:val="22"/>
          <w:szCs w:val="22"/>
        </w:rPr>
        <w:t xml:space="preserve"> o al CS, dicha situación no se</w:t>
      </w:r>
      <w:r w:rsidR="00200C70" w:rsidRPr="00D936CA">
        <w:rPr>
          <w:rFonts w:ascii="ITC Avant Garde" w:hAnsi="ITC Avant Garde" w:cs="Arial"/>
          <w:sz w:val="22"/>
          <w:szCs w:val="22"/>
        </w:rPr>
        <w:t>rá</w:t>
      </w:r>
      <w:r w:rsidRPr="00D936CA">
        <w:rPr>
          <w:rFonts w:ascii="ITC Avant Garde" w:hAnsi="ITC Avant Garde" w:cs="Arial"/>
          <w:sz w:val="22"/>
          <w:szCs w:val="22"/>
        </w:rPr>
        <w:t xml:space="preserve"> considera</w:t>
      </w:r>
      <w:r w:rsidR="00200C70" w:rsidRPr="00D936CA">
        <w:rPr>
          <w:rFonts w:ascii="ITC Avant Garde" w:hAnsi="ITC Avant Garde" w:cs="Arial"/>
          <w:sz w:val="22"/>
          <w:szCs w:val="22"/>
        </w:rPr>
        <w:t>da</w:t>
      </w:r>
      <w:r w:rsidRPr="00D936CA">
        <w:rPr>
          <w:rFonts w:ascii="ITC Avant Garde" w:hAnsi="ITC Avant Garde" w:cs="Arial"/>
          <w:sz w:val="22"/>
          <w:szCs w:val="22"/>
        </w:rPr>
        <w:t xml:space="preserve"> dentro de los plazos. </w:t>
      </w:r>
      <w:r w:rsidR="00200C70" w:rsidRPr="00D936CA">
        <w:rPr>
          <w:rFonts w:ascii="ITC Avant Garde" w:hAnsi="ITC Avant Garde" w:cs="Arial"/>
          <w:sz w:val="22"/>
          <w:szCs w:val="22"/>
        </w:rPr>
        <w:t>Cuando sea atribuible a Telmex</w:t>
      </w:r>
      <w:r w:rsidR="00A61EB2" w:rsidRPr="00D936CA">
        <w:rPr>
          <w:rFonts w:ascii="ITC Avant Garde" w:hAnsi="ITC Avant Garde" w:cs="Arial"/>
          <w:sz w:val="22"/>
          <w:szCs w:val="22"/>
        </w:rPr>
        <w:t xml:space="preserve"> será su responsabilidad </w:t>
      </w:r>
      <w:r w:rsidR="002B09B2" w:rsidRPr="00D936CA">
        <w:rPr>
          <w:rFonts w:ascii="ITC Avant Garde" w:hAnsi="ITC Avant Garde" w:cs="Arial"/>
          <w:sz w:val="22"/>
          <w:szCs w:val="22"/>
        </w:rPr>
        <w:t>ofrecer</w:t>
      </w:r>
      <w:r w:rsidR="0062797A" w:rsidRPr="00D936CA">
        <w:rPr>
          <w:rFonts w:ascii="ITC Avant Garde" w:hAnsi="ITC Avant Garde" w:cs="Arial"/>
          <w:sz w:val="22"/>
          <w:szCs w:val="22"/>
        </w:rPr>
        <w:t xml:space="preserve"> </w:t>
      </w:r>
      <w:r w:rsidRPr="00D936CA">
        <w:rPr>
          <w:rFonts w:ascii="ITC Avant Garde" w:hAnsi="ITC Avant Garde" w:cs="Arial"/>
          <w:sz w:val="22"/>
          <w:szCs w:val="22"/>
        </w:rPr>
        <w:t xml:space="preserve">pruebas </w:t>
      </w:r>
      <w:r w:rsidR="00162DF5" w:rsidRPr="00D936CA">
        <w:rPr>
          <w:rFonts w:ascii="ITC Avant Garde" w:hAnsi="ITC Avant Garde" w:cs="Arial"/>
          <w:sz w:val="22"/>
          <w:szCs w:val="22"/>
        </w:rPr>
        <w:t>fehacientes</w:t>
      </w:r>
      <w:r w:rsidR="00E26F4F" w:rsidRPr="00D936CA">
        <w:rPr>
          <w:rFonts w:ascii="ITC Avant Garde" w:hAnsi="ITC Avant Garde" w:cs="Arial"/>
          <w:sz w:val="22"/>
          <w:szCs w:val="22"/>
        </w:rPr>
        <w:t xml:space="preserve"> que justifiquen las causas</w:t>
      </w:r>
      <w:r w:rsidR="00162DF5" w:rsidRPr="00D936CA">
        <w:rPr>
          <w:rFonts w:ascii="ITC Avant Garde" w:hAnsi="ITC Avant Garde" w:cs="Arial"/>
          <w:sz w:val="22"/>
          <w:szCs w:val="22"/>
        </w:rPr>
        <w:t xml:space="preserve"> de</w:t>
      </w:r>
      <w:r w:rsidRPr="00D936CA">
        <w:rPr>
          <w:rFonts w:ascii="ITC Avant Garde" w:hAnsi="ITC Avant Garde" w:cs="Arial"/>
          <w:sz w:val="22"/>
          <w:szCs w:val="22"/>
        </w:rPr>
        <w:t xml:space="preserve"> que la instalación de la acometida </w:t>
      </w:r>
      <w:r w:rsidR="001C6238" w:rsidRPr="00D936CA">
        <w:rPr>
          <w:rFonts w:ascii="ITC Avant Garde" w:hAnsi="ITC Avant Garde" w:cs="Arial"/>
          <w:sz w:val="22"/>
          <w:szCs w:val="22"/>
        </w:rPr>
        <w:t xml:space="preserve">o la adecuación de la misma </w:t>
      </w:r>
      <w:r w:rsidRPr="00D936CA">
        <w:rPr>
          <w:rFonts w:ascii="ITC Avant Garde" w:hAnsi="ITC Avant Garde" w:cs="Arial"/>
          <w:sz w:val="22"/>
          <w:szCs w:val="22"/>
        </w:rPr>
        <w:t>no fue</w:t>
      </w:r>
      <w:r w:rsidR="001C6238" w:rsidRPr="00D936CA">
        <w:rPr>
          <w:rFonts w:ascii="ITC Avant Garde" w:hAnsi="ITC Avant Garde" w:cs="Arial"/>
          <w:sz w:val="22"/>
          <w:szCs w:val="22"/>
        </w:rPr>
        <w:t>ra</w:t>
      </w:r>
      <w:r w:rsidRPr="00D936CA">
        <w:rPr>
          <w:rFonts w:ascii="ITC Avant Garde" w:hAnsi="ITC Avant Garde" w:cs="Arial"/>
          <w:sz w:val="22"/>
          <w:szCs w:val="22"/>
        </w:rPr>
        <w:t xml:space="preserve"> posible.</w:t>
      </w:r>
    </w:p>
    <w:p w14:paraId="33CFE6F9" w14:textId="35DB38C0" w:rsidR="00C21D5E" w:rsidRPr="00D936CA" w:rsidRDefault="00C21D5E" w:rsidP="00D936CA">
      <w:pPr>
        <w:pStyle w:val="Prrafodelista"/>
        <w:numPr>
          <w:ilvl w:val="0"/>
          <w:numId w:val="33"/>
        </w:numPr>
        <w:tabs>
          <w:tab w:val="clear" w:pos="720"/>
          <w:tab w:val="num" w:pos="567"/>
        </w:tabs>
        <w:spacing w:after="200" w:line="276" w:lineRule="auto"/>
        <w:ind w:left="426"/>
        <w:jc w:val="both"/>
        <w:rPr>
          <w:rFonts w:ascii="ITC Avant Garde" w:hAnsi="ITC Avant Garde" w:cs="Arial"/>
          <w:sz w:val="22"/>
          <w:szCs w:val="22"/>
        </w:rPr>
      </w:pPr>
      <w:r w:rsidRPr="00D936CA">
        <w:rPr>
          <w:rFonts w:ascii="ITC Avant Garde" w:hAnsi="ITC Avant Garde" w:cs="Arial"/>
          <w:sz w:val="22"/>
          <w:szCs w:val="22"/>
          <w:lang w:val="es-MX"/>
        </w:rPr>
        <w:t>Los servicios proporcionados por terceros no forman parte de la OREDA, por lo que deberán ser facturados y cobrados por Telmex.</w:t>
      </w:r>
      <w:r w:rsidRPr="00D936CA">
        <w:rPr>
          <w:b/>
        </w:rPr>
        <w:t xml:space="preserve"> </w:t>
      </w:r>
    </w:p>
    <w:p w14:paraId="33CFE6FA" w14:textId="77777777" w:rsidR="00831A94" w:rsidRPr="00D936CA" w:rsidRDefault="00831A94" w:rsidP="00D936CA">
      <w:pPr>
        <w:pStyle w:val="Prrafodelista"/>
        <w:numPr>
          <w:ilvl w:val="0"/>
          <w:numId w:val="33"/>
        </w:numPr>
        <w:tabs>
          <w:tab w:val="clear" w:pos="720"/>
          <w:tab w:val="num" w:pos="567"/>
        </w:tabs>
        <w:spacing w:after="200" w:line="276" w:lineRule="auto"/>
        <w:ind w:left="426"/>
        <w:jc w:val="both"/>
        <w:rPr>
          <w:rFonts w:ascii="ITC Avant Garde" w:hAnsi="ITC Avant Garde" w:cs="Arial"/>
          <w:sz w:val="22"/>
          <w:szCs w:val="22"/>
        </w:rPr>
      </w:pPr>
      <w:r w:rsidRPr="00D936CA">
        <w:rPr>
          <w:rFonts w:ascii="ITC Avant Garde" w:hAnsi="ITC Avant Garde" w:cs="Arial"/>
          <w:sz w:val="22"/>
          <w:szCs w:val="22"/>
        </w:rPr>
        <w:t xml:space="preserve">La información sobre cualquiera de los servicios contratados por los CS </w:t>
      </w:r>
      <w:r w:rsidR="005442CA" w:rsidRPr="00D936CA">
        <w:rPr>
          <w:rFonts w:ascii="ITC Avant Garde" w:hAnsi="ITC Avant Garde" w:cs="Arial"/>
          <w:sz w:val="22"/>
          <w:szCs w:val="22"/>
        </w:rPr>
        <w:t xml:space="preserve">será </w:t>
      </w:r>
      <w:r w:rsidR="00C74BE9" w:rsidRPr="00D936CA">
        <w:rPr>
          <w:rFonts w:ascii="ITC Avant Garde" w:hAnsi="ITC Avant Garde" w:cs="Arial"/>
          <w:sz w:val="22"/>
          <w:szCs w:val="22"/>
        </w:rPr>
        <w:t xml:space="preserve">utilizada por </w:t>
      </w:r>
      <w:r w:rsidR="00CC2AC2" w:rsidRPr="00D936CA">
        <w:rPr>
          <w:rFonts w:ascii="ITC Avant Garde" w:hAnsi="ITC Avant Garde" w:cs="Arial"/>
          <w:sz w:val="22"/>
          <w:szCs w:val="22"/>
        </w:rPr>
        <w:t>Telmex</w:t>
      </w:r>
      <w:r w:rsidR="00C74BE9" w:rsidRPr="00D936CA">
        <w:rPr>
          <w:rFonts w:ascii="ITC Avant Garde" w:hAnsi="ITC Avant Garde" w:cs="Arial"/>
          <w:sz w:val="22"/>
          <w:szCs w:val="22"/>
        </w:rPr>
        <w:t xml:space="preserve"> </w:t>
      </w:r>
      <w:r w:rsidR="005442CA" w:rsidRPr="00D936CA">
        <w:rPr>
          <w:rFonts w:ascii="ITC Avant Garde" w:hAnsi="ITC Avant Garde" w:cs="Arial"/>
          <w:sz w:val="22"/>
          <w:szCs w:val="22"/>
        </w:rPr>
        <w:t xml:space="preserve">únicamente en lo concerniente a la prestación de servicios, </w:t>
      </w:r>
      <w:r w:rsidR="002A1830" w:rsidRPr="00D936CA">
        <w:rPr>
          <w:rFonts w:ascii="ITC Avant Garde" w:hAnsi="ITC Avant Garde" w:cs="Arial"/>
          <w:sz w:val="22"/>
          <w:szCs w:val="22"/>
        </w:rPr>
        <w:t xml:space="preserve">ya que </w:t>
      </w:r>
      <w:r w:rsidR="00CC2AC2" w:rsidRPr="00D936CA">
        <w:rPr>
          <w:rFonts w:ascii="ITC Avant Garde" w:hAnsi="ITC Avant Garde" w:cs="Arial"/>
          <w:sz w:val="22"/>
          <w:szCs w:val="22"/>
        </w:rPr>
        <w:t>Telmex</w:t>
      </w:r>
      <w:r w:rsidR="002A1830" w:rsidRPr="00D936CA">
        <w:rPr>
          <w:rFonts w:ascii="ITC Avant Garde" w:hAnsi="ITC Avant Garde" w:cs="Arial"/>
          <w:sz w:val="22"/>
          <w:szCs w:val="22"/>
        </w:rPr>
        <w:t xml:space="preserve"> reconoce que </w:t>
      </w:r>
      <w:r w:rsidRPr="00D936CA">
        <w:rPr>
          <w:rFonts w:ascii="ITC Avant Garde" w:hAnsi="ITC Avant Garde" w:cs="Arial"/>
          <w:sz w:val="22"/>
          <w:szCs w:val="22"/>
        </w:rPr>
        <w:t>dicha información proporciona datos sensibles sobre intereses y estrategias de desarrollo comercial de cada uno de los CS</w:t>
      </w:r>
      <w:r w:rsidR="002A1830" w:rsidRPr="00D936CA">
        <w:rPr>
          <w:rFonts w:ascii="ITC Avant Garde" w:hAnsi="ITC Avant Garde" w:cs="Arial"/>
          <w:sz w:val="22"/>
          <w:szCs w:val="22"/>
        </w:rPr>
        <w:t>.</w:t>
      </w:r>
      <w:r w:rsidR="00496B09" w:rsidRPr="00D936CA">
        <w:rPr>
          <w:rFonts w:ascii="ITC Avant Garde" w:hAnsi="ITC Avant Garde" w:cs="Arial"/>
          <w:sz w:val="22"/>
          <w:szCs w:val="22"/>
        </w:rPr>
        <w:t xml:space="preserve"> Por lo que no se hará del conocimiento de las áreas comerciales de T</w:t>
      </w:r>
      <w:r w:rsidR="00A118CA" w:rsidRPr="00D936CA">
        <w:rPr>
          <w:rFonts w:ascii="ITC Avant Garde" w:hAnsi="ITC Avant Garde" w:cs="Arial"/>
          <w:sz w:val="22"/>
          <w:szCs w:val="22"/>
        </w:rPr>
        <w:t>elmex</w:t>
      </w:r>
      <w:r w:rsidR="00496B09" w:rsidRPr="00D936CA">
        <w:rPr>
          <w:rFonts w:ascii="ITC Avant Garde" w:hAnsi="ITC Avant Garde" w:cs="Arial"/>
          <w:sz w:val="22"/>
          <w:szCs w:val="22"/>
        </w:rPr>
        <w:t xml:space="preserve"> ni de otro</w:t>
      </w:r>
      <w:r w:rsidR="00A118CA" w:rsidRPr="00D936CA">
        <w:rPr>
          <w:rFonts w:ascii="ITC Avant Garde" w:hAnsi="ITC Avant Garde" w:cs="Arial"/>
          <w:sz w:val="22"/>
          <w:szCs w:val="22"/>
        </w:rPr>
        <w:t>s</w:t>
      </w:r>
      <w:r w:rsidR="00496B09" w:rsidRPr="00D936CA">
        <w:rPr>
          <w:rFonts w:ascii="ITC Avant Garde" w:hAnsi="ITC Avant Garde" w:cs="Arial"/>
          <w:sz w:val="22"/>
          <w:szCs w:val="22"/>
        </w:rPr>
        <w:t xml:space="preserve"> </w:t>
      </w:r>
      <w:r w:rsidR="00A118CA" w:rsidRPr="00D936CA">
        <w:rPr>
          <w:rFonts w:ascii="ITC Avant Garde" w:hAnsi="ITC Avant Garde" w:cs="Arial"/>
          <w:sz w:val="22"/>
          <w:szCs w:val="22"/>
        </w:rPr>
        <w:t>concesionarios</w:t>
      </w:r>
      <w:r w:rsidR="00496B09" w:rsidRPr="00D936CA">
        <w:rPr>
          <w:rFonts w:ascii="ITC Avant Garde" w:hAnsi="ITC Avant Garde" w:cs="Arial"/>
          <w:sz w:val="22"/>
          <w:szCs w:val="22"/>
        </w:rPr>
        <w:t>.</w:t>
      </w:r>
    </w:p>
    <w:p w14:paraId="33CFE6FC" w14:textId="4E1B68AD" w:rsidR="003F41DD" w:rsidRPr="00D936CA" w:rsidRDefault="009F0AAE" w:rsidP="00D936CA">
      <w:pPr>
        <w:pStyle w:val="Prrafodelista"/>
        <w:numPr>
          <w:ilvl w:val="0"/>
          <w:numId w:val="33"/>
        </w:numPr>
        <w:tabs>
          <w:tab w:val="clear" w:pos="720"/>
          <w:tab w:val="num" w:pos="567"/>
        </w:tabs>
        <w:spacing w:after="200" w:line="276" w:lineRule="auto"/>
        <w:ind w:left="426"/>
        <w:jc w:val="both"/>
        <w:rPr>
          <w:rFonts w:ascii="ITC Avant Garde" w:hAnsi="ITC Avant Garde" w:cs="Arial"/>
          <w:sz w:val="22"/>
          <w:szCs w:val="22"/>
        </w:rPr>
      </w:pPr>
      <w:r w:rsidRPr="00D936CA">
        <w:rPr>
          <w:rFonts w:ascii="ITC Avant Garde" w:hAnsi="ITC Avant Garde" w:cs="Arial"/>
          <w:sz w:val="22"/>
          <w:szCs w:val="22"/>
        </w:rPr>
        <w:t>Telmex no será responsable por la planeación del dimensionamiento de los pCAI que contrate el CS</w:t>
      </w:r>
      <w:r w:rsidR="003212C9" w:rsidRPr="00D936CA">
        <w:rPr>
          <w:rFonts w:ascii="ITC Avant Garde" w:hAnsi="ITC Avant Garde" w:cs="Arial"/>
          <w:sz w:val="22"/>
          <w:szCs w:val="22"/>
        </w:rPr>
        <w:t>.</w:t>
      </w:r>
    </w:p>
    <w:p w14:paraId="33CFE6FD" w14:textId="77777777" w:rsidR="00530A32" w:rsidRPr="00D936CA" w:rsidRDefault="00011A1B" w:rsidP="00B50532">
      <w:pPr>
        <w:pStyle w:val="1TitPrin"/>
      </w:pPr>
      <w:bookmarkStart w:id="130" w:name="_Toc436840871"/>
      <w:bookmarkStart w:id="131" w:name="_Toc436846308"/>
      <w:bookmarkStart w:id="132" w:name="_Toc436848258"/>
      <w:bookmarkStart w:id="133" w:name="_Toc436856506"/>
      <w:bookmarkStart w:id="134" w:name="_Toc436862652"/>
      <w:bookmarkStart w:id="135" w:name="_Toc436866302"/>
      <w:bookmarkStart w:id="136" w:name="_Toc436870881"/>
      <w:bookmarkStart w:id="137" w:name="_Toc436875873"/>
      <w:bookmarkStart w:id="138" w:name="_Toc467248686"/>
      <w:bookmarkStart w:id="139" w:name="_Toc518031957"/>
      <w:r w:rsidRPr="00D936CA">
        <w:t>Inicio de la prestación de los servicios.</w:t>
      </w:r>
      <w:bookmarkEnd w:id="130"/>
      <w:bookmarkEnd w:id="131"/>
      <w:bookmarkEnd w:id="132"/>
      <w:bookmarkEnd w:id="133"/>
      <w:bookmarkEnd w:id="134"/>
      <w:bookmarkEnd w:id="135"/>
      <w:bookmarkEnd w:id="136"/>
      <w:bookmarkEnd w:id="137"/>
      <w:bookmarkEnd w:id="138"/>
      <w:bookmarkEnd w:id="139"/>
    </w:p>
    <w:p w14:paraId="33CFE6FE" w14:textId="77777777" w:rsidR="004C2F54" w:rsidRPr="00D936CA" w:rsidRDefault="00A876F6" w:rsidP="00D936CA">
      <w:p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 xml:space="preserve">El SRL y </w:t>
      </w:r>
      <w:r w:rsidR="00F07D23" w:rsidRPr="00D936CA">
        <w:rPr>
          <w:rFonts w:ascii="ITC Avant Garde" w:hAnsi="ITC Avant Garde"/>
          <w:sz w:val="22"/>
          <w:szCs w:val="22"/>
        </w:rPr>
        <w:t>el</w:t>
      </w:r>
      <w:r w:rsidRPr="00D936CA">
        <w:rPr>
          <w:rFonts w:ascii="ITC Avant Garde" w:hAnsi="ITC Avant Garde"/>
          <w:sz w:val="22"/>
          <w:szCs w:val="22"/>
        </w:rPr>
        <w:t xml:space="preserve"> SAIB</w:t>
      </w:r>
      <w:r w:rsidR="00011A1B" w:rsidRPr="00D936CA">
        <w:rPr>
          <w:rFonts w:ascii="ITC Avant Garde" w:hAnsi="ITC Avant Garde"/>
          <w:sz w:val="22"/>
          <w:szCs w:val="22"/>
        </w:rPr>
        <w:t xml:space="preserve"> </w:t>
      </w:r>
      <w:r w:rsidR="00AA57D3" w:rsidRPr="00D936CA">
        <w:rPr>
          <w:rFonts w:ascii="ITC Avant Garde" w:hAnsi="ITC Avant Garde"/>
          <w:sz w:val="22"/>
          <w:szCs w:val="22"/>
        </w:rPr>
        <w:t xml:space="preserve">se prestan </w:t>
      </w:r>
      <w:r w:rsidR="00011A1B" w:rsidRPr="00D936CA">
        <w:rPr>
          <w:rFonts w:ascii="ITC Avant Garde" w:hAnsi="ITC Avant Garde"/>
          <w:sz w:val="22"/>
          <w:szCs w:val="22"/>
        </w:rPr>
        <w:t>a nivel nacional, junto con sus servicios auxiliares asociados.</w:t>
      </w:r>
    </w:p>
    <w:p w14:paraId="33CFE6FF" w14:textId="03ABBDF3" w:rsidR="00E87FA0"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La prestación de los </w:t>
      </w:r>
      <w:r w:rsidR="007E681D" w:rsidRPr="00D936CA">
        <w:rPr>
          <w:rFonts w:ascii="ITC Avant Garde" w:hAnsi="ITC Avant Garde"/>
          <w:sz w:val="22"/>
          <w:szCs w:val="22"/>
        </w:rPr>
        <w:t xml:space="preserve">SDTBL, SDCBL, SDTSBL y SDCSBL </w:t>
      </w:r>
      <w:r w:rsidRPr="00D936CA">
        <w:rPr>
          <w:rFonts w:ascii="ITC Avant Garde" w:hAnsi="ITC Avant Garde"/>
          <w:sz w:val="22"/>
          <w:szCs w:val="22"/>
        </w:rPr>
        <w:t xml:space="preserve">será en todas las Centrales Telefónicas o </w:t>
      </w:r>
      <w:r w:rsidR="001B4BBF" w:rsidRPr="00D936CA">
        <w:rPr>
          <w:rFonts w:ascii="ITC Avant Garde" w:hAnsi="ITC Avant Garde"/>
          <w:sz w:val="22"/>
          <w:szCs w:val="22"/>
        </w:rPr>
        <w:t>I</w:t>
      </w:r>
      <w:r w:rsidRPr="00D936CA">
        <w:rPr>
          <w:rFonts w:ascii="ITC Avant Garde" w:hAnsi="ITC Avant Garde"/>
          <w:sz w:val="22"/>
          <w:szCs w:val="22"/>
        </w:rPr>
        <w:t xml:space="preserve">nstalaciones </w:t>
      </w:r>
      <w:r w:rsidR="001B4BBF" w:rsidRPr="00D936CA">
        <w:rPr>
          <w:rFonts w:ascii="ITC Avant Garde" w:hAnsi="ITC Avant Garde"/>
          <w:sz w:val="22"/>
          <w:szCs w:val="22"/>
        </w:rPr>
        <w:t>E</w:t>
      </w:r>
      <w:r w:rsidRPr="00D936CA">
        <w:rPr>
          <w:rFonts w:ascii="ITC Avant Garde" w:hAnsi="ITC Avant Garde"/>
          <w:sz w:val="22"/>
          <w:szCs w:val="22"/>
        </w:rPr>
        <w:t xml:space="preserve">quivalentes </w:t>
      </w:r>
      <w:r w:rsidR="00156D9F" w:rsidRPr="00D936CA">
        <w:rPr>
          <w:rFonts w:ascii="ITC Avant Garde" w:hAnsi="ITC Avant Garde"/>
          <w:sz w:val="22"/>
          <w:szCs w:val="22"/>
        </w:rPr>
        <w:t xml:space="preserve">de las </w:t>
      </w:r>
      <w:r w:rsidR="009F66FD" w:rsidRPr="00D936CA">
        <w:rPr>
          <w:rFonts w:ascii="ITC Avant Garde" w:hAnsi="ITC Avant Garde"/>
          <w:sz w:val="22"/>
          <w:szCs w:val="22"/>
        </w:rPr>
        <w:t>zonas metropolitanas</w:t>
      </w:r>
      <w:r w:rsidR="007F0F0C" w:rsidRPr="00D936CA">
        <w:rPr>
          <w:rFonts w:ascii="ITC Avant Garde" w:hAnsi="ITC Avant Garde"/>
          <w:sz w:val="22"/>
          <w:szCs w:val="22"/>
        </w:rPr>
        <w:t xml:space="preserve"> </w:t>
      </w:r>
      <w:r w:rsidR="00E22CCA" w:rsidRPr="00D936CA">
        <w:rPr>
          <w:rFonts w:ascii="ITC Avant Garde" w:hAnsi="ITC Avant Garde"/>
          <w:sz w:val="22"/>
          <w:szCs w:val="22"/>
        </w:rPr>
        <w:t xml:space="preserve">definidas por el Instituto Nacional de Estadística y Geografía: </w:t>
      </w:r>
      <w:r w:rsidR="00156D9F" w:rsidRPr="00D936CA">
        <w:rPr>
          <w:rFonts w:ascii="ITC Avant Garde" w:hAnsi="ITC Avant Garde"/>
          <w:sz w:val="22"/>
          <w:szCs w:val="22"/>
        </w:rPr>
        <w:t xml:space="preserve">Acapulco, Aguascalientes, Celaya, Chihuahua, </w:t>
      </w:r>
      <w:r w:rsidR="00E22CCA" w:rsidRPr="00D936CA">
        <w:rPr>
          <w:rFonts w:ascii="ITC Avant Garde" w:hAnsi="ITC Avant Garde"/>
          <w:sz w:val="22"/>
          <w:szCs w:val="22"/>
        </w:rPr>
        <w:t>Coatzacoalcos, Cuernavaca, Guadalajara, Cd. Juárez, La Laguna, León, Mérida, Monterrey, Morelia, Puebla – Tlaxcala, Querétaro, San Luis Potosí – Soledad de Graciano Sánchez, Tampico, Toluca, Valle de México, Veracruz, Villahermosa, además de l</w:t>
      </w:r>
      <w:r w:rsidR="00DB58EC" w:rsidRPr="00D936CA">
        <w:rPr>
          <w:rFonts w:ascii="ITC Avant Garde" w:hAnsi="ITC Avant Garde"/>
          <w:sz w:val="22"/>
          <w:szCs w:val="22"/>
        </w:rPr>
        <w:t>a ciudad de Hermosillo y La Paz</w:t>
      </w:r>
      <w:r w:rsidRPr="00D936CA">
        <w:rPr>
          <w:rFonts w:ascii="ITC Avant Garde" w:hAnsi="ITC Avant Garde"/>
          <w:sz w:val="22"/>
          <w:szCs w:val="22"/>
        </w:rPr>
        <w:t xml:space="preserve">, </w:t>
      </w:r>
      <w:r w:rsidR="00156D9F" w:rsidRPr="00D936CA">
        <w:rPr>
          <w:rFonts w:ascii="ITC Avant Garde" w:hAnsi="ITC Avant Garde"/>
          <w:sz w:val="22"/>
          <w:szCs w:val="22"/>
        </w:rPr>
        <w:t>dándole prioridad a aquellas con una capacidad superior a 5,000 líneas, así como a</w:t>
      </w:r>
      <w:r w:rsidRPr="00D936CA">
        <w:rPr>
          <w:rFonts w:ascii="ITC Avant Garde" w:hAnsi="ITC Avant Garde"/>
          <w:sz w:val="22"/>
          <w:szCs w:val="22"/>
        </w:rPr>
        <w:t xml:space="preserve"> aquellas que sean Puntos de Interconexión de voz pública conmutada</w:t>
      </w:r>
      <w:r w:rsidR="004D062B" w:rsidRPr="00D936CA">
        <w:rPr>
          <w:rFonts w:ascii="ITC Avant Garde" w:hAnsi="ITC Avant Garde"/>
          <w:sz w:val="22"/>
          <w:szCs w:val="22"/>
        </w:rPr>
        <w:t>. E</w:t>
      </w:r>
      <w:r w:rsidR="00CC30EF" w:rsidRPr="00D936CA">
        <w:rPr>
          <w:rFonts w:ascii="ITC Avant Garde" w:hAnsi="ITC Avant Garde"/>
          <w:sz w:val="22"/>
          <w:szCs w:val="22"/>
        </w:rPr>
        <w:t xml:space="preserve">n el resto de las ciudades </w:t>
      </w:r>
      <w:r w:rsidR="007028D0" w:rsidRPr="00D936CA">
        <w:rPr>
          <w:rFonts w:ascii="ITC Avant Garde" w:hAnsi="ITC Avant Garde"/>
          <w:sz w:val="22"/>
          <w:szCs w:val="22"/>
        </w:rPr>
        <w:t>y zonas metropolitanas no e</w:t>
      </w:r>
      <w:r w:rsidR="006F2DD2" w:rsidRPr="00D936CA">
        <w:rPr>
          <w:rFonts w:ascii="ITC Avant Garde" w:hAnsi="ITC Avant Garde"/>
          <w:sz w:val="22"/>
          <w:szCs w:val="22"/>
        </w:rPr>
        <w:t>nunciadas</w:t>
      </w:r>
      <w:r w:rsidR="007028D0" w:rsidRPr="00D936CA">
        <w:rPr>
          <w:rFonts w:ascii="ITC Avant Garde" w:hAnsi="ITC Avant Garde"/>
          <w:sz w:val="22"/>
          <w:szCs w:val="22"/>
        </w:rPr>
        <w:t xml:space="preserve"> en la OREDA</w:t>
      </w:r>
      <w:r w:rsidR="00CC30EF" w:rsidRPr="00D936CA">
        <w:rPr>
          <w:rFonts w:ascii="ITC Avant Garde" w:hAnsi="ITC Avant Garde"/>
          <w:sz w:val="22"/>
          <w:szCs w:val="22"/>
        </w:rPr>
        <w:t xml:space="preserve"> los servicios iniciarán a petición de los CS</w:t>
      </w:r>
      <w:r w:rsidRPr="00D936CA">
        <w:rPr>
          <w:rFonts w:ascii="ITC Avant Garde" w:hAnsi="ITC Avant Garde"/>
          <w:sz w:val="22"/>
          <w:szCs w:val="22"/>
        </w:rPr>
        <w:t xml:space="preserve">. </w:t>
      </w:r>
      <w:r w:rsidR="00AA0087" w:rsidRPr="00D936CA">
        <w:rPr>
          <w:rFonts w:ascii="ITC Avant Garde" w:hAnsi="ITC Avant Garde"/>
          <w:sz w:val="22"/>
          <w:szCs w:val="22"/>
        </w:rPr>
        <w:t xml:space="preserve">A partir del año 2018 se podrán solicitar estos servicios en las zonas metropolitanas de </w:t>
      </w:r>
      <w:r w:rsidR="00DE11D7" w:rsidRPr="00D936CA">
        <w:rPr>
          <w:rFonts w:ascii="ITC Avant Garde" w:hAnsi="ITC Avant Garde"/>
          <w:sz w:val="22"/>
          <w:szCs w:val="22"/>
        </w:rPr>
        <w:t>Saltillo, Reynosa – Río Bravo, Tuxtla Gutiérrez, Cancún, Xalapa,</w:t>
      </w:r>
      <w:r w:rsidR="00AA0087" w:rsidRPr="00D936CA">
        <w:rPr>
          <w:rFonts w:ascii="ITC Avant Garde" w:hAnsi="ITC Avant Garde"/>
          <w:sz w:val="22"/>
          <w:szCs w:val="22"/>
        </w:rPr>
        <w:t xml:space="preserve"> Nuevo Laredo y Matamoros.</w:t>
      </w:r>
    </w:p>
    <w:p w14:paraId="33CFE700" w14:textId="77777777" w:rsidR="00DE11D7" w:rsidRPr="00D936CA" w:rsidRDefault="00DE11D7"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Lo anterior implica que Telmex contemple los posibles espacios para las Coubicaciones e identifique los recursos de red susceptibles de utilización, y en caso de que no exista capacidad para soportar la prestación de servicios, se debe tener claramente identificada la problemática de espacio o de los recursos de red específicos necesarios para prestar los servicios, así como una solución para prestar los servicios de desagregación cuando así se le solicite. </w:t>
      </w:r>
    </w:p>
    <w:p w14:paraId="33CFE701" w14:textId="77777777" w:rsidR="006C5A8B"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El CS podrá requerir adecuaciones a </w:t>
      </w:r>
      <w:r w:rsidR="00704AB1" w:rsidRPr="00D936CA">
        <w:rPr>
          <w:rFonts w:ascii="ITC Avant Garde" w:hAnsi="ITC Avant Garde"/>
          <w:sz w:val="22"/>
          <w:szCs w:val="22"/>
        </w:rPr>
        <w:t>cualquier</w:t>
      </w:r>
      <w:r w:rsidRPr="00D936CA">
        <w:rPr>
          <w:rFonts w:ascii="ITC Avant Garde" w:hAnsi="ITC Avant Garde"/>
          <w:sz w:val="22"/>
          <w:szCs w:val="22"/>
        </w:rPr>
        <w:t xml:space="preserve"> </w:t>
      </w:r>
      <w:r w:rsidR="001B4BBF" w:rsidRPr="00D936CA">
        <w:rPr>
          <w:rFonts w:ascii="ITC Avant Garde" w:hAnsi="ITC Avant Garde"/>
          <w:sz w:val="22"/>
          <w:szCs w:val="22"/>
        </w:rPr>
        <w:t>C</w:t>
      </w:r>
      <w:r w:rsidRPr="00D936CA">
        <w:rPr>
          <w:rFonts w:ascii="ITC Avant Garde" w:hAnsi="ITC Avant Garde"/>
          <w:sz w:val="22"/>
          <w:szCs w:val="22"/>
        </w:rPr>
        <w:t>entral</w:t>
      </w:r>
      <w:r w:rsidR="001B4BBF" w:rsidRPr="00D936CA">
        <w:rPr>
          <w:rFonts w:ascii="ITC Avant Garde" w:hAnsi="ITC Avant Garde"/>
          <w:sz w:val="22"/>
          <w:szCs w:val="22"/>
        </w:rPr>
        <w:t xml:space="preserve"> Telefónica</w:t>
      </w:r>
      <w:r w:rsidRPr="00D936CA">
        <w:rPr>
          <w:rFonts w:ascii="ITC Avant Garde" w:hAnsi="ITC Avant Garde"/>
          <w:sz w:val="22"/>
          <w:szCs w:val="22"/>
        </w:rPr>
        <w:t xml:space="preserve"> o </w:t>
      </w:r>
      <w:r w:rsidR="009562CF" w:rsidRPr="00D936CA">
        <w:rPr>
          <w:rFonts w:ascii="ITC Avant Garde" w:hAnsi="ITC Avant Garde"/>
          <w:sz w:val="22"/>
          <w:szCs w:val="22"/>
        </w:rPr>
        <w:t>Instalación</w:t>
      </w:r>
      <w:r w:rsidRPr="00D936CA">
        <w:rPr>
          <w:rFonts w:ascii="ITC Avant Garde" w:hAnsi="ITC Avant Garde"/>
          <w:sz w:val="22"/>
          <w:szCs w:val="22"/>
        </w:rPr>
        <w:t xml:space="preserve"> </w:t>
      </w:r>
      <w:r w:rsidR="001B4BBF" w:rsidRPr="00D936CA">
        <w:rPr>
          <w:rFonts w:ascii="ITC Avant Garde" w:hAnsi="ITC Avant Garde"/>
          <w:sz w:val="22"/>
          <w:szCs w:val="22"/>
        </w:rPr>
        <w:t>E</w:t>
      </w:r>
      <w:r w:rsidRPr="00D936CA">
        <w:rPr>
          <w:rFonts w:ascii="ITC Avant Garde" w:hAnsi="ITC Avant Garde"/>
          <w:sz w:val="22"/>
          <w:szCs w:val="22"/>
        </w:rPr>
        <w:t>quivalente</w:t>
      </w:r>
      <w:r w:rsidR="00DE11D7" w:rsidRPr="00D936CA">
        <w:rPr>
          <w:rFonts w:ascii="ITC Avant Garde" w:hAnsi="ITC Avant Garde"/>
          <w:sz w:val="22"/>
          <w:szCs w:val="22"/>
        </w:rPr>
        <w:t xml:space="preserve"> para los servicios SDTBL, SDCSBL, SDTSBL y SDCSBL, en zonas metropolitanas</w:t>
      </w:r>
      <w:r w:rsidR="00E6079D" w:rsidRPr="00D936CA">
        <w:rPr>
          <w:rFonts w:ascii="ITC Avant Garde" w:hAnsi="ITC Avant Garde"/>
          <w:sz w:val="22"/>
          <w:szCs w:val="22"/>
        </w:rPr>
        <w:t xml:space="preserve"> </w:t>
      </w:r>
      <w:r w:rsidR="009F66FD" w:rsidRPr="00D936CA">
        <w:rPr>
          <w:rFonts w:ascii="ITC Avant Garde" w:hAnsi="ITC Avant Garde"/>
          <w:sz w:val="22"/>
          <w:szCs w:val="22"/>
        </w:rPr>
        <w:t xml:space="preserve">distintas a las mencionadas </w:t>
      </w:r>
      <w:r w:rsidR="00E6079D" w:rsidRPr="00D936CA">
        <w:rPr>
          <w:rFonts w:ascii="ITC Avant Garde" w:hAnsi="ITC Avant Garde"/>
          <w:sz w:val="22"/>
          <w:szCs w:val="22"/>
        </w:rPr>
        <w:t>anteriormente</w:t>
      </w:r>
      <w:r w:rsidRPr="00D936CA">
        <w:rPr>
          <w:rFonts w:ascii="ITC Avant Garde" w:hAnsi="ITC Avant Garde"/>
          <w:sz w:val="22"/>
          <w:szCs w:val="22"/>
        </w:rPr>
        <w:t>, en cuyo caso la prestación de los servicios deberá iniciar dentro de los seis meses posteriores al requerimiento, si un segundo CS solicita adecuaciones a la misma central, Telmex indicará que ya está siendo adecuada, el segundo CS podrá solicitar servicios en el momento en el que Telmex indique que han finalizado las adecuaciones correspondientes. En caso de que después de tres meses de terminadas y notificadas las adecuaciones requeridas, los CS no hayan solicitado servicios, deberán restituir en partes iguales los gastos correspondientes, de acuerdo con el siguiente procedimiento:</w:t>
      </w:r>
    </w:p>
    <w:p w14:paraId="33CFE702" w14:textId="6F02F615" w:rsidR="00530A32" w:rsidRPr="00D936CA" w:rsidRDefault="00011A1B" w:rsidP="00D936CA">
      <w:pPr>
        <w:pStyle w:val="Prrafodelista"/>
        <w:numPr>
          <w:ilvl w:val="1"/>
          <w:numId w:val="62"/>
        </w:numPr>
        <w:spacing w:after="200" w:line="276" w:lineRule="auto"/>
        <w:jc w:val="both"/>
        <w:rPr>
          <w:rFonts w:ascii="ITC Avant Garde" w:hAnsi="ITC Avant Garde"/>
          <w:sz w:val="22"/>
          <w:szCs w:val="22"/>
        </w:rPr>
      </w:pPr>
      <w:r w:rsidRPr="00D936CA">
        <w:rPr>
          <w:rFonts w:ascii="ITC Avant Garde" w:hAnsi="ITC Avant Garde"/>
          <w:sz w:val="22"/>
          <w:szCs w:val="22"/>
        </w:rPr>
        <w:t>Telmex informará al I</w:t>
      </w:r>
      <w:r w:rsidR="0091726E" w:rsidRPr="00D936CA">
        <w:rPr>
          <w:rFonts w:ascii="ITC Avant Garde" w:hAnsi="ITC Avant Garde"/>
          <w:sz w:val="22"/>
          <w:szCs w:val="22"/>
        </w:rPr>
        <w:t>nstituto</w:t>
      </w:r>
      <w:r w:rsidRPr="00D936CA">
        <w:rPr>
          <w:rFonts w:ascii="ITC Avant Garde" w:hAnsi="ITC Avant Garde"/>
          <w:sz w:val="22"/>
          <w:szCs w:val="22"/>
        </w:rPr>
        <w:t xml:space="preserve"> y a los CS dentro de los 30 días hábiles siguientes al término de los </w:t>
      </w:r>
      <w:r w:rsidR="004D062B" w:rsidRPr="00D936CA">
        <w:rPr>
          <w:rFonts w:ascii="ITC Avant Garde" w:hAnsi="ITC Avant Garde"/>
          <w:sz w:val="22"/>
          <w:szCs w:val="22"/>
        </w:rPr>
        <w:t>tres</w:t>
      </w:r>
      <w:r w:rsidRPr="00D936CA">
        <w:rPr>
          <w:rFonts w:ascii="ITC Avant Garde" w:hAnsi="ITC Avant Garde"/>
          <w:sz w:val="22"/>
          <w:szCs w:val="22"/>
        </w:rPr>
        <w:t xml:space="preserve"> meses de terminadas las adecuaciones, cuando no hubiera recibido solicitudes de servicios por parte de los CS que le solicitaron la adecuación, para lo cual presentará los elementos que comprueben los gastos incurridos.</w:t>
      </w:r>
    </w:p>
    <w:p w14:paraId="33CFE703" w14:textId="77777777" w:rsidR="00530A32" w:rsidRPr="00D936CA" w:rsidRDefault="00011A1B" w:rsidP="00D936CA">
      <w:pPr>
        <w:pStyle w:val="Prrafodelista"/>
        <w:numPr>
          <w:ilvl w:val="1"/>
          <w:numId w:val="62"/>
        </w:numPr>
        <w:spacing w:after="200" w:line="276" w:lineRule="auto"/>
        <w:jc w:val="both"/>
        <w:rPr>
          <w:rFonts w:ascii="ITC Avant Garde" w:hAnsi="ITC Avant Garde"/>
          <w:sz w:val="22"/>
          <w:szCs w:val="22"/>
        </w:rPr>
      </w:pPr>
      <w:r w:rsidRPr="00D936CA">
        <w:rPr>
          <w:rFonts w:ascii="ITC Avant Garde" w:hAnsi="ITC Avant Garde"/>
          <w:sz w:val="22"/>
          <w:szCs w:val="22"/>
        </w:rPr>
        <w:t xml:space="preserve">El o los CS que hubieran solicitado las adecuaciones deberán resarcir los gastos incurridos, en un periodo máximo de 15 días hábiles después de haber recibido la notificación. </w:t>
      </w:r>
    </w:p>
    <w:p w14:paraId="33CFE704" w14:textId="7ACCAD3C" w:rsidR="00751766"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 xml:space="preserve">Para que el CS solicite las adecuaciones a las </w:t>
      </w:r>
      <w:r w:rsidR="001B4BBF" w:rsidRPr="00D936CA">
        <w:rPr>
          <w:rFonts w:ascii="ITC Avant Garde" w:hAnsi="ITC Avant Garde"/>
          <w:sz w:val="22"/>
          <w:szCs w:val="22"/>
        </w:rPr>
        <w:t>C</w:t>
      </w:r>
      <w:r w:rsidRPr="00D936CA">
        <w:rPr>
          <w:rFonts w:ascii="ITC Avant Garde" w:hAnsi="ITC Avant Garde"/>
          <w:sz w:val="22"/>
          <w:szCs w:val="22"/>
        </w:rPr>
        <w:t xml:space="preserve">entrales </w:t>
      </w:r>
      <w:r w:rsidR="001B4BBF" w:rsidRPr="00D936CA">
        <w:rPr>
          <w:rFonts w:ascii="ITC Avant Garde" w:hAnsi="ITC Avant Garde"/>
          <w:sz w:val="22"/>
          <w:szCs w:val="22"/>
        </w:rPr>
        <w:t xml:space="preserve">Telefónicas </w:t>
      </w:r>
      <w:r w:rsidRPr="00D936CA">
        <w:rPr>
          <w:rFonts w:ascii="ITC Avant Garde" w:hAnsi="ITC Avant Garde"/>
          <w:sz w:val="22"/>
          <w:szCs w:val="22"/>
        </w:rPr>
        <w:t xml:space="preserve">o </w:t>
      </w:r>
      <w:r w:rsidR="001B4BBF" w:rsidRPr="00D936CA">
        <w:rPr>
          <w:rFonts w:ascii="ITC Avant Garde" w:hAnsi="ITC Avant Garde"/>
          <w:sz w:val="22"/>
          <w:szCs w:val="22"/>
        </w:rPr>
        <w:t>I</w:t>
      </w:r>
      <w:r w:rsidRPr="00D936CA">
        <w:rPr>
          <w:rFonts w:ascii="ITC Avant Garde" w:hAnsi="ITC Avant Garde"/>
          <w:sz w:val="22"/>
          <w:szCs w:val="22"/>
        </w:rPr>
        <w:t xml:space="preserve">nstalaciones </w:t>
      </w:r>
      <w:r w:rsidR="001B4BBF" w:rsidRPr="00D936CA">
        <w:rPr>
          <w:rFonts w:ascii="ITC Avant Garde" w:hAnsi="ITC Avant Garde"/>
          <w:sz w:val="22"/>
          <w:szCs w:val="22"/>
        </w:rPr>
        <w:t>E</w:t>
      </w:r>
      <w:r w:rsidRPr="00D936CA">
        <w:rPr>
          <w:rFonts w:ascii="ITC Avant Garde" w:hAnsi="ITC Avant Garde"/>
          <w:sz w:val="22"/>
          <w:szCs w:val="22"/>
        </w:rPr>
        <w:t>quivalentes podrá solicitar información sobre las mismas</w:t>
      </w:r>
      <w:r w:rsidR="00094853" w:rsidRPr="00D936CA">
        <w:rPr>
          <w:rFonts w:ascii="ITC Avant Garde" w:hAnsi="ITC Avant Garde"/>
          <w:sz w:val="22"/>
          <w:szCs w:val="22"/>
        </w:rPr>
        <w:t xml:space="preserve"> sin necesidad de que exist</w:t>
      </w:r>
      <w:r w:rsidR="00910221" w:rsidRPr="00D936CA">
        <w:rPr>
          <w:rFonts w:ascii="ITC Avant Garde" w:hAnsi="ITC Avant Garde"/>
          <w:sz w:val="22"/>
          <w:szCs w:val="22"/>
        </w:rPr>
        <w:t>a</w:t>
      </w:r>
      <w:r w:rsidR="00094853" w:rsidRPr="00D936CA">
        <w:rPr>
          <w:rFonts w:ascii="ITC Avant Garde" w:hAnsi="ITC Avant Garde"/>
          <w:sz w:val="22"/>
          <w:szCs w:val="22"/>
        </w:rPr>
        <w:t xml:space="preserve"> un Convenio firmado por las partes</w:t>
      </w:r>
      <w:r w:rsidRPr="00D936CA">
        <w:rPr>
          <w:rFonts w:ascii="ITC Avant Garde" w:hAnsi="ITC Avant Garde"/>
          <w:sz w:val="22"/>
          <w:szCs w:val="22"/>
        </w:rPr>
        <w:t xml:space="preserve">, </w:t>
      </w:r>
      <w:r w:rsidR="004B6897" w:rsidRPr="00D936CA">
        <w:rPr>
          <w:rFonts w:ascii="ITC Avant Garde" w:hAnsi="ITC Avant Garde"/>
          <w:sz w:val="22"/>
          <w:szCs w:val="22"/>
        </w:rPr>
        <w:t>según el procedimiento establecido en el apartado “Información relacionada con los servicio</w:t>
      </w:r>
      <w:r w:rsidR="005E4709" w:rsidRPr="00D936CA">
        <w:rPr>
          <w:rFonts w:ascii="ITC Avant Garde" w:hAnsi="ITC Avant Garde"/>
          <w:sz w:val="22"/>
          <w:szCs w:val="22"/>
        </w:rPr>
        <w:t>s</w:t>
      </w:r>
      <w:r w:rsidR="004B6897" w:rsidRPr="00D936CA">
        <w:rPr>
          <w:rFonts w:ascii="ITC Avant Garde" w:hAnsi="ITC Avant Garde"/>
          <w:sz w:val="22"/>
          <w:szCs w:val="22"/>
        </w:rPr>
        <w:t>”</w:t>
      </w:r>
      <w:r w:rsidR="009A6BBF" w:rsidRPr="00D936CA">
        <w:rPr>
          <w:rFonts w:ascii="ITC Avant Garde" w:hAnsi="ITC Avant Garde"/>
          <w:sz w:val="22"/>
          <w:szCs w:val="22"/>
        </w:rPr>
        <w:t xml:space="preserve">, referente a la información tipo “a” que contiene los elementos necesarios para que los CS decidan solicitar adecuaciones, la información no será limitada </w:t>
      </w:r>
      <w:r w:rsidR="008E05F3" w:rsidRPr="00D936CA">
        <w:rPr>
          <w:rFonts w:ascii="ITC Avant Garde" w:hAnsi="ITC Avant Garde"/>
          <w:sz w:val="22"/>
          <w:szCs w:val="22"/>
        </w:rPr>
        <w:t>a la ciudad o localidad donde se ubiquen</w:t>
      </w:r>
      <w:r w:rsidR="00B51D02" w:rsidRPr="00D936CA">
        <w:rPr>
          <w:rFonts w:ascii="ITC Avant Garde" w:hAnsi="ITC Avant Garde"/>
          <w:sz w:val="22"/>
          <w:szCs w:val="22"/>
        </w:rPr>
        <w:t xml:space="preserve"> ni a</w:t>
      </w:r>
      <w:r w:rsidR="008E05F3" w:rsidRPr="00D936CA">
        <w:rPr>
          <w:rFonts w:ascii="ITC Avant Garde" w:hAnsi="ITC Avant Garde"/>
          <w:sz w:val="22"/>
          <w:szCs w:val="22"/>
        </w:rPr>
        <w:t xml:space="preserve"> la disponibilidad de espacio para coubicación</w:t>
      </w:r>
      <w:r w:rsidR="001642A1" w:rsidRPr="00D936CA">
        <w:rPr>
          <w:rFonts w:ascii="ITC Avant Garde" w:hAnsi="ITC Avant Garde"/>
          <w:sz w:val="22"/>
          <w:szCs w:val="22"/>
        </w:rPr>
        <w:t>.</w:t>
      </w:r>
    </w:p>
    <w:p w14:paraId="33CFE705" w14:textId="77777777" w:rsidR="00D165BB"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La prestación de los servicios en Centrales Telefónicas o </w:t>
      </w:r>
      <w:r w:rsidR="00AC798D" w:rsidRPr="00D936CA">
        <w:rPr>
          <w:rFonts w:ascii="ITC Avant Garde" w:hAnsi="ITC Avant Garde"/>
          <w:sz w:val="22"/>
          <w:szCs w:val="22"/>
          <w:lang w:val="es-MX"/>
        </w:rPr>
        <w:t>I</w:t>
      </w:r>
      <w:r w:rsidRPr="00D936CA">
        <w:rPr>
          <w:rFonts w:ascii="ITC Avant Garde" w:hAnsi="ITC Avant Garde"/>
          <w:sz w:val="22"/>
          <w:szCs w:val="22"/>
          <w:lang w:val="es-MX"/>
        </w:rPr>
        <w:t xml:space="preserve">nstalaciones </w:t>
      </w:r>
      <w:r w:rsidR="00AC798D" w:rsidRPr="00D936CA">
        <w:rPr>
          <w:rFonts w:ascii="ITC Avant Garde" w:hAnsi="ITC Avant Garde"/>
          <w:sz w:val="22"/>
          <w:szCs w:val="22"/>
          <w:lang w:val="es-MX"/>
        </w:rPr>
        <w:t>E</w:t>
      </w:r>
      <w:r w:rsidRPr="00D936CA">
        <w:rPr>
          <w:rFonts w:ascii="ITC Avant Garde" w:hAnsi="ITC Avant Garde"/>
          <w:sz w:val="22"/>
          <w:szCs w:val="22"/>
          <w:lang w:val="es-MX"/>
        </w:rPr>
        <w:t xml:space="preserve">quivalentes </w:t>
      </w:r>
      <w:r w:rsidR="00FB274E" w:rsidRPr="00D936CA">
        <w:rPr>
          <w:rFonts w:ascii="ITC Avant Garde" w:hAnsi="ITC Avant Garde"/>
          <w:sz w:val="22"/>
          <w:szCs w:val="22"/>
          <w:lang w:val="es-MX"/>
        </w:rPr>
        <w:t xml:space="preserve">será </w:t>
      </w:r>
      <w:r w:rsidRPr="00D936CA">
        <w:rPr>
          <w:rFonts w:ascii="ITC Avant Garde" w:hAnsi="ITC Avant Garde"/>
          <w:sz w:val="22"/>
          <w:szCs w:val="22"/>
          <w:lang w:val="es-MX"/>
        </w:rPr>
        <w:t>por la cobertura de las mismas, sin considerarse delimitaciones geopolíticas.</w:t>
      </w:r>
    </w:p>
    <w:p w14:paraId="33CFE706" w14:textId="43E0BA95" w:rsidR="00D165BB"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Cuando una </w:t>
      </w:r>
      <w:r w:rsidR="00815AC5" w:rsidRPr="00D936CA">
        <w:rPr>
          <w:rFonts w:ascii="ITC Avant Garde" w:hAnsi="ITC Avant Garde"/>
          <w:sz w:val="22"/>
          <w:szCs w:val="22"/>
          <w:lang w:val="es-MX"/>
        </w:rPr>
        <w:t>Central Telefónica o Instalaci</w:t>
      </w:r>
      <w:r w:rsidR="00EB4F94" w:rsidRPr="00D936CA">
        <w:rPr>
          <w:rFonts w:ascii="ITC Avant Garde" w:hAnsi="ITC Avant Garde"/>
          <w:sz w:val="22"/>
          <w:szCs w:val="22"/>
          <w:lang w:val="es-MX"/>
        </w:rPr>
        <w:t>ón</w:t>
      </w:r>
      <w:r w:rsidRPr="00D936CA">
        <w:rPr>
          <w:rFonts w:ascii="ITC Avant Garde" w:hAnsi="ITC Avant Garde"/>
          <w:sz w:val="22"/>
          <w:szCs w:val="22"/>
          <w:lang w:val="es-MX"/>
        </w:rPr>
        <w:t xml:space="preserve"> </w:t>
      </w:r>
      <w:r w:rsidR="009F58AF" w:rsidRPr="00D936CA">
        <w:rPr>
          <w:rFonts w:ascii="ITC Avant Garde" w:hAnsi="ITC Avant Garde"/>
          <w:sz w:val="22"/>
          <w:szCs w:val="22"/>
          <w:lang w:val="es-MX"/>
        </w:rPr>
        <w:t>Equivalente</w:t>
      </w:r>
      <w:r w:rsidRPr="00D936CA">
        <w:rPr>
          <w:rFonts w:ascii="ITC Avant Garde" w:hAnsi="ITC Avant Garde"/>
          <w:sz w:val="22"/>
          <w:szCs w:val="22"/>
          <w:lang w:val="es-MX"/>
        </w:rPr>
        <w:t xml:space="preserve"> sea acondicionada a solicitud de un CS, se notificará a los CS y al Instituto </w:t>
      </w:r>
      <w:r w:rsidR="00BA40E0" w:rsidRPr="00D936CA">
        <w:rPr>
          <w:rFonts w:ascii="ITC Avant Garde" w:hAnsi="ITC Avant Garde"/>
          <w:sz w:val="22"/>
          <w:szCs w:val="22"/>
          <w:lang w:val="es-MX"/>
        </w:rPr>
        <w:t>ya sea por escrito</w:t>
      </w:r>
      <w:r w:rsidR="006542EF">
        <w:rPr>
          <w:rFonts w:ascii="ITC Avant Garde" w:hAnsi="ITC Avant Garde"/>
          <w:sz w:val="22"/>
          <w:szCs w:val="22"/>
          <w:lang w:val="es-MX"/>
        </w:rPr>
        <w:t xml:space="preserve"> o</w:t>
      </w:r>
      <w:r w:rsidR="00BA40E0" w:rsidRPr="00D936CA">
        <w:rPr>
          <w:rFonts w:ascii="ITC Avant Garde" w:hAnsi="ITC Avant Garde"/>
          <w:sz w:val="22"/>
          <w:szCs w:val="22"/>
          <w:lang w:val="es-MX"/>
        </w:rPr>
        <w:t xml:space="preserve"> mediante</w:t>
      </w:r>
      <w:r w:rsidR="006062F6">
        <w:rPr>
          <w:rFonts w:ascii="ITC Avant Garde" w:hAnsi="ITC Avant Garde"/>
          <w:sz w:val="22"/>
          <w:szCs w:val="22"/>
          <w:lang w:val="es-MX"/>
        </w:rPr>
        <w:t xml:space="preserve"> e</w:t>
      </w:r>
      <w:r w:rsidR="00ED6B9D">
        <w:rPr>
          <w:rFonts w:ascii="ITC Avant Garde" w:hAnsi="ITC Avant Garde"/>
          <w:sz w:val="22"/>
          <w:szCs w:val="22"/>
          <w:lang w:val="es-MX"/>
        </w:rPr>
        <w:t>l SEG</w:t>
      </w:r>
      <w:r w:rsidR="00BA40E0" w:rsidRPr="00D936CA">
        <w:rPr>
          <w:rFonts w:ascii="ITC Avant Garde" w:hAnsi="ITC Avant Garde"/>
          <w:sz w:val="22"/>
          <w:szCs w:val="22"/>
          <w:lang w:val="es-MX"/>
        </w:rPr>
        <w:t>.</w:t>
      </w:r>
      <w:r w:rsidRPr="00D936CA">
        <w:rPr>
          <w:rFonts w:ascii="ITC Avant Garde" w:hAnsi="ITC Avant Garde"/>
          <w:sz w:val="22"/>
          <w:szCs w:val="22"/>
          <w:lang w:val="es-MX"/>
        </w:rPr>
        <w:t xml:space="preserve"> </w:t>
      </w:r>
      <w:r w:rsidR="00484BE8" w:rsidRPr="00D936CA">
        <w:rPr>
          <w:rFonts w:ascii="ITC Avant Garde" w:hAnsi="ITC Avant Garde"/>
          <w:sz w:val="22"/>
          <w:szCs w:val="22"/>
          <w:lang w:val="es-MX"/>
        </w:rPr>
        <w:t>El</w:t>
      </w:r>
      <w:r w:rsidRPr="00D936CA">
        <w:rPr>
          <w:rFonts w:ascii="ITC Avant Garde" w:hAnsi="ITC Avant Garde"/>
          <w:sz w:val="22"/>
          <w:szCs w:val="22"/>
          <w:lang w:val="es-MX"/>
        </w:rPr>
        <w:t xml:space="preserve"> listado será actualizado a más tardar un día hábil después de que fueron notificados los CS y el Instituto.</w:t>
      </w:r>
    </w:p>
    <w:p w14:paraId="33CFE707" w14:textId="77777777" w:rsidR="00530A32" w:rsidRPr="00D936CA" w:rsidRDefault="00011A1B" w:rsidP="00D936CA">
      <w:pPr>
        <w:pStyle w:val="Ttulo2"/>
        <w:numPr>
          <w:ilvl w:val="1"/>
          <w:numId w:val="143"/>
        </w:numPr>
        <w:ind w:left="851" w:hanging="425"/>
      </w:pPr>
      <w:bookmarkStart w:id="140" w:name="_Toc436840872"/>
      <w:bookmarkStart w:id="141" w:name="_Toc436846309"/>
      <w:bookmarkStart w:id="142" w:name="_Toc436848259"/>
      <w:bookmarkStart w:id="143" w:name="_Toc436856507"/>
      <w:bookmarkStart w:id="144" w:name="_Toc436862653"/>
      <w:bookmarkStart w:id="145" w:name="_Toc436866303"/>
      <w:bookmarkStart w:id="146" w:name="_Toc436870882"/>
      <w:bookmarkStart w:id="147" w:name="_Toc436875874"/>
      <w:bookmarkStart w:id="148" w:name="_Toc467248687"/>
      <w:bookmarkStart w:id="149" w:name="_Toc518031958"/>
      <w:r w:rsidRPr="00D936CA">
        <w:t>Pruebas de Primera Aplicación</w:t>
      </w:r>
      <w:bookmarkEnd w:id="140"/>
      <w:bookmarkEnd w:id="141"/>
      <w:bookmarkEnd w:id="142"/>
      <w:bookmarkEnd w:id="143"/>
      <w:bookmarkEnd w:id="144"/>
      <w:bookmarkEnd w:id="145"/>
      <w:bookmarkEnd w:id="146"/>
      <w:bookmarkEnd w:id="147"/>
      <w:bookmarkEnd w:id="148"/>
      <w:bookmarkEnd w:id="149"/>
    </w:p>
    <w:p w14:paraId="33CFE708" w14:textId="2429E07B" w:rsidR="003212C9"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Cualquier CS de manera individual o conjunta, previo al inicio de la prestación de servicios, puede solicitar que se realicen pruebas generales de la viabilidad de la implementación y procedimientos, es decir una prueba integral del servicio </w:t>
      </w:r>
      <w:r w:rsidRPr="00D936CA">
        <w:rPr>
          <w:rFonts w:ascii="ITC Avant Garde" w:hAnsi="ITC Avant Garde"/>
          <w:i/>
          <w:sz w:val="22"/>
          <w:szCs w:val="22"/>
          <w:lang w:val="es-MX"/>
        </w:rPr>
        <w:t>(First Office Application, FOA</w:t>
      </w:r>
      <w:r w:rsidRPr="00D936CA">
        <w:rPr>
          <w:rFonts w:ascii="ITC Avant Garde" w:hAnsi="ITC Avant Garde"/>
          <w:sz w:val="22"/>
          <w:szCs w:val="22"/>
          <w:lang w:val="es-MX"/>
        </w:rPr>
        <w:t>)</w:t>
      </w:r>
      <w:r w:rsidR="00371341" w:rsidRPr="00D936CA">
        <w:rPr>
          <w:rFonts w:ascii="ITC Avant Garde" w:hAnsi="ITC Avant Garde"/>
          <w:sz w:val="22"/>
          <w:szCs w:val="22"/>
          <w:lang w:val="es-MX"/>
        </w:rPr>
        <w:t>.</w:t>
      </w:r>
      <w:r w:rsidRPr="00D936CA">
        <w:rPr>
          <w:rFonts w:ascii="ITC Avant Garde" w:hAnsi="ITC Avant Garde"/>
          <w:sz w:val="22"/>
          <w:szCs w:val="22"/>
          <w:lang w:val="es-MX"/>
        </w:rPr>
        <w:t xml:space="preserve"> Las pruebas para los servicios de desagregación </w:t>
      </w:r>
      <w:r w:rsidR="00EB4F94" w:rsidRPr="00D936CA">
        <w:rPr>
          <w:rFonts w:ascii="ITC Avant Garde" w:hAnsi="ITC Avant Garde"/>
          <w:sz w:val="22"/>
          <w:szCs w:val="22"/>
          <w:lang w:val="es-MX"/>
        </w:rPr>
        <w:t xml:space="preserve">estarán </w:t>
      </w:r>
      <w:r w:rsidRPr="00D936CA">
        <w:rPr>
          <w:rFonts w:ascii="ITC Avant Garde" w:hAnsi="ITC Avant Garde"/>
          <w:sz w:val="22"/>
          <w:szCs w:val="22"/>
          <w:lang w:val="es-MX"/>
        </w:rPr>
        <w:t>asociadas a la solicitud, contratación, instalación, configuración, gestión, protocolos, movimientos (altas, bajas y cambios) y facturación</w:t>
      </w:r>
      <w:r w:rsidR="00711699" w:rsidRPr="00D936CA">
        <w:rPr>
          <w:rFonts w:ascii="ITC Avant Garde" w:hAnsi="ITC Avant Garde"/>
          <w:sz w:val="22"/>
          <w:szCs w:val="22"/>
          <w:lang w:val="es-MX"/>
        </w:rPr>
        <w:t>, o bien cualquier prueba que sea técnica y económicamente factible</w:t>
      </w:r>
      <w:r w:rsidRPr="00D936CA">
        <w:rPr>
          <w:rFonts w:ascii="ITC Avant Garde" w:hAnsi="ITC Avant Garde"/>
          <w:sz w:val="22"/>
          <w:szCs w:val="22"/>
          <w:lang w:val="es-MX"/>
        </w:rPr>
        <w:t xml:space="preserve">. Los gastos de las pruebas serán acordados entre las partes; la duración de la prueba será de un máximo de </w:t>
      </w:r>
      <w:r w:rsidR="00803E28" w:rsidRPr="00D936CA">
        <w:rPr>
          <w:rFonts w:ascii="ITC Avant Garde" w:hAnsi="ITC Avant Garde"/>
          <w:sz w:val="22"/>
          <w:szCs w:val="22"/>
          <w:lang w:val="es-MX"/>
        </w:rPr>
        <w:t>dos</w:t>
      </w:r>
      <w:r w:rsidRPr="00D936CA">
        <w:rPr>
          <w:rFonts w:ascii="ITC Avant Garde" w:hAnsi="ITC Avant Garde"/>
          <w:sz w:val="22"/>
          <w:szCs w:val="22"/>
          <w:lang w:val="es-MX"/>
        </w:rPr>
        <w:t xml:space="preserve"> periodos de facturación, excepto que se acuerde de manera distinta. Al finalizar las pruebas se entregará una copia de los resultados tanto al CS como al Instituto</w:t>
      </w:r>
      <w:r w:rsidR="00803E28" w:rsidRPr="00D936CA">
        <w:rPr>
          <w:rFonts w:ascii="ITC Avant Garde" w:hAnsi="ITC Avant Garde"/>
          <w:sz w:val="22"/>
          <w:szCs w:val="22"/>
          <w:lang w:val="es-MX"/>
        </w:rPr>
        <w:t>, además de que se harán disponibles en el SEG</w:t>
      </w:r>
      <w:r w:rsidRPr="00D936CA">
        <w:rPr>
          <w:rFonts w:ascii="ITC Avant Garde" w:hAnsi="ITC Avant Garde"/>
          <w:sz w:val="22"/>
          <w:szCs w:val="22"/>
          <w:lang w:val="es-MX"/>
        </w:rPr>
        <w:t>.</w:t>
      </w:r>
    </w:p>
    <w:p w14:paraId="33CFE709" w14:textId="77777777" w:rsidR="00530A32" w:rsidRPr="00D936CA" w:rsidRDefault="00011A1B" w:rsidP="00B50532">
      <w:pPr>
        <w:pStyle w:val="1TitPrin"/>
      </w:pPr>
      <w:bookmarkStart w:id="150" w:name="_Toc436840873"/>
      <w:bookmarkStart w:id="151" w:name="_Toc436846310"/>
      <w:bookmarkStart w:id="152" w:name="_Toc436848260"/>
      <w:bookmarkStart w:id="153" w:name="_Toc436856508"/>
      <w:bookmarkStart w:id="154" w:name="_Toc436862654"/>
      <w:bookmarkStart w:id="155" w:name="_Toc436866304"/>
      <w:bookmarkStart w:id="156" w:name="_Toc436870883"/>
      <w:bookmarkStart w:id="157" w:name="_Toc436875875"/>
      <w:bookmarkStart w:id="158" w:name="_Toc467248688"/>
      <w:bookmarkStart w:id="159" w:name="_Toc518031959"/>
      <w:r w:rsidRPr="00D936CA">
        <w:t>Información relacionada con los servicios</w:t>
      </w:r>
      <w:bookmarkEnd w:id="150"/>
      <w:bookmarkEnd w:id="151"/>
      <w:bookmarkEnd w:id="152"/>
      <w:bookmarkEnd w:id="153"/>
      <w:bookmarkEnd w:id="154"/>
      <w:bookmarkEnd w:id="155"/>
      <w:bookmarkEnd w:id="156"/>
      <w:bookmarkEnd w:id="157"/>
      <w:bookmarkEnd w:id="158"/>
      <w:bookmarkEnd w:id="159"/>
    </w:p>
    <w:p w14:paraId="33CFE70A" w14:textId="4F359DC8" w:rsidR="00F03608"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La información con la que cuenta Telmex se pon</w:t>
      </w:r>
      <w:r w:rsidR="00CA6209" w:rsidRPr="00D936CA">
        <w:rPr>
          <w:rFonts w:ascii="ITC Avant Garde" w:hAnsi="ITC Avant Garde"/>
          <w:sz w:val="22"/>
          <w:szCs w:val="22"/>
          <w:lang w:val="es-MX"/>
        </w:rPr>
        <w:t>e</w:t>
      </w:r>
      <w:r w:rsidRPr="00D936CA">
        <w:rPr>
          <w:rFonts w:ascii="ITC Avant Garde" w:hAnsi="ITC Avant Garde"/>
          <w:sz w:val="22"/>
          <w:szCs w:val="22"/>
          <w:lang w:val="es-MX"/>
        </w:rPr>
        <w:t xml:space="preserve"> a disposición de los </w:t>
      </w:r>
      <w:r w:rsidR="00901333" w:rsidRPr="00D936CA">
        <w:rPr>
          <w:rFonts w:ascii="ITC Avant Garde" w:hAnsi="ITC Avant Garde"/>
          <w:sz w:val="22"/>
          <w:szCs w:val="22"/>
          <w:lang w:val="es-MX"/>
        </w:rPr>
        <w:t>CS</w:t>
      </w:r>
      <w:r w:rsidRPr="00D936CA">
        <w:rPr>
          <w:rFonts w:ascii="ITC Avant Garde" w:hAnsi="ITC Avant Garde"/>
          <w:sz w:val="22"/>
          <w:szCs w:val="22"/>
          <w:lang w:val="es-MX"/>
        </w:rPr>
        <w:t xml:space="preserve"> a través de una interfaz en el sitio de Internet en el que Telmex </w:t>
      </w:r>
      <w:r w:rsidR="00CA6209" w:rsidRPr="00D936CA">
        <w:rPr>
          <w:rFonts w:ascii="ITC Avant Garde" w:hAnsi="ITC Avant Garde"/>
          <w:sz w:val="22"/>
          <w:szCs w:val="22"/>
          <w:lang w:val="es-MX"/>
        </w:rPr>
        <w:t xml:space="preserve">publica </w:t>
      </w:r>
      <w:r w:rsidRPr="00D936CA">
        <w:rPr>
          <w:rFonts w:ascii="ITC Avant Garde" w:hAnsi="ITC Avant Garde"/>
          <w:sz w:val="22"/>
          <w:szCs w:val="22"/>
          <w:lang w:val="es-MX"/>
        </w:rPr>
        <w:t>su OREDA o a través del SEG</w:t>
      </w:r>
      <w:r w:rsidR="00EB4F94" w:rsidRPr="00D936CA">
        <w:rPr>
          <w:rFonts w:ascii="ITC Avant Garde" w:hAnsi="ITC Avant Garde"/>
          <w:sz w:val="22"/>
          <w:szCs w:val="22"/>
          <w:lang w:val="es-MX"/>
        </w:rPr>
        <w:t>.</w:t>
      </w:r>
      <w:r w:rsidRPr="00D936CA">
        <w:rPr>
          <w:rFonts w:ascii="ITC Avant Garde" w:hAnsi="ITC Avant Garde"/>
          <w:sz w:val="22"/>
          <w:szCs w:val="22"/>
          <w:lang w:val="es-MX"/>
        </w:rPr>
        <w:t xml:space="preserve"> </w:t>
      </w:r>
      <w:r w:rsidR="00F03608" w:rsidRPr="00D936CA">
        <w:rPr>
          <w:rFonts w:ascii="ITC Avant Garde" w:hAnsi="ITC Avant Garde"/>
          <w:sz w:val="22"/>
          <w:szCs w:val="22"/>
          <w:lang w:val="es-MX"/>
        </w:rPr>
        <w:t xml:space="preserve">Telmex utilizará el SEG para </w:t>
      </w:r>
      <w:r w:rsidR="00E00E5F" w:rsidRPr="00D936CA">
        <w:rPr>
          <w:rFonts w:ascii="ITC Avant Garde" w:hAnsi="ITC Avant Garde"/>
          <w:sz w:val="22"/>
          <w:szCs w:val="22"/>
          <w:lang w:val="es-MX"/>
        </w:rPr>
        <w:t>sus propias operaciones</w:t>
      </w:r>
      <w:r w:rsidR="00F03608" w:rsidRPr="00D936CA">
        <w:rPr>
          <w:rFonts w:ascii="ITC Avant Garde" w:hAnsi="ITC Avant Garde"/>
          <w:sz w:val="22"/>
          <w:szCs w:val="22"/>
          <w:lang w:val="es-MX"/>
        </w:rPr>
        <w:t xml:space="preserve">, así como </w:t>
      </w:r>
      <w:r w:rsidR="00E00E5F" w:rsidRPr="00D936CA">
        <w:rPr>
          <w:rFonts w:ascii="ITC Avant Garde" w:hAnsi="ITC Avant Garde"/>
          <w:sz w:val="22"/>
          <w:szCs w:val="22"/>
          <w:lang w:val="es-MX"/>
        </w:rPr>
        <w:t xml:space="preserve">las realizadas </w:t>
      </w:r>
      <w:r w:rsidR="00F03608" w:rsidRPr="00D936CA">
        <w:rPr>
          <w:rFonts w:ascii="ITC Avant Garde" w:hAnsi="ITC Avant Garde"/>
          <w:sz w:val="22"/>
          <w:szCs w:val="22"/>
          <w:lang w:val="es-MX"/>
        </w:rPr>
        <w:t>por sus filiales y subsidiarias, por lo que tanto Telmex como los CS contarán con los mismos sistemas</w:t>
      </w:r>
      <w:r w:rsidR="00C169AA" w:rsidRPr="00D936CA">
        <w:rPr>
          <w:rFonts w:ascii="ITC Avant Garde" w:hAnsi="ITC Avant Garde"/>
          <w:sz w:val="22"/>
          <w:szCs w:val="22"/>
          <w:lang w:val="es-MX"/>
        </w:rPr>
        <w:t xml:space="preserve">, herramientas de consulta e </w:t>
      </w:r>
      <w:r w:rsidR="001260A8" w:rsidRPr="00D936CA">
        <w:rPr>
          <w:rFonts w:ascii="ITC Avant Garde" w:hAnsi="ITC Avant Garde"/>
          <w:sz w:val="22"/>
          <w:szCs w:val="22"/>
          <w:lang w:val="es-MX"/>
        </w:rPr>
        <w:t>información</w:t>
      </w:r>
      <w:r w:rsidR="00F03608" w:rsidRPr="00D936CA">
        <w:rPr>
          <w:rFonts w:ascii="ITC Avant Garde" w:hAnsi="ITC Avant Garde"/>
          <w:sz w:val="22"/>
          <w:szCs w:val="22"/>
          <w:lang w:val="es-MX"/>
        </w:rPr>
        <w:t>.</w:t>
      </w:r>
    </w:p>
    <w:p w14:paraId="33CFE70B" w14:textId="408CB105" w:rsidR="001260A8" w:rsidRPr="00D936CA" w:rsidRDefault="00EB4F94"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Dicha</w:t>
      </w:r>
      <w:r w:rsidR="00011A1B" w:rsidRPr="00D936CA">
        <w:rPr>
          <w:rFonts w:ascii="ITC Avant Garde" w:hAnsi="ITC Avant Garde"/>
          <w:sz w:val="22"/>
          <w:szCs w:val="22"/>
          <w:lang w:val="es-MX"/>
        </w:rPr>
        <w:t xml:space="preserve"> información corresponde a aquella con la que Telmex cuenta para su propia operación tanto en términos cuantitativos como cualitativos, </w:t>
      </w:r>
      <w:r w:rsidR="00E7019C" w:rsidRPr="00D936CA">
        <w:rPr>
          <w:rFonts w:ascii="ITC Avant Garde" w:hAnsi="ITC Avant Garde"/>
          <w:sz w:val="22"/>
          <w:szCs w:val="22"/>
          <w:lang w:val="es-MX"/>
        </w:rPr>
        <w:t xml:space="preserve">y refleja la misma precisión en los datos que se usa en la operación de Telmex, </w:t>
      </w:r>
      <w:r w:rsidR="00011A1B" w:rsidRPr="00D936CA">
        <w:rPr>
          <w:rFonts w:ascii="ITC Avant Garde" w:hAnsi="ITC Avant Garde"/>
          <w:sz w:val="22"/>
          <w:szCs w:val="22"/>
          <w:lang w:val="es-MX"/>
        </w:rPr>
        <w:t xml:space="preserve">en el entendido de que la </w:t>
      </w:r>
      <w:r w:rsidR="00011A1B" w:rsidRPr="00D936CA" w:rsidDel="00264243">
        <w:rPr>
          <w:rFonts w:ascii="ITC Avant Garde" w:hAnsi="ITC Avant Garde"/>
          <w:sz w:val="22"/>
          <w:szCs w:val="22"/>
          <w:lang w:val="es-MX"/>
        </w:rPr>
        <w:t xml:space="preserve">información </w:t>
      </w:r>
      <w:r w:rsidR="00264243" w:rsidRPr="00D936CA">
        <w:rPr>
          <w:rFonts w:ascii="ITC Avant Garde" w:hAnsi="ITC Avant Garde"/>
          <w:sz w:val="22"/>
          <w:szCs w:val="22"/>
          <w:lang w:val="es-MX"/>
        </w:rPr>
        <w:t>es modificada</w:t>
      </w:r>
      <w:r w:rsidR="00011A1B" w:rsidRPr="00D936CA">
        <w:rPr>
          <w:rFonts w:ascii="ITC Avant Garde" w:hAnsi="ITC Avant Garde"/>
          <w:sz w:val="22"/>
          <w:szCs w:val="22"/>
          <w:lang w:val="es-MX"/>
        </w:rPr>
        <w:t xml:space="preserve"> derivado de la operación diaria y está sujeta a la variabilidad propia del levantamiento de información</w:t>
      </w:r>
      <w:r w:rsidR="00D71895" w:rsidRPr="00D936CA">
        <w:rPr>
          <w:rFonts w:ascii="ITC Avant Garde" w:hAnsi="ITC Avant Garde"/>
          <w:sz w:val="22"/>
          <w:szCs w:val="22"/>
          <w:lang w:val="es-MX"/>
        </w:rPr>
        <w:t xml:space="preserve">. </w:t>
      </w:r>
      <w:r w:rsidR="0042228E">
        <w:rPr>
          <w:rFonts w:ascii="ITC Avant Garde" w:hAnsi="ITC Avant Garde"/>
          <w:sz w:val="22"/>
          <w:szCs w:val="22"/>
          <w:lang w:val="es-MX"/>
        </w:rPr>
        <w:t>E</w:t>
      </w:r>
      <w:r w:rsidR="001260A8" w:rsidRPr="00D936CA">
        <w:rPr>
          <w:rFonts w:ascii="ITC Avant Garde" w:hAnsi="ITC Avant Garde"/>
          <w:sz w:val="22"/>
          <w:szCs w:val="22"/>
          <w:lang w:val="es-MX"/>
        </w:rPr>
        <w:t xml:space="preserve">n el SEG, tanto Telmex como los CS tendrán acceso a la </w:t>
      </w:r>
      <w:r w:rsidR="001260A8" w:rsidRPr="00D936CA">
        <w:rPr>
          <w:rFonts w:ascii="ITC Avant Garde" w:hAnsi="ITC Avant Garde"/>
          <w:sz w:val="22"/>
          <w:szCs w:val="22"/>
          <w:lang w:val="es-MX"/>
        </w:rPr>
        <w:lastRenderedPageBreak/>
        <w:t xml:space="preserve">misma información con el mismo grado de </w:t>
      </w:r>
      <w:r w:rsidR="00284BE7" w:rsidRPr="00D936CA">
        <w:rPr>
          <w:rFonts w:ascii="ITC Avant Garde" w:hAnsi="ITC Avant Garde"/>
          <w:sz w:val="22"/>
          <w:szCs w:val="22"/>
          <w:lang w:val="es-MX"/>
        </w:rPr>
        <w:t>variabilidad</w:t>
      </w:r>
      <w:r w:rsidR="001260A8" w:rsidRPr="00D936CA">
        <w:rPr>
          <w:rFonts w:ascii="ITC Avant Garde" w:hAnsi="ITC Avant Garde"/>
          <w:sz w:val="22"/>
          <w:szCs w:val="22"/>
          <w:lang w:val="es-MX"/>
        </w:rPr>
        <w:t>, ya que Telmex usará el propio SEG para acce</w:t>
      </w:r>
      <w:r w:rsidR="00817A0A" w:rsidRPr="00D936CA">
        <w:rPr>
          <w:rFonts w:ascii="ITC Avant Garde" w:hAnsi="ITC Avant Garde"/>
          <w:sz w:val="22"/>
          <w:szCs w:val="22"/>
          <w:lang w:val="es-MX"/>
        </w:rPr>
        <w:t>der a la</w:t>
      </w:r>
      <w:r w:rsidR="00065295" w:rsidRPr="00D936CA">
        <w:rPr>
          <w:rFonts w:ascii="ITC Avant Garde" w:hAnsi="ITC Avant Garde"/>
          <w:sz w:val="22"/>
          <w:szCs w:val="22"/>
          <w:lang w:val="es-MX"/>
        </w:rPr>
        <w:t xml:space="preserve"> </w:t>
      </w:r>
      <w:r w:rsidR="00817A0A" w:rsidRPr="00D936CA">
        <w:rPr>
          <w:rFonts w:ascii="ITC Avant Garde" w:hAnsi="ITC Avant Garde"/>
          <w:sz w:val="22"/>
          <w:szCs w:val="22"/>
          <w:lang w:val="es-MX"/>
        </w:rPr>
        <w:t>información.</w:t>
      </w:r>
    </w:p>
    <w:p w14:paraId="33CFE70C" w14:textId="77777777" w:rsidR="00A76D1C" w:rsidRPr="00D936CA" w:rsidRDefault="001260A8"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La</w:t>
      </w:r>
      <w:r w:rsidR="00011A1B" w:rsidRPr="00D936CA">
        <w:rPr>
          <w:rFonts w:ascii="ITC Avant Garde" w:hAnsi="ITC Avant Garde"/>
          <w:sz w:val="22"/>
          <w:szCs w:val="22"/>
          <w:lang w:val="es-MX"/>
        </w:rPr>
        <w:t xml:space="preserve"> información que se </w:t>
      </w:r>
      <w:r w:rsidR="00CA6209" w:rsidRPr="00D936CA">
        <w:rPr>
          <w:rFonts w:ascii="ITC Avant Garde" w:hAnsi="ITC Avant Garde"/>
          <w:sz w:val="22"/>
          <w:szCs w:val="22"/>
          <w:lang w:val="es-MX"/>
        </w:rPr>
        <w:t xml:space="preserve">pone </w:t>
      </w:r>
      <w:r w:rsidR="00011A1B" w:rsidRPr="00D936CA">
        <w:rPr>
          <w:rFonts w:ascii="ITC Avant Garde" w:hAnsi="ITC Avant Garde"/>
          <w:sz w:val="22"/>
          <w:szCs w:val="22"/>
          <w:lang w:val="es-MX"/>
        </w:rPr>
        <w:t>a disposición de los CS</w:t>
      </w:r>
      <w:r w:rsidR="00E7019C" w:rsidRPr="00D936CA">
        <w:rPr>
          <w:rFonts w:ascii="ITC Avant Garde" w:hAnsi="ITC Avant Garde"/>
          <w:sz w:val="22"/>
          <w:szCs w:val="22"/>
          <w:lang w:val="es-MX"/>
        </w:rPr>
        <w:t xml:space="preserve"> para la elaboración de sus planes básicos de negocio que les permita determinar su interés en los servicios de desagregación</w:t>
      </w:r>
      <w:r w:rsidR="00F03608" w:rsidRPr="00D936CA">
        <w:rPr>
          <w:rFonts w:ascii="ITC Avant Garde" w:hAnsi="ITC Avant Garde"/>
          <w:sz w:val="22"/>
          <w:szCs w:val="22"/>
          <w:lang w:val="es-MX"/>
        </w:rPr>
        <w:t>, se</w:t>
      </w:r>
      <w:r w:rsidR="00011A1B" w:rsidRPr="00D936CA">
        <w:rPr>
          <w:rFonts w:ascii="ITC Avant Garde" w:hAnsi="ITC Avant Garde"/>
          <w:sz w:val="22"/>
          <w:szCs w:val="22"/>
          <w:lang w:val="es-MX"/>
        </w:rPr>
        <w:t xml:space="preserve"> clasifica en 2 tipos:</w:t>
      </w:r>
    </w:p>
    <w:p w14:paraId="33CFE70D" w14:textId="77777777" w:rsidR="00A76D1C" w:rsidRPr="00D936CA" w:rsidRDefault="00011A1B" w:rsidP="00D936CA">
      <w:pPr>
        <w:pStyle w:val="Prrafodelista"/>
        <w:numPr>
          <w:ilvl w:val="0"/>
          <w:numId w:val="46"/>
        </w:numPr>
        <w:spacing w:after="200" w:line="276" w:lineRule="auto"/>
        <w:jc w:val="both"/>
        <w:rPr>
          <w:rFonts w:ascii="ITC Avant Garde" w:hAnsi="ITC Avant Garde"/>
          <w:sz w:val="22"/>
          <w:szCs w:val="22"/>
          <w:lang w:val="es-MX"/>
        </w:rPr>
      </w:pPr>
      <w:r w:rsidRPr="00D936CA">
        <w:rPr>
          <w:rFonts w:ascii="ITC Avant Garde" w:hAnsi="ITC Avant Garde"/>
          <w:b/>
          <w:sz w:val="22"/>
          <w:szCs w:val="22"/>
        </w:rPr>
        <w:t xml:space="preserve">Información tipo </w:t>
      </w:r>
      <w:r w:rsidR="00610E6F" w:rsidRPr="00D936CA">
        <w:rPr>
          <w:rFonts w:ascii="ITC Avant Garde" w:hAnsi="ITC Avant Garde"/>
          <w:b/>
          <w:sz w:val="22"/>
          <w:szCs w:val="22"/>
        </w:rPr>
        <w:t>“</w:t>
      </w:r>
      <w:r w:rsidRPr="00D936CA">
        <w:rPr>
          <w:rFonts w:ascii="ITC Avant Garde" w:hAnsi="ITC Avant Garde"/>
          <w:b/>
          <w:sz w:val="22"/>
          <w:szCs w:val="22"/>
        </w:rPr>
        <w:t>a</w:t>
      </w:r>
      <w:r w:rsidR="00610E6F" w:rsidRPr="00D936CA">
        <w:rPr>
          <w:rFonts w:ascii="ITC Avant Garde" w:hAnsi="ITC Avant Garde"/>
          <w:b/>
          <w:sz w:val="22"/>
          <w:szCs w:val="22"/>
        </w:rPr>
        <w:t>”</w:t>
      </w:r>
      <w:r w:rsidRPr="00D936CA">
        <w:rPr>
          <w:rFonts w:ascii="ITC Avant Garde" w:hAnsi="ITC Avant Garde"/>
          <w:sz w:val="22"/>
          <w:szCs w:val="22"/>
        </w:rPr>
        <w:t>:</w:t>
      </w:r>
      <w:r w:rsidRPr="00D936CA">
        <w:rPr>
          <w:rFonts w:ascii="ITC Avant Garde" w:hAnsi="ITC Avant Garde"/>
          <w:sz w:val="22"/>
          <w:szCs w:val="22"/>
          <w:lang w:val="es-MX"/>
        </w:rPr>
        <w:t xml:space="preserve"> información básica que será accesible a partir de la publicación de la OREDA mediante la</w:t>
      </w:r>
      <w:r w:rsidR="00CA6209" w:rsidRPr="00D936CA">
        <w:rPr>
          <w:rFonts w:ascii="ITC Avant Garde" w:hAnsi="ITC Avant Garde"/>
          <w:sz w:val="22"/>
          <w:szCs w:val="22"/>
          <w:lang w:val="es-MX"/>
        </w:rPr>
        <w:t xml:space="preserve"> consulta y</w:t>
      </w:r>
      <w:r w:rsidRPr="00D936CA">
        <w:rPr>
          <w:rFonts w:ascii="ITC Avant Garde" w:hAnsi="ITC Avant Garde"/>
          <w:sz w:val="22"/>
          <w:szCs w:val="22"/>
          <w:lang w:val="es-MX"/>
        </w:rPr>
        <w:t xml:space="preserve"> descarga de bases de datos conformada por archivos actualizados antes de firmar el Convenio de Desagregación</w:t>
      </w:r>
      <w:r w:rsidR="00CA6209" w:rsidRPr="00D936CA">
        <w:rPr>
          <w:rFonts w:ascii="ITC Avant Garde" w:hAnsi="ITC Avant Garde"/>
          <w:sz w:val="22"/>
          <w:szCs w:val="22"/>
          <w:lang w:val="es-MX"/>
        </w:rPr>
        <w:t>.</w:t>
      </w:r>
    </w:p>
    <w:p w14:paraId="33CFE70E" w14:textId="77777777" w:rsidR="00530A32" w:rsidRPr="00D936CA" w:rsidRDefault="00011A1B" w:rsidP="00D936CA">
      <w:pPr>
        <w:pStyle w:val="Prrafodelista"/>
        <w:numPr>
          <w:ilvl w:val="0"/>
          <w:numId w:val="46"/>
        </w:numPr>
        <w:spacing w:after="200" w:line="276" w:lineRule="auto"/>
        <w:jc w:val="both"/>
        <w:rPr>
          <w:rFonts w:ascii="ITC Avant Garde" w:hAnsi="ITC Avant Garde"/>
          <w:sz w:val="22"/>
          <w:szCs w:val="22"/>
          <w:lang w:val="es-MX"/>
        </w:rPr>
      </w:pPr>
      <w:r w:rsidRPr="00D936CA">
        <w:rPr>
          <w:rFonts w:ascii="ITC Avant Garde" w:hAnsi="ITC Avant Garde"/>
          <w:b/>
          <w:sz w:val="22"/>
          <w:szCs w:val="22"/>
          <w:lang w:val="es-MX"/>
        </w:rPr>
        <w:t xml:space="preserve">Información tipo </w:t>
      </w:r>
      <w:r w:rsidR="00610E6F" w:rsidRPr="00D936CA">
        <w:rPr>
          <w:rFonts w:ascii="ITC Avant Garde" w:hAnsi="ITC Avant Garde"/>
          <w:b/>
          <w:sz w:val="22"/>
          <w:szCs w:val="22"/>
          <w:lang w:val="es-MX"/>
        </w:rPr>
        <w:t>“</w:t>
      </w:r>
      <w:r w:rsidRPr="00D936CA">
        <w:rPr>
          <w:rFonts w:ascii="ITC Avant Garde" w:hAnsi="ITC Avant Garde"/>
          <w:b/>
          <w:sz w:val="22"/>
          <w:szCs w:val="22"/>
          <w:lang w:val="es-MX"/>
        </w:rPr>
        <w:t>b</w:t>
      </w:r>
      <w:r w:rsidR="00610E6F" w:rsidRPr="00D936CA">
        <w:rPr>
          <w:rFonts w:ascii="ITC Avant Garde" w:hAnsi="ITC Avant Garde"/>
          <w:b/>
          <w:sz w:val="22"/>
          <w:szCs w:val="22"/>
          <w:lang w:val="es-MX"/>
        </w:rPr>
        <w:t>”</w:t>
      </w:r>
      <w:r w:rsidRPr="00D936CA">
        <w:rPr>
          <w:rFonts w:ascii="ITC Avant Garde" w:hAnsi="ITC Avant Garde"/>
          <w:b/>
          <w:sz w:val="22"/>
          <w:szCs w:val="22"/>
          <w:lang w:val="es-MX"/>
        </w:rPr>
        <w:t>:</w:t>
      </w:r>
      <w:r w:rsidRPr="00D936CA">
        <w:rPr>
          <w:rFonts w:ascii="ITC Avant Garde" w:hAnsi="ITC Avant Garde"/>
          <w:sz w:val="22"/>
          <w:szCs w:val="22"/>
          <w:lang w:val="es-MX"/>
        </w:rPr>
        <w:t xml:space="preserve"> Información detallada </w:t>
      </w:r>
      <w:r w:rsidR="00A6063A" w:rsidRPr="00D936CA">
        <w:rPr>
          <w:rFonts w:ascii="ITC Avant Garde" w:hAnsi="ITC Avant Garde"/>
          <w:sz w:val="22"/>
          <w:szCs w:val="22"/>
          <w:lang w:val="es-MX"/>
        </w:rPr>
        <w:t xml:space="preserve">accesible a partir de la publicación de la OREDA y después de firmar el Convenio de Desagregación asociada a variables como </w:t>
      </w:r>
      <w:r w:rsidRPr="00D936CA">
        <w:rPr>
          <w:rFonts w:ascii="ITC Avant Garde" w:hAnsi="ITC Avant Garde"/>
          <w:sz w:val="22"/>
          <w:szCs w:val="22"/>
          <w:lang w:val="es-MX"/>
        </w:rPr>
        <w:t>número de teléfono, número de usuario</w:t>
      </w:r>
      <w:r w:rsidR="00F34298" w:rsidRPr="00D936CA">
        <w:rPr>
          <w:rFonts w:ascii="ITC Avant Garde" w:hAnsi="ITC Avant Garde"/>
          <w:sz w:val="22"/>
          <w:szCs w:val="22"/>
          <w:lang w:val="es-MX"/>
        </w:rPr>
        <w:t xml:space="preserve"> o dirección en específico</w:t>
      </w:r>
      <w:r w:rsidRPr="00D936CA">
        <w:rPr>
          <w:rFonts w:ascii="ITC Avant Garde" w:hAnsi="ITC Avant Garde"/>
          <w:sz w:val="22"/>
          <w:szCs w:val="22"/>
          <w:lang w:val="es-MX"/>
        </w:rPr>
        <w:t>.</w:t>
      </w:r>
    </w:p>
    <w:p w14:paraId="33CFE70F" w14:textId="59C5784C" w:rsidR="00530A32"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La información tipo </w:t>
      </w:r>
      <w:r w:rsidR="00610E6F" w:rsidRPr="00D936CA">
        <w:rPr>
          <w:rFonts w:ascii="ITC Avant Garde" w:hAnsi="ITC Avant Garde"/>
          <w:sz w:val="22"/>
          <w:szCs w:val="22"/>
          <w:lang w:val="es-MX"/>
        </w:rPr>
        <w:t>“</w:t>
      </w:r>
      <w:r w:rsidRPr="00D936CA">
        <w:rPr>
          <w:rFonts w:ascii="ITC Avant Garde" w:hAnsi="ITC Avant Garde"/>
          <w:sz w:val="22"/>
          <w:szCs w:val="22"/>
          <w:lang w:val="es-MX"/>
        </w:rPr>
        <w:t>a</w:t>
      </w:r>
      <w:r w:rsidR="00610E6F" w:rsidRPr="00D936CA">
        <w:rPr>
          <w:rFonts w:ascii="ITC Avant Garde" w:hAnsi="ITC Avant Garde"/>
          <w:sz w:val="22"/>
          <w:szCs w:val="22"/>
          <w:lang w:val="es-MX"/>
        </w:rPr>
        <w:t>”</w:t>
      </w:r>
      <w:r w:rsidRPr="00D936CA">
        <w:rPr>
          <w:rFonts w:ascii="ITC Avant Garde" w:hAnsi="ITC Avant Garde"/>
          <w:sz w:val="22"/>
          <w:szCs w:val="22"/>
          <w:lang w:val="es-MX"/>
        </w:rPr>
        <w:t xml:space="preserve"> </w:t>
      </w:r>
      <w:r w:rsidR="00E7019C" w:rsidRPr="00D936CA">
        <w:rPr>
          <w:rFonts w:ascii="ITC Avant Garde" w:hAnsi="ITC Avant Garde"/>
          <w:sz w:val="22"/>
          <w:szCs w:val="22"/>
          <w:lang w:val="es-MX"/>
        </w:rPr>
        <w:t xml:space="preserve">y tipo “b” </w:t>
      </w:r>
      <w:r w:rsidRPr="00D936CA">
        <w:rPr>
          <w:rFonts w:ascii="ITC Avant Garde" w:hAnsi="ITC Avant Garde"/>
          <w:sz w:val="22"/>
          <w:szCs w:val="22"/>
          <w:lang w:val="es-MX"/>
        </w:rPr>
        <w:t xml:space="preserve">se pondrá a disposición de los </w:t>
      </w:r>
      <w:r w:rsidR="0091726E" w:rsidRPr="00D936CA">
        <w:rPr>
          <w:rFonts w:ascii="ITC Avant Garde" w:hAnsi="ITC Avant Garde"/>
          <w:sz w:val="22"/>
          <w:szCs w:val="22"/>
          <w:lang w:val="es-MX"/>
        </w:rPr>
        <w:t>CS</w:t>
      </w:r>
      <w:r w:rsidRPr="00D936CA">
        <w:rPr>
          <w:rFonts w:ascii="ITC Avant Garde" w:hAnsi="ITC Avant Garde"/>
          <w:sz w:val="22"/>
          <w:szCs w:val="22"/>
          <w:lang w:val="es-MX"/>
        </w:rPr>
        <w:t xml:space="preserve"> a través de la interfaz que se habilitará en la página de internet donde se publique la </w:t>
      </w:r>
      <w:r w:rsidR="00CA026A" w:rsidRPr="00D936CA">
        <w:rPr>
          <w:rFonts w:ascii="ITC Avant Garde" w:hAnsi="ITC Avant Garde"/>
          <w:sz w:val="22"/>
          <w:szCs w:val="22"/>
          <w:lang w:val="es-MX"/>
        </w:rPr>
        <w:t>OREDA</w:t>
      </w:r>
      <w:r w:rsidRPr="00D936CA">
        <w:rPr>
          <w:rFonts w:ascii="ITC Avant Garde" w:hAnsi="ITC Avant Garde"/>
          <w:sz w:val="22"/>
          <w:szCs w:val="22"/>
          <w:lang w:val="es-MX"/>
        </w:rPr>
        <w:t xml:space="preserve">, para lo cual se </w:t>
      </w:r>
      <w:r w:rsidR="004D2621" w:rsidRPr="00D936CA">
        <w:rPr>
          <w:rFonts w:ascii="ITC Avant Garde" w:hAnsi="ITC Avant Garde"/>
          <w:sz w:val="22"/>
          <w:szCs w:val="22"/>
          <w:lang w:val="es-MX"/>
        </w:rPr>
        <w:t>asignarán usuarios</w:t>
      </w:r>
      <w:r w:rsidRPr="00D936CA">
        <w:rPr>
          <w:rFonts w:ascii="ITC Avant Garde" w:hAnsi="ITC Avant Garde"/>
          <w:sz w:val="22"/>
          <w:szCs w:val="22"/>
          <w:lang w:val="es-MX"/>
        </w:rPr>
        <w:t xml:space="preserve"> y contraseña</w:t>
      </w:r>
      <w:r w:rsidR="00E7019C" w:rsidRPr="00D936CA">
        <w:rPr>
          <w:rFonts w:ascii="ITC Avant Garde" w:hAnsi="ITC Avant Garde"/>
          <w:sz w:val="22"/>
          <w:szCs w:val="22"/>
          <w:lang w:val="es-MX"/>
        </w:rPr>
        <w:t>s</w:t>
      </w:r>
      <w:r w:rsidRPr="00D936CA">
        <w:rPr>
          <w:rFonts w:ascii="ITC Avant Garde" w:hAnsi="ITC Avant Garde"/>
          <w:sz w:val="22"/>
          <w:szCs w:val="22"/>
          <w:lang w:val="es-MX"/>
        </w:rPr>
        <w:t xml:space="preserve"> </w:t>
      </w:r>
      <w:r w:rsidR="00E7019C" w:rsidRPr="00D936CA">
        <w:rPr>
          <w:rFonts w:ascii="ITC Avant Garde" w:hAnsi="ITC Avant Garde"/>
          <w:sz w:val="22"/>
          <w:szCs w:val="22"/>
          <w:lang w:val="es-MX"/>
        </w:rPr>
        <w:t xml:space="preserve">a solicitud de los </w:t>
      </w:r>
      <w:r w:rsidR="0091726E" w:rsidRPr="00D936CA">
        <w:rPr>
          <w:rFonts w:ascii="ITC Avant Garde" w:hAnsi="ITC Avant Garde"/>
          <w:sz w:val="22"/>
          <w:szCs w:val="22"/>
          <w:lang w:val="es-MX"/>
        </w:rPr>
        <w:t>CS</w:t>
      </w:r>
      <w:r w:rsidRPr="00D936CA">
        <w:rPr>
          <w:rFonts w:ascii="ITC Avant Garde" w:hAnsi="ITC Avant Garde"/>
          <w:sz w:val="22"/>
          <w:szCs w:val="22"/>
          <w:lang w:val="es-MX"/>
        </w:rPr>
        <w:t>. L</w:t>
      </w:r>
      <w:r w:rsidR="00E7019C" w:rsidRPr="00D936CA">
        <w:rPr>
          <w:rFonts w:ascii="ITC Avant Garde" w:hAnsi="ITC Avant Garde"/>
          <w:sz w:val="22"/>
          <w:szCs w:val="22"/>
          <w:lang w:val="es-MX"/>
        </w:rPr>
        <w:t>os CS también podrán acceder a l</w:t>
      </w:r>
      <w:r w:rsidRPr="00D936CA">
        <w:rPr>
          <w:rFonts w:ascii="ITC Avant Garde" w:hAnsi="ITC Avant Garde"/>
          <w:sz w:val="22"/>
          <w:szCs w:val="22"/>
          <w:lang w:val="es-MX"/>
        </w:rPr>
        <w:t xml:space="preserve">a información tipo </w:t>
      </w:r>
      <w:r w:rsidR="00F865C7" w:rsidRPr="00D936CA">
        <w:rPr>
          <w:rFonts w:ascii="ITC Avant Garde" w:hAnsi="ITC Avant Garde"/>
          <w:sz w:val="22"/>
          <w:szCs w:val="22"/>
          <w:lang w:val="es-MX"/>
        </w:rPr>
        <w:t>“</w:t>
      </w:r>
      <w:r w:rsidRPr="00D936CA">
        <w:rPr>
          <w:rFonts w:ascii="ITC Avant Garde" w:hAnsi="ITC Avant Garde"/>
          <w:sz w:val="22"/>
          <w:szCs w:val="22"/>
          <w:lang w:val="es-MX"/>
        </w:rPr>
        <w:t>a</w:t>
      </w:r>
      <w:r w:rsidR="00F865C7" w:rsidRPr="00D936CA">
        <w:rPr>
          <w:rFonts w:ascii="ITC Avant Garde" w:hAnsi="ITC Avant Garde"/>
          <w:sz w:val="22"/>
          <w:szCs w:val="22"/>
          <w:lang w:val="es-MX"/>
        </w:rPr>
        <w:t>”</w:t>
      </w:r>
      <w:r w:rsidRPr="00D936CA">
        <w:rPr>
          <w:rFonts w:ascii="ITC Avant Garde" w:hAnsi="ITC Avant Garde"/>
          <w:sz w:val="22"/>
          <w:szCs w:val="22"/>
          <w:lang w:val="es-MX"/>
        </w:rPr>
        <w:t xml:space="preserve"> y </w:t>
      </w:r>
      <w:r w:rsidR="00F865C7" w:rsidRPr="00D936CA">
        <w:rPr>
          <w:rFonts w:ascii="ITC Avant Garde" w:hAnsi="ITC Avant Garde"/>
          <w:sz w:val="22"/>
          <w:szCs w:val="22"/>
          <w:lang w:val="es-MX"/>
        </w:rPr>
        <w:t>“</w:t>
      </w:r>
      <w:r w:rsidRPr="00D936CA">
        <w:rPr>
          <w:rFonts w:ascii="ITC Avant Garde" w:hAnsi="ITC Avant Garde"/>
          <w:sz w:val="22"/>
          <w:szCs w:val="22"/>
          <w:lang w:val="es-MX"/>
        </w:rPr>
        <w:t>b</w:t>
      </w:r>
      <w:r w:rsidR="00F865C7" w:rsidRPr="00D936CA">
        <w:rPr>
          <w:rFonts w:ascii="ITC Avant Garde" w:hAnsi="ITC Avant Garde"/>
          <w:sz w:val="22"/>
          <w:szCs w:val="22"/>
          <w:lang w:val="es-MX"/>
        </w:rPr>
        <w:t>”</w:t>
      </w:r>
      <w:r w:rsidRPr="00D936CA">
        <w:rPr>
          <w:rFonts w:ascii="ITC Avant Garde" w:hAnsi="ITC Avant Garde"/>
          <w:sz w:val="22"/>
          <w:szCs w:val="22"/>
          <w:lang w:val="es-MX"/>
        </w:rPr>
        <w:t xml:space="preserve"> a través del SEG. </w:t>
      </w:r>
      <w:r w:rsidR="0042228E">
        <w:rPr>
          <w:rFonts w:ascii="ITC Avant Garde" w:hAnsi="ITC Avant Garde"/>
          <w:sz w:val="22"/>
          <w:szCs w:val="22"/>
          <w:lang w:val="es-MX"/>
        </w:rPr>
        <w:t xml:space="preserve">Tanto en </w:t>
      </w:r>
      <w:r w:rsidR="00ED1947" w:rsidRPr="00D936CA">
        <w:rPr>
          <w:rFonts w:ascii="ITC Avant Garde" w:hAnsi="ITC Avant Garde"/>
          <w:sz w:val="22"/>
          <w:szCs w:val="22"/>
          <w:lang w:val="es-MX"/>
        </w:rPr>
        <w:t xml:space="preserve">el SEG </w:t>
      </w:r>
      <w:r w:rsidR="0042228E">
        <w:rPr>
          <w:rFonts w:ascii="ITC Avant Garde" w:hAnsi="ITC Avant Garde"/>
          <w:sz w:val="22"/>
          <w:szCs w:val="22"/>
          <w:lang w:val="es-MX"/>
        </w:rPr>
        <w:t>como en</w:t>
      </w:r>
      <w:r w:rsidR="00ED1947" w:rsidRPr="00D936CA">
        <w:rPr>
          <w:rFonts w:ascii="ITC Avant Garde" w:hAnsi="ITC Avant Garde"/>
          <w:sz w:val="22"/>
          <w:szCs w:val="22"/>
          <w:lang w:val="es-MX"/>
        </w:rPr>
        <w:t xml:space="preserve"> las bases de datos aquí clasificadas como de tipo “a” y “b” los CS tendrán acceso </w:t>
      </w:r>
      <w:r w:rsidR="00D71895" w:rsidRPr="00D936CA">
        <w:rPr>
          <w:rFonts w:ascii="ITC Avant Garde" w:hAnsi="ITC Avant Garde"/>
          <w:sz w:val="22"/>
          <w:szCs w:val="22"/>
          <w:lang w:val="es-MX"/>
        </w:rPr>
        <w:t>en los mismos términos y condiciones</w:t>
      </w:r>
      <w:r w:rsidR="00ED1947" w:rsidRPr="00D936CA">
        <w:rPr>
          <w:rFonts w:ascii="ITC Avant Garde" w:hAnsi="ITC Avant Garde"/>
          <w:sz w:val="22"/>
          <w:szCs w:val="22"/>
          <w:lang w:val="es-MX"/>
        </w:rPr>
        <w:t xml:space="preserve"> a la información a la que Telmex tiene acceso </w:t>
      </w:r>
      <w:r w:rsidR="006737F8" w:rsidRPr="00D936CA">
        <w:rPr>
          <w:rFonts w:ascii="ITC Avant Garde" w:hAnsi="ITC Avant Garde"/>
          <w:sz w:val="22"/>
          <w:szCs w:val="22"/>
          <w:lang w:val="es-MX"/>
        </w:rPr>
        <w:t>sobre la infraestructura necesaria para brindar los servicios de desagregación</w:t>
      </w:r>
      <w:r w:rsidR="00537235" w:rsidRPr="00D936CA">
        <w:rPr>
          <w:rFonts w:ascii="ITC Avant Garde" w:hAnsi="ITC Avant Garde"/>
          <w:sz w:val="22"/>
          <w:szCs w:val="22"/>
          <w:lang w:val="es-MX"/>
        </w:rPr>
        <w:t>, con las mismas herramientas</w:t>
      </w:r>
      <w:r w:rsidR="009D00C2" w:rsidRPr="00D936CA">
        <w:rPr>
          <w:rFonts w:ascii="ITC Avant Garde" w:hAnsi="ITC Avant Garde"/>
          <w:sz w:val="22"/>
          <w:szCs w:val="22"/>
          <w:lang w:val="es-MX"/>
        </w:rPr>
        <w:t>, sistemas,</w:t>
      </w:r>
      <w:r w:rsidR="00537235" w:rsidRPr="00D936CA">
        <w:rPr>
          <w:rFonts w:ascii="ITC Avant Garde" w:hAnsi="ITC Avant Garde"/>
          <w:sz w:val="22"/>
          <w:szCs w:val="22"/>
          <w:lang w:val="es-MX"/>
        </w:rPr>
        <w:t xml:space="preserve"> procedimientos</w:t>
      </w:r>
      <w:r w:rsidR="009D00C2" w:rsidRPr="00D936CA">
        <w:rPr>
          <w:rFonts w:ascii="ITC Avant Garde" w:hAnsi="ITC Avant Garde"/>
          <w:sz w:val="22"/>
          <w:szCs w:val="22"/>
          <w:lang w:val="es-MX"/>
        </w:rPr>
        <w:t>, etc</w:t>
      </w:r>
      <w:r w:rsidR="006737F8" w:rsidRPr="00D936CA">
        <w:rPr>
          <w:rFonts w:ascii="ITC Avant Garde" w:hAnsi="ITC Avant Garde"/>
          <w:sz w:val="22"/>
          <w:szCs w:val="22"/>
          <w:lang w:val="es-MX"/>
        </w:rPr>
        <w:t>.</w:t>
      </w:r>
    </w:p>
    <w:p w14:paraId="33CFE710" w14:textId="77777777" w:rsidR="0055694B"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En virtud de que la información tipo “a”, que se pondrá a disposición de los </w:t>
      </w:r>
      <w:r w:rsidR="0091726E" w:rsidRPr="00D936CA">
        <w:rPr>
          <w:rFonts w:ascii="ITC Avant Garde" w:hAnsi="ITC Avant Garde"/>
          <w:sz w:val="22"/>
          <w:szCs w:val="22"/>
          <w:lang w:val="es-MX"/>
        </w:rPr>
        <w:t>CS</w:t>
      </w:r>
      <w:r w:rsidRPr="00D936CA">
        <w:rPr>
          <w:rFonts w:ascii="ITC Avant Garde" w:hAnsi="ITC Avant Garde"/>
          <w:sz w:val="22"/>
          <w:szCs w:val="22"/>
          <w:lang w:val="es-MX"/>
        </w:rPr>
        <w:t xml:space="preserve"> tiene carácter confidencial y no ha habido una firma de convenio, se tendrá que firmar un acuerdo de confidencialidad con cada CS que lo requiera, quedando estipulado que estará prohibida la reproducción parcial o total de la información, así como su publicación a través de cualquier medio. Para el caso de la información tipo </w:t>
      </w:r>
      <w:r w:rsidR="00F865C7" w:rsidRPr="00D936CA">
        <w:rPr>
          <w:rFonts w:ascii="ITC Avant Garde" w:hAnsi="ITC Avant Garde"/>
          <w:sz w:val="22"/>
          <w:szCs w:val="22"/>
          <w:lang w:val="es-MX"/>
        </w:rPr>
        <w:t>“</w:t>
      </w:r>
      <w:r w:rsidRPr="00D936CA">
        <w:rPr>
          <w:rFonts w:ascii="ITC Avant Garde" w:hAnsi="ITC Avant Garde"/>
          <w:sz w:val="22"/>
          <w:szCs w:val="22"/>
          <w:lang w:val="es-MX"/>
        </w:rPr>
        <w:t>b</w:t>
      </w:r>
      <w:r w:rsidR="00F865C7" w:rsidRPr="00D936CA">
        <w:rPr>
          <w:rFonts w:ascii="ITC Avant Garde" w:hAnsi="ITC Avant Garde"/>
          <w:sz w:val="22"/>
          <w:szCs w:val="22"/>
          <w:lang w:val="es-MX"/>
        </w:rPr>
        <w:t>”</w:t>
      </w:r>
      <w:r w:rsidR="005D7076" w:rsidRPr="00D936CA">
        <w:rPr>
          <w:rFonts w:ascii="ITC Avant Garde" w:hAnsi="ITC Avant Garde"/>
          <w:sz w:val="22"/>
          <w:szCs w:val="22"/>
          <w:lang w:val="es-MX"/>
        </w:rPr>
        <w:t>,</w:t>
      </w:r>
      <w:r w:rsidRPr="00D936CA">
        <w:rPr>
          <w:rFonts w:ascii="ITC Avant Garde" w:hAnsi="ITC Avant Garde"/>
          <w:sz w:val="22"/>
          <w:szCs w:val="22"/>
          <w:lang w:val="es-MX"/>
        </w:rPr>
        <w:t xml:space="preserve"> los CS tendrán que firmar el Convenio de Desagregación. La información tipo </w:t>
      </w:r>
      <w:r w:rsidR="00F865C7" w:rsidRPr="00D936CA">
        <w:rPr>
          <w:rFonts w:ascii="ITC Avant Garde" w:hAnsi="ITC Avant Garde"/>
          <w:sz w:val="22"/>
          <w:szCs w:val="22"/>
          <w:lang w:val="es-MX"/>
        </w:rPr>
        <w:t>“</w:t>
      </w:r>
      <w:r w:rsidRPr="00D936CA">
        <w:rPr>
          <w:rFonts w:ascii="ITC Avant Garde" w:hAnsi="ITC Avant Garde"/>
          <w:sz w:val="22"/>
          <w:szCs w:val="22"/>
          <w:lang w:val="es-MX"/>
        </w:rPr>
        <w:t>a</w:t>
      </w:r>
      <w:r w:rsidR="00F865C7" w:rsidRPr="00D936CA">
        <w:rPr>
          <w:rFonts w:ascii="ITC Avant Garde" w:hAnsi="ITC Avant Garde"/>
          <w:sz w:val="22"/>
          <w:szCs w:val="22"/>
          <w:lang w:val="es-MX"/>
        </w:rPr>
        <w:t>”</w:t>
      </w:r>
      <w:r w:rsidRPr="00D936CA">
        <w:rPr>
          <w:rFonts w:ascii="ITC Avant Garde" w:hAnsi="ITC Avant Garde"/>
          <w:sz w:val="22"/>
          <w:szCs w:val="22"/>
          <w:lang w:val="es-MX"/>
        </w:rPr>
        <w:t xml:space="preserve"> se actualizará mensualmente, mientras que la información tipo </w:t>
      </w:r>
      <w:r w:rsidR="00F865C7" w:rsidRPr="00D936CA">
        <w:rPr>
          <w:rFonts w:ascii="ITC Avant Garde" w:hAnsi="ITC Avant Garde"/>
          <w:sz w:val="22"/>
          <w:szCs w:val="22"/>
          <w:lang w:val="es-MX"/>
        </w:rPr>
        <w:t>“</w:t>
      </w:r>
      <w:r w:rsidRPr="00D936CA">
        <w:rPr>
          <w:rFonts w:ascii="ITC Avant Garde" w:hAnsi="ITC Avant Garde"/>
          <w:sz w:val="22"/>
          <w:szCs w:val="22"/>
          <w:lang w:val="es-MX"/>
        </w:rPr>
        <w:t>b</w:t>
      </w:r>
      <w:r w:rsidR="00F865C7" w:rsidRPr="00D936CA">
        <w:rPr>
          <w:rFonts w:ascii="ITC Avant Garde" w:hAnsi="ITC Avant Garde"/>
          <w:sz w:val="22"/>
          <w:szCs w:val="22"/>
          <w:lang w:val="es-MX"/>
        </w:rPr>
        <w:t>”</w:t>
      </w:r>
      <w:r w:rsidRPr="00D936CA">
        <w:rPr>
          <w:rFonts w:ascii="ITC Avant Garde" w:hAnsi="ITC Avant Garde"/>
          <w:sz w:val="22"/>
          <w:szCs w:val="22"/>
          <w:lang w:val="es-MX"/>
        </w:rPr>
        <w:t xml:space="preserve"> se actualizará </w:t>
      </w:r>
      <w:r w:rsidR="00F12538" w:rsidRPr="00D936CA">
        <w:rPr>
          <w:rFonts w:ascii="ITC Avant Garde" w:hAnsi="ITC Avant Garde"/>
          <w:sz w:val="22"/>
          <w:szCs w:val="22"/>
          <w:lang w:val="es-MX"/>
        </w:rPr>
        <w:t>semanal</w:t>
      </w:r>
      <w:r w:rsidR="0055694B" w:rsidRPr="00D936CA">
        <w:rPr>
          <w:rFonts w:ascii="ITC Avant Garde" w:hAnsi="ITC Avant Garde"/>
          <w:sz w:val="22"/>
          <w:szCs w:val="22"/>
          <w:lang w:val="es-MX"/>
        </w:rPr>
        <w:t>mente.</w:t>
      </w:r>
    </w:p>
    <w:p w14:paraId="33CFE711" w14:textId="2336378A" w:rsidR="00D53980" w:rsidRPr="00D936CA" w:rsidRDefault="0055694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La </w:t>
      </w:r>
      <w:r w:rsidR="00D53980" w:rsidRPr="00D936CA">
        <w:rPr>
          <w:rFonts w:ascii="ITC Avant Garde" w:hAnsi="ITC Avant Garde"/>
          <w:sz w:val="22"/>
          <w:szCs w:val="22"/>
          <w:lang w:val="es-MX"/>
        </w:rPr>
        <w:t>información podrá consultarse y descargarse</w:t>
      </w:r>
      <w:r w:rsidR="00537235" w:rsidRPr="00D936CA">
        <w:rPr>
          <w:rFonts w:ascii="ITC Avant Garde" w:hAnsi="ITC Avant Garde"/>
          <w:sz w:val="22"/>
          <w:szCs w:val="22"/>
          <w:lang w:val="es-MX"/>
        </w:rPr>
        <w:t xml:space="preserve"> a nivel Entidad Federativa</w:t>
      </w:r>
      <w:r w:rsidR="00D53980" w:rsidRPr="00D936CA">
        <w:rPr>
          <w:rFonts w:ascii="ITC Avant Garde" w:hAnsi="ITC Avant Garde"/>
          <w:sz w:val="22"/>
          <w:szCs w:val="22"/>
          <w:lang w:val="es-MX"/>
        </w:rPr>
        <w:t xml:space="preserve"> a través de la interfaz que Telmex pone a disposición de los CS y del Instituto</w:t>
      </w:r>
      <w:r w:rsidR="006C7D53" w:rsidRPr="00D936CA">
        <w:rPr>
          <w:rFonts w:ascii="ITC Avant Garde" w:hAnsi="ITC Avant Garde"/>
          <w:sz w:val="22"/>
          <w:szCs w:val="22"/>
          <w:lang w:val="es-MX"/>
        </w:rPr>
        <w:t xml:space="preserve"> a través de su página</w:t>
      </w:r>
      <w:r w:rsidR="00537235" w:rsidRPr="00D936CA">
        <w:rPr>
          <w:rFonts w:ascii="ITC Avant Garde" w:hAnsi="ITC Avant Garde"/>
          <w:sz w:val="22"/>
          <w:szCs w:val="22"/>
          <w:lang w:val="es-MX"/>
        </w:rPr>
        <w:t>.</w:t>
      </w:r>
      <w:r w:rsidR="00D53980" w:rsidRPr="00D936CA">
        <w:rPr>
          <w:rFonts w:ascii="ITC Avant Garde" w:hAnsi="ITC Avant Garde"/>
          <w:sz w:val="22"/>
          <w:szCs w:val="22"/>
          <w:lang w:val="es-MX"/>
        </w:rPr>
        <w:t xml:space="preserve"> </w:t>
      </w:r>
      <w:r w:rsidR="007A7518" w:rsidRPr="00D936CA">
        <w:rPr>
          <w:rFonts w:ascii="ITC Avant Garde" w:hAnsi="ITC Avant Garde"/>
          <w:sz w:val="22"/>
          <w:szCs w:val="22"/>
          <w:lang w:val="es-MX"/>
        </w:rPr>
        <w:t xml:space="preserve"> </w:t>
      </w:r>
      <w:r w:rsidR="00537235" w:rsidRPr="00D936CA">
        <w:rPr>
          <w:rFonts w:ascii="ITC Avant Garde" w:hAnsi="ITC Avant Garde"/>
          <w:sz w:val="22"/>
          <w:szCs w:val="22"/>
          <w:lang w:val="es-MX"/>
        </w:rPr>
        <w:t>A</w:t>
      </w:r>
      <w:r w:rsidR="007A7518" w:rsidRPr="00D936CA">
        <w:rPr>
          <w:rFonts w:ascii="ITC Avant Garde" w:hAnsi="ITC Avant Garde"/>
          <w:sz w:val="22"/>
          <w:szCs w:val="22"/>
          <w:lang w:val="es-MX"/>
        </w:rPr>
        <w:t xml:space="preserve">unado a esto, los CS </w:t>
      </w:r>
      <w:r w:rsidR="006447B2" w:rsidRPr="00D936CA">
        <w:rPr>
          <w:rFonts w:ascii="ITC Avant Garde" w:hAnsi="ITC Avant Garde"/>
          <w:sz w:val="22"/>
          <w:szCs w:val="22"/>
          <w:lang w:val="es-MX"/>
        </w:rPr>
        <w:t xml:space="preserve">contarán con la opción de </w:t>
      </w:r>
      <w:r w:rsidR="00A735B4" w:rsidRPr="00D936CA">
        <w:rPr>
          <w:rFonts w:ascii="ITC Avant Garde" w:hAnsi="ITC Avant Garde"/>
          <w:sz w:val="22"/>
          <w:szCs w:val="22"/>
          <w:lang w:val="es-MX"/>
        </w:rPr>
        <w:t>obtener</w:t>
      </w:r>
      <w:r w:rsidR="006447B2" w:rsidRPr="00D936CA">
        <w:rPr>
          <w:rFonts w:ascii="ITC Avant Garde" w:hAnsi="ITC Avant Garde"/>
          <w:sz w:val="22"/>
          <w:szCs w:val="22"/>
          <w:lang w:val="es-MX"/>
        </w:rPr>
        <w:t xml:space="preserve"> </w:t>
      </w:r>
      <w:r w:rsidR="00A735B4" w:rsidRPr="00D936CA">
        <w:rPr>
          <w:rFonts w:ascii="ITC Avant Garde" w:hAnsi="ITC Avant Garde"/>
          <w:sz w:val="22"/>
          <w:szCs w:val="22"/>
          <w:lang w:val="es-MX"/>
        </w:rPr>
        <w:t>mediante una sola descarga</w:t>
      </w:r>
      <w:r w:rsidR="006447B2" w:rsidRPr="00D936CA">
        <w:rPr>
          <w:rFonts w:ascii="ITC Avant Garde" w:hAnsi="ITC Avant Garde"/>
          <w:sz w:val="22"/>
          <w:szCs w:val="22"/>
          <w:lang w:val="es-MX"/>
        </w:rPr>
        <w:t xml:space="preserve"> </w:t>
      </w:r>
      <w:r w:rsidR="009847A1" w:rsidRPr="00D936CA">
        <w:rPr>
          <w:rFonts w:ascii="ITC Avant Garde" w:hAnsi="ITC Avant Garde"/>
          <w:sz w:val="22"/>
          <w:szCs w:val="22"/>
          <w:lang w:val="es-MX"/>
        </w:rPr>
        <w:t xml:space="preserve">todas las bases de datos </w:t>
      </w:r>
      <w:r w:rsidR="006A5E5D" w:rsidRPr="00D936CA">
        <w:rPr>
          <w:rFonts w:ascii="ITC Avant Garde" w:hAnsi="ITC Avant Garde"/>
          <w:sz w:val="22"/>
          <w:szCs w:val="22"/>
          <w:lang w:val="es-MX"/>
        </w:rPr>
        <w:t xml:space="preserve">presentadas en la sección 3.1 de la </w:t>
      </w:r>
      <w:r w:rsidR="00631562" w:rsidRPr="00D936CA">
        <w:rPr>
          <w:rFonts w:ascii="ITC Avant Garde" w:hAnsi="ITC Avant Garde"/>
          <w:sz w:val="22"/>
          <w:szCs w:val="22"/>
          <w:lang w:val="es-MX"/>
        </w:rPr>
        <w:t>OREDA mediante el SEG.</w:t>
      </w:r>
    </w:p>
    <w:p w14:paraId="33CFE712" w14:textId="5B245CDC" w:rsidR="001A73FC" w:rsidRDefault="001A73FC"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El Instituto podrá solicitar la agregación de nuevas bases de datos</w:t>
      </w:r>
      <w:r w:rsidR="001E0645">
        <w:rPr>
          <w:rFonts w:ascii="ITC Avant Garde" w:hAnsi="ITC Avant Garde"/>
          <w:sz w:val="22"/>
          <w:szCs w:val="22"/>
          <w:lang w:val="es-MX"/>
        </w:rPr>
        <w:t>,</w:t>
      </w:r>
      <w:r w:rsidRPr="00D936CA">
        <w:rPr>
          <w:rFonts w:ascii="ITC Avant Garde" w:hAnsi="ITC Avant Garde"/>
          <w:sz w:val="22"/>
          <w:szCs w:val="22"/>
          <w:lang w:val="es-MX"/>
        </w:rPr>
        <w:t xml:space="preserve"> así como modificar los rubros especificados en cada una, total o parcialmente, si en el transcurso del tiempo </w:t>
      </w:r>
      <w:r w:rsidR="00D53980" w:rsidRPr="00D936CA">
        <w:rPr>
          <w:rFonts w:ascii="ITC Avant Garde" w:hAnsi="ITC Avant Garde"/>
          <w:sz w:val="22"/>
          <w:szCs w:val="22"/>
          <w:lang w:val="es-MX"/>
        </w:rPr>
        <w:t xml:space="preserve">el Instituto considera </w:t>
      </w:r>
      <w:r w:rsidRPr="00D936CA">
        <w:rPr>
          <w:rFonts w:ascii="ITC Avant Garde" w:hAnsi="ITC Avant Garde"/>
          <w:sz w:val="22"/>
          <w:szCs w:val="22"/>
          <w:lang w:val="es-MX"/>
        </w:rPr>
        <w:t xml:space="preserve">que no resulta eficiente su utilización y se comprueba que la disposición de la misma resulta insuficiente </w:t>
      </w:r>
      <w:r w:rsidR="00D53980" w:rsidRPr="00D936CA">
        <w:rPr>
          <w:rFonts w:ascii="ITC Avant Garde" w:hAnsi="ITC Avant Garde"/>
          <w:sz w:val="22"/>
          <w:szCs w:val="22"/>
          <w:lang w:val="es-MX"/>
        </w:rPr>
        <w:t xml:space="preserve">para que los CS generen su modelo de negocio </w:t>
      </w:r>
      <w:r w:rsidRPr="00D936CA">
        <w:rPr>
          <w:rFonts w:ascii="ITC Avant Garde" w:hAnsi="ITC Avant Garde"/>
          <w:sz w:val="22"/>
          <w:szCs w:val="22"/>
          <w:lang w:val="es-MX"/>
        </w:rPr>
        <w:t>o genera desventajas competitivas para los CS.</w:t>
      </w:r>
    </w:p>
    <w:p w14:paraId="1D0B4C4D" w14:textId="77777777" w:rsidR="0045392B" w:rsidRPr="00D936CA" w:rsidRDefault="0045392B" w:rsidP="00D936CA">
      <w:pPr>
        <w:spacing w:after="200" w:line="276" w:lineRule="auto"/>
        <w:jc w:val="both"/>
        <w:rPr>
          <w:rFonts w:ascii="ITC Avant Garde" w:hAnsi="ITC Avant Garde"/>
          <w:sz w:val="22"/>
          <w:szCs w:val="22"/>
          <w:lang w:val="es-MX"/>
        </w:rPr>
      </w:pPr>
    </w:p>
    <w:p w14:paraId="33CFE713" w14:textId="2215847B" w:rsidR="00530A32" w:rsidRPr="00D936CA" w:rsidRDefault="00011A1B"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 xml:space="preserve">Procedimiento para solicitar usuario y contraseña para consultar información en la interfaz en la página en que se publique la </w:t>
      </w:r>
      <w:r w:rsidR="00CA026A" w:rsidRPr="00D936CA">
        <w:rPr>
          <w:rFonts w:ascii="ITC Avant Garde" w:hAnsi="ITC Avant Garde"/>
          <w:b/>
          <w:sz w:val="22"/>
          <w:szCs w:val="22"/>
          <w:lang w:val="es-MX"/>
        </w:rPr>
        <w:t>OREDA</w:t>
      </w:r>
      <w:r w:rsidR="00FD277B" w:rsidRPr="00D936CA">
        <w:rPr>
          <w:rFonts w:ascii="ITC Avant Garde" w:hAnsi="ITC Avant Garde"/>
          <w:b/>
          <w:sz w:val="22"/>
          <w:szCs w:val="22"/>
          <w:lang w:val="es-MX"/>
        </w:rPr>
        <w:t xml:space="preserve"> y para acceso al SEG</w:t>
      </w:r>
    </w:p>
    <w:p w14:paraId="33CFE714" w14:textId="38B252F1" w:rsidR="00530A32" w:rsidRPr="00D936CA" w:rsidRDefault="00011A1B" w:rsidP="00D936CA">
      <w:pPr>
        <w:pStyle w:val="Prrafodelista"/>
        <w:numPr>
          <w:ilvl w:val="0"/>
          <w:numId w:val="47"/>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El CS que opera </w:t>
      </w:r>
      <w:r w:rsidR="005D7076" w:rsidRPr="00D936CA">
        <w:rPr>
          <w:rFonts w:ascii="ITC Avant Garde" w:hAnsi="ITC Avant Garde"/>
          <w:sz w:val="22"/>
          <w:szCs w:val="22"/>
          <w:lang w:val="es-MX"/>
        </w:rPr>
        <w:t xml:space="preserve">una </w:t>
      </w:r>
      <w:r w:rsidRPr="00D936CA">
        <w:rPr>
          <w:rFonts w:ascii="ITC Avant Garde" w:hAnsi="ITC Avant Garde"/>
          <w:sz w:val="22"/>
          <w:szCs w:val="22"/>
          <w:lang w:val="es-MX"/>
        </w:rPr>
        <w:t xml:space="preserve">red pública de telecomunicaciones solicitará a Telmex vía correo electrónico a la dirección </w:t>
      </w:r>
      <w:hyperlink r:id="rId17" w:history="1">
        <w:r w:rsidR="00AA71B3" w:rsidRPr="00D936CA">
          <w:rPr>
            <w:rStyle w:val="Hipervnculo"/>
            <w:rFonts w:ascii="ITC Avant Garde" w:hAnsi="ITC Avant Garde"/>
            <w:color w:val="auto"/>
            <w:sz w:val="22"/>
            <w:szCs w:val="22"/>
            <w:u w:val="none"/>
          </w:rPr>
          <w:t>OPERDES@telmex.com</w:t>
        </w:r>
      </w:hyperlink>
      <w:r w:rsidRPr="00D936CA">
        <w:rPr>
          <w:rFonts w:ascii="ITC Avant Garde" w:hAnsi="ITC Avant Garde"/>
          <w:sz w:val="22"/>
          <w:szCs w:val="22"/>
          <w:lang w:val="es-MX"/>
        </w:rPr>
        <w:t xml:space="preserve"> </w:t>
      </w:r>
      <w:r w:rsidR="005D7076" w:rsidRPr="00D936CA">
        <w:rPr>
          <w:rFonts w:ascii="ITC Avant Garde" w:hAnsi="ITC Avant Garde"/>
          <w:sz w:val="22"/>
          <w:szCs w:val="22"/>
          <w:lang w:val="es-MX"/>
        </w:rPr>
        <w:t xml:space="preserve">que </w:t>
      </w:r>
      <w:r w:rsidRPr="00D936CA">
        <w:rPr>
          <w:rFonts w:ascii="ITC Avant Garde" w:hAnsi="ITC Avant Garde"/>
          <w:sz w:val="22"/>
          <w:szCs w:val="22"/>
          <w:lang w:val="es-MX"/>
        </w:rPr>
        <w:t xml:space="preserve">se le asigne un usuario y contraseña para </w:t>
      </w:r>
      <w:r w:rsidR="005D7076" w:rsidRPr="00D936CA">
        <w:rPr>
          <w:rFonts w:ascii="ITC Avant Garde" w:hAnsi="ITC Avant Garde"/>
          <w:sz w:val="22"/>
          <w:szCs w:val="22"/>
          <w:lang w:val="es-MX"/>
        </w:rPr>
        <w:t xml:space="preserve">la </w:t>
      </w:r>
      <w:r w:rsidRPr="00D936CA">
        <w:rPr>
          <w:rFonts w:ascii="ITC Avant Garde" w:hAnsi="ITC Avant Garde"/>
          <w:sz w:val="22"/>
          <w:szCs w:val="22"/>
          <w:lang w:val="es-MX"/>
        </w:rPr>
        <w:t xml:space="preserve">consulta de </w:t>
      </w:r>
      <w:r w:rsidR="005D7076" w:rsidRPr="00D936CA">
        <w:rPr>
          <w:rFonts w:ascii="ITC Avant Garde" w:hAnsi="ITC Avant Garde"/>
          <w:sz w:val="22"/>
          <w:szCs w:val="22"/>
          <w:lang w:val="es-MX"/>
        </w:rPr>
        <w:t>la</w:t>
      </w:r>
      <w:r w:rsidRPr="00D936CA">
        <w:rPr>
          <w:rFonts w:ascii="ITC Avant Garde" w:hAnsi="ITC Avant Garde"/>
          <w:sz w:val="22"/>
          <w:szCs w:val="22"/>
          <w:lang w:val="es-MX"/>
        </w:rPr>
        <w:t xml:space="preserve"> información</w:t>
      </w:r>
      <w:r w:rsidR="00FD277B" w:rsidRPr="00D936CA">
        <w:rPr>
          <w:rFonts w:ascii="ITC Avant Garde" w:hAnsi="ITC Avant Garde"/>
          <w:sz w:val="22"/>
          <w:szCs w:val="22"/>
          <w:lang w:val="es-MX"/>
        </w:rPr>
        <w:t xml:space="preserve"> o para acceso al SEG</w:t>
      </w:r>
      <w:r w:rsidRPr="00D936CA">
        <w:rPr>
          <w:rFonts w:ascii="ITC Avant Garde" w:hAnsi="ITC Avant Garde"/>
          <w:sz w:val="22"/>
          <w:szCs w:val="22"/>
          <w:lang w:val="es-MX"/>
        </w:rPr>
        <w:t>.</w:t>
      </w:r>
      <w:r w:rsidR="003708BE" w:rsidRPr="00D936CA">
        <w:rPr>
          <w:rFonts w:ascii="ITC Avant Garde" w:hAnsi="ITC Avant Garde"/>
          <w:sz w:val="22"/>
          <w:szCs w:val="22"/>
          <w:lang w:val="es-MX"/>
        </w:rPr>
        <w:t xml:space="preserve"> Con antelación dicho CS debió haber firmado el acuerdo de confidencialidad para el acceso a las bases de datos tipo “a”,</w:t>
      </w:r>
    </w:p>
    <w:p w14:paraId="33CFE715" w14:textId="2CADD940" w:rsidR="00530A32" w:rsidRPr="00D936CA" w:rsidRDefault="00011A1B" w:rsidP="00D936CA">
      <w:pPr>
        <w:pStyle w:val="Prrafodelista"/>
        <w:numPr>
          <w:ilvl w:val="0"/>
          <w:numId w:val="47"/>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Telmex contestará a dicha solicitud en un plazo no mayor a </w:t>
      </w:r>
      <w:r w:rsidR="009D00C2" w:rsidRPr="00D936CA">
        <w:rPr>
          <w:rFonts w:ascii="ITC Avant Garde" w:hAnsi="ITC Avant Garde"/>
          <w:sz w:val="22"/>
          <w:szCs w:val="22"/>
          <w:lang w:val="es-MX"/>
        </w:rPr>
        <w:t>dos</w:t>
      </w:r>
      <w:r w:rsidRPr="00D936CA">
        <w:rPr>
          <w:rFonts w:ascii="ITC Avant Garde" w:hAnsi="ITC Avant Garde"/>
          <w:sz w:val="22"/>
          <w:szCs w:val="22"/>
          <w:lang w:val="es-MX"/>
        </w:rPr>
        <w:t xml:space="preserve"> días hábiles, enviando al CS el formato correspondiente, el cual deberá ser firmado por el representante legal del CS y ser enviado al mismo correo electrónico, acompañado de copia del Título de Concesión (o Concesión Única), de copia del poder notarial que lo acredita como representante legal, y de copia de la identificación oficial del representante legal.</w:t>
      </w:r>
    </w:p>
    <w:p w14:paraId="33CFE717" w14:textId="6CD5A240" w:rsidR="003708BE" w:rsidRPr="00D936CA" w:rsidRDefault="00632B2C" w:rsidP="0045392B">
      <w:pPr>
        <w:spacing w:after="200" w:line="276" w:lineRule="auto"/>
        <w:ind w:left="705" w:hanging="345"/>
        <w:jc w:val="both"/>
        <w:rPr>
          <w:rStyle w:val="Hipervnculo"/>
          <w:rFonts w:ascii="ITC Avant Garde" w:hAnsi="ITC Avant Garde"/>
          <w:color w:val="auto"/>
          <w:sz w:val="22"/>
          <w:szCs w:val="22"/>
          <w:u w:val="none"/>
          <w:lang w:val="es-MX"/>
        </w:rPr>
      </w:pPr>
      <w:r w:rsidRPr="00D936CA">
        <w:rPr>
          <w:rFonts w:ascii="ITC Avant Garde" w:hAnsi="ITC Avant Garde"/>
          <w:sz w:val="22"/>
          <w:szCs w:val="22"/>
          <w:lang w:val="es-MX"/>
        </w:rPr>
        <w:t>3)</w:t>
      </w:r>
      <w:r w:rsidRPr="00D936CA">
        <w:rPr>
          <w:rFonts w:ascii="ITC Avant Garde" w:hAnsi="ITC Avant Garde"/>
          <w:sz w:val="22"/>
          <w:szCs w:val="22"/>
          <w:lang w:val="es-MX"/>
        </w:rPr>
        <w:tab/>
        <w:t xml:space="preserve">En un plazo máximo de </w:t>
      </w:r>
      <w:r w:rsidR="009D00C2" w:rsidRPr="00D936CA">
        <w:rPr>
          <w:rFonts w:ascii="ITC Avant Garde" w:hAnsi="ITC Avant Garde"/>
          <w:sz w:val="22"/>
          <w:szCs w:val="22"/>
          <w:lang w:val="es-MX"/>
        </w:rPr>
        <w:t>tres</w:t>
      </w:r>
      <w:r w:rsidRPr="00D936CA">
        <w:rPr>
          <w:rFonts w:ascii="ITC Avant Garde" w:hAnsi="ITC Avant Garde"/>
          <w:sz w:val="22"/>
          <w:szCs w:val="22"/>
          <w:lang w:val="es-MX"/>
        </w:rPr>
        <w:t xml:space="preserve"> días hábiles posteriores al correo enviado por el CS con la información correspondiente, </w:t>
      </w:r>
      <w:r w:rsidR="00A80BDC" w:rsidRPr="00D936CA">
        <w:rPr>
          <w:rFonts w:ascii="ITC Avant Garde" w:hAnsi="ITC Avant Garde"/>
          <w:sz w:val="22"/>
          <w:szCs w:val="22"/>
          <w:lang w:val="es-MX"/>
        </w:rPr>
        <w:t>Telmex</w:t>
      </w:r>
      <w:r w:rsidRPr="00D936CA">
        <w:rPr>
          <w:rFonts w:ascii="ITC Avant Garde" w:hAnsi="ITC Avant Garde"/>
          <w:sz w:val="22"/>
          <w:szCs w:val="22"/>
          <w:lang w:val="es-MX"/>
        </w:rPr>
        <w:t xml:space="preserve"> contestará vía correo electrónico a la misma dirección en la que se hizo la petición, proporcionando usuario y contraseña para el acceso a la información vía la interfaz en la página de Internet de </w:t>
      </w:r>
      <w:r w:rsidR="00A80BDC" w:rsidRPr="00D936CA">
        <w:rPr>
          <w:rFonts w:ascii="ITC Avant Garde" w:hAnsi="ITC Avant Garde"/>
          <w:sz w:val="22"/>
          <w:szCs w:val="22"/>
          <w:lang w:val="es-MX"/>
        </w:rPr>
        <w:t>Telmex</w:t>
      </w:r>
      <w:r w:rsidRPr="00D936CA">
        <w:rPr>
          <w:rFonts w:ascii="ITC Avant Garde" w:hAnsi="ITC Avant Garde"/>
          <w:sz w:val="22"/>
          <w:szCs w:val="22"/>
          <w:lang w:val="es-MX"/>
        </w:rPr>
        <w:t xml:space="preserve">. </w:t>
      </w:r>
      <w:r w:rsidR="003708BE" w:rsidRPr="00D936CA">
        <w:rPr>
          <w:rFonts w:ascii="ITC Avant Garde" w:hAnsi="ITC Avant Garde"/>
          <w:sz w:val="22"/>
          <w:szCs w:val="22"/>
          <w:lang w:val="es-MX"/>
        </w:rPr>
        <w:t xml:space="preserve">Para el caso de CS que tengan habilitado un usuario y contraseña para consulta de información tipo “a”, y hayan firmado el Convenio de Desagregación, </w:t>
      </w:r>
      <w:r w:rsidR="00CF233A" w:rsidRPr="00D936CA">
        <w:rPr>
          <w:rFonts w:ascii="ITC Avant Garde" w:hAnsi="ITC Avant Garde"/>
          <w:sz w:val="22"/>
          <w:szCs w:val="22"/>
          <w:lang w:val="es-MX"/>
        </w:rPr>
        <w:t>Telmex activar</w:t>
      </w:r>
      <w:r w:rsidR="005719AF" w:rsidRPr="00D936CA">
        <w:rPr>
          <w:rFonts w:ascii="ITC Avant Garde" w:hAnsi="ITC Avant Garde"/>
          <w:sz w:val="22"/>
          <w:szCs w:val="22"/>
          <w:lang w:val="es-MX"/>
        </w:rPr>
        <w:t>á</w:t>
      </w:r>
      <w:r w:rsidR="00CF233A" w:rsidRPr="00D936CA">
        <w:rPr>
          <w:rFonts w:ascii="ITC Avant Garde" w:hAnsi="ITC Avant Garde"/>
          <w:sz w:val="22"/>
          <w:szCs w:val="22"/>
          <w:lang w:val="es-MX"/>
        </w:rPr>
        <w:t xml:space="preserve"> los</w:t>
      </w:r>
      <w:r w:rsidR="003708BE" w:rsidRPr="00D936CA">
        <w:rPr>
          <w:rFonts w:ascii="ITC Avant Garde" w:hAnsi="ITC Avant Garde"/>
          <w:sz w:val="22"/>
          <w:szCs w:val="22"/>
          <w:lang w:val="es-MX"/>
        </w:rPr>
        <w:t xml:space="preserve"> usuario</w:t>
      </w:r>
      <w:r w:rsidR="00CF233A" w:rsidRPr="00D936CA">
        <w:rPr>
          <w:rFonts w:ascii="ITC Avant Garde" w:hAnsi="ITC Avant Garde"/>
          <w:sz w:val="22"/>
          <w:szCs w:val="22"/>
          <w:lang w:val="es-MX"/>
        </w:rPr>
        <w:t>s</w:t>
      </w:r>
      <w:r w:rsidR="003708BE" w:rsidRPr="00D936CA">
        <w:rPr>
          <w:rFonts w:ascii="ITC Avant Garde" w:hAnsi="ITC Avant Garde"/>
          <w:sz w:val="22"/>
          <w:szCs w:val="22"/>
          <w:lang w:val="es-MX"/>
        </w:rPr>
        <w:t xml:space="preserve"> y contraseña</w:t>
      </w:r>
      <w:r w:rsidR="00CF233A" w:rsidRPr="00D936CA">
        <w:rPr>
          <w:rFonts w:ascii="ITC Avant Garde" w:hAnsi="ITC Avant Garde"/>
          <w:sz w:val="22"/>
          <w:szCs w:val="22"/>
          <w:lang w:val="es-MX"/>
        </w:rPr>
        <w:t>s</w:t>
      </w:r>
      <w:r w:rsidR="003708BE" w:rsidRPr="00D936CA">
        <w:rPr>
          <w:rFonts w:ascii="ITC Avant Garde" w:hAnsi="ITC Avant Garde"/>
          <w:sz w:val="22"/>
          <w:szCs w:val="22"/>
          <w:lang w:val="es-MX"/>
        </w:rPr>
        <w:t xml:space="preserve"> existentes</w:t>
      </w:r>
      <w:r w:rsidR="00A04ACA" w:rsidRPr="00D936CA">
        <w:rPr>
          <w:rFonts w:ascii="ITC Avant Garde" w:hAnsi="ITC Avant Garde"/>
          <w:sz w:val="22"/>
          <w:szCs w:val="22"/>
          <w:lang w:val="es-MX"/>
        </w:rPr>
        <w:t xml:space="preserve"> del</w:t>
      </w:r>
      <w:r w:rsidR="00CF233A" w:rsidRPr="00D936CA">
        <w:rPr>
          <w:rFonts w:ascii="ITC Avant Garde" w:hAnsi="ITC Avant Garde"/>
          <w:sz w:val="22"/>
          <w:szCs w:val="22"/>
          <w:lang w:val="es-MX"/>
        </w:rPr>
        <w:t xml:space="preserve"> CS </w:t>
      </w:r>
      <w:r w:rsidR="00A04ACA" w:rsidRPr="00D936CA">
        <w:rPr>
          <w:rFonts w:ascii="ITC Avant Garde" w:hAnsi="ITC Avant Garde"/>
          <w:sz w:val="22"/>
          <w:szCs w:val="22"/>
          <w:lang w:val="es-MX"/>
        </w:rPr>
        <w:t>correspondiente</w:t>
      </w:r>
      <w:r w:rsidR="009D5558" w:rsidRPr="00D936CA">
        <w:rPr>
          <w:rFonts w:ascii="ITC Avant Garde" w:hAnsi="ITC Avant Garde"/>
          <w:sz w:val="22"/>
          <w:szCs w:val="22"/>
          <w:lang w:val="es-MX"/>
        </w:rPr>
        <w:t xml:space="preserve"> para el acceso a la información tipo “b”</w:t>
      </w:r>
      <w:r w:rsidR="00A04ACA" w:rsidRPr="00D936CA">
        <w:rPr>
          <w:rFonts w:ascii="ITC Avant Garde" w:hAnsi="ITC Avant Garde"/>
          <w:sz w:val="22"/>
          <w:szCs w:val="22"/>
          <w:lang w:val="es-MX"/>
        </w:rPr>
        <w:t xml:space="preserve">, además de enviar un aviso de confirmación en un plazo </w:t>
      </w:r>
      <w:r w:rsidR="009D5558" w:rsidRPr="00D936CA">
        <w:rPr>
          <w:rFonts w:ascii="ITC Avant Garde" w:hAnsi="ITC Avant Garde"/>
          <w:sz w:val="22"/>
          <w:szCs w:val="22"/>
          <w:lang w:val="es-MX"/>
        </w:rPr>
        <w:t xml:space="preserve">máximo </w:t>
      </w:r>
      <w:r w:rsidR="00A04ACA" w:rsidRPr="00D936CA">
        <w:rPr>
          <w:rFonts w:ascii="ITC Avant Garde" w:hAnsi="ITC Avant Garde"/>
          <w:sz w:val="22"/>
          <w:szCs w:val="22"/>
          <w:lang w:val="es-MX"/>
        </w:rPr>
        <w:t xml:space="preserve">de </w:t>
      </w:r>
      <w:r w:rsidR="009D00C2" w:rsidRPr="00D936CA">
        <w:rPr>
          <w:rFonts w:ascii="ITC Avant Garde" w:hAnsi="ITC Avant Garde"/>
          <w:sz w:val="22"/>
          <w:szCs w:val="22"/>
          <w:lang w:val="es-MX"/>
        </w:rPr>
        <w:t>dos</w:t>
      </w:r>
      <w:r w:rsidR="005B46F6" w:rsidRPr="00D936CA">
        <w:rPr>
          <w:rFonts w:ascii="ITC Avant Garde" w:hAnsi="ITC Avant Garde"/>
          <w:sz w:val="22"/>
          <w:szCs w:val="22"/>
          <w:lang w:val="es-MX"/>
        </w:rPr>
        <w:t xml:space="preserve"> días hábiles</w:t>
      </w:r>
      <w:r w:rsidR="00A04ACA" w:rsidRPr="00D936CA">
        <w:rPr>
          <w:rFonts w:ascii="ITC Avant Garde" w:hAnsi="ITC Avant Garde"/>
          <w:sz w:val="22"/>
          <w:szCs w:val="22"/>
          <w:lang w:val="es-MX"/>
        </w:rPr>
        <w:t xml:space="preserve"> </w:t>
      </w:r>
      <w:r w:rsidR="007B75EC">
        <w:rPr>
          <w:rFonts w:ascii="ITC Avant Garde" w:hAnsi="ITC Avant Garde"/>
          <w:sz w:val="22"/>
          <w:szCs w:val="22"/>
          <w:lang w:val="es-MX"/>
        </w:rPr>
        <w:t xml:space="preserve">contados </w:t>
      </w:r>
      <w:r w:rsidR="00A04ACA" w:rsidRPr="00D936CA">
        <w:rPr>
          <w:rFonts w:ascii="ITC Avant Garde" w:hAnsi="ITC Avant Garde"/>
          <w:sz w:val="22"/>
          <w:szCs w:val="22"/>
          <w:lang w:val="es-MX"/>
        </w:rPr>
        <w:t>a partir de la firma del Convenio de Desagregación</w:t>
      </w:r>
      <w:r w:rsidR="00234BA3" w:rsidRPr="00D936CA">
        <w:rPr>
          <w:rFonts w:ascii="ITC Avant Garde" w:hAnsi="ITC Avant Garde"/>
          <w:sz w:val="22"/>
          <w:szCs w:val="22"/>
          <w:lang w:val="es-MX"/>
        </w:rPr>
        <w:t>.</w:t>
      </w:r>
    </w:p>
    <w:p w14:paraId="33CFE718" w14:textId="4B53A11C" w:rsidR="00DB77B5" w:rsidRPr="00D936CA" w:rsidRDefault="0042228E" w:rsidP="00D936CA">
      <w:pPr>
        <w:pStyle w:val="IFTnormal"/>
      </w:pPr>
      <w:r>
        <w:t>L</w:t>
      </w:r>
      <w:r w:rsidR="00DB77B5" w:rsidRPr="00D936CA">
        <w:t xml:space="preserve">os CS podrán solicitar de acuerdo al presente procedimiento usuarios y contraseñas para acceder al sistema. </w:t>
      </w:r>
    </w:p>
    <w:p w14:paraId="33CFE71A" w14:textId="77777777" w:rsidR="00424F8D" w:rsidRPr="00D936CA" w:rsidRDefault="00424F8D" w:rsidP="00D936CA">
      <w:pPr>
        <w:spacing w:line="360" w:lineRule="auto"/>
        <w:jc w:val="both"/>
        <w:rPr>
          <w:rFonts w:ascii="ITC Avant Garde" w:hAnsi="ITC Avant Garde"/>
          <w:sz w:val="22"/>
          <w:szCs w:val="22"/>
          <w:lang w:val="es-MX"/>
        </w:rPr>
      </w:pPr>
    </w:p>
    <w:p w14:paraId="33CFE71B" w14:textId="77777777" w:rsidR="00530A32" w:rsidRPr="00D936CA" w:rsidRDefault="00371341" w:rsidP="00D936CA">
      <w:pPr>
        <w:pStyle w:val="Ttulo2"/>
        <w:numPr>
          <w:ilvl w:val="1"/>
          <w:numId w:val="143"/>
        </w:numPr>
        <w:ind w:left="851" w:hanging="425"/>
      </w:pPr>
      <w:bookmarkStart w:id="160" w:name="_Toc436840874"/>
      <w:bookmarkStart w:id="161" w:name="_Toc436846311"/>
      <w:bookmarkStart w:id="162" w:name="_Toc436848261"/>
      <w:bookmarkStart w:id="163" w:name="_Toc436856509"/>
      <w:bookmarkStart w:id="164" w:name="_Toc436862655"/>
      <w:bookmarkStart w:id="165" w:name="_Toc436866305"/>
      <w:bookmarkStart w:id="166" w:name="_Toc436870884"/>
      <w:bookmarkStart w:id="167" w:name="_Toc436875876"/>
      <w:bookmarkStart w:id="168" w:name="_Toc467248689"/>
      <w:bookmarkStart w:id="169" w:name="_Toc518031960"/>
      <w:r w:rsidRPr="00D936CA">
        <w:t>Descripción de las bases de datos, documentos e información a la que se tiene acceso</w:t>
      </w:r>
      <w:bookmarkEnd w:id="160"/>
      <w:bookmarkEnd w:id="161"/>
      <w:bookmarkEnd w:id="162"/>
      <w:bookmarkEnd w:id="163"/>
      <w:bookmarkEnd w:id="164"/>
      <w:bookmarkEnd w:id="165"/>
      <w:bookmarkEnd w:id="166"/>
      <w:bookmarkEnd w:id="167"/>
      <w:bookmarkEnd w:id="168"/>
      <w:bookmarkEnd w:id="169"/>
    </w:p>
    <w:p w14:paraId="33CFE71C" w14:textId="44BD5D05" w:rsidR="00530A32"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La información </w:t>
      </w:r>
      <w:r w:rsidR="00C65EDA" w:rsidRPr="00D936CA">
        <w:rPr>
          <w:rFonts w:ascii="ITC Avant Garde" w:hAnsi="ITC Avant Garde"/>
          <w:sz w:val="22"/>
          <w:szCs w:val="22"/>
          <w:lang w:val="es-MX"/>
        </w:rPr>
        <w:t xml:space="preserve">que </w:t>
      </w:r>
      <w:r w:rsidRPr="00D936CA">
        <w:rPr>
          <w:rFonts w:ascii="ITC Avant Garde" w:hAnsi="ITC Avant Garde"/>
          <w:sz w:val="22"/>
          <w:szCs w:val="22"/>
          <w:lang w:val="es-MX"/>
        </w:rPr>
        <w:t>se pondrá a disposición de los CS</w:t>
      </w:r>
      <w:r w:rsidR="00C37850" w:rsidRPr="00D936CA">
        <w:rPr>
          <w:rFonts w:ascii="ITC Avant Garde" w:hAnsi="ITC Avant Garde"/>
          <w:sz w:val="22"/>
          <w:szCs w:val="22"/>
          <w:lang w:val="es-MX"/>
        </w:rPr>
        <w:t>, a través de una interfaz en el sitio de Internet en el que Telmex publique su OREDA,</w:t>
      </w:r>
      <w:r w:rsidR="001642A1" w:rsidRPr="00D936CA">
        <w:rPr>
          <w:rFonts w:ascii="ITC Avant Garde" w:hAnsi="ITC Avant Garde"/>
          <w:sz w:val="22"/>
          <w:szCs w:val="22"/>
          <w:lang w:val="es-MX"/>
        </w:rPr>
        <w:t xml:space="preserve"> </w:t>
      </w:r>
      <w:r w:rsidRPr="00D936CA">
        <w:rPr>
          <w:rFonts w:ascii="ITC Avant Garde" w:hAnsi="ITC Avant Garde"/>
          <w:sz w:val="22"/>
          <w:szCs w:val="22"/>
          <w:lang w:val="es-MX"/>
        </w:rPr>
        <w:t xml:space="preserve">se clasificará en los siguientes </w:t>
      </w:r>
      <w:r w:rsidR="006C7D53" w:rsidRPr="00D936CA">
        <w:rPr>
          <w:rFonts w:ascii="ITC Avant Garde" w:hAnsi="ITC Avant Garde"/>
          <w:sz w:val="22"/>
          <w:szCs w:val="22"/>
          <w:lang w:val="es-MX"/>
        </w:rPr>
        <w:t>2</w:t>
      </w:r>
      <w:r w:rsidRPr="00D936CA">
        <w:rPr>
          <w:rFonts w:ascii="ITC Avant Garde" w:hAnsi="ITC Avant Garde"/>
          <w:sz w:val="22"/>
          <w:szCs w:val="22"/>
          <w:lang w:val="es-MX"/>
        </w:rPr>
        <w:t xml:space="preserve"> tipos de bases de datos, y en los </w:t>
      </w:r>
      <w:r w:rsidRPr="00D936CA">
        <w:rPr>
          <w:rFonts w:ascii="ITC Avant Garde" w:hAnsi="ITC Avant Garde"/>
          <w:i/>
          <w:sz w:val="22"/>
          <w:szCs w:val="22"/>
          <w:lang w:val="es-MX"/>
        </w:rPr>
        <w:t>layout</w:t>
      </w:r>
      <w:r w:rsidRPr="00D936CA">
        <w:rPr>
          <w:rFonts w:ascii="ITC Avant Garde" w:hAnsi="ITC Avant Garde"/>
          <w:sz w:val="22"/>
          <w:szCs w:val="22"/>
          <w:lang w:val="es-MX"/>
        </w:rPr>
        <w:t xml:space="preserve"> que se definen a continuación</w:t>
      </w:r>
      <w:r w:rsidR="00C65EDA" w:rsidRPr="00D936CA">
        <w:rPr>
          <w:rFonts w:ascii="ITC Avant Garde" w:hAnsi="ITC Avant Garde"/>
          <w:sz w:val="22"/>
          <w:szCs w:val="22"/>
          <w:lang w:val="es-MX"/>
        </w:rPr>
        <w:t xml:space="preserve">. Existe información que por su naturaleza se actualiza constantemente, por lo que, para esta información como para aquellos </w:t>
      </w:r>
      <w:r w:rsidR="0083318E" w:rsidRPr="00D936CA">
        <w:rPr>
          <w:rFonts w:ascii="ITC Avant Garde" w:hAnsi="ITC Avant Garde"/>
          <w:sz w:val="22"/>
          <w:szCs w:val="22"/>
          <w:lang w:val="es-MX"/>
        </w:rPr>
        <w:t>casos</w:t>
      </w:r>
      <w:r w:rsidR="00C65EDA" w:rsidRPr="00D936CA">
        <w:rPr>
          <w:rFonts w:ascii="ITC Avant Garde" w:hAnsi="ITC Avant Garde"/>
          <w:sz w:val="22"/>
          <w:szCs w:val="22"/>
          <w:lang w:val="es-MX"/>
        </w:rPr>
        <w:t xml:space="preserve"> donde no se cuente con la misma, se realizará una carga inicial que se irá actualizando</w:t>
      </w:r>
      <w:r w:rsidR="008B023A" w:rsidRPr="00D936CA">
        <w:rPr>
          <w:rFonts w:ascii="ITC Avant Garde" w:hAnsi="ITC Avant Garde"/>
          <w:sz w:val="22"/>
          <w:szCs w:val="22"/>
          <w:lang w:val="es-MX"/>
        </w:rPr>
        <w:t xml:space="preserve">. Las bases de datos están relacionadas entre sí, a través de los siguientes </w:t>
      </w:r>
      <w:r w:rsidR="008B023A" w:rsidRPr="00D936CA">
        <w:rPr>
          <w:rFonts w:ascii="ITC Avant Garde" w:hAnsi="ITC Avant Garde"/>
          <w:sz w:val="22"/>
          <w:szCs w:val="22"/>
          <w:lang w:val="es-MX"/>
        </w:rPr>
        <w:lastRenderedPageBreak/>
        <w:t>campos llave: Nombre de la Central Telefónica o Instalación Equivalente; Siglas de la Central Telefónica o Instalación Equivalente; y Código identificador de la Central Telefónica o Instalación Equivalente (CLLI).</w:t>
      </w:r>
    </w:p>
    <w:p w14:paraId="33CFE71D" w14:textId="77777777" w:rsidR="004E78E0" w:rsidRPr="00D936CA" w:rsidRDefault="004E78E0" w:rsidP="00D936CA">
      <w:pPr>
        <w:spacing w:after="200" w:line="276" w:lineRule="auto"/>
        <w:jc w:val="both"/>
        <w:rPr>
          <w:rFonts w:ascii="ITC Avant Garde" w:hAnsi="ITC Avant Garde"/>
          <w:b/>
          <w:sz w:val="22"/>
          <w:szCs w:val="22"/>
        </w:rPr>
      </w:pPr>
      <w:r w:rsidRPr="00D936CA">
        <w:rPr>
          <w:rFonts w:ascii="ITC Avant Garde" w:hAnsi="ITC Avant Garde"/>
          <w:b/>
          <w:sz w:val="22"/>
          <w:szCs w:val="22"/>
        </w:rPr>
        <w:t xml:space="preserve">Información tipo </w:t>
      </w:r>
      <w:r w:rsidR="00610E6F" w:rsidRPr="00D936CA">
        <w:rPr>
          <w:rFonts w:ascii="ITC Avant Garde" w:hAnsi="ITC Avant Garde"/>
          <w:b/>
          <w:sz w:val="22"/>
          <w:szCs w:val="22"/>
        </w:rPr>
        <w:t>“</w:t>
      </w:r>
      <w:r w:rsidRPr="00D936CA">
        <w:rPr>
          <w:rFonts w:ascii="ITC Avant Garde" w:hAnsi="ITC Avant Garde"/>
          <w:b/>
          <w:sz w:val="22"/>
          <w:szCs w:val="22"/>
        </w:rPr>
        <w:t>a</w:t>
      </w:r>
      <w:r w:rsidR="00610E6F" w:rsidRPr="00D936CA">
        <w:rPr>
          <w:rFonts w:ascii="ITC Avant Garde" w:hAnsi="ITC Avant Garde"/>
          <w:b/>
          <w:sz w:val="22"/>
          <w:szCs w:val="22"/>
        </w:rPr>
        <w:t>”</w:t>
      </w:r>
      <w:r w:rsidRPr="00D936CA">
        <w:rPr>
          <w:rFonts w:ascii="ITC Avant Garde" w:hAnsi="ITC Avant Garde"/>
          <w:b/>
          <w:sz w:val="22"/>
          <w:szCs w:val="22"/>
        </w:rPr>
        <w:t>:</w:t>
      </w:r>
    </w:p>
    <w:p w14:paraId="33CFE71E" w14:textId="04462DD8" w:rsidR="00153A7B" w:rsidRPr="00D936CA" w:rsidRDefault="00CB5EF4"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rPr>
        <w:t xml:space="preserve">La información de estas bases de datos deberá estar disponible para los CS en formato </w:t>
      </w:r>
      <w:r w:rsidR="00CE0EA2" w:rsidRPr="00D936CA">
        <w:rPr>
          <w:rFonts w:ascii="ITC Avant Garde" w:hAnsi="ITC Avant Garde"/>
          <w:sz w:val="22"/>
          <w:szCs w:val="22"/>
        </w:rPr>
        <w:t xml:space="preserve">.cvs o .xlsx, </w:t>
      </w:r>
      <w:r w:rsidR="00153A7B" w:rsidRPr="00D936CA">
        <w:rPr>
          <w:rFonts w:ascii="ITC Avant Garde" w:hAnsi="ITC Avant Garde"/>
          <w:sz w:val="22"/>
          <w:szCs w:val="22"/>
        </w:rPr>
        <w:t>la fecha de actualización de estas bases se verá reflejada en la página principal de la base consultada en la interfaz.</w:t>
      </w:r>
    </w:p>
    <w:p w14:paraId="33CFE71F" w14:textId="77777777" w:rsidR="00CB5EF4" w:rsidRPr="00D936CA" w:rsidRDefault="00CB5EF4" w:rsidP="00D936CA">
      <w:pPr>
        <w:spacing w:after="200" w:line="276" w:lineRule="auto"/>
        <w:jc w:val="both"/>
        <w:rPr>
          <w:rFonts w:ascii="ITC Avant Garde" w:hAnsi="ITC Avant Garde"/>
          <w:sz w:val="22"/>
          <w:szCs w:val="22"/>
          <w:u w:val="single"/>
        </w:rPr>
      </w:pPr>
    </w:p>
    <w:p w14:paraId="33CFE720" w14:textId="77777777" w:rsidR="004E78E0" w:rsidRPr="00D936CA" w:rsidRDefault="004E78E0"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1: Central Telefónica o Instalación Equivalente</w:t>
      </w:r>
    </w:p>
    <w:p w14:paraId="33CFE721"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Telefónica o Instalación Equivalente.</w:t>
      </w:r>
    </w:p>
    <w:p w14:paraId="33CFE722" w14:textId="77777777" w:rsidR="005757EC" w:rsidRPr="00D936CA" w:rsidRDefault="00153A7B"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23"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w:t>
      </w:r>
      <w:r w:rsidR="00153A7B" w:rsidRPr="00D936CA">
        <w:rPr>
          <w:rFonts w:ascii="ITC Avant Garde" w:hAnsi="ITC Avant Garde"/>
          <w:sz w:val="22"/>
          <w:szCs w:val="22"/>
        </w:rPr>
        <w:t xml:space="preserve"> (CLLI)</w:t>
      </w:r>
      <w:r w:rsidRPr="00D936CA">
        <w:rPr>
          <w:rFonts w:ascii="ITC Avant Garde" w:hAnsi="ITC Avant Garde"/>
          <w:sz w:val="22"/>
          <w:szCs w:val="22"/>
        </w:rPr>
        <w:t>.</w:t>
      </w:r>
    </w:p>
    <w:p w14:paraId="33CFE724"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Tipo de tecnología en la Central Telefónica o Instalación Equivalente.</w:t>
      </w:r>
    </w:p>
    <w:p w14:paraId="33CFE725"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Tipo de Central Telefónica o Instalación Equivalente.</w:t>
      </w:r>
    </w:p>
    <w:p w14:paraId="33CFE726" w14:textId="77777777" w:rsidR="00424554" w:rsidRPr="00D936CA" w:rsidRDefault="00424554" w:rsidP="00D936CA">
      <w:pPr>
        <w:pStyle w:val="CondicionesFinales"/>
        <w:numPr>
          <w:ilvl w:val="0"/>
          <w:numId w:val="48"/>
        </w:numPr>
        <w:rPr>
          <w:color w:val="auto"/>
        </w:rPr>
      </w:pPr>
      <w:r w:rsidRPr="00D936CA">
        <w:rPr>
          <w:color w:val="auto"/>
        </w:rPr>
        <w:t>Categorización por zona económica en la que se encuentran ubicadas las Centrales Telefónica (Tipo de zona de la Central Telefónica o Instalación Equivalente: alta, media o baja).</w:t>
      </w:r>
    </w:p>
    <w:p w14:paraId="33CFE727" w14:textId="78C781C8" w:rsidR="004E78E0" w:rsidRPr="00D936CA" w:rsidRDefault="00153A7B"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Estado de Acondicionamiento para Desagregación</w:t>
      </w:r>
      <w:r w:rsidR="0042228E">
        <w:rPr>
          <w:rFonts w:ascii="ITC Avant Garde" w:hAnsi="ITC Avant Garde"/>
          <w:sz w:val="22"/>
          <w:szCs w:val="22"/>
        </w:rPr>
        <w:t xml:space="preserve"> Total y Compartida del Bucle</w:t>
      </w:r>
      <w:r w:rsidRPr="00D936CA">
        <w:rPr>
          <w:rFonts w:ascii="ITC Avant Garde" w:hAnsi="ITC Avant Garde"/>
          <w:sz w:val="22"/>
          <w:szCs w:val="22"/>
        </w:rPr>
        <w:t xml:space="preserve"> </w:t>
      </w:r>
      <w:r w:rsidR="001577A2" w:rsidRPr="00D936CA">
        <w:rPr>
          <w:rFonts w:ascii="ITC Avant Garde" w:hAnsi="ITC Avant Garde"/>
          <w:sz w:val="22"/>
          <w:szCs w:val="22"/>
        </w:rPr>
        <w:t>(</w:t>
      </w:r>
      <w:r w:rsidR="004E78E0" w:rsidRPr="00D936CA">
        <w:rPr>
          <w:rFonts w:ascii="ITC Avant Garde" w:hAnsi="ITC Avant Garde"/>
          <w:sz w:val="22"/>
          <w:szCs w:val="22"/>
        </w:rPr>
        <w:t>acondicionadas, no acondicionadas y en proceso</w:t>
      </w:r>
      <w:r w:rsidR="001577A2" w:rsidRPr="00D936CA">
        <w:rPr>
          <w:rFonts w:ascii="ITC Avant Garde" w:hAnsi="ITC Avant Garde"/>
          <w:sz w:val="22"/>
          <w:szCs w:val="22"/>
        </w:rPr>
        <w:t>)</w:t>
      </w:r>
      <w:r w:rsidR="004E78E0" w:rsidRPr="00D936CA">
        <w:rPr>
          <w:rFonts w:ascii="ITC Avant Garde" w:hAnsi="ITC Avant Garde"/>
          <w:sz w:val="22"/>
          <w:szCs w:val="22"/>
        </w:rPr>
        <w:t>.</w:t>
      </w:r>
    </w:p>
    <w:p w14:paraId="33CFE728"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Tipo de punto de acceso para desagregación</w:t>
      </w:r>
      <w:r w:rsidR="001577A2" w:rsidRPr="00D936CA">
        <w:rPr>
          <w:rFonts w:ascii="ITC Avant Garde" w:hAnsi="ITC Avant Garde"/>
          <w:sz w:val="22"/>
          <w:szCs w:val="22"/>
        </w:rPr>
        <w:t xml:space="preserve"> (Local, Regional, Nacional)</w:t>
      </w:r>
      <w:r w:rsidRPr="00D936CA">
        <w:rPr>
          <w:rFonts w:ascii="ITC Avant Garde" w:hAnsi="ITC Avant Garde"/>
          <w:sz w:val="22"/>
          <w:szCs w:val="22"/>
        </w:rPr>
        <w:t>.</w:t>
      </w:r>
    </w:p>
    <w:p w14:paraId="33CFE729"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Listado de códigos identificadores de CD asociadas a Centrales Telefónicas o Instalaciones Equivalentes.</w:t>
      </w:r>
    </w:p>
    <w:p w14:paraId="33CFE72A"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Localización exacta: coordenadas geográficas (latitud y longitud) y dirección completa (Población, Municipio, Estado, calle, </w:t>
      </w:r>
      <w:r w:rsidR="001577A2" w:rsidRPr="00D936CA">
        <w:rPr>
          <w:rFonts w:ascii="ITC Avant Garde" w:hAnsi="ITC Avant Garde"/>
          <w:sz w:val="22"/>
          <w:szCs w:val="22"/>
        </w:rPr>
        <w:t xml:space="preserve">no. exterior, </w:t>
      </w:r>
      <w:r w:rsidRPr="00D936CA">
        <w:rPr>
          <w:rFonts w:ascii="ITC Avant Garde" w:hAnsi="ITC Avant Garde"/>
          <w:sz w:val="22"/>
          <w:szCs w:val="22"/>
        </w:rPr>
        <w:t>referencia (entre que calles).</w:t>
      </w:r>
    </w:p>
    <w:p w14:paraId="33CFE72B" w14:textId="77777777" w:rsidR="004E78E0" w:rsidRPr="00D936CA" w:rsidRDefault="001577A2"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C</w:t>
      </w:r>
      <w:r w:rsidR="004E78E0" w:rsidRPr="00D936CA">
        <w:rPr>
          <w:rFonts w:ascii="ITC Avant Garde" w:hAnsi="ITC Avant Garde"/>
          <w:sz w:val="22"/>
          <w:szCs w:val="22"/>
        </w:rPr>
        <w:t xml:space="preserve">entral cuenta con </w:t>
      </w:r>
      <w:r w:rsidRPr="00D936CA">
        <w:rPr>
          <w:rFonts w:ascii="ITC Avant Garde" w:hAnsi="ITC Avant Garde"/>
          <w:sz w:val="22"/>
          <w:szCs w:val="22"/>
        </w:rPr>
        <w:t xml:space="preserve">rangos de </w:t>
      </w:r>
      <w:r w:rsidR="004E78E0" w:rsidRPr="00D936CA">
        <w:rPr>
          <w:rFonts w:ascii="ITC Avant Garde" w:hAnsi="ITC Avant Garde"/>
          <w:sz w:val="22"/>
          <w:szCs w:val="22"/>
        </w:rPr>
        <w:t>numeración</w:t>
      </w:r>
      <w:r w:rsidRPr="00D936CA">
        <w:rPr>
          <w:rFonts w:ascii="ITC Avant Garde" w:hAnsi="ITC Avant Garde"/>
          <w:sz w:val="22"/>
          <w:szCs w:val="22"/>
        </w:rPr>
        <w:t xml:space="preserve"> (Sí, No)</w:t>
      </w:r>
      <w:r w:rsidR="004E78E0" w:rsidRPr="00D936CA">
        <w:rPr>
          <w:rFonts w:ascii="ITC Avant Garde" w:hAnsi="ITC Avant Garde"/>
          <w:sz w:val="22"/>
          <w:szCs w:val="22"/>
        </w:rPr>
        <w:t>.</w:t>
      </w:r>
    </w:p>
    <w:p w14:paraId="33CFE72C"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Número de pares </w:t>
      </w:r>
      <w:r w:rsidR="0001151F" w:rsidRPr="00D936CA">
        <w:rPr>
          <w:rFonts w:ascii="ITC Avant Garde" w:hAnsi="ITC Avant Garde"/>
          <w:sz w:val="22"/>
          <w:szCs w:val="22"/>
        </w:rPr>
        <w:t>de cobre</w:t>
      </w:r>
      <w:r w:rsidRPr="00D936CA">
        <w:rPr>
          <w:rFonts w:ascii="ITC Avant Garde" w:hAnsi="ITC Avant Garde"/>
          <w:sz w:val="22"/>
          <w:szCs w:val="22"/>
        </w:rPr>
        <w:t xml:space="preserve"> </w:t>
      </w:r>
      <w:r w:rsidR="001577A2" w:rsidRPr="00D936CA">
        <w:rPr>
          <w:rFonts w:ascii="ITC Avant Garde" w:hAnsi="ITC Avant Garde"/>
          <w:sz w:val="22"/>
          <w:szCs w:val="22"/>
        </w:rPr>
        <w:t xml:space="preserve">instalados </w:t>
      </w:r>
      <w:r w:rsidRPr="00D936CA">
        <w:rPr>
          <w:rFonts w:ascii="ITC Avant Garde" w:hAnsi="ITC Avant Garde"/>
          <w:sz w:val="22"/>
          <w:szCs w:val="22"/>
        </w:rPr>
        <w:t>en cada Central Telefónica o Instalación Equivalente</w:t>
      </w:r>
      <w:r w:rsidR="001577A2" w:rsidRPr="00D936CA">
        <w:rPr>
          <w:rFonts w:ascii="ITC Avant Garde" w:hAnsi="ITC Avant Garde"/>
          <w:sz w:val="22"/>
          <w:szCs w:val="22"/>
        </w:rPr>
        <w:t xml:space="preserve"> (Red Principal)</w:t>
      </w:r>
      <w:r w:rsidRPr="00D936CA">
        <w:rPr>
          <w:rFonts w:ascii="ITC Avant Garde" w:hAnsi="ITC Avant Garde"/>
          <w:sz w:val="22"/>
          <w:szCs w:val="22"/>
        </w:rPr>
        <w:t>.</w:t>
      </w:r>
    </w:p>
    <w:p w14:paraId="33CFE72D" w14:textId="77777777" w:rsidR="00B22BA8"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 xml:space="preserve">Número de pares </w:t>
      </w:r>
      <w:r w:rsidR="0001151F" w:rsidRPr="00D936CA">
        <w:rPr>
          <w:rFonts w:ascii="ITC Avant Garde" w:hAnsi="ITC Avant Garde"/>
          <w:sz w:val="22"/>
          <w:szCs w:val="22"/>
        </w:rPr>
        <w:t xml:space="preserve">de cobre </w:t>
      </w:r>
      <w:r w:rsidR="001577A2" w:rsidRPr="00D936CA">
        <w:rPr>
          <w:rFonts w:ascii="ITC Avant Garde" w:hAnsi="ITC Avant Garde"/>
          <w:sz w:val="22"/>
          <w:szCs w:val="22"/>
        </w:rPr>
        <w:t xml:space="preserve">No Disponibles </w:t>
      </w:r>
      <w:r w:rsidRPr="00D936CA">
        <w:rPr>
          <w:rFonts w:ascii="ITC Avant Garde" w:hAnsi="ITC Avant Garde"/>
          <w:sz w:val="22"/>
          <w:szCs w:val="22"/>
        </w:rPr>
        <w:t>en cada Central Telefónica o Instalación Equivalente</w:t>
      </w:r>
      <w:r w:rsidR="001577A2" w:rsidRPr="00D936CA">
        <w:rPr>
          <w:rFonts w:ascii="ITC Avant Garde" w:hAnsi="ITC Avant Garde"/>
          <w:sz w:val="22"/>
          <w:szCs w:val="22"/>
        </w:rPr>
        <w:t xml:space="preserve"> (Red Principal)</w:t>
      </w:r>
      <w:r w:rsidRPr="00D936CA">
        <w:rPr>
          <w:rFonts w:ascii="ITC Avant Garde" w:hAnsi="ITC Avant Garde"/>
          <w:sz w:val="22"/>
          <w:szCs w:val="22"/>
        </w:rPr>
        <w:t>.</w:t>
      </w:r>
    </w:p>
    <w:p w14:paraId="33CFE72E" w14:textId="77777777" w:rsidR="001577A2" w:rsidRPr="00D936CA" w:rsidRDefault="001577A2"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Número de pares de cobre libres en cada Central Telefónica o Instalación Equivalente (Red Principal)</w:t>
      </w:r>
    </w:p>
    <w:p w14:paraId="33CFE72F" w14:textId="77777777" w:rsidR="001577A2" w:rsidRPr="00D936CA" w:rsidRDefault="001577A2"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Número de pares de cobre instalados en cada Central Telefónica o Instalación Equivalente (Red Secundaria).</w:t>
      </w:r>
    </w:p>
    <w:p w14:paraId="33CFE730" w14:textId="322EFF7E" w:rsidR="001577A2" w:rsidRPr="00D936CA" w:rsidRDefault="001577A2"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Número de pares de cobre No Disponibles en cada Central Telefónica o Instalación Equivalente (Red Secundaria).</w:t>
      </w:r>
    </w:p>
    <w:p w14:paraId="33CFE731" w14:textId="77777777" w:rsidR="005757EC" w:rsidRPr="00D936CA" w:rsidRDefault="001577A2"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Número de Pares de cobre Libres en cada Central Telefónica o Instalación Equivalente (Red Secundaria).</w:t>
      </w:r>
    </w:p>
    <w:p w14:paraId="33CFE732" w14:textId="77777777" w:rsidR="00B22BA8" w:rsidRPr="00D936CA" w:rsidRDefault="00B22BA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Cobertura de fibra óptica en número de casas pasadas en cada Central Telefónica o Instalación Equivalente.</w:t>
      </w:r>
    </w:p>
    <w:p w14:paraId="33CFE733" w14:textId="77777777" w:rsidR="00B22BA8" w:rsidRPr="00D936CA" w:rsidRDefault="00B22BA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Número de usuarios atendidos con fibra óptica en cada Central Telefónica o Instalación Equivalente.</w:t>
      </w:r>
    </w:p>
    <w:p w14:paraId="33CFE734" w14:textId="77777777" w:rsidR="001577A2" w:rsidRPr="00D936CA" w:rsidRDefault="001577A2"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Siglas del Nodo de Concentración de FTTH</w:t>
      </w:r>
    </w:p>
    <w:p w14:paraId="33CFE735"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Espacio disponible para coubicación (por modalidad).</w:t>
      </w:r>
    </w:p>
    <w:p w14:paraId="33CFE737"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Espacio disponible en predio de </w:t>
      </w:r>
      <w:r w:rsidR="00E64508" w:rsidRPr="00D936CA">
        <w:rPr>
          <w:rFonts w:ascii="ITC Avant Garde" w:hAnsi="ITC Avant Garde"/>
          <w:sz w:val="22"/>
          <w:szCs w:val="22"/>
        </w:rPr>
        <w:t xml:space="preserve">Telmex </w:t>
      </w:r>
      <w:r w:rsidRPr="00D936CA">
        <w:rPr>
          <w:rFonts w:ascii="ITC Avant Garde" w:hAnsi="ITC Avant Garde"/>
          <w:sz w:val="22"/>
          <w:szCs w:val="22"/>
        </w:rPr>
        <w:t xml:space="preserve">(superficie del predio sin contar la superficie del edificio). </w:t>
      </w:r>
    </w:p>
    <w:p w14:paraId="33CFE738" w14:textId="77777777" w:rsidR="00070533" w:rsidRPr="00D936CA" w:rsidRDefault="00070533"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1.1: Central Telefónica o Instalación Equivalente /Rangos de Numeración</w:t>
      </w:r>
    </w:p>
    <w:p w14:paraId="33CFE739" w14:textId="77777777"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Telefónica o Instalación Equivalente.</w:t>
      </w:r>
    </w:p>
    <w:p w14:paraId="33CFE73A" w14:textId="77777777"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3B" w14:textId="77777777"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 (CLLI).</w:t>
      </w:r>
    </w:p>
    <w:p w14:paraId="33CFE73C" w14:textId="39BBDCC6"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Clave </w:t>
      </w:r>
      <w:r w:rsidR="001B7BB4" w:rsidRPr="00D936CA">
        <w:rPr>
          <w:rFonts w:ascii="ITC Avant Garde" w:hAnsi="ITC Avant Garde"/>
          <w:sz w:val="22"/>
          <w:szCs w:val="22"/>
        </w:rPr>
        <w:t>de larga distancia</w:t>
      </w:r>
    </w:p>
    <w:p w14:paraId="33CFE73D" w14:textId="77777777"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Serie</w:t>
      </w:r>
    </w:p>
    <w:p w14:paraId="33CFE73E" w14:textId="77777777"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Inicial </w:t>
      </w:r>
    </w:p>
    <w:p w14:paraId="33CFE73F" w14:textId="77777777" w:rsidR="00070533" w:rsidRPr="00D936CA" w:rsidRDefault="00070533"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Final</w:t>
      </w:r>
    </w:p>
    <w:p w14:paraId="33CFE746" w14:textId="77777777" w:rsidR="005757EC" w:rsidRPr="00D936CA" w:rsidRDefault="005757EC" w:rsidP="00D936CA">
      <w:pPr>
        <w:spacing w:after="200" w:line="276" w:lineRule="auto"/>
        <w:ind w:left="720"/>
        <w:jc w:val="both"/>
        <w:rPr>
          <w:rFonts w:ascii="ITC Avant Garde" w:hAnsi="ITC Avant Garde"/>
          <w:sz w:val="22"/>
          <w:szCs w:val="22"/>
        </w:rPr>
      </w:pPr>
    </w:p>
    <w:p w14:paraId="33CFE747" w14:textId="77777777" w:rsidR="004E78E0" w:rsidRPr="00D936CA" w:rsidRDefault="004E78E0"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lastRenderedPageBreak/>
        <w:t>BASE 2: Cajas de Distribución (CD)</w:t>
      </w:r>
    </w:p>
    <w:p w14:paraId="33CFE748" w14:textId="77777777" w:rsidR="00070533" w:rsidRPr="00D936CA" w:rsidRDefault="00070533" w:rsidP="00D936CA">
      <w:pPr>
        <w:numPr>
          <w:ilvl w:val="0"/>
          <w:numId w:val="52"/>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Telefónica o Instalación Equivalente.</w:t>
      </w:r>
    </w:p>
    <w:p w14:paraId="33CFE749" w14:textId="77777777" w:rsidR="00070533" w:rsidRPr="00D936CA" w:rsidRDefault="00070533" w:rsidP="00D936CA">
      <w:pPr>
        <w:numPr>
          <w:ilvl w:val="0"/>
          <w:numId w:val="52"/>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4A" w14:textId="77777777" w:rsidR="00070533" w:rsidRPr="00D936CA" w:rsidRDefault="00070533" w:rsidP="00D936CA">
      <w:pPr>
        <w:numPr>
          <w:ilvl w:val="0"/>
          <w:numId w:val="52"/>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 (CLLI).</w:t>
      </w:r>
    </w:p>
    <w:p w14:paraId="33CFE74B" w14:textId="77777777" w:rsidR="004E78E0" w:rsidRPr="00D936CA" w:rsidRDefault="004E78E0" w:rsidP="00D936CA">
      <w:pPr>
        <w:numPr>
          <w:ilvl w:val="0"/>
          <w:numId w:val="52"/>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C</w:t>
      </w:r>
      <w:r w:rsidR="00E71418" w:rsidRPr="00D936CA">
        <w:rPr>
          <w:rFonts w:ascii="ITC Avant Garde" w:hAnsi="ITC Avant Garde"/>
          <w:sz w:val="22"/>
          <w:szCs w:val="22"/>
        </w:rPr>
        <w:t xml:space="preserve">aja de </w:t>
      </w:r>
      <w:r w:rsidRPr="00D936CA">
        <w:rPr>
          <w:rFonts w:ascii="ITC Avant Garde" w:hAnsi="ITC Avant Garde"/>
          <w:sz w:val="22"/>
          <w:szCs w:val="22"/>
        </w:rPr>
        <w:t>D</w:t>
      </w:r>
      <w:r w:rsidR="00E71418" w:rsidRPr="00D936CA">
        <w:rPr>
          <w:rFonts w:ascii="ITC Avant Garde" w:hAnsi="ITC Avant Garde"/>
          <w:sz w:val="22"/>
          <w:szCs w:val="22"/>
        </w:rPr>
        <w:t>istribución (Distrito)</w:t>
      </w:r>
      <w:r w:rsidRPr="00D936CA">
        <w:rPr>
          <w:rFonts w:ascii="ITC Avant Garde" w:hAnsi="ITC Avant Garde"/>
          <w:sz w:val="22"/>
          <w:szCs w:val="22"/>
        </w:rPr>
        <w:t>.</w:t>
      </w:r>
    </w:p>
    <w:p w14:paraId="33CFE74C" w14:textId="77777777" w:rsidR="004E78E0" w:rsidRPr="00D936CA" w:rsidRDefault="00E7141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Cuenta con Anexo de Caja para Desagregación (Sí, No, En proceso)</w:t>
      </w:r>
      <w:r w:rsidR="004E78E0" w:rsidRPr="00D936CA">
        <w:rPr>
          <w:rFonts w:ascii="ITC Avant Garde" w:hAnsi="ITC Avant Garde"/>
          <w:sz w:val="22"/>
          <w:szCs w:val="22"/>
        </w:rPr>
        <w:t>.</w:t>
      </w:r>
    </w:p>
    <w:p w14:paraId="33CFE74D"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Código identificador de Anexo de </w:t>
      </w:r>
      <w:r w:rsidR="00775272" w:rsidRPr="00D936CA">
        <w:rPr>
          <w:rFonts w:ascii="ITC Avant Garde" w:hAnsi="ITC Avant Garde"/>
          <w:sz w:val="22"/>
          <w:szCs w:val="22"/>
        </w:rPr>
        <w:t>Caja</w:t>
      </w:r>
      <w:r w:rsidRPr="00D936CA">
        <w:rPr>
          <w:rFonts w:ascii="ITC Avant Garde" w:hAnsi="ITC Avant Garde"/>
          <w:sz w:val="22"/>
          <w:szCs w:val="22"/>
        </w:rPr>
        <w:t xml:space="preserve"> de </w:t>
      </w:r>
      <w:r w:rsidR="00775272" w:rsidRPr="00D936CA">
        <w:rPr>
          <w:rFonts w:ascii="ITC Avant Garde" w:hAnsi="ITC Avant Garde"/>
          <w:sz w:val="22"/>
          <w:szCs w:val="22"/>
        </w:rPr>
        <w:t>Distribución</w:t>
      </w:r>
      <w:r w:rsidRPr="00D936CA">
        <w:rPr>
          <w:rFonts w:ascii="ITC Avant Garde" w:hAnsi="ITC Avant Garde"/>
          <w:sz w:val="22"/>
          <w:szCs w:val="22"/>
        </w:rPr>
        <w:t>.</w:t>
      </w:r>
    </w:p>
    <w:p w14:paraId="33CFE74E" w14:textId="77777777" w:rsidR="004E78E0" w:rsidRPr="00D936CA" w:rsidRDefault="00E7141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Ubicación de Cajas de Distribución</w:t>
      </w:r>
      <w:r w:rsidR="004E78E0" w:rsidRPr="00D936CA">
        <w:rPr>
          <w:rFonts w:ascii="ITC Avant Garde" w:hAnsi="ITC Avant Garde"/>
          <w:sz w:val="22"/>
          <w:szCs w:val="22"/>
        </w:rPr>
        <w:t xml:space="preserve"> </w:t>
      </w:r>
      <w:r w:rsidR="001270FD" w:rsidRPr="00D936CA">
        <w:rPr>
          <w:rFonts w:ascii="ITC Avant Garde" w:hAnsi="ITC Avant Garde"/>
          <w:sz w:val="22"/>
          <w:szCs w:val="22"/>
        </w:rPr>
        <w:t>(latitud</w:t>
      </w:r>
      <w:r w:rsidRPr="00D936CA">
        <w:rPr>
          <w:rFonts w:ascii="ITC Avant Garde" w:hAnsi="ITC Avant Garde"/>
          <w:sz w:val="22"/>
          <w:szCs w:val="22"/>
        </w:rPr>
        <w:t>,</w:t>
      </w:r>
      <w:r w:rsidR="001270FD" w:rsidRPr="00D936CA">
        <w:rPr>
          <w:rFonts w:ascii="ITC Avant Garde" w:hAnsi="ITC Avant Garde"/>
          <w:sz w:val="22"/>
          <w:szCs w:val="22"/>
        </w:rPr>
        <w:t xml:space="preserve"> longitud</w:t>
      </w:r>
      <w:r w:rsidRPr="00D936CA">
        <w:rPr>
          <w:rFonts w:ascii="ITC Avant Garde" w:hAnsi="ITC Avant Garde"/>
          <w:sz w:val="22"/>
          <w:szCs w:val="22"/>
        </w:rPr>
        <w:t>, Estado, Municipio, Localidad, Colonia, Calle</w:t>
      </w:r>
      <w:r w:rsidR="001270FD" w:rsidRPr="00D936CA">
        <w:rPr>
          <w:rFonts w:ascii="ITC Avant Garde" w:hAnsi="ITC Avant Garde"/>
          <w:sz w:val="22"/>
          <w:szCs w:val="22"/>
        </w:rPr>
        <w:t>)</w:t>
      </w:r>
    </w:p>
    <w:p w14:paraId="33CFE74F"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Número de pares </w:t>
      </w:r>
      <w:r w:rsidR="00E71418" w:rsidRPr="00D936CA">
        <w:rPr>
          <w:rFonts w:ascii="ITC Avant Garde" w:hAnsi="ITC Avant Garde"/>
          <w:sz w:val="22"/>
          <w:szCs w:val="22"/>
        </w:rPr>
        <w:t xml:space="preserve">Instalados </w:t>
      </w:r>
      <w:r w:rsidRPr="00D936CA">
        <w:rPr>
          <w:rFonts w:ascii="ITC Avant Garde" w:hAnsi="ITC Avant Garde"/>
          <w:sz w:val="22"/>
          <w:szCs w:val="22"/>
        </w:rPr>
        <w:t>en cada CD.</w:t>
      </w:r>
    </w:p>
    <w:p w14:paraId="33CFE750" w14:textId="77777777" w:rsidR="004E78E0" w:rsidRPr="00D936CA" w:rsidRDefault="004E78E0"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Número de pares </w:t>
      </w:r>
      <w:r w:rsidR="00E71418" w:rsidRPr="00D936CA">
        <w:rPr>
          <w:rFonts w:ascii="ITC Avant Garde" w:hAnsi="ITC Avant Garde"/>
          <w:sz w:val="22"/>
          <w:szCs w:val="22"/>
        </w:rPr>
        <w:t xml:space="preserve">No Disponibles </w:t>
      </w:r>
      <w:r w:rsidRPr="00D936CA">
        <w:rPr>
          <w:rFonts w:ascii="ITC Avant Garde" w:hAnsi="ITC Avant Garde"/>
          <w:sz w:val="22"/>
          <w:szCs w:val="22"/>
        </w:rPr>
        <w:t>en cada CD.</w:t>
      </w:r>
    </w:p>
    <w:p w14:paraId="33CFE751" w14:textId="77115A2A" w:rsidR="00F9485C" w:rsidRPr="00D936CA" w:rsidRDefault="00F9485C" w:rsidP="00D936CA">
      <w:pPr>
        <w:pStyle w:val="IFTnormal"/>
        <w:numPr>
          <w:ilvl w:val="0"/>
          <w:numId w:val="48"/>
        </w:numPr>
      </w:pPr>
      <w:r w:rsidRPr="00D936CA">
        <w:t xml:space="preserve">Número de pares disponibles en cada </w:t>
      </w:r>
      <w:r w:rsidR="00C55276" w:rsidRPr="00D936CA">
        <w:t xml:space="preserve">unidad básica </w:t>
      </w:r>
      <w:r w:rsidR="003319FE" w:rsidRPr="00D936CA">
        <w:t xml:space="preserve">(esta información será proporcionada cuando </w:t>
      </w:r>
      <w:r w:rsidR="00F07D23" w:rsidRPr="00D936CA">
        <w:t>Telmex</w:t>
      </w:r>
      <w:r w:rsidR="003319FE" w:rsidRPr="00D936CA">
        <w:t xml:space="preserve"> actualice la información de acuerdo a sus propias operaciones).</w:t>
      </w:r>
    </w:p>
    <w:p w14:paraId="33CFE752" w14:textId="77777777" w:rsidR="003319FE" w:rsidRPr="00D936CA" w:rsidRDefault="002F63F8" w:rsidP="00D936CA">
      <w:pPr>
        <w:pStyle w:val="IFTnormal"/>
        <w:numPr>
          <w:ilvl w:val="0"/>
          <w:numId w:val="48"/>
        </w:numPr>
      </w:pPr>
      <w:r w:rsidRPr="00D936CA">
        <w:t xml:space="preserve">Indicar si las Cajas de Distribución están asociadas a </w:t>
      </w:r>
      <w:r w:rsidR="00424554" w:rsidRPr="00D936CA">
        <w:t>una TBA,</w:t>
      </w:r>
      <w:r w:rsidRPr="00D936CA">
        <w:t xml:space="preserve"> mini DSLAM o equipo de acceso.</w:t>
      </w:r>
    </w:p>
    <w:p w14:paraId="33CFE753" w14:textId="6FBCECF9" w:rsidR="00424554" w:rsidRPr="00D936CA" w:rsidRDefault="007D7079" w:rsidP="00D936CA">
      <w:pPr>
        <w:pStyle w:val="CondicionesFinales"/>
        <w:numPr>
          <w:ilvl w:val="0"/>
          <w:numId w:val="48"/>
        </w:numPr>
        <w:rPr>
          <w:color w:val="auto"/>
        </w:rPr>
      </w:pPr>
      <w:r w:rsidRPr="00D936CA">
        <w:rPr>
          <w:color w:val="auto"/>
        </w:rPr>
        <w:t>Código</w:t>
      </w:r>
      <w:r w:rsidR="00424554" w:rsidRPr="00D936CA">
        <w:rPr>
          <w:color w:val="auto"/>
        </w:rPr>
        <w:t xml:space="preserve"> identificador de TBA, mini DSLAM o equipo de acceso asociado a la Caja de Distribución.</w:t>
      </w:r>
    </w:p>
    <w:p w14:paraId="53650633" w14:textId="4E6101FD" w:rsidR="00091645" w:rsidRDefault="00464E7D" w:rsidP="00091645">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Archivo de representación vectorial de las vialidades asociadas</w:t>
      </w:r>
      <w:r w:rsidR="00DD78A3" w:rsidRPr="00D936CA">
        <w:rPr>
          <w:rFonts w:ascii="ITC Avant Garde" w:hAnsi="ITC Avant Garde"/>
          <w:sz w:val="22"/>
          <w:szCs w:val="22"/>
        </w:rPr>
        <w:t xml:space="preserve"> y las calles atendidas por rango de numeración</w:t>
      </w:r>
      <w:r w:rsidRPr="00D936CA">
        <w:rPr>
          <w:rFonts w:ascii="ITC Avant Garde" w:hAnsi="ITC Avant Garde"/>
          <w:sz w:val="22"/>
          <w:szCs w:val="22"/>
        </w:rPr>
        <w:t xml:space="preserve"> en un formato compatible con los sistemas de información geográfica. Colonias atendidas por cada Caja de Distribución.</w:t>
      </w:r>
    </w:p>
    <w:p w14:paraId="6861EF24" w14:textId="77777777" w:rsidR="00CC4EA6" w:rsidRDefault="00CC4EA6" w:rsidP="00D936CA">
      <w:pPr>
        <w:spacing w:after="200" w:line="276" w:lineRule="auto"/>
        <w:jc w:val="both"/>
        <w:rPr>
          <w:rFonts w:ascii="ITC Avant Garde" w:hAnsi="ITC Avant Garde"/>
          <w:sz w:val="22"/>
          <w:szCs w:val="22"/>
          <w:u w:val="single"/>
        </w:rPr>
      </w:pPr>
    </w:p>
    <w:p w14:paraId="33CFE754" w14:textId="7D9F6E93" w:rsidR="004E78E0" w:rsidRPr="00D936CA" w:rsidRDefault="004E78E0"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3: Área atendida por cobre</w:t>
      </w:r>
    </w:p>
    <w:p w14:paraId="33CFE755" w14:textId="77777777" w:rsidR="00E71418" w:rsidRPr="00D936CA" w:rsidRDefault="00E7141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Telefónica o Instalación Equivalente.</w:t>
      </w:r>
    </w:p>
    <w:p w14:paraId="33CFE756" w14:textId="77777777" w:rsidR="00E71418" w:rsidRPr="00D936CA" w:rsidRDefault="00E7141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57" w14:textId="77777777" w:rsidR="00E71418" w:rsidRPr="00D936CA" w:rsidRDefault="00E7141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 (CLLI).</w:t>
      </w:r>
    </w:p>
    <w:p w14:paraId="33CFE758" w14:textId="77777777" w:rsidR="00044ED4" w:rsidRPr="00D936CA" w:rsidRDefault="005F0BA4"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 xml:space="preserve">Polígono vectorial de la zona de cobertura </w:t>
      </w:r>
      <w:r w:rsidR="00044ED4" w:rsidRPr="00D936CA">
        <w:rPr>
          <w:rFonts w:ascii="ITC Avant Garde" w:hAnsi="ITC Avant Garde"/>
          <w:sz w:val="22"/>
          <w:szCs w:val="22"/>
        </w:rPr>
        <w:t>en formato compatible con los sistemas de información geográfica.</w:t>
      </w:r>
    </w:p>
    <w:p w14:paraId="4EB53C45" w14:textId="77777777" w:rsidR="00E437B1" w:rsidRPr="00D936CA" w:rsidRDefault="00044ED4"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A</w:t>
      </w:r>
      <w:r w:rsidR="005F0BA4" w:rsidRPr="00D936CA">
        <w:rPr>
          <w:rFonts w:ascii="ITC Avant Garde" w:hAnsi="ITC Avant Garde"/>
          <w:sz w:val="22"/>
          <w:szCs w:val="22"/>
        </w:rPr>
        <w:t xml:space="preserve">rchivo de representación vectorial de las vialidades asociadas en un formato compatible con los sistemas de información geográfica. </w:t>
      </w:r>
    </w:p>
    <w:p w14:paraId="33CFE759" w14:textId="19D5F0B2" w:rsidR="004E78E0" w:rsidRPr="00D936CA" w:rsidRDefault="00E30BA8"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Colonias </w:t>
      </w:r>
      <w:r w:rsidR="004E78E0" w:rsidRPr="00D936CA">
        <w:rPr>
          <w:rFonts w:ascii="ITC Avant Garde" w:hAnsi="ITC Avant Garde"/>
          <w:sz w:val="22"/>
          <w:szCs w:val="22"/>
        </w:rPr>
        <w:t>atendida</w:t>
      </w:r>
      <w:r w:rsidRPr="00D936CA">
        <w:rPr>
          <w:rFonts w:ascii="ITC Avant Garde" w:hAnsi="ITC Avant Garde"/>
          <w:sz w:val="22"/>
          <w:szCs w:val="22"/>
        </w:rPr>
        <w:t>s</w:t>
      </w:r>
      <w:r w:rsidR="004E78E0" w:rsidRPr="00D936CA">
        <w:rPr>
          <w:rFonts w:ascii="ITC Avant Garde" w:hAnsi="ITC Avant Garde"/>
          <w:sz w:val="22"/>
          <w:szCs w:val="22"/>
        </w:rPr>
        <w:t xml:space="preserve"> por cada Central Telefónica o Instalación Equivalente asociadas a despliegue de cobre.</w:t>
      </w:r>
    </w:p>
    <w:p w14:paraId="33CFE760" w14:textId="77777777" w:rsidR="005757EC" w:rsidRPr="00D936CA" w:rsidRDefault="005757EC" w:rsidP="00D936CA">
      <w:pPr>
        <w:spacing w:after="200" w:line="276" w:lineRule="auto"/>
        <w:ind w:left="720"/>
        <w:jc w:val="both"/>
        <w:rPr>
          <w:rFonts w:ascii="ITC Avant Garde" w:hAnsi="ITC Avant Garde"/>
          <w:sz w:val="22"/>
          <w:szCs w:val="22"/>
        </w:rPr>
      </w:pPr>
    </w:p>
    <w:p w14:paraId="33CFE761" w14:textId="77777777" w:rsidR="004E78E0" w:rsidRPr="00D936CA" w:rsidRDefault="004E78E0"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4: Área atendida por fibra óptica</w:t>
      </w:r>
    </w:p>
    <w:p w14:paraId="33CFE762" w14:textId="77777777" w:rsidR="00044ED4" w:rsidRPr="00D936CA" w:rsidRDefault="005F0BA4" w:rsidP="00D936CA">
      <w:pPr>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 xml:space="preserve">Polígono vectorial de la zona de cobertura </w:t>
      </w:r>
      <w:r w:rsidR="00044ED4" w:rsidRPr="00D936CA">
        <w:rPr>
          <w:rFonts w:ascii="ITC Avant Garde" w:hAnsi="ITC Avant Garde"/>
          <w:sz w:val="22"/>
          <w:szCs w:val="22"/>
        </w:rPr>
        <w:t xml:space="preserve">en formato compatible con los sistemas de información geográfica. </w:t>
      </w:r>
    </w:p>
    <w:p w14:paraId="5337ADA4" w14:textId="10202E18" w:rsidR="008E3C1D" w:rsidRDefault="00044ED4" w:rsidP="00D936CA">
      <w:pPr>
        <w:pStyle w:val="Prrafodelista"/>
        <w:numPr>
          <w:ilvl w:val="0"/>
          <w:numId w:val="48"/>
        </w:numPr>
        <w:spacing w:after="200" w:line="276" w:lineRule="auto"/>
        <w:jc w:val="both"/>
        <w:rPr>
          <w:rFonts w:ascii="ITC Avant Garde" w:hAnsi="ITC Avant Garde"/>
          <w:sz w:val="22"/>
          <w:szCs w:val="22"/>
        </w:rPr>
      </w:pPr>
      <w:r w:rsidRPr="00D936CA">
        <w:rPr>
          <w:rFonts w:ascii="ITC Avant Garde" w:hAnsi="ITC Avant Garde"/>
          <w:sz w:val="22"/>
          <w:szCs w:val="22"/>
        </w:rPr>
        <w:t>A</w:t>
      </w:r>
      <w:r w:rsidR="005F0BA4" w:rsidRPr="00D936CA">
        <w:rPr>
          <w:rFonts w:ascii="ITC Avant Garde" w:hAnsi="ITC Avant Garde"/>
          <w:sz w:val="22"/>
          <w:szCs w:val="22"/>
        </w:rPr>
        <w:t>rchivo de representación vectorial d</w:t>
      </w:r>
      <w:r w:rsidRPr="00D936CA">
        <w:rPr>
          <w:rFonts w:ascii="ITC Avant Garde" w:hAnsi="ITC Avant Garde"/>
          <w:sz w:val="22"/>
          <w:szCs w:val="22"/>
        </w:rPr>
        <w:t>e las vialidades asociadas en</w:t>
      </w:r>
      <w:r w:rsidR="005F0BA4" w:rsidRPr="00D936CA">
        <w:rPr>
          <w:rFonts w:ascii="ITC Avant Garde" w:hAnsi="ITC Avant Garde"/>
          <w:sz w:val="22"/>
          <w:szCs w:val="22"/>
        </w:rPr>
        <w:t xml:space="preserve"> formato compatible con los sistemas de información geográfica. </w:t>
      </w:r>
    </w:p>
    <w:p w14:paraId="3D95056B" w14:textId="77777777" w:rsidR="00CC4EA6" w:rsidRPr="00060B2E" w:rsidRDefault="00CC4EA6" w:rsidP="00060B2E">
      <w:pPr>
        <w:spacing w:after="200" w:line="276" w:lineRule="auto"/>
        <w:jc w:val="both"/>
        <w:rPr>
          <w:rFonts w:ascii="ITC Avant Garde" w:hAnsi="ITC Avant Garde"/>
          <w:sz w:val="22"/>
          <w:szCs w:val="22"/>
        </w:rPr>
      </w:pPr>
    </w:p>
    <w:p w14:paraId="33CFE763" w14:textId="1A0D455F" w:rsidR="004E78E0" w:rsidRPr="00D936CA" w:rsidRDefault="004E78E0" w:rsidP="00D936CA">
      <w:pPr>
        <w:spacing w:after="200" w:line="276" w:lineRule="auto"/>
        <w:jc w:val="both"/>
        <w:rPr>
          <w:rFonts w:ascii="ITC Avant Garde" w:hAnsi="ITC Avant Garde"/>
          <w:sz w:val="22"/>
          <w:szCs w:val="22"/>
        </w:rPr>
      </w:pPr>
      <w:r w:rsidRPr="00D936CA">
        <w:rPr>
          <w:rFonts w:ascii="ITC Avant Garde" w:hAnsi="ITC Avant Garde"/>
          <w:sz w:val="22"/>
          <w:szCs w:val="22"/>
          <w:u w:val="single"/>
        </w:rPr>
        <w:t>BASE 5: Unidades básicas</w:t>
      </w:r>
      <w:r w:rsidRPr="00D936CA">
        <w:rPr>
          <w:rFonts w:ascii="ITC Avant Garde" w:hAnsi="ITC Avant Garde"/>
          <w:sz w:val="22"/>
          <w:szCs w:val="22"/>
        </w:rPr>
        <w:t xml:space="preserve"> </w:t>
      </w:r>
    </w:p>
    <w:p w14:paraId="33CFE764" w14:textId="77777777" w:rsidR="00D43FA9" w:rsidRPr="00D936CA" w:rsidRDefault="00D43FA9"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Telefónica o Instalación Equivalente.</w:t>
      </w:r>
    </w:p>
    <w:p w14:paraId="33CFE765" w14:textId="77777777" w:rsidR="00D43FA9" w:rsidRPr="00D936CA" w:rsidRDefault="00D43FA9"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66" w14:textId="77777777" w:rsidR="00D43FA9" w:rsidRPr="00D936CA" w:rsidRDefault="00D43FA9"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 (CLLI).</w:t>
      </w:r>
    </w:p>
    <w:p w14:paraId="33CFE767" w14:textId="77777777" w:rsidR="004E78E0" w:rsidRPr="00D936CA" w:rsidRDefault="004E78E0"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cada unidad básica</w:t>
      </w:r>
      <w:r w:rsidR="001B6F1C" w:rsidRPr="00D936CA">
        <w:rPr>
          <w:rFonts w:ascii="ITC Avant Garde" w:hAnsi="ITC Avant Garde"/>
          <w:sz w:val="22"/>
          <w:szCs w:val="22"/>
        </w:rPr>
        <w:t>.</w:t>
      </w:r>
    </w:p>
    <w:p w14:paraId="33CFE768" w14:textId="77777777" w:rsidR="001B6F1C" w:rsidRPr="00D936CA" w:rsidRDefault="001B6F1C"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Tipo de unidad básica (10 pares/50 pares)</w:t>
      </w:r>
    </w:p>
    <w:p w14:paraId="2304B5B9" w14:textId="4FC66ABE" w:rsidR="00597461" w:rsidRPr="00D936CA" w:rsidRDefault="00597461" w:rsidP="00D936CA">
      <w:pPr>
        <w:pStyle w:val="CondicionesFinales"/>
        <w:numPr>
          <w:ilvl w:val="0"/>
          <w:numId w:val="49"/>
        </w:numPr>
        <w:rPr>
          <w:color w:val="auto"/>
        </w:rPr>
      </w:pPr>
      <w:r w:rsidRPr="00D936CA">
        <w:rPr>
          <w:color w:val="auto"/>
        </w:rPr>
        <w:t xml:space="preserve">Tipo de equipo de acceso </w:t>
      </w:r>
      <w:r w:rsidR="0006208B" w:rsidRPr="00D936CA">
        <w:rPr>
          <w:color w:val="auto"/>
        </w:rPr>
        <w:t>asociado</w:t>
      </w:r>
      <w:r w:rsidRPr="00D936CA">
        <w:rPr>
          <w:color w:val="auto"/>
        </w:rPr>
        <w:t xml:space="preserve"> a la unidad básica (relacionable con la lista de especificaciones).</w:t>
      </w:r>
    </w:p>
    <w:p w14:paraId="33CFE76A" w14:textId="5D280A61" w:rsidR="00FE3EB7" w:rsidRPr="00D936CA" w:rsidRDefault="00371341"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 xml:space="preserve">Tecnología </w:t>
      </w:r>
      <w:r w:rsidR="006C4FC1" w:rsidRPr="00D936CA">
        <w:rPr>
          <w:rFonts w:ascii="ITC Avant Garde" w:hAnsi="ITC Avant Garde"/>
          <w:sz w:val="22"/>
          <w:szCs w:val="22"/>
        </w:rPr>
        <w:t>de acceso</w:t>
      </w:r>
      <w:r w:rsidR="0045392B">
        <w:rPr>
          <w:rFonts w:ascii="ITC Avant Garde" w:hAnsi="ITC Avant Garde"/>
          <w:sz w:val="22"/>
          <w:szCs w:val="22"/>
        </w:rPr>
        <w:t xml:space="preserve"> </w:t>
      </w:r>
      <w:r w:rsidRPr="00D936CA">
        <w:rPr>
          <w:rFonts w:ascii="ITC Avant Garde" w:hAnsi="ITC Avant Garde"/>
          <w:sz w:val="22"/>
          <w:szCs w:val="22"/>
        </w:rPr>
        <w:t xml:space="preserve">(ADSL, ADSL2, ADSL2+, VDSL, VDSL2, entre otras) </w:t>
      </w:r>
      <w:r w:rsidR="00167039" w:rsidRPr="00D936CA">
        <w:rPr>
          <w:rFonts w:ascii="ITC Avant Garde" w:hAnsi="ITC Avant Garde"/>
          <w:sz w:val="22"/>
          <w:szCs w:val="22"/>
        </w:rPr>
        <w:t xml:space="preserve">asociados a la unidad </w:t>
      </w:r>
      <w:r w:rsidR="0038716B" w:rsidRPr="00D936CA">
        <w:rPr>
          <w:rFonts w:ascii="ITC Avant Garde" w:hAnsi="ITC Avant Garde"/>
          <w:sz w:val="22"/>
          <w:szCs w:val="22"/>
        </w:rPr>
        <w:t>básica.</w:t>
      </w:r>
    </w:p>
    <w:p w14:paraId="33CFE76B" w14:textId="35A8264E" w:rsidR="005757EC" w:rsidRPr="00D936CA" w:rsidRDefault="00873A65" w:rsidP="00D936CA">
      <w:pPr>
        <w:numPr>
          <w:ilvl w:val="0"/>
          <w:numId w:val="49"/>
        </w:numPr>
        <w:spacing w:after="200" w:line="276" w:lineRule="auto"/>
        <w:jc w:val="both"/>
        <w:rPr>
          <w:rFonts w:ascii="ITC Avant Garde" w:hAnsi="ITC Avant Garde"/>
          <w:sz w:val="22"/>
          <w:szCs w:val="22"/>
        </w:rPr>
      </w:pPr>
      <w:r w:rsidRPr="00D936CA">
        <w:rPr>
          <w:rFonts w:ascii="ITC Avant Garde" w:hAnsi="ITC Avant Garde"/>
          <w:sz w:val="22"/>
          <w:szCs w:val="22"/>
        </w:rPr>
        <w:t>Lista con</w:t>
      </w:r>
      <w:r w:rsidR="0075785A" w:rsidRPr="00D936CA">
        <w:rPr>
          <w:rFonts w:ascii="ITC Avant Garde" w:hAnsi="ITC Avant Garde"/>
          <w:sz w:val="22"/>
          <w:szCs w:val="22"/>
        </w:rPr>
        <w:t xml:space="preserve"> las especificaciones de los </w:t>
      </w:r>
      <w:r w:rsidR="0038716B" w:rsidRPr="00D936CA">
        <w:rPr>
          <w:rFonts w:ascii="ITC Avant Garde" w:hAnsi="ITC Avant Garde"/>
          <w:sz w:val="22"/>
          <w:szCs w:val="22"/>
        </w:rPr>
        <w:t xml:space="preserve">tipos de </w:t>
      </w:r>
      <w:r w:rsidR="0075785A" w:rsidRPr="00D936CA">
        <w:rPr>
          <w:rFonts w:ascii="ITC Avant Garde" w:hAnsi="ITC Avant Garde"/>
          <w:sz w:val="22"/>
          <w:szCs w:val="22"/>
        </w:rPr>
        <w:t>equipos de acceso en la red de cobre</w:t>
      </w:r>
      <w:r w:rsidR="00CC4EA6">
        <w:rPr>
          <w:rFonts w:ascii="ITC Avant Garde" w:hAnsi="ITC Avant Garde"/>
          <w:sz w:val="22"/>
          <w:szCs w:val="22"/>
        </w:rPr>
        <w:t xml:space="preserve"> (consultables en el SEG)</w:t>
      </w:r>
      <w:r w:rsidR="0075785A" w:rsidRPr="00D936CA">
        <w:rPr>
          <w:rFonts w:ascii="ITC Avant Garde" w:hAnsi="ITC Avant Garde"/>
          <w:sz w:val="22"/>
          <w:szCs w:val="22"/>
        </w:rPr>
        <w:t xml:space="preserve">. </w:t>
      </w:r>
    </w:p>
    <w:p w14:paraId="33CFE76C" w14:textId="77777777" w:rsidR="00D43FA9" w:rsidRPr="00D936CA" w:rsidRDefault="00D43FA9" w:rsidP="00D936CA">
      <w:pPr>
        <w:spacing w:after="200" w:line="276" w:lineRule="auto"/>
        <w:jc w:val="both"/>
        <w:rPr>
          <w:rFonts w:ascii="ITC Avant Garde" w:hAnsi="ITC Avant Garde"/>
          <w:sz w:val="22"/>
          <w:szCs w:val="22"/>
          <w:u w:val="single"/>
        </w:rPr>
      </w:pPr>
    </w:p>
    <w:p w14:paraId="33CFE76D" w14:textId="77777777" w:rsidR="004E78E0" w:rsidRPr="00D936CA" w:rsidRDefault="004E78E0"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6: Información para el SAIB</w:t>
      </w:r>
    </w:p>
    <w:p w14:paraId="33CFE76E" w14:textId="77777777" w:rsidR="004E78E0" w:rsidRPr="00D936CA" w:rsidRDefault="004E78E0"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Nombre de la Central Telefónica o Instalación Equivalente donde están dados de alta los puntos de concentración.</w:t>
      </w:r>
    </w:p>
    <w:p w14:paraId="33CFE76F"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70"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 (CLLI).</w:t>
      </w:r>
    </w:p>
    <w:p w14:paraId="33CFE771" w14:textId="7BEF8598" w:rsidR="004E78E0" w:rsidRPr="00D936CA" w:rsidRDefault="004E78E0"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Tipo de puntos de concentración (local, regional</w:t>
      </w:r>
      <w:r w:rsidR="00D43FA9" w:rsidRPr="00D936CA">
        <w:rPr>
          <w:rFonts w:ascii="ITC Avant Garde" w:hAnsi="ITC Avant Garde"/>
          <w:sz w:val="22"/>
          <w:szCs w:val="22"/>
        </w:rPr>
        <w:t>,</w:t>
      </w:r>
      <w:r w:rsidRPr="00D936CA">
        <w:rPr>
          <w:rFonts w:ascii="ITC Avant Garde" w:hAnsi="ITC Avant Garde"/>
          <w:sz w:val="22"/>
          <w:szCs w:val="22"/>
        </w:rPr>
        <w:t xml:space="preserve"> nacional, </w:t>
      </w:r>
      <w:r w:rsidR="00D43FA9" w:rsidRPr="00D936CA">
        <w:rPr>
          <w:rFonts w:ascii="ITC Avant Garde" w:hAnsi="ITC Avant Garde"/>
          <w:sz w:val="22"/>
          <w:szCs w:val="22"/>
        </w:rPr>
        <w:t>No NCAI</w:t>
      </w:r>
      <w:r w:rsidRPr="00D936CA">
        <w:rPr>
          <w:rFonts w:ascii="ITC Avant Garde" w:hAnsi="ITC Avant Garde"/>
          <w:sz w:val="22"/>
          <w:szCs w:val="22"/>
        </w:rPr>
        <w:t>).</w:t>
      </w:r>
    </w:p>
    <w:p w14:paraId="545252C4" w14:textId="27A912B2" w:rsidR="002D540B" w:rsidRPr="00D936CA" w:rsidRDefault="002D540B"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 xml:space="preserve">Código identificador (CLLI) del </w:t>
      </w:r>
      <w:r w:rsidR="001051C5" w:rsidRPr="00D936CA">
        <w:rPr>
          <w:rFonts w:ascii="ITC Avant Garde" w:hAnsi="ITC Avant Garde"/>
          <w:sz w:val="22"/>
          <w:szCs w:val="22"/>
        </w:rPr>
        <w:t>punto de concentración</w:t>
      </w:r>
      <w:r w:rsidRPr="00D936CA">
        <w:rPr>
          <w:rFonts w:ascii="ITC Avant Garde" w:hAnsi="ITC Avant Garde"/>
          <w:sz w:val="22"/>
          <w:szCs w:val="22"/>
        </w:rPr>
        <w:t xml:space="preserve"> instalado en la Central Telefónica o Instalación Equivalente.</w:t>
      </w:r>
    </w:p>
    <w:p w14:paraId="33CFE773" w14:textId="77777777" w:rsidR="004E78E0" w:rsidRPr="00D936CA" w:rsidRDefault="004E78E0" w:rsidP="00D936CA">
      <w:pPr>
        <w:numPr>
          <w:ilvl w:val="0"/>
          <w:numId w:val="51"/>
        </w:numPr>
        <w:spacing w:after="200" w:line="276" w:lineRule="auto"/>
        <w:jc w:val="both"/>
        <w:rPr>
          <w:rFonts w:ascii="ITC Avant Garde" w:hAnsi="ITC Avant Garde"/>
          <w:sz w:val="22"/>
          <w:szCs w:val="22"/>
        </w:rPr>
      </w:pPr>
      <w:r w:rsidRPr="00D936CA">
        <w:rPr>
          <w:rFonts w:ascii="ITC Avant Garde" w:hAnsi="ITC Avant Garde"/>
          <w:sz w:val="22"/>
          <w:szCs w:val="22"/>
        </w:rPr>
        <w:t>Tecnología disponible</w:t>
      </w:r>
      <w:r w:rsidR="00D43FA9" w:rsidRPr="00D936CA">
        <w:rPr>
          <w:rFonts w:ascii="ITC Avant Garde" w:hAnsi="ITC Avant Garde"/>
          <w:sz w:val="22"/>
          <w:szCs w:val="22"/>
        </w:rPr>
        <w:t xml:space="preserve"> para el PCAI</w:t>
      </w:r>
      <w:r w:rsidRPr="00D936CA">
        <w:rPr>
          <w:rFonts w:ascii="ITC Avant Garde" w:hAnsi="ITC Avant Garde"/>
          <w:sz w:val="22"/>
          <w:szCs w:val="22"/>
        </w:rPr>
        <w:t>.</w:t>
      </w:r>
    </w:p>
    <w:p w14:paraId="33CFE774" w14:textId="087A2C90" w:rsidR="004E78E0" w:rsidRPr="00D936CA" w:rsidRDefault="004E78E0" w:rsidP="00D936CA">
      <w:pPr>
        <w:numPr>
          <w:ilvl w:val="0"/>
          <w:numId w:val="51"/>
        </w:numPr>
        <w:spacing w:after="200" w:line="276" w:lineRule="auto"/>
        <w:jc w:val="both"/>
        <w:rPr>
          <w:rFonts w:ascii="ITC Avant Garde" w:hAnsi="ITC Avant Garde"/>
          <w:sz w:val="22"/>
          <w:szCs w:val="22"/>
        </w:rPr>
      </w:pPr>
      <w:r w:rsidRPr="00D936CA">
        <w:rPr>
          <w:rFonts w:ascii="ITC Avant Garde" w:hAnsi="ITC Avant Garde"/>
          <w:sz w:val="22"/>
          <w:szCs w:val="22"/>
        </w:rPr>
        <w:t>Centrales Telefónicas o Instalaciones Equivalentes asociadas a cada punto de concentración</w:t>
      </w:r>
      <w:r w:rsidR="00D43FA9" w:rsidRPr="00D936CA">
        <w:rPr>
          <w:rFonts w:ascii="ITC Avant Garde" w:hAnsi="ITC Avant Garde"/>
          <w:sz w:val="22"/>
          <w:szCs w:val="22"/>
        </w:rPr>
        <w:t xml:space="preserve"> (Punto de Concentración Local PCL, Punto de Concentración Regional PCR, Punto de Concentración Nacional PCN)</w:t>
      </w:r>
      <w:r w:rsidRPr="00D936CA">
        <w:rPr>
          <w:rFonts w:ascii="ITC Avant Garde" w:hAnsi="ITC Avant Garde"/>
          <w:sz w:val="22"/>
          <w:szCs w:val="22"/>
        </w:rPr>
        <w:t>.</w:t>
      </w:r>
    </w:p>
    <w:p w14:paraId="33CFE775" w14:textId="77777777" w:rsidR="004E78E0" w:rsidRPr="00D936CA" w:rsidRDefault="004E78E0" w:rsidP="00D936CA">
      <w:pPr>
        <w:numPr>
          <w:ilvl w:val="0"/>
          <w:numId w:val="51"/>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NCAI asociado</w:t>
      </w:r>
      <w:r w:rsidR="00D43FA9" w:rsidRPr="00D936CA">
        <w:rPr>
          <w:rFonts w:ascii="ITC Avant Garde" w:hAnsi="ITC Avant Garde"/>
          <w:sz w:val="22"/>
          <w:szCs w:val="22"/>
        </w:rPr>
        <w:t>.</w:t>
      </w:r>
    </w:p>
    <w:p w14:paraId="33CFE776" w14:textId="77777777" w:rsidR="005757EC" w:rsidRPr="00D936CA" w:rsidRDefault="005757EC" w:rsidP="00D936CA">
      <w:pPr>
        <w:spacing w:after="200" w:line="276" w:lineRule="auto"/>
        <w:ind w:left="720"/>
        <w:jc w:val="both"/>
        <w:rPr>
          <w:rFonts w:ascii="ITC Avant Garde" w:hAnsi="ITC Avant Garde"/>
          <w:sz w:val="22"/>
          <w:szCs w:val="22"/>
        </w:rPr>
      </w:pPr>
    </w:p>
    <w:p w14:paraId="33CFE777" w14:textId="77777777" w:rsidR="00D43FA9" w:rsidRPr="00D936CA" w:rsidRDefault="00D43FA9"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6.1: Información para el SAIB/</w:t>
      </w:r>
      <w:r w:rsidRPr="00D936CA">
        <w:t xml:space="preserve"> </w:t>
      </w:r>
      <w:r w:rsidRPr="00D936CA">
        <w:rPr>
          <w:rFonts w:ascii="ITC Avant Garde" w:hAnsi="ITC Avant Garde"/>
          <w:sz w:val="22"/>
          <w:szCs w:val="22"/>
          <w:u w:val="single"/>
        </w:rPr>
        <w:t>Número de Puertos por Capacidad, Instalados y Libres</w:t>
      </w:r>
    </w:p>
    <w:p w14:paraId="33CFE778"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Telefónica o Instalación Equivalente donde están dados de alta los puntos de concentración.</w:t>
      </w:r>
    </w:p>
    <w:p w14:paraId="33CFE779"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de la Central Telefónica o Instalación Equivalente.</w:t>
      </w:r>
    </w:p>
    <w:p w14:paraId="33CFE77A"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Central Telefónica o Instalación Equivalente (CLLI).</w:t>
      </w:r>
    </w:p>
    <w:p w14:paraId="33CFE77B"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Tipo de punto de concentración (local, regional, nacional No NCAI).</w:t>
      </w:r>
    </w:p>
    <w:p w14:paraId="342383D3" w14:textId="07AB7562" w:rsidR="00CC4EA6"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Equipo de Agregación/Distribución (Nombre Oficial del Equipo).</w:t>
      </w:r>
    </w:p>
    <w:p w14:paraId="33CFE77D"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Puertos Instalados 1 Gb.</w:t>
      </w:r>
    </w:p>
    <w:p w14:paraId="33CFE77E"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Puertos Instalados 10 Gb.</w:t>
      </w:r>
    </w:p>
    <w:p w14:paraId="33CFE77F"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Puertos libres 1 Gb.</w:t>
      </w:r>
    </w:p>
    <w:p w14:paraId="33CFE780"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Puertos libres 10 Gb.</w:t>
      </w:r>
    </w:p>
    <w:p w14:paraId="33CFE781" w14:textId="77777777" w:rsidR="00D43FA9" w:rsidRPr="00D936CA" w:rsidRDefault="00D43FA9"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6.2: Información para el SAIB/</w:t>
      </w:r>
      <w:r w:rsidRPr="00D936CA">
        <w:t xml:space="preserve"> </w:t>
      </w:r>
      <w:r w:rsidRPr="00D936CA">
        <w:rPr>
          <w:rFonts w:ascii="ITC Avant Garde" w:hAnsi="ITC Avant Garde"/>
          <w:sz w:val="22"/>
          <w:szCs w:val="22"/>
          <w:u w:val="single"/>
        </w:rPr>
        <w:t>Puntos de Concentración Nacional</w:t>
      </w:r>
    </w:p>
    <w:p w14:paraId="33CFE782" w14:textId="77777777" w:rsidR="005757EC"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Punto de Concentración Nacional (PCN)</w:t>
      </w:r>
    </w:p>
    <w:p w14:paraId="33CFE783" w14:textId="77777777" w:rsidR="005757EC"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Punto de Concentración Nacional (PCN)</w:t>
      </w:r>
    </w:p>
    <w:p w14:paraId="33CFE784" w14:textId="5390D540" w:rsidR="005757EC"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Nombre de Punto de Concentración Regional asociado al PCN</w:t>
      </w:r>
    </w:p>
    <w:p w14:paraId="33CFE785" w14:textId="77777777" w:rsidR="005757EC"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Punto de Concentración Regional (PCR)</w:t>
      </w:r>
    </w:p>
    <w:p w14:paraId="33CFE786" w14:textId="77777777" w:rsidR="00D43FA9" w:rsidRPr="00D936CA" w:rsidRDefault="00D43FA9"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6.3: Información para el SAIB/</w:t>
      </w:r>
      <w:r w:rsidRPr="00D936CA">
        <w:t xml:space="preserve"> </w:t>
      </w:r>
      <w:r w:rsidRPr="00D936CA">
        <w:rPr>
          <w:rFonts w:ascii="ITC Avant Garde" w:hAnsi="ITC Avant Garde"/>
          <w:sz w:val="22"/>
          <w:szCs w:val="22"/>
          <w:u w:val="single"/>
        </w:rPr>
        <w:t>Puntos de Concentración Regional</w:t>
      </w:r>
    </w:p>
    <w:p w14:paraId="33CFE787"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Punto de Concentración Regional (PCR)</w:t>
      </w:r>
    </w:p>
    <w:p w14:paraId="33CFE788"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Punto de Concentración Regional (PCR)</w:t>
      </w:r>
    </w:p>
    <w:p w14:paraId="33CFE789" w14:textId="7651CCFE"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Nombre de Punto de Concentración Local asociado al PCR</w:t>
      </w:r>
    </w:p>
    <w:p w14:paraId="33CFE78A"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Punto de Concentración Local (PCL)</w:t>
      </w:r>
    </w:p>
    <w:p w14:paraId="33CFE78B"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NCAI.Región</w:t>
      </w:r>
    </w:p>
    <w:p w14:paraId="33CFE78C" w14:textId="77777777" w:rsidR="00D43FA9" w:rsidRPr="00D936CA" w:rsidRDefault="00D43FA9"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6.4: Información para el SAIB/</w:t>
      </w:r>
      <w:r w:rsidRPr="00D936CA">
        <w:t xml:space="preserve"> </w:t>
      </w:r>
      <w:r w:rsidRPr="00D936CA">
        <w:rPr>
          <w:rFonts w:ascii="ITC Avant Garde" w:hAnsi="ITC Avant Garde"/>
          <w:sz w:val="22"/>
          <w:szCs w:val="22"/>
          <w:u w:val="single"/>
        </w:rPr>
        <w:t>Puntos de Concentración Local</w:t>
      </w:r>
    </w:p>
    <w:p w14:paraId="33CFE78D"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Punto de Concentración Local (PCL)</w:t>
      </w:r>
    </w:p>
    <w:p w14:paraId="33CFE78E"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Punto de Concentración Regional (PCR)</w:t>
      </w:r>
    </w:p>
    <w:p w14:paraId="33CFE78F"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Nombre de la Central Asociada al PCL.</w:t>
      </w:r>
    </w:p>
    <w:p w14:paraId="33CFE790"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Siglas Punto de Concentración Local (PCL).</w:t>
      </w:r>
    </w:p>
    <w:p w14:paraId="33CFE791" w14:textId="77777777" w:rsidR="00D43FA9" w:rsidRPr="00D936CA" w:rsidRDefault="00D43FA9"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NCAI.Región.</w:t>
      </w:r>
    </w:p>
    <w:p w14:paraId="33CFE79A" w14:textId="77777777" w:rsidR="00D43FA9" w:rsidRPr="00D936CA" w:rsidRDefault="00D43FA9" w:rsidP="00D936CA">
      <w:pPr>
        <w:spacing w:after="200" w:line="276" w:lineRule="auto"/>
        <w:jc w:val="both"/>
        <w:rPr>
          <w:rFonts w:ascii="ITC Avant Garde" w:hAnsi="ITC Avant Garde"/>
          <w:b/>
          <w:sz w:val="22"/>
          <w:szCs w:val="22"/>
        </w:rPr>
      </w:pPr>
    </w:p>
    <w:p w14:paraId="33CFE79B" w14:textId="77777777" w:rsidR="004E78E0" w:rsidRPr="00D936CA" w:rsidRDefault="004E78E0" w:rsidP="00D936CA">
      <w:pPr>
        <w:spacing w:after="200" w:line="276" w:lineRule="auto"/>
        <w:jc w:val="both"/>
        <w:rPr>
          <w:rFonts w:ascii="ITC Avant Garde" w:hAnsi="ITC Avant Garde"/>
          <w:b/>
          <w:sz w:val="22"/>
          <w:szCs w:val="22"/>
        </w:rPr>
      </w:pPr>
      <w:r w:rsidRPr="00D936CA">
        <w:rPr>
          <w:rFonts w:ascii="ITC Avant Garde" w:hAnsi="ITC Avant Garde"/>
          <w:b/>
          <w:sz w:val="22"/>
          <w:szCs w:val="22"/>
        </w:rPr>
        <w:t xml:space="preserve">Información tipo </w:t>
      </w:r>
      <w:r w:rsidR="00F865C7" w:rsidRPr="00D936CA">
        <w:rPr>
          <w:rFonts w:ascii="ITC Avant Garde" w:hAnsi="ITC Avant Garde"/>
          <w:b/>
          <w:sz w:val="22"/>
          <w:szCs w:val="22"/>
        </w:rPr>
        <w:t>“</w:t>
      </w:r>
      <w:r w:rsidRPr="00D936CA">
        <w:rPr>
          <w:rFonts w:ascii="ITC Avant Garde" w:hAnsi="ITC Avant Garde"/>
          <w:b/>
          <w:sz w:val="22"/>
          <w:szCs w:val="22"/>
        </w:rPr>
        <w:t>b</w:t>
      </w:r>
      <w:r w:rsidR="00F865C7" w:rsidRPr="00D936CA">
        <w:rPr>
          <w:rFonts w:ascii="ITC Avant Garde" w:hAnsi="ITC Avant Garde"/>
          <w:b/>
          <w:sz w:val="22"/>
          <w:szCs w:val="22"/>
        </w:rPr>
        <w:t>”</w:t>
      </w:r>
      <w:r w:rsidRPr="00D936CA">
        <w:rPr>
          <w:rFonts w:ascii="ITC Avant Garde" w:hAnsi="ITC Avant Garde"/>
          <w:b/>
          <w:sz w:val="22"/>
          <w:szCs w:val="22"/>
        </w:rPr>
        <w:t>:</w:t>
      </w:r>
    </w:p>
    <w:p w14:paraId="33CFE79C" w14:textId="26B9EFE2" w:rsidR="00CB5EF4" w:rsidRPr="00D936CA" w:rsidRDefault="00CB5EF4"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rPr>
        <w:t xml:space="preserve">Esta información deberá ser accesible por el CS en forma de consulta por </w:t>
      </w:r>
      <w:r w:rsidR="00FA2861" w:rsidRPr="00D936CA">
        <w:rPr>
          <w:rFonts w:ascii="ITC Avant Garde" w:hAnsi="ITC Avant Garde"/>
          <w:sz w:val="22"/>
          <w:szCs w:val="22"/>
        </w:rPr>
        <w:t xml:space="preserve">número de teléfono, número de teléfono virtual y usuario para líneas activas, y por dirección para búsquedas por calle y número. </w:t>
      </w:r>
    </w:p>
    <w:p w14:paraId="33CFE79D" w14:textId="77777777" w:rsidR="004E78E0" w:rsidRPr="00D936CA" w:rsidRDefault="004E78E0" w:rsidP="00D936CA">
      <w:pPr>
        <w:spacing w:after="200" w:line="276" w:lineRule="auto"/>
        <w:jc w:val="both"/>
        <w:rPr>
          <w:rFonts w:ascii="ITC Avant Garde" w:hAnsi="ITC Avant Garde"/>
          <w:sz w:val="22"/>
          <w:szCs w:val="22"/>
          <w:u w:val="single"/>
        </w:rPr>
      </w:pPr>
      <w:r w:rsidRPr="00D936CA">
        <w:rPr>
          <w:rFonts w:ascii="ITC Avant Garde" w:hAnsi="ITC Avant Garde"/>
          <w:sz w:val="22"/>
          <w:szCs w:val="22"/>
          <w:u w:val="single"/>
        </w:rPr>
        <w:t>BASE 7: Parámetros de configuración espectral</w:t>
      </w:r>
    </w:p>
    <w:p w14:paraId="33CFE79E" w14:textId="77777777" w:rsidR="004E78E0" w:rsidRPr="00D936CA" w:rsidRDefault="004E78E0" w:rsidP="00D936CA">
      <w:pPr>
        <w:spacing w:after="200" w:line="276" w:lineRule="auto"/>
        <w:jc w:val="both"/>
        <w:rPr>
          <w:rFonts w:ascii="ITC Avant Garde" w:hAnsi="ITC Avant Garde"/>
          <w:sz w:val="22"/>
          <w:szCs w:val="22"/>
        </w:rPr>
      </w:pPr>
      <w:r w:rsidRPr="00D936CA">
        <w:rPr>
          <w:rFonts w:ascii="ITC Avant Garde" w:hAnsi="ITC Avant Garde"/>
          <w:sz w:val="22"/>
          <w:szCs w:val="22"/>
        </w:rPr>
        <w:t>Telmex no cuenta con información</w:t>
      </w:r>
      <w:r w:rsidR="00E14D70" w:rsidRPr="00D936CA">
        <w:rPr>
          <w:rFonts w:ascii="ITC Avant Garde" w:hAnsi="ITC Avant Garde"/>
          <w:sz w:val="22"/>
          <w:szCs w:val="22"/>
        </w:rPr>
        <w:t xml:space="preserve"> sobre los parámetros de configuración espectral, en el momento que Telmex cuente con ella, será proporcionada a los CS.</w:t>
      </w:r>
    </w:p>
    <w:p w14:paraId="33CFE79F" w14:textId="64E63DB5" w:rsidR="00424554" w:rsidRPr="00D936CA" w:rsidRDefault="00424554" w:rsidP="00D936CA">
      <w:pPr>
        <w:pStyle w:val="IFTnormal"/>
      </w:pPr>
      <w:r w:rsidRPr="00D936CA">
        <w:rPr>
          <w:b/>
          <w:u w:val="single"/>
        </w:rPr>
        <w:t>Información relacionada a usuarios existentes</w:t>
      </w:r>
      <w:r w:rsidRPr="00D936CA">
        <w:t>.</w:t>
      </w:r>
    </w:p>
    <w:p w14:paraId="33CFE7A0" w14:textId="77777777" w:rsidR="00424554" w:rsidRPr="00D936CA" w:rsidRDefault="00424554" w:rsidP="00D936CA">
      <w:pPr>
        <w:pStyle w:val="IFTnormal"/>
      </w:pPr>
      <w:r w:rsidRPr="00D936CA">
        <w:lastRenderedPageBreak/>
        <w:t>En caso de que la infraestructura con la que cuenta Telmex para dar servicio al usuario existente sea cobre, se desplegará en la interfaz la siguiente información:</w:t>
      </w:r>
    </w:p>
    <w:p w14:paraId="33CFE7A1" w14:textId="6FDA46B5"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terminal a la que pertenece el par de cobre;</w:t>
      </w:r>
    </w:p>
    <w:p w14:paraId="33CFE7A2"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Longitud del Bucle Local en metros;</w:t>
      </w:r>
    </w:p>
    <w:p w14:paraId="33CFE7A3"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Atenuación teórica del Bucle Local;</w:t>
      </w:r>
    </w:p>
    <w:p w14:paraId="33CFE7A4"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Resistencia de Aislamiento;</w:t>
      </w:r>
    </w:p>
    <w:p w14:paraId="33CFE7A5"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Capacitancia;</w:t>
      </w:r>
    </w:p>
    <w:p w14:paraId="33CFE7A6"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Central Telefónica o I</w:t>
      </w:r>
      <w:r w:rsidR="00555369" w:rsidRPr="00D936CA">
        <w:rPr>
          <w:rFonts w:ascii="ITC Avant Garde" w:hAnsi="ITC Avant Garde"/>
          <w:sz w:val="22"/>
          <w:szCs w:val="22"/>
        </w:rPr>
        <w:t>nstalación Equivalente que atien</w:t>
      </w:r>
      <w:r w:rsidRPr="00D936CA">
        <w:rPr>
          <w:rFonts w:ascii="ITC Avant Garde" w:hAnsi="ITC Avant Garde"/>
          <w:sz w:val="22"/>
          <w:szCs w:val="22"/>
        </w:rPr>
        <w:t>de al Bucle Local;</w:t>
      </w:r>
    </w:p>
    <w:p w14:paraId="33CFE7A7"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Facilidades de internet (velocidad máxima soportada según la calificación del Bucle Local);</w:t>
      </w:r>
    </w:p>
    <w:p w14:paraId="33CFE7A9"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equipo de acceso DSLAM que atiende el par de cobre;</w:t>
      </w:r>
    </w:p>
    <w:p w14:paraId="13AEC870" w14:textId="354A0B2E" w:rsidR="000D6F2C" w:rsidRPr="00D936CA" w:rsidRDefault="000D6F2C"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Marca/fabricante, modelo</w:t>
      </w:r>
      <w:r w:rsidR="004238CE" w:rsidRPr="00D936CA">
        <w:rPr>
          <w:rFonts w:ascii="ITC Avant Garde" w:hAnsi="ITC Avant Garde"/>
          <w:sz w:val="22"/>
          <w:szCs w:val="22"/>
        </w:rPr>
        <w:t xml:space="preserve"> del equipo de acceso DSLAM</w:t>
      </w:r>
      <w:r w:rsidRPr="00D936CA">
        <w:rPr>
          <w:rFonts w:ascii="ITC Avant Garde" w:hAnsi="ITC Avant Garde"/>
          <w:sz w:val="22"/>
          <w:szCs w:val="22"/>
        </w:rPr>
        <w:t>;</w:t>
      </w:r>
    </w:p>
    <w:p w14:paraId="33CFE7AA"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NCAI asociado al equipo de acceso DSLAM;</w:t>
      </w:r>
    </w:p>
    <w:p w14:paraId="33CFE7AB"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Regionales que atienden el distrito al que pertenece el número;</w:t>
      </w:r>
    </w:p>
    <w:p w14:paraId="33CFE7AC"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Nacionales que atienden el distrito al que pertenece el número y</w:t>
      </w:r>
    </w:p>
    <w:p w14:paraId="33CFE7AD"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las Cajas de Distribución asociadas al Bucle Local.</w:t>
      </w:r>
    </w:p>
    <w:p w14:paraId="33CFE7AE" w14:textId="41AAEFCC" w:rsidR="009234F8" w:rsidRPr="00D936CA" w:rsidRDefault="009234F8" w:rsidP="00D936CA">
      <w:pPr>
        <w:pStyle w:val="IFTnormal"/>
      </w:pPr>
      <w:r w:rsidRPr="00D936CA">
        <w:t>En caso de que la infraestructura con la que cuenta Telmex para dar servicio al usuario existente sea fibra óptica</w:t>
      </w:r>
      <w:r w:rsidR="00263913" w:rsidRPr="00D936CA">
        <w:t xml:space="preserve"> o incluso cuando los servicios se brinden por cobre</w:t>
      </w:r>
      <w:r w:rsidR="005E067D">
        <w:t>,</w:t>
      </w:r>
      <w:r w:rsidR="00263913" w:rsidRPr="00D936CA">
        <w:t xml:space="preserve"> pero exista infraestructura de fibra óptica asociada al cliente</w:t>
      </w:r>
      <w:r w:rsidRPr="00D936CA">
        <w:t>, se desplegará en la interfaz la siguiente información:</w:t>
      </w:r>
    </w:p>
    <w:p w14:paraId="33CFE7AF"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terminal óptica a la que pertenece el Bucle Local;</w:t>
      </w:r>
    </w:p>
    <w:p w14:paraId="33CFE7B0"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Central Telefónica o Instalación Equivalente que atiende al Bucle Local;</w:t>
      </w:r>
    </w:p>
    <w:p w14:paraId="448538B2" w14:textId="35092E0E" w:rsidR="00187FE5" w:rsidRPr="00D936CA" w:rsidRDefault="00187FE5" w:rsidP="00D936CA">
      <w:pPr>
        <w:pStyle w:val="CondicionesFinales"/>
        <w:numPr>
          <w:ilvl w:val="0"/>
          <w:numId w:val="50"/>
        </w:numPr>
        <w:rPr>
          <w:color w:val="auto"/>
          <w:lang w:val="es-MX"/>
        </w:rPr>
      </w:pPr>
      <w:r w:rsidRPr="00D936CA">
        <w:rPr>
          <w:color w:val="auto"/>
          <w:lang w:val="es-MX"/>
        </w:rPr>
        <w:t>Indicar si el Bucle Local es</w:t>
      </w:r>
      <w:r w:rsidR="008F7B64" w:rsidRPr="00D936CA">
        <w:rPr>
          <w:color w:val="auto"/>
          <w:lang w:val="es-MX"/>
        </w:rPr>
        <w:t xml:space="preserve">tá disponible </w:t>
      </w:r>
      <w:r w:rsidRPr="00D936CA">
        <w:rPr>
          <w:color w:val="auto"/>
          <w:lang w:val="es-MX"/>
        </w:rPr>
        <w:t>punto a punto</w:t>
      </w:r>
      <w:r w:rsidR="009B3C79" w:rsidRPr="00D936CA">
        <w:rPr>
          <w:color w:val="auto"/>
          <w:lang w:val="es-MX"/>
        </w:rPr>
        <w:t xml:space="preserve"> o punto-multipunto</w:t>
      </w:r>
      <w:r w:rsidRPr="00D936CA">
        <w:rPr>
          <w:color w:val="auto"/>
          <w:lang w:val="es-MX"/>
        </w:rPr>
        <w:t>;</w:t>
      </w:r>
    </w:p>
    <w:p w14:paraId="33CFE7B1"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Facilidades de internet (velocidad máxima soportada);</w:t>
      </w:r>
    </w:p>
    <w:p w14:paraId="33CFE7B2"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distrito óptico al que pertenece el Bucle Local;</w:t>
      </w:r>
    </w:p>
    <w:p w14:paraId="33CFE7B3"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equipo de acceso OLT que atiende el Bucle Local;</w:t>
      </w:r>
    </w:p>
    <w:p w14:paraId="569BD321" w14:textId="6A6322C6" w:rsidR="000D6F2C" w:rsidRPr="00D936CA" w:rsidRDefault="000D6F2C"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Marca/fabricante, modelo</w:t>
      </w:r>
      <w:r w:rsidR="00F54D8C" w:rsidRPr="00D936CA">
        <w:rPr>
          <w:rFonts w:ascii="ITC Avant Garde" w:hAnsi="ITC Avant Garde"/>
          <w:sz w:val="22"/>
          <w:szCs w:val="22"/>
        </w:rPr>
        <w:t xml:space="preserve"> del</w:t>
      </w:r>
      <w:r w:rsidR="004238CE" w:rsidRPr="00D936CA">
        <w:rPr>
          <w:rFonts w:ascii="ITC Avant Garde" w:hAnsi="ITC Avant Garde"/>
          <w:sz w:val="22"/>
          <w:szCs w:val="22"/>
        </w:rPr>
        <w:t xml:space="preserve"> equipo de acceso OLT</w:t>
      </w:r>
      <w:r w:rsidRPr="00D936CA">
        <w:rPr>
          <w:rFonts w:ascii="ITC Avant Garde" w:hAnsi="ITC Avant Garde"/>
          <w:sz w:val="22"/>
          <w:szCs w:val="22"/>
        </w:rPr>
        <w:t>;</w:t>
      </w:r>
    </w:p>
    <w:p w14:paraId="33CFE7B4"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NCAI asociado al equipo de acceso OLT;</w:t>
      </w:r>
    </w:p>
    <w:p w14:paraId="33CFE7B5"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Regionales que atienden el distrito óptico al que pertenece el número y</w:t>
      </w:r>
    </w:p>
    <w:p w14:paraId="33CFE7B6"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Nacionales que atienden el distrito óptico al que pertenece el número.</w:t>
      </w:r>
    </w:p>
    <w:p w14:paraId="2DECA844" w14:textId="2A45B38A" w:rsidR="004C5BA1" w:rsidRPr="00D936CA" w:rsidRDefault="009234F8" w:rsidP="00D936CA">
      <w:pPr>
        <w:pStyle w:val="IFTnormal"/>
      </w:pPr>
      <w:r w:rsidRPr="00D936CA">
        <w:rPr>
          <w:b/>
          <w:u w:val="single"/>
        </w:rPr>
        <w:t>Información relacionada a una dirección</w:t>
      </w:r>
      <w:r w:rsidRPr="00D936CA">
        <w:t xml:space="preserve">. El CS proporcionará en la interfaz la entidad federativa, municipio, localidad, código postal, colonia, calle y número para poder consultar </w:t>
      </w:r>
      <w:r w:rsidR="00A80192" w:rsidRPr="00D936CA">
        <w:t>la información</w:t>
      </w:r>
      <w:r w:rsidR="009D4911" w:rsidRPr="00D936CA">
        <w:t xml:space="preserve"> correspondiente</w:t>
      </w:r>
      <w:r w:rsidR="004C5BA1" w:rsidRPr="00D936CA">
        <w:t>. Para ello Telmex proporcionará la misma secuencia y mecanismo de búsqueda que emplea para la gestión de sus propias operaciones.</w:t>
      </w:r>
    </w:p>
    <w:p w14:paraId="33CFE7B8" w14:textId="3C389B97" w:rsidR="009234F8" w:rsidRPr="00D936CA" w:rsidRDefault="009234F8" w:rsidP="00D936CA">
      <w:pPr>
        <w:pStyle w:val="IFTnormal"/>
      </w:pPr>
      <w:r w:rsidRPr="00D936CA">
        <w:t xml:space="preserve">En caso de que la infraestructura con la que cuenta Telmex para brindar servicios de telecomunicaciones </w:t>
      </w:r>
      <w:r w:rsidR="004C5BA1" w:rsidRPr="00D936CA">
        <w:t>en la dirección consultada</w:t>
      </w:r>
      <w:r w:rsidRPr="00D936CA">
        <w:t xml:space="preserve"> sea cobre, se </w:t>
      </w:r>
      <w:r w:rsidR="00574AB8" w:rsidRPr="00D936CA">
        <w:t>accederá a</w:t>
      </w:r>
      <w:r w:rsidRPr="00D936CA">
        <w:t xml:space="preserve"> la siguiente información:</w:t>
      </w:r>
    </w:p>
    <w:p w14:paraId="33CFE7B9"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terminal principal que puede atender la ubicación ingresada</w:t>
      </w:r>
    </w:p>
    <w:p w14:paraId="33CFE7BA"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Porcentaje de uso crítico de la terminal;</w:t>
      </w:r>
    </w:p>
    <w:p w14:paraId="33CFE7BB"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 xml:space="preserve">Porcentaje </w:t>
      </w:r>
      <w:r w:rsidR="00263913" w:rsidRPr="00D936CA">
        <w:rPr>
          <w:rFonts w:ascii="ITC Avant Garde" w:hAnsi="ITC Avant Garde"/>
          <w:sz w:val="22"/>
          <w:szCs w:val="22"/>
        </w:rPr>
        <w:t xml:space="preserve">de uso </w:t>
      </w:r>
      <w:r w:rsidRPr="00D936CA">
        <w:rPr>
          <w:rFonts w:ascii="ITC Avant Garde" w:hAnsi="ITC Avant Garde"/>
          <w:sz w:val="22"/>
          <w:szCs w:val="22"/>
        </w:rPr>
        <w:t>actual de la terminal;</w:t>
      </w:r>
    </w:p>
    <w:p w14:paraId="33CFE7BC"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Pares ocupados de la terminal;</w:t>
      </w:r>
    </w:p>
    <w:p w14:paraId="33CFE7BD"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Pares libres de la terminal;</w:t>
      </w:r>
    </w:p>
    <w:p w14:paraId="33CFE7BE"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Distancia en metros de la terminal a la central;</w:t>
      </w:r>
    </w:p>
    <w:p w14:paraId="33CFE7BF"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línea telefónica;</w:t>
      </w:r>
    </w:p>
    <w:p w14:paraId="33CFE7C0"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dispositivos;</w:t>
      </w:r>
    </w:p>
    <w:p w14:paraId="33CFE7C1"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red;</w:t>
      </w:r>
    </w:p>
    <w:p w14:paraId="61B6ECE5" w14:textId="77777777" w:rsidR="005E067D" w:rsidRDefault="001A236E"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Facilidades de internet (velocidad máxima soportada según la calificación del Bucle Local);</w:t>
      </w:r>
    </w:p>
    <w:p w14:paraId="33CFE7C2" w14:textId="478C055F" w:rsidR="00263913" w:rsidRPr="00D936CA" w:rsidRDefault="00263913"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red secundaria (en caso de existir facilidades, deberán mostrarse para la red secundaria todos los campos establecidos para la red principal en la interfaz);</w:t>
      </w:r>
    </w:p>
    <w:p w14:paraId="33CFE7C4" w14:textId="664A5B52" w:rsidR="009234F8" w:rsidRPr="00D936CA" w:rsidRDefault="00263913" w:rsidP="00D936CA">
      <w:pPr>
        <w:pStyle w:val="Prrafodelista"/>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 xml:space="preserve"> </w:t>
      </w:r>
      <w:r w:rsidR="009234F8" w:rsidRPr="00D936CA">
        <w:rPr>
          <w:rFonts w:ascii="ITC Avant Garde" w:hAnsi="ITC Avant Garde"/>
          <w:sz w:val="22"/>
          <w:szCs w:val="22"/>
        </w:rPr>
        <w:t>Código Identificador de Centrales Telefónicas o Instalaciones Equivalentes que pueden atender a la terminal;</w:t>
      </w:r>
    </w:p>
    <w:p w14:paraId="33CFE7C5"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Distrito que atiende la terminal;</w:t>
      </w:r>
    </w:p>
    <w:p w14:paraId="33CFE7C6"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equipo de acceso DSLAM que atiende el distrito relacionado con la terminal;</w:t>
      </w:r>
    </w:p>
    <w:p w14:paraId="244480AD" w14:textId="60890004" w:rsidR="004238CE" w:rsidRPr="00D936CA" w:rsidRDefault="003D4386"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Marca/fabricante, modelo del equipo de acceso DSLAM;</w:t>
      </w:r>
    </w:p>
    <w:p w14:paraId="33CFE7C7"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Nodo de Conexión de Acceso Indirecto (NCAI) asociado al equipo de acceso DSLAM;</w:t>
      </w:r>
    </w:p>
    <w:p w14:paraId="33CFE7C8"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Regionales que atienden el distrito correspondiente y</w:t>
      </w:r>
    </w:p>
    <w:p w14:paraId="33CFE7C9"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Nacionales que atienden el distrito correspondiente.</w:t>
      </w:r>
    </w:p>
    <w:p w14:paraId="33CFE7CA" w14:textId="1A8A760C" w:rsidR="009234F8" w:rsidRPr="00D936CA" w:rsidRDefault="009234F8" w:rsidP="00D936CA">
      <w:pPr>
        <w:pStyle w:val="IFTnormal"/>
      </w:pPr>
      <w:r w:rsidRPr="00D936CA">
        <w:t xml:space="preserve">En caso de que la infraestructura con la que cuenta Telmex para brindar servicios de telecomunicaciones </w:t>
      </w:r>
      <w:r w:rsidR="004C5BA1" w:rsidRPr="00D936CA">
        <w:t>al domicilio consultado</w:t>
      </w:r>
      <w:r w:rsidR="004C5BA1" w:rsidRPr="00D936CA" w:rsidDel="004C5BA1">
        <w:t xml:space="preserve"> </w:t>
      </w:r>
      <w:r w:rsidRPr="00D936CA">
        <w:t>además de cobre cuente con fibra óptica</w:t>
      </w:r>
      <w:r w:rsidR="00574AB8" w:rsidRPr="00D936CA">
        <w:t xml:space="preserve"> –o cuando sólo se cuente con infraestructura de fibra para la dirección correspondiente-</w:t>
      </w:r>
      <w:r w:rsidRPr="00D936CA">
        <w:t xml:space="preserve"> se incluirá</w:t>
      </w:r>
      <w:r w:rsidR="00574AB8" w:rsidRPr="00D936CA">
        <w:t>,</w:t>
      </w:r>
      <w:r w:rsidRPr="00D936CA">
        <w:t xml:space="preserve"> </w:t>
      </w:r>
      <w:r w:rsidR="00574AB8" w:rsidRPr="00D936CA">
        <w:t xml:space="preserve">además del listado anterior, </w:t>
      </w:r>
      <w:r w:rsidRPr="00D936CA">
        <w:t>la siguiente información:</w:t>
      </w:r>
    </w:p>
    <w:p w14:paraId="33CFE7CB"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la terminal óptica que puede atender la ubicación ingresada</w:t>
      </w:r>
    </w:p>
    <w:p w14:paraId="33CFE7CC"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Bucles disponibles en la terminal óptica;</w:t>
      </w:r>
    </w:p>
    <w:p w14:paraId="33CFE7CD"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dispositivos;</w:t>
      </w:r>
    </w:p>
    <w:p w14:paraId="33CFE7CE"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red;</w:t>
      </w:r>
    </w:p>
    <w:p w14:paraId="33CFE7CF" w14:textId="77777777" w:rsidR="009234F8" w:rsidRPr="00D936CA" w:rsidRDefault="009234F8" w:rsidP="00D936CA">
      <w:pPr>
        <w:pStyle w:val="Prrafodelista"/>
        <w:numPr>
          <w:ilvl w:val="0"/>
          <w:numId w:val="87"/>
        </w:numPr>
        <w:spacing w:after="200" w:line="276" w:lineRule="auto"/>
        <w:jc w:val="both"/>
        <w:rPr>
          <w:rFonts w:ascii="ITC Avant Garde" w:hAnsi="ITC Avant Garde"/>
          <w:sz w:val="22"/>
          <w:szCs w:val="22"/>
        </w:rPr>
      </w:pPr>
      <w:r w:rsidRPr="00D936CA">
        <w:rPr>
          <w:rFonts w:ascii="ITC Avant Garde" w:hAnsi="ITC Avant Garde"/>
          <w:sz w:val="22"/>
          <w:szCs w:val="22"/>
        </w:rPr>
        <w:t>Facilidades de internet (velocidad máxima soportada);</w:t>
      </w:r>
    </w:p>
    <w:p w14:paraId="33CFE7D0"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Centrales Telefónicas o Instalaciones Equivalentes que pueden atender a la terminal óptica;</w:t>
      </w:r>
    </w:p>
    <w:p w14:paraId="33CFE7D1"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del distrito óptico que atiende la terminal óptica;</w:t>
      </w:r>
    </w:p>
    <w:p w14:paraId="33CFE7D2"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Código identificador del equipo de acceso OLT que atiende el distrito óptico relacionado con la terminal óptica;</w:t>
      </w:r>
    </w:p>
    <w:p w14:paraId="32A07E10" w14:textId="2E45781D" w:rsidR="0057689B" w:rsidRPr="00D936CA" w:rsidRDefault="0057689B"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Marca/fabricante, modelo</w:t>
      </w:r>
      <w:r w:rsidR="00036B2C" w:rsidRPr="00D936CA">
        <w:rPr>
          <w:rFonts w:ascii="ITC Avant Garde" w:hAnsi="ITC Avant Garde"/>
        </w:rPr>
        <w:t xml:space="preserve"> </w:t>
      </w:r>
      <w:r w:rsidR="00036B2C" w:rsidRPr="00D936CA">
        <w:rPr>
          <w:rFonts w:ascii="ITC Avant Garde" w:hAnsi="ITC Avant Garde"/>
          <w:sz w:val="22"/>
          <w:szCs w:val="22"/>
        </w:rPr>
        <w:t>del equipo de acceso OLT</w:t>
      </w:r>
      <w:r w:rsidRPr="00D936CA">
        <w:rPr>
          <w:rFonts w:ascii="ITC Avant Garde" w:hAnsi="ITC Avant Garde"/>
          <w:sz w:val="22"/>
          <w:szCs w:val="22"/>
        </w:rPr>
        <w:t>;</w:t>
      </w:r>
    </w:p>
    <w:p w14:paraId="33CFE7D4" w14:textId="0A62755E" w:rsidR="009234F8" w:rsidRPr="00D936CA" w:rsidRDefault="0057689B"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 xml:space="preserve"> </w:t>
      </w:r>
      <w:r w:rsidR="009234F8" w:rsidRPr="00D936CA">
        <w:rPr>
          <w:rFonts w:ascii="ITC Avant Garde" w:hAnsi="ITC Avant Garde"/>
          <w:sz w:val="22"/>
          <w:szCs w:val="22"/>
        </w:rPr>
        <w:t>Código Identificador del Nodo de Conexión de Acceso Indirecto (NCAI) asociado al equipo de acceso OLT;</w:t>
      </w:r>
      <w:r w:rsidR="001C6041">
        <w:rPr>
          <w:rFonts w:ascii="ITC Avant Garde" w:hAnsi="ITC Avant Garde"/>
          <w:sz w:val="22"/>
          <w:szCs w:val="22"/>
        </w:rPr>
        <w:t xml:space="preserve"> </w:t>
      </w:r>
      <w:r w:rsidR="009234F8" w:rsidRPr="00D936CA">
        <w:rPr>
          <w:rFonts w:ascii="ITC Avant Garde" w:hAnsi="ITC Avant Garde"/>
          <w:sz w:val="22"/>
          <w:szCs w:val="22"/>
        </w:rPr>
        <w:t>Código Identificador de NCAI Regionales que atienden el distrito óptico correspondiente y</w:t>
      </w:r>
    </w:p>
    <w:p w14:paraId="33CFE7D5" w14:textId="77777777" w:rsidR="009234F8" w:rsidRPr="00D936CA" w:rsidRDefault="009234F8" w:rsidP="00D936CA">
      <w:pPr>
        <w:numPr>
          <w:ilvl w:val="0"/>
          <w:numId w:val="50"/>
        </w:numPr>
        <w:spacing w:after="200" w:line="276" w:lineRule="auto"/>
        <w:jc w:val="both"/>
        <w:rPr>
          <w:rFonts w:ascii="ITC Avant Garde" w:hAnsi="ITC Avant Garde"/>
          <w:sz w:val="22"/>
          <w:szCs w:val="22"/>
        </w:rPr>
      </w:pPr>
      <w:r w:rsidRPr="00D936CA">
        <w:rPr>
          <w:rFonts w:ascii="ITC Avant Garde" w:hAnsi="ITC Avant Garde"/>
          <w:sz w:val="22"/>
          <w:szCs w:val="22"/>
        </w:rPr>
        <w:t>Código Identificador de NCAI Nacionales que atienden el distrito óptico correspondiente.</w:t>
      </w:r>
    </w:p>
    <w:p w14:paraId="33CFE7D6" w14:textId="5388EC23" w:rsidR="005757EC" w:rsidRPr="00D936CA" w:rsidRDefault="00560421"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Sin perjuicio de la existencia de las bases de datos tipo “a” y “b”, </w:t>
      </w:r>
      <w:r w:rsidR="001C6041">
        <w:rPr>
          <w:rFonts w:ascii="ITC Avant Garde" w:hAnsi="ITC Avant Garde"/>
          <w:sz w:val="22"/>
          <w:szCs w:val="22"/>
        </w:rPr>
        <w:t>en</w:t>
      </w:r>
      <w:r w:rsidR="001C6041" w:rsidRPr="00D936CA">
        <w:rPr>
          <w:rFonts w:ascii="ITC Avant Garde" w:hAnsi="ITC Avant Garde"/>
          <w:sz w:val="22"/>
          <w:szCs w:val="22"/>
        </w:rPr>
        <w:t xml:space="preserve"> </w:t>
      </w:r>
      <w:r w:rsidRPr="00D936CA">
        <w:rPr>
          <w:rFonts w:ascii="ITC Avant Garde" w:hAnsi="ITC Avant Garde"/>
          <w:sz w:val="22"/>
          <w:szCs w:val="22"/>
        </w:rPr>
        <w:t xml:space="preserve">el SEG los CS tendrán acceso a la misma información de infraestructura a la que tiene acceso Telmex bajo </w:t>
      </w:r>
      <w:r w:rsidR="00B86C5D" w:rsidRPr="00D936CA">
        <w:rPr>
          <w:rFonts w:ascii="ITC Avant Garde" w:hAnsi="ITC Avant Garde"/>
          <w:sz w:val="22"/>
          <w:szCs w:val="22"/>
        </w:rPr>
        <w:t xml:space="preserve">términos y </w:t>
      </w:r>
      <w:r w:rsidRPr="00D936CA">
        <w:rPr>
          <w:rFonts w:ascii="ITC Avant Garde" w:hAnsi="ITC Avant Garde"/>
          <w:sz w:val="22"/>
          <w:szCs w:val="22"/>
        </w:rPr>
        <w:t xml:space="preserve">condiciones equivalentes a las que tiene Telmex en su operación, información que podrá incluir además de la contenida en las bases antes </w:t>
      </w:r>
      <w:r w:rsidR="00E2178C" w:rsidRPr="00D936CA">
        <w:rPr>
          <w:rFonts w:ascii="ITC Avant Garde" w:hAnsi="ITC Avant Garde"/>
          <w:sz w:val="22"/>
          <w:szCs w:val="22"/>
        </w:rPr>
        <w:t>mencionadas,</w:t>
      </w:r>
      <w:r w:rsidRPr="00D936CA">
        <w:rPr>
          <w:rFonts w:ascii="ITC Avant Garde" w:hAnsi="ITC Avant Garde"/>
          <w:sz w:val="22"/>
          <w:szCs w:val="22"/>
        </w:rPr>
        <w:t xml:space="preserve"> cualquier otra que sea relevante para la correcta prestación de los </w:t>
      </w:r>
      <w:r w:rsidR="00E2178C" w:rsidRPr="00D936CA">
        <w:rPr>
          <w:rFonts w:ascii="ITC Avant Garde" w:hAnsi="ITC Avant Garde"/>
          <w:sz w:val="22"/>
          <w:szCs w:val="22"/>
        </w:rPr>
        <w:t>servicios</w:t>
      </w:r>
      <w:r w:rsidRPr="00D936CA">
        <w:rPr>
          <w:rFonts w:ascii="ITC Avant Garde" w:hAnsi="ITC Avant Garde"/>
          <w:sz w:val="22"/>
          <w:szCs w:val="22"/>
        </w:rPr>
        <w:t xml:space="preserve">, incluyendo </w:t>
      </w:r>
      <w:r w:rsidR="00E2178C" w:rsidRPr="00D936CA">
        <w:rPr>
          <w:rFonts w:ascii="ITC Avant Garde" w:hAnsi="ITC Avant Garde"/>
          <w:sz w:val="22"/>
          <w:szCs w:val="22"/>
        </w:rPr>
        <w:t xml:space="preserve">al menos, además de los catálogos de infraestructura, acceso a la verificación de factibilidad </w:t>
      </w:r>
      <w:r w:rsidR="00B86C5D" w:rsidRPr="00D936CA">
        <w:rPr>
          <w:rFonts w:ascii="ITC Avant Garde" w:hAnsi="ITC Avant Garde"/>
          <w:sz w:val="22"/>
          <w:szCs w:val="22"/>
        </w:rPr>
        <w:t>para</w:t>
      </w:r>
      <w:r w:rsidR="00E2178C" w:rsidRPr="00D936CA">
        <w:rPr>
          <w:rFonts w:ascii="ITC Avant Garde" w:hAnsi="ITC Avant Garde"/>
          <w:sz w:val="22"/>
          <w:szCs w:val="22"/>
        </w:rPr>
        <w:t xml:space="preserve"> brindar servicios a </w:t>
      </w:r>
      <w:r w:rsidR="00B86C5D" w:rsidRPr="00D936CA">
        <w:rPr>
          <w:rFonts w:ascii="ITC Avant Garde" w:hAnsi="ITC Avant Garde"/>
          <w:sz w:val="22"/>
          <w:szCs w:val="22"/>
        </w:rPr>
        <w:t>un número telefónico o</w:t>
      </w:r>
      <w:r w:rsidR="00E2178C" w:rsidRPr="00D936CA">
        <w:rPr>
          <w:rFonts w:ascii="ITC Avant Garde" w:hAnsi="ITC Avant Garde"/>
          <w:sz w:val="22"/>
          <w:szCs w:val="22"/>
        </w:rPr>
        <w:t xml:space="preserve"> una dirección especifica</w:t>
      </w:r>
      <w:r w:rsidR="000E7202" w:rsidRPr="00D936CA">
        <w:rPr>
          <w:rFonts w:ascii="ITC Avant Garde" w:hAnsi="ITC Avant Garde"/>
          <w:sz w:val="22"/>
          <w:szCs w:val="22"/>
        </w:rPr>
        <w:t>.</w:t>
      </w:r>
      <w:r w:rsidR="00E2178C" w:rsidRPr="00D936CA">
        <w:rPr>
          <w:rFonts w:ascii="ITC Avant Garde" w:hAnsi="ITC Avant Garde"/>
          <w:sz w:val="22"/>
          <w:szCs w:val="22"/>
        </w:rPr>
        <w:t xml:space="preserve"> </w:t>
      </w:r>
    </w:p>
    <w:p w14:paraId="33CFE7D7" w14:textId="77777777" w:rsidR="00530A32" w:rsidRPr="00D936CA" w:rsidRDefault="00011A1B" w:rsidP="00D936CA">
      <w:pPr>
        <w:pStyle w:val="Ttulo2"/>
        <w:numPr>
          <w:ilvl w:val="1"/>
          <w:numId w:val="143"/>
        </w:numPr>
        <w:ind w:left="851" w:hanging="425"/>
      </w:pPr>
      <w:bookmarkStart w:id="170" w:name="_Toc436840875"/>
      <w:bookmarkStart w:id="171" w:name="_Toc436846312"/>
      <w:bookmarkStart w:id="172" w:name="_Toc436848262"/>
      <w:bookmarkStart w:id="173" w:name="_Toc436856510"/>
      <w:bookmarkStart w:id="174" w:name="_Toc436862656"/>
      <w:bookmarkStart w:id="175" w:name="_Toc436866306"/>
      <w:bookmarkStart w:id="176" w:name="_Toc436870885"/>
      <w:bookmarkStart w:id="177" w:name="_Toc436875877"/>
      <w:bookmarkStart w:id="178" w:name="_Toc467248690"/>
      <w:bookmarkStart w:id="179" w:name="_Toc518031961"/>
      <w:r w:rsidRPr="00D936CA">
        <w:t>Procedimiento de acceso a la información contenida en el sitio de Internet</w:t>
      </w:r>
      <w:bookmarkEnd w:id="170"/>
      <w:bookmarkEnd w:id="171"/>
      <w:bookmarkEnd w:id="172"/>
      <w:bookmarkEnd w:id="173"/>
      <w:bookmarkEnd w:id="174"/>
      <w:bookmarkEnd w:id="175"/>
      <w:bookmarkEnd w:id="176"/>
      <w:bookmarkEnd w:id="177"/>
      <w:bookmarkEnd w:id="178"/>
      <w:bookmarkEnd w:id="179"/>
      <w:r w:rsidRPr="00D936CA">
        <w:t xml:space="preserve"> </w:t>
      </w:r>
    </w:p>
    <w:p w14:paraId="33CFE7D8" w14:textId="77777777" w:rsidR="00E51AB7" w:rsidRPr="00D936CA" w:rsidRDefault="00011A1B" w:rsidP="00D936CA">
      <w:pPr>
        <w:pStyle w:val="Texto1"/>
        <w:spacing w:after="200" w:line="276" w:lineRule="auto"/>
        <w:ind w:left="0"/>
        <w:rPr>
          <w:rFonts w:ascii="ITC Avant Garde" w:hAnsi="ITC Avant Garde"/>
          <w:sz w:val="22"/>
          <w:szCs w:val="22"/>
        </w:rPr>
      </w:pPr>
      <w:r w:rsidRPr="00D936CA">
        <w:rPr>
          <w:rFonts w:ascii="ITC Avant Garde" w:hAnsi="ITC Avant Garde"/>
          <w:sz w:val="22"/>
          <w:szCs w:val="22"/>
        </w:rPr>
        <w:t>Para el acceso a la información a través de la interfaz en la página de internet, el CS deberá contar con el usuario y contraseña descritos en el punto 3.</w:t>
      </w:r>
    </w:p>
    <w:p w14:paraId="33CFE7D9" w14:textId="77777777" w:rsidR="00E51AB7" w:rsidRPr="00D936CA" w:rsidRDefault="00011A1B" w:rsidP="00D936CA">
      <w:pPr>
        <w:pStyle w:val="Texto1"/>
        <w:spacing w:after="200" w:line="276" w:lineRule="auto"/>
        <w:ind w:left="0"/>
        <w:rPr>
          <w:rFonts w:ascii="ITC Avant Garde" w:hAnsi="ITC Avant Garde"/>
          <w:sz w:val="22"/>
          <w:szCs w:val="22"/>
        </w:rPr>
      </w:pPr>
      <w:r w:rsidRPr="00D936CA">
        <w:rPr>
          <w:rFonts w:ascii="ITC Avant Garde" w:hAnsi="ITC Avant Garde"/>
          <w:sz w:val="22"/>
          <w:szCs w:val="22"/>
        </w:rPr>
        <w:t>Los pasos para ingresar al Sitio y realizar consultas serán los siguientes:</w:t>
      </w:r>
    </w:p>
    <w:p w14:paraId="33CFE7DA" w14:textId="77777777" w:rsidR="00E51AB7" w:rsidRPr="00D936CA" w:rsidRDefault="00011A1B" w:rsidP="00D936CA">
      <w:pPr>
        <w:pStyle w:val="Texto1"/>
        <w:numPr>
          <w:ilvl w:val="0"/>
          <w:numId w:val="53"/>
        </w:numPr>
        <w:spacing w:after="200" w:line="276" w:lineRule="auto"/>
        <w:ind w:left="714" w:hanging="357"/>
        <w:rPr>
          <w:rFonts w:ascii="ITC Avant Garde" w:hAnsi="ITC Avant Garde"/>
          <w:sz w:val="22"/>
          <w:szCs w:val="22"/>
        </w:rPr>
      </w:pPr>
      <w:r w:rsidRPr="00D936CA">
        <w:rPr>
          <w:rFonts w:ascii="ITC Avant Garde" w:hAnsi="ITC Avant Garde"/>
          <w:sz w:val="22"/>
          <w:szCs w:val="22"/>
        </w:rPr>
        <w:t xml:space="preserve">Entrar al sitio </w:t>
      </w:r>
      <w:hyperlink r:id="rId18" w:history="1">
        <w:r w:rsidRPr="00D936CA">
          <w:rPr>
            <w:rStyle w:val="Hipervnculo"/>
            <w:rFonts w:ascii="ITC Avant Garde" w:hAnsi="ITC Avant Garde"/>
            <w:color w:val="auto"/>
            <w:sz w:val="22"/>
            <w:szCs w:val="22"/>
          </w:rPr>
          <w:t>http://www.telmex.com/</w:t>
        </w:r>
      </w:hyperlink>
    </w:p>
    <w:p w14:paraId="33CFE7DB" w14:textId="77777777" w:rsidR="00E51AB7" w:rsidRPr="00D936CA" w:rsidRDefault="00011A1B" w:rsidP="00D936CA">
      <w:pPr>
        <w:pStyle w:val="Texto1"/>
        <w:numPr>
          <w:ilvl w:val="0"/>
          <w:numId w:val="53"/>
        </w:numPr>
        <w:spacing w:after="200" w:line="276" w:lineRule="auto"/>
        <w:rPr>
          <w:rFonts w:ascii="ITC Avant Garde" w:hAnsi="ITC Avant Garde"/>
          <w:sz w:val="22"/>
          <w:szCs w:val="22"/>
        </w:rPr>
      </w:pPr>
      <w:r w:rsidRPr="00D936CA">
        <w:rPr>
          <w:rFonts w:ascii="ITC Avant Garde" w:hAnsi="ITC Avant Garde"/>
          <w:sz w:val="22"/>
          <w:szCs w:val="22"/>
        </w:rPr>
        <w:t>Seleccionar el apartado “Ofertas de Servicios Mayoristas”.</w:t>
      </w:r>
    </w:p>
    <w:p w14:paraId="33CFE7DC" w14:textId="77777777" w:rsidR="00E51AB7" w:rsidRPr="00D936CA" w:rsidRDefault="00011A1B" w:rsidP="00D936CA">
      <w:pPr>
        <w:pStyle w:val="Texto1"/>
        <w:numPr>
          <w:ilvl w:val="0"/>
          <w:numId w:val="53"/>
        </w:numPr>
        <w:spacing w:after="200" w:line="276" w:lineRule="auto"/>
        <w:rPr>
          <w:rFonts w:ascii="ITC Avant Garde" w:hAnsi="ITC Avant Garde"/>
          <w:sz w:val="22"/>
          <w:szCs w:val="22"/>
        </w:rPr>
      </w:pPr>
      <w:r w:rsidRPr="00D936CA">
        <w:rPr>
          <w:rFonts w:ascii="ITC Avant Garde" w:hAnsi="ITC Avant Garde"/>
          <w:sz w:val="22"/>
          <w:szCs w:val="22"/>
        </w:rPr>
        <w:t>Seleccionar el apartado “Oferta de Referencia para la Desagregación del Bucle Local”</w:t>
      </w:r>
    </w:p>
    <w:p w14:paraId="33CFE7DD" w14:textId="77777777" w:rsidR="00E51AB7" w:rsidRPr="00D936CA" w:rsidRDefault="00011A1B" w:rsidP="00D936CA">
      <w:pPr>
        <w:pStyle w:val="Texto1"/>
        <w:numPr>
          <w:ilvl w:val="0"/>
          <w:numId w:val="53"/>
        </w:numPr>
        <w:spacing w:after="200" w:line="276" w:lineRule="auto"/>
        <w:rPr>
          <w:rFonts w:ascii="ITC Avant Garde" w:hAnsi="ITC Avant Garde"/>
          <w:sz w:val="22"/>
          <w:szCs w:val="22"/>
        </w:rPr>
      </w:pPr>
      <w:r w:rsidRPr="00D936CA">
        <w:rPr>
          <w:rFonts w:ascii="ITC Avant Garde" w:hAnsi="ITC Avant Garde"/>
          <w:sz w:val="22"/>
          <w:szCs w:val="22"/>
        </w:rPr>
        <w:t>Seleccionar el apartado “Consulta de Información”</w:t>
      </w:r>
    </w:p>
    <w:p w14:paraId="33CFE7DE" w14:textId="77777777" w:rsidR="00E51AB7" w:rsidRPr="00D936CA" w:rsidRDefault="00011A1B" w:rsidP="00D936CA">
      <w:pPr>
        <w:pStyle w:val="Texto1"/>
        <w:numPr>
          <w:ilvl w:val="0"/>
          <w:numId w:val="53"/>
        </w:numPr>
        <w:spacing w:after="200" w:line="276" w:lineRule="auto"/>
        <w:rPr>
          <w:rFonts w:ascii="ITC Avant Garde" w:hAnsi="ITC Avant Garde"/>
          <w:sz w:val="22"/>
          <w:szCs w:val="22"/>
        </w:rPr>
      </w:pPr>
      <w:r w:rsidRPr="00D936CA">
        <w:rPr>
          <w:rFonts w:ascii="ITC Avant Garde" w:hAnsi="ITC Avant Garde"/>
          <w:sz w:val="22"/>
          <w:szCs w:val="22"/>
        </w:rPr>
        <w:t>Ingresar las credenciales (Usuario y Contraseña) que le fueron otorgadas por Telmex</w:t>
      </w:r>
    </w:p>
    <w:p w14:paraId="33CFE7DF" w14:textId="77777777" w:rsidR="00F44B29" w:rsidRPr="00D936CA" w:rsidRDefault="00011A1B" w:rsidP="00D936CA">
      <w:pPr>
        <w:pStyle w:val="Texto1"/>
        <w:numPr>
          <w:ilvl w:val="0"/>
          <w:numId w:val="53"/>
        </w:numPr>
        <w:spacing w:after="200" w:line="276" w:lineRule="auto"/>
        <w:rPr>
          <w:rFonts w:ascii="ITC Avant Garde" w:hAnsi="ITC Avant Garde"/>
          <w:sz w:val="22"/>
          <w:szCs w:val="22"/>
        </w:rPr>
      </w:pPr>
      <w:r w:rsidRPr="00D936CA">
        <w:rPr>
          <w:rFonts w:ascii="ITC Avant Garde" w:hAnsi="ITC Avant Garde"/>
          <w:sz w:val="22"/>
          <w:szCs w:val="22"/>
        </w:rPr>
        <w:t>El CS deberá seleccionar el tipo de información en la cual está interesado</w:t>
      </w:r>
    </w:p>
    <w:p w14:paraId="33CFE7E1" w14:textId="4D0F717D" w:rsidR="005757EC" w:rsidRPr="00D936CA" w:rsidRDefault="00011A1B" w:rsidP="00D936CA">
      <w:pPr>
        <w:pStyle w:val="Texto1"/>
        <w:numPr>
          <w:ilvl w:val="0"/>
          <w:numId w:val="53"/>
        </w:numPr>
        <w:spacing w:after="200" w:line="276" w:lineRule="auto"/>
        <w:rPr>
          <w:rFonts w:ascii="ITC Avant Garde" w:hAnsi="ITC Avant Garde"/>
          <w:sz w:val="22"/>
          <w:szCs w:val="22"/>
        </w:rPr>
      </w:pPr>
      <w:r w:rsidRPr="00D936CA">
        <w:rPr>
          <w:rFonts w:ascii="ITC Avant Garde" w:hAnsi="ITC Avant Garde"/>
          <w:sz w:val="22"/>
          <w:szCs w:val="22"/>
        </w:rPr>
        <w:t>En la página de internet se desplegará la información solicitada</w:t>
      </w:r>
    </w:p>
    <w:p w14:paraId="33CFE7E2" w14:textId="77777777" w:rsidR="00530A32" w:rsidRPr="00D936CA" w:rsidRDefault="00424F8D" w:rsidP="00D936CA">
      <w:pPr>
        <w:tabs>
          <w:tab w:val="left" w:pos="284"/>
        </w:tabs>
        <w:outlineLvl w:val="2"/>
        <w:rPr>
          <w:rFonts w:ascii="ITC Avant Garde" w:hAnsi="ITC Avant Garde"/>
          <w:b/>
          <w:sz w:val="22"/>
        </w:rPr>
      </w:pPr>
      <w:bookmarkStart w:id="180" w:name="_Toc436840876"/>
      <w:bookmarkStart w:id="181" w:name="_Toc436846313"/>
      <w:bookmarkStart w:id="182" w:name="_Toc436848263"/>
      <w:bookmarkStart w:id="183" w:name="_Toc436856511"/>
      <w:bookmarkStart w:id="184" w:name="_Toc436862657"/>
      <w:bookmarkStart w:id="185" w:name="_Toc436866307"/>
      <w:bookmarkStart w:id="186" w:name="_Toc436870886"/>
      <w:bookmarkStart w:id="187" w:name="_Toc436875878"/>
      <w:r w:rsidRPr="00D936CA">
        <w:rPr>
          <w:rFonts w:ascii="ITC Avant Garde" w:hAnsi="ITC Avant Garde"/>
          <w:b/>
          <w:sz w:val="22"/>
        </w:rPr>
        <w:tab/>
      </w:r>
      <w:r w:rsidRPr="00D936CA">
        <w:rPr>
          <w:rFonts w:ascii="ITC Avant Garde" w:hAnsi="ITC Avant Garde"/>
          <w:b/>
          <w:sz w:val="22"/>
        </w:rPr>
        <w:tab/>
      </w:r>
      <w:bookmarkStart w:id="188" w:name="_Toc467248691"/>
      <w:bookmarkStart w:id="189" w:name="_Toc518031962"/>
      <w:r w:rsidR="008E17E2" w:rsidRPr="00D936CA">
        <w:rPr>
          <w:rFonts w:ascii="ITC Avant Garde" w:hAnsi="ITC Avant Garde"/>
          <w:b/>
          <w:sz w:val="22"/>
        </w:rPr>
        <w:t>3.2.1</w:t>
      </w:r>
      <w:r w:rsidR="00326841" w:rsidRPr="00D936CA">
        <w:rPr>
          <w:rFonts w:ascii="ITC Avant Garde" w:hAnsi="ITC Avant Garde"/>
          <w:b/>
          <w:sz w:val="22"/>
        </w:rPr>
        <w:t>.</w:t>
      </w:r>
      <w:r w:rsidR="008E17E2" w:rsidRPr="00D936CA">
        <w:rPr>
          <w:rFonts w:ascii="ITC Avant Garde" w:hAnsi="ITC Avant Garde"/>
          <w:b/>
          <w:sz w:val="22"/>
        </w:rPr>
        <w:tab/>
      </w:r>
      <w:r w:rsidR="00011A1B" w:rsidRPr="00D936CA">
        <w:rPr>
          <w:rFonts w:ascii="ITC Avant Garde" w:hAnsi="ITC Avant Garde"/>
          <w:b/>
          <w:sz w:val="22"/>
        </w:rPr>
        <w:t>Guía de Acceso y uso del sitio de Internet</w:t>
      </w:r>
      <w:bookmarkEnd w:id="180"/>
      <w:bookmarkEnd w:id="181"/>
      <w:bookmarkEnd w:id="182"/>
      <w:bookmarkEnd w:id="183"/>
      <w:bookmarkEnd w:id="184"/>
      <w:bookmarkEnd w:id="185"/>
      <w:bookmarkEnd w:id="186"/>
      <w:bookmarkEnd w:id="187"/>
      <w:bookmarkEnd w:id="188"/>
      <w:bookmarkEnd w:id="189"/>
    </w:p>
    <w:p w14:paraId="33CFE7E3" w14:textId="77777777" w:rsidR="00AD5CFF" w:rsidRPr="00D936CA" w:rsidRDefault="00AD5CFF" w:rsidP="00D936CA"/>
    <w:p w14:paraId="33CFE7E4" w14:textId="46D7D3A8" w:rsidR="00610E6F" w:rsidRPr="00D936CA" w:rsidRDefault="00610E6F" w:rsidP="00D936CA">
      <w:pPr>
        <w:spacing w:after="200" w:line="276" w:lineRule="auto"/>
        <w:jc w:val="both"/>
        <w:rPr>
          <w:rFonts w:ascii="ITC Avant Garde" w:hAnsi="ITC Avant Garde"/>
          <w:sz w:val="22"/>
          <w:szCs w:val="22"/>
          <w:lang w:eastAsia="es-MX"/>
        </w:rPr>
      </w:pPr>
      <w:r w:rsidRPr="00D936CA">
        <w:rPr>
          <w:rFonts w:ascii="ITC Avant Garde" w:hAnsi="ITC Avant Garde"/>
          <w:sz w:val="22"/>
          <w:szCs w:val="22"/>
          <w:lang w:eastAsia="es-MX"/>
        </w:rPr>
        <w:lastRenderedPageBreak/>
        <w:t>Los Concesionarios Solicitantes podrán acceder a la información de los servicios de desagregación a través del sitio web de Telmex, dicha in</w:t>
      </w:r>
      <w:r w:rsidR="001912DC" w:rsidRPr="00D936CA">
        <w:rPr>
          <w:rFonts w:ascii="ITC Avant Garde" w:hAnsi="ITC Avant Garde"/>
          <w:sz w:val="22"/>
          <w:szCs w:val="22"/>
          <w:lang w:eastAsia="es-MX"/>
        </w:rPr>
        <w:t xml:space="preserve">formación podrá ser consultada </w:t>
      </w:r>
      <w:r w:rsidRPr="00D936CA">
        <w:rPr>
          <w:rFonts w:ascii="ITC Avant Garde" w:hAnsi="ITC Avant Garde"/>
          <w:sz w:val="22"/>
          <w:szCs w:val="22"/>
          <w:lang w:eastAsia="es-MX"/>
        </w:rPr>
        <w:t xml:space="preserve">de manera </w:t>
      </w:r>
      <w:r w:rsidR="001912DC" w:rsidRPr="00D936CA">
        <w:rPr>
          <w:rFonts w:ascii="ITC Avant Garde" w:hAnsi="ITC Avant Garde"/>
          <w:sz w:val="22"/>
          <w:szCs w:val="22"/>
          <w:lang w:eastAsia="es-MX"/>
        </w:rPr>
        <w:t>previa</w:t>
      </w:r>
      <w:r w:rsidRPr="00D936CA">
        <w:rPr>
          <w:rFonts w:ascii="ITC Avant Garde" w:hAnsi="ITC Avant Garde"/>
          <w:sz w:val="22"/>
          <w:szCs w:val="22"/>
          <w:lang w:eastAsia="es-MX"/>
        </w:rPr>
        <w:t xml:space="preserve"> a la suscripción de convenios</w:t>
      </w:r>
      <w:r w:rsidR="007A03F1" w:rsidRPr="00D936CA">
        <w:rPr>
          <w:rStyle w:val="Refdenotaalpie"/>
          <w:rFonts w:ascii="ITC Avant Garde" w:hAnsi="ITC Avant Garde"/>
          <w:sz w:val="22"/>
          <w:szCs w:val="22"/>
          <w:lang w:eastAsia="es-MX"/>
        </w:rPr>
        <w:footnoteReference w:id="5"/>
      </w:r>
      <w:r w:rsidRPr="00D936CA">
        <w:rPr>
          <w:rFonts w:ascii="ITC Avant Garde" w:hAnsi="ITC Avant Garde"/>
          <w:sz w:val="22"/>
          <w:szCs w:val="22"/>
          <w:lang w:eastAsia="es-MX"/>
        </w:rPr>
        <w:t xml:space="preserve">. Telmex </w:t>
      </w:r>
      <w:r w:rsidR="00371341" w:rsidRPr="00D936CA">
        <w:rPr>
          <w:rFonts w:ascii="ITC Avant Garde" w:hAnsi="ITC Avant Garde"/>
          <w:sz w:val="22"/>
          <w:szCs w:val="22"/>
          <w:lang w:eastAsia="es-MX"/>
        </w:rPr>
        <w:t>garantizar</w:t>
      </w:r>
      <w:r w:rsidR="00234D43">
        <w:rPr>
          <w:rFonts w:ascii="ITC Avant Garde" w:hAnsi="ITC Avant Garde"/>
          <w:sz w:val="22"/>
          <w:szCs w:val="22"/>
          <w:lang w:eastAsia="es-MX"/>
        </w:rPr>
        <w:t>á</w:t>
      </w:r>
      <w:r w:rsidRPr="00D936CA">
        <w:rPr>
          <w:rFonts w:ascii="ITC Avant Garde" w:hAnsi="ITC Avant Garde"/>
          <w:sz w:val="22"/>
          <w:szCs w:val="22"/>
          <w:lang w:eastAsia="es-MX"/>
        </w:rPr>
        <w:t xml:space="preserve"> que la información se mantenga actualizada</w:t>
      </w:r>
      <w:r w:rsidR="007A03F1" w:rsidRPr="00D936CA">
        <w:rPr>
          <w:rFonts w:ascii="ITC Avant Garde" w:hAnsi="ITC Avant Garde"/>
          <w:sz w:val="22"/>
          <w:szCs w:val="22"/>
          <w:lang w:eastAsia="es-MX"/>
        </w:rPr>
        <w:t xml:space="preserve"> conforme a lo señalado previamente, es decir mensualmente para la información tipo “a” y semanalmente para la información tipo “b”</w:t>
      </w:r>
      <w:r w:rsidRPr="00D936CA">
        <w:rPr>
          <w:rFonts w:ascii="ITC Avant Garde" w:hAnsi="ITC Avant Garde"/>
          <w:sz w:val="22"/>
          <w:szCs w:val="22"/>
          <w:lang w:eastAsia="es-MX"/>
        </w:rPr>
        <w:t>.</w:t>
      </w:r>
      <w:r w:rsidRPr="00D936CA">
        <w:t xml:space="preserve"> </w:t>
      </w:r>
      <w:r w:rsidR="00E00E5F" w:rsidRPr="00D936CA">
        <w:rPr>
          <w:rFonts w:ascii="ITC Avant Garde" w:hAnsi="ITC Avant Garde"/>
          <w:sz w:val="22"/>
          <w:szCs w:val="22"/>
          <w:lang w:val="es-MX"/>
        </w:rPr>
        <w:t>Telmex utilizará el SEG para sus propias operaciones, así como las realizadas por sus filiales y subsidiarias, por lo que tanto Telmex como los CS contarán con los mismos sistemas</w:t>
      </w:r>
      <w:r w:rsidR="003E13AD" w:rsidRPr="00D936CA">
        <w:rPr>
          <w:rFonts w:ascii="ITC Avant Garde" w:hAnsi="ITC Avant Garde"/>
          <w:sz w:val="22"/>
          <w:szCs w:val="22"/>
          <w:lang w:val="es-MX"/>
        </w:rPr>
        <w:t>, herramientas, procedimientos, etc</w:t>
      </w:r>
      <w:r w:rsidR="00E00E5F" w:rsidRPr="00D936CA">
        <w:rPr>
          <w:rFonts w:ascii="ITC Avant Garde" w:hAnsi="ITC Avant Garde"/>
          <w:sz w:val="22"/>
          <w:szCs w:val="22"/>
          <w:lang w:val="es-MX"/>
        </w:rPr>
        <w:t>.</w:t>
      </w:r>
      <w:r w:rsidR="00E00E5F" w:rsidRPr="00D936CA">
        <w:rPr>
          <w:rFonts w:ascii="ITC Avant Garde" w:hAnsi="ITC Avant Garde"/>
          <w:sz w:val="22"/>
          <w:szCs w:val="22"/>
          <w:lang w:eastAsia="es-MX"/>
        </w:rPr>
        <w:t xml:space="preserve"> </w:t>
      </w:r>
      <w:r w:rsidRPr="00D936CA">
        <w:rPr>
          <w:rFonts w:ascii="ITC Avant Garde" w:hAnsi="ITC Avant Garde"/>
          <w:sz w:val="22"/>
          <w:szCs w:val="22"/>
          <w:lang w:eastAsia="es-MX"/>
        </w:rPr>
        <w:t>El concesionario deberá seguir los siguientes pa</w:t>
      </w:r>
      <w:r w:rsidR="00414F4B" w:rsidRPr="00D936CA">
        <w:rPr>
          <w:rFonts w:ascii="ITC Avant Garde" w:hAnsi="ITC Avant Garde"/>
          <w:sz w:val="22"/>
          <w:szCs w:val="22"/>
          <w:lang w:eastAsia="es-MX"/>
        </w:rPr>
        <w:t xml:space="preserve">sos para el acceso a la misma. </w:t>
      </w:r>
    </w:p>
    <w:p w14:paraId="33CFE7E5" w14:textId="77777777" w:rsidR="00D43FA9" w:rsidRPr="00D936CA" w:rsidRDefault="00D43FA9" w:rsidP="00D936CA">
      <w:pPr>
        <w:spacing w:after="200" w:line="276" w:lineRule="auto"/>
        <w:jc w:val="both"/>
        <w:rPr>
          <w:rFonts w:ascii="ITC Avant Garde" w:hAnsi="ITC Avant Garde"/>
          <w:sz w:val="22"/>
          <w:szCs w:val="22"/>
        </w:rPr>
      </w:pPr>
      <w:r w:rsidRPr="00D936CA">
        <w:rPr>
          <w:rFonts w:ascii="ITC Avant Garde" w:hAnsi="ITC Avant Garde"/>
          <w:sz w:val="22"/>
          <w:szCs w:val="22"/>
          <w:lang w:eastAsia="es-MX"/>
        </w:rPr>
        <w:t xml:space="preserve">1.- El CS deberá ingresar al siguiente sitio de Internet. </w:t>
      </w:r>
      <w:hyperlink r:id="rId19" w:history="1">
        <w:r w:rsidRPr="00D936CA">
          <w:rPr>
            <w:rStyle w:val="Hipervnculo"/>
            <w:rFonts w:ascii="ITC Avant Garde" w:hAnsi="ITC Avant Garde"/>
            <w:color w:val="auto"/>
            <w:sz w:val="22"/>
            <w:szCs w:val="22"/>
          </w:rPr>
          <w:t>http://www.telmex.com/</w:t>
        </w:r>
      </w:hyperlink>
      <w:r w:rsidRPr="00D936CA">
        <w:rPr>
          <w:rFonts w:ascii="ITC Avant Garde" w:hAnsi="ITC Avant Garde"/>
          <w:sz w:val="22"/>
          <w:szCs w:val="22"/>
        </w:rPr>
        <w:t xml:space="preserve"> </w:t>
      </w:r>
    </w:p>
    <w:p w14:paraId="33CFE7E6" w14:textId="60DF9ECF" w:rsidR="00D43FA9" w:rsidRPr="00D936CA" w:rsidRDefault="002A03F2" w:rsidP="00D936CA">
      <w:pPr>
        <w:jc w:val="center"/>
        <w:rPr>
          <w:rFonts w:ascii="ITC Avant Garde" w:hAnsi="ITC Avant Garde"/>
        </w:rPr>
      </w:pPr>
      <w:r>
        <w:rPr>
          <w:noProof/>
          <w:lang w:val="es-MX" w:eastAsia="es-MX"/>
        </w:rPr>
        <w:drawing>
          <wp:inline distT="0" distB="0" distL="0" distR="0" wp14:anchorId="6B176DE8" wp14:editId="7CE03C83">
            <wp:extent cx="5612130" cy="3023870"/>
            <wp:effectExtent l="0" t="0" r="762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023870"/>
                    </a:xfrm>
                    <a:prstGeom prst="rect">
                      <a:avLst/>
                    </a:prstGeom>
                  </pic:spPr>
                </pic:pic>
              </a:graphicData>
            </a:graphic>
          </wp:inline>
        </w:drawing>
      </w:r>
    </w:p>
    <w:p w14:paraId="33CFE7E7" w14:textId="77777777" w:rsidR="00D43FA9" w:rsidRPr="00D936CA" w:rsidRDefault="00D43FA9" w:rsidP="00D936CA">
      <w:pPr>
        <w:spacing w:before="120" w:after="200" w:line="276" w:lineRule="auto"/>
        <w:jc w:val="both"/>
        <w:rPr>
          <w:rFonts w:ascii="ITC Avant Garde" w:hAnsi="ITC Avant Garde"/>
          <w:sz w:val="22"/>
          <w:szCs w:val="22"/>
          <w:lang w:eastAsia="es-MX"/>
        </w:rPr>
      </w:pPr>
      <w:r w:rsidRPr="00D936CA">
        <w:rPr>
          <w:rFonts w:ascii="ITC Avant Garde" w:hAnsi="ITC Avant Garde"/>
          <w:sz w:val="22"/>
          <w:szCs w:val="22"/>
          <w:lang w:eastAsia="es-MX"/>
        </w:rPr>
        <w:t>2.- El CS deberá seleccionar el apartado “Ofertas de Servicios Mayoristas” ubicado en la parte inferior de la pantalla principal de la página de Telmex.</w:t>
      </w:r>
    </w:p>
    <w:p w14:paraId="33CFE7E8" w14:textId="7DDC4FAD" w:rsidR="00D43FA9" w:rsidRPr="00D936CA" w:rsidRDefault="00AA3369" w:rsidP="00060B2E">
      <w:pPr>
        <w:jc w:val="center"/>
        <w:rPr>
          <w:rFonts w:ascii="ITC Avant Garde" w:hAnsi="ITC Avant Garde"/>
          <w:b/>
          <w:bCs/>
          <w:sz w:val="22"/>
          <w:szCs w:val="22"/>
        </w:rPr>
      </w:pPr>
      <w:r>
        <w:rPr>
          <w:rFonts w:ascii="ITC Avant Garde" w:hAnsi="ITC Avant Garde"/>
          <w:b/>
          <w:bCs/>
          <w:noProof/>
          <w:sz w:val="22"/>
          <w:szCs w:val="22"/>
          <w:lang w:val="es-MX" w:eastAsia="es-MX"/>
        </w:rPr>
        <w:lastRenderedPageBreak/>
        <mc:AlternateContent>
          <mc:Choice Requires="wps">
            <w:drawing>
              <wp:anchor distT="0" distB="0" distL="114300" distR="114300" simplePos="0" relativeHeight="251658244" behindDoc="0" locked="0" layoutInCell="1" allowOverlap="1" wp14:anchorId="33CFF297" wp14:editId="13107F6D">
                <wp:simplePos x="0" y="0"/>
                <wp:positionH relativeFrom="margin">
                  <wp:align>center</wp:align>
                </wp:positionH>
                <wp:positionV relativeFrom="paragraph">
                  <wp:posOffset>2803185</wp:posOffset>
                </wp:positionV>
                <wp:extent cx="448945" cy="172720"/>
                <wp:effectExtent l="0" t="76200" r="8255" b="9398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4588">
                          <a:off x="0" y="0"/>
                          <a:ext cx="448945" cy="172720"/>
                        </a:xfrm>
                        <a:prstGeom prst="leftArrow">
                          <a:avLst>
                            <a:gd name="adj1" fmla="val 50000"/>
                            <a:gd name="adj2" fmla="val 64982"/>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131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26" type="#_x0000_t66" style="position:absolute;margin-left:0;margin-top:220.7pt;width:35.35pt;height:13.6pt;rotation:2189545fd;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" fillcolor="#c0504d [3205]" strokecolor="#c0504d [3205]">
                <w10:wrap anchorx="margin"/>
              </v:shape>
            </w:pict>
          </mc:Fallback>
        </mc:AlternateContent>
      </w:r>
      <w:r w:rsidR="002A03F2">
        <w:rPr>
          <w:noProof/>
          <w:lang w:val="es-MX" w:eastAsia="es-MX"/>
        </w:rPr>
        <w:drawing>
          <wp:inline distT="0" distB="0" distL="0" distR="0" wp14:anchorId="309BA571" wp14:editId="5E26BBC3">
            <wp:extent cx="5612130" cy="3023870"/>
            <wp:effectExtent l="0" t="0" r="762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23870"/>
                    </a:xfrm>
                    <a:prstGeom prst="rect">
                      <a:avLst/>
                    </a:prstGeom>
                  </pic:spPr>
                </pic:pic>
              </a:graphicData>
            </a:graphic>
          </wp:inline>
        </w:drawing>
      </w:r>
    </w:p>
    <w:p w14:paraId="33CFE7E9" w14:textId="77777777" w:rsidR="00D43FA9" w:rsidRPr="00D936CA" w:rsidRDefault="00D43FA9" w:rsidP="00D936CA">
      <w:pPr>
        <w:spacing w:before="120" w:after="200" w:line="276" w:lineRule="auto"/>
        <w:jc w:val="both"/>
        <w:rPr>
          <w:rFonts w:ascii="ITC Avant Garde" w:hAnsi="ITC Avant Garde"/>
          <w:sz w:val="22"/>
          <w:szCs w:val="22"/>
          <w:lang w:eastAsia="es-MX"/>
        </w:rPr>
      </w:pPr>
      <w:r w:rsidRPr="00D936CA">
        <w:rPr>
          <w:rFonts w:ascii="ITC Avant Garde" w:hAnsi="ITC Avant Garde"/>
          <w:sz w:val="22"/>
          <w:szCs w:val="22"/>
          <w:lang w:eastAsia="es-MX"/>
        </w:rPr>
        <w:t>3.-El CS deberá ingresar a la opción con la leyenda “Oferta de Referencia para Desagregación del Bucle Local (OREDA)”.</w:t>
      </w:r>
    </w:p>
    <w:p w14:paraId="459358BC" w14:textId="7E590D7E" w:rsidR="002A03F2" w:rsidRDefault="002A03F2" w:rsidP="00D936CA">
      <w:pPr>
        <w:jc w:val="center"/>
        <w:rPr>
          <w:rFonts w:ascii="ITC Avant Garde" w:hAnsi="ITC Avant Garde"/>
          <w:sz w:val="22"/>
          <w:szCs w:val="22"/>
        </w:rPr>
      </w:pPr>
      <w:r>
        <w:rPr>
          <w:noProof/>
          <w:lang w:val="es-MX" w:eastAsia="es-MX"/>
        </w:rPr>
        <w:drawing>
          <wp:inline distT="0" distB="0" distL="0" distR="0" wp14:anchorId="3BE07CCB" wp14:editId="02544A9E">
            <wp:extent cx="5612130" cy="3023870"/>
            <wp:effectExtent l="0" t="0" r="762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023870"/>
                    </a:xfrm>
                    <a:prstGeom prst="rect">
                      <a:avLst/>
                    </a:prstGeom>
                  </pic:spPr>
                </pic:pic>
              </a:graphicData>
            </a:graphic>
          </wp:inline>
        </w:drawing>
      </w:r>
    </w:p>
    <w:p w14:paraId="22B2FD4D" w14:textId="07741FA9" w:rsidR="002A03F2" w:rsidRDefault="002A03F2" w:rsidP="00D936CA">
      <w:pPr>
        <w:jc w:val="center"/>
        <w:rPr>
          <w:rFonts w:ascii="ITC Avant Garde" w:hAnsi="ITC Avant Garde"/>
          <w:sz w:val="22"/>
          <w:szCs w:val="22"/>
        </w:rPr>
      </w:pPr>
    </w:p>
    <w:p w14:paraId="33CFE7EA" w14:textId="07E98FF2" w:rsidR="00D43FA9" w:rsidRPr="00D936CA" w:rsidRDefault="00D43FA9" w:rsidP="00D936CA">
      <w:pPr>
        <w:jc w:val="center"/>
        <w:rPr>
          <w:rFonts w:ascii="ITC Avant Garde" w:hAnsi="ITC Avant Garde"/>
          <w:sz w:val="22"/>
          <w:szCs w:val="22"/>
        </w:rPr>
      </w:pPr>
    </w:p>
    <w:p w14:paraId="33CFE7EB" w14:textId="2671EA46" w:rsidR="00D43FA9" w:rsidRDefault="00D43FA9" w:rsidP="00D936CA">
      <w:pPr>
        <w:spacing w:before="120" w:after="200" w:line="276" w:lineRule="auto"/>
        <w:jc w:val="both"/>
        <w:rPr>
          <w:rFonts w:ascii="ITC Avant Garde" w:hAnsi="ITC Avant Garde"/>
          <w:sz w:val="22"/>
          <w:szCs w:val="22"/>
          <w:lang w:eastAsia="es-MX"/>
        </w:rPr>
      </w:pPr>
      <w:r w:rsidRPr="00D936CA">
        <w:rPr>
          <w:rFonts w:ascii="ITC Avant Garde" w:hAnsi="ITC Avant Garde"/>
          <w:sz w:val="22"/>
          <w:szCs w:val="22"/>
          <w:lang w:eastAsia="es-MX"/>
        </w:rPr>
        <w:t xml:space="preserve">4.- Al final de la página, el CS deberá ingresar a la opción de “Consulta de información de Servicios de Desagregación” </w:t>
      </w:r>
    </w:p>
    <w:p w14:paraId="25D15096" w14:textId="7B3541E3" w:rsidR="002A03F2" w:rsidRPr="00D936CA" w:rsidRDefault="002A03F2" w:rsidP="00060B2E">
      <w:pPr>
        <w:spacing w:before="120" w:after="200" w:line="276" w:lineRule="auto"/>
        <w:jc w:val="center"/>
        <w:rPr>
          <w:rFonts w:ascii="ITC Avant Garde" w:hAnsi="ITC Avant Garde"/>
          <w:sz w:val="22"/>
          <w:szCs w:val="22"/>
          <w:lang w:eastAsia="es-MX"/>
        </w:rPr>
      </w:pPr>
      <w:r>
        <w:rPr>
          <w:rFonts w:ascii="ITC Avant Garde" w:hAnsi="ITC Avant Garde"/>
          <w:noProof/>
          <w:sz w:val="22"/>
          <w:szCs w:val="22"/>
          <w:lang w:val="es-MX" w:eastAsia="es-MX"/>
        </w:rPr>
        <w:lastRenderedPageBreak/>
        <mc:AlternateContent>
          <mc:Choice Requires="wps">
            <w:drawing>
              <wp:anchor distT="0" distB="0" distL="114300" distR="114300" simplePos="0" relativeHeight="251658245" behindDoc="0" locked="0" layoutInCell="1" allowOverlap="1" wp14:anchorId="33CFF29A" wp14:editId="1B1AE3F8">
                <wp:simplePos x="0" y="0"/>
                <wp:positionH relativeFrom="column">
                  <wp:posOffset>535750</wp:posOffset>
                </wp:positionH>
                <wp:positionV relativeFrom="paragraph">
                  <wp:posOffset>1856740</wp:posOffset>
                </wp:positionV>
                <wp:extent cx="1716405" cy="146685"/>
                <wp:effectExtent l="19050" t="19050" r="17145" b="2476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146685"/>
                        </a:xfrm>
                        <a:prstGeom prst="rect">
                          <a:avLst/>
                        </a:prstGeom>
                        <a:noFill/>
                        <a:ln w="28575">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669B" id="Rectangle 9" o:spid="_x0000_s1026" style="position:absolute;margin-left:42.2pt;margin-top:146.2pt;width:135.15pt;height:11.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" filled="f" strokecolor="#c0504d [3205]" strokeweight="2.25pt"/>
            </w:pict>
          </mc:Fallback>
        </mc:AlternateContent>
      </w:r>
      <w:r>
        <w:rPr>
          <w:noProof/>
          <w:lang w:val="es-MX" w:eastAsia="es-MX"/>
        </w:rPr>
        <w:drawing>
          <wp:inline distT="0" distB="0" distL="0" distR="0" wp14:anchorId="1A4876AC" wp14:editId="68FD62AC">
            <wp:extent cx="5612130" cy="3023870"/>
            <wp:effectExtent l="0" t="0" r="762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023870"/>
                    </a:xfrm>
                    <a:prstGeom prst="rect">
                      <a:avLst/>
                    </a:prstGeom>
                  </pic:spPr>
                </pic:pic>
              </a:graphicData>
            </a:graphic>
          </wp:inline>
        </w:drawing>
      </w:r>
    </w:p>
    <w:p w14:paraId="33CFE7EC" w14:textId="4B832EDA" w:rsidR="00D43FA9" w:rsidRPr="00D936CA" w:rsidRDefault="00D43FA9" w:rsidP="00D936CA">
      <w:pPr>
        <w:jc w:val="center"/>
        <w:rPr>
          <w:rFonts w:ascii="ITC Avant Garde" w:hAnsi="ITC Avant Garde"/>
          <w:sz w:val="22"/>
          <w:szCs w:val="22"/>
        </w:rPr>
      </w:pPr>
    </w:p>
    <w:p w14:paraId="33CFE7ED" w14:textId="280E0964" w:rsidR="00D43FA9" w:rsidRPr="00D936CA" w:rsidRDefault="00D43FA9" w:rsidP="00D936CA">
      <w:pPr>
        <w:spacing w:before="120" w:after="200" w:line="276" w:lineRule="auto"/>
        <w:jc w:val="both"/>
        <w:rPr>
          <w:rFonts w:ascii="ITC Avant Garde" w:hAnsi="ITC Avant Garde"/>
          <w:sz w:val="22"/>
          <w:szCs w:val="22"/>
          <w:lang w:eastAsia="es-MX"/>
        </w:rPr>
      </w:pPr>
      <w:r w:rsidRPr="00D936CA">
        <w:rPr>
          <w:rFonts w:ascii="ITC Avant Garde" w:hAnsi="ITC Avant Garde"/>
          <w:sz w:val="22"/>
          <w:szCs w:val="22"/>
          <w:lang w:eastAsia="es-MX"/>
        </w:rPr>
        <w:t>5.- El CS deberá colocar el usuario y contraseña previamente otorgados por parte de Telmex para el ingreso a la información:</w:t>
      </w:r>
    </w:p>
    <w:p w14:paraId="33CFE7EE" w14:textId="77777777" w:rsidR="00D43FA9" w:rsidRPr="00D936CA" w:rsidRDefault="005757EC" w:rsidP="00D936CA">
      <w:pPr>
        <w:jc w:val="center"/>
        <w:rPr>
          <w:rFonts w:ascii="ITC Avant Garde" w:hAnsi="ITC Avant Garde"/>
          <w:sz w:val="22"/>
          <w:szCs w:val="22"/>
        </w:rPr>
      </w:pPr>
      <w:r w:rsidRPr="00D936CA">
        <w:rPr>
          <w:rFonts w:ascii="ITC Avant Garde" w:hAnsi="ITC Avant Garde"/>
          <w:noProof/>
          <w:sz w:val="22"/>
          <w:szCs w:val="22"/>
          <w:lang w:val="es-MX" w:eastAsia="es-MX"/>
        </w:rPr>
        <w:drawing>
          <wp:inline distT="0" distB="0" distL="0" distR="0" wp14:anchorId="33CFF2A0" wp14:editId="33CFF2A1">
            <wp:extent cx="5613400" cy="2992754"/>
            <wp:effectExtent l="19050" t="0" r="6350"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613400" cy="2992754"/>
                    </a:xfrm>
                    <a:prstGeom prst="rect">
                      <a:avLst/>
                    </a:prstGeom>
                    <a:noFill/>
                    <a:ln w="9525">
                      <a:noFill/>
                      <a:miter lim="800000"/>
                      <a:headEnd/>
                      <a:tailEnd/>
                    </a:ln>
                  </pic:spPr>
                </pic:pic>
              </a:graphicData>
            </a:graphic>
          </wp:inline>
        </w:drawing>
      </w:r>
    </w:p>
    <w:p w14:paraId="33CFE7EF" w14:textId="77777777" w:rsidR="00D43FA9" w:rsidRPr="00D936CA" w:rsidRDefault="00D43FA9" w:rsidP="00D936CA">
      <w:pPr>
        <w:spacing w:before="120" w:after="200" w:line="276" w:lineRule="auto"/>
        <w:jc w:val="both"/>
        <w:rPr>
          <w:rFonts w:ascii="ITC Avant Garde" w:hAnsi="ITC Avant Garde"/>
          <w:sz w:val="22"/>
          <w:szCs w:val="22"/>
          <w:lang w:eastAsia="es-MX"/>
        </w:rPr>
      </w:pPr>
      <w:r w:rsidRPr="00D936CA">
        <w:rPr>
          <w:rFonts w:ascii="ITC Avant Garde" w:hAnsi="ITC Avant Garde"/>
          <w:sz w:val="22"/>
          <w:szCs w:val="22"/>
          <w:lang w:eastAsia="es-MX"/>
        </w:rPr>
        <w:t>6.-El CS deberá seleccionar el tipo de base de datos de la cual requiera información</w:t>
      </w:r>
    </w:p>
    <w:p w14:paraId="33CFE7F0" w14:textId="14FCE197" w:rsidR="00D43FA9" w:rsidRPr="00D936CA" w:rsidRDefault="005E55B6" w:rsidP="00060B2E">
      <w:pPr>
        <w:spacing w:before="120" w:after="200" w:line="276" w:lineRule="auto"/>
        <w:jc w:val="center"/>
        <w:rPr>
          <w:rFonts w:ascii="ITC Avant Garde" w:hAnsi="ITC Avant Garde"/>
          <w:sz w:val="22"/>
          <w:szCs w:val="22"/>
          <w:lang w:eastAsia="es-MX"/>
        </w:rPr>
      </w:pPr>
      <w:r>
        <w:rPr>
          <w:noProof/>
          <w:lang w:val="es-MX" w:eastAsia="es-MX"/>
        </w:rPr>
        <w:lastRenderedPageBreak/>
        <w:drawing>
          <wp:inline distT="0" distB="0" distL="0" distR="0" wp14:anchorId="3F9F880D" wp14:editId="52A8D8A5">
            <wp:extent cx="5613400" cy="3026457"/>
            <wp:effectExtent l="0" t="0" r="6350" b="2540"/>
            <wp:docPr id="44" name="Imagen 44" descr="cid:image001.png@01D3FCFB.D18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3FCFB.D188550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613400" cy="3026457"/>
                    </a:xfrm>
                    <a:prstGeom prst="rect">
                      <a:avLst/>
                    </a:prstGeom>
                    <a:noFill/>
                    <a:ln>
                      <a:noFill/>
                    </a:ln>
                  </pic:spPr>
                </pic:pic>
              </a:graphicData>
            </a:graphic>
          </wp:inline>
        </w:drawing>
      </w:r>
    </w:p>
    <w:p w14:paraId="33CFE7F1" w14:textId="77777777" w:rsidR="005757EC" w:rsidRPr="00D936CA" w:rsidRDefault="005757EC" w:rsidP="00D936CA">
      <w:pPr>
        <w:spacing w:before="120" w:after="200" w:line="276" w:lineRule="auto"/>
        <w:jc w:val="both"/>
        <w:rPr>
          <w:rFonts w:ascii="ITC Avant Garde" w:hAnsi="ITC Avant Garde"/>
          <w:sz w:val="22"/>
          <w:szCs w:val="22"/>
          <w:lang w:eastAsia="es-MX"/>
        </w:rPr>
      </w:pPr>
    </w:p>
    <w:p w14:paraId="33CFE7F2" w14:textId="448053FA" w:rsidR="00530A32" w:rsidRPr="00D936CA" w:rsidRDefault="00011A1B" w:rsidP="00D936CA">
      <w:pPr>
        <w:pStyle w:val="Ttulo2"/>
        <w:numPr>
          <w:ilvl w:val="1"/>
          <w:numId w:val="143"/>
        </w:numPr>
        <w:ind w:left="851" w:hanging="425"/>
      </w:pPr>
      <w:bookmarkStart w:id="190" w:name="_Toc436840877"/>
      <w:bookmarkStart w:id="191" w:name="_Toc436846314"/>
      <w:bookmarkStart w:id="192" w:name="_Toc436848264"/>
      <w:bookmarkStart w:id="193" w:name="_Toc436856512"/>
      <w:bookmarkStart w:id="194" w:name="_Toc436862658"/>
      <w:bookmarkStart w:id="195" w:name="_Toc436866308"/>
      <w:bookmarkStart w:id="196" w:name="_Toc436870887"/>
      <w:bookmarkStart w:id="197" w:name="_Toc436875879"/>
      <w:bookmarkStart w:id="198" w:name="_Toc467248692"/>
      <w:bookmarkStart w:id="199" w:name="_Toc518031963"/>
      <w:r w:rsidRPr="00D936CA">
        <w:t>Procedimiento de acceso a la información contenida en el SEG</w:t>
      </w:r>
      <w:bookmarkEnd w:id="190"/>
      <w:bookmarkEnd w:id="191"/>
      <w:bookmarkEnd w:id="192"/>
      <w:bookmarkEnd w:id="193"/>
      <w:bookmarkEnd w:id="194"/>
      <w:bookmarkEnd w:id="195"/>
      <w:bookmarkEnd w:id="196"/>
      <w:bookmarkEnd w:id="197"/>
      <w:bookmarkEnd w:id="198"/>
      <w:bookmarkEnd w:id="199"/>
    </w:p>
    <w:p w14:paraId="33CFE7F6" w14:textId="4BD14CA6" w:rsidR="00FE1FCD" w:rsidRPr="00D936CA" w:rsidRDefault="00FE1FCD" w:rsidP="00D936CA">
      <w:pPr>
        <w:spacing w:after="200" w:line="276" w:lineRule="auto"/>
        <w:jc w:val="both"/>
        <w:rPr>
          <w:rFonts w:ascii="ITC Avant Garde" w:hAnsi="ITC Avant Garde"/>
          <w:sz w:val="22"/>
          <w:szCs w:val="22"/>
        </w:rPr>
      </w:pPr>
      <w:r w:rsidRPr="00D936CA">
        <w:rPr>
          <w:lang w:val="es-MX"/>
        </w:rPr>
        <w:t>L</w:t>
      </w:r>
      <w:r w:rsidRPr="00D936CA">
        <w:rPr>
          <w:rFonts w:ascii="ITC Avant Garde" w:hAnsi="ITC Avant Garde"/>
          <w:sz w:val="22"/>
          <w:szCs w:val="22"/>
          <w:lang w:val="es-MX"/>
        </w:rPr>
        <w:t xml:space="preserve">a información consultada a través del SEG deberá ser la misma que la establecida en </w:t>
      </w:r>
      <w:r w:rsidR="00A92F67">
        <w:rPr>
          <w:rFonts w:ascii="ITC Avant Garde" w:hAnsi="ITC Avant Garde"/>
          <w:sz w:val="22"/>
          <w:szCs w:val="22"/>
          <w:lang w:val="es-MX"/>
        </w:rPr>
        <w:t>l</w:t>
      </w:r>
      <w:r w:rsidR="00AC3946" w:rsidRPr="00D936CA">
        <w:rPr>
          <w:rFonts w:ascii="ITC Avant Garde" w:hAnsi="ITC Avant Garde"/>
          <w:sz w:val="22"/>
          <w:szCs w:val="22"/>
          <w:lang w:val="es-MX"/>
        </w:rPr>
        <w:t>a interfaz</w:t>
      </w:r>
      <w:r w:rsidRPr="00D936CA">
        <w:rPr>
          <w:rFonts w:ascii="ITC Avant Garde" w:hAnsi="ITC Avant Garde"/>
          <w:sz w:val="22"/>
          <w:szCs w:val="22"/>
          <w:lang w:val="es-MX"/>
        </w:rPr>
        <w:t xml:space="preserve">, </w:t>
      </w:r>
      <w:r w:rsidR="0036791B" w:rsidRPr="00D936CA">
        <w:rPr>
          <w:rFonts w:ascii="ITC Avant Garde" w:hAnsi="ITC Avant Garde"/>
          <w:sz w:val="22"/>
          <w:szCs w:val="22"/>
          <w:lang w:val="es-MX"/>
        </w:rPr>
        <w:t xml:space="preserve">la cual </w:t>
      </w:r>
      <w:r w:rsidR="00D004A7" w:rsidRPr="00D936CA">
        <w:rPr>
          <w:rFonts w:ascii="ITC Avant Garde" w:hAnsi="ITC Avant Garde"/>
          <w:sz w:val="22"/>
          <w:szCs w:val="22"/>
          <w:lang w:val="es-MX"/>
        </w:rPr>
        <w:t xml:space="preserve">será </w:t>
      </w:r>
      <w:r w:rsidRPr="00D936CA">
        <w:rPr>
          <w:rFonts w:ascii="ITC Avant Garde" w:hAnsi="ITC Avant Garde"/>
          <w:sz w:val="22"/>
          <w:szCs w:val="22"/>
          <w:lang w:val="es-MX"/>
        </w:rPr>
        <w:t>proporcionada con las mismas ca</w:t>
      </w:r>
      <w:r w:rsidR="00D004A7" w:rsidRPr="00D936CA">
        <w:rPr>
          <w:rFonts w:ascii="ITC Avant Garde" w:hAnsi="ITC Avant Garde"/>
          <w:sz w:val="22"/>
          <w:szCs w:val="22"/>
          <w:lang w:val="es-MX"/>
        </w:rPr>
        <w:t>racterísticas con las que el Telmex</w:t>
      </w:r>
      <w:r w:rsidRPr="00D936CA">
        <w:rPr>
          <w:rFonts w:ascii="ITC Avant Garde" w:hAnsi="ITC Avant Garde"/>
          <w:sz w:val="22"/>
          <w:szCs w:val="22"/>
          <w:lang w:val="es-MX"/>
        </w:rPr>
        <w:t xml:space="preserve"> utiliza dicha información para sus propias operaciones, </w:t>
      </w:r>
      <w:r w:rsidR="00770F6D" w:rsidRPr="00D936CA">
        <w:rPr>
          <w:rFonts w:ascii="ITC Avant Garde" w:hAnsi="ITC Avant Garde"/>
          <w:sz w:val="22"/>
          <w:szCs w:val="22"/>
          <w:lang w:val="es-MX"/>
        </w:rPr>
        <w:t>así como</w:t>
      </w:r>
      <w:r w:rsidRPr="00D936CA">
        <w:rPr>
          <w:rFonts w:ascii="ITC Avant Garde" w:hAnsi="ITC Avant Garde"/>
          <w:sz w:val="22"/>
          <w:szCs w:val="22"/>
          <w:lang w:val="es-MX"/>
        </w:rPr>
        <w:t xml:space="preserve"> </w:t>
      </w:r>
      <w:r w:rsidR="0036791B" w:rsidRPr="00D936CA">
        <w:rPr>
          <w:rFonts w:ascii="ITC Avant Garde" w:hAnsi="ITC Avant Garde"/>
          <w:sz w:val="22"/>
          <w:szCs w:val="22"/>
          <w:lang w:val="es-MX"/>
        </w:rPr>
        <w:t xml:space="preserve">de </w:t>
      </w:r>
      <w:r w:rsidRPr="00D936CA">
        <w:rPr>
          <w:rFonts w:ascii="ITC Avant Garde" w:hAnsi="ITC Avant Garde"/>
          <w:sz w:val="22"/>
          <w:szCs w:val="22"/>
          <w:lang w:val="es-MX"/>
        </w:rPr>
        <w:t>sus filiales y subsidiarias.</w:t>
      </w:r>
    </w:p>
    <w:p w14:paraId="33CFE7F7" w14:textId="70E9B877" w:rsidR="00530A32"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En específico para acceder a la información contenida en el </w:t>
      </w:r>
      <w:r w:rsidR="001C6041">
        <w:rPr>
          <w:rFonts w:ascii="ITC Avant Garde" w:hAnsi="ITC Avant Garde"/>
          <w:sz w:val="22"/>
          <w:szCs w:val="22"/>
        </w:rPr>
        <w:t>SEG</w:t>
      </w:r>
      <w:r w:rsidRPr="00D936CA">
        <w:rPr>
          <w:rFonts w:ascii="ITC Avant Garde" w:hAnsi="ITC Avant Garde"/>
          <w:sz w:val="22"/>
          <w:szCs w:val="22"/>
        </w:rPr>
        <w:t>, el procedimiento será el siguiente</w:t>
      </w:r>
      <w:r w:rsidR="0036791B" w:rsidRPr="00D936CA">
        <w:rPr>
          <w:rFonts w:ascii="ITC Avant Garde" w:hAnsi="ITC Avant Garde"/>
          <w:sz w:val="22"/>
          <w:szCs w:val="22"/>
        </w:rPr>
        <w:t>:</w:t>
      </w:r>
    </w:p>
    <w:p w14:paraId="33CFE7F8" w14:textId="5C127AFC" w:rsidR="00530A32" w:rsidRPr="00D936CA" w:rsidRDefault="00011A1B" w:rsidP="00D936CA">
      <w:pPr>
        <w:pStyle w:val="Prrafodelista"/>
        <w:numPr>
          <w:ilvl w:val="0"/>
          <w:numId w:val="56"/>
        </w:numPr>
        <w:spacing w:after="200" w:line="276" w:lineRule="auto"/>
        <w:ind w:hanging="357"/>
        <w:rPr>
          <w:rFonts w:ascii="ITC Avant Garde" w:hAnsi="ITC Avant Garde"/>
          <w:sz w:val="22"/>
          <w:szCs w:val="22"/>
          <w:lang w:val="es-MX"/>
        </w:rPr>
      </w:pPr>
      <w:r w:rsidRPr="00D936CA">
        <w:rPr>
          <w:rFonts w:ascii="ITC Avant Garde" w:hAnsi="ITC Avant Garde"/>
          <w:sz w:val="22"/>
          <w:szCs w:val="22"/>
          <w:lang w:val="es-MX"/>
        </w:rPr>
        <w:t xml:space="preserve">El CS deberá ingresar al </w:t>
      </w:r>
      <w:r w:rsidR="0036791B" w:rsidRPr="00D936CA">
        <w:rPr>
          <w:rFonts w:ascii="ITC Avant Garde" w:hAnsi="ITC Avant Garde"/>
          <w:sz w:val="22"/>
          <w:szCs w:val="22"/>
          <w:lang w:val="es-MX"/>
        </w:rPr>
        <w:t xml:space="preserve">SEG </w:t>
      </w:r>
      <w:r w:rsidRPr="00D936CA">
        <w:rPr>
          <w:rFonts w:ascii="ITC Avant Garde" w:hAnsi="ITC Avant Garde"/>
          <w:sz w:val="22"/>
          <w:szCs w:val="22"/>
          <w:lang w:val="es-MX"/>
        </w:rPr>
        <w:t>con su usuario y contraseña asignados por parte de Telmex</w:t>
      </w:r>
    </w:p>
    <w:p w14:paraId="33CFE7F9" w14:textId="4C050E1B" w:rsidR="00530A32" w:rsidRPr="00D936CA" w:rsidRDefault="00011A1B" w:rsidP="00D936CA">
      <w:pPr>
        <w:pStyle w:val="Prrafodelista"/>
        <w:numPr>
          <w:ilvl w:val="0"/>
          <w:numId w:val="56"/>
        </w:numPr>
        <w:spacing w:after="200" w:line="276" w:lineRule="auto"/>
        <w:ind w:hanging="357"/>
        <w:rPr>
          <w:rFonts w:ascii="ITC Avant Garde" w:hAnsi="ITC Avant Garde"/>
          <w:sz w:val="22"/>
          <w:szCs w:val="22"/>
          <w:lang w:val="es-MX"/>
        </w:rPr>
      </w:pPr>
      <w:r w:rsidRPr="00D936CA">
        <w:rPr>
          <w:rFonts w:ascii="ITC Avant Garde" w:hAnsi="ITC Avant Garde"/>
          <w:sz w:val="22"/>
          <w:szCs w:val="22"/>
          <w:lang w:val="es-MX"/>
        </w:rPr>
        <w:t xml:space="preserve">Para consultar información el CS deberá ingresar al módulo </w:t>
      </w:r>
      <w:r w:rsidR="005E55B6">
        <w:rPr>
          <w:rFonts w:ascii="ITC Avant Garde" w:hAnsi="ITC Avant Garde"/>
          <w:sz w:val="22"/>
          <w:szCs w:val="22"/>
          <w:lang w:val="es-MX"/>
        </w:rPr>
        <w:t>Documentación y en la opción Consulta de Información OREDA</w:t>
      </w:r>
    </w:p>
    <w:p w14:paraId="33CFE7FA" w14:textId="78FB1113" w:rsidR="00530A32" w:rsidRPr="00D936CA" w:rsidRDefault="005E55B6" w:rsidP="00D936CA">
      <w:pPr>
        <w:pStyle w:val="Prrafodelista"/>
        <w:numPr>
          <w:ilvl w:val="1"/>
          <w:numId w:val="56"/>
        </w:numPr>
        <w:spacing w:after="200" w:line="276" w:lineRule="auto"/>
        <w:ind w:hanging="357"/>
        <w:rPr>
          <w:rFonts w:ascii="ITC Avant Garde" w:hAnsi="ITC Avant Garde"/>
          <w:sz w:val="22"/>
          <w:szCs w:val="22"/>
          <w:lang w:val="es-MX"/>
        </w:rPr>
      </w:pPr>
      <w:r>
        <w:rPr>
          <w:rFonts w:ascii="ITC Avant Garde" w:hAnsi="ITC Avant Garde"/>
          <w:sz w:val="22"/>
          <w:szCs w:val="22"/>
          <w:lang w:val="es-MX"/>
        </w:rPr>
        <w:t>S</w:t>
      </w:r>
      <w:r w:rsidR="00011A1B" w:rsidRPr="00D936CA">
        <w:rPr>
          <w:rFonts w:ascii="ITC Avant Garde" w:hAnsi="ITC Avant Garde"/>
          <w:sz w:val="22"/>
          <w:szCs w:val="22"/>
          <w:lang w:val="es-MX"/>
        </w:rPr>
        <w:t>e desplegarán las distintas categorías de información disponibles</w:t>
      </w:r>
    </w:p>
    <w:p w14:paraId="33CFE7FB" w14:textId="77777777" w:rsidR="00530A32" w:rsidRPr="00D936CA" w:rsidRDefault="00011A1B" w:rsidP="00D936CA">
      <w:pPr>
        <w:pStyle w:val="Prrafodelista"/>
        <w:numPr>
          <w:ilvl w:val="1"/>
          <w:numId w:val="56"/>
        </w:numPr>
        <w:spacing w:after="200" w:line="276" w:lineRule="auto"/>
        <w:ind w:hanging="357"/>
        <w:rPr>
          <w:rFonts w:ascii="ITC Avant Garde" w:hAnsi="ITC Avant Garde"/>
          <w:sz w:val="22"/>
          <w:szCs w:val="22"/>
          <w:lang w:val="es-MX"/>
        </w:rPr>
      </w:pPr>
      <w:r w:rsidRPr="00D936CA">
        <w:rPr>
          <w:rFonts w:ascii="ITC Avant Garde" w:hAnsi="ITC Avant Garde"/>
          <w:sz w:val="22"/>
          <w:szCs w:val="22"/>
          <w:lang w:val="es-MX"/>
        </w:rPr>
        <w:t>El CS seleccionará la categoría de interés</w:t>
      </w:r>
    </w:p>
    <w:p w14:paraId="33CFE7FC" w14:textId="1E169653" w:rsidR="00530A32" w:rsidRPr="00D936CA" w:rsidRDefault="00011A1B" w:rsidP="00D936CA">
      <w:pPr>
        <w:pStyle w:val="Prrafodelista"/>
        <w:numPr>
          <w:ilvl w:val="0"/>
          <w:numId w:val="56"/>
        </w:numPr>
        <w:spacing w:after="200" w:line="276" w:lineRule="auto"/>
        <w:ind w:hanging="357"/>
        <w:rPr>
          <w:rFonts w:ascii="ITC Avant Garde" w:hAnsi="ITC Avant Garde"/>
          <w:sz w:val="22"/>
          <w:szCs w:val="22"/>
          <w:lang w:val="es-MX"/>
        </w:rPr>
      </w:pPr>
      <w:r w:rsidRPr="00D936CA">
        <w:rPr>
          <w:rFonts w:ascii="ITC Avant Garde" w:hAnsi="ITC Avant Garde"/>
          <w:sz w:val="22"/>
          <w:szCs w:val="22"/>
          <w:lang w:val="es-MX"/>
        </w:rPr>
        <w:t xml:space="preserve">El Sistema </w:t>
      </w:r>
      <w:r w:rsidR="00DB14AD" w:rsidRPr="00D936CA">
        <w:rPr>
          <w:rFonts w:ascii="ITC Avant Garde" w:hAnsi="ITC Avant Garde"/>
          <w:sz w:val="22"/>
          <w:szCs w:val="22"/>
          <w:lang w:val="es-MX"/>
        </w:rPr>
        <w:t>proporcionará</w:t>
      </w:r>
      <w:r w:rsidRPr="00D936CA">
        <w:rPr>
          <w:rFonts w:ascii="ITC Avant Garde" w:hAnsi="ITC Avant Garde"/>
          <w:sz w:val="22"/>
          <w:szCs w:val="22"/>
          <w:lang w:val="es-MX"/>
        </w:rPr>
        <w:t xml:space="preserve"> la información solicitada por el CS</w:t>
      </w:r>
    </w:p>
    <w:p w14:paraId="33CFE7FD" w14:textId="77777777" w:rsidR="00530A32" w:rsidRPr="00D936CA" w:rsidRDefault="00011A1B" w:rsidP="00D936CA">
      <w:pPr>
        <w:pStyle w:val="Ttulo2"/>
        <w:numPr>
          <w:ilvl w:val="1"/>
          <w:numId w:val="143"/>
        </w:numPr>
        <w:ind w:left="851" w:hanging="425"/>
      </w:pPr>
      <w:bookmarkStart w:id="200" w:name="_Toc436840878"/>
      <w:bookmarkStart w:id="201" w:name="_Toc436846315"/>
      <w:bookmarkStart w:id="202" w:name="_Toc436848265"/>
      <w:bookmarkStart w:id="203" w:name="_Toc436856513"/>
      <w:bookmarkStart w:id="204" w:name="_Toc436862659"/>
      <w:bookmarkStart w:id="205" w:name="_Toc436866309"/>
      <w:bookmarkStart w:id="206" w:name="_Toc436870888"/>
      <w:bookmarkStart w:id="207" w:name="_Toc436875880"/>
      <w:bookmarkStart w:id="208" w:name="_Toc467248693"/>
      <w:bookmarkStart w:id="209" w:name="_Toc518031964"/>
      <w:r w:rsidRPr="00D936CA">
        <w:lastRenderedPageBreak/>
        <w:t>Procedimiento de acceso a la información de forma presencial</w:t>
      </w:r>
      <w:bookmarkEnd w:id="200"/>
      <w:bookmarkEnd w:id="201"/>
      <w:bookmarkEnd w:id="202"/>
      <w:bookmarkEnd w:id="203"/>
      <w:bookmarkEnd w:id="204"/>
      <w:bookmarkEnd w:id="205"/>
      <w:bookmarkEnd w:id="206"/>
      <w:bookmarkEnd w:id="207"/>
      <w:bookmarkEnd w:id="208"/>
      <w:bookmarkEnd w:id="209"/>
    </w:p>
    <w:p w14:paraId="33CFE7FE" w14:textId="5031FCF0" w:rsidR="00CD095E" w:rsidRPr="00D936CA" w:rsidRDefault="0068174A" w:rsidP="00D936CA">
      <w:pPr>
        <w:pStyle w:val="Texto1"/>
        <w:spacing w:after="200" w:line="276" w:lineRule="auto"/>
        <w:ind w:left="0"/>
        <w:rPr>
          <w:rFonts w:ascii="ITC Avant Garde" w:hAnsi="ITC Avant Garde"/>
          <w:sz w:val="22"/>
          <w:szCs w:val="22"/>
        </w:rPr>
      </w:pPr>
      <w:r w:rsidRPr="00D936CA">
        <w:rPr>
          <w:rFonts w:ascii="ITC Avant Garde" w:hAnsi="ITC Avant Garde"/>
          <w:sz w:val="22"/>
          <w:szCs w:val="22"/>
        </w:rPr>
        <w:t>Este procedimiento aplicará en caso de que el acceso vía internet no esté operando adecuadamente</w:t>
      </w:r>
      <w:r w:rsidR="00D43FA9" w:rsidRPr="00D936CA">
        <w:rPr>
          <w:rFonts w:ascii="ITC Avant Garde" w:hAnsi="ITC Avant Garde"/>
          <w:sz w:val="22"/>
          <w:szCs w:val="22"/>
        </w:rPr>
        <w:t>, o cuando el CS lo requiera</w:t>
      </w:r>
      <w:r w:rsidR="00346B76">
        <w:rPr>
          <w:rFonts w:ascii="ITC Avant Garde" w:hAnsi="ITC Avant Garde"/>
          <w:sz w:val="22"/>
          <w:szCs w:val="22"/>
        </w:rPr>
        <w:t>;</w:t>
      </w:r>
      <w:r w:rsidRPr="00D936CA">
        <w:rPr>
          <w:rFonts w:ascii="ITC Avant Garde" w:hAnsi="ITC Avant Garde"/>
          <w:sz w:val="22"/>
          <w:szCs w:val="22"/>
        </w:rPr>
        <w:t xml:space="preserve"> </w:t>
      </w:r>
      <w:r w:rsidR="00346B76">
        <w:rPr>
          <w:rFonts w:ascii="ITC Avant Garde" w:hAnsi="ITC Avant Garde"/>
          <w:sz w:val="22"/>
          <w:szCs w:val="22"/>
        </w:rPr>
        <w:t>p</w:t>
      </w:r>
      <w:r w:rsidRPr="00D936CA">
        <w:rPr>
          <w:rFonts w:ascii="ITC Avant Garde" w:hAnsi="ITC Avant Garde"/>
          <w:sz w:val="22"/>
          <w:szCs w:val="22"/>
        </w:rPr>
        <w:t>ara acceder al mismo se deberá llevar a cabo el siguiente procedimiento:</w:t>
      </w:r>
    </w:p>
    <w:p w14:paraId="33CFE7FF" w14:textId="7EB23C07" w:rsidR="006D335A" w:rsidRPr="00D936CA" w:rsidRDefault="00011A1B" w:rsidP="00D936CA">
      <w:pPr>
        <w:pStyle w:val="Texto1"/>
        <w:numPr>
          <w:ilvl w:val="0"/>
          <w:numId w:val="40"/>
        </w:numPr>
        <w:spacing w:after="200" w:line="276" w:lineRule="auto"/>
        <w:rPr>
          <w:rFonts w:ascii="ITC Avant Garde" w:hAnsi="ITC Avant Garde"/>
          <w:sz w:val="22"/>
          <w:szCs w:val="22"/>
        </w:rPr>
      </w:pPr>
      <w:r w:rsidRPr="00D936CA">
        <w:rPr>
          <w:rFonts w:ascii="ITC Avant Garde" w:hAnsi="ITC Avant Garde"/>
          <w:sz w:val="22"/>
          <w:szCs w:val="22"/>
        </w:rPr>
        <w:t>El Responsable del CS deberá acudir a las instalaciones de Telmex (Parque Vía 190, Col</w:t>
      </w:r>
      <w:r w:rsidR="00346B76">
        <w:rPr>
          <w:rFonts w:ascii="ITC Avant Garde" w:hAnsi="ITC Avant Garde"/>
          <w:sz w:val="22"/>
          <w:szCs w:val="22"/>
        </w:rPr>
        <w:t>onia</w:t>
      </w:r>
      <w:r w:rsidRPr="00D936CA">
        <w:rPr>
          <w:rFonts w:ascii="ITC Avant Garde" w:hAnsi="ITC Avant Garde"/>
          <w:sz w:val="22"/>
          <w:szCs w:val="22"/>
        </w:rPr>
        <w:t xml:space="preserve"> Cuauhtémoc, Delegación Cuauhtémoc, C</w:t>
      </w:r>
      <w:r w:rsidR="00DA17D7">
        <w:rPr>
          <w:rFonts w:ascii="ITC Avant Garde" w:hAnsi="ITC Avant Garde"/>
          <w:sz w:val="22"/>
          <w:szCs w:val="22"/>
        </w:rPr>
        <w:t>.</w:t>
      </w:r>
      <w:r w:rsidRPr="00D936CA">
        <w:rPr>
          <w:rFonts w:ascii="ITC Avant Garde" w:hAnsi="ITC Avant Garde"/>
          <w:sz w:val="22"/>
          <w:szCs w:val="22"/>
        </w:rPr>
        <w:t>P</w:t>
      </w:r>
      <w:r w:rsidR="00DA17D7">
        <w:rPr>
          <w:rFonts w:ascii="ITC Avant Garde" w:hAnsi="ITC Avant Garde"/>
          <w:sz w:val="22"/>
          <w:szCs w:val="22"/>
        </w:rPr>
        <w:t>.</w:t>
      </w:r>
      <w:r w:rsidRPr="00D936CA">
        <w:rPr>
          <w:rFonts w:ascii="ITC Avant Garde" w:hAnsi="ITC Avant Garde"/>
          <w:sz w:val="22"/>
          <w:szCs w:val="22"/>
        </w:rPr>
        <w:t xml:space="preserve"> 06599, </w:t>
      </w:r>
      <w:r w:rsidR="00346B76">
        <w:rPr>
          <w:rFonts w:ascii="ITC Avant Garde" w:hAnsi="ITC Avant Garde"/>
          <w:sz w:val="22"/>
          <w:szCs w:val="22"/>
        </w:rPr>
        <w:t xml:space="preserve">Ciudad de </w:t>
      </w:r>
      <w:r w:rsidRPr="00D936CA">
        <w:rPr>
          <w:rFonts w:ascii="ITC Avant Garde" w:hAnsi="ITC Avant Garde"/>
          <w:sz w:val="22"/>
          <w:szCs w:val="22"/>
        </w:rPr>
        <w:t xml:space="preserve">México), </w:t>
      </w:r>
      <w:r w:rsidR="00A40070">
        <w:rPr>
          <w:rFonts w:ascii="ITC Avant Garde" w:hAnsi="ITC Avant Garde"/>
          <w:sz w:val="22"/>
          <w:szCs w:val="22"/>
        </w:rPr>
        <w:t>en el piso</w:t>
      </w:r>
      <w:r w:rsidRPr="00D936CA">
        <w:rPr>
          <w:rFonts w:ascii="ITC Avant Garde" w:hAnsi="ITC Avant Garde"/>
          <w:sz w:val="22"/>
          <w:szCs w:val="22"/>
        </w:rPr>
        <w:t xml:space="preserve"> 9, </w:t>
      </w:r>
      <w:r w:rsidR="00A40070">
        <w:rPr>
          <w:rFonts w:ascii="ITC Avant Garde" w:hAnsi="ITC Avant Garde"/>
          <w:sz w:val="22"/>
          <w:szCs w:val="22"/>
        </w:rPr>
        <w:t>Á</w:t>
      </w:r>
      <w:r w:rsidRPr="00D936CA">
        <w:rPr>
          <w:rFonts w:ascii="ITC Avant Garde" w:hAnsi="ITC Avant Garde"/>
          <w:sz w:val="22"/>
          <w:szCs w:val="22"/>
        </w:rPr>
        <w:t xml:space="preserve">rea de </w:t>
      </w:r>
      <w:r w:rsidR="00A40070">
        <w:rPr>
          <w:rFonts w:ascii="ITC Avant Garde" w:hAnsi="ITC Avant Garde"/>
          <w:sz w:val="22"/>
          <w:szCs w:val="22"/>
        </w:rPr>
        <w:t>O</w:t>
      </w:r>
      <w:r w:rsidRPr="00D936CA">
        <w:rPr>
          <w:rFonts w:ascii="ITC Avant Garde" w:hAnsi="ITC Avant Garde"/>
          <w:sz w:val="22"/>
          <w:szCs w:val="22"/>
        </w:rPr>
        <w:t>peradores, Grupo de Servicios de Desagregación, en un horario de 09:00 a 14:00</w:t>
      </w:r>
      <w:r w:rsidR="0036791B" w:rsidRPr="00D936CA">
        <w:rPr>
          <w:rFonts w:ascii="ITC Avant Garde" w:hAnsi="ITC Avant Garde"/>
          <w:sz w:val="22"/>
          <w:szCs w:val="22"/>
        </w:rPr>
        <w:t xml:space="preserve"> y de </w:t>
      </w:r>
      <w:r w:rsidRPr="00D936CA">
        <w:rPr>
          <w:rFonts w:ascii="ITC Avant Garde" w:hAnsi="ITC Avant Garde"/>
          <w:sz w:val="22"/>
          <w:szCs w:val="22"/>
        </w:rPr>
        <w:t>16:00</w:t>
      </w:r>
      <w:r w:rsidR="0036791B" w:rsidRPr="00D936CA">
        <w:rPr>
          <w:rFonts w:ascii="ITC Avant Garde" w:hAnsi="ITC Avant Garde"/>
          <w:sz w:val="22"/>
          <w:szCs w:val="22"/>
        </w:rPr>
        <w:t xml:space="preserve"> a </w:t>
      </w:r>
      <w:r w:rsidRPr="00D936CA">
        <w:rPr>
          <w:rFonts w:ascii="ITC Avant Garde" w:hAnsi="ITC Avant Garde"/>
          <w:sz w:val="22"/>
          <w:szCs w:val="22"/>
        </w:rPr>
        <w:t>19:00</w:t>
      </w:r>
      <w:r w:rsidR="0036791B" w:rsidRPr="00D936CA">
        <w:rPr>
          <w:rFonts w:ascii="ITC Avant Garde" w:hAnsi="ITC Avant Garde"/>
          <w:sz w:val="22"/>
          <w:szCs w:val="22"/>
        </w:rPr>
        <w:t xml:space="preserve"> horas de lunes a viernes</w:t>
      </w:r>
      <w:r w:rsidRPr="00D936CA">
        <w:rPr>
          <w:rFonts w:ascii="ITC Avant Garde" w:hAnsi="ITC Avant Garde"/>
          <w:sz w:val="22"/>
          <w:szCs w:val="22"/>
        </w:rPr>
        <w:t>, e identificarse adecuadamente</w:t>
      </w:r>
      <w:r w:rsidR="00A40070">
        <w:rPr>
          <w:rFonts w:ascii="ITC Avant Garde" w:hAnsi="ITC Avant Garde"/>
          <w:sz w:val="22"/>
          <w:szCs w:val="22"/>
        </w:rPr>
        <w:t>,</w:t>
      </w:r>
      <w:r w:rsidRPr="00D936CA">
        <w:rPr>
          <w:rFonts w:ascii="ITC Avant Garde" w:hAnsi="ITC Avant Garde"/>
          <w:sz w:val="22"/>
          <w:szCs w:val="22"/>
        </w:rPr>
        <w:t xml:space="preserve"> </w:t>
      </w:r>
      <w:r w:rsidR="00210F51" w:rsidRPr="00D936CA">
        <w:rPr>
          <w:rFonts w:ascii="ITC Avant Garde" w:hAnsi="ITC Avant Garde"/>
          <w:sz w:val="22"/>
          <w:szCs w:val="22"/>
        </w:rPr>
        <w:t>mostrando</w:t>
      </w:r>
      <w:r w:rsidR="00F1328C" w:rsidRPr="00D936CA">
        <w:rPr>
          <w:rFonts w:ascii="ITC Avant Garde" w:hAnsi="ITC Avant Garde"/>
          <w:sz w:val="22"/>
          <w:szCs w:val="22"/>
        </w:rPr>
        <w:t xml:space="preserve"> una identificación oficial, la credencial vigente de su empresa, y una carta membretada de autorización para solicitar y recibir acceso a consulta de información presencial firmada por el representante legal del CS</w:t>
      </w:r>
      <w:r w:rsidRPr="00D936CA">
        <w:rPr>
          <w:rFonts w:ascii="ITC Avant Garde" w:hAnsi="ITC Avant Garde"/>
          <w:sz w:val="22"/>
          <w:szCs w:val="22"/>
        </w:rPr>
        <w:t>.</w:t>
      </w:r>
    </w:p>
    <w:p w14:paraId="33CFE800" w14:textId="77777777" w:rsidR="006D335A" w:rsidRPr="00D936CA" w:rsidRDefault="00F1328C" w:rsidP="00D936CA">
      <w:pPr>
        <w:pStyle w:val="Texto1"/>
        <w:numPr>
          <w:ilvl w:val="0"/>
          <w:numId w:val="40"/>
        </w:numPr>
        <w:spacing w:after="200" w:line="276" w:lineRule="auto"/>
        <w:rPr>
          <w:rFonts w:ascii="ITC Avant Garde" w:hAnsi="ITC Avant Garde"/>
          <w:sz w:val="22"/>
          <w:szCs w:val="22"/>
        </w:rPr>
      </w:pPr>
      <w:r w:rsidRPr="00D936CA">
        <w:rPr>
          <w:rFonts w:ascii="ITC Avant Garde" w:hAnsi="ITC Avant Garde"/>
          <w:sz w:val="22"/>
          <w:szCs w:val="22"/>
        </w:rPr>
        <w:t>Una vez acreditada la identidad y</w:t>
      </w:r>
      <w:r w:rsidR="00210F51" w:rsidRPr="00D936CA">
        <w:rPr>
          <w:rFonts w:ascii="ITC Avant Garde" w:hAnsi="ITC Avant Garde"/>
          <w:sz w:val="22"/>
          <w:szCs w:val="22"/>
        </w:rPr>
        <w:t xml:space="preserve"> autorización del </w:t>
      </w:r>
      <w:r w:rsidR="00011A1B" w:rsidRPr="00D936CA">
        <w:rPr>
          <w:rFonts w:ascii="ITC Avant Garde" w:hAnsi="ITC Avant Garde"/>
          <w:sz w:val="22"/>
          <w:szCs w:val="22"/>
        </w:rPr>
        <w:t>Responsable del CS</w:t>
      </w:r>
      <w:r w:rsidR="00210F51" w:rsidRPr="00D936CA">
        <w:rPr>
          <w:rFonts w:ascii="ITC Avant Garde" w:hAnsi="ITC Avant Garde"/>
          <w:sz w:val="22"/>
          <w:szCs w:val="22"/>
        </w:rPr>
        <w:t>,</w:t>
      </w:r>
      <w:r w:rsidR="00011A1B" w:rsidRPr="00D936CA">
        <w:rPr>
          <w:rFonts w:ascii="ITC Avant Garde" w:hAnsi="ITC Avant Garde"/>
          <w:sz w:val="22"/>
          <w:szCs w:val="22"/>
        </w:rPr>
        <w:t xml:space="preserve"> </w:t>
      </w:r>
      <w:r w:rsidRPr="00D936CA">
        <w:rPr>
          <w:rFonts w:ascii="ITC Avant Garde" w:hAnsi="ITC Avant Garde"/>
          <w:sz w:val="22"/>
          <w:szCs w:val="22"/>
        </w:rPr>
        <w:t xml:space="preserve">éste </w:t>
      </w:r>
      <w:r w:rsidR="00011A1B" w:rsidRPr="00D936CA">
        <w:rPr>
          <w:rFonts w:ascii="ITC Avant Garde" w:hAnsi="ITC Avant Garde"/>
          <w:sz w:val="22"/>
          <w:szCs w:val="22"/>
        </w:rPr>
        <w:t xml:space="preserve">deberá llenar el formato de solicitud de información y entregarlo al personal </w:t>
      </w:r>
      <w:r w:rsidR="00D43FA9" w:rsidRPr="00D936CA">
        <w:rPr>
          <w:rFonts w:ascii="ITC Avant Garde" w:hAnsi="ITC Avant Garde"/>
          <w:sz w:val="22"/>
          <w:szCs w:val="22"/>
        </w:rPr>
        <w:t xml:space="preserve">de </w:t>
      </w:r>
      <w:r w:rsidR="00011A1B" w:rsidRPr="00D936CA">
        <w:rPr>
          <w:rFonts w:ascii="ITC Avant Garde" w:hAnsi="ITC Avant Garde"/>
          <w:sz w:val="22"/>
          <w:szCs w:val="22"/>
        </w:rPr>
        <w:t>Telmex para efectuar la validación.</w:t>
      </w:r>
      <w:r w:rsidR="00663181" w:rsidRPr="00D936CA">
        <w:rPr>
          <w:rFonts w:ascii="ITC Avant Garde" w:hAnsi="ITC Avant Garde"/>
          <w:sz w:val="22"/>
          <w:szCs w:val="22"/>
        </w:rPr>
        <w:t xml:space="preserve"> La solicitud de información podrá contemplar la totalidad de la información de las bases de datos establecidas en el punto 3.1 de la presente OREDA.</w:t>
      </w:r>
    </w:p>
    <w:p w14:paraId="33CFE801" w14:textId="77777777" w:rsidR="00D43FA9" w:rsidRPr="00D936CA" w:rsidRDefault="00D43FA9" w:rsidP="00D936CA">
      <w:pPr>
        <w:pStyle w:val="Texto1"/>
        <w:numPr>
          <w:ilvl w:val="0"/>
          <w:numId w:val="40"/>
        </w:numPr>
        <w:spacing w:after="200" w:line="276" w:lineRule="auto"/>
        <w:rPr>
          <w:rFonts w:ascii="ITC Avant Garde" w:hAnsi="ITC Avant Garde"/>
          <w:sz w:val="22"/>
          <w:szCs w:val="22"/>
        </w:rPr>
      </w:pPr>
      <w:r w:rsidRPr="00D936CA">
        <w:rPr>
          <w:rFonts w:ascii="ITC Avant Garde" w:hAnsi="ITC Avant Garde"/>
          <w:sz w:val="22"/>
          <w:szCs w:val="22"/>
        </w:rPr>
        <w:t>Cubierto el punto anterior, en un día hábil Telmex entregará la información solicitada mediante discos compactos o unidades de almacenamiento digital.</w:t>
      </w:r>
    </w:p>
    <w:p w14:paraId="33CFE802" w14:textId="77777777" w:rsidR="00F1328C" w:rsidRPr="00D936CA" w:rsidRDefault="00F1328C" w:rsidP="00D936CA">
      <w:pPr>
        <w:pStyle w:val="Texto1"/>
        <w:spacing w:after="200" w:line="276" w:lineRule="auto"/>
        <w:ind w:left="720"/>
        <w:rPr>
          <w:rFonts w:ascii="ITC Avant Garde" w:hAnsi="ITC Avant Garde"/>
          <w:sz w:val="22"/>
          <w:szCs w:val="22"/>
        </w:rPr>
      </w:pPr>
    </w:p>
    <w:p w14:paraId="33CFE803" w14:textId="77777777" w:rsidR="00530A32" w:rsidRPr="00D936CA" w:rsidRDefault="00871C42" w:rsidP="00D936CA">
      <w:pPr>
        <w:pStyle w:val="Ttulo2"/>
        <w:numPr>
          <w:ilvl w:val="1"/>
          <w:numId w:val="143"/>
        </w:numPr>
        <w:ind w:left="851" w:hanging="425"/>
      </w:pPr>
      <w:bookmarkStart w:id="210" w:name="_Toc436840879"/>
      <w:bookmarkStart w:id="211" w:name="_Toc436846316"/>
      <w:bookmarkStart w:id="212" w:name="_Toc436848266"/>
      <w:bookmarkStart w:id="213" w:name="_Toc436856514"/>
      <w:bookmarkStart w:id="214" w:name="_Toc436862660"/>
      <w:bookmarkStart w:id="215" w:name="_Toc436866310"/>
      <w:bookmarkStart w:id="216" w:name="_Toc436870889"/>
      <w:bookmarkStart w:id="217" w:name="_Toc436875881"/>
      <w:r w:rsidRPr="00D936CA">
        <w:t xml:space="preserve"> </w:t>
      </w:r>
      <w:bookmarkStart w:id="218" w:name="_Toc467248694"/>
      <w:bookmarkStart w:id="219" w:name="_Toc518031965"/>
      <w:r w:rsidR="00011A1B" w:rsidRPr="00D936CA">
        <w:t>Procedimiento de acceso a la información a través del medio alterno</w:t>
      </w:r>
      <w:bookmarkEnd w:id="210"/>
      <w:bookmarkEnd w:id="211"/>
      <w:bookmarkEnd w:id="212"/>
      <w:bookmarkEnd w:id="213"/>
      <w:bookmarkEnd w:id="214"/>
      <w:bookmarkEnd w:id="215"/>
      <w:bookmarkEnd w:id="216"/>
      <w:bookmarkEnd w:id="217"/>
      <w:bookmarkEnd w:id="218"/>
      <w:bookmarkEnd w:id="219"/>
    </w:p>
    <w:p w14:paraId="33CFE804" w14:textId="3E878761" w:rsidR="005757EC" w:rsidRPr="00D936CA" w:rsidRDefault="006A4724"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El medio alterno para que los CS accedan a la información señalada en los puntos anteriores en caso de que </w:t>
      </w:r>
      <w:r w:rsidR="00C4252F" w:rsidRPr="00D936CA">
        <w:rPr>
          <w:rFonts w:ascii="ITC Avant Garde" w:hAnsi="ITC Avant Garde"/>
          <w:sz w:val="22"/>
          <w:szCs w:val="22"/>
        </w:rPr>
        <w:t xml:space="preserve">el </w:t>
      </w:r>
      <w:r w:rsidRPr="00D936CA">
        <w:rPr>
          <w:rFonts w:ascii="ITC Avant Garde" w:hAnsi="ITC Avant Garde"/>
          <w:sz w:val="22"/>
          <w:szCs w:val="22"/>
        </w:rPr>
        <w:t>SEG no se encuentre disponible,</w:t>
      </w:r>
      <w:r w:rsidR="00D43FA9" w:rsidRPr="00D936CA">
        <w:rPr>
          <w:rFonts w:ascii="ITC Avant Garde" w:hAnsi="ITC Avant Garde"/>
          <w:sz w:val="22"/>
          <w:szCs w:val="22"/>
        </w:rPr>
        <w:t xml:space="preserve"> es el siguiente:</w:t>
      </w:r>
      <w:r w:rsidRPr="00D936CA">
        <w:rPr>
          <w:rFonts w:ascii="ITC Avant Garde" w:hAnsi="ITC Avant Garde"/>
          <w:sz w:val="22"/>
          <w:szCs w:val="22"/>
        </w:rPr>
        <w:t xml:space="preserve"> </w:t>
      </w:r>
    </w:p>
    <w:p w14:paraId="33CFE805" w14:textId="1271C2A2" w:rsidR="00D43FA9" w:rsidRPr="00D936CA" w:rsidRDefault="00D43FA9" w:rsidP="00D936CA">
      <w:pPr>
        <w:pStyle w:val="Texto1"/>
        <w:numPr>
          <w:ilvl w:val="0"/>
          <w:numId w:val="64"/>
        </w:numPr>
        <w:spacing w:after="200" w:line="276" w:lineRule="auto"/>
        <w:rPr>
          <w:rFonts w:ascii="ITC Avant Garde" w:hAnsi="ITC Avant Garde"/>
          <w:sz w:val="22"/>
          <w:szCs w:val="22"/>
        </w:rPr>
      </w:pPr>
      <w:r w:rsidRPr="00D936CA">
        <w:rPr>
          <w:rFonts w:ascii="ITC Avant Garde" w:hAnsi="ITC Avant Garde"/>
          <w:sz w:val="22"/>
          <w:szCs w:val="22"/>
        </w:rPr>
        <w:t>El Responsable del CS deberá acudir a las instalaciones de Telmex (Parque Vía 190, Col</w:t>
      </w:r>
      <w:r w:rsidR="00DA17D7">
        <w:rPr>
          <w:rFonts w:ascii="ITC Avant Garde" w:hAnsi="ITC Avant Garde"/>
          <w:sz w:val="22"/>
          <w:szCs w:val="22"/>
        </w:rPr>
        <w:t>onia</w:t>
      </w:r>
      <w:r w:rsidRPr="00D936CA">
        <w:rPr>
          <w:rFonts w:ascii="ITC Avant Garde" w:hAnsi="ITC Avant Garde"/>
          <w:sz w:val="22"/>
          <w:szCs w:val="22"/>
        </w:rPr>
        <w:t xml:space="preserve"> Cuauhtémoc, Delegación Cuauhtémoc, C</w:t>
      </w:r>
      <w:r w:rsidR="00DA17D7">
        <w:rPr>
          <w:rFonts w:ascii="ITC Avant Garde" w:hAnsi="ITC Avant Garde"/>
          <w:sz w:val="22"/>
          <w:szCs w:val="22"/>
        </w:rPr>
        <w:t>.</w:t>
      </w:r>
      <w:r w:rsidRPr="00D936CA">
        <w:rPr>
          <w:rFonts w:ascii="ITC Avant Garde" w:hAnsi="ITC Avant Garde"/>
          <w:sz w:val="22"/>
          <w:szCs w:val="22"/>
        </w:rPr>
        <w:t>P</w:t>
      </w:r>
      <w:r w:rsidR="00DA17D7">
        <w:rPr>
          <w:rFonts w:ascii="ITC Avant Garde" w:hAnsi="ITC Avant Garde"/>
          <w:sz w:val="22"/>
          <w:szCs w:val="22"/>
        </w:rPr>
        <w:t>.</w:t>
      </w:r>
      <w:r w:rsidRPr="00D936CA">
        <w:rPr>
          <w:rFonts w:ascii="ITC Avant Garde" w:hAnsi="ITC Avant Garde"/>
          <w:sz w:val="22"/>
          <w:szCs w:val="22"/>
        </w:rPr>
        <w:t xml:space="preserve"> 06599, </w:t>
      </w:r>
      <w:r w:rsidR="00DA17D7">
        <w:rPr>
          <w:rFonts w:ascii="ITC Avant Garde" w:hAnsi="ITC Avant Garde"/>
          <w:sz w:val="22"/>
          <w:szCs w:val="22"/>
        </w:rPr>
        <w:t xml:space="preserve">Ciudad de </w:t>
      </w:r>
      <w:r w:rsidRPr="00D936CA">
        <w:rPr>
          <w:rFonts w:ascii="ITC Avant Garde" w:hAnsi="ITC Avant Garde"/>
          <w:sz w:val="22"/>
          <w:szCs w:val="22"/>
        </w:rPr>
        <w:t xml:space="preserve">México), </w:t>
      </w:r>
      <w:r w:rsidR="00DA17D7">
        <w:rPr>
          <w:rFonts w:ascii="ITC Avant Garde" w:hAnsi="ITC Avant Garde"/>
          <w:sz w:val="22"/>
          <w:szCs w:val="22"/>
        </w:rPr>
        <w:t>en el piso</w:t>
      </w:r>
      <w:r w:rsidR="00DA17D7" w:rsidRPr="00D936CA">
        <w:rPr>
          <w:rFonts w:ascii="ITC Avant Garde" w:hAnsi="ITC Avant Garde"/>
          <w:sz w:val="22"/>
          <w:szCs w:val="22"/>
        </w:rPr>
        <w:t xml:space="preserve"> </w:t>
      </w:r>
      <w:r w:rsidRPr="00D936CA">
        <w:rPr>
          <w:rFonts w:ascii="ITC Avant Garde" w:hAnsi="ITC Avant Garde"/>
          <w:sz w:val="22"/>
          <w:szCs w:val="22"/>
        </w:rPr>
        <w:t xml:space="preserve">9, </w:t>
      </w:r>
      <w:r w:rsidR="00DA17D7">
        <w:rPr>
          <w:rFonts w:ascii="ITC Avant Garde" w:hAnsi="ITC Avant Garde"/>
          <w:sz w:val="22"/>
          <w:szCs w:val="22"/>
        </w:rPr>
        <w:t>Á</w:t>
      </w:r>
      <w:r w:rsidRPr="00D936CA">
        <w:rPr>
          <w:rFonts w:ascii="ITC Avant Garde" w:hAnsi="ITC Avant Garde"/>
          <w:sz w:val="22"/>
          <w:szCs w:val="22"/>
        </w:rPr>
        <w:t xml:space="preserve">rea de </w:t>
      </w:r>
      <w:r w:rsidR="00DA17D7">
        <w:rPr>
          <w:rFonts w:ascii="ITC Avant Garde" w:hAnsi="ITC Avant Garde"/>
          <w:sz w:val="22"/>
          <w:szCs w:val="22"/>
        </w:rPr>
        <w:t>O</w:t>
      </w:r>
      <w:r w:rsidRPr="00D936CA">
        <w:rPr>
          <w:rFonts w:ascii="ITC Avant Garde" w:hAnsi="ITC Avant Garde"/>
          <w:sz w:val="22"/>
          <w:szCs w:val="22"/>
        </w:rPr>
        <w:t>peradores, Grupo de Servicios de Desagregación, en un horario de 09:00 a 14:00</w:t>
      </w:r>
      <w:r w:rsidR="0036791B" w:rsidRPr="00D936CA">
        <w:rPr>
          <w:rFonts w:ascii="ITC Avant Garde" w:hAnsi="ITC Avant Garde"/>
          <w:sz w:val="22"/>
          <w:szCs w:val="22"/>
        </w:rPr>
        <w:t xml:space="preserve"> y </w:t>
      </w:r>
      <w:r w:rsidR="00B84AFF" w:rsidRPr="00D936CA">
        <w:rPr>
          <w:rFonts w:ascii="ITC Avant Garde" w:hAnsi="ITC Avant Garde"/>
          <w:sz w:val="22"/>
          <w:szCs w:val="22"/>
        </w:rPr>
        <w:t xml:space="preserve">de </w:t>
      </w:r>
      <w:r w:rsidRPr="00D936CA">
        <w:rPr>
          <w:rFonts w:ascii="ITC Avant Garde" w:hAnsi="ITC Avant Garde"/>
          <w:sz w:val="22"/>
          <w:szCs w:val="22"/>
        </w:rPr>
        <w:t>16:00</w:t>
      </w:r>
      <w:r w:rsidR="0036791B" w:rsidRPr="00D936CA">
        <w:rPr>
          <w:rFonts w:ascii="ITC Avant Garde" w:hAnsi="ITC Avant Garde"/>
          <w:sz w:val="22"/>
          <w:szCs w:val="22"/>
        </w:rPr>
        <w:t xml:space="preserve"> a </w:t>
      </w:r>
      <w:r w:rsidRPr="00D936CA">
        <w:rPr>
          <w:rFonts w:ascii="ITC Avant Garde" w:hAnsi="ITC Avant Garde"/>
          <w:sz w:val="22"/>
          <w:szCs w:val="22"/>
        </w:rPr>
        <w:t>19:00</w:t>
      </w:r>
      <w:r w:rsidR="0036791B" w:rsidRPr="00D936CA">
        <w:rPr>
          <w:rFonts w:ascii="ITC Avant Garde" w:hAnsi="ITC Avant Garde"/>
          <w:sz w:val="22"/>
          <w:szCs w:val="22"/>
        </w:rPr>
        <w:t xml:space="preserve"> horas de lunes a viernes</w:t>
      </w:r>
      <w:r w:rsidRPr="00D936CA">
        <w:rPr>
          <w:rFonts w:ascii="ITC Avant Garde" w:hAnsi="ITC Avant Garde"/>
          <w:sz w:val="22"/>
          <w:szCs w:val="22"/>
        </w:rPr>
        <w:t>, e identificarse adecuadamente</w:t>
      </w:r>
      <w:r w:rsidR="00B92893">
        <w:rPr>
          <w:rFonts w:ascii="ITC Avant Garde" w:hAnsi="ITC Avant Garde"/>
          <w:sz w:val="22"/>
          <w:szCs w:val="22"/>
        </w:rPr>
        <w:t>,</w:t>
      </w:r>
      <w:r w:rsidRPr="00D936CA">
        <w:rPr>
          <w:rFonts w:ascii="ITC Avant Garde" w:hAnsi="ITC Avant Garde"/>
          <w:sz w:val="22"/>
          <w:szCs w:val="22"/>
        </w:rPr>
        <w:t xml:space="preserve"> mostrando una identificación oficial, la credencial vigente de su empresa, y una carta membretada de autorización firmada por el representante legal del CS. </w:t>
      </w:r>
    </w:p>
    <w:p w14:paraId="33CFE806" w14:textId="77777777" w:rsidR="00D43FA9" w:rsidRPr="00D936CA" w:rsidRDefault="00D43FA9" w:rsidP="00D936CA">
      <w:pPr>
        <w:pStyle w:val="Texto1"/>
        <w:numPr>
          <w:ilvl w:val="0"/>
          <w:numId w:val="64"/>
        </w:numPr>
        <w:spacing w:after="200" w:line="276" w:lineRule="auto"/>
        <w:rPr>
          <w:rFonts w:ascii="ITC Avant Garde" w:hAnsi="ITC Avant Garde"/>
          <w:sz w:val="22"/>
          <w:szCs w:val="22"/>
        </w:rPr>
      </w:pPr>
      <w:r w:rsidRPr="00D936CA">
        <w:rPr>
          <w:rFonts w:ascii="ITC Avant Garde" w:hAnsi="ITC Avant Garde"/>
          <w:sz w:val="22"/>
          <w:szCs w:val="22"/>
        </w:rPr>
        <w:t>Una vez acreditada la identidad y autorización del  Responsable del CS, Telmex facilitará un equipo de cómputo para que el CS realice la consulta de información.</w:t>
      </w:r>
    </w:p>
    <w:p w14:paraId="73F57A33" w14:textId="1B7849EA" w:rsidR="00B44482" w:rsidRPr="00B44482" w:rsidRDefault="0075785A" w:rsidP="00B44482">
      <w:pPr>
        <w:pStyle w:val="Texto1"/>
        <w:numPr>
          <w:ilvl w:val="0"/>
          <w:numId w:val="64"/>
        </w:numPr>
        <w:spacing w:after="200" w:line="276" w:lineRule="auto"/>
        <w:rPr>
          <w:rFonts w:ascii="ITC Avant Garde" w:hAnsi="ITC Avant Garde"/>
          <w:sz w:val="22"/>
          <w:szCs w:val="22"/>
        </w:rPr>
      </w:pPr>
      <w:r w:rsidRPr="00D936CA">
        <w:rPr>
          <w:rFonts w:ascii="ITC Avant Garde" w:hAnsi="ITC Avant Garde"/>
          <w:sz w:val="22"/>
          <w:szCs w:val="22"/>
        </w:rPr>
        <w:t xml:space="preserve"> El acceso a la información se realizará con el mismo usuario y contraseña que el CS utiliza en la interfaz de consulta a través de la página de internet de Telmex. </w:t>
      </w:r>
    </w:p>
    <w:p w14:paraId="2B5DDD68" w14:textId="77777777" w:rsidR="00B44482" w:rsidRPr="00B44482" w:rsidRDefault="00B44482" w:rsidP="00B44482">
      <w:pPr>
        <w:pStyle w:val="Texto1"/>
        <w:spacing w:after="200" w:line="276" w:lineRule="auto"/>
        <w:rPr>
          <w:rFonts w:ascii="ITC Avant Garde" w:hAnsi="ITC Avant Garde"/>
          <w:sz w:val="22"/>
          <w:szCs w:val="22"/>
        </w:rPr>
      </w:pPr>
    </w:p>
    <w:p w14:paraId="4B03A164" w14:textId="60B013AE" w:rsidR="00B44482" w:rsidRPr="00B44482" w:rsidRDefault="00B44482" w:rsidP="00B44482">
      <w:pPr>
        <w:pStyle w:val="Ttulo2"/>
        <w:numPr>
          <w:ilvl w:val="1"/>
          <w:numId w:val="143"/>
        </w:numPr>
        <w:ind w:left="851" w:hanging="425"/>
      </w:pPr>
      <w:bookmarkStart w:id="220" w:name="_Toc518031966"/>
      <w:bookmarkStart w:id="221" w:name="_Hlk518031104"/>
      <w:bookmarkStart w:id="222" w:name="_Hlk518031641"/>
      <w:r w:rsidRPr="00B44482">
        <w:t xml:space="preserve">Procedimiento de acceso al Sistema Electrónico de </w:t>
      </w:r>
      <w:r w:rsidR="004B2C28" w:rsidRPr="00B44482">
        <w:t>Gestión a</w:t>
      </w:r>
      <w:r w:rsidRPr="00B44482">
        <w:t xml:space="preserve"> través de La Red Privada Virtual VPN</w:t>
      </w:r>
      <w:bookmarkEnd w:id="220"/>
    </w:p>
    <w:p w14:paraId="65536586" w14:textId="77777777"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t xml:space="preserve">Para que los CS accedan al SEG a través de la VPN se deben considerar los siguientes puntos: </w:t>
      </w:r>
    </w:p>
    <w:p w14:paraId="4B6AAA9C" w14:textId="77777777"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t>1)</w:t>
      </w:r>
      <w:r w:rsidRPr="00B44482">
        <w:rPr>
          <w:rFonts w:ascii="ITC Avant Garde" w:hAnsi="ITC Avant Garde"/>
          <w:sz w:val="22"/>
          <w:szCs w:val="22"/>
        </w:rPr>
        <w:tab/>
        <w:t>El Concesionario Solicitante debe tener firmada la Oferta de Referencia para la Desagregación del Bucle Local OREDA, convenio y anexos.</w:t>
      </w:r>
    </w:p>
    <w:p w14:paraId="561FEFD9" w14:textId="268D87D7"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t>2)</w:t>
      </w:r>
      <w:r w:rsidRPr="00B44482">
        <w:rPr>
          <w:rFonts w:ascii="ITC Avant Garde" w:hAnsi="ITC Avant Garde"/>
          <w:sz w:val="22"/>
          <w:szCs w:val="22"/>
        </w:rPr>
        <w:tab/>
        <w:t xml:space="preserve">Solicitar vía correo </w:t>
      </w:r>
      <w:hyperlink r:id="rId27" w:history="1">
        <w:r w:rsidR="005718FD" w:rsidRPr="00C70B98">
          <w:rPr>
            <w:rStyle w:val="Hipervnculo"/>
            <w:rFonts w:ascii="ITC Avant Garde" w:hAnsi="ITC Avant Garde"/>
            <w:sz w:val="22"/>
            <w:szCs w:val="22"/>
          </w:rPr>
          <w:t>seg@telmex.com</w:t>
        </w:r>
      </w:hyperlink>
      <w:r w:rsidRPr="00B44482">
        <w:rPr>
          <w:rFonts w:ascii="ITC Avant Garde" w:hAnsi="ITC Avant Garde"/>
          <w:sz w:val="22"/>
          <w:szCs w:val="22"/>
        </w:rPr>
        <w:t>, el inicio de solicitud para activación de la VPN.</w:t>
      </w:r>
    </w:p>
    <w:p w14:paraId="2241351F" w14:textId="0D7B9649"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t>3)</w:t>
      </w:r>
      <w:r w:rsidRPr="00B44482">
        <w:rPr>
          <w:rFonts w:ascii="ITC Avant Garde" w:hAnsi="ITC Avant Garde"/>
          <w:sz w:val="22"/>
          <w:szCs w:val="22"/>
        </w:rPr>
        <w:tab/>
      </w:r>
      <w:r w:rsidR="005718FD">
        <w:rPr>
          <w:rFonts w:ascii="ITC Avant Garde" w:hAnsi="ITC Avant Garde"/>
          <w:sz w:val="22"/>
          <w:szCs w:val="22"/>
        </w:rPr>
        <w:t>Telmex</w:t>
      </w:r>
      <w:r w:rsidRPr="00B44482">
        <w:rPr>
          <w:rFonts w:ascii="ITC Avant Garde" w:hAnsi="ITC Avant Garde"/>
          <w:sz w:val="22"/>
          <w:szCs w:val="22"/>
        </w:rPr>
        <w:t xml:space="preserve"> enviará el siguiente formato como respuesta al correo recibido para que el CS realice el llenado del mismo y lo env</w:t>
      </w:r>
      <w:r w:rsidR="00FB13CA">
        <w:rPr>
          <w:rFonts w:ascii="ITC Avant Garde" w:hAnsi="ITC Avant Garde"/>
          <w:sz w:val="22"/>
          <w:szCs w:val="22"/>
        </w:rPr>
        <w:t>íe</w:t>
      </w:r>
      <w:r w:rsidRPr="00B44482">
        <w:rPr>
          <w:rFonts w:ascii="ITC Avant Garde" w:hAnsi="ITC Avant Garde"/>
          <w:sz w:val="22"/>
          <w:szCs w:val="22"/>
        </w:rPr>
        <w:t xml:space="preserve"> nuevamente a</w:t>
      </w:r>
      <w:r w:rsidR="005718FD">
        <w:rPr>
          <w:rFonts w:ascii="ITC Avant Garde" w:hAnsi="ITC Avant Garde"/>
          <w:sz w:val="22"/>
          <w:szCs w:val="22"/>
        </w:rPr>
        <w:t xml:space="preserve"> Telmex</w:t>
      </w:r>
      <w:r w:rsidRPr="00B44482">
        <w:rPr>
          <w:rFonts w:ascii="ITC Avant Garde" w:hAnsi="ITC Avant Garde"/>
          <w:sz w:val="22"/>
          <w:szCs w:val="22"/>
        </w:rPr>
        <w:t xml:space="preserve"> escaneado en plazo máximo de 2 días hábiles.</w:t>
      </w:r>
    </w:p>
    <w:p w14:paraId="3A9F9F35" w14:textId="77777777" w:rsidR="00B44482" w:rsidRPr="00B44482" w:rsidRDefault="00B44482" w:rsidP="00B44482">
      <w:pPr>
        <w:pStyle w:val="Texto1"/>
        <w:spacing w:after="200" w:line="276" w:lineRule="auto"/>
        <w:rPr>
          <w:rFonts w:ascii="ITC Avant Garde" w:hAnsi="ITC Avant Garde"/>
          <w:sz w:val="22"/>
          <w:szCs w:val="22"/>
        </w:rPr>
      </w:pPr>
    </w:p>
    <w:p w14:paraId="18AB8FE5" w14:textId="641342B3" w:rsidR="00B44482" w:rsidRPr="00B44482" w:rsidRDefault="005718FD" w:rsidP="00D838BF">
      <w:pPr>
        <w:pStyle w:val="Texto1"/>
        <w:spacing w:after="200" w:line="276" w:lineRule="auto"/>
        <w:jc w:val="center"/>
        <w:rPr>
          <w:rFonts w:ascii="ITC Avant Garde" w:hAnsi="ITC Avant Garde"/>
          <w:sz w:val="22"/>
          <w:szCs w:val="22"/>
        </w:rPr>
      </w:pPr>
      <w:r w:rsidRPr="001914F2">
        <w:rPr>
          <w:noProof/>
          <w:bdr w:val="single" w:sz="4" w:space="0" w:color="auto"/>
          <w:lang w:val="es-MX" w:eastAsia="es-MX"/>
        </w:rPr>
        <w:lastRenderedPageBreak/>
        <w:drawing>
          <wp:inline distT="0" distB="0" distL="0" distR="0" wp14:anchorId="51F2C6A3" wp14:editId="1D112579">
            <wp:extent cx="5612130" cy="7078980"/>
            <wp:effectExtent l="19050" t="19050" r="2667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7078980"/>
                    </a:xfrm>
                    <a:prstGeom prst="rect">
                      <a:avLst/>
                    </a:prstGeom>
                    <a:ln>
                      <a:solidFill>
                        <a:schemeClr val="tx1"/>
                      </a:solidFill>
                    </a:ln>
                  </pic:spPr>
                </pic:pic>
              </a:graphicData>
            </a:graphic>
          </wp:inline>
        </w:drawing>
      </w:r>
    </w:p>
    <w:p w14:paraId="08BBFD4A" w14:textId="77777777" w:rsidR="00B44482" w:rsidRPr="00B44482" w:rsidRDefault="00B44482" w:rsidP="00B44482">
      <w:pPr>
        <w:pStyle w:val="Texto1"/>
        <w:spacing w:after="200" w:line="276" w:lineRule="auto"/>
        <w:rPr>
          <w:rFonts w:ascii="ITC Avant Garde" w:hAnsi="ITC Avant Garde"/>
          <w:sz w:val="22"/>
          <w:szCs w:val="22"/>
        </w:rPr>
      </w:pPr>
    </w:p>
    <w:p w14:paraId="2EF0C318" w14:textId="7A3E8257"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lastRenderedPageBreak/>
        <w:t>4)</w:t>
      </w:r>
      <w:r w:rsidRPr="00B44482">
        <w:rPr>
          <w:rFonts w:ascii="ITC Avant Garde" w:hAnsi="ITC Avant Garde"/>
          <w:sz w:val="22"/>
          <w:szCs w:val="22"/>
        </w:rPr>
        <w:tab/>
        <w:t>Cubierto el punto anterior</w:t>
      </w:r>
      <w:r w:rsidR="005718FD">
        <w:rPr>
          <w:rFonts w:ascii="ITC Avant Garde" w:hAnsi="ITC Avant Garde"/>
          <w:sz w:val="22"/>
          <w:szCs w:val="22"/>
        </w:rPr>
        <w:t>, Telmex</w:t>
      </w:r>
      <w:r w:rsidRPr="00B44482">
        <w:rPr>
          <w:rFonts w:ascii="ITC Avant Garde" w:hAnsi="ITC Avant Garde"/>
          <w:sz w:val="22"/>
          <w:szCs w:val="22"/>
        </w:rPr>
        <w:t xml:space="preserve"> en un plazo máximo de 3 días hábiles proporcionar</w:t>
      </w:r>
      <w:r w:rsidR="005718FD">
        <w:rPr>
          <w:rFonts w:ascii="ITC Avant Garde" w:hAnsi="ITC Avant Garde"/>
          <w:sz w:val="22"/>
          <w:szCs w:val="22"/>
        </w:rPr>
        <w:t>á</w:t>
      </w:r>
      <w:r w:rsidRPr="00B44482">
        <w:rPr>
          <w:rFonts w:ascii="ITC Avant Garde" w:hAnsi="ITC Avant Garde"/>
          <w:sz w:val="22"/>
          <w:szCs w:val="22"/>
        </w:rPr>
        <w:t xml:space="preserve"> el usuario y contraseña al C</w:t>
      </w:r>
      <w:r w:rsidR="005718FD">
        <w:rPr>
          <w:rFonts w:ascii="ITC Avant Garde" w:hAnsi="ITC Avant Garde"/>
          <w:sz w:val="22"/>
          <w:szCs w:val="22"/>
        </w:rPr>
        <w:t>S</w:t>
      </w:r>
      <w:r w:rsidRPr="00B44482">
        <w:rPr>
          <w:rFonts w:ascii="ITC Avant Garde" w:hAnsi="ITC Avant Garde"/>
          <w:sz w:val="22"/>
          <w:szCs w:val="22"/>
        </w:rPr>
        <w:t xml:space="preserve"> para que pueda acce</w:t>
      </w:r>
      <w:r w:rsidR="005718FD">
        <w:rPr>
          <w:rFonts w:ascii="ITC Avant Garde" w:hAnsi="ITC Avant Garde"/>
          <w:sz w:val="22"/>
          <w:szCs w:val="22"/>
        </w:rPr>
        <w:t>der</w:t>
      </w:r>
      <w:r w:rsidRPr="00B44482">
        <w:rPr>
          <w:rFonts w:ascii="ITC Avant Garde" w:hAnsi="ITC Avant Garde"/>
          <w:sz w:val="22"/>
          <w:szCs w:val="22"/>
        </w:rPr>
        <w:t xml:space="preserve"> al SEG.</w:t>
      </w:r>
    </w:p>
    <w:p w14:paraId="657946EF" w14:textId="34DB31C4"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t>5)</w:t>
      </w:r>
      <w:r w:rsidRPr="00B44482">
        <w:rPr>
          <w:rFonts w:ascii="ITC Avant Garde" w:hAnsi="ITC Avant Garde"/>
          <w:sz w:val="22"/>
          <w:szCs w:val="22"/>
        </w:rPr>
        <w:tab/>
      </w:r>
      <w:r w:rsidR="005718FD">
        <w:rPr>
          <w:rFonts w:ascii="ITC Avant Garde" w:hAnsi="ITC Avant Garde"/>
          <w:sz w:val="22"/>
          <w:szCs w:val="22"/>
        </w:rPr>
        <w:t>Telmex y el CS</w:t>
      </w:r>
      <w:r w:rsidRPr="00B44482">
        <w:rPr>
          <w:rFonts w:ascii="ITC Avant Garde" w:hAnsi="ITC Avant Garde"/>
          <w:sz w:val="22"/>
          <w:szCs w:val="22"/>
        </w:rPr>
        <w:t xml:space="preserve"> tendrán 10 días hábiles para realizar las pruebas de manera conjunta en la habilitación de la VPN, </w:t>
      </w:r>
      <w:r w:rsidR="005718FD">
        <w:rPr>
          <w:rFonts w:ascii="ITC Avant Garde" w:hAnsi="ITC Avant Garde"/>
          <w:sz w:val="22"/>
          <w:szCs w:val="22"/>
        </w:rPr>
        <w:t>Telmex</w:t>
      </w:r>
      <w:r w:rsidRPr="00B44482">
        <w:rPr>
          <w:rFonts w:ascii="ITC Avant Garde" w:hAnsi="ITC Avant Garde"/>
          <w:sz w:val="22"/>
          <w:szCs w:val="22"/>
        </w:rPr>
        <w:t xml:space="preserve"> le informar</w:t>
      </w:r>
      <w:r w:rsidR="005718FD">
        <w:rPr>
          <w:rFonts w:ascii="ITC Avant Garde" w:hAnsi="ITC Avant Garde"/>
          <w:sz w:val="22"/>
          <w:szCs w:val="22"/>
        </w:rPr>
        <w:t>á</w:t>
      </w:r>
      <w:r w:rsidRPr="00B44482">
        <w:rPr>
          <w:rFonts w:ascii="ITC Avant Garde" w:hAnsi="ITC Avant Garde"/>
          <w:sz w:val="22"/>
          <w:szCs w:val="22"/>
        </w:rPr>
        <w:t xml:space="preserve"> todo el protocolo de pruebas necesarias  para llevar a cabo la conexión al SEG vía VPN</w:t>
      </w:r>
      <w:r w:rsidR="008E28CE">
        <w:rPr>
          <w:rFonts w:ascii="ITC Avant Garde" w:hAnsi="ITC Avant Garde"/>
          <w:sz w:val="22"/>
          <w:szCs w:val="22"/>
        </w:rPr>
        <w:t>.</w:t>
      </w:r>
    </w:p>
    <w:p w14:paraId="78A32925" w14:textId="29330282" w:rsidR="00B44482" w:rsidRPr="00B44482" w:rsidRDefault="00B44482" w:rsidP="00B44482">
      <w:pPr>
        <w:pStyle w:val="Texto1"/>
        <w:spacing w:after="200" w:line="276" w:lineRule="auto"/>
        <w:rPr>
          <w:rFonts w:ascii="ITC Avant Garde" w:hAnsi="ITC Avant Garde"/>
          <w:sz w:val="22"/>
          <w:szCs w:val="22"/>
        </w:rPr>
      </w:pPr>
      <w:r w:rsidRPr="00B44482">
        <w:rPr>
          <w:rFonts w:ascii="ITC Avant Garde" w:hAnsi="ITC Avant Garde"/>
          <w:sz w:val="22"/>
          <w:szCs w:val="22"/>
        </w:rPr>
        <w:t>6)</w:t>
      </w:r>
      <w:r w:rsidRPr="00B44482">
        <w:rPr>
          <w:rFonts w:ascii="ITC Avant Garde" w:hAnsi="ITC Avant Garde"/>
          <w:sz w:val="22"/>
          <w:szCs w:val="22"/>
        </w:rPr>
        <w:tab/>
        <w:t xml:space="preserve"> Una vez concluidas las pruebas y el correcto acceso al SEG a través de la VPN el C</w:t>
      </w:r>
      <w:r w:rsidR="00E04804">
        <w:rPr>
          <w:rFonts w:ascii="ITC Avant Garde" w:hAnsi="ITC Avant Garde"/>
          <w:sz w:val="22"/>
          <w:szCs w:val="22"/>
        </w:rPr>
        <w:t>S</w:t>
      </w:r>
      <w:r w:rsidRPr="00B44482">
        <w:rPr>
          <w:rFonts w:ascii="ITC Avant Garde" w:hAnsi="ITC Avant Garde"/>
          <w:sz w:val="22"/>
          <w:szCs w:val="22"/>
        </w:rPr>
        <w:t xml:space="preserve"> y </w:t>
      </w:r>
      <w:r w:rsidR="00E04804">
        <w:rPr>
          <w:rFonts w:ascii="ITC Avant Garde" w:hAnsi="ITC Avant Garde"/>
          <w:sz w:val="22"/>
          <w:szCs w:val="22"/>
        </w:rPr>
        <w:t>Telmex</w:t>
      </w:r>
      <w:r w:rsidRPr="00B44482">
        <w:rPr>
          <w:rFonts w:ascii="ITC Avant Garde" w:hAnsi="ITC Avant Garde"/>
          <w:sz w:val="22"/>
          <w:szCs w:val="22"/>
        </w:rPr>
        <w:t xml:space="preserve"> firmaran el documento de aceptación y conformidad siguiente</w:t>
      </w:r>
      <w:r w:rsidR="008C04EF">
        <w:rPr>
          <w:rFonts w:ascii="ITC Avant Garde" w:hAnsi="ITC Avant Garde"/>
          <w:sz w:val="22"/>
          <w:szCs w:val="22"/>
        </w:rPr>
        <w:t>:</w:t>
      </w:r>
    </w:p>
    <w:p w14:paraId="266E66FB" w14:textId="047F7EF2" w:rsidR="00B44482" w:rsidRPr="00B44482" w:rsidRDefault="008C04EF" w:rsidP="008C04EF">
      <w:pPr>
        <w:pStyle w:val="Texto1"/>
        <w:spacing w:after="200" w:line="276" w:lineRule="auto"/>
        <w:jc w:val="center"/>
        <w:rPr>
          <w:rFonts w:ascii="ITC Avant Garde" w:hAnsi="ITC Avant Garde"/>
          <w:sz w:val="22"/>
          <w:szCs w:val="22"/>
        </w:rPr>
      </w:pPr>
      <w:r>
        <w:rPr>
          <w:rFonts w:ascii="ITC Avant Garde" w:hAnsi="ITC Avant Garde"/>
          <w:noProof/>
          <w:sz w:val="22"/>
          <w:szCs w:val="22"/>
          <w:lang w:val="es-MX" w:eastAsia="es-MX"/>
        </w:rPr>
        <w:drawing>
          <wp:inline distT="0" distB="0" distL="0" distR="0" wp14:anchorId="2A35C0B0" wp14:editId="6B2DF14F">
            <wp:extent cx="5276850" cy="2752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bookmarkEnd w:id="221"/>
    <w:bookmarkEnd w:id="222"/>
    <w:p w14:paraId="6D6F1D27" w14:textId="77777777" w:rsidR="00CA63B0" w:rsidRPr="00D936CA" w:rsidRDefault="00CA63B0" w:rsidP="00507D3D">
      <w:pPr>
        <w:pStyle w:val="Texto1"/>
        <w:spacing w:after="200" w:line="276" w:lineRule="auto"/>
        <w:ind w:left="0"/>
        <w:rPr>
          <w:rFonts w:ascii="ITC Avant Garde" w:hAnsi="ITC Avant Garde"/>
          <w:sz w:val="22"/>
          <w:szCs w:val="22"/>
        </w:rPr>
      </w:pPr>
    </w:p>
    <w:p w14:paraId="33CFE809" w14:textId="77777777" w:rsidR="00530A32" w:rsidRPr="00AB30BA" w:rsidRDefault="00011A1B" w:rsidP="00B50532">
      <w:pPr>
        <w:pStyle w:val="1TitPrin"/>
      </w:pPr>
      <w:bookmarkStart w:id="223" w:name="_Toc396337588"/>
      <w:bookmarkStart w:id="224" w:name="_Toc436840880"/>
      <w:bookmarkStart w:id="225" w:name="_Toc436846317"/>
      <w:bookmarkStart w:id="226" w:name="_Toc436848267"/>
      <w:bookmarkStart w:id="227" w:name="_Toc436856515"/>
      <w:bookmarkStart w:id="228" w:name="_Toc436862661"/>
      <w:bookmarkStart w:id="229" w:name="_Toc436866311"/>
      <w:bookmarkStart w:id="230" w:name="_Toc436870890"/>
      <w:bookmarkStart w:id="231" w:name="_Toc436875882"/>
      <w:bookmarkStart w:id="232" w:name="_Toc467248695"/>
      <w:bookmarkStart w:id="233" w:name="_Toc518031967"/>
      <w:r w:rsidRPr="00AB30BA">
        <w:t>Servicio de Reventa de Línea</w:t>
      </w:r>
      <w:bookmarkEnd w:id="223"/>
      <w:bookmarkEnd w:id="224"/>
      <w:bookmarkEnd w:id="225"/>
      <w:bookmarkEnd w:id="226"/>
      <w:bookmarkEnd w:id="227"/>
      <w:bookmarkEnd w:id="228"/>
      <w:bookmarkEnd w:id="229"/>
      <w:bookmarkEnd w:id="230"/>
      <w:bookmarkEnd w:id="231"/>
      <w:bookmarkEnd w:id="232"/>
      <w:bookmarkEnd w:id="233"/>
    </w:p>
    <w:p w14:paraId="33CFE80A" w14:textId="5BCD3202" w:rsidR="00530A32" w:rsidRPr="00D936CA" w:rsidRDefault="00011A1B" w:rsidP="00D936CA">
      <w:pPr>
        <w:pStyle w:val="Ttulo2"/>
        <w:numPr>
          <w:ilvl w:val="1"/>
          <w:numId w:val="143"/>
        </w:numPr>
        <w:ind w:left="851" w:hanging="425"/>
      </w:pPr>
      <w:bookmarkStart w:id="234" w:name="_Toc436840881"/>
      <w:bookmarkStart w:id="235" w:name="_Toc436846318"/>
      <w:bookmarkStart w:id="236" w:name="_Toc436848268"/>
      <w:bookmarkStart w:id="237" w:name="_Toc436856516"/>
      <w:bookmarkStart w:id="238" w:name="_Toc436862662"/>
      <w:bookmarkStart w:id="239" w:name="_Toc436866312"/>
      <w:bookmarkStart w:id="240" w:name="_Toc436870891"/>
      <w:bookmarkStart w:id="241" w:name="_Toc436875883"/>
      <w:bookmarkStart w:id="242" w:name="_Toc467248696"/>
      <w:bookmarkStart w:id="243" w:name="_Toc518031968"/>
      <w:r w:rsidRPr="00D936CA">
        <w:t xml:space="preserve">Servicio de Reventa de Línea </w:t>
      </w:r>
      <w:r w:rsidR="00236C7D" w:rsidRPr="00D936CA">
        <w:t>Telefónica</w:t>
      </w:r>
      <w:bookmarkEnd w:id="234"/>
      <w:bookmarkEnd w:id="235"/>
      <w:bookmarkEnd w:id="236"/>
      <w:bookmarkEnd w:id="237"/>
      <w:bookmarkEnd w:id="238"/>
      <w:bookmarkEnd w:id="239"/>
      <w:bookmarkEnd w:id="240"/>
      <w:bookmarkEnd w:id="241"/>
      <w:bookmarkEnd w:id="242"/>
      <w:bookmarkEnd w:id="243"/>
      <w:r w:rsidR="00236C7D" w:rsidRPr="00D936CA">
        <w:t xml:space="preserve"> </w:t>
      </w:r>
    </w:p>
    <w:p w14:paraId="33CFE80B" w14:textId="2C7ADFDC" w:rsidR="00F74747"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lang w:val="es-MX"/>
        </w:rPr>
        <w:t>El Servicio de Reventa de Línea Telefónica (</w:t>
      </w:r>
      <w:r w:rsidR="001E6506">
        <w:rPr>
          <w:rFonts w:ascii="ITC Avant Garde" w:hAnsi="ITC Avant Garde"/>
          <w:sz w:val="22"/>
          <w:szCs w:val="22"/>
          <w:lang w:val="es-MX"/>
        </w:rPr>
        <w:t>SRL</w:t>
      </w:r>
      <w:r w:rsidRPr="00D936CA">
        <w:rPr>
          <w:rFonts w:ascii="ITC Avant Garde" w:hAnsi="ITC Avant Garde"/>
          <w:sz w:val="22"/>
          <w:szCs w:val="22"/>
          <w:lang w:val="es-MX"/>
        </w:rPr>
        <w:t xml:space="preserve">) permite </w:t>
      </w:r>
      <w:r w:rsidRPr="00D936CA">
        <w:rPr>
          <w:rFonts w:ascii="ITC Avant Garde" w:hAnsi="ITC Avant Garde"/>
          <w:sz w:val="22"/>
          <w:szCs w:val="22"/>
        </w:rPr>
        <w:t xml:space="preserve">la reventa o comercialización del servicio de línea telefónica en las modalidades de Línea Residencial o Línea Comercial que Telmex </w:t>
      </w:r>
      <w:r w:rsidR="00262F20" w:rsidRPr="00D936CA">
        <w:rPr>
          <w:rFonts w:ascii="ITC Avant Garde" w:hAnsi="ITC Avant Garde"/>
          <w:sz w:val="22"/>
          <w:szCs w:val="22"/>
        </w:rPr>
        <w:t xml:space="preserve">tiene </w:t>
      </w:r>
      <w:r w:rsidR="00236C7D" w:rsidRPr="00D936CA">
        <w:rPr>
          <w:rFonts w:ascii="ITC Avant Garde" w:hAnsi="ITC Avant Garde"/>
          <w:sz w:val="22"/>
          <w:szCs w:val="22"/>
        </w:rPr>
        <w:t>autorizado y</w:t>
      </w:r>
      <w:r w:rsidR="00262F20" w:rsidRPr="00D936CA">
        <w:rPr>
          <w:rFonts w:ascii="ITC Avant Garde" w:hAnsi="ITC Avant Garde"/>
          <w:sz w:val="22"/>
          <w:szCs w:val="22"/>
        </w:rPr>
        <w:t xml:space="preserve"> registrado ante el Instituto, ofrece o </w:t>
      </w:r>
      <w:r w:rsidRPr="00D936CA">
        <w:rPr>
          <w:rFonts w:ascii="ITC Avant Garde" w:hAnsi="ITC Avant Garde"/>
          <w:sz w:val="22"/>
          <w:szCs w:val="22"/>
        </w:rPr>
        <w:t>comercializa actualmente</w:t>
      </w:r>
      <w:r w:rsidR="006A1DB5" w:rsidRPr="00D936CA">
        <w:rPr>
          <w:rFonts w:ascii="ITC Avant Garde" w:hAnsi="ITC Avant Garde"/>
          <w:sz w:val="22"/>
          <w:szCs w:val="22"/>
        </w:rPr>
        <w:t xml:space="preserve">, </w:t>
      </w:r>
      <w:r w:rsidR="00891AED" w:rsidRPr="00D936CA">
        <w:rPr>
          <w:rFonts w:ascii="ITC Avant Garde" w:hAnsi="ITC Avant Garde"/>
          <w:sz w:val="22"/>
          <w:szCs w:val="22"/>
        </w:rPr>
        <w:t>en los mismos términos y condiciones que ofrece a sus usuarios incluyendo descuentos y promociones</w:t>
      </w:r>
      <w:r w:rsidR="006E2E0E" w:rsidRPr="00D936CA">
        <w:rPr>
          <w:rFonts w:ascii="ITC Avant Garde" w:hAnsi="ITC Avant Garde"/>
          <w:sz w:val="22"/>
          <w:szCs w:val="22"/>
        </w:rPr>
        <w:t>, así como, en su caso, los descuentos mayoristas aplicables</w:t>
      </w:r>
      <w:r w:rsidRPr="00D936CA">
        <w:rPr>
          <w:rFonts w:ascii="ITC Avant Garde" w:hAnsi="ITC Avant Garde"/>
          <w:sz w:val="22"/>
          <w:szCs w:val="22"/>
        </w:rPr>
        <w:t xml:space="preserve">. Telmex </w:t>
      </w:r>
      <w:r w:rsidR="0051165A" w:rsidRPr="00D936CA">
        <w:rPr>
          <w:rFonts w:ascii="ITC Avant Garde" w:hAnsi="ITC Avant Garde"/>
          <w:sz w:val="22"/>
          <w:szCs w:val="22"/>
        </w:rPr>
        <w:t>ofrecerá</w:t>
      </w:r>
      <w:r w:rsidRPr="00D936CA">
        <w:rPr>
          <w:rFonts w:ascii="ITC Avant Garde" w:hAnsi="ITC Avant Garde"/>
          <w:sz w:val="22"/>
          <w:szCs w:val="22"/>
        </w:rPr>
        <w:t xml:space="preserve"> a los CS las nuevas ofertas comerciales de línea telefónica </w:t>
      </w:r>
      <w:r w:rsidR="00006209" w:rsidRPr="00D936CA">
        <w:rPr>
          <w:rFonts w:ascii="ITC Avant Garde" w:hAnsi="ITC Avant Garde"/>
          <w:sz w:val="22"/>
          <w:szCs w:val="22"/>
        </w:rPr>
        <w:t>una vez que</w:t>
      </w:r>
      <w:r w:rsidRPr="00D936CA">
        <w:rPr>
          <w:rFonts w:ascii="ITC Avant Garde" w:hAnsi="ITC Avant Garde"/>
          <w:sz w:val="22"/>
          <w:szCs w:val="22"/>
        </w:rPr>
        <w:t xml:space="preserve"> </w:t>
      </w:r>
      <w:r w:rsidR="0051165A" w:rsidRPr="00D936CA">
        <w:rPr>
          <w:rFonts w:ascii="ITC Avant Garde" w:hAnsi="ITC Avant Garde"/>
          <w:sz w:val="22"/>
          <w:szCs w:val="22"/>
        </w:rPr>
        <w:t>se las autorice</w:t>
      </w:r>
      <w:r w:rsidRPr="00D936CA">
        <w:rPr>
          <w:rFonts w:ascii="ITC Avant Garde" w:hAnsi="ITC Avant Garde"/>
          <w:sz w:val="22"/>
          <w:szCs w:val="22"/>
        </w:rPr>
        <w:t xml:space="preserve"> el Instituto</w:t>
      </w:r>
      <w:r w:rsidR="00236C7D" w:rsidRPr="00D936CA">
        <w:rPr>
          <w:rFonts w:ascii="ITC Avant Garde" w:hAnsi="ITC Avant Garde"/>
          <w:sz w:val="22"/>
          <w:szCs w:val="22"/>
        </w:rPr>
        <w:t>.</w:t>
      </w:r>
      <w:r w:rsidRPr="00D936CA">
        <w:rPr>
          <w:rFonts w:ascii="ITC Avant Garde" w:hAnsi="ITC Avant Garde"/>
          <w:sz w:val="22"/>
          <w:szCs w:val="22"/>
        </w:rPr>
        <w:t xml:space="preserve"> </w:t>
      </w:r>
      <w:r w:rsidR="00236C7D" w:rsidRPr="00D936CA">
        <w:rPr>
          <w:rFonts w:ascii="ITC Avant Garde" w:hAnsi="ITC Avant Garde"/>
          <w:sz w:val="22"/>
          <w:szCs w:val="22"/>
        </w:rPr>
        <w:t>Para</w:t>
      </w:r>
      <w:r w:rsidRPr="00D936CA">
        <w:rPr>
          <w:rFonts w:ascii="ITC Avant Garde" w:hAnsi="ITC Avant Garde"/>
          <w:sz w:val="22"/>
          <w:szCs w:val="22"/>
        </w:rPr>
        <w:t xml:space="preserve"> ello, publicará las nuevas ofertas comerciales autorizadas en </w:t>
      </w:r>
      <w:r w:rsidR="00006209" w:rsidRPr="00D936CA">
        <w:rPr>
          <w:rFonts w:ascii="ITC Avant Garde" w:hAnsi="ITC Avant Garde"/>
          <w:sz w:val="22"/>
          <w:szCs w:val="22"/>
        </w:rPr>
        <w:t xml:space="preserve">el </w:t>
      </w:r>
      <w:r w:rsidR="00ED6B9D">
        <w:rPr>
          <w:rFonts w:ascii="ITC Avant Garde" w:hAnsi="ITC Avant Garde"/>
          <w:sz w:val="22"/>
          <w:szCs w:val="22"/>
        </w:rPr>
        <w:t>SEG</w:t>
      </w:r>
      <w:r w:rsidR="001A3BD7" w:rsidRPr="00D936CA">
        <w:rPr>
          <w:rFonts w:ascii="ITC Avant Garde" w:hAnsi="ITC Avant Garde"/>
          <w:sz w:val="22"/>
          <w:szCs w:val="22"/>
        </w:rPr>
        <w:t>.</w:t>
      </w:r>
    </w:p>
    <w:p w14:paraId="5B099B73" w14:textId="4C0A3AE3" w:rsidR="003776AE" w:rsidRPr="00D936CA" w:rsidRDefault="003776AE" w:rsidP="00D936CA">
      <w:pPr>
        <w:spacing w:after="200" w:line="276" w:lineRule="auto"/>
        <w:jc w:val="both"/>
        <w:rPr>
          <w:rFonts w:ascii="ITC Avant Garde" w:hAnsi="ITC Avant Garde" w:cs="Arial"/>
          <w:sz w:val="22"/>
          <w:szCs w:val="22"/>
        </w:rPr>
      </w:pPr>
      <w:r w:rsidRPr="00D936CA">
        <w:rPr>
          <w:rFonts w:ascii="ITC Avant Garde" w:hAnsi="ITC Avant Garde" w:cs="Arial"/>
          <w:sz w:val="22"/>
          <w:szCs w:val="22"/>
        </w:rPr>
        <w:lastRenderedPageBreak/>
        <w:t xml:space="preserve">La facturación a los usuarios finales de los servicios será responsabilidad del CS, por lo que Telmex pondrá a disposición de los CS </w:t>
      </w:r>
      <w:r w:rsidR="00F634D2" w:rsidRPr="00D936CA">
        <w:rPr>
          <w:rFonts w:ascii="ITC Avant Garde" w:hAnsi="ITC Avant Garde" w:cs="Arial"/>
          <w:sz w:val="22"/>
          <w:szCs w:val="22"/>
        </w:rPr>
        <w:t xml:space="preserve">diariamente </w:t>
      </w:r>
      <w:r w:rsidRPr="00D936CA">
        <w:rPr>
          <w:rFonts w:ascii="ITC Avant Garde" w:hAnsi="ITC Avant Garde" w:cs="Arial"/>
          <w:sz w:val="22"/>
          <w:szCs w:val="22"/>
        </w:rPr>
        <w:t>los tráficos cursados por cada usuario final (CDRs) a través del sistema SIANA para que sean descargados por cada CS</w:t>
      </w:r>
      <w:r w:rsidR="00471645" w:rsidRPr="00D936CA">
        <w:rPr>
          <w:rFonts w:ascii="ITC Avant Garde" w:hAnsi="ITC Avant Garde" w:cs="Arial"/>
          <w:sz w:val="22"/>
          <w:szCs w:val="22"/>
        </w:rPr>
        <w:t>.</w:t>
      </w:r>
    </w:p>
    <w:p w14:paraId="33CFE80D" w14:textId="3B2D601D" w:rsidR="00F07FD9"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Cuando el medio de acceso es </w:t>
      </w:r>
      <w:r w:rsidR="008D4BD0" w:rsidRPr="00D936CA">
        <w:rPr>
          <w:rFonts w:ascii="ITC Avant Garde" w:hAnsi="ITC Avant Garde"/>
          <w:sz w:val="22"/>
          <w:szCs w:val="22"/>
          <w:lang w:val="es-ES"/>
        </w:rPr>
        <w:t>c</w:t>
      </w:r>
      <w:r w:rsidRPr="00D936CA">
        <w:rPr>
          <w:rFonts w:ascii="ITC Avant Garde" w:hAnsi="ITC Avant Garde"/>
          <w:sz w:val="22"/>
          <w:szCs w:val="22"/>
          <w:lang w:val="es-ES"/>
        </w:rPr>
        <w:t>obre, se considera técnicamente factible que el CS y Telmex presten los servicios de voz y datos de forma indistinta a través de los servicios de Desagregación, por ejemplo</w:t>
      </w:r>
      <w:r w:rsidR="00507D3D">
        <w:rPr>
          <w:rFonts w:ascii="ITC Avant Garde" w:hAnsi="ITC Avant Garde"/>
          <w:sz w:val="22"/>
          <w:szCs w:val="22"/>
          <w:lang w:val="es-ES"/>
        </w:rPr>
        <w:t>,</w:t>
      </w:r>
      <w:r w:rsidRPr="00D936CA">
        <w:rPr>
          <w:rFonts w:ascii="ITC Avant Garde" w:hAnsi="ITC Avant Garde"/>
          <w:sz w:val="22"/>
          <w:szCs w:val="22"/>
          <w:lang w:val="es-ES"/>
        </w:rPr>
        <w:t xml:space="preserve"> </w:t>
      </w:r>
      <w:r w:rsidR="001E6506">
        <w:rPr>
          <w:rFonts w:ascii="ITC Avant Garde" w:hAnsi="ITC Avant Garde"/>
          <w:sz w:val="22"/>
          <w:szCs w:val="22"/>
          <w:lang w:val="es-ES"/>
        </w:rPr>
        <w:t>SRL</w:t>
      </w:r>
      <w:r w:rsidRPr="00D936CA">
        <w:rPr>
          <w:rFonts w:ascii="ITC Avant Garde" w:hAnsi="ITC Avant Garde"/>
          <w:sz w:val="22"/>
          <w:szCs w:val="22"/>
          <w:lang w:val="es-ES"/>
        </w:rPr>
        <w:t xml:space="preserve"> con SAIB</w:t>
      </w:r>
      <w:r w:rsidR="000B1688" w:rsidRPr="00D936CA">
        <w:rPr>
          <w:rFonts w:ascii="ITC Avant Garde" w:hAnsi="ITC Avant Garde"/>
          <w:sz w:val="22"/>
          <w:szCs w:val="22"/>
          <w:lang w:val="es-ES"/>
        </w:rPr>
        <w:t>,</w:t>
      </w:r>
      <w:r w:rsidRPr="00D936CA">
        <w:rPr>
          <w:rFonts w:ascii="ITC Avant Garde" w:hAnsi="ITC Avant Garde"/>
          <w:sz w:val="22"/>
          <w:szCs w:val="22"/>
          <w:lang w:val="es-ES"/>
        </w:rPr>
        <w:t xml:space="preserve"> </w:t>
      </w:r>
      <w:r w:rsidR="001E6506">
        <w:rPr>
          <w:rFonts w:ascii="ITC Avant Garde" w:hAnsi="ITC Avant Garde"/>
          <w:sz w:val="22"/>
          <w:szCs w:val="22"/>
          <w:lang w:val="es-ES"/>
        </w:rPr>
        <w:t>SRL</w:t>
      </w:r>
      <w:r w:rsidRPr="00D936CA">
        <w:rPr>
          <w:rFonts w:ascii="ITC Avant Garde" w:hAnsi="ITC Avant Garde"/>
          <w:sz w:val="22"/>
          <w:szCs w:val="22"/>
          <w:lang w:val="es-ES"/>
        </w:rPr>
        <w:t xml:space="preserve"> con </w:t>
      </w:r>
      <w:r w:rsidR="0099383E" w:rsidRPr="00D936CA">
        <w:rPr>
          <w:rFonts w:ascii="ITC Avant Garde" w:hAnsi="ITC Avant Garde"/>
          <w:sz w:val="22"/>
          <w:szCs w:val="22"/>
          <w:lang w:val="es-ES"/>
        </w:rPr>
        <w:t>SDCBL</w:t>
      </w:r>
      <w:r w:rsidR="000B1688" w:rsidRPr="00D936CA">
        <w:rPr>
          <w:rFonts w:ascii="ITC Avant Garde" w:hAnsi="ITC Avant Garde"/>
          <w:sz w:val="22"/>
          <w:szCs w:val="22"/>
          <w:lang w:val="es-ES"/>
        </w:rPr>
        <w:t xml:space="preserve"> y </w:t>
      </w:r>
      <w:r w:rsidR="001E6506">
        <w:rPr>
          <w:rFonts w:ascii="ITC Avant Garde" w:hAnsi="ITC Avant Garde"/>
          <w:sz w:val="22"/>
          <w:szCs w:val="22"/>
          <w:lang w:val="es-ES"/>
        </w:rPr>
        <w:t>SRL</w:t>
      </w:r>
      <w:r w:rsidR="000B1688" w:rsidRPr="00D936CA">
        <w:rPr>
          <w:rFonts w:ascii="ITC Avant Garde" w:hAnsi="ITC Avant Garde"/>
          <w:sz w:val="22"/>
          <w:szCs w:val="22"/>
          <w:lang w:val="es-ES"/>
        </w:rPr>
        <w:t xml:space="preserve"> con SDCSBL</w:t>
      </w:r>
      <w:r w:rsidRPr="00D936CA">
        <w:rPr>
          <w:rFonts w:ascii="ITC Avant Garde" w:hAnsi="ITC Avant Garde"/>
          <w:sz w:val="22"/>
          <w:szCs w:val="22"/>
          <w:lang w:val="es-ES"/>
        </w:rPr>
        <w:t xml:space="preserve">. No obstante, cuando el medio de acceso </w:t>
      </w:r>
      <w:r w:rsidR="00C4252F" w:rsidRPr="00D936CA">
        <w:rPr>
          <w:rFonts w:ascii="ITC Avant Garde" w:hAnsi="ITC Avant Garde"/>
          <w:sz w:val="22"/>
          <w:szCs w:val="22"/>
          <w:lang w:val="es-ES"/>
        </w:rPr>
        <w:t xml:space="preserve">sea </w:t>
      </w:r>
      <w:r w:rsidR="00D54D94" w:rsidRPr="00D936CA">
        <w:rPr>
          <w:rFonts w:ascii="ITC Avant Garde" w:hAnsi="ITC Avant Garde"/>
          <w:sz w:val="22"/>
          <w:szCs w:val="22"/>
          <w:lang w:val="es-ES"/>
        </w:rPr>
        <w:t>f</w:t>
      </w:r>
      <w:r w:rsidRPr="00D936CA">
        <w:rPr>
          <w:rFonts w:ascii="ITC Avant Garde" w:hAnsi="ITC Avant Garde"/>
          <w:sz w:val="22"/>
          <w:szCs w:val="22"/>
          <w:lang w:val="es-ES"/>
        </w:rPr>
        <w:t xml:space="preserve">ibra </w:t>
      </w:r>
      <w:r w:rsidR="00D54D94" w:rsidRPr="00D936CA">
        <w:rPr>
          <w:rFonts w:ascii="ITC Avant Garde" w:hAnsi="ITC Avant Garde"/>
          <w:sz w:val="22"/>
          <w:szCs w:val="22"/>
          <w:lang w:val="es-ES"/>
        </w:rPr>
        <w:t>ó</w:t>
      </w:r>
      <w:r w:rsidRPr="00D936CA">
        <w:rPr>
          <w:rFonts w:ascii="ITC Avant Garde" w:hAnsi="ITC Avant Garde"/>
          <w:sz w:val="22"/>
          <w:szCs w:val="22"/>
          <w:lang w:val="es-ES"/>
        </w:rPr>
        <w:t>ptica</w:t>
      </w:r>
      <w:r w:rsidR="00C4252F" w:rsidRPr="00D936CA">
        <w:rPr>
          <w:rFonts w:ascii="ITC Avant Garde" w:hAnsi="ITC Avant Garde"/>
          <w:sz w:val="22"/>
          <w:szCs w:val="22"/>
          <w:lang w:val="es-ES"/>
        </w:rPr>
        <w:t>,</w:t>
      </w:r>
      <w:r w:rsidRPr="00D936CA">
        <w:rPr>
          <w:rFonts w:ascii="ITC Avant Garde" w:hAnsi="ITC Avant Garde"/>
          <w:sz w:val="22"/>
          <w:szCs w:val="22"/>
          <w:lang w:val="es-ES"/>
        </w:rPr>
        <w:t xml:space="preserve"> Telmex no podrá proporcionar </w:t>
      </w:r>
      <w:r w:rsidR="001E6506">
        <w:rPr>
          <w:rFonts w:ascii="ITC Avant Garde" w:hAnsi="ITC Avant Garde"/>
          <w:sz w:val="22"/>
          <w:szCs w:val="22"/>
          <w:lang w:val="es-ES"/>
        </w:rPr>
        <w:t>SRL</w:t>
      </w:r>
      <w:r w:rsidRPr="00D936CA">
        <w:rPr>
          <w:rFonts w:ascii="ITC Avant Garde" w:hAnsi="ITC Avant Garde"/>
          <w:sz w:val="22"/>
          <w:szCs w:val="22"/>
          <w:lang w:val="es-ES"/>
        </w:rPr>
        <w:t xml:space="preserve"> junto con SAIB</w:t>
      </w:r>
      <w:r w:rsidR="00D01348" w:rsidRPr="00D936CA">
        <w:rPr>
          <w:rFonts w:ascii="ITC Avant Garde" w:hAnsi="ITC Avant Garde"/>
          <w:sz w:val="22"/>
          <w:szCs w:val="22"/>
          <w:lang w:val="es-ES"/>
        </w:rPr>
        <w:t>.</w:t>
      </w:r>
      <w:r w:rsidRPr="00D936CA">
        <w:rPr>
          <w:rFonts w:ascii="ITC Avant Garde" w:hAnsi="ITC Avant Garde"/>
          <w:sz w:val="22"/>
          <w:szCs w:val="22"/>
          <w:lang w:val="es-ES"/>
        </w:rPr>
        <w:t xml:space="preserve"> </w:t>
      </w:r>
    </w:p>
    <w:p w14:paraId="33CFE80E" w14:textId="6C0E548F" w:rsidR="00141DAE" w:rsidRPr="00D936CA" w:rsidRDefault="00141DAE" w:rsidP="00D936CA">
      <w:pPr>
        <w:spacing w:after="200" w:line="276" w:lineRule="auto"/>
        <w:jc w:val="both"/>
        <w:rPr>
          <w:rFonts w:ascii="ITC Avant Garde" w:hAnsi="ITC Avant Garde" w:cs="Arial"/>
          <w:sz w:val="22"/>
          <w:szCs w:val="22"/>
        </w:rPr>
      </w:pPr>
      <w:r w:rsidRPr="00D936CA">
        <w:rPr>
          <w:rFonts w:ascii="ITC Avant Garde" w:hAnsi="ITC Avant Garde" w:cs="Arial"/>
          <w:sz w:val="22"/>
          <w:szCs w:val="22"/>
        </w:rPr>
        <w:t>Si el CS lo solicita, Telmex proporcionará mediante un cargo específico el equipo terminal y su instalación, incluyendo el cableado interno necesario en el domicilio del suscriptor hasta el Punto de Conexión Terminal.</w:t>
      </w:r>
      <w:r w:rsidR="00F634D2" w:rsidRPr="00D936CA">
        <w:rPr>
          <w:rFonts w:ascii="ITC Avant Garde" w:hAnsi="ITC Avant Garde" w:cs="Arial"/>
          <w:sz w:val="22"/>
          <w:szCs w:val="22"/>
        </w:rPr>
        <w:t xml:space="preserve"> Por su parte, la Acometida recibirá el tratamiento previsto en el apartado 1.3.</w:t>
      </w:r>
    </w:p>
    <w:p w14:paraId="33CFE80F" w14:textId="77777777" w:rsidR="005757EC" w:rsidRPr="00D936CA" w:rsidRDefault="005757EC" w:rsidP="00D936CA">
      <w:pPr>
        <w:spacing w:after="200" w:line="276" w:lineRule="auto"/>
        <w:jc w:val="both"/>
        <w:rPr>
          <w:rFonts w:ascii="ITC Avant Garde" w:hAnsi="ITC Avant Garde"/>
          <w:sz w:val="22"/>
          <w:szCs w:val="22"/>
        </w:rPr>
      </w:pPr>
    </w:p>
    <w:p w14:paraId="33CFE810" w14:textId="77777777" w:rsidR="006C2AC2" w:rsidRPr="00D936CA" w:rsidRDefault="00011A1B" w:rsidP="00D936CA">
      <w:pPr>
        <w:spacing w:after="200" w:line="276" w:lineRule="auto"/>
        <w:jc w:val="both"/>
        <w:rPr>
          <w:rFonts w:ascii="ITC Avant Garde" w:hAnsi="ITC Avant Garde"/>
          <w:b/>
          <w:sz w:val="22"/>
          <w:szCs w:val="22"/>
        </w:rPr>
      </w:pPr>
      <w:r w:rsidRPr="00D936CA">
        <w:rPr>
          <w:rFonts w:ascii="ITC Avant Garde" w:hAnsi="ITC Avant Garde"/>
          <w:b/>
          <w:sz w:val="22"/>
          <w:szCs w:val="22"/>
        </w:rPr>
        <w:t>Alcance del servicio:</w:t>
      </w:r>
    </w:p>
    <w:p w14:paraId="33CFE811" w14:textId="77777777" w:rsidR="007C70D0"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En el Servicio de Reventa de Línea Telefónica, Telmex realizará las siguientes actividades:</w:t>
      </w:r>
    </w:p>
    <w:p w14:paraId="33CFE812" w14:textId="77777777" w:rsidR="007C70D0"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Instalación de la línea hasta el PCT en el domicilio del usuario final.</w:t>
      </w:r>
    </w:p>
    <w:p w14:paraId="33CFE813" w14:textId="77777777" w:rsidR="003F5389"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Habilitación de la línea en la red y Sistemas de Gestión Telmex.</w:t>
      </w:r>
    </w:p>
    <w:p w14:paraId="33CFE814" w14:textId="77777777" w:rsidR="007C70D0" w:rsidRPr="00D936CA" w:rsidRDefault="00011A1B"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El usuario final podrá realizar llamadas locales, internacionales, mundiales (automático o a través de Operadora), a celular, códigos especiales</w:t>
      </w:r>
      <w:r w:rsidRPr="00D936CA">
        <w:rPr>
          <w:rStyle w:val="Refdenotaalpie"/>
          <w:rFonts w:ascii="ITC Avant Garde" w:hAnsi="ITC Avant Garde" w:cs="Arial"/>
          <w:sz w:val="22"/>
          <w:szCs w:val="22"/>
          <w:lang w:val="es-MX"/>
        </w:rPr>
        <w:footnoteReference w:id="6"/>
      </w:r>
      <w:r w:rsidR="008D4BD0" w:rsidRPr="00D936CA">
        <w:rPr>
          <w:rFonts w:ascii="ITC Avant Garde" w:hAnsi="ITC Avant Garde" w:cs="Arial"/>
          <w:sz w:val="22"/>
          <w:szCs w:val="22"/>
          <w:lang w:val="es-MX"/>
        </w:rPr>
        <w:t>,</w:t>
      </w:r>
      <w:r w:rsidRPr="00D936CA">
        <w:rPr>
          <w:rFonts w:ascii="ITC Avant Garde" w:hAnsi="ITC Avant Garde" w:cs="Arial"/>
          <w:sz w:val="22"/>
          <w:szCs w:val="22"/>
          <w:lang w:val="es-MX"/>
        </w:rPr>
        <w:t xml:space="preserve"> números no geográficos</w:t>
      </w:r>
      <w:r w:rsidR="008D4BD0" w:rsidRPr="00D936CA">
        <w:rPr>
          <w:rFonts w:ascii="ITC Avant Garde" w:hAnsi="ITC Avant Garde" w:cs="Arial"/>
          <w:sz w:val="22"/>
          <w:szCs w:val="22"/>
          <w:lang w:val="es-MX"/>
        </w:rPr>
        <w:t xml:space="preserve"> y cualquier otro servicio presente o futuro que Telmex ofrezca en sus ofertas a sus </w:t>
      </w:r>
      <w:r w:rsidR="00C33114" w:rsidRPr="00D936CA">
        <w:rPr>
          <w:rFonts w:ascii="ITC Avant Garde" w:hAnsi="ITC Avant Garde" w:cs="Arial"/>
          <w:sz w:val="22"/>
          <w:szCs w:val="22"/>
          <w:lang w:val="es-MX"/>
        </w:rPr>
        <w:t>usuarios finales</w:t>
      </w:r>
      <w:r w:rsidR="008D4BD0" w:rsidRPr="00D936CA">
        <w:rPr>
          <w:rFonts w:ascii="ITC Avant Garde" w:hAnsi="ITC Avant Garde" w:cs="Arial"/>
          <w:sz w:val="22"/>
          <w:szCs w:val="22"/>
          <w:lang w:val="es-MX"/>
        </w:rPr>
        <w:t xml:space="preserve">. </w:t>
      </w:r>
      <w:r w:rsidRPr="00D936CA">
        <w:rPr>
          <w:rFonts w:ascii="ITC Avant Garde" w:hAnsi="ITC Avant Garde" w:cs="Arial"/>
          <w:sz w:val="22"/>
          <w:szCs w:val="22"/>
          <w:lang w:val="es-MX"/>
        </w:rPr>
        <w:t xml:space="preserve"> </w:t>
      </w:r>
    </w:p>
    <w:p w14:paraId="33CFE815" w14:textId="275A5E0C" w:rsidR="008D4BD0" w:rsidRPr="00D936CA" w:rsidRDefault="008D4BD0"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Los </w:t>
      </w:r>
      <w:r w:rsidR="00C33114" w:rsidRPr="00D936CA">
        <w:rPr>
          <w:rFonts w:ascii="ITC Avant Garde" w:hAnsi="ITC Avant Garde" w:cs="Arial"/>
          <w:sz w:val="22"/>
          <w:szCs w:val="22"/>
          <w:lang w:val="es-MX"/>
        </w:rPr>
        <w:t>usuarios</w:t>
      </w:r>
      <w:r w:rsidRPr="00D936CA">
        <w:rPr>
          <w:rFonts w:ascii="ITC Avant Garde" w:hAnsi="ITC Avant Garde" w:cs="Arial"/>
          <w:sz w:val="22"/>
          <w:szCs w:val="22"/>
          <w:lang w:val="es-MX"/>
        </w:rPr>
        <w:t xml:space="preserve"> del CS adscritos al Servicio </w:t>
      </w:r>
      <w:r w:rsidR="001E6506">
        <w:rPr>
          <w:rFonts w:ascii="ITC Avant Garde" w:hAnsi="ITC Avant Garde" w:cs="Arial"/>
          <w:sz w:val="22"/>
          <w:szCs w:val="22"/>
          <w:lang w:val="es-MX"/>
        </w:rPr>
        <w:t>SRL</w:t>
      </w:r>
      <w:r w:rsidRPr="00D936CA">
        <w:rPr>
          <w:rFonts w:ascii="ITC Avant Garde" w:hAnsi="ITC Avant Garde" w:cs="Arial"/>
          <w:sz w:val="22"/>
          <w:szCs w:val="22"/>
          <w:lang w:val="es-MX"/>
        </w:rPr>
        <w:t xml:space="preserve"> podrán tener la misma funcionalidad en cuanto a servicios digitales que ofrece </w:t>
      </w:r>
      <w:r w:rsidR="00E64508" w:rsidRPr="00D936CA">
        <w:rPr>
          <w:rFonts w:ascii="ITC Avant Garde" w:hAnsi="ITC Avant Garde" w:cs="Arial"/>
          <w:sz w:val="22"/>
          <w:szCs w:val="22"/>
          <w:lang w:val="es-MX"/>
        </w:rPr>
        <w:t>Telmex</w:t>
      </w:r>
      <w:r w:rsidRPr="00D936CA">
        <w:rPr>
          <w:rFonts w:ascii="ITC Avant Garde" w:hAnsi="ITC Avant Garde" w:cs="Arial"/>
          <w:sz w:val="22"/>
          <w:szCs w:val="22"/>
          <w:lang w:val="es-MX"/>
        </w:rPr>
        <w:t xml:space="preserve"> a sus </w:t>
      </w:r>
      <w:r w:rsidR="00C33114" w:rsidRPr="00D936CA">
        <w:rPr>
          <w:rFonts w:ascii="ITC Avant Garde" w:hAnsi="ITC Avant Garde" w:cs="Arial"/>
          <w:sz w:val="22"/>
          <w:szCs w:val="22"/>
          <w:lang w:val="es-MX"/>
        </w:rPr>
        <w:t>usuarios finales</w:t>
      </w:r>
      <w:r w:rsidRPr="00D936CA">
        <w:rPr>
          <w:rFonts w:ascii="ITC Avant Garde" w:hAnsi="ITC Avant Garde" w:cs="Arial"/>
          <w:sz w:val="22"/>
          <w:szCs w:val="22"/>
          <w:lang w:val="es-MX"/>
        </w:rPr>
        <w:t>, entre ellos, buzón de voz, identificador de llamada, identificador de llamada entrante ocupado, llamada en espera, sígueme, tres a la vez, etc.</w:t>
      </w:r>
      <w:r w:rsidR="00C4252F" w:rsidRPr="00D936CA">
        <w:rPr>
          <w:rFonts w:ascii="ITC Avant Garde" w:hAnsi="ITC Avant Garde" w:cs="Arial"/>
          <w:sz w:val="22"/>
          <w:szCs w:val="22"/>
          <w:lang w:val="es-MX"/>
        </w:rPr>
        <w:t>,</w:t>
      </w:r>
      <w:r w:rsidRPr="00D936CA">
        <w:rPr>
          <w:rFonts w:ascii="ITC Avant Garde" w:hAnsi="ITC Avant Garde" w:cs="Arial"/>
          <w:sz w:val="22"/>
          <w:szCs w:val="22"/>
          <w:lang w:val="es-MX"/>
        </w:rPr>
        <w:t xml:space="preserve"> así como cualquier otra facilidad de línea de servicios en red que </w:t>
      </w:r>
      <w:r w:rsidR="00E64508" w:rsidRPr="00D936CA">
        <w:rPr>
          <w:rFonts w:ascii="ITC Avant Garde" w:hAnsi="ITC Avant Garde" w:cs="Arial"/>
          <w:sz w:val="22"/>
          <w:szCs w:val="22"/>
          <w:lang w:val="es-MX"/>
        </w:rPr>
        <w:t>Telmex</w:t>
      </w:r>
      <w:r w:rsidRPr="00D936CA">
        <w:rPr>
          <w:rFonts w:ascii="ITC Avant Garde" w:hAnsi="ITC Avant Garde" w:cs="Arial"/>
          <w:sz w:val="22"/>
          <w:szCs w:val="22"/>
          <w:lang w:val="es-MX"/>
        </w:rPr>
        <w:t xml:space="preserve"> </w:t>
      </w:r>
      <w:r w:rsidR="00C33114" w:rsidRPr="00D936CA">
        <w:rPr>
          <w:rFonts w:ascii="ITC Avant Garde" w:hAnsi="ITC Avant Garde" w:cs="Arial"/>
          <w:sz w:val="22"/>
          <w:szCs w:val="22"/>
          <w:lang w:val="es-MX"/>
        </w:rPr>
        <w:t>ofrezca</w:t>
      </w:r>
      <w:r w:rsidRPr="00D936CA">
        <w:rPr>
          <w:rFonts w:ascii="ITC Avant Garde" w:hAnsi="ITC Avant Garde" w:cs="Arial"/>
          <w:sz w:val="22"/>
          <w:szCs w:val="22"/>
          <w:lang w:val="es-MX"/>
        </w:rPr>
        <w:t xml:space="preserve"> </w:t>
      </w:r>
      <w:r w:rsidR="00717EA7" w:rsidRPr="00D936CA">
        <w:rPr>
          <w:rFonts w:ascii="ITC Avant Garde" w:hAnsi="ITC Avant Garde" w:cs="Arial"/>
          <w:sz w:val="22"/>
          <w:szCs w:val="22"/>
          <w:lang w:val="es-MX"/>
        </w:rPr>
        <w:t xml:space="preserve">actualmente o en el futuro </w:t>
      </w:r>
      <w:r w:rsidRPr="00D936CA">
        <w:rPr>
          <w:rFonts w:ascii="ITC Avant Garde" w:hAnsi="ITC Avant Garde" w:cs="Arial"/>
          <w:sz w:val="22"/>
          <w:szCs w:val="22"/>
          <w:lang w:val="es-MX"/>
        </w:rPr>
        <w:t xml:space="preserve">a sus </w:t>
      </w:r>
      <w:r w:rsidR="00C33114" w:rsidRPr="00D936CA">
        <w:rPr>
          <w:rFonts w:ascii="ITC Avant Garde" w:hAnsi="ITC Avant Garde" w:cs="Arial"/>
          <w:sz w:val="22"/>
          <w:szCs w:val="22"/>
          <w:lang w:val="es-MX"/>
        </w:rPr>
        <w:t>usuarios finales</w:t>
      </w:r>
      <w:r w:rsidRPr="00D936CA">
        <w:rPr>
          <w:rFonts w:ascii="ITC Avant Garde" w:hAnsi="ITC Avant Garde" w:cs="Arial"/>
          <w:sz w:val="22"/>
          <w:szCs w:val="22"/>
          <w:lang w:val="es-MX"/>
        </w:rPr>
        <w:t>.</w:t>
      </w:r>
    </w:p>
    <w:p w14:paraId="33CFE816" w14:textId="50D6CBD3" w:rsidR="00C30BB8" w:rsidRPr="00D936CA" w:rsidRDefault="00011A1B"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El CS podrá solicitar en el formato de solicitud de </w:t>
      </w:r>
      <w:r w:rsidR="003C5036" w:rsidRPr="00D936CA">
        <w:rPr>
          <w:rFonts w:ascii="ITC Avant Garde" w:hAnsi="ITC Avant Garde" w:cs="Arial"/>
          <w:sz w:val="22"/>
          <w:szCs w:val="22"/>
          <w:lang w:val="es-MX"/>
        </w:rPr>
        <w:t>Servicio Auxiliar de Cableado Interior</w:t>
      </w:r>
      <w:r w:rsidRPr="00D936CA">
        <w:rPr>
          <w:rFonts w:ascii="ITC Avant Garde" w:hAnsi="ITC Avant Garde" w:cs="Arial"/>
          <w:sz w:val="22"/>
          <w:szCs w:val="22"/>
          <w:lang w:val="es-MX"/>
        </w:rPr>
        <w:t xml:space="preserve">, que Telmex provea el cableado interior y/o los aparatos telefónicos que se instalará(n) en el </w:t>
      </w:r>
      <w:r w:rsidRPr="00D936CA">
        <w:rPr>
          <w:rFonts w:ascii="ITC Avant Garde" w:hAnsi="ITC Avant Garde" w:cs="Arial"/>
          <w:sz w:val="22"/>
          <w:szCs w:val="22"/>
          <w:lang w:val="es-MX"/>
        </w:rPr>
        <w:lastRenderedPageBreak/>
        <w:t>domicilio del usuario cuando se lleve a cabo la instalación del</w:t>
      </w:r>
      <w:r w:rsidR="008D4BD0" w:rsidRPr="00D936CA">
        <w:rPr>
          <w:rFonts w:ascii="ITC Avant Garde" w:hAnsi="ITC Avant Garde" w:cs="Arial"/>
          <w:sz w:val="22"/>
          <w:szCs w:val="22"/>
          <w:lang w:val="es-MX"/>
        </w:rPr>
        <w:t xml:space="preserve"> </w:t>
      </w:r>
      <w:r w:rsidR="001E6506">
        <w:rPr>
          <w:rFonts w:ascii="ITC Avant Garde" w:hAnsi="ITC Avant Garde" w:cs="Arial"/>
          <w:sz w:val="22"/>
          <w:szCs w:val="22"/>
          <w:lang w:val="es-MX"/>
        </w:rPr>
        <w:t>SRL</w:t>
      </w:r>
      <w:r w:rsidR="00C30BB8" w:rsidRPr="00D936CA">
        <w:rPr>
          <w:rFonts w:ascii="ITC Avant Garde" w:hAnsi="ITC Avant Garde" w:cs="Arial"/>
          <w:sz w:val="22"/>
          <w:szCs w:val="22"/>
          <w:lang w:val="es-MX"/>
        </w:rPr>
        <w:t>, bajo una contraprestación específica.</w:t>
      </w:r>
    </w:p>
    <w:p w14:paraId="33CFE817" w14:textId="5B727F95" w:rsidR="00C30BB8" w:rsidRPr="00D936CA" w:rsidRDefault="00C30BB8"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Las fallas relacionadas con </w:t>
      </w:r>
      <w:r w:rsidR="000D390F">
        <w:rPr>
          <w:rFonts w:ascii="ITC Avant Garde" w:hAnsi="ITC Avant Garde" w:cs="Arial"/>
          <w:sz w:val="22"/>
          <w:szCs w:val="22"/>
          <w:lang w:val="es-MX"/>
        </w:rPr>
        <w:t xml:space="preserve">el </w:t>
      </w:r>
      <w:r w:rsidR="001E6506">
        <w:rPr>
          <w:rFonts w:ascii="ITC Avant Garde" w:hAnsi="ITC Avant Garde" w:cs="Arial"/>
          <w:sz w:val="22"/>
          <w:szCs w:val="22"/>
          <w:lang w:val="es-MX"/>
        </w:rPr>
        <w:t>SRL</w:t>
      </w:r>
      <w:r w:rsidRPr="00D936CA">
        <w:rPr>
          <w:rFonts w:ascii="ITC Avant Garde" w:hAnsi="ITC Avant Garde" w:cs="Arial"/>
          <w:sz w:val="22"/>
          <w:szCs w:val="22"/>
          <w:lang w:val="es-MX"/>
        </w:rPr>
        <w:t xml:space="preserve"> serán reportadas por el usuario final al CS mediante una llamada a su centro de atención telefónico</w:t>
      </w:r>
      <w:r w:rsidR="008D4BD0" w:rsidRPr="00D936CA">
        <w:rPr>
          <w:rFonts w:ascii="ITC Avant Garde" w:hAnsi="ITC Avant Garde" w:cs="Arial"/>
          <w:sz w:val="22"/>
          <w:szCs w:val="22"/>
          <w:lang w:val="es-MX"/>
        </w:rPr>
        <w:t>.</w:t>
      </w:r>
      <w:r w:rsidRPr="00D936CA">
        <w:rPr>
          <w:rFonts w:ascii="ITC Avant Garde" w:hAnsi="ITC Avant Garde" w:cs="Arial"/>
          <w:sz w:val="22"/>
          <w:szCs w:val="22"/>
          <w:lang w:val="es-MX"/>
        </w:rPr>
        <w:t xml:space="preserve"> </w:t>
      </w:r>
      <w:r w:rsidR="008D4BD0" w:rsidRPr="00D936CA">
        <w:rPr>
          <w:rFonts w:ascii="ITC Avant Garde" w:hAnsi="ITC Avant Garde" w:cs="Arial"/>
          <w:sz w:val="22"/>
          <w:szCs w:val="22"/>
          <w:lang w:val="es-MX"/>
        </w:rPr>
        <w:t>A</w:t>
      </w:r>
      <w:r w:rsidRPr="00D936CA">
        <w:rPr>
          <w:rFonts w:ascii="ITC Avant Garde" w:hAnsi="ITC Avant Garde" w:cs="Arial"/>
          <w:sz w:val="22"/>
          <w:szCs w:val="22"/>
          <w:lang w:val="es-MX"/>
        </w:rPr>
        <w:t xml:space="preserve"> solicitud del CS, Telmex habilitará el </w:t>
      </w:r>
      <w:r w:rsidR="00371341" w:rsidRPr="00D936CA">
        <w:rPr>
          <w:rFonts w:ascii="ITC Avant Garde" w:hAnsi="ITC Avant Garde" w:cs="Arial"/>
          <w:sz w:val="22"/>
          <w:szCs w:val="22"/>
          <w:lang w:val="es-MX"/>
        </w:rPr>
        <w:t>Servicio 050 neutro</w:t>
      </w:r>
      <w:r w:rsidR="00355CAD" w:rsidRPr="00D936CA">
        <w:rPr>
          <w:rStyle w:val="Refdenotaalpie"/>
          <w:rFonts w:ascii="ITC Avant Garde" w:hAnsi="ITC Avant Garde" w:cs="Arial"/>
          <w:sz w:val="22"/>
          <w:szCs w:val="22"/>
          <w:lang w:val="es-MX"/>
        </w:rPr>
        <w:footnoteReference w:id="7"/>
      </w:r>
      <w:r w:rsidR="00355CAD" w:rsidRPr="00D936CA">
        <w:rPr>
          <w:rFonts w:ascii="ITC Avant Garde" w:hAnsi="ITC Avant Garde" w:cs="Arial"/>
          <w:sz w:val="22"/>
          <w:szCs w:val="22"/>
          <w:lang w:val="es-MX"/>
        </w:rPr>
        <w:t xml:space="preserve"> </w:t>
      </w:r>
      <w:r w:rsidR="00C33114" w:rsidRPr="00D936CA">
        <w:rPr>
          <w:rFonts w:ascii="ITC Avant Garde" w:hAnsi="ITC Avant Garde" w:cs="Arial"/>
          <w:sz w:val="22"/>
          <w:szCs w:val="22"/>
          <w:lang w:val="es-MX"/>
        </w:rPr>
        <w:t>por medio del cual se</w:t>
      </w:r>
      <w:r w:rsidRPr="00D936CA">
        <w:rPr>
          <w:rFonts w:ascii="ITC Avant Garde" w:hAnsi="ITC Avant Garde" w:cs="Arial"/>
          <w:sz w:val="22"/>
          <w:szCs w:val="22"/>
          <w:lang w:val="es-MX"/>
        </w:rPr>
        <w:t xml:space="preserve"> transferirá la llamada al CS, quien a su vez atenderá al cliente final</w:t>
      </w:r>
      <w:r w:rsidR="00236C7D" w:rsidRPr="00D936CA">
        <w:rPr>
          <w:rFonts w:ascii="ITC Avant Garde" w:hAnsi="ITC Avant Garde" w:cs="Arial"/>
          <w:sz w:val="22"/>
          <w:szCs w:val="22"/>
          <w:lang w:val="es-MX"/>
        </w:rPr>
        <w:t xml:space="preserve"> y </w:t>
      </w:r>
      <w:r w:rsidRPr="00D936CA">
        <w:rPr>
          <w:rFonts w:ascii="ITC Avant Garde" w:hAnsi="ITC Avant Garde" w:cs="Arial"/>
          <w:sz w:val="22"/>
          <w:szCs w:val="22"/>
          <w:lang w:val="es-MX"/>
        </w:rPr>
        <w:t>será responsable de levantar el reporte de la falla a Telmex</w:t>
      </w:r>
      <w:r w:rsidR="004D355D" w:rsidRPr="00D936CA">
        <w:rPr>
          <w:rFonts w:ascii="ITC Avant Garde" w:hAnsi="ITC Avant Garde" w:cs="Arial"/>
          <w:sz w:val="22"/>
          <w:szCs w:val="22"/>
          <w:lang w:val="es-MX"/>
        </w:rPr>
        <w:t>. El CS</w:t>
      </w:r>
      <w:r w:rsidRPr="00D936CA">
        <w:rPr>
          <w:rFonts w:ascii="ITC Avant Garde" w:hAnsi="ITC Avant Garde" w:cs="Arial"/>
          <w:sz w:val="22"/>
          <w:szCs w:val="22"/>
          <w:lang w:val="es-MX"/>
        </w:rPr>
        <w:t xml:space="preserve"> podrá dar seguimiento a su atención y solución a través de los procedimientos establecidos en el Anexo C</w:t>
      </w:r>
      <w:r w:rsidR="00B92638" w:rsidRPr="00D936CA">
        <w:rPr>
          <w:rFonts w:ascii="ITC Avant Garde" w:hAnsi="ITC Avant Garde" w:cs="Arial"/>
          <w:sz w:val="22"/>
          <w:szCs w:val="22"/>
          <w:lang w:val="es-MX"/>
        </w:rPr>
        <w:t>: Procedimiento</w:t>
      </w:r>
      <w:r w:rsidRPr="00D936CA">
        <w:rPr>
          <w:rFonts w:ascii="ITC Avant Garde" w:hAnsi="ITC Avant Garde" w:cs="Arial"/>
          <w:sz w:val="22"/>
          <w:szCs w:val="22"/>
          <w:lang w:val="es-MX"/>
        </w:rPr>
        <w:t xml:space="preserve"> de Gestión de Fallas</w:t>
      </w:r>
      <w:r w:rsidR="00B92638" w:rsidRPr="00D936CA">
        <w:rPr>
          <w:rFonts w:ascii="ITC Avant Garde" w:hAnsi="ITC Avant Garde" w:cs="Arial"/>
          <w:sz w:val="22"/>
          <w:szCs w:val="22"/>
          <w:lang w:val="es-MX"/>
        </w:rPr>
        <w:t>, Continuidad de Servicio y Atención</w:t>
      </w:r>
      <w:r w:rsidRPr="00D936CA">
        <w:rPr>
          <w:rFonts w:ascii="ITC Avant Garde" w:hAnsi="ITC Avant Garde" w:cs="Arial"/>
          <w:sz w:val="22"/>
          <w:szCs w:val="22"/>
          <w:lang w:val="es-MX"/>
        </w:rPr>
        <w:t xml:space="preserve"> </w:t>
      </w:r>
      <w:r w:rsidR="00B92638" w:rsidRPr="00D936CA">
        <w:rPr>
          <w:rFonts w:ascii="ITC Avant Garde" w:hAnsi="ITC Avant Garde" w:cs="Arial"/>
          <w:sz w:val="22"/>
          <w:szCs w:val="22"/>
          <w:lang w:val="es-MX"/>
        </w:rPr>
        <w:t>Incidencia</w:t>
      </w:r>
      <w:r w:rsidRPr="00D936CA">
        <w:rPr>
          <w:rFonts w:ascii="ITC Avant Garde" w:hAnsi="ITC Avant Garde" w:cs="Arial"/>
          <w:sz w:val="22"/>
          <w:szCs w:val="22"/>
          <w:lang w:val="es-MX"/>
        </w:rPr>
        <w:t xml:space="preserve">s. </w:t>
      </w:r>
      <w:r w:rsidR="00C33114" w:rsidRPr="00D936CA">
        <w:rPr>
          <w:rFonts w:ascii="ITC Avant Garde" w:hAnsi="ITC Avant Garde" w:cs="Arial"/>
          <w:sz w:val="22"/>
          <w:szCs w:val="22"/>
          <w:lang w:val="es-MX"/>
        </w:rPr>
        <w:t>L</w:t>
      </w:r>
      <w:r w:rsidRPr="00D936CA">
        <w:rPr>
          <w:rFonts w:ascii="ITC Avant Garde" w:hAnsi="ITC Avant Garde" w:cs="Arial"/>
          <w:sz w:val="22"/>
          <w:szCs w:val="22"/>
          <w:lang w:val="es-MX"/>
        </w:rPr>
        <w:t xml:space="preserve">a atención de la llamada al 050 por parte de los clientes finales del CS se </w:t>
      </w:r>
      <w:r w:rsidR="000D390F">
        <w:rPr>
          <w:rFonts w:ascii="ITC Avant Garde" w:hAnsi="ITC Avant Garde" w:cs="Arial"/>
          <w:sz w:val="22"/>
          <w:szCs w:val="22"/>
          <w:lang w:val="es-MX"/>
        </w:rPr>
        <w:t>realizará</w:t>
      </w:r>
      <w:r w:rsidRPr="00D936CA">
        <w:rPr>
          <w:rFonts w:ascii="ITC Avant Garde" w:hAnsi="ITC Avant Garde" w:cs="Arial"/>
          <w:sz w:val="22"/>
          <w:szCs w:val="22"/>
          <w:lang w:val="es-MX"/>
        </w:rPr>
        <w:t xml:space="preserve"> en las mismas condiciones de enrutamiento y encolamiento con que hoy se atienden los </w:t>
      </w:r>
      <w:r w:rsidR="00C33114" w:rsidRPr="00D936CA">
        <w:rPr>
          <w:rFonts w:ascii="ITC Avant Garde" w:hAnsi="ITC Avant Garde" w:cs="Arial"/>
          <w:sz w:val="22"/>
          <w:szCs w:val="22"/>
          <w:lang w:val="es-MX"/>
        </w:rPr>
        <w:t xml:space="preserve">usuarios finales </w:t>
      </w:r>
      <w:r w:rsidRPr="00D936CA">
        <w:rPr>
          <w:rFonts w:ascii="ITC Avant Garde" w:hAnsi="ITC Avant Garde" w:cs="Arial"/>
          <w:sz w:val="22"/>
          <w:szCs w:val="22"/>
          <w:lang w:val="es-MX"/>
        </w:rPr>
        <w:t>de Telmex.</w:t>
      </w:r>
    </w:p>
    <w:p w14:paraId="33CFE818" w14:textId="77777777" w:rsidR="007C70D0" w:rsidRPr="00D936CA" w:rsidRDefault="00011A1B"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Adicionalmente</w:t>
      </w:r>
      <w:r w:rsidR="00C33114" w:rsidRPr="00D936CA">
        <w:rPr>
          <w:rFonts w:ascii="ITC Avant Garde" w:hAnsi="ITC Avant Garde" w:cs="Arial"/>
          <w:sz w:val="22"/>
          <w:szCs w:val="22"/>
          <w:lang w:val="es-MX"/>
        </w:rPr>
        <w:t>,</w:t>
      </w:r>
      <w:r w:rsidR="004D355D" w:rsidRPr="00D936CA">
        <w:rPr>
          <w:rFonts w:ascii="ITC Avant Garde" w:hAnsi="ITC Avant Garde" w:cs="Arial"/>
          <w:sz w:val="22"/>
          <w:szCs w:val="22"/>
          <w:lang w:val="es-MX"/>
        </w:rPr>
        <w:t xml:space="preserve"> y en caso de que </w:t>
      </w:r>
      <w:r w:rsidR="00502A67" w:rsidRPr="00D936CA">
        <w:rPr>
          <w:rFonts w:ascii="ITC Avant Garde" w:hAnsi="ITC Avant Garde" w:cs="Arial"/>
          <w:sz w:val="22"/>
          <w:szCs w:val="22"/>
          <w:lang w:val="es-MX"/>
        </w:rPr>
        <w:t>el</w:t>
      </w:r>
      <w:r w:rsidR="004D355D" w:rsidRPr="00D936CA">
        <w:rPr>
          <w:rFonts w:ascii="ITC Avant Garde" w:hAnsi="ITC Avant Garde" w:cs="Arial"/>
          <w:sz w:val="22"/>
          <w:szCs w:val="22"/>
          <w:lang w:val="es-MX"/>
        </w:rPr>
        <w:t xml:space="preserve"> paquete contratado no incluya alguno de los siguientes servicios</w:t>
      </w:r>
      <w:r w:rsidRPr="00D936CA">
        <w:rPr>
          <w:rFonts w:ascii="ITC Avant Garde" w:hAnsi="ITC Avant Garde" w:cs="Arial"/>
          <w:sz w:val="22"/>
          <w:szCs w:val="22"/>
          <w:lang w:val="es-MX"/>
        </w:rPr>
        <w:t>, el CS podrá contratar</w:t>
      </w:r>
      <w:r w:rsidR="00C33114" w:rsidRPr="00D936CA">
        <w:rPr>
          <w:rFonts w:ascii="ITC Avant Garde" w:hAnsi="ITC Avant Garde" w:cs="Arial"/>
          <w:sz w:val="22"/>
          <w:szCs w:val="22"/>
          <w:lang w:val="es-MX"/>
        </w:rPr>
        <w:t xml:space="preserve">los </w:t>
      </w:r>
      <w:r w:rsidR="00C33114" w:rsidRPr="00D936CA">
        <w:rPr>
          <w:rFonts w:ascii="ITC Avant Garde" w:hAnsi="ITC Avant Garde" w:cs="Arial"/>
          <w:sz w:val="22"/>
          <w:szCs w:val="22"/>
        </w:rPr>
        <w:t>en las mismas condiciones que a los usuarios finales de Telmex</w:t>
      </w:r>
      <w:r w:rsidRPr="00D936CA">
        <w:rPr>
          <w:rFonts w:ascii="ITC Avant Garde" w:hAnsi="ITC Avant Garde" w:cs="Arial"/>
          <w:sz w:val="22"/>
          <w:szCs w:val="22"/>
          <w:lang w:val="es-MX"/>
        </w:rPr>
        <w:t>:</w:t>
      </w:r>
    </w:p>
    <w:p w14:paraId="33CFE819" w14:textId="77777777" w:rsidR="007C70D0"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Buzón de Voz: Es el servicio de almacenamiento y consulta de mensajes cuando la línea está ocupada o no se pueda contestar;</w:t>
      </w:r>
    </w:p>
    <w:p w14:paraId="33CFE81A" w14:textId="77777777" w:rsidR="007C70D0"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Identificador de llamada: Servicio que muestra el número telefónico de la llamada entrante</w:t>
      </w:r>
      <w:r w:rsidRPr="00D936CA">
        <w:rPr>
          <w:rStyle w:val="Refdenotaalpie"/>
          <w:rFonts w:ascii="ITC Avant Garde" w:hAnsi="ITC Avant Garde" w:cs="Arial"/>
          <w:sz w:val="22"/>
          <w:szCs w:val="22"/>
          <w:lang w:val="es-MX"/>
        </w:rPr>
        <w:footnoteReference w:id="8"/>
      </w:r>
      <w:r w:rsidRPr="00D936CA">
        <w:rPr>
          <w:rFonts w:ascii="ITC Avant Garde" w:hAnsi="ITC Avant Garde" w:cs="Arial"/>
          <w:sz w:val="22"/>
          <w:szCs w:val="22"/>
          <w:lang w:val="es-MX"/>
        </w:rPr>
        <w:t>;</w:t>
      </w:r>
    </w:p>
    <w:p w14:paraId="33CFE81B" w14:textId="77777777" w:rsidR="007C70D0"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Llamada en Espera: Servicio que anuncia y permite tomar otra llamada entrante cuando la línea se encuentra ocupada;</w:t>
      </w:r>
    </w:p>
    <w:p w14:paraId="33CFE81C" w14:textId="77777777" w:rsidR="007C70D0"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Sígueme: Servicio que permite la transferencia de llamadas a otro teléfono ya sean locales, larga distancia o a celular;</w:t>
      </w:r>
    </w:p>
    <w:p w14:paraId="33CFE81D" w14:textId="77777777" w:rsidR="007C70D0"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Tres a la vez: Servicio que permite enlazar hasta tres usuarios en una misma conversación;</w:t>
      </w:r>
    </w:p>
    <w:p w14:paraId="33CFE81E" w14:textId="77777777" w:rsidR="0079045F"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Cambio de Número;</w:t>
      </w:r>
    </w:p>
    <w:p w14:paraId="33CFE81F" w14:textId="77777777" w:rsidR="00664862"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Suspensión del número del usuario final;</w:t>
      </w:r>
    </w:p>
    <w:p w14:paraId="33CFE820" w14:textId="77777777" w:rsidR="00664862"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lastRenderedPageBreak/>
        <w:t>Reactivación del número del usuario final; y</w:t>
      </w:r>
    </w:p>
    <w:p w14:paraId="33CFE821" w14:textId="77777777" w:rsidR="003F5389" w:rsidRPr="00D936CA" w:rsidRDefault="00011A1B" w:rsidP="00D936CA">
      <w:pPr>
        <w:pStyle w:val="Prrafodelista"/>
        <w:numPr>
          <w:ilvl w:val="2"/>
          <w:numId w:val="25"/>
        </w:numPr>
        <w:spacing w:after="200" w:line="276" w:lineRule="auto"/>
        <w:ind w:left="709"/>
        <w:jc w:val="both"/>
        <w:rPr>
          <w:rFonts w:ascii="ITC Avant Garde" w:hAnsi="ITC Avant Garde" w:cs="Arial"/>
          <w:sz w:val="22"/>
          <w:szCs w:val="22"/>
          <w:lang w:val="es-MX"/>
        </w:rPr>
      </w:pPr>
      <w:r w:rsidRPr="00D936CA">
        <w:rPr>
          <w:rFonts w:ascii="ITC Avant Garde" w:hAnsi="ITC Avant Garde" w:cs="Arial"/>
          <w:sz w:val="22"/>
          <w:szCs w:val="22"/>
          <w:lang w:val="es-MX"/>
        </w:rPr>
        <w:t>Cambio de domicilio</w:t>
      </w:r>
    </w:p>
    <w:p w14:paraId="33CFE823" w14:textId="155AB222" w:rsidR="00B37BC6" w:rsidRDefault="00D25557"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Telmex pondrá a disposición del CS en el </w:t>
      </w:r>
      <w:r w:rsidR="00063237" w:rsidRPr="00D936CA">
        <w:rPr>
          <w:rFonts w:ascii="ITC Avant Garde" w:hAnsi="ITC Avant Garde"/>
          <w:sz w:val="22"/>
          <w:szCs w:val="22"/>
        </w:rPr>
        <w:t>SEG</w:t>
      </w:r>
      <w:r w:rsidRPr="00D936CA">
        <w:rPr>
          <w:rFonts w:ascii="ITC Avant Garde" w:hAnsi="ITC Avant Garde"/>
          <w:sz w:val="22"/>
          <w:szCs w:val="22"/>
        </w:rPr>
        <w:t xml:space="preserve">, una funcionalidad en </w:t>
      </w:r>
      <w:r w:rsidR="00A078CD" w:rsidRPr="00D936CA">
        <w:rPr>
          <w:rFonts w:ascii="ITC Avant Garde" w:hAnsi="ITC Avant Garde"/>
          <w:sz w:val="22"/>
          <w:szCs w:val="22"/>
        </w:rPr>
        <w:t>la</w:t>
      </w:r>
      <w:r w:rsidRPr="00D936CA">
        <w:rPr>
          <w:rFonts w:ascii="ITC Avant Garde" w:hAnsi="ITC Avant Garde"/>
          <w:sz w:val="22"/>
          <w:szCs w:val="22"/>
        </w:rPr>
        <w:t xml:space="preserve"> cual podrá realizar la suspensión o reanudación de los ser</w:t>
      </w:r>
      <w:r w:rsidR="000826AB" w:rsidRPr="00D936CA">
        <w:rPr>
          <w:rFonts w:ascii="ITC Avant Garde" w:hAnsi="ITC Avant Garde"/>
          <w:sz w:val="22"/>
          <w:szCs w:val="22"/>
        </w:rPr>
        <w:t>vicios de los usuarios finales.</w:t>
      </w:r>
    </w:p>
    <w:p w14:paraId="53708FC0" w14:textId="77777777" w:rsidR="00507D3D" w:rsidRPr="00D936CA" w:rsidRDefault="00507D3D" w:rsidP="00D936CA">
      <w:pPr>
        <w:spacing w:after="200" w:line="276" w:lineRule="auto"/>
        <w:jc w:val="both"/>
        <w:rPr>
          <w:rFonts w:ascii="ITC Avant Garde" w:hAnsi="ITC Avant Garde"/>
          <w:sz w:val="22"/>
          <w:szCs w:val="22"/>
        </w:rPr>
      </w:pPr>
    </w:p>
    <w:p w14:paraId="33CFE825" w14:textId="3AF88C27" w:rsidR="00E441A9" w:rsidRPr="00D936CA" w:rsidRDefault="00011A1B" w:rsidP="00D936CA">
      <w:pPr>
        <w:pStyle w:val="Ttulo2"/>
        <w:numPr>
          <w:ilvl w:val="1"/>
          <w:numId w:val="143"/>
        </w:numPr>
        <w:ind w:left="851" w:hanging="425"/>
      </w:pPr>
      <w:bookmarkStart w:id="244" w:name="_Toc436840882"/>
      <w:bookmarkStart w:id="245" w:name="_Toc436846319"/>
      <w:bookmarkStart w:id="246" w:name="_Toc436848269"/>
      <w:bookmarkStart w:id="247" w:name="_Toc436856517"/>
      <w:bookmarkStart w:id="248" w:name="_Toc436862663"/>
      <w:bookmarkStart w:id="249" w:name="_Toc436866313"/>
      <w:bookmarkStart w:id="250" w:name="_Toc436870892"/>
      <w:bookmarkStart w:id="251" w:name="_Toc436875884"/>
      <w:bookmarkStart w:id="252" w:name="_Toc467248697"/>
      <w:bookmarkStart w:id="253" w:name="_Toc518031969"/>
      <w:r w:rsidRPr="00D936CA">
        <w:t>Servicio de Reventa de In</w:t>
      </w:r>
      <w:r w:rsidR="00044BE0" w:rsidRPr="00D936CA">
        <w:t>ternet</w:t>
      </w:r>
      <w:r w:rsidRPr="00D936CA">
        <w:t xml:space="preserve"> y Servicios de Reventa de Paquetes</w:t>
      </w:r>
      <w:bookmarkEnd w:id="244"/>
      <w:bookmarkEnd w:id="245"/>
      <w:bookmarkEnd w:id="246"/>
      <w:bookmarkEnd w:id="247"/>
      <w:bookmarkEnd w:id="248"/>
      <w:bookmarkEnd w:id="249"/>
      <w:bookmarkEnd w:id="250"/>
      <w:bookmarkEnd w:id="251"/>
      <w:bookmarkEnd w:id="252"/>
      <w:bookmarkEnd w:id="253"/>
    </w:p>
    <w:p w14:paraId="33CFE826" w14:textId="77777777" w:rsidR="00530A32" w:rsidRPr="00D936CA" w:rsidRDefault="00011A1B" w:rsidP="00D936CA">
      <w:pPr>
        <w:ind w:left="851" w:hanging="425"/>
        <w:outlineLvl w:val="2"/>
        <w:rPr>
          <w:rFonts w:ascii="ITC Avant Garde" w:hAnsi="ITC Avant Garde"/>
          <w:b/>
          <w:sz w:val="22"/>
        </w:rPr>
      </w:pPr>
      <w:bookmarkStart w:id="254" w:name="_Toc436840883"/>
      <w:bookmarkStart w:id="255" w:name="_Toc436846320"/>
      <w:bookmarkStart w:id="256" w:name="_Toc436848270"/>
      <w:bookmarkStart w:id="257" w:name="_Toc436856518"/>
      <w:bookmarkStart w:id="258" w:name="_Toc436862664"/>
      <w:bookmarkStart w:id="259" w:name="_Toc436866314"/>
      <w:bookmarkStart w:id="260" w:name="_Toc436870893"/>
      <w:bookmarkStart w:id="261" w:name="_Toc436875885"/>
      <w:bookmarkStart w:id="262" w:name="_Toc467248698"/>
      <w:bookmarkStart w:id="263" w:name="_Toc518031970"/>
      <w:r w:rsidRPr="00D936CA">
        <w:rPr>
          <w:rFonts w:ascii="ITC Avant Garde" w:hAnsi="ITC Avant Garde"/>
          <w:b/>
          <w:sz w:val="22"/>
        </w:rPr>
        <w:t>4.2.1</w:t>
      </w:r>
      <w:r w:rsidRPr="00D936CA">
        <w:rPr>
          <w:rFonts w:ascii="ITC Avant Garde" w:hAnsi="ITC Avant Garde"/>
          <w:b/>
          <w:sz w:val="22"/>
        </w:rPr>
        <w:tab/>
        <w:t xml:space="preserve">Servicio de Reventa de </w:t>
      </w:r>
      <w:bookmarkEnd w:id="254"/>
      <w:bookmarkEnd w:id="255"/>
      <w:bookmarkEnd w:id="256"/>
      <w:bookmarkEnd w:id="257"/>
      <w:bookmarkEnd w:id="258"/>
      <w:bookmarkEnd w:id="259"/>
      <w:bookmarkEnd w:id="260"/>
      <w:bookmarkEnd w:id="261"/>
      <w:r w:rsidRPr="00D936CA">
        <w:rPr>
          <w:rFonts w:ascii="ITC Avant Garde" w:hAnsi="ITC Avant Garde"/>
          <w:b/>
          <w:sz w:val="22"/>
        </w:rPr>
        <w:t>In</w:t>
      </w:r>
      <w:r w:rsidR="00044BE0" w:rsidRPr="00D936CA">
        <w:rPr>
          <w:rFonts w:ascii="ITC Avant Garde" w:hAnsi="ITC Avant Garde"/>
          <w:b/>
          <w:sz w:val="22"/>
        </w:rPr>
        <w:t>ternet</w:t>
      </w:r>
      <w:bookmarkEnd w:id="262"/>
      <w:bookmarkEnd w:id="263"/>
    </w:p>
    <w:p w14:paraId="33CFE827" w14:textId="77777777" w:rsidR="00871C42" w:rsidRPr="00D936CA" w:rsidRDefault="00871C42" w:rsidP="00D936CA"/>
    <w:p w14:paraId="33CFE828" w14:textId="57D8B7B9" w:rsidR="009603DB"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El Servicio de Reventa </w:t>
      </w:r>
      <w:r w:rsidR="00FE5EC1" w:rsidRPr="00D936CA">
        <w:rPr>
          <w:rFonts w:ascii="ITC Avant Garde" w:hAnsi="ITC Avant Garde"/>
          <w:sz w:val="22"/>
          <w:szCs w:val="22"/>
        </w:rPr>
        <w:t>de Internet</w:t>
      </w:r>
      <w:r w:rsidRPr="00D936CA">
        <w:rPr>
          <w:rFonts w:ascii="ITC Avant Garde" w:hAnsi="ITC Avant Garde"/>
          <w:sz w:val="22"/>
          <w:szCs w:val="22"/>
        </w:rPr>
        <w:t xml:space="preserve"> (SR</w:t>
      </w:r>
      <w:r w:rsidR="003A1E87" w:rsidRPr="00D936CA">
        <w:rPr>
          <w:rFonts w:ascii="ITC Avant Garde" w:hAnsi="ITC Avant Garde"/>
          <w:sz w:val="22"/>
          <w:szCs w:val="22"/>
        </w:rPr>
        <w:t>I</w:t>
      </w:r>
      <w:r w:rsidRPr="00D936CA">
        <w:rPr>
          <w:rFonts w:ascii="ITC Avant Garde" w:hAnsi="ITC Avant Garde"/>
          <w:sz w:val="22"/>
          <w:szCs w:val="22"/>
        </w:rPr>
        <w:t xml:space="preserve">) permite a los </w:t>
      </w:r>
      <w:r w:rsidR="00717EA7" w:rsidRPr="00D936CA">
        <w:rPr>
          <w:rFonts w:ascii="ITC Avant Garde" w:hAnsi="ITC Avant Garde"/>
          <w:sz w:val="22"/>
          <w:szCs w:val="22"/>
        </w:rPr>
        <w:t>CS</w:t>
      </w:r>
      <w:r w:rsidRPr="00D936CA">
        <w:rPr>
          <w:rFonts w:ascii="ITC Avant Garde" w:hAnsi="ITC Avant Garde"/>
          <w:sz w:val="22"/>
          <w:szCs w:val="22"/>
        </w:rPr>
        <w:t xml:space="preserve"> la reventa o comercialización del servicio de </w:t>
      </w:r>
      <w:r w:rsidR="00717EA7" w:rsidRPr="00D936CA">
        <w:rPr>
          <w:rFonts w:ascii="ITC Avant Garde" w:hAnsi="ITC Avant Garde"/>
          <w:sz w:val="22"/>
          <w:szCs w:val="22"/>
        </w:rPr>
        <w:t>I</w:t>
      </w:r>
      <w:r w:rsidRPr="00D936CA">
        <w:rPr>
          <w:rFonts w:ascii="ITC Avant Garde" w:hAnsi="ITC Avant Garde"/>
          <w:sz w:val="22"/>
          <w:szCs w:val="22"/>
        </w:rPr>
        <w:t xml:space="preserve">nternet que Telmex </w:t>
      </w:r>
      <w:r w:rsidR="00EE462C" w:rsidRPr="00D936CA">
        <w:rPr>
          <w:rFonts w:ascii="ITC Avant Garde" w:hAnsi="ITC Avant Garde"/>
          <w:sz w:val="22"/>
          <w:szCs w:val="22"/>
        </w:rPr>
        <w:t xml:space="preserve">tiene </w:t>
      </w:r>
      <w:r w:rsidR="00717EA7" w:rsidRPr="00D936CA">
        <w:rPr>
          <w:rFonts w:ascii="ITC Avant Garde" w:hAnsi="ITC Avant Garde"/>
          <w:sz w:val="22"/>
          <w:szCs w:val="22"/>
        </w:rPr>
        <w:t>registrado</w:t>
      </w:r>
      <w:r w:rsidR="00843A6D" w:rsidRPr="00D936CA">
        <w:rPr>
          <w:rFonts w:ascii="ITC Avant Garde" w:hAnsi="ITC Avant Garde"/>
          <w:sz w:val="22"/>
          <w:szCs w:val="22"/>
        </w:rPr>
        <w:t xml:space="preserve"> </w:t>
      </w:r>
      <w:r w:rsidR="00EE462C" w:rsidRPr="00D936CA">
        <w:rPr>
          <w:rFonts w:ascii="ITC Avant Garde" w:hAnsi="ITC Avant Garde"/>
          <w:sz w:val="22"/>
          <w:szCs w:val="22"/>
        </w:rPr>
        <w:t>ante el Instituto</w:t>
      </w:r>
      <w:r w:rsidR="008918BE" w:rsidRPr="00D936CA">
        <w:rPr>
          <w:rFonts w:ascii="ITC Avant Garde" w:hAnsi="ITC Avant Garde"/>
          <w:sz w:val="22"/>
          <w:szCs w:val="22"/>
        </w:rPr>
        <w:t>,</w:t>
      </w:r>
      <w:r w:rsidR="00EE462C" w:rsidRPr="00D936CA">
        <w:rPr>
          <w:rFonts w:ascii="ITC Avant Garde" w:hAnsi="ITC Avant Garde"/>
          <w:sz w:val="22"/>
          <w:szCs w:val="22"/>
        </w:rPr>
        <w:t xml:space="preserve"> </w:t>
      </w:r>
      <w:r w:rsidRPr="00D936CA">
        <w:rPr>
          <w:rFonts w:ascii="ITC Avant Garde" w:hAnsi="ITC Avant Garde"/>
          <w:sz w:val="22"/>
          <w:szCs w:val="22"/>
        </w:rPr>
        <w:t>ofrece</w:t>
      </w:r>
      <w:r w:rsidR="008918BE" w:rsidRPr="00D936CA">
        <w:rPr>
          <w:rFonts w:ascii="ITC Avant Garde" w:hAnsi="ITC Avant Garde"/>
          <w:sz w:val="22"/>
          <w:szCs w:val="22"/>
        </w:rPr>
        <w:t>, aplique</w:t>
      </w:r>
      <w:r w:rsidRPr="00D936CA">
        <w:rPr>
          <w:rFonts w:ascii="ITC Avant Garde" w:hAnsi="ITC Avant Garde"/>
          <w:sz w:val="22"/>
          <w:szCs w:val="22"/>
        </w:rPr>
        <w:t xml:space="preserve"> </w:t>
      </w:r>
      <w:r w:rsidR="00EE462C" w:rsidRPr="00D936CA">
        <w:rPr>
          <w:rFonts w:ascii="ITC Avant Garde" w:hAnsi="ITC Avant Garde"/>
          <w:sz w:val="22"/>
          <w:szCs w:val="22"/>
        </w:rPr>
        <w:t xml:space="preserve">o comercialice a </w:t>
      </w:r>
      <w:r w:rsidRPr="00D936CA">
        <w:rPr>
          <w:rFonts w:ascii="ITC Avant Garde" w:hAnsi="ITC Avant Garde"/>
          <w:sz w:val="22"/>
          <w:szCs w:val="22"/>
        </w:rPr>
        <w:t>usuarios residenciales y comerciales</w:t>
      </w:r>
      <w:r w:rsidR="004042A3" w:rsidRPr="00D936CA">
        <w:rPr>
          <w:rFonts w:ascii="ITC Avant Garde" w:hAnsi="ITC Avant Garde"/>
          <w:sz w:val="22"/>
          <w:szCs w:val="22"/>
        </w:rPr>
        <w:t xml:space="preserve"> </w:t>
      </w:r>
      <w:r w:rsidR="004042A3" w:rsidRPr="00D936CA">
        <w:rPr>
          <w:rFonts w:ascii="ITC Avant Garde" w:hAnsi="ITC Avant Garde"/>
          <w:sz w:val="22"/>
          <w:szCs w:val="22"/>
          <w:lang w:val="es-MX"/>
        </w:rPr>
        <w:t>en los mismos términos y condiciones que ofrece a sus usuarios incluyendo descuentos y promociones</w:t>
      </w:r>
      <w:r w:rsidR="000F2789" w:rsidRPr="00D936CA">
        <w:rPr>
          <w:rFonts w:ascii="ITC Avant Garde" w:hAnsi="ITC Avant Garde"/>
          <w:sz w:val="22"/>
          <w:szCs w:val="22"/>
        </w:rPr>
        <w:t>, así como en su caso, los descuentos mayoristas aplicables</w:t>
      </w:r>
      <w:r w:rsidRPr="00D936CA">
        <w:rPr>
          <w:rFonts w:ascii="ITC Avant Garde" w:hAnsi="ITC Avant Garde"/>
          <w:sz w:val="22"/>
          <w:szCs w:val="22"/>
        </w:rPr>
        <w:t xml:space="preserve">. </w:t>
      </w:r>
      <w:r w:rsidR="004042A3" w:rsidRPr="00D936CA">
        <w:rPr>
          <w:rFonts w:ascii="ITC Avant Garde" w:hAnsi="ITC Avant Garde"/>
          <w:sz w:val="22"/>
          <w:szCs w:val="22"/>
        </w:rPr>
        <w:t>P</w:t>
      </w:r>
      <w:r w:rsidRPr="00D936CA">
        <w:rPr>
          <w:rFonts w:ascii="ITC Avant Garde" w:hAnsi="ITC Avant Garde"/>
          <w:sz w:val="22"/>
          <w:szCs w:val="22"/>
        </w:rPr>
        <w:t xml:space="preserve">ara ello, publicará las nuevas ofertas comerciales autorizadas en </w:t>
      </w:r>
      <w:r w:rsidR="001A3BD7" w:rsidRPr="00D936CA">
        <w:rPr>
          <w:rFonts w:ascii="ITC Avant Garde" w:hAnsi="ITC Avant Garde"/>
          <w:sz w:val="22"/>
          <w:szCs w:val="22"/>
        </w:rPr>
        <w:t xml:space="preserve">el </w:t>
      </w:r>
      <w:r w:rsidR="00ED6B9D">
        <w:rPr>
          <w:rFonts w:ascii="ITC Avant Garde" w:hAnsi="ITC Avant Garde"/>
          <w:sz w:val="22"/>
          <w:szCs w:val="22"/>
        </w:rPr>
        <w:t>SEG</w:t>
      </w:r>
      <w:r w:rsidRPr="00D936CA">
        <w:rPr>
          <w:rFonts w:ascii="ITC Avant Garde" w:hAnsi="ITC Avant Garde"/>
          <w:sz w:val="22"/>
          <w:szCs w:val="22"/>
        </w:rPr>
        <w:t>.</w:t>
      </w:r>
    </w:p>
    <w:p w14:paraId="33CFE82A" w14:textId="56138936" w:rsidR="00D3194B"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En este servicio Telmex realizará el aprovisionamiento del Servicio de Reventa como lo realiza para sus usuarios comerciales</w:t>
      </w:r>
      <w:r w:rsidRPr="00D936CA">
        <w:rPr>
          <w:rStyle w:val="Refdenotaalpie"/>
          <w:rFonts w:ascii="ITC Avant Garde" w:hAnsi="ITC Avant Garde"/>
          <w:sz w:val="22"/>
          <w:szCs w:val="22"/>
        </w:rPr>
        <w:footnoteReference w:id="9"/>
      </w:r>
      <w:r w:rsidRPr="00D936CA">
        <w:rPr>
          <w:rFonts w:ascii="ITC Avant Garde" w:hAnsi="ITC Avant Garde"/>
          <w:sz w:val="22"/>
          <w:szCs w:val="22"/>
        </w:rPr>
        <w:t xml:space="preserve"> o residenciales, incluyendo la instalación </w:t>
      </w:r>
      <w:r w:rsidR="0074755A">
        <w:rPr>
          <w:rFonts w:ascii="ITC Avant Garde" w:hAnsi="ITC Avant Garde"/>
          <w:sz w:val="22"/>
          <w:szCs w:val="22"/>
        </w:rPr>
        <w:t>d</w:t>
      </w:r>
      <w:r w:rsidRPr="00D936CA">
        <w:rPr>
          <w:rFonts w:ascii="ITC Avant Garde" w:hAnsi="ITC Avant Garde"/>
          <w:sz w:val="22"/>
          <w:szCs w:val="22"/>
        </w:rPr>
        <w:t>el cableado hasta el PCT.</w:t>
      </w:r>
    </w:p>
    <w:p w14:paraId="33CFE82B" w14:textId="04F49704" w:rsidR="00B40DA8" w:rsidRPr="00D936CA" w:rsidRDefault="00B40DA8" w:rsidP="00D936CA">
      <w:pPr>
        <w:spacing w:after="200" w:line="276" w:lineRule="auto"/>
        <w:jc w:val="both"/>
        <w:rPr>
          <w:rFonts w:ascii="ITC Avant Garde" w:hAnsi="ITC Avant Garde"/>
          <w:bCs/>
          <w:sz w:val="22"/>
          <w:szCs w:val="22"/>
        </w:rPr>
      </w:pPr>
      <w:r w:rsidRPr="00D936CA">
        <w:rPr>
          <w:rFonts w:ascii="ITC Avant Garde" w:hAnsi="ITC Avant Garde"/>
          <w:bCs/>
          <w:sz w:val="22"/>
          <w:szCs w:val="22"/>
        </w:rPr>
        <w:t xml:space="preserve">Las condiciones del servicio de WiFi Móvil en </w:t>
      </w:r>
      <w:r w:rsidR="00BB7620" w:rsidRPr="00D936CA">
        <w:rPr>
          <w:rFonts w:ascii="ITC Avant Garde" w:hAnsi="ITC Avant Garde"/>
          <w:bCs/>
          <w:sz w:val="22"/>
          <w:szCs w:val="22"/>
        </w:rPr>
        <w:t>Internet</w:t>
      </w:r>
      <w:r w:rsidRPr="00D936CA">
        <w:rPr>
          <w:rFonts w:ascii="ITC Avant Garde" w:hAnsi="ITC Avant Garde"/>
          <w:bCs/>
          <w:sz w:val="22"/>
          <w:szCs w:val="22"/>
        </w:rPr>
        <w:t xml:space="preserve"> serán idénticas a las que Telmex ofrezca a sus usuarios, de lo contrario Telmex notificará con anticipación </w:t>
      </w:r>
      <w:r w:rsidR="007817DF" w:rsidRPr="00D936CA">
        <w:rPr>
          <w:rFonts w:ascii="ITC Avant Garde" w:hAnsi="ITC Avant Garde"/>
          <w:bCs/>
          <w:sz w:val="22"/>
          <w:szCs w:val="22"/>
        </w:rPr>
        <w:t xml:space="preserve">de </w:t>
      </w:r>
      <w:r w:rsidRPr="00D936CA">
        <w:rPr>
          <w:rFonts w:ascii="ITC Avant Garde" w:hAnsi="ITC Avant Garde"/>
          <w:bCs/>
          <w:sz w:val="22"/>
          <w:szCs w:val="22"/>
        </w:rPr>
        <w:t xml:space="preserve">al menos un mes cualquier cambio que pudiera presentarse en el servicio de WiFi Móvil. </w:t>
      </w:r>
    </w:p>
    <w:p w14:paraId="33CFE82C" w14:textId="300D1923" w:rsidR="004F375A" w:rsidRPr="00D936CA" w:rsidRDefault="0065350B" w:rsidP="00D936CA">
      <w:pPr>
        <w:spacing w:before="240"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Al momento de </w:t>
      </w:r>
      <w:r w:rsidR="00CC7F42">
        <w:rPr>
          <w:rFonts w:ascii="ITC Avant Garde" w:hAnsi="ITC Avant Garde" w:cs="Arial"/>
          <w:sz w:val="22"/>
          <w:szCs w:val="22"/>
          <w:lang w:val="es-MX"/>
        </w:rPr>
        <w:t xml:space="preserve">la </w:t>
      </w:r>
      <w:r w:rsidRPr="00D936CA">
        <w:rPr>
          <w:rFonts w:ascii="ITC Avant Garde" w:hAnsi="ITC Avant Garde" w:cs="Arial"/>
          <w:sz w:val="22"/>
          <w:szCs w:val="22"/>
          <w:lang w:val="es-MX"/>
        </w:rPr>
        <w:t>publicación de la presente oferta, l</w:t>
      </w:r>
      <w:r w:rsidR="00011A1B" w:rsidRPr="00D936CA">
        <w:rPr>
          <w:rFonts w:ascii="ITC Avant Garde" w:hAnsi="ITC Avant Garde" w:cs="Arial"/>
          <w:sz w:val="22"/>
          <w:szCs w:val="22"/>
          <w:lang w:val="es-MX"/>
        </w:rPr>
        <w:t xml:space="preserve">as </w:t>
      </w:r>
      <w:r w:rsidR="00326841" w:rsidRPr="00D936CA">
        <w:rPr>
          <w:rFonts w:ascii="ITC Avant Garde" w:hAnsi="ITC Avant Garde" w:cs="Arial"/>
          <w:sz w:val="22"/>
          <w:szCs w:val="22"/>
          <w:lang w:val="es-MX"/>
        </w:rPr>
        <w:t>modalidades</w:t>
      </w:r>
      <w:r w:rsidR="00011A1B" w:rsidRPr="00D936CA">
        <w:rPr>
          <w:rFonts w:ascii="ITC Avant Garde" w:hAnsi="ITC Avant Garde" w:cs="Arial"/>
          <w:sz w:val="22"/>
          <w:szCs w:val="22"/>
          <w:lang w:val="es-MX"/>
        </w:rPr>
        <w:t xml:space="preserve"> disponibles para el Servicio de Reventa </w:t>
      </w:r>
      <w:r w:rsidR="007817DF" w:rsidRPr="00D936CA">
        <w:rPr>
          <w:rFonts w:ascii="ITC Avant Garde" w:hAnsi="ITC Avant Garde" w:cs="Arial"/>
          <w:sz w:val="22"/>
          <w:szCs w:val="22"/>
          <w:lang w:val="es-MX"/>
        </w:rPr>
        <w:t xml:space="preserve">de </w:t>
      </w:r>
      <w:r w:rsidR="00044D4E" w:rsidRPr="00D936CA">
        <w:rPr>
          <w:rFonts w:ascii="ITC Avant Garde" w:hAnsi="ITC Avant Garde" w:cs="Arial"/>
          <w:sz w:val="22"/>
          <w:szCs w:val="22"/>
          <w:lang w:val="es-MX"/>
        </w:rPr>
        <w:t>Internet</w:t>
      </w:r>
      <w:r w:rsidR="007817DF" w:rsidRPr="00D936CA">
        <w:rPr>
          <w:rFonts w:ascii="ITC Avant Garde" w:hAnsi="ITC Avant Garde" w:cs="Arial"/>
          <w:sz w:val="22"/>
          <w:szCs w:val="22"/>
          <w:lang w:val="es-MX"/>
        </w:rPr>
        <w:t xml:space="preserve"> </w:t>
      </w:r>
      <w:r w:rsidR="00CC7F42" w:rsidRPr="00D936CA">
        <w:rPr>
          <w:rFonts w:ascii="ITC Avant Garde" w:hAnsi="ITC Avant Garde" w:cs="Arial"/>
          <w:sz w:val="22"/>
          <w:szCs w:val="22"/>
          <w:lang w:val="es-MX"/>
        </w:rPr>
        <w:t>s</w:t>
      </w:r>
      <w:r w:rsidR="00CC7F42">
        <w:rPr>
          <w:rFonts w:ascii="ITC Avant Garde" w:hAnsi="ITC Avant Garde" w:cs="Arial"/>
          <w:sz w:val="22"/>
          <w:szCs w:val="22"/>
          <w:lang w:val="es-MX"/>
        </w:rPr>
        <w:t>o</w:t>
      </w:r>
      <w:r w:rsidR="00CC7F42" w:rsidRPr="00D936CA">
        <w:rPr>
          <w:rFonts w:ascii="ITC Avant Garde" w:hAnsi="ITC Avant Garde" w:cs="Arial"/>
          <w:sz w:val="22"/>
          <w:szCs w:val="22"/>
          <w:lang w:val="es-MX"/>
        </w:rPr>
        <w:t>n</w:t>
      </w:r>
      <w:r w:rsidR="006D2C45" w:rsidRPr="00D936CA">
        <w:rPr>
          <w:rFonts w:ascii="ITC Avant Garde" w:hAnsi="ITC Avant Garde" w:cs="Arial"/>
          <w:sz w:val="22"/>
          <w:szCs w:val="22"/>
          <w:lang w:val="es-MX"/>
        </w:rPr>
        <w:t>, las siguientes</w:t>
      </w:r>
      <w:r w:rsidR="004F375A" w:rsidRPr="00D936CA">
        <w:rPr>
          <w:rFonts w:ascii="ITC Avant Garde" w:hAnsi="ITC Avant Garde" w:cs="Arial"/>
          <w:sz w:val="22"/>
          <w:szCs w:val="22"/>
          <w:lang w:val="es-MX"/>
        </w:rPr>
        <w:t>:</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0"/>
        <w:gridCol w:w="4840"/>
        <w:gridCol w:w="1520"/>
      </w:tblGrid>
      <w:tr w:rsidR="00D936CA" w:rsidRPr="00D936CA" w14:paraId="33CFE830" w14:textId="77777777" w:rsidTr="00ED1C74">
        <w:trPr>
          <w:trHeight w:val="525"/>
          <w:jc w:val="center"/>
        </w:trPr>
        <w:tc>
          <w:tcPr>
            <w:tcW w:w="1900" w:type="dxa"/>
            <w:shd w:val="clear" w:color="auto" w:fill="548DD4" w:themeFill="text2" w:themeFillTint="99"/>
            <w:tcMar>
              <w:top w:w="0" w:type="dxa"/>
              <w:left w:w="70" w:type="dxa"/>
              <w:bottom w:w="0" w:type="dxa"/>
              <w:right w:w="70" w:type="dxa"/>
            </w:tcMar>
            <w:vAlign w:val="center"/>
            <w:hideMark/>
          </w:tcPr>
          <w:p w14:paraId="33CFE82D" w14:textId="77777777" w:rsidR="004F375A" w:rsidRPr="00D936CA" w:rsidRDefault="00B438B5" w:rsidP="00D936CA">
            <w:pPr>
              <w:spacing w:before="60" w:after="60" w:line="276" w:lineRule="auto"/>
              <w:jc w:val="center"/>
              <w:rPr>
                <w:rFonts w:ascii="ITC Avant Garde" w:eastAsiaTheme="minorHAnsi" w:hAnsi="ITC Avant Garde"/>
                <w:b/>
                <w:bCs/>
                <w:sz w:val="20"/>
                <w:szCs w:val="20"/>
              </w:rPr>
            </w:pPr>
            <w:r w:rsidRPr="00D936CA">
              <w:rPr>
                <w:rFonts w:ascii="ITC Avant Garde" w:eastAsiaTheme="minorHAnsi" w:hAnsi="ITC Avant Garde"/>
                <w:b/>
                <w:bCs/>
                <w:sz w:val="20"/>
                <w:szCs w:val="20"/>
              </w:rPr>
              <w:t>Servicio</w:t>
            </w:r>
          </w:p>
        </w:tc>
        <w:tc>
          <w:tcPr>
            <w:tcW w:w="4840" w:type="dxa"/>
            <w:shd w:val="clear" w:color="auto" w:fill="548DD4" w:themeFill="text2" w:themeFillTint="99"/>
            <w:tcMar>
              <w:top w:w="0" w:type="dxa"/>
              <w:left w:w="70" w:type="dxa"/>
              <w:bottom w:w="0" w:type="dxa"/>
              <w:right w:w="70" w:type="dxa"/>
            </w:tcMar>
            <w:vAlign w:val="center"/>
            <w:hideMark/>
          </w:tcPr>
          <w:p w14:paraId="33CFE82E" w14:textId="77777777" w:rsidR="004F375A" w:rsidRPr="00D936CA" w:rsidRDefault="00B438B5" w:rsidP="00D936CA">
            <w:pPr>
              <w:spacing w:before="60" w:after="60" w:line="276" w:lineRule="auto"/>
              <w:jc w:val="center"/>
              <w:rPr>
                <w:rFonts w:ascii="ITC Avant Garde" w:eastAsiaTheme="minorHAnsi" w:hAnsi="ITC Avant Garde"/>
                <w:b/>
                <w:bCs/>
                <w:sz w:val="20"/>
                <w:szCs w:val="20"/>
              </w:rPr>
            </w:pPr>
            <w:r w:rsidRPr="00D936CA">
              <w:rPr>
                <w:rFonts w:ascii="ITC Avant Garde" w:hAnsi="ITC Avant Garde"/>
                <w:b/>
                <w:bCs/>
                <w:sz w:val="20"/>
                <w:szCs w:val="20"/>
              </w:rPr>
              <w:t>Modalidad</w:t>
            </w:r>
          </w:p>
        </w:tc>
        <w:tc>
          <w:tcPr>
            <w:tcW w:w="1520" w:type="dxa"/>
            <w:shd w:val="clear" w:color="auto" w:fill="548DD4" w:themeFill="text2" w:themeFillTint="99"/>
            <w:tcMar>
              <w:top w:w="0" w:type="dxa"/>
              <w:left w:w="70" w:type="dxa"/>
              <w:bottom w:w="0" w:type="dxa"/>
              <w:right w:w="70" w:type="dxa"/>
            </w:tcMar>
            <w:vAlign w:val="center"/>
            <w:hideMark/>
          </w:tcPr>
          <w:p w14:paraId="33CFE82F" w14:textId="77777777" w:rsidR="004F375A" w:rsidRPr="00D936CA" w:rsidRDefault="004F375A" w:rsidP="00D936CA">
            <w:pPr>
              <w:spacing w:before="60" w:after="60" w:line="276" w:lineRule="auto"/>
              <w:jc w:val="center"/>
              <w:rPr>
                <w:rFonts w:ascii="ITC Avant Garde" w:eastAsiaTheme="minorHAnsi" w:hAnsi="ITC Avant Garde"/>
                <w:b/>
                <w:bCs/>
                <w:sz w:val="20"/>
                <w:szCs w:val="20"/>
              </w:rPr>
            </w:pPr>
            <w:r w:rsidRPr="00D936CA">
              <w:rPr>
                <w:rFonts w:ascii="ITC Avant Garde" w:hAnsi="ITC Avant Garde"/>
                <w:b/>
                <w:bCs/>
                <w:sz w:val="20"/>
                <w:szCs w:val="20"/>
              </w:rPr>
              <w:t xml:space="preserve">Velocidad </w:t>
            </w:r>
            <w:r w:rsidRPr="00D936CA">
              <w:rPr>
                <w:rFonts w:ascii="ITC Avant Garde" w:hAnsi="ITC Avant Garde"/>
                <w:b/>
                <w:bCs/>
                <w:sz w:val="20"/>
                <w:szCs w:val="20"/>
              </w:rPr>
              <w:br/>
              <w:t>(Mbps)</w:t>
            </w:r>
            <w:r w:rsidR="00B375FF" w:rsidRPr="00D936CA">
              <w:rPr>
                <w:rFonts w:ascii="ITC Avant Garde" w:hAnsi="ITC Avant Garde"/>
                <w:b/>
                <w:bCs/>
                <w:sz w:val="20"/>
                <w:szCs w:val="20"/>
              </w:rPr>
              <w:t xml:space="preserve"> </w:t>
            </w:r>
            <w:r w:rsidR="008565CB" w:rsidRPr="00D936CA">
              <w:rPr>
                <w:rFonts w:ascii="ITC Avant Garde" w:hAnsi="ITC Avant Garde"/>
                <w:b/>
                <w:bCs/>
                <w:sz w:val="20"/>
                <w:szCs w:val="20"/>
              </w:rPr>
              <w:t>Hasta</w:t>
            </w:r>
          </w:p>
        </w:tc>
      </w:tr>
      <w:tr w:rsidR="00D936CA" w:rsidRPr="00D936CA" w14:paraId="33CFE834" w14:textId="77777777" w:rsidTr="00EE0F2A">
        <w:trPr>
          <w:trHeight w:val="360"/>
          <w:jc w:val="center"/>
        </w:trPr>
        <w:tc>
          <w:tcPr>
            <w:tcW w:w="1900" w:type="dxa"/>
            <w:vMerge w:val="restart"/>
            <w:shd w:val="clear" w:color="auto" w:fill="FFFFFF"/>
            <w:tcMar>
              <w:top w:w="0" w:type="dxa"/>
              <w:left w:w="70" w:type="dxa"/>
              <w:bottom w:w="0" w:type="dxa"/>
              <w:right w:w="70" w:type="dxa"/>
            </w:tcMar>
            <w:vAlign w:val="center"/>
            <w:hideMark/>
          </w:tcPr>
          <w:p w14:paraId="33CFE831" w14:textId="77777777" w:rsidR="00815B96" w:rsidRPr="00D936CA" w:rsidRDefault="00B6788E" w:rsidP="00D936CA">
            <w:pPr>
              <w:spacing w:before="60" w:after="60" w:line="276" w:lineRule="auto"/>
              <w:rPr>
                <w:rFonts w:ascii="ITC Avant Garde" w:eastAsiaTheme="minorHAnsi" w:hAnsi="ITC Avant Garde"/>
                <w:sz w:val="20"/>
                <w:szCs w:val="20"/>
              </w:rPr>
            </w:pPr>
            <w:r w:rsidRPr="00D936CA">
              <w:rPr>
                <w:rFonts w:ascii="ITC Avant Garde" w:eastAsiaTheme="minorHAnsi" w:hAnsi="ITC Avant Garde"/>
                <w:sz w:val="20"/>
                <w:szCs w:val="20"/>
              </w:rPr>
              <w:t>Reventa Infinitum (Residencial</w:t>
            </w:r>
            <w:r w:rsidR="0096783C" w:rsidRPr="00D936CA">
              <w:rPr>
                <w:rFonts w:ascii="ITC Avant Garde" w:eastAsiaTheme="minorHAnsi" w:hAnsi="ITC Avant Garde"/>
                <w:sz w:val="20"/>
                <w:szCs w:val="20"/>
              </w:rPr>
              <w:t>es</w:t>
            </w:r>
            <w:r w:rsidRPr="00D936CA">
              <w:rPr>
                <w:rFonts w:ascii="ITC Avant Garde" w:eastAsiaTheme="minorHAnsi" w:hAnsi="ITC Avant Garde"/>
                <w:sz w:val="20"/>
                <w:szCs w:val="20"/>
              </w:rPr>
              <w:t>)</w:t>
            </w:r>
          </w:p>
        </w:tc>
        <w:tc>
          <w:tcPr>
            <w:tcW w:w="4840" w:type="dxa"/>
            <w:shd w:val="clear" w:color="auto" w:fill="FFFFFF"/>
            <w:tcMar>
              <w:top w:w="0" w:type="dxa"/>
              <w:left w:w="70" w:type="dxa"/>
              <w:bottom w:w="0" w:type="dxa"/>
              <w:right w:w="70" w:type="dxa"/>
            </w:tcMar>
            <w:vAlign w:val="center"/>
            <w:hideMark/>
          </w:tcPr>
          <w:p w14:paraId="33CFE832" w14:textId="77777777" w:rsidR="00815B96" w:rsidRPr="00D936CA" w:rsidRDefault="00815B96"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10 Mbps</w:t>
            </w:r>
          </w:p>
        </w:tc>
        <w:tc>
          <w:tcPr>
            <w:tcW w:w="1520" w:type="dxa"/>
            <w:shd w:val="clear" w:color="auto" w:fill="FFFFFF"/>
            <w:tcMar>
              <w:top w:w="0" w:type="dxa"/>
              <w:left w:w="70" w:type="dxa"/>
              <w:bottom w:w="0" w:type="dxa"/>
              <w:right w:w="70" w:type="dxa"/>
            </w:tcMar>
            <w:vAlign w:val="center"/>
            <w:hideMark/>
          </w:tcPr>
          <w:p w14:paraId="33CFE833" w14:textId="77777777" w:rsidR="00815B96" w:rsidRPr="00D936CA" w:rsidRDefault="00815B9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10</w:t>
            </w:r>
          </w:p>
        </w:tc>
      </w:tr>
      <w:tr w:rsidR="00D936CA" w:rsidRPr="00D936CA" w14:paraId="33CFE838" w14:textId="77777777" w:rsidTr="00EE0F2A">
        <w:trPr>
          <w:trHeight w:val="300"/>
          <w:jc w:val="center"/>
        </w:trPr>
        <w:tc>
          <w:tcPr>
            <w:tcW w:w="0" w:type="auto"/>
            <w:vMerge/>
            <w:vAlign w:val="center"/>
            <w:hideMark/>
          </w:tcPr>
          <w:p w14:paraId="33CFE835" w14:textId="77777777" w:rsidR="00815B96" w:rsidRPr="00D936CA" w:rsidRDefault="00815B96"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center"/>
            <w:hideMark/>
          </w:tcPr>
          <w:p w14:paraId="33CFE836" w14:textId="77777777" w:rsidR="00815B96" w:rsidRPr="00D936CA" w:rsidRDefault="00815B96"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20 Mbps</w:t>
            </w:r>
          </w:p>
        </w:tc>
        <w:tc>
          <w:tcPr>
            <w:tcW w:w="1520" w:type="dxa"/>
            <w:shd w:val="clear" w:color="auto" w:fill="FFFFFF"/>
            <w:tcMar>
              <w:top w:w="0" w:type="dxa"/>
              <w:left w:w="70" w:type="dxa"/>
              <w:bottom w:w="0" w:type="dxa"/>
              <w:right w:w="70" w:type="dxa"/>
            </w:tcMar>
            <w:vAlign w:val="center"/>
            <w:hideMark/>
          </w:tcPr>
          <w:p w14:paraId="33CFE837" w14:textId="77777777" w:rsidR="00815B96" w:rsidRPr="00D936CA" w:rsidRDefault="00815B9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20</w:t>
            </w:r>
          </w:p>
        </w:tc>
      </w:tr>
      <w:tr w:rsidR="00A064D3" w:rsidRPr="00D936CA" w14:paraId="33CFE83C" w14:textId="77777777" w:rsidTr="00060B2E">
        <w:trPr>
          <w:trHeight w:val="431"/>
          <w:jc w:val="center"/>
        </w:trPr>
        <w:tc>
          <w:tcPr>
            <w:tcW w:w="0" w:type="auto"/>
            <w:vMerge/>
            <w:vAlign w:val="center"/>
            <w:hideMark/>
          </w:tcPr>
          <w:p w14:paraId="33CFE839" w14:textId="77777777" w:rsidR="00A064D3" w:rsidRPr="00D936CA" w:rsidRDefault="00A064D3"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center"/>
            <w:hideMark/>
          </w:tcPr>
          <w:p w14:paraId="33CFE83A" w14:textId="77777777" w:rsidR="00A064D3" w:rsidRPr="00D936CA" w:rsidRDefault="00A064D3"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50 Mbps</w:t>
            </w:r>
          </w:p>
        </w:tc>
        <w:tc>
          <w:tcPr>
            <w:tcW w:w="1520" w:type="dxa"/>
            <w:shd w:val="clear" w:color="auto" w:fill="FFFFFF"/>
            <w:tcMar>
              <w:top w:w="0" w:type="dxa"/>
              <w:left w:w="70" w:type="dxa"/>
              <w:bottom w:w="0" w:type="dxa"/>
              <w:right w:w="70" w:type="dxa"/>
            </w:tcMar>
            <w:vAlign w:val="center"/>
            <w:hideMark/>
          </w:tcPr>
          <w:p w14:paraId="33CFE83B" w14:textId="77777777" w:rsidR="00A064D3" w:rsidRPr="00D936CA" w:rsidRDefault="00A064D3"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50</w:t>
            </w:r>
          </w:p>
        </w:tc>
      </w:tr>
      <w:tr w:rsidR="00D936CA" w:rsidRPr="00D936CA" w14:paraId="33CFE840" w14:textId="77777777" w:rsidTr="00EE0F2A">
        <w:trPr>
          <w:trHeight w:val="300"/>
          <w:jc w:val="center"/>
        </w:trPr>
        <w:tc>
          <w:tcPr>
            <w:tcW w:w="0" w:type="auto"/>
            <w:vMerge/>
            <w:vAlign w:val="center"/>
            <w:hideMark/>
          </w:tcPr>
          <w:p w14:paraId="33CFE83D" w14:textId="77777777" w:rsidR="00815B96" w:rsidRPr="00D936CA" w:rsidRDefault="00815B96"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center"/>
            <w:hideMark/>
          </w:tcPr>
          <w:p w14:paraId="33CFE83E" w14:textId="77777777" w:rsidR="00815B96" w:rsidRPr="00D936CA" w:rsidRDefault="00815B96"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100 Mbps</w:t>
            </w:r>
          </w:p>
        </w:tc>
        <w:tc>
          <w:tcPr>
            <w:tcW w:w="1520" w:type="dxa"/>
            <w:shd w:val="clear" w:color="auto" w:fill="FFFFFF"/>
            <w:tcMar>
              <w:top w:w="0" w:type="dxa"/>
              <w:left w:w="70" w:type="dxa"/>
              <w:bottom w:w="0" w:type="dxa"/>
              <w:right w:w="70" w:type="dxa"/>
            </w:tcMar>
            <w:vAlign w:val="center"/>
            <w:hideMark/>
          </w:tcPr>
          <w:p w14:paraId="33CFE83F" w14:textId="77777777" w:rsidR="00815B96" w:rsidRPr="00D936CA" w:rsidRDefault="00815B9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100</w:t>
            </w:r>
          </w:p>
        </w:tc>
      </w:tr>
      <w:tr w:rsidR="00D936CA" w:rsidRPr="00D936CA" w14:paraId="33CFE844" w14:textId="77777777" w:rsidTr="00815B96">
        <w:trPr>
          <w:trHeight w:val="360"/>
          <w:jc w:val="center"/>
        </w:trPr>
        <w:tc>
          <w:tcPr>
            <w:tcW w:w="1900" w:type="dxa"/>
            <w:vMerge w:val="restart"/>
            <w:shd w:val="clear" w:color="auto" w:fill="FFFFFF"/>
            <w:tcMar>
              <w:top w:w="0" w:type="dxa"/>
              <w:left w:w="70" w:type="dxa"/>
              <w:bottom w:w="0" w:type="dxa"/>
              <w:right w:w="70" w:type="dxa"/>
            </w:tcMar>
            <w:vAlign w:val="center"/>
            <w:hideMark/>
          </w:tcPr>
          <w:p w14:paraId="33CFE841" w14:textId="77777777" w:rsidR="00815B96" w:rsidRPr="00D936CA" w:rsidRDefault="00815B96" w:rsidP="00D936CA">
            <w:pPr>
              <w:spacing w:before="60" w:after="60" w:line="276" w:lineRule="auto"/>
              <w:rPr>
                <w:rFonts w:ascii="ITC Avant Garde" w:hAnsi="ITC Avant Garde"/>
                <w:sz w:val="20"/>
                <w:szCs w:val="20"/>
              </w:rPr>
            </w:pPr>
            <w:r w:rsidRPr="00D936CA">
              <w:rPr>
                <w:rFonts w:ascii="ITC Avant Garde" w:hAnsi="ITC Avant Garde"/>
                <w:sz w:val="20"/>
                <w:szCs w:val="20"/>
              </w:rPr>
              <w:t>Reventa Infinitum (Comerciales)</w:t>
            </w:r>
          </w:p>
        </w:tc>
        <w:tc>
          <w:tcPr>
            <w:tcW w:w="4840" w:type="dxa"/>
            <w:shd w:val="clear" w:color="auto" w:fill="FFFFFF"/>
            <w:tcMar>
              <w:top w:w="0" w:type="dxa"/>
              <w:left w:w="70" w:type="dxa"/>
              <w:bottom w:w="0" w:type="dxa"/>
              <w:right w:w="70" w:type="dxa"/>
            </w:tcMar>
            <w:vAlign w:val="center"/>
            <w:hideMark/>
          </w:tcPr>
          <w:p w14:paraId="33CFE842" w14:textId="77777777" w:rsidR="00815B96" w:rsidRPr="00D936CA" w:rsidRDefault="00815B96" w:rsidP="00D936CA">
            <w:pPr>
              <w:spacing w:before="60" w:after="60" w:line="276" w:lineRule="auto"/>
              <w:rPr>
                <w:rFonts w:ascii="ITC Avant Garde" w:hAnsi="ITC Avant Garde"/>
                <w:sz w:val="20"/>
                <w:szCs w:val="20"/>
              </w:rPr>
            </w:pPr>
            <w:r w:rsidRPr="00D936CA">
              <w:rPr>
                <w:rFonts w:ascii="ITC Avant Garde" w:hAnsi="ITC Avant Garde"/>
                <w:sz w:val="20"/>
                <w:szCs w:val="20"/>
              </w:rPr>
              <w:t xml:space="preserve">Infinitum Negocio </w:t>
            </w:r>
            <w:r w:rsidR="0096783C" w:rsidRPr="00D936CA">
              <w:rPr>
                <w:rFonts w:ascii="ITC Avant Garde" w:hAnsi="ITC Avant Garde"/>
                <w:sz w:val="20"/>
                <w:szCs w:val="20"/>
              </w:rPr>
              <w:t>10</w:t>
            </w:r>
            <w:r w:rsidRPr="00D936CA">
              <w:rPr>
                <w:rFonts w:ascii="ITC Avant Garde" w:hAnsi="ITC Avant Garde"/>
                <w:sz w:val="20"/>
                <w:szCs w:val="20"/>
              </w:rPr>
              <w:t xml:space="preserve"> Mbps</w:t>
            </w:r>
          </w:p>
        </w:tc>
        <w:tc>
          <w:tcPr>
            <w:tcW w:w="1520" w:type="dxa"/>
            <w:shd w:val="clear" w:color="auto" w:fill="FFFFFF"/>
            <w:tcMar>
              <w:top w:w="0" w:type="dxa"/>
              <w:left w:w="70" w:type="dxa"/>
              <w:bottom w:w="0" w:type="dxa"/>
              <w:right w:w="70" w:type="dxa"/>
            </w:tcMar>
            <w:vAlign w:val="center"/>
            <w:hideMark/>
          </w:tcPr>
          <w:p w14:paraId="33CFE843" w14:textId="77777777" w:rsidR="00815B96" w:rsidRPr="00D936CA" w:rsidRDefault="0096783C" w:rsidP="00D936CA">
            <w:pPr>
              <w:spacing w:before="60" w:after="60" w:line="276" w:lineRule="auto"/>
              <w:jc w:val="center"/>
              <w:rPr>
                <w:rFonts w:ascii="ITC Avant Garde" w:hAnsi="ITC Avant Garde"/>
                <w:sz w:val="20"/>
                <w:szCs w:val="20"/>
              </w:rPr>
            </w:pPr>
            <w:r w:rsidRPr="00D936CA">
              <w:rPr>
                <w:rFonts w:ascii="ITC Avant Garde" w:hAnsi="ITC Avant Garde"/>
                <w:sz w:val="20"/>
                <w:szCs w:val="20"/>
              </w:rPr>
              <w:t>10</w:t>
            </w:r>
          </w:p>
        </w:tc>
      </w:tr>
      <w:tr w:rsidR="00D936CA" w:rsidRPr="00D936CA" w14:paraId="33CFE848" w14:textId="77777777" w:rsidTr="00EE0F2A">
        <w:trPr>
          <w:trHeight w:val="300"/>
          <w:jc w:val="center"/>
        </w:trPr>
        <w:tc>
          <w:tcPr>
            <w:tcW w:w="0" w:type="auto"/>
            <w:vMerge/>
            <w:vAlign w:val="center"/>
            <w:hideMark/>
          </w:tcPr>
          <w:p w14:paraId="33CFE845" w14:textId="77777777" w:rsidR="00815B96" w:rsidRPr="00D936CA" w:rsidRDefault="00815B96"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center"/>
            <w:hideMark/>
          </w:tcPr>
          <w:p w14:paraId="33CFE846" w14:textId="77777777" w:rsidR="00815B96" w:rsidRPr="00D936CA" w:rsidRDefault="00815B96"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Negocio 20 Mbps</w:t>
            </w:r>
          </w:p>
        </w:tc>
        <w:tc>
          <w:tcPr>
            <w:tcW w:w="1520" w:type="dxa"/>
            <w:shd w:val="clear" w:color="auto" w:fill="FFFFFF"/>
            <w:tcMar>
              <w:top w:w="0" w:type="dxa"/>
              <w:left w:w="70" w:type="dxa"/>
              <w:bottom w:w="0" w:type="dxa"/>
              <w:right w:w="70" w:type="dxa"/>
            </w:tcMar>
            <w:vAlign w:val="center"/>
            <w:hideMark/>
          </w:tcPr>
          <w:p w14:paraId="33CFE847" w14:textId="77777777" w:rsidR="00815B96" w:rsidRPr="00D936CA" w:rsidRDefault="00815B9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20</w:t>
            </w:r>
          </w:p>
        </w:tc>
      </w:tr>
      <w:tr w:rsidR="00D936CA" w:rsidRPr="00D936CA" w14:paraId="33CFE84C" w14:textId="77777777" w:rsidTr="00EE0F2A">
        <w:trPr>
          <w:trHeight w:val="300"/>
          <w:jc w:val="center"/>
        </w:trPr>
        <w:tc>
          <w:tcPr>
            <w:tcW w:w="0" w:type="auto"/>
            <w:vMerge/>
            <w:vAlign w:val="center"/>
            <w:hideMark/>
          </w:tcPr>
          <w:p w14:paraId="33CFE849" w14:textId="77777777" w:rsidR="00815B96" w:rsidRPr="00D936CA" w:rsidRDefault="00815B96"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center"/>
            <w:hideMark/>
          </w:tcPr>
          <w:p w14:paraId="33CFE84A" w14:textId="77777777" w:rsidR="00815B96" w:rsidRPr="00D936CA" w:rsidRDefault="00815B96"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Negocio 50 Mbps</w:t>
            </w:r>
          </w:p>
        </w:tc>
        <w:tc>
          <w:tcPr>
            <w:tcW w:w="1520" w:type="dxa"/>
            <w:shd w:val="clear" w:color="auto" w:fill="FFFFFF"/>
            <w:tcMar>
              <w:top w:w="0" w:type="dxa"/>
              <w:left w:w="70" w:type="dxa"/>
              <w:bottom w:w="0" w:type="dxa"/>
              <w:right w:w="70" w:type="dxa"/>
            </w:tcMar>
            <w:vAlign w:val="center"/>
            <w:hideMark/>
          </w:tcPr>
          <w:p w14:paraId="33CFE84B" w14:textId="77777777" w:rsidR="00815B96" w:rsidRPr="00D936CA" w:rsidRDefault="00815B9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50</w:t>
            </w:r>
          </w:p>
        </w:tc>
      </w:tr>
    </w:tbl>
    <w:p w14:paraId="33CFE84D" w14:textId="472C0694" w:rsidR="00C97B0A" w:rsidRPr="00D936CA" w:rsidRDefault="00C4252F" w:rsidP="00D936CA">
      <w:pPr>
        <w:spacing w:before="120" w:after="200" w:line="276" w:lineRule="auto"/>
        <w:ind w:left="284"/>
        <w:jc w:val="center"/>
        <w:rPr>
          <w:rFonts w:ascii="ITC Avant Garde" w:hAnsi="ITC Avant Garde"/>
          <w:sz w:val="18"/>
          <w:szCs w:val="18"/>
          <w:lang w:val="es-MX"/>
        </w:rPr>
      </w:pPr>
      <w:r w:rsidRPr="00D936CA">
        <w:rPr>
          <w:rFonts w:ascii="ITC Avant Garde" w:hAnsi="ITC Avant Garde"/>
          <w:sz w:val="18"/>
          <w:szCs w:val="18"/>
          <w:lang w:val="es-MX"/>
        </w:rPr>
        <w:t xml:space="preserve">Tabla </w:t>
      </w:r>
      <w:r w:rsidR="00424F8D" w:rsidRPr="00D936CA">
        <w:rPr>
          <w:rFonts w:ascii="ITC Avant Garde" w:hAnsi="ITC Avant Garde"/>
          <w:sz w:val="18"/>
          <w:szCs w:val="18"/>
          <w:lang w:val="es-MX"/>
        </w:rPr>
        <w:t>8</w:t>
      </w:r>
      <w:r w:rsidRPr="00D936CA">
        <w:rPr>
          <w:rFonts w:ascii="ITC Avant Garde" w:hAnsi="ITC Avant Garde"/>
          <w:sz w:val="18"/>
          <w:szCs w:val="18"/>
          <w:lang w:val="es-MX"/>
        </w:rPr>
        <w:t xml:space="preserve"> </w:t>
      </w:r>
      <w:r w:rsidR="00326841" w:rsidRPr="00D936CA">
        <w:rPr>
          <w:rFonts w:ascii="ITC Avant Garde" w:hAnsi="ITC Avant Garde"/>
          <w:sz w:val="18"/>
          <w:szCs w:val="18"/>
          <w:lang w:val="es-MX"/>
        </w:rPr>
        <w:t xml:space="preserve">Modalidades de Reventa de </w:t>
      </w:r>
      <w:r w:rsidR="0064212F" w:rsidRPr="00D936CA">
        <w:rPr>
          <w:rFonts w:ascii="ITC Avant Garde" w:hAnsi="ITC Avant Garde"/>
          <w:sz w:val="18"/>
          <w:szCs w:val="18"/>
          <w:lang w:val="es-MX"/>
        </w:rPr>
        <w:t>Internet</w:t>
      </w:r>
    </w:p>
    <w:p w14:paraId="33CFE84E" w14:textId="77777777" w:rsidR="00F82022" w:rsidRPr="00D936CA" w:rsidRDefault="00011A1B"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Alcance del servicio</w:t>
      </w:r>
    </w:p>
    <w:p w14:paraId="33CFE84F" w14:textId="4B050AAD" w:rsidR="00905778" w:rsidRPr="00D936CA" w:rsidRDefault="00011A1B" w:rsidP="00D936CA">
      <w:pPr>
        <w:spacing w:before="240" w:after="200" w:line="276" w:lineRule="auto"/>
        <w:jc w:val="both"/>
        <w:rPr>
          <w:rFonts w:ascii="ITC Avant Garde" w:hAnsi="ITC Avant Garde"/>
          <w:sz w:val="22"/>
          <w:szCs w:val="22"/>
        </w:rPr>
      </w:pPr>
      <w:r w:rsidRPr="00D936CA">
        <w:rPr>
          <w:rFonts w:ascii="ITC Avant Garde" w:hAnsi="ITC Avant Garde"/>
          <w:sz w:val="22"/>
          <w:szCs w:val="22"/>
        </w:rPr>
        <w:t xml:space="preserve">El alcance y responsabilidad de Telmex en el Servicio de Reventa </w:t>
      </w:r>
      <w:r w:rsidR="007817DF" w:rsidRPr="00D936CA">
        <w:rPr>
          <w:rFonts w:ascii="ITC Avant Garde" w:hAnsi="ITC Avant Garde"/>
          <w:sz w:val="22"/>
          <w:szCs w:val="22"/>
        </w:rPr>
        <w:t xml:space="preserve">de Internet </w:t>
      </w:r>
      <w:r w:rsidRPr="00D936CA">
        <w:rPr>
          <w:rFonts w:ascii="ITC Avant Garde" w:hAnsi="ITC Avant Garde"/>
          <w:sz w:val="22"/>
          <w:szCs w:val="22"/>
        </w:rPr>
        <w:t>es el siguiente:</w:t>
      </w:r>
    </w:p>
    <w:p w14:paraId="33CFE850" w14:textId="77777777" w:rsidR="00905778"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Instalación del servicio.</w:t>
      </w:r>
    </w:p>
    <w:p w14:paraId="33CFE851" w14:textId="77777777" w:rsidR="00905778"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Habilitación del servicio en la red y Sistemas de Gestión Telmex.</w:t>
      </w:r>
    </w:p>
    <w:p w14:paraId="33CFE852" w14:textId="77777777" w:rsidR="00905778"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Servicio de Internet.</w:t>
      </w:r>
    </w:p>
    <w:p w14:paraId="33CFE853" w14:textId="26962EB5" w:rsidR="00905778"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El Servicio de Reventa </w:t>
      </w:r>
      <w:r w:rsidR="007817DF" w:rsidRPr="00D936CA">
        <w:rPr>
          <w:rFonts w:ascii="ITC Avant Garde" w:hAnsi="ITC Avant Garde"/>
          <w:sz w:val="22"/>
          <w:szCs w:val="22"/>
          <w:lang w:val="es-ES"/>
        </w:rPr>
        <w:t xml:space="preserve">de Internet </w:t>
      </w:r>
      <w:r w:rsidRPr="00D936CA">
        <w:rPr>
          <w:rFonts w:ascii="ITC Avant Garde" w:hAnsi="ITC Avant Garde"/>
          <w:sz w:val="22"/>
          <w:szCs w:val="22"/>
          <w:lang w:val="es-ES"/>
        </w:rPr>
        <w:t xml:space="preserve">se aprovisionará de acuerdo con las siguientes características: </w:t>
      </w:r>
    </w:p>
    <w:p w14:paraId="33CFE854" w14:textId="77777777" w:rsidR="00905778" w:rsidRPr="00D936CA" w:rsidRDefault="00011A1B" w:rsidP="00D936CA">
      <w:pPr>
        <w:numPr>
          <w:ilvl w:val="0"/>
          <w:numId w:val="6"/>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Tráfico </w:t>
      </w:r>
      <w:r w:rsidRPr="00D936CA">
        <w:rPr>
          <w:rFonts w:ascii="ITC Avant Garde" w:hAnsi="ITC Avant Garde"/>
          <w:i/>
          <w:sz w:val="22"/>
          <w:szCs w:val="22"/>
          <w:lang w:val="es-ES"/>
        </w:rPr>
        <w:t>Best Effort</w:t>
      </w:r>
      <w:r w:rsidRPr="00D936CA">
        <w:rPr>
          <w:rFonts w:ascii="ITC Avant Garde" w:hAnsi="ITC Avant Garde"/>
          <w:sz w:val="22"/>
          <w:szCs w:val="22"/>
          <w:lang w:val="es-ES"/>
        </w:rPr>
        <w:t xml:space="preserve"> </w:t>
      </w:r>
    </w:p>
    <w:p w14:paraId="33CFE855" w14:textId="77777777" w:rsidR="00905778" w:rsidRPr="00D936CA" w:rsidRDefault="00011A1B" w:rsidP="00D936CA">
      <w:pPr>
        <w:numPr>
          <w:ilvl w:val="0"/>
          <w:numId w:val="6"/>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Medio de transmisión a usuarios finales (cobre o fibra óptica)</w:t>
      </w:r>
    </w:p>
    <w:p w14:paraId="33CFE856" w14:textId="77777777" w:rsidR="00905778"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El CS podrá solicitar </w:t>
      </w:r>
      <w:r w:rsidR="00BE54DC" w:rsidRPr="00D936CA">
        <w:rPr>
          <w:rFonts w:ascii="ITC Avant Garde" w:hAnsi="ITC Avant Garde"/>
          <w:sz w:val="22"/>
          <w:szCs w:val="22"/>
          <w:lang w:val="es-ES"/>
        </w:rPr>
        <w:t>el</w:t>
      </w:r>
      <w:r w:rsidRPr="00D936CA">
        <w:rPr>
          <w:rFonts w:ascii="ITC Avant Garde" w:hAnsi="ITC Avant Garde"/>
          <w:sz w:val="22"/>
          <w:szCs w:val="22"/>
          <w:lang w:val="es-ES"/>
        </w:rPr>
        <w:t xml:space="preserve"> siguiente movimiento sobre el Servicio de Reventa:</w:t>
      </w:r>
    </w:p>
    <w:p w14:paraId="33CFE857" w14:textId="77777777" w:rsidR="00905778" w:rsidRPr="00D936CA" w:rsidRDefault="00011A1B" w:rsidP="00D936CA">
      <w:pPr>
        <w:numPr>
          <w:ilvl w:val="0"/>
          <w:numId w:val="27"/>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Cambio de velocidad.</w:t>
      </w:r>
    </w:p>
    <w:p w14:paraId="33CFE858" w14:textId="5820289B" w:rsidR="00817F11" w:rsidRPr="00D936CA" w:rsidRDefault="00817F11"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Telmex pondrá a disposición del CS en el </w:t>
      </w:r>
      <w:r w:rsidR="00186D22">
        <w:rPr>
          <w:rFonts w:ascii="ITC Avant Garde" w:hAnsi="ITC Avant Garde"/>
          <w:sz w:val="22"/>
          <w:szCs w:val="22"/>
        </w:rPr>
        <w:t>SEG</w:t>
      </w:r>
      <w:r w:rsidR="00186D22" w:rsidRPr="00D936CA">
        <w:rPr>
          <w:rFonts w:ascii="ITC Avant Garde" w:hAnsi="ITC Avant Garde"/>
          <w:sz w:val="22"/>
          <w:szCs w:val="22"/>
        </w:rPr>
        <w:t xml:space="preserve"> </w:t>
      </w:r>
      <w:r w:rsidRPr="00D936CA">
        <w:rPr>
          <w:rFonts w:ascii="ITC Avant Garde" w:hAnsi="ITC Avant Garde"/>
          <w:sz w:val="22"/>
          <w:szCs w:val="22"/>
        </w:rPr>
        <w:t xml:space="preserve">una funcionalidad en </w:t>
      </w:r>
      <w:r w:rsidR="007817DF" w:rsidRPr="00D936CA">
        <w:rPr>
          <w:rFonts w:ascii="ITC Avant Garde" w:hAnsi="ITC Avant Garde"/>
          <w:sz w:val="22"/>
          <w:szCs w:val="22"/>
        </w:rPr>
        <w:t>la</w:t>
      </w:r>
      <w:r w:rsidRPr="00D936CA">
        <w:rPr>
          <w:rFonts w:ascii="ITC Avant Garde" w:hAnsi="ITC Avant Garde"/>
          <w:sz w:val="22"/>
          <w:szCs w:val="22"/>
        </w:rPr>
        <w:t xml:space="preserve"> cual podrá realizar la suspensión o reanudación de los se</w:t>
      </w:r>
      <w:r w:rsidR="009B361D" w:rsidRPr="00D936CA">
        <w:rPr>
          <w:rFonts w:ascii="ITC Avant Garde" w:hAnsi="ITC Avant Garde"/>
          <w:sz w:val="22"/>
          <w:szCs w:val="22"/>
        </w:rPr>
        <w:t>rvicios de los usuarios finales.</w:t>
      </w:r>
      <w:r w:rsidRPr="00D936CA">
        <w:rPr>
          <w:rFonts w:ascii="ITC Avant Garde" w:hAnsi="ITC Avant Garde"/>
          <w:sz w:val="22"/>
          <w:szCs w:val="22"/>
        </w:rPr>
        <w:t xml:space="preserve"> </w:t>
      </w:r>
    </w:p>
    <w:p w14:paraId="33CFE859" w14:textId="0A882DF0" w:rsidR="00AD3EA9"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La facturación a los usuarios finales de los servicios será responsabilidad del CS, por lo que Telmex pondrá a disposición de los CS un archivo donde se asocien los Servicios de Reventa de </w:t>
      </w:r>
      <w:r w:rsidR="007817DF" w:rsidRPr="00D936CA">
        <w:rPr>
          <w:rFonts w:ascii="ITC Avant Garde" w:hAnsi="ITC Avant Garde"/>
          <w:sz w:val="22"/>
          <w:szCs w:val="22"/>
        </w:rPr>
        <w:t>Internet</w:t>
      </w:r>
      <w:r w:rsidRPr="00D936CA">
        <w:rPr>
          <w:rFonts w:ascii="ITC Avant Garde" w:hAnsi="ITC Avant Garde"/>
          <w:sz w:val="22"/>
          <w:szCs w:val="22"/>
        </w:rPr>
        <w:t xml:space="preserve"> prestados a cada usuario final, a través del sistema SIANA para que sean descargados por cada CS.</w:t>
      </w:r>
    </w:p>
    <w:p w14:paraId="33CFE85A" w14:textId="77777777" w:rsidR="005757EC" w:rsidRPr="00D936CA" w:rsidRDefault="005757EC" w:rsidP="00D936CA">
      <w:pPr>
        <w:spacing w:after="200" w:line="276" w:lineRule="auto"/>
        <w:jc w:val="both"/>
        <w:rPr>
          <w:rFonts w:ascii="ITC Avant Garde" w:hAnsi="ITC Avant Garde"/>
          <w:sz w:val="22"/>
          <w:szCs w:val="22"/>
        </w:rPr>
      </w:pPr>
    </w:p>
    <w:p w14:paraId="33CFE85B" w14:textId="100D8AAC" w:rsidR="00530A32" w:rsidRPr="00D936CA" w:rsidRDefault="00011A1B" w:rsidP="00D936CA">
      <w:pPr>
        <w:ind w:left="1134" w:hanging="567"/>
        <w:outlineLvl w:val="2"/>
        <w:rPr>
          <w:rFonts w:ascii="ITC Avant Garde" w:hAnsi="ITC Avant Garde"/>
          <w:b/>
          <w:sz w:val="22"/>
        </w:rPr>
      </w:pPr>
      <w:bookmarkStart w:id="264" w:name="_Toc413682062"/>
      <w:bookmarkStart w:id="265" w:name="_Toc436840884"/>
      <w:bookmarkStart w:id="266" w:name="_Toc436846321"/>
      <w:bookmarkStart w:id="267" w:name="_Toc436848271"/>
      <w:bookmarkStart w:id="268" w:name="_Toc436856519"/>
      <w:bookmarkStart w:id="269" w:name="_Toc436862665"/>
      <w:bookmarkStart w:id="270" w:name="_Toc436866315"/>
      <w:bookmarkStart w:id="271" w:name="_Toc436870894"/>
      <w:bookmarkStart w:id="272" w:name="_Toc436875886"/>
      <w:bookmarkStart w:id="273" w:name="_Toc467248699"/>
      <w:bookmarkStart w:id="274" w:name="_Toc518031971"/>
      <w:r w:rsidRPr="00D936CA">
        <w:rPr>
          <w:rFonts w:ascii="ITC Avant Garde" w:hAnsi="ITC Avant Garde"/>
          <w:b/>
          <w:sz w:val="22"/>
        </w:rPr>
        <w:t>4.2.2</w:t>
      </w:r>
      <w:r w:rsidRPr="00D936CA">
        <w:rPr>
          <w:rFonts w:ascii="ITC Avant Garde" w:hAnsi="ITC Avant Garde"/>
          <w:b/>
          <w:sz w:val="22"/>
        </w:rPr>
        <w:tab/>
        <w:t xml:space="preserve">Servicio de Reventa de </w:t>
      </w:r>
      <w:bookmarkEnd w:id="264"/>
      <w:r w:rsidRPr="00D936CA">
        <w:rPr>
          <w:rFonts w:ascii="ITC Avant Garde" w:hAnsi="ITC Avant Garde"/>
          <w:b/>
          <w:sz w:val="22"/>
        </w:rPr>
        <w:t>Paquetes</w:t>
      </w:r>
      <w:bookmarkEnd w:id="265"/>
      <w:bookmarkEnd w:id="266"/>
      <w:bookmarkEnd w:id="267"/>
      <w:bookmarkEnd w:id="268"/>
      <w:bookmarkEnd w:id="269"/>
      <w:bookmarkEnd w:id="270"/>
      <w:bookmarkEnd w:id="271"/>
      <w:bookmarkEnd w:id="272"/>
      <w:bookmarkEnd w:id="273"/>
      <w:bookmarkEnd w:id="274"/>
      <w:r w:rsidR="007274D7" w:rsidRPr="00D936CA">
        <w:rPr>
          <w:rFonts w:ascii="ITC Avant Garde" w:hAnsi="ITC Avant Garde"/>
          <w:b/>
          <w:sz w:val="22"/>
        </w:rPr>
        <w:t xml:space="preserve"> </w:t>
      </w:r>
    </w:p>
    <w:p w14:paraId="33CFE85C" w14:textId="77777777" w:rsidR="00871C42" w:rsidRPr="00D936CA" w:rsidRDefault="00871C42" w:rsidP="00D936CA">
      <w:pPr>
        <w:pStyle w:val="IFTnormal"/>
      </w:pPr>
    </w:p>
    <w:p w14:paraId="477F61B6" w14:textId="3FBA0916" w:rsidR="004A426E"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 xml:space="preserve">El Servicio de Reventa de Paquetes (SRP) permite a los Concesionarios Solicitantes la reventa o comercialización del servicio de línea telefónica junto con </w:t>
      </w:r>
      <w:r w:rsidR="007817DF" w:rsidRPr="00D936CA">
        <w:rPr>
          <w:rFonts w:ascii="ITC Avant Garde" w:hAnsi="ITC Avant Garde"/>
          <w:sz w:val="22"/>
          <w:szCs w:val="22"/>
        </w:rPr>
        <w:t>Internet</w:t>
      </w:r>
      <w:r w:rsidRPr="00D936CA">
        <w:rPr>
          <w:rFonts w:ascii="ITC Avant Garde" w:hAnsi="ITC Avant Garde"/>
          <w:sz w:val="22"/>
          <w:szCs w:val="22"/>
        </w:rPr>
        <w:t xml:space="preserve">, en la modalidad de paquetes, tanto para líneas residenciales como para líneas comerciales. </w:t>
      </w:r>
    </w:p>
    <w:p w14:paraId="33CFE85F" w14:textId="1BF6BC75" w:rsidR="00AF1870"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En este servicio Telmex realiza la provisión de los paquetes que </w:t>
      </w:r>
      <w:r w:rsidR="00110462" w:rsidRPr="00D936CA">
        <w:rPr>
          <w:rFonts w:ascii="ITC Avant Garde" w:hAnsi="ITC Avant Garde"/>
          <w:sz w:val="22"/>
          <w:szCs w:val="22"/>
        </w:rPr>
        <w:t xml:space="preserve">tiene </w:t>
      </w:r>
      <w:r w:rsidR="00254414" w:rsidRPr="00D936CA">
        <w:rPr>
          <w:rFonts w:ascii="ITC Avant Garde" w:hAnsi="ITC Avant Garde"/>
          <w:sz w:val="22"/>
          <w:szCs w:val="22"/>
        </w:rPr>
        <w:t>autorizado</w:t>
      </w:r>
      <w:r w:rsidR="00186D22">
        <w:rPr>
          <w:rFonts w:ascii="ITC Avant Garde" w:hAnsi="ITC Avant Garde"/>
          <w:sz w:val="22"/>
          <w:szCs w:val="22"/>
        </w:rPr>
        <w:t>s</w:t>
      </w:r>
      <w:r w:rsidR="00254414" w:rsidRPr="00D936CA">
        <w:rPr>
          <w:rFonts w:ascii="ITC Avant Garde" w:hAnsi="ITC Avant Garde"/>
          <w:sz w:val="22"/>
          <w:szCs w:val="22"/>
        </w:rPr>
        <w:t xml:space="preserve"> y </w:t>
      </w:r>
      <w:r w:rsidR="00110462" w:rsidRPr="00D936CA">
        <w:rPr>
          <w:rFonts w:ascii="ITC Avant Garde" w:hAnsi="ITC Avant Garde"/>
          <w:sz w:val="22"/>
          <w:szCs w:val="22"/>
        </w:rPr>
        <w:t>registrado</w:t>
      </w:r>
      <w:r w:rsidR="00186D22">
        <w:rPr>
          <w:rFonts w:ascii="ITC Avant Garde" w:hAnsi="ITC Avant Garde"/>
          <w:sz w:val="22"/>
          <w:szCs w:val="22"/>
        </w:rPr>
        <w:t>s</w:t>
      </w:r>
      <w:r w:rsidR="00110462" w:rsidRPr="00D936CA">
        <w:rPr>
          <w:rFonts w:ascii="ITC Avant Garde" w:hAnsi="ITC Avant Garde"/>
          <w:sz w:val="22"/>
          <w:szCs w:val="22"/>
        </w:rPr>
        <w:t xml:space="preserve"> ante el Instituto, ofrece o comercializa actualmente, </w:t>
      </w:r>
      <w:r w:rsidRPr="00D936CA">
        <w:rPr>
          <w:rFonts w:ascii="ITC Avant Garde" w:hAnsi="ITC Avant Garde"/>
          <w:sz w:val="22"/>
          <w:szCs w:val="22"/>
        </w:rPr>
        <w:t>bajo las mismas condiciones comerciales que ofrece para sus usuarios</w:t>
      </w:r>
      <w:r w:rsidR="00AD30AD" w:rsidRPr="00D936CA">
        <w:rPr>
          <w:rFonts w:ascii="ITC Avant Garde" w:hAnsi="ITC Avant Garde"/>
          <w:sz w:val="22"/>
          <w:szCs w:val="22"/>
          <w:lang w:val="es-MX"/>
        </w:rPr>
        <w:t>, en los mismos términos y condiciones que ofrece a sus usuarios incluyendo descuentos y promociones</w:t>
      </w:r>
      <w:r w:rsidR="000F2789" w:rsidRPr="00D936CA">
        <w:rPr>
          <w:rFonts w:ascii="ITC Avant Garde" w:hAnsi="ITC Avant Garde"/>
          <w:sz w:val="22"/>
          <w:szCs w:val="22"/>
          <w:lang w:val="es-MX"/>
        </w:rPr>
        <w:t>, así como en su caso, los descuentos mayoristas aplicables</w:t>
      </w:r>
      <w:r w:rsidRPr="00D936CA">
        <w:rPr>
          <w:rFonts w:ascii="ITC Avant Garde" w:hAnsi="ITC Avant Garde"/>
          <w:sz w:val="22"/>
          <w:szCs w:val="22"/>
        </w:rPr>
        <w:t xml:space="preserve">. Telmex </w:t>
      </w:r>
      <w:r w:rsidR="0051165A" w:rsidRPr="00D936CA">
        <w:rPr>
          <w:rFonts w:ascii="ITC Avant Garde" w:hAnsi="ITC Avant Garde"/>
          <w:sz w:val="22"/>
          <w:szCs w:val="22"/>
        </w:rPr>
        <w:t>ofrecerá</w:t>
      </w:r>
      <w:r w:rsidRPr="00D936CA">
        <w:rPr>
          <w:rFonts w:ascii="ITC Avant Garde" w:hAnsi="ITC Avant Garde"/>
          <w:sz w:val="22"/>
          <w:szCs w:val="22"/>
        </w:rPr>
        <w:t xml:space="preserve"> a los CS las nuevas ofertas comerciales de Paquetes </w:t>
      </w:r>
      <w:r w:rsidR="007817DF" w:rsidRPr="00D936CA">
        <w:rPr>
          <w:rFonts w:ascii="ITC Avant Garde" w:hAnsi="ITC Avant Garde"/>
          <w:sz w:val="22"/>
          <w:szCs w:val="22"/>
        </w:rPr>
        <w:t>de Internet</w:t>
      </w:r>
      <w:r w:rsidRPr="00D936CA">
        <w:rPr>
          <w:rFonts w:ascii="ITC Avant Garde" w:hAnsi="ITC Avant Garde"/>
          <w:sz w:val="22"/>
          <w:szCs w:val="22"/>
        </w:rPr>
        <w:t xml:space="preserve"> </w:t>
      </w:r>
      <w:r w:rsidR="00006209" w:rsidRPr="00D936CA">
        <w:rPr>
          <w:rFonts w:ascii="ITC Avant Garde" w:hAnsi="ITC Avant Garde"/>
          <w:sz w:val="22"/>
          <w:szCs w:val="22"/>
        </w:rPr>
        <w:t xml:space="preserve">una vez </w:t>
      </w:r>
      <w:r w:rsidRPr="00D936CA">
        <w:rPr>
          <w:rFonts w:ascii="ITC Avant Garde" w:hAnsi="ITC Avant Garde"/>
          <w:sz w:val="22"/>
          <w:szCs w:val="22"/>
        </w:rPr>
        <w:t xml:space="preserve">que </w:t>
      </w:r>
      <w:r w:rsidR="0051165A" w:rsidRPr="00D936CA">
        <w:rPr>
          <w:rFonts w:ascii="ITC Avant Garde" w:hAnsi="ITC Avant Garde"/>
          <w:sz w:val="22"/>
          <w:szCs w:val="22"/>
        </w:rPr>
        <w:t>se las autorice</w:t>
      </w:r>
      <w:r w:rsidRPr="00D936CA">
        <w:rPr>
          <w:rFonts w:ascii="ITC Avant Garde" w:hAnsi="ITC Avant Garde"/>
          <w:sz w:val="22"/>
          <w:szCs w:val="22"/>
        </w:rPr>
        <w:t xml:space="preserve"> el Instituto</w:t>
      </w:r>
      <w:r w:rsidR="001357E1" w:rsidRPr="00D936CA">
        <w:rPr>
          <w:rFonts w:ascii="ITC Avant Garde" w:hAnsi="ITC Avant Garde"/>
          <w:sz w:val="22"/>
          <w:szCs w:val="22"/>
        </w:rPr>
        <w:t>. P</w:t>
      </w:r>
      <w:r w:rsidRPr="00D936CA">
        <w:rPr>
          <w:rFonts w:ascii="ITC Avant Garde" w:hAnsi="ITC Avant Garde"/>
          <w:sz w:val="22"/>
          <w:szCs w:val="22"/>
        </w:rPr>
        <w:t xml:space="preserve">ara ello, publicará las nuevas ofertas comerciales autorizadas en la interfaz </w:t>
      </w:r>
      <w:r w:rsidR="001A3BD7" w:rsidRPr="00D936CA">
        <w:rPr>
          <w:rFonts w:ascii="ITC Avant Garde" w:hAnsi="ITC Avant Garde"/>
          <w:sz w:val="22"/>
          <w:szCs w:val="22"/>
        </w:rPr>
        <w:t xml:space="preserve">en el </w:t>
      </w:r>
      <w:r w:rsidR="00ED6B9D">
        <w:rPr>
          <w:rFonts w:ascii="ITC Avant Garde" w:hAnsi="ITC Avant Garde"/>
          <w:sz w:val="22"/>
          <w:szCs w:val="22"/>
        </w:rPr>
        <w:t>SEG</w:t>
      </w:r>
      <w:r w:rsidRPr="00D936CA">
        <w:rPr>
          <w:rFonts w:ascii="ITC Avant Garde" w:hAnsi="ITC Avant Garde"/>
          <w:sz w:val="22"/>
          <w:szCs w:val="22"/>
        </w:rPr>
        <w:t>.</w:t>
      </w:r>
      <w:r w:rsidR="00AE4DEC" w:rsidRPr="00D936CA">
        <w:rPr>
          <w:rFonts w:ascii="ITC Avant Garde" w:hAnsi="ITC Avant Garde"/>
          <w:sz w:val="22"/>
          <w:szCs w:val="22"/>
        </w:rPr>
        <w:t xml:space="preserve"> </w:t>
      </w:r>
    </w:p>
    <w:p w14:paraId="33CFE860" w14:textId="77777777" w:rsidR="00B37BC6" w:rsidRPr="00D936CA" w:rsidRDefault="00AE4DEC" w:rsidP="00D936CA">
      <w:pPr>
        <w:spacing w:after="200" w:line="276" w:lineRule="auto"/>
        <w:jc w:val="both"/>
        <w:rPr>
          <w:rFonts w:ascii="ITC Avant Garde" w:hAnsi="ITC Avant Garde"/>
          <w:sz w:val="22"/>
          <w:szCs w:val="22"/>
        </w:rPr>
      </w:pPr>
      <w:r w:rsidRPr="00D936CA">
        <w:rPr>
          <w:rFonts w:ascii="ITC Avant Garde" w:hAnsi="ITC Avant Garde"/>
          <w:sz w:val="22"/>
          <w:szCs w:val="22"/>
        </w:rPr>
        <w:t>Los paquetes a comercializar serán</w:t>
      </w:r>
      <w:r w:rsidR="006D2C45" w:rsidRPr="00D936CA">
        <w:rPr>
          <w:rFonts w:ascii="ITC Avant Garde" w:hAnsi="ITC Avant Garde"/>
          <w:sz w:val="22"/>
          <w:szCs w:val="22"/>
        </w:rPr>
        <w:t xml:space="preserve">, </w:t>
      </w:r>
      <w:r w:rsidR="006D2C45" w:rsidRPr="00D936CA">
        <w:rPr>
          <w:rFonts w:ascii="ITC Avant Garde" w:hAnsi="ITC Avant Garde"/>
          <w:sz w:val="22"/>
          <w:szCs w:val="22"/>
          <w:lang w:val="es-MX"/>
        </w:rPr>
        <w:t>de manera enunciativa más no limitativa y sin menoscabo de alguna modificación solicitada y aprobada por el Instituto,</w:t>
      </w:r>
      <w:r w:rsidRPr="00D936CA">
        <w:rPr>
          <w:rFonts w:ascii="ITC Avant Garde" w:hAnsi="ITC Avant Garde"/>
          <w:sz w:val="22"/>
          <w:szCs w:val="22"/>
        </w:rPr>
        <w:t xml:space="preserve"> los siguientes:</w:t>
      </w:r>
    </w:p>
    <w:p w14:paraId="78281076" w14:textId="77777777" w:rsidR="00845691" w:rsidRPr="00D936CA" w:rsidRDefault="00845691" w:rsidP="00D936CA">
      <w:pPr>
        <w:spacing w:after="200" w:line="276" w:lineRule="auto"/>
        <w:jc w:val="both"/>
        <w:rPr>
          <w:rFonts w:ascii="ITC Avant Garde" w:hAnsi="ITC Avant Garde"/>
          <w:sz w:val="22"/>
          <w:szCs w:val="22"/>
        </w:rPr>
      </w:pP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0"/>
        <w:gridCol w:w="4840"/>
        <w:gridCol w:w="1520"/>
      </w:tblGrid>
      <w:tr w:rsidR="00D936CA" w:rsidRPr="00D936CA" w14:paraId="33CFE865" w14:textId="77777777" w:rsidTr="00ED1C74">
        <w:trPr>
          <w:trHeight w:val="488"/>
          <w:jc w:val="center"/>
        </w:trPr>
        <w:tc>
          <w:tcPr>
            <w:tcW w:w="1900" w:type="dxa"/>
            <w:shd w:val="clear" w:color="auto" w:fill="548DD4" w:themeFill="text2" w:themeFillTint="99"/>
            <w:tcMar>
              <w:top w:w="0" w:type="dxa"/>
              <w:left w:w="70" w:type="dxa"/>
              <w:bottom w:w="0" w:type="dxa"/>
              <w:right w:w="70" w:type="dxa"/>
            </w:tcMar>
            <w:vAlign w:val="center"/>
            <w:hideMark/>
          </w:tcPr>
          <w:p w14:paraId="33CFE862" w14:textId="77777777" w:rsidR="00DE207B" w:rsidRPr="00D936CA" w:rsidRDefault="00B438B5" w:rsidP="00D936CA">
            <w:pPr>
              <w:spacing w:before="60" w:after="60" w:line="276" w:lineRule="auto"/>
              <w:jc w:val="center"/>
              <w:rPr>
                <w:rFonts w:ascii="ITC Avant Garde" w:eastAsiaTheme="minorHAnsi" w:hAnsi="ITC Avant Garde"/>
                <w:b/>
                <w:bCs/>
                <w:sz w:val="20"/>
                <w:szCs w:val="20"/>
              </w:rPr>
            </w:pPr>
            <w:r w:rsidRPr="00D936CA">
              <w:rPr>
                <w:rFonts w:ascii="ITC Avant Garde" w:eastAsiaTheme="minorHAnsi" w:hAnsi="ITC Avant Garde"/>
                <w:b/>
                <w:bCs/>
                <w:sz w:val="20"/>
                <w:szCs w:val="20"/>
              </w:rPr>
              <w:t>Servicio</w:t>
            </w:r>
          </w:p>
        </w:tc>
        <w:tc>
          <w:tcPr>
            <w:tcW w:w="4840" w:type="dxa"/>
            <w:shd w:val="clear" w:color="auto" w:fill="548DD4" w:themeFill="text2" w:themeFillTint="99"/>
            <w:tcMar>
              <w:top w:w="0" w:type="dxa"/>
              <w:left w:w="70" w:type="dxa"/>
              <w:bottom w:w="0" w:type="dxa"/>
              <w:right w:w="70" w:type="dxa"/>
            </w:tcMar>
            <w:vAlign w:val="center"/>
            <w:hideMark/>
          </w:tcPr>
          <w:p w14:paraId="33CFE863" w14:textId="77777777" w:rsidR="00DE207B" w:rsidRPr="00D936CA" w:rsidRDefault="00DE207B" w:rsidP="00D936CA">
            <w:pPr>
              <w:spacing w:before="60" w:after="60" w:line="276" w:lineRule="auto"/>
              <w:jc w:val="center"/>
              <w:rPr>
                <w:rFonts w:ascii="ITC Avant Garde" w:eastAsiaTheme="minorHAnsi" w:hAnsi="ITC Avant Garde"/>
                <w:b/>
                <w:bCs/>
                <w:sz w:val="20"/>
                <w:szCs w:val="20"/>
              </w:rPr>
            </w:pPr>
            <w:r w:rsidRPr="00D936CA">
              <w:rPr>
                <w:rFonts w:ascii="ITC Avant Garde" w:hAnsi="ITC Avant Garde"/>
                <w:b/>
                <w:bCs/>
                <w:sz w:val="20"/>
                <w:szCs w:val="20"/>
              </w:rPr>
              <w:t>Paquete</w:t>
            </w:r>
          </w:p>
        </w:tc>
        <w:tc>
          <w:tcPr>
            <w:tcW w:w="1520" w:type="dxa"/>
            <w:shd w:val="clear" w:color="auto" w:fill="548DD4" w:themeFill="text2" w:themeFillTint="99"/>
            <w:tcMar>
              <w:top w:w="0" w:type="dxa"/>
              <w:left w:w="70" w:type="dxa"/>
              <w:bottom w:w="0" w:type="dxa"/>
              <w:right w:w="70" w:type="dxa"/>
            </w:tcMar>
            <w:vAlign w:val="center"/>
            <w:hideMark/>
          </w:tcPr>
          <w:p w14:paraId="33CFE864" w14:textId="1942EEE0" w:rsidR="00DE207B" w:rsidRPr="00D936CA" w:rsidRDefault="00DE207B" w:rsidP="00D936CA">
            <w:pPr>
              <w:spacing w:before="60" w:after="60" w:line="276" w:lineRule="auto"/>
              <w:jc w:val="center"/>
              <w:rPr>
                <w:rFonts w:ascii="ITC Avant Garde" w:eastAsiaTheme="minorHAnsi" w:hAnsi="ITC Avant Garde"/>
                <w:b/>
                <w:bCs/>
                <w:sz w:val="20"/>
                <w:szCs w:val="20"/>
              </w:rPr>
            </w:pPr>
            <w:r w:rsidRPr="00D936CA">
              <w:rPr>
                <w:rFonts w:ascii="ITC Avant Garde" w:hAnsi="ITC Avant Garde"/>
                <w:b/>
                <w:bCs/>
                <w:sz w:val="20"/>
                <w:szCs w:val="20"/>
              </w:rPr>
              <w:t xml:space="preserve">Velocidad </w:t>
            </w:r>
            <w:r w:rsidRPr="00D936CA">
              <w:rPr>
                <w:rFonts w:ascii="ITC Avant Garde" w:hAnsi="ITC Avant Garde"/>
                <w:b/>
                <w:bCs/>
                <w:sz w:val="20"/>
                <w:szCs w:val="20"/>
              </w:rPr>
              <w:br/>
              <w:t>(Mbps)</w:t>
            </w:r>
            <w:r w:rsidR="00186D22">
              <w:rPr>
                <w:rFonts w:ascii="ITC Avant Garde" w:hAnsi="ITC Avant Garde"/>
                <w:b/>
                <w:bCs/>
                <w:sz w:val="20"/>
                <w:szCs w:val="20"/>
              </w:rPr>
              <w:t xml:space="preserve"> Hasta</w:t>
            </w:r>
          </w:p>
        </w:tc>
      </w:tr>
      <w:tr w:rsidR="005B60BD" w:rsidRPr="00D936CA" w14:paraId="3498A213" w14:textId="77777777" w:rsidTr="00E7277A">
        <w:trPr>
          <w:trHeight w:val="300"/>
          <w:jc w:val="center"/>
        </w:trPr>
        <w:tc>
          <w:tcPr>
            <w:tcW w:w="1900" w:type="dxa"/>
            <w:vMerge w:val="restart"/>
            <w:shd w:val="clear" w:color="auto" w:fill="FFFFFF"/>
            <w:tcMar>
              <w:top w:w="0" w:type="dxa"/>
              <w:left w:w="70" w:type="dxa"/>
              <w:bottom w:w="0" w:type="dxa"/>
              <w:right w:w="70" w:type="dxa"/>
            </w:tcMar>
            <w:vAlign w:val="center"/>
          </w:tcPr>
          <w:p w14:paraId="2793A73C" w14:textId="63A8A832" w:rsidR="005B60BD" w:rsidRPr="00D936CA" w:rsidRDefault="005B60BD">
            <w:pPr>
              <w:spacing w:before="60" w:after="60" w:line="276" w:lineRule="auto"/>
              <w:rPr>
                <w:rFonts w:ascii="ITC Avant Garde" w:hAnsi="ITC Avant Garde"/>
                <w:sz w:val="20"/>
                <w:szCs w:val="20"/>
              </w:rPr>
            </w:pPr>
            <w:r w:rsidRPr="00D936CA">
              <w:rPr>
                <w:rFonts w:ascii="ITC Avant Garde" w:hAnsi="ITC Avant Garde"/>
                <w:sz w:val="20"/>
                <w:szCs w:val="20"/>
              </w:rPr>
              <w:t>Servicio Reventa Paquetes Infinitum (Residenciales)</w:t>
            </w:r>
            <w:r w:rsidR="000A2A1D" w:rsidRPr="00D936CA" w:rsidDel="000A2A1D">
              <w:rPr>
                <w:rFonts w:ascii="ITC Avant Garde" w:eastAsiaTheme="minorHAnsi" w:hAnsi="ITC Avant Garde"/>
                <w:sz w:val="20"/>
                <w:szCs w:val="20"/>
              </w:rPr>
              <w:t xml:space="preserve"> </w:t>
            </w:r>
          </w:p>
        </w:tc>
        <w:tc>
          <w:tcPr>
            <w:tcW w:w="4840" w:type="dxa"/>
            <w:shd w:val="clear" w:color="auto" w:fill="FFFFFF"/>
            <w:noWrap/>
            <w:tcMar>
              <w:top w:w="0" w:type="dxa"/>
              <w:left w:w="70" w:type="dxa"/>
              <w:bottom w:w="0" w:type="dxa"/>
              <w:right w:w="70" w:type="dxa"/>
            </w:tcMar>
            <w:vAlign w:val="bottom"/>
          </w:tcPr>
          <w:p w14:paraId="6683827C" w14:textId="0E7FC10F" w:rsidR="005B60BD" w:rsidRPr="00D936CA" w:rsidRDefault="005B60BD" w:rsidP="00D936CA">
            <w:pPr>
              <w:spacing w:before="60" w:after="60" w:line="276" w:lineRule="auto"/>
              <w:rPr>
                <w:rFonts w:ascii="ITC Avant Garde" w:hAnsi="ITC Avant Garde"/>
                <w:sz w:val="20"/>
                <w:szCs w:val="20"/>
              </w:rPr>
            </w:pPr>
            <w:r>
              <w:rPr>
                <w:rFonts w:ascii="ITC Avant Garde" w:hAnsi="ITC Avant Garde"/>
                <w:sz w:val="20"/>
                <w:szCs w:val="20"/>
              </w:rPr>
              <w:t>Paquete 289</w:t>
            </w:r>
          </w:p>
        </w:tc>
        <w:tc>
          <w:tcPr>
            <w:tcW w:w="1520" w:type="dxa"/>
            <w:shd w:val="clear" w:color="auto" w:fill="FFFFFF"/>
            <w:noWrap/>
            <w:tcMar>
              <w:top w:w="0" w:type="dxa"/>
              <w:left w:w="70" w:type="dxa"/>
              <w:bottom w:w="0" w:type="dxa"/>
              <w:right w:w="70" w:type="dxa"/>
            </w:tcMar>
            <w:vAlign w:val="bottom"/>
          </w:tcPr>
          <w:p w14:paraId="5E31B925" w14:textId="561E2820" w:rsidR="005B60BD" w:rsidRPr="00D936CA" w:rsidRDefault="005B60BD" w:rsidP="00D936CA">
            <w:pPr>
              <w:spacing w:before="60" w:after="60" w:line="276" w:lineRule="auto"/>
              <w:jc w:val="center"/>
              <w:rPr>
                <w:rFonts w:ascii="ITC Avant Garde" w:hAnsi="ITC Avant Garde"/>
                <w:sz w:val="20"/>
                <w:szCs w:val="20"/>
              </w:rPr>
            </w:pPr>
            <w:r>
              <w:rPr>
                <w:rFonts w:ascii="ITC Avant Garde" w:hAnsi="ITC Avant Garde"/>
                <w:sz w:val="20"/>
                <w:szCs w:val="20"/>
              </w:rPr>
              <w:t>3</w:t>
            </w:r>
          </w:p>
        </w:tc>
      </w:tr>
      <w:tr w:rsidR="005B60BD" w:rsidRPr="00D936CA" w14:paraId="33CFE86A" w14:textId="77777777" w:rsidTr="00E7277A">
        <w:trPr>
          <w:trHeight w:val="300"/>
          <w:jc w:val="center"/>
        </w:trPr>
        <w:tc>
          <w:tcPr>
            <w:tcW w:w="1900" w:type="dxa"/>
            <w:vMerge/>
            <w:shd w:val="clear" w:color="auto" w:fill="FFFFFF"/>
            <w:tcMar>
              <w:top w:w="0" w:type="dxa"/>
              <w:left w:w="70" w:type="dxa"/>
              <w:bottom w:w="0" w:type="dxa"/>
              <w:right w:w="70" w:type="dxa"/>
            </w:tcMar>
            <w:vAlign w:val="center"/>
            <w:hideMark/>
          </w:tcPr>
          <w:p w14:paraId="33CFE867" w14:textId="77777777" w:rsidR="005B60BD" w:rsidRPr="00D936CA" w:rsidRDefault="005B60BD" w:rsidP="00D936CA">
            <w:pPr>
              <w:spacing w:before="60" w:after="60" w:line="276" w:lineRule="auto"/>
              <w:rPr>
                <w:rFonts w:ascii="ITC Avant Garde" w:eastAsiaTheme="minorHAnsi" w:hAnsi="ITC Avant Garde"/>
                <w:sz w:val="20"/>
                <w:szCs w:val="20"/>
              </w:rPr>
            </w:pPr>
          </w:p>
        </w:tc>
        <w:tc>
          <w:tcPr>
            <w:tcW w:w="4840" w:type="dxa"/>
            <w:shd w:val="clear" w:color="auto" w:fill="FFFFFF"/>
            <w:noWrap/>
            <w:tcMar>
              <w:top w:w="0" w:type="dxa"/>
              <w:left w:w="70" w:type="dxa"/>
              <w:bottom w:w="0" w:type="dxa"/>
              <w:right w:w="70" w:type="dxa"/>
            </w:tcMar>
            <w:vAlign w:val="bottom"/>
            <w:hideMark/>
          </w:tcPr>
          <w:p w14:paraId="33CFE868" w14:textId="77777777" w:rsidR="005B60BD" w:rsidRPr="00D936CA" w:rsidRDefault="005B60BD"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Infinitum 333</w:t>
            </w:r>
          </w:p>
        </w:tc>
        <w:tc>
          <w:tcPr>
            <w:tcW w:w="1520" w:type="dxa"/>
            <w:shd w:val="clear" w:color="auto" w:fill="FFFFFF"/>
            <w:noWrap/>
            <w:tcMar>
              <w:top w:w="0" w:type="dxa"/>
              <w:left w:w="70" w:type="dxa"/>
              <w:bottom w:w="0" w:type="dxa"/>
              <w:right w:w="70" w:type="dxa"/>
            </w:tcMar>
            <w:vAlign w:val="bottom"/>
            <w:hideMark/>
          </w:tcPr>
          <w:p w14:paraId="33CFE869" w14:textId="77777777" w:rsidR="005B60BD" w:rsidRPr="00D936CA" w:rsidRDefault="005B60BD"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5</w:t>
            </w:r>
          </w:p>
        </w:tc>
      </w:tr>
      <w:tr w:rsidR="005B60BD" w:rsidRPr="00D936CA" w14:paraId="33CFE86E" w14:textId="77777777" w:rsidTr="00E7277A">
        <w:trPr>
          <w:trHeight w:val="300"/>
          <w:jc w:val="center"/>
        </w:trPr>
        <w:tc>
          <w:tcPr>
            <w:tcW w:w="0" w:type="auto"/>
            <w:vMerge/>
            <w:vAlign w:val="center"/>
            <w:hideMark/>
          </w:tcPr>
          <w:p w14:paraId="33CFE86B" w14:textId="77777777" w:rsidR="005B60BD" w:rsidRPr="00D936CA" w:rsidRDefault="005B60BD" w:rsidP="00D936CA">
            <w:pPr>
              <w:spacing w:before="60" w:after="60" w:line="276" w:lineRule="auto"/>
              <w:rPr>
                <w:rFonts w:ascii="ITC Avant Garde" w:eastAsiaTheme="minorHAnsi" w:hAnsi="ITC Avant Garde"/>
                <w:sz w:val="20"/>
                <w:szCs w:val="20"/>
              </w:rPr>
            </w:pPr>
          </w:p>
        </w:tc>
        <w:tc>
          <w:tcPr>
            <w:tcW w:w="4840" w:type="dxa"/>
            <w:shd w:val="clear" w:color="auto" w:fill="FFFFFF"/>
            <w:noWrap/>
            <w:tcMar>
              <w:top w:w="0" w:type="dxa"/>
              <w:left w:w="70" w:type="dxa"/>
              <w:bottom w:w="0" w:type="dxa"/>
              <w:right w:w="70" w:type="dxa"/>
            </w:tcMar>
            <w:vAlign w:val="bottom"/>
            <w:hideMark/>
          </w:tcPr>
          <w:p w14:paraId="33CFE86C" w14:textId="77777777" w:rsidR="005B60BD" w:rsidRPr="00D936CA" w:rsidRDefault="005B60BD"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Conectes</w:t>
            </w:r>
          </w:p>
        </w:tc>
        <w:tc>
          <w:tcPr>
            <w:tcW w:w="1520" w:type="dxa"/>
            <w:shd w:val="clear" w:color="auto" w:fill="FFFFFF"/>
            <w:noWrap/>
            <w:tcMar>
              <w:top w:w="0" w:type="dxa"/>
              <w:left w:w="70" w:type="dxa"/>
              <w:bottom w:w="0" w:type="dxa"/>
              <w:right w:w="70" w:type="dxa"/>
            </w:tcMar>
            <w:vAlign w:val="bottom"/>
            <w:hideMark/>
          </w:tcPr>
          <w:p w14:paraId="33CFE86D" w14:textId="77777777" w:rsidR="005B60BD" w:rsidRPr="00D936CA" w:rsidRDefault="005B60BD"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10</w:t>
            </w:r>
          </w:p>
        </w:tc>
      </w:tr>
      <w:tr w:rsidR="005B60BD" w:rsidRPr="00D936CA" w14:paraId="33CFE872" w14:textId="77777777" w:rsidTr="00E7277A">
        <w:trPr>
          <w:trHeight w:val="300"/>
          <w:jc w:val="center"/>
        </w:trPr>
        <w:tc>
          <w:tcPr>
            <w:tcW w:w="0" w:type="auto"/>
            <w:vMerge/>
            <w:vAlign w:val="center"/>
            <w:hideMark/>
          </w:tcPr>
          <w:p w14:paraId="33CFE86F" w14:textId="77777777" w:rsidR="005B60BD" w:rsidRPr="00D936CA" w:rsidRDefault="005B60BD" w:rsidP="00D936CA">
            <w:pPr>
              <w:spacing w:before="60" w:after="60" w:line="276" w:lineRule="auto"/>
              <w:rPr>
                <w:rFonts w:ascii="ITC Avant Garde" w:eastAsiaTheme="minorHAnsi" w:hAnsi="ITC Avant Garde"/>
                <w:sz w:val="20"/>
                <w:szCs w:val="20"/>
              </w:rPr>
            </w:pPr>
          </w:p>
        </w:tc>
        <w:tc>
          <w:tcPr>
            <w:tcW w:w="4840" w:type="dxa"/>
            <w:shd w:val="clear" w:color="auto" w:fill="FFFFFF"/>
            <w:noWrap/>
            <w:tcMar>
              <w:top w:w="0" w:type="dxa"/>
              <w:left w:w="70" w:type="dxa"/>
              <w:bottom w:w="0" w:type="dxa"/>
              <w:right w:w="70" w:type="dxa"/>
            </w:tcMar>
            <w:vAlign w:val="bottom"/>
            <w:hideMark/>
          </w:tcPr>
          <w:p w14:paraId="33CFE870" w14:textId="1A96625A" w:rsidR="005B60BD" w:rsidRPr="00D936CA" w:rsidRDefault="005B60BD"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Conectes Frontera</w:t>
            </w:r>
          </w:p>
        </w:tc>
        <w:tc>
          <w:tcPr>
            <w:tcW w:w="1520" w:type="dxa"/>
            <w:shd w:val="clear" w:color="auto" w:fill="FFFFFF"/>
            <w:noWrap/>
            <w:tcMar>
              <w:top w:w="0" w:type="dxa"/>
              <w:left w:w="70" w:type="dxa"/>
              <w:bottom w:w="0" w:type="dxa"/>
              <w:right w:w="70" w:type="dxa"/>
            </w:tcMar>
            <w:vAlign w:val="bottom"/>
            <w:hideMark/>
          </w:tcPr>
          <w:p w14:paraId="33CFE871" w14:textId="1647E213" w:rsidR="005B60BD" w:rsidRPr="00D936CA" w:rsidRDefault="005B60BD"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10</w:t>
            </w:r>
          </w:p>
        </w:tc>
      </w:tr>
      <w:tr w:rsidR="005B60BD" w:rsidRPr="00D936CA" w14:paraId="33CFE876" w14:textId="77777777" w:rsidTr="00E7277A">
        <w:trPr>
          <w:trHeight w:val="300"/>
          <w:jc w:val="center"/>
        </w:trPr>
        <w:tc>
          <w:tcPr>
            <w:tcW w:w="0" w:type="auto"/>
            <w:vMerge/>
            <w:vAlign w:val="center"/>
            <w:hideMark/>
          </w:tcPr>
          <w:p w14:paraId="33CFE873" w14:textId="77777777" w:rsidR="005B60BD" w:rsidRPr="00D936CA" w:rsidRDefault="005B60BD" w:rsidP="00D936CA">
            <w:pPr>
              <w:spacing w:before="60" w:after="60" w:line="276" w:lineRule="auto"/>
              <w:rPr>
                <w:rFonts w:ascii="ITC Avant Garde" w:eastAsiaTheme="minorHAnsi" w:hAnsi="ITC Avant Garde"/>
                <w:sz w:val="20"/>
                <w:szCs w:val="20"/>
              </w:rPr>
            </w:pPr>
          </w:p>
        </w:tc>
        <w:tc>
          <w:tcPr>
            <w:tcW w:w="4840" w:type="dxa"/>
            <w:shd w:val="clear" w:color="auto" w:fill="FFFFFF"/>
            <w:noWrap/>
            <w:tcMar>
              <w:top w:w="0" w:type="dxa"/>
              <w:left w:w="70" w:type="dxa"/>
              <w:bottom w:w="0" w:type="dxa"/>
              <w:right w:w="70" w:type="dxa"/>
            </w:tcMar>
            <w:vAlign w:val="bottom"/>
            <w:hideMark/>
          </w:tcPr>
          <w:p w14:paraId="33CFE874" w14:textId="5849823F" w:rsidR="005B60BD" w:rsidRPr="00D936CA" w:rsidRDefault="005B60BD"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 xml:space="preserve">Paquete </w:t>
            </w:r>
            <w:r>
              <w:rPr>
                <w:rFonts w:ascii="ITC Avant Garde" w:hAnsi="ITC Avant Garde"/>
                <w:sz w:val="20"/>
                <w:szCs w:val="20"/>
              </w:rPr>
              <w:t>599</w:t>
            </w:r>
            <w:r w:rsidRPr="00D936CA" w:rsidDel="00C94FBF">
              <w:rPr>
                <w:rFonts w:ascii="ITC Avant Garde" w:hAnsi="ITC Avant Garde"/>
                <w:sz w:val="20"/>
                <w:szCs w:val="20"/>
              </w:rPr>
              <w:t xml:space="preserve"> </w:t>
            </w:r>
          </w:p>
        </w:tc>
        <w:tc>
          <w:tcPr>
            <w:tcW w:w="1520" w:type="dxa"/>
            <w:shd w:val="clear" w:color="auto" w:fill="FFFFFF"/>
            <w:noWrap/>
            <w:tcMar>
              <w:top w:w="0" w:type="dxa"/>
              <w:left w:w="70" w:type="dxa"/>
              <w:bottom w:w="0" w:type="dxa"/>
              <w:right w:w="70" w:type="dxa"/>
            </w:tcMar>
            <w:vAlign w:val="bottom"/>
            <w:hideMark/>
          </w:tcPr>
          <w:p w14:paraId="33CFE875" w14:textId="17167CF0" w:rsidR="005B60BD" w:rsidRPr="00D936CA" w:rsidRDefault="005B60BD" w:rsidP="00D936CA">
            <w:pPr>
              <w:spacing w:before="60" w:after="60" w:line="276" w:lineRule="auto"/>
              <w:jc w:val="center"/>
              <w:rPr>
                <w:rFonts w:ascii="ITC Avant Garde" w:eastAsiaTheme="minorHAnsi" w:hAnsi="ITC Avant Garde"/>
                <w:sz w:val="20"/>
                <w:szCs w:val="20"/>
              </w:rPr>
            </w:pPr>
            <w:r w:rsidRPr="00A8272E">
              <w:rPr>
                <w:rFonts w:ascii="ITC Avant Garde" w:hAnsi="ITC Avant Garde"/>
                <w:sz w:val="20"/>
                <w:szCs w:val="20"/>
              </w:rPr>
              <w:t>50</w:t>
            </w:r>
          </w:p>
        </w:tc>
      </w:tr>
      <w:tr w:rsidR="005B60BD" w:rsidRPr="00D936CA" w14:paraId="33CFE87A" w14:textId="77777777" w:rsidTr="00D324A0">
        <w:trPr>
          <w:trHeight w:val="203"/>
          <w:jc w:val="center"/>
        </w:trPr>
        <w:tc>
          <w:tcPr>
            <w:tcW w:w="1900" w:type="dxa"/>
            <w:vMerge/>
            <w:shd w:val="clear" w:color="auto" w:fill="FFFFFF"/>
            <w:tcMar>
              <w:top w:w="0" w:type="dxa"/>
              <w:left w:w="70" w:type="dxa"/>
              <w:bottom w:w="0" w:type="dxa"/>
              <w:right w:w="70" w:type="dxa"/>
            </w:tcMar>
            <w:vAlign w:val="center"/>
          </w:tcPr>
          <w:p w14:paraId="33CFE877" w14:textId="77777777" w:rsidR="005B60BD" w:rsidRPr="00D936CA" w:rsidRDefault="005B60BD" w:rsidP="00D936CA">
            <w:pPr>
              <w:spacing w:before="60" w:after="60" w:line="276" w:lineRule="auto"/>
              <w:rPr>
                <w:rFonts w:ascii="ITC Avant Garde" w:hAnsi="ITC Avant Garde"/>
                <w:sz w:val="20"/>
                <w:szCs w:val="20"/>
              </w:rPr>
            </w:pPr>
          </w:p>
        </w:tc>
        <w:tc>
          <w:tcPr>
            <w:tcW w:w="4840" w:type="dxa"/>
            <w:shd w:val="clear" w:color="auto" w:fill="FFFFFF"/>
            <w:tcMar>
              <w:top w:w="0" w:type="dxa"/>
              <w:left w:w="70" w:type="dxa"/>
              <w:bottom w:w="0" w:type="dxa"/>
              <w:right w:w="70" w:type="dxa"/>
            </w:tcMar>
            <w:vAlign w:val="bottom"/>
          </w:tcPr>
          <w:p w14:paraId="33CFE878" w14:textId="54C3B2B1" w:rsidR="005B60BD" w:rsidRPr="00D936CA" w:rsidRDefault="005B60BD" w:rsidP="00D936CA">
            <w:pPr>
              <w:spacing w:before="60" w:after="60" w:line="276" w:lineRule="auto"/>
              <w:rPr>
                <w:rFonts w:ascii="ITC Avant Garde" w:hAnsi="ITC Avant Garde"/>
                <w:sz w:val="20"/>
                <w:szCs w:val="20"/>
              </w:rPr>
            </w:pPr>
            <w:r w:rsidRPr="00D936CA">
              <w:rPr>
                <w:rFonts w:ascii="ITC Avant Garde" w:hAnsi="ITC Avant Garde"/>
                <w:sz w:val="20"/>
                <w:szCs w:val="20"/>
              </w:rPr>
              <w:t xml:space="preserve">Paquete </w:t>
            </w:r>
            <w:r>
              <w:rPr>
                <w:rFonts w:ascii="ITC Avant Garde" w:hAnsi="ITC Avant Garde"/>
                <w:sz w:val="20"/>
                <w:szCs w:val="20"/>
              </w:rPr>
              <w:t>999</w:t>
            </w:r>
            <w:r w:rsidRPr="00D936CA" w:rsidDel="00C94FBF">
              <w:rPr>
                <w:rFonts w:ascii="ITC Avant Garde" w:hAnsi="ITC Avant Garde"/>
                <w:sz w:val="20"/>
                <w:szCs w:val="20"/>
              </w:rPr>
              <w:t xml:space="preserve"> </w:t>
            </w:r>
          </w:p>
        </w:tc>
        <w:tc>
          <w:tcPr>
            <w:tcW w:w="1520" w:type="dxa"/>
            <w:shd w:val="clear" w:color="auto" w:fill="FFFFFF"/>
            <w:tcMar>
              <w:top w:w="0" w:type="dxa"/>
              <w:left w:w="70" w:type="dxa"/>
              <w:bottom w:w="0" w:type="dxa"/>
              <w:right w:w="70" w:type="dxa"/>
            </w:tcMar>
            <w:vAlign w:val="bottom"/>
          </w:tcPr>
          <w:p w14:paraId="33CFE879" w14:textId="72AB1048" w:rsidR="005B60BD" w:rsidRPr="00D936CA" w:rsidRDefault="005B60BD" w:rsidP="00D936CA">
            <w:pPr>
              <w:spacing w:before="60" w:after="60" w:line="276" w:lineRule="auto"/>
              <w:jc w:val="center"/>
              <w:rPr>
                <w:rFonts w:ascii="ITC Avant Garde" w:hAnsi="ITC Avant Garde"/>
                <w:sz w:val="20"/>
                <w:szCs w:val="20"/>
              </w:rPr>
            </w:pPr>
            <w:r w:rsidRPr="00A8272E">
              <w:rPr>
                <w:rFonts w:ascii="ITC Avant Garde" w:hAnsi="ITC Avant Garde"/>
                <w:sz w:val="20"/>
                <w:szCs w:val="20"/>
              </w:rPr>
              <w:t>100</w:t>
            </w:r>
          </w:p>
        </w:tc>
      </w:tr>
      <w:tr w:rsidR="005B60BD" w:rsidRPr="00D936CA" w14:paraId="33CFE87E" w14:textId="77777777" w:rsidTr="00E7277A">
        <w:trPr>
          <w:trHeight w:val="202"/>
          <w:jc w:val="center"/>
        </w:trPr>
        <w:tc>
          <w:tcPr>
            <w:tcW w:w="1900" w:type="dxa"/>
            <w:vMerge/>
            <w:shd w:val="clear" w:color="auto" w:fill="FFFFFF"/>
            <w:tcMar>
              <w:top w:w="0" w:type="dxa"/>
              <w:left w:w="70" w:type="dxa"/>
              <w:bottom w:w="0" w:type="dxa"/>
              <w:right w:w="70" w:type="dxa"/>
            </w:tcMar>
            <w:vAlign w:val="center"/>
          </w:tcPr>
          <w:p w14:paraId="33CFE87B" w14:textId="77777777" w:rsidR="005B60BD" w:rsidRPr="00D936CA" w:rsidRDefault="005B60BD" w:rsidP="00D936CA">
            <w:pPr>
              <w:spacing w:before="60" w:after="60" w:line="276" w:lineRule="auto"/>
              <w:rPr>
                <w:rFonts w:ascii="ITC Avant Garde" w:hAnsi="ITC Avant Garde"/>
                <w:sz w:val="20"/>
                <w:szCs w:val="20"/>
              </w:rPr>
            </w:pPr>
          </w:p>
        </w:tc>
        <w:tc>
          <w:tcPr>
            <w:tcW w:w="4840" w:type="dxa"/>
            <w:shd w:val="clear" w:color="auto" w:fill="FFFFFF"/>
            <w:tcMar>
              <w:top w:w="0" w:type="dxa"/>
              <w:left w:w="70" w:type="dxa"/>
              <w:bottom w:w="0" w:type="dxa"/>
              <w:right w:w="70" w:type="dxa"/>
            </w:tcMar>
            <w:vAlign w:val="bottom"/>
          </w:tcPr>
          <w:p w14:paraId="33CFE87C" w14:textId="77777777" w:rsidR="005B60BD" w:rsidRPr="00D936CA" w:rsidRDefault="005B60BD" w:rsidP="00D936CA">
            <w:pPr>
              <w:spacing w:before="60" w:after="60" w:line="276" w:lineRule="auto"/>
              <w:rPr>
                <w:rFonts w:ascii="ITC Avant Garde" w:hAnsi="ITC Avant Garde"/>
                <w:sz w:val="20"/>
                <w:szCs w:val="20"/>
              </w:rPr>
            </w:pPr>
            <w:r w:rsidRPr="00D936CA">
              <w:rPr>
                <w:rFonts w:ascii="ITC Avant Garde" w:hAnsi="ITC Avant Garde"/>
                <w:sz w:val="20"/>
                <w:szCs w:val="20"/>
              </w:rPr>
              <w:t>Paquete Infinitum 1499</w:t>
            </w:r>
          </w:p>
        </w:tc>
        <w:tc>
          <w:tcPr>
            <w:tcW w:w="1520" w:type="dxa"/>
            <w:shd w:val="clear" w:color="auto" w:fill="FFFFFF"/>
            <w:tcMar>
              <w:top w:w="0" w:type="dxa"/>
              <w:left w:w="70" w:type="dxa"/>
              <w:bottom w:w="0" w:type="dxa"/>
              <w:right w:w="70" w:type="dxa"/>
            </w:tcMar>
            <w:vAlign w:val="bottom"/>
          </w:tcPr>
          <w:p w14:paraId="33CFE87D" w14:textId="77777777" w:rsidR="005B60BD" w:rsidRPr="00D936CA" w:rsidRDefault="005B60BD" w:rsidP="00D936CA">
            <w:pPr>
              <w:spacing w:before="60" w:after="60" w:line="276" w:lineRule="auto"/>
              <w:jc w:val="center"/>
              <w:rPr>
                <w:rFonts w:ascii="ITC Avant Garde" w:hAnsi="ITC Avant Garde"/>
                <w:sz w:val="20"/>
                <w:szCs w:val="20"/>
              </w:rPr>
            </w:pPr>
            <w:r w:rsidRPr="00D936CA">
              <w:rPr>
                <w:rFonts w:ascii="ITC Avant Garde" w:hAnsi="ITC Avant Garde"/>
                <w:sz w:val="20"/>
                <w:szCs w:val="20"/>
              </w:rPr>
              <w:t>200</w:t>
            </w:r>
          </w:p>
        </w:tc>
      </w:tr>
      <w:tr w:rsidR="00D936CA" w:rsidRPr="00D936CA" w14:paraId="33CFE882" w14:textId="77777777" w:rsidTr="00E7277A">
        <w:trPr>
          <w:trHeight w:val="300"/>
          <w:jc w:val="center"/>
        </w:trPr>
        <w:tc>
          <w:tcPr>
            <w:tcW w:w="1900" w:type="dxa"/>
            <w:vMerge w:val="restart"/>
            <w:shd w:val="clear" w:color="auto" w:fill="FFFFFF"/>
            <w:tcMar>
              <w:top w:w="0" w:type="dxa"/>
              <w:left w:w="70" w:type="dxa"/>
              <w:bottom w:w="0" w:type="dxa"/>
              <w:right w:w="70" w:type="dxa"/>
            </w:tcMar>
            <w:vAlign w:val="center"/>
            <w:hideMark/>
          </w:tcPr>
          <w:p w14:paraId="33CFE87F" w14:textId="77777777" w:rsidR="00DE207B" w:rsidRPr="00D936CA" w:rsidRDefault="00DE207B"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Servicio Re</w:t>
            </w:r>
            <w:r w:rsidR="004F375A" w:rsidRPr="00D936CA">
              <w:rPr>
                <w:rFonts w:ascii="ITC Avant Garde" w:hAnsi="ITC Avant Garde"/>
                <w:sz w:val="20"/>
                <w:szCs w:val="20"/>
              </w:rPr>
              <w:t>venta Paquetes Infinitum (Comer</w:t>
            </w:r>
            <w:r w:rsidRPr="00D936CA">
              <w:rPr>
                <w:rFonts w:ascii="ITC Avant Garde" w:hAnsi="ITC Avant Garde"/>
                <w:sz w:val="20"/>
                <w:szCs w:val="20"/>
              </w:rPr>
              <w:t>ciales)</w:t>
            </w:r>
          </w:p>
        </w:tc>
        <w:tc>
          <w:tcPr>
            <w:tcW w:w="4840" w:type="dxa"/>
            <w:shd w:val="clear" w:color="auto" w:fill="FFFFFF"/>
            <w:tcMar>
              <w:top w:w="0" w:type="dxa"/>
              <w:left w:w="70" w:type="dxa"/>
              <w:bottom w:w="0" w:type="dxa"/>
              <w:right w:w="70" w:type="dxa"/>
            </w:tcMar>
            <w:vAlign w:val="bottom"/>
            <w:hideMark/>
          </w:tcPr>
          <w:p w14:paraId="33CFE880" w14:textId="77777777" w:rsidR="00DE207B" w:rsidRPr="00D936CA" w:rsidRDefault="006A4724"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Conectes Negocio</w:t>
            </w:r>
          </w:p>
        </w:tc>
        <w:tc>
          <w:tcPr>
            <w:tcW w:w="1520" w:type="dxa"/>
            <w:shd w:val="clear" w:color="auto" w:fill="FFFFFF"/>
            <w:tcMar>
              <w:top w:w="0" w:type="dxa"/>
              <w:left w:w="70" w:type="dxa"/>
              <w:bottom w:w="0" w:type="dxa"/>
              <w:right w:w="70" w:type="dxa"/>
            </w:tcMar>
            <w:vAlign w:val="bottom"/>
            <w:hideMark/>
          </w:tcPr>
          <w:p w14:paraId="33CFE881" w14:textId="77777777" w:rsidR="00DE207B" w:rsidRPr="00D936CA" w:rsidRDefault="00D03E62"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10</w:t>
            </w:r>
          </w:p>
        </w:tc>
      </w:tr>
      <w:tr w:rsidR="00D936CA" w:rsidRPr="00D936CA" w14:paraId="33CFE886" w14:textId="77777777" w:rsidTr="00E7277A">
        <w:trPr>
          <w:trHeight w:val="300"/>
          <w:jc w:val="center"/>
        </w:trPr>
        <w:tc>
          <w:tcPr>
            <w:tcW w:w="0" w:type="auto"/>
            <w:vMerge/>
            <w:vAlign w:val="center"/>
            <w:hideMark/>
          </w:tcPr>
          <w:p w14:paraId="33CFE883" w14:textId="77777777" w:rsidR="00DE207B" w:rsidRPr="00D936CA" w:rsidRDefault="00DE207B"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bottom"/>
            <w:hideMark/>
          </w:tcPr>
          <w:p w14:paraId="33CFE884" w14:textId="77777777" w:rsidR="00DE207B" w:rsidRPr="00D936CA" w:rsidRDefault="006A4724"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Mi Negocio</w:t>
            </w:r>
          </w:p>
        </w:tc>
        <w:tc>
          <w:tcPr>
            <w:tcW w:w="1520" w:type="dxa"/>
            <w:shd w:val="clear" w:color="auto" w:fill="FFFFFF"/>
            <w:tcMar>
              <w:top w:w="0" w:type="dxa"/>
              <w:left w:w="70" w:type="dxa"/>
              <w:bottom w:w="0" w:type="dxa"/>
              <w:right w:w="70" w:type="dxa"/>
            </w:tcMar>
            <w:vAlign w:val="bottom"/>
            <w:hideMark/>
          </w:tcPr>
          <w:p w14:paraId="33CFE885" w14:textId="77777777" w:rsidR="00DE207B" w:rsidRPr="00D936CA" w:rsidRDefault="00D03E62"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30</w:t>
            </w:r>
          </w:p>
        </w:tc>
      </w:tr>
      <w:tr w:rsidR="00D936CA" w:rsidRPr="00D936CA" w14:paraId="33CFE88A" w14:textId="77777777" w:rsidTr="00E7277A">
        <w:trPr>
          <w:trHeight w:val="300"/>
          <w:jc w:val="center"/>
        </w:trPr>
        <w:tc>
          <w:tcPr>
            <w:tcW w:w="0" w:type="auto"/>
            <w:vMerge/>
            <w:vAlign w:val="center"/>
            <w:hideMark/>
          </w:tcPr>
          <w:p w14:paraId="33CFE887" w14:textId="77777777" w:rsidR="00DE207B" w:rsidRPr="00D936CA" w:rsidRDefault="00DE207B"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bottom"/>
            <w:hideMark/>
          </w:tcPr>
          <w:p w14:paraId="33CFE888" w14:textId="77777777" w:rsidR="00DE207B" w:rsidRPr="00D936CA" w:rsidRDefault="006A4724"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 xml:space="preserve">Paquete </w:t>
            </w:r>
            <w:r w:rsidR="00E43F1F" w:rsidRPr="00D936CA">
              <w:rPr>
                <w:rFonts w:ascii="ITC Avant Garde" w:hAnsi="ITC Avant Garde"/>
                <w:sz w:val="20"/>
                <w:szCs w:val="20"/>
              </w:rPr>
              <w:t>Súper</w:t>
            </w:r>
            <w:r w:rsidR="009562CF" w:rsidRPr="00D936CA">
              <w:rPr>
                <w:rFonts w:ascii="ITC Avant Garde" w:hAnsi="ITC Avant Garde"/>
                <w:sz w:val="20"/>
                <w:szCs w:val="20"/>
              </w:rPr>
              <w:t xml:space="preserve"> N</w:t>
            </w:r>
            <w:r w:rsidRPr="00D936CA">
              <w:rPr>
                <w:rFonts w:ascii="ITC Avant Garde" w:hAnsi="ITC Avant Garde"/>
                <w:sz w:val="20"/>
                <w:szCs w:val="20"/>
              </w:rPr>
              <w:t>egocio</w:t>
            </w:r>
          </w:p>
        </w:tc>
        <w:tc>
          <w:tcPr>
            <w:tcW w:w="1520" w:type="dxa"/>
            <w:shd w:val="clear" w:color="auto" w:fill="FFFFFF"/>
            <w:tcMar>
              <w:top w:w="0" w:type="dxa"/>
              <w:left w:w="70" w:type="dxa"/>
              <w:bottom w:w="0" w:type="dxa"/>
              <w:right w:w="70" w:type="dxa"/>
            </w:tcMar>
            <w:vAlign w:val="bottom"/>
            <w:hideMark/>
          </w:tcPr>
          <w:p w14:paraId="33CFE889" w14:textId="77777777" w:rsidR="00DE207B" w:rsidRPr="00D936CA" w:rsidRDefault="00A73C3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50</w:t>
            </w:r>
          </w:p>
        </w:tc>
      </w:tr>
      <w:tr w:rsidR="00D936CA" w:rsidRPr="00D936CA" w14:paraId="33CFE88E" w14:textId="77777777" w:rsidTr="00E7277A">
        <w:trPr>
          <w:trHeight w:val="300"/>
          <w:jc w:val="center"/>
        </w:trPr>
        <w:tc>
          <w:tcPr>
            <w:tcW w:w="0" w:type="auto"/>
            <w:vMerge/>
            <w:vAlign w:val="center"/>
            <w:hideMark/>
          </w:tcPr>
          <w:p w14:paraId="33CFE88B" w14:textId="77777777" w:rsidR="00DE207B" w:rsidRPr="00D936CA" w:rsidRDefault="00DE207B"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bottom"/>
            <w:hideMark/>
          </w:tcPr>
          <w:p w14:paraId="33CFE88C" w14:textId="279C8E26" w:rsidR="00DE207B" w:rsidRPr="00D936CA" w:rsidRDefault="006A4724"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Telmex Negocio Sin L</w:t>
            </w:r>
            <w:r w:rsidR="000A2A1D">
              <w:rPr>
                <w:rFonts w:ascii="ITC Avant Garde" w:hAnsi="ITC Avant Garde"/>
                <w:sz w:val="20"/>
                <w:szCs w:val="20"/>
              </w:rPr>
              <w:t>í</w:t>
            </w:r>
            <w:r w:rsidRPr="00D936CA">
              <w:rPr>
                <w:rFonts w:ascii="ITC Avant Garde" w:hAnsi="ITC Avant Garde"/>
                <w:sz w:val="20"/>
                <w:szCs w:val="20"/>
              </w:rPr>
              <w:t>mites 1</w:t>
            </w:r>
          </w:p>
        </w:tc>
        <w:tc>
          <w:tcPr>
            <w:tcW w:w="1520" w:type="dxa"/>
            <w:shd w:val="clear" w:color="auto" w:fill="FFFFFF"/>
            <w:tcMar>
              <w:top w:w="0" w:type="dxa"/>
              <w:left w:w="70" w:type="dxa"/>
              <w:bottom w:w="0" w:type="dxa"/>
              <w:right w:w="70" w:type="dxa"/>
            </w:tcMar>
            <w:vAlign w:val="bottom"/>
            <w:hideMark/>
          </w:tcPr>
          <w:p w14:paraId="33CFE88D" w14:textId="77777777" w:rsidR="00DE207B" w:rsidRPr="00D936CA" w:rsidRDefault="00C52058"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100</w:t>
            </w:r>
          </w:p>
        </w:tc>
      </w:tr>
      <w:tr w:rsidR="00D936CA" w:rsidRPr="00D936CA" w14:paraId="33CFE892" w14:textId="77777777" w:rsidTr="00E7277A">
        <w:trPr>
          <w:trHeight w:val="300"/>
          <w:jc w:val="center"/>
        </w:trPr>
        <w:tc>
          <w:tcPr>
            <w:tcW w:w="0" w:type="auto"/>
            <w:vMerge/>
            <w:vAlign w:val="center"/>
            <w:hideMark/>
          </w:tcPr>
          <w:p w14:paraId="33CFE88F" w14:textId="77777777" w:rsidR="00DE207B" w:rsidRPr="00D936CA" w:rsidRDefault="00DE207B"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bottom"/>
            <w:hideMark/>
          </w:tcPr>
          <w:p w14:paraId="33CFE890" w14:textId="3C06022D" w:rsidR="00DE207B" w:rsidRPr="00D936CA" w:rsidRDefault="006A4724"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Telmex Negocio Sin L</w:t>
            </w:r>
            <w:r w:rsidR="000A2A1D">
              <w:rPr>
                <w:rFonts w:ascii="ITC Avant Garde" w:hAnsi="ITC Avant Garde"/>
                <w:sz w:val="20"/>
                <w:szCs w:val="20"/>
              </w:rPr>
              <w:t>í</w:t>
            </w:r>
            <w:r w:rsidRPr="00D936CA">
              <w:rPr>
                <w:rFonts w:ascii="ITC Avant Garde" w:hAnsi="ITC Avant Garde"/>
                <w:sz w:val="20"/>
                <w:szCs w:val="20"/>
              </w:rPr>
              <w:t>mites 2</w:t>
            </w:r>
          </w:p>
        </w:tc>
        <w:tc>
          <w:tcPr>
            <w:tcW w:w="1520" w:type="dxa"/>
            <w:shd w:val="clear" w:color="auto" w:fill="FFFFFF"/>
            <w:tcMar>
              <w:top w:w="0" w:type="dxa"/>
              <w:left w:w="70" w:type="dxa"/>
              <w:bottom w:w="0" w:type="dxa"/>
              <w:right w:w="70" w:type="dxa"/>
            </w:tcMar>
            <w:vAlign w:val="bottom"/>
            <w:hideMark/>
          </w:tcPr>
          <w:p w14:paraId="33CFE891" w14:textId="77777777" w:rsidR="00DE207B" w:rsidRPr="00D936CA" w:rsidRDefault="00A73C3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150</w:t>
            </w:r>
          </w:p>
        </w:tc>
      </w:tr>
      <w:tr w:rsidR="00D936CA" w:rsidRPr="00D936CA" w14:paraId="33CFE896" w14:textId="77777777" w:rsidTr="00E7277A">
        <w:trPr>
          <w:trHeight w:val="300"/>
          <w:jc w:val="center"/>
        </w:trPr>
        <w:tc>
          <w:tcPr>
            <w:tcW w:w="0" w:type="auto"/>
            <w:vMerge/>
            <w:vAlign w:val="center"/>
            <w:hideMark/>
          </w:tcPr>
          <w:p w14:paraId="33CFE893" w14:textId="77777777" w:rsidR="00DE207B" w:rsidRPr="00D936CA" w:rsidRDefault="00DE207B" w:rsidP="00D936CA">
            <w:pPr>
              <w:spacing w:before="60" w:after="60" w:line="276" w:lineRule="auto"/>
              <w:rPr>
                <w:rFonts w:ascii="ITC Avant Garde" w:eastAsiaTheme="minorHAnsi" w:hAnsi="ITC Avant Garde"/>
                <w:sz w:val="20"/>
                <w:szCs w:val="20"/>
              </w:rPr>
            </w:pPr>
          </w:p>
        </w:tc>
        <w:tc>
          <w:tcPr>
            <w:tcW w:w="4840" w:type="dxa"/>
            <w:shd w:val="clear" w:color="auto" w:fill="FFFFFF"/>
            <w:tcMar>
              <w:top w:w="0" w:type="dxa"/>
              <w:left w:w="70" w:type="dxa"/>
              <w:bottom w:w="0" w:type="dxa"/>
              <w:right w:w="70" w:type="dxa"/>
            </w:tcMar>
            <w:vAlign w:val="bottom"/>
            <w:hideMark/>
          </w:tcPr>
          <w:p w14:paraId="33CFE894" w14:textId="4D8E3EEE" w:rsidR="00DE207B" w:rsidRPr="00D936CA" w:rsidRDefault="006A4724" w:rsidP="00D936CA">
            <w:pPr>
              <w:spacing w:before="60" w:after="60" w:line="276" w:lineRule="auto"/>
              <w:rPr>
                <w:rFonts w:ascii="ITC Avant Garde" w:eastAsiaTheme="minorHAnsi" w:hAnsi="ITC Avant Garde"/>
                <w:sz w:val="20"/>
                <w:szCs w:val="20"/>
              </w:rPr>
            </w:pPr>
            <w:r w:rsidRPr="00D936CA">
              <w:rPr>
                <w:rFonts w:ascii="ITC Avant Garde" w:hAnsi="ITC Avant Garde"/>
                <w:sz w:val="20"/>
                <w:szCs w:val="20"/>
              </w:rPr>
              <w:t>Paquete Telmex Negocio Sin L</w:t>
            </w:r>
            <w:r w:rsidR="000A2A1D">
              <w:rPr>
                <w:rFonts w:ascii="ITC Avant Garde" w:hAnsi="ITC Avant Garde"/>
                <w:sz w:val="20"/>
                <w:szCs w:val="20"/>
              </w:rPr>
              <w:t>í</w:t>
            </w:r>
            <w:r w:rsidRPr="00D936CA">
              <w:rPr>
                <w:rFonts w:ascii="ITC Avant Garde" w:hAnsi="ITC Avant Garde"/>
                <w:sz w:val="20"/>
                <w:szCs w:val="20"/>
              </w:rPr>
              <w:t>mites 3</w:t>
            </w:r>
          </w:p>
        </w:tc>
        <w:tc>
          <w:tcPr>
            <w:tcW w:w="1520" w:type="dxa"/>
            <w:shd w:val="clear" w:color="auto" w:fill="FFFFFF"/>
            <w:tcMar>
              <w:top w:w="0" w:type="dxa"/>
              <w:left w:w="70" w:type="dxa"/>
              <w:bottom w:w="0" w:type="dxa"/>
              <w:right w:w="70" w:type="dxa"/>
            </w:tcMar>
            <w:vAlign w:val="bottom"/>
            <w:hideMark/>
          </w:tcPr>
          <w:p w14:paraId="33CFE895" w14:textId="77777777" w:rsidR="00DE207B" w:rsidRPr="00D936CA" w:rsidRDefault="00A73C36" w:rsidP="00D936CA">
            <w:pPr>
              <w:spacing w:before="60" w:after="60" w:line="276" w:lineRule="auto"/>
              <w:jc w:val="center"/>
              <w:rPr>
                <w:rFonts w:ascii="ITC Avant Garde" w:eastAsiaTheme="minorHAnsi" w:hAnsi="ITC Avant Garde"/>
                <w:sz w:val="20"/>
                <w:szCs w:val="20"/>
              </w:rPr>
            </w:pPr>
            <w:r w:rsidRPr="00D936CA">
              <w:rPr>
                <w:rFonts w:ascii="ITC Avant Garde" w:hAnsi="ITC Avant Garde"/>
                <w:sz w:val="20"/>
                <w:szCs w:val="20"/>
              </w:rPr>
              <w:t>200</w:t>
            </w:r>
          </w:p>
        </w:tc>
      </w:tr>
    </w:tbl>
    <w:p w14:paraId="33CFE897" w14:textId="77777777" w:rsidR="00F07FD9" w:rsidRPr="00D936CA" w:rsidRDefault="00424F8D" w:rsidP="00D936CA">
      <w:pPr>
        <w:spacing w:before="120" w:after="200" w:line="276" w:lineRule="auto"/>
        <w:ind w:left="284"/>
        <w:jc w:val="center"/>
        <w:rPr>
          <w:rFonts w:ascii="ITC Avant Garde" w:hAnsi="ITC Avant Garde"/>
          <w:sz w:val="16"/>
          <w:szCs w:val="18"/>
          <w:lang w:val="es-MX"/>
        </w:rPr>
      </w:pPr>
      <w:r w:rsidRPr="00D936CA">
        <w:rPr>
          <w:rFonts w:ascii="ITC Avant Garde" w:hAnsi="ITC Avant Garde"/>
          <w:sz w:val="16"/>
          <w:szCs w:val="18"/>
          <w:lang w:val="es-MX"/>
        </w:rPr>
        <w:t>Tabla 9</w:t>
      </w:r>
      <w:r w:rsidR="00C73689" w:rsidRPr="00D936CA">
        <w:rPr>
          <w:rFonts w:ascii="ITC Avant Garde" w:hAnsi="ITC Avant Garde"/>
          <w:sz w:val="16"/>
          <w:szCs w:val="18"/>
          <w:lang w:val="es-MX"/>
        </w:rPr>
        <w:t xml:space="preserve"> </w:t>
      </w:r>
      <w:r w:rsidR="00386F86" w:rsidRPr="00D936CA">
        <w:rPr>
          <w:rFonts w:ascii="ITC Avant Garde" w:hAnsi="ITC Avant Garde"/>
          <w:sz w:val="16"/>
          <w:szCs w:val="18"/>
          <w:lang w:val="es-MX"/>
        </w:rPr>
        <w:t>Modalidades de Reventa de Paquetes</w:t>
      </w:r>
    </w:p>
    <w:p w14:paraId="33CFE899" w14:textId="66C0169C" w:rsidR="003F41DD" w:rsidRPr="00D936CA" w:rsidRDefault="00011A1B" w:rsidP="00D936CA">
      <w:pPr>
        <w:tabs>
          <w:tab w:val="left" w:pos="2051"/>
        </w:tabs>
        <w:spacing w:after="200" w:line="276" w:lineRule="auto"/>
        <w:jc w:val="both"/>
        <w:rPr>
          <w:rFonts w:ascii="ITC Avant Garde" w:hAnsi="ITC Avant Garde" w:cs="Arial"/>
          <w:sz w:val="22"/>
          <w:szCs w:val="22"/>
        </w:rPr>
      </w:pPr>
      <w:r w:rsidRPr="00D936CA">
        <w:rPr>
          <w:rFonts w:ascii="ITC Avant Garde" w:hAnsi="ITC Avant Garde" w:cs="Arial"/>
          <w:sz w:val="22"/>
          <w:szCs w:val="22"/>
        </w:rPr>
        <w:lastRenderedPageBreak/>
        <w:t>El CS deberá expresar la modalidad que desea contratar (residencial/comercial) en el momento de la solicitud</w:t>
      </w:r>
      <w:r w:rsidR="00493B51" w:rsidRPr="00D936CA">
        <w:rPr>
          <w:rStyle w:val="Refdenotaalpie"/>
          <w:rFonts w:ascii="ITC Avant Garde" w:hAnsi="ITC Avant Garde" w:cs="Arial"/>
          <w:sz w:val="22"/>
          <w:szCs w:val="22"/>
        </w:rPr>
        <w:footnoteReference w:id="10"/>
      </w:r>
      <w:r w:rsidRPr="00D936CA">
        <w:rPr>
          <w:rFonts w:ascii="ITC Avant Garde" w:hAnsi="ITC Avant Garde" w:cs="Arial"/>
          <w:sz w:val="22"/>
          <w:szCs w:val="22"/>
        </w:rPr>
        <w:t>, si el domicilio del usuario final p</w:t>
      </w:r>
      <w:r w:rsidR="000457D3" w:rsidRPr="00D936CA">
        <w:rPr>
          <w:rFonts w:ascii="ITC Avant Garde" w:hAnsi="ITC Avant Garde" w:cs="Arial"/>
          <w:sz w:val="22"/>
          <w:szCs w:val="22"/>
        </w:rPr>
        <w:t>ara el que se ha solicitado un Servicio de Reventa de P</w:t>
      </w:r>
      <w:r w:rsidRPr="00D936CA">
        <w:rPr>
          <w:rFonts w:ascii="ITC Avant Garde" w:hAnsi="ITC Avant Garde" w:cs="Arial"/>
          <w:sz w:val="22"/>
          <w:szCs w:val="22"/>
        </w:rPr>
        <w:t xml:space="preserve">aquetes residencial no es </w:t>
      </w:r>
      <w:r w:rsidR="00044D4E" w:rsidRPr="00D936CA">
        <w:rPr>
          <w:rFonts w:ascii="ITC Avant Garde" w:hAnsi="ITC Avant Garde" w:cs="Arial"/>
          <w:sz w:val="22"/>
          <w:szCs w:val="22"/>
        </w:rPr>
        <w:t xml:space="preserve">de una </w:t>
      </w:r>
      <w:r w:rsidRPr="00D936CA">
        <w:rPr>
          <w:rFonts w:ascii="ITC Avant Garde" w:hAnsi="ITC Avant Garde" w:cs="Arial"/>
          <w:sz w:val="22"/>
          <w:szCs w:val="22"/>
        </w:rPr>
        <w:t>persona física, se habilitará el Servicio de Reventa de Paquetes en la modalidad comercial más parecida</w:t>
      </w:r>
      <w:r w:rsidR="00515D09" w:rsidRPr="00D936CA">
        <w:rPr>
          <w:rFonts w:ascii="ITC Avant Garde" w:hAnsi="ITC Avant Garde" w:cs="Arial"/>
          <w:sz w:val="22"/>
          <w:szCs w:val="22"/>
        </w:rPr>
        <w:t xml:space="preserve"> correspondiente a una persona moral</w:t>
      </w:r>
      <w:r w:rsidRPr="00D936CA">
        <w:rPr>
          <w:rFonts w:ascii="ITC Avant Garde" w:hAnsi="ITC Avant Garde" w:cs="Arial"/>
          <w:sz w:val="22"/>
          <w:szCs w:val="22"/>
        </w:rPr>
        <w:t>.</w:t>
      </w:r>
    </w:p>
    <w:p w14:paraId="33CFE89A" w14:textId="77777777" w:rsidR="002F4328" w:rsidRPr="00D936CA" w:rsidRDefault="00011A1B" w:rsidP="00D936CA">
      <w:pPr>
        <w:tabs>
          <w:tab w:val="left" w:pos="2051"/>
        </w:tabs>
        <w:spacing w:after="200" w:line="276" w:lineRule="auto"/>
        <w:jc w:val="both"/>
        <w:rPr>
          <w:rFonts w:ascii="ITC Avant Garde" w:hAnsi="ITC Avant Garde" w:cs="Arial"/>
          <w:b/>
          <w:sz w:val="22"/>
          <w:szCs w:val="22"/>
        </w:rPr>
      </w:pPr>
      <w:r w:rsidRPr="00D936CA">
        <w:rPr>
          <w:rFonts w:ascii="ITC Avant Garde" w:hAnsi="ITC Avant Garde" w:cs="Arial"/>
          <w:b/>
          <w:sz w:val="22"/>
          <w:szCs w:val="22"/>
        </w:rPr>
        <w:t>Alcance del servicio</w:t>
      </w:r>
    </w:p>
    <w:p w14:paraId="33CFE89B" w14:textId="77777777" w:rsidR="00F07FD9" w:rsidRPr="00D936CA" w:rsidRDefault="00011A1B" w:rsidP="00D936CA">
      <w:pPr>
        <w:spacing w:before="240" w:after="200" w:line="276" w:lineRule="auto"/>
        <w:jc w:val="both"/>
        <w:rPr>
          <w:rFonts w:ascii="ITC Avant Garde" w:hAnsi="ITC Avant Garde"/>
          <w:sz w:val="22"/>
          <w:szCs w:val="22"/>
        </w:rPr>
      </w:pPr>
      <w:r w:rsidRPr="00D936CA">
        <w:rPr>
          <w:rFonts w:ascii="ITC Avant Garde" w:hAnsi="ITC Avant Garde"/>
          <w:sz w:val="22"/>
          <w:szCs w:val="22"/>
        </w:rPr>
        <w:t>El alcance y responsabilidad de Telmex en el Servicio de Reventa de Paquetes es el siguiente:</w:t>
      </w:r>
    </w:p>
    <w:p w14:paraId="33CFE89C" w14:textId="77777777" w:rsidR="00F07FD9"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Instalación del servicio</w:t>
      </w:r>
    </w:p>
    <w:p w14:paraId="33CFE89D" w14:textId="77777777" w:rsidR="003F5389"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Habilitación de los servicios en la red y Sistemas de Gestión Telmex;</w:t>
      </w:r>
    </w:p>
    <w:p w14:paraId="33CFE89E" w14:textId="77777777" w:rsidR="00F07FD9" w:rsidRPr="00D936CA" w:rsidRDefault="00011A1B" w:rsidP="00D936CA">
      <w:pPr>
        <w:pStyle w:val="Prrafodelista"/>
        <w:numPr>
          <w:ilvl w:val="1"/>
          <w:numId w:val="25"/>
        </w:numPr>
        <w:spacing w:after="200" w:line="276" w:lineRule="auto"/>
        <w:ind w:left="1418"/>
        <w:jc w:val="both"/>
        <w:rPr>
          <w:rFonts w:ascii="ITC Avant Garde" w:hAnsi="ITC Avant Garde" w:cs="Arial"/>
          <w:sz w:val="22"/>
          <w:szCs w:val="22"/>
          <w:lang w:val="es-MX"/>
        </w:rPr>
      </w:pPr>
      <w:r w:rsidRPr="00D936CA">
        <w:rPr>
          <w:rFonts w:ascii="ITC Avant Garde" w:hAnsi="ITC Avant Garde" w:cs="Arial"/>
          <w:sz w:val="22"/>
          <w:szCs w:val="22"/>
          <w:lang w:val="es-MX"/>
        </w:rPr>
        <w:t>Servicio de voz y de internet.</w:t>
      </w:r>
    </w:p>
    <w:p w14:paraId="33CFE89F" w14:textId="0311E16F" w:rsidR="00CA0700" w:rsidRPr="00D936CA" w:rsidRDefault="00CA0700"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El usuario final podrá navegar en internet a través de este servicio bajo las mismas condiciones físicas y técnicas que actualmente ofrece Telmex a sus usuarios finales, los usuarios podrán ingresar a las zonas de cobertura de WiFi Móvil en </w:t>
      </w:r>
      <w:r w:rsidR="003C5036" w:rsidRPr="00D936CA">
        <w:rPr>
          <w:rFonts w:ascii="ITC Avant Garde" w:hAnsi="ITC Avant Garde" w:cs="Arial"/>
          <w:sz w:val="22"/>
          <w:szCs w:val="22"/>
          <w:lang w:val="es-MX"/>
        </w:rPr>
        <w:t>Internet</w:t>
      </w:r>
      <w:r w:rsidRPr="00D936CA">
        <w:rPr>
          <w:rFonts w:ascii="ITC Avant Garde" w:hAnsi="ITC Avant Garde" w:cs="Arial"/>
          <w:sz w:val="22"/>
          <w:szCs w:val="22"/>
          <w:lang w:val="es-MX"/>
        </w:rPr>
        <w:t>, para lo que Telmex otorgará un usuario y contraseña por cada usuario final.</w:t>
      </w:r>
    </w:p>
    <w:p w14:paraId="33CFE8A0" w14:textId="60020EC1" w:rsidR="00B40DA8" w:rsidRPr="00D936CA" w:rsidRDefault="00B40DA8" w:rsidP="00D936CA">
      <w:pPr>
        <w:spacing w:after="200" w:line="276" w:lineRule="auto"/>
        <w:jc w:val="both"/>
        <w:rPr>
          <w:rFonts w:ascii="ITC Avant Garde" w:hAnsi="ITC Avant Garde"/>
          <w:bCs/>
          <w:sz w:val="22"/>
          <w:szCs w:val="22"/>
        </w:rPr>
      </w:pPr>
      <w:r w:rsidRPr="00D936CA">
        <w:rPr>
          <w:rFonts w:ascii="ITC Avant Garde" w:hAnsi="ITC Avant Garde"/>
          <w:bCs/>
          <w:sz w:val="22"/>
          <w:szCs w:val="22"/>
        </w:rPr>
        <w:t xml:space="preserve">Las condiciones del servicio de WiFi Móvil en </w:t>
      </w:r>
      <w:r w:rsidR="004976F6" w:rsidRPr="00D936CA">
        <w:rPr>
          <w:rFonts w:ascii="ITC Avant Garde" w:hAnsi="ITC Avant Garde"/>
          <w:bCs/>
          <w:sz w:val="22"/>
          <w:szCs w:val="22"/>
        </w:rPr>
        <w:t>Internet</w:t>
      </w:r>
      <w:r w:rsidRPr="00D936CA">
        <w:rPr>
          <w:rFonts w:ascii="ITC Avant Garde" w:hAnsi="ITC Avant Garde"/>
          <w:bCs/>
          <w:sz w:val="22"/>
          <w:szCs w:val="22"/>
        </w:rPr>
        <w:t xml:space="preserve"> serán idénticas a las que Telmex ofrezca a sus usuarios, de lo contrario, Telmex notificará con anticipación </w:t>
      </w:r>
      <w:r w:rsidR="004976F6" w:rsidRPr="00D936CA">
        <w:rPr>
          <w:rFonts w:ascii="ITC Avant Garde" w:hAnsi="ITC Avant Garde"/>
          <w:bCs/>
          <w:sz w:val="22"/>
          <w:szCs w:val="22"/>
        </w:rPr>
        <w:t xml:space="preserve">de </w:t>
      </w:r>
      <w:r w:rsidRPr="00D936CA">
        <w:rPr>
          <w:rFonts w:ascii="ITC Avant Garde" w:hAnsi="ITC Avant Garde"/>
          <w:bCs/>
          <w:sz w:val="22"/>
          <w:szCs w:val="22"/>
        </w:rPr>
        <w:t xml:space="preserve">al menos un mes cualquier cambio que pudiera presentarse en el servicio de WiFi Móvil. </w:t>
      </w:r>
    </w:p>
    <w:p w14:paraId="33CFE8A2" w14:textId="5A6036A9" w:rsidR="003F41DD" w:rsidRPr="00D936CA" w:rsidRDefault="00011A1B" w:rsidP="00D936CA">
      <w:p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El CS podrá solicitar en el formato de solicitud de </w:t>
      </w:r>
      <w:r w:rsidR="00C81017" w:rsidRPr="00D936CA">
        <w:rPr>
          <w:rFonts w:ascii="ITC Avant Garde" w:hAnsi="ITC Avant Garde" w:cs="Arial"/>
          <w:sz w:val="22"/>
          <w:szCs w:val="22"/>
          <w:lang w:val="es-MX"/>
        </w:rPr>
        <w:t>Servicio Auxiliar de Cableado Interior</w:t>
      </w:r>
      <w:r w:rsidRPr="00D936CA">
        <w:rPr>
          <w:rFonts w:ascii="ITC Avant Garde" w:hAnsi="ITC Avant Garde" w:cs="Arial"/>
          <w:sz w:val="22"/>
          <w:szCs w:val="22"/>
          <w:lang w:val="es-MX"/>
        </w:rPr>
        <w:t>, que Telmex provea el cableado interior y/o el módem u ONT según corresponda, los cuales se instalarán en el domicilio del usuario cuando se lleve a cabo la instalación del servicio de desagregación, bajo una contraprestación específica.</w:t>
      </w:r>
    </w:p>
    <w:p w14:paraId="33CFE8A3" w14:textId="77777777" w:rsidR="00F07FD9" w:rsidRPr="00D936CA" w:rsidRDefault="00011A1B"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El CS podrá solicitar los siguientes movimientos:</w:t>
      </w:r>
    </w:p>
    <w:p w14:paraId="33CFE8A4" w14:textId="77777777" w:rsidR="00F07FD9" w:rsidRPr="00D936CA" w:rsidRDefault="00011A1B" w:rsidP="00D936CA">
      <w:pPr>
        <w:numPr>
          <w:ilvl w:val="0"/>
          <w:numId w:val="37"/>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Cambio de Paquete.</w:t>
      </w:r>
    </w:p>
    <w:p w14:paraId="33CFE8A5" w14:textId="77777777" w:rsidR="003F5389" w:rsidRPr="00D936CA" w:rsidRDefault="00011A1B" w:rsidP="00D936CA">
      <w:pPr>
        <w:numPr>
          <w:ilvl w:val="0"/>
          <w:numId w:val="37"/>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Cambio de domicilio.</w:t>
      </w:r>
    </w:p>
    <w:p w14:paraId="33CFE8A7" w14:textId="7C8FDCC9" w:rsidR="003F41DD"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 xml:space="preserve">La facturación a los usuarios finales de los servicios será responsabilidad del CS, por lo que Telmex pondrá a disposición de los CS </w:t>
      </w:r>
      <w:r w:rsidR="00044D4E" w:rsidRPr="00D936CA">
        <w:rPr>
          <w:rFonts w:ascii="ITC Avant Garde" w:hAnsi="ITC Avant Garde"/>
          <w:sz w:val="22"/>
          <w:szCs w:val="22"/>
        </w:rPr>
        <w:t xml:space="preserve">diariamente </w:t>
      </w:r>
      <w:r w:rsidRPr="00D936CA">
        <w:rPr>
          <w:rFonts w:ascii="ITC Avant Garde" w:hAnsi="ITC Avant Garde"/>
          <w:sz w:val="22"/>
          <w:szCs w:val="22"/>
        </w:rPr>
        <w:t>los tráficos cursados por cada usuario final (CDR</w:t>
      </w:r>
      <w:r w:rsidR="00C73689" w:rsidRPr="00D936CA">
        <w:rPr>
          <w:rFonts w:ascii="ITC Avant Garde" w:hAnsi="ITC Avant Garde"/>
          <w:sz w:val="22"/>
          <w:szCs w:val="22"/>
        </w:rPr>
        <w:t>s</w:t>
      </w:r>
      <w:r w:rsidRPr="00D936CA">
        <w:rPr>
          <w:rFonts w:ascii="ITC Avant Garde" w:hAnsi="ITC Avant Garde"/>
          <w:sz w:val="22"/>
          <w:szCs w:val="22"/>
        </w:rPr>
        <w:t>) a través del sistema SIANA para que sean descargados por cada CS.</w:t>
      </w:r>
    </w:p>
    <w:p w14:paraId="36160AB3" w14:textId="77777777" w:rsidR="00845691" w:rsidRDefault="00845691" w:rsidP="00D936CA">
      <w:pPr>
        <w:spacing w:after="200" w:line="276" w:lineRule="auto"/>
        <w:jc w:val="both"/>
        <w:rPr>
          <w:rFonts w:ascii="ITC Avant Garde" w:hAnsi="ITC Avant Garde"/>
          <w:sz w:val="22"/>
          <w:szCs w:val="22"/>
        </w:rPr>
      </w:pPr>
    </w:p>
    <w:p w14:paraId="585AF5C8" w14:textId="1561BC93" w:rsidR="00B15730" w:rsidRDefault="00B15730" w:rsidP="00A8272E">
      <w:pPr>
        <w:pStyle w:val="Ttulo2"/>
        <w:numPr>
          <w:ilvl w:val="1"/>
          <w:numId w:val="143"/>
        </w:numPr>
        <w:ind w:left="851" w:hanging="425"/>
      </w:pPr>
      <w:bookmarkStart w:id="275" w:name="_Toc518031972"/>
      <w:r>
        <w:t>Moléculas de incremento de velocidad</w:t>
      </w:r>
      <w:bookmarkEnd w:id="275"/>
    </w:p>
    <w:p w14:paraId="25060DBE" w14:textId="58A992F3" w:rsidR="00B15730" w:rsidRDefault="00B15730" w:rsidP="00D936CA">
      <w:pPr>
        <w:spacing w:after="200" w:line="276" w:lineRule="auto"/>
        <w:jc w:val="both"/>
        <w:rPr>
          <w:rFonts w:ascii="ITC Avant Garde" w:hAnsi="ITC Avant Garde"/>
          <w:sz w:val="22"/>
          <w:szCs w:val="22"/>
        </w:rPr>
      </w:pPr>
      <w:r>
        <w:rPr>
          <w:rFonts w:ascii="ITC Avant Garde" w:hAnsi="ITC Avant Garde"/>
          <w:sz w:val="22"/>
          <w:szCs w:val="22"/>
        </w:rPr>
        <w:t xml:space="preserve">Se trata de planes opcionales </w:t>
      </w:r>
      <w:r w:rsidRPr="00B15730">
        <w:rPr>
          <w:rFonts w:ascii="ITC Avant Garde" w:hAnsi="ITC Avant Garde"/>
          <w:sz w:val="22"/>
          <w:szCs w:val="22"/>
        </w:rPr>
        <w:t xml:space="preserve">de </w:t>
      </w:r>
      <w:r>
        <w:rPr>
          <w:rFonts w:ascii="ITC Avant Garde" w:hAnsi="ITC Avant Garde"/>
          <w:sz w:val="22"/>
          <w:szCs w:val="22"/>
        </w:rPr>
        <w:t xml:space="preserve">incrementos de velocidad sobre un Servicio de Reventa de Paquetes en la modalidad de </w:t>
      </w:r>
      <w:r w:rsidRPr="00B15730">
        <w:rPr>
          <w:rFonts w:ascii="ITC Avant Garde" w:hAnsi="ITC Avant Garde"/>
          <w:sz w:val="22"/>
          <w:szCs w:val="22"/>
        </w:rPr>
        <w:t xml:space="preserve">“Paquete Conectes” </w:t>
      </w:r>
      <w:r w:rsidR="002C32FA">
        <w:rPr>
          <w:rFonts w:ascii="ITC Avant Garde" w:hAnsi="ITC Avant Garde"/>
          <w:sz w:val="22"/>
          <w:szCs w:val="22"/>
        </w:rPr>
        <w:t>y</w:t>
      </w:r>
      <w:r w:rsidRPr="00B15730">
        <w:rPr>
          <w:rFonts w:ascii="ITC Avant Garde" w:hAnsi="ITC Avant Garde"/>
          <w:sz w:val="22"/>
          <w:szCs w:val="22"/>
        </w:rPr>
        <w:t xml:space="preserve"> “Paquete Conectes Frontera”, </w:t>
      </w:r>
      <w:r>
        <w:rPr>
          <w:rFonts w:ascii="ITC Avant Garde" w:hAnsi="ITC Avant Garde"/>
          <w:sz w:val="22"/>
          <w:szCs w:val="22"/>
        </w:rPr>
        <w:t xml:space="preserve">que </w:t>
      </w:r>
      <w:r w:rsidRPr="00B15730">
        <w:rPr>
          <w:rFonts w:ascii="ITC Avant Garde" w:hAnsi="ITC Avant Garde"/>
          <w:sz w:val="22"/>
          <w:szCs w:val="22"/>
        </w:rPr>
        <w:t xml:space="preserve">incluye </w:t>
      </w:r>
      <w:r w:rsidR="005B60BD">
        <w:rPr>
          <w:rFonts w:ascii="ITC Avant Garde" w:hAnsi="ITC Avant Garde"/>
          <w:sz w:val="22"/>
          <w:szCs w:val="22"/>
        </w:rPr>
        <w:t>l</w:t>
      </w:r>
      <w:r w:rsidRPr="00B15730">
        <w:rPr>
          <w:rFonts w:ascii="ITC Avant Garde" w:hAnsi="ITC Avant Garde"/>
          <w:sz w:val="22"/>
          <w:szCs w:val="22"/>
        </w:rPr>
        <w:t xml:space="preserve">lamadas </w:t>
      </w:r>
      <w:r w:rsidR="005B60BD">
        <w:rPr>
          <w:rFonts w:ascii="ITC Avant Garde" w:hAnsi="ITC Avant Garde"/>
          <w:sz w:val="22"/>
          <w:szCs w:val="22"/>
        </w:rPr>
        <w:t>l</w:t>
      </w:r>
      <w:r w:rsidRPr="00B15730">
        <w:rPr>
          <w:rFonts w:ascii="ITC Avant Garde" w:hAnsi="ITC Avant Garde"/>
          <w:sz w:val="22"/>
          <w:szCs w:val="22"/>
        </w:rPr>
        <w:t xml:space="preserve">ocales </w:t>
      </w:r>
      <w:r w:rsidR="005B60BD">
        <w:rPr>
          <w:rFonts w:ascii="ITC Avant Garde" w:hAnsi="ITC Avant Garde"/>
          <w:sz w:val="22"/>
          <w:szCs w:val="22"/>
        </w:rPr>
        <w:t>i</w:t>
      </w:r>
      <w:r w:rsidRPr="00B15730">
        <w:rPr>
          <w:rFonts w:ascii="ITC Avant Garde" w:hAnsi="ITC Avant Garde"/>
          <w:sz w:val="22"/>
          <w:szCs w:val="22"/>
        </w:rPr>
        <w:t xml:space="preserve">limitadas, </w:t>
      </w:r>
      <w:r w:rsidR="005B60BD">
        <w:rPr>
          <w:rFonts w:ascii="ITC Avant Garde" w:hAnsi="ITC Avant Garde"/>
          <w:sz w:val="22"/>
          <w:szCs w:val="22"/>
        </w:rPr>
        <w:t>m</w:t>
      </w:r>
      <w:r w:rsidRPr="00B15730">
        <w:rPr>
          <w:rFonts w:ascii="ITC Avant Garde" w:hAnsi="ITC Avant Garde"/>
          <w:sz w:val="22"/>
          <w:szCs w:val="22"/>
        </w:rPr>
        <w:t xml:space="preserve">inutos </w:t>
      </w:r>
      <w:r w:rsidR="005B60BD">
        <w:rPr>
          <w:rFonts w:ascii="ITC Avant Garde" w:hAnsi="ITC Avant Garde"/>
          <w:sz w:val="22"/>
          <w:szCs w:val="22"/>
        </w:rPr>
        <w:t>i</w:t>
      </w:r>
      <w:r w:rsidRPr="00B15730">
        <w:rPr>
          <w:rFonts w:ascii="ITC Avant Garde" w:hAnsi="ITC Avant Garde"/>
          <w:sz w:val="22"/>
          <w:szCs w:val="22"/>
        </w:rPr>
        <w:t xml:space="preserve">limitados a </w:t>
      </w:r>
      <w:r w:rsidR="005B60BD">
        <w:rPr>
          <w:rFonts w:ascii="ITC Avant Garde" w:hAnsi="ITC Avant Garde"/>
          <w:sz w:val="22"/>
          <w:szCs w:val="22"/>
        </w:rPr>
        <w:t>t</w:t>
      </w:r>
      <w:r w:rsidRPr="00B15730">
        <w:rPr>
          <w:rFonts w:ascii="ITC Avant Garde" w:hAnsi="ITC Avant Garde"/>
          <w:sz w:val="22"/>
          <w:szCs w:val="22"/>
        </w:rPr>
        <w:t xml:space="preserve">eléfonos </w:t>
      </w:r>
      <w:r w:rsidR="005B60BD">
        <w:rPr>
          <w:rFonts w:ascii="ITC Avant Garde" w:hAnsi="ITC Avant Garde"/>
          <w:sz w:val="22"/>
          <w:szCs w:val="22"/>
        </w:rPr>
        <w:t>m</w:t>
      </w:r>
      <w:r w:rsidRPr="00B15730">
        <w:rPr>
          <w:rFonts w:ascii="ITC Avant Garde" w:hAnsi="ITC Avant Garde"/>
          <w:sz w:val="22"/>
          <w:szCs w:val="22"/>
        </w:rPr>
        <w:t xml:space="preserve">óviles bajo la modalidad de </w:t>
      </w:r>
      <w:r w:rsidR="006C4020">
        <w:rPr>
          <w:rFonts w:ascii="ITC Avant Garde" w:hAnsi="ITC Avant Garde"/>
          <w:sz w:val="22"/>
          <w:szCs w:val="22"/>
        </w:rPr>
        <w:t>“</w:t>
      </w:r>
      <w:r w:rsidRPr="00B15730">
        <w:rPr>
          <w:rFonts w:ascii="ITC Avant Garde" w:hAnsi="ITC Avant Garde"/>
          <w:sz w:val="22"/>
          <w:szCs w:val="22"/>
        </w:rPr>
        <w:t>el que llama paga</w:t>
      </w:r>
      <w:r w:rsidR="006C4020">
        <w:rPr>
          <w:rFonts w:ascii="ITC Avant Garde" w:hAnsi="ITC Avant Garde"/>
          <w:sz w:val="22"/>
          <w:szCs w:val="22"/>
        </w:rPr>
        <w:t>”</w:t>
      </w:r>
      <w:r w:rsidR="00E74125">
        <w:rPr>
          <w:rFonts w:ascii="ITC Avant Garde" w:hAnsi="ITC Avant Garde"/>
          <w:sz w:val="22"/>
          <w:szCs w:val="22"/>
        </w:rPr>
        <w:t>,</w:t>
      </w:r>
      <w:r w:rsidRPr="00B15730">
        <w:rPr>
          <w:rFonts w:ascii="ITC Avant Garde" w:hAnsi="ITC Avant Garde"/>
          <w:sz w:val="22"/>
          <w:szCs w:val="22"/>
        </w:rPr>
        <w:t xml:space="preserve"> mediante el pago de un</w:t>
      </w:r>
      <w:r w:rsidR="00E74125">
        <w:rPr>
          <w:rFonts w:ascii="ITC Avant Garde" w:hAnsi="ITC Avant Garde"/>
          <w:sz w:val="22"/>
          <w:szCs w:val="22"/>
        </w:rPr>
        <w:t>a tarifa</w:t>
      </w:r>
      <w:r w:rsidRPr="00B15730">
        <w:rPr>
          <w:rFonts w:ascii="ITC Avant Garde" w:hAnsi="ITC Avant Garde"/>
          <w:sz w:val="22"/>
          <w:szCs w:val="22"/>
        </w:rPr>
        <w:t xml:space="preserve"> adicional a la renta mensual del paquete que </w:t>
      </w:r>
      <w:r w:rsidR="00A52DA2">
        <w:rPr>
          <w:rFonts w:ascii="ITC Avant Garde" w:hAnsi="ITC Avant Garde"/>
          <w:sz w:val="22"/>
          <w:szCs w:val="22"/>
        </w:rPr>
        <w:t>se</w:t>
      </w:r>
      <w:r w:rsidRPr="00B15730">
        <w:rPr>
          <w:rFonts w:ascii="ITC Avant Garde" w:hAnsi="ITC Avant Garde"/>
          <w:sz w:val="22"/>
          <w:szCs w:val="22"/>
        </w:rPr>
        <w:t xml:space="preserve"> contrat</w:t>
      </w:r>
      <w:r w:rsidR="00A52DA2">
        <w:rPr>
          <w:rFonts w:ascii="ITC Avant Garde" w:hAnsi="ITC Avant Garde"/>
          <w:sz w:val="22"/>
          <w:szCs w:val="22"/>
        </w:rPr>
        <w:t>e</w:t>
      </w:r>
      <w:r w:rsidR="006275BD">
        <w:rPr>
          <w:rFonts w:ascii="ITC Avant Garde" w:hAnsi="ITC Avant Garde"/>
          <w:sz w:val="22"/>
          <w:szCs w:val="22"/>
        </w:rPr>
        <w:t>,</w:t>
      </w:r>
      <w:r w:rsidR="00B141F1">
        <w:rPr>
          <w:rFonts w:ascii="ITC Avant Garde" w:hAnsi="ITC Avant Garde"/>
          <w:sz w:val="22"/>
          <w:szCs w:val="22"/>
        </w:rPr>
        <w:t xml:space="preserve"> que otorga a los </w:t>
      </w:r>
      <w:r w:rsidR="00DD3682">
        <w:rPr>
          <w:rFonts w:ascii="ITC Avant Garde" w:hAnsi="ITC Avant Garde"/>
          <w:sz w:val="22"/>
          <w:szCs w:val="22"/>
        </w:rPr>
        <w:t>usuarios finales</w:t>
      </w:r>
      <w:r w:rsidR="00B141F1">
        <w:rPr>
          <w:rFonts w:ascii="ITC Avant Garde" w:hAnsi="ITC Avant Garde"/>
          <w:sz w:val="22"/>
          <w:szCs w:val="22"/>
        </w:rPr>
        <w:t xml:space="preserve"> la velocidad final que se refleja en la siguiente tabla:</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0"/>
        <w:gridCol w:w="4840"/>
        <w:gridCol w:w="1520"/>
      </w:tblGrid>
      <w:tr w:rsidR="00E74125" w:rsidRPr="00D936CA" w14:paraId="0E0FEA58" w14:textId="77777777" w:rsidTr="00ED1C74">
        <w:trPr>
          <w:trHeight w:val="488"/>
          <w:jc w:val="center"/>
        </w:trPr>
        <w:tc>
          <w:tcPr>
            <w:tcW w:w="1900" w:type="dxa"/>
            <w:shd w:val="clear" w:color="auto" w:fill="548DD4" w:themeFill="text2" w:themeFillTint="99"/>
            <w:tcMar>
              <w:top w:w="0" w:type="dxa"/>
              <w:left w:w="70" w:type="dxa"/>
              <w:bottom w:w="0" w:type="dxa"/>
              <w:right w:w="70" w:type="dxa"/>
            </w:tcMar>
            <w:vAlign w:val="center"/>
            <w:hideMark/>
          </w:tcPr>
          <w:p w14:paraId="5FC106E3" w14:textId="77777777" w:rsidR="00E74125" w:rsidRPr="00D936CA" w:rsidRDefault="00E74125" w:rsidP="004D7004">
            <w:pPr>
              <w:spacing w:before="60" w:after="60" w:line="276" w:lineRule="auto"/>
              <w:jc w:val="center"/>
              <w:rPr>
                <w:rFonts w:ascii="ITC Avant Garde" w:eastAsiaTheme="minorHAnsi" w:hAnsi="ITC Avant Garde"/>
                <w:b/>
                <w:bCs/>
                <w:sz w:val="20"/>
                <w:szCs w:val="20"/>
              </w:rPr>
            </w:pPr>
            <w:r w:rsidRPr="00D936CA">
              <w:rPr>
                <w:rFonts w:ascii="ITC Avant Garde" w:eastAsiaTheme="minorHAnsi" w:hAnsi="ITC Avant Garde"/>
                <w:b/>
                <w:bCs/>
                <w:sz w:val="20"/>
                <w:szCs w:val="20"/>
              </w:rPr>
              <w:t>Servicio</w:t>
            </w:r>
          </w:p>
        </w:tc>
        <w:tc>
          <w:tcPr>
            <w:tcW w:w="4840" w:type="dxa"/>
            <w:shd w:val="clear" w:color="auto" w:fill="548DD4" w:themeFill="text2" w:themeFillTint="99"/>
            <w:tcMar>
              <w:top w:w="0" w:type="dxa"/>
              <w:left w:w="70" w:type="dxa"/>
              <w:bottom w:w="0" w:type="dxa"/>
              <w:right w:w="70" w:type="dxa"/>
            </w:tcMar>
            <w:vAlign w:val="center"/>
            <w:hideMark/>
          </w:tcPr>
          <w:p w14:paraId="0B3215C0" w14:textId="77777777" w:rsidR="00E74125" w:rsidRPr="00D936CA" w:rsidRDefault="00E74125" w:rsidP="004D7004">
            <w:pPr>
              <w:spacing w:before="60" w:after="60" w:line="276" w:lineRule="auto"/>
              <w:jc w:val="center"/>
              <w:rPr>
                <w:rFonts w:ascii="ITC Avant Garde" w:eastAsiaTheme="minorHAnsi" w:hAnsi="ITC Avant Garde"/>
                <w:b/>
                <w:bCs/>
                <w:sz w:val="20"/>
                <w:szCs w:val="20"/>
              </w:rPr>
            </w:pPr>
            <w:r w:rsidRPr="00D936CA">
              <w:rPr>
                <w:rFonts w:ascii="ITC Avant Garde" w:hAnsi="ITC Avant Garde"/>
                <w:b/>
                <w:bCs/>
                <w:sz w:val="20"/>
                <w:szCs w:val="20"/>
              </w:rPr>
              <w:t>Paquete</w:t>
            </w:r>
          </w:p>
        </w:tc>
        <w:tc>
          <w:tcPr>
            <w:tcW w:w="1520" w:type="dxa"/>
            <w:shd w:val="clear" w:color="auto" w:fill="548DD4" w:themeFill="text2" w:themeFillTint="99"/>
            <w:tcMar>
              <w:top w:w="0" w:type="dxa"/>
              <w:left w:w="70" w:type="dxa"/>
              <w:bottom w:w="0" w:type="dxa"/>
              <w:right w:w="70" w:type="dxa"/>
            </w:tcMar>
            <w:vAlign w:val="center"/>
            <w:hideMark/>
          </w:tcPr>
          <w:p w14:paraId="1B790DB7" w14:textId="77777777" w:rsidR="00E74125" w:rsidRPr="00D936CA" w:rsidRDefault="00E74125" w:rsidP="004D7004">
            <w:pPr>
              <w:spacing w:before="60" w:after="60" w:line="276" w:lineRule="auto"/>
              <w:jc w:val="center"/>
              <w:rPr>
                <w:rFonts w:ascii="ITC Avant Garde" w:eastAsiaTheme="minorHAnsi" w:hAnsi="ITC Avant Garde"/>
                <w:b/>
                <w:bCs/>
                <w:sz w:val="20"/>
                <w:szCs w:val="20"/>
              </w:rPr>
            </w:pPr>
            <w:r w:rsidRPr="00D936CA">
              <w:rPr>
                <w:rFonts w:ascii="ITC Avant Garde" w:hAnsi="ITC Avant Garde"/>
                <w:b/>
                <w:bCs/>
                <w:sz w:val="20"/>
                <w:szCs w:val="20"/>
              </w:rPr>
              <w:t xml:space="preserve">Velocidad </w:t>
            </w:r>
            <w:r w:rsidRPr="00D936CA">
              <w:rPr>
                <w:rFonts w:ascii="ITC Avant Garde" w:hAnsi="ITC Avant Garde"/>
                <w:b/>
                <w:bCs/>
                <w:sz w:val="20"/>
                <w:szCs w:val="20"/>
              </w:rPr>
              <w:br/>
              <w:t>(Mbps)</w:t>
            </w:r>
            <w:r>
              <w:rPr>
                <w:rFonts w:ascii="ITC Avant Garde" w:hAnsi="ITC Avant Garde"/>
                <w:b/>
                <w:bCs/>
                <w:sz w:val="20"/>
                <w:szCs w:val="20"/>
              </w:rPr>
              <w:t xml:space="preserve"> Hasta</w:t>
            </w:r>
          </w:p>
        </w:tc>
      </w:tr>
      <w:tr w:rsidR="00E74125" w:rsidRPr="00D936CA" w14:paraId="0E722F54" w14:textId="77777777" w:rsidTr="00060B2E">
        <w:trPr>
          <w:trHeight w:val="300"/>
          <w:jc w:val="center"/>
        </w:trPr>
        <w:tc>
          <w:tcPr>
            <w:tcW w:w="1900" w:type="dxa"/>
            <w:vMerge w:val="restart"/>
            <w:shd w:val="clear" w:color="auto" w:fill="FFFFFF"/>
            <w:tcMar>
              <w:top w:w="0" w:type="dxa"/>
              <w:left w:w="70" w:type="dxa"/>
              <w:bottom w:w="0" w:type="dxa"/>
              <w:right w:w="70" w:type="dxa"/>
            </w:tcMar>
            <w:vAlign w:val="center"/>
          </w:tcPr>
          <w:p w14:paraId="139DE2AD" w14:textId="2FD721DB" w:rsidR="00E74125" w:rsidRPr="00D936CA" w:rsidRDefault="00E74125" w:rsidP="004D7004">
            <w:pPr>
              <w:spacing w:before="60" w:after="60" w:line="276" w:lineRule="auto"/>
              <w:rPr>
                <w:rFonts w:ascii="ITC Avant Garde" w:hAnsi="ITC Avant Garde"/>
                <w:sz w:val="20"/>
                <w:szCs w:val="20"/>
              </w:rPr>
            </w:pPr>
            <w:r>
              <w:rPr>
                <w:rFonts w:ascii="ITC Avant Garde" w:hAnsi="ITC Avant Garde"/>
                <w:sz w:val="20"/>
                <w:szCs w:val="20"/>
              </w:rPr>
              <w:t>Moléculas de incremento de velocidad</w:t>
            </w:r>
          </w:p>
        </w:tc>
        <w:tc>
          <w:tcPr>
            <w:tcW w:w="4840" w:type="dxa"/>
            <w:shd w:val="clear" w:color="auto" w:fill="FFFFFF"/>
            <w:noWrap/>
            <w:tcMar>
              <w:top w:w="0" w:type="dxa"/>
              <w:left w:w="70" w:type="dxa"/>
              <w:bottom w:w="0" w:type="dxa"/>
              <w:right w:w="70" w:type="dxa"/>
            </w:tcMar>
            <w:vAlign w:val="center"/>
          </w:tcPr>
          <w:p w14:paraId="2B0DBCDF" w14:textId="0F0D07AE" w:rsidR="00E74125" w:rsidRPr="00D936CA" w:rsidRDefault="00E74125" w:rsidP="004D7004">
            <w:pPr>
              <w:spacing w:before="60" w:after="60" w:line="276" w:lineRule="auto"/>
              <w:rPr>
                <w:rFonts w:ascii="ITC Avant Garde" w:hAnsi="ITC Avant Garde"/>
                <w:sz w:val="20"/>
                <w:szCs w:val="20"/>
              </w:rPr>
            </w:pPr>
            <w:r>
              <w:rPr>
                <w:rFonts w:ascii="ITC Avant Garde" w:hAnsi="ITC Avant Garde"/>
                <w:sz w:val="20"/>
                <w:szCs w:val="20"/>
              </w:rPr>
              <w:t>Velocidad Infinitum 30 Mbps</w:t>
            </w:r>
          </w:p>
        </w:tc>
        <w:tc>
          <w:tcPr>
            <w:tcW w:w="1520" w:type="dxa"/>
            <w:shd w:val="clear" w:color="auto" w:fill="FFFFFF"/>
            <w:noWrap/>
            <w:tcMar>
              <w:top w:w="0" w:type="dxa"/>
              <w:left w:w="70" w:type="dxa"/>
              <w:bottom w:w="0" w:type="dxa"/>
              <w:right w:w="70" w:type="dxa"/>
            </w:tcMar>
            <w:vAlign w:val="center"/>
          </w:tcPr>
          <w:p w14:paraId="49138F6D" w14:textId="3BE926D7" w:rsidR="00E74125" w:rsidRPr="00D936CA" w:rsidRDefault="00E74125" w:rsidP="004D7004">
            <w:pPr>
              <w:spacing w:before="60" w:after="60" w:line="276" w:lineRule="auto"/>
              <w:jc w:val="center"/>
              <w:rPr>
                <w:rFonts w:ascii="ITC Avant Garde" w:hAnsi="ITC Avant Garde"/>
                <w:sz w:val="20"/>
                <w:szCs w:val="20"/>
              </w:rPr>
            </w:pPr>
            <w:r>
              <w:rPr>
                <w:rFonts w:ascii="ITC Avant Garde" w:hAnsi="ITC Avant Garde"/>
                <w:sz w:val="20"/>
                <w:szCs w:val="20"/>
              </w:rPr>
              <w:t>30</w:t>
            </w:r>
          </w:p>
        </w:tc>
      </w:tr>
      <w:tr w:rsidR="00E74125" w:rsidRPr="00D936CA" w14:paraId="6690CFFA" w14:textId="77777777" w:rsidTr="004D7004">
        <w:trPr>
          <w:trHeight w:val="300"/>
          <w:jc w:val="center"/>
        </w:trPr>
        <w:tc>
          <w:tcPr>
            <w:tcW w:w="1900" w:type="dxa"/>
            <w:vMerge/>
            <w:shd w:val="clear" w:color="auto" w:fill="FFFFFF"/>
            <w:tcMar>
              <w:top w:w="0" w:type="dxa"/>
              <w:left w:w="70" w:type="dxa"/>
              <w:bottom w:w="0" w:type="dxa"/>
              <w:right w:w="70" w:type="dxa"/>
            </w:tcMar>
            <w:vAlign w:val="center"/>
          </w:tcPr>
          <w:p w14:paraId="6FB03EF2" w14:textId="77777777" w:rsidR="00E74125" w:rsidRPr="00D936CA" w:rsidRDefault="00E74125" w:rsidP="004D7004">
            <w:pPr>
              <w:spacing w:before="60" w:after="60" w:line="276" w:lineRule="auto"/>
              <w:rPr>
                <w:rFonts w:ascii="ITC Avant Garde" w:hAnsi="ITC Avant Garde"/>
                <w:sz w:val="20"/>
                <w:szCs w:val="20"/>
              </w:rPr>
            </w:pPr>
          </w:p>
        </w:tc>
        <w:tc>
          <w:tcPr>
            <w:tcW w:w="4840" w:type="dxa"/>
            <w:shd w:val="clear" w:color="auto" w:fill="FFFFFF"/>
            <w:noWrap/>
            <w:tcMar>
              <w:top w:w="0" w:type="dxa"/>
              <w:left w:w="70" w:type="dxa"/>
              <w:bottom w:w="0" w:type="dxa"/>
              <w:right w:w="70" w:type="dxa"/>
            </w:tcMar>
            <w:vAlign w:val="bottom"/>
          </w:tcPr>
          <w:p w14:paraId="576BBCA1" w14:textId="6E653683" w:rsidR="00E74125" w:rsidRDefault="00E74125" w:rsidP="004D7004">
            <w:pPr>
              <w:spacing w:before="60" w:after="60" w:line="276" w:lineRule="auto"/>
              <w:rPr>
                <w:rFonts w:ascii="ITC Avant Garde" w:hAnsi="ITC Avant Garde"/>
                <w:sz w:val="20"/>
                <w:szCs w:val="20"/>
              </w:rPr>
            </w:pPr>
            <w:r>
              <w:rPr>
                <w:rFonts w:ascii="ITC Avant Garde" w:hAnsi="ITC Avant Garde"/>
                <w:sz w:val="20"/>
                <w:szCs w:val="20"/>
              </w:rPr>
              <w:t>Velocidad Infinitum 50 Mbps</w:t>
            </w:r>
          </w:p>
        </w:tc>
        <w:tc>
          <w:tcPr>
            <w:tcW w:w="1520" w:type="dxa"/>
            <w:shd w:val="clear" w:color="auto" w:fill="FFFFFF"/>
            <w:noWrap/>
            <w:tcMar>
              <w:top w:w="0" w:type="dxa"/>
              <w:left w:w="70" w:type="dxa"/>
              <w:bottom w:w="0" w:type="dxa"/>
              <w:right w:w="70" w:type="dxa"/>
            </w:tcMar>
            <w:vAlign w:val="bottom"/>
          </w:tcPr>
          <w:p w14:paraId="5B3049EC" w14:textId="31F3846A" w:rsidR="00E74125" w:rsidRDefault="00E74125" w:rsidP="004D7004">
            <w:pPr>
              <w:spacing w:before="60" w:after="60" w:line="276" w:lineRule="auto"/>
              <w:jc w:val="center"/>
              <w:rPr>
                <w:rFonts w:ascii="ITC Avant Garde" w:hAnsi="ITC Avant Garde"/>
                <w:sz w:val="20"/>
                <w:szCs w:val="20"/>
              </w:rPr>
            </w:pPr>
            <w:r>
              <w:rPr>
                <w:rFonts w:ascii="ITC Avant Garde" w:hAnsi="ITC Avant Garde"/>
                <w:sz w:val="20"/>
                <w:szCs w:val="20"/>
              </w:rPr>
              <w:t>50</w:t>
            </w:r>
          </w:p>
        </w:tc>
      </w:tr>
    </w:tbl>
    <w:p w14:paraId="233F11AB" w14:textId="7912C277" w:rsidR="00E74125" w:rsidRDefault="00B141F1" w:rsidP="00060B2E">
      <w:pPr>
        <w:spacing w:after="200" w:line="276" w:lineRule="auto"/>
        <w:jc w:val="center"/>
        <w:rPr>
          <w:rFonts w:ascii="ITC Avant Garde" w:hAnsi="ITC Avant Garde"/>
          <w:sz w:val="22"/>
          <w:szCs w:val="22"/>
        </w:rPr>
      </w:pPr>
      <w:r w:rsidRPr="00D936CA">
        <w:rPr>
          <w:rFonts w:ascii="ITC Avant Garde" w:hAnsi="ITC Avant Garde"/>
          <w:sz w:val="16"/>
          <w:szCs w:val="18"/>
          <w:lang w:val="es-MX"/>
        </w:rPr>
        <w:t xml:space="preserve">Tabla </w:t>
      </w:r>
      <w:r>
        <w:rPr>
          <w:rFonts w:ascii="ITC Avant Garde" w:hAnsi="ITC Avant Garde"/>
          <w:sz w:val="16"/>
          <w:szCs w:val="18"/>
          <w:lang w:val="es-MX"/>
        </w:rPr>
        <w:t>10</w:t>
      </w:r>
      <w:r w:rsidRPr="00D936CA">
        <w:rPr>
          <w:rFonts w:ascii="ITC Avant Garde" w:hAnsi="ITC Avant Garde"/>
          <w:sz w:val="16"/>
          <w:szCs w:val="18"/>
          <w:lang w:val="es-MX"/>
        </w:rPr>
        <w:t xml:space="preserve"> Modalidades de </w:t>
      </w:r>
      <w:r>
        <w:rPr>
          <w:rFonts w:ascii="ITC Avant Garde" w:hAnsi="ITC Avant Garde"/>
          <w:sz w:val="16"/>
          <w:szCs w:val="18"/>
          <w:lang w:val="es-MX"/>
        </w:rPr>
        <w:t xml:space="preserve">Moléculas de </w:t>
      </w:r>
      <w:r w:rsidR="001E0645">
        <w:rPr>
          <w:rFonts w:ascii="ITC Avant Garde" w:hAnsi="ITC Avant Garde"/>
          <w:sz w:val="16"/>
          <w:szCs w:val="18"/>
          <w:lang w:val="es-MX"/>
        </w:rPr>
        <w:t>Incremento de velocidad</w:t>
      </w:r>
    </w:p>
    <w:p w14:paraId="00DC3DA0" w14:textId="60715EB2" w:rsidR="00E74125" w:rsidRDefault="00E74125" w:rsidP="00D936CA">
      <w:pPr>
        <w:spacing w:after="200" w:line="276" w:lineRule="auto"/>
        <w:jc w:val="both"/>
        <w:rPr>
          <w:rFonts w:ascii="ITC Avant Garde" w:hAnsi="ITC Avant Garde"/>
          <w:sz w:val="22"/>
          <w:szCs w:val="22"/>
        </w:rPr>
      </w:pPr>
      <w:r>
        <w:rPr>
          <w:rFonts w:ascii="ITC Avant Garde" w:hAnsi="ITC Avant Garde"/>
          <w:sz w:val="22"/>
          <w:szCs w:val="22"/>
        </w:rPr>
        <w:t>Las moléculas de velocidad se proporcionarán a los CS en l</w:t>
      </w:r>
      <w:r w:rsidR="005B60BD">
        <w:rPr>
          <w:rFonts w:ascii="ITC Avant Garde" w:hAnsi="ITC Avant Garde"/>
          <w:sz w:val="22"/>
          <w:szCs w:val="22"/>
        </w:rPr>
        <w:t>o</w:t>
      </w:r>
      <w:r>
        <w:rPr>
          <w:rFonts w:ascii="ITC Avant Garde" w:hAnsi="ITC Avant Garde"/>
          <w:sz w:val="22"/>
          <w:szCs w:val="22"/>
        </w:rPr>
        <w:t>s mism</w:t>
      </w:r>
      <w:r w:rsidR="005B60BD">
        <w:rPr>
          <w:rFonts w:ascii="ITC Avant Garde" w:hAnsi="ITC Avant Garde"/>
          <w:sz w:val="22"/>
          <w:szCs w:val="22"/>
        </w:rPr>
        <w:t>o</w:t>
      </w:r>
      <w:r>
        <w:rPr>
          <w:rFonts w:ascii="ITC Avant Garde" w:hAnsi="ITC Avant Garde"/>
          <w:sz w:val="22"/>
          <w:szCs w:val="22"/>
        </w:rPr>
        <w:t xml:space="preserve">s </w:t>
      </w:r>
      <w:r w:rsidR="005B60BD">
        <w:rPr>
          <w:rFonts w:ascii="ITC Avant Garde" w:hAnsi="ITC Avant Garde"/>
          <w:sz w:val="22"/>
          <w:szCs w:val="22"/>
        </w:rPr>
        <w:t xml:space="preserve">términos y </w:t>
      </w:r>
      <w:r>
        <w:rPr>
          <w:rFonts w:ascii="ITC Avant Garde" w:hAnsi="ITC Avant Garde"/>
          <w:sz w:val="22"/>
          <w:szCs w:val="22"/>
        </w:rPr>
        <w:t xml:space="preserve">condiciones que se ofrecen a los </w:t>
      </w:r>
      <w:r w:rsidR="006C4020">
        <w:rPr>
          <w:rFonts w:ascii="ITC Avant Garde" w:hAnsi="ITC Avant Garde"/>
          <w:sz w:val="22"/>
          <w:szCs w:val="22"/>
        </w:rPr>
        <w:t>usuarios finales de</w:t>
      </w:r>
      <w:r>
        <w:rPr>
          <w:rFonts w:ascii="ITC Avant Garde" w:hAnsi="ITC Avant Garde"/>
          <w:sz w:val="22"/>
          <w:szCs w:val="22"/>
        </w:rPr>
        <w:t xml:space="preserve"> Telmex.</w:t>
      </w:r>
    </w:p>
    <w:p w14:paraId="549FE171" w14:textId="77777777" w:rsidR="00E74125" w:rsidRPr="00D936CA" w:rsidRDefault="00E74125" w:rsidP="00D936CA">
      <w:pPr>
        <w:spacing w:after="200" w:line="276" w:lineRule="auto"/>
        <w:jc w:val="both"/>
        <w:rPr>
          <w:rFonts w:ascii="ITC Avant Garde" w:hAnsi="ITC Avant Garde"/>
          <w:sz w:val="22"/>
          <w:szCs w:val="22"/>
        </w:rPr>
      </w:pPr>
    </w:p>
    <w:p w14:paraId="33CFE8A8" w14:textId="6B1E820D" w:rsidR="00530A32" w:rsidRPr="00D936CA" w:rsidRDefault="00011A1B" w:rsidP="00D936CA">
      <w:pPr>
        <w:pStyle w:val="Ttulo2"/>
        <w:numPr>
          <w:ilvl w:val="1"/>
          <w:numId w:val="143"/>
        </w:numPr>
        <w:ind w:left="851" w:hanging="425"/>
      </w:pPr>
      <w:bookmarkStart w:id="276" w:name="_Toc436840885"/>
      <w:bookmarkStart w:id="277" w:name="_Toc436846322"/>
      <w:bookmarkStart w:id="278" w:name="_Toc436848272"/>
      <w:bookmarkStart w:id="279" w:name="_Toc436856520"/>
      <w:bookmarkStart w:id="280" w:name="_Toc436862666"/>
      <w:bookmarkStart w:id="281" w:name="_Toc436866316"/>
      <w:bookmarkStart w:id="282" w:name="_Toc436870895"/>
      <w:bookmarkStart w:id="283" w:name="_Toc436875887"/>
      <w:bookmarkStart w:id="284" w:name="_Toc467248700"/>
      <w:bookmarkStart w:id="285" w:name="_Toc518031973"/>
      <w:bookmarkStart w:id="286" w:name="_Hlk516132701"/>
      <w:r w:rsidRPr="00D936CA">
        <w:t>Venta de Módem</w:t>
      </w:r>
      <w:r w:rsidR="002C5AC9">
        <w:t xml:space="preserve"> y</w:t>
      </w:r>
      <w:r w:rsidRPr="00D936CA">
        <w:t xml:space="preserve"> ONT para Reventa.</w:t>
      </w:r>
      <w:bookmarkEnd w:id="276"/>
      <w:bookmarkEnd w:id="277"/>
      <w:bookmarkEnd w:id="278"/>
      <w:bookmarkEnd w:id="279"/>
      <w:bookmarkEnd w:id="280"/>
      <w:bookmarkEnd w:id="281"/>
      <w:bookmarkEnd w:id="282"/>
      <w:bookmarkEnd w:id="283"/>
      <w:bookmarkEnd w:id="284"/>
      <w:bookmarkEnd w:id="285"/>
    </w:p>
    <w:p w14:paraId="067D016E" w14:textId="0F4001FB" w:rsidR="005943EC" w:rsidRPr="00D936CA" w:rsidRDefault="005943EC" w:rsidP="00D936CA">
      <w:pPr>
        <w:pStyle w:val="CondicionesFinales"/>
        <w:ind w:left="0" w:right="0"/>
        <w:rPr>
          <w:color w:val="auto"/>
          <w:lang w:val="es-ES"/>
        </w:rPr>
      </w:pPr>
      <w:r w:rsidRPr="00D936CA">
        <w:rPr>
          <w:color w:val="auto"/>
        </w:rPr>
        <w:t xml:space="preserve">Telmex pondrá a disposición de los CS los </w:t>
      </w:r>
      <w:r w:rsidR="00E85E1B" w:rsidRPr="00D936CA">
        <w:rPr>
          <w:color w:val="auto"/>
        </w:rPr>
        <w:t xml:space="preserve">módems y </w:t>
      </w:r>
      <w:r w:rsidRPr="00D936CA">
        <w:rPr>
          <w:color w:val="auto"/>
        </w:rPr>
        <w:t xml:space="preserve">ONTs, pudiendo ser solicitados por parte de los CS desde la solicitud de los Servicios que </w:t>
      </w:r>
      <w:r w:rsidR="00E85E1B" w:rsidRPr="00D936CA">
        <w:rPr>
          <w:color w:val="auto"/>
        </w:rPr>
        <w:t>dichos equipos</w:t>
      </w:r>
      <w:r w:rsidRPr="00D936CA">
        <w:rPr>
          <w:color w:val="auto"/>
        </w:rPr>
        <w:t xml:space="preserve"> sean </w:t>
      </w:r>
      <w:r w:rsidRPr="00D936CA">
        <w:rPr>
          <w:color w:val="auto"/>
          <w:lang w:val="es-ES"/>
        </w:rPr>
        <w:t xml:space="preserve">entregados, instalados, configurados y activados en el domicilio del cliente, lo cual se llevará a cabo </w:t>
      </w:r>
      <w:r w:rsidR="007A60D5">
        <w:rPr>
          <w:color w:val="auto"/>
          <w:lang w:val="es-ES"/>
        </w:rPr>
        <w:t>en</w:t>
      </w:r>
      <w:r w:rsidR="007A60D5" w:rsidRPr="00D936CA">
        <w:rPr>
          <w:color w:val="auto"/>
          <w:lang w:val="es-ES"/>
        </w:rPr>
        <w:t xml:space="preserve"> </w:t>
      </w:r>
      <w:r w:rsidRPr="00D936CA">
        <w:rPr>
          <w:color w:val="auto"/>
          <w:lang w:val="es-ES"/>
        </w:rPr>
        <w:t xml:space="preserve">las mismas condiciones que </w:t>
      </w:r>
      <w:r w:rsidR="00645E46" w:rsidRPr="00D936CA">
        <w:rPr>
          <w:color w:val="auto"/>
          <w:lang w:val="es-ES"/>
        </w:rPr>
        <w:t>Telmex</w:t>
      </w:r>
      <w:r w:rsidRPr="00D936CA">
        <w:rPr>
          <w:color w:val="auto"/>
          <w:lang w:val="es-ES"/>
        </w:rPr>
        <w:t xml:space="preserve"> </w:t>
      </w:r>
      <w:r w:rsidR="00D573FC">
        <w:rPr>
          <w:color w:val="auto"/>
          <w:lang w:val="es-ES"/>
        </w:rPr>
        <w:t>tiene establecidas</w:t>
      </w:r>
      <w:r w:rsidR="00D573FC" w:rsidRPr="00D936CA">
        <w:rPr>
          <w:color w:val="auto"/>
          <w:lang w:val="es-ES"/>
        </w:rPr>
        <w:t xml:space="preserve"> </w:t>
      </w:r>
      <w:r w:rsidRPr="00D936CA">
        <w:rPr>
          <w:color w:val="auto"/>
          <w:lang w:val="es-ES"/>
        </w:rPr>
        <w:t xml:space="preserve">para </w:t>
      </w:r>
      <w:r w:rsidR="00D573FC">
        <w:rPr>
          <w:color w:val="auto"/>
          <w:lang w:val="es-ES"/>
        </w:rPr>
        <w:t>sus</w:t>
      </w:r>
      <w:r w:rsidR="00D573FC" w:rsidRPr="00D936CA">
        <w:rPr>
          <w:color w:val="auto"/>
          <w:lang w:val="es-ES"/>
        </w:rPr>
        <w:t xml:space="preserve"> </w:t>
      </w:r>
      <w:r w:rsidRPr="00D936CA">
        <w:rPr>
          <w:color w:val="auto"/>
          <w:lang w:val="es-ES"/>
        </w:rPr>
        <w:t xml:space="preserve">propias operaciones.  </w:t>
      </w:r>
    </w:p>
    <w:p w14:paraId="04AC8C84" w14:textId="77777777" w:rsidR="005943EC" w:rsidRPr="00D936CA" w:rsidRDefault="005943EC" w:rsidP="00D936CA">
      <w:pPr>
        <w:pStyle w:val="CondicionesFinales"/>
        <w:ind w:left="0" w:right="0"/>
        <w:rPr>
          <w:b/>
          <w:color w:val="auto"/>
          <w:u w:val="single"/>
        </w:rPr>
      </w:pPr>
      <w:r w:rsidRPr="00D936CA">
        <w:rPr>
          <w:b/>
          <w:color w:val="auto"/>
          <w:u w:val="single"/>
        </w:rPr>
        <w:t>Entrega de equipos Telmex existentes y nuevos</w:t>
      </w:r>
    </w:p>
    <w:p w14:paraId="6A97563A" w14:textId="4B49787E" w:rsidR="005943EC" w:rsidRPr="00D936CA" w:rsidRDefault="005943EC" w:rsidP="00D936CA">
      <w:pPr>
        <w:pStyle w:val="CondicionesFinales"/>
        <w:ind w:left="0" w:right="0"/>
        <w:rPr>
          <w:color w:val="auto"/>
        </w:rPr>
      </w:pPr>
      <w:r w:rsidRPr="00D936CA">
        <w:rPr>
          <w:color w:val="auto"/>
        </w:rPr>
        <w:t xml:space="preserve">El CS podrá solicitar </w:t>
      </w:r>
      <w:r w:rsidR="004B3298" w:rsidRPr="00D936CA">
        <w:rPr>
          <w:color w:val="auto"/>
        </w:rPr>
        <w:t xml:space="preserve">a Telmex </w:t>
      </w:r>
      <w:r w:rsidRPr="00D936CA">
        <w:rPr>
          <w:color w:val="auto"/>
        </w:rPr>
        <w:t xml:space="preserve">los </w:t>
      </w:r>
      <w:r w:rsidR="00BB7620" w:rsidRPr="00D936CA">
        <w:rPr>
          <w:color w:val="auto"/>
        </w:rPr>
        <w:t>m</w:t>
      </w:r>
      <w:r w:rsidRPr="00D936CA">
        <w:rPr>
          <w:color w:val="auto"/>
        </w:rPr>
        <w:t>ódems</w:t>
      </w:r>
      <w:r w:rsidR="00BB7620" w:rsidRPr="00D936CA">
        <w:rPr>
          <w:color w:val="auto"/>
        </w:rPr>
        <w:t xml:space="preserve"> y </w:t>
      </w:r>
      <w:r w:rsidRPr="00D936CA">
        <w:rPr>
          <w:color w:val="auto"/>
        </w:rPr>
        <w:t xml:space="preserve">ONTs existentes en operación con el usuario final, así como solicitar la instalación de los mismos equipos que provee Telmex para sus usuarios finales. Los equipos mantendrán la forma de comodato y siempre deberán brindar al menos las mismas características y calidad que los </w:t>
      </w:r>
      <w:r w:rsidR="00BB7620" w:rsidRPr="00D936CA">
        <w:rPr>
          <w:color w:val="auto"/>
        </w:rPr>
        <w:t xml:space="preserve">módems y </w:t>
      </w:r>
      <w:r w:rsidRPr="00D936CA">
        <w:rPr>
          <w:color w:val="auto"/>
        </w:rPr>
        <w:t>ONTs que usa Telmex para brindar los servicios.</w:t>
      </w:r>
      <w:r w:rsidR="004B3298" w:rsidRPr="00D936CA">
        <w:rPr>
          <w:color w:val="auto"/>
        </w:rPr>
        <w:t xml:space="preserve"> Una vez cancelado el servicio con el CS, éste se obliga a regresar el equipo provisto a Telmex.</w:t>
      </w:r>
    </w:p>
    <w:p w14:paraId="4AD3EAB4" w14:textId="77777777" w:rsidR="005943EC" w:rsidRPr="00D936CA" w:rsidRDefault="005943EC" w:rsidP="00D936CA">
      <w:pPr>
        <w:pStyle w:val="CondicionesFinales"/>
        <w:ind w:left="0" w:right="0"/>
        <w:rPr>
          <w:b/>
          <w:color w:val="auto"/>
          <w:u w:val="single"/>
        </w:rPr>
      </w:pPr>
      <w:r w:rsidRPr="00D936CA">
        <w:rPr>
          <w:b/>
          <w:color w:val="auto"/>
          <w:u w:val="single"/>
        </w:rPr>
        <w:lastRenderedPageBreak/>
        <w:t>Entrega de equipos venta Telmex (blanco)</w:t>
      </w:r>
    </w:p>
    <w:p w14:paraId="3EDFC9FE" w14:textId="24FD11DA" w:rsidR="005943EC" w:rsidRPr="00D936CA" w:rsidRDefault="004B3298" w:rsidP="00D936CA">
      <w:pPr>
        <w:pStyle w:val="CondicionesFinales"/>
        <w:ind w:left="0" w:right="0"/>
        <w:rPr>
          <w:color w:val="auto"/>
          <w:lang w:val="es-ES"/>
        </w:rPr>
      </w:pPr>
      <w:r w:rsidRPr="00D936CA">
        <w:rPr>
          <w:color w:val="auto"/>
        </w:rPr>
        <w:t>E</w:t>
      </w:r>
      <w:r w:rsidR="005943EC" w:rsidRPr="00D936CA">
        <w:rPr>
          <w:color w:val="auto"/>
        </w:rPr>
        <w:t xml:space="preserve">l CS podrá adquirir bajo la contraprestación correspondiente los </w:t>
      </w:r>
      <w:r w:rsidR="009F0E73" w:rsidRPr="00D936CA">
        <w:rPr>
          <w:color w:val="auto"/>
        </w:rPr>
        <w:t xml:space="preserve">módems y </w:t>
      </w:r>
      <w:r w:rsidR="005943EC" w:rsidRPr="00D936CA">
        <w:rPr>
          <w:color w:val="auto"/>
        </w:rPr>
        <w:t>ONTs directamente con Telmex, sin logotipos o identificadores de Telmex (blancos</w:t>
      </w:r>
      <w:r w:rsidR="009F0E73" w:rsidRPr="00D936CA">
        <w:rPr>
          <w:color w:val="auto"/>
        </w:rPr>
        <w:t xml:space="preserve">). </w:t>
      </w:r>
      <w:r w:rsidR="00550B87">
        <w:t>En caso de no solicitar por lotes</w:t>
      </w:r>
      <w:r w:rsidR="00D72CC9">
        <w:t>,</w:t>
      </w:r>
      <w:r w:rsidR="00550B87">
        <w:t xml:space="preserve"> la</w:t>
      </w:r>
      <w:r w:rsidR="00550B87" w:rsidRPr="00EF7DD3">
        <w:t xml:space="preserve"> cantidad de </w:t>
      </w:r>
      <w:r w:rsidR="00550B87">
        <w:t>módems/</w:t>
      </w:r>
      <w:r w:rsidR="00550B87" w:rsidRPr="00EF7DD3">
        <w:t xml:space="preserve">ONT’s </w:t>
      </w:r>
      <w:r w:rsidR="00C439F5">
        <w:t xml:space="preserve">a adquirir </w:t>
      </w:r>
      <w:r w:rsidR="00550B87" w:rsidRPr="00EF7DD3">
        <w:t xml:space="preserve">en esta modalidad </w:t>
      </w:r>
      <w:r w:rsidR="00C439F5">
        <w:t>(</w:t>
      </w:r>
      <w:r w:rsidR="00550B87">
        <w:t>blancos</w:t>
      </w:r>
      <w:r w:rsidR="00C439F5">
        <w:t>)</w:t>
      </w:r>
      <w:r w:rsidR="00550B87">
        <w:t xml:space="preserve"> </w:t>
      </w:r>
      <w:r w:rsidR="00550B87" w:rsidRPr="00EF7DD3">
        <w:t xml:space="preserve">se asegura </w:t>
      </w:r>
      <w:r w:rsidR="00C439F5">
        <w:t xml:space="preserve">la venta </w:t>
      </w:r>
      <w:r w:rsidR="00550B87" w:rsidRPr="00EF7DD3">
        <w:t>siempre y cuando los C</w:t>
      </w:r>
      <w:r w:rsidR="00550B87">
        <w:t>S</w:t>
      </w:r>
      <w:r w:rsidR="00550B87" w:rsidRPr="00EF7DD3">
        <w:t xml:space="preserve"> hayan entregado el pronóstico de compra de dich</w:t>
      </w:r>
      <w:r w:rsidR="00550B87">
        <w:t>o</w:t>
      </w:r>
      <w:r w:rsidR="00550B87" w:rsidRPr="00EF7DD3">
        <w:t xml:space="preserve">s </w:t>
      </w:r>
      <w:r w:rsidR="00550B87">
        <w:t>módems/</w:t>
      </w:r>
      <w:r w:rsidR="00550B87" w:rsidRPr="00EF7DD3">
        <w:t>ONT</w:t>
      </w:r>
      <w:r w:rsidR="00550B87">
        <w:t>s</w:t>
      </w:r>
      <w:r w:rsidR="00550B87" w:rsidRPr="00EF7DD3">
        <w:t>, en caso contrario, la cantidad est</w:t>
      </w:r>
      <w:r w:rsidR="00550B87">
        <w:t>ará</w:t>
      </w:r>
      <w:r w:rsidR="00550B87" w:rsidRPr="00EF7DD3">
        <w:t xml:space="preserve"> sujeta a las existencias en</w:t>
      </w:r>
      <w:r w:rsidR="006E5684">
        <w:t xml:space="preserve"> el</w:t>
      </w:r>
      <w:r w:rsidR="00550B87" w:rsidRPr="00EF7DD3">
        <w:t xml:space="preserve"> momento</w:t>
      </w:r>
      <w:r w:rsidR="006E5684">
        <w:t xml:space="preserve"> de que se trate</w:t>
      </w:r>
      <w:r w:rsidR="00550B87" w:rsidRPr="00EF7DD3">
        <w:t>.</w:t>
      </w:r>
      <w:r w:rsidR="00D72CC9">
        <w:t xml:space="preserve"> </w:t>
      </w:r>
      <w:r w:rsidR="005943EC" w:rsidRPr="00D936CA">
        <w:rPr>
          <w:color w:val="auto"/>
          <w:lang w:val="es-ES"/>
        </w:rPr>
        <w:t xml:space="preserve">Para la entrega el CS podrá elegir en el caso de </w:t>
      </w:r>
      <w:r w:rsidR="00A51384" w:rsidRPr="00D936CA">
        <w:rPr>
          <w:color w:val="auto"/>
          <w:lang w:val="es-ES"/>
        </w:rPr>
        <w:t>m</w:t>
      </w:r>
      <w:r w:rsidR="005943EC" w:rsidRPr="00D936CA">
        <w:rPr>
          <w:color w:val="auto"/>
          <w:lang w:val="es-ES"/>
        </w:rPr>
        <w:t>ódem si será vía mensajería</w:t>
      </w:r>
      <w:r w:rsidR="00E74125">
        <w:rPr>
          <w:rStyle w:val="Refdenotaalpie"/>
          <w:color w:val="auto"/>
          <w:lang w:val="es-ES"/>
        </w:rPr>
        <w:footnoteReference w:id="11"/>
      </w:r>
      <w:r w:rsidRPr="00D936CA">
        <w:rPr>
          <w:color w:val="auto"/>
          <w:lang w:val="es-ES"/>
        </w:rPr>
        <w:t>,</w:t>
      </w:r>
      <w:r w:rsidR="005943EC" w:rsidRPr="00D936CA">
        <w:rPr>
          <w:color w:val="auto"/>
          <w:lang w:val="es-ES"/>
        </w:rPr>
        <w:t xml:space="preserve"> en cuyo caso aplica una contraprestación</w:t>
      </w:r>
      <w:r w:rsidR="005943EC" w:rsidRPr="00D936CA">
        <w:rPr>
          <w:rStyle w:val="Refdenotaalpie"/>
          <w:color w:val="auto"/>
          <w:lang w:val="es-ES"/>
        </w:rPr>
        <w:footnoteReference w:id="12"/>
      </w:r>
      <w:r w:rsidR="005943EC" w:rsidRPr="00D936CA">
        <w:rPr>
          <w:color w:val="auto"/>
          <w:lang w:val="es-ES"/>
        </w:rPr>
        <w:t xml:space="preserve"> y el CS deberá indicarla desde la solicitud del servicio correspondiente. La distribución y entrega de módems se realiza a nivel nacional</w:t>
      </w:r>
    </w:p>
    <w:p w14:paraId="2A54DD82" w14:textId="4FA55416" w:rsidR="005943EC" w:rsidRPr="00D936CA" w:rsidRDefault="005943EC" w:rsidP="00D936CA">
      <w:pPr>
        <w:pStyle w:val="CondicionesFinales"/>
        <w:ind w:left="0" w:right="0"/>
        <w:rPr>
          <w:color w:val="auto"/>
        </w:rPr>
      </w:pPr>
      <w:r w:rsidRPr="00D936CA">
        <w:rPr>
          <w:color w:val="auto"/>
          <w:u w:val="single"/>
        </w:rPr>
        <w:t>Para el caso de ONTs es indispensable que sean insta</w:t>
      </w:r>
      <w:r w:rsidR="00E85E1B" w:rsidRPr="00D936CA">
        <w:rPr>
          <w:color w:val="auto"/>
          <w:u w:val="single"/>
        </w:rPr>
        <w:t>lado</w:t>
      </w:r>
      <w:r w:rsidRPr="00D936CA">
        <w:rPr>
          <w:color w:val="auto"/>
          <w:u w:val="single"/>
        </w:rPr>
        <w:t>s por Telmex,</w:t>
      </w:r>
      <w:r w:rsidRPr="00D936CA">
        <w:rPr>
          <w:color w:val="auto"/>
        </w:rPr>
        <w:t xml:space="preserve"> por lo cual en este caso se entregarán directamente en el domicilio de los usuarios bajo los mismos procedimientos que Telmex sigue para sus propias operaciones.</w:t>
      </w:r>
    </w:p>
    <w:p w14:paraId="14C27B9A" w14:textId="7C932B0F" w:rsidR="005943EC" w:rsidRPr="00D936CA" w:rsidRDefault="005943EC" w:rsidP="00D936CA">
      <w:pPr>
        <w:pStyle w:val="CondicionesFinales"/>
        <w:ind w:left="0" w:right="0"/>
        <w:rPr>
          <w:color w:val="auto"/>
        </w:rPr>
      </w:pPr>
      <w:r w:rsidRPr="00D936CA">
        <w:rPr>
          <w:color w:val="auto"/>
        </w:rPr>
        <w:t xml:space="preserve">Cualquier escenario que implique la entrega de algún equipo por parte de Telmex al usuario en virtud de una solicitud del CS, adicionará </w:t>
      </w:r>
      <w:r w:rsidR="00A51384" w:rsidRPr="00D936CA">
        <w:rPr>
          <w:color w:val="auto"/>
        </w:rPr>
        <w:t>dos</w:t>
      </w:r>
      <w:r w:rsidRPr="00D936CA">
        <w:rPr>
          <w:color w:val="auto"/>
        </w:rPr>
        <w:t xml:space="preserve"> días hábiles al plazo de habilitación del servicio por las implicaciones logísticas adicionales.</w:t>
      </w:r>
    </w:p>
    <w:p w14:paraId="17F7FC30" w14:textId="3FF69E12" w:rsidR="00BA112D" w:rsidRPr="00D936CA" w:rsidRDefault="00BA112D" w:rsidP="00D936CA">
      <w:pPr>
        <w:pStyle w:val="IFTnormal"/>
        <w:rPr>
          <w:b/>
        </w:rPr>
      </w:pPr>
      <w:r w:rsidRPr="00D936CA">
        <w:rPr>
          <w:b/>
        </w:rPr>
        <w:t>M</w:t>
      </w:r>
      <w:r w:rsidR="00315BB7" w:rsidRPr="00D936CA">
        <w:rPr>
          <w:b/>
        </w:rPr>
        <w:t xml:space="preserve">ódems y </w:t>
      </w:r>
      <w:r w:rsidRPr="00D936CA">
        <w:rPr>
          <w:b/>
        </w:rPr>
        <w:t>ONTs con proveedores alternos</w:t>
      </w:r>
    </w:p>
    <w:p w14:paraId="1F9283A6" w14:textId="7EEF79D9" w:rsidR="00BA112D" w:rsidRPr="00D936CA" w:rsidRDefault="00BA112D" w:rsidP="00D936CA">
      <w:pPr>
        <w:pStyle w:val="IFTnormal"/>
      </w:pPr>
      <w:r w:rsidRPr="00D936CA">
        <w:rPr>
          <w:u w:val="single"/>
          <w:lang w:val="es-ES"/>
        </w:rPr>
        <w:t xml:space="preserve">El CS podrá adquirir </w:t>
      </w:r>
      <w:r w:rsidR="00315BB7" w:rsidRPr="00D936CA">
        <w:t xml:space="preserve">módems y </w:t>
      </w:r>
      <w:r w:rsidRPr="00D936CA">
        <w:t>ONTs con los proveedores de su elección por lo que se pone a disposición de los CS</w:t>
      </w:r>
      <w:r w:rsidR="00315BB7" w:rsidRPr="00D936CA">
        <w:t xml:space="preserve"> en </w:t>
      </w:r>
      <w:r w:rsidRPr="00D936CA">
        <w:t>SEG, la información sobre los estándares que deben cumplir los equipos y cualquier otra información necesaria para que los CS puedan ident</w:t>
      </w:r>
      <w:r w:rsidR="00315BB7" w:rsidRPr="00D936CA">
        <w:t xml:space="preserve">ificar los equipos de cliente (módems y </w:t>
      </w:r>
      <w:r w:rsidRPr="00D936CA">
        <w:t>ONTs) de forma que sean compatibles e interoperables co</w:t>
      </w:r>
      <w:r w:rsidR="00315BB7" w:rsidRPr="00D936CA">
        <w:t xml:space="preserve">n los equipos de acceso (DSLAM u </w:t>
      </w:r>
      <w:r w:rsidRPr="00D936CA">
        <w:t xml:space="preserve">OLT) de Telmex. </w:t>
      </w:r>
    </w:p>
    <w:p w14:paraId="52D13259" w14:textId="7409CCC6" w:rsidR="00BA112D" w:rsidRPr="00D936CA" w:rsidRDefault="00BA112D" w:rsidP="00D936CA">
      <w:pPr>
        <w:pStyle w:val="IFTnormal"/>
      </w:pPr>
      <w:r w:rsidRPr="00D936CA">
        <w:t>Para que el CS</w:t>
      </w:r>
      <w:r w:rsidR="00D86F72" w:rsidRPr="00D936CA">
        <w:t xml:space="preserve"> pueda identificar los equipos módems y </w:t>
      </w:r>
      <w:r w:rsidRPr="00D936CA">
        <w:t xml:space="preserve">ONTs que deba adquirir con terceros, Telmex </w:t>
      </w:r>
      <w:r w:rsidR="00285660" w:rsidRPr="00D936CA">
        <w:t xml:space="preserve">proveerá </w:t>
      </w:r>
      <w:r w:rsidRPr="00D936CA">
        <w:t>la información relativa</w:t>
      </w:r>
      <w:r w:rsidR="00D86F72" w:rsidRPr="00D936CA">
        <w:t xml:space="preserve"> a los equipos de acceso (DSLAM u </w:t>
      </w:r>
      <w:r w:rsidRPr="00D936CA">
        <w:t>OLT) que tiene instalados en cada central o instalación equivalente en las bases de datos especificadas en la sección de Información relacionada de los servicios de esta Oferta.</w:t>
      </w:r>
    </w:p>
    <w:p w14:paraId="3E855F44" w14:textId="77777777" w:rsidR="00BA112D" w:rsidRPr="00D936CA" w:rsidRDefault="00BA112D" w:rsidP="00D936CA">
      <w:pPr>
        <w:pStyle w:val="IFTnormal"/>
      </w:pPr>
      <w:r w:rsidRPr="00D936CA">
        <w:lastRenderedPageBreak/>
        <w:t>Esta información se mantendrá accesible y actualizada respecto a cualquier cambio de configuración, actualizaciones de software o cambio tecnológico introducido en la red.</w:t>
      </w:r>
    </w:p>
    <w:p w14:paraId="1DA492DD" w14:textId="784C0D0D" w:rsidR="00BA112D" w:rsidRPr="00D936CA" w:rsidRDefault="00BA112D" w:rsidP="00D936CA">
      <w:pPr>
        <w:pStyle w:val="IFTnormal"/>
        <w:rPr>
          <w:lang w:val="es-ES"/>
        </w:rPr>
      </w:pPr>
      <w:r w:rsidRPr="00D936CA">
        <w:t xml:space="preserve">Cualquier equipo homologado </w:t>
      </w:r>
      <w:r w:rsidR="009E1460">
        <w:t xml:space="preserve">por Telmex </w:t>
      </w:r>
      <w:r w:rsidRPr="00D936CA">
        <w:t>respecto a dichos estándares y configurados con dichos parámetros deberá poder conectarse e interoperar con la red de Telmex</w:t>
      </w:r>
      <w:r w:rsidR="008D2A4C">
        <w:t>.</w:t>
      </w:r>
      <w:r w:rsidRPr="00D936CA">
        <w:t xml:space="preserve"> </w:t>
      </w:r>
    </w:p>
    <w:p w14:paraId="4DA2F5FC" w14:textId="189D985F" w:rsidR="00BA112D" w:rsidRPr="00D936CA" w:rsidRDefault="00D86F72" w:rsidP="00D936CA">
      <w:pPr>
        <w:pStyle w:val="IFTnormal"/>
        <w:rPr>
          <w:lang w:val="es-ES"/>
        </w:rPr>
      </w:pPr>
      <w:r w:rsidRPr="00D936CA">
        <w:t xml:space="preserve">El CS podrá adquirir los módems y </w:t>
      </w:r>
      <w:r w:rsidR="00BA112D" w:rsidRPr="00D936CA">
        <w:t>ONTs con cualquier proveedor ofreciéndose a requerimiento del CS el se</w:t>
      </w:r>
      <w:r w:rsidRPr="00D936CA">
        <w:t xml:space="preserve">rvicio de interoperabilidad de módems y </w:t>
      </w:r>
      <w:r w:rsidR="00BA112D" w:rsidRPr="00D936CA">
        <w:t xml:space="preserve">ONTs para que los mismos operen correctamente en la red de Telmex. El CS tendrá la opción de adquirir dichos equipos directamente con los proveedores </w:t>
      </w:r>
      <w:r w:rsidRPr="00D936CA">
        <w:t xml:space="preserve">indicados por </w:t>
      </w:r>
      <w:r w:rsidR="005A4379">
        <w:t>Telmex</w:t>
      </w:r>
      <w:r w:rsidRPr="00D936CA">
        <w:t xml:space="preserve"> o de su elección,</w:t>
      </w:r>
      <w:r w:rsidR="00BA112D" w:rsidRPr="00D936CA">
        <w:t xml:space="preserve"> no obstante</w:t>
      </w:r>
      <w:r w:rsidR="00A8272E">
        <w:t>,</w:t>
      </w:r>
      <w:r w:rsidR="00BA112D" w:rsidRPr="00D936CA">
        <w:t xml:space="preserve"> es altamente recomendable utilizar el servicio de interoperabilidad para minimizar las posibles afectaciones en la prestación del servicio.</w:t>
      </w:r>
    </w:p>
    <w:p w14:paraId="7FC3AC3E" w14:textId="0A9D4D3D" w:rsidR="00BA112D" w:rsidRPr="00D936CA" w:rsidRDefault="00BA112D" w:rsidP="00D936CA">
      <w:pPr>
        <w:pStyle w:val="IFTnormal"/>
      </w:pPr>
      <w:r w:rsidRPr="00D936CA">
        <w:rPr>
          <w:u w:val="single"/>
          <w:lang w:val="es-ES"/>
        </w:rPr>
        <w:t>Para el caso de ONTs es indispensable que</w:t>
      </w:r>
      <w:r w:rsidR="00D86F72" w:rsidRPr="00D936CA">
        <w:rPr>
          <w:u w:val="single"/>
          <w:lang w:val="es-ES"/>
        </w:rPr>
        <w:t xml:space="preserve"> los equipos</w:t>
      </w:r>
      <w:r w:rsidRPr="00D936CA">
        <w:rPr>
          <w:u w:val="single"/>
          <w:lang w:val="es-ES"/>
        </w:rPr>
        <w:t xml:space="preserve"> sean instalad</w:t>
      </w:r>
      <w:r w:rsidR="008D2A4C">
        <w:rPr>
          <w:u w:val="single"/>
          <w:lang w:val="es-ES"/>
        </w:rPr>
        <w:t>o</w:t>
      </w:r>
      <w:r w:rsidRPr="00D936CA">
        <w:rPr>
          <w:u w:val="single"/>
          <w:lang w:val="es-ES"/>
        </w:rPr>
        <w:t>s por Telmex,</w:t>
      </w:r>
      <w:r w:rsidRPr="00D936CA">
        <w:rPr>
          <w:lang w:val="es-ES"/>
        </w:rPr>
        <w:t xml:space="preserve"> por lo cual en este caso los CS entregarán directamente el equipo en el domicilio de los usuarios coordinando la instalación y entrega del servicio con Telmex.</w:t>
      </w:r>
    </w:p>
    <w:p w14:paraId="6EB2AEA7" w14:textId="004D8C46" w:rsidR="00D86F72" w:rsidRPr="00D936CA" w:rsidRDefault="00D86F72" w:rsidP="00D936CA">
      <w:pPr>
        <w:pStyle w:val="IFTnormal"/>
      </w:pPr>
      <w:r w:rsidRPr="00D936CA">
        <w:t>Tanto para m</w:t>
      </w:r>
      <w:r w:rsidR="00BA112D" w:rsidRPr="00D936CA">
        <w:t>ódems como para ONTs el CS deberá proveer a Telmex la información de las credenciales (versión de firmware y número de serie) de los equipos que vaya a utilizar.</w:t>
      </w:r>
    </w:p>
    <w:p w14:paraId="3A7E80EB" w14:textId="1E76A068" w:rsidR="00BA112D" w:rsidRPr="00D936CA" w:rsidRDefault="00BA112D" w:rsidP="00D936CA">
      <w:pPr>
        <w:spacing w:after="200" w:line="276" w:lineRule="auto"/>
        <w:jc w:val="both"/>
        <w:rPr>
          <w:rFonts w:ascii="ITC Avant Garde" w:hAnsi="ITC Avant Garde"/>
          <w:sz w:val="22"/>
          <w:szCs w:val="22"/>
          <w:lang w:val="es-ES"/>
        </w:rPr>
      </w:pPr>
      <w:r w:rsidRPr="00D936CA">
        <w:rPr>
          <w:rFonts w:ascii="ITC Avant Garde" w:hAnsi="ITC Avant Garde"/>
          <w:sz w:val="22"/>
          <w:szCs w:val="22"/>
        </w:rPr>
        <w:t>En resumen</w:t>
      </w:r>
      <w:r w:rsidR="00A8272E">
        <w:rPr>
          <w:rFonts w:ascii="ITC Avant Garde" w:hAnsi="ITC Avant Garde"/>
          <w:sz w:val="22"/>
          <w:szCs w:val="22"/>
        </w:rPr>
        <w:t>,</w:t>
      </w:r>
      <w:r w:rsidRPr="00D936CA">
        <w:rPr>
          <w:rFonts w:ascii="ITC Avant Garde" w:hAnsi="ITC Avant Garde"/>
          <w:sz w:val="22"/>
          <w:szCs w:val="22"/>
        </w:rPr>
        <w:t xml:space="preserve"> l</w:t>
      </w:r>
      <w:r w:rsidRPr="00D936CA">
        <w:rPr>
          <w:rFonts w:ascii="ITC Avant Garde" w:hAnsi="ITC Avant Garde"/>
          <w:sz w:val="22"/>
          <w:szCs w:val="22"/>
          <w:lang w:val="es-ES"/>
        </w:rPr>
        <w:t>os escenarios para la entrega o instalación del Módem u ONT para el servicio de Reventa son los siguientes:</w:t>
      </w:r>
    </w:p>
    <w:tbl>
      <w:tblPr>
        <w:tblStyle w:val="Tablaconcuadrcula"/>
        <w:tblW w:w="0" w:type="auto"/>
        <w:jc w:val="center"/>
        <w:tblLook w:val="04A0" w:firstRow="1" w:lastRow="0" w:firstColumn="1" w:lastColumn="0" w:noHBand="0" w:noVBand="1"/>
      </w:tblPr>
      <w:tblGrid>
        <w:gridCol w:w="1139"/>
        <w:gridCol w:w="2230"/>
        <w:gridCol w:w="5611"/>
      </w:tblGrid>
      <w:tr w:rsidR="00D936CA" w:rsidRPr="00D936CA" w14:paraId="4616F248" w14:textId="77777777" w:rsidTr="00A8272E">
        <w:trPr>
          <w:jc w:val="center"/>
        </w:trPr>
        <w:tc>
          <w:tcPr>
            <w:tcW w:w="1139" w:type="dxa"/>
          </w:tcPr>
          <w:p w14:paraId="22247FAE" w14:textId="77777777" w:rsidR="00BA112D" w:rsidRPr="00D936CA" w:rsidRDefault="00BA112D" w:rsidP="00D936CA">
            <w:pPr>
              <w:pStyle w:val="IFTnormal"/>
              <w:jc w:val="center"/>
              <w:rPr>
                <w:b/>
              </w:rPr>
            </w:pPr>
            <w:r w:rsidRPr="00D936CA">
              <w:rPr>
                <w:b/>
              </w:rPr>
              <w:t>Usuario</w:t>
            </w:r>
          </w:p>
        </w:tc>
        <w:tc>
          <w:tcPr>
            <w:tcW w:w="2230" w:type="dxa"/>
          </w:tcPr>
          <w:p w14:paraId="6D42F48D" w14:textId="77777777" w:rsidR="00BA112D" w:rsidRPr="00D936CA" w:rsidRDefault="00BA112D" w:rsidP="00D936CA">
            <w:pPr>
              <w:pStyle w:val="IFTnormal"/>
              <w:jc w:val="center"/>
              <w:rPr>
                <w:b/>
              </w:rPr>
            </w:pPr>
            <w:r w:rsidRPr="00D936CA">
              <w:rPr>
                <w:b/>
              </w:rPr>
              <w:t>Equipo Terminal</w:t>
            </w:r>
          </w:p>
        </w:tc>
        <w:tc>
          <w:tcPr>
            <w:tcW w:w="5611" w:type="dxa"/>
          </w:tcPr>
          <w:p w14:paraId="3CACA3DC" w14:textId="77777777" w:rsidR="00BA112D" w:rsidRPr="00D936CA" w:rsidRDefault="00BA112D" w:rsidP="00D936CA">
            <w:pPr>
              <w:pStyle w:val="IFTnormal"/>
              <w:jc w:val="center"/>
              <w:rPr>
                <w:b/>
              </w:rPr>
            </w:pPr>
            <w:r w:rsidRPr="00D936CA">
              <w:rPr>
                <w:b/>
              </w:rPr>
              <w:t>Modalidad de entrega</w:t>
            </w:r>
          </w:p>
        </w:tc>
      </w:tr>
      <w:tr w:rsidR="00D936CA" w:rsidRPr="00D936CA" w14:paraId="7D5B4DC7" w14:textId="77777777" w:rsidTr="00A8272E">
        <w:trPr>
          <w:jc w:val="center"/>
        </w:trPr>
        <w:tc>
          <w:tcPr>
            <w:tcW w:w="8980" w:type="dxa"/>
            <w:gridSpan w:val="3"/>
          </w:tcPr>
          <w:p w14:paraId="7959994E" w14:textId="77777777" w:rsidR="00BA112D" w:rsidRPr="00D936CA" w:rsidRDefault="00BA112D" w:rsidP="00D936CA">
            <w:pPr>
              <w:pStyle w:val="IFTnormal"/>
              <w:jc w:val="center"/>
            </w:pPr>
            <w:r w:rsidRPr="00D936CA">
              <w:t>Equipo de Telmex (Módem / ONT)</w:t>
            </w:r>
          </w:p>
        </w:tc>
      </w:tr>
      <w:tr w:rsidR="00D936CA" w:rsidRPr="00D936CA" w14:paraId="61C1DF0B" w14:textId="77777777" w:rsidTr="00A8272E">
        <w:trPr>
          <w:jc w:val="center"/>
        </w:trPr>
        <w:tc>
          <w:tcPr>
            <w:tcW w:w="1139" w:type="dxa"/>
          </w:tcPr>
          <w:p w14:paraId="32C3C2A8" w14:textId="77777777" w:rsidR="00BA112D" w:rsidRPr="00D936CA" w:rsidRDefault="00BA112D" w:rsidP="00D936CA">
            <w:pPr>
              <w:pStyle w:val="IFTnormal"/>
            </w:pPr>
            <w:r w:rsidRPr="00D936CA">
              <w:t>Existente</w:t>
            </w:r>
          </w:p>
        </w:tc>
        <w:tc>
          <w:tcPr>
            <w:tcW w:w="2230" w:type="dxa"/>
          </w:tcPr>
          <w:p w14:paraId="1B0F6826" w14:textId="77777777" w:rsidR="00BA112D" w:rsidRPr="00D936CA" w:rsidRDefault="00BA112D" w:rsidP="00D936CA">
            <w:pPr>
              <w:pStyle w:val="IFTnormal"/>
            </w:pPr>
            <w:r w:rsidRPr="00D936CA">
              <w:t>Módem Telmex</w:t>
            </w:r>
          </w:p>
        </w:tc>
        <w:tc>
          <w:tcPr>
            <w:tcW w:w="5611" w:type="dxa"/>
          </w:tcPr>
          <w:p w14:paraId="391B275D" w14:textId="77777777" w:rsidR="00BA112D" w:rsidRPr="00D936CA" w:rsidRDefault="00BA112D" w:rsidP="00D936CA">
            <w:pPr>
              <w:pStyle w:val="IFTnormal"/>
            </w:pPr>
            <w:r w:rsidRPr="00D936CA">
              <w:t>Se utiliza el Módem Telmex en operación con el usuario final.</w:t>
            </w:r>
          </w:p>
        </w:tc>
      </w:tr>
      <w:tr w:rsidR="00D936CA" w:rsidRPr="00D936CA" w14:paraId="68271B0D" w14:textId="77777777" w:rsidTr="00A8272E">
        <w:trPr>
          <w:jc w:val="center"/>
        </w:trPr>
        <w:tc>
          <w:tcPr>
            <w:tcW w:w="1139" w:type="dxa"/>
          </w:tcPr>
          <w:p w14:paraId="6596950A" w14:textId="77777777" w:rsidR="00BA112D" w:rsidRPr="00D936CA" w:rsidRDefault="00BA112D" w:rsidP="00D936CA">
            <w:pPr>
              <w:pStyle w:val="IFTnormal"/>
            </w:pPr>
            <w:r w:rsidRPr="00D936CA">
              <w:t>Existente</w:t>
            </w:r>
          </w:p>
        </w:tc>
        <w:tc>
          <w:tcPr>
            <w:tcW w:w="2230" w:type="dxa"/>
          </w:tcPr>
          <w:p w14:paraId="5CE09DFD" w14:textId="77777777" w:rsidR="00BA112D" w:rsidRPr="00D936CA" w:rsidRDefault="00BA112D" w:rsidP="00D936CA">
            <w:pPr>
              <w:pStyle w:val="IFTnormal"/>
            </w:pPr>
            <w:r w:rsidRPr="00D936CA">
              <w:t>ONT Telmex</w:t>
            </w:r>
          </w:p>
        </w:tc>
        <w:tc>
          <w:tcPr>
            <w:tcW w:w="5611" w:type="dxa"/>
          </w:tcPr>
          <w:p w14:paraId="3019C854" w14:textId="77777777" w:rsidR="00BA112D" w:rsidRPr="00D936CA" w:rsidRDefault="00BA112D" w:rsidP="00D936CA">
            <w:pPr>
              <w:pStyle w:val="IFTnormal"/>
            </w:pPr>
            <w:r w:rsidRPr="00D936CA">
              <w:t>Se utiliza el ONT Telmex en operación con el usuario final.</w:t>
            </w:r>
          </w:p>
        </w:tc>
      </w:tr>
      <w:tr w:rsidR="00D936CA" w:rsidRPr="00D936CA" w14:paraId="128A1747" w14:textId="77777777" w:rsidTr="00A8272E">
        <w:trPr>
          <w:jc w:val="center"/>
        </w:trPr>
        <w:tc>
          <w:tcPr>
            <w:tcW w:w="1139" w:type="dxa"/>
          </w:tcPr>
          <w:p w14:paraId="3F45A813" w14:textId="77777777" w:rsidR="00BA112D" w:rsidRPr="00D936CA" w:rsidRDefault="00BA112D" w:rsidP="00D936CA">
            <w:pPr>
              <w:pStyle w:val="IFTnormal"/>
            </w:pPr>
            <w:r w:rsidRPr="00D936CA">
              <w:t>Nuevo</w:t>
            </w:r>
          </w:p>
        </w:tc>
        <w:tc>
          <w:tcPr>
            <w:tcW w:w="2230" w:type="dxa"/>
          </w:tcPr>
          <w:p w14:paraId="6E4DBF62" w14:textId="77777777" w:rsidR="00BA112D" w:rsidRPr="00D936CA" w:rsidRDefault="00BA112D" w:rsidP="00D936CA">
            <w:pPr>
              <w:pStyle w:val="IFTnormal"/>
            </w:pPr>
            <w:r w:rsidRPr="00D936CA">
              <w:t>Módem Telmex</w:t>
            </w:r>
          </w:p>
        </w:tc>
        <w:tc>
          <w:tcPr>
            <w:tcW w:w="5611" w:type="dxa"/>
          </w:tcPr>
          <w:p w14:paraId="37B414AE" w14:textId="738B26F6" w:rsidR="00BA112D" w:rsidRPr="00D936CA" w:rsidRDefault="00BA112D" w:rsidP="00D936CA">
            <w:pPr>
              <w:pStyle w:val="IFTnormal"/>
            </w:pPr>
            <w:r w:rsidRPr="00D936CA">
              <w:t>Mensajería / Tienda Telmex</w:t>
            </w:r>
            <w:r w:rsidR="008F3C1F">
              <w:rPr>
                <w:rStyle w:val="Refdenotaalpie"/>
              </w:rPr>
              <w:footnoteReference w:id="13"/>
            </w:r>
            <w:r w:rsidR="004B3F22">
              <w:t xml:space="preserve"> </w:t>
            </w:r>
            <w:r w:rsidR="00F7553C" w:rsidRPr="00F7553C">
              <w:t>/</w:t>
            </w:r>
            <w:r w:rsidR="00F7553C" w:rsidRPr="00D83CCE">
              <w:t xml:space="preserve"> Técnico</w:t>
            </w:r>
          </w:p>
        </w:tc>
      </w:tr>
      <w:tr w:rsidR="00D936CA" w:rsidRPr="00D936CA" w14:paraId="54E12E60" w14:textId="77777777" w:rsidTr="00A8272E">
        <w:trPr>
          <w:jc w:val="center"/>
        </w:trPr>
        <w:tc>
          <w:tcPr>
            <w:tcW w:w="1139" w:type="dxa"/>
          </w:tcPr>
          <w:p w14:paraId="56ABBDE2" w14:textId="77777777" w:rsidR="00BA112D" w:rsidRPr="00D936CA" w:rsidRDefault="00BA112D" w:rsidP="00D936CA">
            <w:pPr>
              <w:pStyle w:val="IFTnormal"/>
            </w:pPr>
            <w:r w:rsidRPr="00D936CA">
              <w:lastRenderedPageBreak/>
              <w:t>Nuevo</w:t>
            </w:r>
          </w:p>
        </w:tc>
        <w:tc>
          <w:tcPr>
            <w:tcW w:w="2230" w:type="dxa"/>
          </w:tcPr>
          <w:p w14:paraId="15A05EB2" w14:textId="77777777" w:rsidR="00BA112D" w:rsidRPr="00D936CA" w:rsidRDefault="00BA112D" w:rsidP="00D936CA">
            <w:pPr>
              <w:pStyle w:val="IFTnormal"/>
            </w:pPr>
            <w:r w:rsidRPr="00D936CA">
              <w:t>ONT Telmex</w:t>
            </w:r>
          </w:p>
        </w:tc>
        <w:tc>
          <w:tcPr>
            <w:tcW w:w="5611" w:type="dxa"/>
          </w:tcPr>
          <w:p w14:paraId="445D931A" w14:textId="4FA8CE3D" w:rsidR="00BA112D" w:rsidRPr="00D936CA" w:rsidRDefault="00BA112D" w:rsidP="00D936CA">
            <w:pPr>
              <w:pStyle w:val="IFTnormal"/>
            </w:pPr>
            <w:r w:rsidRPr="00D936CA">
              <w:t>Telmex entrega e instala el ONT al usuario final.</w:t>
            </w:r>
          </w:p>
        </w:tc>
      </w:tr>
      <w:tr w:rsidR="00D936CA" w:rsidRPr="00D936CA" w14:paraId="370B2D62" w14:textId="77777777" w:rsidTr="00A8272E">
        <w:trPr>
          <w:jc w:val="center"/>
        </w:trPr>
        <w:tc>
          <w:tcPr>
            <w:tcW w:w="8980" w:type="dxa"/>
            <w:gridSpan w:val="3"/>
          </w:tcPr>
          <w:p w14:paraId="5DBD0239" w14:textId="77777777" w:rsidR="00BA112D" w:rsidRPr="00D936CA" w:rsidRDefault="00BA112D" w:rsidP="00D936CA">
            <w:pPr>
              <w:pStyle w:val="IFTnormal"/>
              <w:jc w:val="center"/>
            </w:pPr>
            <w:r w:rsidRPr="00D936CA">
              <w:t>Equipo Blanco de Telmex (Módem / ONT)</w:t>
            </w:r>
          </w:p>
        </w:tc>
      </w:tr>
      <w:tr w:rsidR="00D936CA" w:rsidRPr="00D936CA" w14:paraId="6199260E" w14:textId="77777777" w:rsidTr="00A8272E">
        <w:trPr>
          <w:jc w:val="center"/>
        </w:trPr>
        <w:tc>
          <w:tcPr>
            <w:tcW w:w="1139" w:type="dxa"/>
          </w:tcPr>
          <w:p w14:paraId="42D8D8ED" w14:textId="77777777" w:rsidR="00BA112D" w:rsidRPr="00D936CA" w:rsidRDefault="00BA112D" w:rsidP="00D936CA">
            <w:pPr>
              <w:pStyle w:val="IFTnormal"/>
            </w:pPr>
            <w:r w:rsidRPr="00D936CA">
              <w:t>Nuevo</w:t>
            </w:r>
          </w:p>
        </w:tc>
        <w:tc>
          <w:tcPr>
            <w:tcW w:w="2230" w:type="dxa"/>
          </w:tcPr>
          <w:p w14:paraId="1406CB26" w14:textId="77777777" w:rsidR="00BA112D" w:rsidRPr="00D936CA" w:rsidRDefault="00BA112D" w:rsidP="00D936CA">
            <w:pPr>
              <w:pStyle w:val="IFTnormal"/>
            </w:pPr>
            <w:r w:rsidRPr="00D936CA">
              <w:t>Módem Blanco</w:t>
            </w:r>
          </w:p>
        </w:tc>
        <w:tc>
          <w:tcPr>
            <w:tcW w:w="5611" w:type="dxa"/>
          </w:tcPr>
          <w:p w14:paraId="63AC3C7B" w14:textId="19FCD307" w:rsidR="00BA112D" w:rsidRPr="00D936CA" w:rsidRDefault="00BA112D" w:rsidP="00D936CA">
            <w:pPr>
              <w:pStyle w:val="IFTnormal"/>
            </w:pPr>
            <w:r w:rsidRPr="00D936CA">
              <w:t xml:space="preserve">Mensajería </w:t>
            </w:r>
          </w:p>
        </w:tc>
      </w:tr>
      <w:tr w:rsidR="00D936CA" w:rsidRPr="00D936CA" w14:paraId="5854D671" w14:textId="77777777" w:rsidTr="00A8272E">
        <w:trPr>
          <w:jc w:val="center"/>
        </w:trPr>
        <w:tc>
          <w:tcPr>
            <w:tcW w:w="1139" w:type="dxa"/>
          </w:tcPr>
          <w:p w14:paraId="4B55CC17" w14:textId="77777777" w:rsidR="00BA112D" w:rsidRPr="00D936CA" w:rsidRDefault="00BA112D" w:rsidP="00D936CA">
            <w:pPr>
              <w:pStyle w:val="IFTnormal"/>
            </w:pPr>
            <w:r w:rsidRPr="00D936CA">
              <w:t>Nuevo</w:t>
            </w:r>
          </w:p>
        </w:tc>
        <w:tc>
          <w:tcPr>
            <w:tcW w:w="2230" w:type="dxa"/>
          </w:tcPr>
          <w:p w14:paraId="35836280" w14:textId="77777777" w:rsidR="00BA112D" w:rsidRPr="00D936CA" w:rsidRDefault="00BA112D" w:rsidP="00D936CA">
            <w:pPr>
              <w:pStyle w:val="IFTnormal"/>
            </w:pPr>
            <w:r w:rsidRPr="00D936CA">
              <w:t>ONT Blanco</w:t>
            </w:r>
          </w:p>
        </w:tc>
        <w:tc>
          <w:tcPr>
            <w:tcW w:w="5611" w:type="dxa"/>
          </w:tcPr>
          <w:p w14:paraId="0C66A1AB" w14:textId="1338775B" w:rsidR="00BA112D" w:rsidRPr="00D936CA" w:rsidRDefault="00BA112D" w:rsidP="00D936CA">
            <w:pPr>
              <w:pStyle w:val="IFTnormal"/>
            </w:pPr>
            <w:r w:rsidRPr="00D936CA">
              <w:t>Telmex entrega e instala el ONT al usuario final.</w:t>
            </w:r>
          </w:p>
        </w:tc>
      </w:tr>
      <w:tr w:rsidR="00D936CA" w:rsidRPr="00D936CA" w14:paraId="07088D7A" w14:textId="77777777" w:rsidTr="00A8272E">
        <w:trPr>
          <w:jc w:val="center"/>
        </w:trPr>
        <w:tc>
          <w:tcPr>
            <w:tcW w:w="8980" w:type="dxa"/>
            <w:gridSpan w:val="3"/>
          </w:tcPr>
          <w:p w14:paraId="49B3852B" w14:textId="77777777" w:rsidR="00BA112D" w:rsidRPr="00D936CA" w:rsidRDefault="00BA112D" w:rsidP="00D936CA">
            <w:pPr>
              <w:pStyle w:val="IFTnormal"/>
              <w:jc w:val="center"/>
            </w:pPr>
            <w:r w:rsidRPr="00D936CA">
              <w:t>Equipo de Proveedor Alterno (Módem / ONT)</w:t>
            </w:r>
          </w:p>
        </w:tc>
      </w:tr>
      <w:tr w:rsidR="00D936CA" w:rsidRPr="00D936CA" w14:paraId="016A231C" w14:textId="77777777" w:rsidTr="00A8272E">
        <w:trPr>
          <w:jc w:val="center"/>
        </w:trPr>
        <w:tc>
          <w:tcPr>
            <w:tcW w:w="1139" w:type="dxa"/>
          </w:tcPr>
          <w:p w14:paraId="6E284667" w14:textId="77777777" w:rsidR="00BA112D" w:rsidRPr="00D936CA" w:rsidRDefault="00BA112D" w:rsidP="00D936CA">
            <w:pPr>
              <w:pStyle w:val="IFTnormal"/>
            </w:pPr>
            <w:r w:rsidRPr="00D936CA">
              <w:t>Nuevo</w:t>
            </w:r>
          </w:p>
        </w:tc>
        <w:tc>
          <w:tcPr>
            <w:tcW w:w="2230" w:type="dxa"/>
          </w:tcPr>
          <w:p w14:paraId="1A21C964" w14:textId="77777777" w:rsidR="00BA112D" w:rsidRPr="00D936CA" w:rsidRDefault="00BA112D" w:rsidP="00D936CA">
            <w:pPr>
              <w:pStyle w:val="IFTnormal"/>
            </w:pPr>
            <w:r w:rsidRPr="00D936CA">
              <w:t>Módem Proveedor Alterno</w:t>
            </w:r>
          </w:p>
        </w:tc>
        <w:tc>
          <w:tcPr>
            <w:tcW w:w="5611" w:type="dxa"/>
          </w:tcPr>
          <w:p w14:paraId="1D37D16E" w14:textId="77777777" w:rsidR="00BA112D" w:rsidRPr="00D936CA" w:rsidRDefault="00BA112D" w:rsidP="00D936CA">
            <w:pPr>
              <w:pStyle w:val="IFTnormal"/>
            </w:pPr>
            <w:r w:rsidRPr="00D936CA">
              <w:t>CS entrega e instala el Módem al usuario final.</w:t>
            </w:r>
          </w:p>
        </w:tc>
      </w:tr>
      <w:tr w:rsidR="00BA112D" w:rsidRPr="00D936CA" w14:paraId="4F4D8BF4" w14:textId="77777777" w:rsidTr="00A8272E">
        <w:trPr>
          <w:jc w:val="center"/>
        </w:trPr>
        <w:tc>
          <w:tcPr>
            <w:tcW w:w="1139" w:type="dxa"/>
          </w:tcPr>
          <w:p w14:paraId="5FD19AD9" w14:textId="77777777" w:rsidR="00BA112D" w:rsidRPr="00D936CA" w:rsidRDefault="00BA112D" w:rsidP="00D936CA">
            <w:pPr>
              <w:pStyle w:val="IFTnormal"/>
            </w:pPr>
            <w:r w:rsidRPr="00D936CA">
              <w:t>Nuevo</w:t>
            </w:r>
          </w:p>
        </w:tc>
        <w:tc>
          <w:tcPr>
            <w:tcW w:w="2230" w:type="dxa"/>
          </w:tcPr>
          <w:p w14:paraId="072E6116" w14:textId="77777777" w:rsidR="00BA112D" w:rsidRPr="00D936CA" w:rsidRDefault="00BA112D" w:rsidP="00D936CA">
            <w:pPr>
              <w:pStyle w:val="IFTnormal"/>
            </w:pPr>
            <w:r w:rsidRPr="00D936CA">
              <w:t>ONT         Proveedor Alterno</w:t>
            </w:r>
          </w:p>
        </w:tc>
        <w:tc>
          <w:tcPr>
            <w:tcW w:w="5611" w:type="dxa"/>
          </w:tcPr>
          <w:p w14:paraId="194F374D" w14:textId="77777777" w:rsidR="00BA112D" w:rsidRPr="00D936CA" w:rsidRDefault="00BA112D" w:rsidP="00D936CA">
            <w:pPr>
              <w:pStyle w:val="IFTnormal"/>
            </w:pPr>
            <w:r w:rsidRPr="00D936CA">
              <w:t>Coordinación de instalación al usuario final:</w:t>
            </w:r>
          </w:p>
          <w:p w14:paraId="0F094231" w14:textId="77777777" w:rsidR="00BA112D" w:rsidRPr="00D936CA" w:rsidRDefault="00BA112D" w:rsidP="00D936CA">
            <w:pPr>
              <w:pStyle w:val="IFTnormal"/>
              <w:numPr>
                <w:ilvl w:val="0"/>
                <w:numId w:val="147"/>
              </w:numPr>
            </w:pPr>
            <w:r w:rsidRPr="00D936CA">
              <w:t>CS proporciona el ONT.</w:t>
            </w:r>
          </w:p>
          <w:p w14:paraId="713D14A2" w14:textId="77777777" w:rsidR="00BA112D" w:rsidRPr="00D936CA" w:rsidRDefault="00BA112D" w:rsidP="00D936CA">
            <w:pPr>
              <w:pStyle w:val="IFTnormal"/>
              <w:numPr>
                <w:ilvl w:val="0"/>
                <w:numId w:val="147"/>
              </w:numPr>
            </w:pPr>
            <w:r w:rsidRPr="00D936CA">
              <w:t>Telmex instala el ONT.</w:t>
            </w:r>
          </w:p>
        </w:tc>
      </w:tr>
    </w:tbl>
    <w:p w14:paraId="33CFE8D7" w14:textId="77777777" w:rsidR="000F6A7A" w:rsidRPr="00D936CA" w:rsidRDefault="000F6A7A" w:rsidP="00D936CA">
      <w:pPr>
        <w:spacing w:after="200" w:line="276" w:lineRule="auto"/>
        <w:jc w:val="both"/>
        <w:rPr>
          <w:rFonts w:ascii="ITC Avant Garde" w:hAnsi="ITC Avant Garde"/>
          <w:sz w:val="22"/>
          <w:szCs w:val="22"/>
          <w:lang w:val="es-MX"/>
        </w:rPr>
      </w:pPr>
    </w:p>
    <w:p w14:paraId="33CFE8D8" w14:textId="3B7ACD24" w:rsidR="0074367B" w:rsidRPr="00D936CA" w:rsidRDefault="00011A1B"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Asimismo, el CS </w:t>
      </w:r>
      <w:r w:rsidR="00965F9E" w:rsidRPr="00D936CA">
        <w:rPr>
          <w:rFonts w:ascii="ITC Avant Garde" w:hAnsi="ITC Avant Garde"/>
          <w:sz w:val="22"/>
          <w:szCs w:val="22"/>
        </w:rPr>
        <w:t>o en su caso un grupo de éstos</w:t>
      </w:r>
      <w:r w:rsidRPr="00D936CA">
        <w:rPr>
          <w:rFonts w:ascii="ITC Avant Garde" w:hAnsi="ITC Avant Garde"/>
          <w:sz w:val="22"/>
          <w:szCs w:val="22"/>
        </w:rPr>
        <w:t xml:space="preserve"> podrá comprar los </w:t>
      </w:r>
      <w:r w:rsidR="00366745" w:rsidRPr="00D936CA">
        <w:rPr>
          <w:rFonts w:ascii="ITC Avant Garde" w:hAnsi="ITC Avant Garde"/>
          <w:sz w:val="22"/>
          <w:szCs w:val="22"/>
        </w:rPr>
        <w:t>m</w:t>
      </w:r>
      <w:r w:rsidRPr="00D936CA">
        <w:rPr>
          <w:rFonts w:ascii="ITC Avant Garde" w:hAnsi="ITC Avant Garde"/>
          <w:sz w:val="22"/>
          <w:szCs w:val="22"/>
        </w:rPr>
        <w:t>ódems y ONTs a Telmex,</w:t>
      </w:r>
      <w:r w:rsidR="00957D99" w:rsidRPr="00D936CA">
        <w:rPr>
          <w:rFonts w:ascii="ITC Avant Garde" w:hAnsi="ITC Avant Garde"/>
          <w:sz w:val="22"/>
          <w:szCs w:val="22"/>
        </w:rPr>
        <w:t xml:space="preserve"> de conformidad con lo establecido en el Anexo A</w:t>
      </w:r>
      <w:r w:rsidR="00965F9E" w:rsidRPr="00D936CA">
        <w:rPr>
          <w:rStyle w:val="Refdenotaalpie"/>
          <w:rFonts w:ascii="ITC Avant Garde" w:hAnsi="ITC Avant Garde"/>
          <w:sz w:val="22"/>
          <w:szCs w:val="22"/>
          <w:lang w:val="es-ES"/>
        </w:rPr>
        <w:footnoteReference w:id="14"/>
      </w:r>
      <w:r w:rsidRPr="00D936CA">
        <w:rPr>
          <w:rFonts w:ascii="ITC Avant Garde" w:hAnsi="ITC Avant Garde"/>
          <w:sz w:val="22"/>
          <w:szCs w:val="22"/>
        </w:rPr>
        <w:t xml:space="preserve">. El CS deberá considerar que los </w:t>
      </w:r>
      <w:r w:rsidR="00366745" w:rsidRPr="00D936CA">
        <w:rPr>
          <w:rFonts w:ascii="ITC Avant Garde" w:hAnsi="ITC Avant Garde"/>
          <w:sz w:val="22"/>
          <w:szCs w:val="22"/>
        </w:rPr>
        <w:t>m</w:t>
      </w:r>
      <w:r w:rsidRPr="00D936CA">
        <w:rPr>
          <w:rFonts w:ascii="ITC Avant Garde" w:hAnsi="ITC Avant Garde"/>
          <w:sz w:val="22"/>
          <w:szCs w:val="22"/>
        </w:rPr>
        <w:t>ódem</w:t>
      </w:r>
      <w:r w:rsidR="00366745" w:rsidRPr="00D936CA">
        <w:rPr>
          <w:rFonts w:ascii="ITC Avant Garde" w:hAnsi="ITC Avant Garde"/>
          <w:sz w:val="22"/>
          <w:szCs w:val="22"/>
        </w:rPr>
        <w:t>s</w:t>
      </w:r>
      <w:r w:rsidRPr="00D936CA">
        <w:rPr>
          <w:rFonts w:ascii="ITC Avant Garde" w:hAnsi="ITC Avant Garde"/>
          <w:sz w:val="22"/>
          <w:szCs w:val="22"/>
        </w:rPr>
        <w:t xml:space="preserve"> y las ONTs serán provistos en un plazo m</w:t>
      </w:r>
      <w:r w:rsidR="00366745" w:rsidRPr="00D936CA">
        <w:rPr>
          <w:rFonts w:ascii="ITC Avant Garde" w:hAnsi="ITC Avant Garde"/>
          <w:sz w:val="22"/>
          <w:szCs w:val="22"/>
        </w:rPr>
        <w:t>áximo</w:t>
      </w:r>
      <w:r w:rsidRPr="00D936CA">
        <w:rPr>
          <w:rFonts w:ascii="ITC Avant Garde" w:hAnsi="ITC Avant Garde"/>
          <w:sz w:val="22"/>
          <w:szCs w:val="22"/>
        </w:rPr>
        <w:t xml:space="preserve"> de </w:t>
      </w:r>
      <w:r w:rsidR="00965F9E" w:rsidRPr="00D936CA">
        <w:rPr>
          <w:rFonts w:ascii="ITC Avant Garde" w:hAnsi="ITC Avant Garde"/>
          <w:sz w:val="22"/>
          <w:szCs w:val="22"/>
        </w:rPr>
        <w:t>cuatro</w:t>
      </w:r>
      <w:r w:rsidRPr="00D936CA">
        <w:rPr>
          <w:rFonts w:ascii="ITC Avant Garde" w:hAnsi="ITC Avant Garde"/>
          <w:sz w:val="22"/>
          <w:szCs w:val="22"/>
        </w:rPr>
        <w:t xml:space="preserve"> meses posterior a la solicitud de compra</w:t>
      </w:r>
      <w:r w:rsidRPr="00D936CA">
        <w:rPr>
          <w:rStyle w:val="Refdenotaalpie"/>
          <w:rFonts w:ascii="ITC Avant Garde" w:hAnsi="ITC Avant Garde"/>
          <w:sz w:val="22"/>
          <w:szCs w:val="22"/>
        </w:rPr>
        <w:footnoteReference w:id="15"/>
      </w:r>
      <w:r w:rsidRPr="00D936CA">
        <w:rPr>
          <w:rFonts w:ascii="ITC Avant Garde" w:hAnsi="ITC Avant Garde"/>
          <w:sz w:val="22"/>
          <w:szCs w:val="22"/>
        </w:rPr>
        <w:t xml:space="preserve">. El CS deberá indicar en la solicitud los puntos de distribución donde recogerá o recibirá los </w:t>
      </w:r>
      <w:r w:rsidR="00366745" w:rsidRPr="00D936CA">
        <w:rPr>
          <w:rFonts w:ascii="ITC Avant Garde" w:hAnsi="ITC Avant Garde"/>
          <w:sz w:val="22"/>
          <w:szCs w:val="22"/>
        </w:rPr>
        <w:t>m</w:t>
      </w:r>
      <w:r w:rsidRPr="00D936CA">
        <w:rPr>
          <w:rFonts w:ascii="ITC Avant Garde" w:hAnsi="ITC Avant Garde"/>
          <w:sz w:val="22"/>
          <w:szCs w:val="22"/>
        </w:rPr>
        <w:t>ódem</w:t>
      </w:r>
      <w:r w:rsidR="00366745" w:rsidRPr="00D936CA">
        <w:rPr>
          <w:rFonts w:ascii="ITC Avant Garde" w:hAnsi="ITC Avant Garde"/>
          <w:sz w:val="22"/>
          <w:szCs w:val="22"/>
        </w:rPr>
        <w:t>s</w:t>
      </w:r>
      <w:r w:rsidRPr="00D936CA">
        <w:rPr>
          <w:rFonts w:ascii="ITC Avant Garde" w:hAnsi="ITC Avant Garde"/>
          <w:sz w:val="22"/>
          <w:szCs w:val="22"/>
        </w:rPr>
        <w:t xml:space="preserve"> y ONTs, para que el CS defina su propia logística de mensajería o entrega a sus usuarios. Los </w:t>
      </w:r>
      <w:r w:rsidR="00366745" w:rsidRPr="00D936CA">
        <w:rPr>
          <w:rFonts w:ascii="ITC Avant Garde" w:hAnsi="ITC Avant Garde"/>
          <w:sz w:val="22"/>
          <w:szCs w:val="22"/>
        </w:rPr>
        <w:t>m</w:t>
      </w:r>
      <w:r w:rsidRPr="00D936CA">
        <w:rPr>
          <w:rFonts w:ascii="ITC Avant Garde" w:hAnsi="ITC Avant Garde"/>
          <w:sz w:val="22"/>
          <w:szCs w:val="22"/>
        </w:rPr>
        <w:t>ódems y ONTs que Telmex venderá al CS en esta modalidad no llevarán logotipos</w:t>
      </w:r>
      <w:r w:rsidR="00254414" w:rsidRPr="00D936CA">
        <w:rPr>
          <w:rFonts w:ascii="ITC Avant Garde" w:hAnsi="ITC Avant Garde"/>
          <w:sz w:val="22"/>
          <w:szCs w:val="22"/>
        </w:rPr>
        <w:t xml:space="preserve"> de Telmex</w:t>
      </w:r>
      <w:r w:rsidRPr="00D936CA">
        <w:rPr>
          <w:rFonts w:ascii="ITC Avant Garde" w:hAnsi="ITC Avant Garde"/>
          <w:sz w:val="22"/>
          <w:szCs w:val="22"/>
        </w:rPr>
        <w:t xml:space="preserve">. </w:t>
      </w:r>
      <w:r w:rsidR="007308D7" w:rsidRPr="00D936CA">
        <w:rPr>
          <w:rFonts w:ascii="ITC Avant Garde" w:hAnsi="ITC Avant Garde"/>
          <w:sz w:val="22"/>
          <w:szCs w:val="22"/>
        </w:rPr>
        <w:t>Para este tipo de entrega se acordará con el CS el intercambio de módems correspondientes a la garantía.</w:t>
      </w:r>
    </w:p>
    <w:p w14:paraId="33CFE8D9" w14:textId="6EDD4CF6" w:rsidR="00F43C84" w:rsidRPr="00D936CA" w:rsidRDefault="00D035A0" w:rsidP="00D936CA">
      <w:pPr>
        <w:pStyle w:val="IFTnormal"/>
      </w:pPr>
      <w:r w:rsidRPr="00D936CA">
        <w:t>Para el caso de los servicios de Reventa el mantenimiento de los módem</w:t>
      </w:r>
      <w:r w:rsidR="00366745" w:rsidRPr="00D936CA">
        <w:t>s</w:t>
      </w:r>
      <w:r w:rsidRPr="00D936CA">
        <w:t xml:space="preserve"> u ONT </w:t>
      </w:r>
      <w:r w:rsidR="00F43C84" w:rsidRPr="00D936CA">
        <w:t xml:space="preserve">de Telmex </w:t>
      </w:r>
      <w:r w:rsidRPr="00D936CA">
        <w:t>formará parte del servicio</w:t>
      </w:r>
      <w:r w:rsidR="00366745" w:rsidRPr="00D936CA">
        <w:t>.</w:t>
      </w:r>
      <w:r w:rsidRPr="00D936CA">
        <w:t xml:space="preserve"> </w:t>
      </w:r>
      <w:r w:rsidR="00366745" w:rsidRPr="00D936CA">
        <w:t>E</w:t>
      </w:r>
      <w:r w:rsidRPr="00D936CA">
        <w:t xml:space="preserve">n caso de ser necesario el reemplazo del </w:t>
      </w:r>
      <w:r w:rsidR="00366745" w:rsidRPr="00D936CA">
        <w:t>m</w:t>
      </w:r>
      <w:r w:rsidRPr="00D936CA">
        <w:t xml:space="preserve">ódem </w:t>
      </w:r>
      <w:r w:rsidR="00F73AD0">
        <w:t xml:space="preserve">Telmex </w:t>
      </w:r>
      <w:r w:rsidRPr="00D936CA">
        <w:rPr>
          <w:lang w:val="es-ES"/>
        </w:rPr>
        <w:t xml:space="preserve">el CS podrá elegir si la entrega será vía mensajería </w:t>
      </w:r>
      <w:r w:rsidR="00F43C84" w:rsidRPr="00D936CA">
        <w:rPr>
          <w:lang w:val="es-ES"/>
        </w:rPr>
        <w:t xml:space="preserve">con la respectiva contraprestación </w:t>
      </w:r>
      <w:r w:rsidRPr="00A6682C">
        <w:rPr>
          <w:lang w:val="es-ES"/>
        </w:rPr>
        <w:t>o a través de la tienda comercial de Telmex</w:t>
      </w:r>
      <w:r w:rsidRPr="00A6682C">
        <w:t>, en ambos casos</w:t>
      </w:r>
      <w:r w:rsidRPr="00D936CA">
        <w:t xml:space="preserve"> el CS será responsable de que sea devuelto el módem </w:t>
      </w:r>
      <w:r w:rsidR="00F43C84" w:rsidRPr="00D936CA">
        <w:t xml:space="preserve">u ONT </w:t>
      </w:r>
      <w:r w:rsidRPr="00D936CA">
        <w:t>a ser reemplazado.</w:t>
      </w:r>
      <w:r w:rsidR="00B26CA6" w:rsidRPr="00D936CA">
        <w:t xml:space="preserve"> </w:t>
      </w:r>
      <w:r w:rsidR="00F43C84" w:rsidRPr="00D936CA">
        <w:t>Para el caso de fallas atribuibles a los módem</w:t>
      </w:r>
      <w:r w:rsidR="00A8272E">
        <w:t>s</w:t>
      </w:r>
      <w:r w:rsidR="00F43C84" w:rsidRPr="00D936CA">
        <w:t xml:space="preserve"> </w:t>
      </w:r>
      <w:r w:rsidR="00F43C84" w:rsidRPr="00D936CA">
        <w:lastRenderedPageBreak/>
        <w:t xml:space="preserve">u ONT´s blancos, y derivado de que la propiedad de los mismos será del CS, Telmex otorgará un periodo de garantía de </w:t>
      </w:r>
      <w:r w:rsidR="00C14558" w:rsidRPr="00D936CA">
        <w:t>un</w:t>
      </w:r>
      <w:r w:rsidR="00F43C84" w:rsidRPr="00D936CA">
        <w:t xml:space="preserve"> año, </w:t>
      </w:r>
      <w:r w:rsidR="00B202C5" w:rsidRPr="00D936CA">
        <w:t xml:space="preserve">en caso de ser necesario el reemplazo del </w:t>
      </w:r>
      <w:r w:rsidR="009A37F9" w:rsidRPr="00D936CA">
        <w:t>equipo</w:t>
      </w:r>
      <w:r w:rsidR="00B202C5" w:rsidRPr="00D936CA">
        <w:t xml:space="preserve"> </w:t>
      </w:r>
      <w:r w:rsidR="00B202C5" w:rsidRPr="00D936CA">
        <w:rPr>
          <w:lang w:val="es-ES"/>
        </w:rPr>
        <w:t>el CS podrá elegir si la entrega será vía mensajería</w:t>
      </w:r>
      <w:r w:rsidR="00F43C84" w:rsidRPr="00D936CA">
        <w:t>.</w:t>
      </w:r>
    </w:p>
    <w:p w14:paraId="33CFE8DA" w14:textId="22E08381" w:rsidR="00062BBE" w:rsidRPr="00D936CA" w:rsidRDefault="00C14558" w:rsidP="00D936CA">
      <w:pPr>
        <w:pStyle w:val="IFTnormal"/>
        <w:rPr>
          <w:rFonts w:eastAsia="Times New Roman" w:cs="Times New Roman"/>
          <w:bCs w:val="0"/>
          <w:lang w:val="es-ES_tradnl" w:eastAsia="es-ES"/>
        </w:rPr>
      </w:pPr>
      <w:r w:rsidRPr="00D936CA">
        <w:rPr>
          <w:rFonts w:eastAsia="Times New Roman" w:cs="Times New Roman"/>
          <w:bCs w:val="0"/>
          <w:lang w:val="es-ES_tradnl" w:eastAsia="es-ES"/>
        </w:rPr>
        <w:t xml:space="preserve">A partir de la entrada en vigor de la presente Oferta de Referencia, </w:t>
      </w:r>
      <w:r w:rsidR="00062BBE" w:rsidRPr="00D936CA">
        <w:rPr>
          <w:rFonts w:eastAsia="Times New Roman" w:cs="Times New Roman"/>
          <w:bCs w:val="0"/>
          <w:lang w:val="es-ES_tradnl" w:eastAsia="es-ES"/>
        </w:rPr>
        <w:t>Telmex pondrá a disposición de los CS en el SEG toda información sobre los estándares, especificaciones y referencias que deben cumplir los equipos y cualquier otra información necesaria para que los CS puedan especificar los equipos de cliente (módems y ONT´s) de forma que sean compatibles e interoperables con los DSLAM/OLT de Telmex con proveedores de su elección y así efectuar las adquisiciones oportunas.</w:t>
      </w:r>
    </w:p>
    <w:p w14:paraId="33CFE8DB" w14:textId="4A6E2E77" w:rsidR="00062BBE" w:rsidRPr="00D936CA" w:rsidRDefault="00062BBE" w:rsidP="00D936CA">
      <w:pPr>
        <w:pStyle w:val="IFTnormal"/>
        <w:rPr>
          <w:rFonts w:eastAsia="Times New Roman" w:cs="Times New Roman"/>
          <w:bCs w:val="0"/>
          <w:lang w:val="es-ES_tradnl" w:eastAsia="es-ES"/>
        </w:rPr>
      </w:pPr>
      <w:r w:rsidRPr="00D936CA">
        <w:rPr>
          <w:rFonts w:eastAsia="Times New Roman" w:cs="Times New Roman"/>
          <w:bCs w:val="0"/>
          <w:lang w:val="es-ES_tradnl" w:eastAsia="es-ES"/>
        </w:rPr>
        <w:t>De igual forma se publicará la lista de equipos actualmente utilizados por Telmex en su operación y por tanto compatibles con las plataformas de su red de acceso xDSL tanto de cobre como FTT</w:t>
      </w:r>
      <w:r w:rsidR="00D46DDB" w:rsidRPr="00D936CA">
        <w:rPr>
          <w:rFonts w:eastAsia="Times New Roman" w:cs="Times New Roman"/>
          <w:bCs w:val="0"/>
          <w:lang w:val="es-ES_tradnl" w:eastAsia="es-ES"/>
        </w:rPr>
        <w:t>N</w:t>
      </w:r>
      <w:r w:rsidRPr="00D936CA">
        <w:rPr>
          <w:rFonts w:eastAsia="Times New Roman" w:cs="Times New Roman"/>
          <w:bCs w:val="0"/>
          <w:lang w:val="es-ES_tradnl" w:eastAsia="es-ES"/>
        </w:rPr>
        <w:t xml:space="preserve"> especificando sus marcas, modelos, versiones y referencias de manuales de operación así como de proveedores.</w:t>
      </w:r>
    </w:p>
    <w:p w14:paraId="33CFE8DC" w14:textId="1A21ABA1" w:rsidR="00062BBE" w:rsidRPr="00D936CA" w:rsidRDefault="00366745" w:rsidP="00D936CA">
      <w:pPr>
        <w:pStyle w:val="IFTnormal"/>
        <w:rPr>
          <w:rFonts w:eastAsia="Times New Roman" w:cs="Times New Roman"/>
          <w:bCs w:val="0"/>
          <w:lang w:val="es-ES_tradnl" w:eastAsia="es-ES"/>
        </w:rPr>
      </w:pPr>
      <w:r w:rsidRPr="00D936CA">
        <w:rPr>
          <w:rFonts w:eastAsia="Times New Roman" w:cs="Times New Roman"/>
          <w:bCs w:val="0"/>
          <w:lang w:val="es-ES_tradnl" w:eastAsia="es-ES"/>
        </w:rPr>
        <w:t>C</w:t>
      </w:r>
      <w:r w:rsidR="00062BBE" w:rsidRPr="00D936CA">
        <w:rPr>
          <w:rFonts w:eastAsia="Times New Roman" w:cs="Times New Roman"/>
          <w:bCs w:val="0"/>
          <w:lang w:val="es-ES_tradnl" w:eastAsia="es-ES"/>
        </w:rPr>
        <w:t xml:space="preserve">ualquier equipo homologado </w:t>
      </w:r>
      <w:r w:rsidR="009E1460">
        <w:rPr>
          <w:rFonts w:eastAsia="Times New Roman" w:cs="Times New Roman"/>
          <w:bCs w:val="0"/>
          <w:lang w:val="es-ES_tradnl" w:eastAsia="es-ES"/>
        </w:rPr>
        <w:t xml:space="preserve">por Telmex </w:t>
      </w:r>
      <w:r w:rsidR="00062BBE" w:rsidRPr="00D936CA">
        <w:rPr>
          <w:rFonts w:eastAsia="Times New Roman" w:cs="Times New Roman"/>
          <w:bCs w:val="0"/>
          <w:lang w:val="es-ES_tradnl" w:eastAsia="es-ES"/>
        </w:rPr>
        <w:t>respecto a dichos estándares y configurados con dichos parámetros deberá poder conectarse e inter-operar con la red de Telmex</w:t>
      </w:r>
      <w:r w:rsidRPr="00D936CA">
        <w:rPr>
          <w:rFonts w:eastAsia="Times New Roman" w:cs="Times New Roman"/>
          <w:bCs w:val="0"/>
          <w:lang w:val="es-ES_tradnl" w:eastAsia="es-ES"/>
        </w:rPr>
        <w:t>, p</w:t>
      </w:r>
      <w:r w:rsidR="00062BBE" w:rsidRPr="00D936CA">
        <w:rPr>
          <w:rFonts w:eastAsia="Times New Roman" w:cs="Times New Roman"/>
          <w:bCs w:val="0"/>
          <w:lang w:val="es-ES_tradnl" w:eastAsia="es-ES"/>
        </w:rPr>
        <w:t>or lo que las pruebas de interoperabilidad solo tendrán carácter de opcionales en caso de que lo solicite el CS.</w:t>
      </w:r>
    </w:p>
    <w:p w14:paraId="33CFE8DD" w14:textId="77777777" w:rsidR="00062BBE" w:rsidRPr="00D936CA" w:rsidRDefault="00062BBE" w:rsidP="00D936CA">
      <w:pPr>
        <w:spacing w:after="200" w:line="276" w:lineRule="auto"/>
        <w:jc w:val="both"/>
        <w:rPr>
          <w:rFonts w:ascii="ITC Avant Garde" w:hAnsi="ITC Avant Garde"/>
          <w:sz w:val="22"/>
          <w:szCs w:val="22"/>
        </w:rPr>
      </w:pPr>
      <w:r w:rsidRPr="00D936CA">
        <w:rPr>
          <w:rFonts w:ascii="ITC Avant Garde" w:hAnsi="ITC Avant Garde"/>
          <w:sz w:val="22"/>
          <w:szCs w:val="22"/>
        </w:rPr>
        <w:t>Esta información se mantendrá accesible y actualizada respecto a cualquier cambio de configuración, actualizaciones de software o cambio tecnológico introducido en la red. Dichos cambios en su caso deberán garantizar que soportan los equipos instalados por los CS.</w:t>
      </w:r>
    </w:p>
    <w:p w14:paraId="33CFE8DE" w14:textId="05253935" w:rsidR="00D035A0" w:rsidRPr="00D936CA" w:rsidRDefault="00D035A0" w:rsidP="00D936CA">
      <w:pPr>
        <w:spacing w:after="200" w:line="276" w:lineRule="auto"/>
        <w:jc w:val="both"/>
        <w:rPr>
          <w:rFonts w:ascii="ITC Avant Garde" w:hAnsi="ITC Avant Garde"/>
          <w:sz w:val="22"/>
          <w:szCs w:val="22"/>
        </w:rPr>
      </w:pPr>
      <w:r w:rsidRPr="00D936CA">
        <w:rPr>
          <w:rFonts w:ascii="ITC Avant Garde" w:hAnsi="ITC Avant Garde"/>
          <w:sz w:val="22"/>
          <w:szCs w:val="22"/>
        </w:rPr>
        <w:t xml:space="preserve">Respecto a los teléfonos, los CS o los usuarios finales podrán adquirirlos directamente con algún proveedor o comprarlos </w:t>
      </w:r>
      <w:r w:rsidR="0089694E">
        <w:rPr>
          <w:rFonts w:ascii="ITC Avant Garde" w:hAnsi="ITC Avant Garde"/>
          <w:sz w:val="22"/>
          <w:szCs w:val="22"/>
        </w:rPr>
        <w:t>en l</w:t>
      </w:r>
      <w:r w:rsidRPr="00D936CA">
        <w:rPr>
          <w:rFonts w:ascii="ITC Avant Garde" w:hAnsi="ITC Avant Garde"/>
          <w:sz w:val="22"/>
          <w:szCs w:val="22"/>
        </w:rPr>
        <w:t>a</w:t>
      </w:r>
      <w:r w:rsidR="0089694E">
        <w:rPr>
          <w:rFonts w:ascii="ITC Avant Garde" w:hAnsi="ITC Avant Garde"/>
          <w:sz w:val="22"/>
          <w:szCs w:val="22"/>
        </w:rPr>
        <w:t xml:space="preserve"> tienda</w:t>
      </w:r>
      <w:r w:rsidRPr="00D936CA">
        <w:rPr>
          <w:rFonts w:ascii="ITC Avant Garde" w:hAnsi="ITC Avant Garde"/>
          <w:sz w:val="22"/>
          <w:szCs w:val="22"/>
        </w:rPr>
        <w:t xml:space="preserve"> Telmex. </w:t>
      </w:r>
    </w:p>
    <w:p w14:paraId="33CFE8DF" w14:textId="77777777" w:rsidR="00D035A0" w:rsidRPr="00D936CA" w:rsidRDefault="00D035A0" w:rsidP="00D936CA">
      <w:pPr>
        <w:spacing w:after="200" w:line="276" w:lineRule="auto"/>
        <w:jc w:val="both"/>
        <w:rPr>
          <w:rFonts w:ascii="ITC Avant Garde" w:hAnsi="ITC Avant Garde"/>
          <w:sz w:val="22"/>
          <w:szCs w:val="22"/>
        </w:rPr>
      </w:pPr>
    </w:p>
    <w:p w14:paraId="33CFE8E0" w14:textId="77777777" w:rsidR="00530A32" w:rsidRPr="00D936CA" w:rsidRDefault="00011A1B" w:rsidP="00D936CA">
      <w:pPr>
        <w:pStyle w:val="Ttulo2"/>
        <w:numPr>
          <w:ilvl w:val="1"/>
          <w:numId w:val="143"/>
        </w:numPr>
        <w:ind w:left="851" w:hanging="425"/>
      </w:pPr>
      <w:bookmarkStart w:id="288" w:name="_Toc436840887"/>
      <w:bookmarkStart w:id="289" w:name="_Toc436846324"/>
      <w:bookmarkStart w:id="290" w:name="_Toc436848274"/>
      <w:bookmarkStart w:id="291" w:name="_Toc436856522"/>
      <w:bookmarkStart w:id="292" w:name="_Toc436862668"/>
      <w:bookmarkStart w:id="293" w:name="_Toc436866318"/>
      <w:bookmarkStart w:id="294" w:name="_Toc436870897"/>
      <w:bookmarkStart w:id="295" w:name="_Toc436875889"/>
      <w:bookmarkStart w:id="296" w:name="_Toc467248701"/>
      <w:bookmarkStart w:id="297" w:name="_Toc518031974"/>
      <w:bookmarkEnd w:id="286"/>
      <w:r w:rsidRPr="00D936CA">
        <w:t>Registro de llamadas (CDR)</w:t>
      </w:r>
      <w:bookmarkEnd w:id="288"/>
      <w:bookmarkEnd w:id="289"/>
      <w:bookmarkEnd w:id="290"/>
      <w:bookmarkEnd w:id="291"/>
      <w:bookmarkEnd w:id="292"/>
      <w:bookmarkEnd w:id="293"/>
      <w:bookmarkEnd w:id="294"/>
      <w:bookmarkEnd w:id="295"/>
      <w:bookmarkEnd w:id="296"/>
      <w:bookmarkEnd w:id="297"/>
    </w:p>
    <w:p w14:paraId="38B9E386" w14:textId="3CEE54F8" w:rsidR="00AE3170" w:rsidRPr="00D936CA" w:rsidRDefault="00FF4CE9" w:rsidP="00D936CA">
      <w:pPr>
        <w:spacing w:after="200" w:line="276" w:lineRule="auto"/>
        <w:jc w:val="both"/>
        <w:rPr>
          <w:rFonts w:ascii="ITC Avant Garde" w:hAnsi="ITC Avant Garde"/>
          <w:bCs/>
          <w:sz w:val="22"/>
          <w:szCs w:val="22"/>
        </w:rPr>
      </w:pPr>
      <w:bookmarkStart w:id="298" w:name="_Toc436840888"/>
      <w:bookmarkStart w:id="299" w:name="_Toc436846325"/>
      <w:bookmarkStart w:id="300" w:name="_Toc436848275"/>
      <w:bookmarkStart w:id="301" w:name="_Toc436856523"/>
      <w:bookmarkStart w:id="302" w:name="_Toc436862669"/>
      <w:bookmarkStart w:id="303" w:name="_Toc436866319"/>
      <w:bookmarkStart w:id="304" w:name="_Toc436870898"/>
      <w:bookmarkStart w:id="305" w:name="_Toc436875890"/>
      <w:r w:rsidRPr="00D936CA">
        <w:rPr>
          <w:rFonts w:ascii="ITC Avant Garde" w:hAnsi="ITC Avant Garde"/>
          <w:bCs/>
          <w:sz w:val="22"/>
          <w:szCs w:val="22"/>
        </w:rPr>
        <w:t xml:space="preserve">La facturación a los usuarios finales de los servicios será responsabilidad del CS, por lo que Telmex pondrá a </w:t>
      </w:r>
      <w:r w:rsidR="00C14558" w:rsidRPr="00D936CA">
        <w:rPr>
          <w:rFonts w:ascii="ITC Avant Garde" w:hAnsi="ITC Avant Garde"/>
          <w:bCs/>
          <w:sz w:val="22"/>
          <w:szCs w:val="22"/>
        </w:rPr>
        <w:t>su disposición</w:t>
      </w:r>
      <w:r w:rsidRPr="00D936CA">
        <w:rPr>
          <w:rFonts w:ascii="ITC Avant Garde" w:hAnsi="ITC Avant Garde"/>
          <w:bCs/>
          <w:sz w:val="22"/>
          <w:szCs w:val="22"/>
        </w:rPr>
        <w:t xml:space="preserve"> </w:t>
      </w:r>
      <w:r w:rsidR="00AE3170" w:rsidRPr="00D936CA">
        <w:rPr>
          <w:rFonts w:ascii="ITC Avant Garde" w:hAnsi="ITC Avant Garde"/>
          <w:bCs/>
          <w:sz w:val="22"/>
          <w:szCs w:val="22"/>
        </w:rPr>
        <w:t>a solicitud del CS las siguientes opciones:</w:t>
      </w:r>
    </w:p>
    <w:p w14:paraId="4E5A5555" w14:textId="2EAA8E92" w:rsidR="00AE3170" w:rsidRPr="00D936CA" w:rsidRDefault="00F0644A" w:rsidP="00D936CA">
      <w:pPr>
        <w:pStyle w:val="Prrafodelista"/>
        <w:numPr>
          <w:ilvl w:val="0"/>
          <w:numId w:val="148"/>
        </w:numPr>
        <w:spacing w:after="200" w:line="276" w:lineRule="auto"/>
        <w:jc w:val="both"/>
        <w:rPr>
          <w:rFonts w:ascii="ITC Avant Garde" w:hAnsi="ITC Avant Garde"/>
          <w:bCs/>
          <w:sz w:val="22"/>
          <w:szCs w:val="22"/>
        </w:rPr>
      </w:pPr>
      <w:r w:rsidRPr="00D936CA">
        <w:rPr>
          <w:rFonts w:ascii="ITC Avant Garde" w:hAnsi="ITC Avant Garde"/>
          <w:bCs/>
          <w:sz w:val="22"/>
          <w:szCs w:val="22"/>
        </w:rPr>
        <w:t>Diariamente</w:t>
      </w:r>
      <w:r w:rsidR="00FF4CE9" w:rsidRPr="00D936CA">
        <w:rPr>
          <w:rFonts w:ascii="ITC Avant Garde" w:hAnsi="ITC Avant Garde"/>
          <w:sz w:val="22"/>
          <w:szCs w:val="22"/>
        </w:rPr>
        <w:t xml:space="preserve"> los tráficos cursados por cada usuario final (CDRs), a través del sistema SIANA p</w:t>
      </w:r>
      <w:r w:rsidR="00C14558" w:rsidRPr="00D936CA">
        <w:rPr>
          <w:rFonts w:ascii="ITC Avant Garde" w:hAnsi="ITC Avant Garde"/>
          <w:sz w:val="22"/>
          <w:szCs w:val="22"/>
        </w:rPr>
        <w:t xml:space="preserve">ara que sean descargados por los CS. </w:t>
      </w:r>
      <w:r w:rsidR="00AE3170" w:rsidRPr="00D936CA">
        <w:rPr>
          <w:rFonts w:ascii="ITC Avant Garde" w:hAnsi="ITC Avant Garde"/>
          <w:bCs/>
          <w:sz w:val="22"/>
          <w:szCs w:val="22"/>
        </w:rPr>
        <w:t>La información de los CDRs será conforme al formato establecido en el numeral 4.4.1 “Layout para la entrega de los registros de consumo del Servicio de Reventa de Línea”, a fin de que sean descargados por cada CS.</w:t>
      </w:r>
    </w:p>
    <w:p w14:paraId="7A888CEB" w14:textId="06403D1C" w:rsidR="00AE3170" w:rsidRPr="00D936CA" w:rsidRDefault="00AE3170" w:rsidP="00D936CA">
      <w:pPr>
        <w:pStyle w:val="Prrafodelista"/>
        <w:numPr>
          <w:ilvl w:val="0"/>
          <w:numId w:val="148"/>
        </w:numPr>
        <w:spacing w:after="200" w:line="276" w:lineRule="auto"/>
        <w:jc w:val="both"/>
        <w:rPr>
          <w:rFonts w:ascii="ITC Avant Garde" w:hAnsi="ITC Avant Garde"/>
          <w:bCs/>
          <w:sz w:val="22"/>
          <w:szCs w:val="22"/>
        </w:rPr>
      </w:pPr>
      <w:r w:rsidRPr="00D936CA">
        <w:rPr>
          <w:rFonts w:ascii="ITC Avant Garde" w:hAnsi="ITC Avant Garde"/>
          <w:bCs/>
          <w:sz w:val="22"/>
          <w:szCs w:val="22"/>
        </w:rPr>
        <w:lastRenderedPageBreak/>
        <w:t>De igual forma que los clientes empresariales</w:t>
      </w:r>
      <w:r w:rsidR="00A8272E">
        <w:rPr>
          <w:rFonts w:ascii="ITC Avant Garde" w:hAnsi="ITC Avant Garde"/>
          <w:bCs/>
          <w:sz w:val="22"/>
          <w:szCs w:val="22"/>
        </w:rPr>
        <w:t>,</w:t>
      </w:r>
      <w:r w:rsidRPr="00D936CA">
        <w:rPr>
          <w:rFonts w:ascii="ITC Avant Garde" w:hAnsi="ITC Avant Garde"/>
          <w:bCs/>
          <w:sz w:val="22"/>
          <w:szCs w:val="22"/>
        </w:rPr>
        <w:t xml:space="preserve"> se proporcionará a través del Sistema SIANA en Línea acceso a reportes con la siguiente información:</w:t>
      </w:r>
    </w:p>
    <w:p w14:paraId="63931AEA" w14:textId="0010613A" w:rsidR="00AE3170" w:rsidRPr="00D936CA" w:rsidRDefault="00AE3170" w:rsidP="00D936CA">
      <w:pPr>
        <w:pStyle w:val="Prrafodelista"/>
        <w:numPr>
          <w:ilvl w:val="0"/>
          <w:numId w:val="150"/>
        </w:numPr>
        <w:spacing w:after="200" w:line="276" w:lineRule="auto"/>
        <w:jc w:val="both"/>
        <w:rPr>
          <w:rFonts w:ascii="ITC Avant Garde" w:hAnsi="ITC Avant Garde"/>
          <w:bCs/>
          <w:sz w:val="22"/>
          <w:szCs w:val="22"/>
        </w:rPr>
      </w:pPr>
      <w:r w:rsidRPr="00D936CA">
        <w:rPr>
          <w:rFonts w:ascii="ITC Avant Garde" w:hAnsi="ITC Avant Garde"/>
          <w:bCs/>
          <w:sz w:val="22"/>
          <w:szCs w:val="22"/>
        </w:rPr>
        <w:t>Acceso en línea a las bases de datos de los detalles de consumos de cada usuario final contratad</w:t>
      </w:r>
      <w:r w:rsidR="006E5F36">
        <w:rPr>
          <w:rFonts w:ascii="ITC Avant Garde" w:hAnsi="ITC Avant Garde"/>
          <w:bCs/>
          <w:sz w:val="22"/>
          <w:szCs w:val="22"/>
        </w:rPr>
        <w:t>o</w:t>
      </w:r>
      <w:r w:rsidRPr="00D936CA">
        <w:rPr>
          <w:rFonts w:ascii="ITC Avant Garde" w:hAnsi="ITC Avant Garde"/>
          <w:bCs/>
          <w:sz w:val="22"/>
          <w:szCs w:val="22"/>
        </w:rPr>
        <w:t xml:space="preserve"> con el CS antes de su facturación.</w:t>
      </w:r>
    </w:p>
    <w:p w14:paraId="1D7C737A" w14:textId="3470E12E" w:rsidR="00AE3170" w:rsidRPr="00D936CA" w:rsidRDefault="00AE3170" w:rsidP="00D936CA">
      <w:pPr>
        <w:pStyle w:val="Prrafodelista"/>
        <w:numPr>
          <w:ilvl w:val="0"/>
          <w:numId w:val="150"/>
        </w:numPr>
        <w:spacing w:after="200" w:line="276" w:lineRule="auto"/>
        <w:jc w:val="both"/>
        <w:rPr>
          <w:rFonts w:ascii="ITC Avant Garde" w:hAnsi="ITC Avant Garde"/>
          <w:bCs/>
          <w:sz w:val="22"/>
          <w:szCs w:val="22"/>
        </w:rPr>
      </w:pPr>
      <w:r w:rsidRPr="00D936CA">
        <w:rPr>
          <w:rFonts w:ascii="ITC Avant Garde" w:hAnsi="ITC Avant Garde"/>
          <w:bCs/>
          <w:sz w:val="22"/>
          <w:szCs w:val="22"/>
        </w:rPr>
        <w:t xml:space="preserve">Disponibilidad de doce meses de facturación. </w:t>
      </w:r>
    </w:p>
    <w:p w14:paraId="6D957C4B" w14:textId="5DEFD180" w:rsidR="00AE3170" w:rsidRDefault="00AE3170" w:rsidP="00D936CA">
      <w:pPr>
        <w:pStyle w:val="Prrafodelista"/>
        <w:numPr>
          <w:ilvl w:val="0"/>
          <w:numId w:val="150"/>
        </w:numPr>
        <w:spacing w:after="200" w:line="276" w:lineRule="auto"/>
        <w:jc w:val="both"/>
        <w:rPr>
          <w:rFonts w:ascii="ITC Avant Garde" w:hAnsi="ITC Avant Garde"/>
          <w:bCs/>
          <w:sz w:val="22"/>
          <w:szCs w:val="22"/>
        </w:rPr>
      </w:pPr>
      <w:r w:rsidRPr="00D936CA">
        <w:rPr>
          <w:rFonts w:ascii="ITC Avant Garde" w:hAnsi="ITC Avant Garde"/>
          <w:bCs/>
          <w:sz w:val="22"/>
          <w:szCs w:val="22"/>
        </w:rPr>
        <w:t>Confidencialidad de la información con clave de acceso y conexiones seguras (SSL).</w:t>
      </w:r>
    </w:p>
    <w:p w14:paraId="54450CCA" w14:textId="46BF8C40" w:rsidR="004B2C28" w:rsidRPr="004B2C28" w:rsidRDefault="004B2C28" w:rsidP="004B2C28">
      <w:pPr>
        <w:spacing w:after="200" w:line="276" w:lineRule="auto"/>
        <w:jc w:val="both"/>
        <w:rPr>
          <w:rFonts w:ascii="ITC Avant Garde" w:hAnsi="ITC Avant Garde"/>
          <w:bCs/>
          <w:sz w:val="22"/>
          <w:szCs w:val="22"/>
        </w:rPr>
      </w:pPr>
    </w:p>
    <w:p w14:paraId="33CFE8E2" w14:textId="77777777" w:rsidR="00530A32" w:rsidRPr="00D936CA" w:rsidRDefault="00011A1B" w:rsidP="00D936CA">
      <w:pPr>
        <w:ind w:left="709" w:hanging="142"/>
        <w:outlineLvl w:val="2"/>
        <w:rPr>
          <w:rFonts w:ascii="ITC Avant Garde" w:hAnsi="ITC Avant Garde"/>
          <w:b/>
          <w:sz w:val="22"/>
        </w:rPr>
      </w:pPr>
      <w:bookmarkStart w:id="306" w:name="_Toc467248702"/>
      <w:bookmarkStart w:id="307" w:name="_Toc518031975"/>
      <w:r w:rsidRPr="00D936CA">
        <w:rPr>
          <w:rFonts w:ascii="ITC Avant Garde" w:hAnsi="ITC Avant Garde"/>
          <w:b/>
          <w:sz w:val="22"/>
        </w:rPr>
        <w:t>4.</w:t>
      </w:r>
      <w:r w:rsidR="007A2FF2" w:rsidRPr="00D936CA">
        <w:rPr>
          <w:rFonts w:ascii="ITC Avant Garde" w:hAnsi="ITC Avant Garde"/>
          <w:b/>
          <w:sz w:val="22"/>
        </w:rPr>
        <w:t>4</w:t>
      </w:r>
      <w:r w:rsidRPr="00D936CA">
        <w:rPr>
          <w:rFonts w:ascii="ITC Avant Garde" w:hAnsi="ITC Avant Garde"/>
          <w:b/>
          <w:sz w:val="22"/>
        </w:rPr>
        <w:t>.1</w:t>
      </w:r>
      <w:r w:rsidRPr="00D936CA">
        <w:rPr>
          <w:rFonts w:ascii="ITC Avant Garde" w:hAnsi="ITC Avant Garde"/>
          <w:b/>
          <w:sz w:val="22"/>
        </w:rPr>
        <w:tab/>
        <w:t>Layout para la entrega de los registros de consumo del Servicio de Reventa de Línea</w:t>
      </w:r>
      <w:bookmarkEnd w:id="298"/>
      <w:bookmarkEnd w:id="299"/>
      <w:bookmarkEnd w:id="300"/>
      <w:bookmarkEnd w:id="301"/>
      <w:bookmarkEnd w:id="302"/>
      <w:bookmarkEnd w:id="303"/>
      <w:bookmarkEnd w:id="304"/>
      <w:bookmarkEnd w:id="305"/>
      <w:bookmarkEnd w:id="306"/>
      <w:bookmarkEnd w:id="307"/>
    </w:p>
    <w:p w14:paraId="33CFE8E3" w14:textId="77777777" w:rsidR="007A2FF2" w:rsidRPr="00D936CA" w:rsidRDefault="007A2FF2" w:rsidP="00D936CA"/>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4"/>
        <w:gridCol w:w="1516"/>
        <w:gridCol w:w="514"/>
        <w:gridCol w:w="905"/>
        <w:gridCol w:w="1034"/>
        <w:gridCol w:w="4778"/>
      </w:tblGrid>
      <w:tr w:rsidR="00D936CA" w:rsidRPr="00D936CA" w14:paraId="33CFE8EA" w14:textId="77777777" w:rsidTr="00ED1C74">
        <w:trPr>
          <w:trHeight w:val="262"/>
          <w:jc w:val="center"/>
        </w:trPr>
        <w:tc>
          <w:tcPr>
            <w:tcW w:w="314" w:type="dxa"/>
            <w:shd w:val="clear" w:color="auto" w:fill="548DD4" w:themeFill="text2" w:themeFillTint="99"/>
            <w:vAlign w:val="center"/>
          </w:tcPr>
          <w:p w14:paraId="33CFE8E4" w14:textId="77777777" w:rsidR="006C2115"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No</w:t>
            </w:r>
          </w:p>
        </w:tc>
        <w:tc>
          <w:tcPr>
            <w:tcW w:w="1516" w:type="dxa"/>
            <w:shd w:val="clear" w:color="auto" w:fill="548DD4" w:themeFill="text2" w:themeFillTint="99"/>
            <w:vAlign w:val="center"/>
          </w:tcPr>
          <w:p w14:paraId="33CFE8E5" w14:textId="77777777" w:rsidR="006C2115"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NOMBRE</w:t>
            </w:r>
          </w:p>
        </w:tc>
        <w:tc>
          <w:tcPr>
            <w:tcW w:w="514" w:type="dxa"/>
            <w:shd w:val="clear" w:color="auto" w:fill="548DD4" w:themeFill="text2" w:themeFillTint="99"/>
            <w:vAlign w:val="center"/>
          </w:tcPr>
          <w:p w14:paraId="33CFE8E6" w14:textId="77777777" w:rsidR="006C2115"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TIPO</w:t>
            </w:r>
          </w:p>
        </w:tc>
        <w:tc>
          <w:tcPr>
            <w:tcW w:w="905" w:type="dxa"/>
            <w:shd w:val="clear" w:color="auto" w:fill="548DD4" w:themeFill="text2" w:themeFillTint="99"/>
            <w:vAlign w:val="center"/>
          </w:tcPr>
          <w:p w14:paraId="33CFE8E7" w14:textId="77777777" w:rsidR="006C2115"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FORMATO</w:t>
            </w:r>
          </w:p>
        </w:tc>
        <w:tc>
          <w:tcPr>
            <w:tcW w:w="1034" w:type="dxa"/>
            <w:shd w:val="clear" w:color="auto" w:fill="548DD4" w:themeFill="text2" w:themeFillTint="99"/>
            <w:vAlign w:val="center"/>
          </w:tcPr>
          <w:p w14:paraId="33CFE8E8" w14:textId="77777777" w:rsidR="006C2115"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LONGITUD</w:t>
            </w:r>
          </w:p>
        </w:tc>
        <w:tc>
          <w:tcPr>
            <w:tcW w:w="4778" w:type="dxa"/>
            <w:shd w:val="clear" w:color="auto" w:fill="548DD4" w:themeFill="text2" w:themeFillTint="99"/>
            <w:vAlign w:val="center"/>
          </w:tcPr>
          <w:p w14:paraId="33CFE8E9" w14:textId="77777777" w:rsidR="006C2115"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DESCRIPCION</w:t>
            </w:r>
          </w:p>
        </w:tc>
      </w:tr>
      <w:tr w:rsidR="00D936CA" w:rsidRPr="00D936CA" w14:paraId="33CFE8F1" w14:textId="77777777" w:rsidTr="00A8272E">
        <w:trPr>
          <w:trHeight w:val="250"/>
          <w:jc w:val="center"/>
        </w:trPr>
        <w:tc>
          <w:tcPr>
            <w:tcW w:w="314" w:type="dxa"/>
            <w:vAlign w:val="center"/>
          </w:tcPr>
          <w:p w14:paraId="33CFE8EB" w14:textId="77777777" w:rsidR="00530A32" w:rsidRPr="00D936CA" w:rsidRDefault="00530A32" w:rsidP="00D936CA">
            <w:pPr>
              <w:spacing w:before="60" w:after="60" w:line="276" w:lineRule="auto"/>
              <w:jc w:val="center"/>
              <w:rPr>
                <w:rFonts w:ascii="ITC Avant Garde" w:hAnsi="ITC Avant Garde"/>
                <w:sz w:val="16"/>
              </w:rPr>
            </w:pPr>
          </w:p>
        </w:tc>
        <w:tc>
          <w:tcPr>
            <w:tcW w:w="1516" w:type="dxa"/>
            <w:vAlign w:val="center"/>
          </w:tcPr>
          <w:p w14:paraId="33CFE8EC" w14:textId="77777777" w:rsidR="00530A32"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REGISTRO HEADER</w:t>
            </w:r>
          </w:p>
        </w:tc>
        <w:tc>
          <w:tcPr>
            <w:tcW w:w="514" w:type="dxa"/>
            <w:vAlign w:val="center"/>
          </w:tcPr>
          <w:p w14:paraId="33CFE8ED" w14:textId="77777777" w:rsidR="00530A32" w:rsidRPr="00D936CA" w:rsidRDefault="00530A32" w:rsidP="00D936CA">
            <w:pPr>
              <w:spacing w:before="60" w:after="60" w:line="276" w:lineRule="auto"/>
              <w:jc w:val="center"/>
              <w:rPr>
                <w:rFonts w:ascii="ITC Avant Garde" w:hAnsi="ITC Avant Garde"/>
                <w:sz w:val="16"/>
              </w:rPr>
            </w:pPr>
          </w:p>
        </w:tc>
        <w:tc>
          <w:tcPr>
            <w:tcW w:w="905" w:type="dxa"/>
            <w:vAlign w:val="center"/>
          </w:tcPr>
          <w:p w14:paraId="33CFE8EE" w14:textId="77777777" w:rsidR="00530A32" w:rsidRPr="00D936CA" w:rsidRDefault="00530A32" w:rsidP="00D936CA">
            <w:pPr>
              <w:spacing w:before="60" w:after="60" w:line="276" w:lineRule="auto"/>
              <w:jc w:val="center"/>
              <w:rPr>
                <w:rFonts w:ascii="ITC Avant Garde" w:hAnsi="ITC Avant Garde"/>
                <w:sz w:val="16"/>
              </w:rPr>
            </w:pPr>
          </w:p>
        </w:tc>
        <w:tc>
          <w:tcPr>
            <w:tcW w:w="1034" w:type="dxa"/>
            <w:vAlign w:val="center"/>
          </w:tcPr>
          <w:p w14:paraId="33CFE8EF"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100</w:t>
            </w:r>
          </w:p>
        </w:tc>
        <w:tc>
          <w:tcPr>
            <w:tcW w:w="4778" w:type="dxa"/>
            <w:vAlign w:val="center"/>
          </w:tcPr>
          <w:p w14:paraId="33CFE8F0" w14:textId="77777777" w:rsidR="00530A32" w:rsidRPr="00D936CA" w:rsidRDefault="00530A32" w:rsidP="00D936CA">
            <w:pPr>
              <w:spacing w:before="60" w:after="60" w:line="276" w:lineRule="auto"/>
              <w:rPr>
                <w:rFonts w:ascii="ITC Avant Garde" w:hAnsi="ITC Avant Garde"/>
                <w:sz w:val="16"/>
              </w:rPr>
            </w:pPr>
          </w:p>
        </w:tc>
      </w:tr>
      <w:tr w:rsidR="00D936CA" w:rsidRPr="00D936CA" w14:paraId="33CFE8F8" w14:textId="77777777" w:rsidTr="00A8272E">
        <w:trPr>
          <w:trHeight w:val="250"/>
          <w:jc w:val="center"/>
        </w:trPr>
        <w:tc>
          <w:tcPr>
            <w:tcW w:w="314" w:type="dxa"/>
            <w:vAlign w:val="center"/>
          </w:tcPr>
          <w:p w14:paraId="33CFE8F2"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1516" w:type="dxa"/>
            <w:vAlign w:val="center"/>
          </w:tcPr>
          <w:p w14:paraId="33CFE8F3"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Identificador de reg.</w:t>
            </w:r>
          </w:p>
        </w:tc>
        <w:tc>
          <w:tcPr>
            <w:tcW w:w="514" w:type="dxa"/>
            <w:vAlign w:val="center"/>
          </w:tcPr>
          <w:p w14:paraId="33CFE8F4"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8F5"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9(01)</w:t>
            </w:r>
          </w:p>
        </w:tc>
        <w:tc>
          <w:tcPr>
            <w:tcW w:w="1034" w:type="dxa"/>
            <w:vAlign w:val="center"/>
          </w:tcPr>
          <w:p w14:paraId="33CFE8F6"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4778" w:type="dxa"/>
            <w:vAlign w:val="center"/>
          </w:tcPr>
          <w:p w14:paraId="33CFE8F7"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Identifica el tipo de registro que para el caso del “header” el valor debe ser cero.</w:t>
            </w:r>
          </w:p>
        </w:tc>
      </w:tr>
      <w:tr w:rsidR="00D936CA" w:rsidRPr="00D936CA" w14:paraId="33CFE8FF" w14:textId="77777777" w:rsidTr="00A8272E">
        <w:trPr>
          <w:trHeight w:val="250"/>
          <w:jc w:val="center"/>
        </w:trPr>
        <w:tc>
          <w:tcPr>
            <w:tcW w:w="314" w:type="dxa"/>
            <w:vAlign w:val="center"/>
          </w:tcPr>
          <w:p w14:paraId="33CFE8F9"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2</w:t>
            </w:r>
          </w:p>
        </w:tc>
        <w:tc>
          <w:tcPr>
            <w:tcW w:w="1516" w:type="dxa"/>
            <w:vAlign w:val="center"/>
          </w:tcPr>
          <w:p w14:paraId="33CFE8FA"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Operador Emisor</w:t>
            </w:r>
          </w:p>
        </w:tc>
        <w:tc>
          <w:tcPr>
            <w:tcW w:w="514" w:type="dxa"/>
            <w:vAlign w:val="center"/>
          </w:tcPr>
          <w:p w14:paraId="33CFE8FB"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8FC"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9(03)</w:t>
            </w:r>
          </w:p>
        </w:tc>
        <w:tc>
          <w:tcPr>
            <w:tcW w:w="1034" w:type="dxa"/>
            <w:vAlign w:val="center"/>
          </w:tcPr>
          <w:p w14:paraId="33CFE8FD"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4778" w:type="dxa"/>
            <w:vAlign w:val="center"/>
          </w:tcPr>
          <w:p w14:paraId="33CFE8FE"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Clave (CIC) del Operador que presenta los registros.</w:t>
            </w:r>
          </w:p>
        </w:tc>
      </w:tr>
      <w:tr w:rsidR="00D936CA" w:rsidRPr="00D936CA" w14:paraId="33CFE906" w14:textId="77777777" w:rsidTr="00A8272E">
        <w:trPr>
          <w:trHeight w:val="250"/>
          <w:jc w:val="center"/>
        </w:trPr>
        <w:tc>
          <w:tcPr>
            <w:tcW w:w="314" w:type="dxa"/>
            <w:vAlign w:val="center"/>
          </w:tcPr>
          <w:p w14:paraId="33CFE900"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1516" w:type="dxa"/>
            <w:vAlign w:val="center"/>
          </w:tcPr>
          <w:p w14:paraId="33CFE901"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Operador Receptor</w:t>
            </w:r>
          </w:p>
        </w:tc>
        <w:tc>
          <w:tcPr>
            <w:tcW w:w="514" w:type="dxa"/>
            <w:vAlign w:val="center"/>
          </w:tcPr>
          <w:p w14:paraId="33CFE902"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03"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9(03)</w:t>
            </w:r>
          </w:p>
        </w:tc>
        <w:tc>
          <w:tcPr>
            <w:tcW w:w="1034" w:type="dxa"/>
            <w:vAlign w:val="center"/>
          </w:tcPr>
          <w:p w14:paraId="33CFE904"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4778" w:type="dxa"/>
            <w:vAlign w:val="center"/>
          </w:tcPr>
          <w:p w14:paraId="33CFE905"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Clave (CIC) del CS que recibe los registros.</w:t>
            </w:r>
          </w:p>
        </w:tc>
      </w:tr>
      <w:tr w:rsidR="00D936CA" w:rsidRPr="00D936CA" w14:paraId="33CFE90D" w14:textId="77777777" w:rsidTr="00A8272E">
        <w:trPr>
          <w:trHeight w:val="250"/>
          <w:jc w:val="center"/>
        </w:trPr>
        <w:tc>
          <w:tcPr>
            <w:tcW w:w="314" w:type="dxa"/>
            <w:vAlign w:val="center"/>
          </w:tcPr>
          <w:p w14:paraId="33CFE907"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4</w:t>
            </w:r>
          </w:p>
        </w:tc>
        <w:tc>
          <w:tcPr>
            <w:tcW w:w="1516" w:type="dxa"/>
            <w:vAlign w:val="center"/>
          </w:tcPr>
          <w:p w14:paraId="33CFE908"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Filler</w:t>
            </w:r>
          </w:p>
        </w:tc>
        <w:tc>
          <w:tcPr>
            <w:tcW w:w="514" w:type="dxa"/>
            <w:vAlign w:val="center"/>
          </w:tcPr>
          <w:p w14:paraId="33CFE909"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C</w:t>
            </w:r>
          </w:p>
        </w:tc>
        <w:tc>
          <w:tcPr>
            <w:tcW w:w="905" w:type="dxa"/>
            <w:vAlign w:val="center"/>
          </w:tcPr>
          <w:p w14:paraId="33CFE90A"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X(93)</w:t>
            </w:r>
          </w:p>
        </w:tc>
        <w:tc>
          <w:tcPr>
            <w:tcW w:w="1034" w:type="dxa"/>
            <w:vAlign w:val="center"/>
          </w:tcPr>
          <w:p w14:paraId="33CFE90B"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93</w:t>
            </w:r>
          </w:p>
        </w:tc>
        <w:tc>
          <w:tcPr>
            <w:tcW w:w="4778" w:type="dxa"/>
            <w:vAlign w:val="center"/>
          </w:tcPr>
          <w:p w14:paraId="33CFE90C"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Caracteres en blanco para completar la longitud del registro a 100 posiciones.</w:t>
            </w:r>
          </w:p>
        </w:tc>
      </w:tr>
      <w:tr w:rsidR="00D936CA" w:rsidRPr="00D936CA" w14:paraId="33CFE914" w14:textId="77777777" w:rsidTr="00A8272E">
        <w:trPr>
          <w:trHeight w:val="250"/>
          <w:jc w:val="center"/>
        </w:trPr>
        <w:tc>
          <w:tcPr>
            <w:tcW w:w="314" w:type="dxa"/>
            <w:vAlign w:val="center"/>
          </w:tcPr>
          <w:p w14:paraId="33CFE90E" w14:textId="77777777" w:rsidR="00530A32" w:rsidRPr="00D936CA" w:rsidRDefault="00530A32" w:rsidP="00D936CA">
            <w:pPr>
              <w:spacing w:before="60" w:after="60" w:line="276" w:lineRule="auto"/>
              <w:jc w:val="center"/>
              <w:rPr>
                <w:rFonts w:ascii="ITC Avant Garde" w:hAnsi="ITC Avant Garde"/>
                <w:sz w:val="16"/>
              </w:rPr>
            </w:pPr>
          </w:p>
        </w:tc>
        <w:tc>
          <w:tcPr>
            <w:tcW w:w="1516" w:type="dxa"/>
            <w:vAlign w:val="center"/>
          </w:tcPr>
          <w:p w14:paraId="33CFE90F" w14:textId="77777777" w:rsidR="00530A32"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REGISTRO DETALLE</w:t>
            </w:r>
          </w:p>
        </w:tc>
        <w:tc>
          <w:tcPr>
            <w:tcW w:w="514" w:type="dxa"/>
            <w:vAlign w:val="center"/>
          </w:tcPr>
          <w:p w14:paraId="33CFE910" w14:textId="77777777" w:rsidR="00530A32" w:rsidRPr="00D936CA" w:rsidRDefault="00530A32" w:rsidP="00D936CA">
            <w:pPr>
              <w:spacing w:before="60" w:after="60" w:line="276" w:lineRule="auto"/>
              <w:jc w:val="center"/>
              <w:rPr>
                <w:rFonts w:ascii="ITC Avant Garde" w:hAnsi="ITC Avant Garde"/>
                <w:sz w:val="16"/>
              </w:rPr>
            </w:pPr>
          </w:p>
        </w:tc>
        <w:tc>
          <w:tcPr>
            <w:tcW w:w="905" w:type="dxa"/>
            <w:vAlign w:val="center"/>
          </w:tcPr>
          <w:p w14:paraId="33CFE911" w14:textId="77777777" w:rsidR="00530A32" w:rsidRPr="00D936CA" w:rsidRDefault="00530A32" w:rsidP="00D936CA">
            <w:pPr>
              <w:spacing w:before="60" w:after="60" w:line="276" w:lineRule="auto"/>
              <w:jc w:val="center"/>
              <w:rPr>
                <w:rFonts w:ascii="ITC Avant Garde" w:hAnsi="ITC Avant Garde"/>
                <w:sz w:val="16"/>
              </w:rPr>
            </w:pPr>
          </w:p>
        </w:tc>
        <w:tc>
          <w:tcPr>
            <w:tcW w:w="1034" w:type="dxa"/>
            <w:vAlign w:val="center"/>
          </w:tcPr>
          <w:p w14:paraId="33CFE912"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100</w:t>
            </w:r>
          </w:p>
        </w:tc>
        <w:tc>
          <w:tcPr>
            <w:tcW w:w="4778" w:type="dxa"/>
            <w:vAlign w:val="center"/>
          </w:tcPr>
          <w:p w14:paraId="33CFE913" w14:textId="77777777" w:rsidR="00530A32" w:rsidRPr="00D936CA" w:rsidRDefault="00530A32" w:rsidP="00D936CA">
            <w:pPr>
              <w:spacing w:before="60" w:after="60" w:line="276" w:lineRule="auto"/>
              <w:rPr>
                <w:rFonts w:ascii="ITC Avant Garde" w:hAnsi="ITC Avant Garde"/>
                <w:sz w:val="16"/>
              </w:rPr>
            </w:pPr>
          </w:p>
        </w:tc>
      </w:tr>
      <w:tr w:rsidR="00D936CA" w:rsidRPr="00D936CA" w14:paraId="33CFE91B" w14:textId="77777777" w:rsidTr="00A8272E">
        <w:trPr>
          <w:trHeight w:val="359"/>
          <w:jc w:val="center"/>
        </w:trPr>
        <w:tc>
          <w:tcPr>
            <w:tcW w:w="314" w:type="dxa"/>
            <w:vAlign w:val="center"/>
          </w:tcPr>
          <w:p w14:paraId="33CFE915"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1516" w:type="dxa"/>
            <w:vAlign w:val="center"/>
          </w:tcPr>
          <w:p w14:paraId="33CFE916"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Identificador de reg.</w:t>
            </w:r>
          </w:p>
        </w:tc>
        <w:tc>
          <w:tcPr>
            <w:tcW w:w="514" w:type="dxa"/>
            <w:vAlign w:val="center"/>
          </w:tcPr>
          <w:p w14:paraId="33CFE917"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18"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9(01)</w:t>
            </w:r>
          </w:p>
        </w:tc>
        <w:tc>
          <w:tcPr>
            <w:tcW w:w="1034" w:type="dxa"/>
            <w:vAlign w:val="center"/>
          </w:tcPr>
          <w:p w14:paraId="33CFE919"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4778" w:type="dxa"/>
            <w:vAlign w:val="center"/>
          </w:tcPr>
          <w:p w14:paraId="33CFE91A"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Identificador de registro que para el caso del “detalle” el valor debe ser uno.</w:t>
            </w:r>
          </w:p>
        </w:tc>
      </w:tr>
      <w:tr w:rsidR="00D936CA" w:rsidRPr="00D936CA" w14:paraId="33CFE922" w14:textId="77777777" w:rsidTr="00A8272E">
        <w:trPr>
          <w:trHeight w:val="250"/>
          <w:jc w:val="center"/>
        </w:trPr>
        <w:tc>
          <w:tcPr>
            <w:tcW w:w="314" w:type="dxa"/>
            <w:vAlign w:val="center"/>
          </w:tcPr>
          <w:p w14:paraId="33CFE91C"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2</w:t>
            </w:r>
          </w:p>
        </w:tc>
        <w:tc>
          <w:tcPr>
            <w:tcW w:w="1516" w:type="dxa"/>
            <w:vAlign w:val="center"/>
          </w:tcPr>
          <w:p w14:paraId="33CFE91D"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Numero de A</w:t>
            </w:r>
          </w:p>
        </w:tc>
        <w:tc>
          <w:tcPr>
            <w:tcW w:w="514" w:type="dxa"/>
            <w:vAlign w:val="center"/>
          </w:tcPr>
          <w:p w14:paraId="33CFE91E"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1F"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9(15)</w:t>
            </w:r>
          </w:p>
        </w:tc>
        <w:tc>
          <w:tcPr>
            <w:tcW w:w="1034" w:type="dxa"/>
            <w:vAlign w:val="center"/>
          </w:tcPr>
          <w:p w14:paraId="33CFE920"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15</w:t>
            </w:r>
          </w:p>
        </w:tc>
        <w:tc>
          <w:tcPr>
            <w:tcW w:w="4778" w:type="dxa"/>
            <w:vAlign w:val="center"/>
          </w:tcPr>
          <w:p w14:paraId="33CFE921"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Número de origen (justificado a la derecha, es decir el número recorrido a la derecha de la columna) rellenando las posiciones disponibles con ceros.</w:t>
            </w:r>
          </w:p>
        </w:tc>
      </w:tr>
      <w:tr w:rsidR="00D936CA" w:rsidRPr="00D936CA" w14:paraId="33CFE929" w14:textId="77777777" w:rsidTr="00A8272E">
        <w:trPr>
          <w:trHeight w:val="250"/>
          <w:jc w:val="center"/>
        </w:trPr>
        <w:tc>
          <w:tcPr>
            <w:tcW w:w="314" w:type="dxa"/>
            <w:vAlign w:val="center"/>
          </w:tcPr>
          <w:p w14:paraId="33CFE923"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1516" w:type="dxa"/>
            <w:vAlign w:val="center"/>
          </w:tcPr>
          <w:p w14:paraId="33CFE924"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Numero de B</w:t>
            </w:r>
          </w:p>
        </w:tc>
        <w:tc>
          <w:tcPr>
            <w:tcW w:w="514" w:type="dxa"/>
            <w:vAlign w:val="center"/>
          </w:tcPr>
          <w:p w14:paraId="33CFE925"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26"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9(15)</w:t>
            </w:r>
          </w:p>
        </w:tc>
        <w:tc>
          <w:tcPr>
            <w:tcW w:w="1034" w:type="dxa"/>
            <w:vAlign w:val="center"/>
          </w:tcPr>
          <w:p w14:paraId="33CFE927"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15</w:t>
            </w:r>
          </w:p>
        </w:tc>
        <w:tc>
          <w:tcPr>
            <w:tcW w:w="4778" w:type="dxa"/>
            <w:vAlign w:val="center"/>
          </w:tcPr>
          <w:p w14:paraId="33CFE928"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Número de destino (justificado a la derecha, es decir el número recorrido a la derecha de la columna) rellenando las posiciones disponibles con ceros.</w:t>
            </w:r>
          </w:p>
        </w:tc>
      </w:tr>
      <w:tr w:rsidR="00D936CA" w:rsidRPr="00D936CA" w14:paraId="33CFE930" w14:textId="77777777" w:rsidTr="00A8272E">
        <w:trPr>
          <w:trHeight w:val="250"/>
          <w:jc w:val="center"/>
        </w:trPr>
        <w:tc>
          <w:tcPr>
            <w:tcW w:w="314" w:type="dxa"/>
            <w:vAlign w:val="center"/>
          </w:tcPr>
          <w:p w14:paraId="33CFE92A"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4</w:t>
            </w:r>
          </w:p>
        </w:tc>
        <w:tc>
          <w:tcPr>
            <w:tcW w:w="1516" w:type="dxa"/>
            <w:vAlign w:val="center"/>
          </w:tcPr>
          <w:p w14:paraId="33CFE92B"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Fecha de inicio</w:t>
            </w:r>
          </w:p>
        </w:tc>
        <w:tc>
          <w:tcPr>
            <w:tcW w:w="514" w:type="dxa"/>
            <w:vAlign w:val="center"/>
          </w:tcPr>
          <w:p w14:paraId="33CFE92C"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2D"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X(08)</w:t>
            </w:r>
          </w:p>
        </w:tc>
        <w:tc>
          <w:tcPr>
            <w:tcW w:w="1034" w:type="dxa"/>
            <w:vAlign w:val="center"/>
          </w:tcPr>
          <w:p w14:paraId="33CFE92E"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8</w:t>
            </w:r>
          </w:p>
        </w:tc>
        <w:tc>
          <w:tcPr>
            <w:tcW w:w="4778" w:type="dxa"/>
            <w:vAlign w:val="center"/>
          </w:tcPr>
          <w:p w14:paraId="33CFE92F"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Fecha en que inicio la llamada (AAAAMMDD).</w:t>
            </w:r>
          </w:p>
        </w:tc>
      </w:tr>
      <w:tr w:rsidR="00D936CA" w:rsidRPr="00D936CA" w14:paraId="33CFE937" w14:textId="77777777" w:rsidTr="00A8272E">
        <w:trPr>
          <w:trHeight w:val="250"/>
          <w:jc w:val="center"/>
        </w:trPr>
        <w:tc>
          <w:tcPr>
            <w:tcW w:w="314" w:type="dxa"/>
            <w:vAlign w:val="center"/>
          </w:tcPr>
          <w:p w14:paraId="33CFE931"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5</w:t>
            </w:r>
          </w:p>
        </w:tc>
        <w:tc>
          <w:tcPr>
            <w:tcW w:w="1516" w:type="dxa"/>
            <w:vAlign w:val="center"/>
          </w:tcPr>
          <w:p w14:paraId="33CFE932"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 xml:space="preserve">Duración </w:t>
            </w:r>
          </w:p>
        </w:tc>
        <w:tc>
          <w:tcPr>
            <w:tcW w:w="514" w:type="dxa"/>
            <w:vAlign w:val="center"/>
          </w:tcPr>
          <w:p w14:paraId="33CFE933"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34"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9(06)</w:t>
            </w:r>
          </w:p>
        </w:tc>
        <w:tc>
          <w:tcPr>
            <w:tcW w:w="1034" w:type="dxa"/>
            <w:vAlign w:val="center"/>
          </w:tcPr>
          <w:p w14:paraId="33CFE935"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6</w:t>
            </w:r>
          </w:p>
        </w:tc>
        <w:tc>
          <w:tcPr>
            <w:tcW w:w="4778" w:type="dxa"/>
            <w:vAlign w:val="center"/>
          </w:tcPr>
          <w:p w14:paraId="33CFE936"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La duración será minutos (las primeras 4 posiciones) y segundos (las últimas 2 posiciones). En todos los casos justificado a la derecha.</w:t>
            </w:r>
          </w:p>
        </w:tc>
      </w:tr>
      <w:tr w:rsidR="00D936CA" w:rsidRPr="00D936CA" w14:paraId="33CFE93E" w14:textId="77777777" w:rsidTr="00A8272E">
        <w:trPr>
          <w:trHeight w:val="350"/>
          <w:jc w:val="center"/>
        </w:trPr>
        <w:tc>
          <w:tcPr>
            <w:tcW w:w="314" w:type="dxa"/>
            <w:vAlign w:val="center"/>
          </w:tcPr>
          <w:p w14:paraId="33CFE938"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6</w:t>
            </w:r>
          </w:p>
        </w:tc>
        <w:tc>
          <w:tcPr>
            <w:tcW w:w="1516" w:type="dxa"/>
            <w:vAlign w:val="center"/>
          </w:tcPr>
          <w:p w14:paraId="33CFE939"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Hora inicio</w:t>
            </w:r>
          </w:p>
        </w:tc>
        <w:tc>
          <w:tcPr>
            <w:tcW w:w="514" w:type="dxa"/>
            <w:vAlign w:val="center"/>
          </w:tcPr>
          <w:p w14:paraId="33CFE93A"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3B"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9(06)</w:t>
            </w:r>
          </w:p>
        </w:tc>
        <w:tc>
          <w:tcPr>
            <w:tcW w:w="1034" w:type="dxa"/>
            <w:vAlign w:val="center"/>
          </w:tcPr>
          <w:p w14:paraId="33CFE93C"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6</w:t>
            </w:r>
          </w:p>
        </w:tc>
        <w:tc>
          <w:tcPr>
            <w:tcW w:w="4778" w:type="dxa"/>
            <w:vAlign w:val="center"/>
          </w:tcPr>
          <w:p w14:paraId="33CFE93D"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Hora en la cual inició de la llamada (HHMMSS).</w:t>
            </w:r>
          </w:p>
        </w:tc>
      </w:tr>
      <w:tr w:rsidR="00D936CA" w:rsidRPr="00D936CA" w14:paraId="33CFE945" w14:textId="77777777" w:rsidTr="00A8272E">
        <w:trPr>
          <w:trHeight w:val="250"/>
          <w:jc w:val="center"/>
        </w:trPr>
        <w:tc>
          <w:tcPr>
            <w:tcW w:w="314" w:type="dxa"/>
            <w:vAlign w:val="center"/>
          </w:tcPr>
          <w:p w14:paraId="33CFE93F"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7</w:t>
            </w:r>
          </w:p>
        </w:tc>
        <w:tc>
          <w:tcPr>
            <w:tcW w:w="1516" w:type="dxa"/>
            <w:vAlign w:val="center"/>
          </w:tcPr>
          <w:p w14:paraId="33CFE940"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Clave de Servicio</w:t>
            </w:r>
          </w:p>
        </w:tc>
        <w:tc>
          <w:tcPr>
            <w:tcW w:w="514" w:type="dxa"/>
            <w:vAlign w:val="center"/>
          </w:tcPr>
          <w:p w14:paraId="33CFE941"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C</w:t>
            </w:r>
          </w:p>
        </w:tc>
        <w:tc>
          <w:tcPr>
            <w:tcW w:w="905" w:type="dxa"/>
            <w:vAlign w:val="center"/>
          </w:tcPr>
          <w:p w14:paraId="33CFE942"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X(03)</w:t>
            </w:r>
          </w:p>
        </w:tc>
        <w:tc>
          <w:tcPr>
            <w:tcW w:w="1034" w:type="dxa"/>
            <w:vAlign w:val="center"/>
          </w:tcPr>
          <w:p w14:paraId="33CFE943"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4778" w:type="dxa"/>
            <w:vAlign w:val="center"/>
          </w:tcPr>
          <w:p w14:paraId="33CFE944"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 xml:space="preserve">Indica el tipo de tráfico: Detalle de Llamadas Entrantes, Local, LD, QLLP 044, QLLP 045,  800s, Operadora, Servicios </w:t>
            </w:r>
            <w:r w:rsidRPr="00D936CA">
              <w:rPr>
                <w:rFonts w:ascii="ITC Avant Garde" w:hAnsi="ITC Avant Garde"/>
                <w:sz w:val="16"/>
              </w:rPr>
              <w:lastRenderedPageBreak/>
              <w:t>Especiales (Emergencia), etc.</w:t>
            </w:r>
          </w:p>
        </w:tc>
      </w:tr>
      <w:tr w:rsidR="00D936CA" w:rsidRPr="00D936CA" w14:paraId="33CFE94C" w14:textId="77777777" w:rsidTr="00A8272E">
        <w:trPr>
          <w:trHeight w:val="250"/>
          <w:jc w:val="center"/>
        </w:trPr>
        <w:tc>
          <w:tcPr>
            <w:tcW w:w="314" w:type="dxa"/>
            <w:shd w:val="clear" w:color="000000" w:fill="FFFFFF"/>
            <w:vAlign w:val="center"/>
          </w:tcPr>
          <w:p w14:paraId="33CFE946"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lastRenderedPageBreak/>
              <w:t>8</w:t>
            </w:r>
          </w:p>
        </w:tc>
        <w:tc>
          <w:tcPr>
            <w:tcW w:w="1516" w:type="dxa"/>
            <w:shd w:val="clear" w:color="000000" w:fill="FFFFFF"/>
            <w:vAlign w:val="center"/>
          </w:tcPr>
          <w:p w14:paraId="33CFE947"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NIM</w:t>
            </w:r>
          </w:p>
        </w:tc>
        <w:tc>
          <w:tcPr>
            <w:tcW w:w="514" w:type="dxa"/>
            <w:shd w:val="clear" w:color="000000" w:fill="FFFFFF"/>
            <w:vAlign w:val="center"/>
          </w:tcPr>
          <w:p w14:paraId="33CFE948"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shd w:val="clear" w:color="000000" w:fill="FFFFFF"/>
            <w:vAlign w:val="center"/>
          </w:tcPr>
          <w:p w14:paraId="33CFE949"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9(01)</w:t>
            </w:r>
          </w:p>
        </w:tc>
        <w:tc>
          <w:tcPr>
            <w:tcW w:w="1034" w:type="dxa"/>
            <w:shd w:val="clear" w:color="000000" w:fill="FFFFFF"/>
            <w:vAlign w:val="center"/>
          </w:tcPr>
          <w:p w14:paraId="33CFE94A"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4778" w:type="dxa"/>
            <w:shd w:val="clear" w:color="000000" w:fill="FFFFFF"/>
            <w:vAlign w:val="center"/>
          </w:tcPr>
          <w:p w14:paraId="33CFE94B"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0:Nacional, 1:Internacional, 2:Mundial, 9: Local. En caso de no usarse se llenará con ceros.</w:t>
            </w:r>
          </w:p>
        </w:tc>
      </w:tr>
      <w:tr w:rsidR="00D936CA" w:rsidRPr="00D936CA" w14:paraId="33CFE953" w14:textId="77777777" w:rsidTr="00A8272E">
        <w:trPr>
          <w:trHeight w:val="250"/>
          <w:jc w:val="center"/>
        </w:trPr>
        <w:tc>
          <w:tcPr>
            <w:tcW w:w="314" w:type="dxa"/>
            <w:shd w:val="clear" w:color="000000" w:fill="FFFFFF"/>
            <w:vAlign w:val="center"/>
          </w:tcPr>
          <w:p w14:paraId="33CFE94D"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w:t>
            </w:r>
          </w:p>
        </w:tc>
        <w:tc>
          <w:tcPr>
            <w:tcW w:w="1516" w:type="dxa"/>
            <w:shd w:val="clear" w:color="000000" w:fill="FFFFFF"/>
            <w:vAlign w:val="center"/>
          </w:tcPr>
          <w:p w14:paraId="33CFE94E"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Clave x Cobrar</w:t>
            </w:r>
          </w:p>
        </w:tc>
        <w:tc>
          <w:tcPr>
            <w:tcW w:w="514" w:type="dxa"/>
            <w:shd w:val="clear" w:color="000000" w:fill="FFFFFF"/>
            <w:vAlign w:val="center"/>
          </w:tcPr>
          <w:p w14:paraId="33CFE94F"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shd w:val="clear" w:color="000000" w:fill="FFFFFF"/>
            <w:vAlign w:val="center"/>
          </w:tcPr>
          <w:p w14:paraId="33CFE950"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9(01)</w:t>
            </w:r>
          </w:p>
        </w:tc>
        <w:tc>
          <w:tcPr>
            <w:tcW w:w="1034" w:type="dxa"/>
            <w:shd w:val="clear" w:color="000000" w:fill="FFFFFF"/>
            <w:vAlign w:val="center"/>
          </w:tcPr>
          <w:p w14:paraId="33CFE951"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4778" w:type="dxa"/>
            <w:shd w:val="clear" w:color="000000" w:fill="FFFFFF"/>
            <w:vAlign w:val="center"/>
          </w:tcPr>
          <w:p w14:paraId="33CFE952"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2: Por Cobrar (Cobro en el destino), 4: Normal (Cobro en el origen)</w:t>
            </w:r>
          </w:p>
        </w:tc>
      </w:tr>
      <w:tr w:rsidR="00D936CA" w:rsidRPr="00D936CA" w14:paraId="33CFE95A" w14:textId="77777777" w:rsidTr="00A8272E">
        <w:trPr>
          <w:trHeight w:val="250"/>
          <w:jc w:val="center"/>
        </w:trPr>
        <w:tc>
          <w:tcPr>
            <w:tcW w:w="314" w:type="dxa"/>
            <w:vAlign w:val="center"/>
          </w:tcPr>
          <w:p w14:paraId="33CFE954"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10</w:t>
            </w:r>
          </w:p>
        </w:tc>
        <w:tc>
          <w:tcPr>
            <w:tcW w:w="1516" w:type="dxa"/>
            <w:vAlign w:val="center"/>
          </w:tcPr>
          <w:p w14:paraId="33CFE955"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Filler</w:t>
            </w:r>
          </w:p>
        </w:tc>
        <w:tc>
          <w:tcPr>
            <w:tcW w:w="514" w:type="dxa"/>
            <w:vAlign w:val="center"/>
          </w:tcPr>
          <w:p w14:paraId="33CFE956"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C</w:t>
            </w:r>
          </w:p>
        </w:tc>
        <w:tc>
          <w:tcPr>
            <w:tcW w:w="905" w:type="dxa"/>
            <w:vAlign w:val="center"/>
          </w:tcPr>
          <w:p w14:paraId="33CFE957"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X(44)</w:t>
            </w:r>
          </w:p>
        </w:tc>
        <w:tc>
          <w:tcPr>
            <w:tcW w:w="1034" w:type="dxa"/>
            <w:vAlign w:val="center"/>
          </w:tcPr>
          <w:p w14:paraId="33CFE958"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44</w:t>
            </w:r>
          </w:p>
        </w:tc>
        <w:tc>
          <w:tcPr>
            <w:tcW w:w="4778" w:type="dxa"/>
            <w:vAlign w:val="center"/>
          </w:tcPr>
          <w:p w14:paraId="33CFE959"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Caracteres en blanco para completar la longitud del registro a 100 posiciones.</w:t>
            </w:r>
          </w:p>
        </w:tc>
      </w:tr>
      <w:tr w:rsidR="00D936CA" w:rsidRPr="00D936CA" w14:paraId="33CFE961" w14:textId="77777777" w:rsidTr="00A8272E">
        <w:trPr>
          <w:trHeight w:val="250"/>
          <w:jc w:val="center"/>
        </w:trPr>
        <w:tc>
          <w:tcPr>
            <w:tcW w:w="314" w:type="dxa"/>
            <w:vAlign w:val="center"/>
          </w:tcPr>
          <w:p w14:paraId="33CFE95B" w14:textId="77777777" w:rsidR="00530A32" w:rsidRPr="00D936CA" w:rsidRDefault="00530A32" w:rsidP="00D936CA">
            <w:pPr>
              <w:spacing w:before="60" w:after="60" w:line="276" w:lineRule="auto"/>
              <w:jc w:val="center"/>
              <w:rPr>
                <w:rFonts w:ascii="ITC Avant Garde" w:hAnsi="ITC Avant Garde"/>
                <w:sz w:val="16"/>
              </w:rPr>
            </w:pPr>
          </w:p>
        </w:tc>
        <w:tc>
          <w:tcPr>
            <w:tcW w:w="1516" w:type="dxa"/>
            <w:vAlign w:val="center"/>
          </w:tcPr>
          <w:p w14:paraId="33CFE95C" w14:textId="77777777" w:rsidR="00530A32" w:rsidRPr="00D936CA" w:rsidRDefault="00011A1B" w:rsidP="00D936CA">
            <w:pPr>
              <w:spacing w:before="60" w:after="60" w:line="276" w:lineRule="auto"/>
              <w:jc w:val="center"/>
              <w:rPr>
                <w:rFonts w:ascii="ITC Avant Garde" w:hAnsi="ITC Avant Garde"/>
                <w:b/>
                <w:sz w:val="16"/>
              </w:rPr>
            </w:pPr>
            <w:r w:rsidRPr="00D936CA">
              <w:rPr>
                <w:rFonts w:ascii="ITC Avant Garde" w:hAnsi="ITC Avant Garde"/>
                <w:b/>
                <w:sz w:val="16"/>
              </w:rPr>
              <w:t>REGISTRO TRAILER</w:t>
            </w:r>
          </w:p>
        </w:tc>
        <w:tc>
          <w:tcPr>
            <w:tcW w:w="514" w:type="dxa"/>
            <w:vAlign w:val="center"/>
          </w:tcPr>
          <w:p w14:paraId="33CFE95D" w14:textId="77777777" w:rsidR="00530A32" w:rsidRPr="00D936CA" w:rsidRDefault="00530A32" w:rsidP="00D936CA">
            <w:pPr>
              <w:spacing w:before="60" w:after="60" w:line="276" w:lineRule="auto"/>
              <w:jc w:val="center"/>
              <w:rPr>
                <w:rFonts w:ascii="ITC Avant Garde" w:hAnsi="ITC Avant Garde"/>
                <w:sz w:val="16"/>
              </w:rPr>
            </w:pPr>
          </w:p>
        </w:tc>
        <w:tc>
          <w:tcPr>
            <w:tcW w:w="905" w:type="dxa"/>
            <w:vAlign w:val="center"/>
          </w:tcPr>
          <w:p w14:paraId="33CFE95E" w14:textId="77777777" w:rsidR="00530A32" w:rsidRPr="00D936CA" w:rsidRDefault="00530A32" w:rsidP="00D936CA">
            <w:pPr>
              <w:spacing w:before="60" w:after="60" w:line="276" w:lineRule="auto"/>
              <w:jc w:val="center"/>
              <w:rPr>
                <w:rFonts w:ascii="ITC Avant Garde" w:hAnsi="ITC Avant Garde"/>
                <w:sz w:val="16"/>
              </w:rPr>
            </w:pPr>
          </w:p>
        </w:tc>
        <w:tc>
          <w:tcPr>
            <w:tcW w:w="1034" w:type="dxa"/>
            <w:vAlign w:val="center"/>
          </w:tcPr>
          <w:p w14:paraId="33CFE95F"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100</w:t>
            </w:r>
          </w:p>
        </w:tc>
        <w:tc>
          <w:tcPr>
            <w:tcW w:w="4778" w:type="dxa"/>
            <w:vAlign w:val="center"/>
          </w:tcPr>
          <w:p w14:paraId="33CFE960" w14:textId="77777777" w:rsidR="00530A32" w:rsidRPr="00D936CA" w:rsidRDefault="00530A32" w:rsidP="00D936CA">
            <w:pPr>
              <w:spacing w:before="60" w:after="60" w:line="276" w:lineRule="auto"/>
              <w:rPr>
                <w:rFonts w:ascii="ITC Avant Garde" w:hAnsi="ITC Avant Garde"/>
                <w:sz w:val="16"/>
              </w:rPr>
            </w:pPr>
          </w:p>
        </w:tc>
      </w:tr>
      <w:tr w:rsidR="00D936CA" w:rsidRPr="00D936CA" w14:paraId="33CFE968" w14:textId="77777777" w:rsidTr="00A8272E">
        <w:trPr>
          <w:trHeight w:val="250"/>
          <w:jc w:val="center"/>
        </w:trPr>
        <w:tc>
          <w:tcPr>
            <w:tcW w:w="314" w:type="dxa"/>
            <w:vAlign w:val="center"/>
          </w:tcPr>
          <w:p w14:paraId="33CFE962"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1516" w:type="dxa"/>
            <w:vAlign w:val="center"/>
          </w:tcPr>
          <w:p w14:paraId="33CFE963"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Identificador de reg.</w:t>
            </w:r>
          </w:p>
        </w:tc>
        <w:tc>
          <w:tcPr>
            <w:tcW w:w="514" w:type="dxa"/>
            <w:vAlign w:val="center"/>
          </w:tcPr>
          <w:p w14:paraId="33CFE964"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65"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9(01)</w:t>
            </w:r>
          </w:p>
        </w:tc>
        <w:tc>
          <w:tcPr>
            <w:tcW w:w="1034" w:type="dxa"/>
            <w:vAlign w:val="center"/>
          </w:tcPr>
          <w:p w14:paraId="33CFE966"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w:t>
            </w:r>
          </w:p>
        </w:tc>
        <w:tc>
          <w:tcPr>
            <w:tcW w:w="4778" w:type="dxa"/>
            <w:vAlign w:val="center"/>
          </w:tcPr>
          <w:p w14:paraId="33CFE967"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 xml:space="preserve"> </w:t>
            </w:r>
            <w:r w:rsidR="0034739A" w:rsidRPr="00D936CA">
              <w:rPr>
                <w:rFonts w:ascii="ITC Avant Garde" w:hAnsi="ITC Avant Garde"/>
                <w:sz w:val="16"/>
              </w:rPr>
              <w:t>Identifica</w:t>
            </w:r>
            <w:r w:rsidRPr="00D936CA">
              <w:rPr>
                <w:rFonts w:ascii="ITC Avant Garde" w:hAnsi="ITC Avant Garde"/>
                <w:sz w:val="16"/>
              </w:rPr>
              <w:t xml:space="preserve"> el tipo de registro que para el “trailer” el valor debe ser 9.</w:t>
            </w:r>
          </w:p>
        </w:tc>
      </w:tr>
      <w:tr w:rsidR="00D936CA" w:rsidRPr="00D936CA" w14:paraId="33CFE96F" w14:textId="77777777" w:rsidTr="00A8272E">
        <w:trPr>
          <w:trHeight w:val="250"/>
          <w:jc w:val="center"/>
        </w:trPr>
        <w:tc>
          <w:tcPr>
            <w:tcW w:w="314" w:type="dxa"/>
            <w:vAlign w:val="center"/>
          </w:tcPr>
          <w:p w14:paraId="33CFE969"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2</w:t>
            </w:r>
          </w:p>
        </w:tc>
        <w:tc>
          <w:tcPr>
            <w:tcW w:w="1516" w:type="dxa"/>
            <w:vAlign w:val="center"/>
          </w:tcPr>
          <w:p w14:paraId="33CFE96A"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Operador Emisor</w:t>
            </w:r>
          </w:p>
        </w:tc>
        <w:tc>
          <w:tcPr>
            <w:tcW w:w="514" w:type="dxa"/>
            <w:vAlign w:val="center"/>
          </w:tcPr>
          <w:p w14:paraId="33CFE96B"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6C"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9(03)</w:t>
            </w:r>
          </w:p>
        </w:tc>
        <w:tc>
          <w:tcPr>
            <w:tcW w:w="1034" w:type="dxa"/>
            <w:vAlign w:val="center"/>
          </w:tcPr>
          <w:p w14:paraId="33CFE96D"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4778" w:type="dxa"/>
            <w:vAlign w:val="center"/>
          </w:tcPr>
          <w:p w14:paraId="33CFE96E"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Clave (CIC) del Operador que presenta los registros.</w:t>
            </w:r>
          </w:p>
        </w:tc>
      </w:tr>
      <w:tr w:rsidR="00D936CA" w:rsidRPr="00D936CA" w14:paraId="33CFE976" w14:textId="77777777" w:rsidTr="00A8272E">
        <w:trPr>
          <w:trHeight w:val="250"/>
          <w:jc w:val="center"/>
        </w:trPr>
        <w:tc>
          <w:tcPr>
            <w:tcW w:w="314" w:type="dxa"/>
            <w:vAlign w:val="center"/>
          </w:tcPr>
          <w:p w14:paraId="33CFE970"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1516" w:type="dxa"/>
            <w:vAlign w:val="center"/>
          </w:tcPr>
          <w:p w14:paraId="33CFE971"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Operador Receptor</w:t>
            </w:r>
          </w:p>
        </w:tc>
        <w:tc>
          <w:tcPr>
            <w:tcW w:w="514" w:type="dxa"/>
            <w:vAlign w:val="center"/>
          </w:tcPr>
          <w:p w14:paraId="33CFE972"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73"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9(03)</w:t>
            </w:r>
          </w:p>
        </w:tc>
        <w:tc>
          <w:tcPr>
            <w:tcW w:w="1034" w:type="dxa"/>
            <w:vAlign w:val="center"/>
          </w:tcPr>
          <w:p w14:paraId="33CFE974"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3</w:t>
            </w:r>
          </w:p>
        </w:tc>
        <w:tc>
          <w:tcPr>
            <w:tcW w:w="4778" w:type="dxa"/>
            <w:vAlign w:val="center"/>
          </w:tcPr>
          <w:p w14:paraId="33CFE975"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Clave (CIC) del CS que recibe los registros.</w:t>
            </w:r>
          </w:p>
        </w:tc>
      </w:tr>
      <w:tr w:rsidR="00D936CA" w:rsidRPr="00D936CA" w14:paraId="33CFE97D" w14:textId="77777777" w:rsidTr="00A8272E">
        <w:trPr>
          <w:trHeight w:val="250"/>
          <w:jc w:val="center"/>
        </w:trPr>
        <w:tc>
          <w:tcPr>
            <w:tcW w:w="314" w:type="dxa"/>
            <w:vAlign w:val="center"/>
          </w:tcPr>
          <w:p w14:paraId="33CFE977"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4</w:t>
            </w:r>
          </w:p>
        </w:tc>
        <w:tc>
          <w:tcPr>
            <w:tcW w:w="1516" w:type="dxa"/>
            <w:vAlign w:val="center"/>
          </w:tcPr>
          <w:p w14:paraId="33CFE978"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 xml:space="preserve"> Fecha proceso</w:t>
            </w:r>
          </w:p>
        </w:tc>
        <w:tc>
          <w:tcPr>
            <w:tcW w:w="514" w:type="dxa"/>
            <w:vAlign w:val="center"/>
          </w:tcPr>
          <w:p w14:paraId="33CFE979"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7A"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X(08)</w:t>
            </w:r>
          </w:p>
        </w:tc>
        <w:tc>
          <w:tcPr>
            <w:tcW w:w="1034" w:type="dxa"/>
            <w:vAlign w:val="center"/>
          </w:tcPr>
          <w:p w14:paraId="33CFE97B"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8</w:t>
            </w:r>
          </w:p>
        </w:tc>
        <w:tc>
          <w:tcPr>
            <w:tcW w:w="4778" w:type="dxa"/>
            <w:vAlign w:val="center"/>
          </w:tcPr>
          <w:p w14:paraId="33CFE97C"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Fecha de proceso del archivo (AAAAMMDD).</w:t>
            </w:r>
          </w:p>
        </w:tc>
      </w:tr>
      <w:tr w:rsidR="00D936CA" w:rsidRPr="00D936CA" w14:paraId="33CFE984" w14:textId="77777777" w:rsidTr="00A8272E">
        <w:trPr>
          <w:trHeight w:val="250"/>
          <w:jc w:val="center"/>
        </w:trPr>
        <w:tc>
          <w:tcPr>
            <w:tcW w:w="314" w:type="dxa"/>
            <w:vAlign w:val="center"/>
          </w:tcPr>
          <w:p w14:paraId="33CFE97E"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5</w:t>
            </w:r>
          </w:p>
        </w:tc>
        <w:tc>
          <w:tcPr>
            <w:tcW w:w="1516" w:type="dxa"/>
            <w:vAlign w:val="center"/>
          </w:tcPr>
          <w:p w14:paraId="33CFE97F"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 xml:space="preserve"> Total de llamadas</w:t>
            </w:r>
          </w:p>
        </w:tc>
        <w:tc>
          <w:tcPr>
            <w:tcW w:w="514" w:type="dxa"/>
            <w:vAlign w:val="center"/>
          </w:tcPr>
          <w:p w14:paraId="33CFE980"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N</w:t>
            </w:r>
          </w:p>
        </w:tc>
        <w:tc>
          <w:tcPr>
            <w:tcW w:w="905" w:type="dxa"/>
            <w:vAlign w:val="center"/>
          </w:tcPr>
          <w:p w14:paraId="33CFE981"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9(15)</w:t>
            </w:r>
          </w:p>
        </w:tc>
        <w:tc>
          <w:tcPr>
            <w:tcW w:w="1034" w:type="dxa"/>
            <w:vAlign w:val="center"/>
          </w:tcPr>
          <w:p w14:paraId="33CFE982"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15</w:t>
            </w:r>
          </w:p>
        </w:tc>
        <w:tc>
          <w:tcPr>
            <w:tcW w:w="4778" w:type="dxa"/>
            <w:vAlign w:val="center"/>
          </w:tcPr>
          <w:p w14:paraId="33CFE983"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Total de registros que contiene el archivo.</w:t>
            </w:r>
          </w:p>
        </w:tc>
      </w:tr>
      <w:tr w:rsidR="00D936CA" w:rsidRPr="00D936CA" w14:paraId="33CFE98B" w14:textId="77777777" w:rsidTr="00A8272E">
        <w:trPr>
          <w:trHeight w:val="276"/>
          <w:jc w:val="center"/>
        </w:trPr>
        <w:tc>
          <w:tcPr>
            <w:tcW w:w="314" w:type="dxa"/>
            <w:vAlign w:val="center"/>
          </w:tcPr>
          <w:p w14:paraId="33CFE985"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6</w:t>
            </w:r>
          </w:p>
        </w:tc>
        <w:tc>
          <w:tcPr>
            <w:tcW w:w="1516" w:type="dxa"/>
            <w:vAlign w:val="center"/>
          </w:tcPr>
          <w:p w14:paraId="33CFE986"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 xml:space="preserve"> Filler</w:t>
            </w:r>
          </w:p>
        </w:tc>
        <w:tc>
          <w:tcPr>
            <w:tcW w:w="514" w:type="dxa"/>
            <w:vAlign w:val="center"/>
          </w:tcPr>
          <w:p w14:paraId="33CFE987"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C</w:t>
            </w:r>
          </w:p>
        </w:tc>
        <w:tc>
          <w:tcPr>
            <w:tcW w:w="905" w:type="dxa"/>
            <w:vAlign w:val="center"/>
          </w:tcPr>
          <w:p w14:paraId="33CFE988" w14:textId="77777777" w:rsidR="00530A32"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X(70)</w:t>
            </w:r>
          </w:p>
        </w:tc>
        <w:tc>
          <w:tcPr>
            <w:tcW w:w="1034" w:type="dxa"/>
            <w:vAlign w:val="center"/>
          </w:tcPr>
          <w:p w14:paraId="33CFE989" w14:textId="77777777" w:rsidR="006C2115" w:rsidRPr="00D936CA" w:rsidRDefault="00011A1B" w:rsidP="00D936CA">
            <w:pPr>
              <w:spacing w:before="60" w:after="60" w:line="276" w:lineRule="auto"/>
              <w:jc w:val="center"/>
              <w:rPr>
                <w:rFonts w:ascii="ITC Avant Garde" w:hAnsi="ITC Avant Garde"/>
                <w:sz w:val="16"/>
              </w:rPr>
            </w:pPr>
            <w:r w:rsidRPr="00D936CA">
              <w:rPr>
                <w:rFonts w:ascii="ITC Avant Garde" w:hAnsi="ITC Avant Garde"/>
                <w:sz w:val="16"/>
              </w:rPr>
              <w:t>70</w:t>
            </w:r>
          </w:p>
        </w:tc>
        <w:tc>
          <w:tcPr>
            <w:tcW w:w="4778" w:type="dxa"/>
            <w:vAlign w:val="center"/>
          </w:tcPr>
          <w:p w14:paraId="33CFE98A" w14:textId="77777777" w:rsidR="006C2115" w:rsidRPr="00D936CA" w:rsidRDefault="00011A1B" w:rsidP="00D936CA">
            <w:pPr>
              <w:spacing w:before="60" w:after="60" w:line="276" w:lineRule="auto"/>
              <w:rPr>
                <w:rFonts w:ascii="ITC Avant Garde" w:hAnsi="ITC Avant Garde"/>
                <w:sz w:val="16"/>
              </w:rPr>
            </w:pPr>
            <w:r w:rsidRPr="00D936CA">
              <w:rPr>
                <w:rFonts w:ascii="ITC Avant Garde" w:hAnsi="ITC Avant Garde"/>
                <w:sz w:val="16"/>
              </w:rPr>
              <w:t>Caracteres en blanco para completar la longitud del registro a 100 posiciones.</w:t>
            </w:r>
          </w:p>
        </w:tc>
      </w:tr>
    </w:tbl>
    <w:p w14:paraId="33CFE98C" w14:textId="77777777" w:rsidR="00707393" w:rsidRPr="00D936CA" w:rsidRDefault="007F69A0" w:rsidP="00D936CA">
      <w:pPr>
        <w:pStyle w:val="Textoindependiente"/>
        <w:spacing w:before="120" w:after="200" w:line="276" w:lineRule="auto"/>
        <w:rPr>
          <w:rFonts w:ascii="ITC Avant Garde" w:hAnsi="ITC Avant Garde"/>
          <w:b w:val="0"/>
          <w:sz w:val="18"/>
          <w:szCs w:val="18"/>
        </w:rPr>
      </w:pPr>
      <w:r w:rsidRPr="00D936CA">
        <w:rPr>
          <w:rFonts w:ascii="ITC Avant Garde" w:hAnsi="ITC Avant Garde"/>
          <w:b w:val="0"/>
          <w:sz w:val="18"/>
          <w:szCs w:val="18"/>
        </w:rPr>
        <w:t>Tabla 1</w:t>
      </w:r>
      <w:r w:rsidR="00424F8D" w:rsidRPr="00D936CA">
        <w:rPr>
          <w:rFonts w:ascii="ITC Avant Garde" w:hAnsi="ITC Avant Garde"/>
          <w:b w:val="0"/>
          <w:sz w:val="18"/>
          <w:szCs w:val="18"/>
        </w:rPr>
        <w:t>1</w:t>
      </w:r>
      <w:r w:rsidRPr="00D936CA">
        <w:rPr>
          <w:rFonts w:ascii="ITC Avant Garde" w:hAnsi="ITC Avant Garde"/>
          <w:b w:val="0"/>
          <w:sz w:val="18"/>
          <w:szCs w:val="18"/>
        </w:rPr>
        <w:t xml:space="preserve"> </w:t>
      </w:r>
      <w:r w:rsidR="00707393" w:rsidRPr="00D936CA">
        <w:rPr>
          <w:rFonts w:ascii="ITC Avant Garde" w:hAnsi="ITC Avant Garde"/>
          <w:b w:val="0"/>
          <w:sz w:val="18"/>
          <w:szCs w:val="18"/>
        </w:rPr>
        <w:t>Registro de consumos</w:t>
      </w:r>
    </w:p>
    <w:p w14:paraId="33CFE98D" w14:textId="77777777" w:rsidR="006C2115" w:rsidRPr="00D936CA" w:rsidRDefault="00011A1B" w:rsidP="00D936CA">
      <w:pPr>
        <w:pStyle w:val="Textoindependiente"/>
        <w:spacing w:after="200" w:line="276" w:lineRule="auto"/>
        <w:jc w:val="left"/>
        <w:rPr>
          <w:rFonts w:ascii="ITC Avant Garde" w:hAnsi="ITC Avant Garde"/>
          <w:b w:val="0"/>
          <w:sz w:val="22"/>
          <w:szCs w:val="22"/>
        </w:rPr>
      </w:pPr>
      <w:r w:rsidRPr="00D936CA">
        <w:rPr>
          <w:rFonts w:ascii="ITC Avant Garde" w:hAnsi="ITC Avant Garde"/>
          <w:b w:val="0"/>
          <w:sz w:val="22"/>
          <w:szCs w:val="22"/>
        </w:rPr>
        <w:t>Notas:</w:t>
      </w:r>
    </w:p>
    <w:p w14:paraId="33CFE98E" w14:textId="77777777" w:rsidR="006C2115" w:rsidRPr="00D936CA" w:rsidRDefault="00011A1B" w:rsidP="00D936CA">
      <w:pPr>
        <w:pStyle w:val="Textoindependiente"/>
        <w:numPr>
          <w:ilvl w:val="0"/>
          <w:numId w:val="41"/>
        </w:numPr>
        <w:spacing w:after="200" w:line="276" w:lineRule="auto"/>
        <w:jc w:val="left"/>
        <w:rPr>
          <w:rFonts w:ascii="ITC Avant Garde" w:hAnsi="ITC Avant Garde"/>
          <w:b w:val="0"/>
          <w:sz w:val="22"/>
          <w:szCs w:val="22"/>
        </w:rPr>
      </w:pPr>
      <w:r w:rsidRPr="00D936CA">
        <w:rPr>
          <w:rFonts w:ascii="ITC Avant Garde" w:hAnsi="ITC Avant Garde"/>
          <w:b w:val="0"/>
          <w:sz w:val="22"/>
          <w:szCs w:val="22"/>
        </w:rPr>
        <w:t>En todos los campos excepto el filler, los espacios que no se utilicen se llenaran con ceros.</w:t>
      </w:r>
    </w:p>
    <w:p w14:paraId="33CFE98F" w14:textId="77777777" w:rsidR="006C2115" w:rsidRPr="00D936CA" w:rsidRDefault="00011A1B" w:rsidP="00D936CA">
      <w:pPr>
        <w:pStyle w:val="Textoindependiente"/>
        <w:numPr>
          <w:ilvl w:val="0"/>
          <w:numId w:val="41"/>
        </w:numPr>
        <w:spacing w:after="200" w:line="276" w:lineRule="auto"/>
        <w:jc w:val="left"/>
        <w:rPr>
          <w:rFonts w:ascii="ITC Avant Garde" w:hAnsi="ITC Avant Garde"/>
          <w:b w:val="0"/>
          <w:sz w:val="22"/>
          <w:szCs w:val="22"/>
        </w:rPr>
      </w:pPr>
      <w:r w:rsidRPr="00D936CA">
        <w:rPr>
          <w:rFonts w:ascii="ITC Avant Garde" w:hAnsi="ITC Avant Garde"/>
          <w:b w:val="0"/>
          <w:sz w:val="22"/>
          <w:szCs w:val="22"/>
        </w:rPr>
        <w:t xml:space="preserve">La información estará disponible para su descarga en archivo electrónico comprimido en el sistema SIANA en </w:t>
      </w:r>
      <w:r w:rsidR="00B438B5" w:rsidRPr="00D936CA">
        <w:rPr>
          <w:rFonts w:ascii="ITC Avant Garde" w:hAnsi="ITC Avant Garde"/>
          <w:b w:val="0"/>
          <w:sz w:val="22"/>
          <w:szCs w:val="22"/>
        </w:rPr>
        <w:t>línea</w:t>
      </w:r>
      <w:r w:rsidRPr="00D936CA">
        <w:rPr>
          <w:rFonts w:ascii="ITC Avant Garde" w:hAnsi="ITC Avant Garde"/>
          <w:b w:val="0"/>
          <w:sz w:val="22"/>
          <w:szCs w:val="22"/>
        </w:rPr>
        <w:t>.</w:t>
      </w:r>
    </w:p>
    <w:p w14:paraId="33CFE990" w14:textId="35E48BFA" w:rsidR="00671CA3" w:rsidRDefault="00011A1B" w:rsidP="00D936CA">
      <w:pPr>
        <w:pStyle w:val="Textoindependiente"/>
        <w:numPr>
          <w:ilvl w:val="0"/>
          <w:numId w:val="41"/>
        </w:numPr>
        <w:spacing w:after="200" w:line="276" w:lineRule="auto"/>
        <w:jc w:val="left"/>
        <w:rPr>
          <w:rFonts w:ascii="ITC Avant Garde" w:hAnsi="ITC Avant Garde"/>
          <w:b w:val="0"/>
          <w:sz w:val="22"/>
          <w:szCs w:val="22"/>
        </w:rPr>
      </w:pPr>
      <w:r w:rsidRPr="00D936CA">
        <w:rPr>
          <w:rFonts w:ascii="ITC Avant Garde" w:hAnsi="ITC Avant Garde"/>
          <w:b w:val="0"/>
          <w:sz w:val="22"/>
          <w:szCs w:val="22"/>
        </w:rPr>
        <w:t>El detalle de llamadas entrantes sólo aplica para usuarios finales que tengan contratado el servicio.</w:t>
      </w:r>
      <w:r w:rsidR="00671CA3" w:rsidRPr="00D936CA">
        <w:rPr>
          <w:rFonts w:ascii="ITC Avant Garde" w:hAnsi="ITC Avant Garde"/>
          <w:b w:val="0"/>
          <w:sz w:val="22"/>
          <w:szCs w:val="22"/>
        </w:rPr>
        <w:t xml:space="preserve">  </w:t>
      </w:r>
    </w:p>
    <w:p w14:paraId="1BDAD369" w14:textId="77777777" w:rsidR="00172605" w:rsidRPr="00D936CA" w:rsidRDefault="00172605" w:rsidP="00172605">
      <w:pPr>
        <w:pStyle w:val="Textoindependiente"/>
        <w:spacing w:after="200" w:line="276" w:lineRule="auto"/>
        <w:jc w:val="left"/>
        <w:rPr>
          <w:rFonts w:ascii="ITC Avant Garde" w:hAnsi="ITC Avant Garde"/>
          <w:b w:val="0"/>
          <w:sz w:val="22"/>
          <w:szCs w:val="22"/>
        </w:rPr>
      </w:pPr>
    </w:p>
    <w:p w14:paraId="33CFE991" w14:textId="77777777" w:rsidR="00837A16" w:rsidRPr="00D936CA" w:rsidRDefault="007A2FF2" w:rsidP="00D936CA">
      <w:pPr>
        <w:pStyle w:val="Ttulo2"/>
        <w:numPr>
          <w:ilvl w:val="1"/>
          <w:numId w:val="143"/>
        </w:numPr>
        <w:ind w:left="851" w:hanging="425"/>
      </w:pPr>
      <w:bookmarkStart w:id="308" w:name="_Toc396337591"/>
      <w:bookmarkStart w:id="309" w:name="_Toc436840889"/>
      <w:bookmarkStart w:id="310" w:name="_Toc436846326"/>
      <w:bookmarkStart w:id="311" w:name="_Toc436848276"/>
      <w:bookmarkStart w:id="312" w:name="_Toc436856524"/>
      <w:bookmarkStart w:id="313" w:name="_Toc436862670"/>
      <w:bookmarkStart w:id="314" w:name="_Toc436866320"/>
      <w:bookmarkStart w:id="315" w:name="_Toc436870899"/>
      <w:bookmarkStart w:id="316" w:name="_Toc436875891"/>
      <w:r w:rsidRPr="00D936CA">
        <w:t xml:space="preserve"> </w:t>
      </w:r>
      <w:bookmarkStart w:id="317" w:name="_Toc467248703"/>
      <w:bookmarkStart w:id="318" w:name="_Toc518031976"/>
      <w:r w:rsidR="00011A1B" w:rsidRPr="00D936CA">
        <w:t>Procedimientos de contratación, modificación y baja de los servicio</w:t>
      </w:r>
      <w:bookmarkEnd w:id="308"/>
      <w:r w:rsidR="00011A1B" w:rsidRPr="00D936CA">
        <w:t>s de Reventa</w:t>
      </w:r>
      <w:bookmarkEnd w:id="309"/>
      <w:bookmarkEnd w:id="310"/>
      <w:bookmarkEnd w:id="311"/>
      <w:bookmarkEnd w:id="312"/>
      <w:bookmarkEnd w:id="313"/>
      <w:bookmarkEnd w:id="314"/>
      <w:bookmarkEnd w:id="315"/>
      <w:bookmarkEnd w:id="316"/>
      <w:bookmarkEnd w:id="317"/>
      <w:bookmarkEnd w:id="318"/>
    </w:p>
    <w:p w14:paraId="33CFE992" w14:textId="4BADB9EF" w:rsidR="00212D55" w:rsidRPr="00D936CA" w:rsidRDefault="00837A16" w:rsidP="00D936CA">
      <w:pPr>
        <w:pStyle w:val="IFTnormal"/>
      </w:pPr>
      <w:r w:rsidRPr="00D936CA">
        <w:t>Queda establecido que</w:t>
      </w:r>
      <w:r w:rsidR="00217D2D">
        <w:t>,</w:t>
      </w:r>
      <w:r w:rsidRPr="00D936CA">
        <w:t xml:space="preserve"> mediante el envío de la solicitud, el CS consiente efectuar el pago por las actividades a realizar</w:t>
      </w:r>
      <w:r w:rsidR="000A2A1D">
        <w:t>,</w:t>
      </w:r>
      <w:r w:rsidRPr="00D936CA">
        <w:t xml:space="preserve"> así como por los elementos de cobro que conforman el (los) servicio(s), en el momento que se indique en el procedimiento. Asimismo, si el CS rechaza el servicio o decide no continuar con el procedimiento, deberá liquidar el monto generado por las actividades realizadas hasta el momento que decidió terminar el procedimiento</w:t>
      </w:r>
      <w:r w:rsidR="001B0D1F" w:rsidRPr="00D936CA">
        <w:t>.</w:t>
      </w:r>
      <w:r w:rsidR="00386996" w:rsidRPr="00D936CA">
        <w:t xml:space="preserve"> </w:t>
      </w:r>
      <w:r w:rsidR="001B0D1F" w:rsidRPr="00D936CA">
        <w:t>S</w:t>
      </w:r>
      <w:r w:rsidR="00386996" w:rsidRPr="00D936CA">
        <w:t xml:space="preserve">i la solicitud es cancelada con al menos </w:t>
      </w:r>
      <w:r w:rsidR="001B0D1F" w:rsidRPr="00D936CA">
        <w:t>tres</w:t>
      </w:r>
      <w:r w:rsidR="00386996" w:rsidRPr="00D936CA">
        <w:t xml:space="preserve"> días de anticipación a la programación de la habilitación, no aplicará cobro alguno.</w:t>
      </w:r>
    </w:p>
    <w:p w14:paraId="33CFE993" w14:textId="0F6E9FAD" w:rsidR="00837A16" w:rsidRPr="00D936CA" w:rsidRDefault="00837A16" w:rsidP="00D936CA">
      <w:pPr>
        <w:pStyle w:val="IFTnormal"/>
        <w:rPr>
          <w:b/>
          <w:u w:val="single"/>
        </w:rPr>
      </w:pPr>
      <w:r w:rsidRPr="00D936CA">
        <w:rPr>
          <w:b/>
          <w:u w:val="single"/>
        </w:rPr>
        <w:lastRenderedPageBreak/>
        <w:t xml:space="preserve">Procedimiento de contratación y entrega </w:t>
      </w:r>
      <w:r w:rsidR="001E6506">
        <w:rPr>
          <w:b/>
          <w:u w:val="single"/>
        </w:rPr>
        <w:t>SRL</w:t>
      </w:r>
      <w:r w:rsidRPr="00D936CA">
        <w:rPr>
          <w:b/>
          <w:u w:val="single"/>
        </w:rPr>
        <w:t>, SRI y SRP (Alta)</w:t>
      </w:r>
    </w:p>
    <w:p w14:paraId="33CFE994" w14:textId="3010A860" w:rsidR="00837A16" w:rsidRPr="00D936CA" w:rsidRDefault="00837A16" w:rsidP="00D936CA">
      <w:pPr>
        <w:pStyle w:val="IFTnormal"/>
      </w:pPr>
      <w:r w:rsidRPr="00D936CA">
        <w:t>El objetivo y alcance de este procedimiento es definir los pasos y actividades a desarrollar por parte de Telmex y del CS, a fin de realizar la contratación y entrega de l</w:t>
      </w:r>
      <w:r w:rsidR="00CA21E6">
        <w:t xml:space="preserve">os servicios de </w:t>
      </w:r>
      <w:r w:rsidR="001E6506">
        <w:t>SRL</w:t>
      </w:r>
      <w:r w:rsidR="00CA21E6">
        <w:t>, SRI y SRP</w:t>
      </w:r>
      <w:r w:rsidRPr="00D936CA">
        <w:t xml:space="preserve">. Las fases en que se divide este procedimiento son: </w:t>
      </w:r>
      <w:r w:rsidRPr="00D936CA">
        <w:rPr>
          <w:b/>
        </w:rPr>
        <w:t>(i)</w:t>
      </w:r>
      <w:r w:rsidRPr="00D936CA">
        <w:t xml:space="preserve"> Entrega y validación de la solicitud para que el CS manifieste su intención de contratar el servicio, las características que solicita para el mismo, y la evaluación por parte de Telmex para validar que la solicitud cuenta con todos los elementos para la contratación del servicio; </w:t>
      </w:r>
      <w:r w:rsidRPr="00D936CA">
        <w:rPr>
          <w:b/>
        </w:rPr>
        <w:t>(ii)</w:t>
      </w:r>
      <w:r w:rsidRPr="00D936CA">
        <w:t xml:space="preserve"> Análisis de Factibilidad Técnica a fin de que Telmex pueda verificar que cuenta con los elementos para brindar el servicio solicitado (no aplica para </w:t>
      </w:r>
      <w:r w:rsidR="001E6506">
        <w:t>SRL</w:t>
      </w:r>
      <w:r w:rsidRPr="00D936CA">
        <w:t xml:space="preserve"> existente y activo, únicamente se realiza el cambio administrativo); y </w:t>
      </w:r>
      <w:r w:rsidRPr="00D936CA">
        <w:rPr>
          <w:b/>
        </w:rPr>
        <w:t>(iii)</w:t>
      </w:r>
      <w:r w:rsidRPr="00D936CA">
        <w:t xml:space="preserve"> Habilitación y aprovisionamiento del servicio solicitado, que detonará los procesos de pruebas de entrega y facturación.</w:t>
      </w:r>
    </w:p>
    <w:tbl>
      <w:tblPr>
        <w:tblStyle w:val="Tablaconcuadrcula"/>
        <w:tblW w:w="5000" w:type="pct"/>
        <w:tblLook w:val="04A0" w:firstRow="1" w:lastRow="0" w:firstColumn="1" w:lastColumn="0" w:noHBand="0" w:noVBand="1"/>
      </w:tblPr>
      <w:tblGrid>
        <w:gridCol w:w="2636"/>
        <w:gridCol w:w="7645"/>
      </w:tblGrid>
      <w:tr w:rsidR="00D936CA" w:rsidRPr="00D936CA" w14:paraId="33CFE997" w14:textId="77777777" w:rsidTr="00212D55">
        <w:tc>
          <w:tcPr>
            <w:tcW w:w="1282" w:type="pct"/>
          </w:tcPr>
          <w:p w14:paraId="33CFE995" w14:textId="77777777" w:rsidR="00212D55" w:rsidRPr="00D936CA" w:rsidRDefault="00212D55" w:rsidP="00D936CA">
            <w:pPr>
              <w:pStyle w:val="IFTnormal"/>
              <w:jc w:val="center"/>
              <w:rPr>
                <w:b/>
                <w:sz w:val="20"/>
                <w:szCs w:val="20"/>
              </w:rPr>
            </w:pPr>
            <w:r w:rsidRPr="00D936CA">
              <w:rPr>
                <w:b/>
                <w:sz w:val="20"/>
                <w:szCs w:val="20"/>
              </w:rPr>
              <w:t>Etapa</w:t>
            </w:r>
          </w:p>
        </w:tc>
        <w:tc>
          <w:tcPr>
            <w:tcW w:w="3718" w:type="pct"/>
          </w:tcPr>
          <w:p w14:paraId="33CFE996" w14:textId="77777777" w:rsidR="00212D55" w:rsidRPr="00D936CA" w:rsidRDefault="00212D55" w:rsidP="00D936CA">
            <w:pPr>
              <w:pStyle w:val="IFTnormal"/>
              <w:jc w:val="center"/>
              <w:rPr>
                <w:b/>
                <w:sz w:val="20"/>
                <w:szCs w:val="20"/>
              </w:rPr>
            </w:pPr>
            <w:r w:rsidRPr="00D936CA">
              <w:rPr>
                <w:b/>
                <w:sz w:val="20"/>
                <w:szCs w:val="20"/>
              </w:rPr>
              <w:t>Descripción</w:t>
            </w:r>
          </w:p>
        </w:tc>
      </w:tr>
      <w:tr w:rsidR="00D936CA" w:rsidRPr="00D936CA" w14:paraId="33CFE99A" w14:textId="77777777" w:rsidTr="00212D55">
        <w:tc>
          <w:tcPr>
            <w:tcW w:w="1282" w:type="pct"/>
          </w:tcPr>
          <w:p w14:paraId="33CFE998" w14:textId="77777777" w:rsidR="00212D55" w:rsidRPr="00D936CA" w:rsidRDefault="00212D55" w:rsidP="00D936CA">
            <w:pPr>
              <w:pStyle w:val="IFTnormal"/>
              <w:jc w:val="left"/>
              <w:rPr>
                <w:b/>
                <w:sz w:val="20"/>
                <w:szCs w:val="20"/>
              </w:rPr>
            </w:pPr>
            <w:r w:rsidRPr="00D936CA">
              <w:rPr>
                <w:b/>
                <w:sz w:val="20"/>
                <w:szCs w:val="20"/>
              </w:rPr>
              <w:t>Autorización del suscriptor/usuario final</w:t>
            </w:r>
          </w:p>
        </w:tc>
        <w:tc>
          <w:tcPr>
            <w:tcW w:w="3718" w:type="pct"/>
          </w:tcPr>
          <w:p w14:paraId="33CFE999" w14:textId="77777777" w:rsidR="00212D55" w:rsidRPr="00D936CA" w:rsidRDefault="00212D55" w:rsidP="00D936CA">
            <w:pPr>
              <w:pStyle w:val="IFTnormal"/>
              <w:rPr>
                <w:sz w:val="20"/>
                <w:szCs w:val="20"/>
              </w:rPr>
            </w:pPr>
            <w:r w:rsidRPr="00D936CA">
              <w:rPr>
                <w:sz w:val="20"/>
                <w:szCs w:val="20"/>
              </w:rPr>
              <w:t>Presentación del formato de verificación de la voluntad del suscriptor/usuario final. (Sólo usuarios existentes)</w:t>
            </w:r>
          </w:p>
        </w:tc>
      </w:tr>
      <w:tr w:rsidR="00D936CA" w:rsidRPr="00D936CA" w14:paraId="33CFE9A8" w14:textId="77777777" w:rsidTr="00212D55">
        <w:tc>
          <w:tcPr>
            <w:tcW w:w="1282" w:type="pct"/>
          </w:tcPr>
          <w:p w14:paraId="33CFE99B" w14:textId="77777777" w:rsidR="00212D55" w:rsidRPr="00D936CA" w:rsidRDefault="00212D55" w:rsidP="00D936CA">
            <w:pPr>
              <w:pStyle w:val="IFTnormal"/>
              <w:jc w:val="left"/>
              <w:rPr>
                <w:b/>
                <w:sz w:val="20"/>
                <w:szCs w:val="20"/>
              </w:rPr>
            </w:pPr>
            <w:r w:rsidRPr="00D936CA">
              <w:rPr>
                <w:b/>
                <w:sz w:val="20"/>
                <w:szCs w:val="20"/>
              </w:rPr>
              <w:t>Envío de solicitud</w:t>
            </w:r>
          </w:p>
        </w:tc>
        <w:tc>
          <w:tcPr>
            <w:tcW w:w="3718" w:type="pct"/>
          </w:tcPr>
          <w:p w14:paraId="33CFE99C" w14:textId="2C497801" w:rsidR="00212D55" w:rsidRPr="00D936CA" w:rsidRDefault="00212D55" w:rsidP="00D936CA">
            <w:pPr>
              <w:pStyle w:val="IFTnormal"/>
              <w:rPr>
                <w:sz w:val="20"/>
                <w:szCs w:val="20"/>
              </w:rPr>
            </w:pPr>
            <w:r w:rsidRPr="00D936CA">
              <w:rPr>
                <w:sz w:val="20"/>
                <w:szCs w:val="20"/>
              </w:rPr>
              <w:t xml:space="preserve">El CS deberá presentar sus solicitudes en el formato correspondiente a través del SEG (podrá </w:t>
            </w:r>
            <w:r w:rsidR="00416FFF">
              <w:rPr>
                <w:sz w:val="20"/>
                <w:szCs w:val="20"/>
              </w:rPr>
              <w:t>hacerlo</w:t>
            </w:r>
            <w:r w:rsidR="00416FFF" w:rsidRPr="00D936CA">
              <w:rPr>
                <w:sz w:val="20"/>
                <w:szCs w:val="20"/>
              </w:rPr>
              <w:t xml:space="preserve"> </w:t>
            </w:r>
            <w:r w:rsidR="00687C97" w:rsidRPr="00D936CA">
              <w:rPr>
                <w:sz w:val="20"/>
                <w:szCs w:val="20"/>
              </w:rPr>
              <w:t>de acuerdo a</w:t>
            </w:r>
            <w:r w:rsidR="007B2A82">
              <w:rPr>
                <w:sz w:val="20"/>
                <w:szCs w:val="20"/>
              </w:rPr>
              <w:t xml:space="preserve"> lo establecido en</w:t>
            </w:r>
            <w:r w:rsidR="00687C97" w:rsidRPr="00D936CA">
              <w:rPr>
                <w:sz w:val="20"/>
                <w:szCs w:val="20"/>
              </w:rPr>
              <w:t xml:space="preserve"> el numeral 1.8)</w:t>
            </w:r>
            <w:r w:rsidRPr="00D936CA">
              <w:rPr>
                <w:sz w:val="20"/>
                <w:szCs w:val="20"/>
              </w:rPr>
              <w:t>:</w:t>
            </w:r>
          </w:p>
          <w:p w14:paraId="33CFE99D" w14:textId="198D8480" w:rsidR="00212D55" w:rsidRPr="00D936CA" w:rsidRDefault="00212D55" w:rsidP="00D936CA">
            <w:pPr>
              <w:pStyle w:val="IFTnormal"/>
              <w:numPr>
                <w:ilvl w:val="0"/>
                <w:numId w:val="102"/>
              </w:numPr>
              <w:spacing w:after="120" w:line="240" w:lineRule="auto"/>
              <w:ind w:left="318" w:hanging="284"/>
              <w:rPr>
                <w:sz w:val="20"/>
                <w:szCs w:val="20"/>
              </w:rPr>
            </w:pPr>
            <w:r w:rsidRPr="00D936CA">
              <w:rPr>
                <w:sz w:val="20"/>
                <w:szCs w:val="20"/>
              </w:rPr>
              <w:t xml:space="preserve">Seleccionar </w:t>
            </w:r>
            <w:r w:rsidR="004B1573" w:rsidRPr="00D936CA">
              <w:rPr>
                <w:sz w:val="20"/>
                <w:szCs w:val="20"/>
              </w:rPr>
              <w:t>m</w:t>
            </w:r>
            <w:r w:rsidRPr="00D936CA">
              <w:rPr>
                <w:sz w:val="20"/>
                <w:szCs w:val="20"/>
              </w:rPr>
              <w:t>ódem/ONT:</w:t>
            </w:r>
          </w:p>
          <w:p w14:paraId="33CFE99E" w14:textId="73CE6863" w:rsidR="00212D55" w:rsidRDefault="00212D55" w:rsidP="00D936CA">
            <w:pPr>
              <w:pStyle w:val="IFTnormal"/>
              <w:numPr>
                <w:ilvl w:val="0"/>
                <w:numId w:val="101"/>
              </w:numPr>
              <w:spacing w:after="120" w:line="240" w:lineRule="auto"/>
              <w:rPr>
                <w:sz w:val="20"/>
                <w:szCs w:val="20"/>
              </w:rPr>
            </w:pPr>
            <w:r w:rsidRPr="00D936CA">
              <w:rPr>
                <w:sz w:val="20"/>
                <w:szCs w:val="20"/>
              </w:rPr>
              <w:t>Entrega de equipos Telmex existentes y nuevos.</w:t>
            </w:r>
          </w:p>
          <w:p w14:paraId="0585ED82" w14:textId="77777777" w:rsidR="001E4157" w:rsidRPr="00D936CA" w:rsidRDefault="001E4157" w:rsidP="001E4157">
            <w:pPr>
              <w:pStyle w:val="IFTnormal"/>
              <w:numPr>
                <w:ilvl w:val="0"/>
                <w:numId w:val="106"/>
              </w:numPr>
              <w:spacing w:after="120" w:line="240" w:lineRule="auto"/>
              <w:rPr>
                <w:sz w:val="20"/>
                <w:szCs w:val="20"/>
              </w:rPr>
            </w:pPr>
            <w:r w:rsidRPr="00D936CA">
              <w:rPr>
                <w:sz w:val="20"/>
                <w:szCs w:val="20"/>
              </w:rPr>
              <w:t>Mensajería al domicilio del usuario*</w:t>
            </w:r>
          </w:p>
          <w:p w14:paraId="7DF5587C" w14:textId="77777777" w:rsidR="001E4157" w:rsidRDefault="001E4157" w:rsidP="001E4157">
            <w:pPr>
              <w:pStyle w:val="IFTnormal"/>
              <w:numPr>
                <w:ilvl w:val="0"/>
                <w:numId w:val="106"/>
              </w:numPr>
              <w:spacing w:after="120" w:line="240" w:lineRule="auto"/>
              <w:rPr>
                <w:sz w:val="20"/>
                <w:szCs w:val="20"/>
              </w:rPr>
            </w:pPr>
            <w:r w:rsidRPr="00D936CA">
              <w:rPr>
                <w:sz w:val="20"/>
                <w:szCs w:val="20"/>
              </w:rPr>
              <w:t>Tienda Telmex*</w:t>
            </w:r>
          </w:p>
          <w:p w14:paraId="508781D8" w14:textId="4CB36FC2" w:rsidR="009320DB" w:rsidRPr="001E4157" w:rsidRDefault="001E4157" w:rsidP="00060B2E">
            <w:pPr>
              <w:pStyle w:val="IFTnormal"/>
              <w:numPr>
                <w:ilvl w:val="0"/>
                <w:numId w:val="106"/>
              </w:numPr>
              <w:spacing w:after="120" w:line="240" w:lineRule="auto"/>
              <w:rPr>
                <w:sz w:val="20"/>
                <w:szCs w:val="20"/>
              </w:rPr>
            </w:pPr>
            <w:r w:rsidRPr="00EF20FC">
              <w:rPr>
                <w:sz w:val="20"/>
                <w:szCs w:val="20"/>
              </w:rPr>
              <w:t>Técnico**</w:t>
            </w:r>
          </w:p>
          <w:p w14:paraId="33CFE99F"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Entrega de equipos venta Telmex (blanco)</w:t>
            </w:r>
          </w:p>
          <w:p w14:paraId="33CFE9A0" w14:textId="77777777" w:rsidR="00212D55" w:rsidRPr="00D936CA" w:rsidRDefault="00212D55" w:rsidP="00D936CA">
            <w:pPr>
              <w:pStyle w:val="IFTnormal"/>
              <w:numPr>
                <w:ilvl w:val="0"/>
                <w:numId w:val="106"/>
              </w:numPr>
              <w:spacing w:after="120" w:line="240" w:lineRule="auto"/>
              <w:rPr>
                <w:sz w:val="20"/>
                <w:szCs w:val="20"/>
              </w:rPr>
            </w:pPr>
            <w:r w:rsidRPr="00D936CA">
              <w:rPr>
                <w:sz w:val="20"/>
                <w:szCs w:val="20"/>
              </w:rPr>
              <w:t>Mensajería al domicilio del usuario*</w:t>
            </w:r>
          </w:p>
          <w:p w14:paraId="33CFE9A1" w14:textId="37D4A875" w:rsidR="00212D55" w:rsidRDefault="00212D55" w:rsidP="00060B2E">
            <w:pPr>
              <w:pStyle w:val="IFTnormal"/>
              <w:spacing w:after="120" w:line="240" w:lineRule="auto"/>
              <w:ind w:left="1068"/>
              <w:rPr>
                <w:sz w:val="20"/>
                <w:szCs w:val="20"/>
              </w:rPr>
            </w:pPr>
          </w:p>
          <w:p w14:paraId="0A5D2B85" w14:textId="60F2C987" w:rsidR="00312089" w:rsidRPr="00EF20FC" w:rsidRDefault="00312089" w:rsidP="00D936CA">
            <w:pPr>
              <w:pStyle w:val="IFTnormal"/>
              <w:numPr>
                <w:ilvl w:val="0"/>
                <w:numId w:val="106"/>
              </w:numPr>
              <w:spacing w:after="120" w:line="240" w:lineRule="auto"/>
              <w:rPr>
                <w:sz w:val="20"/>
                <w:szCs w:val="20"/>
              </w:rPr>
            </w:pPr>
            <w:r w:rsidRPr="00EF20FC">
              <w:rPr>
                <w:sz w:val="20"/>
                <w:szCs w:val="20"/>
              </w:rPr>
              <w:t>Técnico**</w:t>
            </w:r>
          </w:p>
          <w:p w14:paraId="33CFE9A2" w14:textId="242FD4E8" w:rsidR="00212D55" w:rsidRPr="00D936CA" w:rsidRDefault="00103741" w:rsidP="00D936CA">
            <w:pPr>
              <w:pStyle w:val="IFTnormal"/>
              <w:numPr>
                <w:ilvl w:val="0"/>
                <w:numId w:val="101"/>
              </w:numPr>
              <w:spacing w:after="120" w:line="240" w:lineRule="auto"/>
              <w:rPr>
                <w:sz w:val="20"/>
                <w:szCs w:val="20"/>
              </w:rPr>
            </w:pPr>
            <w:r w:rsidRPr="00D936CA">
              <w:rPr>
                <w:sz w:val="20"/>
                <w:szCs w:val="20"/>
              </w:rPr>
              <w:t>Módems</w:t>
            </w:r>
            <w:r w:rsidR="00212D55" w:rsidRPr="00D936CA">
              <w:rPr>
                <w:sz w:val="20"/>
                <w:szCs w:val="20"/>
              </w:rPr>
              <w:t>/ONTs con proveedores alternos</w:t>
            </w:r>
          </w:p>
          <w:p w14:paraId="615E7C83" w14:textId="744F6F49" w:rsidR="00312089" w:rsidRDefault="00212D55" w:rsidP="00D936CA">
            <w:pPr>
              <w:pStyle w:val="IFTnormal"/>
              <w:rPr>
                <w:sz w:val="16"/>
                <w:szCs w:val="16"/>
              </w:rPr>
            </w:pPr>
            <w:r w:rsidRPr="00D936CA">
              <w:rPr>
                <w:sz w:val="16"/>
                <w:szCs w:val="16"/>
              </w:rPr>
              <w:t xml:space="preserve">* Sólo módem. </w:t>
            </w:r>
          </w:p>
          <w:p w14:paraId="33CFE9A3" w14:textId="07099450" w:rsidR="00212D55" w:rsidRPr="00D936CA" w:rsidRDefault="00312089" w:rsidP="00D936CA">
            <w:pPr>
              <w:pStyle w:val="IFTnormal"/>
              <w:rPr>
                <w:sz w:val="16"/>
                <w:szCs w:val="16"/>
              </w:rPr>
            </w:pPr>
            <w:r w:rsidRPr="00EF20FC">
              <w:rPr>
                <w:sz w:val="16"/>
                <w:szCs w:val="16"/>
              </w:rPr>
              <w:t>**</w:t>
            </w:r>
            <w:r w:rsidR="00212D55" w:rsidRPr="00EF20FC">
              <w:rPr>
                <w:sz w:val="16"/>
                <w:szCs w:val="16"/>
              </w:rPr>
              <w:t>La ONT siempre se entrega en el domicilio del usuario el día de la instalación</w:t>
            </w:r>
            <w:r w:rsidRPr="00EF20FC">
              <w:rPr>
                <w:sz w:val="16"/>
                <w:szCs w:val="16"/>
              </w:rPr>
              <w:t xml:space="preserve">. </w:t>
            </w:r>
            <w:r w:rsidRPr="00060B2E">
              <w:rPr>
                <w:sz w:val="16"/>
                <w:szCs w:val="16"/>
              </w:rPr>
              <w:t>Sólo p</w:t>
            </w:r>
            <w:r w:rsidRPr="00EF20FC">
              <w:rPr>
                <w:sz w:val="16"/>
                <w:szCs w:val="16"/>
              </w:rPr>
              <w:t>ara el caso de servicios nuevos el módem se podrá entregar por Técnico</w:t>
            </w:r>
            <w:r w:rsidR="00212D55" w:rsidRPr="00EF20FC">
              <w:rPr>
                <w:sz w:val="16"/>
                <w:szCs w:val="16"/>
              </w:rPr>
              <w:t>.</w:t>
            </w:r>
          </w:p>
          <w:p w14:paraId="33CFE9A4" w14:textId="77777777" w:rsidR="00212D55" w:rsidRPr="00D936CA" w:rsidRDefault="00212D55" w:rsidP="00D936CA">
            <w:pPr>
              <w:pStyle w:val="IFTnormal"/>
              <w:numPr>
                <w:ilvl w:val="0"/>
                <w:numId w:val="102"/>
              </w:numPr>
              <w:spacing w:after="120" w:line="240" w:lineRule="auto"/>
              <w:ind w:left="318" w:hanging="284"/>
              <w:rPr>
                <w:sz w:val="20"/>
                <w:szCs w:val="20"/>
              </w:rPr>
            </w:pPr>
            <w:r w:rsidRPr="00D936CA">
              <w:rPr>
                <w:sz w:val="20"/>
                <w:szCs w:val="20"/>
              </w:rPr>
              <w:t>Seleccionar cableado interior en el domicilio del Usuario Final:</w:t>
            </w:r>
          </w:p>
          <w:p w14:paraId="33CFE9A5"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Telmex</w:t>
            </w:r>
          </w:p>
          <w:p w14:paraId="33CFE9A6"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CS</w:t>
            </w:r>
          </w:p>
          <w:p w14:paraId="33CFE9A7" w14:textId="77777777" w:rsidR="00212D55" w:rsidRPr="00D936CA" w:rsidRDefault="00212D55" w:rsidP="00D936CA">
            <w:pPr>
              <w:pStyle w:val="IFTnormal"/>
              <w:rPr>
                <w:sz w:val="20"/>
                <w:szCs w:val="20"/>
              </w:rPr>
            </w:pPr>
            <w:r w:rsidRPr="00D936CA">
              <w:rPr>
                <w:sz w:val="20"/>
                <w:szCs w:val="20"/>
              </w:rPr>
              <w:lastRenderedPageBreak/>
              <w:t>Una vez enviada se asignará de forma automática un número de folio a la solicitud del CS.</w:t>
            </w:r>
          </w:p>
        </w:tc>
      </w:tr>
      <w:tr w:rsidR="00D936CA" w:rsidRPr="00D936CA" w14:paraId="33CFE9B0" w14:textId="77777777" w:rsidTr="00060B2E">
        <w:tc>
          <w:tcPr>
            <w:tcW w:w="1282" w:type="pct"/>
          </w:tcPr>
          <w:p w14:paraId="33CFE9A9" w14:textId="77777777" w:rsidR="00212D55" w:rsidRPr="00D936CA" w:rsidRDefault="00212D55" w:rsidP="00D936CA">
            <w:pPr>
              <w:pStyle w:val="IFTnormal"/>
              <w:jc w:val="left"/>
              <w:rPr>
                <w:b/>
                <w:sz w:val="20"/>
                <w:szCs w:val="20"/>
              </w:rPr>
            </w:pPr>
            <w:r w:rsidRPr="00D936CA">
              <w:rPr>
                <w:b/>
                <w:sz w:val="20"/>
                <w:szCs w:val="20"/>
              </w:rPr>
              <w:lastRenderedPageBreak/>
              <w:t>Validación de solicitud</w:t>
            </w:r>
          </w:p>
        </w:tc>
        <w:tc>
          <w:tcPr>
            <w:tcW w:w="3718" w:type="pct"/>
            <w:shd w:val="clear" w:color="auto" w:fill="auto"/>
          </w:tcPr>
          <w:p w14:paraId="33CFE9AA" w14:textId="77777777" w:rsidR="00212D55" w:rsidRPr="00D936CA" w:rsidRDefault="00212D55" w:rsidP="00D936CA">
            <w:pPr>
              <w:pStyle w:val="IFTnormal"/>
              <w:rPr>
                <w:sz w:val="20"/>
                <w:szCs w:val="20"/>
              </w:rPr>
            </w:pPr>
            <w:r w:rsidRPr="00D936CA">
              <w:rPr>
                <w:sz w:val="20"/>
                <w:szCs w:val="20"/>
              </w:rPr>
              <w:t>Telmex validará las solicitudes enviadas por los CS en un plazo máximo de 1 día hábil para determinar si:</w:t>
            </w:r>
          </w:p>
          <w:p w14:paraId="33CFE9AB"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La información capturada es suficiente para procesar la solicitud.</w:t>
            </w:r>
          </w:p>
          <w:p w14:paraId="33CFE9AC"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El CS capturó correctamente los detalles del servicio requerido.</w:t>
            </w:r>
          </w:p>
          <w:p w14:paraId="33CFE9AD" w14:textId="266D3B1B" w:rsidR="00212D55" w:rsidRPr="00D83CCE" w:rsidRDefault="00212D55" w:rsidP="00D936CA">
            <w:pPr>
              <w:pStyle w:val="IFTnormal"/>
              <w:numPr>
                <w:ilvl w:val="0"/>
                <w:numId w:val="102"/>
              </w:numPr>
              <w:ind w:left="318" w:hanging="318"/>
              <w:rPr>
                <w:sz w:val="20"/>
                <w:szCs w:val="20"/>
              </w:rPr>
            </w:pPr>
            <w:r w:rsidRPr="0089694E">
              <w:rPr>
                <w:b/>
                <w:sz w:val="20"/>
                <w:szCs w:val="20"/>
              </w:rPr>
              <w:t>Si la solicitud es correcta</w:t>
            </w:r>
            <w:r w:rsidRPr="00295254">
              <w:rPr>
                <w:sz w:val="20"/>
                <w:szCs w:val="20"/>
              </w:rPr>
              <w:t>, Telmex cambiará el folio previamente asignado por el Número de Identificación de Solicitud (NIS) el cual será por usuario en caso de solicitudes masivas y pro</w:t>
            </w:r>
            <w:r w:rsidRPr="00D83CCE">
              <w:rPr>
                <w:sz w:val="20"/>
                <w:szCs w:val="20"/>
              </w:rPr>
              <w:t>porcionar</w:t>
            </w:r>
            <w:r w:rsidR="000A6910">
              <w:rPr>
                <w:sz w:val="20"/>
                <w:szCs w:val="20"/>
              </w:rPr>
              <w:t>á</w:t>
            </w:r>
            <w:r w:rsidRPr="00D83CCE">
              <w:rPr>
                <w:sz w:val="20"/>
                <w:szCs w:val="20"/>
              </w:rPr>
              <w:t xml:space="preserve"> la fecha de habilitación del servicio en un plazo que corresponda al escenario de habilitación abajo señalados. </w:t>
            </w:r>
          </w:p>
          <w:p w14:paraId="33CFE9AE" w14:textId="490EC199" w:rsidR="00212D55" w:rsidRPr="0089694E" w:rsidRDefault="00212D55" w:rsidP="00D936CA">
            <w:pPr>
              <w:pStyle w:val="IFTnormal"/>
              <w:numPr>
                <w:ilvl w:val="0"/>
                <w:numId w:val="102"/>
              </w:numPr>
              <w:ind w:left="318" w:hanging="318"/>
              <w:rPr>
                <w:sz w:val="20"/>
                <w:szCs w:val="20"/>
              </w:rPr>
            </w:pPr>
            <w:r w:rsidRPr="00682304">
              <w:rPr>
                <w:b/>
                <w:sz w:val="20"/>
                <w:szCs w:val="20"/>
              </w:rPr>
              <w:t>Si es incorrecta</w:t>
            </w:r>
            <w:r w:rsidRPr="00682304">
              <w:rPr>
                <w:sz w:val="20"/>
                <w:szCs w:val="20"/>
              </w:rPr>
              <w:t xml:space="preserve">, Telmex devolverá la solicitud al CS indicando el motivo de rechazo, para que sea corregida y reenviada nuevamente </w:t>
            </w:r>
            <w:r w:rsidRPr="00980F56">
              <w:rPr>
                <w:sz w:val="20"/>
                <w:szCs w:val="20"/>
              </w:rPr>
              <w:t>a validación</w:t>
            </w:r>
            <w:r w:rsidR="00296964" w:rsidRPr="00060B2E">
              <w:rPr>
                <w:sz w:val="20"/>
                <w:szCs w:val="20"/>
              </w:rPr>
              <w:t>, en caso de haber usado el formato Excel de solicitudes masivas, Telmex devolverá el archivo al CS indicando el motivo de rechazo por cada registro).</w:t>
            </w:r>
          </w:p>
          <w:p w14:paraId="33CFE9AF" w14:textId="478150C0" w:rsidR="00212D55" w:rsidRPr="00D936CA" w:rsidRDefault="00212D55" w:rsidP="00D936CA">
            <w:pPr>
              <w:pStyle w:val="IFTnormal"/>
              <w:rPr>
                <w:sz w:val="20"/>
                <w:szCs w:val="20"/>
              </w:rPr>
            </w:pPr>
            <w:r w:rsidRPr="00D936CA">
              <w:rPr>
                <w:sz w:val="20"/>
                <w:szCs w:val="20"/>
              </w:rPr>
              <w:t xml:space="preserve">La aceptación de la solicitud </w:t>
            </w:r>
            <w:r w:rsidR="00296964" w:rsidRPr="00D936CA">
              <w:rPr>
                <w:sz w:val="20"/>
                <w:szCs w:val="20"/>
              </w:rPr>
              <w:t>provocará</w:t>
            </w:r>
            <w:r w:rsidRPr="00D936CA">
              <w:rPr>
                <w:sz w:val="20"/>
                <w:szCs w:val="20"/>
              </w:rPr>
              <w:t xml:space="preserve"> el Análisis de Factibi</w:t>
            </w:r>
            <w:r w:rsidR="00CA21E6">
              <w:rPr>
                <w:sz w:val="20"/>
                <w:szCs w:val="20"/>
              </w:rPr>
              <w:t>lidad Técnica para el SRI y SRP</w:t>
            </w:r>
            <w:r w:rsidRPr="00D936CA">
              <w:rPr>
                <w:sz w:val="20"/>
                <w:szCs w:val="20"/>
              </w:rPr>
              <w:t xml:space="preserve"> o la habilitación del servicio en caso de </w:t>
            </w:r>
            <w:r w:rsidR="001E6506">
              <w:rPr>
                <w:sz w:val="20"/>
                <w:szCs w:val="20"/>
              </w:rPr>
              <w:t>SRL</w:t>
            </w:r>
            <w:r w:rsidRPr="00D936CA">
              <w:rPr>
                <w:sz w:val="20"/>
                <w:szCs w:val="20"/>
              </w:rPr>
              <w:t>.</w:t>
            </w:r>
          </w:p>
        </w:tc>
      </w:tr>
      <w:tr w:rsidR="00D936CA" w:rsidRPr="00D936CA" w14:paraId="33CFE9B8" w14:textId="77777777" w:rsidTr="00060B2E">
        <w:tc>
          <w:tcPr>
            <w:tcW w:w="1282" w:type="pct"/>
          </w:tcPr>
          <w:p w14:paraId="33CFE9B1" w14:textId="77777777" w:rsidR="00212D55" w:rsidRPr="00D936CA" w:rsidRDefault="00212D55" w:rsidP="00D936CA">
            <w:pPr>
              <w:pStyle w:val="IFTnormal"/>
              <w:jc w:val="left"/>
              <w:rPr>
                <w:b/>
                <w:sz w:val="20"/>
                <w:szCs w:val="20"/>
              </w:rPr>
            </w:pPr>
            <w:bookmarkStart w:id="319" w:name="_Hlk516680092"/>
            <w:r w:rsidRPr="00D936CA">
              <w:rPr>
                <w:b/>
                <w:sz w:val="20"/>
                <w:szCs w:val="20"/>
              </w:rPr>
              <w:t>Factibilidad Técnica</w:t>
            </w:r>
          </w:p>
          <w:p w14:paraId="33CFE9B2" w14:textId="4703BCB4" w:rsidR="00212D55" w:rsidRPr="00D936CA" w:rsidRDefault="00212D55" w:rsidP="00D936CA">
            <w:pPr>
              <w:pStyle w:val="IFTnormal"/>
              <w:jc w:val="left"/>
              <w:rPr>
                <w:sz w:val="20"/>
                <w:szCs w:val="20"/>
              </w:rPr>
            </w:pPr>
            <w:r w:rsidRPr="00D936CA">
              <w:rPr>
                <w:sz w:val="20"/>
                <w:szCs w:val="20"/>
              </w:rPr>
              <w:t xml:space="preserve">(No aplica a </w:t>
            </w:r>
            <w:r w:rsidR="001E6506">
              <w:rPr>
                <w:sz w:val="20"/>
                <w:szCs w:val="20"/>
              </w:rPr>
              <w:t>SRL</w:t>
            </w:r>
            <w:r w:rsidRPr="00D936CA">
              <w:rPr>
                <w:sz w:val="20"/>
                <w:szCs w:val="20"/>
              </w:rPr>
              <w:t>)</w:t>
            </w:r>
          </w:p>
        </w:tc>
        <w:tc>
          <w:tcPr>
            <w:tcW w:w="3718" w:type="pct"/>
            <w:shd w:val="clear" w:color="auto" w:fill="auto"/>
          </w:tcPr>
          <w:p w14:paraId="33CFE9B3" w14:textId="77777777" w:rsidR="00212D55" w:rsidRPr="00D936CA" w:rsidRDefault="00212D55"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1 día hábil:</w:t>
            </w:r>
          </w:p>
          <w:p w14:paraId="33CFE9B4" w14:textId="290D7509" w:rsidR="00212D55" w:rsidRPr="00D936CA" w:rsidRDefault="00212D55" w:rsidP="00D936CA">
            <w:pPr>
              <w:pStyle w:val="IFTnormal"/>
              <w:numPr>
                <w:ilvl w:val="0"/>
                <w:numId w:val="102"/>
              </w:numPr>
              <w:ind w:left="318" w:hanging="318"/>
              <w:rPr>
                <w:sz w:val="20"/>
                <w:szCs w:val="20"/>
              </w:rPr>
            </w:pPr>
            <w:r w:rsidRPr="00D936CA">
              <w:rPr>
                <w:b/>
                <w:sz w:val="20"/>
                <w:szCs w:val="20"/>
              </w:rPr>
              <w:t>Si es factible</w:t>
            </w:r>
            <w:r w:rsidR="000C6F28">
              <w:rPr>
                <w:b/>
                <w:sz w:val="20"/>
                <w:szCs w:val="20"/>
              </w:rPr>
              <w:t xml:space="preserve"> proporcionar el servicio, </w:t>
            </w:r>
            <w:r w:rsidR="000C6F28">
              <w:rPr>
                <w:sz w:val="20"/>
                <w:szCs w:val="20"/>
              </w:rPr>
              <w:t>el CS elegirá el perfil factible que desee contratar y</w:t>
            </w:r>
            <w:r w:rsidRPr="00D936CA">
              <w:rPr>
                <w:sz w:val="20"/>
                <w:szCs w:val="20"/>
              </w:rPr>
              <w:t xml:space="preserve"> se agendará cita para la habilitación del servicio, indicando </w:t>
            </w:r>
            <w:bookmarkStart w:id="320" w:name="_Hlk516681463"/>
            <w:r w:rsidR="000A6910">
              <w:rPr>
                <w:sz w:val="20"/>
                <w:szCs w:val="20"/>
              </w:rPr>
              <w:t>una ventana de tiempo para la atención del servicio (matutino/vespertino)</w:t>
            </w:r>
            <w:bookmarkEnd w:id="320"/>
            <w:r w:rsidRPr="00D936CA">
              <w:rPr>
                <w:sz w:val="20"/>
                <w:szCs w:val="20"/>
              </w:rPr>
              <w:t>.</w:t>
            </w:r>
          </w:p>
          <w:p w14:paraId="33CFE9B6"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Si no es factible proporcionar el servicio</w:t>
            </w:r>
            <w:r w:rsidRPr="00D936CA">
              <w:rPr>
                <w:sz w:val="20"/>
                <w:szCs w:val="20"/>
              </w:rPr>
              <w:t>, se informará al CS la justificación de los motivos descritos en el apartado 1.4.2, así como las evidencias correspondientes.</w:t>
            </w:r>
          </w:p>
          <w:p w14:paraId="33CFE9B7" w14:textId="2F83B103" w:rsidR="00212D55" w:rsidRPr="00D936CA" w:rsidRDefault="00295254" w:rsidP="00D936CA">
            <w:pPr>
              <w:pStyle w:val="IFTnormal"/>
              <w:rPr>
                <w:sz w:val="20"/>
                <w:szCs w:val="20"/>
              </w:rPr>
            </w:pPr>
            <w:r>
              <w:rPr>
                <w:sz w:val="20"/>
                <w:szCs w:val="20"/>
              </w:rPr>
              <w:t>L</w:t>
            </w:r>
            <w:r w:rsidR="00212D55" w:rsidRPr="00D936CA">
              <w:rPr>
                <w:sz w:val="20"/>
                <w:szCs w:val="20"/>
              </w:rPr>
              <w:t>os CS incluyendo</w:t>
            </w:r>
            <w:r w:rsidR="00326B1C">
              <w:rPr>
                <w:sz w:val="20"/>
                <w:szCs w:val="20"/>
              </w:rPr>
              <w:t xml:space="preserve"> a</w:t>
            </w:r>
            <w:r w:rsidR="00212D55" w:rsidRPr="00D936CA">
              <w:rPr>
                <w:sz w:val="20"/>
                <w:szCs w:val="20"/>
              </w:rPr>
              <w:t xml:space="preserve"> Telmex, harán uso de los mismos elementos, herramientas, funcionalidades, información, etc. Una vez validados los campos correspondientes se procederá directamente a la etapa de Habilitación y aprovisionamiento del Servicio.</w:t>
            </w:r>
          </w:p>
        </w:tc>
      </w:tr>
      <w:bookmarkEnd w:id="319"/>
      <w:tr w:rsidR="00D936CA" w:rsidRPr="00D936CA" w14:paraId="33CFE9CC" w14:textId="77777777" w:rsidTr="00212D55">
        <w:tc>
          <w:tcPr>
            <w:tcW w:w="1282" w:type="pct"/>
          </w:tcPr>
          <w:p w14:paraId="33CFE9B9" w14:textId="77777777" w:rsidR="00212D55" w:rsidRPr="00D936CA" w:rsidRDefault="00212D55" w:rsidP="00D936CA">
            <w:pPr>
              <w:pStyle w:val="IFTnormal"/>
              <w:jc w:val="left"/>
              <w:rPr>
                <w:b/>
                <w:sz w:val="20"/>
                <w:szCs w:val="20"/>
              </w:rPr>
            </w:pPr>
            <w:r w:rsidRPr="00D936CA">
              <w:rPr>
                <w:b/>
                <w:sz w:val="20"/>
                <w:szCs w:val="20"/>
              </w:rPr>
              <w:t xml:space="preserve">Habilitación y aprovisionamiento del </w:t>
            </w:r>
            <w:r w:rsidRPr="00D936CA">
              <w:rPr>
                <w:b/>
                <w:sz w:val="20"/>
                <w:szCs w:val="20"/>
              </w:rPr>
              <w:lastRenderedPageBreak/>
              <w:t>Servicio</w:t>
            </w:r>
          </w:p>
        </w:tc>
        <w:tc>
          <w:tcPr>
            <w:tcW w:w="3718" w:type="pct"/>
          </w:tcPr>
          <w:p w14:paraId="33CFE9BA" w14:textId="7B947CD7" w:rsidR="00212D55" w:rsidRPr="00D936CA" w:rsidRDefault="00212D55" w:rsidP="00D936CA">
            <w:pPr>
              <w:pStyle w:val="IFTnormal"/>
              <w:rPr>
                <w:sz w:val="20"/>
                <w:szCs w:val="20"/>
              </w:rPr>
            </w:pPr>
            <w:r w:rsidRPr="00D936CA">
              <w:rPr>
                <w:sz w:val="20"/>
                <w:szCs w:val="20"/>
              </w:rPr>
              <w:lastRenderedPageBreak/>
              <w:t>Telmex llevará a cabo las actuaciones necesarias para habilitar el servicio el día confirmado por el CS. Se</w:t>
            </w:r>
            <w:r w:rsidR="00295254">
              <w:rPr>
                <w:sz w:val="20"/>
                <w:szCs w:val="20"/>
              </w:rPr>
              <w:t xml:space="preserve"> podrá</w:t>
            </w:r>
            <w:r w:rsidRPr="00D936CA">
              <w:rPr>
                <w:sz w:val="20"/>
                <w:szCs w:val="20"/>
              </w:rPr>
              <w:t xml:space="preserve"> abrir un canal continuo de comunicación (vía telefónica) entre Telmex y el CS para dar seguimiento a </w:t>
            </w:r>
            <w:r w:rsidRPr="00D936CA">
              <w:rPr>
                <w:sz w:val="20"/>
                <w:szCs w:val="20"/>
              </w:rPr>
              <w:lastRenderedPageBreak/>
              <w:t>la instalación:</w:t>
            </w:r>
          </w:p>
          <w:p w14:paraId="33CFE9BB" w14:textId="77777777" w:rsidR="00212D55" w:rsidRPr="00D936CA" w:rsidRDefault="00212D55" w:rsidP="00D936CA">
            <w:pPr>
              <w:pStyle w:val="IFTnormal"/>
              <w:rPr>
                <w:sz w:val="20"/>
                <w:szCs w:val="20"/>
              </w:rPr>
            </w:pPr>
            <w:r w:rsidRPr="00D936CA">
              <w:rPr>
                <w:b/>
                <w:sz w:val="20"/>
                <w:szCs w:val="20"/>
              </w:rPr>
              <w:t>Usuarios Existentes:</w:t>
            </w:r>
            <w:r w:rsidRPr="00D936CA">
              <w:rPr>
                <w:sz w:val="20"/>
                <w:szCs w:val="20"/>
              </w:rPr>
              <w:t xml:space="preserve"> Habilitación remota (máximo 5 días hábiles contados a partir del ingreso de la solicitud y 7 días hábiles con provisión de equipo por Telmex).</w:t>
            </w:r>
          </w:p>
          <w:p w14:paraId="33CFE9BC"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Voz:</w:t>
            </w:r>
            <w:r w:rsidRPr="00D936CA">
              <w:rPr>
                <w:sz w:val="20"/>
                <w:szCs w:val="20"/>
              </w:rPr>
              <w:t xml:space="preserve"> Se realizará el cambio administrativo para pasar la facturación al CS. Cuando sea requerido por el CS, se activarán/desactivarán los servicios digitales o de marcaciones solicitados.</w:t>
            </w:r>
          </w:p>
          <w:p w14:paraId="33CFE9BD"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Datos:</w:t>
            </w:r>
            <w:r w:rsidRPr="00D936CA">
              <w:rPr>
                <w:sz w:val="20"/>
                <w:szCs w:val="20"/>
              </w:rPr>
              <w:t xml:space="preserve"> Se habilitará el servicio con el perfil solicitado.</w:t>
            </w:r>
          </w:p>
          <w:p w14:paraId="33CFE9BE" w14:textId="3A8B815A" w:rsidR="00212D55" w:rsidRPr="00D936CA" w:rsidRDefault="00212D55" w:rsidP="00D936CA">
            <w:pPr>
              <w:pStyle w:val="IFTnormal"/>
              <w:numPr>
                <w:ilvl w:val="0"/>
                <w:numId w:val="102"/>
              </w:numPr>
              <w:ind w:left="318" w:hanging="318"/>
              <w:rPr>
                <w:b/>
                <w:sz w:val="20"/>
                <w:szCs w:val="20"/>
              </w:rPr>
            </w:pPr>
            <w:r w:rsidRPr="00D936CA">
              <w:rPr>
                <w:b/>
                <w:sz w:val="20"/>
                <w:szCs w:val="20"/>
              </w:rPr>
              <w:t>Voz + Datos:</w:t>
            </w:r>
            <w:r w:rsidRPr="00D936CA">
              <w:rPr>
                <w:sz w:val="20"/>
                <w:szCs w:val="20"/>
              </w:rPr>
              <w:t xml:space="preserve"> Se realizará el cambio administrativo para el servicio de voz, activando/desactivando los servicios digitales o de marcaciones requeridos y se habilitará el servicio de datos con el perfil solicitado</w:t>
            </w:r>
            <w:r w:rsidR="00295254">
              <w:rPr>
                <w:sz w:val="20"/>
                <w:szCs w:val="20"/>
              </w:rPr>
              <w:t xml:space="preserve"> con la molécula de velocidad que en su caso se hubiera contratado</w:t>
            </w:r>
            <w:r w:rsidRPr="00D936CA">
              <w:rPr>
                <w:sz w:val="20"/>
                <w:szCs w:val="20"/>
              </w:rPr>
              <w:t>.</w:t>
            </w:r>
          </w:p>
          <w:p w14:paraId="33CFE9BF" w14:textId="77777777" w:rsidR="00212D55" w:rsidRPr="00D936CA" w:rsidRDefault="00212D55" w:rsidP="00D936CA">
            <w:pPr>
              <w:pStyle w:val="IFTnormal"/>
              <w:rPr>
                <w:sz w:val="20"/>
                <w:szCs w:val="20"/>
              </w:rPr>
            </w:pPr>
            <w:r w:rsidRPr="00D936CA">
              <w:rPr>
                <w:b/>
                <w:sz w:val="20"/>
                <w:szCs w:val="20"/>
              </w:rPr>
              <w:t xml:space="preserve">Usuarios Nuevos: </w:t>
            </w:r>
            <w:r w:rsidRPr="00D936CA">
              <w:rPr>
                <w:sz w:val="20"/>
                <w:szCs w:val="20"/>
              </w:rPr>
              <w:t xml:space="preserve">Habilitación presencial. </w:t>
            </w:r>
          </w:p>
          <w:p w14:paraId="33CFE9C0" w14:textId="370B9F73" w:rsidR="00212D55" w:rsidRPr="00D936CA" w:rsidRDefault="00212D55" w:rsidP="00D936CA">
            <w:pPr>
              <w:pStyle w:val="IFTnormal"/>
              <w:rPr>
                <w:sz w:val="20"/>
                <w:szCs w:val="20"/>
              </w:rPr>
            </w:pPr>
            <w:r w:rsidRPr="00D936CA">
              <w:rPr>
                <w:sz w:val="20"/>
                <w:szCs w:val="20"/>
              </w:rPr>
              <w:t>Telmex asistirá al domicilio del Usuario Final para instalar el servicio</w:t>
            </w:r>
            <w:r w:rsidRPr="003F2395">
              <w:rPr>
                <w:sz w:val="20"/>
                <w:szCs w:val="20"/>
              </w:rPr>
              <w:t>,</w:t>
            </w:r>
            <w:r w:rsidRPr="00D936CA">
              <w:rPr>
                <w:sz w:val="20"/>
                <w:szCs w:val="20"/>
              </w:rPr>
              <w:t xml:space="preserve"> el CS podrá enviar personal técnico para validar los trabajos realizados por Telmex</w:t>
            </w:r>
            <w:r w:rsidR="00682304">
              <w:rPr>
                <w:rStyle w:val="Refdenotaalpie"/>
                <w:sz w:val="20"/>
                <w:szCs w:val="20"/>
              </w:rPr>
              <w:footnoteReference w:id="16"/>
            </w:r>
            <w:r w:rsidRPr="00D936CA">
              <w:rPr>
                <w:sz w:val="20"/>
                <w:szCs w:val="20"/>
              </w:rPr>
              <w:t>.</w:t>
            </w:r>
          </w:p>
          <w:p w14:paraId="33CFE9C1" w14:textId="77777777" w:rsidR="00212D55" w:rsidRPr="00D936CA" w:rsidRDefault="00212D55" w:rsidP="00D936CA">
            <w:pPr>
              <w:pStyle w:val="IFTnormal"/>
              <w:numPr>
                <w:ilvl w:val="0"/>
                <w:numId w:val="107"/>
              </w:numPr>
              <w:rPr>
                <w:sz w:val="20"/>
                <w:szCs w:val="20"/>
              </w:rPr>
            </w:pPr>
            <w:r w:rsidRPr="00D936CA">
              <w:rPr>
                <w:b/>
                <w:sz w:val="20"/>
                <w:szCs w:val="20"/>
              </w:rPr>
              <w:t>Acometida Existente:</w:t>
            </w:r>
            <w:r w:rsidRPr="00D936CA">
              <w:rPr>
                <w:sz w:val="20"/>
                <w:szCs w:val="20"/>
              </w:rPr>
              <w:t xml:space="preserve"> (máximo 5 días hábiles contados a partir del ingreso de la solicitud y 7 días hábiles con provisión de equipo por Telmex).</w:t>
            </w:r>
          </w:p>
          <w:p w14:paraId="33CFE9C2"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Ejecución de prueba de la acometida: para asegurar que las facilidades permiten la prestación de los servicios.</w:t>
            </w:r>
          </w:p>
          <w:p w14:paraId="33CFE9C3"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Instalación de cableado interior: sólo si fue solicitado por el CS.</w:t>
            </w:r>
          </w:p>
          <w:p w14:paraId="33CFE9C4" w14:textId="5DAC48C9" w:rsidR="00212D55" w:rsidRPr="00D936CA" w:rsidRDefault="00212D55" w:rsidP="00D936CA">
            <w:pPr>
              <w:pStyle w:val="IFTnormal"/>
              <w:numPr>
                <w:ilvl w:val="0"/>
                <w:numId w:val="101"/>
              </w:numPr>
              <w:spacing w:after="120" w:line="240" w:lineRule="auto"/>
              <w:rPr>
                <w:sz w:val="20"/>
                <w:szCs w:val="20"/>
              </w:rPr>
            </w:pPr>
            <w:r w:rsidRPr="00D936CA">
              <w:rPr>
                <w:sz w:val="20"/>
                <w:szCs w:val="20"/>
              </w:rPr>
              <w:t>Entrega e instalación de módem/ONT: sólo si fue solicitado por el CS.</w:t>
            </w:r>
          </w:p>
          <w:p w14:paraId="33CFE9C5"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Habilitación del servicio.</w:t>
            </w:r>
          </w:p>
          <w:p w14:paraId="33CFE9C6" w14:textId="77777777" w:rsidR="00212D55" w:rsidRPr="00D936CA" w:rsidRDefault="00212D55" w:rsidP="00060B2E">
            <w:pPr>
              <w:pStyle w:val="IFTnormal"/>
              <w:ind w:left="318"/>
              <w:rPr>
                <w:sz w:val="20"/>
                <w:szCs w:val="20"/>
              </w:rPr>
            </w:pPr>
            <w:r w:rsidRPr="00D936CA">
              <w:rPr>
                <w:b/>
                <w:sz w:val="20"/>
                <w:szCs w:val="20"/>
              </w:rPr>
              <w:t>Sin Acometida:</w:t>
            </w:r>
            <w:r w:rsidRPr="00D936CA">
              <w:rPr>
                <w:sz w:val="20"/>
                <w:szCs w:val="20"/>
              </w:rPr>
              <w:t xml:space="preserve"> (máximo 7 días hábiles contados a partir del ingreso de la solicitud indistintamente de la provisión de equipo por Telmex).</w:t>
            </w:r>
          </w:p>
          <w:p w14:paraId="33CFE9C7" w14:textId="5EF7B35A" w:rsidR="00212D55" w:rsidRPr="00D936CA" w:rsidRDefault="00212D55" w:rsidP="00D936CA">
            <w:pPr>
              <w:pStyle w:val="IFTnormal"/>
              <w:numPr>
                <w:ilvl w:val="0"/>
                <w:numId w:val="101"/>
              </w:numPr>
              <w:spacing w:after="120" w:line="240" w:lineRule="auto"/>
              <w:rPr>
                <w:sz w:val="20"/>
                <w:szCs w:val="20"/>
              </w:rPr>
            </w:pPr>
            <w:r w:rsidRPr="00D936CA">
              <w:rPr>
                <w:sz w:val="20"/>
                <w:szCs w:val="20"/>
              </w:rPr>
              <w:t>Instalación de la acometida</w:t>
            </w:r>
            <w:r w:rsidR="00386996" w:rsidRPr="00D936CA">
              <w:rPr>
                <w:sz w:val="20"/>
                <w:szCs w:val="20"/>
              </w:rPr>
              <w:t>, incluye el primer CIC.</w:t>
            </w:r>
          </w:p>
          <w:p w14:paraId="33CFE9C8" w14:textId="58D4258B" w:rsidR="00212D55" w:rsidRPr="00D936CA" w:rsidRDefault="00212D55" w:rsidP="00D936CA">
            <w:pPr>
              <w:pStyle w:val="IFTnormal"/>
              <w:numPr>
                <w:ilvl w:val="0"/>
                <w:numId w:val="101"/>
              </w:numPr>
              <w:spacing w:after="120" w:line="240" w:lineRule="auto"/>
              <w:rPr>
                <w:sz w:val="20"/>
                <w:szCs w:val="20"/>
              </w:rPr>
            </w:pPr>
            <w:r w:rsidRPr="00D936CA">
              <w:rPr>
                <w:sz w:val="20"/>
                <w:szCs w:val="20"/>
              </w:rPr>
              <w:t xml:space="preserve">Instalación de </w:t>
            </w:r>
            <w:r w:rsidR="00386996" w:rsidRPr="00D936CA">
              <w:rPr>
                <w:sz w:val="20"/>
                <w:szCs w:val="20"/>
              </w:rPr>
              <w:t>CIC adic</w:t>
            </w:r>
            <w:r w:rsidR="00E700AF" w:rsidRPr="00D936CA">
              <w:rPr>
                <w:sz w:val="20"/>
                <w:szCs w:val="20"/>
              </w:rPr>
              <w:t>i</w:t>
            </w:r>
            <w:r w:rsidR="00386996" w:rsidRPr="00D936CA">
              <w:rPr>
                <w:sz w:val="20"/>
                <w:szCs w:val="20"/>
              </w:rPr>
              <w:t>onal</w:t>
            </w:r>
            <w:r w:rsidRPr="00D936CA">
              <w:rPr>
                <w:sz w:val="20"/>
                <w:szCs w:val="20"/>
              </w:rPr>
              <w:t>: sólo si fue solicitado por el CS.</w:t>
            </w:r>
          </w:p>
          <w:p w14:paraId="33CFE9C9" w14:textId="54DD51DA" w:rsidR="00212D55" w:rsidRPr="00D936CA" w:rsidRDefault="00212D55" w:rsidP="00D936CA">
            <w:pPr>
              <w:pStyle w:val="IFTnormal"/>
              <w:numPr>
                <w:ilvl w:val="0"/>
                <w:numId w:val="101"/>
              </w:numPr>
              <w:spacing w:after="120" w:line="240" w:lineRule="auto"/>
              <w:rPr>
                <w:sz w:val="20"/>
                <w:szCs w:val="20"/>
              </w:rPr>
            </w:pPr>
            <w:r w:rsidRPr="00D936CA">
              <w:rPr>
                <w:sz w:val="20"/>
                <w:szCs w:val="20"/>
              </w:rPr>
              <w:t>Entrega e instalación de módem/ONT: sólo si fue solicitado por el CS.</w:t>
            </w:r>
          </w:p>
          <w:p w14:paraId="33CFE9CA"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lastRenderedPageBreak/>
              <w:t>Habilitación del servicio.</w:t>
            </w:r>
          </w:p>
          <w:p w14:paraId="33CFE9CB" w14:textId="77777777" w:rsidR="00212D55" w:rsidRPr="00D936CA" w:rsidRDefault="00212D55" w:rsidP="00D936CA">
            <w:pPr>
              <w:pStyle w:val="IFTnormal"/>
              <w:spacing w:after="120" w:line="240" w:lineRule="auto"/>
              <w:rPr>
                <w:sz w:val="20"/>
                <w:szCs w:val="20"/>
              </w:rPr>
            </w:pPr>
            <w:r w:rsidRPr="00D936CA">
              <w:rPr>
                <w:sz w:val="20"/>
                <w:szCs w:val="20"/>
              </w:rPr>
              <w:t>Al finalizar la instalación, se realizarán las pruebas de aceptación del servicio.</w:t>
            </w:r>
          </w:p>
        </w:tc>
      </w:tr>
      <w:tr w:rsidR="00D936CA" w:rsidRPr="00D936CA" w14:paraId="33CFE9D0" w14:textId="77777777" w:rsidTr="00212D55">
        <w:tc>
          <w:tcPr>
            <w:tcW w:w="1282" w:type="pct"/>
          </w:tcPr>
          <w:p w14:paraId="33CFE9CD" w14:textId="77777777" w:rsidR="00212D55" w:rsidRPr="00D936CA" w:rsidRDefault="00212D55" w:rsidP="00D936CA">
            <w:pPr>
              <w:pStyle w:val="IFTnormal"/>
              <w:jc w:val="left"/>
              <w:rPr>
                <w:b/>
                <w:sz w:val="20"/>
                <w:szCs w:val="20"/>
              </w:rPr>
            </w:pPr>
            <w:r w:rsidRPr="00D936CA">
              <w:rPr>
                <w:b/>
                <w:sz w:val="20"/>
                <w:szCs w:val="20"/>
              </w:rPr>
              <w:lastRenderedPageBreak/>
              <w:t>Pruebas de Aceptación del Servicio</w:t>
            </w:r>
          </w:p>
        </w:tc>
        <w:tc>
          <w:tcPr>
            <w:tcW w:w="3718" w:type="pct"/>
          </w:tcPr>
          <w:p w14:paraId="33CFE9CE" w14:textId="499A0C7C" w:rsidR="00212D55" w:rsidRPr="00D936CA" w:rsidRDefault="00212D55" w:rsidP="00D936CA">
            <w:pPr>
              <w:pStyle w:val="IFTnormal"/>
              <w:rPr>
                <w:sz w:val="20"/>
                <w:szCs w:val="20"/>
              </w:rPr>
            </w:pPr>
            <w:r w:rsidRPr="00D936CA">
              <w:rPr>
                <w:sz w:val="20"/>
                <w:szCs w:val="20"/>
              </w:rPr>
              <w:t>Una vez habilitado el servicio, se ejecutarán las pruebas correspondientes para validar que el servicio ha sido instalado y habilitado de conformidad con lo requerido por el CS.</w:t>
            </w:r>
          </w:p>
          <w:p w14:paraId="33CFE9CF" w14:textId="00EB955B" w:rsidR="00212D55" w:rsidRPr="00D936CA" w:rsidRDefault="00212D55" w:rsidP="00D936CA">
            <w:pPr>
              <w:pStyle w:val="IFTnormal"/>
              <w:numPr>
                <w:ilvl w:val="0"/>
                <w:numId w:val="102"/>
              </w:numPr>
              <w:ind w:left="318" w:hanging="284"/>
              <w:rPr>
                <w:sz w:val="20"/>
                <w:szCs w:val="20"/>
              </w:rPr>
            </w:pPr>
            <w:r w:rsidRPr="00D936CA">
              <w:rPr>
                <w:sz w:val="20"/>
                <w:szCs w:val="20"/>
              </w:rPr>
              <w:t>Los resultados de las pruebas realizadas se registrarán en el SEG para que el CS pueda consultarlas.</w:t>
            </w:r>
          </w:p>
        </w:tc>
      </w:tr>
      <w:tr w:rsidR="00D936CA" w:rsidRPr="00D936CA" w14:paraId="33CFE9D5" w14:textId="77777777" w:rsidTr="00212D55">
        <w:tc>
          <w:tcPr>
            <w:tcW w:w="1282" w:type="pct"/>
          </w:tcPr>
          <w:p w14:paraId="33CFE9D1" w14:textId="77777777" w:rsidR="00212D55" w:rsidRPr="00D936CA" w:rsidRDefault="00212D55" w:rsidP="00D936CA">
            <w:pPr>
              <w:pStyle w:val="IFTnormal"/>
              <w:jc w:val="left"/>
              <w:rPr>
                <w:b/>
                <w:sz w:val="20"/>
                <w:szCs w:val="20"/>
              </w:rPr>
            </w:pPr>
            <w:r w:rsidRPr="00D936CA">
              <w:rPr>
                <w:b/>
                <w:sz w:val="20"/>
                <w:szCs w:val="20"/>
              </w:rPr>
              <w:t>Facturación</w:t>
            </w:r>
          </w:p>
        </w:tc>
        <w:tc>
          <w:tcPr>
            <w:tcW w:w="3718" w:type="pct"/>
          </w:tcPr>
          <w:p w14:paraId="33CFE9D2" w14:textId="77777777" w:rsidR="00212D55" w:rsidRPr="00D936CA" w:rsidRDefault="00212D55" w:rsidP="00D936CA">
            <w:pPr>
              <w:pStyle w:val="IFTnormal"/>
              <w:rPr>
                <w:sz w:val="20"/>
                <w:szCs w:val="20"/>
              </w:rPr>
            </w:pPr>
            <w:r w:rsidRPr="00D936CA">
              <w:rPr>
                <w:sz w:val="20"/>
                <w:szCs w:val="20"/>
              </w:rPr>
              <w:t>Al corte del mes se realizará la facturación aplicable al servicio:</w:t>
            </w:r>
          </w:p>
          <w:p w14:paraId="33CFE9D3" w14:textId="77777777" w:rsidR="00212D55" w:rsidRPr="00D936CA" w:rsidRDefault="00212D55"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E9D4" w14:textId="77777777" w:rsidR="00212D55" w:rsidRPr="00D936CA" w:rsidRDefault="00212D55"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9D6" w14:textId="77777777" w:rsidR="00837A16" w:rsidRPr="00D936CA" w:rsidRDefault="00837A16" w:rsidP="00D936CA">
      <w:pPr>
        <w:pStyle w:val="IFTnormal"/>
      </w:pPr>
      <w:r w:rsidRPr="00D936CA">
        <w:t>Nota:</w:t>
      </w:r>
    </w:p>
    <w:p w14:paraId="33CFE9D7" w14:textId="2576B1B2" w:rsidR="00212D55" w:rsidRPr="00D936CA" w:rsidRDefault="00212D55" w:rsidP="00D936CA">
      <w:pPr>
        <w:pStyle w:val="IFTnormal"/>
      </w:pPr>
      <w:r w:rsidRPr="00D936CA">
        <w:rPr>
          <w:rFonts w:cs="Arial"/>
        </w:rPr>
        <w:t>Asimismo</w:t>
      </w:r>
      <w:r w:rsidR="00416FFF">
        <w:rPr>
          <w:rFonts w:cs="Arial"/>
        </w:rPr>
        <w:t>,</w:t>
      </w:r>
      <w:r w:rsidRPr="00D936CA">
        <w:rPr>
          <w:rFonts w:cs="Arial"/>
        </w:rPr>
        <w:t xml:space="preserve"> se debe considerar que el cambio de Concesionario deberá ser transparente para el usuario final, es decir, en caso de afectación del servicio deberá considerarse</w:t>
      </w:r>
      <w:r w:rsidR="00427818">
        <w:rPr>
          <w:rFonts w:cs="Arial"/>
        </w:rPr>
        <w:t xml:space="preserve"> como máximo un plazo de 30 min</w:t>
      </w:r>
      <w:r w:rsidR="00A209BE">
        <w:rPr>
          <w:rFonts w:cs="Arial"/>
        </w:rPr>
        <w:t>utos</w:t>
      </w:r>
      <w:r w:rsidRPr="00D936CA">
        <w:rPr>
          <w:rFonts w:cs="Arial"/>
        </w:rPr>
        <w:t>.</w:t>
      </w:r>
    </w:p>
    <w:p w14:paraId="33CFE9D8" w14:textId="77777777" w:rsidR="00837A16" w:rsidRPr="00D936CA" w:rsidRDefault="00837A16" w:rsidP="00D936CA">
      <w:pPr>
        <w:pStyle w:val="IFTnormal"/>
        <w:rPr>
          <w:b/>
        </w:rPr>
      </w:pPr>
      <w:r w:rsidRPr="00D936CA">
        <w:rPr>
          <w:b/>
        </w:rPr>
        <w:t>Citas para la instalación de servicios:</w:t>
      </w:r>
    </w:p>
    <w:p w14:paraId="33CFE9D9" w14:textId="77777777" w:rsidR="00837A16" w:rsidRPr="00D936CA" w:rsidRDefault="00837A16" w:rsidP="00D936CA">
      <w:pPr>
        <w:pStyle w:val="IFTnormal"/>
      </w:pPr>
      <w:r w:rsidRPr="00D936CA">
        <w:t>Este procedimiento indica la forma en la que se agendarán las citas para atender servicios que requieran la presencia de un técnico de Telmex en el domicilio del Usuario Final.</w:t>
      </w:r>
    </w:p>
    <w:tbl>
      <w:tblPr>
        <w:tblStyle w:val="Tablaconcuadrcula"/>
        <w:tblW w:w="0" w:type="auto"/>
        <w:jc w:val="center"/>
        <w:tblLook w:val="04A0" w:firstRow="1" w:lastRow="0" w:firstColumn="1" w:lastColumn="0" w:noHBand="0" w:noVBand="1"/>
      </w:tblPr>
      <w:tblGrid>
        <w:gridCol w:w="3544"/>
        <w:gridCol w:w="6232"/>
      </w:tblGrid>
      <w:tr w:rsidR="00D936CA" w:rsidRPr="00D936CA" w14:paraId="33CFE9DC" w14:textId="77777777" w:rsidTr="00060B2E">
        <w:trPr>
          <w:jc w:val="center"/>
        </w:trPr>
        <w:tc>
          <w:tcPr>
            <w:tcW w:w="3544" w:type="dxa"/>
          </w:tcPr>
          <w:p w14:paraId="33CFE9DA" w14:textId="77777777" w:rsidR="00212D55" w:rsidRPr="00D936CA" w:rsidRDefault="00212D55" w:rsidP="00060B2E">
            <w:pPr>
              <w:pStyle w:val="IFTnormal"/>
              <w:jc w:val="center"/>
              <w:rPr>
                <w:b/>
                <w:sz w:val="20"/>
                <w:szCs w:val="20"/>
              </w:rPr>
            </w:pPr>
            <w:bookmarkStart w:id="321" w:name="_Hlk516228543"/>
            <w:r w:rsidRPr="00D936CA">
              <w:rPr>
                <w:b/>
                <w:sz w:val="20"/>
                <w:szCs w:val="20"/>
              </w:rPr>
              <w:t>Actividad</w:t>
            </w:r>
          </w:p>
        </w:tc>
        <w:tc>
          <w:tcPr>
            <w:tcW w:w="6232" w:type="dxa"/>
          </w:tcPr>
          <w:p w14:paraId="33CFE9DB" w14:textId="77777777" w:rsidR="00212D55" w:rsidRPr="00D936CA" w:rsidRDefault="00212D55" w:rsidP="00060B2E">
            <w:pPr>
              <w:pStyle w:val="IFTnormal"/>
              <w:jc w:val="center"/>
              <w:rPr>
                <w:b/>
                <w:sz w:val="20"/>
                <w:szCs w:val="20"/>
              </w:rPr>
            </w:pPr>
            <w:r w:rsidRPr="00D936CA">
              <w:rPr>
                <w:b/>
                <w:sz w:val="20"/>
                <w:szCs w:val="20"/>
              </w:rPr>
              <w:t>Descripción</w:t>
            </w:r>
          </w:p>
        </w:tc>
      </w:tr>
      <w:tr w:rsidR="00D936CA" w:rsidRPr="00D936CA" w14:paraId="33CFE9DF" w14:textId="77777777" w:rsidTr="00060B2E">
        <w:trPr>
          <w:jc w:val="center"/>
        </w:trPr>
        <w:tc>
          <w:tcPr>
            <w:tcW w:w="3544" w:type="dxa"/>
          </w:tcPr>
          <w:p w14:paraId="33CFE9DD" w14:textId="77777777" w:rsidR="00212D55" w:rsidRPr="00D936CA" w:rsidRDefault="00212D55" w:rsidP="00D936CA">
            <w:pPr>
              <w:pStyle w:val="IFTnormal"/>
              <w:rPr>
                <w:b/>
                <w:sz w:val="20"/>
                <w:szCs w:val="20"/>
              </w:rPr>
            </w:pPr>
            <w:r w:rsidRPr="00D936CA">
              <w:rPr>
                <w:b/>
                <w:sz w:val="20"/>
                <w:szCs w:val="20"/>
              </w:rPr>
              <w:t>Programación de visita</w:t>
            </w:r>
          </w:p>
        </w:tc>
        <w:tc>
          <w:tcPr>
            <w:tcW w:w="6232" w:type="dxa"/>
          </w:tcPr>
          <w:p w14:paraId="33CFE9DE" w14:textId="68741BDC" w:rsidR="00212D55" w:rsidRPr="00D936CA" w:rsidRDefault="00F644F3" w:rsidP="00D936CA">
            <w:pPr>
              <w:pStyle w:val="IFTnormal"/>
              <w:rPr>
                <w:sz w:val="20"/>
                <w:szCs w:val="20"/>
              </w:rPr>
            </w:pPr>
            <w:r>
              <w:rPr>
                <w:sz w:val="20"/>
                <w:szCs w:val="20"/>
              </w:rPr>
              <w:t>D</w:t>
            </w:r>
            <w:r w:rsidRPr="00F644F3">
              <w:rPr>
                <w:sz w:val="20"/>
                <w:szCs w:val="20"/>
              </w:rPr>
              <w:t xml:space="preserve">e acuerdo con las prácticas comerciales de Telmex </w:t>
            </w:r>
            <w:r>
              <w:rPr>
                <w:sz w:val="20"/>
                <w:szCs w:val="20"/>
              </w:rPr>
              <w:t>y</w:t>
            </w:r>
            <w:r w:rsidRPr="00F644F3">
              <w:rPr>
                <w:sz w:val="20"/>
                <w:szCs w:val="20"/>
              </w:rPr>
              <w:t xml:space="preserve"> en los mismos términos y condiciones que</w:t>
            </w:r>
            <w:r>
              <w:rPr>
                <w:sz w:val="20"/>
                <w:szCs w:val="20"/>
              </w:rPr>
              <w:t xml:space="preserve"> </w:t>
            </w:r>
            <w:r w:rsidRPr="00F644F3">
              <w:rPr>
                <w:sz w:val="20"/>
                <w:szCs w:val="20"/>
              </w:rPr>
              <w:t>sus propias operaciones</w:t>
            </w:r>
            <w:r>
              <w:rPr>
                <w:sz w:val="20"/>
                <w:szCs w:val="20"/>
              </w:rPr>
              <w:t>,</w:t>
            </w:r>
            <w:r w:rsidRPr="00F644F3">
              <w:rPr>
                <w:sz w:val="20"/>
                <w:szCs w:val="20"/>
              </w:rPr>
              <w:t xml:space="preserve"> </w:t>
            </w:r>
            <w:r w:rsidR="00212D55" w:rsidRPr="00D936CA">
              <w:rPr>
                <w:sz w:val="20"/>
                <w:szCs w:val="20"/>
              </w:rPr>
              <w:t xml:space="preserve">Telmex proporcionará fecha y </w:t>
            </w:r>
            <w:r w:rsidR="00A52DA2">
              <w:rPr>
                <w:sz w:val="20"/>
                <w:szCs w:val="20"/>
              </w:rPr>
              <w:t xml:space="preserve">una ventana de tiempo para la atención del servicio (matutino/vespertino) </w:t>
            </w:r>
            <w:r w:rsidR="00212D55" w:rsidRPr="00D936CA">
              <w:rPr>
                <w:sz w:val="20"/>
                <w:szCs w:val="20"/>
              </w:rPr>
              <w:t>para</w:t>
            </w:r>
            <w:r>
              <w:rPr>
                <w:sz w:val="20"/>
                <w:szCs w:val="20"/>
              </w:rPr>
              <w:t xml:space="preserve"> la</w:t>
            </w:r>
            <w:r w:rsidR="00212D55" w:rsidRPr="00D936CA">
              <w:rPr>
                <w:sz w:val="20"/>
                <w:szCs w:val="20"/>
              </w:rPr>
              <w:t xml:space="preserve"> instalación una vez confirmada la Factibilidad Técnica</w:t>
            </w:r>
            <w:r>
              <w:rPr>
                <w:sz w:val="20"/>
                <w:szCs w:val="20"/>
              </w:rPr>
              <w:t>,</w:t>
            </w:r>
            <w:r w:rsidR="00D83CCE">
              <w:rPr>
                <w:sz w:val="20"/>
                <w:szCs w:val="20"/>
              </w:rPr>
              <w:t xml:space="preserve"> con base en la capacidad de atención de los técnicos</w:t>
            </w:r>
            <w:r w:rsidR="00274292">
              <w:rPr>
                <w:sz w:val="20"/>
                <w:szCs w:val="20"/>
              </w:rPr>
              <w:t xml:space="preserve"> por </w:t>
            </w:r>
            <w:r w:rsidR="00172605">
              <w:rPr>
                <w:sz w:val="20"/>
                <w:szCs w:val="20"/>
              </w:rPr>
              <w:t>turno.</w:t>
            </w:r>
          </w:p>
        </w:tc>
      </w:tr>
      <w:tr w:rsidR="00D936CA" w:rsidRPr="00D936CA" w14:paraId="33CFE9E2" w14:textId="77777777" w:rsidTr="00060B2E">
        <w:trPr>
          <w:jc w:val="center"/>
        </w:trPr>
        <w:tc>
          <w:tcPr>
            <w:tcW w:w="3544" w:type="dxa"/>
          </w:tcPr>
          <w:p w14:paraId="33CFE9E0" w14:textId="77777777" w:rsidR="00212D55" w:rsidRPr="00D936CA" w:rsidRDefault="00212D55" w:rsidP="00D936CA">
            <w:pPr>
              <w:pStyle w:val="IFTnormal"/>
              <w:rPr>
                <w:b/>
                <w:sz w:val="20"/>
                <w:szCs w:val="20"/>
              </w:rPr>
            </w:pPr>
            <w:r w:rsidRPr="00D936CA">
              <w:rPr>
                <w:b/>
                <w:sz w:val="20"/>
                <w:szCs w:val="20"/>
              </w:rPr>
              <w:t>Confirmación de visita</w:t>
            </w:r>
          </w:p>
        </w:tc>
        <w:tc>
          <w:tcPr>
            <w:tcW w:w="6232" w:type="dxa"/>
          </w:tcPr>
          <w:p w14:paraId="33CFE9E1" w14:textId="5ED2BDE9" w:rsidR="00212D55" w:rsidRPr="00D936CA" w:rsidRDefault="00212D55" w:rsidP="00D936CA">
            <w:pPr>
              <w:pStyle w:val="IFTnormal"/>
              <w:rPr>
                <w:sz w:val="20"/>
                <w:szCs w:val="20"/>
              </w:rPr>
            </w:pPr>
            <w:r w:rsidRPr="00D936CA">
              <w:rPr>
                <w:sz w:val="20"/>
                <w:szCs w:val="20"/>
              </w:rPr>
              <w:t xml:space="preserve">El CS podrá confirmar la fecha y </w:t>
            </w:r>
            <w:r w:rsidR="00A52DA2">
              <w:rPr>
                <w:sz w:val="20"/>
                <w:szCs w:val="20"/>
              </w:rPr>
              <w:t>ventana de tiempo para la atención del servicio (matutino/vespertino)</w:t>
            </w:r>
            <w:r w:rsidRPr="00D936CA">
              <w:rPr>
                <w:sz w:val="20"/>
                <w:szCs w:val="20"/>
              </w:rPr>
              <w:t xml:space="preserve"> proporcionados por Telmex o sugerir </w:t>
            </w:r>
            <w:r w:rsidR="00A52DA2">
              <w:rPr>
                <w:sz w:val="20"/>
                <w:szCs w:val="20"/>
              </w:rPr>
              <w:t>otra ventana</w:t>
            </w:r>
            <w:r w:rsidRPr="00D936CA">
              <w:rPr>
                <w:sz w:val="20"/>
                <w:szCs w:val="20"/>
              </w:rPr>
              <w:t xml:space="preserve"> y/o fecha para instalación.</w:t>
            </w:r>
          </w:p>
        </w:tc>
      </w:tr>
      <w:tr w:rsidR="00D936CA" w:rsidRPr="00D936CA" w14:paraId="33CFE9E5" w14:textId="77777777" w:rsidTr="00060B2E">
        <w:trPr>
          <w:jc w:val="center"/>
        </w:trPr>
        <w:tc>
          <w:tcPr>
            <w:tcW w:w="3544" w:type="dxa"/>
          </w:tcPr>
          <w:p w14:paraId="33CFE9E3" w14:textId="77777777" w:rsidR="00212D55" w:rsidRPr="00D936CA" w:rsidRDefault="00212D55" w:rsidP="00D936CA">
            <w:pPr>
              <w:pStyle w:val="IFTnormal"/>
              <w:rPr>
                <w:b/>
                <w:sz w:val="20"/>
                <w:szCs w:val="20"/>
              </w:rPr>
            </w:pPr>
            <w:r w:rsidRPr="00D936CA">
              <w:rPr>
                <w:b/>
                <w:sz w:val="20"/>
                <w:szCs w:val="20"/>
              </w:rPr>
              <w:t>Reprogramación de visita</w:t>
            </w:r>
          </w:p>
        </w:tc>
        <w:tc>
          <w:tcPr>
            <w:tcW w:w="6232" w:type="dxa"/>
          </w:tcPr>
          <w:p w14:paraId="33CFE9E4" w14:textId="55CC8E27" w:rsidR="00212D55" w:rsidRPr="00D936CA" w:rsidRDefault="00212D55" w:rsidP="00D936CA">
            <w:pPr>
              <w:pStyle w:val="IFTnormal"/>
              <w:rPr>
                <w:sz w:val="20"/>
                <w:szCs w:val="20"/>
              </w:rPr>
            </w:pPr>
            <w:r w:rsidRPr="00D936CA">
              <w:rPr>
                <w:sz w:val="20"/>
                <w:szCs w:val="20"/>
              </w:rPr>
              <w:t>El CS tendrá hasta 3 oportunidades de programar la instalación antes de que Telmex asista por primera vez al domicilio del Usuario Final</w:t>
            </w:r>
            <w:r w:rsidR="00D83CCE">
              <w:rPr>
                <w:sz w:val="20"/>
                <w:szCs w:val="20"/>
              </w:rPr>
              <w:t xml:space="preserve"> </w:t>
            </w:r>
            <w:r w:rsidR="00D83CCE" w:rsidRPr="00A350CB">
              <w:rPr>
                <w:sz w:val="20"/>
                <w:szCs w:val="20"/>
              </w:rPr>
              <w:t xml:space="preserve">para lo cual deberá dar aviso a </w:t>
            </w:r>
            <w:r w:rsidR="00D83CCE" w:rsidRPr="00A350CB">
              <w:rPr>
                <w:sz w:val="20"/>
                <w:szCs w:val="20"/>
              </w:rPr>
              <w:lastRenderedPageBreak/>
              <w:t>Telmex con al menos 48 horas de anticipación</w:t>
            </w:r>
            <w:r w:rsidRPr="00D936CA">
              <w:rPr>
                <w:sz w:val="20"/>
                <w:szCs w:val="20"/>
              </w:rPr>
              <w:t>, si la fecha de programación excede los plazos estipulados en la Oferta de Referencia, dicha instalación no se considerará para la evaluación de los indicadores de calidad.</w:t>
            </w:r>
          </w:p>
        </w:tc>
      </w:tr>
      <w:tr w:rsidR="00D936CA" w:rsidRPr="00D936CA" w14:paraId="33CFE9F1" w14:textId="77777777" w:rsidTr="00060B2E">
        <w:trPr>
          <w:jc w:val="center"/>
        </w:trPr>
        <w:tc>
          <w:tcPr>
            <w:tcW w:w="3544" w:type="dxa"/>
          </w:tcPr>
          <w:p w14:paraId="33CFE9E6" w14:textId="77777777" w:rsidR="00212D55" w:rsidRPr="00D936CA" w:rsidRDefault="00212D55" w:rsidP="00D936CA">
            <w:pPr>
              <w:pStyle w:val="IFTnormal"/>
              <w:rPr>
                <w:b/>
                <w:sz w:val="20"/>
                <w:szCs w:val="20"/>
              </w:rPr>
            </w:pPr>
            <w:r w:rsidRPr="00D936CA">
              <w:rPr>
                <w:b/>
                <w:sz w:val="20"/>
                <w:szCs w:val="20"/>
              </w:rPr>
              <w:lastRenderedPageBreak/>
              <w:t>Visita en falso</w:t>
            </w:r>
          </w:p>
        </w:tc>
        <w:tc>
          <w:tcPr>
            <w:tcW w:w="6232" w:type="dxa"/>
          </w:tcPr>
          <w:p w14:paraId="33CFE9E7" w14:textId="77777777" w:rsidR="00212D55" w:rsidRPr="00D936CA" w:rsidRDefault="00212D55" w:rsidP="00D936CA">
            <w:pPr>
              <w:pStyle w:val="IFTnormal"/>
              <w:rPr>
                <w:sz w:val="20"/>
                <w:szCs w:val="20"/>
              </w:rPr>
            </w:pPr>
            <w:r w:rsidRPr="00D936CA">
              <w:rPr>
                <w:b/>
                <w:sz w:val="20"/>
                <w:szCs w:val="20"/>
              </w:rPr>
              <w:t>Atribuible a CS o Usuario Final</w:t>
            </w:r>
            <w:r w:rsidRPr="00D936CA">
              <w:rPr>
                <w:sz w:val="20"/>
                <w:szCs w:val="20"/>
              </w:rPr>
              <w:t xml:space="preserve">. En caso de que Telmex se presente en el domicilio del Usuario Final y no sea factible probar la acometida y habilitar el servicio por razones asociadas al usuario o al CS, Telmex desde el sitio (fuera del domicilio) contactará al CS para informar que el usuario no lo atendió o no se encontró en el domicilio, Telmex esperará al </w:t>
            </w:r>
            <w:r w:rsidRPr="000A6910">
              <w:rPr>
                <w:sz w:val="20"/>
                <w:szCs w:val="20"/>
              </w:rPr>
              <w:t>menos 15 minutos</w:t>
            </w:r>
            <w:r w:rsidRPr="00D936CA">
              <w:rPr>
                <w:sz w:val="20"/>
                <w:szCs w:val="20"/>
              </w:rPr>
              <w:t xml:space="preserve"> para realizar la prueba y habilitar el servicio, el CS tendrá ese tiempo para solucionar la situación con su usuario. Si durante este periodo no fue posible ejecutar la prueba de la cometida y habilitación del servicio, el CS deberá:</w:t>
            </w:r>
          </w:p>
          <w:p w14:paraId="33CFE9E8" w14:textId="77777777" w:rsidR="00212D55" w:rsidRPr="00D936CA" w:rsidRDefault="00212D55" w:rsidP="00D936CA">
            <w:pPr>
              <w:pStyle w:val="IFTnormal"/>
              <w:numPr>
                <w:ilvl w:val="0"/>
                <w:numId w:val="103"/>
              </w:numPr>
              <w:rPr>
                <w:sz w:val="20"/>
                <w:szCs w:val="20"/>
              </w:rPr>
            </w:pPr>
            <w:r w:rsidRPr="00D936CA">
              <w:rPr>
                <w:sz w:val="20"/>
                <w:szCs w:val="20"/>
              </w:rPr>
              <w:t>Cubrir los gastos de la visita en falso.</w:t>
            </w:r>
          </w:p>
          <w:p w14:paraId="33CFE9E9" w14:textId="77777777" w:rsidR="00212D55" w:rsidRPr="00D936CA" w:rsidRDefault="00212D55" w:rsidP="00D936CA">
            <w:pPr>
              <w:pStyle w:val="IFTnormal"/>
              <w:numPr>
                <w:ilvl w:val="0"/>
                <w:numId w:val="103"/>
              </w:numPr>
              <w:rPr>
                <w:sz w:val="20"/>
                <w:szCs w:val="20"/>
              </w:rPr>
            </w:pPr>
            <w:r w:rsidRPr="00D936CA">
              <w:rPr>
                <w:sz w:val="20"/>
                <w:szCs w:val="20"/>
              </w:rPr>
              <w:t>Indicar si desea realizar la reprogramación de la prueba y habilitación del servicio.</w:t>
            </w:r>
          </w:p>
          <w:p w14:paraId="33CFE9EA" w14:textId="77777777" w:rsidR="00212D55" w:rsidRPr="00D936CA" w:rsidRDefault="00212D55" w:rsidP="00D936CA">
            <w:pPr>
              <w:pStyle w:val="IFTnormal"/>
              <w:numPr>
                <w:ilvl w:val="0"/>
                <w:numId w:val="103"/>
              </w:numPr>
              <w:rPr>
                <w:sz w:val="20"/>
                <w:szCs w:val="20"/>
              </w:rPr>
            </w:pPr>
            <w:r w:rsidRPr="00D936CA">
              <w:rPr>
                <w:sz w:val="20"/>
                <w:szCs w:val="20"/>
              </w:rPr>
              <w:t>Cancelar la solicitud en caso de que desee rechazar el servicio.</w:t>
            </w:r>
          </w:p>
          <w:p w14:paraId="33CFE9EB" w14:textId="23764756" w:rsidR="00212D55" w:rsidRPr="00D936CA" w:rsidRDefault="00212D55" w:rsidP="00D936CA">
            <w:pPr>
              <w:pStyle w:val="IFTnormal"/>
              <w:rPr>
                <w:sz w:val="20"/>
                <w:szCs w:val="20"/>
              </w:rPr>
            </w:pPr>
            <w:r w:rsidRPr="00D936CA">
              <w:rPr>
                <w:b/>
                <w:sz w:val="20"/>
                <w:szCs w:val="20"/>
              </w:rPr>
              <w:t>Atribuible a Telmex.</w:t>
            </w:r>
            <w:r w:rsidRPr="00D936CA">
              <w:rPr>
                <w:sz w:val="20"/>
                <w:szCs w:val="20"/>
              </w:rPr>
              <w:t xml:space="preserve"> Si por causas atribuibles a Telmex no fue factible realizar la prueba de la acometida y habilitación del servicio, se informará al CS a través del SEG la justificación de los motivos descritos en el apartado 1.4.2, y Telmex deberá:</w:t>
            </w:r>
          </w:p>
          <w:p w14:paraId="33CFE9ED" w14:textId="43B561D0" w:rsidR="00212D55" w:rsidRPr="00D936CA" w:rsidRDefault="00682304" w:rsidP="00D936CA">
            <w:pPr>
              <w:pStyle w:val="IFTnormal"/>
              <w:numPr>
                <w:ilvl w:val="0"/>
                <w:numId w:val="104"/>
              </w:numPr>
              <w:rPr>
                <w:sz w:val="20"/>
                <w:szCs w:val="20"/>
              </w:rPr>
            </w:pPr>
            <w:r>
              <w:rPr>
                <w:sz w:val="20"/>
                <w:szCs w:val="20"/>
              </w:rPr>
              <w:t xml:space="preserve">Tramitar en tiempo y forma la </w:t>
            </w:r>
            <w:r w:rsidR="00212D55" w:rsidRPr="00D936CA">
              <w:rPr>
                <w:sz w:val="20"/>
                <w:szCs w:val="20"/>
              </w:rPr>
              <w:t xml:space="preserve">nueva fecha </w:t>
            </w:r>
            <w:r>
              <w:rPr>
                <w:sz w:val="20"/>
                <w:szCs w:val="20"/>
              </w:rPr>
              <w:t xml:space="preserve">propuesta por el CS </w:t>
            </w:r>
            <w:r w:rsidR="00212D55" w:rsidRPr="00D936CA">
              <w:rPr>
                <w:sz w:val="20"/>
                <w:szCs w:val="20"/>
              </w:rPr>
              <w:t>para concluir la habilitación del servicio.</w:t>
            </w:r>
          </w:p>
          <w:p w14:paraId="33CFE9EE" w14:textId="77777777" w:rsidR="00212D55" w:rsidRPr="00D936CA" w:rsidRDefault="00212D55" w:rsidP="00D936CA">
            <w:pPr>
              <w:pStyle w:val="IFTnormal"/>
              <w:rPr>
                <w:sz w:val="20"/>
                <w:szCs w:val="20"/>
              </w:rPr>
            </w:pPr>
            <w:r w:rsidRPr="00D936CA">
              <w:rPr>
                <w:b/>
                <w:sz w:val="20"/>
                <w:szCs w:val="20"/>
              </w:rPr>
              <w:t>Tercer visita atribuible a Usuario Final.</w:t>
            </w:r>
            <w:r w:rsidRPr="00D936CA">
              <w:rPr>
                <w:sz w:val="20"/>
                <w:szCs w:val="20"/>
              </w:rPr>
              <w:t xml:space="preserve"> Si no fue posible la instalación de la acometida en la tercera visita o durante los días hábiles programados por razones asociadas al usuario, el CS deberá:</w:t>
            </w:r>
          </w:p>
          <w:p w14:paraId="33CFE9EF" w14:textId="77777777" w:rsidR="00212D55" w:rsidRPr="00D936CA" w:rsidRDefault="00212D55" w:rsidP="00D936CA">
            <w:pPr>
              <w:pStyle w:val="IFTnormal"/>
              <w:numPr>
                <w:ilvl w:val="0"/>
                <w:numId w:val="105"/>
              </w:numPr>
              <w:rPr>
                <w:sz w:val="20"/>
                <w:szCs w:val="20"/>
              </w:rPr>
            </w:pPr>
            <w:r w:rsidRPr="00D936CA">
              <w:rPr>
                <w:sz w:val="20"/>
                <w:szCs w:val="20"/>
              </w:rPr>
              <w:t>Reingresar la solicitud en caso de que desee programar nuevamente la instalación.</w:t>
            </w:r>
          </w:p>
          <w:p w14:paraId="34812EEA" w14:textId="77777777" w:rsidR="00212D55" w:rsidRDefault="00212D55" w:rsidP="00D936CA">
            <w:pPr>
              <w:pStyle w:val="IFTnormal"/>
              <w:numPr>
                <w:ilvl w:val="0"/>
                <w:numId w:val="105"/>
              </w:numPr>
              <w:rPr>
                <w:sz w:val="20"/>
                <w:szCs w:val="20"/>
              </w:rPr>
            </w:pPr>
            <w:r w:rsidRPr="00D936CA">
              <w:rPr>
                <w:sz w:val="20"/>
                <w:szCs w:val="20"/>
              </w:rPr>
              <w:t>Cancelar la solicitud en caso de que desee rechazar el servicio.</w:t>
            </w:r>
          </w:p>
          <w:p w14:paraId="33CFE9F0" w14:textId="1B5A8E4A" w:rsidR="00345AD2" w:rsidRPr="00D936CA" w:rsidRDefault="00345AD2" w:rsidP="00060B2E">
            <w:pPr>
              <w:pStyle w:val="IFTnormal"/>
              <w:rPr>
                <w:sz w:val="20"/>
                <w:szCs w:val="20"/>
              </w:rPr>
            </w:pPr>
            <w:bookmarkStart w:id="322" w:name="_Hlk516486181"/>
            <w:bookmarkStart w:id="323" w:name="_Hlk516681962"/>
            <w:r w:rsidRPr="00A350CB">
              <w:rPr>
                <w:sz w:val="20"/>
                <w:szCs w:val="20"/>
              </w:rPr>
              <w:t xml:space="preserve">En caso de que el CS no reingrese la solicitud o la cancele en </w:t>
            </w:r>
            <w:r w:rsidRPr="00A350CB">
              <w:rPr>
                <w:sz w:val="20"/>
                <w:szCs w:val="20"/>
              </w:rPr>
              <w:lastRenderedPageBreak/>
              <w:t xml:space="preserve">un plazo máximo de </w:t>
            </w:r>
            <w:r w:rsidR="00A350CB" w:rsidRPr="00060B2E">
              <w:rPr>
                <w:sz w:val="20"/>
                <w:szCs w:val="20"/>
              </w:rPr>
              <w:t>2</w:t>
            </w:r>
            <w:r w:rsidRPr="00A350CB">
              <w:rPr>
                <w:sz w:val="20"/>
                <w:szCs w:val="20"/>
              </w:rPr>
              <w:t xml:space="preserve"> días hábiles, se entenderá que no requiere el servicio y se cancelará la solicitud</w:t>
            </w:r>
            <w:bookmarkEnd w:id="322"/>
            <w:r w:rsidRPr="00A350CB">
              <w:rPr>
                <w:sz w:val="20"/>
                <w:szCs w:val="20"/>
              </w:rPr>
              <w:t>.</w:t>
            </w:r>
            <w:bookmarkEnd w:id="323"/>
          </w:p>
        </w:tc>
      </w:tr>
    </w:tbl>
    <w:bookmarkEnd w:id="321"/>
    <w:p w14:paraId="33CFE9F3" w14:textId="77777777" w:rsidR="00212D55" w:rsidRPr="00D936CA" w:rsidRDefault="00212D55" w:rsidP="00D936CA">
      <w:pPr>
        <w:pStyle w:val="IFTnormal"/>
        <w:rPr>
          <w:b/>
        </w:rPr>
      </w:pPr>
      <w:r w:rsidRPr="00D936CA">
        <w:rPr>
          <w:b/>
        </w:rPr>
        <w:lastRenderedPageBreak/>
        <w:t>Nota:</w:t>
      </w:r>
    </w:p>
    <w:p w14:paraId="33CFE9F4" w14:textId="21603E58" w:rsidR="00212D55" w:rsidRPr="00D936CA" w:rsidRDefault="00212D55" w:rsidP="00D936CA">
      <w:pPr>
        <w:pStyle w:val="IFTnormal"/>
      </w:pPr>
      <w:r w:rsidRPr="00D936CA">
        <w:t xml:space="preserve">El registro, modificación y confirmación de fechas y </w:t>
      </w:r>
      <w:r w:rsidR="004D6AE4">
        <w:t>ventanas de atención</w:t>
      </w:r>
      <w:r w:rsidR="004D6AE4" w:rsidRPr="00D936CA">
        <w:t xml:space="preserve"> </w:t>
      </w:r>
      <w:r w:rsidRPr="00D936CA">
        <w:t xml:space="preserve">se hará a través del SEG </w:t>
      </w:r>
      <w:r w:rsidR="00A209BE">
        <w:t xml:space="preserve"> </w:t>
      </w:r>
      <w:r w:rsidRPr="00941E7C">
        <w:t>o al 01800-4040734.</w:t>
      </w:r>
    </w:p>
    <w:p w14:paraId="33CFE9F5" w14:textId="77777777" w:rsidR="00837A16" w:rsidRPr="00D936CA" w:rsidRDefault="00837A16" w:rsidP="00D936CA">
      <w:pPr>
        <w:pStyle w:val="IFTnormal"/>
      </w:pPr>
    </w:p>
    <w:p w14:paraId="33CFE9F6" w14:textId="739DA980" w:rsidR="00837A16" w:rsidRPr="00D936CA" w:rsidRDefault="00837A16" w:rsidP="00D936CA">
      <w:pPr>
        <w:pStyle w:val="IFTnormal"/>
        <w:rPr>
          <w:b/>
          <w:u w:val="single"/>
        </w:rPr>
      </w:pPr>
      <w:r w:rsidRPr="00D936CA">
        <w:rPr>
          <w:b/>
          <w:u w:val="single"/>
        </w:rPr>
        <w:t>Procedimiento de modificación de</w:t>
      </w:r>
      <w:r w:rsidR="00CA21E6">
        <w:rPr>
          <w:b/>
          <w:u w:val="single"/>
        </w:rPr>
        <w:t xml:space="preserve">l </w:t>
      </w:r>
      <w:r w:rsidR="001E6506">
        <w:rPr>
          <w:b/>
          <w:u w:val="single"/>
        </w:rPr>
        <w:t>SRL</w:t>
      </w:r>
      <w:r w:rsidR="00CA21E6">
        <w:rPr>
          <w:b/>
          <w:u w:val="single"/>
        </w:rPr>
        <w:t>, SRI y SRP</w:t>
      </w:r>
      <w:r w:rsidRPr="00D936CA">
        <w:rPr>
          <w:b/>
          <w:u w:val="single"/>
        </w:rPr>
        <w:t xml:space="preserve"> </w:t>
      </w:r>
    </w:p>
    <w:p w14:paraId="33CFE9F7" w14:textId="7CE8586A" w:rsidR="00837A16" w:rsidRPr="00D936CA" w:rsidRDefault="00837A16" w:rsidP="00D936CA">
      <w:pPr>
        <w:pStyle w:val="IFTnormal"/>
      </w:pPr>
      <w:r w:rsidRPr="00D936CA">
        <w:t>El objetivo y alcance de este procedimiento es definir los pasos y actividades a desarrollar por parte de Telmex y del CS, a fin de realizar la modificación de l</w:t>
      </w:r>
      <w:r w:rsidR="00CA21E6">
        <w:t xml:space="preserve">os servicios de </w:t>
      </w:r>
      <w:r w:rsidR="001E6506">
        <w:t>SRL</w:t>
      </w:r>
      <w:r w:rsidR="00CA21E6">
        <w:t>, SRI y SRP</w:t>
      </w:r>
      <w:r w:rsidRPr="00D936CA">
        <w:t xml:space="preserve"> a petición del CS. Las fases en que se divide este procedimiento son: </w:t>
      </w:r>
      <w:r w:rsidRPr="00D936CA">
        <w:rPr>
          <w:b/>
        </w:rPr>
        <w:t>(i)</w:t>
      </w:r>
      <w:r w:rsidRPr="00D936CA">
        <w:t xml:space="preserve"> Entrega y validación de la solicitud para que el CS manifieste su intención de modificar las características de algún servicio contratado, y la evaluación por parte de Telmex para validar que la solicitud cuenta con todos los elementos para procesar las modificaciones requeridas; </w:t>
      </w:r>
      <w:r w:rsidRPr="00D936CA">
        <w:rPr>
          <w:b/>
        </w:rPr>
        <w:t>(ii)</w:t>
      </w:r>
      <w:r w:rsidRPr="00D936CA">
        <w:t xml:space="preserve"> Análisis de Factibilidad Técnica a fin de que Telmex pueda verificar que cuenta con los elementos para atender las modificaciones solicitadas (no aplica para </w:t>
      </w:r>
      <w:r w:rsidR="001E6506">
        <w:t>SRL</w:t>
      </w:r>
      <w:r w:rsidRPr="00D936CA">
        <w:t xml:space="preserve">); y </w:t>
      </w:r>
      <w:r w:rsidRPr="00D936CA">
        <w:rPr>
          <w:b/>
        </w:rPr>
        <w:t>(iii)</w:t>
      </w:r>
      <w:r w:rsidRPr="00D936CA">
        <w:t xml:space="preserve"> Habilitación y aprovisionamiento de las modificaciones, que detonará los procesos de pruebas de entrega y facturación.</w:t>
      </w:r>
    </w:p>
    <w:tbl>
      <w:tblPr>
        <w:tblStyle w:val="Tablaconcuadrcula"/>
        <w:tblW w:w="5000" w:type="pct"/>
        <w:tblLook w:val="04A0" w:firstRow="1" w:lastRow="0" w:firstColumn="1" w:lastColumn="0" w:noHBand="0" w:noVBand="1"/>
      </w:tblPr>
      <w:tblGrid>
        <w:gridCol w:w="2636"/>
        <w:gridCol w:w="7645"/>
      </w:tblGrid>
      <w:tr w:rsidR="00D936CA" w:rsidRPr="00D936CA" w14:paraId="33CFE9FA" w14:textId="77777777" w:rsidTr="00212D55">
        <w:tc>
          <w:tcPr>
            <w:tcW w:w="1282" w:type="pct"/>
          </w:tcPr>
          <w:p w14:paraId="33CFE9F8" w14:textId="77777777" w:rsidR="00212D55" w:rsidRPr="00D936CA" w:rsidRDefault="00212D55" w:rsidP="00D936CA">
            <w:pPr>
              <w:pStyle w:val="IFTnormal"/>
              <w:jc w:val="center"/>
              <w:rPr>
                <w:b/>
                <w:sz w:val="20"/>
                <w:szCs w:val="20"/>
              </w:rPr>
            </w:pPr>
            <w:r w:rsidRPr="00D936CA">
              <w:rPr>
                <w:b/>
                <w:sz w:val="20"/>
                <w:szCs w:val="20"/>
              </w:rPr>
              <w:t>Etapa</w:t>
            </w:r>
          </w:p>
        </w:tc>
        <w:tc>
          <w:tcPr>
            <w:tcW w:w="3718" w:type="pct"/>
          </w:tcPr>
          <w:p w14:paraId="33CFE9F9" w14:textId="77777777" w:rsidR="00212D55" w:rsidRPr="00D936CA" w:rsidRDefault="00212D55" w:rsidP="00D936CA">
            <w:pPr>
              <w:pStyle w:val="IFTnormal"/>
              <w:jc w:val="center"/>
              <w:rPr>
                <w:b/>
                <w:sz w:val="20"/>
                <w:szCs w:val="20"/>
              </w:rPr>
            </w:pPr>
            <w:r w:rsidRPr="00D936CA">
              <w:rPr>
                <w:b/>
                <w:sz w:val="20"/>
                <w:szCs w:val="20"/>
              </w:rPr>
              <w:t>Descripción</w:t>
            </w:r>
          </w:p>
        </w:tc>
      </w:tr>
      <w:tr w:rsidR="00D936CA" w:rsidRPr="00D936CA" w14:paraId="33CFEA00" w14:textId="77777777" w:rsidTr="00212D55">
        <w:tc>
          <w:tcPr>
            <w:tcW w:w="1282" w:type="pct"/>
          </w:tcPr>
          <w:p w14:paraId="33CFE9FB" w14:textId="77777777" w:rsidR="00212D55" w:rsidRPr="00D936CA" w:rsidRDefault="00212D55" w:rsidP="00D936CA">
            <w:pPr>
              <w:pStyle w:val="IFTnormal"/>
              <w:jc w:val="left"/>
              <w:rPr>
                <w:b/>
                <w:sz w:val="20"/>
                <w:szCs w:val="20"/>
              </w:rPr>
            </w:pPr>
            <w:r w:rsidRPr="00D936CA">
              <w:rPr>
                <w:b/>
                <w:sz w:val="20"/>
                <w:szCs w:val="20"/>
              </w:rPr>
              <w:t>Envío de solicitud</w:t>
            </w:r>
          </w:p>
        </w:tc>
        <w:tc>
          <w:tcPr>
            <w:tcW w:w="3718" w:type="pct"/>
          </w:tcPr>
          <w:p w14:paraId="33CFE9FC" w14:textId="0D85632D" w:rsidR="00212D55" w:rsidRPr="00D936CA" w:rsidRDefault="00212D55" w:rsidP="00D936CA">
            <w:pPr>
              <w:pStyle w:val="IFTnormal"/>
              <w:rPr>
                <w:sz w:val="20"/>
                <w:szCs w:val="20"/>
              </w:rPr>
            </w:pPr>
            <w:r w:rsidRPr="00D936CA">
              <w:rPr>
                <w:sz w:val="20"/>
                <w:szCs w:val="20"/>
              </w:rPr>
              <w:t xml:space="preserve">El CS deberá presentar sus solicitudes a través del SEG (podrá </w:t>
            </w:r>
            <w:r w:rsidR="00416FFF">
              <w:rPr>
                <w:sz w:val="20"/>
                <w:szCs w:val="20"/>
              </w:rPr>
              <w:t>hacerlo</w:t>
            </w:r>
            <w:r w:rsidR="00416FFF" w:rsidRPr="00D936CA">
              <w:rPr>
                <w:sz w:val="20"/>
                <w:szCs w:val="20"/>
              </w:rPr>
              <w:t xml:space="preserve"> </w:t>
            </w:r>
            <w:r w:rsidR="009F4DE0" w:rsidRPr="00D936CA">
              <w:rPr>
                <w:sz w:val="20"/>
                <w:szCs w:val="20"/>
              </w:rPr>
              <w:t>de acuerdo</w:t>
            </w:r>
            <w:r w:rsidR="00A30518" w:rsidRPr="00D936CA">
              <w:rPr>
                <w:sz w:val="20"/>
                <w:szCs w:val="20"/>
              </w:rPr>
              <w:t xml:space="preserve"> a </w:t>
            </w:r>
            <w:r w:rsidR="00221DB5">
              <w:rPr>
                <w:sz w:val="20"/>
                <w:szCs w:val="20"/>
              </w:rPr>
              <w:t xml:space="preserve">lo establecido en </w:t>
            </w:r>
            <w:r w:rsidR="00A30518" w:rsidRPr="00D936CA">
              <w:rPr>
                <w:sz w:val="20"/>
                <w:szCs w:val="20"/>
              </w:rPr>
              <w:t>el numeral 1.8)</w:t>
            </w:r>
            <w:r w:rsidRPr="00D936CA">
              <w:rPr>
                <w:sz w:val="20"/>
                <w:szCs w:val="20"/>
              </w:rPr>
              <w:t>, especificando el NIS-Referencia del servicio a modificar:</w:t>
            </w:r>
          </w:p>
          <w:p w14:paraId="33CFE9FD" w14:textId="100DF854" w:rsidR="00212D55" w:rsidRPr="00D936CA" w:rsidRDefault="00212D55" w:rsidP="00D936CA">
            <w:pPr>
              <w:pStyle w:val="IFTnormal"/>
              <w:numPr>
                <w:ilvl w:val="0"/>
                <w:numId w:val="102"/>
              </w:numPr>
              <w:spacing w:after="120" w:line="240" w:lineRule="auto"/>
              <w:ind w:left="318" w:hanging="284"/>
              <w:rPr>
                <w:sz w:val="20"/>
                <w:szCs w:val="20"/>
              </w:rPr>
            </w:pPr>
            <w:r w:rsidRPr="00D936CA">
              <w:rPr>
                <w:sz w:val="20"/>
                <w:szCs w:val="20"/>
              </w:rPr>
              <w:t>Seleccionar nuevo perfil de datos</w:t>
            </w:r>
            <w:r w:rsidR="00453335">
              <w:rPr>
                <w:sz w:val="20"/>
                <w:szCs w:val="20"/>
              </w:rPr>
              <w:t xml:space="preserve"> y/o Paquete a contratar</w:t>
            </w:r>
            <w:r w:rsidRPr="00D936CA">
              <w:rPr>
                <w:sz w:val="20"/>
                <w:szCs w:val="20"/>
              </w:rPr>
              <w:t>.</w:t>
            </w:r>
          </w:p>
          <w:p w14:paraId="33CFE9FE" w14:textId="77777777" w:rsidR="00212D55" w:rsidRPr="00D936CA" w:rsidRDefault="00212D55" w:rsidP="00D936CA">
            <w:pPr>
              <w:pStyle w:val="IFTnormal"/>
              <w:numPr>
                <w:ilvl w:val="0"/>
                <w:numId w:val="102"/>
              </w:numPr>
              <w:spacing w:after="120" w:line="240" w:lineRule="auto"/>
              <w:ind w:left="318" w:hanging="284"/>
              <w:rPr>
                <w:sz w:val="20"/>
                <w:szCs w:val="20"/>
              </w:rPr>
            </w:pPr>
            <w:r w:rsidRPr="00D936CA">
              <w:rPr>
                <w:sz w:val="20"/>
                <w:szCs w:val="20"/>
              </w:rPr>
              <w:t>Indicar si se habilitarán/deshabilitarán servicios digitales y/o marcaciones.</w:t>
            </w:r>
          </w:p>
          <w:p w14:paraId="33CFE9FF" w14:textId="4528983D" w:rsidR="00453335" w:rsidRPr="00453335" w:rsidRDefault="00A57B98" w:rsidP="00453335">
            <w:pPr>
              <w:pStyle w:val="IFTnormal"/>
              <w:numPr>
                <w:ilvl w:val="0"/>
                <w:numId w:val="102"/>
              </w:numPr>
              <w:ind w:left="318" w:hanging="318"/>
              <w:rPr>
                <w:sz w:val="20"/>
                <w:szCs w:val="20"/>
              </w:rPr>
            </w:pPr>
            <w:r>
              <w:rPr>
                <w:sz w:val="20"/>
                <w:szCs w:val="20"/>
              </w:rPr>
              <w:t>Seleccionar la molécula de velocidad a modificar</w:t>
            </w:r>
          </w:p>
        </w:tc>
      </w:tr>
      <w:tr w:rsidR="00D936CA" w:rsidRPr="00D936CA" w14:paraId="33CFEA09" w14:textId="77777777" w:rsidTr="00060B2E">
        <w:tc>
          <w:tcPr>
            <w:tcW w:w="1282" w:type="pct"/>
          </w:tcPr>
          <w:p w14:paraId="33CFEA01" w14:textId="77777777" w:rsidR="00212D55" w:rsidRPr="00D936CA" w:rsidRDefault="00212D55" w:rsidP="00D936CA">
            <w:pPr>
              <w:pStyle w:val="IFTnormal"/>
              <w:jc w:val="left"/>
              <w:rPr>
                <w:b/>
                <w:sz w:val="20"/>
                <w:szCs w:val="20"/>
              </w:rPr>
            </w:pPr>
            <w:r w:rsidRPr="00D936CA">
              <w:rPr>
                <w:b/>
                <w:sz w:val="20"/>
                <w:szCs w:val="20"/>
              </w:rPr>
              <w:t>Validación de solicitud</w:t>
            </w:r>
          </w:p>
        </w:tc>
        <w:tc>
          <w:tcPr>
            <w:tcW w:w="3718" w:type="pct"/>
            <w:shd w:val="clear" w:color="auto" w:fill="auto"/>
          </w:tcPr>
          <w:p w14:paraId="33CFEA02" w14:textId="2D9A64F6" w:rsidR="00212D55" w:rsidRPr="00221DB5" w:rsidRDefault="00212D55" w:rsidP="00D936CA">
            <w:pPr>
              <w:pStyle w:val="IFTnormal"/>
              <w:rPr>
                <w:sz w:val="20"/>
                <w:szCs w:val="20"/>
              </w:rPr>
            </w:pPr>
            <w:r w:rsidRPr="00221DB5">
              <w:rPr>
                <w:sz w:val="20"/>
                <w:szCs w:val="20"/>
              </w:rPr>
              <w:t>Una vez enviada será validada en un plazo máximo de 1 día hábil, as</w:t>
            </w:r>
            <w:r w:rsidR="00E73244">
              <w:rPr>
                <w:sz w:val="20"/>
                <w:szCs w:val="20"/>
              </w:rPr>
              <w:t>i</w:t>
            </w:r>
            <w:r w:rsidRPr="00221DB5">
              <w:rPr>
                <w:sz w:val="20"/>
                <w:szCs w:val="20"/>
              </w:rPr>
              <w:t>mismo se asignará de forma automática un número de folio a la solicitud del CS.</w:t>
            </w:r>
          </w:p>
          <w:p w14:paraId="33CFEA03" w14:textId="77777777" w:rsidR="00212D55" w:rsidRPr="00221DB5" w:rsidRDefault="00212D55" w:rsidP="00D936CA">
            <w:pPr>
              <w:pStyle w:val="IFTnormal"/>
              <w:rPr>
                <w:sz w:val="20"/>
                <w:szCs w:val="20"/>
              </w:rPr>
            </w:pPr>
            <w:r w:rsidRPr="00221DB5">
              <w:rPr>
                <w:sz w:val="20"/>
                <w:szCs w:val="20"/>
              </w:rPr>
              <w:t>Durante el proceso de validación, Telmex evaluará las solicitudes enviadas por los CS para determinar si:</w:t>
            </w:r>
          </w:p>
          <w:p w14:paraId="33CFEA04" w14:textId="77777777" w:rsidR="00212D55" w:rsidRPr="00507FF4" w:rsidRDefault="00212D55" w:rsidP="00D936CA">
            <w:pPr>
              <w:pStyle w:val="IFTnormal"/>
              <w:numPr>
                <w:ilvl w:val="0"/>
                <w:numId w:val="101"/>
              </w:numPr>
              <w:spacing w:after="120" w:line="240" w:lineRule="auto"/>
              <w:rPr>
                <w:sz w:val="20"/>
                <w:szCs w:val="20"/>
              </w:rPr>
            </w:pPr>
            <w:r w:rsidRPr="00507FF4">
              <w:rPr>
                <w:sz w:val="20"/>
                <w:szCs w:val="20"/>
              </w:rPr>
              <w:t>La información capturada es suficiente para procesar la solicitud.</w:t>
            </w:r>
          </w:p>
          <w:p w14:paraId="33CFEA05" w14:textId="77777777" w:rsidR="00212D55" w:rsidRPr="00AB05A0" w:rsidRDefault="00212D55" w:rsidP="00D936CA">
            <w:pPr>
              <w:pStyle w:val="IFTnormal"/>
              <w:numPr>
                <w:ilvl w:val="0"/>
                <w:numId w:val="101"/>
              </w:numPr>
              <w:spacing w:after="120" w:line="240" w:lineRule="auto"/>
              <w:rPr>
                <w:sz w:val="20"/>
                <w:szCs w:val="20"/>
              </w:rPr>
            </w:pPr>
            <w:r w:rsidRPr="00AB05A0">
              <w:rPr>
                <w:sz w:val="20"/>
                <w:szCs w:val="20"/>
              </w:rPr>
              <w:lastRenderedPageBreak/>
              <w:t>El CS capturó correctamente los detalles del servicio requerido.</w:t>
            </w:r>
          </w:p>
          <w:p w14:paraId="33CFEA06" w14:textId="77777777" w:rsidR="00212D55" w:rsidRPr="00AB05A0" w:rsidRDefault="00212D55" w:rsidP="00D936CA">
            <w:pPr>
              <w:pStyle w:val="IFTnormal"/>
              <w:numPr>
                <w:ilvl w:val="0"/>
                <w:numId w:val="102"/>
              </w:numPr>
              <w:ind w:left="318" w:hanging="318"/>
              <w:rPr>
                <w:sz w:val="20"/>
                <w:szCs w:val="20"/>
              </w:rPr>
            </w:pPr>
            <w:r w:rsidRPr="00AB05A0">
              <w:rPr>
                <w:b/>
                <w:sz w:val="20"/>
                <w:szCs w:val="20"/>
              </w:rPr>
              <w:t>Si la solicitud es correcta</w:t>
            </w:r>
            <w:r w:rsidRPr="00AB05A0">
              <w:rPr>
                <w:sz w:val="20"/>
                <w:szCs w:val="20"/>
              </w:rPr>
              <w:t>, Telmex cambiará el folio previamente asignado por el Número de Identificación de Solicitud (NIS).</w:t>
            </w:r>
          </w:p>
          <w:p w14:paraId="33CFEA07" w14:textId="126E4EEE" w:rsidR="00212D55" w:rsidRPr="00221DB5" w:rsidRDefault="00212D55" w:rsidP="00D936CA">
            <w:pPr>
              <w:pStyle w:val="IFTnormal"/>
              <w:numPr>
                <w:ilvl w:val="0"/>
                <w:numId w:val="102"/>
              </w:numPr>
              <w:ind w:left="318" w:hanging="318"/>
              <w:rPr>
                <w:sz w:val="20"/>
                <w:szCs w:val="20"/>
              </w:rPr>
            </w:pPr>
            <w:r w:rsidRPr="00AB05A0">
              <w:rPr>
                <w:b/>
                <w:sz w:val="20"/>
                <w:szCs w:val="20"/>
              </w:rPr>
              <w:t>Si es incorrecta</w:t>
            </w:r>
            <w:r w:rsidRPr="00AB05A0">
              <w:rPr>
                <w:sz w:val="20"/>
                <w:szCs w:val="20"/>
              </w:rPr>
              <w:t>, Telmex devolverá la solicitud al CS indicando el motivo de rechazo, para que sea corregida y reenviada nuevamente a validación</w:t>
            </w:r>
            <w:r w:rsidR="006C3920" w:rsidRPr="00AB05A0">
              <w:rPr>
                <w:sz w:val="20"/>
                <w:szCs w:val="20"/>
              </w:rPr>
              <w:t xml:space="preserve">, </w:t>
            </w:r>
            <w:r w:rsidR="006C3920" w:rsidRPr="008225D8">
              <w:rPr>
                <w:sz w:val="20"/>
                <w:szCs w:val="20"/>
              </w:rPr>
              <w:t>en caso de haber usado el formato Excel de solicitudes masivas, Telmex devolverá el archivo al CS indicando el motivo de rechazo por cada registro).</w:t>
            </w:r>
          </w:p>
          <w:p w14:paraId="33CFEA08" w14:textId="77777777" w:rsidR="00212D55" w:rsidRPr="00221DB5" w:rsidRDefault="00212D55" w:rsidP="00D936CA">
            <w:pPr>
              <w:pStyle w:val="IFTnormal"/>
              <w:rPr>
                <w:sz w:val="20"/>
                <w:szCs w:val="20"/>
              </w:rPr>
            </w:pPr>
            <w:r w:rsidRPr="00221DB5">
              <w:rPr>
                <w:sz w:val="20"/>
                <w:szCs w:val="20"/>
              </w:rPr>
              <w:t>La aceptación de la solicitud detonará el Análisis de Factibilidad Técnica para los servicios de Datos o la modificación del servicio en caso de servicios de Voz.</w:t>
            </w:r>
          </w:p>
        </w:tc>
      </w:tr>
      <w:tr w:rsidR="00D936CA" w:rsidRPr="00D936CA" w14:paraId="33CFEA10" w14:textId="77777777" w:rsidTr="00060B2E">
        <w:tc>
          <w:tcPr>
            <w:tcW w:w="1282" w:type="pct"/>
          </w:tcPr>
          <w:p w14:paraId="33CFEA0A" w14:textId="77777777" w:rsidR="00212D55" w:rsidRPr="00D936CA" w:rsidRDefault="00212D55" w:rsidP="00D936CA">
            <w:pPr>
              <w:pStyle w:val="IFTnormal"/>
              <w:jc w:val="left"/>
              <w:rPr>
                <w:b/>
                <w:sz w:val="20"/>
                <w:szCs w:val="20"/>
              </w:rPr>
            </w:pPr>
            <w:r w:rsidRPr="00D936CA">
              <w:rPr>
                <w:b/>
                <w:sz w:val="20"/>
                <w:szCs w:val="20"/>
              </w:rPr>
              <w:lastRenderedPageBreak/>
              <w:t>Factibilidad Técnica</w:t>
            </w:r>
          </w:p>
          <w:p w14:paraId="33CFEA0B" w14:textId="172000A5" w:rsidR="00212D55" w:rsidRPr="00D936CA" w:rsidRDefault="00212D55" w:rsidP="00D936CA">
            <w:pPr>
              <w:pStyle w:val="IFTnormal"/>
              <w:jc w:val="left"/>
              <w:rPr>
                <w:sz w:val="20"/>
                <w:szCs w:val="20"/>
              </w:rPr>
            </w:pPr>
            <w:r w:rsidRPr="00D936CA">
              <w:rPr>
                <w:sz w:val="20"/>
                <w:szCs w:val="20"/>
              </w:rPr>
              <w:t xml:space="preserve">(No aplica a </w:t>
            </w:r>
            <w:r w:rsidR="001E6506">
              <w:rPr>
                <w:sz w:val="20"/>
                <w:szCs w:val="20"/>
              </w:rPr>
              <w:t>SRL</w:t>
            </w:r>
            <w:r w:rsidRPr="00D936CA">
              <w:rPr>
                <w:sz w:val="20"/>
                <w:szCs w:val="20"/>
              </w:rPr>
              <w:t>)</w:t>
            </w:r>
          </w:p>
        </w:tc>
        <w:tc>
          <w:tcPr>
            <w:tcW w:w="3718" w:type="pct"/>
            <w:shd w:val="clear" w:color="auto" w:fill="auto"/>
          </w:tcPr>
          <w:p w14:paraId="33CFEA0C" w14:textId="77777777" w:rsidR="00212D55" w:rsidRPr="00672007" w:rsidRDefault="00212D55" w:rsidP="00D936CA">
            <w:pPr>
              <w:pStyle w:val="IFTnormal"/>
              <w:rPr>
                <w:sz w:val="20"/>
                <w:szCs w:val="20"/>
              </w:rPr>
            </w:pPr>
            <w:r w:rsidRPr="00672007">
              <w:rPr>
                <w:sz w:val="20"/>
                <w:szCs w:val="20"/>
              </w:rPr>
              <w:t>Durante el análisis de Factibilidad Técnica, Telmex determinará si existen los recursos técnicos y facilidades para ejecutar los cambios solicitados en un plazo máximo de 1 día hábil:</w:t>
            </w:r>
          </w:p>
          <w:p w14:paraId="33CFEA0D" w14:textId="4F434F73" w:rsidR="00212D55" w:rsidRPr="00672007" w:rsidRDefault="00212D55" w:rsidP="00D936CA">
            <w:pPr>
              <w:pStyle w:val="IFTnormal"/>
              <w:numPr>
                <w:ilvl w:val="0"/>
                <w:numId w:val="102"/>
              </w:numPr>
              <w:ind w:left="318" w:hanging="318"/>
              <w:rPr>
                <w:sz w:val="20"/>
                <w:szCs w:val="20"/>
              </w:rPr>
            </w:pPr>
            <w:r w:rsidRPr="00672007">
              <w:rPr>
                <w:b/>
                <w:sz w:val="20"/>
                <w:szCs w:val="20"/>
              </w:rPr>
              <w:t>Si e</w:t>
            </w:r>
            <w:r w:rsidR="001A324E" w:rsidRPr="00672007">
              <w:rPr>
                <w:b/>
                <w:sz w:val="20"/>
                <w:szCs w:val="20"/>
              </w:rPr>
              <w:t xml:space="preserve">s factible proporcionar el </w:t>
            </w:r>
            <w:r w:rsidR="009F4DE0" w:rsidRPr="00672007">
              <w:rPr>
                <w:b/>
                <w:sz w:val="20"/>
                <w:szCs w:val="20"/>
              </w:rPr>
              <w:t>servicio,</w:t>
            </w:r>
            <w:r w:rsidR="00102366">
              <w:rPr>
                <w:sz w:val="20"/>
                <w:szCs w:val="20"/>
              </w:rPr>
              <w:t xml:space="preserve"> </w:t>
            </w:r>
            <w:r w:rsidR="001A324E" w:rsidRPr="00672007">
              <w:rPr>
                <w:sz w:val="20"/>
                <w:szCs w:val="20"/>
              </w:rPr>
              <w:t>el C</w:t>
            </w:r>
            <w:r w:rsidR="00102366">
              <w:rPr>
                <w:sz w:val="20"/>
                <w:szCs w:val="20"/>
              </w:rPr>
              <w:t>S</w:t>
            </w:r>
            <w:r w:rsidR="001A324E" w:rsidRPr="00672007">
              <w:rPr>
                <w:sz w:val="20"/>
                <w:szCs w:val="20"/>
              </w:rPr>
              <w:t xml:space="preserve"> elegirá el perfil factible que desee contratar </w:t>
            </w:r>
            <w:r w:rsidR="0020216A">
              <w:rPr>
                <w:sz w:val="20"/>
                <w:szCs w:val="20"/>
              </w:rPr>
              <w:t>y</w:t>
            </w:r>
            <w:r w:rsidR="00102366">
              <w:rPr>
                <w:sz w:val="20"/>
                <w:szCs w:val="20"/>
              </w:rPr>
              <w:t>/</w:t>
            </w:r>
            <w:r w:rsidR="001A324E" w:rsidRPr="00672007">
              <w:rPr>
                <w:sz w:val="20"/>
                <w:szCs w:val="20"/>
              </w:rPr>
              <w:t>o el servicio digital de su interés</w:t>
            </w:r>
            <w:r w:rsidR="00102366">
              <w:rPr>
                <w:sz w:val="20"/>
                <w:szCs w:val="20"/>
              </w:rPr>
              <w:t>. De ser el caso de requerirse un cambio de tecnología,</w:t>
            </w:r>
            <w:r w:rsidRPr="00672007">
              <w:rPr>
                <w:sz w:val="20"/>
                <w:szCs w:val="20"/>
              </w:rPr>
              <w:t xml:space="preserve"> se confirmará la fecha para ejecutar el cambio.</w:t>
            </w:r>
          </w:p>
          <w:p w14:paraId="33CFEA0E" w14:textId="4C4C705D" w:rsidR="00212D55" w:rsidRPr="00221DB5" w:rsidRDefault="00212D55" w:rsidP="00D936CA">
            <w:pPr>
              <w:pStyle w:val="IFTnormal"/>
              <w:numPr>
                <w:ilvl w:val="0"/>
                <w:numId w:val="102"/>
              </w:numPr>
              <w:ind w:left="318" w:hanging="284"/>
              <w:rPr>
                <w:sz w:val="20"/>
                <w:szCs w:val="20"/>
              </w:rPr>
            </w:pPr>
            <w:r w:rsidRPr="00672007">
              <w:rPr>
                <w:b/>
                <w:sz w:val="20"/>
                <w:szCs w:val="20"/>
              </w:rPr>
              <w:t>Si el perfil solicitado no es factible técnicamente</w:t>
            </w:r>
            <w:r w:rsidR="001A324E" w:rsidRPr="00672007">
              <w:rPr>
                <w:b/>
                <w:sz w:val="20"/>
                <w:szCs w:val="20"/>
              </w:rPr>
              <w:t>,</w:t>
            </w:r>
            <w:r w:rsidRPr="00672007">
              <w:rPr>
                <w:b/>
                <w:sz w:val="20"/>
                <w:szCs w:val="20"/>
              </w:rPr>
              <w:t xml:space="preserve"> </w:t>
            </w:r>
            <w:r w:rsidRPr="00672007">
              <w:rPr>
                <w:sz w:val="20"/>
                <w:szCs w:val="20"/>
              </w:rPr>
              <w:t xml:space="preserve">derivado de la condición del acceso o de una saturación de los recursos en la planta externa, se presentará al CS a través del SEG, la justificación de los motivos descritos en el apartado 1.4, </w:t>
            </w:r>
            <w:r w:rsidR="001A324E" w:rsidRPr="00672007">
              <w:rPr>
                <w:sz w:val="20"/>
                <w:szCs w:val="20"/>
              </w:rPr>
              <w:t>y</w:t>
            </w:r>
            <w:r w:rsidRPr="00672007">
              <w:rPr>
                <w:sz w:val="20"/>
                <w:szCs w:val="20"/>
              </w:rPr>
              <w:t xml:space="preserve"> </w:t>
            </w:r>
            <w:r w:rsidR="001A324E" w:rsidRPr="00672007">
              <w:rPr>
                <w:sz w:val="20"/>
                <w:szCs w:val="20"/>
              </w:rPr>
              <w:t xml:space="preserve">se mostrarán </w:t>
            </w:r>
            <w:r w:rsidRPr="00221DB5">
              <w:rPr>
                <w:sz w:val="20"/>
                <w:szCs w:val="20"/>
              </w:rPr>
              <w:t xml:space="preserve">las evidencias </w:t>
            </w:r>
            <w:r w:rsidR="009F4DE0" w:rsidRPr="00221DB5">
              <w:rPr>
                <w:sz w:val="20"/>
                <w:szCs w:val="20"/>
              </w:rPr>
              <w:t>correspondientes,</w:t>
            </w:r>
          </w:p>
          <w:p w14:paraId="33CFEA0F" w14:textId="00F46744" w:rsidR="00212D55" w:rsidRPr="00221DB5" w:rsidRDefault="00A57B98" w:rsidP="00D936CA">
            <w:pPr>
              <w:pStyle w:val="IFTnormal"/>
              <w:ind w:left="34"/>
              <w:rPr>
                <w:sz w:val="20"/>
                <w:szCs w:val="20"/>
              </w:rPr>
            </w:pPr>
            <w:r w:rsidRPr="00221DB5">
              <w:rPr>
                <w:sz w:val="20"/>
                <w:szCs w:val="20"/>
              </w:rPr>
              <w:t>L</w:t>
            </w:r>
            <w:r w:rsidR="00212D55" w:rsidRPr="00221DB5">
              <w:rPr>
                <w:sz w:val="20"/>
                <w:szCs w:val="20"/>
              </w:rPr>
              <w:t>os CS incluyendo Telmex, harán uso de los mismos elementos, herramientas, funcionalidades, información, etc. Una vez validados los campos correspondientes se procederá directamente a la etapa de Habilitación y aprovisionamiento del Servicio.</w:t>
            </w:r>
          </w:p>
        </w:tc>
      </w:tr>
      <w:tr w:rsidR="00D936CA" w:rsidRPr="00D936CA" w14:paraId="33CFEA17" w14:textId="77777777" w:rsidTr="00212D55">
        <w:tc>
          <w:tcPr>
            <w:tcW w:w="1282" w:type="pct"/>
          </w:tcPr>
          <w:p w14:paraId="33CFEA11" w14:textId="77777777" w:rsidR="00212D55" w:rsidRPr="00D936CA" w:rsidRDefault="00212D55" w:rsidP="00D936CA">
            <w:pPr>
              <w:pStyle w:val="IFTnormal"/>
              <w:jc w:val="left"/>
              <w:rPr>
                <w:b/>
                <w:sz w:val="20"/>
                <w:szCs w:val="20"/>
              </w:rPr>
            </w:pPr>
            <w:r w:rsidRPr="00D936CA">
              <w:rPr>
                <w:b/>
                <w:sz w:val="20"/>
                <w:szCs w:val="20"/>
              </w:rPr>
              <w:t>Habilitación y aprovisionamiento del Servicio</w:t>
            </w:r>
          </w:p>
        </w:tc>
        <w:tc>
          <w:tcPr>
            <w:tcW w:w="3718" w:type="pct"/>
          </w:tcPr>
          <w:p w14:paraId="33CFEA12" w14:textId="1EB075FC" w:rsidR="00212D55" w:rsidRPr="00D936CA" w:rsidRDefault="00212D55" w:rsidP="00D936CA">
            <w:pPr>
              <w:pStyle w:val="IFTnormal"/>
              <w:rPr>
                <w:sz w:val="20"/>
                <w:szCs w:val="20"/>
              </w:rPr>
            </w:pPr>
            <w:r w:rsidRPr="00D936CA">
              <w:rPr>
                <w:sz w:val="20"/>
                <w:szCs w:val="20"/>
              </w:rPr>
              <w:t xml:space="preserve">Telmex llevará a cabo las actuaciones necesarias para modificar el servicio; se </w:t>
            </w:r>
            <w:r w:rsidR="007121AD">
              <w:rPr>
                <w:sz w:val="20"/>
                <w:szCs w:val="20"/>
              </w:rPr>
              <w:t xml:space="preserve">podrá </w:t>
            </w:r>
            <w:r w:rsidRPr="00D936CA">
              <w:rPr>
                <w:sz w:val="20"/>
                <w:szCs w:val="20"/>
              </w:rPr>
              <w:t>abrir un canal continuo de comunicación (vía telefónica) entre Telmex y el CS para dar seguimiento a la modificación:</w:t>
            </w:r>
          </w:p>
          <w:p w14:paraId="33CFEA13"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Voz:</w:t>
            </w:r>
            <w:r w:rsidRPr="00D936CA">
              <w:rPr>
                <w:sz w:val="20"/>
                <w:szCs w:val="20"/>
              </w:rPr>
              <w:t xml:space="preserve"> Se activarán/desactivarán los servicios digitales o de marcaciones solicitados en un plazo no mayor a 1 día hábil.</w:t>
            </w:r>
          </w:p>
          <w:p w14:paraId="33CFEA14"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Datos:</w:t>
            </w:r>
            <w:r w:rsidRPr="00D936CA">
              <w:rPr>
                <w:sz w:val="20"/>
                <w:szCs w:val="20"/>
              </w:rPr>
              <w:t xml:space="preserve"> Se habilitará el servicio con el perfil solicitado en un plazo no mayor a 3 días hábiles.</w:t>
            </w:r>
          </w:p>
          <w:p w14:paraId="33CFEA15" w14:textId="5238CBFB" w:rsidR="00212D55" w:rsidRPr="00D936CA" w:rsidRDefault="00212D55" w:rsidP="00D936CA">
            <w:pPr>
              <w:pStyle w:val="IFTnormal"/>
              <w:numPr>
                <w:ilvl w:val="0"/>
                <w:numId w:val="102"/>
              </w:numPr>
              <w:ind w:left="318" w:hanging="318"/>
              <w:rPr>
                <w:sz w:val="20"/>
                <w:szCs w:val="20"/>
              </w:rPr>
            </w:pPr>
            <w:r w:rsidRPr="00D936CA">
              <w:rPr>
                <w:b/>
                <w:sz w:val="20"/>
                <w:szCs w:val="20"/>
              </w:rPr>
              <w:lastRenderedPageBreak/>
              <w:t>Voz + Datos:</w:t>
            </w:r>
            <w:r w:rsidRPr="00D936CA">
              <w:rPr>
                <w:sz w:val="20"/>
                <w:szCs w:val="20"/>
              </w:rPr>
              <w:t xml:space="preserve"> Se activarán/desactivarán los servicios digitales o de marcaciones solicitados y se habilitará el servicio de datos </w:t>
            </w:r>
            <w:r w:rsidR="007121AD">
              <w:rPr>
                <w:sz w:val="20"/>
                <w:szCs w:val="20"/>
              </w:rPr>
              <w:t xml:space="preserve">o la molécula adicional contratada </w:t>
            </w:r>
            <w:r w:rsidRPr="00D936CA">
              <w:rPr>
                <w:sz w:val="20"/>
                <w:szCs w:val="20"/>
              </w:rPr>
              <w:t>con el perfil requerido</w:t>
            </w:r>
            <w:r w:rsidR="007121AD">
              <w:rPr>
                <w:sz w:val="20"/>
                <w:szCs w:val="20"/>
              </w:rPr>
              <w:t>,</w:t>
            </w:r>
            <w:r w:rsidRPr="00D936CA">
              <w:rPr>
                <w:sz w:val="20"/>
                <w:szCs w:val="20"/>
              </w:rPr>
              <w:t xml:space="preserve"> en un plazo no mayor a 3 días hábiles.</w:t>
            </w:r>
          </w:p>
          <w:p w14:paraId="33CFEA16" w14:textId="77777777" w:rsidR="00212D55" w:rsidRPr="00D936CA" w:rsidRDefault="00212D55" w:rsidP="00D936CA">
            <w:pPr>
              <w:pStyle w:val="IFTnormal"/>
              <w:spacing w:after="120" w:line="240" w:lineRule="auto"/>
              <w:rPr>
                <w:sz w:val="20"/>
                <w:szCs w:val="20"/>
              </w:rPr>
            </w:pPr>
            <w:r w:rsidRPr="00D936CA">
              <w:rPr>
                <w:sz w:val="20"/>
                <w:szCs w:val="20"/>
              </w:rPr>
              <w:t>Al finalizar las actividades de modificación, se realizarán las pruebas de aceptación del servicio.</w:t>
            </w:r>
          </w:p>
        </w:tc>
      </w:tr>
      <w:tr w:rsidR="00D936CA" w:rsidRPr="00D936CA" w14:paraId="33CFEA1B" w14:textId="77777777" w:rsidTr="00060B2E">
        <w:tc>
          <w:tcPr>
            <w:tcW w:w="1282" w:type="pct"/>
          </w:tcPr>
          <w:p w14:paraId="33CFEA18" w14:textId="77777777" w:rsidR="00212D55" w:rsidRPr="00D936CA" w:rsidRDefault="00212D55" w:rsidP="00D936CA">
            <w:pPr>
              <w:pStyle w:val="IFTnormal"/>
              <w:jc w:val="left"/>
              <w:rPr>
                <w:b/>
                <w:sz w:val="20"/>
                <w:szCs w:val="20"/>
              </w:rPr>
            </w:pPr>
            <w:bookmarkStart w:id="324" w:name="_Hlk516051055"/>
            <w:r w:rsidRPr="00D936CA">
              <w:rPr>
                <w:b/>
                <w:sz w:val="20"/>
                <w:szCs w:val="20"/>
              </w:rPr>
              <w:lastRenderedPageBreak/>
              <w:t>Pruebas de Aceptación del Servicio</w:t>
            </w:r>
          </w:p>
        </w:tc>
        <w:tc>
          <w:tcPr>
            <w:tcW w:w="3718" w:type="pct"/>
            <w:shd w:val="clear" w:color="auto" w:fill="auto"/>
          </w:tcPr>
          <w:p w14:paraId="33CFEA19" w14:textId="40CD5779" w:rsidR="00212D55" w:rsidRPr="00D936CA" w:rsidRDefault="00212D55" w:rsidP="00D936CA">
            <w:pPr>
              <w:pStyle w:val="IFTnormal"/>
              <w:rPr>
                <w:sz w:val="20"/>
                <w:szCs w:val="20"/>
              </w:rPr>
            </w:pPr>
            <w:r w:rsidRPr="00D936CA">
              <w:rPr>
                <w:sz w:val="20"/>
                <w:szCs w:val="20"/>
              </w:rPr>
              <w:t>Una vez ejecutado el cambio, se llevarán a cabo las pruebas correspondientes para validar que el servicio ha sido habilitado</w:t>
            </w:r>
            <w:r w:rsidR="000F09E6">
              <w:rPr>
                <w:sz w:val="20"/>
                <w:szCs w:val="20"/>
              </w:rPr>
              <w:t xml:space="preserve"> en caso de que se haya requerido cambio de tecnología,</w:t>
            </w:r>
            <w:r w:rsidRPr="00D936CA">
              <w:rPr>
                <w:sz w:val="20"/>
                <w:szCs w:val="20"/>
              </w:rPr>
              <w:t xml:space="preserve"> de conformidad con lo requerido por el CS.</w:t>
            </w:r>
            <w:r w:rsidR="000F09E6">
              <w:rPr>
                <w:sz w:val="20"/>
                <w:szCs w:val="20"/>
              </w:rPr>
              <w:t xml:space="preserve"> En el caso de </w:t>
            </w:r>
            <w:r w:rsidR="00DD0A7E">
              <w:rPr>
                <w:sz w:val="20"/>
                <w:szCs w:val="20"/>
              </w:rPr>
              <w:t>cambios administrativos</w:t>
            </w:r>
            <w:r w:rsidR="000F09E6">
              <w:rPr>
                <w:sz w:val="20"/>
                <w:szCs w:val="20"/>
              </w:rPr>
              <w:t>, el CS podrá reportar en cualquier momento si se presenta una incidencia relacionada con la modificación solicitada.</w:t>
            </w:r>
          </w:p>
          <w:p w14:paraId="33CFEA1A" w14:textId="75123A9D" w:rsidR="00212D55" w:rsidRPr="00D936CA" w:rsidRDefault="00212D55" w:rsidP="00D936CA">
            <w:pPr>
              <w:pStyle w:val="IFTnormal"/>
              <w:numPr>
                <w:ilvl w:val="0"/>
                <w:numId w:val="102"/>
              </w:numPr>
              <w:ind w:left="318" w:hanging="284"/>
              <w:rPr>
                <w:sz w:val="20"/>
                <w:szCs w:val="20"/>
              </w:rPr>
            </w:pPr>
          </w:p>
        </w:tc>
      </w:tr>
      <w:bookmarkEnd w:id="324"/>
      <w:tr w:rsidR="00212D55" w:rsidRPr="00D936CA" w14:paraId="33CFEA20" w14:textId="77777777" w:rsidTr="00212D55">
        <w:tc>
          <w:tcPr>
            <w:tcW w:w="1282" w:type="pct"/>
          </w:tcPr>
          <w:p w14:paraId="33CFEA1C" w14:textId="77777777" w:rsidR="00212D55" w:rsidRPr="00D936CA" w:rsidRDefault="00212D55" w:rsidP="00D936CA">
            <w:pPr>
              <w:pStyle w:val="IFTnormal"/>
              <w:jc w:val="left"/>
              <w:rPr>
                <w:b/>
                <w:sz w:val="20"/>
                <w:szCs w:val="20"/>
              </w:rPr>
            </w:pPr>
            <w:r w:rsidRPr="00D936CA">
              <w:rPr>
                <w:b/>
                <w:sz w:val="20"/>
                <w:szCs w:val="20"/>
              </w:rPr>
              <w:t>Facturación</w:t>
            </w:r>
          </w:p>
        </w:tc>
        <w:tc>
          <w:tcPr>
            <w:tcW w:w="3718" w:type="pct"/>
          </w:tcPr>
          <w:p w14:paraId="33CFEA1D" w14:textId="77777777" w:rsidR="00212D55" w:rsidRPr="00D936CA" w:rsidRDefault="00212D55" w:rsidP="00D936CA">
            <w:pPr>
              <w:pStyle w:val="IFTnormal"/>
              <w:rPr>
                <w:sz w:val="20"/>
                <w:szCs w:val="20"/>
              </w:rPr>
            </w:pPr>
            <w:r w:rsidRPr="00D936CA">
              <w:rPr>
                <w:sz w:val="20"/>
                <w:szCs w:val="20"/>
              </w:rPr>
              <w:t>Al corte del mes se realizará la facturación aplicable al servicio:</w:t>
            </w:r>
          </w:p>
          <w:p w14:paraId="33CFEA1E" w14:textId="575F9D6F" w:rsidR="00212D55" w:rsidRPr="00D936CA" w:rsidRDefault="00212D55" w:rsidP="00D936CA">
            <w:pPr>
              <w:pStyle w:val="IFTnormal"/>
              <w:numPr>
                <w:ilvl w:val="0"/>
                <w:numId w:val="102"/>
              </w:numPr>
              <w:ind w:left="318" w:hanging="284"/>
              <w:rPr>
                <w:sz w:val="20"/>
                <w:szCs w:val="20"/>
              </w:rPr>
            </w:pPr>
            <w:r w:rsidRPr="00D936CA">
              <w:rPr>
                <w:sz w:val="20"/>
                <w:szCs w:val="20"/>
              </w:rPr>
              <w:t>Se incluirán los gastos de instalación</w:t>
            </w:r>
            <w:r w:rsidR="00A61B38">
              <w:rPr>
                <w:sz w:val="20"/>
                <w:szCs w:val="20"/>
              </w:rPr>
              <w:t>/</w:t>
            </w:r>
            <w:r w:rsidR="00951F11">
              <w:rPr>
                <w:sz w:val="20"/>
                <w:szCs w:val="20"/>
              </w:rPr>
              <w:t>habilit</w:t>
            </w:r>
            <w:r w:rsidR="00951F11" w:rsidRPr="00D936CA">
              <w:rPr>
                <w:sz w:val="20"/>
                <w:szCs w:val="20"/>
              </w:rPr>
              <w:t xml:space="preserve">ación </w:t>
            </w:r>
            <w:r w:rsidRPr="00D936CA">
              <w:rPr>
                <w:sz w:val="20"/>
                <w:szCs w:val="20"/>
              </w:rPr>
              <w:t>y la renta mensual correspondiente.</w:t>
            </w:r>
          </w:p>
          <w:p w14:paraId="33CFEA1F" w14:textId="77777777" w:rsidR="00212D55" w:rsidRPr="00D936CA" w:rsidRDefault="00212D55"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A21" w14:textId="77777777" w:rsidR="00837A16" w:rsidRPr="00D936CA" w:rsidRDefault="00837A16" w:rsidP="00D936CA">
      <w:pPr>
        <w:pStyle w:val="IFTnormal"/>
      </w:pPr>
    </w:p>
    <w:p w14:paraId="33CFEA22" w14:textId="0A2783AB" w:rsidR="00837A16" w:rsidRPr="00D936CA" w:rsidRDefault="00837A16"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Procedimiento de Suspensión/</w:t>
      </w:r>
      <w:r w:rsidR="00CA21E6">
        <w:rPr>
          <w:rFonts w:ascii="ITC Avant Garde" w:hAnsi="ITC Avant Garde"/>
          <w:b/>
          <w:sz w:val="22"/>
          <w:szCs w:val="22"/>
          <w:lang w:val="es-MX"/>
        </w:rPr>
        <w:t xml:space="preserve">Reactivación de </w:t>
      </w:r>
      <w:r w:rsidR="001E6506">
        <w:rPr>
          <w:rFonts w:ascii="ITC Avant Garde" w:hAnsi="ITC Avant Garde"/>
          <w:b/>
          <w:sz w:val="22"/>
          <w:szCs w:val="22"/>
          <w:lang w:val="es-MX"/>
        </w:rPr>
        <w:t>SRL</w:t>
      </w:r>
      <w:r w:rsidR="00CA21E6">
        <w:rPr>
          <w:rFonts w:ascii="ITC Avant Garde" w:hAnsi="ITC Avant Garde"/>
          <w:b/>
          <w:sz w:val="22"/>
          <w:szCs w:val="22"/>
          <w:lang w:val="es-MX"/>
        </w:rPr>
        <w:t>, SRI y SRP</w:t>
      </w:r>
    </w:p>
    <w:p w14:paraId="33CFEA23" w14:textId="60A3615D" w:rsidR="00837A16" w:rsidRPr="00D936CA" w:rsidRDefault="00837A16" w:rsidP="00D936CA">
      <w:pPr>
        <w:spacing w:after="200" w:line="276" w:lineRule="auto"/>
        <w:jc w:val="both"/>
        <w:rPr>
          <w:rFonts w:ascii="ITC Avant Garde" w:hAnsi="ITC Avant Garde" w:cs="Arial"/>
          <w:b/>
          <w:sz w:val="22"/>
          <w:szCs w:val="22"/>
          <w:lang w:val="es-ES" w:eastAsia="es-MX"/>
        </w:rPr>
      </w:pPr>
      <w:r w:rsidRPr="00D936CA">
        <w:rPr>
          <w:rFonts w:ascii="ITC Avant Garde" w:hAnsi="ITC Avant Garde" w:cs="Arial"/>
          <w:sz w:val="22"/>
          <w:szCs w:val="22"/>
        </w:rPr>
        <w:t xml:space="preserve">Los servicios de suspensión y reactivación se ofrecen sólo para </w:t>
      </w:r>
      <w:r w:rsidR="001E6506">
        <w:rPr>
          <w:rStyle w:val="IFTnormalCar"/>
        </w:rPr>
        <w:t>SRL</w:t>
      </w:r>
      <w:r w:rsidRPr="00D936CA">
        <w:rPr>
          <w:rStyle w:val="IFTnormalCar"/>
        </w:rPr>
        <w:t>, SRI y SRP</w:t>
      </w:r>
      <w:r w:rsidRPr="00D936CA">
        <w:rPr>
          <w:rFonts w:ascii="ITC Avant Garde" w:hAnsi="ITC Avant Garde" w:cs="Arial"/>
          <w:sz w:val="22"/>
          <w:szCs w:val="22"/>
        </w:rPr>
        <w:t xml:space="preserve"> y </w:t>
      </w:r>
      <w:r w:rsidRPr="00D936CA">
        <w:rPr>
          <w:rFonts w:ascii="ITC Avant Garde" w:hAnsi="ITC Avant Garde" w:cs="Arial"/>
          <w:sz w:val="22"/>
          <w:szCs w:val="22"/>
          <w:lang w:val="es-ES" w:eastAsia="es-MX"/>
        </w:rPr>
        <w:t>el objetivo y alcance de este procedimiento es definir los pasos y actividades a desarrollar por parte de Telmex y del CS, a fin de realizar la suspensión/reactivación de los servicios de Reventa en caso de que el CS lo requiera; las fases en que se divide este procedimiento son: (i) Ingreso del CS al módulo de suspensión de servicios en el SEG para proporcionar la referencia del servicio que desea suspender o reactivar</w:t>
      </w:r>
      <w:r w:rsidRPr="00D936CA">
        <w:rPr>
          <w:rFonts w:ascii="ITC Avant Garde" w:hAnsi="ITC Avant Garde" w:cs="Arial"/>
          <w:sz w:val="22"/>
          <w:szCs w:val="22"/>
        </w:rPr>
        <w:t xml:space="preserve">; (ii) Validación del número a suspender o reactivar y (iii) Ejecución de la suspensión/reactivación por parte de Telmex, lo que detonará los procesos de facturación. </w:t>
      </w:r>
    </w:p>
    <w:tbl>
      <w:tblPr>
        <w:tblStyle w:val="Tablaconcuadrcula"/>
        <w:tblW w:w="5000" w:type="pct"/>
        <w:tblLook w:val="04A0" w:firstRow="1" w:lastRow="0" w:firstColumn="1" w:lastColumn="0" w:noHBand="0" w:noVBand="1"/>
      </w:tblPr>
      <w:tblGrid>
        <w:gridCol w:w="2636"/>
        <w:gridCol w:w="7645"/>
      </w:tblGrid>
      <w:tr w:rsidR="00D936CA" w:rsidRPr="00D936CA" w14:paraId="33CFEA26" w14:textId="77777777" w:rsidTr="00212D55">
        <w:tc>
          <w:tcPr>
            <w:tcW w:w="1282" w:type="pct"/>
          </w:tcPr>
          <w:p w14:paraId="33CFEA24" w14:textId="77777777" w:rsidR="00212D55" w:rsidRPr="00D936CA" w:rsidRDefault="00212D55"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718" w:type="pct"/>
          </w:tcPr>
          <w:p w14:paraId="33CFEA25" w14:textId="77777777" w:rsidR="00212D55" w:rsidRPr="00D936CA" w:rsidRDefault="00212D55"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A29" w14:textId="77777777" w:rsidTr="00212D55">
        <w:tc>
          <w:tcPr>
            <w:tcW w:w="1282" w:type="pct"/>
          </w:tcPr>
          <w:p w14:paraId="33CFEA27"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718" w:type="pct"/>
          </w:tcPr>
          <w:p w14:paraId="33CFEA28" w14:textId="3D34BCFB"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El CS deberá presentar sus solicitudes en el SEG (</w:t>
            </w:r>
            <w:r w:rsidR="009F4DE0" w:rsidRPr="00D936CA">
              <w:rPr>
                <w:rFonts w:ascii="ITC Avant Garde" w:hAnsi="ITC Avant Garde" w:cs="Arial"/>
                <w:bCs/>
                <w:sz w:val="20"/>
                <w:szCs w:val="20"/>
                <w:lang w:val="es-MX"/>
              </w:rPr>
              <w:t xml:space="preserve">podrá </w:t>
            </w:r>
            <w:r w:rsidR="009F4DE0">
              <w:rPr>
                <w:rFonts w:ascii="ITC Avant Garde" w:hAnsi="ITC Avant Garde" w:cs="Arial"/>
                <w:bCs/>
                <w:sz w:val="20"/>
                <w:szCs w:val="20"/>
                <w:lang w:val="es-MX"/>
              </w:rPr>
              <w:t>hacerlo</w:t>
            </w:r>
            <w:r w:rsidRPr="00D936CA">
              <w:rPr>
                <w:rFonts w:ascii="ITC Avant Garde" w:hAnsi="ITC Avant Garde" w:cs="Arial"/>
                <w:bCs/>
                <w:sz w:val="20"/>
                <w:szCs w:val="20"/>
                <w:lang w:val="es-MX"/>
              </w:rPr>
              <w:t xml:space="preserve"> de </w:t>
            </w:r>
            <w:r w:rsidR="00A30518" w:rsidRPr="00D936CA">
              <w:rPr>
                <w:rFonts w:ascii="ITC Avant Garde" w:hAnsi="ITC Avant Garde" w:cs="Arial"/>
                <w:bCs/>
                <w:sz w:val="20"/>
                <w:szCs w:val="20"/>
                <w:lang w:val="es-MX"/>
              </w:rPr>
              <w:t xml:space="preserve">acuerdo a </w:t>
            </w:r>
            <w:r w:rsidR="00221DB5">
              <w:rPr>
                <w:rFonts w:ascii="ITC Avant Garde" w:hAnsi="ITC Avant Garde" w:cs="Arial"/>
                <w:bCs/>
                <w:sz w:val="20"/>
                <w:szCs w:val="20"/>
                <w:lang w:val="es-MX"/>
              </w:rPr>
              <w:t xml:space="preserve">lo establecido en </w:t>
            </w:r>
            <w:r w:rsidR="00A30518" w:rsidRPr="00D936CA">
              <w:rPr>
                <w:rFonts w:ascii="ITC Avant Garde" w:hAnsi="ITC Avant Garde" w:cs="Arial"/>
                <w:bCs/>
                <w:sz w:val="20"/>
                <w:szCs w:val="20"/>
                <w:lang w:val="es-MX"/>
              </w:rPr>
              <w:t>el numeral 1.8)</w:t>
            </w:r>
            <w:r w:rsidRPr="00D936CA">
              <w:rPr>
                <w:rFonts w:ascii="ITC Avant Garde" w:hAnsi="ITC Avant Garde" w:cs="Arial"/>
                <w:bCs/>
                <w:sz w:val="20"/>
                <w:szCs w:val="20"/>
                <w:lang w:val="es-MX"/>
              </w:rPr>
              <w:t xml:space="preserve">, especificando el NIS-Referencia del servicio a modificar. </w:t>
            </w:r>
          </w:p>
        </w:tc>
      </w:tr>
      <w:tr w:rsidR="00D936CA" w:rsidRPr="00D936CA" w14:paraId="33CFEA2D" w14:textId="77777777" w:rsidTr="00212D55">
        <w:tc>
          <w:tcPr>
            <w:tcW w:w="1282" w:type="pct"/>
          </w:tcPr>
          <w:p w14:paraId="33CFEA2A"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Validación de solicitud</w:t>
            </w:r>
          </w:p>
        </w:tc>
        <w:tc>
          <w:tcPr>
            <w:tcW w:w="3718" w:type="pct"/>
          </w:tcPr>
          <w:p w14:paraId="33CFEA2B" w14:textId="3CDC4676"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Durante el proceso de validación, Telmex únicamente validar</w:t>
            </w:r>
            <w:r w:rsidR="00980F56">
              <w:rPr>
                <w:rFonts w:ascii="ITC Avant Garde" w:hAnsi="ITC Avant Garde" w:cs="Arial"/>
                <w:bCs/>
                <w:sz w:val="20"/>
                <w:szCs w:val="20"/>
                <w:lang w:val="es-MX"/>
              </w:rPr>
              <w:t>á en</w:t>
            </w:r>
            <w:r w:rsidRPr="00D936CA">
              <w:rPr>
                <w:rFonts w:ascii="ITC Avant Garde" w:hAnsi="ITC Avant Garde" w:cs="Arial"/>
                <w:bCs/>
                <w:sz w:val="20"/>
                <w:szCs w:val="20"/>
                <w:lang w:val="es-MX"/>
              </w:rPr>
              <w:t xml:space="preserve"> la solicitud que el servicio que se quiera suspender o reactivar pertenezca al CS.</w:t>
            </w:r>
          </w:p>
          <w:p w14:paraId="33CFEA2C" w14:textId="011993FC"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 xml:space="preserve"> Una vez validados los campos correspondientes se procederá directamente a la etapa de Suspensión/Reactivación (según aplique).</w:t>
            </w:r>
          </w:p>
        </w:tc>
      </w:tr>
      <w:tr w:rsidR="00D936CA" w:rsidRPr="00D936CA" w14:paraId="33CFEA30" w14:textId="77777777" w:rsidTr="00212D55">
        <w:tc>
          <w:tcPr>
            <w:tcW w:w="1282" w:type="pct"/>
          </w:tcPr>
          <w:p w14:paraId="33CFEA2E"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Suspensión</w:t>
            </w:r>
          </w:p>
        </w:tc>
        <w:tc>
          <w:tcPr>
            <w:tcW w:w="3718" w:type="pct"/>
          </w:tcPr>
          <w:p w14:paraId="33CFEA2F" w14:textId="77777777"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sz w:val="20"/>
                <w:szCs w:val="20"/>
              </w:rPr>
              <w:t xml:space="preserve"> Una vez que se haya validado la solicitud se suspenderá el servicio en un plazo no mayor a</w:t>
            </w:r>
            <w:r w:rsidRPr="00D936CA">
              <w:rPr>
                <w:rFonts w:ascii="ITC Avant Garde" w:hAnsi="ITC Avant Garde"/>
                <w:sz w:val="20"/>
                <w:szCs w:val="20"/>
                <w:lang w:val="es-ES"/>
              </w:rPr>
              <w:t xml:space="preserve"> 1 día hábil</w:t>
            </w:r>
            <w:r w:rsidRPr="00D936CA">
              <w:rPr>
                <w:rFonts w:ascii="ITC Avant Garde" w:hAnsi="ITC Avant Garde" w:cs="Arial"/>
                <w:sz w:val="20"/>
                <w:szCs w:val="20"/>
              </w:rPr>
              <w:t>.</w:t>
            </w:r>
          </w:p>
        </w:tc>
      </w:tr>
      <w:tr w:rsidR="00D936CA" w:rsidRPr="00D936CA" w14:paraId="33CFEA33" w14:textId="77777777" w:rsidTr="00212D55">
        <w:tc>
          <w:tcPr>
            <w:tcW w:w="1282" w:type="pct"/>
          </w:tcPr>
          <w:p w14:paraId="33CFEA31"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Reactivación</w:t>
            </w:r>
          </w:p>
        </w:tc>
        <w:tc>
          <w:tcPr>
            <w:tcW w:w="3718" w:type="pct"/>
          </w:tcPr>
          <w:p w14:paraId="33CFEA32" w14:textId="5DDA526A"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sz w:val="20"/>
                <w:szCs w:val="20"/>
              </w:rPr>
              <w:t>En el caso de la reactivación se realizará en un plazo máximo de 2 horas a partir de la solicitud, atendiéndose la</w:t>
            </w:r>
            <w:r w:rsidR="00980F56">
              <w:rPr>
                <w:rFonts w:ascii="ITC Avant Garde" w:hAnsi="ITC Avant Garde" w:cs="Arial"/>
                <w:sz w:val="20"/>
                <w:szCs w:val="20"/>
              </w:rPr>
              <w:t>s</w:t>
            </w:r>
            <w:r w:rsidRPr="00D936CA">
              <w:rPr>
                <w:rFonts w:ascii="ITC Avant Garde" w:hAnsi="ITC Avant Garde" w:cs="Arial"/>
                <w:sz w:val="20"/>
                <w:szCs w:val="20"/>
              </w:rPr>
              <w:t xml:space="preserve"> misma</w:t>
            </w:r>
            <w:r w:rsidR="00980F56">
              <w:rPr>
                <w:rFonts w:ascii="ITC Avant Garde" w:hAnsi="ITC Avant Garde" w:cs="Arial"/>
                <w:sz w:val="20"/>
                <w:szCs w:val="20"/>
              </w:rPr>
              <w:t>s</w:t>
            </w:r>
            <w:r w:rsidRPr="00D936CA">
              <w:rPr>
                <w:rFonts w:ascii="ITC Avant Garde" w:hAnsi="ITC Avant Garde" w:cs="Arial"/>
                <w:sz w:val="20"/>
                <w:szCs w:val="20"/>
              </w:rPr>
              <w:t xml:space="preserve"> en el estricto orden en que fueron solicitadas, incluyendo</w:t>
            </w:r>
            <w:r w:rsidR="00342E2C">
              <w:rPr>
                <w:rFonts w:ascii="ITC Avant Garde" w:hAnsi="ITC Avant Garde" w:cs="Arial"/>
                <w:sz w:val="20"/>
                <w:szCs w:val="20"/>
              </w:rPr>
              <w:t xml:space="preserve"> a</w:t>
            </w:r>
            <w:r w:rsidRPr="00D936CA">
              <w:rPr>
                <w:rFonts w:ascii="ITC Avant Garde" w:hAnsi="ITC Avant Garde" w:cs="Arial"/>
                <w:sz w:val="20"/>
                <w:szCs w:val="20"/>
              </w:rPr>
              <w:t xml:space="preserve"> las propias operaciones de Telmex.</w:t>
            </w:r>
          </w:p>
        </w:tc>
      </w:tr>
      <w:tr w:rsidR="00212D55" w:rsidRPr="00D936CA" w14:paraId="33CFEA38" w14:textId="77777777" w:rsidTr="00212D55">
        <w:tc>
          <w:tcPr>
            <w:tcW w:w="1282" w:type="pct"/>
          </w:tcPr>
          <w:p w14:paraId="33CFEA34"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Facturación</w:t>
            </w:r>
          </w:p>
        </w:tc>
        <w:tc>
          <w:tcPr>
            <w:tcW w:w="3718" w:type="pct"/>
          </w:tcPr>
          <w:p w14:paraId="33CFEA35" w14:textId="77777777" w:rsidR="00212D55" w:rsidRPr="00D936CA" w:rsidRDefault="00212D55" w:rsidP="00D936CA">
            <w:pPr>
              <w:pStyle w:val="IFTnormal"/>
              <w:rPr>
                <w:sz w:val="20"/>
                <w:szCs w:val="20"/>
              </w:rPr>
            </w:pPr>
            <w:r w:rsidRPr="00D936CA">
              <w:rPr>
                <w:sz w:val="20"/>
                <w:szCs w:val="20"/>
              </w:rPr>
              <w:t>Al corte del mes se realizará la facturación aplicable al servicio:</w:t>
            </w:r>
          </w:p>
          <w:p w14:paraId="33CFEA36" w14:textId="77777777" w:rsidR="00212D55" w:rsidRPr="00D936CA" w:rsidRDefault="00212D55" w:rsidP="00D936CA">
            <w:pPr>
              <w:pStyle w:val="IFTnormal"/>
              <w:numPr>
                <w:ilvl w:val="0"/>
                <w:numId w:val="102"/>
              </w:numPr>
              <w:ind w:left="318" w:hanging="284"/>
              <w:rPr>
                <w:rFonts w:cs="Arial"/>
                <w:sz w:val="20"/>
                <w:szCs w:val="20"/>
              </w:rPr>
            </w:pPr>
            <w:r w:rsidRPr="00D936CA">
              <w:rPr>
                <w:sz w:val="20"/>
                <w:szCs w:val="20"/>
              </w:rPr>
              <w:t>El CS contará con la posibilidad de solicitar ajustes o aclaraciones respecto a los conceptos y servicios incluidos en su factura.</w:t>
            </w:r>
          </w:p>
          <w:p w14:paraId="33CFEA37" w14:textId="4D4ECA3E" w:rsidR="00212D55" w:rsidRPr="00D936CA" w:rsidRDefault="00212D55" w:rsidP="00D936CA">
            <w:pPr>
              <w:pStyle w:val="IFTnormal"/>
              <w:numPr>
                <w:ilvl w:val="0"/>
                <w:numId w:val="102"/>
              </w:numPr>
              <w:ind w:left="318" w:hanging="284"/>
              <w:rPr>
                <w:rFonts w:cs="Arial"/>
                <w:sz w:val="20"/>
                <w:szCs w:val="20"/>
              </w:rPr>
            </w:pPr>
            <w:r w:rsidRPr="00D936CA">
              <w:rPr>
                <w:sz w:val="20"/>
                <w:szCs w:val="20"/>
              </w:rPr>
              <w:t>E</w:t>
            </w:r>
            <w:r w:rsidR="00980F56">
              <w:rPr>
                <w:sz w:val="20"/>
                <w:szCs w:val="20"/>
              </w:rPr>
              <w:t>l</w:t>
            </w:r>
            <w:r w:rsidRPr="00D936CA">
              <w:rPr>
                <w:sz w:val="20"/>
                <w:szCs w:val="20"/>
              </w:rPr>
              <w:t xml:space="preserve"> cobro será aplicado conforme a las prácticas y operaciones de Telmex</w:t>
            </w:r>
          </w:p>
        </w:tc>
      </w:tr>
    </w:tbl>
    <w:p w14:paraId="33CFEA39" w14:textId="77777777" w:rsidR="00837A16" w:rsidRPr="00D936CA" w:rsidRDefault="00837A16" w:rsidP="00D936CA">
      <w:pPr>
        <w:spacing w:after="200" w:line="276" w:lineRule="auto"/>
        <w:jc w:val="both"/>
        <w:rPr>
          <w:rFonts w:ascii="ITC Avant Garde" w:hAnsi="ITC Avant Garde" w:cs="Arial"/>
          <w:sz w:val="22"/>
          <w:szCs w:val="22"/>
        </w:rPr>
      </w:pPr>
    </w:p>
    <w:p w14:paraId="33CFEA3A" w14:textId="62B17FFE" w:rsidR="00837A16" w:rsidRPr="00D936CA" w:rsidRDefault="00837A16" w:rsidP="00D936CA">
      <w:pPr>
        <w:spacing w:after="200" w:line="276" w:lineRule="auto"/>
        <w:jc w:val="both"/>
        <w:rPr>
          <w:rFonts w:ascii="ITC Avant Garde" w:hAnsi="ITC Avant Garde" w:cs="Arial"/>
          <w:b/>
          <w:sz w:val="22"/>
          <w:szCs w:val="22"/>
        </w:rPr>
      </w:pPr>
      <w:r w:rsidRPr="00D936CA">
        <w:rPr>
          <w:rFonts w:ascii="ITC Avant Garde" w:hAnsi="ITC Avant Garde" w:cs="Arial"/>
          <w:b/>
          <w:sz w:val="22"/>
          <w:szCs w:val="22"/>
        </w:rPr>
        <w:t>Procedimi</w:t>
      </w:r>
      <w:r w:rsidR="00CA21E6">
        <w:rPr>
          <w:rFonts w:ascii="ITC Avant Garde" w:hAnsi="ITC Avant Garde" w:cs="Arial"/>
          <w:b/>
          <w:sz w:val="22"/>
          <w:szCs w:val="22"/>
        </w:rPr>
        <w:t xml:space="preserve">ento de baja de </w:t>
      </w:r>
      <w:r w:rsidR="001E6506">
        <w:rPr>
          <w:rFonts w:ascii="ITC Avant Garde" w:hAnsi="ITC Avant Garde" w:cs="Arial"/>
          <w:b/>
          <w:sz w:val="22"/>
          <w:szCs w:val="22"/>
        </w:rPr>
        <w:t>SRL</w:t>
      </w:r>
      <w:r w:rsidR="00CA21E6">
        <w:rPr>
          <w:rFonts w:ascii="ITC Avant Garde" w:hAnsi="ITC Avant Garde" w:cs="Arial"/>
          <w:b/>
          <w:sz w:val="22"/>
          <w:szCs w:val="22"/>
        </w:rPr>
        <w:t>, SRI y SRP</w:t>
      </w:r>
    </w:p>
    <w:p w14:paraId="33CFEA3B" w14:textId="4E8825EA" w:rsidR="00837A16" w:rsidRPr="00D936CA" w:rsidRDefault="00837A16" w:rsidP="00D936CA">
      <w:pPr>
        <w:spacing w:after="200" w:line="276" w:lineRule="auto"/>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w:t>
      </w:r>
      <w:r w:rsidR="001E6506">
        <w:rPr>
          <w:rStyle w:val="IFTnormalCar"/>
        </w:rPr>
        <w:t>SRL</w:t>
      </w:r>
      <w:r w:rsidR="00CA21E6">
        <w:rPr>
          <w:rStyle w:val="IFTnormalCar"/>
        </w:rPr>
        <w:t>, SRI y SRP</w:t>
      </w:r>
      <w:r w:rsidRPr="00D936CA">
        <w:rPr>
          <w:rStyle w:val="IFTnormalCar"/>
        </w:rPr>
        <w:t>; las fases en que se divide este procedimiento son: (i) Entrega y</w:t>
      </w:r>
      <w:r w:rsidRPr="00D936CA">
        <w:rPr>
          <w:rFonts w:ascii="ITC Avant Garde" w:hAnsi="ITC Avant Garde" w:cs="Arial"/>
          <w:sz w:val="22"/>
          <w:szCs w:val="22"/>
          <w:lang w:val="es-ES" w:eastAsia="es-MX"/>
        </w:rPr>
        <w:t xml:space="preserve">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y (ii) Baja del (los) servicio (s) y de la facturación correspondiente.</w:t>
      </w:r>
    </w:p>
    <w:tbl>
      <w:tblPr>
        <w:tblStyle w:val="Tablaconcuadrcula"/>
        <w:tblW w:w="5000" w:type="pct"/>
        <w:tblLook w:val="04A0" w:firstRow="1" w:lastRow="0" w:firstColumn="1" w:lastColumn="0" w:noHBand="0" w:noVBand="1"/>
      </w:tblPr>
      <w:tblGrid>
        <w:gridCol w:w="2636"/>
        <w:gridCol w:w="7645"/>
      </w:tblGrid>
      <w:tr w:rsidR="00D936CA" w:rsidRPr="00D936CA" w14:paraId="33CFEA3E" w14:textId="77777777" w:rsidTr="00212D55">
        <w:tc>
          <w:tcPr>
            <w:tcW w:w="1282" w:type="pct"/>
          </w:tcPr>
          <w:p w14:paraId="33CFEA3C" w14:textId="77777777" w:rsidR="00212D55" w:rsidRPr="00D936CA" w:rsidRDefault="00212D55"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718" w:type="pct"/>
          </w:tcPr>
          <w:p w14:paraId="33CFEA3D" w14:textId="77777777" w:rsidR="00212D55" w:rsidRPr="00D936CA" w:rsidRDefault="00212D55"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A41" w14:textId="77777777" w:rsidTr="00212D55">
        <w:tc>
          <w:tcPr>
            <w:tcW w:w="1282" w:type="pct"/>
          </w:tcPr>
          <w:p w14:paraId="33CFEA3F"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718" w:type="pct"/>
          </w:tcPr>
          <w:p w14:paraId="33CFEA40" w14:textId="6E3C512C"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 xml:space="preserve">El CS deberá presentar sus solicitudes en el </w:t>
            </w:r>
            <w:r w:rsidR="00E60106" w:rsidRPr="00D936CA">
              <w:rPr>
                <w:rFonts w:ascii="ITC Avant Garde" w:hAnsi="ITC Avant Garde" w:cs="Arial"/>
                <w:bCs/>
                <w:sz w:val="20"/>
                <w:szCs w:val="20"/>
                <w:lang w:val="es-MX"/>
              </w:rPr>
              <w:t>SEG,</w:t>
            </w:r>
            <w:r w:rsidRPr="00D936CA">
              <w:rPr>
                <w:rFonts w:ascii="ITC Avant Garde" w:hAnsi="ITC Avant Garde" w:cs="Arial"/>
                <w:bCs/>
                <w:sz w:val="20"/>
                <w:szCs w:val="20"/>
                <w:lang w:val="es-MX"/>
              </w:rPr>
              <w:t xml:space="preserve"> especificando el NIS-Referencia del servicio en operación. </w:t>
            </w:r>
          </w:p>
        </w:tc>
      </w:tr>
      <w:tr w:rsidR="00D936CA" w:rsidRPr="00D936CA" w14:paraId="33CFEA49" w14:textId="77777777" w:rsidTr="00060B2E">
        <w:tc>
          <w:tcPr>
            <w:tcW w:w="1282" w:type="pct"/>
          </w:tcPr>
          <w:p w14:paraId="33CFEA42" w14:textId="77777777" w:rsidR="00212D55" w:rsidRPr="00D936CA" w:rsidRDefault="00212D55" w:rsidP="00D936CA">
            <w:pPr>
              <w:pStyle w:val="IFTnormal"/>
              <w:jc w:val="left"/>
              <w:rPr>
                <w:b/>
                <w:sz w:val="20"/>
                <w:szCs w:val="20"/>
              </w:rPr>
            </w:pPr>
            <w:r w:rsidRPr="00D936CA">
              <w:rPr>
                <w:b/>
                <w:sz w:val="20"/>
                <w:szCs w:val="20"/>
              </w:rPr>
              <w:t>Validación de solicitud</w:t>
            </w:r>
          </w:p>
        </w:tc>
        <w:tc>
          <w:tcPr>
            <w:tcW w:w="3718" w:type="pct"/>
            <w:shd w:val="clear" w:color="auto" w:fill="auto"/>
          </w:tcPr>
          <w:p w14:paraId="33CFEA43" w14:textId="77777777" w:rsidR="00212D55" w:rsidRPr="00D936CA" w:rsidRDefault="00212D55" w:rsidP="00D936CA">
            <w:pPr>
              <w:pStyle w:val="IFTnormal"/>
              <w:rPr>
                <w:sz w:val="20"/>
                <w:szCs w:val="20"/>
              </w:rPr>
            </w:pPr>
            <w:r w:rsidRPr="00D936CA">
              <w:rPr>
                <w:sz w:val="20"/>
                <w:szCs w:val="20"/>
              </w:rPr>
              <w:t>Durante el proceso de validación, Telmex evaluará las solicitudes enviadas por los CS para determinar si:</w:t>
            </w:r>
          </w:p>
          <w:p w14:paraId="33CFEA44"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La información capturada es suficiente para procesar la solicitud.</w:t>
            </w:r>
          </w:p>
          <w:p w14:paraId="33CFEA45" w14:textId="77777777" w:rsidR="00212D55" w:rsidRPr="00D936CA" w:rsidRDefault="00212D55" w:rsidP="00D936CA">
            <w:pPr>
              <w:pStyle w:val="IFTnormal"/>
              <w:numPr>
                <w:ilvl w:val="0"/>
                <w:numId w:val="101"/>
              </w:numPr>
              <w:spacing w:after="120" w:line="240" w:lineRule="auto"/>
              <w:rPr>
                <w:sz w:val="20"/>
                <w:szCs w:val="20"/>
              </w:rPr>
            </w:pPr>
            <w:r w:rsidRPr="00D936CA">
              <w:rPr>
                <w:sz w:val="20"/>
                <w:szCs w:val="20"/>
              </w:rPr>
              <w:t>El CS capturó correctamente los detalles del servicio requerido.</w:t>
            </w:r>
          </w:p>
          <w:p w14:paraId="33CFEA46"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xml:space="preserve">, Telmex cambiará el folio previamente </w:t>
            </w:r>
            <w:r w:rsidRPr="00D936CA">
              <w:rPr>
                <w:sz w:val="20"/>
                <w:szCs w:val="20"/>
              </w:rPr>
              <w:lastRenderedPageBreak/>
              <w:t>asignado por el Número de Identificación de Solicitud (NIS).</w:t>
            </w:r>
          </w:p>
          <w:p w14:paraId="33CFEA47" w14:textId="44D14846" w:rsidR="00212D55" w:rsidRPr="00980F56" w:rsidRDefault="00212D55" w:rsidP="00D936CA">
            <w:pPr>
              <w:pStyle w:val="IFTnormal"/>
              <w:numPr>
                <w:ilvl w:val="0"/>
                <w:numId w:val="102"/>
              </w:numPr>
              <w:ind w:left="318" w:hanging="318"/>
              <w:rPr>
                <w:sz w:val="20"/>
                <w:szCs w:val="20"/>
              </w:rPr>
            </w:pPr>
            <w:r w:rsidRPr="00980F56">
              <w:rPr>
                <w:b/>
                <w:sz w:val="20"/>
                <w:szCs w:val="20"/>
              </w:rPr>
              <w:t>Si es incorrecta</w:t>
            </w:r>
            <w:r w:rsidRPr="00980F56">
              <w:rPr>
                <w:sz w:val="20"/>
                <w:szCs w:val="20"/>
              </w:rPr>
              <w:t>, Telmex devolverá la solicitud al CS indicando el motivo de rechazo, para que sea</w:t>
            </w:r>
            <w:r w:rsidR="00A6534F">
              <w:rPr>
                <w:sz w:val="20"/>
                <w:szCs w:val="20"/>
              </w:rPr>
              <w:t xml:space="preserve"> </w:t>
            </w:r>
            <w:r w:rsidRPr="00980F56">
              <w:rPr>
                <w:sz w:val="20"/>
                <w:szCs w:val="20"/>
              </w:rPr>
              <w:t>corregida y reenviada nuevamente a validación.</w:t>
            </w:r>
          </w:p>
          <w:p w14:paraId="33CFEA48" w14:textId="2BCE8590" w:rsidR="00212D55" w:rsidRPr="00D936CA" w:rsidRDefault="00980F56" w:rsidP="00D936CA">
            <w:pPr>
              <w:pStyle w:val="IFTnormal"/>
              <w:rPr>
                <w:sz w:val="20"/>
                <w:szCs w:val="20"/>
              </w:rPr>
            </w:pPr>
            <w:r>
              <w:rPr>
                <w:sz w:val="20"/>
                <w:szCs w:val="20"/>
              </w:rPr>
              <w:t>L</w:t>
            </w:r>
            <w:r w:rsidR="00212D55" w:rsidRPr="00D936CA">
              <w:rPr>
                <w:sz w:val="20"/>
                <w:szCs w:val="20"/>
              </w:rPr>
              <w:t>os CS incluyendo Telmex, harán uso de los mismos elementos, herramientas, funcionalidades, información, etc. Una vez validados los campos correspondientes se procederá directamente a la etapa Ejecución de baja.</w:t>
            </w:r>
          </w:p>
        </w:tc>
      </w:tr>
      <w:tr w:rsidR="00D936CA" w:rsidRPr="00D936CA" w14:paraId="33CFEA4D" w14:textId="77777777" w:rsidTr="00212D55">
        <w:tc>
          <w:tcPr>
            <w:tcW w:w="1282" w:type="pct"/>
          </w:tcPr>
          <w:p w14:paraId="33CFEA4A"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Ejecución de baja</w:t>
            </w:r>
          </w:p>
        </w:tc>
        <w:tc>
          <w:tcPr>
            <w:tcW w:w="3718" w:type="pct"/>
          </w:tcPr>
          <w:p w14:paraId="33CFEA4B" w14:textId="72850D98" w:rsidR="00212D55" w:rsidRPr="00D936CA" w:rsidRDefault="00212D55" w:rsidP="00D936CA">
            <w:pPr>
              <w:pStyle w:val="IFTnormal"/>
              <w:rPr>
                <w:sz w:val="20"/>
                <w:szCs w:val="20"/>
              </w:rPr>
            </w:pPr>
            <w:r w:rsidRPr="00D936CA">
              <w:rPr>
                <w:sz w:val="20"/>
                <w:szCs w:val="20"/>
              </w:rPr>
              <w:t>Una vez asignado el Número de Identificación de Solicitud (NIS) se dará de baja en un plazo máximo de 1 día hábil. Cuando el módem/ONT sea de Telmex, el CS será responsable de tramitar con su usuario la devolución del equipo y así mismo regresarlo a Telmex, tal y como Telmex lo realiza con sus propios usuarios</w:t>
            </w:r>
            <w:r w:rsidR="00980F56">
              <w:rPr>
                <w:sz w:val="20"/>
                <w:szCs w:val="20"/>
              </w:rPr>
              <w:t>,</w:t>
            </w:r>
            <w:r w:rsidRPr="00D936CA">
              <w:rPr>
                <w:sz w:val="20"/>
                <w:szCs w:val="20"/>
              </w:rPr>
              <w:t xml:space="preserve"> lo cual deberá suceder en el plazo máximo correspondiente al siguiente ciclo de facturación.</w:t>
            </w:r>
          </w:p>
          <w:p w14:paraId="33CFEA4C" w14:textId="0DE08917" w:rsidR="00212D55" w:rsidRPr="00D936CA" w:rsidRDefault="00212D55" w:rsidP="00D936CA">
            <w:pPr>
              <w:pStyle w:val="IFTnormal"/>
            </w:pPr>
            <w:r w:rsidRPr="00D936CA">
              <w:rPr>
                <w:sz w:val="20"/>
                <w:szCs w:val="20"/>
              </w:rPr>
              <w:t>Telmex procederá a dar de baja el servicio</w:t>
            </w:r>
            <w:r w:rsidR="00D27B7C">
              <w:rPr>
                <w:sz w:val="20"/>
                <w:szCs w:val="20"/>
              </w:rPr>
              <w:t>,</w:t>
            </w:r>
            <w:r w:rsidRPr="00D936CA">
              <w:rPr>
                <w:sz w:val="20"/>
                <w:szCs w:val="20"/>
              </w:rPr>
              <w:t xml:space="preserve"> así como los cargos al CS asociados</w:t>
            </w:r>
            <w:r w:rsidR="00980F56">
              <w:rPr>
                <w:sz w:val="20"/>
                <w:szCs w:val="20"/>
              </w:rPr>
              <w:t>,</w:t>
            </w:r>
            <w:r w:rsidRPr="00D936CA">
              <w:rPr>
                <w:sz w:val="20"/>
                <w:szCs w:val="20"/>
              </w:rPr>
              <w:t xml:space="preserve"> en un máximo de 2 días hábiles a partir de la solicitud.</w:t>
            </w:r>
          </w:p>
        </w:tc>
      </w:tr>
    </w:tbl>
    <w:p w14:paraId="33CFEA4E" w14:textId="77777777" w:rsidR="00837A16" w:rsidRPr="00D936CA" w:rsidRDefault="00837A16" w:rsidP="00D936CA">
      <w:pPr>
        <w:pStyle w:val="IFTnormal"/>
      </w:pPr>
      <w:r w:rsidRPr="00D936CA">
        <w:t>Notas:</w:t>
      </w:r>
    </w:p>
    <w:p w14:paraId="33CFEA4F" w14:textId="77777777" w:rsidR="00837A16" w:rsidRPr="00D936CA" w:rsidRDefault="00837A16" w:rsidP="00D936CA">
      <w:pPr>
        <w:pStyle w:val="IFTnormal"/>
      </w:pPr>
      <w:r w:rsidRPr="00D936CA">
        <w:t>El CS deberá tomar en cuenta que no existe el esquema de rentas parciales sino sólo de rentas mensuales, por lo que no será posible realizar cobros parciales de los servicios.</w:t>
      </w:r>
    </w:p>
    <w:p w14:paraId="33CFEA50" w14:textId="77777777" w:rsidR="00837A16" w:rsidRPr="00D936CA" w:rsidRDefault="00837A16" w:rsidP="00D936CA">
      <w:pPr>
        <w:pStyle w:val="IFTnormal"/>
      </w:pPr>
      <w:r w:rsidRPr="00D936CA">
        <w:t>Asimismo, el CS deberá tener en cuenta que los procesos de facturación de Telmex pueden llegar a presentar desfases en la facturación del tráfico de voz, por lo que aun cuando haya sido dado de baja el servicio, podrán existir cobros por los servicios de voz pendientes</w:t>
      </w:r>
      <w:r w:rsidR="00212D55" w:rsidRPr="00D936CA">
        <w:t>, los cuales no podrán corresponder a un plazo de dos días posteriores de la solicitud de baja y en su caso estar plenamente justificados</w:t>
      </w:r>
      <w:r w:rsidRPr="00D936CA">
        <w:t>.</w:t>
      </w:r>
    </w:p>
    <w:p w14:paraId="33CFEA51" w14:textId="77777777" w:rsidR="00212D55" w:rsidRPr="00D936CA" w:rsidRDefault="00212D55" w:rsidP="00D936CA">
      <w:pPr>
        <w:spacing w:after="200" w:line="276" w:lineRule="auto"/>
        <w:jc w:val="both"/>
        <w:rPr>
          <w:rFonts w:ascii="ITC Avant Garde" w:hAnsi="ITC Avant Garde" w:cs="Arial"/>
          <w:b/>
          <w:sz w:val="22"/>
          <w:szCs w:val="22"/>
        </w:rPr>
      </w:pPr>
      <w:r w:rsidRPr="00D936CA">
        <w:rPr>
          <w:rFonts w:ascii="ITC Avant Garde" w:hAnsi="ITC Avant Garde" w:cs="Arial"/>
          <w:b/>
          <w:sz w:val="22"/>
          <w:szCs w:val="22"/>
        </w:rPr>
        <w:t>Procedimiento de cancelación de solicitud</w:t>
      </w:r>
    </w:p>
    <w:p w14:paraId="33CFEA52" w14:textId="5829E2A7" w:rsidR="00837A16" w:rsidRPr="00D936CA" w:rsidRDefault="00837A16" w:rsidP="00D936CA">
      <w:pPr>
        <w:spacing w:after="200" w:line="276" w:lineRule="auto"/>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aplica para los casos en que el CS hubiera solicitado una habilitación </w:t>
      </w:r>
      <w:r w:rsidR="00E36163">
        <w:rPr>
          <w:rFonts w:ascii="ITC Avant Garde" w:hAnsi="ITC Avant Garde" w:cs="Arial"/>
          <w:sz w:val="22"/>
          <w:szCs w:val="22"/>
          <w:lang w:val="es-ES" w:eastAsia="es-MX"/>
        </w:rPr>
        <w:t>o</w:t>
      </w:r>
      <w:r w:rsidRPr="00D936CA">
        <w:rPr>
          <w:rFonts w:ascii="ITC Avant Garde" w:hAnsi="ITC Avant Garde" w:cs="Arial"/>
          <w:sz w:val="22"/>
          <w:szCs w:val="22"/>
          <w:lang w:val="es-ES" w:eastAsia="es-MX"/>
        </w:rPr>
        <w:t xml:space="preserve"> un cambio de domicilio y decide cancelarlo antes de que se hubiera concluido el movimiento solicitado;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Solicitud para que el CS manifieste su intención de cancelar el servicio previamente solicitado, y la validación por parte de Telmex de que la solicitud cuenta con todos los elementos; </w:t>
      </w:r>
      <w:r w:rsidRPr="00D936CA">
        <w:rPr>
          <w:rFonts w:ascii="ITC Avant Garde" w:hAnsi="ITC Avant Garde" w:cs="Arial"/>
          <w:sz w:val="22"/>
          <w:szCs w:val="22"/>
        </w:rPr>
        <w:t xml:space="preserve">y </w:t>
      </w:r>
      <w:r w:rsidRPr="00D936CA">
        <w:rPr>
          <w:rFonts w:ascii="ITC Avant Garde" w:hAnsi="ITC Avant Garde" w:cs="Arial"/>
          <w:b/>
          <w:sz w:val="22"/>
          <w:szCs w:val="22"/>
        </w:rPr>
        <w:t>(ii)</w:t>
      </w:r>
      <w:r w:rsidRPr="00D936CA">
        <w:rPr>
          <w:rFonts w:ascii="ITC Avant Garde" w:hAnsi="ITC Avant Garde" w:cs="Arial"/>
          <w:sz w:val="22"/>
          <w:szCs w:val="22"/>
        </w:rPr>
        <w:t xml:space="preserve"> Cancelación  del (los) servicio (s).</w:t>
      </w:r>
    </w:p>
    <w:tbl>
      <w:tblPr>
        <w:tblStyle w:val="Tablaconcuadrcula"/>
        <w:tblW w:w="5000" w:type="pct"/>
        <w:tblLook w:val="04A0" w:firstRow="1" w:lastRow="0" w:firstColumn="1" w:lastColumn="0" w:noHBand="0" w:noVBand="1"/>
      </w:tblPr>
      <w:tblGrid>
        <w:gridCol w:w="2636"/>
        <w:gridCol w:w="7645"/>
      </w:tblGrid>
      <w:tr w:rsidR="00D936CA" w:rsidRPr="00D936CA" w14:paraId="33CFEA55" w14:textId="77777777" w:rsidTr="00212D55">
        <w:tc>
          <w:tcPr>
            <w:tcW w:w="1282" w:type="pct"/>
          </w:tcPr>
          <w:p w14:paraId="33CFEA53" w14:textId="77777777" w:rsidR="00212D55" w:rsidRPr="00D936CA" w:rsidRDefault="00212D55"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718" w:type="pct"/>
          </w:tcPr>
          <w:p w14:paraId="33CFEA54" w14:textId="77777777" w:rsidR="00212D55" w:rsidRPr="00D936CA" w:rsidRDefault="00212D55"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A58" w14:textId="77777777" w:rsidTr="00212D55">
        <w:tc>
          <w:tcPr>
            <w:tcW w:w="1282" w:type="pct"/>
          </w:tcPr>
          <w:p w14:paraId="33CFEA56"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Envío de solicitud</w:t>
            </w:r>
          </w:p>
        </w:tc>
        <w:tc>
          <w:tcPr>
            <w:tcW w:w="3718" w:type="pct"/>
          </w:tcPr>
          <w:p w14:paraId="33CFEA57" w14:textId="58726806" w:rsidR="00212D55" w:rsidRPr="00D936CA" w:rsidRDefault="00212D55"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 xml:space="preserve">El CS deberá ingresar la solicitud </w:t>
            </w:r>
            <w:r w:rsidR="00980F56">
              <w:rPr>
                <w:rFonts w:ascii="ITC Avant Garde" w:hAnsi="ITC Avant Garde" w:cs="Arial"/>
                <w:bCs/>
                <w:sz w:val="20"/>
                <w:szCs w:val="20"/>
                <w:lang w:val="es-MX"/>
              </w:rPr>
              <w:t>en el</w:t>
            </w:r>
            <w:r w:rsidRPr="00D936CA">
              <w:rPr>
                <w:rFonts w:ascii="ITC Avant Garde" w:hAnsi="ITC Avant Garde" w:cs="Arial"/>
                <w:bCs/>
                <w:sz w:val="20"/>
                <w:szCs w:val="20"/>
                <w:lang w:val="es-MX"/>
              </w:rPr>
              <w:t xml:space="preserve"> SEG  </w:t>
            </w:r>
            <w:r w:rsidRPr="00221DB5">
              <w:rPr>
                <w:rFonts w:ascii="ITC Avant Garde" w:hAnsi="ITC Avant Garde" w:cs="Arial"/>
                <w:bCs/>
                <w:sz w:val="20"/>
                <w:szCs w:val="20"/>
                <w:lang w:val="es-MX"/>
              </w:rPr>
              <w:t>o vía telefónica al 01800-4040734</w:t>
            </w:r>
            <w:r w:rsidRPr="00D936CA">
              <w:rPr>
                <w:rFonts w:ascii="ITC Avant Garde" w:hAnsi="ITC Avant Garde" w:cs="Arial"/>
                <w:bCs/>
                <w:sz w:val="20"/>
                <w:szCs w:val="20"/>
                <w:lang w:val="es-MX"/>
              </w:rPr>
              <w:t xml:space="preserve"> indicando el NIS-Referencia del servicio que desea cancelar</w:t>
            </w:r>
            <w:r w:rsidR="00980F56">
              <w:rPr>
                <w:rStyle w:val="Refdenotaalpie"/>
                <w:rFonts w:ascii="ITC Avant Garde" w:hAnsi="ITC Avant Garde" w:cs="Arial"/>
                <w:bCs/>
                <w:sz w:val="20"/>
                <w:szCs w:val="20"/>
                <w:lang w:val="es-MX"/>
              </w:rPr>
              <w:footnoteReference w:id="17"/>
            </w:r>
            <w:r w:rsidRPr="00D936CA">
              <w:rPr>
                <w:rFonts w:ascii="ITC Avant Garde" w:hAnsi="ITC Avant Garde" w:cs="Arial"/>
                <w:bCs/>
                <w:sz w:val="20"/>
                <w:szCs w:val="20"/>
                <w:lang w:val="es-MX"/>
              </w:rPr>
              <w:t>.</w:t>
            </w:r>
          </w:p>
        </w:tc>
      </w:tr>
      <w:tr w:rsidR="00D936CA" w:rsidRPr="00D936CA" w14:paraId="33CFEA5D" w14:textId="77777777" w:rsidTr="00060B2E">
        <w:tc>
          <w:tcPr>
            <w:tcW w:w="1282" w:type="pct"/>
          </w:tcPr>
          <w:p w14:paraId="33CFEA59" w14:textId="77777777" w:rsidR="00212D55" w:rsidRPr="00D936CA" w:rsidRDefault="00212D55" w:rsidP="00D936CA">
            <w:pPr>
              <w:pStyle w:val="IFTnormal"/>
              <w:jc w:val="left"/>
              <w:rPr>
                <w:b/>
                <w:sz w:val="20"/>
                <w:szCs w:val="20"/>
              </w:rPr>
            </w:pPr>
            <w:r w:rsidRPr="00D936CA">
              <w:rPr>
                <w:b/>
                <w:sz w:val="20"/>
                <w:szCs w:val="20"/>
              </w:rPr>
              <w:t>Validación de solicitud</w:t>
            </w:r>
          </w:p>
        </w:tc>
        <w:tc>
          <w:tcPr>
            <w:tcW w:w="3718" w:type="pct"/>
            <w:shd w:val="clear" w:color="auto" w:fill="auto"/>
          </w:tcPr>
          <w:p w14:paraId="33CFEA5A" w14:textId="77777777" w:rsidR="00212D55" w:rsidRPr="00D936CA" w:rsidRDefault="00212D55" w:rsidP="00D936CA">
            <w:pPr>
              <w:pStyle w:val="IFTnormal"/>
              <w:rPr>
                <w:sz w:val="20"/>
                <w:szCs w:val="20"/>
              </w:rPr>
            </w:pPr>
            <w:r w:rsidRPr="00D936CA">
              <w:rPr>
                <w:sz w:val="20"/>
                <w:szCs w:val="20"/>
              </w:rPr>
              <w:t>Durante el proceso de validación, Telmex evaluará las solicitudes enviadas por los CS para determinar si:</w:t>
            </w:r>
          </w:p>
          <w:p w14:paraId="33CFEA5B" w14:textId="380D92F6" w:rsidR="00212D55" w:rsidRPr="00D936CA" w:rsidRDefault="00212D55"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validará que la solicitud de cancelación corresponda al CS y se revisará el estatus actual de la orden de servicio.</w:t>
            </w:r>
          </w:p>
          <w:p w14:paraId="33CFEA5C" w14:textId="77777777" w:rsidR="00212D55" w:rsidRPr="00D936CA" w:rsidRDefault="00212D55"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212D55" w:rsidRPr="00D936CA" w14:paraId="33CFEA60" w14:textId="77777777" w:rsidTr="00212D55">
        <w:tc>
          <w:tcPr>
            <w:tcW w:w="1282" w:type="pct"/>
          </w:tcPr>
          <w:p w14:paraId="33CFEA5E" w14:textId="77777777" w:rsidR="00212D55" w:rsidRPr="00D936CA" w:rsidRDefault="00212D55"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Cancelación del (los) servicio (s)</w:t>
            </w:r>
          </w:p>
        </w:tc>
        <w:tc>
          <w:tcPr>
            <w:tcW w:w="3718" w:type="pct"/>
          </w:tcPr>
          <w:p w14:paraId="33CFEA5F" w14:textId="77777777" w:rsidR="00212D55" w:rsidRPr="00D936CA" w:rsidRDefault="00212D55" w:rsidP="00D936CA">
            <w:pPr>
              <w:pStyle w:val="IFTnormal"/>
              <w:rPr>
                <w:sz w:val="20"/>
                <w:szCs w:val="20"/>
              </w:rPr>
            </w:pPr>
            <w:r w:rsidRPr="00D936CA">
              <w:rPr>
                <w:sz w:val="20"/>
                <w:szCs w:val="20"/>
              </w:rPr>
              <w:t>Se cancela el seguimiento a la solicitud, no aplicará cobro alguno si la notificación de cancelación se hace con un mínimo de 3 días de anticipación a la fecha confirmada de la habilitación del servicio.</w:t>
            </w:r>
          </w:p>
        </w:tc>
      </w:tr>
    </w:tbl>
    <w:p w14:paraId="33CFEA61" w14:textId="77777777" w:rsidR="00837A16" w:rsidRPr="00D936CA" w:rsidRDefault="00837A16" w:rsidP="00D936CA">
      <w:pPr>
        <w:rPr>
          <w:lang w:val="es-MX"/>
        </w:rPr>
      </w:pPr>
    </w:p>
    <w:p w14:paraId="33CFEA62" w14:textId="77777777" w:rsidR="00837A16" w:rsidRPr="00D936CA" w:rsidRDefault="00837A16"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Procedimiento de Cambio de modalidad de Desagregación</w:t>
      </w:r>
    </w:p>
    <w:p w14:paraId="33CFEA63" w14:textId="5A7633AC" w:rsidR="00212D55" w:rsidRPr="00D936CA" w:rsidRDefault="00212D55" w:rsidP="00D936CA">
      <w:p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En caso de que el CS requiera modificaciones para cambiar a un servicio distinto de desagregación,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 Asimismo</w:t>
      </w:r>
      <w:r w:rsidR="00507FF4">
        <w:rPr>
          <w:rFonts w:ascii="ITC Avant Garde" w:hAnsi="ITC Avant Garde" w:cs="Arial"/>
          <w:sz w:val="22"/>
          <w:szCs w:val="22"/>
        </w:rPr>
        <w:t>,</w:t>
      </w:r>
      <w:r w:rsidRPr="00D936CA">
        <w:rPr>
          <w:rFonts w:ascii="ITC Avant Garde" w:hAnsi="ITC Avant Garde" w:cs="Arial"/>
          <w:sz w:val="22"/>
          <w:szCs w:val="22"/>
        </w:rPr>
        <w:t xml:space="preserve"> se debe considerar que el cambio de desagregación de una modalidad a otra deberá ser transparente para el usuario final, es decir, en caso de afectación del servicio deberá considerarse como máximo un plazo de 30 min</w:t>
      </w:r>
      <w:r w:rsidR="00660C42">
        <w:rPr>
          <w:rFonts w:ascii="ITC Avant Garde" w:hAnsi="ITC Avant Garde" w:cs="Arial"/>
          <w:sz w:val="22"/>
          <w:szCs w:val="22"/>
        </w:rPr>
        <w:t>utos</w:t>
      </w:r>
      <w:r w:rsidR="00A30518" w:rsidRPr="00D936CA">
        <w:rPr>
          <w:rFonts w:ascii="ITC Avant Garde" w:hAnsi="ITC Avant Garde" w:cs="Arial"/>
          <w:sz w:val="22"/>
          <w:szCs w:val="22"/>
        </w:rPr>
        <w:t>.</w:t>
      </w:r>
    </w:p>
    <w:p w14:paraId="33CFEA64" w14:textId="77777777" w:rsidR="00837A16" w:rsidRPr="00D936CA" w:rsidRDefault="00837A16" w:rsidP="00D936CA">
      <w:pPr>
        <w:pStyle w:val="IFTnormal"/>
        <w:rPr>
          <w:b/>
        </w:rPr>
      </w:pPr>
      <w:r w:rsidRPr="00D936CA">
        <w:rPr>
          <w:b/>
        </w:rPr>
        <w:t>Procedimiento de Cambio de Domicilio</w:t>
      </w:r>
    </w:p>
    <w:p w14:paraId="33CFEA65" w14:textId="7F64477C" w:rsidR="00837A16" w:rsidRPr="00D936CA" w:rsidRDefault="00837A16" w:rsidP="00D936CA">
      <w:pPr>
        <w:pStyle w:val="IFTnormal"/>
        <w:rPr>
          <w:u w:val="single"/>
        </w:rPr>
      </w:pPr>
      <w:r w:rsidRPr="00D936CA">
        <w:t>En caso de que el usuario final cambie de domicilio y el CS de</w:t>
      </w:r>
      <w:r w:rsidR="00CA21E6">
        <w:t xml:space="preserve">see mantener el </w:t>
      </w:r>
      <w:r w:rsidR="001E6506">
        <w:t>SRL</w:t>
      </w:r>
      <w:r w:rsidR="00CA21E6">
        <w:t>, SRI o SRP</w:t>
      </w:r>
      <w:r w:rsidRPr="00D936CA">
        <w:t>, dicho cambio será atendido conforme las políticas actuales de contratación de los servicios. En e</w:t>
      </w:r>
      <w:r w:rsidR="00CA21E6">
        <w:t xml:space="preserve">l movimiento de </w:t>
      </w:r>
      <w:r w:rsidR="001E6506">
        <w:t>SRL</w:t>
      </w:r>
      <w:r w:rsidR="00CA21E6">
        <w:t>, SRI y SRP</w:t>
      </w:r>
      <w:r w:rsidRPr="00D936CA">
        <w:t xml:space="preserve">, el usuario final mantiene su número telefónico (donde aplique). El CS deberá enviar la solicitud a Telmex a través del SEG, mediante el formato </w:t>
      </w:r>
      <w:r w:rsidRPr="00D936CA">
        <w:lastRenderedPageBreak/>
        <w:t xml:space="preserve">correspondiente. El servicio en el nuevo domicilio dependerá de la factibilidad técnica. Ver apartado </w:t>
      </w:r>
      <w:r w:rsidRPr="00D936CA">
        <w:rPr>
          <w:i/>
        </w:rPr>
        <w:t>Procedimiento de contrataci</w:t>
      </w:r>
      <w:r w:rsidR="00CA21E6">
        <w:rPr>
          <w:i/>
        </w:rPr>
        <w:t xml:space="preserve">ón y entrega </w:t>
      </w:r>
      <w:r w:rsidR="001E6506">
        <w:rPr>
          <w:i/>
        </w:rPr>
        <w:t>SRL</w:t>
      </w:r>
      <w:r w:rsidR="00CA21E6">
        <w:rPr>
          <w:i/>
        </w:rPr>
        <w:t>, SRI y SRP</w:t>
      </w:r>
      <w:r w:rsidRPr="00D936CA">
        <w:rPr>
          <w:i/>
        </w:rPr>
        <w:t xml:space="preserve"> (Alta)</w:t>
      </w:r>
    </w:p>
    <w:p w14:paraId="33CFEA66" w14:textId="77777777" w:rsidR="00530A32" w:rsidRPr="00D936CA" w:rsidRDefault="004F6165" w:rsidP="00D936CA">
      <w:pPr>
        <w:pStyle w:val="Ttulo2"/>
        <w:numPr>
          <w:ilvl w:val="1"/>
          <w:numId w:val="143"/>
        </w:numPr>
        <w:ind w:left="851" w:hanging="425"/>
      </w:pPr>
      <w:bookmarkStart w:id="325" w:name="_Toc436840890"/>
      <w:bookmarkStart w:id="326" w:name="_Toc436846327"/>
      <w:bookmarkStart w:id="327" w:name="_Toc436848277"/>
      <w:bookmarkStart w:id="328" w:name="_Toc436856525"/>
      <w:bookmarkStart w:id="329" w:name="_Toc436862671"/>
      <w:bookmarkStart w:id="330" w:name="_Toc436866321"/>
      <w:bookmarkStart w:id="331" w:name="_Toc436870900"/>
      <w:bookmarkStart w:id="332" w:name="_Toc436875892"/>
      <w:r w:rsidRPr="00D936CA">
        <w:t xml:space="preserve"> </w:t>
      </w:r>
      <w:bookmarkStart w:id="333" w:name="_Toc467248704"/>
      <w:bookmarkStart w:id="334" w:name="_Toc518031977"/>
      <w:r w:rsidR="00011A1B" w:rsidRPr="00D936CA">
        <w:t>Plazos de Entrega de los Servicios de Reventa.</w:t>
      </w:r>
      <w:bookmarkEnd w:id="325"/>
      <w:bookmarkEnd w:id="326"/>
      <w:bookmarkEnd w:id="327"/>
      <w:bookmarkEnd w:id="328"/>
      <w:bookmarkEnd w:id="329"/>
      <w:bookmarkEnd w:id="330"/>
      <w:bookmarkEnd w:id="331"/>
      <w:bookmarkEnd w:id="332"/>
      <w:bookmarkEnd w:id="333"/>
      <w:bookmarkEnd w:id="334"/>
    </w:p>
    <w:p w14:paraId="33CFEA67" w14:textId="77777777" w:rsidR="007E7EAE" w:rsidRPr="00D936CA" w:rsidRDefault="007E7EAE" w:rsidP="00D936CA"/>
    <w:p w14:paraId="33CFEA68" w14:textId="77777777" w:rsidR="007E7EAE" w:rsidRPr="00507FF4" w:rsidRDefault="007E7EAE" w:rsidP="00D936CA">
      <w:pPr>
        <w:pStyle w:val="Textoindependiente3"/>
        <w:numPr>
          <w:ilvl w:val="0"/>
          <w:numId w:val="66"/>
        </w:numPr>
        <w:spacing w:after="200" w:line="276" w:lineRule="auto"/>
        <w:rPr>
          <w:rFonts w:ascii="ITC Avant Garde" w:hAnsi="ITC Avant Garde"/>
          <w:color w:val="auto"/>
          <w:sz w:val="22"/>
          <w:szCs w:val="22"/>
          <w:lang w:val="es-MX"/>
        </w:rPr>
      </w:pPr>
      <w:r w:rsidRPr="00507FF4">
        <w:rPr>
          <w:rFonts w:ascii="ITC Avant Garde" w:hAnsi="ITC Avant Garde"/>
          <w:color w:val="auto"/>
          <w:sz w:val="22"/>
          <w:szCs w:val="22"/>
          <w:lang w:val="es-MX"/>
        </w:rPr>
        <w:t>Validación de la solicitud junto con verificación de factibilidad: máximo 2 días hábiles.</w:t>
      </w:r>
    </w:p>
    <w:p w14:paraId="33CFEA69" w14:textId="77777777" w:rsidR="007E7EAE" w:rsidRPr="00D936CA" w:rsidRDefault="007E7EAE" w:rsidP="00D936CA">
      <w:pPr>
        <w:pStyle w:val="Textoindependiente3"/>
        <w:numPr>
          <w:ilvl w:val="0"/>
          <w:numId w:val="66"/>
        </w:numPr>
        <w:spacing w:after="200" w:line="276" w:lineRule="auto"/>
        <w:rPr>
          <w:rFonts w:ascii="ITC Avant Garde" w:hAnsi="ITC Avant Garde"/>
          <w:color w:val="auto"/>
          <w:sz w:val="22"/>
          <w:szCs w:val="22"/>
          <w:lang w:val="es-MX"/>
        </w:rPr>
      </w:pPr>
      <w:r w:rsidRPr="00D936CA">
        <w:rPr>
          <w:rFonts w:ascii="ITC Avant Garde" w:hAnsi="ITC Avant Garde"/>
          <w:color w:val="auto"/>
          <w:sz w:val="22"/>
          <w:szCs w:val="22"/>
          <w:lang w:val="es-MX"/>
        </w:rPr>
        <w:t>Entrega del servicio para usuarios existentes (habilitación): máximo 5 días hábiles que se contabilizarán a partir de la solicitud para el servicio con el módem/ONT de Telmex que estuvieran en funcionamiento.</w:t>
      </w:r>
    </w:p>
    <w:p w14:paraId="33CFEA6A" w14:textId="77777777" w:rsidR="007E7EAE" w:rsidRPr="00D936CA" w:rsidRDefault="007E7EAE" w:rsidP="00D936CA">
      <w:pPr>
        <w:pStyle w:val="Textoindependiente3"/>
        <w:numPr>
          <w:ilvl w:val="0"/>
          <w:numId w:val="66"/>
        </w:numPr>
        <w:spacing w:after="200" w:line="276" w:lineRule="auto"/>
        <w:rPr>
          <w:rFonts w:ascii="ITC Avant Garde" w:hAnsi="ITC Avant Garde"/>
          <w:color w:val="auto"/>
          <w:sz w:val="22"/>
          <w:szCs w:val="22"/>
          <w:lang w:val="es-MX"/>
        </w:rPr>
      </w:pPr>
      <w:r w:rsidRPr="00D936CA">
        <w:rPr>
          <w:rFonts w:ascii="ITC Avant Garde" w:hAnsi="ITC Avant Garde"/>
          <w:color w:val="auto"/>
          <w:sz w:val="22"/>
          <w:szCs w:val="22"/>
          <w:lang w:val="es-MX"/>
        </w:rPr>
        <w:t>Entrega del servicio para usuarios existentes (habilitación): máximo 7 días hábiles que se contabilizarán a partir de la solicitud para el servicio en que Telmex deba entregar algún equipo a solicitud del CS.</w:t>
      </w:r>
    </w:p>
    <w:p w14:paraId="33CFEA6B" w14:textId="77777777" w:rsidR="007E7EAE" w:rsidRPr="00D936CA" w:rsidRDefault="007E7EAE" w:rsidP="00D936CA">
      <w:pPr>
        <w:pStyle w:val="Textoindependiente3"/>
        <w:numPr>
          <w:ilvl w:val="0"/>
          <w:numId w:val="66"/>
        </w:numPr>
        <w:spacing w:after="200" w:line="276" w:lineRule="auto"/>
        <w:rPr>
          <w:rFonts w:ascii="ITC Avant Garde" w:hAnsi="ITC Avant Garde"/>
          <w:color w:val="auto"/>
          <w:sz w:val="22"/>
          <w:szCs w:val="22"/>
          <w:lang w:val="es-MX"/>
        </w:rPr>
      </w:pPr>
      <w:r w:rsidRPr="00D936CA">
        <w:rPr>
          <w:rFonts w:ascii="ITC Avant Garde" w:hAnsi="ITC Avant Garde"/>
          <w:color w:val="auto"/>
          <w:sz w:val="22"/>
          <w:szCs w:val="22"/>
          <w:lang w:val="es-MX"/>
        </w:rPr>
        <w:t>Entrega del servicio para usuarios nuevos con acometida o recursos de red (habilitación): día confirmado por el CS en la solicitud (máximo día 5 hábil a partir de la solicitud sin provisión de equipo y máximo día 7 hábil a partir de la solicitud con provisión de equipo).</w:t>
      </w:r>
    </w:p>
    <w:p w14:paraId="33CFEA6C" w14:textId="451756F5" w:rsidR="005757EC" w:rsidRPr="00D936CA" w:rsidRDefault="007E7EAE" w:rsidP="00D936CA">
      <w:pPr>
        <w:pStyle w:val="Textoindependiente3"/>
        <w:numPr>
          <w:ilvl w:val="0"/>
          <w:numId w:val="66"/>
        </w:numPr>
        <w:spacing w:after="200" w:line="276" w:lineRule="auto"/>
        <w:rPr>
          <w:rFonts w:ascii="ITC Avant Garde" w:hAnsi="ITC Avant Garde"/>
          <w:color w:val="auto"/>
          <w:sz w:val="22"/>
          <w:szCs w:val="22"/>
          <w:lang w:val="es-MX"/>
        </w:rPr>
      </w:pPr>
      <w:r w:rsidRPr="00D936CA">
        <w:rPr>
          <w:rFonts w:ascii="ITC Avant Garde" w:hAnsi="ITC Avant Garde"/>
          <w:color w:val="auto"/>
          <w:sz w:val="22"/>
          <w:szCs w:val="22"/>
          <w:lang w:val="es-MX"/>
        </w:rPr>
        <w:t>Entrega del servicio para usuarios nuevos sin acometida (habilitación): día confirmado por el CS en la solicitud (máximo día 7 hábil a partir de la solicitud con o sin provisión de equipo).</w:t>
      </w:r>
    </w:p>
    <w:p w14:paraId="33CFEA6D" w14:textId="77777777" w:rsidR="00530A32" w:rsidRPr="00D936CA" w:rsidRDefault="004F6165" w:rsidP="00D936CA">
      <w:pPr>
        <w:pStyle w:val="Ttulo2"/>
        <w:numPr>
          <w:ilvl w:val="1"/>
          <w:numId w:val="143"/>
        </w:numPr>
        <w:ind w:left="851" w:hanging="426"/>
      </w:pPr>
      <w:bookmarkStart w:id="335" w:name="_Toc436840891"/>
      <w:bookmarkStart w:id="336" w:name="_Toc436846328"/>
      <w:bookmarkStart w:id="337" w:name="_Toc436848278"/>
      <w:bookmarkStart w:id="338" w:name="_Toc436856526"/>
      <w:bookmarkStart w:id="339" w:name="_Toc436862672"/>
      <w:bookmarkStart w:id="340" w:name="_Toc436866322"/>
      <w:bookmarkStart w:id="341" w:name="_Toc436870901"/>
      <w:bookmarkStart w:id="342" w:name="_Toc436875893"/>
      <w:r w:rsidRPr="00D936CA">
        <w:t xml:space="preserve"> </w:t>
      </w:r>
      <w:bookmarkStart w:id="343" w:name="_Toc467248705"/>
      <w:bookmarkStart w:id="344" w:name="_Toc518031978"/>
      <w:r w:rsidR="00011A1B" w:rsidRPr="00D936CA">
        <w:t>Parámetros e indicadores de calidad para los Servicios de Reventa</w:t>
      </w:r>
      <w:bookmarkEnd w:id="335"/>
      <w:bookmarkEnd w:id="336"/>
      <w:bookmarkEnd w:id="337"/>
      <w:bookmarkEnd w:id="338"/>
      <w:bookmarkEnd w:id="339"/>
      <w:bookmarkEnd w:id="340"/>
      <w:bookmarkEnd w:id="341"/>
      <w:bookmarkEnd w:id="342"/>
      <w:bookmarkEnd w:id="343"/>
      <w:bookmarkEnd w:id="344"/>
    </w:p>
    <w:p w14:paraId="33CFEA6E" w14:textId="77777777" w:rsidR="00554CF9"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En esta sección se muestran los parámetros e indicadores de calidad referentes a la provisión, continuidad y atención de fallas del Servicio de Reventa. Estos parámetros e indicadores corresponden a los utilizados en la propia operación de Telmex, y se medirán con una periodicidad trimestral por cada uno de los CS.</w:t>
      </w:r>
    </w:p>
    <w:p w14:paraId="33CFEA6F" w14:textId="77777777" w:rsidR="00CD3397" w:rsidRPr="00D936CA" w:rsidRDefault="00011A1B"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Parámetros e Indicadores para Provisión del Servicio</w:t>
      </w:r>
    </w:p>
    <w:p w14:paraId="33CFEA70" w14:textId="77777777" w:rsidR="00CD3397" w:rsidRPr="00D936CA" w:rsidRDefault="00011A1B"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En lo referente a la provisión de los servicios</w:t>
      </w:r>
      <w:r w:rsidR="007D7542" w:rsidRPr="00D936CA">
        <w:rPr>
          <w:rFonts w:ascii="ITC Avant Garde" w:hAnsi="ITC Avant Garde"/>
          <w:sz w:val="22"/>
          <w:szCs w:val="22"/>
          <w:lang w:val="es-MX"/>
        </w:rPr>
        <w:t xml:space="preserve"> (validación de la solicitud, verificación de factibilidad y habilitación)</w:t>
      </w:r>
      <w:r w:rsidRPr="00D936CA">
        <w:rPr>
          <w:rFonts w:ascii="ITC Avant Garde" w:hAnsi="ITC Avant Garde"/>
          <w:sz w:val="22"/>
          <w:szCs w:val="22"/>
          <w:lang w:val="es-MX"/>
        </w:rPr>
        <w:t>, se tienen los siguientes indicadores</w:t>
      </w:r>
      <w:r w:rsidR="007F67EC" w:rsidRPr="00D936CA">
        <w:rPr>
          <w:rFonts w:ascii="ITC Avant Garde" w:hAnsi="ITC Avant Garde"/>
          <w:sz w:val="22"/>
          <w:szCs w:val="22"/>
          <w:lang w:val="es-MX"/>
        </w:rPr>
        <w:t xml:space="preserve"> que permiten al CS replicar el servicio de Telmex en las mismas condiciones que a sus usuarios</w:t>
      </w:r>
      <w:r w:rsidRPr="00D936CA">
        <w:rPr>
          <w:rFonts w:ascii="ITC Avant Garde" w:hAnsi="ITC Avant Garde"/>
          <w:sz w:val="22"/>
          <w:szCs w:val="22"/>
          <w:lang w:val="es-MX"/>
        </w:rPr>
        <w:t>:</w:t>
      </w:r>
    </w:p>
    <w:p w14:paraId="33CFEA71" w14:textId="75908ADE" w:rsidR="00F3232A" w:rsidRPr="00507FF4" w:rsidRDefault="00B13F92" w:rsidP="00D936CA">
      <w:pPr>
        <w:pStyle w:val="Prrafodelista"/>
        <w:numPr>
          <w:ilvl w:val="0"/>
          <w:numId w:val="30"/>
        </w:numPr>
        <w:spacing w:after="200" w:line="276" w:lineRule="auto"/>
        <w:jc w:val="both"/>
        <w:rPr>
          <w:rFonts w:ascii="ITC Avant Garde" w:hAnsi="ITC Avant Garde"/>
          <w:sz w:val="22"/>
          <w:szCs w:val="22"/>
          <w:lang w:val="es-MX"/>
        </w:rPr>
      </w:pPr>
      <w:r w:rsidRPr="00507FF4">
        <w:rPr>
          <w:rFonts w:ascii="ITC Avant Garde" w:hAnsi="ITC Avant Garde"/>
          <w:sz w:val="22"/>
          <w:szCs w:val="22"/>
          <w:lang w:val="es-MX"/>
        </w:rPr>
        <w:t>Validación de la solicitud</w:t>
      </w:r>
      <w:r w:rsidR="00BC1053" w:rsidRPr="00507FF4">
        <w:rPr>
          <w:rFonts w:ascii="ITC Avant Garde" w:hAnsi="ITC Avant Garde"/>
          <w:sz w:val="22"/>
          <w:szCs w:val="22"/>
          <w:lang w:val="es-MX"/>
        </w:rPr>
        <w:t xml:space="preserve"> junto con validación de la factibilidad</w:t>
      </w:r>
      <w:r w:rsidRPr="00507FF4">
        <w:rPr>
          <w:rFonts w:ascii="ITC Avant Garde" w:hAnsi="ITC Avant Garde"/>
          <w:sz w:val="22"/>
          <w:szCs w:val="22"/>
          <w:lang w:val="es-MX"/>
        </w:rPr>
        <w:t xml:space="preserve">: 90% de las solicitudes en máximo de </w:t>
      </w:r>
      <w:r w:rsidR="006417F8" w:rsidRPr="00507FF4">
        <w:rPr>
          <w:rFonts w:ascii="ITC Avant Garde" w:hAnsi="ITC Avant Garde"/>
          <w:sz w:val="22"/>
          <w:szCs w:val="22"/>
          <w:lang w:val="es-MX"/>
        </w:rPr>
        <w:t>dos</w:t>
      </w:r>
      <w:r w:rsidRPr="00507FF4">
        <w:rPr>
          <w:rFonts w:ascii="ITC Avant Garde" w:hAnsi="ITC Avant Garde"/>
          <w:sz w:val="22"/>
          <w:szCs w:val="22"/>
          <w:lang w:val="es-MX"/>
        </w:rPr>
        <w:t xml:space="preserve"> día</w:t>
      </w:r>
      <w:r w:rsidR="00BC1053" w:rsidRPr="00507FF4">
        <w:rPr>
          <w:rFonts w:ascii="ITC Avant Garde" w:hAnsi="ITC Avant Garde"/>
          <w:sz w:val="22"/>
          <w:szCs w:val="22"/>
          <w:lang w:val="es-MX"/>
        </w:rPr>
        <w:t>s</w:t>
      </w:r>
      <w:r w:rsidRPr="00507FF4">
        <w:rPr>
          <w:rFonts w:ascii="ITC Avant Garde" w:hAnsi="ITC Avant Garde"/>
          <w:sz w:val="22"/>
          <w:szCs w:val="22"/>
          <w:lang w:val="es-MX"/>
        </w:rPr>
        <w:t xml:space="preserve"> hábil</w:t>
      </w:r>
      <w:r w:rsidR="00BC1053" w:rsidRPr="00507FF4">
        <w:rPr>
          <w:rFonts w:ascii="ITC Avant Garde" w:hAnsi="ITC Avant Garde"/>
          <w:sz w:val="22"/>
          <w:szCs w:val="22"/>
          <w:lang w:val="es-MX"/>
        </w:rPr>
        <w:t>es</w:t>
      </w:r>
      <w:r w:rsidRPr="00507FF4">
        <w:rPr>
          <w:rFonts w:ascii="ITC Avant Garde" w:hAnsi="ITC Avant Garde"/>
          <w:sz w:val="22"/>
          <w:szCs w:val="22"/>
          <w:lang w:val="es-MX"/>
        </w:rPr>
        <w:t xml:space="preserve">. </w:t>
      </w:r>
      <w:r w:rsidR="00F3232A" w:rsidRPr="00507FF4">
        <w:rPr>
          <w:rFonts w:ascii="ITC Avant Garde" w:hAnsi="ITC Avant Garde"/>
          <w:sz w:val="22"/>
          <w:szCs w:val="22"/>
          <w:lang w:val="es-MX"/>
        </w:rPr>
        <w:t xml:space="preserve">El 10% restante en un máximo de </w:t>
      </w:r>
      <w:r w:rsidR="006417F8" w:rsidRPr="00507FF4">
        <w:rPr>
          <w:rFonts w:ascii="ITC Avant Garde" w:hAnsi="ITC Avant Garde"/>
          <w:sz w:val="22"/>
          <w:szCs w:val="22"/>
          <w:lang w:val="es-MX"/>
        </w:rPr>
        <w:t>tres</w:t>
      </w:r>
      <w:r w:rsidR="00F3232A" w:rsidRPr="00507FF4">
        <w:rPr>
          <w:rFonts w:ascii="ITC Avant Garde" w:hAnsi="ITC Avant Garde"/>
          <w:sz w:val="22"/>
          <w:szCs w:val="22"/>
          <w:lang w:val="es-MX"/>
        </w:rPr>
        <w:t xml:space="preserve"> días hábiles a partir de la solicitud.</w:t>
      </w:r>
    </w:p>
    <w:p w14:paraId="33CFEA72" w14:textId="452C65CD" w:rsidR="00F3232A" w:rsidRPr="00D936CA" w:rsidRDefault="00F3232A"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lastRenderedPageBreak/>
        <w:t xml:space="preserve">Habilitación para usuarios existentes en tiempo: 90% en un máximo de </w:t>
      </w:r>
      <w:r w:rsidR="006417F8" w:rsidRPr="00D936CA">
        <w:rPr>
          <w:rFonts w:ascii="ITC Avant Garde" w:hAnsi="ITC Avant Garde"/>
          <w:sz w:val="22"/>
          <w:szCs w:val="22"/>
          <w:lang w:val="es-MX"/>
        </w:rPr>
        <w:t>cinco</w:t>
      </w:r>
      <w:r w:rsidRPr="00D936CA">
        <w:rPr>
          <w:rFonts w:ascii="ITC Avant Garde" w:hAnsi="ITC Avant Garde"/>
          <w:sz w:val="22"/>
          <w:szCs w:val="22"/>
          <w:lang w:val="es-MX"/>
        </w:rPr>
        <w:t xml:space="preserve"> días hábiles. El 10% restante en un máximo de 8 días hábiles a partir de la solicitud.</w:t>
      </w:r>
    </w:p>
    <w:p w14:paraId="33CFEA73" w14:textId="534A4CC0" w:rsidR="00F3232A" w:rsidRPr="00D936CA" w:rsidRDefault="00F3232A" w:rsidP="00D936CA">
      <w:pPr>
        <w:pStyle w:val="IFTnormal"/>
        <w:numPr>
          <w:ilvl w:val="0"/>
          <w:numId w:val="30"/>
        </w:numPr>
      </w:pPr>
      <w:r w:rsidRPr="00D936CA">
        <w:t xml:space="preserve">Habilitación para usuarios nuevos con y sin acometida o recursos de red: 90% en un máximo de </w:t>
      </w:r>
      <w:r w:rsidR="006417F8" w:rsidRPr="00D936CA">
        <w:t>siete</w:t>
      </w:r>
      <w:r w:rsidRPr="00D936CA">
        <w:t xml:space="preserve"> días hábiles. El 10% restante en un máximo de 9 días hábiles a partir de la solicitud.</w:t>
      </w:r>
    </w:p>
    <w:p w14:paraId="33CFEA74" w14:textId="2B6FD909" w:rsidR="00C53C62" w:rsidRPr="00D936CA" w:rsidRDefault="00F3232A"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Porcentaje de servicios suspendidos y reactivados en tiempo (60%). El 40% restante de servicios suspendidos en 48 horas y de reactivaciones en 4 horas a partir de las solicitudes realizadas.</w:t>
      </w:r>
    </w:p>
    <w:p w14:paraId="33CFEA75" w14:textId="77777777" w:rsidR="00615F9F" w:rsidRPr="00D936CA" w:rsidRDefault="00615F9F" w:rsidP="00D936CA">
      <w:pPr>
        <w:pStyle w:val="CondicionesFinales"/>
        <w:ind w:left="0"/>
        <w:rPr>
          <w:b/>
          <w:color w:val="auto"/>
        </w:rPr>
      </w:pPr>
      <w:r w:rsidRPr="00D936CA">
        <w:rPr>
          <w:b/>
          <w:color w:val="auto"/>
        </w:rPr>
        <w:t>Metodología</w:t>
      </w:r>
    </w:p>
    <w:p w14:paraId="33CFEA76" w14:textId="646F5570" w:rsidR="00615F9F" w:rsidRPr="00D936CA" w:rsidRDefault="00615F9F"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Para realizar la medición de los indicadores presentados, se descontarán los plazos señalados en la sección 4.</w:t>
      </w:r>
      <w:r w:rsidR="00C454DC" w:rsidRPr="00D936CA">
        <w:rPr>
          <w:rFonts w:ascii="ITC Avant Garde" w:hAnsi="ITC Avant Garde"/>
          <w:sz w:val="22"/>
          <w:szCs w:val="22"/>
          <w:lang w:val="es-MX"/>
        </w:rPr>
        <w:t>6</w:t>
      </w:r>
      <w:r w:rsidRPr="00D936CA">
        <w:rPr>
          <w:rFonts w:ascii="ITC Avant Garde" w:hAnsi="ITC Avant Garde"/>
          <w:sz w:val="22"/>
          <w:szCs w:val="22"/>
          <w:lang w:val="es-MX"/>
        </w:rPr>
        <w:t xml:space="preserve"> de este documento de los días totales utilizados para la realización de dicha actividad, considerando como inicio del proceso el día en que se solicitó el servicio por parte del CS. </w:t>
      </w:r>
    </w:p>
    <w:p w14:paraId="33CFEA77" w14:textId="4011C907" w:rsidR="00212D55" w:rsidRPr="00D936CA" w:rsidRDefault="00212D55"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El horario de atención es 24 horas, sin embargo</w:t>
      </w:r>
      <w:r w:rsidR="00507FF4">
        <w:rPr>
          <w:rFonts w:ascii="ITC Avant Garde" w:hAnsi="ITC Avant Garde"/>
          <w:sz w:val="22"/>
          <w:szCs w:val="22"/>
          <w:lang w:val="es-MX"/>
        </w:rPr>
        <w:t>,</w:t>
      </w:r>
      <w:r w:rsidRPr="00D936CA">
        <w:rPr>
          <w:rFonts w:ascii="ITC Avant Garde" w:hAnsi="ITC Avant Garde"/>
          <w:sz w:val="22"/>
          <w:szCs w:val="22"/>
          <w:lang w:val="es-MX"/>
        </w:rPr>
        <w:t xml:space="preserve"> para realizar las mediciones de estos indicadores, se considerarán las solicitudes ingresadas en un horario hábil de lunes a viernes de 9:00 a 17:00 horas, aquellos que se reciban después de ese horario, se contabilizarán para el día hábil siguiente, as</w:t>
      </w:r>
      <w:r w:rsidR="004A0447" w:rsidRPr="00D936CA">
        <w:rPr>
          <w:rFonts w:ascii="ITC Avant Garde" w:hAnsi="ITC Avant Garde"/>
          <w:sz w:val="22"/>
          <w:szCs w:val="22"/>
          <w:lang w:val="es-MX"/>
        </w:rPr>
        <w:t>í</w:t>
      </w:r>
      <w:r w:rsidRPr="00D936CA">
        <w:rPr>
          <w:rFonts w:ascii="ITC Avant Garde" w:hAnsi="ITC Avant Garde"/>
          <w:sz w:val="22"/>
          <w:szCs w:val="22"/>
          <w:lang w:val="es-MX"/>
        </w:rPr>
        <w:t xml:space="preserve"> como </w:t>
      </w:r>
      <w:r w:rsidR="004A0447" w:rsidRPr="00D936CA">
        <w:rPr>
          <w:rFonts w:ascii="ITC Avant Garde" w:hAnsi="ITC Avant Garde"/>
          <w:sz w:val="22"/>
          <w:szCs w:val="22"/>
          <w:lang w:val="es-MX"/>
        </w:rPr>
        <w:t>sábados</w:t>
      </w:r>
      <w:r w:rsidRPr="00D936CA">
        <w:rPr>
          <w:rFonts w:ascii="ITC Avant Garde" w:hAnsi="ITC Avant Garde"/>
          <w:sz w:val="22"/>
          <w:szCs w:val="22"/>
          <w:lang w:val="es-MX"/>
        </w:rPr>
        <w:t xml:space="preserve"> en un horario de 9:00 a 14:00 hrs.</w:t>
      </w:r>
    </w:p>
    <w:p w14:paraId="33CFEA78" w14:textId="77777777" w:rsidR="00CD3397" w:rsidRPr="00D936CA" w:rsidRDefault="0095393F" w:rsidP="00D936CA">
      <w:pPr>
        <w:autoSpaceDE w:val="0"/>
        <w:autoSpaceDN w:val="0"/>
        <w:adjustRightInd w:val="0"/>
        <w:spacing w:after="200" w:line="276" w:lineRule="auto"/>
        <w:rPr>
          <w:rFonts w:ascii="ITC Avant Garde" w:hAnsi="ITC Avant Garde"/>
          <w:b/>
          <w:sz w:val="22"/>
          <w:szCs w:val="22"/>
          <w:lang w:val="es-MX"/>
        </w:rPr>
      </w:pPr>
      <w:r w:rsidRPr="00D936CA">
        <w:rPr>
          <w:rFonts w:ascii="ITC Avant Garde" w:hAnsi="ITC Avant Garde"/>
          <w:b/>
          <w:sz w:val="22"/>
          <w:szCs w:val="22"/>
          <w:lang w:val="es-MX"/>
        </w:rPr>
        <w:t>Parámetros para</w:t>
      </w:r>
      <w:r w:rsidR="00011A1B" w:rsidRPr="00D936CA">
        <w:rPr>
          <w:rFonts w:ascii="ITC Avant Garde" w:hAnsi="ITC Avant Garde"/>
          <w:b/>
          <w:sz w:val="22"/>
          <w:szCs w:val="22"/>
          <w:lang w:val="es-MX"/>
        </w:rPr>
        <w:t xml:space="preserve"> Reparación de Fallas</w:t>
      </w:r>
    </w:p>
    <w:p w14:paraId="33CFEA79" w14:textId="5D8CEF72" w:rsidR="00FC6B25" w:rsidRPr="00D936CA" w:rsidRDefault="00FC6B25" w:rsidP="00D936CA">
      <w:pPr>
        <w:pStyle w:val="Default"/>
        <w:spacing w:after="200" w:line="276" w:lineRule="auto"/>
        <w:jc w:val="both"/>
        <w:rPr>
          <w:rFonts w:ascii="ITC Avant Garde" w:hAnsi="ITC Avant Garde"/>
          <w:color w:val="auto"/>
          <w:sz w:val="22"/>
          <w:szCs w:val="22"/>
          <w:lang w:val="es-MX"/>
        </w:rPr>
      </w:pPr>
      <w:r w:rsidRPr="00D936CA">
        <w:rPr>
          <w:rFonts w:ascii="ITC Avant Garde" w:hAnsi="ITC Avant Garde"/>
          <w:color w:val="auto"/>
          <w:sz w:val="22"/>
          <w:szCs w:val="22"/>
          <w:lang w:val="es-MX"/>
        </w:rPr>
        <w:t>En cuanto a los parámetros de calidad asociados a la reparación de fallas que afecten a los usuarios residenciales o comerciales, se tiene el siguiente alcance:</w:t>
      </w:r>
    </w:p>
    <w:p w14:paraId="33CFEA7A" w14:textId="7CE5F48D" w:rsidR="00FC6B25" w:rsidRPr="00D936CA" w:rsidRDefault="00FC6B25" w:rsidP="00D936CA">
      <w:pPr>
        <w:pStyle w:val="Default"/>
        <w:numPr>
          <w:ilvl w:val="0"/>
          <w:numId w:val="127"/>
        </w:numPr>
        <w:spacing w:after="200" w:line="276" w:lineRule="auto"/>
        <w:jc w:val="both"/>
        <w:rPr>
          <w:rFonts w:ascii="ITC Avant Garde" w:hAnsi="ITC Avant Garde"/>
          <w:color w:val="auto"/>
          <w:sz w:val="22"/>
          <w:szCs w:val="22"/>
          <w:lang w:val="es-MX"/>
        </w:rPr>
      </w:pPr>
      <w:r w:rsidRPr="00D936CA">
        <w:rPr>
          <w:rFonts w:ascii="ITC Avant Garde" w:hAnsi="ITC Avant Garde"/>
          <w:color w:val="auto"/>
          <w:sz w:val="22"/>
          <w:szCs w:val="22"/>
          <w:lang w:val="es-MX"/>
        </w:rPr>
        <w:t>Total de reparaciones atendidas dentro del día hábil siguiente a la recepción de la queja, del total de reportes levantados. Al menos 8</w:t>
      </w:r>
      <w:r w:rsidR="00E257F2">
        <w:rPr>
          <w:rFonts w:ascii="ITC Avant Garde" w:hAnsi="ITC Avant Garde"/>
          <w:color w:val="auto"/>
          <w:sz w:val="22"/>
          <w:szCs w:val="22"/>
          <w:lang w:val="es-MX"/>
        </w:rPr>
        <w:t>2</w:t>
      </w:r>
      <w:r w:rsidRPr="00D936CA">
        <w:rPr>
          <w:rFonts w:ascii="ITC Avant Garde" w:hAnsi="ITC Avant Garde"/>
          <w:color w:val="auto"/>
          <w:sz w:val="22"/>
          <w:szCs w:val="22"/>
          <w:lang w:val="es-MX"/>
        </w:rPr>
        <w:t xml:space="preserve">% </w:t>
      </w:r>
    </w:p>
    <w:p w14:paraId="33CFEA7B" w14:textId="1CE3AD9A" w:rsidR="00FC6B25" w:rsidRPr="00D936CA" w:rsidRDefault="00FC6B25" w:rsidP="00D936CA">
      <w:pPr>
        <w:pStyle w:val="Default"/>
        <w:numPr>
          <w:ilvl w:val="0"/>
          <w:numId w:val="127"/>
        </w:numPr>
        <w:spacing w:after="200" w:line="276" w:lineRule="auto"/>
        <w:jc w:val="both"/>
        <w:rPr>
          <w:rFonts w:ascii="ITC Avant Garde" w:hAnsi="ITC Avant Garde"/>
          <w:color w:val="auto"/>
          <w:sz w:val="22"/>
          <w:szCs w:val="22"/>
          <w:lang w:val="es-MX"/>
        </w:rPr>
      </w:pPr>
      <w:r w:rsidRPr="00D936CA">
        <w:rPr>
          <w:rFonts w:ascii="ITC Avant Garde" w:hAnsi="ITC Avant Garde"/>
          <w:color w:val="auto"/>
          <w:sz w:val="22"/>
          <w:szCs w:val="22"/>
          <w:lang w:val="es-MX"/>
        </w:rPr>
        <w:t xml:space="preserve">Total de reparaciones atendidas dentro de los </w:t>
      </w:r>
      <w:r w:rsidR="004A0447" w:rsidRPr="00D936CA">
        <w:rPr>
          <w:rFonts w:ascii="ITC Avant Garde" w:hAnsi="ITC Avant Garde"/>
          <w:color w:val="auto"/>
          <w:sz w:val="22"/>
          <w:szCs w:val="22"/>
          <w:lang w:val="es-MX"/>
        </w:rPr>
        <w:t>tres</w:t>
      </w:r>
      <w:r w:rsidRPr="00D936CA">
        <w:rPr>
          <w:rFonts w:ascii="ITC Avant Garde" w:hAnsi="ITC Avant Garde"/>
          <w:color w:val="auto"/>
          <w:sz w:val="22"/>
          <w:szCs w:val="22"/>
          <w:lang w:val="es-MX"/>
        </w:rPr>
        <w:t xml:space="preserve"> días hábiles siguientes a la recepción de la queja, del total de reportes levantados. Al menos 9</w:t>
      </w:r>
      <w:r w:rsidR="00E257F2">
        <w:rPr>
          <w:rFonts w:ascii="ITC Avant Garde" w:hAnsi="ITC Avant Garde"/>
          <w:color w:val="auto"/>
          <w:sz w:val="22"/>
          <w:szCs w:val="22"/>
          <w:lang w:val="es-MX"/>
        </w:rPr>
        <w:t>4</w:t>
      </w:r>
      <w:r w:rsidRPr="00D936CA">
        <w:rPr>
          <w:rFonts w:ascii="ITC Avant Garde" w:hAnsi="ITC Avant Garde"/>
          <w:color w:val="auto"/>
          <w:sz w:val="22"/>
          <w:szCs w:val="22"/>
          <w:lang w:val="es-MX"/>
        </w:rPr>
        <w:t>%</w:t>
      </w:r>
      <w:r w:rsidR="004A0447" w:rsidRPr="00D936CA">
        <w:rPr>
          <w:rFonts w:ascii="ITC Avant Garde" w:hAnsi="ITC Avant Garde"/>
          <w:color w:val="auto"/>
          <w:sz w:val="22"/>
          <w:szCs w:val="22"/>
          <w:lang w:val="es-MX"/>
        </w:rPr>
        <w:t>.</w:t>
      </w:r>
      <w:r w:rsidRPr="00D936CA">
        <w:rPr>
          <w:rFonts w:ascii="ITC Avant Garde" w:hAnsi="ITC Avant Garde"/>
          <w:color w:val="auto"/>
          <w:sz w:val="22"/>
          <w:szCs w:val="22"/>
          <w:lang w:val="es-MX"/>
        </w:rPr>
        <w:t xml:space="preserve"> </w:t>
      </w:r>
    </w:p>
    <w:p w14:paraId="33CFEA7C" w14:textId="6587A178" w:rsidR="00FC6B25" w:rsidRPr="00D936CA" w:rsidRDefault="00FC6B25" w:rsidP="00D936CA">
      <w:pPr>
        <w:pStyle w:val="Default"/>
        <w:spacing w:after="200" w:line="276" w:lineRule="auto"/>
        <w:jc w:val="both"/>
        <w:rPr>
          <w:rFonts w:ascii="ITC Avant Garde" w:hAnsi="ITC Avant Garde"/>
          <w:color w:val="auto"/>
          <w:sz w:val="22"/>
          <w:szCs w:val="22"/>
          <w:lang w:val="es-MX"/>
        </w:rPr>
      </w:pPr>
      <w:r w:rsidRPr="00D936CA">
        <w:rPr>
          <w:rFonts w:ascii="ITC Avant Garde" w:hAnsi="ITC Avant Garde"/>
          <w:color w:val="auto"/>
          <w:sz w:val="22"/>
          <w:szCs w:val="22"/>
          <w:lang w:val="es-MX"/>
        </w:rPr>
        <w:t xml:space="preserve">Para los casos anteriores, la reparación de fallas para el </w:t>
      </w:r>
      <w:r w:rsidR="00E257F2">
        <w:rPr>
          <w:rFonts w:ascii="ITC Avant Garde" w:hAnsi="ITC Avant Garde"/>
          <w:color w:val="auto"/>
          <w:sz w:val="22"/>
          <w:szCs w:val="22"/>
          <w:lang w:val="es-MX"/>
        </w:rPr>
        <w:t>6</w:t>
      </w:r>
      <w:r w:rsidRPr="00D936CA">
        <w:rPr>
          <w:rFonts w:ascii="ITC Avant Garde" w:hAnsi="ITC Avant Garde"/>
          <w:color w:val="auto"/>
          <w:sz w:val="22"/>
          <w:szCs w:val="22"/>
          <w:lang w:val="es-MX"/>
        </w:rPr>
        <w:t>% de reportes restante no excederá de 10 días hábiles siguientes a la recepción de la queja.</w:t>
      </w:r>
    </w:p>
    <w:p w14:paraId="33CFEA7D" w14:textId="77777777" w:rsidR="00FC6B25" w:rsidRPr="00D936CA" w:rsidRDefault="00FC6B25" w:rsidP="00D936CA">
      <w:pPr>
        <w:pStyle w:val="Default"/>
        <w:spacing w:after="200" w:line="276" w:lineRule="auto"/>
        <w:jc w:val="both"/>
        <w:rPr>
          <w:rFonts w:ascii="ITC Avant Garde" w:hAnsi="ITC Avant Garde"/>
          <w:color w:val="auto"/>
          <w:sz w:val="22"/>
          <w:szCs w:val="22"/>
          <w:lang w:val="es-MX"/>
        </w:rPr>
      </w:pPr>
      <w:r w:rsidRPr="00D936CA">
        <w:rPr>
          <w:rFonts w:ascii="ITC Avant Garde" w:hAnsi="ITC Avant Garde"/>
          <w:color w:val="auto"/>
          <w:sz w:val="22"/>
          <w:szCs w:val="22"/>
          <w:lang w:val="es-MX"/>
        </w:rPr>
        <w:t xml:space="preserve">Para realizar las mediciones de estos indicadores, se considerarán los reportes levantados en un horario de 9:00 a 17:00 horas, aquellos que se reciban después de ese horario, se contabilizarán para el día hábil siguiente. </w:t>
      </w:r>
    </w:p>
    <w:p w14:paraId="33CFEA7E" w14:textId="77777777" w:rsidR="00907B13" w:rsidRPr="00D936CA" w:rsidRDefault="00907B13" w:rsidP="00D936CA">
      <w:pPr>
        <w:pStyle w:val="Default"/>
        <w:spacing w:after="200" w:line="276" w:lineRule="auto"/>
        <w:jc w:val="both"/>
        <w:rPr>
          <w:rFonts w:ascii="ITC Avant Garde" w:hAnsi="ITC Avant Garde"/>
          <w:color w:val="auto"/>
          <w:sz w:val="22"/>
          <w:szCs w:val="22"/>
          <w:lang w:val="es-MX"/>
        </w:rPr>
      </w:pPr>
      <w:r w:rsidRPr="00D936CA">
        <w:rPr>
          <w:rFonts w:ascii="ITC Avant Garde" w:hAnsi="ITC Avant Garde"/>
          <w:color w:val="auto"/>
          <w:sz w:val="22"/>
          <w:szCs w:val="22"/>
          <w:lang w:val="es-MX"/>
        </w:rPr>
        <w:lastRenderedPageBreak/>
        <w:t>El indicador “Tiempo de Resolución” se refiere al tiempo transcurrido desde la apertura por el CS de una reclamación hasta que la reclamación ha sido resuelta satisfactoriamente (incluye la aceptación por parte del mismo y el cierre de la incidencia).</w:t>
      </w:r>
    </w:p>
    <w:p w14:paraId="33CFEA7F" w14:textId="77777777" w:rsidR="00396495" w:rsidRPr="00D936CA" w:rsidRDefault="00396495" w:rsidP="00D936CA">
      <w:pPr>
        <w:autoSpaceDE w:val="0"/>
        <w:autoSpaceDN w:val="0"/>
        <w:adjustRightInd w:val="0"/>
        <w:spacing w:after="200" w:line="276" w:lineRule="auto"/>
        <w:rPr>
          <w:rFonts w:ascii="ITC Avant Garde" w:hAnsi="ITC Avant Garde"/>
          <w:b/>
          <w:sz w:val="22"/>
          <w:szCs w:val="22"/>
          <w:lang w:val="es-MX"/>
        </w:rPr>
      </w:pPr>
      <w:r w:rsidRPr="00D936CA">
        <w:rPr>
          <w:rFonts w:ascii="ITC Avant Garde" w:hAnsi="ITC Avant Garde"/>
          <w:b/>
          <w:sz w:val="22"/>
          <w:szCs w:val="22"/>
          <w:lang w:val="es-MX"/>
        </w:rPr>
        <w:t>Metodología</w:t>
      </w:r>
    </w:p>
    <w:p w14:paraId="33CFEA80" w14:textId="1F4A5F19" w:rsidR="00396495" w:rsidRPr="00D936CA" w:rsidRDefault="00396495" w:rsidP="00D936CA">
      <w:p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El cálculo de los indicadores de reparación de fallas se</w:t>
      </w:r>
      <w:r w:rsidR="00FD08FB">
        <w:rPr>
          <w:rFonts w:ascii="ITC Avant Garde" w:hAnsi="ITC Avant Garde"/>
          <w:sz w:val="22"/>
          <w:szCs w:val="22"/>
          <w:lang w:val="es-MX"/>
        </w:rPr>
        <w:t xml:space="preserve"> realiza</w:t>
      </w:r>
      <w:r w:rsidRPr="00D936CA">
        <w:rPr>
          <w:rFonts w:ascii="ITC Avant Garde" w:hAnsi="ITC Avant Garde"/>
          <w:sz w:val="22"/>
          <w:szCs w:val="22"/>
          <w:lang w:val="es-MX"/>
        </w:rPr>
        <w:t xml:space="preserve"> de la siguiente forma y se mide para reparaciones en </w:t>
      </w:r>
      <w:r w:rsidR="004A0447" w:rsidRPr="00D936CA">
        <w:rPr>
          <w:rFonts w:ascii="ITC Avant Garde" w:hAnsi="ITC Avant Garde"/>
          <w:sz w:val="22"/>
          <w:szCs w:val="22"/>
          <w:lang w:val="es-MX"/>
        </w:rPr>
        <w:t>uno</w:t>
      </w:r>
      <w:r w:rsidRPr="00D936CA">
        <w:rPr>
          <w:rFonts w:ascii="ITC Avant Garde" w:hAnsi="ITC Avant Garde"/>
          <w:sz w:val="22"/>
          <w:szCs w:val="22"/>
          <w:lang w:val="es-MX"/>
        </w:rPr>
        <w:t xml:space="preserve">, </w:t>
      </w:r>
      <w:r w:rsidR="004A0447" w:rsidRPr="00D936CA">
        <w:rPr>
          <w:rFonts w:ascii="ITC Avant Garde" w:hAnsi="ITC Avant Garde"/>
          <w:sz w:val="22"/>
          <w:szCs w:val="22"/>
          <w:lang w:val="es-MX"/>
        </w:rPr>
        <w:t>tres</w:t>
      </w:r>
      <w:r w:rsidRPr="00D936CA">
        <w:rPr>
          <w:rFonts w:ascii="ITC Avant Garde" w:hAnsi="ITC Avant Garde"/>
          <w:sz w:val="22"/>
          <w:szCs w:val="22"/>
          <w:lang w:val="es-MX"/>
        </w:rPr>
        <w:t xml:space="preserve"> y </w:t>
      </w:r>
      <w:r w:rsidR="004A0447" w:rsidRPr="00D936CA">
        <w:rPr>
          <w:rFonts w:ascii="ITC Avant Garde" w:hAnsi="ITC Avant Garde"/>
          <w:sz w:val="22"/>
          <w:szCs w:val="22"/>
          <w:lang w:val="es-MX"/>
        </w:rPr>
        <w:t>diez</w:t>
      </w:r>
      <w:r w:rsidRPr="00D936CA">
        <w:rPr>
          <w:rFonts w:ascii="ITC Avant Garde" w:hAnsi="ITC Avant Garde"/>
          <w:sz w:val="22"/>
          <w:szCs w:val="22"/>
          <w:lang w:val="es-MX"/>
        </w:rPr>
        <w:t xml:space="preserve"> días hábiles posteriores a la recepción de la queja</w:t>
      </w:r>
      <w:r w:rsidR="00F153F7" w:rsidRPr="00D936CA">
        <w:rPr>
          <w:rFonts w:ascii="ITC Avant Garde" w:hAnsi="ITC Avant Garde"/>
          <w:sz w:val="22"/>
          <w:szCs w:val="22"/>
          <w:lang w:val="es-MX"/>
        </w:rPr>
        <w:t>,</w:t>
      </w:r>
      <w:r w:rsidR="00324D36" w:rsidRPr="00D936CA">
        <w:rPr>
          <w:rFonts w:ascii="ITC Avant Garde" w:hAnsi="ITC Avant Garde"/>
          <w:sz w:val="22"/>
          <w:szCs w:val="22"/>
          <w:lang w:val="es-MX"/>
        </w:rPr>
        <w:t xml:space="preserve"> </w:t>
      </w:r>
      <w:r w:rsidR="00F153F7" w:rsidRPr="00D936CA">
        <w:rPr>
          <w:rFonts w:ascii="ITC Avant Garde" w:hAnsi="ITC Avant Garde"/>
          <w:sz w:val="22"/>
          <w:szCs w:val="22"/>
          <w:lang w:val="es-MX"/>
        </w:rPr>
        <w:t>tal como está establecido en el Título de Concesión de Telmex</w:t>
      </w:r>
      <w:r w:rsidR="00B37BC6" w:rsidRPr="00D936CA">
        <w:rPr>
          <w:rFonts w:ascii="ITC Avant Garde" w:hAnsi="ITC Avant Garde"/>
          <w:sz w:val="22"/>
          <w:szCs w:val="22"/>
          <w:lang w:val="es-MX"/>
        </w:rPr>
        <w:t>.</w:t>
      </w:r>
    </w:p>
    <w:p w14:paraId="33CFEA81" w14:textId="5ED180D7" w:rsidR="00396495" w:rsidRPr="00D936CA" w:rsidRDefault="00396495" w:rsidP="00D936CA">
      <w:pPr>
        <w:spacing w:after="200" w:line="276" w:lineRule="auto"/>
        <w:jc w:val="both"/>
        <w:rPr>
          <w:rFonts w:ascii="ITC Avant Garde" w:hAnsi="ITC Avant Garde"/>
          <w:sz w:val="22"/>
          <w:szCs w:val="22"/>
          <w:lang w:val="es-MX"/>
        </w:rPr>
      </w:pPr>
      <w:r w:rsidRPr="00D936CA">
        <w:rPr>
          <w:rFonts w:ascii="ITC Avant Garde" w:hAnsi="ITC Avant Garde" w:cstheme="minorHAnsi"/>
          <w:b/>
          <w:sz w:val="22"/>
          <w:szCs w:val="22"/>
        </w:rPr>
        <w:t xml:space="preserve">Reparación de </w:t>
      </w:r>
      <w:r w:rsidR="00FE289B" w:rsidRPr="00D936CA">
        <w:rPr>
          <w:rFonts w:ascii="ITC Avant Garde" w:hAnsi="ITC Avant Garde" w:cstheme="minorHAnsi"/>
          <w:b/>
          <w:sz w:val="22"/>
          <w:szCs w:val="22"/>
        </w:rPr>
        <w:t>fallas</w:t>
      </w:r>
      <w:r w:rsidRPr="00D936CA">
        <w:rPr>
          <w:rFonts w:ascii="ITC Avant Garde" w:hAnsi="ITC Avant Garde" w:cstheme="minorHAnsi"/>
          <w:b/>
          <w:sz w:val="22"/>
          <w:szCs w:val="22"/>
        </w:rPr>
        <w:t xml:space="preserve">: </w:t>
      </w:r>
      <w:r w:rsidRPr="00D936CA">
        <w:rPr>
          <w:rFonts w:ascii="ITC Avant Garde" w:hAnsi="ITC Avant Garde" w:cstheme="minorHAnsi"/>
          <w:sz w:val="22"/>
          <w:szCs w:val="22"/>
        </w:rPr>
        <w:t>porcentaje de las fallas reportadas que son atendidas dentro del plazo a medir (</w:t>
      </w:r>
      <w:r w:rsidR="004A0447" w:rsidRPr="00D936CA">
        <w:rPr>
          <w:rFonts w:ascii="ITC Avant Garde" w:hAnsi="ITC Avant Garde" w:cstheme="minorHAnsi"/>
          <w:sz w:val="22"/>
          <w:szCs w:val="22"/>
        </w:rPr>
        <w:t>uno</w:t>
      </w:r>
      <w:r w:rsidRPr="00D936CA">
        <w:rPr>
          <w:rFonts w:ascii="ITC Avant Garde" w:hAnsi="ITC Avant Garde" w:cstheme="minorHAnsi"/>
          <w:sz w:val="22"/>
          <w:szCs w:val="22"/>
        </w:rPr>
        <w:t>,</w:t>
      </w:r>
      <w:r w:rsidR="009B5985" w:rsidRPr="00D936CA">
        <w:rPr>
          <w:rFonts w:ascii="ITC Avant Garde" w:hAnsi="ITC Avant Garde" w:cstheme="minorHAnsi"/>
          <w:sz w:val="22"/>
          <w:szCs w:val="22"/>
        </w:rPr>
        <w:t xml:space="preserve"> </w:t>
      </w:r>
      <w:r w:rsidR="004A0447" w:rsidRPr="00D936CA">
        <w:rPr>
          <w:rFonts w:ascii="ITC Avant Garde" w:hAnsi="ITC Avant Garde" w:cstheme="minorHAnsi"/>
          <w:sz w:val="22"/>
          <w:szCs w:val="22"/>
        </w:rPr>
        <w:t>tres</w:t>
      </w:r>
      <w:r w:rsidRPr="00D936CA">
        <w:rPr>
          <w:rFonts w:ascii="ITC Avant Garde" w:hAnsi="ITC Avant Garde" w:cstheme="minorHAnsi"/>
          <w:sz w:val="22"/>
          <w:szCs w:val="22"/>
        </w:rPr>
        <w:t xml:space="preserve">, </w:t>
      </w:r>
      <w:r w:rsidR="004A0447" w:rsidRPr="00D936CA">
        <w:rPr>
          <w:rFonts w:ascii="ITC Avant Garde" w:hAnsi="ITC Avant Garde" w:cstheme="minorHAnsi"/>
          <w:sz w:val="22"/>
          <w:szCs w:val="22"/>
        </w:rPr>
        <w:t>diez</w:t>
      </w:r>
      <w:r w:rsidRPr="00D936CA">
        <w:rPr>
          <w:rFonts w:ascii="ITC Avant Garde" w:hAnsi="ITC Avant Garde" w:cstheme="minorHAnsi"/>
          <w:sz w:val="22"/>
          <w:szCs w:val="22"/>
        </w:rPr>
        <w:t xml:space="preserve"> días hábiles siguientes a la recepción de la queja), durante el trimestre.</w:t>
      </w:r>
    </w:p>
    <w:p w14:paraId="33CFEA82" w14:textId="77777777" w:rsidR="00396495" w:rsidRPr="00D936CA" w:rsidRDefault="00396495" w:rsidP="00D936CA">
      <w:pPr>
        <w:autoSpaceDE w:val="0"/>
        <w:autoSpaceDN w:val="0"/>
        <w:adjustRightInd w:val="0"/>
        <w:spacing w:line="360" w:lineRule="auto"/>
        <w:jc w:val="center"/>
        <w:rPr>
          <w:rFonts w:ascii="ITC Avant Garde" w:hAnsi="ITC Avant Garde"/>
          <w:sz w:val="22"/>
          <w:szCs w:val="22"/>
          <w:lang w:val="es-MX"/>
        </w:rPr>
      </w:pPr>
      <w:r w:rsidRPr="00D936CA">
        <w:rPr>
          <w:rFonts w:ascii="ITC Avant Garde" w:hAnsi="ITC Avant Garde"/>
          <w:i/>
          <w:sz w:val="20"/>
          <w:szCs w:val="22"/>
          <w:lang w:val="es-MX"/>
        </w:rPr>
        <w:t xml:space="preserve">Reparación de Fallas </w:t>
      </w:r>
      <w:r w:rsidRPr="00D936CA">
        <w:rPr>
          <w:rFonts w:ascii="ITC Avant Garde" w:hAnsi="ITC Avant Garde"/>
          <w:sz w:val="22"/>
          <w:szCs w:val="22"/>
          <w:lang w:val="es-MX"/>
        </w:rPr>
        <w:t xml:space="preserve">= </w:t>
      </w:r>
      <m:oMath>
        <m:f>
          <m:fPr>
            <m:ctrlPr>
              <w:rPr>
                <w:rFonts w:ascii="Cambria Math" w:hAnsi="Cambria Math"/>
                <w:i/>
                <w:sz w:val="22"/>
                <w:szCs w:val="22"/>
                <w:lang w:val="es-MX"/>
              </w:rPr>
            </m:ctrlPr>
          </m:fPr>
          <m:num>
            <m:r>
              <w:rPr>
                <w:rFonts w:ascii="Cambria Math" w:hAnsi="Cambria Math"/>
                <w:sz w:val="22"/>
                <w:szCs w:val="22"/>
                <w:lang w:val="es-MX"/>
              </w:rPr>
              <m:t>Fallas efectivas reparadas en el plazo a medir en  días hábiles</m:t>
            </m:r>
          </m:num>
          <m:den>
            <m:r>
              <w:rPr>
                <w:rFonts w:ascii="Cambria Math" w:hAnsi="Cambria Math"/>
                <w:sz w:val="22"/>
                <w:szCs w:val="22"/>
                <w:lang w:val="es-MX"/>
              </w:rPr>
              <m:t>Fallas Efectivas</m:t>
            </m:r>
          </m:den>
        </m:f>
        <m:r>
          <w:rPr>
            <w:rFonts w:ascii="Cambria Math" w:hAnsi="Cambria Math"/>
            <w:sz w:val="22"/>
            <w:szCs w:val="22"/>
            <w:lang w:val="es-MX"/>
          </w:rPr>
          <m:t xml:space="preserve"> x 100</m:t>
        </m:r>
      </m:oMath>
    </w:p>
    <w:p w14:paraId="33CFEA83" w14:textId="77777777" w:rsidR="00396495" w:rsidRPr="00D936CA" w:rsidRDefault="00396495" w:rsidP="00D936CA">
      <w:pPr>
        <w:autoSpaceDE w:val="0"/>
        <w:autoSpaceDN w:val="0"/>
        <w:adjustRightInd w:val="0"/>
        <w:spacing w:after="200" w:line="276" w:lineRule="auto"/>
        <w:rPr>
          <w:rFonts w:ascii="ITC Avant Garde" w:hAnsi="ITC Avant Garde"/>
          <w:b/>
          <w:sz w:val="22"/>
          <w:szCs w:val="22"/>
          <w:lang w:val="es-MX"/>
        </w:rPr>
      </w:pPr>
      <w:r w:rsidRPr="00D936CA">
        <w:rPr>
          <w:rFonts w:ascii="ITC Avant Garde" w:hAnsi="ITC Avant Garde"/>
          <w:b/>
          <w:sz w:val="22"/>
          <w:szCs w:val="22"/>
          <w:lang w:val="es-MX"/>
        </w:rPr>
        <w:t xml:space="preserve">Donde: </w:t>
      </w:r>
    </w:p>
    <w:p w14:paraId="33CFEA84" w14:textId="2534D14A" w:rsidR="0037631B" w:rsidRPr="00D936CA" w:rsidRDefault="008565CB" w:rsidP="00D936CA">
      <w:pPr>
        <w:spacing w:after="200" w:line="276" w:lineRule="auto"/>
        <w:jc w:val="both"/>
        <w:rPr>
          <w:rFonts w:ascii="ITC Avant Garde" w:hAnsi="ITC Avant Garde"/>
          <w:i/>
          <w:sz w:val="22"/>
          <w:szCs w:val="22"/>
          <w:lang w:val="es-MX"/>
        </w:rPr>
      </w:pPr>
      <w:r w:rsidRPr="00D936CA">
        <w:rPr>
          <w:rFonts w:ascii="ITC Avant Garde" w:hAnsi="ITC Avant Garde" w:cs="Arial"/>
          <w:bCs/>
          <w:i/>
          <w:sz w:val="22"/>
          <w:szCs w:val="22"/>
          <w:lang w:val="es-MX"/>
        </w:rPr>
        <w:t>Fallas efectivas reparadas en el plazo a medir (días hábiles)</w:t>
      </w:r>
      <w:r w:rsidRPr="00D936CA">
        <w:rPr>
          <w:rFonts w:ascii="ITC Avant Garde" w:hAnsi="ITC Avant Garde"/>
          <w:i/>
          <w:sz w:val="22"/>
          <w:szCs w:val="22"/>
          <w:lang w:val="es-MX"/>
        </w:rPr>
        <w:t xml:space="preserve"> = </w:t>
      </w:r>
      <w:r w:rsidRPr="00D936CA">
        <w:rPr>
          <w:rFonts w:ascii="ITC Avant Garde" w:hAnsi="ITC Avant Garde" w:cs="Arial"/>
          <w:bCs/>
          <w:sz w:val="22"/>
          <w:szCs w:val="22"/>
        </w:rPr>
        <w:t>Es la cantidad de fallas repara</w:t>
      </w:r>
      <w:r w:rsidR="001A2CF0" w:rsidRPr="00D936CA">
        <w:rPr>
          <w:rFonts w:ascii="ITC Avant Garde" w:hAnsi="ITC Avant Garde" w:cs="Arial"/>
          <w:bCs/>
          <w:sz w:val="22"/>
          <w:szCs w:val="22"/>
        </w:rPr>
        <w:t xml:space="preserve">das dentro del plazo que interesa medir, en este caso serán </w:t>
      </w:r>
      <w:r w:rsidR="00660EE3" w:rsidRPr="00D936CA">
        <w:rPr>
          <w:rFonts w:ascii="ITC Avant Garde" w:hAnsi="ITC Avant Garde" w:cs="Arial"/>
          <w:bCs/>
          <w:sz w:val="22"/>
          <w:szCs w:val="22"/>
        </w:rPr>
        <w:t>uno</w:t>
      </w:r>
      <w:r w:rsidR="001A2CF0" w:rsidRPr="00D936CA">
        <w:rPr>
          <w:rFonts w:ascii="ITC Avant Garde" w:hAnsi="ITC Avant Garde" w:cs="Arial"/>
          <w:bCs/>
          <w:sz w:val="22"/>
          <w:szCs w:val="22"/>
        </w:rPr>
        <w:t xml:space="preserve">, </w:t>
      </w:r>
      <w:r w:rsidR="00660EE3" w:rsidRPr="00D936CA">
        <w:rPr>
          <w:rFonts w:ascii="ITC Avant Garde" w:hAnsi="ITC Avant Garde" w:cs="Arial"/>
          <w:bCs/>
          <w:sz w:val="22"/>
          <w:szCs w:val="22"/>
        </w:rPr>
        <w:t>tres</w:t>
      </w:r>
      <w:r w:rsidR="001A2CF0" w:rsidRPr="00D936CA">
        <w:rPr>
          <w:rFonts w:ascii="ITC Avant Garde" w:hAnsi="ITC Avant Garde" w:cs="Arial"/>
          <w:bCs/>
          <w:sz w:val="22"/>
          <w:szCs w:val="22"/>
        </w:rPr>
        <w:t xml:space="preserve"> y </w:t>
      </w:r>
      <w:r w:rsidR="00660EE3" w:rsidRPr="00D936CA">
        <w:rPr>
          <w:rFonts w:ascii="ITC Avant Garde" w:hAnsi="ITC Avant Garde" w:cs="Arial"/>
          <w:bCs/>
          <w:sz w:val="22"/>
          <w:szCs w:val="22"/>
        </w:rPr>
        <w:t>diez</w:t>
      </w:r>
      <w:r w:rsidR="001A2CF0" w:rsidRPr="00D936CA">
        <w:rPr>
          <w:rFonts w:ascii="ITC Avant Garde" w:hAnsi="ITC Avant Garde" w:cs="Arial"/>
          <w:bCs/>
          <w:sz w:val="22"/>
          <w:szCs w:val="22"/>
        </w:rPr>
        <w:t xml:space="preserve"> días hábiles siguientes a la recepción de la queja conforme a los procedimientos formales de Telmex. En esta variable se eliminan las quejas debidas a fallas provocadas por fenómenos no previsibles o de fuerza mayor, además de las fallas en la red bajo responsabilidad del cliente.</w:t>
      </w:r>
      <w:r w:rsidR="001A2CF0" w:rsidRPr="00D936CA">
        <w:rPr>
          <w:rFonts w:ascii="ITC Avant Garde" w:hAnsi="ITC Avant Garde"/>
          <w:i/>
          <w:sz w:val="22"/>
          <w:szCs w:val="22"/>
          <w:lang w:val="es-MX"/>
        </w:rPr>
        <w:t xml:space="preserve"> </w:t>
      </w:r>
    </w:p>
    <w:p w14:paraId="33CFEA85" w14:textId="77777777" w:rsidR="00396495" w:rsidRPr="00D936CA" w:rsidRDefault="008565CB" w:rsidP="00D936CA">
      <w:pPr>
        <w:spacing w:after="200" w:line="276" w:lineRule="auto"/>
        <w:jc w:val="both"/>
        <w:rPr>
          <w:rFonts w:ascii="ITC Avant Garde" w:hAnsi="ITC Avant Garde" w:cstheme="minorHAnsi"/>
          <w:sz w:val="22"/>
          <w:szCs w:val="22"/>
        </w:rPr>
      </w:pPr>
      <w:r w:rsidRPr="00D936CA">
        <w:rPr>
          <w:rFonts w:ascii="ITC Avant Garde" w:hAnsi="ITC Avant Garde" w:cs="Arial"/>
          <w:bCs/>
          <w:i/>
          <w:sz w:val="22"/>
          <w:szCs w:val="22"/>
          <w:lang w:val="es-MX"/>
        </w:rPr>
        <w:t>Fallas Efectivas</w:t>
      </w:r>
      <w:r w:rsidRPr="00D936CA">
        <w:rPr>
          <w:rFonts w:ascii="ITC Avant Garde" w:hAnsi="ITC Avant Garde"/>
          <w:sz w:val="16"/>
          <w:lang w:val="es-MX"/>
        </w:rPr>
        <w:t xml:space="preserve"> = </w:t>
      </w:r>
      <w:r w:rsidRPr="00D936CA">
        <w:rPr>
          <w:rFonts w:ascii="ITC Avant Garde" w:hAnsi="ITC Avant Garde" w:cs="Arial"/>
          <w:bCs/>
          <w:sz w:val="22"/>
          <w:szCs w:val="22"/>
        </w:rPr>
        <w:t>Cantidad de reportes de fallas recibidos excepto las quejas debidas a fallas provocadas por fenómenos no previsibles o de fuerza mayor, además de las fallas en la red bajo responsabilidad del cliente.</w:t>
      </w:r>
    </w:p>
    <w:p w14:paraId="33CFEA86" w14:textId="77777777" w:rsidR="0095393F" w:rsidRPr="00D936CA" w:rsidRDefault="0095393F" w:rsidP="00D936CA">
      <w:pPr>
        <w:autoSpaceDE w:val="0"/>
        <w:autoSpaceDN w:val="0"/>
        <w:adjustRightInd w:val="0"/>
        <w:spacing w:after="200" w:line="276" w:lineRule="auto"/>
        <w:rPr>
          <w:rFonts w:ascii="ITC Avant Garde" w:hAnsi="ITC Avant Garde"/>
          <w:b/>
          <w:sz w:val="22"/>
          <w:szCs w:val="22"/>
          <w:lang w:val="es-MX"/>
        </w:rPr>
      </w:pPr>
      <w:r w:rsidRPr="00D936CA">
        <w:rPr>
          <w:rFonts w:ascii="ITC Avant Garde" w:hAnsi="ITC Avant Garde"/>
          <w:b/>
          <w:sz w:val="22"/>
          <w:szCs w:val="22"/>
          <w:lang w:val="es-MX"/>
        </w:rPr>
        <w:t>Indicador para Disponibilidad</w:t>
      </w:r>
    </w:p>
    <w:p w14:paraId="33CFEA87" w14:textId="764DBCE6" w:rsidR="0095393F" w:rsidRPr="00D936CA" w:rsidRDefault="0095393F" w:rsidP="00D936CA">
      <w:p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El indicador de disponibilidad establece el porcentaje del tiempo durante el cual el servicio se encuentra en operación normal respecto del tiempo total de medición. La meta de cumplimiento de este indicador es del 98% al trimestre</w:t>
      </w:r>
      <w:r w:rsidR="00094679" w:rsidRPr="00D936CA">
        <w:rPr>
          <w:rFonts w:ascii="ITC Avant Garde" w:hAnsi="ITC Avant Garde"/>
          <w:sz w:val="22"/>
          <w:szCs w:val="22"/>
          <w:lang w:val="es-MX"/>
        </w:rPr>
        <w:t>.</w:t>
      </w:r>
    </w:p>
    <w:p w14:paraId="33CFEA88" w14:textId="77777777" w:rsidR="0095393F" w:rsidRPr="00D936CA" w:rsidRDefault="0095393F" w:rsidP="00D936CA">
      <w:pPr>
        <w:spacing w:after="200" w:line="276" w:lineRule="auto"/>
        <w:jc w:val="both"/>
        <w:rPr>
          <w:rFonts w:ascii="ITC Avant Garde" w:hAnsi="ITC Avant Garde"/>
          <w:b/>
          <w:bCs/>
          <w:sz w:val="22"/>
          <w:szCs w:val="22"/>
        </w:rPr>
      </w:pPr>
      <w:r w:rsidRPr="00D936CA">
        <w:rPr>
          <w:rFonts w:ascii="ITC Avant Garde" w:hAnsi="ITC Avant Garde"/>
          <w:b/>
          <w:bCs/>
          <w:sz w:val="22"/>
          <w:szCs w:val="22"/>
        </w:rPr>
        <w:t>Metodología</w:t>
      </w:r>
    </w:p>
    <w:p w14:paraId="33CFEA89" w14:textId="77777777" w:rsidR="0095393F" w:rsidRPr="00D936CA" w:rsidRDefault="0095393F" w:rsidP="00D936CA">
      <w:pPr>
        <w:spacing w:after="200" w:line="276" w:lineRule="auto"/>
        <w:jc w:val="both"/>
        <w:rPr>
          <w:rFonts w:ascii="ITC Avant Garde" w:hAnsi="ITC Avant Garde"/>
          <w:sz w:val="22"/>
          <w:szCs w:val="22"/>
        </w:rPr>
      </w:pPr>
      <w:r w:rsidRPr="00D936CA">
        <w:rPr>
          <w:rFonts w:ascii="ITC Avant Garde" w:hAnsi="ITC Avant Garde"/>
          <w:sz w:val="22"/>
          <w:szCs w:val="22"/>
        </w:rPr>
        <w:t>El indicador se calcula considerando el número de líneas en servicio durante el periodo de medición, menos las fallas efectivas reportadas por el tiempo de interrupción del servicio, respecto del total de líneas en servicio durante dicho período de medición.</w:t>
      </w:r>
    </w:p>
    <w:p w14:paraId="33CFEA8A" w14:textId="77777777" w:rsidR="0095393F" w:rsidRPr="00D936CA" w:rsidRDefault="0095393F" w:rsidP="00D936CA">
      <w:pPr>
        <w:autoSpaceDE w:val="0"/>
        <w:autoSpaceDN w:val="0"/>
        <w:spacing w:line="360" w:lineRule="auto"/>
        <w:jc w:val="center"/>
        <w:rPr>
          <w:rFonts w:ascii="ITC Avant Garde" w:hAnsi="ITC Avant Garde"/>
        </w:rPr>
      </w:pPr>
      <w:r w:rsidRPr="00D936CA">
        <w:rPr>
          <w:rFonts w:ascii="ITC Avant Garde" w:hAnsi="ITC Avant Garde"/>
          <w:i/>
          <w:iCs/>
          <w:sz w:val="18"/>
          <w:szCs w:val="18"/>
        </w:rPr>
        <w:t xml:space="preserve">Disponibilidad </w:t>
      </w:r>
      <w:r w:rsidRPr="00D936CA">
        <w:rPr>
          <w:rFonts w:ascii="ITC Avant Garde" w:hAnsi="ITC Avant Garde"/>
        </w:rPr>
        <w:t xml:space="preserve">= </w:t>
      </w:r>
      <m:oMath>
        <m:f>
          <m:fPr>
            <m:ctrlPr>
              <w:rPr>
                <w:rFonts w:ascii="Cambria Math" w:eastAsiaTheme="minorHAnsi" w:hAnsi="Cambria Math"/>
                <w:i/>
                <w:iCs/>
                <w:sz w:val="20"/>
                <w:szCs w:val="20"/>
              </w:rPr>
            </m:ctrlPr>
          </m:fPr>
          <m:num>
            <m:d>
              <m:dPr>
                <m:ctrlPr>
                  <w:rPr>
                    <w:rFonts w:ascii="Cambria Math" w:eastAsiaTheme="minorHAnsi" w:hAnsi="Cambria Math"/>
                    <w:i/>
                    <w:iCs/>
                    <w:sz w:val="20"/>
                    <w:szCs w:val="20"/>
                  </w:rPr>
                </m:ctrlPr>
              </m:dPr>
              <m:e>
                <m:r>
                  <w:rPr>
                    <w:rFonts w:ascii="Cambria Math" w:hAnsi="Cambria Math"/>
                    <w:sz w:val="20"/>
                    <w:szCs w:val="20"/>
                  </w:rPr>
                  <m:t>Total de líneas en servicio x Periodo de Medición</m:t>
                </m:r>
              </m:e>
            </m:d>
            <m:r>
              <w:rPr>
                <w:rFonts w:ascii="Cambria Math" w:hAnsi="Cambria Math"/>
                <w:sz w:val="20"/>
                <w:szCs w:val="20"/>
              </w:rPr>
              <m:t>-(Fallas Efectivas x Tiempo de Interrupción)</m:t>
            </m:r>
          </m:num>
          <m:den>
            <m:r>
              <w:rPr>
                <w:rFonts w:ascii="Cambria Math" w:hAnsi="Cambria Math"/>
                <w:sz w:val="20"/>
                <w:szCs w:val="20"/>
              </w:rPr>
              <m:t>Total de líneas en servicio x Periodo de Medición</m:t>
            </m:r>
          </m:den>
        </m:f>
        <m:r>
          <w:rPr>
            <w:rFonts w:ascii="Cambria Math" w:hAnsi="Cambria Math"/>
            <w:sz w:val="20"/>
            <w:szCs w:val="20"/>
          </w:rPr>
          <m:t xml:space="preserve"> x 100</m:t>
        </m:r>
      </m:oMath>
    </w:p>
    <w:p w14:paraId="33CFEA8B" w14:textId="77777777" w:rsidR="0095393F" w:rsidRPr="00D936CA" w:rsidRDefault="0095393F" w:rsidP="00D936CA">
      <w:pPr>
        <w:spacing w:after="200" w:line="276" w:lineRule="auto"/>
        <w:jc w:val="both"/>
        <w:rPr>
          <w:rFonts w:ascii="ITC Avant Garde" w:hAnsi="ITC Avant Garde"/>
          <w:sz w:val="22"/>
          <w:szCs w:val="22"/>
          <w:lang w:val="es-MX"/>
        </w:rPr>
      </w:pPr>
    </w:p>
    <w:p w14:paraId="33CFEA8C" w14:textId="77777777" w:rsidR="00096DD2" w:rsidRPr="00D936CA" w:rsidRDefault="00096DD2" w:rsidP="00D936CA">
      <w:p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Se consideran fallas efectivas a la cantidad de reportes de fallas en líneas, excepto las fallas provocadas por fenómenos no previsibles o de fuerza mayor, además de las fallas en la red bajo responsabilidad del cliente.</w:t>
      </w:r>
    </w:p>
    <w:p w14:paraId="33CFEA8D" w14:textId="77777777" w:rsidR="00DC4D01" w:rsidRPr="00B22C03" w:rsidRDefault="00011A1B" w:rsidP="00D936CA">
      <w:pPr>
        <w:autoSpaceDE w:val="0"/>
        <w:autoSpaceDN w:val="0"/>
        <w:adjustRightInd w:val="0"/>
        <w:spacing w:after="200" w:line="276" w:lineRule="auto"/>
        <w:rPr>
          <w:rFonts w:ascii="ITC Avant Garde" w:hAnsi="ITC Avant Garde"/>
          <w:b/>
          <w:sz w:val="22"/>
          <w:szCs w:val="22"/>
          <w:lang w:val="es-MX"/>
        </w:rPr>
      </w:pPr>
      <w:r w:rsidRPr="00B22C03">
        <w:rPr>
          <w:rFonts w:ascii="ITC Avant Garde" w:hAnsi="ITC Avant Garde"/>
          <w:b/>
          <w:sz w:val="22"/>
          <w:szCs w:val="22"/>
          <w:lang w:val="es-MX"/>
        </w:rPr>
        <w:t>Parámetros e Indicadores de Calidad para Pruebas del Servicio de Reventa</w:t>
      </w:r>
    </w:p>
    <w:p w14:paraId="33CFEA8E" w14:textId="77777777" w:rsidR="008E6748" w:rsidRPr="00B22C03" w:rsidRDefault="00011A1B" w:rsidP="00D936CA">
      <w:pPr>
        <w:spacing w:after="200" w:line="276" w:lineRule="auto"/>
        <w:jc w:val="both"/>
        <w:rPr>
          <w:rFonts w:ascii="ITC Avant Garde" w:hAnsi="ITC Avant Garde"/>
          <w:b/>
          <w:sz w:val="22"/>
          <w:szCs w:val="22"/>
          <w:lang w:val="es-MX"/>
        </w:rPr>
      </w:pPr>
      <w:r w:rsidRPr="00B22C03">
        <w:rPr>
          <w:rFonts w:ascii="ITC Avant Garde" w:hAnsi="ITC Avant Garde"/>
          <w:b/>
          <w:sz w:val="22"/>
          <w:szCs w:val="22"/>
          <w:lang w:val="es-MX"/>
        </w:rPr>
        <w:t>Resistencia y Capacitancia</w:t>
      </w:r>
    </w:p>
    <w:p w14:paraId="33CFEA8F" w14:textId="48546E2F" w:rsidR="00804136" w:rsidRPr="00B22C03" w:rsidRDefault="00804136" w:rsidP="00D936CA">
      <w:pPr>
        <w:pStyle w:val="IFTnormal"/>
        <w:rPr>
          <w:rFonts w:cs="Arial"/>
        </w:rPr>
      </w:pPr>
      <w:r w:rsidRPr="00B22C03">
        <w:rPr>
          <w:rFonts w:cs="Arial"/>
        </w:rPr>
        <w:t>Referente a los parámetros de calidad que deben de cumplirse al momento de la habilitación de los Servicios de Reventa, se miden los siguientes parámetros eléctricos, los cuales se consideran adecuados si la medición resultante de la prueba queda dentro de los valores indicados en la siguiente tabla:</w:t>
      </w:r>
    </w:p>
    <w:tbl>
      <w:tblPr>
        <w:tblW w:w="6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2080"/>
        <w:gridCol w:w="2133"/>
      </w:tblGrid>
      <w:tr w:rsidR="00D936CA" w:rsidRPr="00E257F2" w14:paraId="33CFEA93" w14:textId="77777777" w:rsidTr="005A5E13">
        <w:trPr>
          <w:jc w:val="center"/>
        </w:trPr>
        <w:tc>
          <w:tcPr>
            <w:tcW w:w="1808" w:type="dxa"/>
            <w:shd w:val="clear" w:color="auto" w:fill="548DD4" w:themeFill="text2" w:themeFillTint="99"/>
            <w:vAlign w:val="center"/>
          </w:tcPr>
          <w:p w14:paraId="33CFEA90" w14:textId="77777777" w:rsidR="00804136" w:rsidRPr="00B22C03" w:rsidRDefault="00804136" w:rsidP="00D936CA">
            <w:pPr>
              <w:spacing w:after="200" w:line="276" w:lineRule="auto"/>
              <w:jc w:val="center"/>
              <w:rPr>
                <w:rFonts w:ascii="ITC Avant Garde" w:eastAsia="Calibri" w:hAnsi="ITC Avant Garde" w:cs="Arial"/>
                <w:b/>
                <w:sz w:val="22"/>
                <w:szCs w:val="22"/>
              </w:rPr>
            </w:pPr>
            <w:r w:rsidRPr="00B22C03">
              <w:rPr>
                <w:rFonts w:ascii="ITC Avant Garde" w:eastAsia="Calibri" w:hAnsi="ITC Avant Garde" w:cs="Arial"/>
                <w:b/>
                <w:sz w:val="22"/>
                <w:szCs w:val="22"/>
              </w:rPr>
              <w:t>Parámetro</w:t>
            </w:r>
          </w:p>
        </w:tc>
        <w:tc>
          <w:tcPr>
            <w:tcW w:w="2080" w:type="dxa"/>
            <w:shd w:val="clear" w:color="auto" w:fill="548DD4" w:themeFill="text2" w:themeFillTint="99"/>
            <w:vAlign w:val="center"/>
          </w:tcPr>
          <w:p w14:paraId="33CFEA91" w14:textId="64F07F2B" w:rsidR="00804136" w:rsidRPr="00B22C03" w:rsidRDefault="00804136" w:rsidP="00D936CA">
            <w:pPr>
              <w:spacing w:after="200" w:line="276" w:lineRule="auto"/>
              <w:jc w:val="center"/>
              <w:rPr>
                <w:rFonts w:ascii="ITC Avant Garde" w:eastAsia="Calibri" w:hAnsi="ITC Avant Garde" w:cs="Arial"/>
                <w:b/>
                <w:sz w:val="22"/>
                <w:szCs w:val="22"/>
              </w:rPr>
            </w:pPr>
            <w:r w:rsidRPr="00B22C03">
              <w:rPr>
                <w:rFonts w:ascii="ITC Avant Garde" w:eastAsia="Calibri" w:hAnsi="ITC Avant Garde" w:cs="Arial"/>
                <w:b/>
                <w:sz w:val="22"/>
                <w:szCs w:val="22"/>
              </w:rPr>
              <w:t>Medición entre puntos (hilos)</w:t>
            </w:r>
            <w:r w:rsidR="00821D44" w:rsidRPr="00B22C03">
              <w:rPr>
                <w:rFonts w:ascii="ITC Avant Garde" w:eastAsia="Calibri" w:hAnsi="ITC Avant Garde" w:cs="Arial"/>
                <w:b/>
                <w:sz w:val="22"/>
                <w:szCs w:val="22"/>
              </w:rPr>
              <w:t xml:space="preserve"> y tierra</w:t>
            </w:r>
          </w:p>
        </w:tc>
        <w:tc>
          <w:tcPr>
            <w:tcW w:w="2133" w:type="dxa"/>
            <w:shd w:val="clear" w:color="auto" w:fill="548DD4" w:themeFill="text2" w:themeFillTint="99"/>
            <w:vAlign w:val="center"/>
          </w:tcPr>
          <w:p w14:paraId="33CFEA92" w14:textId="77777777" w:rsidR="00804136" w:rsidRPr="00B22C03" w:rsidRDefault="00804136" w:rsidP="00D936CA">
            <w:pPr>
              <w:spacing w:after="200" w:line="276" w:lineRule="auto"/>
              <w:jc w:val="center"/>
              <w:rPr>
                <w:rFonts w:ascii="ITC Avant Garde" w:eastAsia="Calibri" w:hAnsi="ITC Avant Garde" w:cs="Arial"/>
                <w:b/>
                <w:sz w:val="22"/>
                <w:szCs w:val="22"/>
              </w:rPr>
            </w:pPr>
            <w:r w:rsidRPr="00B22C03">
              <w:rPr>
                <w:rFonts w:ascii="ITC Avant Garde" w:eastAsia="Calibri" w:hAnsi="ITC Avant Garde" w:cs="Arial"/>
                <w:b/>
                <w:sz w:val="22"/>
                <w:szCs w:val="22"/>
              </w:rPr>
              <w:t>Valor Aceptable</w:t>
            </w:r>
          </w:p>
        </w:tc>
      </w:tr>
      <w:tr w:rsidR="00D936CA" w:rsidRPr="00E257F2" w14:paraId="33CFEA97" w14:textId="77777777" w:rsidTr="002D1A0A">
        <w:trPr>
          <w:jc w:val="center"/>
        </w:trPr>
        <w:tc>
          <w:tcPr>
            <w:tcW w:w="1808" w:type="dxa"/>
            <w:vMerge w:val="restart"/>
            <w:vAlign w:val="center"/>
          </w:tcPr>
          <w:p w14:paraId="33CFEA94"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Resistencia de aislamiento</w:t>
            </w:r>
          </w:p>
        </w:tc>
        <w:tc>
          <w:tcPr>
            <w:tcW w:w="2080" w:type="dxa"/>
          </w:tcPr>
          <w:p w14:paraId="33CFEA95" w14:textId="77777777" w:rsidR="00804136" w:rsidRPr="00B22C03" w:rsidRDefault="00804136" w:rsidP="00D936CA">
            <w:pPr>
              <w:spacing w:after="200" w:line="276" w:lineRule="auto"/>
              <w:jc w:val="center"/>
              <w:rPr>
                <w:rFonts w:ascii="ITC Avant Garde" w:eastAsia="Calibri" w:hAnsi="ITC Avant Garde" w:cs="Arial"/>
                <w:sz w:val="22"/>
                <w:szCs w:val="22"/>
              </w:rPr>
            </w:pPr>
            <w:r w:rsidRPr="00B22C03">
              <w:rPr>
                <w:rFonts w:ascii="ITC Avant Garde" w:eastAsia="Calibri" w:hAnsi="ITC Avant Garde" w:cs="Arial"/>
                <w:sz w:val="22"/>
                <w:szCs w:val="22"/>
              </w:rPr>
              <w:t>a-b</w:t>
            </w:r>
          </w:p>
        </w:tc>
        <w:tc>
          <w:tcPr>
            <w:tcW w:w="2133" w:type="dxa"/>
            <w:vMerge w:val="restart"/>
            <w:vAlign w:val="center"/>
          </w:tcPr>
          <w:p w14:paraId="33CFEA96"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Mayor a 1 Mohms</w:t>
            </w:r>
          </w:p>
        </w:tc>
      </w:tr>
      <w:tr w:rsidR="00D936CA" w:rsidRPr="00E257F2" w14:paraId="33CFEA9B" w14:textId="77777777" w:rsidTr="002D1A0A">
        <w:trPr>
          <w:jc w:val="center"/>
        </w:trPr>
        <w:tc>
          <w:tcPr>
            <w:tcW w:w="1808" w:type="dxa"/>
            <w:vMerge/>
          </w:tcPr>
          <w:p w14:paraId="33CFEA98" w14:textId="77777777" w:rsidR="00804136" w:rsidRPr="00B22C03" w:rsidRDefault="00804136" w:rsidP="00D936CA">
            <w:pPr>
              <w:spacing w:after="200" w:line="276" w:lineRule="auto"/>
              <w:jc w:val="both"/>
              <w:rPr>
                <w:rFonts w:ascii="ITC Avant Garde" w:eastAsia="Calibri" w:hAnsi="ITC Avant Garde" w:cs="Arial"/>
                <w:sz w:val="22"/>
                <w:szCs w:val="22"/>
              </w:rPr>
            </w:pPr>
          </w:p>
        </w:tc>
        <w:tc>
          <w:tcPr>
            <w:tcW w:w="2080" w:type="dxa"/>
          </w:tcPr>
          <w:p w14:paraId="33CFEA99" w14:textId="741EC50A" w:rsidR="00804136" w:rsidRPr="00B22C03" w:rsidRDefault="00804136" w:rsidP="00D936CA">
            <w:pPr>
              <w:spacing w:after="200" w:line="276" w:lineRule="auto"/>
              <w:jc w:val="center"/>
              <w:rPr>
                <w:rFonts w:ascii="ITC Avant Garde" w:eastAsia="Calibri" w:hAnsi="ITC Avant Garde" w:cs="Arial"/>
                <w:sz w:val="22"/>
                <w:szCs w:val="22"/>
              </w:rPr>
            </w:pPr>
            <w:r w:rsidRPr="00B22C03">
              <w:rPr>
                <w:rFonts w:ascii="ITC Avant Garde" w:eastAsia="Calibri" w:hAnsi="ITC Avant Garde" w:cs="Arial"/>
                <w:sz w:val="22"/>
                <w:szCs w:val="22"/>
              </w:rPr>
              <w:t>a-tierra</w:t>
            </w:r>
          </w:p>
        </w:tc>
        <w:tc>
          <w:tcPr>
            <w:tcW w:w="2133" w:type="dxa"/>
            <w:vMerge/>
          </w:tcPr>
          <w:p w14:paraId="33CFEA9A" w14:textId="77777777" w:rsidR="00804136" w:rsidRPr="00B22C03" w:rsidRDefault="00804136" w:rsidP="00D936CA">
            <w:pPr>
              <w:spacing w:after="200" w:line="276" w:lineRule="auto"/>
              <w:jc w:val="both"/>
              <w:rPr>
                <w:rFonts w:ascii="ITC Avant Garde" w:eastAsia="Calibri" w:hAnsi="ITC Avant Garde" w:cs="Arial"/>
                <w:sz w:val="22"/>
                <w:szCs w:val="22"/>
              </w:rPr>
            </w:pPr>
          </w:p>
        </w:tc>
      </w:tr>
      <w:tr w:rsidR="00D936CA" w:rsidRPr="00E257F2" w14:paraId="33CFEA9F" w14:textId="77777777" w:rsidTr="002D1A0A">
        <w:trPr>
          <w:jc w:val="center"/>
        </w:trPr>
        <w:tc>
          <w:tcPr>
            <w:tcW w:w="1808" w:type="dxa"/>
            <w:vMerge/>
          </w:tcPr>
          <w:p w14:paraId="33CFEA9C" w14:textId="77777777" w:rsidR="00804136" w:rsidRPr="00B22C03" w:rsidRDefault="00804136" w:rsidP="00D936CA">
            <w:pPr>
              <w:spacing w:after="200" w:line="276" w:lineRule="auto"/>
              <w:jc w:val="both"/>
              <w:rPr>
                <w:rFonts w:ascii="ITC Avant Garde" w:eastAsia="Calibri" w:hAnsi="ITC Avant Garde" w:cs="Arial"/>
                <w:sz w:val="22"/>
                <w:szCs w:val="22"/>
              </w:rPr>
            </w:pPr>
          </w:p>
        </w:tc>
        <w:tc>
          <w:tcPr>
            <w:tcW w:w="2080" w:type="dxa"/>
          </w:tcPr>
          <w:p w14:paraId="33CFEA9D" w14:textId="5B7A024C" w:rsidR="00804136" w:rsidRPr="00B22C03" w:rsidRDefault="00804136" w:rsidP="00D936CA">
            <w:pPr>
              <w:spacing w:after="200" w:line="276" w:lineRule="auto"/>
              <w:jc w:val="center"/>
              <w:rPr>
                <w:rFonts w:ascii="ITC Avant Garde" w:eastAsia="Calibri" w:hAnsi="ITC Avant Garde" w:cs="Arial"/>
                <w:sz w:val="22"/>
                <w:szCs w:val="22"/>
              </w:rPr>
            </w:pPr>
            <w:r w:rsidRPr="00B22C03">
              <w:rPr>
                <w:rFonts w:ascii="ITC Avant Garde" w:eastAsia="Calibri" w:hAnsi="ITC Avant Garde" w:cs="Arial"/>
                <w:sz w:val="22"/>
                <w:szCs w:val="22"/>
              </w:rPr>
              <w:t>b-tierra</w:t>
            </w:r>
          </w:p>
        </w:tc>
        <w:tc>
          <w:tcPr>
            <w:tcW w:w="2133" w:type="dxa"/>
            <w:vMerge/>
          </w:tcPr>
          <w:p w14:paraId="33CFEA9E" w14:textId="77777777" w:rsidR="00804136" w:rsidRPr="00B22C03" w:rsidRDefault="00804136" w:rsidP="00D936CA">
            <w:pPr>
              <w:spacing w:after="200" w:line="276" w:lineRule="auto"/>
              <w:jc w:val="both"/>
              <w:rPr>
                <w:rFonts w:ascii="ITC Avant Garde" w:eastAsia="Calibri" w:hAnsi="ITC Avant Garde" w:cs="Arial"/>
                <w:sz w:val="22"/>
                <w:szCs w:val="22"/>
              </w:rPr>
            </w:pPr>
          </w:p>
        </w:tc>
      </w:tr>
      <w:tr w:rsidR="00D936CA" w:rsidRPr="00E257F2" w14:paraId="33CFEAA3" w14:textId="77777777" w:rsidTr="002D1A0A">
        <w:trPr>
          <w:trHeight w:val="275"/>
          <w:jc w:val="center"/>
        </w:trPr>
        <w:tc>
          <w:tcPr>
            <w:tcW w:w="1808" w:type="dxa"/>
            <w:vMerge w:val="restart"/>
            <w:vAlign w:val="center"/>
          </w:tcPr>
          <w:p w14:paraId="33CFEAA0"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 xml:space="preserve">Capacitancia </w:t>
            </w:r>
          </w:p>
        </w:tc>
        <w:tc>
          <w:tcPr>
            <w:tcW w:w="2080" w:type="dxa"/>
          </w:tcPr>
          <w:p w14:paraId="33CFEAA1" w14:textId="77777777" w:rsidR="00804136" w:rsidRPr="00B22C03" w:rsidRDefault="00804136" w:rsidP="00D936CA">
            <w:pPr>
              <w:spacing w:after="200" w:line="276" w:lineRule="auto"/>
              <w:jc w:val="center"/>
              <w:rPr>
                <w:rFonts w:ascii="ITC Avant Garde" w:eastAsia="Calibri" w:hAnsi="ITC Avant Garde" w:cs="Arial"/>
                <w:sz w:val="22"/>
                <w:szCs w:val="22"/>
              </w:rPr>
            </w:pPr>
            <w:r w:rsidRPr="00B22C03">
              <w:rPr>
                <w:rFonts w:ascii="ITC Avant Garde" w:eastAsia="Calibri" w:hAnsi="ITC Avant Garde" w:cs="Arial"/>
                <w:sz w:val="22"/>
                <w:szCs w:val="22"/>
              </w:rPr>
              <w:t>a-b</w:t>
            </w:r>
          </w:p>
        </w:tc>
        <w:tc>
          <w:tcPr>
            <w:tcW w:w="2133" w:type="dxa"/>
          </w:tcPr>
          <w:p w14:paraId="33CFEAA2"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52.5 nF /km  ±5%</w:t>
            </w:r>
          </w:p>
        </w:tc>
      </w:tr>
      <w:tr w:rsidR="00D936CA" w:rsidRPr="00E257F2" w14:paraId="33CFEAA7" w14:textId="77777777" w:rsidTr="002D1A0A">
        <w:trPr>
          <w:trHeight w:val="263"/>
          <w:jc w:val="center"/>
        </w:trPr>
        <w:tc>
          <w:tcPr>
            <w:tcW w:w="1808" w:type="dxa"/>
            <w:vMerge/>
            <w:vAlign w:val="center"/>
          </w:tcPr>
          <w:p w14:paraId="33CFEAA4" w14:textId="77777777" w:rsidR="00804136" w:rsidRPr="00B22C03" w:rsidRDefault="00804136" w:rsidP="00D936CA">
            <w:pPr>
              <w:spacing w:after="200" w:line="276" w:lineRule="auto"/>
              <w:jc w:val="both"/>
              <w:rPr>
                <w:rFonts w:ascii="ITC Avant Garde" w:eastAsia="Calibri" w:hAnsi="ITC Avant Garde" w:cs="Arial"/>
                <w:sz w:val="22"/>
                <w:szCs w:val="22"/>
              </w:rPr>
            </w:pPr>
          </w:p>
        </w:tc>
        <w:tc>
          <w:tcPr>
            <w:tcW w:w="2080" w:type="dxa"/>
          </w:tcPr>
          <w:p w14:paraId="33CFEAA5" w14:textId="552880F6" w:rsidR="00804136" w:rsidRPr="00B22C03" w:rsidRDefault="00804136" w:rsidP="00D936CA">
            <w:pPr>
              <w:spacing w:after="200" w:line="276" w:lineRule="auto"/>
              <w:jc w:val="center"/>
              <w:rPr>
                <w:rFonts w:ascii="ITC Avant Garde" w:eastAsia="Calibri" w:hAnsi="ITC Avant Garde" w:cs="Arial"/>
                <w:sz w:val="22"/>
                <w:szCs w:val="22"/>
              </w:rPr>
            </w:pPr>
            <w:r w:rsidRPr="00B22C03">
              <w:rPr>
                <w:rFonts w:ascii="ITC Avant Garde" w:eastAsia="Calibri" w:hAnsi="ITC Avant Garde" w:cs="Arial"/>
                <w:sz w:val="22"/>
                <w:szCs w:val="22"/>
              </w:rPr>
              <w:t>a-tierra</w:t>
            </w:r>
          </w:p>
        </w:tc>
        <w:tc>
          <w:tcPr>
            <w:tcW w:w="2133" w:type="dxa"/>
          </w:tcPr>
          <w:p w14:paraId="33CFEAA6" w14:textId="66BBFEBD"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 xml:space="preserve">64 </w:t>
            </w:r>
            <w:r w:rsidRPr="00B22C03">
              <w:rPr>
                <w:rFonts w:ascii="ITC Avant Garde" w:eastAsia="Calibri" w:hAnsi="ITC Avant Garde" w:cs="Arial"/>
                <w:sz w:val="22"/>
                <w:szCs w:val="22"/>
                <w:lang w:val="pt-BR"/>
              </w:rPr>
              <w:t xml:space="preserve">nF/Km </w:t>
            </w:r>
            <w:r w:rsidRPr="00B22C03">
              <w:rPr>
                <w:rFonts w:ascii="ITC Avant Garde" w:eastAsia="Calibri" w:hAnsi="ITC Avant Garde" w:cs="Arial"/>
                <w:sz w:val="22"/>
                <w:szCs w:val="22"/>
              </w:rPr>
              <w:t>± 10 %</w:t>
            </w:r>
          </w:p>
        </w:tc>
      </w:tr>
      <w:tr w:rsidR="00D936CA" w:rsidRPr="00E257F2" w14:paraId="33CFEAAB" w14:textId="77777777" w:rsidTr="002D1A0A">
        <w:trPr>
          <w:jc w:val="center"/>
        </w:trPr>
        <w:tc>
          <w:tcPr>
            <w:tcW w:w="1808" w:type="dxa"/>
            <w:vMerge/>
            <w:vAlign w:val="center"/>
          </w:tcPr>
          <w:p w14:paraId="33CFEAA8" w14:textId="77777777" w:rsidR="00804136" w:rsidRPr="00B22C03" w:rsidRDefault="00804136" w:rsidP="00D936CA">
            <w:pPr>
              <w:spacing w:after="200" w:line="276" w:lineRule="auto"/>
              <w:jc w:val="both"/>
              <w:rPr>
                <w:rFonts w:ascii="ITC Avant Garde" w:eastAsia="Calibri" w:hAnsi="ITC Avant Garde" w:cs="Arial"/>
                <w:sz w:val="22"/>
                <w:szCs w:val="22"/>
              </w:rPr>
            </w:pPr>
          </w:p>
        </w:tc>
        <w:tc>
          <w:tcPr>
            <w:tcW w:w="2080" w:type="dxa"/>
          </w:tcPr>
          <w:p w14:paraId="33CFEAA9" w14:textId="7BADA769" w:rsidR="00804136" w:rsidRPr="00B22C03" w:rsidRDefault="00804136" w:rsidP="00D936CA">
            <w:pPr>
              <w:spacing w:after="200" w:line="276" w:lineRule="auto"/>
              <w:jc w:val="center"/>
              <w:rPr>
                <w:rFonts w:ascii="ITC Avant Garde" w:eastAsia="Calibri" w:hAnsi="ITC Avant Garde" w:cs="Arial"/>
                <w:sz w:val="22"/>
                <w:szCs w:val="22"/>
              </w:rPr>
            </w:pPr>
            <w:r w:rsidRPr="00B22C03">
              <w:rPr>
                <w:rFonts w:ascii="ITC Avant Garde" w:eastAsia="Calibri" w:hAnsi="ITC Avant Garde" w:cs="Arial"/>
                <w:sz w:val="22"/>
                <w:szCs w:val="22"/>
              </w:rPr>
              <w:t>b-tierra</w:t>
            </w:r>
          </w:p>
        </w:tc>
        <w:tc>
          <w:tcPr>
            <w:tcW w:w="2133" w:type="dxa"/>
          </w:tcPr>
          <w:p w14:paraId="33CFEAAA" w14:textId="7573EF3B"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 xml:space="preserve">64 </w:t>
            </w:r>
            <w:r w:rsidRPr="00B22C03">
              <w:rPr>
                <w:rFonts w:ascii="ITC Avant Garde" w:eastAsia="Calibri" w:hAnsi="ITC Avant Garde" w:cs="Arial"/>
                <w:sz w:val="22"/>
                <w:szCs w:val="22"/>
                <w:lang w:val="pt-BR"/>
              </w:rPr>
              <w:t xml:space="preserve">nF/Km </w:t>
            </w:r>
            <w:r w:rsidRPr="00B22C03">
              <w:rPr>
                <w:rFonts w:ascii="ITC Avant Garde" w:eastAsia="Calibri" w:hAnsi="ITC Avant Garde" w:cs="Arial"/>
                <w:sz w:val="22"/>
                <w:szCs w:val="22"/>
              </w:rPr>
              <w:t>± 10 %</w:t>
            </w:r>
          </w:p>
        </w:tc>
      </w:tr>
    </w:tbl>
    <w:p w14:paraId="33CFEAAC" w14:textId="77777777" w:rsidR="00804136" w:rsidRPr="00B22C03" w:rsidRDefault="00804136" w:rsidP="00D936CA">
      <w:pPr>
        <w:pStyle w:val="Textoindependiente"/>
        <w:spacing w:before="120" w:after="200" w:line="276" w:lineRule="auto"/>
        <w:rPr>
          <w:rFonts w:ascii="ITC Avant Garde" w:hAnsi="ITC Avant Garde"/>
          <w:b w:val="0"/>
          <w:sz w:val="18"/>
          <w:szCs w:val="18"/>
        </w:rPr>
      </w:pPr>
      <w:r w:rsidRPr="00B22C03">
        <w:rPr>
          <w:rFonts w:ascii="ITC Avant Garde" w:hAnsi="ITC Avant Garde"/>
          <w:b w:val="0"/>
          <w:sz w:val="18"/>
          <w:szCs w:val="18"/>
        </w:rPr>
        <w:t>Tabla 12 Valores aceptables de resistencia y capacitancia</w:t>
      </w:r>
    </w:p>
    <w:p w14:paraId="33CFEAAD"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Los parámetros señalados son los que Telmex utiliza para su propia operación.</w:t>
      </w:r>
    </w:p>
    <w:p w14:paraId="33CFEAAE" w14:textId="77777777"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t>Usuario existente.</w:t>
      </w:r>
    </w:p>
    <w:p w14:paraId="33CFEAAF"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No proceden pruebas en el bucle, se comprobará la presencia de tono en la línea y la ausencia de ruidos</w:t>
      </w:r>
    </w:p>
    <w:p w14:paraId="33CFEAB0" w14:textId="7781DB67"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t xml:space="preserve">Procedimiento para la realización de pruebas del Bucle de </w:t>
      </w:r>
      <w:r w:rsidR="00DA2D47" w:rsidRPr="00B22C03">
        <w:rPr>
          <w:rFonts w:ascii="ITC Avant Garde" w:eastAsia="Calibri" w:hAnsi="ITC Avant Garde" w:cs="Arial"/>
          <w:b/>
          <w:sz w:val="22"/>
          <w:szCs w:val="22"/>
        </w:rPr>
        <w:t>f</w:t>
      </w:r>
      <w:r w:rsidRPr="00B22C03">
        <w:rPr>
          <w:rFonts w:ascii="ITC Avant Garde" w:eastAsia="Calibri" w:hAnsi="ITC Avant Garde" w:cs="Arial"/>
          <w:b/>
          <w:sz w:val="22"/>
          <w:szCs w:val="22"/>
        </w:rPr>
        <w:t xml:space="preserve">ibra </w:t>
      </w:r>
      <w:r w:rsidR="00DA2D47" w:rsidRPr="00B22C03">
        <w:rPr>
          <w:rFonts w:ascii="ITC Avant Garde" w:eastAsia="Calibri" w:hAnsi="ITC Avant Garde" w:cs="Arial"/>
          <w:b/>
          <w:sz w:val="22"/>
          <w:szCs w:val="22"/>
        </w:rPr>
        <w:t>ó</w:t>
      </w:r>
      <w:r w:rsidRPr="00B22C03">
        <w:rPr>
          <w:rFonts w:ascii="ITC Avant Garde" w:eastAsia="Calibri" w:hAnsi="ITC Avant Garde" w:cs="Arial"/>
          <w:b/>
          <w:sz w:val="22"/>
          <w:szCs w:val="22"/>
        </w:rPr>
        <w:t>ptica (GPON</w:t>
      </w:r>
      <w:r w:rsidR="00B96E4D">
        <w:rPr>
          <w:rFonts w:ascii="ITC Avant Garde" w:eastAsia="Calibri" w:hAnsi="ITC Avant Garde" w:cs="Arial"/>
          <w:b/>
          <w:sz w:val="22"/>
          <w:szCs w:val="22"/>
        </w:rPr>
        <w:t>)</w:t>
      </w:r>
    </w:p>
    <w:p w14:paraId="33CFEAB1" w14:textId="09F0B981"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t>Usuario existente o nuevo</w:t>
      </w:r>
    </w:p>
    <w:p w14:paraId="33CFEAB2" w14:textId="41D4DF67" w:rsidR="00804136" w:rsidRPr="00B22C03" w:rsidRDefault="00936DB5"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Antes de</w:t>
      </w:r>
      <w:r w:rsidR="00804136" w:rsidRPr="00B22C03">
        <w:rPr>
          <w:rFonts w:ascii="ITC Avant Garde" w:eastAsia="Calibri" w:hAnsi="ITC Avant Garde" w:cs="Arial"/>
          <w:sz w:val="22"/>
          <w:szCs w:val="22"/>
        </w:rPr>
        <w:t xml:space="preserve"> la ejecución efectiva de la reventa se realizará una prueba de potencia óptica por usuario y se registrará el valor, el cual debe </w:t>
      </w:r>
      <w:r w:rsidR="00C454DC" w:rsidRPr="00B22C03">
        <w:rPr>
          <w:rFonts w:ascii="ITC Avant Garde" w:eastAsia="Calibri" w:hAnsi="ITC Avant Garde" w:cs="Arial"/>
          <w:sz w:val="22"/>
          <w:szCs w:val="22"/>
        </w:rPr>
        <w:t>estar en el rango de -15 a   -27 dBm.</w:t>
      </w:r>
    </w:p>
    <w:p w14:paraId="33CFEAB3" w14:textId="77777777"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lastRenderedPageBreak/>
        <w:t>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3186"/>
      </w:tblGrid>
      <w:tr w:rsidR="00D936CA" w:rsidRPr="00E257F2" w14:paraId="33CFEAB6" w14:textId="77777777" w:rsidTr="005A5E13">
        <w:trPr>
          <w:jc w:val="center"/>
        </w:trPr>
        <w:tc>
          <w:tcPr>
            <w:tcW w:w="3036" w:type="dxa"/>
            <w:shd w:val="clear" w:color="auto" w:fill="548DD4" w:themeFill="text2" w:themeFillTint="99"/>
            <w:vAlign w:val="center"/>
          </w:tcPr>
          <w:p w14:paraId="33CFEAB4" w14:textId="77777777"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t>Parámetro</w:t>
            </w:r>
          </w:p>
        </w:tc>
        <w:tc>
          <w:tcPr>
            <w:tcW w:w="3186" w:type="dxa"/>
            <w:shd w:val="clear" w:color="auto" w:fill="548DD4" w:themeFill="text2" w:themeFillTint="99"/>
            <w:vAlign w:val="center"/>
          </w:tcPr>
          <w:p w14:paraId="33CFEAB5" w14:textId="77777777"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t>Valor Aceptable</w:t>
            </w:r>
          </w:p>
        </w:tc>
      </w:tr>
      <w:tr w:rsidR="00D936CA" w:rsidRPr="00E257F2" w14:paraId="33CFEABA" w14:textId="77777777" w:rsidTr="000D4D2B">
        <w:trPr>
          <w:trHeight w:val="275"/>
          <w:jc w:val="center"/>
        </w:trPr>
        <w:tc>
          <w:tcPr>
            <w:tcW w:w="3036" w:type="dxa"/>
            <w:vAlign w:val="center"/>
          </w:tcPr>
          <w:p w14:paraId="33CFEAB7"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Potencia</w:t>
            </w:r>
          </w:p>
        </w:tc>
        <w:tc>
          <w:tcPr>
            <w:tcW w:w="3186" w:type="dxa"/>
          </w:tcPr>
          <w:p w14:paraId="33CFEAB8"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Mayor a  -27 dBm</w:t>
            </w:r>
          </w:p>
          <w:p w14:paraId="33CFEAB9" w14:textId="77777777"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Menor a -15 dBm</w:t>
            </w:r>
          </w:p>
        </w:tc>
      </w:tr>
    </w:tbl>
    <w:p w14:paraId="33CFEABB" w14:textId="77777777" w:rsidR="00804136" w:rsidRPr="00B22C03" w:rsidRDefault="00804136" w:rsidP="00D936CA">
      <w:pPr>
        <w:pStyle w:val="Textoindependiente"/>
        <w:spacing w:before="120" w:after="200" w:line="276" w:lineRule="auto"/>
        <w:rPr>
          <w:rFonts w:ascii="ITC Avant Garde" w:hAnsi="ITC Avant Garde"/>
          <w:b w:val="0"/>
          <w:sz w:val="18"/>
          <w:szCs w:val="18"/>
        </w:rPr>
      </w:pPr>
      <w:r w:rsidRPr="00B22C03">
        <w:rPr>
          <w:rFonts w:ascii="ITC Avant Garde" w:hAnsi="ITC Avant Garde"/>
          <w:b w:val="0"/>
          <w:sz w:val="18"/>
          <w:szCs w:val="18"/>
        </w:rPr>
        <w:t>Tabla 13 Valores aceptables de potencia</w:t>
      </w:r>
    </w:p>
    <w:p w14:paraId="33CFEABF" w14:textId="65793AA7" w:rsidR="00804136" w:rsidRPr="00B22C03" w:rsidRDefault="00804136" w:rsidP="00D936CA">
      <w:pPr>
        <w:spacing w:after="200" w:line="276" w:lineRule="auto"/>
        <w:jc w:val="both"/>
        <w:rPr>
          <w:rFonts w:ascii="ITC Avant Garde" w:eastAsia="Calibri" w:hAnsi="ITC Avant Garde" w:cs="Arial"/>
          <w:sz w:val="22"/>
          <w:szCs w:val="22"/>
        </w:rPr>
      </w:pPr>
    </w:p>
    <w:p w14:paraId="33CFEAC0" w14:textId="77777777" w:rsidR="00804136" w:rsidRPr="00B22C03" w:rsidRDefault="00804136" w:rsidP="00D936CA">
      <w:pPr>
        <w:spacing w:after="200" w:line="276" w:lineRule="auto"/>
        <w:jc w:val="both"/>
        <w:rPr>
          <w:rFonts w:ascii="ITC Avant Garde" w:eastAsia="Calibri" w:hAnsi="ITC Avant Garde" w:cs="Arial"/>
          <w:b/>
          <w:sz w:val="22"/>
          <w:szCs w:val="22"/>
        </w:rPr>
      </w:pPr>
      <w:r w:rsidRPr="00B22C03">
        <w:rPr>
          <w:rFonts w:ascii="ITC Avant Garde" w:eastAsia="Calibri" w:hAnsi="ITC Avant Garde" w:cs="Arial"/>
          <w:b/>
          <w:sz w:val="22"/>
          <w:szCs w:val="22"/>
        </w:rPr>
        <w:t>Pruebas de la Conexión de datos</w:t>
      </w:r>
    </w:p>
    <w:p w14:paraId="33CFEAC1" w14:textId="2561DFC5"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Se realizará una prueba de sincronía entre el modem y el DSLAM o entre la ONT y la OLT de la línea. Se comprobarán y registrarán los resultados de la prueba y se le comunicarán al CS. Si los valores mínimos no se cumplen la prueba se considerará fallida y el servicio no se considerará entregado.</w:t>
      </w:r>
    </w:p>
    <w:p w14:paraId="33CFEAC2" w14:textId="05303BAA" w:rsidR="00804136" w:rsidRPr="00B22C03"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Los parámetros que se probar</w:t>
      </w:r>
      <w:r w:rsidR="00936DB5" w:rsidRPr="00B22C03">
        <w:rPr>
          <w:rFonts w:ascii="ITC Avant Garde" w:eastAsia="Calibri" w:hAnsi="ITC Avant Garde" w:cs="Arial"/>
          <w:sz w:val="22"/>
          <w:szCs w:val="22"/>
        </w:rPr>
        <w:t>á</w:t>
      </w:r>
      <w:r w:rsidRPr="00B22C03">
        <w:rPr>
          <w:rFonts w:ascii="ITC Avant Garde" w:eastAsia="Calibri" w:hAnsi="ITC Avant Garde" w:cs="Arial"/>
          <w:sz w:val="22"/>
          <w:szCs w:val="22"/>
        </w:rPr>
        <w:t>n son la velocidad de sincronización de bajada y subida. Sus valores mínimos serán los correspondientes al perfil comercial.</w:t>
      </w:r>
    </w:p>
    <w:p w14:paraId="33CFEAC5" w14:textId="1B02E98A" w:rsidR="005757EC" w:rsidRDefault="00804136" w:rsidP="00D936CA">
      <w:pPr>
        <w:spacing w:after="200" w:line="276" w:lineRule="auto"/>
        <w:jc w:val="both"/>
        <w:rPr>
          <w:rFonts w:ascii="ITC Avant Garde" w:eastAsia="Calibri" w:hAnsi="ITC Avant Garde" w:cs="Arial"/>
          <w:sz w:val="22"/>
          <w:szCs w:val="22"/>
        </w:rPr>
      </w:pPr>
      <w:r w:rsidRPr="00B22C03">
        <w:rPr>
          <w:rFonts w:ascii="ITC Avant Garde" w:eastAsia="Calibri" w:hAnsi="ITC Avant Garde" w:cs="Arial"/>
          <w:sz w:val="22"/>
          <w:szCs w:val="22"/>
        </w:rPr>
        <w:t>Cada prueba realizada que implique el uso de un equipo de medición deberá ser ejecutada una vez calibr</w:t>
      </w:r>
      <w:r w:rsidR="004D613F" w:rsidRPr="00B22C03">
        <w:rPr>
          <w:rFonts w:ascii="ITC Avant Garde" w:eastAsia="Calibri" w:hAnsi="ITC Avant Garde" w:cs="Arial"/>
          <w:sz w:val="22"/>
          <w:szCs w:val="22"/>
        </w:rPr>
        <w:t>ado correctamente dicho equipo.</w:t>
      </w:r>
    </w:p>
    <w:p w14:paraId="59C623FB" w14:textId="77777777" w:rsidR="00E60106" w:rsidRPr="00D936CA" w:rsidRDefault="00E60106" w:rsidP="00D936CA">
      <w:pPr>
        <w:spacing w:after="200" w:line="276" w:lineRule="auto"/>
        <w:jc w:val="both"/>
        <w:rPr>
          <w:rFonts w:ascii="ITC Avant Garde" w:eastAsia="Calibri" w:hAnsi="ITC Avant Garde" w:cs="Arial"/>
          <w:sz w:val="22"/>
          <w:szCs w:val="22"/>
        </w:rPr>
      </w:pPr>
    </w:p>
    <w:p w14:paraId="33CFEAC6" w14:textId="1E768DE4" w:rsidR="00530A32" w:rsidRPr="00D936CA" w:rsidRDefault="004F6165" w:rsidP="00D936CA">
      <w:pPr>
        <w:ind w:left="1134" w:hanging="567"/>
        <w:outlineLvl w:val="2"/>
        <w:rPr>
          <w:rFonts w:ascii="ITC Avant Garde" w:hAnsi="ITC Avant Garde"/>
          <w:b/>
          <w:sz w:val="22"/>
        </w:rPr>
      </w:pPr>
      <w:bookmarkStart w:id="345" w:name="_Toc436840892"/>
      <w:bookmarkStart w:id="346" w:name="_Toc436846329"/>
      <w:bookmarkStart w:id="347" w:name="_Toc436848279"/>
      <w:bookmarkStart w:id="348" w:name="_Toc436856527"/>
      <w:bookmarkStart w:id="349" w:name="_Toc436862673"/>
      <w:bookmarkStart w:id="350" w:name="_Toc436866323"/>
      <w:bookmarkStart w:id="351" w:name="_Toc436870902"/>
      <w:bookmarkStart w:id="352" w:name="_Toc436875894"/>
      <w:bookmarkStart w:id="353" w:name="_Toc467248706"/>
      <w:bookmarkStart w:id="354" w:name="_Toc518031979"/>
      <w:r w:rsidRPr="00D936CA">
        <w:rPr>
          <w:rFonts w:ascii="ITC Avant Garde" w:hAnsi="ITC Avant Garde"/>
          <w:b/>
          <w:sz w:val="22"/>
        </w:rPr>
        <w:t>4.</w:t>
      </w:r>
      <w:r w:rsidR="003D4C30">
        <w:rPr>
          <w:rFonts w:ascii="ITC Avant Garde" w:hAnsi="ITC Avant Garde"/>
          <w:b/>
          <w:sz w:val="22"/>
        </w:rPr>
        <w:t>8</w:t>
      </w:r>
      <w:r w:rsidR="00011A1B" w:rsidRPr="00D936CA">
        <w:rPr>
          <w:rFonts w:ascii="ITC Avant Garde" w:hAnsi="ITC Avant Garde"/>
          <w:b/>
          <w:sz w:val="22"/>
        </w:rPr>
        <w:t>.1</w:t>
      </w:r>
      <w:r w:rsidR="00011A1B" w:rsidRPr="00D936CA">
        <w:rPr>
          <w:rFonts w:ascii="ITC Avant Garde" w:hAnsi="ITC Avant Garde"/>
          <w:b/>
          <w:sz w:val="22"/>
        </w:rPr>
        <w:tab/>
        <w:t>Propuesta de mejora de parámetros de calidad</w:t>
      </w:r>
      <w:bookmarkEnd w:id="345"/>
      <w:bookmarkEnd w:id="346"/>
      <w:bookmarkEnd w:id="347"/>
      <w:bookmarkEnd w:id="348"/>
      <w:bookmarkEnd w:id="349"/>
      <w:bookmarkEnd w:id="350"/>
      <w:bookmarkEnd w:id="351"/>
      <w:bookmarkEnd w:id="352"/>
      <w:bookmarkEnd w:id="353"/>
      <w:bookmarkEnd w:id="354"/>
      <w:r w:rsidR="00E303F4" w:rsidRPr="00D936CA">
        <w:rPr>
          <w:rFonts w:ascii="ITC Avant Garde" w:hAnsi="ITC Avant Garde"/>
          <w:b/>
          <w:sz w:val="22"/>
        </w:rPr>
        <w:t xml:space="preserve"> </w:t>
      </w:r>
    </w:p>
    <w:p w14:paraId="33CFEAC7" w14:textId="77777777" w:rsidR="004F6165" w:rsidRPr="00D936CA" w:rsidRDefault="004F6165" w:rsidP="00D936CA"/>
    <w:p w14:paraId="33CFEAC8" w14:textId="14CD61A8" w:rsidR="007B16EB" w:rsidRPr="00D936CA" w:rsidRDefault="00E84361" w:rsidP="00D936CA">
      <w:pPr>
        <w:spacing w:after="200" w:line="276" w:lineRule="auto"/>
        <w:jc w:val="both"/>
        <w:rPr>
          <w:rFonts w:ascii="ITC Avant Garde" w:hAnsi="ITC Avant Garde"/>
          <w:sz w:val="22"/>
          <w:szCs w:val="22"/>
          <w:lang w:val="es-MX"/>
        </w:rPr>
      </w:pPr>
      <w:bookmarkStart w:id="355" w:name="_Hlk518032620"/>
      <w:r w:rsidRPr="00E84361">
        <w:rPr>
          <w:rFonts w:ascii="ITC Avant Garde" w:hAnsi="ITC Avant Garde"/>
          <w:sz w:val="22"/>
          <w:szCs w:val="22"/>
          <w:lang w:val="es-MX"/>
        </w:rPr>
        <w:t>Cualquier evaluación de propuestas de mejora de parámetros de calidad, deberá llevarse a cabo mediante las disposiciones o lineamientos aplicables en la materia que en su caso emita el Instituto.</w:t>
      </w:r>
      <w:bookmarkEnd w:id="355"/>
      <w:r w:rsidR="00E257F2">
        <w:rPr>
          <w:rFonts w:ascii="ITC Avant Garde" w:hAnsi="ITC Avant Garde"/>
          <w:sz w:val="22"/>
          <w:szCs w:val="22"/>
          <w:lang w:val="es-MX"/>
        </w:rPr>
        <w:t xml:space="preserve"> </w:t>
      </w:r>
    </w:p>
    <w:p w14:paraId="33CFEAC9" w14:textId="70867AC1" w:rsidR="00832E65" w:rsidRPr="00D936CA" w:rsidRDefault="00AA3369" w:rsidP="00D936CA">
      <w:pPr>
        <w:spacing w:after="200" w:line="276" w:lineRule="auto"/>
        <w:jc w:val="both"/>
        <w:rPr>
          <w:rFonts w:ascii="ITC Avant Garde" w:hAnsi="ITC Avant Garde"/>
        </w:rPr>
      </w:pPr>
      <w:r>
        <w:rPr>
          <w:rFonts w:ascii="ITC Avant Garde" w:hAnsi="ITC Avant Garde"/>
          <w:noProof/>
          <w:lang w:val="es-MX" w:eastAsia="es-MX"/>
        </w:rPr>
        <mc:AlternateContent>
          <mc:Choice Requires="wps">
            <w:drawing>
              <wp:anchor distT="0" distB="0" distL="114300" distR="114300" simplePos="0" relativeHeight="251658242" behindDoc="0" locked="0" layoutInCell="1" allowOverlap="1" wp14:anchorId="33CFF2A6" wp14:editId="72204222">
                <wp:simplePos x="0" y="0"/>
                <wp:positionH relativeFrom="column">
                  <wp:posOffset>-1715135</wp:posOffset>
                </wp:positionH>
                <wp:positionV relativeFrom="paragraph">
                  <wp:posOffset>-5465445</wp:posOffset>
                </wp:positionV>
                <wp:extent cx="635000" cy="635000"/>
                <wp:effectExtent l="0" t="0" r="12700" b="12700"/>
                <wp:wrapNone/>
                <wp:docPr id="3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27C41" id="_x0000_t202" coordsize="21600,21600" o:spt="202" path="m,l,21600r21600,l21600,xe">
                <v:stroke joinstyle="miter"/>
                <v:path gradientshapeok="t" o:connecttype="rect"/>
              </v:shapetype>
              <v:shape id="Text Box 41" o:spid="_x0000_s1026" type="#_x0000_t202" style="position:absolute;margin-left:-135.05pt;margin-top:-430.35pt;width:50pt;height:5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"/>
            </w:pict>
          </mc:Fallback>
        </mc:AlternateContent>
      </w:r>
    </w:p>
    <w:p w14:paraId="33CFEACC" w14:textId="23228307" w:rsidR="00530A32" w:rsidRPr="00423A04" w:rsidRDefault="00011A1B" w:rsidP="00D936CA">
      <w:pPr>
        <w:pStyle w:val="Ttulo2"/>
        <w:numPr>
          <w:ilvl w:val="1"/>
          <w:numId w:val="143"/>
        </w:numPr>
        <w:ind w:left="851" w:hanging="425"/>
      </w:pPr>
      <w:bookmarkStart w:id="356" w:name="_Toc436840893"/>
      <w:bookmarkStart w:id="357" w:name="_Toc436846330"/>
      <w:bookmarkStart w:id="358" w:name="_Toc436848280"/>
      <w:bookmarkStart w:id="359" w:name="_Toc436856528"/>
      <w:bookmarkStart w:id="360" w:name="_Toc436862674"/>
      <w:bookmarkStart w:id="361" w:name="_Toc436866324"/>
      <w:bookmarkStart w:id="362" w:name="_Toc436870903"/>
      <w:bookmarkStart w:id="363" w:name="_Toc436875895"/>
      <w:bookmarkStart w:id="364" w:name="_Toc467248707"/>
      <w:bookmarkStart w:id="365" w:name="_Toc518031980"/>
      <w:r w:rsidRPr="00423A04">
        <w:t>Procedimiento para la realización de pruebas de entrega de los servicios de Reventa</w:t>
      </w:r>
      <w:bookmarkEnd w:id="356"/>
      <w:bookmarkEnd w:id="357"/>
      <w:bookmarkEnd w:id="358"/>
      <w:bookmarkEnd w:id="359"/>
      <w:bookmarkEnd w:id="360"/>
      <w:bookmarkEnd w:id="361"/>
      <w:bookmarkEnd w:id="362"/>
      <w:bookmarkEnd w:id="363"/>
      <w:bookmarkEnd w:id="364"/>
      <w:bookmarkEnd w:id="365"/>
    </w:p>
    <w:p w14:paraId="33CFEACD" w14:textId="03E89547" w:rsidR="000D4D2B" w:rsidRPr="00423A04" w:rsidRDefault="000D4D2B" w:rsidP="00D936CA">
      <w:pPr>
        <w:pStyle w:val="IFTnormal"/>
        <w:rPr>
          <w:rFonts w:cs="Arial"/>
          <w:lang w:val="es-ES"/>
        </w:rPr>
      </w:pPr>
      <w:bookmarkStart w:id="366" w:name="RANGE!A4:F19"/>
      <w:bookmarkEnd w:id="366"/>
      <w:r w:rsidRPr="00423A04">
        <w:rPr>
          <w:rFonts w:cs="Arial"/>
          <w:lang w:val="es-ES"/>
        </w:rPr>
        <w:t xml:space="preserve">Las pruebas de entrega a ser realizadas para los </w:t>
      </w:r>
      <w:r w:rsidR="00660EE3" w:rsidRPr="00423A04">
        <w:rPr>
          <w:rFonts w:cs="Arial"/>
          <w:lang w:val="es-ES"/>
        </w:rPr>
        <w:t>S</w:t>
      </w:r>
      <w:r w:rsidRPr="00423A04">
        <w:rPr>
          <w:rFonts w:cs="Arial"/>
          <w:lang w:val="es-ES"/>
        </w:rPr>
        <w:t>ervicios de Reventa ofrecidos a los CS serán en todo momento las correspondientes a las que Telmex utiliza para sus propias operaciones.</w:t>
      </w:r>
    </w:p>
    <w:p w14:paraId="33CFEACE" w14:textId="77777777" w:rsidR="000D4D2B" w:rsidRPr="00423A04" w:rsidRDefault="000D4D2B" w:rsidP="00D936CA">
      <w:pPr>
        <w:pStyle w:val="Prrafodelista"/>
        <w:numPr>
          <w:ilvl w:val="0"/>
          <w:numId w:val="58"/>
        </w:numPr>
        <w:spacing w:after="200" w:line="276" w:lineRule="auto"/>
        <w:jc w:val="both"/>
        <w:rPr>
          <w:rFonts w:ascii="ITC Avant Garde" w:eastAsia="Calibri" w:hAnsi="ITC Avant Garde" w:cs="Arial"/>
          <w:b/>
          <w:i/>
          <w:sz w:val="22"/>
          <w:szCs w:val="22"/>
        </w:rPr>
      </w:pPr>
      <w:r w:rsidRPr="00423A04">
        <w:rPr>
          <w:rFonts w:ascii="ITC Avant Garde" w:eastAsia="Calibri" w:hAnsi="ITC Avant Garde" w:cs="Arial"/>
          <w:b/>
          <w:i/>
          <w:sz w:val="22"/>
          <w:szCs w:val="22"/>
        </w:rPr>
        <w:t xml:space="preserve">Servicio de Reventa de Línea Telefónica </w:t>
      </w:r>
    </w:p>
    <w:p w14:paraId="33CFEACF" w14:textId="0CB37CC5"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La prueba de entrega de los servicios cuyo medio de acceso sea el par de cobre se realiza mediante la medición de los parámetros eléctricos de resistencia de aislamiento y </w:t>
      </w:r>
      <w:r w:rsidRPr="00423A04">
        <w:rPr>
          <w:rFonts w:ascii="ITC Avant Garde" w:eastAsia="Calibri" w:hAnsi="ITC Avant Garde" w:cs="Arial"/>
          <w:sz w:val="22"/>
          <w:szCs w:val="22"/>
        </w:rPr>
        <w:lastRenderedPageBreak/>
        <w:t>capacitancia y cuyo valor deberá encontrase dentro de los umbrales de aceptación establecidos en la sección 4.</w:t>
      </w:r>
      <w:r w:rsidR="000B7311" w:rsidRPr="00423A04">
        <w:rPr>
          <w:rFonts w:ascii="ITC Avant Garde" w:eastAsia="Calibri" w:hAnsi="ITC Avant Garde" w:cs="Arial"/>
          <w:sz w:val="22"/>
          <w:szCs w:val="22"/>
        </w:rPr>
        <w:t>7</w:t>
      </w:r>
      <w:r w:rsidRPr="00423A04">
        <w:rPr>
          <w:rFonts w:ascii="ITC Avant Garde" w:eastAsia="Calibri" w:hAnsi="ITC Avant Garde" w:cs="Arial"/>
          <w:sz w:val="22"/>
          <w:szCs w:val="22"/>
        </w:rPr>
        <w:t xml:space="preserve"> de Parámetros e indicadores de calidad de esta OREDA.</w:t>
      </w:r>
    </w:p>
    <w:p w14:paraId="33CFEAD0" w14:textId="77777777" w:rsidR="000D4D2B" w:rsidRPr="00423A04" w:rsidRDefault="000D4D2B" w:rsidP="00D936CA">
      <w:pPr>
        <w:spacing w:after="200" w:line="276" w:lineRule="auto"/>
        <w:jc w:val="both"/>
        <w:rPr>
          <w:rFonts w:ascii="ITC Avant Garde" w:eastAsia="Calibri" w:hAnsi="ITC Avant Garde" w:cs="Arial"/>
          <w:b/>
          <w:sz w:val="22"/>
          <w:szCs w:val="22"/>
        </w:rPr>
      </w:pPr>
      <w:r w:rsidRPr="00423A04">
        <w:rPr>
          <w:rFonts w:ascii="ITC Avant Garde" w:eastAsia="Calibri" w:hAnsi="ITC Avant Garde" w:cs="Arial"/>
          <w:b/>
          <w:sz w:val="22"/>
          <w:szCs w:val="22"/>
        </w:rPr>
        <w:t>Metodología</w:t>
      </w:r>
    </w:p>
    <w:p w14:paraId="33CFEAD1" w14:textId="5CC638FA"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La medición de los parámetros indicados se realiza en forma remota</w:t>
      </w:r>
      <w:r w:rsidR="00681B3D" w:rsidRPr="00423A04">
        <w:rPr>
          <w:rStyle w:val="Refdenotaalpie"/>
          <w:rFonts w:ascii="ITC Avant Garde" w:eastAsia="Calibri" w:hAnsi="ITC Avant Garde" w:cs="Arial"/>
          <w:sz w:val="22"/>
          <w:szCs w:val="22"/>
        </w:rPr>
        <w:footnoteReference w:id="18"/>
      </w:r>
      <w:r w:rsidRPr="00423A04">
        <w:rPr>
          <w:rFonts w:ascii="ITC Avant Garde" w:eastAsia="Calibri" w:hAnsi="ITC Avant Garde" w:cs="Arial"/>
          <w:sz w:val="22"/>
          <w:szCs w:val="22"/>
        </w:rPr>
        <w:t xml:space="preserve"> utilizando los recursos de la propia central o cabezas de prueba de la red al término de la ejecución y se registrarán los valores indicando el cumplimiento de acuerdo a la tabla de Parámetros Eléctricos de la sección 4.</w:t>
      </w:r>
      <w:r w:rsidR="000B7311" w:rsidRPr="00423A04">
        <w:rPr>
          <w:rFonts w:ascii="ITC Avant Garde" w:eastAsia="Calibri" w:hAnsi="ITC Avant Garde" w:cs="Arial"/>
          <w:sz w:val="22"/>
          <w:szCs w:val="22"/>
        </w:rPr>
        <w:t>7</w:t>
      </w:r>
      <w:r w:rsidRPr="00423A04">
        <w:rPr>
          <w:rFonts w:ascii="ITC Avant Garde" w:eastAsia="Calibri" w:hAnsi="ITC Avant Garde" w:cs="Arial"/>
          <w:sz w:val="22"/>
          <w:szCs w:val="22"/>
        </w:rPr>
        <w:t xml:space="preserve"> de esta Oferta.</w:t>
      </w:r>
    </w:p>
    <w:p w14:paraId="33CFEAD2" w14:textId="7F7240B3" w:rsidR="000D4D2B" w:rsidRPr="00423A04" w:rsidRDefault="00E60106"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En caso de que</w:t>
      </w:r>
      <w:r w:rsidR="000D4D2B" w:rsidRPr="00423A04">
        <w:rPr>
          <w:rFonts w:ascii="ITC Avant Garde" w:eastAsia="Calibri" w:hAnsi="ITC Avant Garde" w:cs="Arial"/>
          <w:sz w:val="22"/>
          <w:szCs w:val="22"/>
        </w:rPr>
        <w:t xml:space="preserve"> la medición eléctrica remota no pueda realizarse, el técnico llevará a cabo las mediciones en el domicilio del usuario con el equipo empleado por Telmex en el PCT, por lo que es necesario desconectar el fusible en la central, con el fin de consultar velocidades de subida y de bajada.</w:t>
      </w:r>
    </w:p>
    <w:p w14:paraId="33CFEAD3" w14:textId="77777777"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Cada prueba realizada que implique el uso de un equipo de medición deberá ser ejecutada una vez calibrado correctamente dicho equipo. </w:t>
      </w:r>
    </w:p>
    <w:p w14:paraId="33CFEAD4" w14:textId="77777777"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En caso de no cumplimiento de los umbrales de aceptación, se procederá a realizar las actividades conducentes hasta lograr su cumplimiento.</w:t>
      </w:r>
    </w:p>
    <w:p w14:paraId="33CFEAD5" w14:textId="553D2A75" w:rsidR="000D4D2B"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Una vez asegurados los parámetros correctos, se reportarán en el SEG, para que el CS pueda consultarlos. </w:t>
      </w:r>
    </w:p>
    <w:p w14:paraId="23BE97FE" w14:textId="77777777" w:rsidR="006140BD" w:rsidRDefault="006140BD" w:rsidP="006140BD">
      <w:pPr>
        <w:rPr>
          <w:rFonts w:ascii="Calibri" w:hAnsi="Calibri"/>
          <w:lang w:val="es-MX" w:eastAsia="en-US"/>
        </w:rPr>
      </w:pPr>
    </w:p>
    <w:p w14:paraId="2CAC3B97" w14:textId="6D9423D5" w:rsidR="006140BD" w:rsidRDefault="00EC5495" w:rsidP="00060B2E">
      <w:pPr>
        <w:jc w:val="center"/>
        <w:rPr>
          <w:rFonts w:ascii="Century Gothic" w:eastAsiaTheme="minorHAnsi" w:hAnsi="Century Gothic" w:cs="Calibri"/>
          <w:b/>
          <w:bCs/>
          <w:color w:val="403152"/>
          <w:sz w:val="22"/>
          <w:szCs w:val="22"/>
          <w:lang w:eastAsia="es-MX"/>
        </w:rPr>
      </w:pPr>
      <w:r w:rsidRPr="00BC4F70">
        <w:rPr>
          <w:noProof/>
          <w:lang w:val="es-MX" w:eastAsia="es-MX"/>
        </w:rPr>
        <w:drawing>
          <wp:inline distT="0" distB="0" distL="0" distR="0" wp14:anchorId="672F8F53" wp14:editId="269A4130">
            <wp:extent cx="5612130" cy="926361"/>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926361"/>
                    </a:xfrm>
                    <a:prstGeom prst="rect">
                      <a:avLst/>
                    </a:prstGeom>
                    <a:noFill/>
                    <a:ln>
                      <a:noFill/>
                    </a:ln>
                  </pic:spPr>
                </pic:pic>
              </a:graphicData>
            </a:graphic>
          </wp:inline>
        </w:drawing>
      </w:r>
    </w:p>
    <w:p w14:paraId="54DA3163" w14:textId="266E050D" w:rsidR="006140BD" w:rsidRPr="00EC5495" w:rsidRDefault="00EC5495" w:rsidP="00060B2E">
      <w:pPr>
        <w:spacing w:after="200" w:line="276" w:lineRule="auto"/>
        <w:jc w:val="center"/>
        <w:rPr>
          <w:rFonts w:ascii="ITC Avant Garde" w:eastAsia="Calibri" w:hAnsi="ITC Avant Garde" w:cs="Arial"/>
          <w:sz w:val="22"/>
          <w:szCs w:val="22"/>
        </w:rPr>
      </w:pPr>
      <w:r w:rsidRPr="00EC5495">
        <w:rPr>
          <w:rFonts w:ascii="ITC Avant Garde" w:hAnsi="ITC Avant Garde"/>
          <w:sz w:val="18"/>
          <w:szCs w:val="18"/>
        </w:rPr>
        <w:t>Ejemplo de p</w:t>
      </w:r>
      <w:r w:rsidRPr="00060B2E">
        <w:rPr>
          <w:rFonts w:ascii="ITC Avant Garde" w:hAnsi="ITC Avant Garde"/>
          <w:sz w:val="18"/>
          <w:szCs w:val="18"/>
        </w:rPr>
        <w:t xml:space="preserve">arámetros </w:t>
      </w:r>
      <w:r w:rsidRPr="00EC5495">
        <w:rPr>
          <w:rFonts w:ascii="ITC Avant Garde" w:hAnsi="ITC Avant Garde"/>
          <w:sz w:val="18"/>
          <w:szCs w:val="18"/>
        </w:rPr>
        <w:t>para el servicio de voz</w:t>
      </w:r>
      <w:r w:rsidRPr="00060B2E">
        <w:rPr>
          <w:rFonts w:ascii="ITC Avant Garde" w:hAnsi="ITC Avant Garde"/>
          <w:sz w:val="18"/>
          <w:szCs w:val="18"/>
        </w:rPr>
        <w:t xml:space="preserve"> en cobre</w:t>
      </w:r>
    </w:p>
    <w:p w14:paraId="79DF0F9E" w14:textId="77777777" w:rsidR="006140BD" w:rsidRPr="00423A04" w:rsidRDefault="006140BD" w:rsidP="00D936CA">
      <w:pPr>
        <w:spacing w:after="200" w:line="276" w:lineRule="auto"/>
        <w:jc w:val="both"/>
        <w:rPr>
          <w:rFonts w:ascii="ITC Avant Garde" w:eastAsia="Calibri" w:hAnsi="ITC Avant Garde" w:cs="Arial"/>
          <w:sz w:val="22"/>
          <w:szCs w:val="22"/>
        </w:rPr>
      </w:pPr>
    </w:p>
    <w:p w14:paraId="33CFEAD6" w14:textId="77777777" w:rsidR="000D4D2B" w:rsidRPr="00423A04" w:rsidRDefault="00532291" w:rsidP="00D936CA">
      <w:pPr>
        <w:pStyle w:val="Prrafodelista"/>
        <w:numPr>
          <w:ilvl w:val="0"/>
          <w:numId w:val="58"/>
        </w:numPr>
        <w:spacing w:after="200" w:line="276" w:lineRule="auto"/>
        <w:jc w:val="both"/>
        <w:rPr>
          <w:rFonts w:ascii="ITC Avant Garde" w:eastAsia="Calibri" w:hAnsi="ITC Avant Garde" w:cs="Arial"/>
          <w:b/>
          <w:i/>
          <w:sz w:val="22"/>
          <w:szCs w:val="22"/>
        </w:rPr>
      </w:pPr>
      <w:r w:rsidRPr="00423A04">
        <w:rPr>
          <w:rFonts w:ascii="ITC Avant Garde" w:eastAsia="Calibri" w:hAnsi="ITC Avant Garde" w:cs="Arial"/>
          <w:b/>
          <w:i/>
          <w:sz w:val="22"/>
          <w:szCs w:val="22"/>
        </w:rPr>
        <w:t>Servicio de Reventa de Internet</w:t>
      </w:r>
    </w:p>
    <w:p w14:paraId="33CFEAD7" w14:textId="77777777"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lastRenderedPageBreak/>
        <w:t>Para el caso d</w:t>
      </w:r>
      <w:r w:rsidR="00532291" w:rsidRPr="00423A04">
        <w:rPr>
          <w:rFonts w:ascii="ITC Avant Garde" w:eastAsia="Calibri" w:hAnsi="ITC Avant Garde" w:cs="Arial"/>
          <w:sz w:val="22"/>
          <w:szCs w:val="22"/>
        </w:rPr>
        <w:t>e servicios de Reventa de Internet</w:t>
      </w:r>
      <w:r w:rsidRPr="00423A04">
        <w:rPr>
          <w:rFonts w:ascii="ITC Avant Garde" w:eastAsia="Calibri" w:hAnsi="ITC Avant Garde" w:cs="Arial"/>
          <w:sz w:val="22"/>
          <w:szCs w:val="22"/>
        </w:rPr>
        <w:t xml:space="preserve"> se tienen dos escenarios según el medio de transmisión; </w:t>
      </w:r>
    </w:p>
    <w:p w14:paraId="33CFEAD8" w14:textId="6E66491C" w:rsidR="000D4D2B" w:rsidRPr="00423A04" w:rsidRDefault="000D4D2B" w:rsidP="00D936CA">
      <w:pPr>
        <w:pStyle w:val="Prrafodelista"/>
        <w:numPr>
          <w:ilvl w:val="0"/>
          <w:numId w:val="128"/>
        </w:num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En el caso que el medio de acceso sea </w:t>
      </w:r>
      <w:r w:rsidRPr="00423A04">
        <w:rPr>
          <w:rFonts w:ascii="ITC Avant Garde" w:eastAsia="Calibri" w:hAnsi="ITC Avant Garde" w:cs="Arial"/>
          <w:b/>
          <w:sz w:val="22"/>
          <w:szCs w:val="22"/>
        </w:rPr>
        <w:t>cobre</w:t>
      </w:r>
      <w:r w:rsidRPr="00423A04">
        <w:rPr>
          <w:rFonts w:ascii="ITC Avant Garde" w:eastAsia="Calibri" w:hAnsi="ITC Avant Garde" w:cs="Arial"/>
          <w:sz w:val="22"/>
          <w:szCs w:val="22"/>
        </w:rPr>
        <w:t xml:space="preserve"> se valida la sincronía xDSL mediante el indicador led del modem y la medición de los parámetros de velocidades de subida y bajada.</w:t>
      </w:r>
    </w:p>
    <w:p w14:paraId="33CFEAD9" w14:textId="2692AF22" w:rsidR="000D4D2B" w:rsidRPr="00423A04" w:rsidRDefault="000D4D2B" w:rsidP="00D936CA">
      <w:pPr>
        <w:spacing w:after="200" w:line="276" w:lineRule="auto"/>
        <w:jc w:val="center"/>
        <w:rPr>
          <w:rFonts w:ascii="ITC Avant Garde" w:eastAsia="Calibri" w:hAnsi="ITC Avant Garde" w:cs="Arial"/>
          <w:sz w:val="22"/>
          <w:szCs w:val="22"/>
        </w:rPr>
      </w:pPr>
    </w:p>
    <w:p w14:paraId="7B471230" w14:textId="638778DD" w:rsidR="00125FDE" w:rsidRDefault="00125FDE" w:rsidP="00D936CA">
      <w:pPr>
        <w:pStyle w:val="Textoindependiente"/>
        <w:spacing w:before="120" w:after="200" w:line="276" w:lineRule="auto"/>
        <w:rPr>
          <w:rFonts w:ascii="ITC Avant Garde" w:hAnsi="ITC Avant Garde"/>
          <w:b w:val="0"/>
          <w:sz w:val="18"/>
          <w:szCs w:val="18"/>
        </w:rPr>
      </w:pPr>
      <w:r w:rsidRPr="00125FDE">
        <w:rPr>
          <w:noProof/>
          <w:lang w:eastAsia="es-MX"/>
        </w:rPr>
        <w:drawing>
          <wp:inline distT="0" distB="0" distL="0" distR="0" wp14:anchorId="25A3C59D" wp14:editId="27F727F4">
            <wp:extent cx="4282435" cy="843148"/>
            <wp:effectExtent l="0" t="0" r="4445"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8277" b="54811"/>
                    <a:stretch/>
                  </pic:blipFill>
                  <pic:spPr bwMode="auto">
                    <a:xfrm>
                      <a:off x="0" y="0"/>
                      <a:ext cx="4378175" cy="861998"/>
                    </a:xfrm>
                    <a:prstGeom prst="rect">
                      <a:avLst/>
                    </a:prstGeom>
                    <a:noFill/>
                    <a:ln>
                      <a:noFill/>
                    </a:ln>
                    <a:extLst>
                      <a:ext uri="{53640926-AAD7-44D8-BBD7-CCE9431645EC}">
                        <a14:shadowObscured xmlns:a14="http://schemas.microsoft.com/office/drawing/2010/main"/>
                      </a:ext>
                    </a:extLst>
                  </pic:spPr>
                </pic:pic>
              </a:graphicData>
            </a:graphic>
          </wp:inline>
        </w:drawing>
      </w:r>
    </w:p>
    <w:p w14:paraId="33CFEADA" w14:textId="64558304" w:rsidR="000D4D2B" w:rsidRPr="00423A04" w:rsidRDefault="000D4D2B" w:rsidP="00D936CA">
      <w:pPr>
        <w:pStyle w:val="Textoindependiente"/>
        <w:spacing w:before="120" w:after="200" w:line="276" w:lineRule="auto"/>
        <w:rPr>
          <w:rFonts w:ascii="ITC Avant Garde" w:hAnsi="ITC Avant Garde"/>
          <w:b w:val="0"/>
          <w:sz w:val="18"/>
          <w:szCs w:val="18"/>
        </w:rPr>
      </w:pPr>
      <w:r w:rsidRPr="00423A04">
        <w:rPr>
          <w:rFonts w:ascii="ITC Avant Garde" w:hAnsi="ITC Avant Garde"/>
          <w:b w:val="0"/>
          <w:sz w:val="18"/>
          <w:szCs w:val="18"/>
        </w:rPr>
        <w:t>Ejemplo de p</w:t>
      </w:r>
      <w:r w:rsidR="00E54293">
        <w:rPr>
          <w:rFonts w:ascii="ITC Avant Garde" w:hAnsi="ITC Avant Garde"/>
          <w:b w:val="0"/>
          <w:sz w:val="18"/>
          <w:szCs w:val="18"/>
        </w:rPr>
        <w:t xml:space="preserve">arámetros </w:t>
      </w:r>
      <w:r w:rsidRPr="00423A04">
        <w:rPr>
          <w:rFonts w:ascii="ITC Avant Garde" w:hAnsi="ITC Avant Garde"/>
          <w:b w:val="0"/>
          <w:sz w:val="18"/>
          <w:szCs w:val="18"/>
        </w:rPr>
        <w:t>para el servicio de datos</w:t>
      </w:r>
      <w:r w:rsidR="00125FDE">
        <w:rPr>
          <w:rFonts w:ascii="ITC Avant Garde" w:hAnsi="ITC Avant Garde"/>
          <w:b w:val="0"/>
          <w:sz w:val="18"/>
          <w:szCs w:val="18"/>
        </w:rPr>
        <w:t xml:space="preserve"> en cobre</w:t>
      </w:r>
      <w:r w:rsidRPr="00423A04">
        <w:rPr>
          <w:rFonts w:ascii="ITC Avant Garde" w:hAnsi="ITC Avant Garde"/>
          <w:b w:val="0"/>
          <w:sz w:val="18"/>
          <w:szCs w:val="18"/>
        </w:rPr>
        <w:t>.</w:t>
      </w:r>
    </w:p>
    <w:p w14:paraId="33CFEADB" w14:textId="63F7D62B"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En caso de que la prueba remota de datos sobre cobre no pueda ejecutarse, el técnico realiza mediciones en el domicilio del cliente (PCT) con los equipos de medición empleados por </w:t>
      </w:r>
      <w:r w:rsidR="00E467CF" w:rsidRPr="00423A04">
        <w:rPr>
          <w:rFonts w:ascii="ITC Avant Garde" w:eastAsia="Calibri" w:hAnsi="ITC Avant Garde" w:cs="Arial"/>
          <w:sz w:val="22"/>
          <w:szCs w:val="22"/>
        </w:rPr>
        <w:t>Telmex a</w:t>
      </w:r>
      <w:r w:rsidRPr="00423A04">
        <w:rPr>
          <w:rFonts w:ascii="ITC Avant Garde" w:eastAsia="Calibri" w:hAnsi="ITC Avant Garde" w:cs="Arial"/>
          <w:sz w:val="22"/>
          <w:szCs w:val="22"/>
        </w:rPr>
        <w:t xml:space="preserve"> fin de consultar velocidades de sincronía de subida y bajada cuando el medio de transmisión es cobre. </w:t>
      </w:r>
    </w:p>
    <w:p w14:paraId="33CFEADC" w14:textId="77777777" w:rsidR="000D4D2B" w:rsidRPr="00423A04" w:rsidRDefault="000D4D2B" w:rsidP="00D936CA">
      <w:pPr>
        <w:pStyle w:val="Prrafodelista"/>
        <w:numPr>
          <w:ilvl w:val="0"/>
          <w:numId w:val="128"/>
        </w:num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Para el caso de que el medio de transmisión sea por </w:t>
      </w:r>
      <w:r w:rsidR="00DA2D47" w:rsidRPr="00423A04">
        <w:rPr>
          <w:rFonts w:ascii="ITC Avant Garde" w:eastAsia="Calibri" w:hAnsi="ITC Avant Garde" w:cs="Arial"/>
          <w:b/>
          <w:sz w:val="22"/>
          <w:szCs w:val="22"/>
        </w:rPr>
        <w:t>fibra óptica</w:t>
      </w:r>
      <w:r w:rsidRPr="00423A04">
        <w:rPr>
          <w:rFonts w:ascii="ITC Avant Garde" w:eastAsia="Calibri" w:hAnsi="ITC Avant Garde" w:cs="Arial"/>
          <w:sz w:val="22"/>
          <w:szCs w:val="22"/>
        </w:rPr>
        <w:t xml:space="preserve"> se mide la potencia óptica de recepción. </w:t>
      </w:r>
    </w:p>
    <w:p w14:paraId="33CFEADD" w14:textId="70533477" w:rsidR="000D4D2B" w:rsidRPr="00423A04"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Para el caso de fibra óptica si la prueba remota no puede ejecutarse, el técnico conectará la ONT al PCT y con el medidor de potencia empleado en </w:t>
      </w:r>
      <w:r w:rsidR="00E467CF" w:rsidRPr="00423A04">
        <w:rPr>
          <w:rFonts w:ascii="ITC Avant Garde" w:eastAsia="Calibri" w:hAnsi="ITC Avant Garde" w:cs="Arial"/>
          <w:sz w:val="22"/>
          <w:szCs w:val="22"/>
        </w:rPr>
        <w:t>Telmex registrará</w:t>
      </w:r>
      <w:r w:rsidRPr="00423A04">
        <w:rPr>
          <w:rFonts w:ascii="ITC Avant Garde" w:eastAsia="Calibri" w:hAnsi="ITC Avant Garde" w:cs="Arial"/>
          <w:sz w:val="22"/>
          <w:szCs w:val="22"/>
        </w:rPr>
        <w:t xml:space="preserve"> la potencia de recepción en el PCT la cual deberá </w:t>
      </w:r>
      <w:r w:rsidR="00403D10" w:rsidRPr="00423A04">
        <w:rPr>
          <w:rFonts w:ascii="ITC Avant Garde" w:eastAsia="Calibri" w:hAnsi="ITC Avant Garde" w:cs="Arial"/>
          <w:sz w:val="22"/>
          <w:szCs w:val="22"/>
        </w:rPr>
        <w:t>estar en el rango de -15 a -27 dBm</w:t>
      </w:r>
      <w:r w:rsidRPr="00423A04">
        <w:rPr>
          <w:rFonts w:ascii="ITC Avant Garde" w:eastAsia="Calibri" w:hAnsi="ITC Avant Garde" w:cs="Arial"/>
          <w:sz w:val="22"/>
          <w:szCs w:val="22"/>
        </w:rPr>
        <w:t>. Este parámetro está basado en el estándar G.984.2 de la UIT-T y considera una prueba funcional entre la OLT y el PCT en la ONT.</w:t>
      </w:r>
    </w:p>
    <w:p w14:paraId="33CFEADE" w14:textId="728CF5BE" w:rsidR="000D4D2B" w:rsidRDefault="000D4D2B" w:rsidP="00D936CA">
      <w:pPr>
        <w:spacing w:after="200" w:line="276" w:lineRule="auto"/>
        <w:jc w:val="both"/>
        <w:rPr>
          <w:rFonts w:ascii="ITC Avant Garde" w:eastAsia="Calibri" w:hAnsi="ITC Avant Garde" w:cs="Arial"/>
          <w:sz w:val="22"/>
          <w:szCs w:val="22"/>
        </w:rPr>
      </w:pPr>
      <w:r w:rsidRPr="00423A04">
        <w:rPr>
          <w:rFonts w:ascii="ITC Avant Garde" w:eastAsia="Calibri" w:hAnsi="ITC Avant Garde" w:cs="Arial"/>
          <w:sz w:val="22"/>
          <w:szCs w:val="22"/>
        </w:rPr>
        <w:t xml:space="preserve">Una vez asegurados los parámetros correctos en automático se reportarán los resultados de las pruebas para el servicio de datos en </w:t>
      </w:r>
      <w:r w:rsidR="00E467CF" w:rsidRPr="00423A04">
        <w:rPr>
          <w:rFonts w:ascii="ITC Avant Garde" w:eastAsia="Calibri" w:hAnsi="ITC Avant Garde" w:cs="Arial"/>
          <w:sz w:val="22"/>
          <w:szCs w:val="22"/>
        </w:rPr>
        <w:t>el SEG</w:t>
      </w:r>
      <w:r w:rsidRPr="00423A04">
        <w:rPr>
          <w:rFonts w:ascii="ITC Avant Garde" w:eastAsia="Calibri" w:hAnsi="ITC Avant Garde" w:cs="Arial"/>
          <w:sz w:val="22"/>
          <w:szCs w:val="22"/>
        </w:rPr>
        <w:t>, para que el CS pueda consultarlos.</w:t>
      </w:r>
    </w:p>
    <w:p w14:paraId="46BED7E3" w14:textId="41F22C9B" w:rsidR="00311486" w:rsidRPr="00D936CA" w:rsidRDefault="00C451FF" w:rsidP="00060B2E">
      <w:pPr>
        <w:spacing w:after="200" w:line="276" w:lineRule="auto"/>
        <w:jc w:val="center"/>
        <w:rPr>
          <w:rFonts w:ascii="ITC Avant Garde" w:eastAsia="Calibri" w:hAnsi="ITC Avant Garde" w:cs="Arial"/>
          <w:sz w:val="22"/>
          <w:szCs w:val="22"/>
        </w:rPr>
      </w:pPr>
      <w:r w:rsidRPr="00C451FF">
        <w:rPr>
          <w:rFonts w:eastAsia="Calibri"/>
          <w:noProof/>
          <w:lang w:val="es-MX" w:eastAsia="es-MX"/>
        </w:rPr>
        <w:drawing>
          <wp:inline distT="0" distB="0" distL="0" distR="0" wp14:anchorId="611800CB" wp14:editId="62ED5628">
            <wp:extent cx="3700131" cy="806428"/>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r="33829" b="11406"/>
                    <a:stretch/>
                  </pic:blipFill>
                  <pic:spPr bwMode="auto">
                    <a:xfrm>
                      <a:off x="0" y="0"/>
                      <a:ext cx="3765086" cy="820585"/>
                    </a:xfrm>
                    <a:prstGeom prst="rect">
                      <a:avLst/>
                    </a:prstGeom>
                    <a:noFill/>
                    <a:ln>
                      <a:noFill/>
                    </a:ln>
                    <a:extLst>
                      <a:ext uri="{53640926-AAD7-44D8-BBD7-CCE9431645EC}">
                        <a14:shadowObscured xmlns:a14="http://schemas.microsoft.com/office/drawing/2010/main"/>
                      </a:ext>
                    </a:extLst>
                  </pic:spPr>
                </pic:pic>
              </a:graphicData>
            </a:graphic>
          </wp:inline>
        </w:drawing>
      </w:r>
    </w:p>
    <w:p w14:paraId="697ACF10" w14:textId="3FCCDAAB" w:rsidR="00125FDE" w:rsidRPr="00311486" w:rsidRDefault="00125FDE" w:rsidP="00060B2E">
      <w:pPr>
        <w:spacing w:after="200" w:line="276" w:lineRule="auto"/>
        <w:jc w:val="center"/>
        <w:rPr>
          <w:rFonts w:ascii="ITC Avant Garde" w:hAnsi="ITC Avant Garde"/>
          <w:sz w:val="22"/>
          <w:szCs w:val="22"/>
        </w:rPr>
      </w:pPr>
      <w:bookmarkStart w:id="368" w:name="_Toc436840894"/>
      <w:bookmarkStart w:id="369" w:name="_Toc436846331"/>
      <w:bookmarkStart w:id="370" w:name="_Toc436848281"/>
      <w:bookmarkStart w:id="371" w:name="_Toc436856529"/>
      <w:bookmarkStart w:id="372" w:name="_Toc436862675"/>
      <w:bookmarkStart w:id="373" w:name="_Toc436866325"/>
      <w:bookmarkStart w:id="374" w:name="_Toc436870904"/>
      <w:bookmarkStart w:id="375" w:name="_Toc436875896"/>
      <w:r w:rsidRPr="00311486">
        <w:rPr>
          <w:rFonts w:ascii="ITC Avant Garde" w:hAnsi="ITC Avant Garde"/>
          <w:sz w:val="18"/>
          <w:szCs w:val="18"/>
        </w:rPr>
        <w:t>Ejemplo de p</w:t>
      </w:r>
      <w:r w:rsidRPr="00060B2E">
        <w:rPr>
          <w:rFonts w:ascii="ITC Avant Garde" w:hAnsi="ITC Avant Garde"/>
          <w:sz w:val="18"/>
          <w:szCs w:val="18"/>
        </w:rPr>
        <w:t xml:space="preserve">arámetros </w:t>
      </w:r>
      <w:r w:rsidRPr="00311486">
        <w:rPr>
          <w:rFonts w:ascii="ITC Avant Garde" w:hAnsi="ITC Avant Garde"/>
          <w:sz w:val="18"/>
          <w:szCs w:val="18"/>
        </w:rPr>
        <w:t>para el servicio de datos</w:t>
      </w:r>
      <w:r w:rsidRPr="00060B2E">
        <w:rPr>
          <w:rFonts w:ascii="ITC Avant Garde" w:hAnsi="ITC Avant Garde"/>
          <w:sz w:val="18"/>
          <w:szCs w:val="18"/>
        </w:rPr>
        <w:t xml:space="preserve"> en fibra</w:t>
      </w:r>
    </w:p>
    <w:bookmarkEnd w:id="368"/>
    <w:bookmarkEnd w:id="369"/>
    <w:bookmarkEnd w:id="370"/>
    <w:bookmarkEnd w:id="371"/>
    <w:bookmarkEnd w:id="372"/>
    <w:bookmarkEnd w:id="373"/>
    <w:bookmarkEnd w:id="374"/>
    <w:bookmarkEnd w:id="375"/>
    <w:p w14:paraId="33CFEAE7" w14:textId="77777777" w:rsidR="004B4BEF" w:rsidRPr="00D936CA" w:rsidRDefault="004B4BEF" w:rsidP="00D936CA">
      <w:pPr>
        <w:pStyle w:val="CitaIFT"/>
        <w:ind w:left="0"/>
        <w:rPr>
          <w:color w:val="auto"/>
        </w:rPr>
      </w:pPr>
    </w:p>
    <w:p w14:paraId="35F8C43B" w14:textId="314710FF" w:rsidR="00A90ABE" w:rsidRDefault="00A90ABE" w:rsidP="00B50532">
      <w:pPr>
        <w:pStyle w:val="1TitPrin"/>
      </w:pPr>
      <w:bookmarkStart w:id="376" w:name="_Toc518031981"/>
      <w:bookmarkStart w:id="377" w:name="_Toc436840895"/>
      <w:bookmarkStart w:id="378" w:name="_Toc436846332"/>
      <w:bookmarkStart w:id="379" w:name="_Toc436848282"/>
      <w:bookmarkStart w:id="380" w:name="_Toc436856530"/>
      <w:bookmarkStart w:id="381" w:name="_Toc436862676"/>
      <w:bookmarkStart w:id="382" w:name="_Toc436866326"/>
      <w:bookmarkStart w:id="383" w:name="_Toc436870905"/>
      <w:bookmarkStart w:id="384" w:name="_Toc436875897"/>
      <w:bookmarkStart w:id="385" w:name="_Toc467248709"/>
      <w:r>
        <w:lastRenderedPageBreak/>
        <w:t>Servicio de Reventa Mayorista de Línea Telefónica (SRMLT)</w:t>
      </w:r>
      <w:bookmarkEnd w:id="376"/>
    </w:p>
    <w:p w14:paraId="0E63DC35" w14:textId="22108E9E" w:rsidR="00A90ABE" w:rsidRDefault="00A90ABE" w:rsidP="00217D2D">
      <w:pPr>
        <w:pStyle w:val="Ttulo2"/>
        <w:numPr>
          <w:ilvl w:val="1"/>
          <w:numId w:val="143"/>
        </w:numPr>
        <w:ind w:left="851" w:hanging="425"/>
      </w:pPr>
      <w:bookmarkStart w:id="386" w:name="_Toc518031982"/>
      <w:r w:rsidRPr="00A90ABE">
        <w:t>Descripción del Servicio de Reventa Mayorista de Línea Telefónica</w:t>
      </w:r>
      <w:bookmarkEnd w:id="386"/>
    </w:p>
    <w:p w14:paraId="5CA9C6CD" w14:textId="4E16B33B" w:rsidR="00A90ABE" w:rsidRPr="00B408CC" w:rsidRDefault="00A90ABE" w:rsidP="00217D2D">
      <w:pPr>
        <w:pStyle w:val="IFTnormal"/>
      </w:pPr>
      <w:r w:rsidRPr="00B408CC">
        <w:t xml:space="preserve">Servicio mayorista que hace uso de la red telefónica </w:t>
      </w:r>
      <w:r w:rsidR="005A4379">
        <w:t>de Telmex</w:t>
      </w:r>
      <w:r w:rsidRPr="00B408CC">
        <w:t xml:space="preserve"> para </w:t>
      </w:r>
      <w:r w:rsidRPr="00317016">
        <w:t>la entrega de</w:t>
      </w:r>
      <w:r w:rsidRPr="00B408CC">
        <w:t xml:space="preserve"> todas las llamadas telefónicas originadas por los usuarios finales del Concesionario Solicitante (CS), en desagregación para el nuevo servicio SRMLT hasta el punto de entrega con la red del CS, cuando sea procedente.</w:t>
      </w:r>
    </w:p>
    <w:p w14:paraId="783C8388" w14:textId="77777777" w:rsidR="00A90ABE" w:rsidRPr="00B4365A" w:rsidRDefault="00A90ABE" w:rsidP="00217D2D">
      <w:pPr>
        <w:pStyle w:val="Ttulo2"/>
        <w:numPr>
          <w:ilvl w:val="2"/>
          <w:numId w:val="143"/>
        </w:numPr>
      </w:pPr>
      <w:bookmarkStart w:id="387" w:name="_Toc518031983"/>
      <w:r w:rsidRPr="001A5F14">
        <w:t>Premisas</w:t>
      </w:r>
      <w:r w:rsidRPr="00B4365A">
        <w:t xml:space="preserve"> e Implicaciones del Servicio.</w:t>
      </w:r>
      <w:bookmarkEnd w:id="387"/>
    </w:p>
    <w:p w14:paraId="448EE92C" w14:textId="25E4723A" w:rsidR="00A90ABE" w:rsidRPr="00CE3568" w:rsidRDefault="00A90ABE" w:rsidP="00060B2E">
      <w:pPr>
        <w:pStyle w:val="CondicionesFinales"/>
        <w:numPr>
          <w:ilvl w:val="0"/>
          <w:numId w:val="173"/>
        </w:numPr>
        <w:ind w:left="1134" w:right="142" w:hanging="425"/>
        <w:rPr>
          <w:szCs w:val="18"/>
        </w:rPr>
      </w:pPr>
      <w:r w:rsidRPr="00CE3568">
        <w:rPr>
          <w:szCs w:val="18"/>
        </w:rPr>
        <w:t xml:space="preserve">Es técnicamente factible que a través del SRMLT el CS y </w:t>
      </w:r>
      <w:r w:rsidR="005A4379">
        <w:rPr>
          <w:szCs w:val="18"/>
        </w:rPr>
        <w:t>Telmex</w:t>
      </w:r>
      <w:r w:rsidRPr="00CE3568">
        <w:rPr>
          <w:szCs w:val="18"/>
        </w:rPr>
        <w:t xml:space="preserve"> presten el servicio de voz y datos de forma indistinta a través de los servicios de desagregación cuando el medio es par de cobre. Por ejemplo: SRMLT con SAIB, SRMLT con SDCBL, </w:t>
      </w:r>
      <w:r w:rsidR="00151B90">
        <w:rPr>
          <w:szCs w:val="18"/>
        </w:rPr>
        <w:t xml:space="preserve">o </w:t>
      </w:r>
      <w:r w:rsidRPr="00CE3568">
        <w:rPr>
          <w:szCs w:val="18"/>
        </w:rPr>
        <w:t>SRMLT con SDCSBL al considerarse técnicamente factible. No obstante, cuando el único medio de acceso sea fibra óptica, Telmex no podrá proporcionar SRMLT junto con SAIB.</w:t>
      </w:r>
    </w:p>
    <w:p w14:paraId="3994250F" w14:textId="77777777" w:rsidR="00A90ABE" w:rsidRPr="00AE1960" w:rsidRDefault="00A90ABE" w:rsidP="00060B2E">
      <w:pPr>
        <w:pStyle w:val="CondicionesFinales"/>
        <w:numPr>
          <w:ilvl w:val="0"/>
          <w:numId w:val="173"/>
        </w:numPr>
        <w:ind w:left="1134" w:right="142" w:hanging="425"/>
        <w:rPr>
          <w:szCs w:val="18"/>
        </w:rPr>
      </w:pPr>
      <w:r w:rsidRPr="00AE1960">
        <w:rPr>
          <w:szCs w:val="18"/>
        </w:rPr>
        <w:t>Adoptar las disposiciones relativas al tratamiento de la numeración a 10 dígitos y realizar las modificaciones que permitan implementar el SRMLT.</w:t>
      </w:r>
    </w:p>
    <w:p w14:paraId="035E95C2" w14:textId="77777777" w:rsidR="00A90ABE" w:rsidRPr="007D738A" w:rsidRDefault="00A90ABE" w:rsidP="00060B2E">
      <w:pPr>
        <w:pStyle w:val="CondicionesFinales"/>
        <w:numPr>
          <w:ilvl w:val="0"/>
          <w:numId w:val="173"/>
        </w:numPr>
        <w:ind w:left="1134" w:right="142" w:hanging="425"/>
        <w:rPr>
          <w:szCs w:val="18"/>
        </w:rPr>
      </w:pPr>
      <w:r w:rsidRPr="007D738A">
        <w:rPr>
          <w:szCs w:val="18"/>
        </w:rPr>
        <w:t>Telmex prestará el SRMLT bajo demanda, sin que sea necesaria la revisión de disponibilidad de los recursos de red en todos los casos en que el usuario final cuente con servicio telefónico o de datos activo provisto por Telmex o exista acometida en el domicilio del usuario final que permita la prestación de los servicios.</w:t>
      </w:r>
    </w:p>
    <w:p w14:paraId="5EA3D6C4" w14:textId="77777777" w:rsidR="00A90ABE" w:rsidRPr="00AE1960" w:rsidRDefault="00A90ABE" w:rsidP="00060B2E">
      <w:pPr>
        <w:pStyle w:val="CondicionesFinales"/>
        <w:numPr>
          <w:ilvl w:val="0"/>
          <w:numId w:val="173"/>
        </w:numPr>
        <w:ind w:left="1134" w:right="142" w:hanging="425"/>
        <w:rPr>
          <w:szCs w:val="18"/>
        </w:rPr>
      </w:pPr>
      <w:r w:rsidRPr="00AE1960">
        <w:rPr>
          <w:szCs w:val="18"/>
        </w:rPr>
        <w:t>No están considerados en esta solución los Clientes PABX de líneas y/o de troncales.</w:t>
      </w:r>
    </w:p>
    <w:p w14:paraId="4E730C3F" w14:textId="77777777" w:rsidR="00A90ABE" w:rsidRPr="00AE1960" w:rsidRDefault="00A90ABE" w:rsidP="00060B2E">
      <w:pPr>
        <w:pStyle w:val="CondicionesFinales"/>
        <w:numPr>
          <w:ilvl w:val="0"/>
          <w:numId w:val="173"/>
        </w:numPr>
        <w:ind w:left="1134" w:right="142" w:hanging="425"/>
        <w:rPr>
          <w:szCs w:val="18"/>
        </w:rPr>
      </w:pPr>
      <w:r w:rsidRPr="00AE1960">
        <w:rPr>
          <w:szCs w:val="18"/>
        </w:rPr>
        <w:t xml:space="preserve">La entrega del tráfico para este servicio debe ser por cualquier punto de Interconexión establecido de común acuerdo entre las partes. </w:t>
      </w:r>
    </w:p>
    <w:p w14:paraId="2EA9AE12" w14:textId="4FC489B7" w:rsidR="00A90ABE" w:rsidRPr="00AE1960" w:rsidRDefault="00A90ABE" w:rsidP="00060B2E">
      <w:pPr>
        <w:pStyle w:val="CondicionesFinales"/>
        <w:numPr>
          <w:ilvl w:val="0"/>
          <w:numId w:val="173"/>
        </w:numPr>
        <w:ind w:left="1134" w:right="142" w:hanging="425"/>
        <w:rPr>
          <w:szCs w:val="18"/>
        </w:rPr>
      </w:pPr>
      <w:r w:rsidRPr="00AE1960">
        <w:rPr>
          <w:szCs w:val="18"/>
        </w:rPr>
        <w:t xml:space="preserve">Los planes y paquetes comerciales </w:t>
      </w:r>
      <w:r w:rsidR="005A4379">
        <w:rPr>
          <w:szCs w:val="18"/>
        </w:rPr>
        <w:t>de Telmex</w:t>
      </w:r>
      <w:r w:rsidRPr="00AE1960">
        <w:rPr>
          <w:szCs w:val="18"/>
        </w:rPr>
        <w:t xml:space="preserve"> sobre línea </w:t>
      </w:r>
      <w:r>
        <w:rPr>
          <w:szCs w:val="18"/>
        </w:rPr>
        <w:t>t</w:t>
      </w:r>
      <w:r w:rsidRPr="00AE1960">
        <w:rPr>
          <w:szCs w:val="18"/>
        </w:rPr>
        <w:t>elefónica no podrán ser activados para este servicio.</w:t>
      </w:r>
    </w:p>
    <w:p w14:paraId="3E87B292" w14:textId="765CA8C2" w:rsidR="00A90ABE" w:rsidRPr="00AE1960" w:rsidRDefault="00A90ABE" w:rsidP="00A90ABE">
      <w:pPr>
        <w:pStyle w:val="CondicionesFinales"/>
        <w:ind w:left="709"/>
        <w:rPr>
          <w:szCs w:val="18"/>
        </w:rPr>
      </w:pPr>
      <w:r w:rsidRPr="00AE1960">
        <w:rPr>
          <w:b/>
          <w:szCs w:val="18"/>
        </w:rPr>
        <w:t xml:space="preserve">Es responsabilidad </w:t>
      </w:r>
      <w:r w:rsidR="005A4379">
        <w:rPr>
          <w:b/>
          <w:szCs w:val="18"/>
        </w:rPr>
        <w:t>de Telmex</w:t>
      </w:r>
      <w:r w:rsidRPr="00AE1960">
        <w:rPr>
          <w:b/>
          <w:szCs w:val="18"/>
        </w:rPr>
        <w:t>:</w:t>
      </w:r>
    </w:p>
    <w:p w14:paraId="76DA5032" w14:textId="77777777" w:rsidR="00A90ABE" w:rsidRPr="00AE1960" w:rsidRDefault="00A90ABE" w:rsidP="00A90ABE">
      <w:pPr>
        <w:pStyle w:val="IFTnormal"/>
        <w:numPr>
          <w:ilvl w:val="0"/>
          <w:numId w:val="175"/>
        </w:numPr>
        <w:ind w:left="1134" w:hanging="425"/>
        <w:rPr>
          <w:b/>
        </w:rPr>
      </w:pPr>
      <w:r w:rsidRPr="00AE1960">
        <w:t>Realizar el enrutamiento de la llamada a la red del CS, con base en la marcación correspondiente al Usuario final.</w:t>
      </w:r>
    </w:p>
    <w:p w14:paraId="3043811B" w14:textId="77777777" w:rsidR="00A90ABE" w:rsidRPr="00AE1960" w:rsidRDefault="00A90ABE" w:rsidP="00A90ABE">
      <w:pPr>
        <w:pStyle w:val="IFTnormal"/>
        <w:numPr>
          <w:ilvl w:val="0"/>
          <w:numId w:val="175"/>
        </w:numPr>
        <w:ind w:left="1134" w:hanging="425"/>
        <w:rPr>
          <w:b/>
        </w:rPr>
      </w:pPr>
      <w:r w:rsidRPr="00AE1960">
        <w:lastRenderedPageBreak/>
        <w:t>Llevar el control de la llamada (señalización, establecimiento y liberación) y proporcionar los servicios digitales indicados en este documento.</w:t>
      </w:r>
    </w:p>
    <w:p w14:paraId="28BCB4DD" w14:textId="77777777" w:rsidR="00A90ABE" w:rsidRPr="00AE1960" w:rsidRDefault="00A90ABE" w:rsidP="00A90ABE">
      <w:pPr>
        <w:pStyle w:val="IFTnormal"/>
        <w:numPr>
          <w:ilvl w:val="0"/>
          <w:numId w:val="175"/>
        </w:numPr>
        <w:ind w:left="1134" w:hanging="425"/>
        <w:rPr>
          <w:b/>
        </w:rPr>
      </w:pPr>
      <w:r w:rsidRPr="00AE1960">
        <w:t>Garantizar la calidad de las llamadas procesadas dentro de su red y hasta el punto de interconexión con el CS en el caso de la entrega del tráfico.</w:t>
      </w:r>
    </w:p>
    <w:p w14:paraId="6A7343C5" w14:textId="77777777" w:rsidR="00A90ABE" w:rsidRPr="00AE1960" w:rsidRDefault="00A90ABE" w:rsidP="00A90ABE">
      <w:pPr>
        <w:pStyle w:val="IFTnormal"/>
        <w:numPr>
          <w:ilvl w:val="0"/>
          <w:numId w:val="175"/>
        </w:numPr>
        <w:ind w:left="1134" w:hanging="425"/>
      </w:pPr>
      <w:r w:rsidRPr="00AE1960">
        <w:t xml:space="preserve">No se proporcionan servicios de valor agregado tales como VPN ni se realizan traducciones numéricas de códigos o servicios especiales como por ejemplo 800, 900, Servicios Especiales (030, 911, etc.)  </w:t>
      </w:r>
    </w:p>
    <w:p w14:paraId="62FBD353" w14:textId="781420C3" w:rsidR="00A90ABE" w:rsidRPr="00AE1960" w:rsidRDefault="00A90ABE" w:rsidP="00060B2E">
      <w:pPr>
        <w:pStyle w:val="CondicionesFinales"/>
        <w:ind w:left="0" w:right="0"/>
        <w:rPr>
          <w:strike/>
          <w:szCs w:val="18"/>
        </w:rPr>
      </w:pPr>
      <w:r w:rsidRPr="00AE1960">
        <w:rPr>
          <w:szCs w:val="18"/>
        </w:rPr>
        <w:t xml:space="preserve">Tanto </w:t>
      </w:r>
      <w:r w:rsidR="005A4379">
        <w:rPr>
          <w:szCs w:val="18"/>
        </w:rPr>
        <w:t>Telmex</w:t>
      </w:r>
      <w:r w:rsidRPr="00AE1960">
        <w:rPr>
          <w:szCs w:val="18"/>
        </w:rPr>
        <w:t xml:space="preserve"> como el CS deben generar sus propios CDR. Con el CDR que genere el CS debe de cobrar a su cliente y conciliar el tráfico entregado por </w:t>
      </w:r>
      <w:r w:rsidR="005A4379">
        <w:rPr>
          <w:szCs w:val="18"/>
        </w:rPr>
        <w:t>Telmex</w:t>
      </w:r>
      <w:r w:rsidRPr="00AE1960">
        <w:rPr>
          <w:szCs w:val="18"/>
        </w:rPr>
        <w:t xml:space="preserve">. Los registros generados por </w:t>
      </w:r>
      <w:r w:rsidR="005A4379">
        <w:rPr>
          <w:szCs w:val="18"/>
        </w:rPr>
        <w:t>Telmex</w:t>
      </w:r>
      <w:r w:rsidRPr="00AE1960">
        <w:rPr>
          <w:szCs w:val="18"/>
        </w:rPr>
        <w:t xml:space="preserve"> son para realizar la conciliación del tráfico entregado.</w:t>
      </w:r>
      <w:r w:rsidRPr="00AE1960">
        <w:rPr>
          <w:strike/>
          <w:szCs w:val="18"/>
        </w:rPr>
        <w:t xml:space="preserve">  </w:t>
      </w:r>
    </w:p>
    <w:p w14:paraId="71E71388" w14:textId="3A728A2F" w:rsidR="00A90ABE" w:rsidRPr="00AE1960" w:rsidRDefault="00A90ABE" w:rsidP="00060B2E">
      <w:pPr>
        <w:pStyle w:val="CondicionesFinales"/>
        <w:ind w:left="0" w:right="0"/>
        <w:rPr>
          <w:szCs w:val="18"/>
        </w:rPr>
      </w:pPr>
      <w:r w:rsidRPr="00AE1960">
        <w:rPr>
          <w:szCs w:val="18"/>
        </w:rPr>
        <w:t>El proceso de Conciliación de CDR se realizar</w:t>
      </w:r>
      <w:r>
        <w:rPr>
          <w:szCs w:val="18"/>
        </w:rPr>
        <w:t>á</w:t>
      </w:r>
      <w:r w:rsidRPr="00AE1960">
        <w:rPr>
          <w:szCs w:val="18"/>
        </w:rPr>
        <w:t xml:space="preserve"> mediante el intercambio de información y archivos entre el CS y </w:t>
      </w:r>
      <w:r w:rsidR="005A4379">
        <w:rPr>
          <w:szCs w:val="18"/>
        </w:rPr>
        <w:t>Telmex</w:t>
      </w:r>
      <w:r w:rsidRPr="00AE1960">
        <w:rPr>
          <w:szCs w:val="18"/>
        </w:rPr>
        <w:t>, en los formatos ya definidos</w:t>
      </w:r>
      <w:r w:rsidRPr="00AC68E0">
        <w:rPr>
          <w:szCs w:val="18"/>
        </w:rPr>
        <w:t xml:space="preserve"> en la OREDA vigente</w:t>
      </w:r>
      <w:r w:rsidRPr="00AE1960">
        <w:rPr>
          <w:szCs w:val="18"/>
        </w:rPr>
        <w:t>.</w:t>
      </w:r>
    </w:p>
    <w:p w14:paraId="48E53653" w14:textId="77777777" w:rsidR="00A90ABE" w:rsidRPr="00AE1960" w:rsidRDefault="00A90ABE" w:rsidP="00A90ABE">
      <w:pPr>
        <w:pStyle w:val="CondicionesFinales"/>
        <w:ind w:left="709"/>
        <w:rPr>
          <w:b/>
          <w:szCs w:val="18"/>
        </w:rPr>
      </w:pPr>
      <w:r w:rsidRPr="00AE1960">
        <w:rPr>
          <w:b/>
          <w:szCs w:val="18"/>
        </w:rPr>
        <w:t>Es responsabilidad del CS:</w:t>
      </w:r>
    </w:p>
    <w:p w14:paraId="1C61F9FA" w14:textId="77777777" w:rsidR="00A90ABE" w:rsidRPr="00AE1960" w:rsidRDefault="00A90ABE" w:rsidP="00A90ABE">
      <w:pPr>
        <w:pStyle w:val="IFTnormal"/>
        <w:numPr>
          <w:ilvl w:val="0"/>
          <w:numId w:val="176"/>
        </w:numPr>
        <w:ind w:left="1134" w:hanging="425"/>
      </w:pPr>
      <w:r w:rsidRPr="00AE1960">
        <w:t xml:space="preserve">Realizar el análisis numérico del enrutamiento de la llamada de dígitos. </w:t>
      </w:r>
    </w:p>
    <w:p w14:paraId="75BFADE7" w14:textId="3739D3F3" w:rsidR="00A90ABE" w:rsidRPr="00AE1960" w:rsidRDefault="00A90ABE" w:rsidP="00A90ABE">
      <w:pPr>
        <w:pStyle w:val="IFTnormal"/>
        <w:numPr>
          <w:ilvl w:val="0"/>
          <w:numId w:val="176"/>
        </w:numPr>
        <w:ind w:left="1134" w:hanging="425"/>
      </w:pPr>
      <w:r w:rsidRPr="00AE1960">
        <w:t>Completar la llamada al destino ya sea local, de servicios especiales, 911, LD Internacional, Servicios de Valor agregado, etc. Para el caso del servicio 911</w:t>
      </w:r>
      <w:r w:rsidR="001C3CA2">
        <w:t>,</w:t>
      </w:r>
      <w:r w:rsidRPr="00AE1960">
        <w:t xml:space="preserve"> el CS tiene la obligación de atender en tiempo y forma lo dispuesto en materia de Seguridad y Justicia.</w:t>
      </w:r>
    </w:p>
    <w:p w14:paraId="557F7F10" w14:textId="77777777" w:rsidR="00A90ABE" w:rsidRPr="00AE1960" w:rsidRDefault="00A90ABE" w:rsidP="00A90ABE">
      <w:pPr>
        <w:pStyle w:val="IFTnormal"/>
        <w:numPr>
          <w:ilvl w:val="0"/>
          <w:numId w:val="176"/>
        </w:numPr>
        <w:ind w:left="1134" w:hanging="425"/>
      </w:pPr>
      <w:r w:rsidRPr="00AE1960">
        <w:t>Realizar la facturación al Cliente que adoptó el Servicio.</w:t>
      </w:r>
    </w:p>
    <w:p w14:paraId="173A644E" w14:textId="77777777" w:rsidR="00A90ABE" w:rsidRPr="00AE1960" w:rsidRDefault="00A90ABE" w:rsidP="00A90ABE">
      <w:pPr>
        <w:pStyle w:val="IFTnormal"/>
        <w:numPr>
          <w:ilvl w:val="0"/>
          <w:numId w:val="176"/>
        </w:numPr>
        <w:ind w:left="1134" w:hanging="425"/>
      </w:pPr>
      <w:r w:rsidRPr="00AE1960">
        <w:t>El CS es el responsable de tramitar las llamadas de LDI y LDM.</w:t>
      </w:r>
    </w:p>
    <w:p w14:paraId="3626AF7F" w14:textId="77777777" w:rsidR="00A90ABE" w:rsidRPr="00AE1960" w:rsidRDefault="00A90ABE" w:rsidP="00A90ABE">
      <w:pPr>
        <w:pStyle w:val="IFTnormal"/>
        <w:numPr>
          <w:ilvl w:val="0"/>
          <w:numId w:val="176"/>
        </w:numPr>
        <w:ind w:left="1134" w:hanging="425"/>
      </w:pPr>
      <w:r w:rsidRPr="00AE1960">
        <w:t>La relación con el cliente final.</w:t>
      </w:r>
    </w:p>
    <w:p w14:paraId="05276698" w14:textId="77777777" w:rsidR="00A90ABE" w:rsidRPr="00B4365A" w:rsidRDefault="00A90ABE" w:rsidP="00060B2E">
      <w:pPr>
        <w:pStyle w:val="Ttulo2"/>
        <w:numPr>
          <w:ilvl w:val="2"/>
          <w:numId w:val="143"/>
        </w:numPr>
      </w:pPr>
      <w:bookmarkStart w:id="388" w:name="_Toc518031984"/>
      <w:r w:rsidRPr="001A5F14">
        <w:t>Arquitectura</w:t>
      </w:r>
      <w:bookmarkEnd w:id="388"/>
    </w:p>
    <w:p w14:paraId="53978552" w14:textId="1EB46060" w:rsidR="00A90ABE" w:rsidRPr="00AE1960" w:rsidRDefault="00A90ABE" w:rsidP="00060B2E">
      <w:pPr>
        <w:pStyle w:val="IFTnormal"/>
      </w:pPr>
      <w:r w:rsidRPr="00AE1960">
        <w:t xml:space="preserve">A </w:t>
      </w:r>
      <w:r w:rsidR="00E467CF" w:rsidRPr="00AE1960">
        <w:t>continuación,</w:t>
      </w:r>
      <w:r w:rsidRPr="00AE1960">
        <w:t xml:space="preserve"> se muestran los diferentes esquemas de arquitectura y envío de las marcaciones al usuario final a los que se les aplique el servicio SRMLT.</w:t>
      </w:r>
      <w:r w:rsidRPr="00AE1960">
        <w:rPr>
          <w:b/>
          <w:sz w:val="48"/>
          <w:szCs w:val="40"/>
        </w:rPr>
        <w:t xml:space="preserve"> </w:t>
      </w:r>
    </w:p>
    <w:p w14:paraId="76E28C27" w14:textId="77777777" w:rsidR="00A90ABE" w:rsidRPr="005569A1" w:rsidRDefault="00A90ABE" w:rsidP="00A90ABE">
      <w:pPr>
        <w:pStyle w:val="IFTnormal"/>
        <w:jc w:val="center"/>
      </w:pPr>
      <w:r>
        <w:rPr>
          <w:noProof/>
          <w:lang w:eastAsia="es-MX"/>
        </w:rPr>
        <w:lastRenderedPageBreak/>
        <w:drawing>
          <wp:inline distT="0" distB="0" distL="0" distR="0" wp14:anchorId="04F6EBCA" wp14:editId="0FC0559D">
            <wp:extent cx="4999355" cy="2018030"/>
            <wp:effectExtent l="0" t="0" r="0" b="1270"/>
            <wp:docPr id="51" name="Imagen 51" descr="Diagrama de entrega de llamada TELMEX - OPERAD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9355" cy="2018030"/>
                    </a:xfrm>
                    <a:prstGeom prst="rect">
                      <a:avLst/>
                    </a:prstGeom>
                    <a:noFill/>
                  </pic:spPr>
                </pic:pic>
              </a:graphicData>
            </a:graphic>
          </wp:inline>
        </w:drawing>
      </w:r>
    </w:p>
    <w:p w14:paraId="6C27AD8D" w14:textId="77777777" w:rsidR="00A90ABE" w:rsidRPr="005569A1" w:rsidRDefault="00A90ABE" w:rsidP="00060B2E">
      <w:pPr>
        <w:pStyle w:val="Citaift0"/>
        <w:ind w:left="142" w:right="0"/>
      </w:pPr>
      <w:r w:rsidRPr="00317016">
        <w:t>A manera de ejem</w:t>
      </w:r>
      <w:r>
        <w:t>plo, en los siguientes esquemas</w:t>
      </w:r>
      <w:r w:rsidRPr="00317016">
        <w:t xml:space="preserve"> se muestra el envío de dígitos para algunas marcaciones:</w:t>
      </w:r>
    </w:p>
    <w:p w14:paraId="4939DDF4" w14:textId="77777777" w:rsidR="00A90ABE" w:rsidRDefault="00A90ABE" w:rsidP="00A90ABE">
      <w:pPr>
        <w:jc w:val="center"/>
        <w:rPr>
          <w:b/>
          <w:sz w:val="40"/>
          <w:szCs w:val="40"/>
        </w:rPr>
      </w:pPr>
    </w:p>
    <w:p w14:paraId="4C04AA7D" w14:textId="77777777" w:rsidR="00A90ABE" w:rsidRDefault="00A90ABE" w:rsidP="00A90ABE">
      <w:pPr>
        <w:jc w:val="center"/>
        <w:rPr>
          <w:b/>
          <w:bCs/>
          <w:sz w:val="40"/>
          <w:szCs w:val="40"/>
        </w:rPr>
      </w:pPr>
      <w:r>
        <w:rPr>
          <w:b/>
          <w:bCs/>
          <w:noProof/>
          <w:sz w:val="40"/>
          <w:szCs w:val="40"/>
          <w:lang w:val="es-MX" w:eastAsia="es-MX"/>
        </w:rPr>
        <w:drawing>
          <wp:inline distT="0" distB="0" distL="0" distR="0" wp14:anchorId="60A12879" wp14:editId="219A8BE4">
            <wp:extent cx="4523740" cy="2011680"/>
            <wp:effectExtent l="0" t="0" r="0" b="7620"/>
            <wp:docPr id="52" name="Imagen 52" descr="Diagrama de entrega de llamada TELMEX - AXT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3740" cy="2011680"/>
                    </a:xfrm>
                    <a:prstGeom prst="rect">
                      <a:avLst/>
                    </a:prstGeom>
                    <a:noFill/>
                  </pic:spPr>
                </pic:pic>
              </a:graphicData>
            </a:graphic>
          </wp:inline>
        </w:drawing>
      </w:r>
    </w:p>
    <w:p w14:paraId="6A0D56DF" w14:textId="77777777" w:rsidR="00A90ABE" w:rsidRDefault="00A90ABE" w:rsidP="00A90ABE">
      <w:pPr>
        <w:jc w:val="center"/>
        <w:rPr>
          <w:b/>
          <w:bCs/>
          <w:sz w:val="40"/>
          <w:szCs w:val="40"/>
        </w:rPr>
      </w:pPr>
      <w:r>
        <w:rPr>
          <w:b/>
          <w:bCs/>
          <w:noProof/>
          <w:sz w:val="40"/>
          <w:szCs w:val="40"/>
          <w:lang w:val="es-MX" w:eastAsia="es-MX"/>
        </w:rPr>
        <w:drawing>
          <wp:inline distT="0" distB="0" distL="0" distR="0" wp14:anchorId="40F56CD0" wp14:editId="225C503D">
            <wp:extent cx="4627245" cy="1713230"/>
            <wp:effectExtent l="0" t="0" r="1905" b="1270"/>
            <wp:docPr id="53" name="Imagen 53" descr="Diagrama de entrega de llamada TELMEX - AXTEL - IUSACEL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7245" cy="1713230"/>
                    </a:xfrm>
                    <a:prstGeom prst="rect">
                      <a:avLst/>
                    </a:prstGeom>
                    <a:noFill/>
                  </pic:spPr>
                </pic:pic>
              </a:graphicData>
            </a:graphic>
          </wp:inline>
        </w:drawing>
      </w:r>
    </w:p>
    <w:p w14:paraId="1CCAA492" w14:textId="77777777" w:rsidR="00A90ABE" w:rsidRDefault="00A90ABE" w:rsidP="00A90ABE">
      <w:pPr>
        <w:jc w:val="center"/>
        <w:rPr>
          <w:b/>
          <w:bCs/>
          <w:sz w:val="40"/>
          <w:szCs w:val="40"/>
        </w:rPr>
      </w:pPr>
      <w:r>
        <w:rPr>
          <w:b/>
          <w:bCs/>
          <w:noProof/>
          <w:sz w:val="40"/>
          <w:szCs w:val="40"/>
          <w:lang w:val="es-MX" w:eastAsia="es-MX"/>
        </w:rPr>
        <w:lastRenderedPageBreak/>
        <w:drawing>
          <wp:inline distT="0" distB="0" distL="0" distR="0" wp14:anchorId="4A7F047C" wp14:editId="05DBD81A">
            <wp:extent cx="4542155" cy="1591310"/>
            <wp:effectExtent l="0" t="0" r="0" b="8890"/>
            <wp:docPr id="54" name="Imagen 54" descr="Diagrama de entrega de llamada TELMEX - AXTEL - IUSACEL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2155" cy="1591310"/>
                    </a:xfrm>
                    <a:prstGeom prst="rect">
                      <a:avLst/>
                    </a:prstGeom>
                    <a:noFill/>
                  </pic:spPr>
                </pic:pic>
              </a:graphicData>
            </a:graphic>
          </wp:inline>
        </w:drawing>
      </w:r>
    </w:p>
    <w:p w14:paraId="25183CAC" w14:textId="77777777" w:rsidR="00A90ABE" w:rsidRDefault="00A90ABE" w:rsidP="00A90ABE">
      <w:pPr>
        <w:jc w:val="center"/>
        <w:rPr>
          <w:b/>
          <w:bCs/>
          <w:sz w:val="40"/>
          <w:szCs w:val="40"/>
        </w:rPr>
      </w:pPr>
      <w:r>
        <w:rPr>
          <w:b/>
          <w:bCs/>
          <w:noProof/>
          <w:sz w:val="40"/>
          <w:szCs w:val="40"/>
          <w:lang w:val="es-MX" w:eastAsia="es-MX"/>
        </w:rPr>
        <w:drawing>
          <wp:inline distT="0" distB="0" distL="0" distR="0" wp14:anchorId="5DFE02C2" wp14:editId="74BCB7D9">
            <wp:extent cx="4737100" cy="1670685"/>
            <wp:effectExtent l="0" t="0" r="6350" b="5715"/>
            <wp:docPr id="55" name="Imagen 55" descr="Diagrama de entrega de llamada TELMEX -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7100" cy="1670685"/>
                    </a:xfrm>
                    <a:prstGeom prst="rect">
                      <a:avLst/>
                    </a:prstGeom>
                    <a:noFill/>
                  </pic:spPr>
                </pic:pic>
              </a:graphicData>
            </a:graphic>
          </wp:inline>
        </w:drawing>
      </w:r>
    </w:p>
    <w:p w14:paraId="2DDC5ED6" w14:textId="77777777" w:rsidR="00A90ABE" w:rsidRDefault="00A90ABE" w:rsidP="00A90ABE">
      <w:pPr>
        <w:jc w:val="center"/>
        <w:rPr>
          <w:b/>
          <w:bCs/>
          <w:sz w:val="40"/>
          <w:szCs w:val="40"/>
        </w:rPr>
      </w:pPr>
      <w:r>
        <w:rPr>
          <w:b/>
          <w:bCs/>
          <w:noProof/>
          <w:sz w:val="40"/>
          <w:szCs w:val="40"/>
          <w:lang w:val="es-MX" w:eastAsia="es-MX"/>
        </w:rPr>
        <w:drawing>
          <wp:inline distT="0" distB="0" distL="0" distR="0" wp14:anchorId="06E5E4D7" wp14:editId="3C88B9E3">
            <wp:extent cx="4840605" cy="1633855"/>
            <wp:effectExtent l="0" t="0" r="0" b="4445"/>
            <wp:docPr id="56" name="Imagen 56" descr="Diagrama de entrega de llamada TELMEX -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0605" cy="1633855"/>
                    </a:xfrm>
                    <a:prstGeom prst="rect">
                      <a:avLst/>
                    </a:prstGeom>
                    <a:noFill/>
                  </pic:spPr>
                </pic:pic>
              </a:graphicData>
            </a:graphic>
          </wp:inline>
        </w:drawing>
      </w:r>
    </w:p>
    <w:p w14:paraId="7A2F151A" w14:textId="77777777" w:rsidR="00A90ABE" w:rsidRDefault="00A90ABE" w:rsidP="00A90ABE">
      <w:pPr>
        <w:jc w:val="center"/>
        <w:rPr>
          <w:b/>
          <w:bCs/>
          <w:sz w:val="40"/>
          <w:szCs w:val="40"/>
        </w:rPr>
      </w:pPr>
      <w:r>
        <w:rPr>
          <w:b/>
          <w:bCs/>
          <w:noProof/>
          <w:sz w:val="40"/>
          <w:szCs w:val="40"/>
          <w:lang w:val="es-MX" w:eastAsia="es-MX"/>
        </w:rPr>
        <w:lastRenderedPageBreak/>
        <w:drawing>
          <wp:inline distT="0" distB="0" distL="0" distR="0" wp14:anchorId="645012A1" wp14:editId="6EE78A2B">
            <wp:extent cx="4371340" cy="2908300"/>
            <wp:effectExtent l="0" t="0" r="0" b="6350"/>
            <wp:docPr id="59" name="Imagen 59" descr="Diagrama de llamada Terminada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1340" cy="2908300"/>
                    </a:xfrm>
                    <a:prstGeom prst="rect">
                      <a:avLst/>
                    </a:prstGeom>
                    <a:noFill/>
                  </pic:spPr>
                </pic:pic>
              </a:graphicData>
            </a:graphic>
          </wp:inline>
        </w:drawing>
      </w:r>
    </w:p>
    <w:p w14:paraId="7B496CB8" w14:textId="77777777" w:rsidR="00A90ABE" w:rsidRPr="00F6763E" w:rsidRDefault="00A90ABE" w:rsidP="00A90ABE">
      <w:pPr>
        <w:jc w:val="center"/>
        <w:rPr>
          <w:b/>
          <w:bCs/>
          <w:szCs w:val="40"/>
        </w:rPr>
      </w:pPr>
    </w:p>
    <w:p w14:paraId="4ADCCCCC" w14:textId="77777777" w:rsidR="00A90ABE" w:rsidRPr="00B4365A" w:rsidRDefault="00A90ABE" w:rsidP="00060B2E">
      <w:pPr>
        <w:pStyle w:val="Ttulo2"/>
        <w:numPr>
          <w:ilvl w:val="2"/>
          <w:numId w:val="143"/>
        </w:numPr>
      </w:pPr>
      <w:bookmarkStart w:id="389" w:name="_Toc518031985"/>
      <w:r w:rsidRPr="006744B8">
        <w:t>Características técnicas</w:t>
      </w:r>
      <w:bookmarkEnd w:id="389"/>
    </w:p>
    <w:p w14:paraId="13A994FD" w14:textId="77777777" w:rsidR="00A90ABE" w:rsidRPr="006744B8" w:rsidRDefault="00A90ABE" w:rsidP="00060B2E">
      <w:pPr>
        <w:pStyle w:val="IFTnormal"/>
      </w:pPr>
      <w:r w:rsidRPr="006744B8">
        <w:t>A fin de proporcionar el Servicio de Reventa Mayorista de Línea Telefónica a líneas residenciales</w:t>
      </w:r>
      <w:r>
        <w:t xml:space="preserve"> (SRMLT)</w:t>
      </w:r>
      <w:r w:rsidRPr="006744B8">
        <w:t>, se requiere el cumplimiento de las siguientes premisas, que permitirán la tramitación del tráfico en esta configuración:</w:t>
      </w:r>
    </w:p>
    <w:p w14:paraId="6BC57072" w14:textId="68346130" w:rsidR="00A90ABE" w:rsidRPr="006744B8" w:rsidRDefault="00A90ABE" w:rsidP="00A90ABE">
      <w:pPr>
        <w:pStyle w:val="IFTnormal"/>
        <w:numPr>
          <w:ilvl w:val="0"/>
          <w:numId w:val="177"/>
        </w:numPr>
        <w:ind w:left="1134" w:hanging="425"/>
      </w:pPr>
      <w:r w:rsidRPr="006744B8">
        <w:t xml:space="preserve">Para lograr que la entrega de todo el tráfico originado en la red </w:t>
      </w:r>
      <w:r w:rsidR="005A4379">
        <w:t>de Telmex</w:t>
      </w:r>
      <w:r w:rsidRPr="006744B8">
        <w:t xml:space="preserve"> hacia el concesionario solicitante (CS) se realice de manera eficiente (local, larga distancia internacional, resto del mundo, códigos de servicios especiales, etc.), se ha considerado llevar a cabo el etiquetado de este tráfico anteponiendo al Número Nacional 3 dígitos numéricos (011), además del etiquetado ya considerado y configurado hoy en el SW desarrollado en las centrales para el intercambio de tráfico de Interconexión entre concesionarios, como es la identificación de la red destino y origen (IDD e IDO).</w:t>
      </w:r>
    </w:p>
    <w:p w14:paraId="1077AAA5" w14:textId="66763225" w:rsidR="00A90ABE" w:rsidRPr="006744B8" w:rsidRDefault="00A90ABE" w:rsidP="00A90ABE">
      <w:pPr>
        <w:pStyle w:val="IFTnormal"/>
        <w:numPr>
          <w:ilvl w:val="0"/>
          <w:numId w:val="177"/>
        </w:numPr>
        <w:ind w:left="1134" w:hanging="425"/>
      </w:pPr>
      <w:r w:rsidRPr="006744B8">
        <w:t>El etiquetado del tráfico que se enviaría a la red del CS para este servicio será:</w:t>
      </w:r>
    </w:p>
    <w:p w14:paraId="59DA3EB4" w14:textId="77777777" w:rsidR="00A90ABE" w:rsidRPr="001A5F14" w:rsidRDefault="00A90ABE" w:rsidP="00A90ABE">
      <w:pPr>
        <w:pStyle w:val="CondicionesFinales"/>
        <w:numPr>
          <w:ilvl w:val="1"/>
          <w:numId w:val="174"/>
        </w:numPr>
        <w:ind w:left="1701" w:hanging="425"/>
        <w:rPr>
          <w:szCs w:val="18"/>
        </w:rPr>
      </w:pPr>
      <w:r w:rsidRPr="001A5F14">
        <w:rPr>
          <w:szCs w:val="18"/>
        </w:rPr>
        <w:t>IDD + IDO + (011) + Marcación al Usuario final.</w:t>
      </w:r>
    </w:p>
    <w:p w14:paraId="24A4532A" w14:textId="77777777" w:rsidR="00A90ABE" w:rsidRPr="006744B8" w:rsidRDefault="00A90ABE" w:rsidP="00A90ABE">
      <w:pPr>
        <w:pStyle w:val="IFTnormal"/>
        <w:ind w:left="709" w:firstLine="425"/>
      </w:pPr>
      <w:r w:rsidRPr="006744B8">
        <w:t>Donde la Marcación al Usuario final = “NN, como Numero Nacional a 10 dígitos”</w:t>
      </w:r>
    </w:p>
    <w:p w14:paraId="4F172895" w14:textId="77777777" w:rsidR="00A90ABE" w:rsidRPr="006744B8" w:rsidRDefault="00A90ABE" w:rsidP="00A90ABE">
      <w:pPr>
        <w:pStyle w:val="IFTnormal"/>
        <w:numPr>
          <w:ilvl w:val="0"/>
          <w:numId w:val="178"/>
        </w:numPr>
        <w:ind w:left="1134" w:hanging="425"/>
      </w:pPr>
      <w:r w:rsidRPr="006744B8">
        <w:t xml:space="preserve">La factibilidad de implementación se realizará por CS y por central, es decir; si un CS ya tiene este servicio en una central y requiere de un nuevo SRMLT, ya no es necesario volver a realizar factibilidad de la central, pero si otro CS requiere del </w:t>
      </w:r>
      <w:r w:rsidRPr="006744B8">
        <w:lastRenderedPageBreak/>
        <w:t>servicio en esta misma central, es necesario realizar la factibilidad de implementación de la central para ese CS.</w:t>
      </w:r>
    </w:p>
    <w:p w14:paraId="467CAA0E" w14:textId="77777777" w:rsidR="00A90ABE" w:rsidRPr="006744B8" w:rsidRDefault="00A90ABE" w:rsidP="00A90ABE">
      <w:pPr>
        <w:pStyle w:val="IFTnormal"/>
        <w:numPr>
          <w:ilvl w:val="0"/>
          <w:numId w:val="179"/>
        </w:numPr>
        <w:ind w:left="1134" w:hanging="425"/>
      </w:pPr>
      <w:r w:rsidRPr="006744B8">
        <w:t>El tiempo para la configuración de los datos en la central será de 5 días hábiles</w:t>
      </w:r>
      <w:r w:rsidRPr="005600FF">
        <w:t>.</w:t>
      </w:r>
    </w:p>
    <w:p w14:paraId="3794B154" w14:textId="4DAAC0D8" w:rsidR="00A90ABE" w:rsidRPr="006744B8" w:rsidRDefault="00A90ABE" w:rsidP="00A90ABE">
      <w:pPr>
        <w:pStyle w:val="IFTnormal"/>
        <w:numPr>
          <w:ilvl w:val="0"/>
          <w:numId w:val="179"/>
        </w:numPr>
        <w:ind w:left="1134" w:hanging="425"/>
      </w:pPr>
      <w:r w:rsidRPr="006744B8">
        <w:t xml:space="preserve">Se debe de acordar entre </w:t>
      </w:r>
      <w:r w:rsidR="005A4379">
        <w:t>Telmex</w:t>
      </w:r>
      <w:r w:rsidRPr="006744B8">
        <w:t xml:space="preserve"> y el CS el calendario de inicio/termino de las pruebas.</w:t>
      </w:r>
    </w:p>
    <w:p w14:paraId="5E63BFFA" w14:textId="77777777" w:rsidR="00A90ABE" w:rsidRPr="006744B8" w:rsidRDefault="00A90ABE" w:rsidP="00A90ABE">
      <w:pPr>
        <w:pStyle w:val="IFTnormal"/>
        <w:numPr>
          <w:ilvl w:val="0"/>
          <w:numId w:val="179"/>
        </w:numPr>
        <w:ind w:left="1134" w:hanging="425"/>
      </w:pPr>
      <w:r w:rsidRPr="006744B8">
        <w:t xml:space="preserve">La entrega del tráfico para este servicio debe ser por cualquier punto de Interconexión establecido de común acuerdo entre las partes. </w:t>
      </w:r>
    </w:p>
    <w:p w14:paraId="33C8B935" w14:textId="77777777" w:rsidR="00A90ABE" w:rsidRPr="006744B8" w:rsidRDefault="00A90ABE" w:rsidP="00A90ABE">
      <w:pPr>
        <w:pStyle w:val="IFTnormal"/>
        <w:numPr>
          <w:ilvl w:val="0"/>
          <w:numId w:val="179"/>
        </w:numPr>
        <w:ind w:left="1134" w:hanging="425"/>
      </w:pPr>
      <w:r w:rsidRPr="006744B8">
        <w:t>No se realiza validación de marcaciones incorrectas ni traducción de Servicios Especiales debido a que la llamada se le entrega al CS tal cual fue marcada por el cliente.</w:t>
      </w:r>
    </w:p>
    <w:p w14:paraId="3675E27F" w14:textId="3C815444" w:rsidR="00A90ABE" w:rsidRPr="006744B8" w:rsidRDefault="00A90ABE" w:rsidP="00A90ABE">
      <w:pPr>
        <w:pStyle w:val="IFTnormal"/>
        <w:numPr>
          <w:ilvl w:val="0"/>
          <w:numId w:val="179"/>
        </w:numPr>
        <w:ind w:left="1134" w:hanging="425"/>
      </w:pPr>
      <w:r w:rsidRPr="006744B8">
        <w:t>Se tienen definidos 287 puntos de interconexión (TDM e IP) donde se puede entregar el servicio</w:t>
      </w:r>
      <w:r w:rsidR="00A339F7">
        <w:t>.</w:t>
      </w:r>
    </w:p>
    <w:p w14:paraId="637EFD79" w14:textId="08E90DD1" w:rsidR="00A90ABE" w:rsidRPr="006744B8" w:rsidRDefault="00A90ABE" w:rsidP="00A90ABE">
      <w:pPr>
        <w:pStyle w:val="IFTnormal"/>
        <w:numPr>
          <w:ilvl w:val="0"/>
          <w:numId w:val="179"/>
        </w:numPr>
        <w:ind w:left="1134" w:hanging="425"/>
      </w:pPr>
      <w:r w:rsidRPr="006744B8">
        <w:t xml:space="preserve">Es importante señalar que el </w:t>
      </w:r>
      <w:r w:rsidR="00C451FF" w:rsidRPr="006744B8">
        <w:t>tráfico</w:t>
      </w:r>
      <w:r w:rsidRPr="006744B8">
        <w:t xml:space="preserve"> terminado (llamadas entrantes) en este tipo de usuarios, no sufrirá ninguna afectación y se mantendrá enrutado y señalizado (envío de dígitos), como hoy se hace para cualquier cliente </w:t>
      </w:r>
      <w:r w:rsidR="005A4379">
        <w:t>de Telmex</w:t>
      </w:r>
      <w:r w:rsidRPr="006744B8">
        <w:t>.</w:t>
      </w:r>
    </w:p>
    <w:p w14:paraId="19CEF4E9" w14:textId="77777777" w:rsidR="00A90ABE" w:rsidRPr="00B4365A" w:rsidRDefault="00A90ABE" w:rsidP="00060B2E">
      <w:pPr>
        <w:pStyle w:val="Ttulo2"/>
        <w:numPr>
          <w:ilvl w:val="2"/>
          <w:numId w:val="143"/>
        </w:numPr>
      </w:pPr>
      <w:bookmarkStart w:id="390" w:name="_Toc518031986"/>
      <w:r w:rsidRPr="001A5F14">
        <w:t>Señalización</w:t>
      </w:r>
      <w:r w:rsidRPr="00B4365A">
        <w:t xml:space="preserve"> </w:t>
      </w:r>
      <w:r w:rsidRPr="001A5F14">
        <w:t>e identificación de códigos IDD e IDO</w:t>
      </w:r>
      <w:bookmarkEnd w:id="390"/>
      <w:r w:rsidRPr="001A5F14">
        <w:t xml:space="preserve"> </w:t>
      </w:r>
    </w:p>
    <w:p w14:paraId="33963BFA" w14:textId="33DF7C43" w:rsidR="00A90ABE" w:rsidRPr="006744B8" w:rsidRDefault="00A90ABE" w:rsidP="00A90ABE">
      <w:pPr>
        <w:pStyle w:val="IFTnormal"/>
        <w:numPr>
          <w:ilvl w:val="0"/>
          <w:numId w:val="180"/>
        </w:numPr>
        <w:ind w:left="1134" w:hanging="425"/>
      </w:pPr>
      <w:r w:rsidRPr="006744B8">
        <w:t>El etiquetado del tráfico a intercambiar con los Concesionarios q</w:t>
      </w:r>
      <w:r>
        <w:t xml:space="preserve">ue deseen aplicar la </w:t>
      </w:r>
      <w:r w:rsidR="00D27B7C">
        <w:t>solución</w:t>
      </w:r>
      <w:r>
        <w:t xml:space="preserve"> </w:t>
      </w:r>
      <w:r w:rsidRPr="006744B8">
        <w:t xml:space="preserve">debe ser IDD + IDO + (011) + Marcación al usuario final. </w:t>
      </w:r>
    </w:p>
    <w:p w14:paraId="2587BB8A" w14:textId="2BEC34B5" w:rsidR="00A90ABE" w:rsidRDefault="00A90ABE" w:rsidP="00A90ABE">
      <w:pPr>
        <w:pStyle w:val="IFTnormal"/>
        <w:numPr>
          <w:ilvl w:val="0"/>
          <w:numId w:val="180"/>
        </w:numPr>
        <w:ind w:left="1134" w:hanging="425"/>
        <w:sectPr w:rsidR="00A90ABE" w:rsidSect="001F29C3">
          <w:headerReference w:type="even" r:id="rId39"/>
          <w:headerReference w:type="default" r:id="rId40"/>
          <w:footerReference w:type="default" r:id="rId41"/>
          <w:headerReference w:type="first" r:id="rId42"/>
          <w:pgSz w:w="12240" w:h="15840"/>
          <w:pgMar w:top="2370" w:right="1041" w:bottom="1418" w:left="1134" w:header="709" w:footer="709" w:gutter="0"/>
          <w:cols w:space="708"/>
          <w:docGrid w:linePitch="360"/>
        </w:sectPr>
      </w:pPr>
      <w:r w:rsidRPr="006744B8">
        <w:t xml:space="preserve">En la siguiente tabla se muestran los Casos de Tráfico, Marcaciones y el envío de Dígitos que se deben de considerar entre </w:t>
      </w:r>
      <w:r w:rsidR="005A4379">
        <w:t>Telmex</w:t>
      </w:r>
      <w:r w:rsidRPr="006744B8">
        <w:t xml:space="preserve"> y el CS para este servicio.</w:t>
      </w:r>
    </w:p>
    <w:p w14:paraId="63326F2D" w14:textId="77777777" w:rsidR="00A90ABE" w:rsidRDefault="00A90ABE" w:rsidP="00A90ABE">
      <w:pPr>
        <w:ind w:left="426"/>
        <w:jc w:val="center"/>
        <w:rPr>
          <w:rStyle w:val="IFTnormalCar"/>
          <w:b/>
          <w:i/>
          <w:sz w:val="18"/>
        </w:rPr>
      </w:pPr>
      <w:r w:rsidRPr="00354D6B">
        <w:rPr>
          <w:rStyle w:val="IFTnormalCar"/>
          <w:b/>
          <w:i/>
          <w:sz w:val="18"/>
        </w:rPr>
        <w:lastRenderedPageBreak/>
        <w:t>Casos de Tráfico, Marcaciones y envío de Dígitos</w:t>
      </w:r>
    </w:p>
    <w:p w14:paraId="20E00D95" w14:textId="77777777" w:rsidR="00A90ABE" w:rsidRDefault="00A90ABE" w:rsidP="00060B2E">
      <w:pPr>
        <w:spacing w:before="240"/>
        <w:jc w:val="center"/>
        <w:rPr>
          <w:rStyle w:val="IFTnormalCar"/>
          <w:b/>
          <w:i/>
          <w:sz w:val="18"/>
        </w:rPr>
      </w:pPr>
      <w:r w:rsidRPr="008B6818">
        <w:rPr>
          <w:rStyle w:val="IFTnormalCar"/>
          <w:rFonts w:ascii="Calibri" w:hAnsi="Calibri"/>
          <w:bCs w:val="0"/>
          <w:noProof/>
          <w:lang w:val="es-MX" w:eastAsia="es-MX"/>
        </w:rPr>
        <w:drawing>
          <wp:inline distT="0" distB="0" distL="0" distR="0" wp14:anchorId="43AC921A" wp14:editId="00B263B7">
            <wp:extent cx="6005015" cy="5863929"/>
            <wp:effectExtent l="0" t="0" r="0" b="3810"/>
            <wp:docPr id="60" name="Imagen 60" descr="Casos de Tráfico, Marcaciones y envío de Dígi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4803" cy="5883253"/>
                    </a:xfrm>
                    <a:prstGeom prst="rect">
                      <a:avLst/>
                    </a:prstGeom>
                    <a:noFill/>
                    <a:ln>
                      <a:noFill/>
                    </a:ln>
                  </pic:spPr>
                </pic:pic>
              </a:graphicData>
            </a:graphic>
          </wp:inline>
        </w:drawing>
      </w:r>
    </w:p>
    <w:p w14:paraId="4E75C6C0" w14:textId="77777777" w:rsidR="00A90ABE" w:rsidRPr="00575D5E" w:rsidRDefault="00A90ABE" w:rsidP="00A90ABE">
      <w:pPr>
        <w:ind w:left="425"/>
        <w:jc w:val="center"/>
        <w:rPr>
          <w:bCs/>
          <w:sz w:val="18"/>
          <w:szCs w:val="18"/>
        </w:rPr>
      </w:pPr>
      <w:r w:rsidRPr="00575D5E">
        <w:rPr>
          <w:bCs/>
          <w:sz w:val="18"/>
          <w:szCs w:val="18"/>
        </w:rPr>
        <w:t>*/ Para el caso de la llamada local el envío de dígitos al CS sería como: N.B. =IDD + IDO + (011) + NN (donde NN es número nacional a 10 dígitos)</w:t>
      </w:r>
    </w:p>
    <w:p w14:paraId="17568161" w14:textId="77777777" w:rsidR="00A90ABE" w:rsidRDefault="00A90ABE" w:rsidP="00A90ABE">
      <w:pPr>
        <w:pStyle w:val="IFTnormal"/>
        <w:ind w:left="426"/>
        <w:rPr>
          <w:b/>
          <w:i/>
          <w:u w:val="single"/>
        </w:rPr>
      </w:pPr>
    </w:p>
    <w:p w14:paraId="6F25C740" w14:textId="77777777" w:rsidR="00A90ABE" w:rsidRPr="00853D00" w:rsidRDefault="00A90ABE" w:rsidP="00074C15">
      <w:pPr>
        <w:pStyle w:val="IFTnormal"/>
        <w:ind w:left="426" w:right="-516"/>
        <w:rPr>
          <w:b/>
          <w:i/>
          <w:u w:val="single"/>
        </w:rPr>
      </w:pPr>
      <w:r w:rsidRPr="00853D00">
        <w:rPr>
          <w:b/>
          <w:i/>
          <w:u w:val="single"/>
        </w:rPr>
        <w:t>Notas:</w:t>
      </w:r>
    </w:p>
    <w:p w14:paraId="1759E6A7" w14:textId="77777777" w:rsidR="00A90ABE" w:rsidRPr="00853D00" w:rsidRDefault="00A90ABE" w:rsidP="00060B2E">
      <w:pPr>
        <w:pStyle w:val="Citaift0"/>
        <w:numPr>
          <w:ilvl w:val="0"/>
          <w:numId w:val="170"/>
        </w:numPr>
        <w:ind w:right="-142"/>
        <w:rPr>
          <w:sz w:val="22"/>
        </w:rPr>
      </w:pPr>
      <w:r w:rsidRPr="00853D00">
        <w:rPr>
          <w:sz w:val="22"/>
        </w:rPr>
        <w:t>El operador deberá terminar las llamadas respetando el plan de señalización y numeración vigente.</w:t>
      </w:r>
    </w:p>
    <w:p w14:paraId="6EF246A5" w14:textId="77777777" w:rsidR="00A90ABE" w:rsidRPr="00853D00" w:rsidRDefault="00A90ABE" w:rsidP="00060B2E">
      <w:pPr>
        <w:pStyle w:val="Citaift0"/>
        <w:numPr>
          <w:ilvl w:val="0"/>
          <w:numId w:val="170"/>
        </w:numPr>
        <w:ind w:right="-142"/>
        <w:rPr>
          <w:sz w:val="22"/>
        </w:rPr>
      </w:pPr>
      <w:r w:rsidRPr="00853D00">
        <w:rPr>
          <w:sz w:val="22"/>
        </w:rPr>
        <w:t xml:space="preserve">La marcación 911 se enviará al CS quien será responsable del trámite de la llamada. </w:t>
      </w:r>
    </w:p>
    <w:p w14:paraId="5F8D07B3" w14:textId="77777777" w:rsidR="00A90ABE" w:rsidRPr="00853D00" w:rsidRDefault="00A90ABE" w:rsidP="00060B2E">
      <w:pPr>
        <w:pStyle w:val="Citaift0"/>
        <w:numPr>
          <w:ilvl w:val="0"/>
          <w:numId w:val="170"/>
        </w:numPr>
        <w:ind w:right="-142"/>
        <w:rPr>
          <w:sz w:val="22"/>
        </w:rPr>
      </w:pPr>
      <w:r w:rsidRPr="00853D00">
        <w:rPr>
          <w:sz w:val="22"/>
        </w:rPr>
        <w:lastRenderedPageBreak/>
        <w:t>En lo que respecta a la presuscripción de LD Internacional y Mundial, esta quedará desactivada al momento de aplicar la Desagregación del cliente en esta modalidad.</w:t>
      </w:r>
    </w:p>
    <w:p w14:paraId="406D3D43" w14:textId="77777777" w:rsidR="00A90ABE" w:rsidRPr="00B4365A" w:rsidRDefault="00A90ABE" w:rsidP="00074C15">
      <w:pPr>
        <w:pStyle w:val="Ttulo2"/>
        <w:numPr>
          <w:ilvl w:val="2"/>
          <w:numId w:val="143"/>
        </w:numPr>
        <w:ind w:right="-516"/>
      </w:pPr>
      <w:bookmarkStart w:id="391" w:name="_Toc518031987"/>
      <w:r w:rsidRPr="001A5F14">
        <w:t>Lista de servicios digitales aplicables</w:t>
      </w:r>
      <w:bookmarkEnd w:id="391"/>
    </w:p>
    <w:p w14:paraId="39D40802" w14:textId="77777777" w:rsidR="00A90ABE" w:rsidRPr="001A5F14" w:rsidRDefault="00A90ABE" w:rsidP="00060B2E">
      <w:pPr>
        <w:pStyle w:val="Citaift0"/>
        <w:numPr>
          <w:ilvl w:val="0"/>
          <w:numId w:val="171"/>
        </w:numPr>
        <w:ind w:left="1134" w:right="-142" w:hanging="567"/>
        <w:rPr>
          <w:i w:val="0"/>
          <w:sz w:val="22"/>
        </w:rPr>
      </w:pPr>
      <w:r w:rsidRPr="001A5F14">
        <w:rPr>
          <w:i w:val="0"/>
          <w:sz w:val="22"/>
        </w:rPr>
        <w:t xml:space="preserve">Los servicios digitales serán: </w:t>
      </w:r>
    </w:p>
    <w:p w14:paraId="1644184F" w14:textId="77777777" w:rsidR="00A90ABE" w:rsidRPr="001A5F14" w:rsidRDefault="00A90ABE" w:rsidP="00060B2E">
      <w:pPr>
        <w:pStyle w:val="Citaift0"/>
        <w:numPr>
          <w:ilvl w:val="1"/>
          <w:numId w:val="172"/>
        </w:numPr>
        <w:ind w:left="1134" w:right="-142" w:hanging="567"/>
        <w:rPr>
          <w:i w:val="0"/>
          <w:sz w:val="22"/>
        </w:rPr>
      </w:pPr>
      <w:r w:rsidRPr="001A5F14">
        <w:rPr>
          <w:i w:val="0"/>
          <w:sz w:val="22"/>
        </w:rPr>
        <w:t xml:space="preserve">Tres a la Vez, </w:t>
      </w:r>
    </w:p>
    <w:p w14:paraId="4D655189" w14:textId="77777777" w:rsidR="00A90ABE" w:rsidRPr="001A5F14" w:rsidRDefault="00A90ABE" w:rsidP="00060B2E">
      <w:pPr>
        <w:pStyle w:val="Citaift0"/>
        <w:numPr>
          <w:ilvl w:val="1"/>
          <w:numId w:val="172"/>
        </w:numPr>
        <w:ind w:left="1134" w:right="-142" w:hanging="567"/>
        <w:rPr>
          <w:i w:val="0"/>
          <w:sz w:val="22"/>
        </w:rPr>
      </w:pPr>
      <w:r w:rsidRPr="001A5F14">
        <w:rPr>
          <w:i w:val="0"/>
          <w:sz w:val="22"/>
        </w:rPr>
        <w:t xml:space="preserve">Sígueme, </w:t>
      </w:r>
    </w:p>
    <w:p w14:paraId="42F5CF82" w14:textId="77777777" w:rsidR="00A90ABE" w:rsidRPr="001A5F14" w:rsidRDefault="00A90ABE" w:rsidP="00060B2E">
      <w:pPr>
        <w:pStyle w:val="Citaift0"/>
        <w:numPr>
          <w:ilvl w:val="1"/>
          <w:numId w:val="172"/>
        </w:numPr>
        <w:ind w:left="1134" w:right="-142" w:hanging="567"/>
        <w:rPr>
          <w:i w:val="0"/>
          <w:sz w:val="22"/>
        </w:rPr>
      </w:pPr>
      <w:r w:rsidRPr="001A5F14">
        <w:rPr>
          <w:i w:val="0"/>
          <w:sz w:val="22"/>
        </w:rPr>
        <w:t>Caller ID,</w:t>
      </w:r>
    </w:p>
    <w:p w14:paraId="6B2686CA" w14:textId="77777777" w:rsidR="00A90ABE" w:rsidRPr="001A5F14" w:rsidRDefault="00A90ABE" w:rsidP="00060B2E">
      <w:pPr>
        <w:pStyle w:val="Citaift0"/>
        <w:numPr>
          <w:ilvl w:val="1"/>
          <w:numId w:val="172"/>
        </w:numPr>
        <w:ind w:left="1134" w:right="-142" w:hanging="567"/>
        <w:rPr>
          <w:i w:val="0"/>
          <w:sz w:val="22"/>
        </w:rPr>
      </w:pPr>
      <w:r w:rsidRPr="001A5F14">
        <w:rPr>
          <w:i w:val="0"/>
          <w:sz w:val="22"/>
        </w:rPr>
        <w:t xml:space="preserve">Llamada en Espera.  </w:t>
      </w:r>
    </w:p>
    <w:p w14:paraId="400DE80C" w14:textId="547077DC" w:rsidR="00A90ABE" w:rsidRPr="001A5F14" w:rsidRDefault="00A90ABE" w:rsidP="00060B2E">
      <w:pPr>
        <w:pStyle w:val="Citaift0"/>
        <w:numPr>
          <w:ilvl w:val="0"/>
          <w:numId w:val="172"/>
        </w:numPr>
        <w:ind w:left="1134" w:right="-142" w:hanging="567"/>
        <w:rPr>
          <w:i w:val="0"/>
          <w:sz w:val="22"/>
        </w:rPr>
      </w:pPr>
      <w:r w:rsidRPr="001A5F14">
        <w:rPr>
          <w:rFonts w:eastAsia="MS Mincho" w:cs="Calibri"/>
          <w:bCs/>
          <w:i w:val="0"/>
          <w:color w:val="auto"/>
          <w:sz w:val="22"/>
          <w:szCs w:val="22"/>
          <w:lang w:eastAsia="en-US"/>
        </w:rPr>
        <w:t>Po</w:t>
      </w:r>
      <w:r w:rsidRPr="001A5F14">
        <w:rPr>
          <w:i w:val="0"/>
          <w:sz w:val="22"/>
        </w:rPr>
        <w:t>r la naturaleza de estos servicios, deberán seguir siendo proporcionados y administrados por la central que origina la llamada, en este caso por la central de</w:t>
      </w:r>
      <w:r w:rsidR="005A4379">
        <w:rPr>
          <w:i w:val="0"/>
          <w:sz w:val="22"/>
        </w:rPr>
        <w:t xml:space="preserve"> </w:t>
      </w:r>
      <w:r w:rsidRPr="001A5F14">
        <w:rPr>
          <w:i w:val="0"/>
          <w:sz w:val="22"/>
        </w:rPr>
        <w:t xml:space="preserve">Telmex, de acuerdo </w:t>
      </w:r>
      <w:r w:rsidR="00672007">
        <w:rPr>
          <w:i w:val="0"/>
          <w:sz w:val="22"/>
        </w:rPr>
        <w:t>con</w:t>
      </w:r>
      <w:r w:rsidRPr="001A5F14">
        <w:rPr>
          <w:i w:val="0"/>
          <w:sz w:val="22"/>
        </w:rPr>
        <w:t xml:space="preserve"> lo requerido por el CS en el SEG. La activación/desactivación de facilidades no se entrega al CS.</w:t>
      </w:r>
    </w:p>
    <w:p w14:paraId="708BE727" w14:textId="2482FE00" w:rsidR="00A90ABE" w:rsidRPr="00B4365A" w:rsidRDefault="00A90ABE" w:rsidP="00074C15">
      <w:pPr>
        <w:pStyle w:val="Ttulo2"/>
        <w:numPr>
          <w:ilvl w:val="2"/>
          <w:numId w:val="143"/>
        </w:numPr>
        <w:ind w:right="-516"/>
      </w:pPr>
      <w:bookmarkStart w:id="392" w:name="_Toc518031988"/>
      <w:r w:rsidRPr="001A5F14">
        <w:t>Interfaces de Usuario y de Red</w:t>
      </w:r>
      <w:bookmarkEnd w:id="392"/>
    </w:p>
    <w:p w14:paraId="422FB85B" w14:textId="77777777" w:rsidR="00A90ABE" w:rsidRPr="00853D00" w:rsidRDefault="00A90ABE" w:rsidP="00060B2E">
      <w:pPr>
        <w:pStyle w:val="IFTnormal"/>
        <w:numPr>
          <w:ilvl w:val="0"/>
          <w:numId w:val="181"/>
        </w:numPr>
        <w:ind w:left="1134" w:right="-142" w:hanging="425"/>
      </w:pPr>
      <w:r w:rsidRPr="00853D00">
        <w:t xml:space="preserve">La interfaz de conexión del usuario final se mantiene sin cambio respecto al servicio de Reventa actualmente en operación, es decir, a través del aparato telefónico conectado a la línea. </w:t>
      </w:r>
    </w:p>
    <w:p w14:paraId="3BC05832" w14:textId="4FA17D54" w:rsidR="00A90ABE" w:rsidRPr="00853D00" w:rsidRDefault="00A90ABE" w:rsidP="00060B2E">
      <w:pPr>
        <w:pStyle w:val="IFTnormal"/>
        <w:numPr>
          <w:ilvl w:val="0"/>
          <w:numId w:val="181"/>
        </w:numPr>
        <w:ind w:left="1134" w:right="-142" w:hanging="425"/>
      </w:pPr>
      <w:r w:rsidRPr="00853D00">
        <w:t>Interfaz de red: El tráfico generado por el usuario final se entregará al CS a través de las rutas ya definidas para el intercambio del tráfico, con la</w:t>
      </w:r>
      <w:r w:rsidR="00C451FF">
        <w:t>s</w:t>
      </w:r>
      <w:r w:rsidRPr="00853D00">
        <w:t xml:space="preserve"> adiciones a la señalización indicada en la tabla anterior “Casos de Tráfico, Marcaciones y el envío de Dígitos”.</w:t>
      </w:r>
    </w:p>
    <w:p w14:paraId="5D044789" w14:textId="77777777" w:rsidR="00A90ABE" w:rsidRPr="00B4365A" w:rsidRDefault="00A90ABE" w:rsidP="00074C15">
      <w:pPr>
        <w:pStyle w:val="Ttulo2"/>
        <w:numPr>
          <w:ilvl w:val="2"/>
          <w:numId w:val="143"/>
        </w:numPr>
        <w:ind w:right="-516"/>
      </w:pPr>
      <w:bookmarkStart w:id="393" w:name="_Toc518031989"/>
      <w:r w:rsidRPr="001A5F14">
        <w:t>Otros aspectos del servicio</w:t>
      </w:r>
      <w:bookmarkEnd w:id="393"/>
    </w:p>
    <w:p w14:paraId="083936A7" w14:textId="77777777" w:rsidR="00A90ABE" w:rsidRPr="00853D00" w:rsidRDefault="00A90ABE" w:rsidP="00060B2E">
      <w:pPr>
        <w:pStyle w:val="IFTnormal"/>
        <w:ind w:left="709" w:right="-142"/>
      </w:pPr>
      <w:r w:rsidRPr="00853D00">
        <w:t>La implementación del servicio estará en función de:</w:t>
      </w:r>
    </w:p>
    <w:p w14:paraId="15F25D04" w14:textId="77777777" w:rsidR="00A90ABE" w:rsidRPr="00853D00" w:rsidRDefault="00A90ABE" w:rsidP="00060B2E">
      <w:pPr>
        <w:pStyle w:val="IFTnormal"/>
        <w:numPr>
          <w:ilvl w:val="0"/>
          <w:numId w:val="182"/>
        </w:numPr>
        <w:ind w:left="1134" w:right="-142" w:hanging="425"/>
      </w:pPr>
      <w:r w:rsidRPr="00853D00">
        <w:t xml:space="preserve">La definición de puntos de interconexión de cada CS es donde tenga presencia. </w:t>
      </w:r>
    </w:p>
    <w:p w14:paraId="0DE72CB6" w14:textId="08E215D3" w:rsidR="00A90ABE" w:rsidRPr="00E467CF" w:rsidRDefault="00A90ABE" w:rsidP="00060B2E">
      <w:pPr>
        <w:pStyle w:val="IFTnormal"/>
        <w:numPr>
          <w:ilvl w:val="0"/>
          <w:numId w:val="182"/>
        </w:numPr>
        <w:ind w:left="1134" w:right="-142" w:hanging="425"/>
        <w:rPr>
          <w:b/>
          <w:lang w:val="es-ES_tradnl"/>
        </w:rPr>
      </w:pPr>
      <w:r w:rsidRPr="00853D00">
        <w:t>Previ</w:t>
      </w:r>
      <w:r>
        <w:t>amente a</w:t>
      </w:r>
      <w:r w:rsidRPr="00853D00">
        <w:t xml:space="preserve"> la implementación de este servicio, será necesaria la realización de pruebas de interconexión en la primera central, donde se apliquen los desarrollos establecidos. </w:t>
      </w:r>
    </w:p>
    <w:p w14:paraId="646BF60C" w14:textId="3CEFE139" w:rsidR="00E467CF" w:rsidRDefault="00E467CF" w:rsidP="00E467CF">
      <w:pPr>
        <w:pStyle w:val="IFTnormal"/>
        <w:ind w:right="-142"/>
        <w:rPr>
          <w:b/>
          <w:lang w:val="es-ES_tradnl"/>
        </w:rPr>
      </w:pPr>
    </w:p>
    <w:p w14:paraId="59A01196" w14:textId="77777777" w:rsidR="00C92728" w:rsidRPr="00853D00" w:rsidRDefault="00C92728" w:rsidP="00E467CF">
      <w:pPr>
        <w:pStyle w:val="IFTnormal"/>
        <w:ind w:right="-142"/>
        <w:rPr>
          <w:b/>
          <w:lang w:val="es-ES_tradnl"/>
        </w:rPr>
      </w:pPr>
    </w:p>
    <w:p w14:paraId="78AAF5D1" w14:textId="2857BF5B" w:rsidR="00A90ABE" w:rsidRPr="00B4365A" w:rsidRDefault="00A90ABE" w:rsidP="00074C15">
      <w:pPr>
        <w:pStyle w:val="Ttulo2"/>
        <w:numPr>
          <w:ilvl w:val="1"/>
          <w:numId w:val="143"/>
        </w:numPr>
        <w:ind w:left="851" w:right="-516" w:hanging="425"/>
      </w:pPr>
      <w:bookmarkStart w:id="394" w:name="_Toc518031990"/>
      <w:r w:rsidRPr="001A5F14">
        <w:lastRenderedPageBreak/>
        <w:t>Procedimientos de contratación, modificación y baja del SRMLT</w:t>
      </w:r>
      <w:bookmarkEnd w:id="394"/>
    </w:p>
    <w:p w14:paraId="51A53980" w14:textId="4AA6C4A0" w:rsidR="00A90ABE" w:rsidRPr="00862B83" w:rsidRDefault="00A90ABE" w:rsidP="00060B2E">
      <w:pPr>
        <w:pStyle w:val="IFTnormal"/>
        <w:ind w:left="-567" w:right="-516"/>
        <w:rPr>
          <w:b/>
        </w:rPr>
      </w:pPr>
      <w:r w:rsidRPr="00862B83">
        <w:rPr>
          <w:b/>
        </w:rPr>
        <w:t>Procedimiento de Activación en Central</w:t>
      </w:r>
    </w:p>
    <w:p w14:paraId="4A9BD6F7" w14:textId="270FAB15" w:rsidR="00A90ABE" w:rsidRPr="005569A1" w:rsidRDefault="00A90ABE" w:rsidP="00060B2E">
      <w:pPr>
        <w:pStyle w:val="IFTnormal"/>
        <w:ind w:left="-567" w:right="-142"/>
      </w:pPr>
      <w:r w:rsidRPr="005569A1">
        <w:t>Queda establecido que</w:t>
      </w:r>
      <w:r w:rsidR="00D27B7C">
        <w:t>,</w:t>
      </w:r>
      <w:r w:rsidRPr="005569A1">
        <w:t xml:space="preserve"> mediante el envío de la solicitud, el CS consiente efectuar el pago por las actividades a </w:t>
      </w:r>
      <w:r w:rsidR="00D27B7C" w:rsidRPr="005569A1">
        <w:t>realizar,</w:t>
      </w:r>
      <w:r w:rsidRPr="005569A1">
        <w:t xml:space="preserve"> así como por los elementos de cobro que conforman el (los) servicio(s), en el momento que se indique en el procedimiento. Asimismo, si el CS rechaza el servicio o decide no continuar con el procedimiento, deberá liquidar el monto generado por las actividades realizadas hasta el momento que decidió terminar el procedimiento. </w:t>
      </w:r>
    </w:p>
    <w:tbl>
      <w:tblPr>
        <w:tblStyle w:val="Tablaconcuadrcula"/>
        <w:tblW w:w="5385" w:type="pct"/>
        <w:tblInd w:w="-572" w:type="dxa"/>
        <w:tblLook w:val="04A0" w:firstRow="1" w:lastRow="0" w:firstColumn="1" w:lastColumn="0" w:noHBand="0" w:noVBand="1"/>
        <w:tblCaption w:val="Tabla"/>
        <w:tblDescription w:val="Etapas"/>
      </w:tblPr>
      <w:tblGrid>
        <w:gridCol w:w="3340"/>
        <w:gridCol w:w="6969"/>
      </w:tblGrid>
      <w:tr w:rsidR="00A90ABE" w:rsidRPr="00074C15" w14:paraId="01CC0BA6" w14:textId="77777777" w:rsidTr="00060B2E">
        <w:trPr>
          <w:tblHeader/>
        </w:trPr>
        <w:tc>
          <w:tcPr>
            <w:tcW w:w="1620" w:type="pct"/>
          </w:tcPr>
          <w:p w14:paraId="5792980C" w14:textId="77777777" w:rsidR="00A90ABE" w:rsidRPr="00074C15" w:rsidRDefault="00A90ABE" w:rsidP="00A90ABE">
            <w:pPr>
              <w:pStyle w:val="IFTnormal"/>
              <w:jc w:val="center"/>
              <w:rPr>
                <w:b/>
                <w:sz w:val="20"/>
                <w:szCs w:val="20"/>
              </w:rPr>
            </w:pPr>
            <w:r w:rsidRPr="00074C15">
              <w:rPr>
                <w:b/>
                <w:sz w:val="20"/>
                <w:szCs w:val="20"/>
              </w:rPr>
              <w:t>Etapa</w:t>
            </w:r>
          </w:p>
        </w:tc>
        <w:tc>
          <w:tcPr>
            <w:tcW w:w="3380" w:type="pct"/>
          </w:tcPr>
          <w:p w14:paraId="2DDFE7CA" w14:textId="77777777" w:rsidR="00A90ABE" w:rsidRPr="00074C15" w:rsidRDefault="00A90ABE" w:rsidP="00A90ABE">
            <w:pPr>
              <w:pStyle w:val="IFTnormal"/>
              <w:jc w:val="center"/>
              <w:rPr>
                <w:b/>
                <w:sz w:val="20"/>
                <w:szCs w:val="20"/>
              </w:rPr>
            </w:pPr>
            <w:r w:rsidRPr="00074C15">
              <w:rPr>
                <w:b/>
                <w:sz w:val="20"/>
                <w:szCs w:val="20"/>
              </w:rPr>
              <w:t>Descripción</w:t>
            </w:r>
          </w:p>
        </w:tc>
      </w:tr>
      <w:tr w:rsidR="00A90ABE" w:rsidRPr="00074C15" w14:paraId="674FFDE7" w14:textId="77777777" w:rsidTr="00060B2E">
        <w:tc>
          <w:tcPr>
            <w:tcW w:w="1620" w:type="pct"/>
          </w:tcPr>
          <w:p w14:paraId="0BE79BED" w14:textId="77777777" w:rsidR="00A90ABE" w:rsidRPr="00074C15" w:rsidRDefault="00A90ABE" w:rsidP="00A90ABE">
            <w:pPr>
              <w:pStyle w:val="IFTnormal"/>
              <w:jc w:val="left"/>
              <w:rPr>
                <w:b/>
                <w:sz w:val="20"/>
                <w:szCs w:val="20"/>
              </w:rPr>
            </w:pPr>
            <w:r w:rsidRPr="00074C15">
              <w:rPr>
                <w:b/>
                <w:sz w:val="20"/>
                <w:szCs w:val="20"/>
              </w:rPr>
              <w:t>Envío de solicitud</w:t>
            </w:r>
          </w:p>
        </w:tc>
        <w:tc>
          <w:tcPr>
            <w:tcW w:w="3380" w:type="pct"/>
          </w:tcPr>
          <w:p w14:paraId="4F55848D" w14:textId="77777777" w:rsidR="00A90ABE" w:rsidRPr="00074C15" w:rsidRDefault="00A90ABE" w:rsidP="00A90ABE">
            <w:pPr>
              <w:pStyle w:val="IFTnormal"/>
              <w:rPr>
                <w:sz w:val="20"/>
                <w:szCs w:val="20"/>
              </w:rPr>
            </w:pPr>
            <w:r w:rsidRPr="00074C15">
              <w:rPr>
                <w:sz w:val="20"/>
                <w:szCs w:val="20"/>
              </w:rPr>
              <w:t>El CS deberá presentar su solicitud en el formato correspondiente a través del SEG.</w:t>
            </w:r>
          </w:p>
          <w:p w14:paraId="1ECB0190" w14:textId="77777777" w:rsidR="00A90ABE" w:rsidRPr="00074C15" w:rsidRDefault="00A90ABE" w:rsidP="00A90ABE">
            <w:pPr>
              <w:pStyle w:val="IFTnormal"/>
              <w:numPr>
                <w:ilvl w:val="0"/>
                <w:numId w:val="102"/>
              </w:numPr>
              <w:spacing w:after="120" w:line="240" w:lineRule="auto"/>
              <w:ind w:left="318" w:hanging="284"/>
              <w:rPr>
                <w:sz w:val="20"/>
                <w:szCs w:val="20"/>
              </w:rPr>
            </w:pPr>
            <w:r w:rsidRPr="00074C15">
              <w:rPr>
                <w:sz w:val="20"/>
                <w:szCs w:val="20"/>
              </w:rPr>
              <w:t>Indicando:</w:t>
            </w:r>
          </w:p>
          <w:p w14:paraId="6D07AE87" w14:textId="77777777" w:rsidR="00A90ABE" w:rsidRPr="00074C15" w:rsidRDefault="00A90ABE" w:rsidP="00A90ABE">
            <w:pPr>
              <w:pStyle w:val="IFTnormal"/>
              <w:numPr>
                <w:ilvl w:val="0"/>
                <w:numId w:val="101"/>
              </w:numPr>
              <w:spacing w:after="120" w:line="240" w:lineRule="auto"/>
              <w:rPr>
                <w:sz w:val="20"/>
                <w:szCs w:val="20"/>
              </w:rPr>
            </w:pPr>
            <w:r w:rsidRPr="00074C15">
              <w:rPr>
                <w:sz w:val="20"/>
                <w:szCs w:val="20"/>
              </w:rPr>
              <w:t>Central en donde requiere el servicio</w:t>
            </w:r>
          </w:p>
          <w:p w14:paraId="5ABF5A3E" w14:textId="77777777" w:rsidR="00A90ABE" w:rsidRPr="00074C15" w:rsidRDefault="00A90ABE" w:rsidP="00A90ABE">
            <w:pPr>
              <w:pStyle w:val="IFTnormal"/>
              <w:numPr>
                <w:ilvl w:val="0"/>
                <w:numId w:val="101"/>
              </w:numPr>
              <w:spacing w:after="120" w:line="240" w:lineRule="auto"/>
              <w:rPr>
                <w:sz w:val="20"/>
                <w:szCs w:val="20"/>
              </w:rPr>
            </w:pPr>
            <w:r w:rsidRPr="00074C15">
              <w:rPr>
                <w:sz w:val="20"/>
                <w:szCs w:val="20"/>
              </w:rPr>
              <w:t>Código de identificación de Operador</w:t>
            </w:r>
          </w:p>
          <w:p w14:paraId="79F5D742" w14:textId="77777777" w:rsidR="00A90ABE" w:rsidRPr="00074C15" w:rsidRDefault="00A90ABE" w:rsidP="00A90ABE">
            <w:pPr>
              <w:pStyle w:val="IFTnormal"/>
              <w:rPr>
                <w:sz w:val="20"/>
                <w:szCs w:val="20"/>
              </w:rPr>
            </w:pPr>
            <w:r w:rsidRPr="00074C15">
              <w:rPr>
                <w:sz w:val="20"/>
                <w:szCs w:val="20"/>
              </w:rPr>
              <w:t>Una vez enviada se asignará de forma automática un número de folio a la solicitud del CS.</w:t>
            </w:r>
          </w:p>
        </w:tc>
      </w:tr>
      <w:tr w:rsidR="00A90ABE" w:rsidRPr="00074C15" w14:paraId="1DC9BE20" w14:textId="77777777" w:rsidTr="00060B2E">
        <w:tc>
          <w:tcPr>
            <w:tcW w:w="1620" w:type="pct"/>
          </w:tcPr>
          <w:p w14:paraId="02CC7BBC" w14:textId="77777777" w:rsidR="00A90ABE" w:rsidRPr="00074C15" w:rsidRDefault="00A90ABE" w:rsidP="00A90ABE">
            <w:pPr>
              <w:pStyle w:val="IFTnormal"/>
              <w:jc w:val="left"/>
              <w:rPr>
                <w:b/>
                <w:sz w:val="20"/>
                <w:szCs w:val="20"/>
              </w:rPr>
            </w:pPr>
            <w:r w:rsidRPr="00074C15">
              <w:rPr>
                <w:b/>
                <w:sz w:val="20"/>
                <w:szCs w:val="20"/>
              </w:rPr>
              <w:t>Validación de solicitud</w:t>
            </w:r>
          </w:p>
        </w:tc>
        <w:tc>
          <w:tcPr>
            <w:tcW w:w="3380" w:type="pct"/>
          </w:tcPr>
          <w:p w14:paraId="79B39597" w14:textId="363C9A4C" w:rsidR="00A90ABE" w:rsidRPr="00074C15" w:rsidRDefault="00A90ABE" w:rsidP="00065A98">
            <w:pPr>
              <w:pStyle w:val="IFTnormal"/>
              <w:rPr>
                <w:sz w:val="20"/>
                <w:szCs w:val="20"/>
              </w:rPr>
            </w:pPr>
            <w:r w:rsidRPr="00074C15">
              <w:rPr>
                <w:sz w:val="20"/>
                <w:szCs w:val="20"/>
              </w:rPr>
              <w:t>Telmex validará las solicitudes enviadas por los CS en un plazo máximo de 1 día hábil para determinar si:</w:t>
            </w:r>
          </w:p>
          <w:p w14:paraId="797EA7D5" w14:textId="77777777" w:rsidR="00A90ABE" w:rsidRPr="00074C15" w:rsidRDefault="00A90ABE" w:rsidP="00060B2E">
            <w:pPr>
              <w:pStyle w:val="IFTnormal"/>
              <w:numPr>
                <w:ilvl w:val="0"/>
                <w:numId w:val="101"/>
              </w:numPr>
              <w:rPr>
                <w:sz w:val="20"/>
                <w:szCs w:val="20"/>
              </w:rPr>
            </w:pPr>
            <w:r w:rsidRPr="00074C15">
              <w:rPr>
                <w:sz w:val="20"/>
                <w:szCs w:val="20"/>
              </w:rPr>
              <w:t>La información capturada es suficiente para procesar la solicitud.</w:t>
            </w:r>
          </w:p>
          <w:p w14:paraId="0AF98F64" w14:textId="77777777" w:rsidR="00A90ABE" w:rsidRPr="00074C15" w:rsidRDefault="00A90ABE" w:rsidP="00060B2E">
            <w:pPr>
              <w:pStyle w:val="IFTnormal"/>
              <w:numPr>
                <w:ilvl w:val="0"/>
                <w:numId w:val="101"/>
              </w:numPr>
              <w:rPr>
                <w:sz w:val="20"/>
                <w:szCs w:val="20"/>
              </w:rPr>
            </w:pPr>
            <w:r w:rsidRPr="00074C15">
              <w:rPr>
                <w:sz w:val="20"/>
                <w:szCs w:val="20"/>
              </w:rPr>
              <w:t>El CS capturó correctamente los detalles del servicio requerido.</w:t>
            </w:r>
          </w:p>
          <w:p w14:paraId="22FEB04B" w14:textId="4DD211D3" w:rsidR="00A90ABE" w:rsidRPr="00074C15" w:rsidRDefault="00A90ABE" w:rsidP="00060B2E">
            <w:pPr>
              <w:pStyle w:val="IFTnormal"/>
              <w:numPr>
                <w:ilvl w:val="0"/>
                <w:numId w:val="102"/>
              </w:numPr>
              <w:ind w:left="318" w:hanging="318"/>
              <w:rPr>
                <w:sz w:val="20"/>
                <w:szCs w:val="20"/>
              </w:rPr>
            </w:pPr>
            <w:r w:rsidRPr="00074C15">
              <w:rPr>
                <w:b/>
                <w:sz w:val="20"/>
                <w:szCs w:val="20"/>
              </w:rPr>
              <w:t>Si la solicitud es correcta</w:t>
            </w:r>
            <w:r w:rsidRPr="00074C15">
              <w:rPr>
                <w:sz w:val="20"/>
                <w:szCs w:val="20"/>
              </w:rPr>
              <w:t xml:space="preserve">, Telmex cambiará el folio previamente asignado por el Número de Identificación de Solicitud (NIS) y proporcionará la fecha de habilitación del servicio en un plazo que corresponda al escenario de habilitación abajo señalado. </w:t>
            </w:r>
          </w:p>
          <w:p w14:paraId="1FBDF33B" w14:textId="0B15F871" w:rsidR="00A90ABE" w:rsidRPr="00074C15" w:rsidRDefault="00A90ABE" w:rsidP="00060B2E">
            <w:pPr>
              <w:pStyle w:val="IFTnormal"/>
              <w:numPr>
                <w:ilvl w:val="0"/>
                <w:numId w:val="102"/>
              </w:numPr>
              <w:ind w:left="318" w:hanging="318"/>
              <w:rPr>
                <w:sz w:val="20"/>
                <w:szCs w:val="20"/>
              </w:rPr>
            </w:pPr>
            <w:r w:rsidRPr="00074C15">
              <w:rPr>
                <w:b/>
                <w:sz w:val="20"/>
                <w:szCs w:val="20"/>
              </w:rPr>
              <w:t>Si es incorrecta</w:t>
            </w:r>
            <w:r w:rsidRPr="00074C15">
              <w:rPr>
                <w:sz w:val="20"/>
                <w:szCs w:val="20"/>
              </w:rPr>
              <w:t xml:space="preserve">, Telmex devolverá la solicitud al CS indicando el motivo de rechazo, para que sea corregida y reenviada nuevamente a validación, </w:t>
            </w:r>
          </w:p>
          <w:p w14:paraId="5528EAEF" w14:textId="77777777" w:rsidR="00A90ABE" w:rsidRPr="00074C15" w:rsidRDefault="00A90ABE" w:rsidP="00065A98">
            <w:pPr>
              <w:pStyle w:val="IFTnormal"/>
              <w:rPr>
                <w:sz w:val="20"/>
                <w:szCs w:val="20"/>
              </w:rPr>
            </w:pPr>
            <w:r w:rsidRPr="00074C15">
              <w:rPr>
                <w:sz w:val="20"/>
                <w:szCs w:val="20"/>
              </w:rPr>
              <w:t>La aceptación de la solicitud provocará el Análisis de Factibilidad Técnica.</w:t>
            </w:r>
          </w:p>
        </w:tc>
      </w:tr>
      <w:tr w:rsidR="00A90ABE" w:rsidRPr="00074C15" w14:paraId="45D9A491" w14:textId="77777777" w:rsidTr="00060B2E">
        <w:tc>
          <w:tcPr>
            <w:tcW w:w="1620" w:type="pct"/>
          </w:tcPr>
          <w:p w14:paraId="5F8F894C" w14:textId="77777777" w:rsidR="00A90ABE" w:rsidRPr="00074C15" w:rsidRDefault="00A90ABE" w:rsidP="00A90ABE">
            <w:pPr>
              <w:pStyle w:val="IFTnormal"/>
              <w:jc w:val="left"/>
              <w:rPr>
                <w:b/>
                <w:sz w:val="20"/>
                <w:szCs w:val="20"/>
              </w:rPr>
            </w:pPr>
            <w:r w:rsidRPr="00074C15">
              <w:rPr>
                <w:b/>
                <w:sz w:val="20"/>
                <w:szCs w:val="20"/>
              </w:rPr>
              <w:t>Factibilidad Técnica</w:t>
            </w:r>
          </w:p>
          <w:p w14:paraId="209300E1" w14:textId="77777777" w:rsidR="00A90ABE" w:rsidRPr="00074C15" w:rsidRDefault="00A90ABE" w:rsidP="00A90ABE">
            <w:pPr>
              <w:pStyle w:val="IFTnormal"/>
              <w:jc w:val="left"/>
              <w:rPr>
                <w:sz w:val="20"/>
                <w:szCs w:val="20"/>
              </w:rPr>
            </w:pPr>
          </w:p>
        </w:tc>
        <w:tc>
          <w:tcPr>
            <w:tcW w:w="3380" w:type="pct"/>
          </w:tcPr>
          <w:p w14:paraId="42956A2A" w14:textId="4FB495A2" w:rsidR="00A90ABE" w:rsidRPr="00074C15" w:rsidRDefault="00A90ABE" w:rsidP="00074C15">
            <w:pPr>
              <w:pStyle w:val="IFTnormal"/>
              <w:rPr>
                <w:sz w:val="20"/>
                <w:szCs w:val="20"/>
              </w:rPr>
            </w:pPr>
            <w:r w:rsidRPr="00074C15">
              <w:rPr>
                <w:sz w:val="20"/>
                <w:szCs w:val="20"/>
              </w:rPr>
              <w:t>Durante el análisis de Factibilidad Técnica, Telmex determinará si existen los recursos técnicos y facilidades para habilitar en la Central la configuración del servicio, en un plazo máximo de 3 días hábiles:</w:t>
            </w:r>
          </w:p>
          <w:p w14:paraId="7916B076" w14:textId="77777777" w:rsidR="00A90ABE" w:rsidRPr="00074C15" w:rsidRDefault="00A90ABE" w:rsidP="00060B2E">
            <w:pPr>
              <w:pStyle w:val="IFTnormal"/>
              <w:numPr>
                <w:ilvl w:val="0"/>
                <w:numId w:val="102"/>
              </w:numPr>
              <w:ind w:left="318" w:hanging="318"/>
              <w:rPr>
                <w:sz w:val="20"/>
                <w:szCs w:val="20"/>
              </w:rPr>
            </w:pPr>
            <w:r w:rsidRPr="00074C15">
              <w:rPr>
                <w:b/>
                <w:sz w:val="20"/>
                <w:szCs w:val="20"/>
              </w:rPr>
              <w:t>Si el servicio es factible</w:t>
            </w:r>
            <w:r w:rsidRPr="00074C15">
              <w:rPr>
                <w:sz w:val="20"/>
                <w:szCs w:val="20"/>
              </w:rPr>
              <w:t xml:space="preserve">, se continuará con el proceso de </w:t>
            </w:r>
            <w:r w:rsidRPr="00074C15">
              <w:rPr>
                <w:sz w:val="20"/>
                <w:szCs w:val="20"/>
              </w:rPr>
              <w:lastRenderedPageBreak/>
              <w:t>configuración de la solución.</w:t>
            </w:r>
          </w:p>
          <w:p w14:paraId="767C8B96" w14:textId="77777777" w:rsidR="00A90ABE" w:rsidRPr="00074C15" w:rsidRDefault="00A90ABE" w:rsidP="00060B2E">
            <w:pPr>
              <w:pStyle w:val="IFTnormal"/>
              <w:numPr>
                <w:ilvl w:val="0"/>
                <w:numId w:val="102"/>
              </w:numPr>
              <w:ind w:left="318" w:hanging="318"/>
              <w:rPr>
                <w:sz w:val="20"/>
                <w:szCs w:val="20"/>
              </w:rPr>
            </w:pPr>
            <w:r w:rsidRPr="00074C15">
              <w:rPr>
                <w:b/>
                <w:sz w:val="20"/>
                <w:szCs w:val="20"/>
              </w:rPr>
              <w:t>Si no es factible proporcionar el servicio</w:t>
            </w:r>
            <w:r w:rsidRPr="00074C15">
              <w:rPr>
                <w:sz w:val="20"/>
                <w:szCs w:val="20"/>
              </w:rPr>
              <w:t>, se informará al CS la justificación de los motivos, así como las evidencias correspondientes.</w:t>
            </w:r>
          </w:p>
          <w:p w14:paraId="2303E8EA" w14:textId="77777777" w:rsidR="00A90ABE" w:rsidRPr="00074C15" w:rsidRDefault="00A90ABE" w:rsidP="00060B2E">
            <w:pPr>
              <w:pStyle w:val="IFTnormal"/>
              <w:spacing w:after="0"/>
              <w:rPr>
                <w:sz w:val="20"/>
                <w:szCs w:val="20"/>
              </w:rPr>
            </w:pPr>
          </w:p>
          <w:p w14:paraId="680B1061" w14:textId="3863EFBB" w:rsidR="00A90ABE" w:rsidRPr="00074C15" w:rsidRDefault="00A90ABE" w:rsidP="00074C15">
            <w:pPr>
              <w:pStyle w:val="IFTnormal"/>
              <w:rPr>
                <w:sz w:val="20"/>
                <w:szCs w:val="20"/>
              </w:rPr>
            </w:pPr>
            <w:r w:rsidRPr="00074C15">
              <w:rPr>
                <w:sz w:val="20"/>
                <w:szCs w:val="20"/>
              </w:rPr>
              <w:t xml:space="preserve">Después de revisada la factibilidad en </w:t>
            </w:r>
            <w:r w:rsidR="00C92728" w:rsidRPr="00074C15">
              <w:rPr>
                <w:sz w:val="20"/>
                <w:szCs w:val="20"/>
              </w:rPr>
              <w:t>Central</w:t>
            </w:r>
            <w:r w:rsidRPr="00074C15">
              <w:rPr>
                <w:sz w:val="20"/>
                <w:szCs w:val="20"/>
              </w:rPr>
              <w:t xml:space="preserve"> se procederá directamente a la etapa de configuración de la solución en central.</w:t>
            </w:r>
          </w:p>
          <w:p w14:paraId="518A688C" w14:textId="77777777" w:rsidR="00A90ABE" w:rsidRPr="00074C15" w:rsidRDefault="00A90ABE" w:rsidP="00074C15">
            <w:pPr>
              <w:pStyle w:val="IFTnormal"/>
              <w:rPr>
                <w:sz w:val="20"/>
                <w:szCs w:val="20"/>
              </w:rPr>
            </w:pPr>
            <w:r w:rsidRPr="00074C15">
              <w:rPr>
                <w:sz w:val="20"/>
                <w:szCs w:val="20"/>
              </w:rPr>
              <w:t>Nota: Este paso se aplica sólo para la primera solicitud que se realice en una central por cada CS.</w:t>
            </w:r>
          </w:p>
        </w:tc>
      </w:tr>
      <w:tr w:rsidR="00A90ABE" w:rsidRPr="00074C15" w14:paraId="7D83CBC3" w14:textId="77777777" w:rsidTr="00060B2E">
        <w:tc>
          <w:tcPr>
            <w:tcW w:w="1620" w:type="pct"/>
          </w:tcPr>
          <w:p w14:paraId="498B231F" w14:textId="77777777" w:rsidR="00A90ABE" w:rsidRPr="00074C15" w:rsidRDefault="00A90ABE" w:rsidP="00A90ABE">
            <w:pPr>
              <w:pStyle w:val="IFTnormal"/>
              <w:jc w:val="left"/>
              <w:rPr>
                <w:b/>
                <w:sz w:val="20"/>
                <w:szCs w:val="20"/>
              </w:rPr>
            </w:pPr>
            <w:r w:rsidRPr="00074C15">
              <w:rPr>
                <w:b/>
                <w:sz w:val="20"/>
                <w:szCs w:val="20"/>
              </w:rPr>
              <w:lastRenderedPageBreak/>
              <w:t xml:space="preserve">Configuración de la Solución SRMLT en Central </w:t>
            </w:r>
          </w:p>
        </w:tc>
        <w:tc>
          <w:tcPr>
            <w:tcW w:w="3380" w:type="pct"/>
          </w:tcPr>
          <w:p w14:paraId="79CF2AEF" w14:textId="77777777" w:rsidR="00A90ABE" w:rsidRPr="00074C15" w:rsidRDefault="00A90ABE" w:rsidP="00A90ABE">
            <w:pPr>
              <w:pStyle w:val="IFTnormal"/>
              <w:rPr>
                <w:sz w:val="20"/>
                <w:szCs w:val="20"/>
              </w:rPr>
            </w:pPr>
            <w:r w:rsidRPr="00074C15">
              <w:rPr>
                <w:sz w:val="20"/>
                <w:szCs w:val="20"/>
              </w:rPr>
              <w:t xml:space="preserve">Una vez determinada la factibilidad Técnica en central se procederá con la configuración de los datos, la cual se llevará a cabo en un periodo de 5 días hábiles. </w:t>
            </w:r>
          </w:p>
          <w:p w14:paraId="24E197A8" w14:textId="77777777" w:rsidR="00A90ABE" w:rsidRPr="00074C15" w:rsidRDefault="00A90ABE" w:rsidP="00A90ABE">
            <w:pPr>
              <w:pStyle w:val="IFTnormal"/>
              <w:rPr>
                <w:sz w:val="20"/>
                <w:szCs w:val="20"/>
              </w:rPr>
            </w:pPr>
            <w:r w:rsidRPr="00074C15">
              <w:rPr>
                <w:sz w:val="20"/>
                <w:szCs w:val="20"/>
              </w:rPr>
              <w:t>Nota: Este paso se aplica sólo para la primera solicitud que se realice en una central por cada CS.</w:t>
            </w:r>
          </w:p>
        </w:tc>
      </w:tr>
      <w:tr w:rsidR="00A90ABE" w:rsidRPr="00074C15" w14:paraId="484B844A" w14:textId="77777777" w:rsidTr="00060B2E">
        <w:tc>
          <w:tcPr>
            <w:tcW w:w="1620" w:type="pct"/>
          </w:tcPr>
          <w:p w14:paraId="442CFFD6" w14:textId="77777777" w:rsidR="00A90ABE" w:rsidRPr="00074C15" w:rsidRDefault="00A90ABE" w:rsidP="00A90ABE">
            <w:pPr>
              <w:pStyle w:val="IFTnormal"/>
              <w:jc w:val="left"/>
              <w:rPr>
                <w:b/>
                <w:sz w:val="20"/>
                <w:szCs w:val="20"/>
              </w:rPr>
            </w:pPr>
            <w:r w:rsidRPr="00074C15">
              <w:rPr>
                <w:b/>
                <w:sz w:val="20"/>
                <w:szCs w:val="20"/>
              </w:rPr>
              <w:t xml:space="preserve">Realización de Pruebas en Central </w:t>
            </w:r>
          </w:p>
        </w:tc>
        <w:tc>
          <w:tcPr>
            <w:tcW w:w="3380" w:type="pct"/>
          </w:tcPr>
          <w:p w14:paraId="0D5F824C" w14:textId="7E0B04D2" w:rsidR="00A90ABE" w:rsidRPr="00074C15" w:rsidRDefault="00A90ABE" w:rsidP="00A90ABE">
            <w:pPr>
              <w:pStyle w:val="IFTnormal"/>
              <w:rPr>
                <w:sz w:val="20"/>
                <w:szCs w:val="20"/>
              </w:rPr>
            </w:pPr>
            <w:r w:rsidRPr="00074C15">
              <w:rPr>
                <w:sz w:val="20"/>
                <w:szCs w:val="20"/>
              </w:rPr>
              <w:t xml:space="preserve">Previamente a la implementación del servicio, será necesaria la realización de pruebas en la primera central donde se aplique el SRMLT por lo que se debe de acordar el calendario de inicio/término de las pruebas entre </w:t>
            </w:r>
            <w:r w:rsidR="005A4379" w:rsidRPr="00074C15">
              <w:rPr>
                <w:sz w:val="20"/>
                <w:szCs w:val="20"/>
              </w:rPr>
              <w:t>Telmex</w:t>
            </w:r>
            <w:r w:rsidRPr="00074C15">
              <w:rPr>
                <w:sz w:val="20"/>
                <w:szCs w:val="20"/>
              </w:rPr>
              <w:t xml:space="preserve"> y el CS, de tal manera que se valide el intercambio de dígitos y la completación de las llamadas.</w:t>
            </w:r>
          </w:p>
          <w:p w14:paraId="072EAACC" w14:textId="294F887C" w:rsidR="00A90ABE" w:rsidRPr="00074C15" w:rsidRDefault="00A90ABE" w:rsidP="00A90ABE">
            <w:pPr>
              <w:pStyle w:val="IFTnormal"/>
              <w:rPr>
                <w:sz w:val="20"/>
                <w:szCs w:val="20"/>
              </w:rPr>
            </w:pPr>
            <w:r w:rsidRPr="00074C15">
              <w:rPr>
                <w:sz w:val="20"/>
                <w:szCs w:val="20"/>
              </w:rPr>
              <w:t xml:space="preserve">Estas pruebas se llevarán a cabo mediante la ejecución de bitácora entre el CS y </w:t>
            </w:r>
            <w:r w:rsidR="005A4379" w:rsidRPr="00074C15">
              <w:rPr>
                <w:sz w:val="20"/>
                <w:szCs w:val="20"/>
              </w:rPr>
              <w:t>Telmex</w:t>
            </w:r>
            <w:r w:rsidRPr="00074C15">
              <w:rPr>
                <w:sz w:val="20"/>
                <w:szCs w:val="20"/>
              </w:rPr>
              <w:t xml:space="preserve"> de las diferentes marcaciones que puede realizar el Cliente del SRMLT a la entrega de servicio. </w:t>
            </w:r>
          </w:p>
          <w:p w14:paraId="53CBB0D4" w14:textId="77777777" w:rsidR="00A90ABE" w:rsidRPr="00074C15" w:rsidRDefault="00A90ABE" w:rsidP="00A90ABE">
            <w:pPr>
              <w:pStyle w:val="IFTnormal"/>
              <w:rPr>
                <w:sz w:val="20"/>
                <w:szCs w:val="20"/>
                <w:lang w:val="es-ES_tradnl"/>
              </w:rPr>
            </w:pPr>
            <w:r w:rsidRPr="00074C15">
              <w:rPr>
                <w:sz w:val="20"/>
                <w:szCs w:val="20"/>
              </w:rPr>
              <w:t>Nota: Este paso se aplica sólo para la primera solicitud que se realice en una central por cada CS.</w:t>
            </w:r>
          </w:p>
        </w:tc>
      </w:tr>
    </w:tbl>
    <w:p w14:paraId="141EEB78" w14:textId="77777777" w:rsidR="00A90ABE" w:rsidRDefault="00A90ABE" w:rsidP="00065A98">
      <w:pPr>
        <w:pStyle w:val="IFTnormal"/>
        <w:ind w:left="709" w:right="-284"/>
      </w:pPr>
    </w:p>
    <w:p w14:paraId="013C133E" w14:textId="558D502C" w:rsidR="00A90ABE" w:rsidRPr="00862B83" w:rsidRDefault="00A90ABE" w:rsidP="0083013E">
      <w:pPr>
        <w:pStyle w:val="IFTnormal"/>
        <w:ind w:left="-567" w:right="-284"/>
        <w:rPr>
          <w:b/>
        </w:rPr>
      </w:pPr>
      <w:r w:rsidRPr="00862B83">
        <w:rPr>
          <w:b/>
        </w:rPr>
        <w:t>Procedimiento de contratación y entrega (Alta de línea)</w:t>
      </w:r>
    </w:p>
    <w:p w14:paraId="78BAF149" w14:textId="77777777" w:rsidR="00A90ABE" w:rsidRPr="00853D00" w:rsidRDefault="00A90ABE" w:rsidP="0083013E">
      <w:pPr>
        <w:pStyle w:val="IFTnormal"/>
        <w:ind w:left="-567" w:right="-142"/>
      </w:pPr>
      <w:r w:rsidRPr="00853D00">
        <w:t>Este procedimiento podrá aplicarse única y exclusivamente cuando el CS ya cuente con la activación del servicio en la central correspondiente.</w:t>
      </w:r>
    </w:p>
    <w:p w14:paraId="36C76D77" w14:textId="3FFFEB00" w:rsidR="00A90ABE" w:rsidRPr="00853D00" w:rsidRDefault="00A90ABE" w:rsidP="0083013E">
      <w:pPr>
        <w:pStyle w:val="IFTnormal"/>
        <w:ind w:left="-567" w:right="-142"/>
      </w:pPr>
      <w:r w:rsidRPr="00853D00">
        <w:t xml:space="preserve">El objetivo de este procedimiento es definir las actividades a desarrollar por parte de Telmex y del CS, a fin de realizar la contratación y entrega del servicio de SRMLT. Las fases en que se divide este procedimiento son: (i) Entrega y validación de la solicitud para que el CS manifieste su intención de contratar el servicio para un cliente, y la evaluación en SEG que confirma que la solicitud cuenta con todos los elementos para la contratación del servicio en </w:t>
      </w:r>
      <w:r w:rsidRPr="00853D00">
        <w:lastRenderedPageBreak/>
        <w:t>la Central correspondiente; y (ii) Habilitación y aprovisionamiento del servicio solicitado, que detonará los procesos de pruebas de entrega y facturación.</w:t>
      </w:r>
    </w:p>
    <w:tbl>
      <w:tblPr>
        <w:tblStyle w:val="Tablaconcuadrcula"/>
        <w:tblW w:w="5385" w:type="pct"/>
        <w:tblInd w:w="-572" w:type="dxa"/>
        <w:tblLook w:val="04A0" w:firstRow="1" w:lastRow="0" w:firstColumn="1" w:lastColumn="0" w:noHBand="0" w:noVBand="1"/>
        <w:tblCaption w:val="Tabla"/>
        <w:tblDescription w:val="Etapas"/>
      </w:tblPr>
      <w:tblGrid>
        <w:gridCol w:w="3340"/>
        <w:gridCol w:w="6969"/>
      </w:tblGrid>
      <w:tr w:rsidR="00A90ABE" w:rsidRPr="00D27B7C" w14:paraId="1871EF61" w14:textId="77777777" w:rsidTr="0083013E">
        <w:trPr>
          <w:tblHeader/>
        </w:trPr>
        <w:tc>
          <w:tcPr>
            <w:tcW w:w="1620" w:type="pct"/>
          </w:tcPr>
          <w:p w14:paraId="1BBF3B7C" w14:textId="77777777" w:rsidR="00A90ABE" w:rsidRPr="00D27B7C" w:rsidRDefault="00A90ABE" w:rsidP="0083013E">
            <w:pPr>
              <w:pStyle w:val="IFTnormal"/>
              <w:jc w:val="center"/>
              <w:rPr>
                <w:b/>
                <w:sz w:val="20"/>
                <w:szCs w:val="20"/>
              </w:rPr>
            </w:pPr>
            <w:r w:rsidRPr="00D27B7C">
              <w:rPr>
                <w:b/>
                <w:sz w:val="20"/>
                <w:szCs w:val="20"/>
              </w:rPr>
              <w:t>Etapa</w:t>
            </w:r>
          </w:p>
        </w:tc>
        <w:tc>
          <w:tcPr>
            <w:tcW w:w="3380" w:type="pct"/>
          </w:tcPr>
          <w:p w14:paraId="1259C1F1" w14:textId="77777777" w:rsidR="00A90ABE" w:rsidRPr="00D27B7C" w:rsidRDefault="00A90ABE" w:rsidP="0083013E">
            <w:pPr>
              <w:pStyle w:val="IFTnormal"/>
              <w:jc w:val="center"/>
              <w:rPr>
                <w:b/>
                <w:sz w:val="20"/>
                <w:szCs w:val="20"/>
              </w:rPr>
            </w:pPr>
            <w:r w:rsidRPr="00D27B7C">
              <w:rPr>
                <w:b/>
                <w:sz w:val="20"/>
                <w:szCs w:val="20"/>
              </w:rPr>
              <w:t>Descripción</w:t>
            </w:r>
          </w:p>
        </w:tc>
      </w:tr>
      <w:tr w:rsidR="00A90ABE" w:rsidRPr="00D27B7C" w14:paraId="117EFD64" w14:textId="77777777" w:rsidTr="0083013E">
        <w:tc>
          <w:tcPr>
            <w:tcW w:w="1620" w:type="pct"/>
          </w:tcPr>
          <w:p w14:paraId="65F911E3" w14:textId="77777777" w:rsidR="00A90ABE" w:rsidRPr="00D27B7C" w:rsidRDefault="00A90ABE" w:rsidP="00A90ABE">
            <w:pPr>
              <w:pStyle w:val="IFTnormal"/>
              <w:rPr>
                <w:b/>
                <w:sz w:val="20"/>
                <w:szCs w:val="20"/>
              </w:rPr>
            </w:pPr>
            <w:r w:rsidRPr="00D27B7C">
              <w:rPr>
                <w:b/>
                <w:sz w:val="20"/>
                <w:szCs w:val="20"/>
              </w:rPr>
              <w:t>Autorización del suscriptor/usuario final</w:t>
            </w:r>
          </w:p>
        </w:tc>
        <w:tc>
          <w:tcPr>
            <w:tcW w:w="3380" w:type="pct"/>
          </w:tcPr>
          <w:p w14:paraId="1F300D67" w14:textId="050296B8" w:rsidR="00A90ABE" w:rsidRPr="00D27B7C" w:rsidRDefault="00A90ABE" w:rsidP="00A90ABE">
            <w:pPr>
              <w:pStyle w:val="IFTnormal"/>
              <w:rPr>
                <w:sz w:val="20"/>
                <w:szCs w:val="20"/>
              </w:rPr>
            </w:pPr>
            <w:r w:rsidRPr="00D27B7C">
              <w:rPr>
                <w:sz w:val="20"/>
                <w:szCs w:val="20"/>
              </w:rPr>
              <w:t>Presentación del formato de verificación de la voluntad del suscriptor/usuario final (Sólo usuarios existentes)</w:t>
            </w:r>
            <w:r w:rsidR="00D27B7C" w:rsidRPr="00D27B7C">
              <w:rPr>
                <w:sz w:val="20"/>
                <w:szCs w:val="20"/>
              </w:rPr>
              <w:t>.</w:t>
            </w:r>
          </w:p>
        </w:tc>
      </w:tr>
      <w:tr w:rsidR="00A90ABE" w:rsidRPr="00D27B7C" w14:paraId="30A71BE1" w14:textId="77777777" w:rsidTr="0083013E">
        <w:tc>
          <w:tcPr>
            <w:tcW w:w="1620" w:type="pct"/>
          </w:tcPr>
          <w:p w14:paraId="4FCB980E" w14:textId="77777777" w:rsidR="00A90ABE" w:rsidRPr="00D27B7C" w:rsidRDefault="00A90ABE" w:rsidP="00A90ABE">
            <w:pPr>
              <w:pStyle w:val="IFTnormal"/>
              <w:rPr>
                <w:b/>
                <w:sz w:val="20"/>
                <w:szCs w:val="20"/>
              </w:rPr>
            </w:pPr>
            <w:r w:rsidRPr="00D27B7C">
              <w:rPr>
                <w:b/>
                <w:sz w:val="20"/>
                <w:szCs w:val="20"/>
              </w:rPr>
              <w:t>Envío, Validación y Factibilidad de solicitud</w:t>
            </w:r>
          </w:p>
        </w:tc>
        <w:tc>
          <w:tcPr>
            <w:tcW w:w="3380" w:type="pct"/>
          </w:tcPr>
          <w:p w14:paraId="509529CD" w14:textId="5A46A8EB" w:rsidR="00A90ABE" w:rsidRPr="00D27B7C" w:rsidRDefault="00A90ABE" w:rsidP="00A90ABE">
            <w:pPr>
              <w:pStyle w:val="IFTnormal"/>
              <w:rPr>
                <w:sz w:val="20"/>
                <w:szCs w:val="20"/>
              </w:rPr>
            </w:pPr>
            <w:r w:rsidRPr="00D27B7C">
              <w:rPr>
                <w:sz w:val="20"/>
                <w:szCs w:val="20"/>
              </w:rPr>
              <w:t>El CS deberá presentar sus solicitudes a través del SEG, así como asegurarse que la central que corresponde a la línea que se solicitará ya cuenta con la habilitación de la solución de enrutamiento, red y puerto para asignar al cliente.</w:t>
            </w:r>
          </w:p>
          <w:p w14:paraId="057179B7" w14:textId="77777777" w:rsidR="00A90ABE" w:rsidRPr="00D27B7C" w:rsidRDefault="00A90ABE" w:rsidP="00A90ABE">
            <w:pPr>
              <w:pStyle w:val="IFTnormal"/>
              <w:numPr>
                <w:ilvl w:val="0"/>
                <w:numId w:val="166"/>
              </w:numPr>
              <w:rPr>
                <w:sz w:val="20"/>
                <w:szCs w:val="20"/>
              </w:rPr>
            </w:pPr>
            <w:r w:rsidRPr="00D27B7C">
              <w:rPr>
                <w:sz w:val="20"/>
                <w:szCs w:val="20"/>
              </w:rPr>
              <w:t>En caso de usuarios nuevos seleccionar si desea:</w:t>
            </w:r>
          </w:p>
          <w:p w14:paraId="1E74F0F7" w14:textId="6D3D217F" w:rsidR="00A90ABE" w:rsidRPr="00065A98" w:rsidRDefault="00A90ABE" w:rsidP="00065A98">
            <w:pPr>
              <w:pStyle w:val="IFTnormal"/>
              <w:numPr>
                <w:ilvl w:val="0"/>
                <w:numId w:val="164"/>
              </w:numPr>
              <w:rPr>
                <w:sz w:val="20"/>
                <w:szCs w:val="20"/>
              </w:rPr>
            </w:pPr>
            <w:r w:rsidRPr="00D27B7C">
              <w:rPr>
                <w:sz w:val="20"/>
                <w:szCs w:val="20"/>
              </w:rPr>
              <w:t>Cableado Interior</w:t>
            </w:r>
          </w:p>
          <w:p w14:paraId="074D0435" w14:textId="0A38C532" w:rsidR="00A90ABE" w:rsidRPr="00D27B7C" w:rsidRDefault="00A90ABE" w:rsidP="00A90ABE">
            <w:pPr>
              <w:pStyle w:val="IFTnormal"/>
              <w:rPr>
                <w:sz w:val="20"/>
                <w:szCs w:val="20"/>
              </w:rPr>
            </w:pPr>
            <w:r w:rsidRPr="00D27B7C">
              <w:rPr>
                <w:sz w:val="20"/>
                <w:szCs w:val="20"/>
              </w:rPr>
              <w:t>Una vez enviada la solicitud el SEG asignará de forma automática el NIS y la confirmación de la fecha de habilitación del servicio.</w:t>
            </w:r>
          </w:p>
        </w:tc>
      </w:tr>
      <w:tr w:rsidR="00A90ABE" w:rsidRPr="00D27B7C" w14:paraId="748DEB55" w14:textId="77777777" w:rsidTr="0083013E">
        <w:tc>
          <w:tcPr>
            <w:tcW w:w="1620" w:type="pct"/>
          </w:tcPr>
          <w:p w14:paraId="15E54A2D" w14:textId="77777777" w:rsidR="00A90ABE" w:rsidRPr="00D27B7C" w:rsidRDefault="00A90ABE" w:rsidP="00A90ABE">
            <w:pPr>
              <w:pStyle w:val="IFTnormal"/>
              <w:rPr>
                <w:b/>
                <w:sz w:val="20"/>
                <w:szCs w:val="20"/>
                <w:highlight w:val="cyan"/>
              </w:rPr>
            </w:pPr>
            <w:r w:rsidRPr="00D27B7C">
              <w:rPr>
                <w:b/>
                <w:sz w:val="20"/>
                <w:szCs w:val="20"/>
              </w:rPr>
              <w:t>Habilitación y aprovisionamiento del Servicio</w:t>
            </w:r>
          </w:p>
        </w:tc>
        <w:tc>
          <w:tcPr>
            <w:tcW w:w="3380" w:type="pct"/>
          </w:tcPr>
          <w:p w14:paraId="185B661C" w14:textId="20B8D72A" w:rsidR="00A90ABE" w:rsidRPr="00D27B7C" w:rsidRDefault="00A90ABE" w:rsidP="00A90ABE">
            <w:pPr>
              <w:pStyle w:val="IFTnormal"/>
              <w:rPr>
                <w:sz w:val="20"/>
                <w:szCs w:val="20"/>
              </w:rPr>
            </w:pPr>
            <w:r w:rsidRPr="00D27B7C">
              <w:rPr>
                <w:sz w:val="20"/>
                <w:szCs w:val="20"/>
              </w:rPr>
              <w:t xml:space="preserve">Telmex llevará a cabo las actuaciones necesarias para habilitar el servicio el día confirmado por el CS; </w:t>
            </w:r>
          </w:p>
          <w:p w14:paraId="0568F7C6" w14:textId="0DFD4E13" w:rsidR="00A90ABE" w:rsidRPr="00D27B7C" w:rsidRDefault="00A90ABE" w:rsidP="00A90ABE">
            <w:pPr>
              <w:pStyle w:val="IFTnormal"/>
              <w:rPr>
                <w:sz w:val="20"/>
                <w:szCs w:val="20"/>
              </w:rPr>
            </w:pPr>
            <w:r w:rsidRPr="00D27B7C">
              <w:rPr>
                <w:b/>
                <w:sz w:val="20"/>
                <w:szCs w:val="20"/>
              </w:rPr>
              <w:t>Usuarios Existentes</w:t>
            </w:r>
            <w:r w:rsidRPr="00D27B7C">
              <w:rPr>
                <w:sz w:val="20"/>
                <w:szCs w:val="20"/>
              </w:rPr>
              <w:t>: Habilitación remota (máximo 5 días hábiles contados a partir del ingreso de la solicitud y 7 días hábiles con provisión de equipo por Telmex).</w:t>
            </w:r>
          </w:p>
          <w:p w14:paraId="26F611DE" w14:textId="77777777" w:rsidR="00A90ABE" w:rsidRPr="00D27B7C" w:rsidRDefault="00A90ABE" w:rsidP="00A90ABE">
            <w:pPr>
              <w:pStyle w:val="IFTnormal"/>
              <w:numPr>
                <w:ilvl w:val="0"/>
                <w:numId w:val="166"/>
              </w:numPr>
              <w:rPr>
                <w:sz w:val="20"/>
                <w:szCs w:val="20"/>
              </w:rPr>
            </w:pPr>
            <w:r w:rsidRPr="00D27B7C">
              <w:rPr>
                <w:sz w:val="20"/>
                <w:szCs w:val="20"/>
              </w:rPr>
              <w:t>Se realizará la configuración correspondiente y el cambio administrativo para pasar la facturación al CS. Cuando sea requerido por el CS, se activarán/desactivarán los servicios digitales o de marcaciones solicitados (entendiendo esto último como restricción de marcaciones).</w:t>
            </w:r>
          </w:p>
          <w:p w14:paraId="49182832" w14:textId="6CF544D4" w:rsidR="00A90ABE" w:rsidRPr="00D27B7C" w:rsidRDefault="00A90ABE" w:rsidP="00A90ABE">
            <w:pPr>
              <w:pStyle w:val="IFTnormal"/>
              <w:rPr>
                <w:sz w:val="20"/>
                <w:szCs w:val="20"/>
              </w:rPr>
            </w:pPr>
            <w:r w:rsidRPr="00D27B7C">
              <w:rPr>
                <w:b/>
                <w:sz w:val="20"/>
                <w:szCs w:val="20"/>
              </w:rPr>
              <w:t>Usuarios Nuevos</w:t>
            </w:r>
            <w:r w:rsidRPr="00D27B7C">
              <w:rPr>
                <w:sz w:val="20"/>
                <w:szCs w:val="20"/>
              </w:rPr>
              <w:t>: Habilitación presencial. Telmex asistirá al domicilio del Usuario Final para instalar el servicio.</w:t>
            </w:r>
          </w:p>
          <w:p w14:paraId="3ECAE8FF" w14:textId="26675BCD" w:rsidR="00A90ABE" w:rsidRPr="00D27B7C" w:rsidRDefault="00A90ABE" w:rsidP="00A90ABE">
            <w:pPr>
              <w:pStyle w:val="IFTnormal"/>
              <w:numPr>
                <w:ilvl w:val="0"/>
                <w:numId w:val="166"/>
              </w:numPr>
              <w:rPr>
                <w:sz w:val="20"/>
                <w:szCs w:val="20"/>
              </w:rPr>
            </w:pPr>
            <w:r w:rsidRPr="00D27B7C">
              <w:rPr>
                <w:sz w:val="20"/>
                <w:szCs w:val="20"/>
              </w:rPr>
              <w:t>Acometida Existente: (máximo 5 días hábiles contados a partir del ingreso de la solicitud y 7 días hábiles con provisión de equipo por Telmex.</w:t>
            </w:r>
          </w:p>
          <w:p w14:paraId="09594885" w14:textId="77777777" w:rsidR="00A90ABE" w:rsidRPr="00D27B7C" w:rsidRDefault="00A90ABE" w:rsidP="00A90ABE">
            <w:pPr>
              <w:pStyle w:val="IFTnormal"/>
              <w:numPr>
                <w:ilvl w:val="0"/>
                <w:numId w:val="167"/>
              </w:numPr>
              <w:rPr>
                <w:sz w:val="20"/>
                <w:szCs w:val="20"/>
              </w:rPr>
            </w:pPr>
            <w:r w:rsidRPr="00D27B7C">
              <w:rPr>
                <w:sz w:val="20"/>
                <w:szCs w:val="20"/>
              </w:rPr>
              <w:t>Instalación de cableado interior, sólo si fue solicitado por el CS.</w:t>
            </w:r>
          </w:p>
          <w:p w14:paraId="47BCFBF4" w14:textId="610A2DA3" w:rsidR="00A90ABE" w:rsidRPr="00D27B7C" w:rsidRDefault="00A90ABE" w:rsidP="00A90ABE">
            <w:pPr>
              <w:pStyle w:val="IFTnormal"/>
              <w:numPr>
                <w:ilvl w:val="0"/>
                <w:numId w:val="166"/>
              </w:numPr>
              <w:rPr>
                <w:sz w:val="20"/>
                <w:szCs w:val="20"/>
              </w:rPr>
            </w:pPr>
            <w:r w:rsidRPr="00D27B7C">
              <w:rPr>
                <w:sz w:val="20"/>
                <w:szCs w:val="20"/>
              </w:rPr>
              <w:t>Sin Acometida: (máximo 7 días hábiles contados a partir del ingreso de la solicitud indistintamente de la provisión de equipo por Telme</w:t>
            </w:r>
            <w:r w:rsidR="00CC2856" w:rsidRPr="00D27B7C">
              <w:rPr>
                <w:sz w:val="20"/>
                <w:szCs w:val="20"/>
              </w:rPr>
              <w:t>x</w:t>
            </w:r>
            <w:r w:rsidRPr="00D27B7C">
              <w:rPr>
                <w:sz w:val="20"/>
                <w:szCs w:val="20"/>
              </w:rPr>
              <w:t>.</w:t>
            </w:r>
          </w:p>
          <w:p w14:paraId="381A8ACB" w14:textId="77777777" w:rsidR="00A90ABE" w:rsidRPr="00D27B7C" w:rsidRDefault="00A90ABE" w:rsidP="00A90ABE">
            <w:pPr>
              <w:pStyle w:val="IFTnormal"/>
              <w:numPr>
                <w:ilvl w:val="0"/>
                <w:numId w:val="168"/>
              </w:numPr>
              <w:rPr>
                <w:sz w:val="20"/>
                <w:szCs w:val="20"/>
              </w:rPr>
            </w:pPr>
            <w:r w:rsidRPr="00D27B7C">
              <w:rPr>
                <w:sz w:val="20"/>
                <w:szCs w:val="20"/>
              </w:rPr>
              <w:t>Instalación de la acometida, incluye el primer CIC.</w:t>
            </w:r>
          </w:p>
          <w:p w14:paraId="01E2CAE2" w14:textId="085D8334" w:rsidR="00A90ABE" w:rsidRPr="00065A98" w:rsidRDefault="00A90ABE" w:rsidP="00065A98">
            <w:pPr>
              <w:pStyle w:val="IFTnormal"/>
              <w:numPr>
                <w:ilvl w:val="0"/>
                <w:numId w:val="168"/>
              </w:numPr>
              <w:rPr>
                <w:sz w:val="20"/>
                <w:szCs w:val="20"/>
              </w:rPr>
            </w:pPr>
            <w:r w:rsidRPr="00D27B7C">
              <w:rPr>
                <w:sz w:val="20"/>
                <w:szCs w:val="20"/>
              </w:rPr>
              <w:lastRenderedPageBreak/>
              <w:t>Instalación de CIC adicional, sólo si fue solicitado por el CS.</w:t>
            </w:r>
          </w:p>
        </w:tc>
      </w:tr>
      <w:tr w:rsidR="00A90ABE" w:rsidRPr="00D27B7C" w14:paraId="55539242" w14:textId="77777777" w:rsidTr="0083013E">
        <w:tc>
          <w:tcPr>
            <w:tcW w:w="1620" w:type="pct"/>
          </w:tcPr>
          <w:p w14:paraId="038A14AB" w14:textId="77777777" w:rsidR="00A90ABE" w:rsidRPr="00060B2E" w:rsidRDefault="00A90ABE" w:rsidP="00A90ABE">
            <w:pPr>
              <w:pStyle w:val="IFTnormal"/>
              <w:rPr>
                <w:b/>
                <w:sz w:val="20"/>
                <w:szCs w:val="20"/>
              </w:rPr>
            </w:pPr>
            <w:r w:rsidRPr="00060B2E">
              <w:rPr>
                <w:b/>
                <w:sz w:val="20"/>
                <w:szCs w:val="20"/>
              </w:rPr>
              <w:lastRenderedPageBreak/>
              <w:t>Pruebas de Aceptación del Servicio</w:t>
            </w:r>
          </w:p>
        </w:tc>
        <w:tc>
          <w:tcPr>
            <w:tcW w:w="3380" w:type="pct"/>
          </w:tcPr>
          <w:p w14:paraId="6347A72E" w14:textId="77777777" w:rsidR="00A90ABE" w:rsidRPr="00060B2E" w:rsidRDefault="00A90ABE" w:rsidP="00A90ABE">
            <w:pPr>
              <w:pStyle w:val="IFTnormal"/>
              <w:rPr>
                <w:sz w:val="20"/>
                <w:szCs w:val="20"/>
              </w:rPr>
            </w:pPr>
            <w:r w:rsidRPr="00060B2E">
              <w:rPr>
                <w:sz w:val="20"/>
                <w:szCs w:val="20"/>
              </w:rPr>
              <w:t>Una vez habilitado el servicio, se ejecutarán las pruebas correspondientes para validar que el servicio ha sido instalado y habilitado de conformidad con lo requerido por el CS.</w:t>
            </w:r>
          </w:p>
          <w:p w14:paraId="4EE57F5A" w14:textId="77777777" w:rsidR="00A90ABE" w:rsidRPr="00060B2E" w:rsidRDefault="00A90ABE" w:rsidP="00A90ABE">
            <w:pPr>
              <w:pStyle w:val="IFTnormal"/>
              <w:numPr>
                <w:ilvl w:val="0"/>
                <w:numId w:val="169"/>
              </w:numPr>
              <w:rPr>
                <w:sz w:val="20"/>
                <w:szCs w:val="20"/>
              </w:rPr>
            </w:pPr>
            <w:r w:rsidRPr="00060B2E">
              <w:rPr>
                <w:sz w:val="20"/>
                <w:szCs w:val="20"/>
              </w:rPr>
              <w:t>Los resultados de las pruebas realizadas se registrarán en el SEG para que el CS pueda consultarlas.</w:t>
            </w:r>
          </w:p>
        </w:tc>
      </w:tr>
      <w:tr w:rsidR="00A90ABE" w:rsidRPr="00D27B7C" w14:paraId="6449AC21" w14:textId="77777777" w:rsidTr="0083013E">
        <w:tc>
          <w:tcPr>
            <w:tcW w:w="1620" w:type="pct"/>
          </w:tcPr>
          <w:p w14:paraId="021EE3C5" w14:textId="77777777" w:rsidR="00A90ABE" w:rsidRPr="00060B2E" w:rsidRDefault="00A90ABE" w:rsidP="00A90ABE">
            <w:pPr>
              <w:pStyle w:val="IFTnormal"/>
              <w:rPr>
                <w:b/>
                <w:sz w:val="20"/>
                <w:szCs w:val="20"/>
              </w:rPr>
            </w:pPr>
            <w:r w:rsidRPr="00060B2E">
              <w:rPr>
                <w:b/>
                <w:sz w:val="20"/>
                <w:szCs w:val="20"/>
              </w:rPr>
              <w:t>Facturación</w:t>
            </w:r>
          </w:p>
        </w:tc>
        <w:tc>
          <w:tcPr>
            <w:tcW w:w="3380" w:type="pct"/>
          </w:tcPr>
          <w:p w14:paraId="76149E5B" w14:textId="77777777" w:rsidR="00A90ABE" w:rsidRPr="00060B2E" w:rsidRDefault="00A90ABE" w:rsidP="00A90ABE">
            <w:pPr>
              <w:pStyle w:val="IFTnormal"/>
              <w:rPr>
                <w:sz w:val="20"/>
                <w:szCs w:val="20"/>
              </w:rPr>
            </w:pPr>
            <w:r w:rsidRPr="00060B2E">
              <w:rPr>
                <w:sz w:val="20"/>
                <w:szCs w:val="20"/>
              </w:rPr>
              <w:t>Al corte del mes se realizará la facturación aplicable al servicio:</w:t>
            </w:r>
          </w:p>
          <w:p w14:paraId="100C0632" w14:textId="77777777" w:rsidR="00A90ABE" w:rsidRPr="00060B2E" w:rsidRDefault="00A90ABE" w:rsidP="00A90ABE">
            <w:pPr>
              <w:pStyle w:val="IFTnormal"/>
              <w:numPr>
                <w:ilvl w:val="0"/>
                <w:numId w:val="169"/>
              </w:numPr>
              <w:rPr>
                <w:sz w:val="20"/>
                <w:szCs w:val="20"/>
              </w:rPr>
            </w:pPr>
            <w:r w:rsidRPr="00060B2E">
              <w:rPr>
                <w:sz w:val="20"/>
                <w:szCs w:val="20"/>
              </w:rPr>
              <w:t>Se incluirán los gastos de instalación y la renta mensual correspondiente.</w:t>
            </w:r>
          </w:p>
          <w:p w14:paraId="38565D65" w14:textId="77777777" w:rsidR="00A90ABE" w:rsidRPr="00060B2E" w:rsidRDefault="00A90ABE" w:rsidP="00A90ABE">
            <w:pPr>
              <w:pStyle w:val="IFTnormal"/>
              <w:numPr>
                <w:ilvl w:val="0"/>
                <w:numId w:val="169"/>
              </w:numPr>
              <w:rPr>
                <w:sz w:val="20"/>
                <w:szCs w:val="20"/>
              </w:rPr>
            </w:pPr>
            <w:r w:rsidRPr="00060B2E">
              <w:rPr>
                <w:sz w:val="20"/>
                <w:szCs w:val="20"/>
              </w:rPr>
              <w:t>El CS contará con la posibilidad de solicitar ajustes o aclaraciones respecto a los conceptos y servicios incluidos en su factura.</w:t>
            </w:r>
          </w:p>
        </w:tc>
      </w:tr>
    </w:tbl>
    <w:p w14:paraId="6B83EC9A" w14:textId="77777777" w:rsidR="00151B90" w:rsidRDefault="00151B90" w:rsidP="00D27B7C">
      <w:pPr>
        <w:pStyle w:val="IFTnormal"/>
        <w:ind w:left="709" w:right="-425"/>
      </w:pPr>
    </w:p>
    <w:p w14:paraId="795D4FEB" w14:textId="20D376DE" w:rsidR="00A90ABE" w:rsidRPr="00D04E70" w:rsidRDefault="00A90ABE" w:rsidP="00D27B7C">
      <w:pPr>
        <w:pStyle w:val="IFTnormal"/>
        <w:ind w:right="-284"/>
        <w:rPr>
          <w:b/>
        </w:rPr>
      </w:pPr>
      <w:r w:rsidRPr="00D04E70">
        <w:rPr>
          <w:b/>
        </w:rPr>
        <w:t>Procedimiento de cancelación de solicitud</w:t>
      </w:r>
    </w:p>
    <w:p w14:paraId="0BCFD3B9" w14:textId="51371811" w:rsidR="00A90ABE" w:rsidRPr="00F248C2" w:rsidRDefault="00A90ABE" w:rsidP="00060B2E">
      <w:pPr>
        <w:pStyle w:val="IFTnormal"/>
        <w:ind w:left="-567" w:right="-142"/>
      </w:pPr>
      <w:r w:rsidRPr="00BE2D19">
        <w:rPr>
          <w:lang w:val="es-ES" w:eastAsia="es-MX"/>
        </w:rPr>
        <w:t xml:space="preserve">El objetivo y alcance de este procedimiento </w:t>
      </w:r>
      <w:r>
        <w:rPr>
          <w:lang w:val="es-ES" w:eastAsia="es-MX"/>
        </w:rPr>
        <w:t xml:space="preserve">es </w:t>
      </w:r>
      <w:r w:rsidRPr="00BE2D19">
        <w:rPr>
          <w:lang w:val="es-ES" w:eastAsia="es-MX"/>
        </w:rPr>
        <w:t>aplica</w:t>
      </w:r>
      <w:r>
        <w:rPr>
          <w:lang w:val="es-ES" w:eastAsia="es-MX"/>
        </w:rPr>
        <w:t>ble a</w:t>
      </w:r>
      <w:r w:rsidRPr="00BE2D19">
        <w:rPr>
          <w:lang w:val="es-ES" w:eastAsia="es-MX"/>
        </w:rPr>
        <w:t xml:space="preserve"> los casos en que el CS hubiera solicitado una habilitación o un cambio de domicilio y decide cancelarlo antes de que se hubiera concluido el movimiento solicitado; las fases en que se divide este procedimiento son: (i) Solicitud para que el CS manifieste su intención de cancelar el servicio previamente solicitado, y la validación por parte de Telmex de que la solicitud cuenta con todos los elementos; </w:t>
      </w:r>
      <w:r w:rsidRPr="00F248C2">
        <w:t>y (ii) Cancelación del (los) servicio(s).</w:t>
      </w:r>
    </w:p>
    <w:tbl>
      <w:tblPr>
        <w:tblStyle w:val="Tablaconcuadrcula"/>
        <w:tblW w:w="5385" w:type="pct"/>
        <w:tblInd w:w="-572" w:type="dxa"/>
        <w:tblLook w:val="04A0" w:firstRow="1" w:lastRow="0" w:firstColumn="1" w:lastColumn="0" w:noHBand="0" w:noVBand="1"/>
        <w:tblCaption w:val="Tabla"/>
        <w:tblDescription w:val="Etapas"/>
      </w:tblPr>
      <w:tblGrid>
        <w:gridCol w:w="3418"/>
        <w:gridCol w:w="6891"/>
      </w:tblGrid>
      <w:tr w:rsidR="00A90ABE" w:rsidRPr="00D27B7C" w14:paraId="2A49EE69" w14:textId="77777777" w:rsidTr="00060B2E">
        <w:trPr>
          <w:tblHeader/>
        </w:trPr>
        <w:tc>
          <w:tcPr>
            <w:tcW w:w="1658" w:type="pct"/>
          </w:tcPr>
          <w:p w14:paraId="3EFA22AB" w14:textId="77777777" w:rsidR="00A90ABE" w:rsidRPr="00D27B7C" w:rsidRDefault="00A90ABE" w:rsidP="00A90ABE">
            <w:pPr>
              <w:pStyle w:val="IFTnormal"/>
              <w:rPr>
                <w:b/>
                <w:sz w:val="20"/>
                <w:szCs w:val="20"/>
              </w:rPr>
            </w:pPr>
            <w:r w:rsidRPr="00D27B7C">
              <w:rPr>
                <w:b/>
                <w:sz w:val="20"/>
                <w:szCs w:val="20"/>
              </w:rPr>
              <w:t>Etapa</w:t>
            </w:r>
          </w:p>
        </w:tc>
        <w:tc>
          <w:tcPr>
            <w:tcW w:w="3342" w:type="pct"/>
          </w:tcPr>
          <w:p w14:paraId="1D10D862" w14:textId="77777777" w:rsidR="00A90ABE" w:rsidRPr="00D27B7C" w:rsidRDefault="00A90ABE" w:rsidP="00A90ABE">
            <w:pPr>
              <w:pStyle w:val="IFTnormal"/>
              <w:rPr>
                <w:b/>
                <w:sz w:val="20"/>
                <w:szCs w:val="20"/>
              </w:rPr>
            </w:pPr>
            <w:r w:rsidRPr="00D27B7C">
              <w:rPr>
                <w:b/>
                <w:sz w:val="20"/>
                <w:szCs w:val="20"/>
              </w:rPr>
              <w:t>Descripción</w:t>
            </w:r>
          </w:p>
        </w:tc>
      </w:tr>
      <w:tr w:rsidR="00A90ABE" w:rsidRPr="00D27B7C" w14:paraId="312AF761" w14:textId="77777777" w:rsidTr="00060B2E">
        <w:tc>
          <w:tcPr>
            <w:tcW w:w="1658" w:type="pct"/>
          </w:tcPr>
          <w:p w14:paraId="714BFE92" w14:textId="77777777" w:rsidR="00A90ABE" w:rsidRPr="00D27B7C" w:rsidRDefault="00A90ABE" w:rsidP="00A90ABE">
            <w:pPr>
              <w:pStyle w:val="IFTnormal"/>
              <w:rPr>
                <w:b/>
                <w:sz w:val="20"/>
                <w:szCs w:val="20"/>
              </w:rPr>
            </w:pPr>
            <w:r w:rsidRPr="00D27B7C">
              <w:rPr>
                <w:b/>
                <w:sz w:val="20"/>
                <w:szCs w:val="20"/>
              </w:rPr>
              <w:t>Envío de solicitud</w:t>
            </w:r>
          </w:p>
        </w:tc>
        <w:tc>
          <w:tcPr>
            <w:tcW w:w="3342" w:type="pct"/>
          </w:tcPr>
          <w:p w14:paraId="0B720B5F" w14:textId="7F2AAEB0" w:rsidR="00A90ABE" w:rsidRPr="00D27B7C" w:rsidRDefault="00A90ABE" w:rsidP="00A90ABE">
            <w:pPr>
              <w:pStyle w:val="IFTnormal"/>
              <w:rPr>
                <w:sz w:val="20"/>
                <w:szCs w:val="20"/>
              </w:rPr>
            </w:pPr>
            <w:r w:rsidRPr="00D27B7C">
              <w:rPr>
                <w:sz w:val="20"/>
                <w:szCs w:val="20"/>
              </w:rPr>
              <w:t>El CS deberá ingresar la solicitud al SEG o vía telefónica al 01800-4040734 indicando el NIS-Referencia del servicio en que desea cancelar</w:t>
            </w:r>
            <w:r w:rsidR="00342400" w:rsidRPr="00D27B7C">
              <w:rPr>
                <w:rStyle w:val="Refdenotaalpie"/>
                <w:rFonts w:cs="Arial"/>
                <w:sz w:val="20"/>
                <w:szCs w:val="20"/>
              </w:rPr>
              <w:footnoteReference w:id="19"/>
            </w:r>
            <w:r w:rsidRPr="00D27B7C">
              <w:rPr>
                <w:sz w:val="20"/>
                <w:szCs w:val="20"/>
              </w:rPr>
              <w:t>.</w:t>
            </w:r>
          </w:p>
        </w:tc>
      </w:tr>
      <w:tr w:rsidR="00A90ABE" w:rsidRPr="00D27B7C" w14:paraId="435046C0" w14:textId="77777777" w:rsidTr="00060B2E">
        <w:tc>
          <w:tcPr>
            <w:tcW w:w="1658" w:type="pct"/>
          </w:tcPr>
          <w:p w14:paraId="58612319" w14:textId="77777777" w:rsidR="00A90ABE" w:rsidRPr="00D27B7C" w:rsidRDefault="00A90ABE" w:rsidP="00A90ABE">
            <w:pPr>
              <w:pStyle w:val="IFTnormal"/>
              <w:rPr>
                <w:b/>
                <w:sz w:val="20"/>
                <w:szCs w:val="20"/>
              </w:rPr>
            </w:pPr>
            <w:r w:rsidRPr="00D27B7C">
              <w:rPr>
                <w:b/>
                <w:sz w:val="20"/>
                <w:szCs w:val="20"/>
              </w:rPr>
              <w:t>Validación de solicitud</w:t>
            </w:r>
          </w:p>
        </w:tc>
        <w:tc>
          <w:tcPr>
            <w:tcW w:w="3342" w:type="pct"/>
          </w:tcPr>
          <w:p w14:paraId="218C4E46" w14:textId="7BB1B58D" w:rsidR="00A90ABE" w:rsidRPr="00D27B7C" w:rsidRDefault="00A90ABE" w:rsidP="00065A98">
            <w:pPr>
              <w:pStyle w:val="IFTnormal"/>
              <w:rPr>
                <w:sz w:val="20"/>
                <w:szCs w:val="20"/>
              </w:rPr>
            </w:pPr>
            <w:r w:rsidRPr="00D27B7C">
              <w:rPr>
                <w:sz w:val="20"/>
                <w:szCs w:val="20"/>
              </w:rPr>
              <w:t>Durante el proceso de validación, Telmex evaluará las solicitudes enviadas por los CS para determinar si:</w:t>
            </w:r>
          </w:p>
          <w:p w14:paraId="1EA3A541" w14:textId="5B8787C5" w:rsidR="00A90ABE" w:rsidRPr="00D27B7C" w:rsidRDefault="00A90ABE" w:rsidP="00065A98">
            <w:pPr>
              <w:pStyle w:val="IFTnormal"/>
              <w:numPr>
                <w:ilvl w:val="0"/>
                <w:numId w:val="102"/>
              </w:numPr>
              <w:ind w:left="318" w:hanging="318"/>
              <w:rPr>
                <w:sz w:val="20"/>
                <w:szCs w:val="20"/>
              </w:rPr>
            </w:pPr>
            <w:r w:rsidRPr="00D27B7C">
              <w:rPr>
                <w:b/>
                <w:sz w:val="20"/>
                <w:szCs w:val="20"/>
              </w:rPr>
              <w:t>Si la solicitud es correcta</w:t>
            </w:r>
            <w:r w:rsidRPr="00D27B7C">
              <w:rPr>
                <w:sz w:val="20"/>
                <w:szCs w:val="20"/>
              </w:rPr>
              <w:t xml:space="preserve">, Telmex validará que la solicitud de cancelación corresponda al CS y se revisará el estatus actual de </w:t>
            </w:r>
            <w:r w:rsidRPr="00D27B7C">
              <w:rPr>
                <w:sz w:val="20"/>
                <w:szCs w:val="20"/>
              </w:rPr>
              <w:lastRenderedPageBreak/>
              <w:t>la orden de servicio.</w:t>
            </w:r>
          </w:p>
          <w:p w14:paraId="07076F94" w14:textId="5BD395ED" w:rsidR="00A90ABE" w:rsidRPr="00D27B7C" w:rsidRDefault="00A90ABE" w:rsidP="00065A98">
            <w:pPr>
              <w:pStyle w:val="IFTnormal"/>
              <w:numPr>
                <w:ilvl w:val="0"/>
                <w:numId w:val="102"/>
              </w:numPr>
              <w:ind w:left="318" w:hanging="318"/>
              <w:rPr>
                <w:sz w:val="20"/>
                <w:szCs w:val="20"/>
              </w:rPr>
            </w:pPr>
            <w:r w:rsidRPr="00D27B7C">
              <w:rPr>
                <w:b/>
                <w:sz w:val="20"/>
                <w:szCs w:val="20"/>
              </w:rPr>
              <w:t>Si es incorrecta</w:t>
            </w:r>
            <w:r w:rsidRPr="00D27B7C">
              <w:rPr>
                <w:sz w:val="20"/>
                <w:szCs w:val="20"/>
              </w:rPr>
              <w:t>, Telmex devolverá la solicitud al CS indicando el motivo de rechazo, para que sea corregida y reenviada nuevamente a validación.</w:t>
            </w:r>
          </w:p>
        </w:tc>
      </w:tr>
      <w:tr w:rsidR="00A90ABE" w:rsidRPr="00D27B7C" w14:paraId="754A12E4" w14:textId="77777777" w:rsidTr="00060B2E">
        <w:tc>
          <w:tcPr>
            <w:tcW w:w="1658" w:type="pct"/>
          </w:tcPr>
          <w:p w14:paraId="79B70040" w14:textId="77777777" w:rsidR="00A90ABE" w:rsidRPr="00D27B7C" w:rsidRDefault="00A90ABE" w:rsidP="00A90ABE">
            <w:pPr>
              <w:pStyle w:val="IFTnormal"/>
              <w:rPr>
                <w:b/>
                <w:sz w:val="20"/>
                <w:szCs w:val="20"/>
              </w:rPr>
            </w:pPr>
            <w:r w:rsidRPr="00D27B7C">
              <w:rPr>
                <w:b/>
                <w:sz w:val="20"/>
                <w:szCs w:val="20"/>
              </w:rPr>
              <w:lastRenderedPageBreak/>
              <w:t>Cancelación del (los) servicio (s)</w:t>
            </w:r>
          </w:p>
        </w:tc>
        <w:tc>
          <w:tcPr>
            <w:tcW w:w="3342" w:type="pct"/>
          </w:tcPr>
          <w:p w14:paraId="7C91828B" w14:textId="77777777" w:rsidR="00A90ABE" w:rsidRPr="00D27B7C" w:rsidRDefault="00A90ABE" w:rsidP="00065A98">
            <w:pPr>
              <w:pStyle w:val="IFTnormal"/>
              <w:rPr>
                <w:sz w:val="20"/>
                <w:szCs w:val="20"/>
              </w:rPr>
            </w:pPr>
            <w:r w:rsidRPr="00D27B7C">
              <w:rPr>
                <w:sz w:val="20"/>
                <w:szCs w:val="20"/>
              </w:rPr>
              <w:t>Se cancela la solicitud, no se aplicará cobro alguno si la notificación de cancelación se hace con un mínimo de 3 días de anticipación a la fecha confirmada de la habilitación del servicio.</w:t>
            </w:r>
          </w:p>
        </w:tc>
      </w:tr>
    </w:tbl>
    <w:p w14:paraId="6A76345A" w14:textId="77777777" w:rsidR="00D04E70" w:rsidRDefault="00D04E70" w:rsidP="00D27B7C">
      <w:pPr>
        <w:pStyle w:val="IFTnormal"/>
        <w:ind w:left="709" w:right="-425"/>
      </w:pPr>
    </w:p>
    <w:p w14:paraId="35C3B388" w14:textId="65362D56" w:rsidR="00A90ABE" w:rsidRPr="00D04E70" w:rsidRDefault="00A90ABE" w:rsidP="00D27B7C">
      <w:pPr>
        <w:pStyle w:val="IFTnormal"/>
        <w:ind w:right="-284"/>
        <w:rPr>
          <w:b/>
        </w:rPr>
      </w:pPr>
      <w:r w:rsidRPr="00D04E70">
        <w:rPr>
          <w:b/>
        </w:rPr>
        <w:t>Procedimiento de modificación del SRMLT</w:t>
      </w:r>
    </w:p>
    <w:p w14:paraId="2FCB483E" w14:textId="0AE3EAD5" w:rsidR="00A90ABE" w:rsidRPr="00F248C2" w:rsidRDefault="00A90ABE" w:rsidP="00060B2E">
      <w:pPr>
        <w:pStyle w:val="IFTnormal"/>
        <w:ind w:left="-567" w:right="-142"/>
      </w:pPr>
      <w:r w:rsidRPr="00F248C2">
        <w:t>El objetivo y alcance de este procedimiento es definir los pasos y actividades a desarrollar por parte de Telmex y del CS, a fin de realizar la modificación del servicio de SRMLT a petición del CS. Las fases en que se divide este procedimiento son: (i) Entrega y validación de la solicitud para que el CS manifieste su intención de modificar las características de algún servicio contratado, y la evaluación por parte de Telme</w:t>
      </w:r>
      <w:r w:rsidR="00CC2856">
        <w:t>x</w:t>
      </w:r>
      <w:r w:rsidRPr="00F248C2">
        <w:t xml:space="preserve"> para validar que la solicitud cuenta con todos los elementos para procesar las modificaciones requeridas; y (ii) Habilitación y aprovisionamiento de las modificaciones, que detonará los procesos de pruebas de entrega y facturación.</w:t>
      </w:r>
    </w:p>
    <w:tbl>
      <w:tblPr>
        <w:tblStyle w:val="Tablaconcuadrcula"/>
        <w:tblW w:w="5385" w:type="pct"/>
        <w:tblInd w:w="-572" w:type="dxa"/>
        <w:tblLook w:val="04A0" w:firstRow="1" w:lastRow="0" w:firstColumn="1" w:lastColumn="0" w:noHBand="0" w:noVBand="1"/>
        <w:tblCaption w:val="Tabla"/>
        <w:tblDescription w:val="Etapas"/>
      </w:tblPr>
      <w:tblGrid>
        <w:gridCol w:w="3524"/>
        <w:gridCol w:w="6785"/>
      </w:tblGrid>
      <w:tr w:rsidR="00A90ABE" w:rsidRPr="003D60A8" w14:paraId="26ACCF0E" w14:textId="77777777" w:rsidTr="00060B2E">
        <w:trPr>
          <w:tblHeader/>
        </w:trPr>
        <w:tc>
          <w:tcPr>
            <w:tcW w:w="1709" w:type="pct"/>
          </w:tcPr>
          <w:p w14:paraId="249F3237" w14:textId="77777777" w:rsidR="00A90ABE" w:rsidRPr="003D60A8" w:rsidRDefault="00A90ABE" w:rsidP="00A90ABE">
            <w:pPr>
              <w:pStyle w:val="IFTnormal"/>
              <w:jc w:val="center"/>
              <w:rPr>
                <w:b/>
                <w:sz w:val="20"/>
                <w:szCs w:val="20"/>
              </w:rPr>
            </w:pPr>
            <w:r w:rsidRPr="003D60A8">
              <w:rPr>
                <w:b/>
                <w:sz w:val="20"/>
                <w:szCs w:val="20"/>
              </w:rPr>
              <w:t>Etapa</w:t>
            </w:r>
          </w:p>
        </w:tc>
        <w:tc>
          <w:tcPr>
            <w:tcW w:w="3291" w:type="pct"/>
          </w:tcPr>
          <w:p w14:paraId="0A562A98" w14:textId="77777777" w:rsidR="00A90ABE" w:rsidRPr="003D60A8" w:rsidRDefault="00A90ABE" w:rsidP="00A90ABE">
            <w:pPr>
              <w:pStyle w:val="IFTnormal"/>
              <w:jc w:val="center"/>
              <w:rPr>
                <w:b/>
                <w:sz w:val="20"/>
                <w:szCs w:val="20"/>
              </w:rPr>
            </w:pPr>
            <w:r w:rsidRPr="003D60A8">
              <w:rPr>
                <w:b/>
                <w:sz w:val="20"/>
                <w:szCs w:val="20"/>
              </w:rPr>
              <w:t>Descripción</w:t>
            </w:r>
          </w:p>
        </w:tc>
      </w:tr>
      <w:tr w:rsidR="00A90ABE" w:rsidRPr="003D60A8" w14:paraId="42B365DF" w14:textId="77777777" w:rsidTr="00060B2E">
        <w:tc>
          <w:tcPr>
            <w:tcW w:w="1709" w:type="pct"/>
          </w:tcPr>
          <w:p w14:paraId="4E900AA7" w14:textId="77777777" w:rsidR="00A90ABE" w:rsidRPr="003D60A8" w:rsidRDefault="00A90ABE" w:rsidP="00A90ABE">
            <w:pPr>
              <w:pStyle w:val="IFTnormal"/>
              <w:jc w:val="left"/>
              <w:rPr>
                <w:b/>
                <w:sz w:val="20"/>
                <w:szCs w:val="20"/>
              </w:rPr>
            </w:pPr>
            <w:r w:rsidRPr="003D60A8">
              <w:rPr>
                <w:b/>
                <w:sz w:val="20"/>
                <w:szCs w:val="20"/>
              </w:rPr>
              <w:t>Envío de solicitud</w:t>
            </w:r>
          </w:p>
        </w:tc>
        <w:tc>
          <w:tcPr>
            <w:tcW w:w="3291" w:type="pct"/>
          </w:tcPr>
          <w:p w14:paraId="06F575D9" w14:textId="32ADAE3D" w:rsidR="00A90ABE" w:rsidRPr="003D60A8" w:rsidRDefault="00A90ABE" w:rsidP="00A90ABE">
            <w:pPr>
              <w:pStyle w:val="IFTnormal"/>
              <w:rPr>
                <w:sz w:val="20"/>
                <w:szCs w:val="20"/>
              </w:rPr>
            </w:pPr>
            <w:r w:rsidRPr="003D60A8">
              <w:rPr>
                <w:sz w:val="20"/>
                <w:szCs w:val="20"/>
              </w:rPr>
              <w:t>El CS deberá presentar sus solicitudes en el SEG, especificando el NIS-Referencia del servicio a modificar:</w:t>
            </w:r>
          </w:p>
          <w:p w14:paraId="11B6BCC2" w14:textId="77777777" w:rsidR="00A90ABE" w:rsidRPr="003D60A8" w:rsidRDefault="00A90ABE" w:rsidP="00A90ABE">
            <w:pPr>
              <w:pStyle w:val="IFTnormal"/>
              <w:numPr>
                <w:ilvl w:val="0"/>
                <w:numId w:val="102"/>
              </w:numPr>
              <w:spacing w:after="120" w:line="240" w:lineRule="auto"/>
              <w:ind w:left="318" w:hanging="284"/>
              <w:rPr>
                <w:sz w:val="20"/>
                <w:szCs w:val="20"/>
              </w:rPr>
            </w:pPr>
            <w:r w:rsidRPr="003D60A8">
              <w:rPr>
                <w:sz w:val="20"/>
                <w:szCs w:val="20"/>
              </w:rPr>
              <w:t>Indicar si se habilitarán/deshabilitarán servicios digitales y/o marcaciones solicitados (entendiendo esto último como restricción de marcaciones).</w:t>
            </w:r>
          </w:p>
          <w:p w14:paraId="2A74176C" w14:textId="77777777" w:rsidR="00A90ABE" w:rsidRPr="003D60A8" w:rsidRDefault="00A90ABE" w:rsidP="00065A98">
            <w:pPr>
              <w:pStyle w:val="IFTnormal"/>
              <w:numPr>
                <w:ilvl w:val="0"/>
                <w:numId w:val="102"/>
              </w:numPr>
              <w:spacing w:line="240" w:lineRule="auto"/>
              <w:ind w:left="318" w:hanging="318"/>
              <w:rPr>
                <w:sz w:val="20"/>
                <w:szCs w:val="20"/>
              </w:rPr>
            </w:pPr>
            <w:r w:rsidRPr="003D60A8">
              <w:rPr>
                <w:sz w:val="20"/>
                <w:szCs w:val="20"/>
              </w:rPr>
              <w:t>Indicar fecha de activación de los nuevos servicios digitales y/o marcaciones solicitados (entendiendo esto último como restricción de marcaciones).</w:t>
            </w:r>
          </w:p>
        </w:tc>
      </w:tr>
      <w:tr w:rsidR="00A90ABE" w:rsidRPr="003D60A8" w14:paraId="30E26585" w14:textId="77777777" w:rsidTr="00060B2E">
        <w:tc>
          <w:tcPr>
            <w:tcW w:w="1709" w:type="pct"/>
          </w:tcPr>
          <w:p w14:paraId="7757FB78" w14:textId="77777777" w:rsidR="00A90ABE" w:rsidRPr="003D60A8" w:rsidRDefault="00A90ABE" w:rsidP="00A90ABE">
            <w:pPr>
              <w:pStyle w:val="IFTnormal"/>
              <w:jc w:val="left"/>
              <w:rPr>
                <w:b/>
                <w:sz w:val="20"/>
                <w:szCs w:val="20"/>
              </w:rPr>
            </w:pPr>
            <w:r w:rsidRPr="003D60A8">
              <w:rPr>
                <w:b/>
                <w:sz w:val="20"/>
                <w:szCs w:val="20"/>
              </w:rPr>
              <w:t>Validación de solicitud</w:t>
            </w:r>
          </w:p>
        </w:tc>
        <w:tc>
          <w:tcPr>
            <w:tcW w:w="3291" w:type="pct"/>
          </w:tcPr>
          <w:p w14:paraId="0557142C" w14:textId="77777777" w:rsidR="00A90ABE" w:rsidRPr="003D60A8" w:rsidRDefault="00A90ABE" w:rsidP="00065A98">
            <w:pPr>
              <w:pStyle w:val="IFTnormal"/>
              <w:rPr>
                <w:sz w:val="20"/>
                <w:szCs w:val="20"/>
              </w:rPr>
            </w:pPr>
            <w:r w:rsidRPr="003D60A8">
              <w:rPr>
                <w:sz w:val="20"/>
                <w:szCs w:val="20"/>
              </w:rPr>
              <w:t>Una vez enviada será validada en un plazo máximo de 1 día hábil, así mismo se asignará de forma automática un número de folio a la solicitud del CS.</w:t>
            </w:r>
          </w:p>
          <w:p w14:paraId="78AD8CE9" w14:textId="11AC4929" w:rsidR="00A90ABE" w:rsidRPr="003D60A8" w:rsidRDefault="00A90ABE" w:rsidP="00065A98">
            <w:pPr>
              <w:pStyle w:val="IFTnormal"/>
              <w:rPr>
                <w:sz w:val="20"/>
                <w:szCs w:val="20"/>
              </w:rPr>
            </w:pPr>
            <w:r w:rsidRPr="003D60A8">
              <w:rPr>
                <w:sz w:val="20"/>
                <w:szCs w:val="20"/>
              </w:rPr>
              <w:t>Durante el proceso de validación, Telmex evaluará las solicitudes enviadas por los CS para determinar si:</w:t>
            </w:r>
          </w:p>
          <w:p w14:paraId="3503B7F0" w14:textId="77777777" w:rsidR="00A90ABE" w:rsidRPr="003D60A8" w:rsidRDefault="00A90ABE" w:rsidP="00065A98">
            <w:pPr>
              <w:pStyle w:val="IFTnormal"/>
              <w:numPr>
                <w:ilvl w:val="0"/>
                <w:numId w:val="101"/>
              </w:numPr>
              <w:spacing w:line="240" w:lineRule="auto"/>
              <w:rPr>
                <w:sz w:val="20"/>
                <w:szCs w:val="20"/>
              </w:rPr>
            </w:pPr>
            <w:r w:rsidRPr="003D60A8">
              <w:rPr>
                <w:sz w:val="20"/>
                <w:szCs w:val="20"/>
              </w:rPr>
              <w:t>La información capturada es suficiente para procesar la solicitud.</w:t>
            </w:r>
          </w:p>
          <w:p w14:paraId="6AB43E3D" w14:textId="77777777" w:rsidR="00A90ABE" w:rsidRPr="003D60A8" w:rsidRDefault="00A90ABE" w:rsidP="00065A98">
            <w:pPr>
              <w:pStyle w:val="IFTnormal"/>
              <w:numPr>
                <w:ilvl w:val="0"/>
                <w:numId w:val="101"/>
              </w:numPr>
              <w:spacing w:line="240" w:lineRule="auto"/>
              <w:rPr>
                <w:sz w:val="20"/>
                <w:szCs w:val="20"/>
              </w:rPr>
            </w:pPr>
            <w:r w:rsidRPr="003D60A8">
              <w:rPr>
                <w:sz w:val="20"/>
                <w:szCs w:val="20"/>
              </w:rPr>
              <w:t xml:space="preserve">El CS capturó correctamente los detalles del servicio </w:t>
            </w:r>
            <w:r w:rsidRPr="003D60A8">
              <w:rPr>
                <w:sz w:val="20"/>
                <w:szCs w:val="20"/>
              </w:rPr>
              <w:lastRenderedPageBreak/>
              <w:t>requerido.</w:t>
            </w:r>
          </w:p>
          <w:p w14:paraId="1FC49203" w14:textId="6195428B" w:rsidR="00A90ABE" w:rsidRPr="003D60A8" w:rsidRDefault="00A90ABE" w:rsidP="00065A98">
            <w:pPr>
              <w:pStyle w:val="IFTnormal"/>
              <w:numPr>
                <w:ilvl w:val="0"/>
                <w:numId w:val="102"/>
              </w:numPr>
              <w:spacing w:line="240" w:lineRule="auto"/>
              <w:ind w:left="318" w:hanging="318"/>
              <w:rPr>
                <w:sz w:val="20"/>
                <w:szCs w:val="20"/>
              </w:rPr>
            </w:pPr>
            <w:r w:rsidRPr="003D60A8">
              <w:rPr>
                <w:b/>
                <w:sz w:val="20"/>
                <w:szCs w:val="20"/>
              </w:rPr>
              <w:t>Si la solicitud es correcta</w:t>
            </w:r>
            <w:r w:rsidRPr="003D60A8">
              <w:rPr>
                <w:sz w:val="20"/>
                <w:szCs w:val="20"/>
              </w:rPr>
              <w:t>, Telmex cambiará el folio previamente asignado por el Número de Identificación de Solicitud (NIS).</w:t>
            </w:r>
          </w:p>
          <w:p w14:paraId="53224D7D" w14:textId="5B28DCA9" w:rsidR="00A90ABE" w:rsidRPr="003D60A8" w:rsidRDefault="00A90ABE" w:rsidP="00065A98">
            <w:pPr>
              <w:pStyle w:val="IFTnormal"/>
              <w:numPr>
                <w:ilvl w:val="0"/>
                <w:numId w:val="102"/>
              </w:numPr>
              <w:spacing w:line="240" w:lineRule="auto"/>
              <w:ind w:left="318" w:hanging="318"/>
              <w:rPr>
                <w:sz w:val="20"/>
                <w:szCs w:val="20"/>
              </w:rPr>
            </w:pPr>
            <w:r w:rsidRPr="003D60A8">
              <w:rPr>
                <w:b/>
                <w:sz w:val="20"/>
                <w:szCs w:val="20"/>
              </w:rPr>
              <w:t>Si es incorrecta</w:t>
            </w:r>
            <w:r w:rsidRPr="003D60A8">
              <w:rPr>
                <w:sz w:val="20"/>
                <w:szCs w:val="20"/>
              </w:rPr>
              <w:t>, Telmex devolverá la solicitud al CS indicando el motivo de rechazo, para que sea corregida y reenviada nuevamente a validación.</w:t>
            </w:r>
          </w:p>
          <w:p w14:paraId="66038A6D" w14:textId="77777777" w:rsidR="00A90ABE" w:rsidRPr="003D60A8" w:rsidRDefault="00A90ABE" w:rsidP="00065A98">
            <w:pPr>
              <w:pStyle w:val="IFTnormal"/>
              <w:rPr>
                <w:sz w:val="20"/>
                <w:szCs w:val="20"/>
              </w:rPr>
            </w:pPr>
            <w:r w:rsidRPr="003D60A8">
              <w:rPr>
                <w:sz w:val="20"/>
                <w:szCs w:val="20"/>
              </w:rPr>
              <w:t>La aceptación de la solicitud detonará la modificación del servicio.</w:t>
            </w:r>
          </w:p>
        </w:tc>
      </w:tr>
      <w:tr w:rsidR="00A90ABE" w:rsidRPr="003D60A8" w14:paraId="404D75DB" w14:textId="77777777" w:rsidTr="00060B2E">
        <w:tc>
          <w:tcPr>
            <w:tcW w:w="1709" w:type="pct"/>
          </w:tcPr>
          <w:p w14:paraId="785D64B2" w14:textId="77777777" w:rsidR="00A90ABE" w:rsidRPr="003D60A8" w:rsidRDefault="00A90ABE" w:rsidP="00A90ABE">
            <w:pPr>
              <w:pStyle w:val="IFTnormal"/>
              <w:jc w:val="left"/>
              <w:rPr>
                <w:b/>
                <w:sz w:val="20"/>
                <w:szCs w:val="20"/>
              </w:rPr>
            </w:pPr>
            <w:r w:rsidRPr="003D60A8">
              <w:rPr>
                <w:b/>
                <w:sz w:val="20"/>
                <w:szCs w:val="20"/>
              </w:rPr>
              <w:lastRenderedPageBreak/>
              <w:t>Habilitación y aprovisionamiento del Servicio</w:t>
            </w:r>
          </w:p>
        </w:tc>
        <w:tc>
          <w:tcPr>
            <w:tcW w:w="3291" w:type="pct"/>
          </w:tcPr>
          <w:p w14:paraId="6D6C4934" w14:textId="52257218" w:rsidR="00A90ABE" w:rsidRPr="003D60A8" w:rsidRDefault="00A90ABE" w:rsidP="00065A98">
            <w:pPr>
              <w:pStyle w:val="IFTnormal"/>
              <w:rPr>
                <w:sz w:val="20"/>
                <w:szCs w:val="20"/>
              </w:rPr>
            </w:pPr>
            <w:r w:rsidRPr="003D60A8">
              <w:rPr>
                <w:sz w:val="20"/>
                <w:szCs w:val="20"/>
              </w:rPr>
              <w:t xml:space="preserve">Telmex llevará a cabo las actuaciones necesarias para modificar el servicio el día confirmado por el CS; </w:t>
            </w:r>
          </w:p>
          <w:p w14:paraId="56240E82" w14:textId="40146678" w:rsidR="00A90ABE" w:rsidRPr="00065A98" w:rsidRDefault="00A90ABE" w:rsidP="00065A98">
            <w:pPr>
              <w:pStyle w:val="IFTnormal"/>
              <w:numPr>
                <w:ilvl w:val="0"/>
                <w:numId w:val="102"/>
              </w:numPr>
              <w:ind w:left="318" w:hanging="318"/>
              <w:rPr>
                <w:sz w:val="20"/>
                <w:szCs w:val="20"/>
              </w:rPr>
            </w:pPr>
            <w:r w:rsidRPr="003D60A8">
              <w:rPr>
                <w:sz w:val="20"/>
                <w:szCs w:val="20"/>
              </w:rPr>
              <w:t>Se activarán/desactivarán los servicios digitales o de marcaciones solicitados (entendiendo esto último como restricción de marcaciones), en un plazo no mayor a 1 día hábil.</w:t>
            </w:r>
          </w:p>
        </w:tc>
      </w:tr>
      <w:tr w:rsidR="00A90ABE" w:rsidRPr="003D60A8" w14:paraId="7E029C28" w14:textId="77777777" w:rsidTr="00060B2E">
        <w:tc>
          <w:tcPr>
            <w:tcW w:w="1709" w:type="pct"/>
          </w:tcPr>
          <w:p w14:paraId="76AF2A39" w14:textId="77777777" w:rsidR="00A90ABE" w:rsidRPr="003D60A8" w:rsidRDefault="00A90ABE" w:rsidP="00A90ABE">
            <w:pPr>
              <w:pStyle w:val="IFTnormal"/>
              <w:jc w:val="left"/>
              <w:rPr>
                <w:b/>
                <w:sz w:val="20"/>
                <w:szCs w:val="20"/>
              </w:rPr>
            </w:pPr>
            <w:r w:rsidRPr="003D60A8">
              <w:rPr>
                <w:b/>
                <w:sz w:val="20"/>
                <w:szCs w:val="20"/>
              </w:rPr>
              <w:t>Facturación</w:t>
            </w:r>
          </w:p>
        </w:tc>
        <w:tc>
          <w:tcPr>
            <w:tcW w:w="3291" w:type="pct"/>
          </w:tcPr>
          <w:p w14:paraId="38F3BA7A" w14:textId="77777777" w:rsidR="00A90ABE" w:rsidRPr="003D60A8" w:rsidRDefault="00A90ABE" w:rsidP="00065A98">
            <w:pPr>
              <w:pStyle w:val="IFTnormal"/>
              <w:rPr>
                <w:sz w:val="20"/>
                <w:szCs w:val="20"/>
              </w:rPr>
            </w:pPr>
            <w:r w:rsidRPr="003D60A8">
              <w:rPr>
                <w:sz w:val="20"/>
                <w:szCs w:val="20"/>
              </w:rPr>
              <w:t>Al corte del mes se realizará la facturación aplicable al servicio:</w:t>
            </w:r>
          </w:p>
          <w:p w14:paraId="7945B834" w14:textId="77777777" w:rsidR="00A90ABE" w:rsidRPr="003D60A8" w:rsidRDefault="00A90ABE" w:rsidP="00065A98">
            <w:pPr>
              <w:pStyle w:val="IFTnormal"/>
              <w:numPr>
                <w:ilvl w:val="0"/>
                <w:numId w:val="102"/>
              </w:numPr>
              <w:spacing w:line="240" w:lineRule="auto"/>
              <w:ind w:left="318" w:hanging="284"/>
              <w:rPr>
                <w:sz w:val="20"/>
                <w:szCs w:val="20"/>
              </w:rPr>
            </w:pPr>
            <w:r w:rsidRPr="003D60A8">
              <w:rPr>
                <w:sz w:val="20"/>
                <w:szCs w:val="20"/>
              </w:rPr>
              <w:t>Se incluirán los gastos de instalación y la renta mensual correspondiente.</w:t>
            </w:r>
          </w:p>
          <w:p w14:paraId="02B89396" w14:textId="77777777" w:rsidR="00A90ABE" w:rsidRPr="003D60A8" w:rsidRDefault="00A90ABE" w:rsidP="00065A98">
            <w:pPr>
              <w:pStyle w:val="IFTnormal"/>
              <w:numPr>
                <w:ilvl w:val="0"/>
                <w:numId w:val="102"/>
              </w:numPr>
              <w:spacing w:line="240" w:lineRule="auto"/>
              <w:ind w:left="318" w:hanging="284"/>
              <w:rPr>
                <w:sz w:val="20"/>
                <w:szCs w:val="20"/>
              </w:rPr>
            </w:pPr>
            <w:r w:rsidRPr="003D60A8">
              <w:rPr>
                <w:sz w:val="20"/>
                <w:szCs w:val="20"/>
              </w:rPr>
              <w:t>El CS contará con la posibilidad de solicitar ajustes o aclaraciones respecto a los conceptos y servicios incluidos en su factura.</w:t>
            </w:r>
          </w:p>
        </w:tc>
      </w:tr>
    </w:tbl>
    <w:p w14:paraId="452DB35A" w14:textId="77777777" w:rsidR="00A90ABE" w:rsidRDefault="00A90ABE" w:rsidP="00A90ABE">
      <w:pPr>
        <w:pStyle w:val="IFTnormal"/>
        <w:ind w:left="709"/>
        <w:rPr>
          <w:b/>
        </w:rPr>
      </w:pPr>
    </w:p>
    <w:p w14:paraId="0546682E" w14:textId="5041F52E" w:rsidR="00A90ABE" w:rsidRPr="00D04E70" w:rsidRDefault="00A90ABE" w:rsidP="00065A98">
      <w:pPr>
        <w:pStyle w:val="IFTnormal"/>
        <w:ind w:right="-284"/>
        <w:rPr>
          <w:b/>
        </w:rPr>
      </w:pPr>
      <w:r w:rsidRPr="00D04E70">
        <w:rPr>
          <w:b/>
        </w:rPr>
        <w:t>Procedimiento de baja de SRMLT</w:t>
      </w:r>
    </w:p>
    <w:p w14:paraId="79175013" w14:textId="7BA024A5" w:rsidR="00A90ABE" w:rsidRPr="00853D00" w:rsidRDefault="00A90ABE" w:rsidP="00060B2E">
      <w:pPr>
        <w:pStyle w:val="IFTnormal"/>
        <w:ind w:left="-567" w:right="-142"/>
      </w:pPr>
      <w:r w:rsidRPr="00853D00">
        <w:t>El objetivo y alcance de este procedimiento es definir los pasos y actividades a desarrollar por parte de Telme</w:t>
      </w:r>
      <w:r w:rsidR="00CC2856">
        <w:t>x</w:t>
      </w:r>
      <w:r w:rsidRPr="00853D00">
        <w:t xml:space="preserve"> y del CS, a fin de realizar la baja el servicio de </w:t>
      </w:r>
      <w:r w:rsidRPr="00853D00">
        <w:rPr>
          <w:rStyle w:val="IFTnormalCar"/>
          <w:rFonts w:cs="Arial"/>
          <w:szCs w:val="18"/>
          <w:lang w:eastAsia="es-ES"/>
        </w:rPr>
        <w:t>SRMLT; las fases en que se divide este procedimiento son: (i) Entrega y</w:t>
      </w:r>
      <w:r w:rsidRPr="00853D00">
        <w:t xml:space="preserve"> validación de la solicitud para que el CS manifieste su intención de dar de baja los servicios, y la validación por parte de Telmex de que la solicitud cuenta con todos los elementos; y (ii) Baja del servicio y de la facturación correspondiente.</w:t>
      </w:r>
    </w:p>
    <w:tbl>
      <w:tblPr>
        <w:tblStyle w:val="Tablaconcuadrcula"/>
        <w:tblW w:w="5385" w:type="pct"/>
        <w:tblInd w:w="-572" w:type="dxa"/>
        <w:tblLook w:val="04A0" w:firstRow="1" w:lastRow="0" w:firstColumn="1" w:lastColumn="0" w:noHBand="0" w:noVBand="1"/>
        <w:tblCaption w:val="Tabla"/>
        <w:tblDescription w:val="Etapas"/>
      </w:tblPr>
      <w:tblGrid>
        <w:gridCol w:w="3435"/>
        <w:gridCol w:w="6874"/>
      </w:tblGrid>
      <w:tr w:rsidR="00A90ABE" w:rsidRPr="003D60A8" w14:paraId="394320D0" w14:textId="77777777" w:rsidTr="00060B2E">
        <w:trPr>
          <w:tblHeader/>
        </w:trPr>
        <w:tc>
          <w:tcPr>
            <w:tcW w:w="1666" w:type="pct"/>
          </w:tcPr>
          <w:p w14:paraId="0E67DEEB" w14:textId="77777777" w:rsidR="00A90ABE" w:rsidRPr="003D60A8" w:rsidRDefault="00A90ABE" w:rsidP="00A90ABE">
            <w:pPr>
              <w:pStyle w:val="IFTnormal"/>
              <w:rPr>
                <w:b/>
                <w:sz w:val="20"/>
                <w:szCs w:val="20"/>
              </w:rPr>
            </w:pPr>
            <w:r w:rsidRPr="003D60A8">
              <w:rPr>
                <w:b/>
                <w:sz w:val="20"/>
                <w:szCs w:val="20"/>
              </w:rPr>
              <w:t>Etapa</w:t>
            </w:r>
          </w:p>
        </w:tc>
        <w:tc>
          <w:tcPr>
            <w:tcW w:w="3334" w:type="pct"/>
          </w:tcPr>
          <w:p w14:paraId="41DF9425" w14:textId="77777777" w:rsidR="00A90ABE" w:rsidRPr="003D60A8" w:rsidRDefault="00A90ABE" w:rsidP="00A90ABE">
            <w:pPr>
              <w:pStyle w:val="IFTnormal"/>
              <w:rPr>
                <w:b/>
                <w:sz w:val="20"/>
                <w:szCs w:val="20"/>
              </w:rPr>
            </w:pPr>
            <w:r w:rsidRPr="003D60A8">
              <w:rPr>
                <w:b/>
                <w:sz w:val="20"/>
                <w:szCs w:val="20"/>
              </w:rPr>
              <w:t>Descripción</w:t>
            </w:r>
          </w:p>
        </w:tc>
      </w:tr>
      <w:tr w:rsidR="00A90ABE" w:rsidRPr="003D60A8" w14:paraId="5E65E318" w14:textId="77777777" w:rsidTr="00060B2E">
        <w:tc>
          <w:tcPr>
            <w:tcW w:w="1666" w:type="pct"/>
          </w:tcPr>
          <w:p w14:paraId="5F4EAF71" w14:textId="77777777" w:rsidR="00A90ABE" w:rsidRPr="003D60A8" w:rsidRDefault="00A90ABE" w:rsidP="00A90ABE">
            <w:pPr>
              <w:pStyle w:val="IFTnormal"/>
              <w:rPr>
                <w:b/>
                <w:sz w:val="20"/>
                <w:szCs w:val="20"/>
              </w:rPr>
            </w:pPr>
            <w:r w:rsidRPr="003D60A8">
              <w:rPr>
                <w:b/>
                <w:sz w:val="20"/>
                <w:szCs w:val="20"/>
              </w:rPr>
              <w:t>Envío de solicitud</w:t>
            </w:r>
          </w:p>
        </w:tc>
        <w:tc>
          <w:tcPr>
            <w:tcW w:w="3334" w:type="pct"/>
          </w:tcPr>
          <w:p w14:paraId="68AD60C2" w14:textId="5CCF8D94" w:rsidR="00A90ABE" w:rsidRPr="003D60A8" w:rsidRDefault="00A90ABE" w:rsidP="00A90ABE">
            <w:pPr>
              <w:pStyle w:val="IFTnormal"/>
              <w:rPr>
                <w:sz w:val="20"/>
                <w:szCs w:val="20"/>
              </w:rPr>
            </w:pPr>
            <w:r w:rsidRPr="003D60A8">
              <w:rPr>
                <w:sz w:val="20"/>
                <w:szCs w:val="20"/>
              </w:rPr>
              <w:t xml:space="preserve">El CS deberá presentar sus solicitudes en el SEG, especificando el NIS-Referencia del servicio en operación. </w:t>
            </w:r>
          </w:p>
        </w:tc>
      </w:tr>
      <w:tr w:rsidR="00A90ABE" w:rsidRPr="003D60A8" w14:paraId="75F15DD9" w14:textId="77777777" w:rsidTr="00060B2E">
        <w:tc>
          <w:tcPr>
            <w:tcW w:w="1666" w:type="pct"/>
          </w:tcPr>
          <w:p w14:paraId="05C5E9C9" w14:textId="77777777" w:rsidR="00A90ABE" w:rsidRPr="003D60A8" w:rsidRDefault="00A90ABE" w:rsidP="00A90ABE">
            <w:pPr>
              <w:pStyle w:val="IFTnormal"/>
              <w:rPr>
                <w:b/>
                <w:sz w:val="20"/>
                <w:szCs w:val="20"/>
              </w:rPr>
            </w:pPr>
            <w:r w:rsidRPr="003D60A8">
              <w:rPr>
                <w:b/>
                <w:sz w:val="20"/>
                <w:szCs w:val="20"/>
              </w:rPr>
              <w:t>Validación de solicitud</w:t>
            </w:r>
          </w:p>
        </w:tc>
        <w:tc>
          <w:tcPr>
            <w:tcW w:w="3334" w:type="pct"/>
          </w:tcPr>
          <w:p w14:paraId="14A6843C" w14:textId="20C3DA82" w:rsidR="00A90ABE" w:rsidRPr="003D60A8" w:rsidRDefault="00A90ABE" w:rsidP="00065A98">
            <w:pPr>
              <w:pStyle w:val="IFTnormal"/>
              <w:rPr>
                <w:sz w:val="20"/>
                <w:szCs w:val="20"/>
              </w:rPr>
            </w:pPr>
            <w:r w:rsidRPr="003D60A8">
              <w:rPr>
                <w:sz w:val="20"/>
                <w:szCs w:val="20"/>
              </w:rPr>
              <w:t>Durante el proceso de validación, Telmex evaluará las solicitudes enviadas por los CS para determinar si:</w:t>
            </w:r>
          </w:p>
          <w:p w14:paraId="532BBED3" w14:textId="77777777" w:rsidR="00A90ABE" w:rsidRPr="003D60A8" w:rsidRDefault="00A90ABE" w:rsidP="00060B2E">
            <w:pPr>
              <w:pStyle w:val="IFTnormal"/>
              <w:numPr>
                <w:ilvl w:val="0"/>
                <w:numId w:val="101"/>
              </w:numPr>
              <w:rPr>
                <w:sz w:val="20"/>
                <w:szCs w:val="20"/>
              </w:rPr>
            </w:pPr>
            <w:r w:rsidRPr="003D60A8">
              <w:rPr>
                <w:sz w:val="20"/>
                <w:szCs w:val="20"/>
              </w:rPr>
              <w:lastRenderedPageBreak/>
              <w:t>La información capturada es suficiente para procesar la solicitud.</w:t>
            </w:r>
          </w:p>
          <w:p w14:paraId="50447400" w14:textId="77777777" w:rsidR="00A90ABE" w:rsidRPr="003D60A8" w:rsidRDefault="00A90ABE" w:rsidP="00060B2E">
            <w:pPr>
              <w:pStyle w:val="IFTnormal"/>
              <w:numPr>
                <w:ilvl w:val="0"/>
                <w:numId w:val="101"/>
              </w:numPr>
              <w:rPr>
                <w:sz w:val="20"/>
                <w:szCs w:val="20"/>
              </w:rPr>
            </w:pPr>
            <w:r w:rsidRPr="003D60A8">
              <w:rPr>
                <w:sz w:val="20"/>
                <w:szCs w:val="20"/>
              </w:rPr>
              <w:t>El CS capturó correctamente los detalles del servicio requerido.</w:t>
            </w:r>
          </w:p>
          <w:p w14:paraId="6D230B8C" w14:textId="733D1C79" w:rsidR="00A90ABE" w:rsidRPr="003D60A8" w:rsidRDefault="00A90ABE" w:rsidP="00060B2E">
            <w:pPr>
              <w:pStyle w:val="IFTnormal"/>
              <w:numPr>
                <w:ilvl w:val="0"/>
                <w:numId w:val="102"/>
              </w:numPr>
              <w:ind w:left="318" w:hanging="318"/>
              <w:rPr>
                <w:sz w:val="20"/>
                <w:szCs w:val="20"/>
              </w:rPr>
            </w:pPr>
            <w:r w:rsidRPr="003D60A8">
              <w:rPr>
                <w:b/>
                <w:sz w:val="20"/>
                <w:szCs w:val="20"/>
              </w:rPr>
              <w:t>Si la solicitud es correcta</w:t>
            </w:r>
            <w:r w:rsidRPr="003D60A8">
              <w:rPr>
                <w:sz w:val="20"/>
                <w:szCs w:val="20"/>
              </w:rPr>
              <w:t>, Telmex cambiará el folio previamente asignado por el Número de Identificación de Solicitud (NIS).</w:t>
            </w:r>
          </w:p>
          <w:p w14:paraId="747EFB1C" w14:textId="0E2C7EE4" w:rsidR="00A90ABE" w:rsidRPr="003D60A8" w:rsidRDefault="00A90ABE" w:rsidP="00060B2E">
            <w:pPr>
              <w:pStyle w:val="IFTnormal"/>
              <w:numPr>
                <w:ilvl w:val="0"/>
                <w:numId w:val="102"/>
              </w:numPr>
              <w:ind w:left="318" w:hanging="318"/>
              <w:rPr>
                <w:sz w:val="20"/>
                <w:szCs w:val="20"/>
              </w:rPr>
            </w:pPr>
            <w:r w:rsidRPr="003D60A8">
              <w:rPr>
                <w:b/>
                <w:sz w:val="20"/>
                <w:szCs w:val="20"/>
              </w:rPr>
              <w:t>Si es incorrecta</w:t>
            </w:r>
            <w:r w:rsidRPr="003D60A8">
              <w:rPr>
                <w:sz w:val="20"/>
                <w:szCs w:val="20"/>
              </w:rPr>
              <w:t>, Telmex devolverá la solicitud al CS indicando el motivo de rechazo, para que sea corregida y reenviada nuevamente a validación.</w:t>
            </w:r>
          </w:p>
          <w:p w14:paraId="467447C0" w14:textId="77777777" w:rsidR="00A90ABE" w:rsidRPr="003D60A8" w:rsidRDefault="00A90ABE" w:rsidP="00065A98">
            <w:pPr>
              <w:pStyle w:val="IFTnormal"/>
              <w:rPr>
                <w:sz w:val="20"/>
                <w:szCs w:val="20"/>
              </w:rPr>
            </w:pPr>
            <w:r w:rsidRPr="003D60A8">
              <w:rPr>
                <w:sz w:val="20"/>
                <w:szCs w:val="20"/>
              </w:rPr>
              <w:t>Una vez validados los campos correspondientes se procederá directamente a la etapa Ejecución de baja.</w:t>
            </w:r>
          </w:p>
        </w:tc>
      </w:tr>
      <w:tr w:rsidR="00A90ABE" w:rsidRPr="003D60A8" w14:paraId="6BE01065" w14:textId="77777777" w:rsidTr="00060B2E">
        <w:tc>
          <w:tcPr>
            <w:tcW w:w="1666" w:type="pct"/>
          </w:tcPr>
          <w:p w14:paraId="47AA4A83" w14:textId="77777777" w:rsidR="00A90ABE" w:rsidRPr="003D60A8" w:rsidRDefault="00A90ABE" w:rsidP="00A90ABE">
            <w:pPr>
              <w:pStyle w:val="IFTnormal"/>
              <w:rPr>
                <w:b/>
                <w:sz w:val="20"/>
                <w:szCs w:val="20"/>
              </w:rPr>
            </w:pPr>
            <w:r w:rsidRPr="003D60A8">
              <w:rPr>
                <w:b/>
                <w:sz w:val="20"/>
                <w:szCs w:val="20"/>
              </w:rPr>
              <w:lastRenderedPageBreak/>
              <w:t>Ejecución de baja</w:t>
            </w:r>
          </w:p>
        </w:tc>
        <w:tc>
          <w:tcPr>
            <w:tcW w:w="3334" w:type="pct"/>
          </w:tcPr>
          <w:p w14:paraId="6AF96704" w14:textId="6DC13F47" w:rsidR="00A90ABE" w:rsidRPr="003D60A8" w:rsidRDefault="00A90ABE" w:rsidP="00065A98">
            <w:pPr>
              <w:pStyle w:val="IFTnormal"/>
              <w:rPr>
                <w:sz w:val="20"/>
                <w:szCs w:val="20"/>
              </w:rPr>
            </w:pPr>
            <w:r w:rsidRPr="003D60A8">
              <w:rPr>
                <w:sz w:val="20"/>
                <w:szCs w:val="20"/>
              </w:rPr>
              <w:t xml:space="preserve">Una vez asignado el Número de Identificación de Solicitud (NIS) se dará de baja en un plazo máximo de 1 día hábil. </w:t>
            </w:r>
          </w:p>
          <w:p w14:paraId="7CF20613" w14:textId="4DD360E6" w:rsidR="00A90ABE" w:rsidRPr="003D60A8" w:rsidRDefault="00A90ABE" w:rsidP="00065A98">
            <w:pPr>
              <w:pStyle w:val="IFTnormal"/>
              <w:rPr>
                <w:sz w:val="20"/>
                <w:szCs w:val="20"/>
              </w:rPr>
            </w:pPr>
            <w:r w:rsidRPr="003D60A8">
              <w:rPr>
                <w:sz w:val="20"/>
                <w:szCs w:val="20"/>
              </w:rPr>
              <w:t>Telmex procederá a dar de baja el servicio</w:t>
            </w:r>
            <w:r w:rsidR="003D60A8">
              <w:rPr>
                <w:sz w:val="20"/>
                <w:szCs w:val="20"/>
              </w:rPr>
              <w:t>,</w:t>
            </w:r>
            <w:r w:rsidRPr="003D60A8">
              <w:rPr>
                <w:sz w:val="20"/>
                <w:szCs w:val="20"/>
              </w:rPr>
              <w:t xml:space="preserve"> así como los cargos al CS asociados en un máximo de 2 días hábiles a partir de la solicitud.</w:t>
            </w:r>
          </w:p>
        </w:tc>
      </w:tr>
    </w:tbl>
    <w:p w14:paraId="35E02DBD" w14:textId="77777777" w:rsidR="00D04E70" w:rsidRDefault="00D04E70" w:rsidP="003D60A8">
      <w:pPr>
        <w:pStyle w:val="IFTnormal"/>
        <w:ind w:left="709" w:right="-284"/>
      </w:pPr>
    </w:p>
    <w:p w14:paraId="0DE1D886" w14:textId="17A87D6B" w:rsidR="00A90ABE" w:rsidRPr="00D04E70" w:rsidRDefault="00A90ABE" w:rsidP="003D60A8">
      <w:pPr>
        <w:pStyle w:val="IFTnormal"/>
        <w:ind w:right="-284"/>
        <w:rPr>
          <w:b/>
        </w:rPr>
      </w:pPr>
      <w:r w:rsidRPr="00D04E70">
        <w:rPr>
          <w:b/>
        </w:rPr>
        <w:t>Procedimiento de Suspensión/Reactivación de SRMLT</w:t>
      </w:r>
    </w:p>
    <w:p w14:paraId="2C3C3A76" w14:textId="77777777" w:rsidR="00A90ABE" w:rsidRPr="008C738F" w:rsidRDefault="00A90ABE" w:rsidP="00060B2E">
      <w:pPr>
        <w:pStyle w:val="IFTnormal"/>
        <w:ind w:left="-567" w:right="-142"/>
      </w:pPr>
      <w:r w:rsidRPr="008C738F">
        <w:t xml:space="preserve">El objetivo y alcance de este procedimiento es definir los pasos y actividades a desarrollar por parte de Telmex y del CS, a fin de realizar la suspensión/reactivación del Servicio Mayorista de Reventa de Línea Telefónica en caso de que el CS lo requiera; las fases en que se divide este procedimiento son: (i) Ingreso del CS al módulo de suspensión de servicios en el SEG para proporcionar la referencia del servicio que desea suspender o reactivar; (ii) Validación del número a suspender o reactivar y (iii) Ejecución de la suspensión/reactivación por parte de Telmex, lo que detonará los procesos de facturación. </w:t>
      </w:r>
    </w:p>
    <w:tbl>
      <w:tblPr>
        <w:tblStyle w:val="Tablaconcuadrcula"/>
        <w:tblW w:w="5385" w:type="pct"/>
        <w:tblInd w:w="-572" w:type="dxa"/>
        <w:tblLook w:val="04A0" w:firstRow="1" w:lastRow="0" w:firstColumn="1" w:lastColumn="0" w:noHBand="0" w:noVBand="1"/>
        <w:tblCaption w:val="Tabla"/>
        <w:tblDescription w:val="Etapas"/>
      </w:tblPr>
      <w:tblGrid>
        <w:gridCol w:w="3435"/>
        <w:gridCol w:w="6874"/>
      </w:tblGrid>
      <w:tr w:rsidR="00A90ABE" w:rsidRPr="003D60A8" w14:paraId="0BC9ECFA" w14:textId="77777777" w:rsidTr="00060B2E">
        <w:trPr>
          <w:tblHeader/>
        </w:trPr>
        <w:tc>
          <w:tcPr>
            <w:tcW w:w="1666" w:type="pct"/>
          </w:tcPr>
          <w:p w14:paraId="1D9B9A09" w14:textId="77777777" w:rsidR="00A90ABE" w:rsidRPr="003D60A8" w:rsidRDefault="00A90ABE" w:rsidP="00A90ABE">
            <w:pPr>
              <w:pStyle w:val="IFTnormal"/>
              <w:rPr>
                <w:b/>
                <w:sz w:val="20"/>
                <w:szCs w:val="20"/>
              </w:rPr>
            </w:pPr>
            <w:r w:rsidRPr="003D60A8">
              <w:rPr>
                <w:b/>
                <w:sz w:val="20"/>
                <w:szCs w:val="20"/>
              </w:rPr>
              <w:t>Etapa</w:t>
            </w:r>
          </w:p>
        </w:tc>
        <w:tc>
          <w:tcPr>
            <w:tcW w:w="3334" w:type="pct"/>
          </w:tcPr>
          <w:p w14:paraId="75710496" w14:textId="77777777" w:rsidR="00A90ABE" w:rsidRPr="003D60A8" w:rsidRDefault="00A90ABE" w:rsidP="00A90ABE">
            <w:pPr>
              <w:pStyle w:val="IFTnormal"/>
              <w:rPr>
                <w:b/>
                <w:sz w:val="20"/>
                <w:szCs w:val="20"/>
              </w:rPr>
            </w:pPr>
            <w:r w:rsidRPr="003D60A8">
              <w:rPr>
                <w:b/>
                <w:sz w:val="20"/>
                <w:szCs w:val="20"/>
              </w:rPr>
              <w:t>Descripción</w:t>
            </w:r>
          </w:p>
        </w:tc>
      </w:tr>
      <w:tr w:rsidR="00A90ABE" w:rsidRPr="003D60A8" w14:paraId="1C74C06A" w14:textId="77777777" w:rsidTr="00060B2E">
        <w:tc>
          <w:tcPr>
            <w:tcW w:w="1666" w:type="pct"/>
          </w:tcPr>
          <w:p w14:paraId="5C94D74F" w14:textId="77777777" w:rsidR="00A90ABE" w:rsidRPr="003D60A8" w:rsidRDefault="00A90ABE" w:rsidP="00A90ABE">
            <w:pPr>
              <w:pStyle w:val="IFTnormal"/>
              <w:rPr>
                <w:b/>
                <w:sz w:val="20"/>
                <w:szCs w:val="20"/>
              </w:rPr>
            </w:pPr>
            <w:r w:rsidRPr="003D60A8">
              <w:rPr>
                <w:b/>
                <w:sz w:val="20"/>
                <w:szCs w:val="20"/>
              </w:rPr>
              <w:t>Envío de solicitud</w:t>
            </w:r>
          </w:p>
        </w:tc>
        <w:tc>
          <w:tcPr>
            <w:tcW w:w="3334" w:type="pct"/>
          </w:tcPr>
          <w:p w14:paraId="5514DD25" w14:textId="77777777" w:rsidR="00A90ABE" w:rsidRPr="003D60A8" w:rsidRDefault="00A90ABE" w:rsidP="00A90ABE">
            <w:pPr>
              <w:pStyle w:val="IFTnormal"/>
              <w:rPr>
                <w:sz w:val="20"/>
                <w:szCs w:val="20"/>
              </w:rPr>
            </w:pPr>
            <w:r w:rsidRPr="003D60A8">
              <w:rPr>
                <w:sz w:val="20"/>
                <w:szCs w:val="20"/>
              </w:rPr>
              <w:t xml:space="preserve">El CS deberá presentar su solicitud en el formato correspondiente a través del SEG, especificando el NIS-Referencia del servicio a modificar. </w:t>
            </w:r>
          </w:p>
        </w:tc>
      </w:tr>
      <w:tr w:rsidR="00A90ABE" w:rsidRPr="003D60A8" w14:paraId="3EC126C7" w14:textId="77777777" w:rsidTr="00060B2E">
        <w:tc>
          <w:tcPr>
            <w:tcW w:w="1666" w:type="pct"/>
          </w:tcPr>
          <w:p w14:paraId="46067288" w14:textId="77777777" w:rsidR="00A90ABE" w:rsidRPr="003D60A8" w:rsidRDefault="00A90ABE" w:rsidP="00A90ABE">
            <w:pPr>
              <w:pStyle w:val="IFTnormal"/>
              <w:rPr>
                <w:b/>
                <w:sz w:val="20"/>
                <w:szCs w:val="20"/>
              </w:rPr>
            </w:pPr>
            <w:r w:rsidRPr="003D60A8">
              <w:rPr>
                <w:b/>
                <w:sz w:val="20"/>
                <w:szCs w:val="20"/>
              </w:rPr>
              <w:t>Validación de solicitud</w:t>
            </w:r>
          </w:p>
        </w:tc>
        <w:tc>
          <w:tcPr>
            <w:tcW w:w="3334" w:type="pct"/>
          </w:tcPr>
          <w:p w14:paraId="0064A4F3" w14:textId="77777777" w:rsidR="00A90ABE" w:rsidRPr="003D60A8" w:rsidRDefault="00A90ABE" w:rsidP="00A90ABE">
            <w:pPr>
              <w:pStyle w:val="IFTnormal"/>
              <w:rPr>
                <w:sz w:val="20"/>
                <w:szCs w:val="20"/>
              </w:rPr>
            </w:pPr>
            <w:r w:rsidRPr="003D60A8">
              <w:rPr>
                <w:sz w:val="20"/>
                <w:szCs w:val="20"/>
              </w:rPr>
              <w:t>Durante el proceso de validación, Telmex únicamente validará la solicitud que el servicio que se quiera suspender o reactivar pertenezca al CS.</w:t>
            </w:r>
          </w:p>
          <w:p w14:paraId="3018B414" w14:textId="77777777" w:rsidR="00A90ABE" w:rsidRPr="003D60A8" w:rsidRDefault="00A90ABE" w:rsidP="00A90ABE">
            <w:pPr>
              <w:pStyle w:val="IFTnormal"/>
              <w:rPr>
                <w:sz w:val="20"/>
                <w:szCs w:val="20"/>
              </w:rPr>
            </w:pPr>
            <w:r w:rsidRPr="003D60A8">
              <w:rPr>
                <w:sz w:val="20"/>
                <w:szCs w:val="20"/>
              </w:rPr>
              <w:t xml:space="preserve">Una vez validados los campos correspondientes se procederá directamente a la etapa de Suspensión/Reactivación (según </w:t>
            </w:r>
            <w:r w:rsidRPr="003D60A8">
              <w:rPr>
                <w:sz w:val="20"/>
                <w:szCs w:val="20"/>
              </w:rPr>
              <w:lastRenderedPageBreak/>
              <w:t>aplique).</w:t>
            </w:r>
          </w:p>
        </w:tc>
      </w:tr>
      <w:tr w:rsidR="00A90ABE" w:rsidRPr="003D60A8" w14:paraId="06EB93B7" w14:textId="77777777" w:rsidTr="00060B2E">
        <w:tc>
          <w:tcPr>
            <w:tcW w:w="1666" w:type="pct"/>
          </w:tcPr>
          <w:p w14:paraId="12F97B69" w14:textId="77777777" w:rsidR="00A90ABE" w:rsidRPr="003D60A8" w:rsidRDefault="00A90ABE" w:rsidP="00A90ABE">
            <w:pPr>
              <w:pStyle w:val="IFTnormal"/>
              <w:rPr>
                <w:b/>
                <w:sz w:val="20"/>
                <w:szCs w:val="20"/>
              </w:rPr>
            </w:pPr>
            <w:r w:rsidRPr="003D60A8">
              <w:rPr>
                <w:b/>
                <w:sz w:val="20"/>
                <w:szCs w:val="20"/>
              </w:rPr>
              <w:lastRenderedPageBreak/>
              <w:t>Suspensión</w:t>
            </w:r>
          </w:p>
        </w:tc>
        <w:tc>
          <w:tcPr>
            <w:tcW w:w="3334" w:type="pct"/>
          </w:tcPr>
          <w:p w14:paraId="080019D4" w14:textId="77777777" w:rsidR="00A90ABE" w:rsidRPr="003D60A8" w:rsidRDefault="00A90ABE" w:rsidP="00A90ABE">
            <w:pPr>
              <w:pStyle w:val="IFTnormal"/>
              <w:rPr>
                <w:sz w:val="20"/>
                <w:szCs w:val="20"/>
              </w:rPr>
            </w:pPr>
            <w:r w:rsidRPr="003D60A8">
              <w:rPr>
                <w:sz w:val="20"/>
                <w:szCs w:val="20"/>
              </w:rPr>
              <w:t xml:space="preserve"> Una vez que se haya validado la solicitud se suspenderá el servicio en un plazo no mayor a</w:t>
            </w:r>
            <w:r w:rsidRPr="003D60A8">
              <w:rPr>
                <w:sz w:val="20"/>
                <w:szCs w:val="20"/>
                <w:lang w:val="es-ES"/>
              </w:rPr>
              <w:t xml:space="preserve"> 1 día hábil</w:t>
            </w:r>
            <w:r w:rsidRPr="003D60A8">
              <w:rPr>
                <w:sz w:val="20"/>
                <w:szCs w:val="20"/>
              </w:rPr>
              <w:t>.</w:t>
            </w:r>
          </w:p>
        </w:tc>
      </w:tr>
      <w:tr w:rsidR="00A90ABE" w:rsidRPr="003D60A8" w14:paraId="17E96FE5" w14:textId="77777777" w:rsidTr="00060B2E">
        <w:tc>
          <w:tcPr>
            <w:tcW w:w="1666" w:type="pct"/>
          </w:tcPr>
          <w:p w14:paraId="168E81B7" w14:textId="77777777" w:rsidR="00A90ABE" w:rsidRPr="003D60A8" w:rsidRDefault="00A90ABE" w:rsidP="00A90ABE">
            <w:pPr>
              <w:pStyle w:val="IFTnormal"/>
              <w:rPr>
                <w:b/>
                <w:sz w:val="20"/>
                <w:szCs w:val="20"/>
              </w:rPr>
            </w:pPr>
            <w:r w:rsidRPr="003D60A8">
              <w:rPr>
                <w:b/>
                <w:sz w:val="20"/>
                <w:szCs w:val="20"/>
              </w:rPr>
              <w:t>Reactivación</w:t>
            </w:r>
          </w:p>
        </w:tc>
        <w:tc>
          <w:tcPr>
            <w:tcW w:w="3334" w:type="pct"/>
          </w:tcPr>
          <w:p w14:paraId="7412FFBA" w14:textId="77777777" w:rsidR="00A90ABE" w:rsidRPr="003D60A8" w:rsidRDefault="00A90ABE" w:rsidP="00A90ABE">
            <w:pPr>
              <w:pStyle w:val="IFTnormal"/>
              <w:rPr>
                <w:sz w:val="20"/>
                <w:szCs w:val="20"/>
              </w:rPr>
            </w:pPr>
            <w:r w:rsidRPr="003D60A8">
              <w:rPr>
                <w:sz w:val="20"/>
                <w:szCs w:val="20"/>
              </w:rPr>
              <w:t>En el caso de la reactivación se realizará en un plazo máximo de 2 horas a partir de la solicitud, atendiéndose la misma en el estricto orden en que fueron solicitadas, incluyendo las propias operaciones de Telmex.</w:t>
            </w:r>
          </w:p>
        </w:tc>
      </w:tr>
      <w:tr w:rsidR="00A90ABE" w:rsidRPr="003D60A8" w14:paraId="43AB3D30" w14:textId="77777777" w:rsidTr="00060B2E">
        <w:tc>
          <w:tcPr>
            <w:tcW w:w="1666" w:type="pct"/>
          </w:tcPr>
          <w:p w14:paraId="71765844" w14:textId="77777777" w:rsidR="00A90ABE" w:rsidRPr="003D60A8" w:rsidRDefault="00A90ABE" w:rsidP="00A90ABE">
            <w:pPr>
              <w:pStyle w:val="IFTnormal"/>
              <w:rPr>
                <w:b/>
                <w:sz w:val="20"/>
                <w:szCs w:val="20"/>
              </w:rPr>
            </w:pPr>
            <w:r w:rsidRPr="003D60A8">
              <w:rPr>
                <w:b/>
                <w:sz w:val="20"/>
                <w:szCs w:val="20"/>
              </w:rPr>
              <w:t>Facturación</w:t>
            </w:r>
          </w:p>
        </w:tc>
        <w:tc>
          <w:tcPr>
            <w:tcW w:w="3334" w:type="pct"/>
          </w:tcPr>
          <w:p w14:paraId="64250BC2" w14:textId="77777777" w:rsidR="00A90ABE" w:rsidRPr="003D60A8" w:rsidRDefault="00A90ABE" w:rsidP="00A90ABE">
            <w:pPr>
              <w:pStyle w:val="IFTnormal"/>
              <w:rPr>
                <w:sz w:val="20"/>
                <w:szCs w:val="20"/>
              </w:rPr>
            </w:pPr>
            <w:r w:rsidRPr="003D60A8">
              <w:rPr>
                <w:sz w:val="20"/>
                <w:szCs w:val="20"/>
              </w:rPr>
              <w:t>Al corte del mes se realizará la facturación aplicable al servicio:</w:t>
            </w:r>
          </w:p>
          <w:p w14:paraId="7C40F068" w14:textId="77777777" w:rsidR="00A90ABE" w:rsidRPr="003D60A8" w:rsidRDefault="00A90ABE" w:rsidP="00A90ABE">
            <w:pPr>
              <w:pStyle w:val="IFTnormal"/>
              <w:rPr>
                <w:sz w:val="20"/>
                <w:szCs w:val="20"/>
              </w:rPr>
            </w:pPr>
            <w:r w:rsidRPr="003D60A8">
              <w:rPr>
                <w:sz w:val="20"/>
                <w:szCs w:val="20"/>
              </w:rPr>
              <w:t>El CS contará con la posibilidad de solicitar ajustes o aclaraciones respecto a los conceptos y servicios incluidos en su factura.</w:t>
            </w:r>
          </w:p>
          <w:p w14:paraId="6253CB4D" w14:textId="77777777" w:rsidR="00A90ABE" w:rsidRPr="003D60A8" w:rsidRDefault="00A90ABE" w:rsidP="00A90ABE">
            <w:pPr>
              <w:pStyle w:val="IFTnormal"/>
              <w:rPr>
                <w:sz w:val="20"/>
                <w:szCs w:val="20"/>
              </w:rPr>
            </w:pPr>
            <w:r w:rsidRPr="003D60A8">
              <w:rPr>
                <w:sz w:val="20"/>
                <w:szCs w:val="20"/>
              </w:rPr>
              <w:t>El cobro será aplicado conforme a las prácticas y operaciones de Telmex</w:t>
            </w:r>
          </w:p>
        </w:tc>
      </w:tr>
    </w:tbl>
    <w:p w14:paraId="615AB4A1" w14:textId="77777777" w:rsidR="00D04E70" w:rsidRDefault="00D04E70" w:rsidP="003D60A8">
      <w:pPr>
        <w:pStyle w:val="IFTnormal"/>
        <w:ind w:left="709" w:right="-284"/>
      </w:pPr>
    </w:p>
    <w:p w14:paraId="1B5729B7" w14:textId="6FD073AE" w:rsidR="00A90ABE" w:rsidRPr="00D04E70" w:rsidRDefault="00A90ABE" w:rsidP="00060B2E">
      <w:pPr>
        <w:pStyle w:val="IFTnormal"/>
        <w:ind w:left="-567" w:right="-142"/>
        <w:rPr>
          <w:b/>
        </w:rPr>
      </w:pPr>
      <w:r w:rsidRPr="00D04E70">
        <w:rPr>
          <w:b/>
        </w:rPr>
        <w:t>Procedimiento de Cambio de modalidad de Desagregación</w:t>
      </w:r>
    </w:p>
    <w:p w14:paraId="79E80BB2" w14:textId="77777777" w:rsidR="00A90ABE" w:rsidRPr="008C738F" w:rsidRDefault="00A90ABE" w:rsidP="00060B2E">
      <w:pPr>
        <w:pStyle w:val="IFTnormal"/>
        <w:ind w:left="-567" w:right="-142"/>
      </w:pPr>
      <w:r w:rsidRPr="000518AB">
        <w:t>En caso de que el CS requiera realizar una modificación para cambiar a un servicio distinto de desagregación, deberá presentar su solicitud vía SEG en el formato correspondiente al nuevo servicio. La factibilidad del cambio de modalidad dependerá de que se cumplan las condiciones para ofrecer el servicio de destino, el CS deberá seguir el procedimiento que se lleva actualmente en el SEG, así como la habilitación del servicio de destino se llevará a cabo como está establecido en los procedimientos respectivos a los distintos servicios materia de esta Oferta dando seguimiento por medio del SEG.</w:t>
      </w:r>
    </w:p>
    <w:p w14:paraId="5615B109" w14:textId="622F41D6" w:rsidR="00A90ABE" w:rsidRPr="00D04E70" w:rsidRDefault="00A90ABE" w:rsidP="00060B2E">
      <w:pPr>
        <w:pStyle w:val="IFTnormal"/>
        <w:ind w:left="-567" w:right="-142"/>
        <w:rPr>
          <w:b/>
        </w:rPr>
      </w:pPr>
      <w:r w:rsidRPr="00D04E70">
        <w:rPr>
          <w:b/>
        </w:rPr>
        <w:t>Procedimiento de Cambio de Domicilio</w:t>
      </w:r>
    </w:p>
    <w:p w14:paraId="19358C66" w14:textId="1125C041" w:rsidR="00A90ABE" w:rsidRDefault="00A90ABE" w:rsidP="00060B2E">
      <w:pPr>
        <w:pStyle w:val="IFTnormal"/>
        <w:ind w:left="-567" w:right="-142"/>
      </w:pPr>
      <w:r w:rsidRPr="008C738F">
        <w:t xml:space="preserve">En caso de que el usuario final cambie de domicilio y el CS desee mantener el SRMLT, dicho cambio será atendido conforme </w:t>
      </w:r>
      <w:r>
        <w:t xml:space="preserve">a </w:t>
      </w:r>
      <w:r w:rsidRPr="008C738F">
        <w:t xml:space="preserve">las políticas actuales de contratación de los servicios. En el movimiento de SRMLT, el usuario final mantiene su número telefónico (donde </w:t>
      </w:r>
      <w:r>
        <w:t>sea</w:t>
      </w:r>
      <w:r w:rsidRPr="008C738F">
        <w:t xml:space="preserve"> apli</w:t>
      </w:r>
      <w:r>
        <w:t>cable</w:t>
      </w:r>
      <w:r w:rsidRPr="008C738F">
        <w:t xml:space="preserve">). El CS deberá enviar la solicitud a Telmex a través del SEG, mediante el formato correspondiente. </w:t>
      </w:r>
      <w:r w:rsidRPr="00BE2D19">
        <w:t>El servicio en el nuevo domicilio dependerá de la factibilidad té</w:t>
      </w:r>
      <w:r>
        <w:t>cnica y de que la</w:t>
      </w:r>
      <w:r w:rsidRPr="00BE2D19">
        <w:t xml:space="preserve"> configuración inicial del </w:t>
      </w:r>
      <w:r>
        <w:t>SRMLT</w:t>
      </w:r>
      <w:r w:rsidRPr="00BE2D19">
        <w:t xml:space="preserve"> en la central que </w:t>
      </w:r>
      <w:r>
        <w:t>proveerá se haya realizado, en caso contrario se deberá realizar el procedimiento correspondient</w:t>
      </w:r>
      <w:r w:rsidRPr="00780FA4">
        <w:t>e.</w:t>
      </w:r>
    </w:p>
    <w:p w14:paraId="704D3548" w14:textId="77777777" w:rsidR="008A3C0D" w:rsidRPr="008C738F" w:rsidRDefault="008A3C0D" w:rsidP="00060B2E">
      <w:pPr>
        <w:pStyle w:val="IFTnormal"/>
        <w:ind w:left="-567" w:right="-142"/>
      </w:pPr>
    </w:p>
    <w:p w14:paraId="3657EEA3" w14:textId="77777777" w:rsidR="00A90ABE" w:rsidRPr="00B4365A" w:rsidRDefault="00A90ABE" w:rsidP="003D60A8">
      <w:pPr>
        <w:pStyle w:val="Ttulo2"/>
        <w:numPr>
          <w:ilvl w:val="1"/>
          <w:numId w:val="143"/>
        </w:numPr>
        <w:ind w:left="851" w:hanging="425"/>
      </w:pPr>
      <w:bookmarkStart w:id="395" w:name="_Toc518031991"/>
      <w:r w:rsidRPr="008C738F">
        <w:lastRenderedPageBreak/>
        <w:t>Parámetros de Calidad de SRMLT</w:t>
      </w:r>
      <w:bookmarkEnd w:id="395"/>
    </w:p>
    <w:p w14:paraId="666AA4ED" w14:textId="7D75A5F0" w:rsidR="00A90ABE" w:rsidRPr="008C738F" w:rsidRDefault="00A90ABE" w:rsidP="00060B2E">
      <w:pPr>
        <w:pStyle w:val="IFTnormal"/>
        <w:ind w:left="-567" w:right="-142"/>
      </w:pPr>
      <w:r w:rsidRPr="008C738F">
        <w:t>En esta sección se muestran los parámetros e indicadores de calidad referentes a la provisión, continuidad y atención de fallas del Servicio de Reventa. Estos parámetros e indicadores corresponden a los utilizados en la propia operación de Telmex, y se medirán con una periodicidad trimestral por cada uno de los CS.</w:t>
      </w:r>
    </w:p>
    <w:p w14:paraId="2445FD67" w14:textId="77777777" w:rsidR="00A90ABE" w:rsidRPr="008C738F" w:rsidRDefault="00A90ABE" w:rsidP="00060B2E">
      <w:pPr>
        <w:pStyle w:val="IFTnormal"/>
        <w:ind w:left="-567" w:right="-142"/>
      </w:pPr>
      <w:r w:rsidRPr="008C738F">
        <w:t>Parámetros e Indicadores para Provisión del Servicio</w:t>
      </w:r>
    </w:p>
    <w:p w14:paraId="2C172213" w14:textId="0297225B" w:rsidR="00A90ABE" w:rsidRPr="008C738F" w:rsidRDefault="00A90ABE" w:rsidP="00060B2E">
      <w:pPr>
        <w:pStyle w:val="IFTnormal"/>
        <w:ind w:left="-567" w:right="-142"/>
      </w:pPr>
      <w:r w:rsidRPr="008C738F">
        <w:t>En lo referente a la provisión de los servicios (validación de la solicitud, verificación de factibilidad y habilitación), se tienen los siguientes indicadores que permiten al CS replicar el servicio de Telmex en las mismas condiciones que a sus usuarios:</w:t>
      </w:r>
    </w:p>
    <w:p w14:paraId="0E82FB96" w14:textId="77777777" w:rsidR="00A90ABE" w:rsidRPr="008C738F" w:rsidRDefault="00A90ABE" w:rsidP="00060B2E">
      <w:pPr>
        <w:pStyle w:val="IFTnormal"/>
        <w:numPr>
          <w:ilvl w:val="0"/>
          <w:numId w:val="183"/>
        </w:numPr>
        <w:ind w:left="426" w:right="-142" w:hanging="425"/>
      </w:pPr>
      <w:r w:rsidRPr="008C738F">
        <w:t>Validación de la solicitud: 90% de las solicitudes en máximo de 1 día hábil. El 10% restante en un máximo de tres días hábiles a partir de la solicitud.</w:t>
      </w:r>
    </w:p>
    <w:p w14:paraId="51FA644F" w14:textId="77777777" w:rsidR="00A90ABE" w:rsidRPr="008C738F" w:rsidRDefault="00A90ABE" w:rsidP="00060B2E">
      <w:pPr>
        <w:pStyle w:val="IFTnormal"/>
        <w:numPr>
          <w:ilvl w:val="0"/>
          <w:numId w:val="183"/>
        </w:numPr>
        <w:ind w:left="426" w:right="-142" w:hanging="425"/>
      </w:pPr>
      <w:r w:rsidRPr="008C738F">
        <w:t>Revisión de Factibilidad Técnica en Central: 90% de las solicitudes en máximo de 3 días hábiles. El 10% restante en un máximo de 5 días hábiles a partir de la solicitud.</w:t>
      </w:r>
    </w:p>
    <w:p w14:paraId="0DE71B18" w14:textId="77777777" w:rsidR="00A90ABE" w:rsidRPr="008C738F" w:rsidRDefault="00A90ABE" w:rsidP="00060B2E">
      <w:pPr>
        <w:pStyle w:val="IFTnormal"/>
        <w:numPr>
          <w:ilvl w:val="0"/>
          <w:numId w:val="183"/>
        </w:numPr>
        <w:ind w:left="426" w:right="-142" w:hanging="425"/>
      </w:pPr>
      <w:r w:rsidRPr="008C738F">
        <w:t>Configuración de la Solución SRMLT en Central: 90% de las solicitudes en máximo de 5 días hábiles. El 10% restante en un máximo de 7 días hábiles a partir de la solicitud.</w:t>
      </w:r>
    </w:p>
    <w:p w14:paraId="76072CE0" w14:textId="77777777" w:rsidR="00A90ABE" w:rsidRPr="008C738F" w:rsidRDefault="00A90ABE" w:rsidP="00060B2E">
      <w:pPr>
        <w:pStyle w:val="IFTnormal"/>
        <w:numPr>
          <w:ilvl w:val="0"/>
          <w:numId w:val="183"/>
        </w:numPr>
        <w:ind w:left="426" w:right="-142" w:hanging="425"/>
      </w:pPr>
      <w:r w:rsidRPr="008C738F">
        <w:t>Habilitación para usuarios existentes en tiempo: 90% en un máximo de cinco días hábiles. El 10% restante en un máximo de 8 días hábiles a partir de la solicitud.</w:t>
      </w:r>
    </w:p>
    <w:p w14:paraId="0C518052" w14:textId="77777777" w:rsidR="00A90ABE" w:rsidRPr="008C738F" w:rsidRDefault="00A90ABE" w:rsidP="00060B2E">
      <w:pPr>
        <w:pStyle w:val="IFTnormal"/>
        <w:numPr>
          <w:ilvl w:val="0"/>
          <w:numId w:val="183"/>
        </w:numPr>
        <w:ind w:left="426" w:right="-142" w:hanging="425"/>
      </w:pPr>
      <w:r w:rsidRPr="008C738F">
        <w:t>Habilitación para usuarios nuevos con y sin acometida o recursos de red: 90% en un máximo de siete días hábiles. El 10% restante en un máximo de 9 días hábiles a partir de la solicitud.</w:t>
      </w:r>
    </w:p>
    <w:p w14:paraId="2DB46F7B" w14:textId="77777777" w:rsidR="00A90ABE" w:rsidRPr="008C738F" w:rsidRDefault="00A90ABE" w:rsidP="00060B2E">
      <w:pPr>
        <w:pStyle w:val="IFTnormal"/>
        <w:numPr>
          <w:ilvl w:val="0"/>
          <w:numId w:val="183"/>
        </w:numPr>
        <w:ind w:left="426" w:right="-142" w:hanging="425"/>
      </w:pPr>
      <w:r w:rsidRPr="008C738F">
        <w:t>Porcentaje de servicios suspendidos y reactivados en tiempo (60%). El 40% restante de servicios suspendidos en 48 horas y de reactivaciones en 4 horas a partir de las solicitudes realizadas.</w:t>
      </w:r>
    </w:p>
    <w:p w14:paraId="7E25832B" w14:textId="77777777" w:rsidR="00A90ABE" w:rsidRPr="003E443D" w:rsidRDefault="00A90ABE" w:rsidP="00060B2E">
      <w:pPr>
        <w:pStyle w:val="IFTnormal"/>
        <w:ind w:left="-567"/>
        <w:rPr>
          <w:rFonts w:asciiTheme="minorHAnsi" w:hAnsiTheme="minorHAnsi"/>
          <w:b/>
          <w:sz w:val="24"/>
          <w:szCs w:val="24"/>
        </w:rPr>
      </w:pPr>
      <w:r w:rsidRPr="003E443D">
        <w:rPr>
          <w:b/>
        </w:rPr>
        <w:t>Metodología</w:t>
      </w:r>
    </w:p>
    <w:p w14:paraId="0025FF63" w14:textId="77777777" w:rsidR="00A90ABE" w:rsidRPr="00C67FE8" w:rsidRDefault="00A90ABE" w:rsidP="00060B2E">
      <w:pPr>
        <w:pStyle w:val="IFTnormal"/>
        <w:ind w:left="-567" w:right="-142"/>
      </w:pPr>
      <w:r w:rsidRPr="00C67FE8">
        <w:t>El horario de atención es 24 horas, sin embargo, para realizar las mediciones de estos indicadores, se considerarán las solicitudes ingresadas en un horario hábil de lunes a viernes de 9:00 a 17:00 horas, aquellos que se reciban después de ese horario, se contabilizarán para el día hábil siguiente.</w:t>
      </w:r>
    </w:p>
    <w:p w14:paraId="4CC328B2" w14:textId="77777777" w:rsidR="00A90ABE" w:rsidRPr="003E443D" w:rsidRDefault="00A90ABE" w:rsidP="00060B2E">
      <w:pPr>
        <w:pStyle w:val="IFTnormal"/>
        <w:ind w:left="-567"/>
        <w:rPr>
          <w:b/>
        </w:rPr>
      </w:pPr>
      <w:r w:rsidRPr="003E443D">
        <w:rPr>
          <w:b/>
        </w:rPr>
        <w:t>Parámetros para Reparación de Fallas</w:t>
      </w:r>
    </w:p>
    <w:p w14:paraId="75FD0330" w14:textId="77777777" w:rsidR="00A90ABE" w:rsidRPr="00CD6562" w:rsidRDefault="00A90ABE" w:rsidP="00060B2E">
      <w:pPr>
        <w:pStyle w:val="IFTnormal"/>
        <w:ind w:left="-567"/>
        <w:rPr>
          <w:rFonts w:asciiTheme="minorHAnsi" w:hAnsiTheme="minorHAnsi"/>
        </w:rPr>
      </w:pPr>
      <w:r w:rsidRPr="00C67FE8">
        <w:t>En cuanto a los parámetros de calidad asociados a la reparación de fallas que afecten a los usuarios residenciales o comerciales, se tiene el siguiente alcance:</w:t>
      </w:r>
    </w:p>
    <w:p w14:paraId="06703E74" w14:textId="566B52C1" w:rsidR="00A90ABE" w:rsidRPr="00CD6562" w:rsidRDefault="00A90ABE" w:rsidP="00060B2E">
      <w:pPr>
        <w:pStyle w:val="IFTnormal"/>
        <w:numPr>
          <w:ilvl w:val="0"/>
          <w:numId w:val="184"/>
        </w:numPr>
        <w:ind w:left="426"/>
        <w:rPr>
          <w:rFonts w:asciiTheme="minorHAnsi" w:hAnsiTheme="minorHAnsi"/>
        </w:rPr>
      </w:pPr>
      <w:r w:rsidRPr="00C67FE8">
        <w:lastRenderedPageBreak/>
        <w:t>Total de reparaciones atendidas dentro del día hábil siguiente a la recepción de la queja, del total de reportes levantados. Al menos 8</w:t>
      </w:r>
      <w:r w:rsidR="00CC2856">
        <w:t>2</w:t>
      </w:r>
      <w:r w:rsidRPr="00C67FE8">
        <w:t xml:space="preserve">% </w:t>
      </w:r>
    </w:p>
    <w:p w14:paraId="1B189EEA" w14:textId="72467FD7" w:rsidR="00A90ABE" w:rsidRPr="00CD6562" w:rsidRDefault="00A90ABE" w:rsidP="00060B2E">
      <w:pPr>
        <w:pStyle w:val="IFTnormal"/>
        <w:numPr>
          <w:ilvl w:val="0"/>
          <w:numId w:val="184"/>
        </w:numPr>
        <w:ind w:left="426"/>
        <w:rPr>
          <w:rFonts w:asciiTheme="minorHAnsi" w:hAnsiTheme="minorHAnsi"/>
        </w:rPr>
      </w:pPr>
      <w:r w:rsidRPr="00C67FE8">
        <w:t>Total de reparaciones atendidas dentro de los tres días hábiles siguientes a la recepción de la queja, del total de reportes levantados. Al menos 9</w:t>
      </w:r>
      <w:r w:rsidR="00CC2856">
        <w:t>4</w:t>
      </w:r>
      <w:r w:rsidRPr="00C67FE8">
        <w:t xml:space="preserve">%. </w:t>
      </w:r>
    </w:p>
    <w:p w14:paraId="1A954862" w14:textId="77777777" w:rsidR="00A90ABE" w:rsidRDefault="00A90ABE" w:rsidP="00060B2E">
      <w:pPr>
        <w:pStyle w:val="IFTnormal"/>
        <w:ind w:left="426"/>
      </w:pPr>
    </w:p>
    <w:p w14:paraId="6C06951E" w14:textId="37D8AD1A" w:rsidR="00A90ABE" w:rsidRPr="003E443D" w:rsidRDefault="00A90ABE" w:rsidP="00060B2E">
      <w:pPr>
        <w:pStyle w:val="IFTnormal"/>
        <w:ind w:left="-567" w:right="-142"/>
        <w:rPr>
          <w:rFonts w:asciiTheme="minorHAnsi" w:hAnsiTheme="minorHAnsi"/>
        </w:rPr>
      </w:pPr>
      <w:r w:rsidRPr="003E443D">
        <w:t xml:space="preserve">Para los casos anteriores, la reparación de fallas para el </w:t>
      </w:r>
      <w:r w:rsidR="00CC2856">
        <w:t>6</w:t>
      </w:r>
      <w:r w:rsidRPr="003E443D">
        <w:t>% de reportes restante no excederá de 10 días hábiles siguientes a la recepción de la queja.</w:t>
      </w:r>
    </w:p>
    <w:p w14:paraId="53937E9B" w14:textId="77777777" w:rsidR="00A90ABE" w:rsidRPr="003E443D" w:rsidRDefault="00A90ABE" w:rsidP="00060B2E">
      <w:pPr>
        <w:pStyle w:val="IFTnormal"/>
        <w:ind w:left="-567" w:right="-142"/>
        <w:rPr>
          <w:rFonts w:asciiTheme="minorHAnsi" w:hAnsiTheme="minorHAnsi"/>
        </w:rPr>
      </w:pPr>
      <w:r w:rsidRPr="003E443D">
        <w:t xml:space="preserve">Para realizar las mediciones de estos indicadores, se considerarán los reportes levantados en un horario de 9:00 a 17:00 horas, aquellos que se reciban después de ese horario, se contabilizarán para el día hábil siguiente. </w:t>
      </w:r>
    </w:p>
    <w:p w14:paraId="5C6CF0ED" w14:textId="77777777" w:rsidR="00A90ABE" w:rsidRPr="003E443D" w:rsidRDefault="00A90ABE" w:rsidP="00060B2E">
      <w:pPr>
        <w:pStyle w:val="IFTnormal"/>
        <w:ind w:left="-567" w:right="-142"/>
        <w:rPr>
          <w:rFonts w:asciiTheme="minorHAnsi" w:hAnsiTheme="minorHAnsi"/>
        </w:rPr>
      </w:pPr>
      <w:r w:rsidRPr="003E443D">
        <w:t>El indicador “Tiempo de Resolución” se refiere al tiempo transcurrido desde la apertura por el CS de una reclamación hasta que la reclamación ha sido resuelta satisfactoriamente (incluye la aceptación por parte del mismo y el cierre de la incidencia).</w:t>
      </w:r>
    </w:p>
    <w:p w14:paraId="5A638E29" w14:textId="77777777" w:rsidR="00A90ABE" w:rsidRPr="003E443D" w:rsidRDefault="00A90ABE" w:rsidP="00060B2E">
      <w:pPr>
        <w:pStyle w:val="IFTnormal"/>
        <w:ind w:left="-567" w:right="-142"/>
        <w:rPr>
          <w:b/>
        </w:rPr>
      </w:pPr>
      <w:r w:rsidRPr="003E443D">
        <w:rPr>
          <w:b/>
        </w:rPr>
        <w:t>Metodología</w:t>
      </w:r>
    </w:p>
    <w:p w14:paraId="3851A179" w14:textId="49CCC2A8" w:rsidR="00A90ABE" w:rsidRPr="00C67FE8" w:rsidRDefault="00A90ABE" w:rsidP="00060B2E">
      <w:pPr>
        <w:pStyle w:val="IFTnormal"/>
        <w:ind w:left="-567" w:right="-142"/>
      </w:pPr>
      <w:r>
        <w:t>L</w:t>
      </w:r>
      <w:r w:rsidRPr="00C67FE8">
        <w:t>os indicadores de reparación de fallas se calcula</w:t>
      </w:r>
      <w:r>
        <w:t>n</w:t>
      </w:r>
      <w:r w:rsidRPr="00C67FE8">
        <w:t xml:space="preserve"> de la siguiente forma y se mide</w:t>
      </w:r>
      <w:r>
        <w:t>n</w:t>
      </w:r>
      <w:r w:rsidRPr="00C67FE8">
        <w:t xml:space="preserve"> para reparaciones en uno, tres y diez días hábiles posteriores a la recepción de la queja, tal como está establecido en el Título de Concesión de Telmex.</w:t>
      </w:r>
    </w:p>
    <w:p w14:paraId="2EAC6BFC" w14:textId="77777777" w:rsidR="00A90ABE" w:rsidRPr="00C67FE8" w:rsidRDefault="00A90ABE" w:rsidP="00060B2E">
      <w:pPr>
        <w:pStyle w:val="IFTnormal"/>
        <w:ind w:left="-567" w:right="-142"/>
      </w:pPr>
      <w:r w:rsidRPr="00C67FE8">
        <w:rPr>
          <w:b/>
        </w:rPr>
        <w:t>Reparación de fallas</w:t>
      </w:r>
      <w:r w:rsidRPr="00C67FE8">
        <w:t>: porcentaje de las fallas reportadas que son atendidas dentro del plazo a medir (uno, tres, diez días hábiles siguientes a la recepción de la queja), durante el trimestre.</w:t>
      </w:r>
    </w:p>
    <w:p w14:paraId="27B771E6" w14:textId="77777777" w:rsidR="00A90ABE" w:rsidRPr="00FB57DD" w:rsidRDefault="00A90ABE" w:rsidP="00A90ABE">
      <w:pPr>
        <w:pStyle w:val="IFTnormal"/>
        <w:ind w:left="1134"/>
      </w:pPr>
      <w:r w:rsidRPr="00FB57DD">
        <w:t xml:space="preserve">Reparación de Fallas = </w:t>
      </w:r>
      <m:oMath>
        <m:f>
          <m:fPr>
            <m:ctrlPr>
              <w:rPr>
                <w:rFonts w:ascii="Cambria Math" w:hAnsi="Cambria Math"/>
                <w:i/>
              </w:rPr>
            </m:ctrlPr>
          </m:fPr>
          <m:num>
            <m:r>
              <w:rPr>
                <w:rFonts w:ascii="Cambria Math" w:hAnsi="Cambria Math"/>
              </w:rPr>
              <m:t>Fallas</m:t>
            </m:r>
            <m:r>
              <m:rPr>
                <m:sty m:val="p"/>
              </m:rPr>
              <w:rPr>
                <w:rFonts w:ascii="Cambria Math" w:hAnsi="Cambria Math"/>
              </w:rPr>
              <m:t xml:space="preserve"> </m:t>
            </m:r>
            <m:r>
              <w:rPr>
                <w:rFonts w:ascii="Cambria Math" w:hAnsi="Cambria Math"/>
              </w:rPr>
              <m:t>efectivas</m:t>
            </m:r>
            <m:r>
              <m:rPr>
                <m:sty m:val="p"/>
              </m:rPr>
              <w:rPr>
                <w:rFonts w:ascii="Cambria Math" w:hAnsi="Cambria Math"/>
              </w:rPr>
              <m:t xml:space="preserve"> </m:t>
            </m:r>
            <m:r>
              <w:rPr>
                <w:rFonts w:ascii="Cambria Math" w:hAnsi="Cambria Math"/>
              </w:rPr>
              <m:t>reparadas</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el</m:t>
            </m:r>
            <m:r>
              <m:rPr>
                <m:sty m:val="p"/>
              </m:rPr>
              <w:rPr>
                <w:rFonts w:ascii="Cambria Math" w:hAnsi="Cambria Math"/>
              </w:rPr>
              <m:t xml:space="preserve"> </m:t>
            </m:r>
            <m:r>
              <w:rPr>
                <w:rFonts w:ascii="Cambria Math" w:hAnsi="Cambria Math"/>
              </w:rPr>
              <m:t>plazo</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medir</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d</m:t>
            </m:r>
            <m:r>
              <m:rPr>
                <m:sty m:val="p"/>
              </m:rPr>
              <w:rPr>
                <w:rFonts w:ascii="Cambria Math" w:hAnsi="Cambria Math"/>
              </w:rPr>
              <m:t>í</m:t>
            </m:r>
            <m:r>
              <w:rPr>
                <w:rFonts w:ascii="Cambria Math" w:hAnsi="Cambria Math"/>
              </w:rPr>
              <m:t>as</m:t>
            </m:r>
            <m:r>
              <m:rPr>
                <m:sty m:val="p"/>
              </m:rPr>
              <w:rPr>
                <w:rFonts w:ascii="Cambria Math" w:hAnsi="Cambria Math"/>
              </w:rPr>
              <m:t xml:space="preserve"> </m:t>
            </m:r>
            <m:r>
              <w:rPr>
                <w:rFonts w:ascii="Cambria Math" w:hAnsi="Cambria Math"/>
              </w:rPr>
              <m:t>h</m:t>
            </m:r>
            <m:r>
              <m:rPr>
                <m:sty m:val="p"/>
              </m:rPr>
              <w:rPr>
                <w:rFonts w:ascii="Cambria Math" w:hAnsi="Cambria Math"/>
              </w:rPr>
              <m:t>á</m:t>
            </m:r>
            <m:r>
              <w:rPr>
                <w:rFonts w:ascii="Cambria Math" w:hAnsi="Cambria Math"/>
              </w:rPr>
              <m:t>biles</m:t>
            </m:r>
          </m:num>
          <m:den>
            <m:r>
              <w:rPr>
                <w:rFonts w:ascii="Cambria Math" w:hAnsi="Cambria Math"/>
              </w:rPr>
              <m:t>Fallas</m:t>
            </m:r>
            <m:r>
              <m:rPr>
                <m:sty m:val="p"/>
              </m:rPr>
              <w:rPr>
                <w:rFonts w:ascii="Cambria Math" w:hAnsi="Cambria Math"/>
              </w:rPr>
              <m:t xml:space="preserve"> </m:t>
            </m:r>
            <m:r>
              <w:rPr>
                <w:rFonts w:ascii="Cambria Math" w:hAnsi="Cambria Math"/>
              </w:rPr>
              <m:t>Efectivas</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oMath>
    </w:p>
    <w:p w14:paraId="439945BE" w14:textId="77777777" w:rsidR="00A90ABE" w:rsidRPr="00C67FE8" w:rsidRDefault="00A90ABE" w:rsidP="00060B2E">
      <w:pPr>
        <w:pStyle w:val="IFTnormal"/>
        <w:ind w:left="-567" w:right="-142"/>
      </w:pPr>
      <w:r w:rsidRPr="00C67FE8">
        <w:t xml:space="preserve">Donde: </w:t>
      </w:r>
    </w:p>
    <w:p w14:paraId="6A1564E9" w14:textId="6FB05936" w:rsidR="00A90ABE" w:rsidRPr="003E443D" w:rsidRDefault="00A90ABE" w:rsidP="00060B2E">
      <w:pPr>
        <w:pStyle w:val="IFTnormal"/>
        <w:ind w:left="-567" w:right="-142"/>
        <w:rPr>
          <w:i/>
        </w:rPr>
      </w:pPr>
      <w:r w:rsidRPr="003E443D">
        <w:t xml:space="preserve">Fallas efectivas reparadas </w:t>
      </w:r>
      <w:r w:rsidRPr="003E443D">
        <w:rPr>
          <w:i/>
        </w:rPr>
        <w:t xml:space="preserve">en el plazo a medir (días hábiles) = </w:t>
      </w:r>
      <w:r w:rsidRPr="003E443D">
        <w:t>Es la cantidad de fallas reparadas dentro del plazo que interesa medir, en este caso serán uno, tres y diez días hábiles siguientes a la recepción de la queja conforme a los procedimientos formales de Telmex. En esta variable se eliminan las quejas debidas a fallas provocadas por fenómenos no previsibles o de fuerza mayor, además de las fallas en la red bajo responsabilidad del cliente.</w:t>
      </w:r>
      <w:r w:rsidRPr="003E443D">
        <w:rPr>
          <w:i/>
        </w:rPr>
        <w:t xml:space="preserve"> </w:t>
      </w:r>
    </w:p>
    <w:p w14:paraId="51CD2525" w14:textId="77777777" w:rsidR="00A90ABE" w:rsidRPr="003E443D" w:rsidRDefault="00A90ABE" w:rsidP="00060B2E">
      <w:pPr>
        <w:pStyle w:val="IFTnormal"/>
        <w:ind w:left="-567" w:right="-142"/>
      </w:pPr>
      <w:r w:rsidRPr="003E443D">
        <w:t>Fallas Efectivas = Cantidad de reportes de fallas recibidos excepto las quejas debidas a fallas provocadas por fenómenos no previsibles o de fuerza mayor, además de las fallas en la red bajo responsabilidad del cliente.</w:t>
      </w:r>
    </w:p>
    <w:p w14:paraId="4616E8DD" w14:textId="77777777" w:rsidR="00A90ABE" w:rsidRPr="003E443D" w:rsidRDefault="00A90ABE" w:rsidP="00060B2E">
      <w:pPr>
        <w:pStyle w:val="IFTnormal"/>
        <w:ind w:left="-567" w:right="-142"/>
      </w:pPr>
      <w:r w:rsidRPr="003E443D">
        <w:t>Indicador para Disponibilidad</w:t>
      </w:r>
    </w:p>
    <w:p w14:paraId="77F039C1" w14:textId="6CF0A9B4" w:rsidR="00A90ABE" w:rsidRDefault="00A90ABE" w:rsidP="00060B2E">
      <w:pPr>
        <w:pStyle w:val="IFTnormal"/>
        <w:ind w:left="-567" w:right="-142"/>
      </w:pPr>
      <w:r w:rsidRPr="00C67FE8">
        <w:lastRenderedPageBreak/>
        <w:t>El indicador de disponibilidad establece el porcentaje del tiempo durante el cual el servicio se encuentra en operación normal respecto del tiempo total de medición. La meta de cumplimiento de este indicador es del 98% al trimestre.</w:t>
      </w:r>
    </w:p>
    <w:p w14:paraId="67AB573F" w14:textId="333F0BA4" w:rsidR="00C92728" w:rsidRDefault="00C92728" w:rsidP="00060B2E">
      <w:pPr>
        <w:pStyle w:val="IFTnormal"/>
        <w:ind w:left="-567" w:right="-142"/>
      </w:pPr>
    </w:p>
    <w:p w14:paraId="14AE60CE" w14:textId="77777777" w:rsidR="00C92728" w:rsidRPr="00C67FE8" w:rsidRDefault="00C92728" w:rsidP="00060B2E">
      <w:pPr>
        <w:pStyle w:val="IFTnormal"/>
        <w:ind w:left="-567" w:right="-142"/>
      </w:pPr>
    </w:p>
    <w:p w14:paraId="55E4884A" w14:textId="77777777" w:rsidR="00A90ABE" w:rsidRPr="003E443D" w:rsidRDefault="00A90ABE" w:rsidP="00060B2E">
      <w:pPr>
        <w:pStyle w:val="IFTnormal"/>
        <w:ind w:left="-567" w:right="-142"/>
        <w:rPr>
          <w:b/>
        </w:rPr>
      </w:pPr>
      <w:r w:rsidRPr="003E443D">
        <w:rPr>
          <w:b/>
        </w:rPr>
        <w:t>Metodología</w:t>
      </w:r>
    </w:p>
    <w:p w14:paraId="3B4D5D5E" w14:textId="77777777" w:rsidR="00A90ABE" w:rsidRPr="00C67FE8" w:rsidRDefault="00A90ABE" w:rsidP="00060B2E">
      <w:pPr>
        <w:pStyle w:val="IFTnormal"/>
        <w:ind w:left="-567" w:right="-142"/>
      </w:pPr>
      <w:r w:rsidRPr="00C67FE8">
        <w:t>El indicador se calcula considerando el número de líneas en servicio durante el periodo de medición, menos las fallas efectivas reportadas por el tiempo de interrupción del servicio, respecto del total de líneas en servicio durante dicho período de medición.</w:t>
      </w:r>
    </w:p>
    <w:p w14:paraId="2203BADD" w14:textId="77777777" w:rsidR="00A90ABE" w:rsidRPr="00CD6562" w:rsidRDefault="00A90ABE" w:rsidP="00060B2E">
      <w:pPr>
        <w:pStyle w:val="Citaift0"/>
        <w:ind w:left="-567" w:right="-142"/>
        <w:jc w:val="center"/>
        <w:rPr>
          <w:sz w:val="20"/>
          <w:szCs w:val="24"/>
        </w:rPr>
      </w:pPr>
      <w:r w:rsidRPr="003E443D">
        <w:rPr>
          <w:rStyle w:val="IFTnormalCar"/>
        </w:rPr>
        <w:t>Disponibilidad</w:t>
      </w:r>
      <w:r w:rsidRPr="00CD6562">
        <w:rPr>
          <w:sz w:val="20"/>
          <w:szCs w:val="24"/>
        </w:rPr>
        <w:t xml:space="preserve"> </w:t>
      </w:r>
      <w:r w:rsidRPr="003E443D">
        <w:rPr>
          <w:rStyle w:val="IFTnormalCar"/>
        </w:rPr>
        <w:t xml:space="preserve">= </w:t>
      </w:r>
      <m:oMath>
        <m:f>
          <m:fPr>
            <m:ctrlPr>
              <w:rPr>
                <w:rFonts w:ascii="Cambria Math" w:hAnsi="Cambria Math"/>
                <w:i w:val="0"/>
                <w:sz w:val="20"/>
                <w:szCs w:val="24"/>
              </w:rPr>
            </m:ctrlPr>
          </m:fPr>
          <m:num>
            <m:d>
              <m:dPr>
                <m:ctrlPr>
                  <w:rPr>
                    <w:rFonts w:ascii="Cambria Math" w:hAnsi="Cambria Math"/>
                    <w:i w:val="0"/>
                    <w:sz w:val="20"/>
                    <w:szCs w:val="24"/>
                  </w:rPr>
                </m:ctrlPr>
              </m:dPr>
              <m:e>
                <m:r>
                  <w:rPr>
                    <w:rFonts w:ascii="Cambria Math" w:hAnsi="Cambria Math"/>
                    <w:sz w:val="20"/>
                    <w:szCs w:val="24"/>
                  </w:rPr>
                  <m:t>Total de líneas en servicio x Periodo de Medición</m:t>
                </m:r>
              </m:e>
            </m:d>
            <m:r>
              <w:rPr>
                <w:rFonts w:ascii="Cambria Math" w:hAnsi="Cambria Math"/>
                <w:sz w:val="20"/>
                <w:szCs w:val="24"/>
              </w:rPr>
              <m:t>-(Fallas Efectivas x Tiempo de Interrupción)</m:t>
            </m:r>
          </m:num>
          <m:den>
            <m:r>
              <w:rPr>
                <w:rFonts w:ascii="Cambria Math" w:hAnsi="Cambria Math"/>
                <w:sz w:val="20"/>
                <w:szCs w:val="24"/>
              </w:rPr>
              <m:t>Total de líneas en servicio x Periodo de Medición</m:t>
            </m:r>
          </m:den>
        </m:f>
        <m:r>
          <w:rPr>
            <w:rFonts w:ascii="Cambria Math" w:hAnsi="Cambria Math"/>
            <w:sz w:val="20"/>
            <w:szCs w:val="24"/>
          </w:rPr>
          <m:t xml:space="preserve"> x 100</m:t>
        </m:r>
      </m:oMath>
    </w:p>
    <w:p w14:paraId="0424705A" w14:textId="5D8301D3" w:rsidR="00A90ABE" w:rsidRDefault="00A90ABE">
      <w:pPr>
        <w:pStyle w:val="IFTnormal"/>
        <w:ind w:left="-567" w:right="-142"/>
      </w:pPr>
      <w:r w:rsidRPr="00C67FE8">
        <w:t>Se consideran fallas efectivas a la cantidad de reportes de fallas en líneas, excepto las fallas provocadas por fenómenos no previsibles o de fuerza mayor, además de las fallas en la red bajo responsabilidad del cliente.</w:t>
      </w:r>
    </w:p>
    <w:p w14:paraId="71367E93" w14:textId="77777777" w:rsidR="00A90ABE" w:rsidRPr="008F5995" w:rsidRDefault="00A90ABE" w:rsidP="00D32A78">
      <w:pPr>
        <w:spacing w:after="200" w:line="276" w:lineRule="auto"/>
        <w:jc w:val="both"/>
      </w:pPr>
    </w:p>
    <w:p w14:paraId="33CFEAEA" w14:textId="1BFD16C7" w:rsidR="00967A5A" w:rsidRPr="00D936CA" w:rsidRDefault="00394A75" w:rsidP="00B50532">
      <w:pPr>
        <w:pStyle w:val="1TitPrin"/>
      </w:pPr>
      <w:bookmarkStart w:id="396" w:name="_Toc518031992"/>
      <w:r w:rsidRPr="00D936CA">
        <w:t>Servicio de Acceso Indirecto al Bucle</w:t>
      </w:r>
      <w:bookmarkEnd w:id="377"/>
      <w:bookmarkEnd w:id="378"/>
      <w:bookmarkEnd w:id="379"/>
      <w:bookmarkEnd w:id="380"/>
      <w:bookmarkEnd w:id="381"/>
      <w:bookmarkEnd w:id="382"/>
      <w:bookmarkEnd w:id="383"/>
      <w:bookmarkEnd w:id="384"/>
      <w:bookmarkEnd w:id="385"/>
      <w:bookmarkEnd w:id="396"/>
    </w:p>
    <w:p w14:paraId="33CFEAEB" w14:textId="42E3236D" w:rsidR="00394A75" w:rsidRPr="00D936CA" w:rsidRDefault="00375F39" w:rsidP="00D936CA">
      <w:pPr>
        <w:pStyle w:val="Ttulo2"/>
        <w:numPr>
          <w:ilvl w:val="1"/>
          <w:numId w:val="143"/>
        </w:numPr>
        <w:ind w:left="851" w:hanging="425"/>
      </w:pPr>
      <w:bookmarkStart w:id="397" w:name="_Toc436840896"/>
      <w:bookmarkStart w:id="398" w:name="_Toc436846333"/>
      <w:bookmarkStart w:id="399" w:name="_Toc436848283"/>
      <w:bookmarkStart w:id="400" w:name="_Toc436856531"/>
      <w:bookmarkStart w:id="401" w:name="_Toc436862677"/>
      <w:bookmarkStart w:id="402" w:name="_Toc436866327"/>
      <w:bookmarkStart w:id="403" w:name="_Toc436870906"/>
      <w:bookmarkStart w:id="404" w:name="_Toc436875898"/>
      <w:r w:rsidRPr="00D936CA">
        <w:t xml:space="preserve"> </w:t>
      </w:r>
      <w:bookmarkStart w:id="405" w:name="_Toc467248710"/>
      <w:bookmarkStart w:id="406" w:name="_Toc518031993"/>
      <w:r w:rsidR="00394A75" w:rsidRPr="00D936CA">
        <w:t>Descripción del Servicio de Acceso Indirecto al Bucle</w:t>
      </w:r>
      <w:bookmarkEnd w:id="397"/>
      <w:bookmarkEnd w:id="398"/>
      <w:bookmarkEnd w:id="399"/>
      <w:bookmarkEnd w:id="400"/>
      <w:bookmarkEnd w:id="401"/>
      <w:bookmarkEnd w:id="402"/>
      <w:bookmarkEnd w:id="403"/>
      <w:bookmarkEnd w:id="404"/>
      <w:bookmarkEnd w:id="405"/>
      <w:bookmarkEnd w:id="406"/>
    </w:p>
    <w:p w14:paraId="33CFEAEC" w14:textId="341BE2C7" w:rsidR="003F4D50" w:rsidRPr="00D936CA" w:rsidRDefault="003F4D50" w:rsidP="00060B2E">
      <w:pPr>
        <w:spacing w:after="200" w:line="276" w:lineRule="auto"/>
        <w:ind w:left="-567" w:right="-142"/>
        <w:jc w:val="both"/>
        <w:rPr>
          <w:rFonts w:ascii="ITC Avant Garde" w:eastAsia="Calibri" w:hAnsi="ITC Avant Garde" w:cs="Arial"/>
          <w:sz w:val="22"/>
          <w:szCs w:val="22"/>
        </w:rPr>
      </w:pPr>
      <w:r w:rsidRPr="00D936CA">
        <w:rPr>
          <w:rFonts w:ascii="ITC Avant Garde" w:eastAsia="Calibri" w:hAnsi="ITC Avant Garde" w:cs="Arial"/>
          <w:sz w:val="22"/>
          <w:szCs w:val="22"/>
        </w:rPr>
        <w:t xml:space="preserve">El Servicio de Acceso Indirecto al Bucle Local es aquel mediante el cual Telmex pone a disposición del CS capacidad de transmisión entre el Usuario Final y un Punto de Interconexión con la red del CS, de tal forma que se permita la provisión de servicios de telecomunicaciones a un Usuario Final que se conecta a la red pública de telecomunicaciones mediante una </w:t>
      </w:r>
      <w:r w:rsidR="008C387D" w:rsidRPr="00D936CA">
        <w:rPr>
          <w:rFonts w:ascii="ITC Avant Garde" w:eastAsia="Calibri" w:hAnsi="ITC Avant Garde" w:cs="Arial"/>
          <w:sz w:val="22"/>
          <w:szCs w:val="22"/>
        </w:rPr>
        <w:t>a</w:t>
      </w:r>
      <w:r w:rsidRPr="00D936CA">
        <w:rPr>
          <w:rFonts w:ascii="ITC Avant Garde" w:eastAsia="Calibri" w:hAnsi="ITC Avant Garde" w:cs="Arial"/>
          <w:sz w:val="22"/>
          <w:szCs w:val="22"/>
        </w:rPr>
        <w:t>cometida de Telmex. El SAIB será ofrecido por Telmex de manera que permita al CS disponer del Tráfico de datos originado por el usuario, ya sea por medio de cobre o fibra óptica, desde el Punto de Conexión Terminal en el sitio del Usuario Final, transportando el Tráfico hasta una Central Telefónica o Instalación Equivalente donde radican los equipos de acceso</w:t>
      </w:r>
      <w:r w:rsidR="00DE4E90" w:rsidRPr="00D936CA">
        <w:rPr>
          <w:rFonts w:ascii="ITC Avant Garde" w:eastAsia="Calibri" w:hAnsi="ITC Avant Garde" w:cs="Arial"/>
          <w:sz w:val="22"/>
          <w:szCs w:val="22"/>
        </w:rPr>
        <w:t xml:space="preserve"> realizando la conexión del DFO Telmex hasta el DFO del CS o donde Telmex entrega en punta el servicio a solicitud del CS</w:t>
      </w:r>
      <w:r w:rsidR="00F72F2B" w:rsidRPr="00D936CA">
        <w:rPr>
          <w:rFonts w:ascii="ITC Avant Garde" w:eastAsia="Calibri" w:hAnsi="ITC Avant Garde" w:cs="Arial"/>
          <w:sz w:val="22"/>
          <w:szCs w:val="22"/>
        </w:rPr>
        <w:t>.</w:t>
      </w:r>
    </w:p>
    <w:p w14:paraId="33CFEAED" w14:textId="77777777" w:rsidR="008D65F0" w:rsidRPr="00D936CA" w:rsidRDefault="008D65F0" w:rsidP="00060B2E">
      <w:pPr>
        <w:spacing w:after="200" w:line="276" w:lineRule="auto"/>
        <w:ind w:left="-567" w:right="-142"/>
        <w:jc w:val="both"/>
        <w:rPr>
          <w:rFonts w:ascii="ITC Avant Garde" w:hAnsi="ITC Avant Garde" w:cs="Arial"/>
          <w:bCs/>
          <w:sz w:val="22"/>
          <w:szCs w:val="22"/>
        </w:rPr>
      </w:pPr>
      <w:r w:rsidRPr="00D936CA">
        <w:rPr>
          <w:rFonts w:ascii="ITC Avant Garde" w:hAnsi="ITC Avant Garde" w:cs="Arial"/>
          <w:bCs/>
          <w:sz w:val="22"/>
          <w:szCs w:val="22"/>
        </w:rPr>
        <w:t>El SAIB se compone de dos conjuntos de funcionalidades:</w:t>
      </w:r>
    </w:p>
    <w:p w14:paraId="33CFEAEE" w14:textId="4E63BBCB" w:rsidR="008D65F0" w:rsidRPr="00D936CA" w:rsidRDefault="008D65F0" w:rsidP="00060B2E">
      <w:pPr>
        <w:spacing w:after="200" w:line="276" w:lineRule="auto"/>
        <w:ind w:left="-567" w:right="-142"/>
        <w:jc w:val="both"/>
        <w:rPr>
          <w:rFonts w:ascii="ITC Avant Garde" w:hAnsi="ITC Avant Garde" w:cs="Arial"/>
          <w:bCs/>
          <w:sz w:val="22"/>
          <w:szCs w:val="22"/>
        </w:rPr>
      </w:pPr>
      <w:r w:rsidRPr="00D936CA">
        <w:rPr>
          <w:rFonts w:ascii="ITC Avant Garde" w:hAnsi="ITC Avant Garde" w:cs="Arial"/>
          <w:bCs/>
          <w:sz w:val="22"/>
          <w:szCs w:val="22"/>
        </w:rPr>
        <w:t>El primer conjunto de funcionalidades se relaciona con la conexión del usuario y la componen el trasporte de los datos originados por el equipo terminal del usuario sea este un modem xDSL o un ONT entregados en el Punto de Conexión Terminal (PCT), y transportados mediante un bucle de cobre o de fibra óptica hasta la central telefónica o instalación equivalente donde radican los equipos de acceso DSLAM (Digital Subscriber Line Acces Mutliplexer) o módulos OLT (Optical Line Terminal o Unidad Óptica Terminal de Línea)</w:t>
      </w:r>
      <w:r w:rsidR="008C387D" w:rsidRPr="00D936CA">
        <w:rPr>
          <w:rFonts w:ascii="ITC Avant Garde" w:hAnsi="ITC Avant Garde" w:cs="Arial"/>
          <w:bCs/>
          <w:sz w:val="22"/>
          <w:szCs w:val="22"/>
        </w:rPr>
        <w:t>,</w:t>
      </w:r>
      <w:r w:rsidRPr="00D936CA">
        <w:rPr>
          <w:rFonts w:ascii="ITC Avant Garde" w:hAnsi="ITC Avant Garde" w:cs="Arial"/>
          <w:bCs/>
          <w:sz w:val="22"/>
          <w:szCs w:val="22"/>
        </w:rPr>
        <w:t xml:space="preserve"> </w:t>
      </w:r>
      <w:r w:rsidR="008C387D" w:rsidRPr="00D936CA">
        <w:rPr>
          <w:rFonts w:ascii="ITC Avant Garde" w:hAnsi="ITC Avant Garde" w:cs="Arial"/>
          <w:bCs/>
          <w:sz w:val="22"/>
          <w:szCs w:val="22"/>
        </w:rPr>
        <w:t>a</w:t>
      </w:r>
      <w:r w:rsidRPr="00D936CA">
        <w:rPr>
          <w:rFonts w:ascii="ITC Avant Garde" w:hAnsi="ITC Avant Garde" w:cs="Arial"/>
          <w:bCs/>
          <w:sz w:val="22"/>
          <w:szCs w:val="22"/>
        </w:rPr>
        <w:t xml:space="preserve">sí </w:t>
      </w:r>
      <w:r w:rsidRPr="00D936CA">
        <w:rPr>
          <w:rFonts w:ascii="ITC Avant Garde" w:hAnsi="ITC Avant Garde" w:cs="Arial"/>
          <w:bCs/>
          <w:sz w:val="22"/>
          <w:szCs w:val="22"/>
        </w:rPr>
        <w:lastRenderedPageBreak/>
        <w:t>como las funciones de interacción entre ambos equipos necesarias para establecer y garantizar dicha transmisión con una calidad definida correspondiente al perfil del servicio y a las características y naturaleza del bucle.</w:t>
      </w:r>
    </w:p>
    <w:p w14:paraId="33CFEAEF" w14:textId="63284C43" w:rsidR="008D65F0" w:rsidRPr="00D936CA" w:rsidRDefault="008D65F0" w:rsidP="00060B2E">
      <w:pPr>
        <w:spacing w:after="200" w:line="276" w:lineRule="auto"/>
        <w:ind w:left="-567" w:right="-142"/>
        <w:jc w:val="both"/>
        <w:rPr>
          <w:rFonts w:ascii="ITC Avant Garde" w:hAnsi="ITC Avant Garde" w:cs="Arial"/>
          <w:bCs/>
          <w:sz w:val="22"/>
          <w:szCs w:val="22"/>
        </w:rPr>
      </w:pPr>
      <w:r w:rsidRPr="00D936CA">
        <w:rPr>
          <w:rFonts w:ascii="ITC Avant Garde" w:hAnsi="ITC Avant Garde" w:cs="Arial"/>
          <w:bCs/>
          <w:sz w:val="22"/>
          <w:szCs w:val="22"/>
        </w:rPr>
        <w:t xml:space="preserve">Estas funcionalidades incluyen la recepción y posterior entrega en el puerto Ethernet del equipo de acceso (xDSL/OLT) de las señales enviadas por el modem del usuario de acuerdo a interfaz de Capa 2 (según el tipo de acceso xDSL o </w:t>
      </w:r>
      <w:r w:rsidR="00587B25" w:rsidRPr="00D936CA">
        <w:rPr>
          <w:rFonts w:ascii="ITC Avant Garde" w:hAnsi="ITC Avant Garde" w:cs="Arial"/>
          <w:bCs/>
          <w:sz w:val="22"/>
          <w:szCs w:val="22"/>
        </w:rPr>
        <w:t>GPON</w:t>
      </w:r>
      <w:r w:rsidRPr="00D936CA">
        <w:rPr>
          <w:rFonts w:ascii="ITC Avant Garde" w:hAnsi="ITC Avant Garde" w:cs="Arial"/>
          <w:bCs/>
          <w:sz w:val="22"/>
          <w:szCs w:val="22"/>
        </w:rPr>
        <w:t>).</w:t>
      </w:r>
    </w:p>
    <w:p w14:paraId="33CFEAF0" w14:textId="1C02874D" w:rsidR="008D65F0" w:rsidRPr="00D936CA" w:rsidRDefault="008D65F0" w:rsidP="00060B2E">
      <w:pPr>
        <w:spacing w:after="200" w:line="276" w:lineRule="auto"/>
        <w:ind w:left="-567" w:right="-142"/>
        <w:jc w:val="both"/>
        <w:rPr>
          <w:rFonts w:ascii="ITC Avant Garde" w:hAnsi="ITC Avant Garde" w:cs="Arial"/>
          <w:bCs/>
          <w:sz w:val="22"/>
          <w:szCs w:val="22"/>
        </w:rPr>
      </w:pPr>
      <w:r w:rsidRPr="00D936CA">
        <w:rPr>
          <w:rFonts w:ascii="ITC Avant Garde" w:hAnsi="ITC Avant Garde" w:cs="Arial"/>
          <w:bCs/>
          <w:sz w:val="22"/>
          <w:szCs w:val="22"/>
        </w:rPr>
        <w:t xml:space="preserve">El segundo conjunto de funcionalidades corresponden a la agregación en sentido ascendente y desagregación en el descendente de los flujos del tráfico de datos provenientes de los distintos equipos de los Usuarios Finales que llegan a los diferentes equipos de acceso de TELMEX para su organización en VLAN y su posterior transporte y entrega a nivel de Capa 2 (Ethernet) en un Puerto de Conexión de Acceso Indirecto (pCAI), ubicado en un Nodo de Conexión de Acceso Indirecto (NCAI) elegido por el CS y al que accede a través del correspondiente </w:t>
      </w:r>
      <w:r w:rsidR="00F72F2B" w:rsidRPr="00D936CA">
        <w:rPr>
          <w:rFonts w:ascii="ITC Avant Garde" w:hAnsi="ITC Avant Garde" w:cs="Arial"/>
          <w:bCs/>
          <w:sz w:val="22"/>
          <w:szCs w:val="22"/>
        </w:rPr>
        <w:t>distribuidor</w:t>
      </w:r>
      <w:r w:rsidRPr="00D936CA">
        <w:rPr>
          <w:rFonts w:ascii="ITC Avant Garde" w:hAnsi="ITC Avant Garde" w:cs="Arial"/>
          <w:bCs/>
          <w:sz w:val="22"/>
          <w:szCs w:val="22"/>
        </w:rPr>
        <w:t xml:space="preserve"> de </w:t>
      </w:r>
      <w:r w:rsidR="00F72F2B" w:rsidRPr="00D936CA">
        <w:rPr>
          <w:rFonts w:ascii="ITC Avant Garde" w:hAnsi="ITC Avant Garde" w:cs="Arial"/>
          <w:bCs/>
          <w:sz w:val="22"/>
          <w:szCs w:val="22"/>
        </w:rPr>
        <w:t>fibra óptica</w:t>
      </w:r>
      <w:r w:rsidRPr="00D936CA">
        <w:rPr>
          <w:rFonts w:ascii="ITC Avant Garde" w:hAnsi="ITC Avant Garde" w:cs="Arial"/>
          <w:bCs/>
          <w:sz w:val="22"/>
          <w:szCs w:val="22"/>
        </w:rPr>
        <w:t xml:space="preserve">, en adelante </w:t>
      </w:r>
      <w:r w:rsidR="00F72F2B" w:rsidRPr="00D936CA">
        <w:rPr>
          <w:rFonts w:ascii="ITC Avant Garde" w:hAnsi="ITC Avant Garde" w:cs="Arial"/>
          <w:bCs/>
          <w:sz w:val="22"/>
          <w:szCs w:val="22"/>
        </w:rPr>
        <w:t>denominado</w:t>
      </w:r>
      <w:r w:rsidRPr="00D936CA">
        <w:rPr>
          <w:rFonts w:ascii="ITC Avant Garde" w:hAnsi="ITC Avant Garde" w:cs="Arial"/>
          <w:bCs/>
          <w:sz w:val="22"/>
          <w:szCs w:val="22"/>
        </w:rPr>
        <w:t xml:space="preserve"> </w:t>
      </w:r>
      <w:r w:rsidRPr="00D936CA">
        <w:rPr>
          <w:rFonts w:ascii="ITC Avant Garde" w:hAnsi="ITC Avant Garde" w:cs="Arial"/>
          <w:sz w:val="22"/>
          <w:szCs w:val="22"/>
        </w:rPr>
        <w:t xml:space="preserve">Servicio de Concentración y </w:t>
      </w:r>
      <w:r w:rsidR="00F72F2B" w:rsidRPr="00D936CA">
        <w:rPr>
          <w:rFonts w:ascii="ITC Avant Garde" w:hAnsi="ITC Avant Garde" w:cs="Arial"/>
          <w:sz w:val="22"/>
          <w:szCs w:val="22"/>
        </w:rPr>
        <w:t>Distribució</w:t>
      </w:r>
      <w:r w:rsidRPr="00D936CA">
        <w:rPr>
          <w:rFonts w:ascii="ITC Avant Garde" w:hAnsi="ITC Avant Garde" w:cs="Arial"/>
          <w:sz w:val="22"/>
          <w:szCs w:val="22"/>
        </w:rPr>
        <w:t>n (SCyD).</w:t>
      </w:r>
    </w:p>
    <w:p w14:paraId="33CFEAF1" w14:textId="77777777" w:rsidR="008D65F0" w:rsidRPr="00D936CA" w:rsidRDefault="008D65F0" w:rsidP="00060B2E">
      <w:pPr>
        <w:spacing w:after="200" w:line="276" w:lineRule="auto"/>
        <w:ind w:left="-567" w:right="-142"/>
        <w:jc w:val="both"/>
        <w:rPr>
          <w:rFonts w:ascii="ITC Avant Garde" w:hAnsi="ITC Avant Garde" w:cs="Arial"/>
          <w:bCs/>
          <w:sz w:val="22"/>
          <w:szCs w:val="22"/>
        </w:rPr>
      </w:pPr>
      <w:r w:rsidRPr="00D936CA">
        <w:rPr>
          <w:rFonts w:ascii="ITC Avant Garde" w:hAnsi="ITC Avant Garde" w:cs="Arial"/>
          <w:bCs/>
          <w:sz w:val="22"/>
          <w:szCs w:val="22"/>
        </w:rPr>
        <w:t xml:space="preserve">En </w:t>
      </w:r>
      <w:r w:rsidR="0091346B" w:rsidRPr="00D936CA">
        <w:rPr>
          <w:rFonts w:ascii="ITC Avant Garde" w:hAnsi="ITC Avant Garde" w:cs="Arial"/>
          <w:bCs/>
          <w:sz w:val="22"/>
          <w:szCs w:val="22"/>
        </w:rPr>
        <w:t>la siguiente imagen</w:t>
      </w:r>
      <w:r w:rsidRPr="00D936CA">
        <w:rPr>
          <w:rFonts w:ascii="ITC Avant Garde" w:hAnsi="ITC Avant Garde" w:cs="Arial"/>
          <w:bCs/>
          <w:sz w:val="22"/>
          <w:szCs w:val="22"/>
        </w:rPr>
        <w:t xml:space="preserve"> se muestran las funcionalidades que integran el SAIB que permiten la entrega del tráfico de datos del usuario al CS. </w:t>
      </w:r>
    </w:p>
    <w:p w14:paraId="33CFEAF2" w14:textId="77777777" w:rsidR="008D65F0" w:rsidRPr="00D936CA" w:rsidRDefault="008D65F0" w:rsidP="00D936CA">
      <w:pPr>
        <w:spacing w:after="200" w:line="276" w:lineRule="auto"/>
        <w:jc w:val="both"/>
        <w:rPr>
          <w:rFonts w:ascii="ITC Avant Garde" w:hAnsi="ITC Avant Garde" w:cs="Arial"/>
          <w:bCs/>
          <w:sz w:val="22"/>
          <w:szCs w:val="22"/>
        </w:rPr>
      </w:pPr>
    </w:p>
    <w:p w14:paraId="33CFEAF3" w14:textId="77777777" w:rsidR="008D65F0" w:rsidRPr="00D936CA" w:rsidRDefault="008D65F0" w:rsidP="00D936CA">
      <w:pPr>
        <w:spacing w:after="200" w:line="276" w:lineRule="auto"/>
        <w:jc w:val="both"/>
        <w:rPr>
          <w:rFonts w:ascii="ITC Avant Garde" w:hAnsi="ITC Avant Garde" w:cs="Arial"/>
          <w:sz w:val="22"/>
          <w:szCs w:val="22"/>
          <w:lang w:val="es-MX"/>
        </w:rPr>
      </w:pPr>
      <w:r w:rsidRPr="00D936CA">
        <w:rPr>
          <w:rFonts w:ascii="ITC Avant Garde" w:hAnsi="ITC Avant Garde" w:cs="Arial"/>
          <w:noProof/>
          <w:sz w:val="22"/>
          <w:szCs w:val="22"/>
          <w:lang w:val="es-MX" w:eastAsia="es-MX"/>
        </w:rPr>
        <w:drawing>
          <wp:inline distT="0" distB="0" distL="0" distR="0" wp14:anchorId="33CFF2B3" wp14:editId="33CFF2B4">
            <wp:extent cx="5612130" cy="2253615"/>
            <wp:effectExtent l="0" t="0" r="7620" b="0"/>
            <wp:docPr id="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44"/>
                    <a:stretch>
                      <a:fillRect/>
                    </a:stretch>
                  </pic:blipFill>
                  <pic:spPr>
                    <a:xfrm>
                      <a:off x="0" y="0"/>
                      <a:ext cx="5612130" cy="2253615"/>
                    </a:xfrm>
                    <a:prstGeom prst="rect">
                      <a:avLst/>
                    </a:prstGeom>
                  </pic:spPr>
                </pic:pic>
              </a:graphicData>
            </a:graphic>
          </wp:inline>
        </w:drawing>
      </w:r>
    </w:p>
    <w:p w14:paraId="33CFEAF4" w14:textId="77777777" w:rsidR="008D65F0" w:rsidRPr="00D936CA" w:rsidRDefault="008D65F0" w:rsidP="00D936CA">
      <w:pPr>
        <w:pStyle w:val="Textoindependiente"/>
        <w:spacing w:before="120" w:after="200" w:line="276" w:lineRule="auto"/>
        <w:rPr>
          <w:rFonts w:ascii="ITC Avant Garde" w:hAnsi="ITC Avant Garde"/>
          <w:b w:val="0"/>
          <w:sz w:val="18"/>
          <w:szCs w:val="18"/>
        </w:rPr>
      </w:pPr>
      <w:r w:rsidRPr="00D936CA">
        <w:rPr>
          <w:rFonts w:ascii="ITC Avant Garde" w:hAnsi="ITC Avant Garde"/>
          <w:b w:val="0"/>
          <w:sz w:val="18"/>
          <w:szCs w:val="18"/>
        </w:rPr>
        <w:t>Funcionalidades del SAIB</w:t>
      </w:r>
    </w:p>
    <w:p w14:paraId="33CFEAF5" w14:textId="77777777" w:rsidR="00394A75" w:rsidRPr="00D936CA" w:rsidRDefault="00394A75" w:rsidP="00060B2E">
      <w:pPr>
        <w:ind w:left="-567" w:right="-142"/>
        <w:jc w:val="both"/>
        <w:rPr>
          <w:rFonts w:ascii="ITC Avant Garde" w:hAnsi="ITC Avant Garde"/>
          <w:sz w:val="22"/>
          <w:szCs w:val="22"/>
        </w:rPr>
      </w:pPr>
    </w:p>
    <w:p w14:paraId="33CFEAF6" w14:textId="20E0729B" w:rsidR="00394A75" w:rsidRPr="00D936CA" w:rsidRDefault="00394A75"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El SCyD recibe una señal Ethernet que integra los flujos de datos agregados de cada uno de los usuarios identificados por la misma VLAN correspondientes a cada uno de los equipos de acceso y l</w:t>
      </w:r>
      <w:r w:rsidR="008C387D" w:rsidRPr="00D936CA">
        <w:rPr>
          <w:rFonts w:ascii="ITC Avant Garde" w:hAnsi="ITC Avant Garde" w:cs="Arial"/>
          <w:sz w:val="22"/>
          <w:szCs w:val="22"/>
          <w:lang w:val="es-MX"/>
        </w:rPr>
        <w:t>o</w:t>
      </w:r>
      <w:r w:rsidRPr="00D936CA">
        <w:rPr>
          <w:rFonts w:ascii="ITC Avant Garde" w:hAnsi="ITC Avant Garde" w:cs="Arial"/>
          <w:sz w:val="22"/>
          <w:szCs w:val="22"/>
          <w:lang w:val="es-MX"/>
        </w:rPr>
        <w:t>s agrega a l</w:t>
      </w:r>
      <w:r w:rsidR="008C387D" w:rsidRPr="00D936CA">
        <w:rPr>
          <w:rFonts w:ascii="ITC Avant Garde" w:hAnsi="ITC Avant Garde" w:cs="Arial"/>
          <w:sz w:val="22"/>
          <w:szCs w:val="22"/>
          <w:lang w:val="es-MX"/>
        </w:rPr>
        <w:t>o</w:t>
      </w:r>
      <w:r w:rsidRPr="00D936CA">
        <w:rPr>
          <w:rFonts w:ascii="ITC Avant Garde" w:hAnsi="ITC Avant Garde" w:cs="Arial"/>
          <w:sz w:val="22"/>
          <w:szCs w:val="22"/>
          <w:lang w:val="es-MX"/>
        </w:rPr>
        <w:t>s que provienen del resto de los equipos de acceso de la central  o instalación equivalente o de otras centrales de la misma área de agregación local para entregarlos a un puerto de un NCAI local o en su caso transportarlos y agregarlos en un NCAI regional o nacional según el nivel de agregación que corresponda al pCAI solicitado por el CS.</w:t>
      </w:r>
    </w:p>
    <w:p w14:paraId="33CFEAF7" w14:textId="77777777" w:rsidR="00394A75" w:rsidRPr="00D936CA" w:rsidRDefault="00394A75"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lastRenderedPageBreak/>
        <w:t xml:space="preserve">Telmex pone a disposición del CS el SCyD por lo cual el CS deberá observar los criterios establecidos para la solicitud de los servicios de acuerdo a la zona de cobertura y nivel de agregación correspondiente. También el CS podrá </w:t>
      </w:r>
      <w:r w:rsidR="00965827" w:rsidRPr="00D936CA">
        <w:rPr>
          <w:rFonts w:ascii="ITC Avant Garde" w:hAnsi="ITC Avant Garde" w:cs="Arial"/>
          <w:sz w:val="22"/>
          <w:szCs w:val="22"/>
          <w:lang w:val="es-MX"/>
        </w:rPr>
        <w:t>utilizar</w:t>
      </w:r>
      <w:r w:rsidRPr="00D936CA">
        <w:rPr>
          <w:rFonts w:ascii="ITC Avant Garde" w:hAnsi="ITC Avant Garde" w:cs="Arial"/>
          <w:sz w:val="22"/>
          <w:szCs w:val="22"/>
          <w:lang w:val="es-MX"/>
        </w:rPr>
        <w:t xml:space="preserve"> enlaces</w:t>
      </w:r>
      <w:r w:rsidR="00965827" w:rsidRPr="00D936CA">
        <w:rPr>
          <w:rFonts w:ascii="ITC Avant Garde" w:hAnsi="ITC Avant Garde" w:cs="Arial"/>
          <w:sz w:val="22"/>
          <w:szCs w:val="22"/>
          <w:lang w:val="es-MX"/>
        </w:rPr>
        <w:t xml:space="preserve"> </w:t>
      </w:r>
      <w:r w:rsidRPr="00D936CA">
        <w:rPr>
          <w:rFonts w:ascii="ITC Avant Garde" w:hAnsi="ITC Avant Garde" w:cs="Arial"/>
          <w:sz w:val="22"/>
          <w:szCs w:val="22"/>
          <w:lang w:val="es-MX"/>
        </w:rPr>
        <w:t xml:space="preserve">propios </w:t>
      </w:r>
      <w:r w:rsidR="00965827" w:rsidRPr="00D936CA">
        <w:rPr>
          <w:rFonts w:ascii="ITC Avant Garde" w:hAnsi="ITC Avant Garde" w:cs="Arial"/>
          <w:sz w:val="22"/>
          <w:szCs w:val="22"/>
          <w:lang w:val="es-MX"/>
        </w:rPr>
        <w:t>o arrendados</w:t>
      </w:r>
      <w:r w:rsidRPr="00D936CA">
        <w:rPr>
          <w:rFonts w:ascii="ITC Avant Garde" w:hAnsi="ITC Avant Garde" w:cs="Arial"/>
          <w:sz w:val="22"/>
          <w:szCs w:val="22"/>
          <w:lang w:val="es-MX"/>
        </w:rPr>
        <w:t xml:space="preserve"> para la conducción del tráfico proveniente de los diferentes puntos de concentración, a otro punto de interés del CS. </w:t>
      </w:r>
    </w:p>
    <w:p w14:paraId="33CFEAF8" w14:textId="5CD03B69" w:rsidR="0004290A" w:rsidRPr="00D936CA" w:rsidRDefault="00394A75"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 xml:space="preserve">Las políticas comerciales que se prestarán a los CS en este servicio estarán sujetas a los SLA’s, perfiles y anchos de banda, entre otros criterios que Telmex utiliza para prestar los servicios a sus usuarios finales. Por tanto, la configuración de velocidad de bajada y subida de datos en los equipos de acceso será la oferta comercial de Telmex. </w:t>
      </w:r>
    </w:p>
    <w:p w14:paraId="33CFEAF9" w14:textId="087D1C4E" w:rsidR="00394A75" w:rsidRPr="00D936CA" w:rsidRDefault="00394A75"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A través de las consultas de información el CS contará con los mismos elementos con que cuenta Telmex para determinar los posibles perfiles de velocidad que podría solicitar para sus cliente</w:t>
      </w:r>
      <w:r w:rsidR="009558FA" w:rsidRPr="00D936CA">
        <w:rPr>
          <w:rFonts w:ascii="ITC Avant Garde" w:hAnsi="ITC Avant Garde" w:cs="Arial"/>
          <w:sz w:val="22"/>
          <w:szCs w:val="22"/>
          <w:lang w:val="es-MX"/>
        </w:rPr>
        <w:t>s</w:t>
      </w:r>
      <w:r w:rsidR="00043E90" w:rsidRPr="00D936CA">
        <w:rPr>
          <w:rFonts w:ascii="ITC Avant Garde" w:hAnsi="ITC Avant Garde" w:cs="Arial"/>
          <w:sz w:val="22"/>
          <w:szCs w:val="22"/>
          <w:lang w:val="es-MX"/>
        </w:rPr>
        <w:t>, i</w:t>
      </w:r>
      <w:r w:rsidR="00AC415B" w:rsidRPr="00D936CA">
        <w:rPr>
          <w:rFonts w:ascii="ITC Avant Garde" w:hAnsi="ITC Avant Garde" w:cs="Arial"/>
          <w:sz w:val="22"/>
          <w:szCs w:val="22"/>
          <w:lang w:val="es-MX"/>
        </w:rPr>
        <w:t>ncluyendo l</w:t>
      </w:r>
      <w:r w:rsidRPr="00D936CA">
        <w:rPr>
          <w:rFonts w:ascii="ITC Avant Garde" w:hAnsi="ITC Avant Garde" w:cs="Arial"/>
          <w:sz w:val="22"/>
          <w:szCs w:val="22"/>
          <w:lang w:val="es-MX"/>
        </w:rPr>
        <w:t>as características técnicas de los equipos de acceso (DSLAM-OLT) y las condiciones de los bucles</w:t>
      </w:r>
      <w:r w:rsidR="00AC415B" w:rsidRPr="00D936CA">
        <w:rPr>
          <w:rFonts w:ascii="ITC Avant Garde" w:hAnsi="ITC Avant Garde" w:cs="Arial"/>
          <w:sz w:val="22"/>
          <w:szCs w:val="22"/>
          <w:lang w:val="es-MX"/>
        </w:rPr>
        <w:t>.</w:t>
      </w:r>
    </w:p>
    <w:p w14:paraId="33CFEAFA" w14:textId="77777777" w:rsidR="009D0876" w:rsidRPr="00D936CA" w:rsidRDefault="009D0876" w:rsidP="00060B2E">
      <w:pPr>
        <w:pStyle w:val="IFTnormal"/>
        <w:ind w:left="-567" w:right="-142"/>
        <w:rPr>
          <w:rFonts w:cs="Arial"/>
        </w:rPr>
      </w:pPr>
      <w:r w:rsidRPr="00D936CA">
        <w:t xml:space="preserve">El </w:t>
      </w:r>
      <w:r w:rsidR="00DE3AEB" w:rsidRPr="00D936CA">
        <w:rPr>
          <w:rFonts w:cs="Arial"/>
        </w:rPr>
        <w:t>CS</w:t>
      </w:r>
      <w:r w:rsidRPr="00D936CA">
        <w:rPr>
          <w:rFonts w:cs="Arial"/>
        </w:rPr>
        <w:t xml:space="preserve"> podrá proveer el servicio de datos al usuario final, </w:t>
      </w:r>
      <w:r w:rsidR="00F72F2B" w:rsidRPr="00D936CA">
        <w:rPr>
          <w:rFonts w:cs="Arial"/>
        </w:rPr>
        <w:t xml:space="preserve">mientras que </w:t>
      </w:r>
      <w:r w:rsidR="00B4205C" w:rsidRPr="00D936CA">
        <w:rPr>
          <w:rFonts w:cs="Arial"/>
        </w:rPr>
        <w:t>la telefonía tradicional podrá proporcionarse a través de la banda baja por</w:t>
      </w:r>
      <w:r w:rsidRPr="00D936CA">
        <w:rPr>
          <w:rFonts w:cs="Arial"/>
        </w:rPr>
        <w:t xml:space="preserve"> </w:t>
      </w:r>
      <w:r w:rsidR="00B4205C" w:rsidRPr="00D936CA">
        <w:rPr>
          <w:rFonts w:cs="Arial"/>
        </w:rPr>
        <w:t xml:space="preserve">parte de </w:t>
      </w:r>
      <w:r w:rsidRPr="00D936CA">
        <w:rPr>
          <w:rFonts w:cs="Arial"/>
        </w:rPr>
        <w:t>otro Concesionario en la modalidad de reventa de línea</w:t>
      </w:r>
      <w:r w:rsidR="00B4205C" w:rsidRPr="00D936CA">
        <w:rPr>
          <w:rFonts w:cs="Arial"/>
        </w:rPr>
        <w:t>, o por parte de Telmex</w:t>
      </w:r>
      <w:r w:rsidRPr="00D936CA">
        <w:rPr>
          <w:rFonts w:cs="Arial"/>
        </w:rPr>
        <w:t xml:space="preserve">. </w:t>
      </w:r>
    </w:p>
    <w:p w14:paraId="33CFEAFB" w14:textId="1E4021F4" w:rsidR="00640F89" w:rsidRPr="00D936CA" w:rsidRDefault="00394A75"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 xml:space="preserve">Dadas las limitantes técnicas y tecnológicas de la </w:t>
      </w:r>
      <w:r w:rsidR="009D0876" w:rsidRPr="00D936CA">
        <w:rPr>
          <w:rFonts w:ascii="ITC Avant Garde" w:hAnsi="ITC Avant Garde" w:cs="Arial"/>
          <w:sz w:val="22"/>
          <w:szCs w:val="22"/>
          <w:lang w:val="es-MX"/>
        </w:rPr>
        <w:t>red de Telmex</w:t>
      </w:r>
      <w:r w:rsidRPr="00D936CA">
        <w:rPr>
          <w:rFonts w:ascii="ITC Avant Garde" w:hAnsi="ITC Avant Garde" w:cs="Arial"/>
          <w:sz w:val="22"/>
          <w:szCs w:val="22"/>
          <w:lang w:val="es-MX"/>
        </w:rPr>
        <w:t>, cuando el SAIB sea provisto sobre accesos de FTTH o TBA (Terminales de Banda Ancha o también conocidas como FTT</w:t>
      </w:r>
      <w:r w:rsidR="00BF3B19" w:rsidRPr="00D936CA">
        <w:rPr>
          <w:rFonts w:ascii="ITC Avant Garde" w:hAnsi="ITC Avant Garde" w:cs="Arial"/>
          <w:sz w:val="22"/>
          <w:szCs w:val="22"/>
          <w:lang w:val="es-MX"/>
        </w:rPr>
        <w:t>C</w:t>
      </w:r>
      <w:r w:rsidRPr="00D936CA">
        <w:rPr>
          <w:rFonts w:ascii="ITC Avant Garde" w:hAnsi="ITC Avant Garde" w:cs="Arial"/>
          <w:sz w:val="22"/>
          <w:szCs w:val="22"/>
          <w:lang w:val="es-MX"/>
        </w:rPr>
        <w:t>),</w:t>
      </w:r>
      <w:r w:rsidR="00BF3B19" w:rsidRPr="00D936CA">
        <w:rPr>
          <w:rFonts w:ascii="ITC Avant Garde" w:hAnsi="ITC Avant Garde" w:cs="Arial"/>
          <w:sz w:val="22"/>
          <w:szCs w:val="22"/>
          <w:lang w:val="es-MX"/>
        </w:rPr>
        <w:t xml:space="preserve"> no podrá proveerse </w:t>
      </w:r>
      <w:r w:rsidRPr="00D936CA">
        <w:rPr>
          <w:rFonts w:ascii="ITC Avant Garde" w:hAnsi="ITC Avant Garde" w:cs="Arial"/>
          <w:sz w:val="22"/>
          <w:szCs w:val="22"/>
          <w:lang w:val="es-MX"/>
        </w:rPr>
        <w:t>el servicio de línea telefónica</w:t>
      </w:r>
      <w:r w:rsidR="00BF3B19" w:rsidRPr="00D936CA">
        <w:rPr>
          <w:rFonts w:ascii="ITC Avant Garde" w:hAnsi="ITC Avant Garde" w:cs="Arial"/>
          <w:sz w:val="22"/>
          <w:szCs w:val="22"/>
          <w:lang w:val="es-MX"/>
        </w:rPr>
        <w:t xml:space="preserve"> tradicional</w:t>
      </w:r>
      <w:r w:rsidR="00E320F4" w:rsidRPr="00D936CA">
        <w:rPr>
          <w:rFonts w:ascii="ITC Avant Garde" w:hAnsi="ITC Avant Garde" w:cs="Arial"/>
          <w:sz w:val="22"/>
          <w:szCs w:val="22"/>
          <w:lang w:val="es-MX"/>
        </w:rPr>
        <w:t xml:space="preserve"> (</w:t>
      </w:r>
      <w:r w:rsidR="00D5323A" w:rsidRPr="00D936CA">
        <w:rPr>
          <w:rFonts w:ascii="ITC Avant Garde" w:hAnsi="ITC Avant Garde" w:cs="Arial"/>
          <w:sz w:val="22"/>
          <w:szCs w:val="22"/>
          <w:lang w:val="es-MX"/>
        </w:rPr>
        <w:t xml:space="preserve">Conmutación por establecimientos de </w:t>
      </w:r>
      <w:r w:rsidR="00DD1250" w:rsidRPr="00D936CA">
        <w:rPr>
          <w:rFonts w:ascii="ITC Avant Garde" w:hAnsi="ITC Avant Garde" w:cs="Arial"/>
          <w:sz w:val="22"/>
          <w:szCs w:val="22"/>
          <w:lang w:val="es-MX"/>
        </w:rPr>
        <w:t>C</w:t>
      </w:r>
      <w:r w:rsidR="00D5323A" w:rsidRPr="00D936CA">
        <w:rPr>
          <w:rFonts w:ascii="ITC Avant Garde" w:hAnsi="ITC Avant Garde" w:cs="Arial"/>
          <w:sz w:val="22"/>
          <w:szCs w:val="22"/>
          <w:lang w:val="es-MX"/>
        </w:rPr>
        <w:t>ircuitos y Multiplexación por División de Tiempo</w:t>
      </w:r>
      <w:r w:rsidR="00E320F4" w:rsidRPr="00D936CA">
        <w:rPr>
          <w:rFonts w:ascii="ITC Avant Garde" w:hAnsi="ITC Avant Garde" w:cs="Arial"/>
          <w:sz w:val="22"/>
          <w:szCs w:val="22"/>
          <w:lang w:val="es-MX"/>
        </w:rPr>
        <w:t>)</w:t>
      </w:r>
      <w:r w:rsidR="00043E90" w:rsidRPr="00D936CA">
        <w:rPr>
          <w:rFonts w:ascii="ITC Avant Garde" w:hAnsi="ITC Avant Garde" w:cs="Arial"/>
          <w:sz w:val="22"/>
          <w:szCs w:val="22"/>
          <w:lang w:val="es-MX"/>
        </w:rPr>
        <w:t xml:space="preserve"> por parte de Telmex.</w:t>
      </w:r>
    </w:p>
    <w:p w14:paraId="33CFEAFC" w14:textId="3C5ADAB6" w:rsidR="00394A75" w:rsidRPr="00D936CA" w:rsidRDefault="00394A75"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Los perfiles de los servicios de datos que podrá proporcionar el CS dependerán del medio de acceso desplegado hacia al domicilio del usuario y de los servicios que Telmex ofrece</w:t>
      </w:r>
      <w:r w:rsidR="0063332F">
        <w:rPr>
          <w:rFonts w:ascii="ITC Avant Garde" w:hAnsi="ITC Avant Garde" w:cs="Arial"/>
          <w:sz w:val="22"/>
          <w:szCs w:val="22"/>
          <w:lang w:val="es-MX"/>
        </w:rPr>
        <w:t>,</w:t>
      </w:r>
      <w:r w:rsidRPr="00D936CA">
        <w:rPr>
          <w:rFonts w:ascii="ITC Avant Garde" w:hAnsi="ITC Avant Garde" w:cs="Arial"/>
          <w:sz w:val="22"/>
          <w:szCs w:val="22"/>
          <w:lang w:val="es-MX"/>
        </w:rPr>
        <w:t xml:space="preserve"> así como de las condiciones de la red. Es decir, la calificación de bucle en xDSL y los criterios técnicos serán los mismos que los que Telmex ofrece a sus propios usuarios. Para GPON la calificación del bucle no es necesaria puesto que la velocidad configurada es asegurada por las características técnicas de la fibra óptica.</w:t>
      </w:r>
    </w:p>
    <w:p w14:paraId="33CFEAFD" w14:textId="77777777" w:rsidR="009753C9" w:rsidRPr="00D936CA" w:rsidRDefault="009753C9" w:rsidP="00060B2E">
      <w:pPr>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 xml:space="preserve">El SAIB contempla las siguientes características: </w:t>
      </w:r>
    </w:p>
    <w:p w14:paraId="33CFEAFE" w14:textId="77777777" w:rsidR="009753C9" w:rsidRPr="00D936CA" w:rsidRDefault="009753C9" w:rsidP="00D32A78">
      <w:pPr>
        <w:pStyle w:val="Prrafodelista"/>
        <w:numPr>
          <w:ilvl w:val="0"/>
          <w:numId w:val="58"/>
        </w:numPr>
        <w:spacing w:after="200" w:line="276" w:lineRule="auto"/>
        <w:jc w:val="both"/>
        <w:rPr>
          <w:rFonts w:ascii="ITC Avant Garde" w:hAnsi="ITC Avant Garde" w:cs="Arial"/>
          <w:sz w:val="22"/>
          <w:szCs w:val="22"/>
          <w:lang w:val="es-MX"/>
        </w:rPr>
      </w:pPr>
      <w:r w:rsidRPr="00D936CA">
        <w:rPr>
          <w:rFonts w:ascii="ITC Avant Garde" w:hAnsi="ITC Avant Garde" w:cs="Arial"/>
          <w:sz w:val="22"/>
          <w:szCs w:val="22"/>
          <w:lang w:val="es-MX"/>
        </w:rPr>
        <w:t xml:space="preserve">Servicio mayorista de acceso indirecto con entrega local, regional o nacional en puertos </w:t>
      </w:r>
      <w:r w:rsidR="00EE1F87" w:rsidRPr="00D936CA">
        <w:rPr>
          <w:rFonts w:ascii="ITC Avant Garde" w:hAnsi="ITC Avant Garde" w:cs="Arial"/>
          <w:sz w:val="22"/>
          <w:szCs w:val="22"/>
          <w:lang w:val="es-MX"/>
        </w:rPr>
        <w:t>de Acceso Indirecto</w:t>
      </w:r>
      <w:r w:rsidRPr="00D936CA">
        <w:rPr>
          <w:rFonts w:ascii="ITC Avant Garde" w:hAnsi="ITC Avant Garde" w:cs="Arial"/>
          <w:sz w:val="22"/>
          <w:szCs w:val="22"/>
          <w:lang w:val="es-MX"/>
        </w:rPr>
        <w:t xml:space="preserve"> pCAI´s.</w:t>
      </w:r>
    </w:p>
    <w:p w14:paraId="33CFEAFF" w14:textId="1D635965" w:rsidR="00EE1F87" w:rsidRPr="00D936CA" w:rsidRDefault="00EE1F87" w:rsidP="00D32A78">
      <w:pPr>
        <w:pStyle w:val="CondicionesFinales"/>
        <w:numPr>
          <w:ilvl w:val="0"/>
          <w:numId w:val="58"/>
        </w:numPr>
        <w:rPr>
          <w:bCs w:val="0"/>
          <w:color w:val="auto"/>
          <w:lang w:val="es-MX"/>
        </w:rPr>
      </w:pPr>
      <w:r w:rsidRPr="00D936CA">
        <w:rPr>
          <w:bCs w:val="0"/>
          <w:color w:val="auto"/>
          <w:lang w:val="es-MX"/>
        </w:rPr>
        <w:lastRenderedPageBreak/>
        <w:t>Dos calidades de tráfico, basadas en la prioridad de las tramas marcadas con P-bit=5 y P-bit=0</w:t>
      </w:r>
      <w:r w:rsidR="00043E90" w:rsidRPr="00D936CA">
        <w:rPr>
          <w:bCs w:val="0"/>
          <w:color w:val="auto"/>
          <w:lang w:val="es-MX"/>
        </w:rPr>
        <w:t xml:space="preserve"> </w:t>
      </w:r>
      <w:r w:rsidRPr="00D936CA">
        <w:rPr>
          <w:bCs w:val="0"/>
          <w:color w:val="auto"/>
          <w:lang w:val="es-MX"/>
        </w:rPr>
        <w:t>VoIP y BE (best effort) respectivamente</w:t>
      </w:r>
      <w:r w:rsidRPr="00D936CA">
        <w:rPr>
          <w:color w:val="auto"/>
          <w:vertAlign w:val="superscript"/>
          <w:lang w:val="es-MX"/>
        </w:rPr>
        <w:footnoteReference w:id="20"/>
      </w:r>
    </w:p>
    <w:p w14:paraId="33CFEB00" w14:textId="77777777" w:rsidR="009753C9" w:rsidRPr="00D936CA" w:rsidRDefault="00EE1F87" w:rsidP="00D32A78">
      <w:pPr>
        <w:pStyle w:val="CondicionesFinales"/>
        <w:numPr>
          <w:ilvl w:val="0"/>
          <w:numId w:val="58"/>
        </w:numPr>
        <w:rPr>
          <w:color w:val="auto"/>
        </w:rPr>
      </w:pPr>
      <w:r w:rsidRPr="00D936CA">
        <w:rPr>
          <w:color w:val="auto"/>
        </w:rPr>
        <w:t>El tráfico soportado es Unicast</w:t>
      </w:r>
      <w:r w:rsidRPr="00D936CA">
        <w:rPr>
          <w:rStyle w:val="Refdenotaalpie"/>
          <w:color w:val="auto"/>
          <w:lang w:val="es-ES"/>
        </w:rPr>
        <w:footnoteReference w:id="21"/>
      </w:r>
      <w:r w:rsidRPr="00D936CA">
        <w:rPr>
          <w:color w:val="auto"/>
        </w:rPr>
        <w:t>.</w:t>
      </w:r>
    </w:p>
    <w:p w14:paraId="33CFEB01" w14:textId="77777777" w:rsidR="00EE1F87" w:rsidRPr="00D936CA" w:rsidRDefault="00EE1F87" w:rsidP="00D32A78">
      <w:pPr>
        <w:pStyle w:val="CondicionesFinales"/>
        <w:numPr>
          <w:ilvl w:val="0"/>
          <w:numId w:val="58"/>
        </w:numPr>
        <w:rPr>
          <w:rFonts w:cs="Century Gothic"/>
          <w:color w:val="auto"/>
          <w:sz w:val="23"/>
          <w:szCs w:val="23"/>
          <w:lang w:val="es-MX" w:eastAsia="es-MX"/>
        </w:rPr>
      </w:pPr>
      <w:r w:rsidRPr="00D936CA">
        <w:rPr>
          <w:rFonts w:cs="Century Gothic"/>
          <w:color w:val="auto"/>
          <w:sz w:val="23"/>
          <w:szCs w:val="23"/>
          <w:lang w:val="es-MX" w:eastAsia="es-MX"/>
        </w:rPr>
        <w:t xml:space="preserve">Acceso de usuario con un ancho de banda definido en contratación y de conformidad con los perfiles de servicio especificados en este documento. </w:t>
      </w:r>
    </w:p>
    <w:p w14:paraId="33CFEB02" w14:textId="77777777" w:rsidR="00EE1F87" w:rsidRPr="00D936CA" w:rsidRDefault="00EE1F87" w:rsidP="00D32A78">
      <w:pPr>
        <w:pStyle w:val="CondicionesFinales"/>
        <w:numPr>
          <w:ilvl w:val="0"/>
          <w:numId w:val="58"/>
        </w:numPr>
        <w:rPr>
          <w:rFonts w:cs="Century Gothic"/>
          <w:color w:val="auto"/>
          <w:sz w:val="23"/>
          <w:szCs w:val="23"/>
          <w:lang w:val="es-MX" w:eastAsia="es-MX"/>
        </w:rPr>
      </w:pPr>
      <w:r w:rsidRPr="00D936CA">
        <w:rPr>
          <w:rFonts w:cs="Century Gothic"/>
          <w:color w:val="auto"/>
          <w:sz w:val="23"/>
          <w:szCs w:val="23"/>
          <w:lang w:val="es-MX" w:eastAsia="es-MX"/>
        </w:rPr>
        <w:t>Interfaces Ethernet entre equipo de usuario y equipo de acceso (xDSL/OLT) así como entre equipos de Telmex y del CS en ambos lados del pCAI.</w:t>
      </w:r>
    </w:p>
    <w:p w14:paraId="33CFEB03" w14:textId="076943AC" w:rsidR="00EE1F87" w:rsidRPr="00D936CA" w:rsidRDefault="00EE1F87" w:rsidP="00D32A78">
      <w:pPr>
        <w:pStyle w:val="CondicionesFinales"/>
        <w:numPr>
          <w:ilvl w:val="0"/>
          <w:numId w:val="58"/>
        </w:numPr>
        <w:rPr>
          <w:rFonts w:cs="Century Gothic"/>
          <w:color w:val="auto"/>
          <w:sz w:val="23"/>
          <w:szCs w:val="23"/>
          <w:lang w:val="es-MX" w:eastAsia="es-MX"/>
        </w:rPr>
      </w:pPr>
      <w:r w:rsidRPr="00D936CA">
        <w:rPr>
          <w:rFonts w:cs="Century Gothic"/>
          <w:color w:val="auto"/>
          <w:sz w:val="23"/>
          <w:szCs w:val="23"/>
          <w:lang w:val="es-MX" w:eastAsia="es-MX"/>
        </w:rPr>
        <w:t>Tráfico ascendente (usuario-red) conformado por el equipo de</w:t>
      </w:r>
      <w:r w:rsidR="00F2110E" w:rsidRPr="00D936CA">
        <w:rPr>
          <w:rFonts w:cs="Century Gothic"/>
          <w:color w:val="auto"/>
          <w:sz w:val="23"/>
          <w:szCs w:val="23"/>
          <w:lang w:val="es-MX" w:eastAsia="es-MX"/>
        </w:rPr>
        <w:t>l</w:t>
      </w:r>
      <w:r w:rsidRPr="00D936CA">
        <w:rPr>
          <w:rFonts w:cs="Century Gothic"/>
          <w:color w:val="auto"/>
          <w:sz w:val="23"/>
          <w:szCs w:val="23"/>
          <w:lang w:val="es-MX" w:eastAsia="es-MX"/>
        </w:rPr>
        <w:t xml:space="preserve"> cliente para adecuarse a las características del servicio y calidades contratadas y sobre el que el equipo de acceso ejerce las funciones de control conforme con las características del servicio contratado. </w:t>
      </w:r>
    </w:p>
    <w:p w14:paraId="33CFEB04" w14:textId="77777777" w:rsidR="00EE1F87" w:rsidRPr="00D936CA" w:rsidRDefault="00EE1F87" w:rsidP="00D32A78">
      <w:pPr>
        <w:pStyle w:val="CondicionesFinales"/>
        <w:numPr>
          <w:ilvl w:val="0"/>
          <w:numId w:val="58"/>
        </w:numPr>
        <w:rPr>
          <w:rFonts w:cs="Century Gothic"/>
          <w:color w:val="auto"/>
          <w:sz w:val="23"/>
          <w:szCs w:val="23"/>
          <w:lang w:val="es-MX" w:eastAsia="es-MX"/>
        </w:rPr>
      </w:pPr>
      <w:r w:rsidRPr="00D936CA">
        <w:rPr>
          <w:rFonts w:cs="Century Gothic"/>
          <w:color w:val="auto"/>
          <w:sz w:val="23"/>
          <w:szCs w:val="23"/>
          <w:lang w:val="es-MX" w:eastAsia="es-MX"/>
        </w:rPr>
        <w:t>Tráfico descendente (red-usuario) conformado por el equipo de borde de red (equipo de</w:t>
      </w:r>
      <w:r w:rsidR="00F2110E" w:rsidRPr="00D936CA">
        <w:rPr>
          <w:rFonts w:cs="Century Gothic"/>
          <w:color w:val="auto"/>
          <w:sz w:val="23"/>
          <w:szCs w:val="23"/>
          <w:lang w:val="es-MX" w:eastAsia="es-MX"/>
        </w:rPr>
        <w:t>l</w:t>
      </w:r>
      <w:r w:rsidRPr="00D936CA">
        <w:rPr>
          <w:rFonts w:cs="Century Gothic"/>
          <w:color w:val="auto"/>
          <w:sz w:val="23"/>
          <w:szCs w:val="23"/>
          <w:lang w:val="es-MX" w:eastAsia="es-MX"/>
        </w:rPr>
        <w:t xml:space="preserve"> CS). </w:t>
      </w:r>
    </w:p>
    <w:p w14:paraId="33CFEB05" w14:textId="77777777" w:rsidR="00EE1F87" w:rsidRPr="00D936CA" w:rsidRDefault="00EE1F87" w:rsidP="00D32A78">
      <w:pPr>
        <w:pStyle w:val="CondicionesFinales"/>
        <w:numPr>
          <w:ilvl w:val="0"/>
          <w:numId w:val="58"/>
        </w:numPr>
        <w:rPr>
          <w:rFonts w:cs="Century Gothic"/>
          <w:color w:val="auto"/>
          <w:sz w:val="23"/>
          <w:szCs w:val="23"/>
          <w:lang w:val="es-MX" w:eastAsia="es-MX"/>
        </w:rPr>
      </w:pPr>
      <w:r w:rsidRPr="00D936CA">
        <w:rPr>
          <w:rFonts w:cs="Century Gothic"/>
          <w:color w:val="auto"/>
          <w:sz w:val="23"/>
          <w:szCs w:val="23"/>
          <w:lang w:val="es-MX" w:eastAsia="es-MX"/>
        </w:rPr>
        <w:t xml:space="preserve">Medio de acceso a Usuarios Finales (cobre o fibra óptica). </w:t>
      </w:r>
    </w:p>
    <w:p w14:paraId="33CFEB06" w14:textId="77777777" w:rsidR="007E1CAD" w:rsidRPr="00D936CA" w:rsidRDefault="007E1CAD" w:rsidP="00D32A78">
      <w:pPr>
        <w:pStyle w:val="CondicionesFinales"/>
        <w:ind w:left="-567" w:right="-142"/>
        <w:rPr>
          <w:rFonts w:cs="Times New Roman"/>
          <w:bCs w:val="0"/>
          <w:color w:val="auto"/>
          <w:lang w:val="es-MX"/>
        </w:rPr>
      </w:pPr>
    </w:p>
    <w:p w14:paraId="33CFEB07" w14:textId="77777777" w:rsidR="00EE1F87" w:rsidRPr="00D936CA" w:rsidRDefault="00EE1F87" w:rsidP="00D32A78">
      <w:pPr>
        <w:pStyle w:val="IFTnormal"/>
        <w:ind w:left="-567" w:right="-142"/>
      </w:pPr>
      <w:r w:rsidRPr="00D936CA">
        <w:t>Las tecnologías de acceso sobre las que se ofrecerá el servicio son las siguientes:</w:t>
      </w:r>
    </w:p>
    <w:p w14:paraId="33CFEB08" w14:textId="6C55D800" w:rsidR="00EE1F87" w:rsidRPr="00D936CA" w:rsidRDefault="00EE1F87" w:rsidP="00D32A78">
      <w:pPr>
        <w:pStyle w:val="CondicionesFinales"/>
        <w:numPr>
          <w:ilvl w:val="0"/>
          <w:numId w:val="130"/>
        </w:numPr>
        <w:rPr>
          <w:color w:val="auto"/>
        </w:rPr>
      </w:pPr>
      <w:r w:rsidRPr="00D936CA">
        <w:rPr>
          <w:color w:val="auto"/>
        </w:rPr>
        <w:t>xDSL/POTS.</w:t>
      </w:r>
    </w:p>
    <w:p w14:paraId="33CFEB09" w14:textId="2148B74F" w:rsidR="00EE1F87" w:rsidRPr="00D936CA" w:rsidRDefault="00EE1F87" w:rsidP="00D32A78">
      <w:pPr>
        <w:pStyle w:val="CondicionesFinales"/>
        <w:numPr>
          <w:ilvl w:val="0"/>
          <w:numId w:val="130"/>
        </w:numPr>
        <w:rPr>
          <w:color w:val="auto"/>
        </w:rPr>
      </w:pPr>
      <w:r w:rsidRPr="00D936CA">
        <w:rPr>
          <w:color w:val="auto"/>
        </w:rPr>
        <w:t>FTTH</w:t>
      </w:r>
      <w:r w:rsidR="004D7004">
        <w:rPr>
          <w:color w:val="auto"/>
        </w:rPr>
        <w:t xml:space="preserve"> con tecnología </w:t>
      </w:r>
      <w:r w:rsidR="00C451FF">
        <w:rPr>
          <w:color w:val="auto"/>
        </w:rPr>
        <w:t>x</w:t>
      </w:r>
      <w:r w:rsidR="004D7004">
        <w:rPr>
          <w:color w:val="auto"/>
        </w:rPr>
        <w:t>PON</w:t>
      </w:r>
      <w:r w:rsidRPr="00D936CA">
        <w:rPr>
          <w:color w:val="auto"/>
        </w:rPr>
        <w:t>.</w:t>
      </w:r>
    </w:p>
    <w:p w14:paraId="33CFEB0A" w14:textId="77777777" w:rsidR="00EE1F87" w:rsidRPr="00D936CA" w:rsidRDefault="00EE1F87" w:rsidP="00D32A78">
      <w:pPr>
        <w:pStyle w:val="CondicionesFinales"/>
        <w:numPr>
          <w:ilvl w:val="0"/>
          <w:numId w:val="130"/>
        </w:numPr>
        <w:rPr>
          <w:color w:val="auto"/>
        </w:rPr>
      </w:pPr>
      <w:r w:rsidRPr="00D936CA">
        <w:rPr>
          <w:color w:val="auto"/>
        </w:rPr>
        <w:t>Cualquier otra que TELMEX tenga instalada en su red.</w:t>
      </w:r>
    </w:p>
    <w:p w14:paraId="33CFEB0B" w14:textId="7DAD228B" w:rsidR="00EE1F87" w:rsidRPr="00D936CA" w:rsidRDefault="00EE1F87" w:rsidP="00D32A78">
      <w:pPr>
        <w:pStyle w:val="CondicionesFinales"/>
        <w:ind w:left="-567" w:right="-142"/>
        <w:rPr>
          <w:color w:val="auto"/>
        </w:rPr>
      </w:pPr>
      <w:r w:rsidRPr="00D936CA">
        <w:rPr>
          <w:color w:val="auto"/>
        </w:rPr>
        <w:t>El SAIB considerará el procedimiento de portabilidad cuando el usuario así lo solicite. Adicionalmente</w:t>
      </w:r>
      <w:r w:rsidR="008E276D" w:rsidRPr="00D936CA">
        <w:rPr>
          <w:color w:val="auto"/>
        </w:rPr>
        <w:t>,</w:t>
      </w:r>
      <w:r w:rsidR="00043E90" w:rsidRPr="00D936CA">
        <w:rPr>
          <w:color w:val="auto"/>
        </w:rPr>
        <w:t xml:space="preserve"> </w:t>
      </w:r>
      <w:r w:rsidRPr="00D936CA">
        <w:rPr>
          <w:color w:val="auto"/>
        </w:rPr>
        <w:t xml:space="preserve">si se trata de bucle de cobre el tráfico de voz (POTS) seguirá cursando por la infraestructura de Telmex, aun cuando pueda ser el propio CS u otro Concesionario el </w:t>
      </w:r>
      <w:r w:rsidRPr="00D936CA">
        <w:rPr>
          <w:color w:val="auto"/>
        </w:rPr>
        <w:lastRenderedPageBreak/>
        <w:t xml:space="preserve">comercializador del servicio a través de la modalidad de Reventa y sea éste quien lo facture al usuario final. </w:t>
      </w:r>
    </w:p>
    <w:p w14:paraId="33CFEB0D" w14:textId="76132E52" w:rsidR="00264396" w:rsidRPr="00D936CA" w:rsidRDefault="009E0515" w:rsidP="00D32A78">
      <w:pPr>
        <w:pStyle w:val="IFTnormal"/>
        <w:ind w:left="-567" w:right="-142"/>
      </w:pPr>
      <w:r w:rsidRPr="00D32A78">
        <w:t>Para garantizar la continuidad del servicio el CS deberá otorgar un número telefónico en el que desee recibir el servicio al momento de la desagregación efectiva. Una vez que se ha habilitado el servicio de desagregación</w:t>
      </w:r>
      <w:r w:rsidR="00021555">
        <w:t xml:space="preserve"> (SAIB)</w:t>
      </w:r>
      <w:r w:rsidRPr="00D32A78">
        <w:t>, el CS deberá iniciar con el procedimiento de la portabilidad (en caso de aplicar), de acuerdo con los plazos regulados de dicho servicio</w:t>
      </w:r>
      <w:r w:rsidRPr="00D32A78">
        <w:rPr>
          <w:rStyle w:val="Refdenotaalpie"/>
        </w:rPr>
        <w:footnoteReference w:id="22"/>
      </w:r>
      <w:r w:rsidRPr="00D32A78">
        <w:t>.</w:t>
      </w:r>
      <w:r w:rsidRPr="00D936CA">
        <w:t xml:space="preserve"> </w:t>
      </w:r>
    </w:p>
    <w:p w14:paraId="33CFEB0E" w14:textId="77777777" w:rsidR="00185FEC" w:rsidRPr="00D936CA" w:rsidRDefault="00185FEC" w:rsidP="00D32A78">
      <w:pPr>
        <w:pStyle w:val="IFTnormal"/>
        <w:ind w:left="-567" w:right="-142"/>
      </w:pPr>
      <w:r w:rsidRPr="00D936CA">
        <w:t>Opciones de comercialización. Velocidades y calidades de tráfico comercializables.</w:t>
      </w:r>
    </w:p>
    <w:p w14:paraId="33CFEB2C" w14:textId="77777777" w:rsidR="00264396" w:rsidRPr="00D936CA" w:rsidRDefault="00185FEC" w:rsidP="00D32A78">
      <w:pPr>
        <w:pStyle w:val="IFTnormal"/>
        <w:ind w:left="-567" w:right="-142"/>
      </w:pPr>
      <w:r w:rsidRPr="00D936CA">
        <w:t>Los tipos de servicio SAIB que podrán ser contratados por los Concesionarios serán los siguientes:</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3297"/>
        <w:gridCol w:w="3302"/>
      </w:tblGrid>
      <w:tr w:rsidR="00D936CA" w:rsidRPr="00D936CA" w14:paraId="33CFEB30" w14:textId="77777777" w:rsidTr="003B7B41">
        <w:trPr>
          <w:trHeight w:val="502"/>
          <w:tblHeader/>
        </w:trPr>
        <w:tc>
          <w:tcPr>
            <w:tcW w:w="1507" w:type="pct"/>
            <w:shd w:val="clear" w:color="auto" w:fill="auto"/>
            <w:vAlign w:val="center"/>
          </w:tcPr>
          <w:p w14:paraId="33CFEB2D" w14:textId="77777777" w:rsidR="00185FEC" w:rsidRPr="00D936CA" w:rsidRDefault="00185FEC" w:rsidP="00D936CA">
            <w:pPr>
              <w:spacing w:before="60" w:after="60" w:line="276" w:lineRule="auto"/>
              <w:jc w:val="center"/>
              <w:rPr>
                <w:rFonts w:ascii="ITC Avant Garde" w:hAnsi="ITC Avant Garde"/>
                <w:b/>
                <w:sz w:val="20"/>
                <w:szCs w:val="20"/>
                <w:lang w:val="es-ES"/>
              </w:rPr>
            </w:pPr>
            <w:r w:rsidRPr="00D936CA">
              <w:rPr>
                <w:rFonts w:ascii="ITC Avant Garde" w:hAnsi="ITC Avant Garde"/>
                <w:b/>
                <w:sz w:val="20"/>
                <w:szCs w:val="20"/>
                <w:lang w:val="es-ES"/>
              </w:rPr>
              <w:t>Tipo de servicio.</w:t>
            </w:r>
          </w:p>
        </w:tc>
        <w:tc>
          <w:tcPr>
            <w:tcW w:w="1745" w:type="pct"/>
            <w:shd w:val="clear" w:color="auto" w:fill="auto"/>
            <w:vAlign w:val="center"/>
          </w:tcPr>
          <w:p w14:paraId="33CFEB2E" w14:textId="77777777" w:rsidR="00185FEC" w:rsidRPr="00D936CA" w:rsidRDefault="00185FEC" w:rsidP="00D936CA">
            <w:pPr>
              <w:spacing w:before="60" w:after="60" w:line="276" w:lineRule="auto"/>
              <w:jc w:val="center"/>
              <w:rPr>
                <w:rFonts w:ascii="ITC Avant Garde" w:hAnsi="ITC Avant Garde"/>
                <w:b/>
                <w:sz w:val="20"/>
                <w:szCs w:val="20"/>
                <w:lang w:val="es-ES"/>
              </w:rPr>
            </w:pPr>
            <w:r w:rsidRPr="00D936CA">
              <w:rPr>
                <w:rFonts w:ascii="ITC Avant Garde" w:hAnsi="ITC Avant Garde"/>
                <w:b/>
                <w:sz w:val="20"/>
                <w:szCs w:val="20"/>
                <w:lang w:val="es-ES"/>
              </w:rPr>
              <w:t>Tecnología de bucle.</w:t>
            </w:r>
          </w:p>
        </w:tc>
        <w:tc>
          <w:tcPr>
            <w:tcW w:w="1748" w:type="pct"/>
            <w:shd w:val="clear" w:color="auto" w:fill="auto"/>
            <w:vAlign w:val="center"/>
          </w:tcPr>
          <w:p w14:paraId="33CFEB2F" w14:textId="77777777" w:rsidR="00185FEC" w:rsidRPr="00D936CA" w:rsidRDefault="00185FEC" w:rsidP="00D936CA">
            <w:pPr>
              <w:spacing w:before="60" w:after="60" w:line="276" w:lineRule="auto"/>
              <w:jc w:val="center"/>
              <w:rPr>
                <w:rFonts w:ascii="ITC Avant Garde" w:hAnsi="ITC Avant Garde"/>
                <w:b/>
                <w:sz w:val="20"/>
                <w:szCs w:val="20"/>
                <w:lang w:val="es-ES"/>
              </w:rPr>
            </w:pPr>
            <w:r w:rsidRPr="00D936CA">
              <w:rPr>
                <w:rFonts w:ascii="ITC Avant Garde" w:hAnsi="ITC Avant Garde"/>
                <w:b/>
                <w:sz w:val="20"/>
                <w:szCs w:val="20"/>
                <w:lang w:val="es-ES"/>
              </w:rPr>
              <w:t>Calidad de servicio.</w:t>
            </w:r>
          </w:p>
        </w:tc>
      </w:tr>
      <w:tr w:rsidR="00D936CA" w:rsidRPr="00D936CA" w14:paraId="33CFEB34" w14:textId="77777777" w:rsidTr="003B7B41">
        <w:trPr>
          <w:trHeight w:val="502"/>
          <w:tblHeader/>
        </w:trPr>
        <w:tc>
          <w:tcPr>
            <w:tcW w:w="1507" w:type="pct"/>
            <w:shd w:val="clear" w:color="auto" w:fill="auto"/>
            <w:vAlign w:val="center"/>
          </w:tcPr>
          <w:p w14:paraId="33CFEB31" w14:textId="77777777"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Servicio de datos</w:t>
            </w:r>
          </w:p>
        </w:tc>
        <w:tc>
          <w:tcPr>
            <w:tcW w:w="1745" w:type="pct"/>
            <w:shd w:val="clear" w:color="auto" w:fill="auto"/>
            <w:vAlign w:val="center"/>
          </w:tcPr>
          <w:p w14:paraId="33CFEB32" w14:textId="63910CC7"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 xml:space="preserve">Bucle de cobre/ FO </w:t>
            </w:r>
            <w:r w:rsidR="00C451FF">
              <w:rPr>
                <w:rFonts w:ascii="ITC Avant Garde" w:eastAsia="Book Antiqua" w:hAnsi="ITC Avant Garde" w:cs="Arial"/>
                <w:sz w:val="20"/>
                <w:szCs w:val="20"/>
                <w:lang w:val="es-ES"/>
              </w:rPr>
              <w:t>x</w:t>
            </w:r>
            <w:r w:rsidRPr="00D936CA">
              <w:rPr>
                <w:rFonts w:ascii="ITC Avant Garde" w:eastAsia="Book Antiqua" w:hAnsi="ITC Avant Garde" w:cs="Arial"/>
                <w:sz w:val="20"/>
                <w:szCs w:val="20"/>
                <w:lang w:val="es-ES"/>
              </w:rPr>
              <w:t xml:space="preserve">PON-FTTH/ FO </w:t>
            </w:r>
            <w:r w:rsidR="00C451FF">
              <w:rPr>
                <w:rFonts w:ascii="ITC Avant Garde" w:eastAsia="Book Antiqua" w:hAnsi="ITC Avant Garde" w:cs="Arial"/>
                <w:sz w:val="20"/>
                <w:szCs w:val="20"/>
                <w:lang w:val="es-ES"/>
              </w:rPr>
              <w:t>x</w:t>
            </w:r>
            <w:r w:rsidRPr="00D936CA">
              <w:rPr>
                <w:rFonts w:ascii="ITC Avant Garde" w:eastAsia="Book Antiqua" w:hAnsi="ITC Avant Garde" w:cs="Arial"/>
                <w:sz w:val="20"/>
                <w:szCs w:val="20"/>
                <w:lang w:val="es-ES"/>
              </w:rPr>
              <w:t>PON-FTTN</w:t>
            </w:r>
          </w:p>
        </w:tc>
        <w:tc>
          <w:tcPr>
            <w:tcW w:w="1748" w:type="pct"/>
            <w:shd w:val="clear" w:color="auto" w:fill="auto"/>
            <w:vAlign w:val="center"/>
          </w:tcPr>
          <w:p w14:paraId="33CFEB33" w14:textId="77777777"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Calidad: BE</w:t>
            </w:r>
          </w:p>
        </w:tc>
      </w:tr>
      <w:tr w:rsidR="00D936CA" w:rsidRPr="00D936CA" w14:paraId="33CFEB38" w14:textId="77777777" w:rsidTr="003B7B41">
        <w:trPr>
          <w:trHeight w:val="196"/>
        </w:trPr>
        <w:tc>
          <w:tcPr>
            <w:tcW w:w="1507" w:type="pct"/>
            <w:shd w:val="clear" w:color="auto" w:fill="auto"/>
            <w:vAlign w:val="center"/>
          </w:tcPr>
          <w:p w14:paraId="33CFEB35" w14:textId="77777777"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Servicio de datos con doble calidad</w:t>
            </w:r>
          </w:p>
        </w:tc>
        <w:tc>
          <w:tcPr>
            <w:tcW w:w="1745" w:type="pct"/>
            <w:shd w:val="clear" w:color="auto" w:fill="auto"/>
            <w:vAlign w:val="center"/>
          </w:tcPr>
          <w:p w14:paraId="33CFEB36" w14:textId="0962494A"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 xml:space="preserve">Bucle de cobre/ FO </w:t>
            </w:r>
            <w:r w:rsidR="00C451FF">
              <w:rPr>
                <w:rFonts w:ascii="ITC Avant Garde" w:eastAsia="Book Antiqua" w:hAnsi="ITC Avant Garde" w:cs="Arial"/>
                <w:sz w:val="20"/>
                <w:szCs w:val="20"/>
                <w:lang w:val="es-ES"/>
              </w:rPr>
              <w:t>x</w:t>
            </w:r>
            <w:r w:rsidRPr="00D936CA">
              <w:rPr>
                <w:rFonts w:ascii="ITC Avant Garde" w:eastAsia="Book Antiqua" w:hAnsi="ITC Avant Garde" w:cs="Arial"/>
                <w:sz w:val="20"/>
                <w:szCs w:val="20"/>
                <w:lang w:val="es-ES"/>
              </w:rPr>
              <w:t xml:space="preserve">PON-FTTH/ FO </w:t>
            </w:r>
            <w:r w:rsidR="00C451FF">
              <w:rPr>
                <w:rFonts w:ascii="ITC Avant Garde" w:eastAsia="Book Antiqua" w:hAnsi="ITC Avant Garde" w:cs="Arial"/>
                <w:sz w:val="20"/>
                <w:szCs w:val="20"/>
                <w:lang w:val="es-ES"/>
              </w:rPr>
              <w:t>x</w:t>
            </w:r>
            <w:r w:rsidRPr="00D936CA">
              <w:rPr>
                <w:rFonts w:ascii="ITC Avant Garde" w:eastAsia="Book Antiqua" w:hAnsi="ITC Avant Garde" w:cs="Arial"/>
                <w:sz w:val="20"/>
                <w:szCs w:val="20"/>
                <w:lang w:val="es-ES"/>
              </w:rPr>
              <w:t>PON-FTTN</w:t>
            </w:r>
          </w:p>
        </w:tc>
        <w:tc>
          <w:tcPr>
            <w:tcW w:w="1748" w:type="pct"/>
            <w:shd w:val="clear" w:color="auto" w:fill="auto"/>
            <w:vAlign w:val="center"/>
          </w:tcPr>
          <w:p w14:paraId="33CFEB37" w14:textId="77777777" w:rsidR="00185FEC" w:rsidRPr="00D936CA" w:rsidRDefault="00185FEC" w:rsidP="00D936CA">
            <w:pPr>
              <w:spacing w:before="60" w:after="60" w:line="276" w:lineRule="auto"/>
              <w:rPr>
                <w:rFonts w:ascii="ITC Avant Garde" w:eastAsia="Book Antiqua" w:hAnsi="ITC Avant Garde" w:cs="Arial"/>
                <w:sz w:val="20"/>
                <w:szCs w:val="20"/>
                <w:lang w:val="en-US"/>
              </w:rPr>
            </w:pPr>
            <w:r w:rsidRPr="00D936CA">
              <w:rPr>
                <w:rFonts w:ascii="ITC Avant Garde" w:eastAsia="Book Antiqua" w:hAnsi="ITC Avant Garde" w:cs="Arial"/>
                <w:sz w:val="20"/>
                <w:szCs w:val="20"/>
                <w:lang w:val="en-US"/>
              </w:rPr>
              <w:t>Calidad doble: VoIP/BE</w:t>
            </w:r>
          </w:p>
        </w:tc>
      </w:tr>
      <w:tr w:rsidR="00D936CA" w:rsidRPr="00D936CA" w14:paraId="33CFEB3C" w14:textId="77777777" w:rsidTr="003B7B41">
        <w:trPr>
          <w:trHeight w:val="196"/>
        </w:trPr>
        <w:tc>
          <w:tcPr>
            <w:tcW w:w="1507" w:type="pct"/>
            <w:shd w:val="clear" w:color="auto" w:fill="auto"/>
            <w:vAlign w:val="center"/>
          </w:tcPr>
          <w:p w14:paraId="33CFEB39" w14:textId="77777777"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 xml:space="preserve">Servicio de datos con </w:t>
            </w:r>
            <w:r w:rsidR="00264396" w:rsidRPr="00D936CA">
              <w:rPr>
                <w:rFonts w:ascii="ITC Avant Garde" w:eastAsia="Book Antiqua" w:hAnsi="ITC Avant Garde" w:cs="Arial"/>
                <w:sz w:val="20"/>
                <w:szCs w:val="20"/>
                <w:lang w:val="es-ES"/>
              </w:rPr>
              <w:t>D</w:t>
            </w:r>
            <w:r w:rsidRPr="00D936CA">
              <w:rPr>
                <w:rFonts w:ascii="ITC Avant Garde" w:eastAsia="Book Antiqua" w:hAnsi="ITC Avant Garde" w:cs="Arial"/>
                <w:sz w:val="20"/>
                <w:szCs w:val="20"/>
                <w:lang w:val="es-ES"/>
              </w:rPr>
              <w:t>oble calidad y portabilidad</w:t>
            </w:r>
          </w:p>
        </w:tc>
        <w:tc>
          <w:tcPr>
            <w:tcW w:w="1745" w:type="pct"/>
            <w:shd w:val="clear" w:color="auto" w:fill="auto"/>
            <w:vAlign w:val="center"/>
          </w:tcPr>
          <w:p w14:paraId="33CFEB3A" w14:textId="60A8A422" w:rsidR="00185FEC" w:rsidRPr="00D936CA" w:rsidRDefault="00185FEC" w:rsidP="00D936CA">
            <w:pPr>
              <w:spacing w:before="60" w:after="60" w:line="276" w:lineRule="auto"/>
              <w:rPr>
                <w:rFonts w:ascii="ITC Avant Garde" w:eastAsia="Book Antiqua" w:hAnsi="ITC Avant Garde" w:cs="Arial"/>
                <w:sz w:val="20"/>
                <w:szCs w:val="20"/>
                <w:lang w:val="es-ES"/>
              </w:rPr>
            </w:pPr>
            <w:r w:rsidRPr="00D936CA">
              <w:rPr>
                <w:rFonts w:ascii="ITC Avant Garde" w:eastAsia="Book Antiqua" w:hAnsi="ITC Avant Garde" w:cs="Arial"/>
                <w:sz w:val="20"/>
                <w:szCs w:val="20"/>
                <w:lang w:val="es-ES"/>
              </w:rPr>
              <w:t xml:space="preserve">Bucle de cobre/ FO </w:t>
            </w:r>
            <w:r w:rsidR="00C451FF">
              <w:rPr>
                <w:rFonts w:ascii="ITC Avant Garde" w:eastAsia="Book Antiqua" w:hAnsi="ITC Avant Garde" w:cs="Arial"/>
                <w:sz w:val="20"/>
                <w:szCs w:val="20"/>
                <w:lang w:val="es-ES"/>
              </w:rPr>
              <w:t>x</w:t>
            </w:r>
            <w:r w:rsidRPr="00D936CA">
              <w:rPr>
                <w:rFonts w:ascii="ITC Avant Garde" w:eastAsia="Book Antiqua" w:hAnsi="ITC Avant Garde" w:cs="Arial"/>
                <w:sz w:val="20"/>
                <w:szCs w:val="20"/>
                <w:lang w:val="es-ES"/>
              </w:rPr>
              <w:t xml:space="preserve">PON-FTTH/ FO </w:t>
            </w:r>
            <w:r w:rsidR="00C451FF">
              <w:rPr>
                <w:rFonts w:ascii="ITC Avant Garde" w:eastAsia="Book Antiqua" w:hAnsi="ITC Avant Garde" w:cs="Arial"/>
                <w:sz w:val="20"/>
                <w:szCs w:val="20"/>
                <w:lang w:val="es-ES"/>
              </w:rPr>
              <w:t>x</w:t>
            </w:r>
            <w:r w:rsidRPr="00D936CA">
              <w:rPr>
                <w:rFonts w:ascii="ITC Avant Garde" w:eastAsia="Book Antiqua" w:hAnsi="ITC Avant Garde" w:cs="Arial"/>
                <w:sz w:val="20"/>
                <w:szCs w:val="20"/>
                <w:lang w:val="es-ES"/>
              </w:rPr>
              <w:t>PON-FTTN</w:t>
            </w:r>
          </w:p>
        </w:tc>
        <w:tc>
          <w:tcPr>
            <w:tcW w:w="1748" w:type="pct"/>
            <w:shd w:val="clear" w:color="auto" w:fill="auto"/>
            <w:vAlign w:val="center"/>
          </w:tcPr>
          <w:p w14:paraId="33CFEB3B" w14:textId="77777777" w:rsidR="00185FEC" w:rsidRPr="00D936CA" w:rsidRDefault="00185FEC" w:rsidP="00D936CA">
            <w:pPr>
              <w:spacing w:before="60" w:after="60" w:line="276" w:lineRule="auto"/>
              <w:rPr>
                <w:rFonts w:ascii="ITC Avant Garde" w:eastAsia="Book Antiqua" w:hAnsi="ITC Avant Garde" w:cs="Arial"/>
                <w:sz w:val="20"/>
                <w:szCs w:val="20"/>
                <w:lang w:val="en-US"/>
              </w:rPr>
            </w:pPr>
            <w:r w:rsidRPr="00D936CA">
              <w:rPr>
                <w:rFonts w:ascii="ITC Avant Garde" w:eastAsia="Book Antiqua" w:hAnsi="ITC Avant Garde" w:cs="Arial"/>
                <w:sz w:val="20"/>
                <w:szCs w:val="20"/>
                <w:lang w:val="en-US"/>
              </w:rPr>
              <w:t>Calidad doble: VoIP/BE</w:t>
            </w:r>
          </w:p>
        </w:tc>
      </w:tr>
    </w:tbl>
    <w:p w14:paraId="33CFEB3D" w14:textId="77777777" w:rsidR="00185FEC" w:rsidRPr="00D936CA" w:rsidRDefault="00185FEC" w:rsidP="00D936CA">
      <w:pPr>
        <w:spacing w:after="200" w:line="276" w:lineRule="auto"/>
        <w:jc w:val="both"/>
        <w:rPr>
          <w:rFonts w:ascii="ITC Avant Garde" w:hAnsi="ITC Avant Garde"/>
          <w:lang w:val="es-ES"/>
        </w:rPr>
      </w:pPr>
    </w:p>
    <w:p w14:paraId="33CFEB3E" w14:textId="77777777" w:rsidR="00185FEC" w:rsidRPr="00D936CA" w:rsidRDefault="00185FEC" w:rsidP="00060B2E">
      <w:pPr>
        <w:pStyle w:val="IFTnormal"/>
        <w:ind w:left="-567" w:right="-142"/>
        <w:rPr>
          <w:b/>
        </w:rPr>
      </w:pPr>
      <w:r w:rsidRPr="00D936CA">
        <w:rPr>
          <w:b/>
        </w:rPr>
        <w:t>Perfiles del servicio</w:t>
      </w:r>
    </w:p>
    <w:p w14:paraId="33CFEB3F" w14:textId="04854945" w:rsidR="00185FEC" w:rsidRPr="00D936CA" w:rsidRDefault="00185FEC" w:rsidP="00060B2E">
      <w:pPr>
        <w:pStyle w:val="IFTnormal"/>
        <w:ind w:left="-567" w:right="-142"/>
      </w:pPr>
      <w:r w:rsidRPr="00D936CA">
        <w:t>Los perfiles</w:t>
      </w:r>
      <w:r w:rsidR="002E7CEC" w:rsidRPr="00D936CA">
        <w:t xml:space="preserve"> de servicio ofrecidos</w:t>
      </w:r>
      <w:r w:rsidRPr="00D936CA">
        <w:t xml:space="preserve"> para el SAIB serán los </w:t>
      </w:r>
      <w:r w:rsidR="00E94770" w:rsidRPr="00D936CA">
        <w:t xml:space="preserve">utilizados </w:t>
      </w:r>
      <w:r w:rsidRPr="00D936CA">
        <w:t xml:space="preserve">por Telmex con base en el tipo de tecnología instalada en la red o los que vayan a desarrollar que serán puestos a disposición de los CS. El CS podrá solicitar el cambio </w:t>
      </w:r>
      <w:r w:rsidR="006926DA" w:rsidRPr="00D936CA">
        <w:t>de perfil que estará sujeto a su</w:t>
      </w:r>
      <w:r w:rsidRPr="00D936CA">
        <w:t xml:space="preserve"> factibilidad técnica.</w:t>
      </w:r>
      <w:r w:rsidR="002E7CEC" w:rsidRPr="00D936CA">
        <w:t xml:space="preserve"> No obstante</w:t>
      </w:r>
      <w:r w:rsidR="0063332F">
        <w:t>,</w:t>
      </w:r>
      <w:r w:rsidR="002E7CEC" w:rsidRPr="00D936CA">
        <w:t xml:space="preserve"> para garantizar la definición de los mismos, su control de calidad y la garantía de sus prestaciones dichos perfiles cumplirán con los siguientes criterios y condiciones de prestación.</w:t>
      </w:r>
    </w:p>
    <w:p w14:paraId="33CFEB40" w14:textId="77777777" w:rsidR="00185FEC" w:rsidRPr="00D936CA" w:rsidRDefault="00185FEC" w:rsidP="00060B2E">
      <w:pPr>
        <w:pStyle w:val="IFTnormal"/>
        <w:ind w:left="-567" w:right="-142"/>
      </w:pPr>
      <w:r w:rsidRPr="00D936CA">
        <w:t>Como norma general estarán disponibles para los CS todos los perfiles de servicio que Telmex suministra a sus propios usuarios con independencia de su forma de comercialización</w:t>
      </w:r>
      <w:r w:rsidR="00573952" w:rsidRPr="00D936CA">
        <w:t>.</w:t>
      </w:r>
    </w:p>
    <w:p w14:paraId="33CFEB42" w14:textId="31F9D744" w:rsidR="00185FEC" w:rsidRPr="00D936CA" w:rsidRDefault="00185FEC" w:rsidP="00060B2E">
      <w:pPr>
        <w:pStyle w:val="IFTnormal"/>
        <w:ind w:left="-567" w:right="-142"/>
      </w:pPr>
      <w:r w:rsidRPr="00D936CA">
        <w:t xml:space="preserve">Las políticas comerciales que se prestarán a los CS en este servicio estarán sujetas a los SLA’s, </w:t>
      </w:r>
      <w:r w:rsidR="008E276D" w:rsidRPr="00D936CA">
        <w:t>especificados</w:t>
      </w:r>
      <w:r w:rsidRPr="00D936CA">
        <w:t xml:space="preserve"> en esta sección. </w:t>
      </w:r>
    </w:p>
    <w:p w14:paraId="33CFEB43" w14:textId="58C406AC" w:rsidR="00185FEC" w:rsidRPr="00D936CA" w:rsidRDefault="00185FEC" w:rsidP="00060B2E">
      <w:pPr>
        <w:pStyle w:val="IFTnormal"/>
        <w:ind w:left="-567" w:right="-142"/>
      </w:pPr>
      <w:r w:rsidRPr="00D936CA">
        <w:lastRenderedPageBreak/>
        <w:t xml:space="preserve">La velocidad de sincronía se establece entre el </w:t>
      </w:r>
      <w:r w:rsidR="004B1573" w:rsidRPr="00D936CA">
        <w:t>m</w:t>
      </w:r>
      <w:r w:rsidRPr="00D936CA">
        <w:t>ódem del Usuario Final y el puerto de acceso del equipo en la central. Dependiendo de la condición física del medio de acceso la señal puede sufrir atenuación y como consecuencia puede existir una disminución en la velocidad</w:t>
      </w:r>
      <w:r w:rsidR="0065101E" w:rsidRPr="00D936CA">
        <w:t>, por ello se establecerá un umbral de tolerancia entre la velocidad de sincronización en subida y bajada y las nominales del 20%</w:t>
      </w:r>
      <w:r w:rsidRPr="00D936CA">
        <w:t>.</w:t>
      </w:r>
    </w:p>
    <w:p w14:paraId="33CFEB44" w14:textId="17F03B0F" w:rsidR="00185FEC" w:rsidRPr="00D936CA" w:rsidRDefault="00185FEC" w:rsidP="00060B2E">
      <w:pPr>
        <w:pStyle w:val="IFTnormal"/>
        <w:ind w:left="-567" w:right="-142"/>
      </w:pPr>
      <w:r w:rsidRPr="00D936CA">
        <w:t xml:space="preserve">Para el SAIB sobre un bucle de fibra óptica, para todos los perfiles siempre y cuando se encuentren dentro del rango del equipo de red de acceso (OLT), la velocidad no se verá afectada. </w:t>
      </w:r>
    </w:p>
    <w:p w14:paraId="1444977E" w14:textId="6020C802" w:rsidR="00D461CA" w:rsidRPr="00D936CA" w:rsidRDefault="00B61810" w:rsidP="00060B2E">
      <w:pPr>
        <w:pStyle w:val="IFTnormal"/>
        <w:ind w:left="-567" w:right="-142"/>
        <w:rPr>
          <w:lang w:val="es-ES"/>
        </w:rPr>
      </w:pPr>
      <w:r w:rsidRPr="00D936CA">
        <w:t xml:space="preserve">Cualquier perfil con características diferentes a las especificadas </w:t>
      </w:r>
      <w:r w:rsidR="00043E90" w:rsidRPr="00D936CA">
        <w:t xml:space="preserve">actualmente </w:t>
      </w:r>
      <w:r w:rsidRPr="00D936CA">
        <w:t>(en términos de velocidad</w:t>
      </w:r>
      <w:r w:rsidR="002E7CEC" w:rsidRPr="00D936CA">
        <w:t xml:space="preserve"> de subida y bajada</w:t>
      </w:r>
      <w:r w:rsidRPr="00D936CA">
        <w:t xml:space="preserve">, calidad o nueva tecnología) que fuera implementada por Telmex en sus servicios </w:t>
      </w:r>
      <w:r w:rsidR="002E7CEC" w:rsidRPr="00D936CA">
        <w:t>estará disponible para</w:t>
      </w:r>
      <w:r w:rsidRPr="00D936CA">
        <w:rPr>
          <w:lang w:val="es-ES"/>
        </w:rPr>
        <w:t xml:space="preserve"> los CS una vez que le hubiera autorizado el Instituto</w:t>
      </w:r>
      <w:r w:rsidR="00043E90" w:rsidRPr="00D936CA">
        <w:rPr>
          <w:lang w:val="es-ES"/>
        </w:rPr>
        <w:t>.</w:t>
      </w:r>
      <w:r w:rsidRPr="00D936CA">
        <w:rPr>
          <w:lang w:val="es-ES"/>
        </w:rPr>
        <w:t xml:space="preserve"> </w:t>
      </w:r>
      <w:r w:rsidR="00043E90" w:rsidRPr="00D936CA">
        <w:rPr>
          <w:lang w:val="es-ES"/>
        </w:rPr>
        <w:t>P</w:t>
      </w:r>
      <w:r w:rsidRPr="00D936CA">
        <w:rPr>
          <w:lang w:val="es-ES"/>
        </w:rPr>
        <w:t xml:space="preserve">ara ello, </w:t>
      </w:r>
      <w:r w:rsidR="008944EC" w:rsidRPr="00D936CA">
        <w:rPr>
          <w:lang w:val="es-ES"/>
        </w:rPr>
        <w:t xml:space="preserve">Telmex </w:t>
      </w:r>
      <w:r w:rsidRPr="00D936CA">
        <w:rPr>
          <w:lang w:val="es-ES"/>
        </w:rPr>
        <w:t xml:space="preserve">publicará las nuevas ofertas comerciales autorizadas </w:t>
      </w:r>
      <w:r w:rsidR="002E7CEC" w:rsidRPr="00D936CA">
        <w:rPr>
          <w:lang w:val="es-ES"/>
        </w:rPr>
        <w:t xml:space="preserve">y los correspondientes perfiles disponibles para el SAIB </w:t>
      </w:r>
      <w:r w:rsidRPr="00D936CA">
        <w:rPr>
          <w:lang w:val="es-ES"/>
        </w:rPr>
        <w:t xml:space="preserve">en el </w:t>
      </w:r>
      <w:r w:rsidR="00ED6B9D">
        <w:rPr>
          <w:lang w:val="es-ES"/>
        </w:rPr>
        <w:t>SEG</w:t>
      </w:r>
      <w:r w:rsidRPr="00D936CA">
        <w:rPr>
          <w:lang w:val="es-ES"/>
        </w:rPr>
        <w:t>.</w:t>
      </w:r>
    </w:p>
    <w:p w14:paraId="0CED134C" w14:textId="77777777" w:rsidR="00D461CA" w:rsidRPr="00D936CA" w:rsidRDefault="00D461CA" w:rsidP="00060B2E">
      <w:pPr>
        <w:pStyle w:val="IFTnormal"/>
        <w:ind w:left="-567" w:right="-142"/>
        <w:rPr>
          <w:lang w:val="es-ES"/>
        </w:rPr>
      </w:pPr>
      <w:r w:rsidRPr="00D936CA">
        <w:rPr>
          <w:lang w:val="es-ES"/>
        </w:rPr>
        <w:t>La especificación de cualquier perfil disponible para SAIB será la siguiente:</w:t>
      </w:r>
    </w:p>
    <w:p w14:paraId="7E0A0247" w14:textId="73979378" w:rsidR="00D461CA" w:rsidRPr="00D936CA" w:rsidRDefault="00D461CA" w:rsidP="00D32A78">
      <w:pPr>
        <w:pStyle w:val="IFTnormal"/>
        <w:numPr>
          <w:ilvl w:val="0"/>
          <w:numId w:val="151"/>
        </w:numPr>
        <w:rPr>
          <w:lang w:val="es-ES"/>
        </w:rPr>
      </w:pPr>
      <w:r w:rsidRPr="00D936CA">
        <w:rPr>
          <w:lang w:val="es-ES"/>
        </w:rPr>
        <w:t>Velocidad nominal de bajada</w:t>
      </w:r>
      <w:r w:rsidR="0065101E" w:rsidRPr="00D936CA">
        <w:rPr>
          <w:lang w:val="es-ES"/>
        </w:rPr>
        <w:t>.</w:t>
      </w:r>
    </w:p>
    <w:p w14:paraId="61065C6C" w14:textId="19014B45" w:rsidR="00D461CA" w:rsidRPr="00D936CA" w:rsidRDefault="00D461CA" w:rsidP="00D32A78">
      <w:pPr>
        <w:pStyle w:val="IFTnormal"/>
        <w:numPr>
          <w:ilvl w:val="0"/>
          <w:numId w:val="151"/>
        </w:numPr>
        <w:rPr>
          <w:lang w:val="es-ES"/>
        </w:rPr>
      </w:pPr>
      <w:r w:rsidRPr="00D936CA">
        <w:rPr>
          <w:lang w:val="es-ES"/>
        </w:rPr>
        <w:t>Velocidad nominal de subida</w:t>
      </w:r>
      <w:r w:rsidR="0065101E" w:rsidRPr="00D936CA">
        <w:rPr>
          <w:lang w:val="es-ES"/>
        </w:rPr>
        <w:t>.</w:t>
      </w:r>
    </w:p>
    <w:p w14:paraId="4C14742D" w14:textId="61B16676" w:rsidR="00D461CA" w:rsidRPr="00D936CA" w:rsidRDefault="00D461CA" w:rsidP="00D32A78">
      <w:pPr>
        <w:pStyle w:val="IFTnormal"/>
        <w:numPr>
          <w:ilvl w:val="0"/>
          <w:numId w:val="151"/>
        </w:numPr>
        <w:rPr>
          <w:lang w:val="es-ES"/>
        </w:rPr>
      </w:pPr>
      <w:r w:rsidRPr="00D936CA">
        <w:rPr>
          <w:lang w:val="es-ES"/>
        </w:rPr>
        <w:t>Tipo de servicio (Datos, doble calidad, doble calidad con portabilidad)</w:t>
      </w:r>
      <w:r w:rsidR="0065101E" w:rsidRPr="00D936CA">
        <w:rPr>
          <w:lang w:val="es-ES"/>
        </w:rPr>
        <w:t>.</w:t>
      </w:r>
    </w:p>
    <w:p w14:paraId="15842A8E" w14:textId="025F1C74" w:rsidR="00D461CA" w:rsidRPr="00D936CA" w:rsidRDefault="00D461CA" w:rsidP="00D32A78">
      <w:pPr>
        <w:pStyle w:val="IFTnormal"/>
        <w:numPr>
          <w:ilvl w:val="0"/>
          <w:numId w:val="151"/>
        </w:numPr>
        <w:rPr>
          <w:lang w:val="es-ES"/>
        </w:rPr>
      </w:pPr>
      <w:r w:rsidRPr="00D936CA">
        <w:rPr>
          <w:lang w:val="es-ES"/>
        </w:rPr>
        <w:t>Calidad (BE, VoIP)</w:t>
      </w:r>
      <w:r w:rsidR="0065101E" w:rsidRPr="00D936CA">
        <w:rPr>
          <w:lang w:val="es-ES"/>
        </w:rPr>
        <w:t>.</w:t>
      </w:r>
    </w:p>
    <w:p w14:paraId="2493D9D0" w14:textId="1BEE0A41" w:rsidR="00D461CA" w:rsidRPr="00D936CA" w:rsidRDefault="00D461CA" w:rsidP="00060B2E">
      <w:pPr>
        <w:pStyle w:val="IFTnormal"/>
        <w:ind w:left="-567" w:right="-142"/>
        <w:rPr>
          <w:lang w:val="es-ES"/>
        </w:rPr>
      </w:pPr>
      <w:r w:rsidRPr="00D936CA">
        <w:rPr>
          <w:lang w:val="es-ES"/>
        </w:rPr>
        <w:t>Los perfiles de servicio iniciales disponibles a la publicación de esta OREDA son los siguientes:</w:t>
      </w:r>
    </w:p>
    <w:tbl>
      <w:tblPr>
        <w:tblStyle w:val="Tablaconcuadrcula2"/>
        <w:tblW w:w="0" w:type="auto"/>
        <w:jc w:val="center"/>
        <w:tblLook w:val="04A0" w:firstRow="1" w:lastRow="0" w:firstColumn="1" w:lastColumn="0" w:noHBand="0" w:noVBand="1"/>
      </w:tblPr>
      <w:tblGrid>
        <w:gridCol w:w="1765"/>
        <w:gridCol w:w="1765"/>
        <w:gridCol w:w="1766"/>
        <w:gridCol w:w="1766"/>
        <w:gridCol w:w="1155"/>
      </w:tblGrid>
      <w:tr w:rsidR="00D936CA" w:rsidRPr="00D936CA" w14:paraId="2E4EF9ED" w14:textId="77777777" w:rsidTr="00060B2E">
        <w:trPr>
          <w:trHeight w:hRule="exact" w:val="1321"/>
          <w:jc w:val="center"/>
        </w:trPr>
        <w:tc>
          <w:tcPr>
            <w:tcW w:w="1765" w:type="dxa"/>
            <w:shd w:val="clear" w:color="auto" w:fill="BDD6EE"/>
          </w:tcPr>
          <w:p w14:paraId="365B2090" w14:textId="77777777" w:rsidR="00171CDD" w:rsidRPr="00D936CA" w:rsidRDefault="00171CDD" w:rsidP="00D936CA">
            <w:pPr>
              <w:spacing w:before="60" w:after="60" w:line="276" w:lineRule="auto"/>
              <w:jc w:val="center"/>
              <w:rPr>
                <w:rFonts w:ascii="ITC Avant Garde" w:hAnsi="ITC Avant Garde" w:cs="Calibri"/>
                <w:bCs/>
                <w:lang w:val="es-ES" w:eastAsia="en-US"/>
              </w:rPr>
            </w:pPr>
            <w:r w:rsidRPr="00D936CA">
              <w:rPr>
                <w:rFonts w:ascii="ITC Avant Garde" w:hAnsi="ITC Avant Garde"/>
                <w:b/>
                <w:sz w:val="20"/>
                <w:szCs w:val="20"/>
                <w:lang w:val="es-MX"/>
              </w:rPr>
              <w:t>Acceso</w:t>
            </w:r>
          </w:p>
        </w:tc>
        <w:tc>
          <w:tcPr>
            <w:tcW w:w="1765" w:type="dxa"/>
            <w:shd w:val="clear" w:color="auto" w:fill="BDD6EE"/>
          </w:tcPr>
          <w:p w14:paraId="6714BFD6" w14:textId="64A5E438" w:rsidR="00171CDD" w:rsidRPr="00D936CA" w:rsidRDefault="00171CDD"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 xml:space="preserve">Velocidad nominal de bajada </w:t>
            </w:r>
            <w:r w:rsidR="00C451FF">
              <w:rPr>
                <w:rFonts w:ascii="ITC Avant Garde" w:hAnsi="ITC Avant Garde"/>
                <w:b/>
                <w:sz w:val="20"/>
                <w:szCs w:val="20"/>
                <w:lang w:val="es-MX"/>
              </w:rPr>
              <w:t xml:space="preserve">hasta </w:t>
            </w:r>
            <w:r w:rsidRPr="00D936CA">
              <w:rPr>
                <w:rFonts w:ascii="ITC Avant Garde" w:hAnsi="ITC Avant Garde"/>
                <w:b/>
                <w:sz w:val="20"/>
                <w:szCs w:val="20"/>
                <w:lang w:val="es-MX"/>
              </w:rPr>
              <w:t>(Mbps)</w:t>
            </w:r>
          </w:p>
        </w:tc>
        <w:tc>
          <w:tcPr>
            <w:tcW w:w="1766" w:type="dxa"/>
            <w:shd w:val="clear" w:color="auto" w:fill="BDD6EE"/>
          </w:tcPr>
          <w:p w14:paraId="6C51FA5C" w14:textId="4B311CF9" w:rsidR="00171CDD" w:rsidRPr="00D936CA" w:rsidRDefault="00171CDD"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Velocidad nominal de subida</w:t>
            </w:r>
            <w:r w:rsidR="00C451FF">
              <w:rPr>
                <w:rFonts w:ascii="ITC Avant Garde" w:hAnsi="ITC Avant Garde"/>
                <w:b/>
                <w:sz w:val="20"/>
                <w:szCs w:val="20"/>
                <w:lang w:val="es-MX"/>
              </w:rPr>
              <w:t xml:space="preserve"> hasta</w:t>
            </w:r>
            <w:r w:rsidRPr="00D936CA">
              <w:rPr>
                <w:rFonts w:ascii="ITC Avant Garde" w:hAnsi="ITC Avant Garde"/>
                <w:b/>
                <w:sz w:val="20"/>
                <w:szCs w:val="20"/>
                <w:lang w:val="es-MX"/>
              </w:rPr>
              <w:t xml:space="preserve"> (Kbps)</w:t>
            </w:r>
          </w:p>
        </w:tc>
        <w:tc>
          <w:tcPr>
            <w:tcW w:w="1766" w:type="dxa"/>
            <w:shd w:val="clear" w:color="auto" w:fill="BDD6EE"/>
          </w:tcPr>
          <w:p w14:paraId="1FFE8D8A" w14:textId="77777777" w:rsidR="00171CDD" w:rsidRPr="00D936CA" w:rsidRDefault="00171CDD"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Tipo de servicio</w:t>
            </w:r>
          </w:p>
        </w:tc>
        <w:tc>
          <w:tcPr>
            <w:tcW w:w="1155" w:type="dxa"/>
            <w:shd w:val="clear" w:color="auto" w:fill="BDD6EE"/>
          </w:tcPr>
          <w:p w14:paraId="0388B330" w14:textId="77777777" w:rsidR="00171CDD" w:rsidRPr="00D936CA" w:rsidRDefault="00171CDD"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 xml:space="preserve">Calidad </w:t>
            </w:r>
          </w:p>
        </w:tc>
      </w:tr>
      <w:tr w:rsidR="00D936CA" w:rsidRPr="00D936CA" w14:paraId="41F08EFB" w14:textId="77777777" w:rsidTr="002D1A0A">
        <w:trPr>
          <w:trHeight w:hRule="exact" w:val="368"/>
          <w:jc w:val="center"/>
        </w:trPr>
        <w:tc>
          <w:tcPr>
            <w:tcW w:w="1765" w:type="dxa"/>
            <w:vMerge w:val="restart"/>
          </w:tcPr>
          <w:p w14:paraId="26D6C97F" w14:textId="5827B2BA" w:rsidR="00171CDD" w:rsidRPr="00D936CA" w:rsidRDefault="00171CDD" w:rsidP="00D936CA">
            <w:pPr>
              <w:spacing w:after="200" w:line="276" w:lineRule="auto"/>
              <w:jc w:val="both"/>
              <w:rPr>
                <w:rFonts w:ascii="ITC Avant Garde" w:hAnsi="ITC Avant Garde"/>
                <w:sz w:val="20"/>
                <w:szCs w:val="20"/>
                <w:lang w:val="es-MX"/>
              </w:rPr>
            </w:pPr>
            <w:r w:rsidRPr="00D936CA">
              <w:rPr>
                <w:rFonts w:ascii="ITC Avant Garde" w:hAnsi="ITC Avant Garde"/>
                <w:sz w:val="20"/>
                <w:szCs w:val="20"/>
                <w:lang w:val="es-MX"/>
              </w:rPr>
              <w:t>Cobre, FTTN,</w:t>
            </w:r>
            <w:r w:rsidR="00D512F8">
              <w:rPr>
                <w:rFonts w:ascii="ITC Avant Garde" w:hAnsi="ITC Avant Garde"/>
                <w:sz w:val="20"/>
                <w:szCs w:val="20"/>
                <w:lang w:val="es-MX"/>
              </w:rPr>
              <w:t xml:space="preserve"> </w:t>
            </w:r>
            <w:r w:rsidRPr="00D936CA">
              <w:rPr>
                <w:rFonts w:ascii="ITC Avant Garde" w:hAnsi="ITC Avant Garde"/>
                <w:sz w:val="20"/>
                <w:szCs w:val="20"/>
                <w:lang w:val="es-MX"/>
              </w:rPr>
              <w:t>FTTC</w:t>
            </w:r>
          </w:p>
        </w:tc>
        <w:tc>
          <w:tcPr>
            <w:tcW w:w="1765" w:type="dxa"/>
          </w:tcPr>
          <w:p w14:paraId="18FCE328" w14:textId="36315420" w:rsidR="00171CDD" w:rsidRPr="00D936CA" w:rsidRDefault="008C7C14" w:rsidP="00D936CA">
            <w:pPr>
              <w:spacing w:before="60" w:after="60" w:line="276" w:lineRule="auto"/>
              <w:jc w:val="center"/>
              <w:rPr>
                <w:rFonts w:ascii="ITC Avant Garde" w:hAnsi="ITC Avant Garde"/>
                <w:sz w:val="20"/>
                <w:szCs w:val="20"/>
                <w:lang w:val="es-MX"/>
              </w:rPr>
            </w:pPr>
            <w:r>
              <w:rPr>
                <w:rFonts w:ascii="ITC Avant Garde" w:hAnsi="ITC Avant Garde"/>
                <w:sz w:val="20"/>
                <w:szCs w:val="20"/>
                <w:lang w:val="es-MX"/>
              </w:rPr>
              <w:t>3</w:t>
            </w:r>
          </w:p>
        </w:tc>
        <w:tc>
          <w:tcPr>
            <w:tcW w:w="1766" w:type="dxa"/>
          </w:tcPr>
          <w:p w14:paraId="38A33D17" w14:textId="1D751709" w:rsidR="00171CDD" w:rsidRPr="00D936CA" w:rsidRDefault="00746C0D" w:rsidP="00D936CA">
            <w:pPr>
              <w:spacing w:before="60" w:after="60" w:line="276" w:lineRule="auto"/>
              <w:jc w:val="center"/>
              <w:rPr>
                <w:rFonts w:ascii="ITC Avant Garde" w:hAnsi="ITC Avant Garde"/>
                <w:sz w:val="20"/>
                <w:szCs w:val="20"/>
                <w:lang w:val="es-MX"/>
              </w:rPr>
            </w:pPr>
            <w:r>
              <w:rPr>
                <w:rFonts w:ascii="ITC Avant Garde" w:hAnsi="ITC Avant Garde"/>
                <w:sz w:val="20"/>
                <w:szCs w:val="20"/>
                <w:lang w:val="es-MX"/>
              </w:rPr>
              <w:t>512</w:t>
            </w:r>
          </w:p>
        </w:tc>
        <w:tc>
          <w:tcPr>
            <w:tcW w:w="1766" w:type="dxa"/>
            <w:vMerge w:val="restart"/>
          </w:tcPr>
          <w:p w14:paraId="3B25C7A7" w14:textId="77777777" w:rsidR="004C7DE7" w:rsidRPr="00D936CA" w:rsidRDefault="00171CDD" w:rsidP="00D936CA">
            <w:pPr>
              <w:spacing w:after="200" w:line="276" w:lineRule="auto"/>
              <w:jc w:val="both"/>
              <w:rPr>
                <w:rFonts w:ascii="ITC Avant Garde" w:hAnsi="ITC Avant Garde"/>
                <w:sz w:val="20"/>
                <w:szCs w:val="20"/>
                <w:lang w:val="es-MX"/>
              </w:rPr>
            </w:pPr>
            <w:r w:rsidRPr="00D936CA">
              <w:rPr>
                <w:rFonts w:ascii="ITC Avant Garde" w:hAnsi="ITC Avant Garde"/>
                <w:sz w:val="20"/>
                <w:szCs w:val="20"/>
                <w:lang w:val="es-MX"/>
              </w:rPr>
              <w:t xml:space="preserve">Datos, </w:t>
            </w:r>
          </w:p>
          <w:p w14:paraId="6CB66822" w14:textId="77777777" w:rsidR="004C7DE7" w:rsidRPr="00D936CA" w:rsidRDefault="004C7DE7" w:rsidP="00D936CA">
            <w:pPr>
              <w:spacing w:after="200" w:line="276" w:lineRule="auto"/>
              <w:jc w:val="both"/>
              <w:rPr>
                <w:rFonts w:ascii="ITC Avant Garde" w:hAnsi="ITC Avant Garde"/>
                <w:sz w:val="20"/>
                <w:szCs w:val="20"/>
                <w:lang w:val="es-MX"/>
              </w:rPr>
            </w:pPr>
            <w:r w:rsidRPr="00D936CA">
              <w:rPr>
                <w:rFonts w:ascii="ITC Avant Garde" w:hAnsi="ITC Avant Garde"/>
                <w:sz w:val="20"/>
                <w:szCs w:val="20"/>
                <w:lang w:val="es-MX"/>
              </w:rPr>
              <w:t xml:space="preserve">Doble calidad,  </w:t>
            </w:r>
          </w:p>
          <w:p w14:paraId="696B60BD" w14:textId="2CC5E44D" w:rsidR="00171CDD" w:rsidRPr="00D936CA" w:rsidRDefault="004C7DE7" w:rsidP="00D936CA">
            <w:pPr>
              <w:spacing w:after="200" w:line="276" w:lineRule="auto"/>
              <w:jc w:val="both"/>
              <w:rPr>
                <w:rFonts w:ascii="ITC Avant Garde" w:hAnsi="ITC Avant Garde"/>
                <w:sz w:val="20"/>
                <w:szCs w:val="20"/>
                <w:lang w:val="es-MX"/>
              </w:rPr>
            </w:pPr>
            <w:r w:rsidRPr="00D936CA">
              <w:rPr>
                <w:rFonts w:ascii="ITC Avant Garde" w:hAnsi="ITC Avant Garde"/>
                <w:sz w:val="20"/>
                <w:szCs w:val="20"/>
                <w:lang w:val="es-MX"/>
              </w:rPr>
              <w:t>D</w:t>
            </w:r>
            <w:r w:rsidR="00171CDD" w:rsidRPr="00D936CA">
              <w:rPr>
                <w:rFonts w:ascii="ITC Avant Garde" w:hAnsi="ITC Avant Garde"/>
                <w:sz w:val="20"/>
                <w:szCs w:val="20"/>
                <w:lang w:val="es-MX"/>
              </w:rPr>
              <w:t>oble calidad con portabilidad</w:t>
            </w:r>
          </w:p>
        </w:tc>
        <w:tc>
          <w:tcPr>
            <w:tcW w:w="1155" w:type="dxa"/>
            <w:vMerge w:val="restart"/>
          </w:tcPr>
          <w:p w14:paraId="576B1424" w14:textId="77777777" w:rsidR="00171CDD" w:rsidRPr="00D936CA" w:rsidRDefault="00171CDD" w:rsidP="00D936CA">
            <w:pPr>
              <w:spacing w:after="200" w:line="276" w:lineRule="auto"/>
              <w:jc w:val="both"/>
              <w:rPr>
                <w:rFonts w:ascii="ITC Avant Garde" w:hAnsi="ITC Avant Garde"/>
                <w:sz w:val="20"/>
                <w:szCs w:val="20"/>
                <w:lang w:val="es-MX"/>
              </w:rPr>
            </w:pPr>
            <w:r w:rsidRPr="00D936CA">
              <w:rPr>
                <w:rFonts w:ascii="ITC Avant Garde" w:hAnsi="ITC Avant Garde"/>
                <w:sz w:val="20"/>
                <w:szCs w:val="20"/>
                <w:lang w:val="es-MX"/>
              </w:rPr>
              <w:t>BE, VoIP</w:t>
            </w:r>
          </w:p>
        </w:tc>
      </w:tr>
      <w:tr w:rsidR="00746C0D" w:rsidRPr="00D936CA" w14:paraId="0BDCCF19" w14:textId="77777777" w:rsidTr="002D1A0A">
        <w:trPr>
          <w:trHeight w:hRule="exact" w:val="284"/>
          <w:jc w:val="center"/>
        </w:trPr>
        <w:tc>
          <w:tcPr>
            <w:tcW w:w="1765" w:type="dxa"/>
            <w:vMerge/>
          </w:tcPr>
          <w:p w14:paraId="020374CD" w14:textId="77777777" w:rsidR="00746C0D" w:rsidRPr="00D936CA" w:rsidRDefault="00746C0D" w:rsidP="00746C0D">
            <w:pPr>
              <w:spacing w:after="200" w:line="276" w:lineRule="auto"/>
              <w:jc w:val="both"/>
              <w:rPr>
                <w:rFonts w:ascii="ITC Avant Garde" w:hAnsi="ITC Avant Garde"/>
                <w:sz w:val="20"/>
                <w:szCs w:val="20"/>
                <w:lang w:val="es-MX"/>
              </w:rPr>
            </w:pPr>
          </w:p>
        </w:tc>
        <w:tc>
          <w:tcPr>
            <w:tcW w:w="1765" w:type="dxa"/>
          </w:tcPr>
          <w:p w14:paraId="59A49D0F" w14:textId="3148D76B"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5</w:t>
            </w:r>
          </w:p>
        </w:tc>
        <w:tc>
          <w:tcPr>
            <w:tcW w:w="1766" w:type="dxa"/>
          </w:tcPr>
          <w:p w14:paraId="1B2A3852" w14:textId="527CFDEF"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768</w:t>
            </w:r>
          </w:p>
        </w:tc>
        <w:tc>
          <w:tcPr>
            <w:tcW w:w="1766" w:type="dxa"/>
            <w:vMerge/>
          </w:tcPr>
          <w:p w14:paraId="3DBF7389"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74C02F20"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36D29A10" w14:textId="77777777" w:rsidTr="002D1A0A">
        <w:trPr>
          <w:trHeight w:hRule="exact" w:val="284"/>
          <w:jc w:val="center"/>
        </w:trPr>
        <w:tc>
          <w:tcPr>
            <w:tcW w:w="1765" w:type="dxa"/>
            <w:vMerge/>
          </w:tcPr>
          <w:p w14:paraId="44AA0E39" w14:textId="77777777" w:rsidR="00746C0D" w:rsidRPr="00D936CA" w:rsidRDefault="00746C0D" w:rsidP="00746C0D">
            <w:pPr>
              <w:spacing w:after="200" w:line="276" w:lineRule="auto"/>
              <w:jc w:val="both"/>
              <w:rPr>
                <w:rFonts w:ascii="ITC Avant Garde" w:hAnsi="ITC Avant Garde"/>
                <w:sz w:val="20"/>
                <w:szCs w:val="20"/>
                <w:lang w:val="es-MX"/>
              </w:rPr>
            </w:pPr>
          </w:p>
        </w:tc>
        <w:tc>
          <w:tcPr>
            <w:tcW w:w="1765" w:type="dxa"/>
          </w:tcPr>
          <w:p w14:paraId="4AF06EC8"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w:t>
            </w:r>
          </w:p>
        </w:tc>
        <w:tc>
          <w:tcPr>
            <w:tcW w:w="1766" w:type="dxa"/>
          </w:tcPr>
          <w:p w14:paraId="04D6D2D7"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960</w:t>
            </w:r>
          </w:p>
        </w:tc>
        <w:tc>
          <w:tcPr>
            <w:tcW w:w="1766" w:type="dxa"/>
            <w:vMerge/>
          </w:tcPr>
          <w:p w14:paraId="40632FF6"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3833D080"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2A3ADC4C" w14:textId="77777777" w:rsidTr="002D1A0A">
        <w:trPr>
          <w:trHeight w:hRule="exact" w:val="284"/>
          <w:jc w:val="center"/>
        </w:trPr>
        <w:tc>
          <w:tcPr>
            <w:tcW w:w="1765" w:type="dxa"/>
            <w:vMerge/>
          </w:tcPr>
          <w:p w14:paraId="486D304D" w14:textId="77777777" w:rsidR="00746C0D" w:rsidRPr="00D936CA" w:rsidRDefault="00746C0D" w:rsidP="00746C0D">
            <w:pPr>
              <w:spacing w:after="200" w:line="276" w:lineRule="auto"/>
              <w:jc w:val="both"/>
              <w:rPr>
                <w:rFonts w:ascii="ITC Avant Garde" w:hAnsi="ITC Avant Garde"/>
                <w:sz w:val="20"/>
                <w:szCs w:val="20"/>
                <w:lang w:val="es-MX"/>
              </w:rPr>
            </w:pPr>
          </w:p>
        </w:tc>
        <w:tc>
          <w:tcPr>
            <w:tcW w:w="1765" w:type="dxa"/>
          </w:tcPr>
          <w:p w14:paraId="1FE2E7AC"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w:t>
            </w:r>
          </w:p>
        </w:tc>
        <w:tc>
          <w:tcPr>
            <w:tcW w:w="1766" w:type="dxa"/>
          </w:tcPr>
          <w:p w14:paraId="5EDE61F6"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2,000</w:t>
            </w:r>
          </w:p>
        </w:tc>
        <w:tc>
          <w:tcPr>
            <w:tcW w:w="1766" w:type="dxa"/>
            <w:vMerge/>
          </w:tcPr>
          <w:p w14:paraId="14610837"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6984E465"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4761BDC7" w14:textId="77777777" w:rsidTr="002D1A0A">
        <w:trPr>
          <w:trHeight w:hRule="exact" w:val="284"/>
          <w:jc w:val="center"/>
        </w:trPr>
        <w:tc>
          <w:tcPr>
            <w:tcW w:w="1765" w:type="dxa"/>
            <w:vMerge/>
          </w:tcPr>
          <w:p w14:paraId="2F220EC6" w14:textId="77777777" w:rsidR="00746C0D" w:rsidRPr="00D936CA" w:rsidRDefault="00746C0D" w:rsidP="00746C0D">
            <w:pPr>
              <w:spacing w:after="200" w:line="276" w:lineRule="auto"/>
              <w:jc w:val="both"/>
              <w:rPr>
                <w:rFonts w:ascii="ITC Avant Garde" w:hAnsi="ITC Avant Garde"/>
                <w:sz w:val="20"/>
                <w:szCs w:val="20"/>
                <w:lang w:val="es-MX"/>
              </w:rPr>
            </w:pPr>
          </w:p>
        </w:tc>
        <w:tc>
          <w:tcPr>
            <w:tcW w:w="1765" w:type="dxa"/>
          </w:tcPr>
          <w:p w14:paraId="489DA07D"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30</w:t>
            </w:r>
          </w:p>
        </w:tc>
        <w:tc>
          <w:tcPr>
            <w:tcW w:w="1766" w:type="dxa"/>
          </w:tcPr>
          <w:p w14:paraId="6222BE17"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3,000</w:t>
            </w:r>
          </w:p>
        </w:tc>
        <w:tc>
          <w:tcPr>
            <w:tcW w:w="1766" w:type="dxa"/>
            <w:vMerge/>
          </w:tcPr>
          <w:p w14:paraId="69E35AA9"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5219EB39"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35BF1506" w14:textId="77777777" w:rsidTr="002D1A0A">
        <w:trPr>
          <w:trHeight w:hRule="exact" w:val="284"/>
          <w:jc w:val="center"/>
        </w:trPr>
        <w:tc>
          <w:tcPr>
            <w:tcW w:w="1765" w:type="dxa"/>
            <w:vMerge/>
          </w:tcPr>
          <w:p w14:paraId="0BBA4D7E" w14:textId="77777777" w:rsidR="00746C0D" w:rsidRPr="00D936CA" w:rsidRDefault="00746C0D" w:rsidP="00746C0D">
            <w:pPr>
              <w:spacing w:after="200" w:line="276" w:lineRule="auto"/>
              <w:jc w:val="both"/>
              <w:rPr>
                <w:rFonts w:ascii="ITC Avant Garde" w:hAnsi="ITC Avant Garde"/>
                <w:sz w:val="20"/>
                <w:szCs w:val="20"/>
                <w:lang w:val="es-MX"/>
              </w:rPr>
            </w:pPr>
          </w:p>
        </w:tc>
        <w:tc>
          <w:tcPr>
            <w:tcW w:w="1765" w:type="dxa"/>
          </w:tcPr>
          <w:p w14:paraId="053B9838"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40</w:t>
            </w:r>
          </w:p>
        </w:tc>
        <w:tc>
          <w:tcPr>
            <w:tcW w:w="1766" w:type="dxa"/>
          </w:tcPr>
          <w:p w14:paraId="5A4B4DB8"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4,000</w:t>
            </w:r>
          </w:p>
        </w:tc>
        <w:tc>
          <w:tcPr>
            <w:tcW w:w="1766" w:type="dxa"/>
            <w:vMerge/>
          </w:tcPr>
          <w:p w14:paraId="15F18096"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6CDEADD1"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4DAF3737" w14:textId="77777777" w:rsidTr="002D1A0A">
        <w:trPr>
          <w:trHeight w:hRule="exact" w:val="284"/>
          <w:jc w:val="center"/>
        </w:trPr>
        <w:tc>
          <w:tcPr>
            <w:tcW w:w="1765" w:type="dxa"/>
            <w:vMerge w:val="restart"/>
          </w:tcPr>
          <w:p w14:paraId="322D8D61" w14:textId="77777777" w:rsidR="00746C0D" w:rsidRPr="00D936CA" w:rsidRDefault="00746C0D" w:rsidP="00746C0D">
            <w:pPr>
              <w:spacing w:after="200" w:line="276" w:lineRule="auto"/>
              <w:jc w:val="both"/>
              <w:rPr>
                <w:rFonts w:ascii="ITC Avant Garde" w:hAnsi="ITC Avant Garde"/>
                <w:sz w:val="20"/>
                <w:szCs w:val="20"/>
                <w:lang w:val="es-MX"/>
              </w:rPr>
            </w:pPr>
            <w:r w:rsidRPr="00D936CA">
              <w:rPr>
                <w:rFonts w:ascii="ITC Avant Garde" w:hAnsi="ITC Avant Garde"/>
                <w:sz w:val="20"/>
                <w:szCs w:val="20"/>
                <w:lang w:val="es-MX"/>
              </w:rPr>
              <w:t>Fibra FTTH</w:t>
            </w:r>
          </w:p>
        </w:tc>
        <w:tc>
          <w:tcPr>
            <w:tcW w:w="1765" w:type="dxa"/>
          </w:tcPr>
          <w:p w14:paraId="18957DA9"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5</w:t>
            </w:r>
          </w:p>
        </w:tc>
        <w:tc>
          <w:tcPr>
            <w:tcW w:w="1766" w:type="dxa"/>
          </w:tcPr>
          <w:p w14:paraId="3A027172"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1,000</w:t>
            </w:r>
          </w:p>
        </w:tc>
        <w:tc>
          <w:tcPr>
            <w:tcW w:w="1766" w:type="dxa"/>
            <w:vMerge/>
          </w:tcPr>
          <w:p w14:paraId="0AC6ECF9"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0C7DB5AC"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1E24F654" w14:textId="77777777" w:rsidTr="002D1A0A">
        <w:trPr>
          <w:trHeight w:hRule="exact" w:val="284"/>
          <w:jc w:val="center"/>
        </w:trPr>
        <w:tc>
          <w:tcPr>
            <w:tcW w:w="1765" w:type="dxa"/>
            <w:vMerge/>
          </w:tcPr>
          <w:p w14:paraId="55E60781"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Pr>
          <w:p w14:paraId="74BAC77C"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w:t>
            </w:r>
          </w:p>
        </w:tc>
        <w:tc>
          <w:tcPr>
            <w:tcW w:w="1766" w:type="dxa"/>
          </w:tcPr>
          <w:p w14:paraId="3C83E844"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1,000</w:t>
            </w:r>
          </w:p>
        </w:tc>
        <w:tc>
          <w:tcPr>
            <w:tcW w:w="1766" w:type="dxa"/>
            <w:vMerge/>
          </w:tcPr>
          <w:p w14:paraId="2B725B3C"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5D22E12A"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48011664" w14:textId="77777777" w:rsidTr="002D1A0A">
        <w:trPr>
          <w:trHeight w:hRule="exact" w:val="284"/>
          <w:jc w:val="center"/>
        </w:trPr>
        <w:tc>
          <w:tcPr>
            <w:tcW w:w="1765" w:type="dxa"/>
            <w:vMerge/>
          </w:tcPr>
          <w:p w14:paraId="0B0AC7D7"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Pr>
          <w:p w14:paraId="37A135FC"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w:t>
            </w:r>
          </w:p>
        </w:tc>
        <w:tc>
          <w:tcPr>
            <w:tcW w:w="1766" w:type="dxa"/>
          </w:tcPr>
          <w:p w14:paraId="3EA0C4D6"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2,000</w:t>
            </w:r>
          </w:p>
        </w:tc>
        <w:tc>
          <w:tcPr>
            <w:tcW w:w="1766" w:type="dxa"/>
            <w:vMerge/>
          </w:tcPr>
          <w:p w14:paraId="38AC19BD"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3D6432E3"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69BBA51A" w14:textId="77777777" w:rsidTr="002D1A0A">
        <w:trPr>
          <w:trHeight w:hRule="exact" w:val="284"/>
          <w:jc w:val="center"/>
        </w:trPr>
        <w:tc>
          <w:tcPr>
            <w:tcW w:w="1765" w:type="dxa"/>
            <w:vMerge/>
          </w:tcPr>
          <w:p w14:paraId="6CC4D1B1"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Pr>
          <w:p w14:paraId="55AD6B8F"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30</w:t>
            </w:r>
          </w:p>
        </w:tc>
        <w:tc>
          <w:tcPr>
            <w:tcW w:w="1766" w:type="dxa"/>
          </w:tcPr>
          <w:p w14:paraId="79043B51"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3,000</w:t>
            </w:r>
          </w:p>
        </w:tc>
        <w:tc>
          <w:tcPr>
            <w:tcW w:w="1766" w:type="dxa"/>
            <w:vMerge/>
          </w:tcPr>
          <w:p w14:paraId="3264819F"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54CD7984"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599C0F92" w14:textId="77777777" w:rsidTr="002D1A0A">
        <w:trPr>
          <w:trHeight w:hRule="exact" w:val="284"/>
          <w:jc w:val="center"/>
        </w:trPr>
        <w:tc>
          <w:tcPr>
            <w:tcW w:w="1765" w:type="dxa"/>
            <w:vMerge/>
          </w:tcPr>
          <w:p w14:paraId="5EB9C2B7"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Pr>
          <w:p w14:paraId="176FD261"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40</w:t>
            </w:r>
          </w:p>
        </w:tc>
        <w:tc>
          <w:tcPr>
            <w:tcW w:w="1766" w:type="dxa"/>
          </w:tcPr>
          <w:p w14:paraId="37E69C4B"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4,000</w:t>
            </w:r>
          </w:p>
        </w:tc>
        <w:tc>
          <w:tcPr>
            <w:tcW w:w="1766" w:type="dxa"/>
            <w:vMerge/>
          </w:tcPr>
          <w:p w14:paraId="2506C6E9"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10098E12"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430DCCF3" w14:textId="77777777" w:rsidTr="002D1A0A">
        <w:trPr>
          <w:trHeight w:hRule="exact" w:val="284"/>
          <w:jc w:val="center"/>
        </w:trPr>
        <w:tc>
          <w:tcPr>
            <w:tcW w:w="1765" w:type="dxa"/>
            <w:vMerge/>
          </w:tcPr>
          <w:p w14:paraId="530E355F"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Pr>
          <w:p w14:paraId="6322557A"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50</w:t>
            </w:r>
          </w:p>
        </w:tc>
        <w:tc>
          <w:tcPr>
            <w:tcW w:w="1766" w:type="dxa"/>
          </w:tcPr>
          <w:p w14:paraId="37360C9A"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5,000</w:t>
            </w:r>
          </w:p>
        </w:tc>
        <w:tc>
          <w:tcPr>
            <w:tcW w:w="1766" w:type="dxa"/>
            <w:vMerge/>
          </w:tcPr>
          <w:p w14:paraId="2F8E3D46"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7ED16B49"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746C0D" w:rsidRPr="00D936CA" w14:paraId="0EDC616A" w14:textId="77777777" w:rsidTr="00060B2E">
        <w:trPr>
          <w:trHeight w:hRule="exact" w:val="284"/>
          <w:jc w:val="center"/>
        </w:trPr>
        <w:tc>
          <w:tcPr>
            <w:tcW w:w="1765" w:type="dxa"/>
            <w:vMerge/>
          </w:tcPr>
          <w:p w14:paraId="037C62D1"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Borders>
              <w:bottom w:val="single" w:sz="4" w:space="0" w:color="auto"/>
            </w:tcBorders>
          </w:tcPr>
          <w:p w14:paraId="55E7ABEA"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100</w:t>
            </w:r>
          </w:p>
        </w:tc>
        <w:tc>
          <w:tcPr>
            <w:tcW w:w="1766" w:type="dxa"/>
            <w:tcBorders>
              <w:bottom w:val="single" w:sz="4" w:space="0" w:color="auto"/>
            </w:tcBorders>
          </w:tcPr>
          <w:p w14:paraId="33BB0E7E"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10,000</w:t>
            </w:r>
          </w:p>
        </w:tc>
        <w:tc>
          <w:tcPr>
            <w:tcW w:w="1766" w:type="dxa"/>
            <w:vMerge/>
          </w:tcPr>
          <w:p w14:paraId="2A27D37D"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54E92279" w14:textId="77777777" w:rsidR="00746C0D" w:rsidRPr="00D936CA" w:rsidRDefault="00746C0D" w:rsidP="00746C0D">
            <w:pPr>
              <w:spacing w:after="200" w:line="276" w:lineRule="auto"/>
              <w:jc w:val="both"/>
              <w:rPr>
                <w:rFonts w:ascii="ITC Avant Garde" w:hAnsi="ITC Avant Garde" w:cs="Calibri"/>
                <w:bCs/>
                <w:lang w:val="es-ES" w:eastAsia="en-US"/>
              </w:rPr>
            </w:pPr>
          </w:p>
        </w:tc>
      </w:tr>
      <w:tr w:rsidR="00A064D3" w:rsidRPr="00D936CA" w14:paraId="2501F92E" w14:textId="77777777" w:rsidTr="00060B2E">
        <w:trPr>
          <w:trHeight w:hRule="exact" w:val="284"/>
          <w:jc w:val="center"/>
        </w:trPr>
        <w:tc>
          <w:tcPr>
            <w:tcW w:w="1765" w:type="dxa"/>
            <w:vMerge/>
          </w:tcPr>
          <w:p w14:paraId="47BD2615" w14:textId="77777777" w:rsidR="00A064D3" w:rsidRPr="00D936CA" w:rsidRDefault="00A064D3" w:rsidP="00746C0D">
            <w:pPr>
              <w:spacing w:after="200" w:line="276" w:lineRule="auto"/>
              <w:jc w:val="both"/>
              <w:rPr>
                <w:rFonts w:ascii="ITC Avant Garde" w:hAnsi="ITC Avant Garde" w:cs="Calibri"/>
                <w:bCs/>
                <w:lang w:val="es-ES" w:eastAsia="en-US"/>
              </w:rPr>
            </w:pPr>
          </w:p>
        </w:tc>
        <w:tc>
          <w:tcPr>
            <w:tcW w:w="1765" w:type="dxa"/>
            <w:shd w:val="clear" w:color="auto" w:fill="auto"/>
          </w:tcPr>
          <w:p w14:paraId="3E6AE00D" w14:textId="194A952F" w:rsidR="00A064D3" w:rsidRPr="00D936CA" w:rsidRDefault="00A064D3" w:rsidP="00746C0D">
            <w:pPr>
              <w:spacing w:before="60" w:after="60" w:line="276" w:lineRule="auto"/>
              <w:jc w:val="center"/>
              <w:rPr>
                <w:rFonts w:ascii="ITC Avant Garde" w:hAnsi="ITC Avant Garde"/>
                <w:sz w:val="20"/>
                <w:szCs w:val="20"/>
                <w:lang w:val="es-MX"/>
              </w:rPr>
            </w:pPr>
            <w:r>
              <w:rPr>
                <w:rFonts w:ascii="ITC Avant Garde" w:hAnsi="ITC Avant Garde"/>
                <w:sz w:val="20"/>
                <w:szCs w:val="20"/>
                <w:lang w:val="es-MX"/>
              </w:rPr>
              <w:t>150</w:t>
            </w:r>
          </w:p>
        </w:tc>
        <w:tc>
          <w:tcPr>
            <w:tcW w:w="1766" w:type="dxa"/>
            <w:shd w:val="clear" w:color="auto" w:fill="auto"/>
          </w:tcPr>
          <w:p w14:paraId="25222632" w14:textId="0E77266C" w:rsidR="00A064D3" w:rsidRPr="00D936CA" w:rsidRDefault="00A064D3" w:rsidP="00746C0D">
            <w:pPr>
              <w:spacing w:before="60" w:after="60" w:line="276" w:lineRule="auto"/>
              <w:jc w:val="center"/>
              <w:rPr>
                <w:rFonts w:ascii="ITC Avant Garde" w:hAnsi="ITC Avant Garde"/>
                <w:sz w:val="20"/>
                <w:szCs w:val="20"/>
                <w:lang w:val="es-MX"/>
              </w:rPr>
            </w:pPr>
            <w:r w:rsidRPr="00E27C15">
              <w:rPr>
                <w:rFonts w:ascii="ITC Avant Garde" w:hAnsi="ITC Avant Garde"/>
                <w:sz w:val="20"/>
                <w:szCs w:val="20"/>
                <w:lang w:val="es-MX"/>
              </w:rPr>
              <w:t>15,000</w:t>
            </w:r>
          </w:p>
        </w:tc>
        <w:tc>
          <w:tcPr>
            <w:tcW w:w="1766" w:type="dxa"/>
            <w:vMerge/>
          </w:tcPr>
          <w:p w14:paraId="2A200CFB" w14:textId="77777777" w:rsidR="00A064D3" w:rsidRPr="00D936CA" w:rsidRDefault="00A064D3" w:rsidP="00746C0D">
            <w:pPr>
              <w:spacing w:after="200" w:line="276" w:lineRule="auto"/>
              <w:jc w:val="both"/>
              <w:rPr>
                <w:rFonts w:ascii="ITC Avant Garde" w:hAnsi="ITC Avant Garde" w:cs="Calibri"/>
                <w:bCs/>
                <w:lang w:val="es-ES" w:eastAsia="en-US"/>
              </w:rPr>
            </w:pPr>
          </w:p>
        </w:tc>
        <w:tc>
          <w:tcPr>
            <w:tcW w:w="1155" w:type="dxa"/>
            <w:vMerge/>
          </w:tcPr>
          <w:p w14:paraId="2A9EB13B" w14:textId="77777777" w:rsidR="00A064D3" w:rsidRPr="00D936CA" w:rsidRDefault="00A064D3" w:rsidP="00746C0D">
            <w:pPr>
              <w:spacing w:after="200" w:line="276" w:lineRule="auto"/>
              <w:jc w:val="both"/>
              <w:rPr>
                <w:rFonts w:ascii="ITC Avant Garde" w:hAnsi="ITC Avant Garde" w:cs="Calibri"/>
                <w:bCs/>
                <w:lang w:val="es-ES" w:eastAsia="en-US"/>
              </w:rPr>
            </w:pPr>
          </w:p>
        </w:tc>
      </w:tr>
      <w:tr w:rsidR="00746C0D" w:rsidRPr="00D936CA" w14:paraId="3BDFEB00" w14:textId="77777777" w:rsidTr="002D1A0A">
        <w:trPr>
          <w:trHeight w:hRule="exact" w:val="284"/>
          <w:jc w:val="center"/>
        </w:trPr>
        <w:tc>
          <w:tcPr>
            <w:tcW w:w="1765" w:type="dxa"/>
            <w:vMerge/>
          </w:tcPr>
          <w:p w14:paraId="3791D0BD"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765" w:type="dxa"/>
          </w:tcPr>
          <w:p w14:paraId="7001A319"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200</w:t>
            </w:r>
          </w:p>
        </w:tc>
        <w:tc>
          <w:tcPr>
            <w:tcW w:w="1766" w:type="dxa"/>
          </w:tcPr>
          <w:p w14:paraId="09DAD804" w14:textId="77777777" w:rsidR="00746C0D" w:rsidRPr="00D936CA" w:rsidRDefault="00746C0D" w:rsidP="00746C0D">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20,000</w:t>
            </w:r>
          </w:p>
        </w:tc>
        <w:tc>
          <w:tcPr>
            <w:tcW w:w="1766" w:type="dxa"/>
            <w:vMerge/>
          </w:tcPr>
          <w:p w14:paraId="2B9DD484" w14:textId="77777777" w:rsidR="00746C0D" w:rsidRPr="00D936CA" w:rsidRDefault="00746C0D" w:rsidP="00746C0D">
            <w:pPr>
              <w:spacing w:after="200" w:line="276" w:lineRule="auto"/>
              <w:jc w:val="both"/>
              <w:rPr>
                <w:rFonts w:ascii="ITC Avant Garde" w:hAnsi="ITC Avant Garde" w:cs="Calibri"/>
                <w:bCs/>
                <w:lang w:val="es-ES" w:eastAsia="en-US"/>
              </w:rPr>
            </w:pPr>
          </w:p>
        </w:tc>
        <w:tc>
          <w:tcPr>
            <w:tcW w:w="1155" w:type="dxa"/>
            <w:vMerge/>
          </w:tcPr>
          <w:p w14:paraId="60EE953B" w14:textId="77777777" w:rsidR="00746C0D" w:rsidRPr="00D936CA" w:rsidRDefault="00746C0D" w:rsidP="00746C0D">
            <w:pPr>
              <w:spacing w:after="200" w:line="276" w:lineRule="auto"/>
              <w:jc w:val="both"/>
              <w:rPr>
                <w:rFonts w:ascii="ITC Avant Garde" w:hAnsi="ITC Avant Garde" w:cs="Calibri"/>
                <w:bCs/>
                <w:lang w:val="es-ES" w:eastAsia="en-US"/>
              </w:rPr>
            </w:pPr>
          </w:p>
        </w:tc>
      </w:tr>
    </w:tbl>
    <w:p w14:paraId="04A308EC" w14:textId="364B170B" w:rsidR="00B61810" w:rsidRPr="00D936CA" w:rsidRDefault="00B61810" w:rsidP="00D936CA">
      <w:pPr>
        <w:pStyle w:val="IFTnormal"/>
        <w:rPr>
          <w:lang w:val="es-ES"/>
        </w:rPr>
      </w:pPr>
    </w:p>
    <w:p w14:paraId="33CFEB47" w14:textId="03E41F50" w:rsidR="00394A75" w:rsidRPr="00D936CA" w:rsidRDefault="00375F39" w:rsidP="00D936CA">
      <w:pPr>
        <w:pStyle w:val="Ttulo2"/>
        <w:numPr>
          <w:ilvl w:val="1"/>
          <w:numId w:val="143"/>
        </w:numPr>
        <w:ind w:left="851" w:hanging="425"/>
      </w:pPr>
      <w:bookmarkStart w:id="407" w:name="_Toc436840897"/>
      <w:bookmarkStart w:id="408" w:name="_Toc436846334"/>
      <w:bookmarkStart w:id="409" w:name="_Toc436848284"/>
      <w:bookmarkStart w:id="410" w:name="_Toc436856532"/>
      <w:bookmarkStart w:id="411" w:name="_Toc436862678"/>
      <w:bookmarkStart w:id="412" w:name="_Toc436866328"/>
      <w:bookmarkStart w:id="413" w:name="_Toc436870907"/>
      <w:bookmarkStart w:id="414" w:name="_Toc436875899"/>
      <w:r w:rsidRPr="00D936CA">
        <w:t xml:space="preserve"> </w:t>
      </w:r>
      <w:bookmarkStart w:id="415" w:name="_Toc467248711"/>
      <w:bookmarkStart w:id="416" w:name="_Toc518031994"/>
      <w:r w:rsidR="00394A75" w:rsidRPr="00D936CA">
        <w:t xml:space="preserve">Módem </w:t>
      </w:r>
      <w:r w:rsidR="0075541A" w:rsidRPr="00D936CA">
        <w:t xml:space="preserve">y ONT </w:t>
      </w:r>
      <w:r w:rsidR="00394A75" w:rsidRPr="00D936CA">
        <w:t>del usuario final para SAIB</w:t>
      </w:r>
      <w:bookmarkEnd w:id="407"/>
      <w:bookmarkEnd w:id="408"/>
      <w:bookmarkEnd w:id="409"/>
      <w:bookmarkEnd w:id="410"/>
      <w:bookmarkEnd w:id="411"/>
      <w:bookmarkEnd w:id="412"/>
      <w:bookmarkEnd w:id="413"/>
      <w:bookmarkEnd w:id="414"/>
      <w:bookmarkEnd w:id="415"/>
      <w:bookmarkEnd w:id="416"/>
    </w:p>
    <w:p w14:paraId="6C1E7C87" w14:textId="7EBF5BC4" w:rsidR="00C86F9A" w:rsidRPr="00D936CA" w:rsidRDefault="00C86F9A" w:rsidP="00060B2E">
      <w:pPr>
        <w:pStyle w:val="IFTnormal"/>
        <w:ind w:left="-567" w:right="-142"/>
      </w:pPr>
      <w:r w:rsidRPr="00D936CA">
        <w:t>La instalación y configuración de los equipos de usuario final (Módems y ONT´s) y resto de actuaciones en domicilio del cliente necesarias para la activación del servicio serán realizadas por el CS. Para ello el CS podrá adquirir los módems con cualquier proveedor ofreciendo Telmex a requerimiento del CS el servicio de interoperabilidad de módems para comprobar que los mismos operan correctamente en la red. Asimismo</w:t>
      </w:r>
      <w:r w:rsidR="0063332F">
        <w:t>,</w:t>
      </w:r>
      <w:r w:rsidRPr="00D936CA">
        <w:t xml:space="preserve"> el CS podrá adquirir los módems a Telmex en las condiciones descritas más adelante.  </w:t>
      </w:r>
    </w:p>
    <w:p w14:paraId="589513C8" w14:textId="15C82217" w:rsidR="00C86F9A" w:rsidRPr="00D936CA" w:rsidRDefault="00C86F9A" w:rsidP="00060B2E">
      <w:pPr>
        <w:pStyle w:val="IFTnormal"/>
        <w:ind w:left="-567" w:right="-142"/>
      </w:pPr>
      <w:r w:rsidRPr="00D936CA">
        <w:t>Asimismo, para el caso de las ONT´s, el CS podrá adquirir las ONT´s compatibles con los equipos de acceso de la red de Telmex a cualquier suministrador o al propio Telmex. En este caso el CS deberá presentar a Telmex certificación del fabricante de la compatibilidad de la ONT con el correspondiente equipo de acceso de Telmex. Los equipos de acceso correspondientes al usuario en cuestión (DSLAM, TBA u OLT) serán identificados por Telmex a través del SEG indicando, marca modelo y versión de software. Asimismo</w:t>
      </w:r>
      <w:r w:rsidR="0063332F">
        <w:t>,</w:t>
      </w:r>
      <w:r w:rsidRPr="00D936CA">
        <w:t xml:space="preserve"> dichos datos serán confirmados por Telmex junto a la notificación de factibilidad del procedimiento de contratación.</w:t>
      </w:r>
    </w:p>
    <w:p w14:paraId="12864693" w14:textId="013DD755" w:rsidR="0009683F" w:rsidRPr="00D936CA" w:rsidRDefault="0009683F" w:rsidP="00060B2E">
      <w:pPr>
        <w:pStyle w:val="IFTnormal"/>
        <w:ind w:left="-567" w:right="-142"/>
      </w:pPr>
      <w:r w:rsidRPr="00D936CA">
        <w:t>Además</w:t>
      </w:r>
      <w:r w:rsidR="0063332F">
        <w:t>,</w:t>
      </w:r>
      <w:r w:rsidRPr="00D936CA">
        <w:t xml:space="preserve"> Telmex pondrá a disposición de los CS en el </w:t>
      </w:r>
      <w:r w:rsidR="00D57DBB" w:rsidRPr="00D936CA">
        <w:t>SEG toda</w:t>
      </w:r>
      <w:r w:rsidRPr="00D936CA">
        <w:t xml:space="preserve"> la información sobre sus equipos de acceso así como los estándares, especificaciones y referencias que deben cumplir los equipos y cualquier otra información necesaria para que los CS puedan especificar los equipos de cliente (módems y ONT´s), de forma que sean compatibles e interoperables con los DSLAM/OLT de Telmex con proveedores de su elección y así efectuar las adquisiciones oportunas.  </w:t>
      </w:r>
    </w:p>
    <w:p w14:paraId="07BC37CF" w14:textId="60B3DC3A" w:rsidR="0009683F" w:rsidRPr="00D936CA" w:rsidRDefault="0009683F" w:rsidP="00060B2E">
      <w:pPr>
        <w:pStyle w:val="IFTnormal"/>
        <w:ind w:left="-567" w:right="-142"/>
      </w:pPr>
      <w:r w:rsidRPr="00D936CA">
        <w:t>Cualquier equipo módem homologado</w:t>
      </w:r>
      <w:r w:rsidR="009E1460">
        <w:t xml:space="preserve"> por Telmex, </w:t>
      </w:r>
      <w:r w:rsidRPr="00D936CA">
        <w:t xml:space="preserve">respecto a dichos estándares y configurados con dichos parámetros deberá poder conectarse e interoperar con la red de Telmex, por lo que las pruebas de interoperabilidad solo tendrán carácter de opcionales en caso de que lo solicite para el CS. De igual forma se publicará la lista de equipos actualmente utilizados por Telmex en su operación y por tanto </w:t>
      </w:r>
      <w:r w:rsidR="00BB2D3E">
        <w:t xml:space="preserve">homologados y </w:t>
      </w:r>
      <w:r w:rsidRPr="00D936CA">
        <w:t>compatibles con las plataformas de su red de acceso xDSL tanto de cobre como FTTH especificando sus marcas, modelos, versiones y referencias de manuales de operación</w:t>
      </w:r>
      <w:r w:rsidR="00A01168">
        <w:t>,</w:t>
      </w:r>
      <w:r w:rsidRPr="00D936CA">
        <w:t xml:space="preserve"> así como de proveedores.</w:t>
      </w:r>
    </w:p>
    <w:p w14:paraId="5AB5A8E2" w14:textId="3217A10D" w:rsidR="0009683F" w:rsidRPr="00D936CA" w:rsidRDefault="0009683F" w:rsidP="00060B2E">
      <w:pPr>
        <w:pStyle w:val="IFTnormal"/>
        <w:ind w:left="-567" w:right="-142"/>
      </w:pPr>
      <w:r w:rsidRPr="00D936CA">
        <w:t xml:space="preserve">Esta información se mantendrá accesible y actualizada respecto a cualquier cambio de configuración, actualizaciones de software o cambio tecnológico introducido en la red. Dichos cambios en su caso deberán garantizar que soportan los equipos instalados por los CS. </w:t>
      </w:r>
    </w:p>
    <w:p w14:paraId="733DC0C1" w14:textId="77777777" w:rsidR="0009683F" w:rsidRPr="00060B2E" w:rsidRDefault="0009683F" w:rsidP="00060B2E">
      <w:pPr>
        <w:spacing w:after="200" w:line="276" w:lineRule="auto"/>
        <w:ind w:left="-567" w:right="-142"/>
        <w:jc w:val="both"/>
        <w:rPr>
          <w:rFonts w:ascii="ITC Avant Garde" w:hAnsi="ITC Avant Garde"/>
          <w:b/>
          <w:sz w:val="22"/>
          <w:szCs w:val="22"/>
        </w:rPr>
      </w:pPr>
      <w:r w:rsidRPr="00060B2E">
        <w:rPr>
          <w:rFonts w:ascii="ITC Avant Garde" w:hAnsi="ITC Avant Garde"/>
          <w:b/>
          <w:sz w:val="22"/>
          <w:szCs w:val="22"/>
        </w:rPr>
        <w:t>Módems y ONT´s suministrados por Telmex.</w:t>
      </w:r>
    </w:p>
    <w:p w14:paraId="7A24BE54" w14:textId="57300106" w:rsidR="0009683F" w:rsidRPr="00D936CA" w:rsidRDefault="0009683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lastRenderedPageBreak/>
        <w:t xml:space="preserve">En caso de suministro por Telmex de los equipos de usuario final, </w:t>
      </w:r>
      <w:r w:rsidR="00226C08" w:rsidRPr="00D936CA">
        <w:rPr>
          <w:rFonts w:ascii="ITC Avant Garde" w:hAnsi="ITC Avant Garde"/>
          <w:sz w:val="22"/>
          <w:szCs w:val="22"/>
        </w:rPr>
        <w:t xml:space="preserve">este </w:t>
      </w:r>
      <w:r w:rsidRPr="00D936CA">
        <w:rPr>
          <w:rFonts w:ascii="ITC Avant Garde" w:hAnsi="ITC Avant Garde"/>
          <w:sz w:val="22"/>
          <w:szCs w:val="22"/>
        </w:rPr>
        <w:t>pondrá a disposición de los CS los módems y ONTs blancos y sin el logotipo de Telmex, configurados de acuerdo a las indicaciones de los CS en lo relativo a los parámetros del servicio de datos y de capa 2 relativos a parámetros de cliente y de prioridad de servicio.</w:t>
      </w:r>
    </w:p>
    <w:p w14:paraId="33CFEB4D" w14:textId="76E6CE52" w:rsidR="00400544" w:rsidRPr="00D936CA" w:rsidRDefault="0028770E"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L</w:t>
      </w:r>
      <w:r w:rsidR="00046F53" w:rsidRPr="00D936CA">
        <w:rPr>
          <w:rFonts w:ascii="ITC Avant Garde" w:hAnsi="ITC Avant Garde"/>
          <w:sz w:val="22"/>
          <w:szCs w:val="22"/>
        </w:rPr>
        <w:t>os CS desde la solicitud de los Servicios</w:t>
      </w:r>
      <w:r w:rsidRPr="00D936CA">
        <w:rPr>
          <w:rFonts w:ascii="ITC Avant Garde" w:hAnsi="ITC Avant Garde"/>
          <w:sz w:val="22"/>
          <w:szCs w:val="22"/>
        </w:rPr>
        <w:t xml:space="preserve"> podrán solicitar</w:t>
      </w:r>
      <w:r w:rsidR="00046F53" w:rsidRPr="00D936CA">
        <w:rPr>
          <w:rFonts w:ascii="ITC Avant Garde" w:hAnsi="ITC Avant Garde"/>
          <w:sz w:val="22"/>
          <w:szCs w:val="22"/>
        </w:rPr>
        <w:t xml:space="preserve"> que los </w:t>
      </w:r>
      <w:r w:rsidR="00BB7620" w:rsidRPr="00D936CA">
        <w:rPr>
          <w:rFonts w:ascii="ITC Avant Garde" w:hAnsi="ITC Avant Garde"/>
          <w:sz w:val="22"/>
          <w:szCs w:val="22"/>
        </w:rPr>
        <w:t>m</w:t>
      </w:r>
      <w:r w:rsidR="00046F53" w:rsidRPr="00D936CA">
        <w:rPr>
          <w:rFonts w:ascii="ITC Avant Garde" w:hAnsi="ITC Avant Garde"/>
          <w:sz w:val="22"/>
          <w:szCs w:val="22"/>
        </w:rPr>
        <w:t>ódems</w:t>
      </w:r>
      <w:r w:rsidR="00BB7620" w:rsidRPr="00D936CA">
        <w:rPr>
          <w:rFonts w:ascii="ITC Avant Garde" w:hAnsi="ITC Avant Garde"/>
          <w:sz w:val="22"/>
          <w:szCs w:val="22"/>
        </w:rPr>
        <w:t xml:space="preserve"> y </w:t>
      </w:r>
      <w:r w:rsidR="00046F53" w:rsidRPr="00D936CA">
        <w:rPr>
          <w:rFonts w:ascii="ITC Avant Garde" w:hAnsi="ITC Avant Garde"/>
          <w:sz w:val="22"/>
          <w:szCs w:val="22"/>
        </w:rPr>
        <w:t>/ONTs</w:t>
      </w:r>
      <w:r w:rsidR="00DF3E5F">
        <w:rPr>
          <w:rStyle w:val="Refdenotaalpie"/>
          <w:rFonts w:ascii="ITC Avant Garde" w:hAnsi="ITC Avant Garde"/>
          <w:sz w:val="22"/>
          <w:szCs w:val="22"/>
        </w:rPr>
        <w:footnoteReference w:id="23"/>
      </w:r>
      <w:r w:rsidR="00046F53" w:rsidRPr="00D936CA">
        <w:rPr>
          <w:rFonts w:ascii="ITC Avant Garde" w:hAnsi="ITC Avant Garde"/>
          <w:sz w:val="22"/>
          <w:szCs w:val="22"/>
        </w:rPr>
        <w:t xml:space="preserve"> sean </w:t>
      </w:r>
      <w:r w:rsidR="00046F53" w:rsidRPr="00D936CA">
        <w:rPr>
          <w:rFonts w:ascii="ITC Avant Garde" w:hAnsi="ITC Avant Garde"/>
          <w:sz w:val="22"/>
          <w:szCs w:val="22"/>
          <w:lang w:val="es-ES"/>
        </w:rPr>
        <w:t xml:space="preserve">entregados, instalados, configurados y activados en el domicilio del cliente, lo cual se llevará a cabo bajo las mismas condiciones que se hace para las propias operaciones. </w:t>
      </w:r>
      <w:r w:rsidRPr="00D936CA">
        <w:rPr>
          <w:rFonts w:ascii="ITC Avant Garde" w:hAnsi="ITC Avant Garde"/>
          <w:sz w:val="22"/>
          <w:szCs w:val="22"/>
          <w:lang w:val="es-ES"/>
        </w:rPr>
        <w:t>E</w:t>
      </w:r>
      <w:r w:rsidR="003F0051" w:rsidRPr="00D936CA">
        <w:rPr>
          <w:rFonts w:ascii="ITC Avant Garde" w:hAnsi="ITC Avant Garde"/>
          <w:sz w:val="22"/>
          <w:szCs w:val="22"/>
          <w:lang w:val="es-ES"/>
        </w:rPr>
        <w:t xml:space="preserve">n el caso de Módem </w:t>
      </w:r>
      <w:r w:rsidRPr="00D936CA">
        <w:rPr>
          <w:rFonts w:ascii="ITC Avant Garde" w:hAnsi="ITC Avant Garde"/>
          <w:sz w:val="22"/>
          <w:szCs w:val="22"/>
          <w:lang w:val="es-ES"/>
        </w:rPr>
        <w:t>el CS podrá elegir</w:t>
      </w:r>
      <w:r w:rsidR="003F0051" w:rsidRPr="00D936CA">
        <w:rPr>
          <w:rFonts w:ascii="ITC Avant Garde" w:hAnsi="ITC Avant Garde"/>
          <w:sz w:val="22"/>
          <w:szCs w:val="22"/>
          <w:lang w:val="es-ES"/>
        </w:rPr>
        <w:t xml:space="preserve"> si la entrega será vía mensajería</w:t>
      </w:r>
      <w:r w:rsidR="00DF3E5F">
        <w:rPr>
          <w:rStyle w:val="Refdenotaalpie"/>
          <w:rFonts w:ascii="ITC Avant Garde" w:hAnsi="ITC Avant Garde"/>
          <w:sz w:val="22"/>
          <w:szCs w:val="22"/>
          <w:lang w:val="es-ES"/>
        </w:rPr>
        <w:footnoteReference w:id="24"/>
      </w:r>
      <w:r w:rsidR="003F0051" w:rsidRPr="00D936CA">
        <w:rPr>
          <w:rFonts w:ascii="ITC Avant Garde" w:hAnsi="ITC Avant Garde"/>
          <w:sz w:val="22"/>
          <w:szCs w:val="22"/>
          <w:lang w:val="es-ES"/>
        </w:rPr>
        <w:t xml:space="preserve"> en cuyo caso aplica una contraprestación</w:t>
      </w:r>
      <w:r w:rsidR="00DF3E5F">
        <w:rPr>
          <w:rStyle w:val="Refdenotaalpie"/>
          <w:rFonts w:ascii="ITC Avant Garde" w:hAnsi="ITC Avant Garde"/>
          <w:sz w:val="22"/>
          <w:szCs w:val="22"/>
          <w:lang w:val="es-ES"/>
        </w:rPr>
        <w:footnoteReference w:id="25"/>
      </w:r>
      <w:r w:rsidR="006C4FEB">
        <w:rPr>
          <w:rFonts w:ascii="ITC Avant Garde" w:hAnsi="ITC Avant Garde"/>
          <w:sz w:val="22"/>
          <w:szCs w:val="22"/>
          <w:lang w:val="es-ES"/>
        </w:rPr>
        <w:t>, o a través de</w:t>
      </w:r>
      <w:r w:rsidR="00842EF4">
        <w:rPr>
          <w:rFonts w:ascii="ITC Avant Garde" w:hAnsi="ITC Avant Garde"/>
          <w:sz w:val="22"/>
          <w:szCs w:val="22"/>
          <w:lang w:val="es-ES"/>
        </w:rPr>
        <w:t xml:space="preserve"> un</w:t>
      </w:r>
      <w:r w:rsidR="006C4FEB">
        <w:rPr>
          <w:rFonts w:ascii="ITC Avant Garde" w:hAnsi="ITC Avant Garde"/>
          <w:sz w:val="22"/>
          <w:szCs w:val="22"/>
          <w:lang w:val="es-ES"/>
        </w:rPr>
        <w:t xml:space="preserve"> técnico sólo para el caso de servicios nuevos</w:t>
      </w:r>
      <w:r w:rsidRPr="00D936CA">
        <w:rPr>
          <w:rFonts w:ascii="ITC Avant Garde" w:hAnsi="ITC Avant Garde"/>
          <w:sz w:val="22"/>
          <w:szCs w:val="22"/>
          <w:lang w:val="es-ES"/>
        </w:rPr>
        <w:t>.</w:t>
      </w:r>
      <w:r w:rsidR="003F0051" w:rsidRPr="00D936CA">
        <w:rPr>
          <w:rFonts w:ascii="ITC Avant Garde" w:hAnsi="ITC Avant Garde"/>
          <w:sz w:val="22"/>
          <w:szCs w:val="22"/>
          <w:lang w:val="es-ES"/>
        </w:rPr>
        <w:t xml:space="preserve"> </w:t>
      </w:r>
      <w:r w:rsidRPr="00D936CA">
        <w:rPr>
          <w:rFonts w:ascii="ITC Avant Garde" w:hAnsi="ITC Avant Garde"/>
          <w:sz w:val="22"/>
          <w:szCs w:val="22"/>
          <w:lang w:val="es-ES"/>
        </w:rPr>
        <w:t>L</w:t>
      </w:r>
      <w:r w:rsidR="003F0051" w:rsidRPr="00D936CA">
        <w:rPr>
          <w:rFonts w:ascii="ITC Avant Garde" w:hAnsi="ITC Avant Garde"/>
          <w:sz w:val="22"/>
          <w:szCs w:val="22"/>
          <w:lang w:val="es-ES"/>
        </w:rPr>
        <w:t xml:space="preserve">a modalidad de entrega deberá indicarla desde la solicitud del servicio correspondiente. </w:t>
      </w:r>
    </w:p>
    <w:p w14:paraId="33CFEB4E" w14:textId="0C219C72" w:rsidR="0040375A" w:rsidRPr="00D936CA" w:rsidRDefault="0009683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A</w:t>
      </w:r>
      <w:r w:rsidR="005A2FA4" w:rsidRPr="00D936CA">
        <w:rPr>
          <w:rFonts w:ascii="ITC Avant Garde" w:hAnsi="ITC Avant Garde"/>
          <w:sz w:val="22"/>
          <w:szCs w:val="22"/>
        </w:rPr>
        <w:t xml:space="preserve"> solicitud del CS</w:t>
      </w:r>
      <w:r w:rsidR="0040375A" w:rsidRPr="00D936CA">
        <w:rPr>
          <w:rFonts w:ascii="ITC Avant Garde" w:hAnsi="ITC Avant Garde"/>
          <w:sz w:val="22"/>
          <w:szCs w:val="22"/>
        </w:rPr>
        <w:t>, en el caso de usuarios nuevos y ONT´s blancas</w:t>
      </w:r>
      <w:r w:rsidR="005A2FA4" w:rsidRPr="00D936CA">
        <w:rPr>
          <w:rFonts w:ascii="ITC Avant Garde" w:hAnsi="ITC Avant Garde"/>
          <w:sz w:val="22"/>
          <w:szCs w:val="22"/>
        </w:rPr>
        <w:t>,</w:t>
      </w:r>
      <w:r w:rsidR="0040375A" w:rsidRPr="00D936CA">
        <w:rPr>
          <w:rFonts w:ascii="ITC Avant Garde" w:hAnsi="ITC Avant Garde"/>
          <w:sz w:val="22"/>
          <w:szCs w:val="22"/>
        </w:rPr>
        <w:t xml:space="preserve"> se </w:t>
      </w:r>
      <w:r w:rsidR="005A2FA4" w:rsidRPr="00D936CA">
        <w:rPr>
          <w:rFonts w:ascii="ITC Avant Garde" w:hAnsi="ITC Avant Garde"/>
          <w:sz w:val="22"/>
          <w:szCs w:val="22"/>
        </w:rPr>
        <w:t>podrán suministrar</w:t>
      </w:r>
      <w:r w:rsidR="0040375A" w:rsidRPr="00D936CA">
        <w:rPr>
          <w:rFonts w:ascii="ITC Avant Garde" w:hAnsi="ITC Avant Garde"/>
          <w:sz w:val="22"/>
          <w:szCs w:val="22"/>
        </w:rPr>
        <w:t xml:space="preserve"> por parte de personal de Telmex al momento de la instalación del servicio o deberán estar disponibles en el domicilio del usuario si son de adquisición del CS a fin de validar la conectividad, la configuración en todo caso la hace el CS.</w:t>
      </w:r>
    </w:p>
    <w:p w14:paraId="33CFEB4F" w14:textId="43CC3EE9" w:rsidR="00394A75" w:rsidRPr="00D936CA" w:rsidRDefault="0009683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P</w:t>
      </w:r>
      <w:r w:rsidR="00394A75" w:rsidRPr="00D936CA">
        <w:rPr>
          <w:rFonts w:ascii="ITC Avant Garde" w:hAnsi="ITC Avant Garde"/>
          <w:sz w:val="22"/>
          <w:szCs w:val="22"/>
        </w:rPr>
        <w:t xml:space="preserve">ara </w:t>
      </w:r>
      <w:r w:rsidRPr="00D936CA">
        <w:rPr>
          <w:rFonts w:ascii="ITC Avant Garde" w:hAnsi="ITC Avant Garde"/>
          <w:sz w:val="22"/>
          <w:szCs w:val="22"/>
        </w:rPr>
        <w:t>las</w:t>
      </w:r>
      <w:r w:rsidR="00394A75" w:rsidRPr="00D936CA">
        <w:rPr>
          <w:rFonts w:ascii="ITC Avant Garde" w:hAnsi="ITC Avant Garde"/>
          <w:sz w:val="22"/>
          <w:szCs w:val="22"/>
        </w:rPr>
        <w:t xml:space="preserve"> ONT</w:t>
      </w:r>
      <w:r w:rsidR="00A14A44" w:rsidRPr="00D936CA">
        <w:rPr>
          <w:rFonts w:ascii="ITC Avant Garde" w:hAnsi="ITC Avant Garde"/>
          <w:sz w:val="22"/>
          <w:szCs w:val="22"/>
        </w:rPr>
        <w:t>s</w:t>
      </w:r>
      <w:r w:rsidR="000977C3">
        <w:rPr>
          <w:rFonts w:ascii="ITC Avant Garde" w:hAnsi="ITC Avant Garde"/>
          <w:sz w:val="22"/>
          <w:szCs w:val="22"/>
        </w:rPr>
        <w:t>,</w:t>
      </w:r>
      <w:r w:rsidR="00394A75" w:rsidRPr="00D936CA">
        <w:rPr>
          <w:rFonts w:ascii="ITC Avant Garde" w:hAnsi="ITC Avant Garde"/>
          <w:sz w:val="22"/>
          <w:szCs w:val="22"/>
        </w:rPr>
        <w:t xml:space="preserve"> el CS deberá proveer a Telmex la información de las credenciales (versión de firmware y número de serie) de los </w:t>
      </w:r>
      <w:r w:rsidR="00A14A44" w:rsidRPr="00D936CA">
        <w:rPr>
          <w:rFonts w:ascii="ITC Avant Garde" w:hAnsi="ITC Avant Garde"/>
          <w:sz w:val="22"/>
          <w:szCs w:val="22"/>
        </w:rPr>
        <w:t>equipos</w:t>
      </w:r>
      <w:r w:rsidR="00394A75" w:rsidRPr="00D936CA">
        <w:rPr>
          <w:rFonts w:ascii="ITC Avant Garde" w:hAnsi="ITC Avant Garde"/>
          <w:sz w:val="22"/>
          <w:szCs w:val="22"/>
        </w:rPr>
        <w:t xml:space="preserve"> que </w:t>
      </w:r>
      <w:r w:rsidR="00A14A44" w:rsidRPr="00D936CA">
        <w:rPr>
          <w:rFonts w:ascii="ITC Avant Garde" w:hAnsi="ITC Avant Garde"/>
          <w:sz w:val="22"/>
          <w:szCs w:val="22"/>
        </w:rPr>
        <w:t>vaya a utilizar</w:t>
      </w:r>
      <w:r w:rsidR="00A20A1B" w:rsidRPr="00D936CA">
        <w:rPr>
          <w:rFonts w:ascii="ITC Avant Garde" w:hAnsi="ITC Avant Garde"/>
          <w:sz w:val="22"/>
          <w:szCs w:val="22"/>
        </w:rPr>
        <w:t>, así como la certificación del fabricante de la compatibilidad de la ONT</w:t>
      </w:r>
      <w:r w:rsidR="00394A75" w:rsidRPr="00D936CA">
        <w:rPr>
          <w:rFonts w:ascii="ITC Avant Garde" w:hAnsi="ITC Avant Garde"/>
          <w:sz w:val="22"/>
          <w:szCs w:val="22"/>
        </w:rPr>
        <w:t>.</w:t>
      </w:r>
    </w:p>
    <w:p w14:paraId="33CFEB50" w14:textId="35FBA9E6" w:rsidR="00772E32" w:rsidRPr="00D936CA" w:rsidRDefault="00772E32"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Cualquier escenario que implique la entrega de algún equipo por parte de Telmex al usuario en virtud de una solicitud del CS, adicionará </w:t>
      </w:r>
      <w:r w:rsidR="00761734" w:rsidRPr="00D936CA">
        <w:rPr>
          <w:rFonts w:ascii="ITC Avant Garde" w:hAnsi="ITC Avant Garde"/>
          <w:sz w:val="22"/>
          <w:szCs w:val="22"/>
        </w:rPr>
        <w:t>dos</w:t>
      </w:r>
      <w:r w:rsidRPr="00D936CA">
        <w:rPr>
          <w:rFonts w:ascii="ITC Avant Garde" w:hAnsi="ITC Avant Garde"/>
          <w:sz w:val="22"/>
          <w:szCs w:val="22"/>
        </w:rPr>
        <w:t xml:space="preserve"> días hábiles al plazo de habilitación del servicio por las implicaciones logísticas adicionales.</w:t>
      </w:r>
    </w:p>
    <w:p w14:paraId="33CFEB54" w14:textId="355A04E7" w:rsidR="00972D5E" w:rsidRPr="00D936CA" w:rsidRDefault="00211474" w:rsidP="00060B2E">
      <w:pPr>
        <w:pStyle w:val="IFTnormal"/>
        <w:ind w:left="-567" w:right="-142"/>
      </w:pPr>
      <w:r w:rsidRPr="00D936CA">
        <w:t>En resumen</w:t>
      </w:r>
      <w:r w:rsidR="00D32A78">
        <w:t>,</w:t>
      </w:r>
      <w:r w:rsidRPr="00D936CA">
        <w:t xml:space="preserve"> los escenarios para la entrega o instalación del módem u ONT para el servicio de SAIB son los siguientes</w:t>
      </w:r>
      <w:r w:rsidR="00B20DE0" w:rsidRPr="00D936CA">
        <w:t>.</w:t>
      </w:r>
    </w:p>
    <w:tbl>
      <w:tblPr>
        <w:tblStyle w:val="Tabladecuadrcula4-nfasis110"/>
        <w:tblW w:w="9209" w:type="dxa"/>
        <w:tblInd w:w="113" w:type="dxa"/>
        <w:tblLook w:val="04A0" w:firstRow="1" w:lastRow="0" w:firstColumn="1" w:lastColumn="0" w:noHBand="0" w:noVBand="1"/>
      </w:tblPr>
      <w:tblGrid>
        <w:gridCol w:w="1140"/>
        <w:gridCol w:w="2199"/>
        <w:gridCol w:w="5870"/>
      </w:tblGrid>
      <w:tr w:rsidR="00D936CA" w:rsidRPr="00D936CA" w14:paraId="33CFEB58" w14:textId="77777777" w:rsidTr="008D3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33CFEB55" w14:textId="77777777" w:rsidR="008D35F3" w:rsidRPr="00D936CA" w:rsidRDefault="008D35F3" w:rsidP="00D936CA">
            <w:pPr>
              <w:pStyle w:val="IFTnormal"/>
            </w:pPr>
            <w:r w:rsidRPr="00D936CA">
              <w:t>Usuario</w:t>
            </w:r>
          </w:p>
        </w:tc>
        <w:tc>
          <w:tcPr>
            <w:tcW w:w="2199" w:type="dxa"/>
          </w:tcPr>
          <w:p w14:paraId="33CFEB56" w14:textId="77777777" w:rsidR="008D35F3" w:rsidRPr="00D936CA" w:rsidRDefault="008D35F3" w:rsidP="00D936CA">
            <w:pPr>
              <w:pStyle w:val="IFTnormal"/>
              <w:jc w:val="center"/>
              <w:cnfStyle w:val="100000000000" w:firstRow="1" w:lastRow="0" w:firstColumn="0" w:lastColumn="0" w:oddVBand="0" w:evenVBand="0" w:oddHBand="0" w:evenHBand="0" w:firstRowFirstColumn="0" w:firstRowLastColumn="0" w:lastRowFirstColumn="0" w:lastRowLastColumn="0"/>
            </w:pPr>
            <w:r w:rsidRPr="00D936CA">
              <w:t>Equipo Terminal</w:t>
            </w:r>
          </w:p>
        </w:tc>
        <w:tc>
          <w:tcPr>
            <w:tcW w:w="5870" w:type="dxa"/>
          </w:tcPr>
          <w:p w14:paraId="33CFEB57" w14:textId="77777777" w:rsidR="008D35F3" w:rsidRPr="00D936CA" w:rsidRDefault="008D35F3" w:rsidP="00D936CA">
            <w:pPr>
              <w:pStyle w:val="IFTnormal"/>
              <w:jc w:val="center"/>
              <w:cnfStyle w:val="100000000000" w:firstRow="1" w:lastRow="0" w:firstColumn="0" w:lastColumn="0" w:oddVBand="0" w:evenVBand="0" w:oddHBand="0" w:evenHBand="0" w:firstRowFirstColumn="0" w:firstRowLastColumn="0" w:lastRowFirstColumn="0" w:lastRowLastColumn="0"/>
            </w:pPr>
            <w:r w:rsidRPr="00D936CA">
              <w:t>Modalidad de entrega</w:t>
            </w:r>
          </w:p>
        </w:tc>
      </w:tr>
      <w:tr w:rsidR="00D936CA" w:rsidRPr="00D936CA" w14:paraId="33CFEB6C" w14:textId="77777777" w:rsidTr="008D3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Pr>
          <w:p w14:paraId="33CFEB6B" w14:textId="77777777" w:rsidR="008D35F3" w:rsidRPr="00D936CA" w:rsidRDefault="008D35F3" w:rsidP="00D936CA">
            <w:pPr>
              <w:pStyle w:val="IFTnormal"/>
              <w:jc w:val="center"/>
            </w:pPr>
            <w:r w:rsidRPr="00D936CA">
              <w:t>Equipo Blanco de Telmex (Módem / ONT)</w:t>
            </w:r>
          </w:p>
        </w:tc>
      </w:tr>
      <w:tr w:rsidR="00D936CA" w:rsidRPr="00D936CA" w14:paraId="33CFEB78" w14:textId="77777777" w:rsidTr="008D35F3">
        <w:tc>
          <w:tcPr>
            <w:cnfStyle w:val="001000000000" w:firstRow="0" w:lastRow="0" w:firstColumn="1" w:lastColumn="0" w:oddVBand="0" w:evenVBand="0" w:oddHBand="0" w:evenHBand="0" w:firstRowFirstColumn="0" w:firstRowLastColumn="0" w:lastRowFirstColumn="0" w:lastRowLastColumn="0"/>
            <w:tcW w:w="1140" w:type="dxa"/>
          </w:tcPr>
          <w:p w14:paraId="33CFEB75" w14:textId="0326DF5D" w:rsidR="008D35F3" w:rsidRPr="00D936CA" w:rsidRDefault="00A20A1B" w:rsidP="00D936CA">
            <w:pPr>
              <w:pStyle w:val="IFTnormal"/>
              <w:jc w:val="center"/>
            </w:pPr>
            <w:r w:rsidRPr="00D936CA">
              <w:t xml:space="preserve">Existente o </w:t>
            </w:r>
            <w:r w:rsidR="008D35F3" w:rsidRPr="00D936CA">
              <w:t>Nuevo</w:t>
            </w:r>
          </w:p>
        </w:tc>
        <w:tc>
          <w:tcPr>
            <w:tcW w:w="2199" w:type="dxa"/>
          </w:tcPr>
          <w:p w14:paraId="33CFEB76" w14:textId="77777777" w:rsidR="008D35F3" w:rsidRPr="00D936CA" w:rsidRDefault="008D35F3" w:rsidP="00D936CA">
            <w:pPr>
              <w:pStyle w:val="IFTnormal"/>
              <w:jc w:val="center"/>
              <w:cnfStyle w:val="000000000000" w:firstRow="0" w:lastRow="0" w:firstColumn="0" w:lastColumn="0" w:oddVBand="0" w:evenVBand="0" w:oddHBand="0" w:evenHBand="0" w:firstRowFirstColumn="0" w:firstRowLastColumn="0" w:lastRowFirstColumn="0" w:lastRowLastColumn="0"/>
            </w:pPr>
            <w:r w:rsidRPr="00D936CA">
              <w:t>Módem Blanco</w:t>
            </w:r>
          </w:p>
        </w:tc>
        <w:tc>
          <w:tcPr>
            <w:tcW w:w="5870" w:type="dxa"/>
          </w:tcPr>
          <w:p w14:paraId="33CFEB77" w14:textId="0F8622B1" w:rsidR="008D35F3" w:rsidRPr="00D936CA" w:rsidRDefault="008D35F3" w:rsidP="00D936CA">
            <w:pPr>
              <w:pStyle w:val="IFTnormal"/>
              <w:jc w:val="center"/>
              <w:cnfStyle w:val="000000000000" w:firstRow="0" w:lastRow="0" w:firstColumn="0" w:lastColumn="0" w:oddVBand="0" w:evenVBand="0" w:oddHBand="0" w:evenHBand="0" w:firstRowFirstColumn="0" w:firstRowLastColumn="0" w:lastRowFirstColumn="0" w:lastRowLastColumn="0"/>
            </w:pPr>
            <w:r w:rsidRPr="00D936CA">
              <w:t xml:space="preserve">Mensajería / </w:t>
            </w:r>
            <w:r w:rsidR="006C4FEB">
              <w:t>/ Técnico (sólo servicios Nuevos)</w:t>
            </w:r>
          </w:p>
        </w:tc>
      </w:tr>
      <w:tr w:rsidR="00D936CA" w:rsidRPr="00D936CA" w14:paraId="33CFEB7C" w14:textId="77777777" w:rsidTr="008D3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33CFEB79" w14:textId="1CABA4FB" w:rsidR="008D35F3" w:rsidRPr="00D936CA" w:rsidRDefault="00A20A1B" w:rsidP="00D936CA">
            <w:pPr>
              <w:pStyle w:val="IFTnormal"/>
              <w:jc w:val="center"/>
            </w:pPr>
            <w:r w:rsidRPr="00D936CA">
              <w:lastRenderedPageBreak/>
              <w:t xml:space="preserve">Existente o </w:t>
            </w:r>
            <w:r w:rsidR="008D35F3" w:rsidRPr="00D936CA">
              <w:t>Nuevo</w:t>
            </w:r>
          </w:p>
        </w:tc>
        <w:tc>
          <w:tcPr>
            <w:tcW w:w="2199" w:type="dxa"/>
          </w:tcPr>
          <w:p w14:paraId="33CFEB7A" w14:textId="77777777" w:rsidR="008D35F3" w:rsidRPr="00D936CA" w:rsidRDefault="008D35F3" w:rsidP="00D936CA">
            <w:pPr>
              <w:pStyle w:val="IFTnormal"/>
              <w:jc w:val="center"/>
              <w:cnfStyle w:val="000000100000" w:firstRow="0" w:lastRow="0" w:firstColumn="0" w:lastColumn="0" w:oddVBand="0" w:evenVBand="0" w:oddHBand="1" w:evenHBand="0" w:firstRowFirstColumn="0" w:firstRowLastColumn="0" w:lastRowFirstColumn="0" w:lastRowLastColumn="0"/>
            </w:pPr>
            <w:r w:rsidRPr="00D936CA">
              <w:t>ONT Blanco</w:t>
            </w:r>
          </w:p>
        </w:tc>
        <w:tc>
          <w:tcPr>
            <w:tcW w:w="5870" w:type="dxa"/>
          </w:tcPr>
          <w:p w14:paraId="33CFEB7B" w14:textId="4294DEA2" w:rsidR="008D35F3" w:rsidRPr="00D936CA" w:rsidRDefault="008D35F3" w:rsidP="00D936CA">
            <w:pPr>
              <w:pStyle w:val="IFTnormal"/>
              <w:jc w:val="center"/>
              <w:cnfStyle w:val="000000100000" w:firstRow="0" w:lastRow="0" w:firstColumn="0" w:lastColumn="0" w:oddVBand="0" w:evenVBand="0" w:oddHBand="1" w:evenHBand="0" w:firstRowFirstColumn="0" w:firstRowLastColumn="0" w:lastRowFirstColumn="0" w:lastRowLastColumn="0"/>
            </w:pPr>
            <w:r w:rsidRPr="00D936CA">
              <w:t>Telmex entrega el ONT al usuario final.</w:t>
            </w:r>
          </w:p>
        </w:tc>
      </w:tr>
      <w:tr w:rsidR="00D936CA" w:rsidRPr="00D936CA" w14:paraId="33CFEB7E" w14:textId="77777777" w:rsidTr="008D35F3">
        <w:tc>
          <w:tcPr>
            <w:cnfStyle w:val="001000000000" w:firstRow="0" w:lastRow="0" w:firstColumn="1" w:lastColumn="0" w:oddVBand="0" w:evenVBand="0" w:oddHBand="0" w:evenHBand="0" w:firstRowFirstColumn="0" w:firstRowLastColumn="0" w:lastRowFirstColumn="0" w:lastRowLastColumn="0"/>
            <w:tcW w:w="9209" w:type="dxa"/>
            <w:gridSpan w:val="3"/>
          </w:tcPr>
          <w:p w14:paraId="33CFEB7D" w14:textId="77777777" w:rsidR="008D35F3" w:rsidRPr="00D936CA" w:rsidRDefault="008D35F3" w:rsidP="00D936CA">
            <w:pPr>
              <w:pStyle w:val="IFTnormal"/>
              <w:jc w:val="center"/>
            </w:pPr>
            <w:r w:rsidRPr="00D936CA">
              <w:t>Equipo de Proveedor Alterno (Módem / ONT)</w:t>
            </w:r>
          </w:p>
        </w:tc>
      </w:tr>
      <w:tr w:rsidR="00D936CA" w:rsidRPr="00D936CA" w14:paraId="33CFEB82" w14:textId="77777777" w:rsidTr="008D3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33CFEB7F" w14:textId="0EAAC3B6" w:rsidR="008D35F3" w:rsidRPr="00D936CA" w:rsidRDefault="008D35F3" w:rsidP="00D936CA">
            <w:pPr>
              <w:pStyle w:val="IFTnormal"/>
              <w:jc w:val="center"/>
            </w:pPr>
            <w:r w:rsidRPr="00D936CA">
              <w:t>Existente</w:t>
            </w:r>
            <w:r w:rsidR="00A20A1B" w:rsidRPr="00D936CA">
              <w:t xml:space="preserve"> o Nuevo</w:t>
            </w:r>
          </w:p>
        </w:tc>
        <w:tc>
          <w:tcPr>
            <w:tcW w:w="2199" w:type="dxa"/>
          </w:tcPr>
          <w:p w14:paraId="33CFEB80" w14:textId="77777777" w:rsidR="008D35F3" w:rsidRPr="00D936CA" w:rsidRDefault="008D35F3" w:rsidP="00D936CA">
            <w:pPr>
              <w:pStyle w:val="IFTnormal"/>
              <w:jc w:val="center"/>
              <w:cnfStyle w:val="000000100000" w:firstRow="0" w:lastRow="0" w:firstColumn="0" w:lastColumn="0" w:oddVBand="0" w:evenVBand="0" w:oddHBand="1" w:evenHBand="0" w:firstRowFirstColumn="0" w:firstRowLastColumn="0" w:lastRowFirstColumn="0" w:lastRowLastColumn="0"/>
            </w:pPr>
            <w:r w:rsidRPr="00D936CA">
              <w:t>Módem Proveedor Alterno</w:t>
            </w:r>
          </w:p>
        </w:tc>
        <w:tc>
          <w:tcPr>
            <w:tcW w:w="5870" w:type="dxa"/>
          </w:tcPr>
          <w:p w14:paraId="33CFEB81" w14:textId="642DB9CD" w:rsidR="008D35F3" w:rsidRPr="00D936CA" w:rsidRDefault="008D35F3" w:rsidP="00D936CA">
            <w:pPr>
              <w:pStyle w:val="IFTnormal"/>
              <w:jc w:val="center"/>
              <w:cnfStyle w:val="000000100000" w:firstRow="0" w:lastRow="0" w:firstColumn="0" w:lastColumn="0" w:oddVBand="0" w:evenVBand="0" w:oddHBand="1" w:evenHBand="0" w:firstRowFirstColumn="0" w:firstRowLastColumn="0" w:lastRowFirstColumn="0" w:lastRowLastColumn="0"/>
            </w:pPr>
            <w:r w:rsidRPr="00D936CA">
              <w:t xml:space="preserve">CS entrega e instala el </w:t>
            </w:r>
            <w:r w:rsidR="004B1573" w:rsidRPr="00D936CA">
              <w:t>m</w:t>
            </w:r>
            <w:r w:rsidRPr="00D936CA">
              <w:t>ódem al usuario final.</w:t>
            </w:r>
          </w:p>
        </w:tc>
      </w:tr>
      <w:tr w:rsidR="00D936CA" w:rsidRPr="00D936CA" w14:paraId="33CFEB88" w14:textId="77777777" w:rsidTr="008D35F3">
        <w:tc>
          <w:tcPr>
            <w:cnfStyle w:val="001000000000" w:firstRow="0" w:lastRow="0" w:firstColumn="1" w:lastColumn="0" w:oddVBand="0" w:evenVBand="0" w:oddHBand="0" w:evenHBand="0" w:firstRowFirstColumn="0" w:firstRowLastColumn="0" w:lastRowFirstColumn="0" w:lastRowLastColumn="0"/>
            <w:tcW w:w="1140" w:type="dxa"/>
          </w:tcPr>
          <w:p w14:paraId="33CFEB83" w14:textId="16D077F9" w:rsidR="008D35F3" w:rsidRPr="00D936CA" w:rsidRDefault="008D35F3" w:rsidP="00D936CA">
            <w:pPr>
              <w:pStyle w:val="IFTnormal"/>
              <w:jc w:val="center"/>
            </w:pPr>
            <w:r w:rsidRPr="00D936CA">
              <w:t>Existente</w:t>
            </w:r>
            <w:r w:rsidR="00A20A1B" w:rsidRPr="00D936CA">
              <w:t xml:space="preserve"> o Nuevo</w:t>
            </w:r>
          </w:p>
        </w:tc>
        <w:tc>
          <w:tcPr>
            <w:tcW w:w="2199" w:type="dxa"/>
          </w:tcPr>
          <w:p w14:paraId="33CFEB84" w14:textId="77777777" w:rsidR="008D35F3" w:rsidRPr="00D936CA" w:rsidRDefault="008D35F3" w:rsidP="00D936CA">
            <w:pPr>
              <w:pStyle w:val="IFTnormal"/>
              <w:jc w:val="center"/>
              <w:cnfStyle w:val="000000000000" w:firstRow="0" w:lastRow="0" w:firstColumn="0" w:lastColumn="0" w:oddVBand="0" w:evenVBand="0" w:oddHBand="0" w:evenHBand="0" w:firstRowFirstColumn="0" w:firstRowLastColumn="0" w:lastRowFirstColumn="0" w:lastRowLastColumn="0"/>
            </w:pPr>
            <w:r w:rsidRPr="00D936CA">
              <w:t>ONT         Proveedor Alterno</w:t>
            </w:r>
          </w:p>
        </w:tc>
        <w:tc>
          <w:tcPr>
            <w:tcW w:w="5870" w:type="dxa"/>
          </w:tcPr>
          <w:p w14:paraId="33CFEB85" w14:textId="77777777" w:rsidR="008D35F3" w:rsidRPr="00D936CA" w:rsidRDefault="008D35F3" w:rsidP="00D936CA">
            <w:pPr>
              <w:pStyle w:val="IFTnormal"/>
              <w:jc w:val="center"/>
              <w:cnfStyle w:val="000000000000" w:firstRow="0" w:lastRow="0" w:firstColumn="0" w:lastColumn="0" w:oddVBand="0" w:evenVBand="0" w:oddHBand="0" w:evenHBand="0" w:firstRowFirstColumn="0" w:firstRowLastColumn="0" w:lastRowFirstColumn="0" w:lastRowLastColumn="0"/>
            </w:pPr>
            <w:r w:rsidRPr="00D936CA">
              <w:t>Coordinación de instalación al usuario final:</w:t>
            </w:r>
          </w:p>
          <w:p w14:paraId="33CFEB87" w14:textId="653615A7" w:rsidR="008D35F3" w:rsidRPr="00D936CA" w:rsidRDefault="008D35F3" w:rsidP="00D936CA">
            <w:pPr>
              <w:pStyle w:val="IFTnormal"/>
              <w:jc w:val="center"/>
              <w:cnfStyle w:val="000000000000" w:firstRow="0" w:lastRow="0" w:firstColumn="0" w:lastColumn="0" w:oddVBand="0" w:evenVBand="0" w:oddHBand="0" w:evenHBand="0" w:firstRowFirstColumn="0" w:firstRowLastColumn="0" w:lastRowFirstColumn="0" w:lastRowLastColumn="0"/>
            </w:pPr>
          </w:p>
        </w:tc>
      </w:tr>
    </w:tbl>
    <w:p w14:paraId="3DACEB8B" w14:textId="77777777" w:rsidR="004D613F" w:rsidRPr="00D936CA" w:rsidRDefault="004D613F" w:rsidP="00D936CA">
      <w:pPr>
        <w:pStyle w:val="IFTnormal"/>
      </w:pPr>
    </w:p>
    <w:p w14:paraId="33CFEB94" w14:textId="045E388E" w:rsidR="00394A75" w:rsidRPr="00D936CA" w:rsidRDefault="00394A75" w:rsidP="00060B2E">
      <w:pPr>
        <w:pStyle w:val="IFTnormal"/>
        <w:ind w:left="-567" w:right="-142"/>
      </w:pPr>
      <w:r w:rsidRPr="00D936CA">
        <w:t>Para el caso de fallas atribuibles a los módem</w:t>
      </w:r>
      <w:r w:rsidR="00B3282B">
        <w:t>s</w:t>
      </w:r>
      <w:r w:rsidRPr="00D936CA">
        <w:t xml:space="preserve"> u ONT</w:t>
      </w:r>
      <w:r w:rsidR="00D17FCC" w:rsidRPr="00D936CA">
        <w:t>´s</w:t>
      </w:r>
      <w:r w:rsidR="00F43C84" w:rsidRPr="00D936CA">
        <w:t xml:space="preserve"> blancos</w:t>
      </w:r>
      <w:r w:rsidRPr="00D936CA">
        <w:t xml:space="preserve">, y derivado de que la propiedad de los mismos será del CS, Telmex otorgará un periodo de garantía de </w:t>
      </w:r>
      <w:r w:rsidR="00761734" w:rsidRPr="00D936CA">
        <w:t>un</w:t>
      </w:r>
      <w:r w:rsidRPr="00D936CA">
        <w:t xml:space="preserve"> año</w:t>
      </w:r>
      <w:r w:rsidR="00761734" w:rsidRPr="00D936CA">
        <w:t>.</w:t>
      </w:r>
      <w:r w:rsidR="003E452D" w:rsidRPr="00D936CA">
        <w:t xml:space="preserve"> </w:t>
      </w:r>
      <w:r w:rsidR="00761734" w:rsidRPr="00EF20FC">
        <w:t>E</w:t>
      </w:r>
      <w:r w:rsidR="003E452D" w:rsidRPr="00EF20FC">
        <w:t xml:space="preserve">n caso de ser necesario el reemplazo del equipo el CS podrá elegir si la entrega será </w:t>
      </w:r>
      <w:r w:rsidR="003E452D" w:rsidRPr="00AD648E">
        <w:t>vía mensajería</w:t>
      </w:r>
      <w:r w:rsidRPr="00AD648E">
        <w:t>.</w:t>
      </w:r>
    </w:p>
    <w:p w14:paraId="054E921F" w14:textId="77777777" w:rsidR="0076326A" w:rsidRDefault="00556314" w:rsidP="00060B2E">
      <w:pPr>
        <w:pStyle w:val="IFTnormal"/>
        <w:ind w:left="-567" w:right="-142"/>
      </w:pPr>
      <w:r w:rsidRPr="00D936CA">
        <w:t xml:space="preserve">Asimismo, el CS o en su caso un grupo de éstos podrá comprar los módems y las ONTs </w:t>
      </w:r>
      <w:r w:rsidR="00761734" w:rsidRPr="00D936CA">
        <w:t>blancos</w:t>
      </w:r>
      <w:r w:rsidRPr="00D936CA">
        <w:t xml:space="preserve"> a Telmex, de conformidad con lo establecido en el Anexo A</w:t>
      </w:r>
      <w:r w:rsidR="003A29EB" w:rsidRPr="00D936CA">
        <w:rPr>
          <w:rStyle w:val="Refdenotaalpie"/>
          <w:lang w:val="es-ES"/>
        </w:rPr>
        <w:footnoteReference w:id="26"/>
      </w:r>
      <w:r w:rsidR="003A29EB" w:rsidRPr="00D936CA">
        <w:t xml:space="preserve">. El CS deberá considerar que los </w:t>
      </w:r>
      <w:r w:rsidR="00BB7620" w:rsidRPr="00D936CA">
        <w:t>m</w:t>
      </w:r>
      <w:r w:rsidR="003A29EB" w:rsidRPr="00D936CA">
        <w:t>ódem</w:t>
      </w:r>
      <w:r w:rsidR="008F7E43" w:rsidRPr="00D936CA">
        <w:t>s</w:t>
      </w:r>
      <w:r w:rsidR="003A29EB" w:rsidRPr="00D936CA">
        <w:t xml:space="preserve"> y las ONTs serán provistos en un plazo m</w:t>
      </w:r>
      <w:r w:rsidR="00B20DE0" w:rsidRPr="00D936CA">
        <w:t>áximo</w:t>
      </w:r>
      <w:r w:rsidR="003A29EB" w:rsidRPr="00D936CA">
        <w:t xml:space="preserve"> de cuatro meses posterior a la solicitud de compra. El CS deberá indicar en la solicitud los puntos de distribución donde recogerá o recibirá los </w:t>
      </w:r>
      <w:r w:rsidR="008F7E43" w:rsidRPr="00D936CA">
        <w:t>equipos</w:t>
      </w:r>
      <w:r w:rsidR="003A29EB" w:rsidRPr="00D936CA">
        <w:t xml:space="preserve"> para que el CS defina su propia logística de mensajería o entrega a sus usuarios. Para este tipo de entrega se acordará con el CS el intercambio de módems correspondientes a la garantía</w:t>
      </w:r>
      <w:r w:rsidR="00EF7DD3" w:rsidRPr="00EF7DD3">
        <w:t xml:space="preserve"> </w:t>
      </w:r>
      <w:r w:rsidR="00550B87">
        <w:t>En caso de no solicitar por lotes</w:t>
      </w:r>
      <w:r w:rsidR="00D72CC9">
        <w:t>,</w:t>
      </w:r>
      <w:r w:rsidR="00550B87">
        <w:t xml:space="preserve"> la</w:t>
      </w:r>
      <w:r w:rsidR="00EF7DD3" w:rsidRPr="00EF7DD3">
        <w:t xml:space="preserve"> cantidad de </w:t>
      </w:r>
      <w:r w:rsidR="00550B87">
        <w:t>módems/</w:t>
      </w:r>
      <w:r w:rsidR="00EF7DD3" w:rsidRPr="00EF7DD3">
        <w:t xml:space="preserve">ONT’s en esta modalidad </w:t>
      </w:r>
      <w:r w:rsidR="00550B87">
        <w:t xml:space="preserve">de blancos </w:t>
      </w:r>
      <w:r w:rsidR="00EF7DD3" w:rsidRPr="00EF7DD3">
        <w:t>se asegura siempre y cuando los C</w:t>
      </w:r>
      <w:r w:rsidR="00550B87">
        <w:t>S</w:t>
      </w:r>
      <w:r w:rsidR="00EF7DD3" w:rsidRPr="00EF7DD3">
        <w:t xml:space="preserve"> hayan entregado el pronóstico de compra de dich</w:t>
      </w:r>
      <w:r w:rsidR="00550B87">
        <w:t>o</w:t>
      </w:r>
      <w:r w:rsidR="00EF7DD3" w:rsidRPr="00EF7DD3">
        <w:t xml:space="preserve">s </w:t>
      </w:r>
      <w:r w:rsidR="00550B87">
        <w:t>módems/</w:t>
      </w:r>
      <w:r w:rsidR="00EF7DD3" w:rsidRPr="00EF7DD3">
        <w:t>ONT</w:t>
      </w:r>
      <w:r w:rsidR="00550B87">
        <w:t>s</w:t>
      </w:r>
      <w:r w:rsidR="00EF7DD3" w:rsidRPr="00EF7DD3">
        <w:t>, en caso contrario, la cantidad est</w:t>
      </w:r>
      <w:r w:rsidR="00550B87">
        <w:t>ará</w:t>
      </w:r>
      <w:r w:rsidR="00EF7DD3" w:rsidRPr="00EF7DD3">
        <w:t xml:space="preserve"> sujeta a las existencias en ese momento.</w:t>
      </w:r>
      <w:r w:rsidR="00D57DBB">
        <w:t xml:space="preserve"> </w:t>
      </w:r>
    </w:p>
    <w:p w14:paraId="33CFEB98" w14:textId="1269F0FB" w:rsidR="00F93051" w:rsidRDefault="00394A75" w:rsidP="00060B2E">
      <w:pPr>
        <w:pStyle w:val="IFTnormal"/>
        <w:ind w:left="-567" w:right="-142"/>
      </w:pPr>
      <w:r w:rsidRPr="00D936CA">
        <w:t xml:space="preserve">En el momento que sea necesario actualizar o modernizar los elementos de red con que opera actualmente Telmex, se obliga a notificar a los CS </w:t>
      </w:r>
      <w:r w:rsidR="0047419F" w:rsidRPr="00D936CA">
        <w:t xml:space="preserve">a través del SEG </w:t>
      </w:r>
      <w:r w:rsidRPr="00D936CA">
        <w:t xml:space="preserve">con </w:t>
      </w:r>
      <w:r w:rsidR="00B20DE0" w:rsidRPr="00D936CA">
        <w:t>seis</w:t>
      </w:r>
      <w:r w:rsidR="00AB6ADD" w:rsidRPr="00D936CA">
        <w:t xml:space="preserve"> </w:t>
      </w:r>
      <w:r w:rsidRPr="00D936CA">
        <w:t xml:space="preserve">meses de antelación en el caso de nueva tecnología o funcionalidades. </w:t>
      </w:r>
      <w:r w:rsidR="0047419F" w:rsidRPr="00D936CA">
        <w:t xml:space="preserve">Por los mismos medios </w:t>
      </w:r>
      <w:r w:rsidR="00010505" w:rsidRPr="00D936CA">
        <w:t xml:space="preserve">Telmex notificará </w:t>
      </w:r>
      <w:r w:rsidR="00371341" w:rsidRPr="00D936CA">
        <w:t xml:space="preserve">de actualizaciones de software </w:t>
      </w:r>
      <w:r w:rsidR="00010505" w:rsidRPr="00D936CA">
        <w:t>de equipos terminales (módems /ONTs) que impacten en la provisión del servicio con 30 días naturales de antelación.</w:t>
      </w:r>
      <w:r w:rsidR="003B7B41" w:rsidRPr="00D936CA">
        <w:t xml:space="preserve"> En ambos casos </w:t>
      </w:r>
      <w:r w:rsidR="008F7E43" w:rsidRPr="00D936CA">
        <w:t>este plazo contabilizará</w:t>
      </w:r>
      <w:r w:rsidR="003B7B41" w:rsidRPr="00D936CA">
        <w:t xml:space="preserve"> respecto de la fecha de inicio de la comercialización por Telmex de servicios o terminales afectados por los cambios antes citados.</w:t>
      </w:r>
    </w:p>
    <w:p w14:paraId="33CFEB99" w14:textId="4E63D30C" w:rsidR="00394A75" w:rsidRPr="00D936CA" w:rsidRDefault="00371341" w:rsidP="00060B2E">
      <w:pPr>
        <w:pStyle w:val="IFTnormal"/>
        <w:ind w:left="-567" w:right="-142"/>
        <w:rPr>
          <w:b/>
        </w:rPr>
      </w:pPr>
      <w:r w:rsidRPr="00D936CA">
        <w:rPr>
          <w:b/>
        </w:rPr>
        <w:t xml:space="preserve">Servicio de Interoperabilidad del </w:t>
      </w:r>
      <w:r w:rsidR="004B1573" w:rsidRPr="00D936CA">
        <w:rPr>
          <w:b/>
        </w:rPr>
        <w:t>m</w:t>
      </w:r>
      <w:r w:rsidRPr="00D936CA">
        <w:rPr>
          <w:b/>
        </w:rPr>
        <w:t>ódem</w:t>
      </w:r>
    </w:p>
    <w:p w14:paraId="33CFEB9A" w14:textId="0B3B607F" w:rsidR="00661DE5" w:rsidRPr="00D936CA" w:rsidRDefault="00661DE5" w:rsidP="00060B2E">
      <w:pPr>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lastRenderedPageBreak/>
        <w:t>Telmex implementará un servicio de interoperabilidad de carácter opcional, a fin de validar la compatibilidad con los equipos de acceso DSLAM y TBA susceptibles de soportar el servicio de desagregación SAIB. A través de este servicio se realizan pruebas en un ambiente de laboratorio respecto al funcionamiento y conectividad DSL/</w:t>
      </w:r>
      <w:r w:rsidR="00280C7F" w:rsidRPr="00D936CA" w:rsidDel="00280C7F">
        <w:rPr>
          <w:rFonts w:ascii="ITC Avant Garde" w:hAnsi="ITC Avant Garde"/>
          <w:sz w:val="22"/>
          <w:szCs w:val="22"/>
          <w:lang w:val="es-ES"/>
        </w:rPr>
        <w:t xml:space="preserve"> </w:t>
      </w:r>
      <w:r w:rsidRPr="00D936CA">
        <w:rPr>
          <w:rFonts w:ascii="ITC Avant Garde" w:hAnsi="ITC Avant Garde"/>
          <w:sz w:val="22"/>
          <w:szCs w:val="22"/>
          <w:lang w:val="es-ES"/>
        </w:rPr>
        <w:t xml:space="preserve">FTTN-GPON y cualquier otro que Telmex tenga en operación donde se verificará que el </w:t>
      </w:r>
      <w:r w:rsidR="004B1573" w:rsidRPr="00D936CA">
        <w:rPr>
          <w:rFonts w:ascii="ITC Avant Garde" w:hAnsi="ITC Avant Garde"/>
          <w:sz w:val="22"/>
          <w:szCs w:val="22"/>
          <w:lang w:val="es-ES"/>
        </w:rPr>
        <w:t>m</w:t>
      </w:r>
      <w:r w:rsidRPr="00D936CA">
        <w:rPr>
          <w:rFonts w:ascii="ITC Avant Garde" w:hAnsi="ITC Avant Garde"/>
          <w:sz w:val="22"/>
          <w:szCs w:val="22"/>
          <w:lang w:val="es-ES"/>
        </w:rPr>
        <w:t>ódem/ONT bajo prueba sea interoperable con los equipos de la red de acceso de Telmex, para las tecnologías que Telmex tiene activas.</w:t>
      </w:r>
    </w:p>
    <w:p w14:paraId="33CFEB9B" w14:textId="1EA1B718" w:rsidR="00661DE5" w:rsidRPr="00D936CA" w:rsidRDefault="0076326A" w:rsidP="00060B2E">
      <w:pPr>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Las pruebas</w:t>
      </w:r>
      <w:r w:rsidR="00661DE5" w:rsidRPr="00D936CA">
        <w:rPr>
          <w:rFonts w:ascii="ITC Avant Garde" w:hAnsi="ITC Avant Garde"/>
          <w:sz w:val="22"/>
          <w:szCs w:val="22"/>
          <w:lang w:val="es-ES"/>
        </w:rPr>
        <w:t xml:space="preserve"> que serán realizadas y los parámetros que serán verificados durante la revisión de los equipos, serán suministradas a los CS por Telmex y estarán basados en las recomendaciones internacionales de UIT-T (serie G) que definen las tecnologías DSL y serán al menos: el reporte de atenuación (ATTN), </w:t>
      </w:r>
      <w:r w:rsidR="00B20DE0" w:rsidRPr="00D936CA">
        <w:rPr>
          <w:rFonts w:ascii="ITC Avant Garde" w:hAnsi="ITC Avant Garde"/>
          <w:sz w:val="22"/>
          <w:szCs w:val="22"/>
          <w:lang w:val="es-ES"/>
        </w:rPr>
        <w:t>m</w:t>
      </w:r>
      <w:r w:rsidR="00661DE5" w:rsidRPr="00D936CA">
        <w:rPr>
          <w:rFonts w:ascii="ITC Avant Garde" w:hAnsi="ITC Avant Garde"/>
          <w:sz w:val="22"/>
          <w:szCs w:val="22"/>
          <w:lang w:val="es-ES"/>
        </w:rPr>
        <w:t>argen señal a ruido (SNRM), máxima velocidad y tiempo de sincronía, con base a la distancia y el diseño de cada perfil de línea. Las pruebas se realizarán a cada modelo de módem de cada marca que sea ingresado para el servicio de interoperabilidad</w:t>
      </w:r>
      <w:r w:rsidR="00B20DE0" w:rsidRPr="00D936CA">
        <w:rPr>
          <w:rFonts w:ascii="ITC Avant Garde" w:hAnsi="ITC Avant Garde"/>
          <w:sz w:val="22"/>
          <w:szCs w:val="22"/>
          <w:lang w:val="es-ES"/>
        </w:rPr>
        <w:t>.</w:t>
      </w:r>
      <w:r w:rsidR="00661DE5" w:rsidRPr="00D936CA">
        <w:rPr>
          <w:rFonts w:ascii="ITC Avant Garde" w:hAnsi="ITC Avant Garde"/>
          <w:sz w:val="22"/>
          <w:szCs w:val="22"/>
          <w:lang w:val="es-ES"/>
        </w:rPr>
        <w:t xml:space="preserve"> Para evitar repetir las pruebas sobre el mismo equipo Telmex publicara en el </w:t>
      </w:r>
      <w:r w:rsidR="00221F24" w:rsidRPr="00D936CA">
        <w:rPr>
          <w:rFonts w:ascii="ITC Avant Garde" w:hAnsi="ITC Avant Garde"/>
          <w:sz w:val="22"/>
          <w:szCs w:val="22"/>
          <w:lang w:val="es-ES"/>
        </w:rPr>
        <w:t>SEG</w:t>
      </w:r>
      <w:r w:rsidR="00661DE5" w:rsidRPr="00D936CA">
        <w:rPr>
          <w:rFonts w:ascii="ITC Avant Garde" w:hAnsi="ITC Avant Garde"/>
          <w:sz w:val="22"/>
          <w:szCs w:val="22"/>
          <w:lang w:val="es-ES"/>
        </w:rPr>
        <w:t xml:space="preserve"> todos los modelos de equipos comprobados y el resultado de las pruebas realizadas.</w:t>
      </w:r>
    </w:p>
    <w:p w14:paraId="33CFEB9C" w14:textId="64F18E38" w:rsidR="00661DE5" w:rsidRPr="00D936CA" w:rsidRDefault="00661DE5" w:rsidP="00060B2E">
      <w:pPr>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 xml:space="preserve">Los </w:t>
      </w:r>
      <w:r w:rsidR="00BB7620" w:rsidRPr="00D936CA">
        <w:rPr>
          <w:rFonts w:ascii="ITC Avant Garde" w:hAnsi="ITC Avant Garde"/>
          <w:sz w:val="22"/>
          <w:szCs w:val="22"/>
          <w:lang w:val="es-ES"/>
        </w:rPr>
        <w:t>m</w:t>
      </w:r>
      <w:r w:rsidRPr="00D936CA">
        <w:rPr>
          <w:rFonts w:ascii="ITC Avant Garde" w:hAnsi="ITC Avant Garde"/>
          <w:sz w:val="22"/>
          <w:szCs w:val="22"/>
          <w:lang w:val="es-ES"/>
        </w:rPr>
        <w:t xml:space="preserve">ódems que el CS ingrese para el procedimiento de interoperabilidad deberán cumplir con las condiciones mínimas establecidas en la presente sección y el Anexo </w:t>
      </w:r>
      <w:r w:rsidR="00525A34" w:rsidRPr="00D936CA">
        <w:rPr>
          <w:rFonts w:ascii="ITC Avant Garde" w:hAnsi="ITC Avant Garde"/>
          <w:sz w:val="22"/>
          <w:szCs w:val="22"/>
          <w:lang w:val="es-ES"/>
        </w:rPr>
        <w:t>G2</w:t>
      </w:r>
      <w:r w:rsidRPr="00D936CA">
        <w:rPr>
          <w:rFonts w:ascii="ITC Avant Garde" w:hAnsi="ITC Avant Garde"/>
          <w:sz w:val="22"/>
          <w:szCs w:val="22"/>
          <w:lang w:val="es-ES"/>
        </w:rPr>
        <w:t xml:space="preserve">: </w:t>
      </w:r>
      <w:r w:rsidR="00525A34" w:rsidRPr="00D936CA">
        <w:rPr>
          <w:rFonts w:ascii="ITC Avant Garde" w:hAnsi="ITC Avant Garde"/>
          <w:sz w:val="22"/>
          <w:szCs w:val="22"/>
          <w:lang w:val="es-ES"/>
        </w:rPr>
        <w:t xml:space="preserve">“Requerimientos mínimos para la interoperabilidad de los Módems de los CS con la red de acceso xDSL de Telmex”. </w:t>
      </w:r>
      <w:r w:rsidR="004B62DC" w:rsidRPr="00D936CA">
        <w:rPr>
          <w:rFonts w:ascii="ITC Avant Garde" w:hAnsi="ITC Avant Garde"/>
          <w:sz w:val="22"/>
          <w:szCs w:val="22"/>
          <w:lang w:val="es-ES"/>
        </w:rPr>
        <w:t>Los requerimientos,</w:t>
      </w:r>
      <w:r w:rsidR="00525A34" w:rsidRPr="00D936CA">
        <w:rPr>
          <w:rFonts w:ascii="ITC Avant Garde" w:hAnsi="ITC Avant Garde"/>
          <w:sz w:val="22"/>
          <w:szCs w:val="22"/>
          <w:lang w:val="es-ES"/>
        </w:rPr>
        <w:t xml:space="preserve"> parámetros </w:t>
      </w:r>
      <w:r w:rsidR="004B62DC" w:rsidRPr="00D936CA">
        <w:rPr>
          <w:rFonts w:ascii="ITC Avant Garde" w:hAnsi="ITC Avant Garde"/>
          <w:sz w:val="22"/>
          <w:szCs w:val="22"/>
          <w:lang w:val="es-ES"/>
        </w:rPr>
        <w:t>e información necesaria para</w:t>
      </w:r>
      <w:r w:rsidR="00525A34" w:rsidRPr="00D936CA">
        <w:rPr>
          <w:rFonts w:ascii="ITC Avant Garde" w:hAnsi="ITC Avant Garde"/>
          <w:sz w:val="22"/>
          <w:szCs w:val="22"/>
          <w:lang w:val="es-ES"/>
        </w:rPr>
        <w:t xml:space="preserve"> las pruebas de interoperabilidad de los equipos ONTs</w:t>
      </w:r>
      <w:r w:rsidR="004B62DC" w:rsidRPr="00D936CA">
        <w:rPr>
          <w:rFonts w:ascii="ITC Avant Garde" w:hAnsi="ITC Avant Garde"/>
          <w:sz w:val="22"/>
          <w:szCs w:val="22"/>
          <w:lang w:val="es-ES"/>
        </w:rPr>
        <w:t>,</w:t>
      </w:r>
      <w:r w:rsidR="00525A34" w:rsidRPr="00D936CA">
        <w:rPr>
          <w:rFonts w:ascii="ITC Avant Garde" w:hAnsi="ITC Avant Garde"/>
          <w:sz w:val="22"/>
          <w:szCs w:val="22"/>
          <w:lang w:val="es-ES"/>
        </w:rPr>
        <w:t xml:space="preserve"> Telmex </w:t>
      </w:r>
      <w:r w:rsidR="004B62DC" w:rsidRPr="00D936CA">
        <w:rPr>
          <w:rFonts w:ascii="ITC Avant Garde" w:hAnsi="ITC Avant Garde"/>
          <w:sz w:val="22"/>
          <w:szCs w:val="22"/>
          <w:lang w:val="es-ES"/>
        </w:rPr>
        <w:t xml:space="preserve">los </w:t>
      </w:r>
      <w:r w:rsidR="00525A34" w:rsidRPr="00D936CA">
        <w:rPr>
          <w:rFonts w:ascii="ITC Avant Garde" w:hAnsi="ITC Avant Garde"/>
          <w:sz w:val="22"/>
          <w:szCs w:val="22"/>
          <w:lang w:val="es-ES"/>
        </w:rPr>
        <w:t>publicará en el SEG</w:t>
      </w:r>
      <w:r w:rsidR="004B62DC" w:rsidRPr="00D936CA">
        <w:rPr>
          <w:rFonts w:ascii="ITC Avant Garde" w:hAnsi="ITC Avant Garde"/>
          <w:sz w:val="22"/>
          <w:szCs w:val="22"/>
          <w:lang w:val="es-ES"/>
        </w:rPr>
        <w:t>.</w:t>
      </w:r>
    </w:p>
    <w:p w14:paraId="33CFEB9D" w14:textId="3BCB47A7" w:rsidR="00010505" w:rsidRPr="00D936CA" w:rsidRDefault="005757EC" w:rsidP="00D936CA">
      <w:pPr>
        <w:spacing w:after="200" w:line="276" w:lineRule="auto"/>
        <w:jc w:val="both"/>
        <w:rPr>
          <w:rFonts w:ascii="ITC Avant Garde" w:hAnsi="ITC Avant Garde"/>
          <w:sz w:val="22"/>
          <w:szCs w:val="22"/>
          <w:lang w:val="es-ES"/>
        </w:rPr>
      </w:pPr>
      <w:r w:rsidRPr="00793025">
        <w:rPr>
          <w:rFonts w:ascii="ITC Avant Garde" w:hAnsi="ITC Avant Garde"/>
          <w:noProof/>
          <w:sz w:val="22"/>
          <w:szCs w:val="22"/>
          <w:lang w:val="es-MX" w:eastAsia="es-MX"/>
        </w:rPr>
        <w:lastRenderedPageBreak/>
        <w:drawing>
          <wp:inline distT="0" distB="0" distL="0" distR="0" wp14:anchorId="33CFF2B5" wp14:editId="008892EF">
            <wp:extent cx="5611601" cy="7261860"/>
            <wp:effectExtent l="38100" t="19050" r="27199" b="15240"/>
            <wp:docPr id="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5612130" cy="7262544"/>
                    </a:xfrm>
                    <a:prstGeom prst="rect">
                      <a:avLst/>
                    </a:prstGeom>
                    <a:noFill/>
                    <a:ln w="9525">
                      <a:solidFill>
                        <a:schemeClr val="tx2">
                          <a:lumMod val="60000"/>
                          <a:lumOff val="40000"/>
                        </a:schemeClr>
                      </a:solidFill>
                      <a:miter lim="800000"/>
                      <a:headEnd/>
                      <a:tailEnd/>
                    </a:ln>
                  </pic:spPr>
                </pic:pic>
              </a:graphicData>
            </a:graphic>
          </wp:inline>
        </w:drawing>
      </w:r>
    </w:p>
    <w:p w14:paraId="33CFEB9E" w14:textId="77777777" w:rsidR="00B37BC6" w:rsidRPr="00D936CA" w:rsidRDefault="00B37BC6" w:rsidP="00060B2E">
      <w:pPr>
        <w:spacing w:after="200" w:line="276" w:lineRule="auto"/>
        <w:ind w:left="-567" w:right="-142"/>
        <w:jc w:val="both"/>
        <w:rPr>
          <w:rFonts w:ascii="ITC Avant Garde" w:hAnsi="ITC Avant Garde"/>
          <w:b/>
          <w:sz w:val="22"/>
          <w:szCs w:val="22"/>
          <w:lang w:val="es-MX"/>
        </w:rPr>
      </w:pPr>
    </w:p>
    <w:p w14:paraId="33CFEB9F" w14:textId="76BB33E3" w:rsidR="00394A75" w:rsidRPr="00D936CA" w:rsidRDefault="00394A75"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 xml:space="preserve">Procedimiento de interoperabilidad del </w:t>
      </w:r>
      <w:r w:rsidR="004B1573" w:rsidRPr="00D936CA">
        <w:rPr>
          <w:rFonts w:ascii="ITC Avant Garde" w:hAnsi="ITC Avant Garde"/>
          <w:b/>
          <w:sz w:val="22"/>
          <w:szCs w:val="22"/>
          <w:lang w:val="es-MX"/>
        </w:rPr>
        <w:t>m</w:t>
      </w:r>
      <w:r w:rsidRPr="00D936CA">
        <w:rPr>
          <w:rFonts w:ascii="ITC Avant Garde" w:hAnsi="ITC Avant Garde"/>
          <w:b/>
          <w:sz w:val="22"/>
          <w:szCs w:val="22"/>
          <w:lang w:val="es-MX"/>
        </w:rPr>
        <w:t>ódem</w:t>
      </w:r>
    </w:p>
    <w:p w14:paraId="33CFEBA0" w14:textId="21E9E6FE" w:rsidR="00B9658C" w:rsidRPr="00D936CA" w:rsidRDefault="00B9658C" w:rsidP="00060B2E">
      <w:pPr>
        <w:pStyle w:val="IFTnormal"/>
        <w:ind w:left="-567" w:right="-142"/>
      </w:pPr>
      <w:r w:rsidRPr="00D936CA">
        <w:lastRenderedPageBreak/>
        <w:t xml:space="preserve">En caso de que el CS así lo requiera </w:t>
      </w:r>
      <w:r w:rsidR="00793025">
        <w:t>aplica</w:t>
      </w:r>
      <w:r w:rsidRPr="00D936CA">
        <w:t>rá el siguiente procedimiento:</w:t>
      </w:r>
    </w:p>
    <w:p w14:paraId="33CFEBA1" w14:textId="4418CF22" w:rsidR="00394A75" w:rsidRPr="00D936CA" w:rsidRDefault="00394A75" w:rsidP="00D936CA">
      <w:pPr>
        <w:numPr>
          <w:ilvl w:val="0"/>
          <w:numId w:val="34"/>
        </w:numPr>
        <w:spacing w:after="200" w:line="276" w:lineRule="auto"/>
        <w:jc w:val="both"/>
        <w:rPr>
          <w:rFonts w:ascii="ITC Avant Garde" w:hAnsi="ITC Avant Garde"/>
          <w:sz w:val="22"/>
          <w:szCs w:val="22"/>
        </w:rPr>
      </w:pPr>
      <w:r w:rsidRPr="00793025">
        <w:rPr>
          <w:rFonts w:ascii="ITC Avant Garde" w:hAnsi="ITC Avant Garde"/>
          <w:sz w:val="22"/>
          <w:szCs w:val="22"/>
        </w:rPr>
        <w:t xml:space="preserve">El </w:t>
      </w:r>
      <w:r w:rsidR="00DE3AEB" w:rsidRPr="00793025">
        <w:rPr>
          <w:rFonts w:ascii="ITC Avant Garde" w:hAnsi="ITC Avant Garde"/>
          <w:sz w:val="22"/>
          <w:szCs w:val="22"/>
        </w:rPr>
        <w:t>CS</w:t>
      </w:r>
      <w:r w:rsidRPr="00793025">
        <w:rPr>
          <w:rFonts w:ascii="ITC Avant Garde" w:hAnsi="ITC Avant Garde"/>
          <w:sz w:val="22"/>
          <w:szCs w:val="22"/>
        </w:rPr>
        <w:t xml:space="preserve"> deberá presentar solicitud por tipo o modelo de </w:t>
      </w:r>
      <w:r w:rsidR="004B1573" w:rsidRPr="00793025">
        <w:rPr>
          <w:rFonts w:ascii="ITC Avant Garde" w:hAnsi="ITC Avant Garde"/>
          <w:sz w:val="22"/>
          <w:szCs w:val="22"/>
        </w:rPr>
        <w:t>m</w:t>
      </w:r>
      <w:r w:rsidRPr="00793025">
        <w:rPr>
          <w:rFonts w:ascii="ITC Avant Garde" w:hAnsi="ITC Avant Garde"/>
          <w:sz w:val="22"/>
          <w:szCs w:val="22"/>
        </w:rPr>
        <w:t>ódem</w:t>
      </w:r>
      <w:r w:rsidR="006D0438" w:rsidRPr="00793025">
        <w:rPr>
          <w:rFonts w:ascii="ITC Avant Garde" w:hAnsi="ITC Avant Garde"/>
          <w:sz w:val="22"/>
          <w:szCs w:val="22"/>
        </w:rPr>
        <w:t>/ONT</w:t>
      </w:r>
      <w:r w:rsidRPr="00793025">
        <w:rPr>
          <w:rFonts w:ascii="ITC Avant Garde" w:hAnsi="ITC Avant Garde"/>
          <w:sz w:val="22"/>
          <w:szCs w:val="22"/>
        </w:rPr>
        <w:t xml:space="preserve"> </w:t>
      </w:r>
      <w:r w:rsidRPr="00793025">
        <w:rPr>
          <w:rFonts w:ascii="ITC Avant Garde" w:hAnsi="ITC Avant Garde" w:cs="Arial"/>
          <w:sz w:val="22"/>
          <w:szCs w:val="22"/>
        </w:rPr>
        <w:t xml:space="preserve">a través del </w:t>
      </w:r>
      <w:r w:rsidRPr="00793025">
        <w:rPr>
          <w:rFonts w:ascii="ITC Avant Garde" w:hAnsi="ITC Avant Garde" w:cs="Arial"/>
          <w:sz w:val="22"/>
          <w:szCs w:val="22"/>
          <w:lang w:val="es-MX" w:eastAsia="es-MX"/>
        </w:rPr>
        <w:t>SEG</w:t>
      </w:r>
      <w:r w:rsidRPr="00D936CA">
        <w:rPr>
          <w:rFonts w:ascii="ITC Avant Garde" w:hAnsi="ITC Avant Garde" w:cs="Arial"/>
          <w:sz w:val="22"/>
          <w:szCs w:val="22"/>
          <w:lang w:val="es-MX" w:eastAsia="es-MX"/>
        </w:rPr>
        <w:t>.</w:t>
      </w:r>
    </w:p>
    <w:p w14:paraId="33CFEBA2" w14:textId="3516A6AF" w:rsidR="00394A75" w:rsidRPr="00D936CA" w:rsidRDefault="00394A75" w:rsidP="00D936CA">
      <w:pPr>
        <w:pStyle w:val="Prrafodelista"/>
        <w:numPr>
          <w:ilvl w:val="0"/>
          <w:numId w:val="34"/>
        </w:num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lang w:val="es-ES"/>
        </w:rPr>
        <w:t xml:space="preserve">La solicitud del CS será validada en un plazo máximo de </w:t>
      </w:r>
      <w:r w:rsidR="00B9658C" w:rsidRPr="00D936CA">
        <w:rPr>
          <w:rFonts w:ascii="ITC Avant Garde" w:hAnsi="ITC Avant Garde"/>
          <w:sz w:val="22"/>
          <w:szCs w:val="22"/>
          <w:lang w:val="es-ES"/>
        </w:rPr>
        <w:t>un</w:t>
      </w:r>
      <w:r w:rsidRPr="00D936CA">
        <w:rPr>
          <w:rFonts w:ascii="ITC Avant Garde" w:hAnsi="ITC Avant Garde"/>
          <w:sz w:val="22"/>
          <w:szCs w:val="22"/>
          <w:lang w:val="es-ES"/>
        </w:rPr>
        <w:t xml:space="preserve"> día hábil, se dará seguimiento a la solicitud con un folio hasta que se asigne un NIS</w:t>
      </w:r>
      <w:r w:rsidR="00BC0904" w:rsidRPr="00D936CA">
        <w:rPr>
          <w:rFonts w:ascii="ITC Avant Garde" w:hAnsi="ITC Avant Garde"/>
          <w:sz w:val="22"/>
          <w:szCs w:val="22"/>
          <w:lang w:val="es-ES"/>
        </w:rPr>
        <w:t>.</w:t>
      </w:r>
      <w:r w:rsidRPr="00D936CA">
        <w:rPr>
          <w:rFonts w:ascii="ITC Avant Garde" w:hAnsi="ITC Avant Garde"/>
          <w:sz w:val="22"/>
          <w:szCs w:val="22"/>
          <w:lang w:val="es-ES"/>
        </w:rPr>
        <w:t xml:space="preserve"> </w:t>
      </w:r>
      <w:r w:rsidR="00BC0904" w:rsidRPr="00D936CA">
        <w:rPr>
          <w:rFonts w:ascii="ITC Avant Garde" w:hAnsi="ITC Avant Garde"/>
          <w:sz w:val="22"/>
          <w:szCs w:val="22"/>
          <w:lang w:val="es-ES"/>
        </w:rPr>
        <w:t>S</w:t>
      </w:r>
      <w:r w:rsidRPr="00D936CA">
        <w:rPr>
          <w:rFonts w:ascii="ITC Avant Garde" w:hAnsi="ITC Avant Garde"/>
          <w:sz w:val="22"/>
          <w:szCs w:val="22"/>
          <w:lang w:val="es-ES"/>
        </w:rPr>
        <w:t>i la solicitud no cumple con la información correspondiente, será devuelta al CS y se reiniciará el procedimiento.</w:t>
      </w:r>
    </w:p>
    <w:p w14:paraId="33CFEBA3" w14:textId="5606FE63" w:rsidR="00394A75" w:rsidRPr="00D936CA" w:rsidRDefault="00394A75" w:rsidP="00D936CA">
      <w:pPr>
        <w:pStyle w:val="Prrafodelista"/>
        <w:numPr>
          <w:ilvl w:val="0"/>
          <w:numId w:val="34"/>
        </w:num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rPr>
        <w:t xml:space="preserve">Posterior a la validación de la solicitud, </w:t>
      </w:r>
      <w:r w:rsidR="00E27C15">
        <w:rPr>
          <w:rFonts w:ascii="ITC Avant Garde" w:hAnsi="ITC Avant Garde"/>
          <w:sz w:val="22"/>
          <w:szCs w:val="22"/>
        </w:rPr>
        <w:t xml:space="preserve">Telmex emitirá la cotización correspondiente a los CS, una vez aceptada, </w:t>
      </w:r>
      <w:r w:rsidRPr="00D936CA">
        <w:rPr>
          <w:rFonts w:ascii="ITC Avant Garde" w:hAnsi="ITC Avant Garde"/>
          <w:sz w:val="22"/>
          <w:szCs w:val="22"/>
        </w:rPr>
        <w:t xml:space="preserve">Telmex en un plazo no mayor a </w:t>
      </w:r>
      <w:r w:rsidR="00B9658C" w:rsidRPr="00D936CA">
        <w:rPr>
          <w:rFonts w:ascii="ITC Avant Garde" w:hAnsi="ITC Avant Garde"/>
          <w:sz w:val="22"/>
          <w:szCs w:val="22"/>
        </w:rPr>
        <w:t>tres</w:t>
      </w:r>
      <w:r w:rsidRPr="00D936CA">
        <w:rPr>
          <w:rFonts w:ascii="ITC Avant Garde" w:hAnsi="ITC Avant Garde"/>
          <w:sz w:val="22"/>
          <w:szCs w:val="22"/>
        </w:rPr>
        <w:t xml:space="preserve"> días hábiles notificará al CS </w:t>
      </w:r>
      <w:r w:rsidR="00371341" w:rsidRPr="00D936CA">
        <w:rPr>
          <w:rFonts w:ascii="ITC Avant Garde" w:hAnsi="ITC Avant Garde"/>
          <w:sz w:val="22"/>
          <w:szCs w:val="22"/>
        </w:rPr>
        <w:t>la fecha</w:t>
      </w:r>
      <w:r w:rsidRPr="00D936CA">
        <w:rPr>
          <w:rStyle w:val="Refdenotaalpie"/>
          <w:rFonts w:ascii="ITC Avant Garde" w:hAnsi="ITC Avant Garde"/>
          <w:sz w:val="22"/>
          <w:szCs w:val="22"/>
        </w:rPr>
        <w:footnoteReference w:id="27"/>
      </w:r>
      <w:r w:rsidR="00B9658C" w:rsidRPr="00D936CA">
        <w:rPr>
          <w:rFonts w:ascii="ITC Avant Garde" w:hAnsi="ITC Avant Garde"/>
          <w:sz w:val="22"/>
          <w:szCs w:val="22"/>
        </w:rPr>
        <w:t xml:space="preserve"> en la que </w:t>
      </w:r>
      <w:r w:rsidRPr="00D936CA">
        <w:rPr>
          <w:rFonts w:ascii="ITC Avant Garde" w:hAnsi="ITC Avant Garde"/>
          <w:sz w:val="22"/>
          <w:szCs w:val="22"/>
        </w:rPr>
        <w:t xml:space="preserve">podrá ingresar el </w:t>
      </w:r>
      <w:r w:rsidR="00E95213" w:rsidRPr="00D936CA">
        <w:rPr>
          <w:rFonts w:ascii="ITC Avant Garde" w:hAnsi="ITC Avant Garde"/>
          <w:sz w:val="22"/>
          <w:szCs w:val="22"/>
        </w:rPr>
        <w:t>módem/ONT</w:t>
      </w:r>
      <w:r w:rsidRPr="00D936CA">
        <w:rPr>
          <w:rFonts w:ascii="ITC Avant Garde" w:hAnsi="ITC Avant Garde"/>
          <w:sz w:val="22"/>
          <w:szCs w:val="22"/>
        </w:rPr>
        <w:t xml:space="preserve"> a Laboratorio Telmex para iniciar las pruebas.</w:t>
      </w:r>
      <w:r w:rsidR="00A06D94" w:rsidRPr="00D936CA">
        <w:rPr>
          <w:rFonts w:ascii="ITC Avant Garde" w:hAnsi="ITC Avant Garde"/>
          <w:sz w:val="22"/>
          <w:szCs w:val="22"/>
        </w:rPr>
        <w:t xml:space="preserve"> </w:t>
      </w:r>
      <w:r w:rsidRPr="00D936CA">
        <w:rPr>
          <w:rFonts w:ascii="ITC Avant Garde" w:hAnsi="ITC Avant Garde"/>
          <w:sz w:val="22"/>
          <w:szCs w:val="22"/>
          <w:lang w:val="es-MX"/>
        </w:rPr>
        <w:t xml:space="preserve">Una vez que se haya recibido el </w:t>
      </w:r>
      <w:r w:rsidR="00E95213" w:rsidRPr="00D936CA">
        <w:rPr>
          <w:rFonts w:ascii="ITC Avant Garde" w:hAnsi="ITC Avant Garde"/>
          <w:sz w:val="22"/>
          <w:szCs w:val="22"/>
          <w:lang w:val="es-MX"/>
        </w:rPr>
        <w:t>módem/ONT</w:t>
      </w:r>
      <w:r w:rsidRPr="00D936CA">
        <w:rPr>
          <w:rFonts w:ascii="ITC Avant Garde" w:hAnsi="ITC Avant Garde"/>
          <w:sz w:val="22"/>
          <w:szCs w:val="22"/>
          <w:lang w:val="es-MX"/>
        </w:rPr>
        <w:t xml:space="preserve">, </w:t>
      </w:r>
      <w:r w:rsidR="00407CA3" w:rsidRPr="00D936CA">
        <w:rPr>
          <w:rFonts w:ascii="ITC Avant Garde" w:hAnsi="ITC Avant Garde"/>
          <w:sz w:val="22"/>
          <w:szCs w:val="22"/>
          <w:lang w:val="es-MX"/>
        </w:rPr>
        <w:t xml:space="preserve">el </w:t>
      </w:r>
      <w:r w:rsidRPr="00D936CA">
        <w:rPr>
          <w:rFonts w:ascii="ITC Avant Garde" w:hAnsi="ITC Avant Garde"/>
          <w:sz w:val="22"/>
          <w:szCs w:val="22"/>
          <w:lang w:val="es-MX"/>
        </w:rPr>
        <w:t xml:space="preserve">Laboratorio llevará a cabo las pruebas de interoperabilidad, y en un plazo máximo de 20 días hábiles dará respuesta al CS </w:t>
      </w:r>
      <w:r w:rsidR="005D41C0" w:rsidRPr="00D936CA">
        <w:rPr>
          <w:rFonts w:ascii="ITC Avant Garde" w:hAnsi="ITC Avant Garde"/>
          <w:sz w:val="22"/>
          <w:szCs w:val="22"/>
          <w:lang w:val="es-MX"/>
        </w:rPr>
        <w:t>y facturará el servicio correspondi</w:t>
      </w:r>
      <w:r w:rsidR="00371341" w:rsidRPr="00D936CA">
        <w:rPr>
          <w:rFonts w:ascii="ITC Avant Garde" w:hAnsi="ITC Avant Garde"/>
          <w:sz w:val="22"/>
          <w:szCs w:val="22"/>
          <w:lang w:val="es-MX"/>
        </w:rPr>
        <w:t>ente, la respuesta será de acuerdo a lo siguiente:</w:t>
      </w:r>
    </w:p>
    <w:p w14:paraId="33CFEBA4" w14:textId="06CF1AA1" w:rsidR="00394A75" w:rsidRPr="00D936CA" w:rsidRDefault="00371341" w:rsidP="00D936CA">
      <w:pPr>
        <w:pStyle w:val="Prrafodelista"/>
        <w:numPr>
          <w:ilvl w:val="1"/>
          <w:numId w:val="34"/>
        </w:num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El </w:t>
      </w:r>
      <w:r w:rsidR="00E95213" w:rsidRPr="00D936CA">
        <w:rPr>
          <w:rFonts w:ascii="ITC Avant Garde" w:hAnsi="ITC Avant Garde"/>
          <w:sz w:val="22"/>
          <w:szCs w:val="22"/>
          <w:lang w:val="es-MX"/>
        </w:rPr>
        <w:t>módem/ONT</w:t>
      </w:r>
      <w:r w:rsidRPr="00D936CA">
        <w:rPr>
          <w:rFonts w:ascii="ITC Avant Garde" w:hAnsi="ITC Avant Garde"/>
          <w:sz w:val="22"/>
          <w:szCs w:val="22"/>
          <w:lang w:val="es-MX"/>
        </w:rPr>
        <w:t xml:space="preserve"> es interoperable</w:t>
      </w:r>
      <w:r w:rsidR="005D3C9C" w:rsidRPr="00D936CA">
        <w:rPr>
          <w:rFonts w:ascii="ITC Avant Garde" w:hAnsi="ITC Avant Garde"/>
          <w:sz w:val="22"/>
          <w:szCs w:val="22"/>
          <w:lang w:val="es-MX"/>
        </w:rPr>
        <w:t>, se notificará al CS y se integrará a la lista de módems interoperables.</w:t>
      </w:r>
    </w:p>
    <w:p w14:paraId="33CFEBA5" w14:textId="0730A093" w:rsidR="00A06D94" w:rsidRPr="00D936CA" w:rsidRDefault="00371341" w:rsidP="00D936CA">
      <w:pPr>
        <w:pStyle w:val="Prrafodelista"/>
        <w:numPr>
          <w:ilvl w:val="1"/>
          <w:numId w:val="34"/>
        </w:num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Si el </w:t>
      </w:r>
      <w:r w:rsidR="00E95213" w:rsidRPr="00D936CA">
        <w:rPr>
          <w:rFonts w:ascii="ITC Avant Garde" w:hAnsi="ITC Avant Garde"/>
          <w:sz w:val="22"/>
          <w:szCs w:val="22"/>
          <w:lang w:val="es-MX"/>
        </w:rPr>
        <w:t>módem/ONT</w:t>
      </w:r>
      <w:r w:rsidRPr="00D936CA">
        <w:rPr>
          <w:rFonts w:ascii="ITC Avant Garde" w:hAnsi="ITC Avant Garde"/>
          <w:sz w:val="22"/>
          <w:szCs w:val="22"/>
          <w:lang w:val="es-MX"/>
        </w:rPr>
        <w:t xml:space="preserve"> no pasa la prueba, se enviará respuesta</w:t>
      </w:r>
      <w:r w:rsidR="00A06D94" w:rsidRPr="00D936CA">
        <w:rPr>
          <w:rStyle w:val="Refdenotaalpie"/>
          <w:rFonts w:ascii="ITC Avant Garde" w:hAnsi="ITC Avant Garde"/>
          <w:sz w:val="22"/>
          <w:szCs w:val="22"/>
          <w:lang w:val="es-MX"/>
        </w:rPr>
        <w:footnoteReference w:id="28"/>
      </w:r>
      <w:r w:rsidR="00A06D94" w:rsidRPr="00D936CA">
        <w:rPr>
          <w:rFonts w:ascii="ITC Avant Garde" w:hAnsi="ITC Avant Garde"/>
          <w:sz w:val="22"/>
          <w:szCs w:val="22"/>
          <w:lang w:val="es-MX"/>
        </w:rPr>
        <w:t xml:space="preserve"> incluyendo descripción pormenorizada del incumplimiento, co</w:t>
      </w:r>
      <w:r w:rsidRPr="00D936CA">
        <w:rPr>
          <w:rFonts w:ascii="ITC Avant Garde" w:hAnsi="ITC Avant Garde"/>
          <w:sz w:val="22"/>
          <w:szCs w:val="22"/>
          <w:lang w:val="es-MX"/>
        </w:rPr>
        <w:t>n el objetivo de que el CS pueda realizar los ajustes necesar</w:t>
      </w:r>
      <w:r w:rsidR="00A06D94" w:rsidRPr="00D936CA">
        <w:rPr>
          <w:rFonts w:ascii="ITC Avant Garde" w:hAnsi="ITC Avant Garde"/>
          <w:sz w:val="22"/>
          <w:szCs w:val="22"/>
          <w:lang w:val="es-MX"/>
        </w:rPr>
        <w:t xml:space="preserve">ios al </w:t>
      </w:r>
      <w:r w:rsidR="00E95213" w:rsidRPr="00D936CA">
        <w:rPr>
          <w:rFonts w:ascii="ITC Avant Garde" w:hAnsi="ITC Avant Garde"/>
          <w:sz w:val="22"/>
          <w:szCs w:val="22"/>
          <w:lang w:val="es-MX"/>
        </w:rPr>
        <w:t>módem/ONT</w:t>
      </w:r>
      <w:r w:rsidR="00A06D94" w:rsidRPr="00D936CA">
        <w:rPr>
          <w:rFonts w:ascii="ITC Avant Garde" w:hAnsi="ITC Avant Garde"/>
          <w:sz w:val="22"/>
          <w:szCs w:val="22"/>
          <w:lang w:val="es-MX"/>
        </w:rPr>
        <w:t>, podrá reingresarlo por una ocasión siempre que la misma no exceda el plazo de 20 días hábiles, posterior a lo cual se considerará como una nueva solicitud de interoperabilidad.</w:t>
      </w:r>
    </w:p>
    <w:p w14:paraId="33CFEBA6" w14:textId="6FA210F7" w:rsidR="00394A75" w:rsidRPr="00060B2E" w:rsidRDefault="00394A75" w:rsidP="00060B2E">
      <w:pPr>
        <w:pStyle w:val="Prrafodelista"/>
        <w:numPr>
          <w:ilvl w:val="0"/>
          <w:numId w:val="34"/>
        </w:numPr>
        <w:autoSpaceDE w:val="0"/>
        <w:autoSpaceDN w:val="0"/>
        <w:adjustRightInd w:val="0"/>
        <w:spacing w:after="200" w:line="276" w:lineRule="auto"/>
        <w:jc w:val="both"/>
        <w:rPr>
          <w:rFonts w:ascii="ITC Avant Garde" w:hAnsi="ITC Avant Garde"/>
          <w:sz w:val="22"/>
          <w:szCs w:val="22"/>
        </w:rPr>
      </w:pPr>
      <w:r w:rsidRPr="00D936CA">
        <w:rPr>
          <w:rFonts w:ascii="ITC Avant Garde" w:hAnsi="ITC Avant Garde"/>
          <w:sz w:val="22"/>
          <w:szCs w:val="22"/>
        </w:rPr>
        <w:t xml:space="preserve">Una vez reingresado el </w:t>
      </w:r>
      <w:r w:rsidR="00E95213" w:rsidRPr="00D936CA">
        <w:rPr>
          <w:rFonts w:ascii="ITC Avant Garde" w:hAnsi="ITC Avant Garde"/>
          <w:sz w:val="22"/>
          <w:szCs w:val="22"/>
        </w:rPr>
        <w:t>módem/ONT</w:t>
      </w:r>
      <w:r w:rsidRPr="00D936CA">
        <w:rPr>
          <w:rFonts w:ascii="ITC Avant Garde" w:hAnsi="ITC Avant Garde"/>
          <w:sz w:val="22"/>
          <w:szCs w:val="22"/>
        </w:rPr>
        <w:t xml:space="preserve">, Telmex realizará nuevamente las pruebas y en caso de que dichas pruebas sean favorables se liberará el </w:t>
      </w:r>
      <w:r w:rsidR="00E95213" w:rsidRPr="00D936CA">
        <w:rPr>
          <w:rFonts w:ascii="ITC Avant Garde" w:hAnsi="ITC Avant Garde"/>
          <w:sz w:val="22"/>
          <w:szCs w:val="22"/>
        </w:rPr>
        <w:t>módem/ONT</w:t>
      </w:r>
      <w:r w:rsidRPr="00D936CA">
        <w:rPr>
          <w:rFonts w:ascii="ITC Avant Garde" w:hAnsi="ITC Avant Garde"/>
          <w:sz w:val="22"/>
          <w:szCs w:val="22"/>
        </w:rPr>
        <w:t xml:space="preserve"> para puesta en operación.</w:t>
      </w:r>
      <w:r w:rsidR="005D41C0" w:rsidRPr="00D936CA">
        <w:rPr>
          <w:rFonts w:ascii="ITC Avant Garde" w:hAnsi="ITC Avant Garde"/>
          <w:sz w:val="22"/>
          <w:szCs w:val="22"/>
        </w:rPr>
        <w:t xml:space="preserve"> Si las pruebas no son favorables se emitirá el dictamen correspondiente</w:t>
      </w:r>
      <w:r w:rsidR="00A64573" w:rsidRPr="00D936CA">
        <w:rPr>
          <w:rFonts w:ascii="ITC Avant Garde" w:hAnsi="ITC Avant Garde"/>
          <w:sz w:val="22"/>
          <w:szCs w:val="22"/>
        </w:rPr>
        <w:t xml:space="preserve"> </w:t>
      </w:r>
      <w:r w:rsidR="00A64573" w:rsidRPr="00060B2E">
        <w:rPr>
          <w:rFonts w:ascii="ITC Avant Garde" w:hAnsi="ITC Avant Garde"/>
          <w:sz w:val="22"/>
          <w:szCs w:val="22"/>
        </w:rPr>
        <w:t>en un plazo máximo de 20 días hábiles a partir del reingreso con su descripción detallada y se publicará en el SEG.</w:t>
      </w:r>
    </w:p>
    <w:p w14:paraId="33CFEBA7" w14:textId="77777777" w:rsidR="00CD095E" w:rsidRPr="00D936CA" w:rsidRDefault="00CD095E" w:rsidP="00060B2E">
      <w:pPr>
        <w:pStyle w:val="Prrafodelista"/>
        <w:autoSpaceDE w:val="0"/>
        <w:autoSpaceDN w:val="0"/>
        <w:adjustRightInd w:val="0"/>
        <w:spacing w:after="200" w:line="276" w:lineRule="auto"/>
        <w:ind w:left="-567" w:right="-142"/>
        <w:jc w:val="both"/>
        <w:rPr>
          <w:rFonts w:ascii="ITC Avant Garde" w:hAnsi="ITC Avant Garde"/>
          <w:sz w:val="22"/>
          <w:szCs w:val="22"/>
        </w:rPr>
      </w:pPr>
    </w:p>
    <w:p w14:paraId="33CFEBA8" w14:textId="2675EE5F" w:rsidR="00394A75" w:rsidRPr="00D936CA" w:rsidRDefault="00394A75"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 xml:space="preserve">Procedimiento de Conciliación en caso de que el </w:t>
      </w:r>
      <w:r w:rsidR="00E95213" w:rsidRPr="00D936CA">
        <w:rPr>
          <w:rFonts w:ascii="ITC Avant Garde" w:hAnsi="ITC Avant Garde"/>
          <w:b/>
          <w:sz w:val="22"/>
          <w:szCs w:val="22"/>
          <w:lang w:val="es-MX"/>
        </w:rPr>
        <w:t>módem/ONT</w:t>
      </w:r>
      <w:r w:rsidRPr="00D936CA">
        <w:rPr>
          <w:rFonts w:ascii="ITC Avant Garde" w:hAnsi="ITC Avant Garde"/>
          <w:b/>
          <w:sz w:val="22"/>
          <w:szCs w:val="22"/>
          <w:lang w:val="es-MX"/>
        </w:rPr>
        <w:t xml:space="preserve"> del CS presente fallas sin haber utilizado el servicio de interoperabilidad </w:t>
      </w:r>
    </w:p>
    <w:p w14:paraId="33CFEBA9" w14:textId="154682FD" w:rsidR="00394A75" w:rsidRPr="00D936CA" w:rsidRDefault="00394A75"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lastRenderedPageBreak/>
        <w:t xml:space="preserve">En caso de que el CS no presentara solicitud previa para el servicio de Interoperabilidad de los </w:t>
      </w:r>
      <w:r w:rsidR="00BB7620" w:rsidRPr="00D936CA">
        <w:rPr>
          <w:rFonts w:ascii="ITC Avant Garde" w:hAnsi="ITC Avant Garde"/>
          <w:sz w:val="22"/>
          <w:szCs w:val="22"/>
        </w:rPr>
        <w:t>m</w:t>
      </w:r>
      <w:r w:rsidRPr="00D936CA">
        <w:rPr>
          <w:rFonts w:ascii="ITC Avant Garde" w:hAnsi="ITC Avant Garde"/>
          <w:sz w:val="22"/>
          <w:szCs w:val="22"/>
        </w:rPr>
        <w:t>ódems y éstos llegaran a presentar falla durante la operación, se procederá considerando lo siguiente:</w:t>
      </w:r>
    </w:p>
    <w:p w14:paraId="2BAAB450" w14:textId="4D1BDA88" w:rsidR="0028342E" w:rsidRPr="00D936CA" w:rsidRDefault="0028342E" w:rsidP="00D936CA">
      <w:pPr>
        <w:pStyle w:val="Prrafodelista"/>
        <w:numPr>
          <w:ilvl w:val="0"/>
          <w:numId w:val="65"/>
        </w:num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De conformidad con el Anexo </w:t>
      </w:r>
      <w:r w:rsidR="00C6260B" w:rsidRPr="00D936CA">
        <w:rPr>
          <w:rFonts w:ascii="ITC Avant Garde" w:hAnsi="ITC Avant Garde"/>
          <w:sz w:val="22"/>
          <w:szCs w:val="22"/>
          <w:lang w:val="es-MX"/>
        </w:rPr>
        <w:t>C</w:t>
      </w:r>
      <w:r w:rsidRPr="00D936CA">
        <w:rPr>
          <w:rFonts w:ascii="ITC Avant Garde" w:hAnsi="ITC Avant Garde"/>
          <w:sz w:val="22"/>
          <w:szCs w:val="22"/>
          <w:lang w:val="es-MX"/>
        </w:rPr>
        <w:t xml:space="preserve"> (Fallas), Telmex proporcionará en un plazo máximo de dos días, de manera temporal o permanente a solicitud del CS, un módem/ONT a los usuarios del CS afectados. </w:t>
      </w:r>
    </w:p>
    <w:p w14:paraId="33CFEBAA" w14:textId="409B7D35" w:rsidR="00394A75" w:rsidRPr="00D936CA" w:rsidRDefault="00394A75" w:rsidP="00D936CA">
      <w:pPr>
        <w:pStyle w:val="Prrafodelista"/>
        <w:numPr>
          <w:ilvl w:val="0"/>
          <w:numId w:val="65"/>
        </w:numPr>
        <w:autoSpaceDE w:val="0"/>
        <w:autoSpaceDN w:val="0"/>
        <w:adjustRightInd w:val="0"/>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Telmex a solicitud del CS realizará pruebas de Interoperabilidad en el </w:t>
      </w:r>
      <w:r w:rsidR="00BB7620" w:rsidRPr="00D936CA">
        <w:rPr>
          <w:rFonts w:ascii="ITC Avant Garde" w:hAnsi="ITC Avant Garde"/>
          <w:sz w:val="22"/>
          <w:szCs w:val="22"/>
          <w:lang w:val="es-MX"/>
        </w:rPr>
        <w:t>m</w:t>
      </w:r>
      <w:r w:rsidRPr="00D936CA">
        <w:rPr>
          <w:rFonts w:ascii="ITC Avant Garde" w:hAnsi="ITC Avant Garde"/>
          <w:sz w:val="22"/>
          <w:szCs w:val="22"/>
          <w:lang w:val="es-MX"/>
        </w:rPr>
        <w:t>ódem</w:t>
      </w:r>
      <w:r w:rsidR="006C79D2" w:rsidRPr="00D936CA">
        <w:rPr>
          <w:rFonts w:ascii="ITC Avant Garde" w:hAnsi="ITC Avant Garde"/>
          <w:sz w:val="22"/>
          <w:szCs w:val="22"/>
          <w:lang w:val="es-MX"/>
        </w:rPr>
        <w:t>/ONT</w:t>
      </w:r>
      <w:r w:rsidRPr="00D936CA">
        <w:rPr>
          <w:rFonts w:ascii="ITC Avant Garde" w:hAnsi="ITC Avant Garde"/>
          <w:sz w:val="22"/>
          <w:szCs w:val="22"/>
          <w:lang w:val="es-MX"/>
        </w:rPr>
        <w:t xml:space="preserve"> en donde se detectó la falla</w:t>
      </w:r>
      <w:r w:rsidR="000D5643" w:rsidRPr="00D936CA">
        <w:rPr>
          <w:rFonts w:ascii="ITC Avant Garde" w:hAnsi="ITC Avant Garde"/>
          <w:sz w:val="22"/>
          <w:szCs w:val="22"/>
          <w:lang w:val="es-MX"/>
        </w:rPr>
        <w:t>,</w:t>
      </w:r>
    </w:p>
    <w:p w14:paraId="33CFEBAB" w14:textId="4D1BF10D" w:rsidR="004429C9" w:rsidRPr="00D936CA" w:rsidRDefault="000D5643" w:rsidP="00D936CA">
      <w:pPr>
        <w:pStyle w:val="Prrafodelista"/>
        <w:numPr>
          <w:ilvl w:val="0"/>
          <w:numId w:val="65"/>
        </w:numPr>
        <w:autoSpaceDE w:val="0"/>
        <w:autoSpaceDN w:val="0"/>
        <w:adjustRightInd w:val="0"/>
        <w:spacing w:line="276" w:lineRule="auto"/>
        <w:contextualSpacing/>
        <w:jc w:val="both"/>
        <w:rPr>
          <w:rFonts w:ascii="ITC Avant Garde" w:hAnsi="ITC Avant Garde"/>
          <w:sz w:val="22"/>
          <w:szCs w:val="22"/>
        </w:rPr>
      </w:pPr>
      <w:r w:rsidRPr="00D936CA">
        <w:rPr>
          <w:rFonts w:ascii="ITC Avant Garde" w:hAnsi="ITC Avant Garde"/>
          <w:sz w:val="22"/>
          <w:szCs w:val="22"/>
        </w:rPr>
        <w:t>En un plazo máximo de 20 días hábiles s</w:t>
      </w:r>
      <w:r w:rsidR="00371341" w:rsidRPr="00D936CA">
        <w:rPr>
          <w:rFonts w:ascii="ITC Avant Garde" w:hAnsi="ITC Avant Garde"/>
          <w:sz w:val="22"/>
          <w:szCs w:val="22"/>
        </w:rPr>
        <w:t>e le notificará</w:t>
      </w:r>
      <w:r w:rsidRPr="00D936CA">
        <w:rPr>
          <w:rFonts w:ascii="ITC Avant Garde" w:hAnsi="ITC Avant Garde"/>
          <w:sz w:val="22"/>
          <w:szCs w:val="22"/>
        </w:rPr>
        <w:t>n</w:t>
      </w:r>
      <w:r w:rsidR="00371341" w:rsidRPr="00D936CA">
        <w:rPr>
          <w:rFonts w:ascii="ITC Avant Garde" w:hAnsi="ITC Avant Garde"/>
          <w:sz w:val="22"/>
          <w:szCs w:val="22"/>
        </w:rPr>
        <w:t xml:space="preserve"> a</w:t>
      </w:r>
      <w:r w:rsidR="005D41C0" w:rsidRPr="00D936CA">
        <w:rPr>
          <w:rFonts w:ascii="ITC Avant Garde" w:hAnsi="ITC Avant Garde"/>
          <w:sz w:val="22"/>
          <w:szCs w:val="22"/>
        </w:rPr>
        <w:t>l CS</w:t>
      </w:r>
      <w:r w:rsidR="00371341" w:rsidRPr="00D936CA">
        <w:rPr>
          <w:rFonts w:ascii="ITC Avant Garde" w:hAnsi="ITC Avant Garde"/>
          <w:sz w:val="22"/>
          <w:szCs w:val="22"/>
        </w:rPr>
        <w:t xml:space="preserve"> los ajustes </w:t>
      </w:r>
      <w:r w:rsidRPr="00D936CA">
        <w:rPr>
          <w:rFonts w:ascii="ITC Avant Garde" w:hAnsi="ITC Avant Garde"/>
          <w:sz w:val="22"/>
          <w:szCs w:val="22"/>
        </w:rPr>
        <w:t>que debe realizar</w:t>
      </w:r>
      <w:r w:rsidR="00371341" w:rsidRPr="00D936CA">
        <w:rPr>
          <w:rFonts w:ascii="ITC Avant Garde" w:hAnsi="ITC Avant Garde"/>
          <w:sz w:val="22"/>
          <w:szCs w:val="22"/>
        </w:rPr>
        <w:t xml:space="preserve"> al </w:t>
      </w:r>
      <w:r w:rsidR="00BB7620" w:rsidRPr="00D936CA">
        <w:rPr>
          <w:rFonts w:ascii="ITC Avant Garde" w:hAnsi="ITC Avant Garde"/>
          <w:sz w:val="22"/>
          <w:szCs w:val="22"/>
        </w:rPr>
        <w:t>m</w:t>
      </w:r>
      <w:r w:rsidR="00371341" w:rsidRPr="00D936CA">
        <w:rPr>
          <w:rFonts w:ascii="ITC Avant Garde" w:hAnsi="ITC Avant Garde"/>
          <w:sz w:val="22"/>
          <w:szCs w:val="22"/>
        </w:rPr>
        <w:t>ódem</w:t>
      </w:r>
      <w:r w:rsidR="006C79D2" w:rsidRPr="00D936CA">
        <w:rPr>
          <w:rFonts w:ascii="ITC Avant Garde" w:hAnsi="ITC Avant Garde"/>
          <w:sz w:val="22"/>
          <w:szCs w:val="22"/>
        </w:rPr>
        <w:t>/ONT. P</w:t>
      </w:r>
      <w:r w:rsidR="00371341" w:rsidRPr="00D936CA">
        <w:rPr>
          <w:rFonts w:ascii="ITC Avant Garde" w:hAnsi="ITC Avant Garde"/>
          <w:sz w:val="22"/>
          <w:szCs w:val="22"/>
        </w:rPr>
        <w:t xml:space="preserve">osterior a </w:t>
      </w:r>
      <w:r w:rsidRPr="00D936CA">
        <w:rPr>
          <w:rFonts w:ascii="ITC Avant Garde" w:hAnsi="ITC Avant Garde"/>
          <w:sz w:val="22"/>
          <w:szCs w:val="22"/>
        </w:rPr>
        <w:t xml:space="preserve">haber realizado los ajustes necesarios el CS deberá reingresar el </w:t>
      </w:r>
      <w:r w:rsidR="00BB7620" w:rsidRPr="00D936CA">
        <w:rPr>
          <w:rFonts w:ascii="ITC Avant Garde" w:hAnsi="ITC Avant Garde"/>
          <w:sz w:val="22"/>
          <w:szCs w:val="22"/>
        </w:rPr>
        <w:t>m</w:t>
      </w:r>
      <w:r w:rsidRPr="00D936CA">
        <w:rPr>
          <w:rFonts w:ascii="ITC Avant Garde" w:hAnsi="ITC Avant Garde"/>
          <w:sz w:val="22"/>
          <w:szCs w:val="22"/>
        </w:rPr>
        <w:t>ódem</w:t>
      </w:r>
      <w:r w:rsidR="006C79D2" w:rsidRPr="00D936CA">
        <w:rPr>
          <w:rFonts w:ascii="ITC Avant Garde" w:hAnsi="ITC Avant Garde"/>
          <w:sz w:val="22"/>
          <w:szCs w:val="22"/>
        </w:rPr>
        <w:t>/ONT</w:t>
      </w:r>
      <w:r w:rsidR="00371341" w:rsidRPr="00D936CA">
        <w:rPr>
          <w:rFonts w:ascii="ITC Avant Garde" w:hAnsi="ITC Avant Garde"/>
          <w:sz w:val="22"/>
          <w:szCs w:val="22"/>
        </w:rPr>
        <w:t xml:space="preserve"> a fin de comprobar que opere dentro de parámetros aceptables, </w:t>
      </w:r>
      <w:r w:rsidRPr="00D936CA">
        <w:rPr>
          <w:rFonts w:ascii="ITC Avant Garde" w:hAnsi="ITC Avant Garde"/>
          <w:sz w:val="22"/>
          <w:szCs w:val="22"/>
          <w:lang w:val="es-MX"/>
        </w:rPr>
        <w:t>dicho reingreso será por una única ocasión siempre que la misma no exceda el plazo de 20 días hábiles, posterior a lo cual se considerará como una nueva solicitud de interoperabilidad.</w:t>
      </w:r>
    </w:p>
    <w:p w14:paraId="33CFEBAC" w14:textId="77777777" w:rsidR="004429C9" w:rsidRPr="00D936CA" w:rsidRDefault="004429C9" w:rsidP="00D936CA">
      <w:pPr>
        <w:pStyle w:val="Prrafodelista"/>
      </w:pPr>
    </w:p>
    <w:p w14:paraId="33CFEBAD" w14:textId="385263FF" w:rsidR="006C79D2" w:rsidRDefault="004429C9" w:rsidP="00D936CA">
      <w:pPr>
        <w:pStyle w:val="IFTnormal"/>
        <w:numPr>
          <w:ilvl w:val="0"/>
          <w:numId w:val="65"/>
        </w:numPr>
      </w:pPr>
      <w:r w:rsidRPr="00D936CA">
        <w:t>En caso de que Telmex sea responsable por la falla, se realizarán los ajustes necesarios a fin de corregirla en un plazo máximo de 20 días hábiles, se comunicarán al CS y se publicarán en e</w:t>
      </w:r>
      <w:r w:rsidR="006330B3" w:rsidRPr="00D936CA">
        <w:t>l SEG</w:t>
      </w:r>
      <w:r w:rsidRPr="00D936CA">
        <w:t xml:space="preserve"> las correcciones realizadas para conocimiento de todos</w:t>
      </w:r>
      <w:r w:rsidR="00EF7814">
        <w:t xml:space="preserve"> (de lo contrario, el CS asumirá los costos asociados).</w:t>
      </w:r>
      <w:r w:rsidRPr="00D936CA">
        <w:t xml:space="preserve"> Esta información debe comprender la descripción detallada de las pruebas de interoperabilidad, los parámetros que se medirán, los valores requeridos para su aceptación y las correcciones realizadas por Telmex en su red.</w:t>
      </w:r>
    </w:p>
    <w:p w14:paraId="778F2C0D" w14:textId="77777777" w:rsidR="007F18EE" w:rsidRPr="00D936CA" w:rsidRDefault="007F18EE" w:rsidP="00060B2E">
      <w:pPr>
        <w:pStyle w:val="IFTnormal"/>
        <w:ind w:left="720"/>
      </w:pPr>
    </w:p>
    <w:p w14:paraId="4A207AFE" w14:textId="4BD2EF0C" w:rsidR="007F18EE" w:rsidRPr="00060B2E" w:rsidRDefault="007F18EE" w:rsidP="00060B2E">
      <w:pPr>
        <w:pStyle w:val="IFTnormal"/>
        <w:ind w:left="-567" w:right="-142"/>
        <w:rPr>
          <w:b/>
        </w:rPr>
      </w:pPr>
      <w:bookmarkStart w:id="417" w:name="_Hlk517113917"/>
      <w:bookmarkStart w:id="418" w:name="_Toc436840898"/>
      <w:bookmarkStart w:id="419" w:name="_Toc436846335"/>
      <w:bookmarkStart w:id="420" w:name="_Toc436848285"/>
      <w:bookmarkStart w:id="421" w:name="_Toc436856533"/>
      <w:bookmarkStart w:id="422" w:name="_Toc436862679"/>
      <w:bookmarkStart w:id="423" w:name="_Toc436866329"/>
      <w:bookmarkStart w:id="424" w:name="_Toc436870908"/>
      <w:bookmarkStart w:id="425" w:name="_Toc436875900"/>
      <w:bookmarkStart w:id="426" w:name="_Toc467248712"/>
      <w:r w:rsidRPr="00060B2E">
        <w:rPr>
          <w:b/>
        </w:rPr>
        <w:t>Autoconfiguración de credenciales de CS</w:t>
      </w:r>
    </w:p>
    <w:p w14:paraId="5B1B451A" w14:textId="035CB5A6" w:rsidR="007F18EE" w:rsidRPr="00060B2E" w:rsidRDefault="007F18EE" w:rsidP="00060B2E">
      <w:pPr>
        <w:pStyle w:val="IFTnormal"/>
        <w:ind w:left="-567" w:right="-142"/>
      </w:pPr>
      <w:r w:rsidRPr="00060B2E">
        <w:t xml:space="preserve">Para </w:t>
      </w:r>
      <w:r w:rsidR="00DB0605" w:rsidRPr="00060B2E">
        <w:t>que exista la posibilidad de que e</w:t>
      </w:r>
      <w:r w:rsidRPr="00060B2E">
        <w:t xml:space="preserve">l CS </w:t>
      </w:r>
      <w:r w:rsidR="00DB0605" w:rsidRPr="00060B2E">
        <w:t>pueda</w:t>
      </w:r>
      <w:r w:rsidRPr="00060B2E">
        <w:t xml:space="preserve"> autoconfigura</w:t>
      </w:r>
      <w:r w:rsidR="00DB0605" w:rsidRPr="00060B2E">
        <w:t>r</w:t>
      </w:r>
      <w:r w:rsidRPr="00060B2E">
        <w:t xml:space="preserve"> </w:t>
      </w:r>
      <w:r w:rsidR="00DB0605" w:rsidRPr="00060B2E">
        <w:t>sus</w:t>
      </w:r>
      <w:r w:rsidRPr="00060B2E">
        <w:t xml:space="preserve"> credenciales de los módems u ONTs blancas que ya están homologadas</w:t>
      </w:r>
      <w:r w:rsidRPr="00060B2E">
        <w:rPr>
          <w:rStyle w:val="Refdenotaalpie"/>
        </w:rPr>
        <w:footnoteReference w:id="29"/>
      </w:r>
      <w:r w:rsidRPr="00060B2E">
        <w:t xml:space="preserve"> para interoperar con la red de Telmex</w:t>
      </w:r>
      <w:r w:rsidR="008D2A4C" w:rsidRPr="00060B2E">
        <w:rPr>
          <w:rStyle w:val="Refdenotaalpie"/>
        </w:rPr>
        <w:footnoteReference w:id="30"/>
      </w:r>
      <w:r w:rsidRPr="00060B2E">
        <w:t xml:space="preserve">, es necesario que el CS que desee esta alternativa, </w:t>
      </w:r>
      <w:r w:rsidR="00E73571" w:rsidRPr="00060B2E">
        <w:t>solicite</w:t>
      </w:r>
      <w:r w:rsidRPr="00060B2E">
        <w:t xml:space="preserve"> directamente al </w:t>
      </w:r>
      <w:r w:rsidRPr="00060B2E">
        <w:lastRenderedPageBreak/>
        <w:t>proveedor de los módems/ONT sus credenciales (usuario y contraseña) para que de forma automática el usuario final pueda descargar las configuraciones propias del CS, y que de ese modo se pueda autenticar en su AAA sin necesidad de realizar una llamada telefónica al momento de la instalación. De ese modo se ofrecerá un mismo proceso universal para todos los Concesionarios (incluido Telmex) en lo que a autoconfiguración de sus credenciales se refiere. Para lo cual será necesario que el CS prevea la compra de sus propios módems con los proveedores</w:t>
      </w:r>
      <w:r w:rsidR="00F00932" w:rsidRPr="00060B2E">
        <w:t xml:space="preserve">, así como </w:t>
      </w:r>
      <w:r w:rsidRPr="00060B2E">
        <w:t>la administración y gestión de los mismos.</w:t>
      </w:r>
    </w:p>
    <w:p w14:paraId="7ABE79D3" w14:textId="7FE33193" w:rsidR="00BB2D3E" w:rsidRPr="00060B2E" w:rsidRDefault="007F18EE" w:rsidP="00060B2E">
      <w:pPr>
        <w:pStyle w:val="IFTnormal"/>
        <w:ind w:left="-567" w:right="-142"/>
      </w:pPr>
      <w:r w:rsidRPr="00060B2E">
        <w:t xml:space="preserve">De lo contrario, es decir de no entregar el CS sus configuraciones al proveedor de módems/ONT, </w:t>
      </w:r>
      <w:r w:rsidR="00BB2D3E" w:rsidRPr="00060B2E">
        <w:t>el CS tendrá dos posibilidades</w:t>
      </w:r>
      <w:r w:rsidR="004D676B" w:rsidRPr="00060B2E">
        <w:rPr>
          <w:rStyle w:val="Refdenotaalpie"/>
        </w:rPr>
        <w:footnoteReference w:id="31"/>
      </w:r>
      <w:r w:rsidR="00BB2D3E" w:rsidRPr="00060B2E">
        <w:t>:</w:t>
      </w:r>
    </w:p>
    <w:p w14:paraId="2240505C" w14:textId="2E58AFE3" w:rsidR="00BB2D3E" w:rsidRPr="00060B2E" w:rsidRDefault="00BB2D3E" w:rsidP="00BB2D3E">
      <w:pPr>
        <w:pStyle w:val="IFTnormal"/>
        <w:numPr>
          <w:ilvl w:val="0"/>
          <w:numId w:val="187"/>
        </w:numPr>
      </w:pPr>
      <w:r w:rsidRPr="00060B2E">
        <w:t xml:space="preserve">Carga previa de credenciales. El CS tendrá que entregar sus credenciales a Telmex para que se realice la carga </w:t>
      </w:r>
      <w:r w:rsidR="00A72156" w:rsidRPr="00060B2E">
        <w:t>de las mismas, correspondientes a</w:t>
      </w:r>
      <w:r w:rsidRPr="00060B2E">
        <w:t xml:space="preserve"> un lote de módems blancos</w:t>
      </w:r>
      <w:r w:rsidR="00A72156" w:rsidRPr="00060B2E">
        <w:t>, de forma que cuando el CS los distribuya a sus clientes, se puedan autenticar en el AAA del CS sin necesidad de realizar una llama</w:t>
      </w:r>
      <w:r w:rsidR="00D160A4" w:rsidRPr="00060B2E">
        <w:t>da</w:t>
      </w:r>
      <w:r w:rsidR="00A72156" w:rsidRPr="00060B2E">
        <w:t xml:space="preserve"> telefónica. </w:t>
      </w:r>
    </w:p>
    <w:p w14:paraId="4036E6B0" w14:textId="529A2DFD" w:rsidR="007F18EE" w:rsidRPr="00060B2E" w:rsidRDefault="00BB2D3E" w:rsidP="00060B2E">
      <w:pPr>
        <w:pStyle w:val="IFTnormal"/>
        <w:numPr>
          <w:ilvl w:val="0"/>
          <w:numId w:val="187"/>
        </w:numPr>
      </w:pPr>
      <w:r w:rsidRPr="00060B2E">
        <w:t>Carga individual. S</w:t>
      </w:r>
      <w:r w:rsidR="007F18EE" w:rsidRPr="00060B2E">
        <w:t>e tendrán que seguir los procedimientos ya descritos en el punto</w:t>
      </w:r>
      <w:r w:rsidR="00615FC0" w:rsidRPr="00060B2E">
        <w:t xml:space="preserve"> correspondiente del procedimiento de alta del servicio</w:t>
      </w:r>
      <w:r w:rsidR="00D07AE7" w:rsidRPr="00060B2E">
        <w:t xml:space="preserve"> SAIB</w:t>
      </w:r>
      <w:r w:rsidR="00615FC0" w:rsidRPr="00060B2E">
        <w:t xml:space="preserve"> </w:t>
      </w:r>
      <w:r w:rsidR="007F18EE" w:rsidRPr="00060B2E">
        <w:t xml:space="preserve">que implican la llamada telefónica </w:t>
      </w:r>
      <w:r w:rsidR="00F00932" w:rsidRPr="00060B2E">
        <w:t xml:space="preserve">del CS </w:t>
      </w:r>
      <w:r w:rsidR="007F18EE" w:rsidRPr="00060B2E">
        <w:t>al momento de la instalación</w:t>
      </w:r>
      <w:r w:rsidR="00F00932" w:rsidRPr="00060B2E">
        <w:t>, para proporcionar el número de serie del equipo y el número de servicio que permitan la activación y sincronía</w:t>
      </w:r>
      <w:r w:rsidR="007F18EE" w:rsidRPr="00060B2E">
        <w:t>.</w:t>
      </w:r>
    </w:p>
    <w:bookmarkEnd w:id="417"/>
    <w:p w14:paraId="3CB36B19" w14:textId="77777777" w:rsidR="007F18EE" w:rsidRPr="00D816F6" w:rsidRDefault="007F18EE" w:rsidP="00060B2E">
      <w:pPr>
        <w:spacing w:after="200" w:line="276" w:lineRule="auto"/>
        <w:ind w:left="1" w:hanging="1"/>
        <w:jc w:val="both"/>
      </w:pPr>
    </w:p>
    <w:p w14:paraId="33CFEBAE" w14:textId="2B642A31" w:rsidR="001442A1" w:rsidRPr="00D936CA" w:rsidRDefault="00371341" w:rsidP="00D936CA">
      <w:pPr>
        <w:pStyle w:val="Ttulo2"/>
        <w:numPr>
          <w:ilvl w:val="1"/>
          <w:numId w:val="143"/>
        </w:numPr>
        <w:ind w:left="851" w:hanging="425"/>
      </w:pPr>
      <w:bookmarkStart w:id="427" w:name="_Toc518031995"/>
      <w:r w:rsidRPr="00D936CA">
        <w:t>Procedimientos de contratación, modificación y baja del SAIB.</w:t>
      </w:r>
      <w:bookmarkEnd w:id="418"/>
      <w:bookmarkEnd w:id="419"/>
      <w:bookmarkEnd w:id="420"/>
      <w:bookmarkEnd w:id="421"/>
      <w:bookmarkEnd w:id="422"/>
      <w:bookmarkEnd w:id="423"/>
      <w:bookmarkEnd w:id="424"/>
      <w:bookmarkEnd w:id="425"/>
      <w:bookmarkEnd w:id="426"/>
      <w:bookmarkEnd w:id="427"/>
    </w:p>
    <w:p w14:paraId="33CFEBAF" w14:textId="5A055BD2" w:rsidR="001442A1" w:rsidRPr="00D936CA" w:rsidRDefault="001442A1" w:rsidP="00060B2E">
      <w:pPr>
        <w:spacing w:after="200" w:line="276" w:lineRule="auto"/>
        <w:ind w:left="-567" w:right="-142" w:hanging="1"/>
        <w:jc w:val="both"/>
        <w:rPr>
          <w:rFonts w:ascii="ITC Avant Garde" w:hAnsi="ITC Avant Garde"/>
          <w:sz w:val="22"/>
          <w:szCs w:val="22"/>
          <w:lang w:val="es-MX"/>
        </w:rPr>
      </w:pPr>
      <w:r w:rsidRPr="00D936CA">
        <w:rPr>
          <w:rFonts w:ascii="ITC Avant Garde" w:hAnsi="ITC Avant Garde"/>
          <w:sz w:val="22"/>
          <w:szCs w:val="22"/>
          <w:lang w:val="es-MX"/>
        </w:rPr>
        <w:t>Queda establecido que</w:t>
      </w:r>
      <w:r w:rsidR="00C262E5">
        <w:rPr>
          <w:rFonts w:ascii="ITC Avant Garde" w:hAnsi="ITC Avant Garde"/>
          <w:sz w:val="22"/>
          <w:szCs w:val="22"/>
          <w:lang w:val="es-MX"/>
        </w:rPr>
        <w:t>,</w:t>
      </w:r>
      <w:r w:rsidRPr="00D936CA">
        <w:rPr>
          <w:rFonts w:ascii="ITC Avant Garde" w:hAnsi="ITC Avant Garde"/>
          <w:sz w:val="22"/>
          <w:szCs w:val="22"/>
          <w:lang w:val="es-MX"/>
        </w:rPr>
        <w:t xml:space="preserve"> mediante el envío de la solicitud, el CS consiente en efectuar el pago por las actividades a </w:t>
      </w:r>
      <w:r w:rsidR="00AA7AE1" w:rsidRPr="00D936CA">
        <w:rPr>
          <w:rFonts w:ascii="ITC Avant Garde" w:hAnsi="ITC Avant Garde"/>
          <w:sz w:val="22"/>
          <w:szCs w:val="22"/>
          <w:lang w:val="es-MX"/>
        </w:rPr>
        <w:t>realizar,</w:t>
      </w:r>
      <w:r w:rsidRPr="00D936CA">
        <w:rPr>
          <w:rFonts w:ascii="ITC Avant Garde" w:hAnsi="ITC Avant Garde"/>
          <w:sz w:val="22"/>
          <w:szCs w:val="22"/>
          <w:lang w:val="es-MX"/>
        </w:rPr>
        <w:t xml:space="preserve">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w:t>
      </w:r>
      <w:r w:rsidR="00B54294" w:rsidRPr="00D936CA">
        <w:rPr>
          <w:rFonts w:ascii="ITC Avant Garde" w:hAnsi="ITC Avant Garde"/>
          <w:sz w:val="22"/>
          <w:szCs w:val="22"/>
          <w:lang w:val="es-MX"/>
        </w:rPr>
        <w:t xml:space="preserve"> (si la solicitud es cancelada con al menos </w:t>
      </w:r>
      <w:r w:rsidR="0047419F" w:rsidRPr="00D936CA">
        <w:rPr>
          <w:rFonts w:ascii="ITC Avant Garde" w:hAnsi="ITC Avant Garde"/>
          <w:sz w:val="22"/>
          <w:szCs w:val="22"/>
          <w:lang w:val="es-MX"/>
        </w:rPr>
        <w:t>tres</w:t>
      </w:r>
      <w:r w:rsidR="00B54294" w:rsidRPr="00D936CA">
        <w:rPr>
          <w:rFonts w:ascii="ITC Avant Garde" w:hAnsi="ITC Avant Garde"/>
          <w:sz w:val="22"/>
          <w:szCs w:val="22"/>
          <w:lang w:val="es-MX"/>
        </w:rPr>
        <w:t xml:space="preserve"> días de anticipación a la programación de la habilitación, no aplicará cobro alguno).</w:t>
      </w:r>
    </w:p>
    <w:p w14:paraId="33CFEBB0" w14:textId="77777777" w:rsidR="001442A1" w:rsidRPr="00D936CA" w:rsidRDefault="001442A1" w:rsidP="00060B2E">
      <w:pPr>
        <w:pStyle w:val="IFTnormal"/>
        <w:ind w:left="-567" w:right="-142"/>
        <w:rPr>
          <w:b/>
          <w:u w:val="single"/>
        </w:rPr>
      </w:pPr>
      <w:r w:rsidRPr="00D936CA">
        <w:rPr>
          <w:b/>
          <w:u w:val="single"/>
        </w:rPr>
        <w:t>Procedimiento de contratación y entrega SAIB (Alta).</w:t>
      </w:r>
    </w:p>
    <w:p w14:paraId="33CFEBB1" w14:textId="77777777" w:rsidR="001442A1" w:rsidRPr="00D936CA" w:rsidRDefault="001442A1" w:rsidP="00060B2E">
      <w:pPr>
        <w:pStyle w:val="IFTnormal"/>
        <w:ind w:left="-567" w:right="-142"/>
      </w:pPr>
      <w:r w:rsidRPr="00D936CA">
        <w:t xml:space="preserve">El objetivo y alcance de este procedimiento es definir los pasos y actividades a desarrollar por parte de Telmex y del CS, a fin de realizar la contratación y entrega </w:t>
      </w:r>
      <w:r w:rsidRPr="00D936CA">
        <w:rPr>
          <w:rFonts w:cs="Arial"/>
          <w:lang w:val="es-ES" w:eastAsia="es-MX"/>
        </w:rPr>
        <w:t>del SAIB</w:t>
      </w:r>
      <w:r w:rsidRPr="00D936CA">
        <w:t xml:space="preserve">. Las fases en que </w:t>
      </w:r>
      <w:r w:rsidRPr="00D936CA">
        <w:lastRenderedPageBreak/>
        <w:t xml:space="preserve">se divide este procedimiento son: </w:t>
      </w:r>
      <w:r w:rsidRPr="00D936CA">
        <w:rPr>
          <w:b/>
        </w:rPr>
        <w:t>(i)</w:t>
      </w:r>
      <w:r w:rsidRPr="00D936CA">
        <w:t xml:space="preserve"> Entrega y validación de la solicitud para que el CS manifieste su intención de contratar el servicio, las características que solicita para el mismo, y la evaluación por parte de Telmex para validar que la solicitud cuenta con todos los elementos para la contratación del servicio; </w:t>
      </w:r>
      <w:r w:rsidRPr="00D936CA">
        <w:rPr>
          <w:b/>
        </w:rPr>
        <w:t>(ii)</w:t>
      </w:r>
      <w:r w:rsidRPr="00D936CA">
        <w:t xml:space="preserve"> Análisis de Factibilidad Técnica a fin de que Telmex pueda verificar que cuenta con los elementos para brindar el servicio solicitado; y </w:t>
      </w:r>
      <w:r w:rsidRPr="00D936CA">
        <w:rPr>
          <w:b/>
        </w:rPr>
        <w:t>(iii)</w:t>
      </w:r>
      <w:r w:rsidRPr="00D936CA">
        <w:t xml:space="preserve"> Habilitación y aprovisionamiento del servicio solicitado, que detonará los procesos de pruebas de entrega y facturación.</w:t>
      </w:r>
    </w:p>
    <w:tbl>
      <w:tblPr>
        <w:tblStyle w:val="Tablaconcuadrcula"/>
        <w:tblW w:w="5306" w:type="pct"/>
        <w:tblInd w:w="-572" w:type="dxa"/>
        <w:tblLook w:val="04A0" w:firstRow="1" w:lastRow="0" w:firstColumn="1" w:lastColumn="0" w:noHBand="0" w:noVBand="1"/>
      </w:tblPr>
      <w:tblGrid>
        <w:gridCol w:w="3039"/>
        <w:gridCol w:w="7119"/>
      </w:tblGrid>
      <w:tr w:rsidR="00D936CA" w:rsidRPr="00D936CA" w14:paraId="33CFEBB4" w14:textId="77777777" w:rsidTr="00060B2E">
        <w:tc>
          <w:tcPr>
            <w:tcW w:w="1496" w:type="pct"/>
          </w:tcPr>
          <w:p w14:paraId="33CFEBB2" w14:textId="77777777" w:rsidR="00A94606" w:rsidRPr="00D936CA" w:rsidRDefault="00A94606" w:rsidP="00D936CA">
            <w:pPr>
              <w:pStyle w:val="IFTnormal"/>
              <w:jc w:val="center"/>
              <w:rPr>
                <w:b/>
                <w:sz w:val="20"/>
                <w:szCs w:val="20"/>
              </w:rPr>
            </w:pPr>
            <w:r w:rsidRPr="00D936CA">
              <w:rPr>
                <w:b/>
                <w:sz w:val="20"/>
                <w:szCs w:val="20"/>
              </w:rPr>
              <w:t>Etapa</w:t>
            </w:r>
          </w:p>
        </w:tc>
        <w:tc>
          <w:tcPr>
            <w:tcW w:w="3504" w:type="pct"/>
          </w:tcPr>
          <w:p w14:paraId="33CFEBB3" w14:textId="77777777" w:rsidR="00A94606" w:rsidRPr="00D936CA" w:rsidRDefault="00A94606" w:rsidP="00D936CA">
            <w:pPr>
              <w:pStyle w:val="IFTnormal"/>
              <w:jc w:val="center"/>
              <w:rPr>
                <w:b/>
                <w:sz w:val="20"/>
                <w:szCs w:val="20"/>
              </w:rPr>
            </w:pPr>
            <w:r w:rsidRPr="00D936CA">
              <w:rPr>
                <w:b/>
                <w:sz w:val="20"/>
                <w:szCs w:val="20"/>
              </w:rPr>
              <w:t>Descripción</w:t>
            </w:r>
          </w:p>
        </w:tc>
      </w:tr>
      <w:tr w:rsidR="00D936CA" w:rsidRPr="00D936CA" w14:paraId="33CFEBB7" w14:textId="77777777" w:rsidTr="00060B2E">
        <w:tc>
          <w:tcPr>
            <w:tcW w:w="1496" w:type="pct"/>
          </w:tcPr>
          <w:p w14:paraId="33CFEBB5" w14:textId="77777777" w:rsidR="00A94606" w:rsidRPr="00D936CA" w:rsidRDefault="00A94606" w:rsidP="00D936CA">
            <w:pPr>
              <w:pStyle w:val="IFTnormal"/>
              <w:jc w:val="left"/>
              <w:rPr>
                <w:b/>
                <w:sz w:val="20"/>
                <w:szCs w:val="20"/>
              </w:rPr>
            </w:pPr>
            <w:r w:rsidRPr="00D936CA">
              <w:rPr>
                <w:b/>
                <w:sz w:val="20"/>
                <w:szCs w:val="20"/>
              </w:rPr>
              <w:t>Autorización del suscriptor/usuario final</w:t>
            </w:r>
          </w:p>
        </w:tc>
        <w:tc>
          <w:tcPr>
            <w:tcW w:w="3504" w:type="pct"/>
          </w:tcPr>
          <w:p w14:paraId="33CFEBB6" w14:textId="77777777" w:rsidR="00A94606" w:rsidRPr="00D936CA" w:rsidRDefault="00A94606" w:rsidP="00D936CA">
            <w:pPr>
              <w:pStyle w:val="IFTnormal"/>
              <w:rPr>
                <w:sz w:val="20"/>
                <w:szCs w:val="20"/>
              </w:rPr>
            </w:pPr>
            <w:r w:rsidRPr="00D936CA">
              <w:rPr>
                <w:sz w:val="20"/>
                <w:szCs w:val="20"/>
              </w:rPr>
              <w:t>Presentación del formato de verificación de la voluntad del suscriptor/usuario final. (Cuando aplique)</w:t>
            </w:r>
          </w:p>
        </w:tc>
      </w:tr>
      <w:tr w:rsidR="00D936CA" w:rsidRPr="00D936CA" w14:paraId="33CFEBC2" w14:textId="77777777" w:rsidTr="00060B2E">
        <w:tc>
          <w:tcPr>
            <w:tcW w:w="1496" w:type="pct"/>
          </w:tcPr>
          <w:p w14:paraId="33CFEBB8" w14:textId="77777777" w:rsidR="00A94606" w:rsidRPr="00D936CA" w:rsidRDefault="00A94606" w:rsidP="00D936CA">
            <w:pPr>
              <w:pStyle w:val="IFTnormal"/>
              <w:jc w:val="left"/>
              <w:rPr>
                <w:b/>
                <w:sz w:val="20"/>
                <w:szCs w:val="20"/>
              </w:rPr>
            </w:pPr>
            <w:r w:rsidRPr="00D936CA">
              <w:rPr>
                <w:b/>
                <w:sz w:val="20"/>
                <w:szCs w:val="20"/>
              </w:rPr>
              <w:t>Envío de solicitud</w:t>
            </w:r>
          </w:p>
        </w:tc>
        <w:tc>
          <w:tcPr>
            <w:tcW w:w="3504" w:type="pct"/>
          </w:tcPr>
          <w:p w14:paraId="33CFEBB9" w14:textId="693912D9" w:rsidR="00A94606" w:rsidRPr="00D936CA" w:rsidRDefault="00A94606" w:rsidP="00D936CA">
            <w:pPr>
              <w:pStyle w:val="IFTnormal"/>
              <w:rPr>
                <w:sz w:val="20"/>
                <w:szCs w:val="20"/>
              </w:rPr>
            </w:pPr>
            <w:r w:rsidRPr="00D936CA">
              <w:rPr>
                <w:sz w:val="20"/>
                <w:szCs w:val="20"/>
              </w:rPr>
              <w:t xml:space="preserve">El CS deberá presentar sus solicitudes en el formato correspondiente a través del SEG (podrá </w:t>
            </w:r>
            <w:r w:rsidR="00416FFF">
              <w:rPr>
                <w:sz w:val="20"/>
                <w:szCs w:val="20"/>
              </w:rPr>
              <w:t>hacerlo</w:t>
            </w:r>
            <w:r w:rsidR="00416FFF" w:rsidRPr="00D936CA">
              <w:rPr>
                <w:sz w:val="20"/>
                <w:szCs w:val="20"/>
              </w:rPr>
              <w:t xml:space="preserve"> </w:t>
            </w:r>
            <w:r w:rsidRPr="00D936CA">
              <w:rPr>
                <w:sz w:val="20"/>
                <w:szCs w:val="20"/>
              </w:rPr>
              <w:t xml:space="preserve">de </w:t>
            </w:r>
            <w:r w:rsidR="00687C97" w:rsidRPr="00D936CA">
              <w:rPr>
                <w:sz w:val="20"/>
                <w:szCs w:val="20"/>
              </w:rPr>
              <w:t xml:space="preserve">acuerdo a </w:t>
            </w:r>
            <w:r w:rsidR="002E2BEE">
              <w:rPr>
                <w:sz w:val="20"/>
                <w:szCs w:val="20"/>
              </w:rPr>
              <w:t>lo establecido en</w:t>
            </w:r>
            <w:r w:rsidR="00687C97" w:rsidRPr="00D936CA">
              <w:rPr>
                <w:sz w:val="20"/>
                <w:szCs w:val="20"/>
              </w:rPr>
              <w:t xml:space="preserve"> el numeral 1.8)</w:t>
            </w:r>
            <w:r w:rsidRPr="00D936CA">
              <w:rPr>
                <w:sz w:val="20"/>
                <w:szCs w:val="20"/>
              </w:rPr>
              <w:t>:</w:t>
            </w:r>
          </w:p>
          <w:p w14:paraId="51CDEBEF" w14:textId="620899F2" w:rsidR="00280C7F" w:rsidRPr="00D936CA" w:rsidRDefault="00280C7F" w:rsidP="00D936CA">
            <w:pPr>
              <w:pStyle w:val="IFTnormal"/>
              <w:rPr>
                <w:sz w:val="20"/>
                <w:szCs w:val="20"/>
              </w:rPr>
            </w:pPr>
            <w:r w:rsidRPr="00D936CA">
              <w:rPr>
                <w:sz w:val="20"/>
                <w:szCs w:val="20"/>
              </w:rPr>
              <w:t xml:space="preserve">El CS </w:t>
            </w:r>
            <w:r w:rsidR="00AA7AE1" w:rsidRPr="00D936CA">
              <w:rPr>
                <w:sz w:val="20"/>
                <w:szCs w:val="20"/>
              </w:rPr>
              <w:t>deberá:</w:t>
            </w:r>
          </w:p>
          <w:p w14:paraId="33CFEBBA" w14:textId="6936F4FB" w:rsidR="00A94606" w:rsidRPr="00D936CA" w:rsidRDefault="00A94606" w:rsidP="00D936CA">
            <w:pPr>
              <w:pStyle w:val="IFTnormal"/>
              <w:numPr>
                <w:ilvl w:val="0"/>
                <w:numId w:val="102"/>
              </w:numPr>
              <w:spacing w:after="120" w:line="240" w:lineRule="auto"/>
              <w:ind w:left="318" w:hanging="284"/>
              <w:rPr>
                <w:sz w:val="20"/>
                <w:szCs w:val="20"/>
              </w:rPr>
            </w:pPr>
            <w:r w:rsidRPr="00D936CA">
              <w:rPr>
                <w:sz w:val="20"/>
                <w:szCs w:val="20"/>
              </w:rPr>
              <w:t xml:space="preserve">Seleccionar </w:t>
            </w:r>
            <w:r w:rsidR="00BB7620" w:rsidRPr="00D936CA">
              <w:rPr>
                <w:sz w:val="20"/>
                <w:szCs w:val="20"/>
              </w:rPr>
              <w:t>m</w:t>
            </w:r>
            <w:r w:rsidRPr="00D936CA">
              <w:rPr>
                <w:sz w:val="20"/>
                <w:szCs w:val="20"/>
              </w:rPr>
              <w:t>ódem/ONT:</w:t>
            </w:r>
          </w:p>
          <w:p w14:paraId="33CFEBBB" w14:textId="77777777" w:rsidR="00A94606" w:rsidRPr="00D936CA" w:rsidRDefault="00A94606" w:rsidP="00D936CA">
            <w:pPr>
              <w:pStyle w:val="IFTnormal"/>
              <w:numPr>
                <w:ilvl w:val="0"/>
                <w:numId w:val="101"/>
              </w:numPr>
              <w:spacing w:after="120" w:line="240" w:lineRule="auto"/>
              <w:rPr>
                <w:sz w:val="20"/>
                <w:szCs w:val="20"/>
              </w:rPr>
            </w:pPr>
            <w:r w:rsidRPr="00D936CA">
              <w:rPr>
                <w:sz w:val="20"/>
                <w:szCs w:val="20"/>
              </w:rPr>
              <w:t>Entrega de equipos venta Telmex (blanco)</w:t>
            </w:r>
          </w:p>
          <w:p w14:paraId="33CFEBBD" w14:textId="3909D4D1" w:rsidR="00A94606" w:rsidRPr="00AA7AE1" w:rsidRDefault="00A94606" w:rsidP="00AA7AE1">
            <w:pPr>
              <w:pStyle w:val="IFTnormal"/>
              <w:numPr>
                <w:ilvl w:val="0"/>
                <w:numId w:val="106"/>
              </w:numPr>
              <w:spacing w:after="120" w:line="240" w:lineRule="auto"/>
              <w:rPr>
                <w:sz w:val="20"/>
                <w:szCs w:val="20"/>
              </w:rPr>
            </w:pPr>
            <w:r w:rsidRPr="00D936CA">
              <w:rPr>
                <w:sz w:val="20"/>
                <w:szCs w:val="20"/>
              </w:rPr>
              <w:t>Mensajería al domicilio del usuario*</w:t>
            </w:r>
          </w:p>
          <w:p w14:paraId="5ED4CCE5" w14:textId="5E3EE23A" w:rsidR="00312089" w:rsidRPr="00D936CA" w:rsidRDefault="00312089" w:rsidP="00D936CA">
            <w:pPr>
              <w:pStyle w:val="IFTnormal"/>
              <w:numPr>
                <w:ilvl w:val="0"/>
                <w:numId w:val="106"/>
              </w:numPr>
              <w:spacing w:after="120" w:line="240" w:lineRule="auto"/>
              <w:rPr>
                <w:sz w:val="20"/>
                <w:szCs w:val="20"/>
              </w:rPr>
            </w:pPr>
            <w:r>
              <w:rPr>
                <w:sz w:val="20"/>
                <w:szCs w:val="20"/>
              </w:rPr>
              <w:t>Técnico**</w:t>
            </w:r>
          </w:p>
          <w:p w14:paraId="33CFEBBE" w14:textId="3E51E9B2" w:rsidR="00A94606" w:rsidRPr="00D936CA" w:rsidRDefault="00AA7AE1" w:rsidP="00D936CA">
            <w:pPr>
              <w:pStyle w:val="IFTnormal"/>
              <w:numPr>
                <w:ilvl w:val="0"/>
                <w:numId w:val="101"/>
              </w:numPr>
              <w:spacing w:after="120" w:line="240" w:lineRule="auto"/>
              <w:rPr>
                <w:sz w:val="20"/>
                <w:szCs w:val="20"/>
              </w:rPr>
            </w:pPr>
            <w:r>
              <w:rPr>
                <w:sz w:val="20"/>
                <w:szCs w:val="20"/>
              </w:rPr>
              <w:t>M</w:t>
            </w:r>
            <w:r w:rsidR="00BB7620" w:rsidRPr="00D936CA">
              <w:rPr>
                <w:sz w:val="20"/>
                <w:szCs w:val="20"/>
              </w:rPr>
              <w:t>ó</w:t>
            </w:r>
            <w:r w:rsidR="00A94606" w:rsidRPr="00D936CA">
              <w:rPr>
                <w:sz w:val="20"/>
                <w:szCs w:val="20"/>
              </w:rPr>
              <w:t>dems/ONTs provisto por CS</w:t>
            </w:r>
          </w:p>
          <w:p w14:paraId="72FFAD31" w14:textId="6F516D86" w:rsidR="00B10A49" w:rsidRDefault="00312089" w:rsidP="00D936CA">
            <w:pPr>
              <w:pStyle w:val="IFTnormal"/>
              <w:rPr>
                <w:sz w:val="16"/>
                <w:szCs w:val="16"/>
              </w:rPr>
            </w:pPr>
            <w:r>
              <w:rPr>
                <w:sz w:val="16"/>
                <w:szCs w:val="16"/>
              </w:rPr>
              <w:t>*</w:t>
            </w:r>
            <w:r w:rsidR="00B10A49">
              <w:rPr>
                <w:sz w:val="16"/>
                <w:szCs w:val="16"/>
              </w:rPr>
              <w:t>Sólo módem</w:t>
            </w:r>
          </w:p>
          <w:p w14:paraId="247B2982" w14:textId="77777777" w:rsidR="00B10A49" w:rsidRDefault="00B10A49" w:rsidP="00D936CA">
            <w:pPr>
              <w:pStyle w:val="IFTnormal"/>
              <w:rPr>
                <w:bCs w:val="0"/>
                <w:sz w:val="16"/>
                <w:szCs w:val="16"/>
              </w:rPr>
            </w:pPr>
            <w:r>
              <w:rPr>
                <w:sz w:val="16"/>
                <w:szCs w:val="16"/>
              </w:rPr>
              <w:t>*</w:t>
            </w:r>
            <w:r w:rsidR="00312089">
              <w:rPr>
                <w:sz w:val="16"/>
                <w:szCs w:val="16"/>
              </w:rPr>
              <w:t xml:space="preserve">* </w:t>
            </w:r>
            <w:r w:rsidR="00A94606" w:rsidRPr="00D936CA">
              <w:rPr>
                <w:sz w:val="16"/>
                <w:szCs w:val="16"/>
              </w:rPr>
              <w:t>La ONT siempre se entrega en el domicilio del usuario el día de la instalación.</w:t>
            </w:r>
            <w:r w:rsidR="00312089">
              <w:rPr>
                <w:sz w:val="16"/>
                <w:szCs w:val="16"/>
              </w:rPr>
              <w:t xml:space="preserve"> </w:t>
            </w:r>
            <w:r w:rsidR="00312089" w:rsidRPr="00793025">
              <w:rPr>
                <w:bCs w:val="0"/>
                <w:sz w:val="16"/>
                <w:szCs w:val="16"/>
              </w:rPr>
              <w:t>Sólo</w:t>
            </w:r>
            <w:r w:rsidR="00312089" w:rsidRPr="00793025">
              <w:rPr>
                <w:sz w:val="16"/>
                <w:szCs w:val="16"/>
              </w:rPr>
              <w:t xml:space="preserve"> </w:t>
            </w:r>
            <w:r w:rsidR="00312089" w:rsidRPr="00060B2E">
              <w:rPr>
                <w:bCs w:val="0"/>
                <w:sz w:val="16"/>
                <w:szCs w:val="16"/>
              </w:rPr>
              <w:t>para el caso de servicios nuevos el módem también se podrá entregar por Técnico.</w:t>
            </w:r>
            <w:r w:rsidR="00A651EA">
              <w:rPr>
                <w:bCs w:val="0"/>
                <w:sz w:val="16"/>
                <w:szCs w:val="16"/>
              </w:rPr>
              <w:t xml:space="preserve"> </w:t>
            </w:r>
          </w:p>
          <w:p w14:paraId="33CFEBC0" w14:textId="32669552" w:rsidR="00A94606" w:rsidRPr="00D936CA" w:rsidRDefault="00A94606" w:rsidP="00D936CA">
            <w:pPr>
              <w:pStyle w:val="IFTnormal"/>
              <w:rPr>
                <w:sz w:val="20"/>
                <w:szCs w:val="20"/>
              </w:rPr>
            </w:pPr>
            <w:r w:rsidRPr="00D936CA">
              <w:rPr>
                <w:sz w:val="20"/>
                <w:szCs w:val="20"/>
              </w:rPr>
              <w:t>Una vez enviada se asignará de forma automática un número de folio a la solicitud del CS.</w:t>
            </w:r>
          </w:p>
          <w:p w14:paraId="33CFEBC1" w14:textId="1EC39191" w:rsidR="00A94606" w:rsidRPr="00D936CA" w:rsidRDefault="00A94606" w:rsidP="00D936CA">
            <w:pPr>
              <w:pStyle w:val="IFTnormal"/>
              <w:rPr>
                <w:sz w:val="20"/>
                <w:szCs w:val="20"/>
              </w:rPr>
            </w:pPr>
            <w:r w:rsidRPr="00D936CA">
              <w:rPr>
                <w:sz w:val="20"/>
                <w:szCs w:val="20"/>
              </w:rPr>
              <w:t xml:space="preserve">Para el caso de SAIB no existe el escenario de re-uso de </w:t>
            </w:r>
            <w:r w:rsidR="00BB7620" w:rsidRPr="00D936CA">
              <w:rPr>
                <w:sz w:val="20"/>
                <w:szCs w:val="20"/>
              </w:rPr>
              <w:t>mó</w:t>
            </w:r>
            <w:r w:rsidRPr="00D936CA">
              <w:rPr>
                <w:sz w:val="20"/>
                <w:szCs w:val="20"/>
              </w:rPr>
              <w:t>dems/ONT</w:t>
            </w:r>
            <w:r w:rsidR="00B10A49">
              <w:rPr>
                <w:sz w:val="20"/>
                <w:szCs w:val="20"/>
              </w:rPr>
              <w:t>s</w:t>
            </w:r>
            <w:r w:rsidRPr="00D936CA">
              <w:rPr>
                <w:sz w:val="20"/>
                <w:szCs w:val="20"/>
              </w:rPr>
              <w:t>, es decir, equipos existentes.</w:t>
            </w:r>
          </w:p>
        </w:tc>
      </w:tr>
      <w:tr w:rsidR="00D936CA" w:rsidRPr="00D936CA" w14:paraId="33CFEBCA" w14:textId="77777777" w:rsidTr="00060B2E">
        <w:tc>
          <w:tcPr>
            <w:tcW w:w="1496" w:type="pct"/>
            <w:shd w:val="clear" w:color="auto" w:fill="auto"/>
          </w:tcPr>
          <w:p w14:paraId="33CFEBC3" w14:textId="77777777" w:rsidR="00A94606" w:rsidRPr="00D936CA" w:rsidRDefault="00A94606" w:rsidP="00D936CA">
            <w:pPr>
              <w:pStyle w:val="IFTnormal"/>
              <w:jc w:val="left"/>
              <w:rPr>
                <w:b/>
                <w:sz w:val="20"/>
                <w:szCs w:val="20"/>
              </w:rPr>
            </w:pPr>
            <w:r w:rsidRPr="00D936CA">
              <w:rPr>
                <w:b/>
                <w:sz w:val="20"/>
                <w:szCs w:val="20"/>
              </w:rPr>
              <w:t>Validación de solicitud</w:t>
            </w:r>
          </w:p>
        </w:tc>
        <w:tc>
          <w:tcPr>
            <w:tcW w:w="3504" w:type="pct"/>
            <w:shd w:val="clear" w:color="auto" w:fill="auto"/>
          </w:tcPr>
          <w:p w14:paraId="33CFEBC4" w14:textId="77777777" w:rsidR="00A94606" w:rsidRPr="00D936CA" w:rsidRDefault="00A94606" w:rsidP="00D936CA">
            <w:pPr>
              <w:pStyle w:val="IFTnormal"/>
              <w:rPr>
                <w:sz w:val="20"/>
                <w:szCs w:val="20"/>
              </w:rPr>
            </w:pPr>
            <w:r w:rsidRPr="00D936CA">
              <w:rPr>
                <w:sz w:val="20"/>
                <w:szCs w:val="20"/>
              </w:rPr>
              <w:t>Telmex validará las solicitudes enviadas por los CS en un plazo máximo de 1 día hábil para determinar si:</w:t>
            </w:r>
          </w:p>
          <w:p w14:paraId="33CFEBC5" w14:textId="77777777" w:rsidR="00A94606" w:rsidRPr="00D936CA" w:rsidRDefault="00A94606" w:rsidP="00D936CA">
            <w:pPr>
              <w:pStyle w:val="IFTnormal"/>
              <w:numPr>
                <w:ilvl w:val="0"/>
                <w:numId w:val="101"/>
              </w:numPr>
              <w:spacing w:after="120" w:line="240" w:lineRule="auto"/>
              <w:rPr>
                <w:sz w:val="20"/>
                <w:szCs w:val="20"/>
              </w:rPr>
            </w:pPr>
            <w:r w:rsidRPr="00D936CA">
              <w:rPr>
                <w:sz w:val="20"/>
                <w:szCs w:val="20"/>
              </w:rPr>
              <w:t>La información capturada es suficiente para procesar la solicitud.</w:t>
            </w:r>
          </w:p>
          <w:p w14:paraId="33CFEBC6" w14:textId="77777777" w:rsidR="00A94606" w:rsidRPr="00D936CA" w:rsidRDefault="00A94606" w:rsidP="00D936CA">
            <w:pPr>
              <w:pStyle w:val="IFTnormal"/>
              <w:numPr>
                <w:ilvl w:val="0"/>
                <w:numId w:val="101"/>
              </w:numPr>
              <w:spacing w:after="120" w:line="240" w:lineRule="auto"/>
              <w:rPr>
                <w:sz w:val="20"/>
                <w:szCs w:val="20"/>
              </w:rPr>
            </w:pPr>
            <w:r w:rsidRPr="00D936CA">
              <w:rPr>
                <w:sz w:val="20"/>
                <w:szCs w:val="20"/>
              </w:rPr>
              <w:t>El CS capturó correctamente los detalles del servicio requerido.</w:t>
            </w:r>
          </w:p>
          <w:p w14:paraId="33CFEBC7" w14:textId="578FF773" w:rsidR="00A94606" w:rsidRPr="00D936CA" w:rsidRDefault="00A94606"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xml:space="preserve">, </w:t>
            </w:r>
            <w:r w:rsidR="00A34332">
              <w:rPr>
                <w:sz w:val="20"/>
                <w:szCs w:val="20"/>
              </w:rPr>
              <w:t xml:space="preserve">Telmex cambiará el folio previamente asignado por el Número de Identificación de Solicitud (NIS) y proporcionará la fecha de habilitación en un plazo que corresponda al escenario de habilitación abajo </w:t>
            </w:r>
            <w:r w:rsidR="00B10A49">
              <w:rPr>
                <w:sz w:val="20"/>
                <w:szCs w:val="20"/>
              </w:rPr>
              <w:t>señalado.</w:t>
            </w:r>
          </w:p>
          <w:p w14:paraId="33CFEBC8" w14:textId="5FC99361" w:rsidR="00A94606" w:rsidRPr="00D936CA" w:rsidRDefault="00A94606" w:rsidP="00D936CA">
            <w:pPr>
              <w:pStyle w:val="IFTnormal"/>
              <w:numPr>
                <w:ilvl w:val="0"/>
                <w:numId w:val="102"/>
              </w:numPr>
              <w:ind w:left="318" w:hanging="318"/>
              <w:rPr>
                <w:sz w:val="20"/>
                <w:szCs w:val="20"/>
              </w:rPr>
            </w:pPr>
            <w:r w:rsidRPr="00D936CA">
              <w:rPr>
                <w:b/>
                <w:sz w:val="20"/>
                <w:szCs w:val="20"/>
              </w:rPr>
              <w:lastRenderedPageBreak/>
              <w:t>Si es incorrecta</w:t>
            </w:r>
            <w:r w:rsidRPr="00D936CA">
              <w:rPr>
                <w:sz w:val="20"/>
                <w:szCs w:val="20"/>
              </w:rPr>
              <w:t>, Telmex devolverá la solicitud al CS indicando el motivo de rechazo, para que sea corregida y reenviada nuevamente a validación</w:t>
            </w:r>
            <w:r w:rsidR="00E476A1" w:rsidRPr="00D936CA">
              <w:rPr>
                <w:sz w:val="20"/>
                <w:szCs w:val="20"/>
              </w:rPr>
              <w:t>, en caso de haber usado el formato Excel de solicitudes masivas, Telmex devolverá el archivo al CS indicando el motivo de rechazo por cada registro</w:t>
            </w:r>
            <w:r w:rsidR="00A34332">
              <w:rPr>
                <w:sz w:val="20"/>
                <w:szCs w:val="20"/>
              </w:rPr>
              <w:t>.</w:t>
            </w:r>
          </w:p>
          <w:p w14:paraId="33CFEBC9" w14:textId="77777777" w:rsidR="00A94606" w:rsidRPr="00D936CA" w:rsidRDefault="00A94606" w:rsidP="00D936CA">
            <w:pPr>
              <w:pStyle w:val="IFTnormal"/>
              <w:rPr>
                <w:sz w:val="20"/>
                <w:szCs w:val="20"/>
              </w:rPr>
            </w:pPr>
            <w:r w:rsidRPr="00D936CA">
              <w:rPr>
                <w:sz w:val="20"/>
                <w:szCs w:val="20"/>
              </w:rPr>
              <w:t>La aceptación de la solicitud detonará el Análisis de Factibilidad Técnica.</w:t>
            </w:r>
          </w:p>
        </w:tc>
      </w:tr>
      <w:tr w:rsidR="00D936CA" w:rsidRPr="00D936CA" w14:paraId="33CFEBD1" w14:textId="77777777" w:rsidTr="00060B2E">
        <w:tc>
          <w:tcPr>
            <w:tcW w:w="1496" w:type="pct"/>
          </w:tcPr>
          <w:p w14:paraId="33CFEBCB" w14:textId="77777777" w:rsidR="00A94606" w:rsidRPr="00D936CA" w:rsidRDefault="00A94606" w:rsidP="00D936CA">
            <w:pPr>
              <w:pStyle w:val="IFTnormal"/>
              <w:jc w:val="left"/>
              <w:rPr>
                <w:b/>
                <w:sz w:val="20"/>
                <w:szCs w:val="20"/>
              </w:rPr>
            </w:pPr>
            <w:bookmarkStart w:id="428" w:name="_Hlk516138851"/>
            <w:r w:rsidRPr="00D936CA">
              <w:rPr>
                <w:b/>
                <w:sz w:val="20"/>
                <w:szCs w:val="20"/>
              </w:rPr>
              <w:lastRenderedPageBreak/>
              <w:t>Factibilidad Técnica</w:t>
            </w:r>
          </w:p>
        </w:tc>
        <w:tc>
          <w:tcPr>
            <w:tcW w:w="3504" w:type="pct"/>
          </w:tcPr>
          <w:p w14:paraId="33CFEBCC" w14:textId="77777777" w:rsidR="00A94606" w:rsidRPr="00D936CA" w:rsidRDefault="00A94606"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1 día hábil:</w:t>
            </w:r>
          </w:p>
          <w:p w14:paraId="33CFEBCD" w14:textId="2C2149EA" w:rsidR="00A94606" w:rsidRPr="00176BFE" w:rsidRDefault="00A94606" w:rsidP="00D936CA">
            <w:pPr>
              <w:pStyle w:val="IFTnormal"/>
              <w:numPr>
                <w:ilvl w:val="0"/>
                <w:numId w:val="102"/>
              </w:numPr>
              <w:ind w:left="318" w:hanging="318"/>
              <w:rPr>
                <w:sz w:val="20"/>
                <w:szCs w:val="20"/>
              </w:rPr>
            </w:pPr>
            <w:r w:rsidRPr="00D936CA">
              <w:rPr>
                <w:b/>
                <w:sz w:val="20"/>
                <w:szCs w:val="20"/>
              </w:rPr>
              <w:t>Si es factible</w:t>
            </w:r>
            <w:r w:rsidR="0091770C">
              <w:rPr>
                <w:b/>
                <w:sz w:val="20"/>
                <w:szCs w:val="20"/>
              </w:rPr>
              <w:t xml:space="preserve"> contratar el servicio, </w:t>
            </w:r>
            <w:r w:rsidR="0091770C" w:rsidRPr="00060B2E">
              <w:rPr>
                <w:sz w:val="20"/>
                <w:szCs w:val="20"/>
              </w:rPr>
              <w:t>el CS elegirá el perfil factible que desee contratar y</w:t>
            </w:r>
            <w:r w:rsidRPr="0091770C">
              <w:rPr>
                <w:sz w:val="20"/>
                <w:szCs w:val="20"/>
              </w:rPr>
              <w:t>, se age</w:t>
            </w:r>
            <w:r w:rsidRPr="00D936CA">
              <w:rPr>
                <w:sz w:val="20"/>
                <w:szCs w:val="20"/>
              </w:rPr>
              <w:t xml:space="preserve">ndará cita para la habilitación del servicio, indicando fecha y </w:t>
            </w:r>
            <w:r w:rsidR="00A52DA2">
              <w:rPr>
                <w:sz w:val="20"/>
                <w:szCs w:val="20"/>
              </w:rPr>
              <w:t>una ventana de tiempo para la atención del servicio (matutino/vespertino)</w:t>
            </w:r>
            <w:r w:rsidRPr="00D936CA">
              <w:rPr>
                <w:sz w:val="20"/>
                <w:szCs w:val="20"/>
              </w:rPr>
              <w:t>, en un plazo no mayor a los días hábiles contados a partir del ingreso de la solicitud conforme al escenario de provisión del Modem/ONT</w:t>
            </w:r>
            <w:r w:rsidRPr="00D936CA">
              <w:rPr>
                <w:sz w:val="20"/>
                <w:szCs w:val="20"/>
                <w:lang w:val="es-ES_tradnl"/>
              </w:rPr>
              <w:t>.</w:t>
            </w:r>
            <w:r w:rsidR="00280C7F" w:rsidRPr="00D936CA">
              <w:rPr>
                <w:sz w:val="20"/>
                <w:szCs w:val="20"/>
                <w:lang w:val="es-ES_tradnl"/>
              </w:rPr>
              <w:t xml:space="preserve"> Telmex confirmará al CS, marca, modelo y versión software de la OLT si procede. Por su parte el CS en caso de instalación de la ONT por Telmex le comunicara </w:t>
            </w:r>
            <w:r w:rsidR="00280C7F" w:rsidRPr="00060B2E">
              <w:rPr>
                <w:sz w:val="20"/>
                <w:szCs w:val="20"/>
              </w:rPr>
              <w:t>los parámetros de configuración que correspondan.</w:t>
            </w:r>
          </w:p>
          <w:p w14:paraId="33CFEBCF" w14:textId="734FBE86" w:rsidR="00A94606" w:rsidRPr="00D936CA" w:rsidRDefault="00A94606" w:rsidP="00D936CA">
            <w:pPr>
              <w:pStyle w:val="IFTnormal"/>
              <w:numPr>
                <w:ilvl w:val="0"/>
                <w:numId w:val="102"/>
              </w:numPr>
              <w:ind w:left="318" w:hanging="318"/>
              <w:rPr>
                <w:sz w:val="20"/>
                <w:szCs w:val="20"/>
              </w:rPr>
            </w:pPr>
            <w:r w:rsidRPr="00D936CA">
              <w:rPr>
                <w:b/>
                <w:sz w:val="20"/>
                <w:szCs w:val="20"/>
              </w:rPr>
              <w:t>Si no es factible proporcionar el servicio</w:t>
            </w:r>
            <w:r w:rsidRPr="00D936CA">
              <w:rPr>
                <w:sz w:val="20"/>
                <w:szCs w:val="20"/>
              </w:rPr>
              <w:t>, se informará al CS a través del SEG, la justificación de los motivos descritos en el apartado 1.4, así como las evidencias correspondientes.</w:t>
            </w:r>
          </w:p>
          <w:p w14:paraId="33CFEBD0" w14:textId="07B73CC0" w:rsidR="00A94606" w:rsidRPr="00D936CA" w:rsidRDefault="0091770C" w:rsidP="00D936CA">
            <w:pPr>
              <w:pStyle w:val="IFTnormal"/>
              <w:rPr>
                <w:sz w:val="20"/>
                <w:szCs w:val="20"/>
              </w:rPr>
            </w:pPr>
            <w:r>
              <w:rPr>
                <w:sz w:val="20"/>
                <w:szCs w:val="20"/>
              </w:rPr>
              <w:t>L</w:t>
            </w:r>
            <w:r w:rsidR="00A94606" w:rsidRPr="00D936CA">
              <w:rPr>
                <w:sz w:val="20"/>
                <w:szCs w:val="20"/>
              </w:rPr>
              <w:t>os CS incluyendo Telmex, harán uso de los mismos elementos, herramientas, funcionalidades, información, etc. Una vez validados los campos correspondientes se procederá directamente a la etapa de Habilitación y aprovisionamiento del Servicio.</w:t>
            </w:r>
          </w:p>
        </w:tc>
      </w:tr>
      <w:bookmarkEnd w:id="428"/>
      <w:tr w:rsidR="00D936CA" w:rsidRPr="00D936CA" w14:paraId="33CFEBDE" w14:textId="77777777" w:rsidTr="00060B2E">
        <w:tc>
          <w:tcPr>
            <w:tcW w:w="1496" w:type="pct"/>
          </w:tcPr>
          <w:p w14:paraId="33CFEBD2" w14:textId="77777777" w:rsidR="00A94606" w:rsidRPr="00D936CA" w:rsidRDefault="00A94606" w:rsidP="00D936CA">
            <w:pPr>
              <w:pStyle w:val="IFTnormal"/>
              <w:jc w:val="left"/>
              <w:rPr>
                <w:b/>
                <w:sz w:val="20"/>
                <w:szCs w:val="20"/>
              </w:rPr>
            </w:pPr>
            <w:r w:rsidRPr="00D936CA">
              <w:rPr>
                <w:b/>
                <w:sz w:val="20"/>
                <w:szCs w:val="20"/>
              </w:rPr>
              <w:t>Habilitación y aprovisionamiento del Servicio</w:t>
            </w:r>
          </w:p>
        </w:tc>
        <w:tc>
          <w:tcPr>
            <w:tcW w:w="3504" w:type="pct"/>
          </w:tcPr>
          <w:p w14:paraId="33CFEBD3" w14:textId="77777777" w:rsidR="00A94606" w:rsidRPr="00D936CA" w:rsidRDefault="00A94606" w:rsidP="00D936CA">
            <w:pPr>
              <w:pStyle w:val="IFTnormal"/>
              <w:rPr>
                <w:sz w:val="20"/>
                <w:szCs w:val="20"/>
              </w:rPr>
            </w:pPr>
            <w:r w:rsidRPr="00D936CA">
              <w:rPr>
                <w:b/>
                <w:sz w:val="20"/>
                <w:szCs w:val="20"/>
              </w:rPr>
              <w:t>Usuarios Existentes:</w:t>
            </w:r>
            <w:r w:rsidRPr="00D936CA">
              <w:rPr>
                <w:sz w:val="20"/>
                <w:szCs w:val="20"/>
              </w:rPr>
              <w:t xml:space="preserve"> Habilitación presencial de Telmex y el CS en el domicilio del cliente (en un máximo de 5 días hábiles si el equipo lo provee el CS y 7 días hábiles si el equipo es provisto por Telmex)</w:t>
            </w:r>
          </w:p>
          <w:p w14:paraId="33CFEBD4" w14:textId="77777777" w:rsidR="00A94606" w:rsidRPr="00D936CA" w:rsidRDefault="00A94606" w:rsidP="00D936CA">
            <w:pPr>
              <w:pStyle w:val="IFTnormal"/>
              <w:numPr>
                <w:ilvl w:val="0"/>
                <w:numId w:val="107"/>
              </w:numPr>
              <w:rPr>
                <w:sz w:val="20"/>
                <w:szCs w:val="20"/>
              </w:rPr>
            </w:pPr>
            <w:r w:rsidRPr="00D936CA">
              <w:rPr>
                <w:sz w:val="20"/>
                <w:szCs w:val="20"/>
              </w:rPr>
              <w:t>Se habilita el servicio asegurándose el CS que el usuario final cuenta con los equipos.</w:t>
            </w:r>
          </w:p>
          <w:p w14:paraId="33CFEBD5" w14:textId="45E76018" w:rsidR="00A94606" w:rsidRPr="00D936CA" w:rsidRDefault="00A94606" w:rsidP="00D936CA">
            <w:pPr>
              <w:pStyle w:val="IFTnormal"/>
              <w:numPr>
                <w:ilvl w:val="1"/>
                <w:numId w:val="107"/>
              </w:numPr>
              <w:rPr>
                <w:sz w:val="20"/>
                <w:szCs w:val="20"/>
              </w:rPr>
            </w:pPr>
            <w:r w:rsidRPr="00D936CA">
              <w:rPr>
                <w:sz w:val="20"/>
                <w:szCs w:val="20"/>
              </w:rPr>
              <w:t xml:space="preserve">El CS deberá realizar el cambio de </w:t>
            </w:r>
            <w:r w:rsidR="00BB7620" w:rsidRPr="00D936CA">
              <w:rPr>
                <w:sz w:val="20"/>
                <w:szCs w:val="20"/>
              </w:rPr>
              <w:t>m</w:t>
            </w:r>
            <w:r w:rsidRPr="00D936CA">
              <w:rPr>
                <w:sz w:val="20"/>
                <w:szCs w:val="20"/>
              </w:rPr>
              <w:t xml:space="preserve">ódem al PCT. </w:t>
            </w:r>
            <w:r w:rsidR="00280C7F" w:rsidRPr="00D936CA">
              <w:rPr>
                <w:sz w:val="20"/>
                <w:szCs w:val="20"/>
              </w:rPr>
              <w:t xml:space="preserve">Telmex se encargará de instalar </w:t>
            </w:r>
            <w:r w:rsidRPr="00D936CA">
              <w:rPr>
                <w:sz w:val="20"/>
                <w:szCs w:val="20"/>
              </w:rPr>
              <w:t>la ONT</w:t>
            </w:r>
            <w:r w:rsidR="007C6F77">
              <w:rPr>
                <w:sz w:val="20"/>
                <w:szCs w:val="20"/>
              </w:rPr>
              <w:t>.</w:t>
            </w:r>
          </w:p>
          <w:p w14:paraId="33CFEBD6" w14:textId="585E539B" w:rsidR="00A94606" w:rsidRPr="00D936CA" w:rsidRDefault="00280C7F" w:rsidP="00D936CA">
            <w:pPr>
              <w:pStyle w:val="IFTnormal"/>
              <w:numPr>
                <w:ilvl w:val="1"/>
                <w:numId w:val="107"/>
              </w:numPr>
              <w:rPr>
                <w:sz w:val="20"/>
                <w:szCs w:val="20"/>
              </w:rPr>
            </w:pPr>
            <w:bookmarkStart w:id="429" w:name="_Hlk516850650"/>
            <w:r w:rsidRPr="00D936CA">
              <w:rPr>
                <w:sz w:val="20"/>
                <w:szCs w:val="20"/>
              </w:rPr>
              <w:t>E</w:t>
            </w:r>
            <w:r w:rsidR="00A94606" w:rsidRPr="00D936CA">
              <w:rPr>
                <w:sz w:val="20"/>
                <w:szCs w:val="20"/>
              </w:rPr>
              <w:t xml:space="preserve">l CS llamará al 01800-4040734 en el que proporcionará el número de serie y el número de servicio (número de línea/suscriptor), para la activación y sincronía en la red de Telmex. </w:t>
            </w:r>
            <w:r w:rsidRPr="00D936CA">
              <w:rPr>
                <w:sz w:val="20"/>
                <w:szCs w:val="20"/>
              </w:rPr>
              <w:t xml:space="preserve">Para el caso de la ONT suministrará los datos </w:t>
            </w:r>
            <w:r w:rsidRPr="00D936CA">
              <w:rPr>
                <w:sz w:val="20"/>
                <w:szCs w:val="20"/>
              </w:rPr>
              <w:lastRenderedPageBreak/>
              <w:t>requeridos.</w:t>
            </w:r>
          </w:p>
          <w:bookmarkEnd w:id="429"/>
          <w:p w14:paraId="33CFEBD7" w14:textId="53B80988" w:rsidR="00A94606" w:rsidRPr="00D936CA" w:rsidRDefault="00A94606" w:rsidP="00D936CA">
            <w:pPr>
              <w:pStyle w:val="IFTnormal"/>
              <w:rPr>
                <w:sz w:val="20"/>
                <w:szCs w:val="20"/>
              </w:rPr>
            </w:pPr>
            <w:r w:rsidRPr="00D936CA">
              <w:rPr>
                <w:b/>
                <w:sz w:val="20"/>
                <w:szCs w:val="20"/>
              </w:rPr>
              <w:t xml:space="preserve">Usuarios Nuevos: </w:t>
            </w:r>
            <w:r w:rsidRPr="00D936CA">
              <w:rPr>
                <w:sz w:val="20"/>
                <w:szCs w:val="20"/>
              </w:rPr>
              <w:t>Habilitación presencial de Telmex y el CS en el domicilio del cliente</w:t>
            </w:r>
            <w:r w:rsidR="001D7EA0">
              <w:rPr>
                <w:rStyle w:val="Refdenotaalpie"/>
                <w:sz w:val="20"/>
                <w:szCs w:val="20"/>
              </w:rPr>
              <w:footnoteReference w:id="32"/>
            </w:r>
            <w:r w:rsidRPr="00D936CA">
              <w:rPr>
                <w:sz w:val="20"/>
                <w:szCs w:val="20"/>
              </w:rPr>
              <w:t>.</w:t>
            </w:r>
          </w:p>
          <w:p w14:paraId="33CFEBD8" w14:textId="77777777" w:rsidR="00A94606" w:rsidRPr="00D936CA" w:rsidRDefault="00A94606" w:rsidP="00D936CA">
            <w:pPr>
              <w:pStyle w:val="IFTnormal"/>
              <w:numPr>
                <w:ilvl w:val="0"/>
                <w:numId w:val="107"/>
              </w:numPr>
              <w:rPr>
                <w:sz w:val="20"/>
                <w:szCs w:val="20"/>
              </w:rPr>
            </w:pPr>
            <w:r w:rsidRPr="00D936CA">
              <w:rPr>
                <w:b/>
                <w:sz w:val="20"/>
                <w:szCs w:val="20"/>
              </w:rPr>
              <w:t>Acometida Existente:</w:t>
            </w:r>
            <w:r w:rsidRPr="00D936CA">
              <w:rPr>
                <w:sz w:val="20"/>
                <w:szCs w:val="20"/>
              </w:rPr>
              <w:t xml:space="preserve"> (máximo 5 días hábiles contados a partir del ingreso de la solicitud y 7 días hábiles con provisión de equipo por Telmex).</w:t>
            </w:r>
          </w:p>
          <w:p w14:paraId="33CFEBD9" w14:textId="35BA47D0" w:rsidR="00A94606" w:rsidRPr="00D936CA" w:rsidRDefault="00A94606" w:rsidP="00D936CA">
            <w:pPr>
              <w:pStyle w:val="IFTnormal"/>
              <w:numPr>
                <w:ilvl w:val="0"/>
                <w:numId w:val="107"/>
              </w:numPr>
              <w:rPr>
                <w:sz w:val="20"/>
                <w:szCs w:val="20"/>
              </w:rPr>
            </w:pPr>
            <w:r w:rsidRPr="00D936CA">
              <w:rPr>
                <w:b/>
                <w:sz w:val="20"/>
                <w:szCs w:val="20"/>
              </w:rPr>
              <w:t>Sin Acometida:</w:t>
            </w:r>
            <w:r w:rsidRPr="00D936CA">
              <w:rPr>
                <w:sz w:val="20"/>
                <w:szCs w:val="20"/>
              </w:rPr>
              <w:t xml:space="preserve"> (máximo 7 días hábiles contados a partir del ingreso de la solicitud indistintamente de la provisión de equipo)</w:t>
            </w:r>
            <w:r w:rsidRPr="00D936CA">
              <w:rPr>
                <w:rFonts w:cs="Arial"/>
                <w:sz w:val="20"/>
                <w:szCs w:val="20"/>
              </w:rPr>
              <w:t xml:space="preserve"> si existen recursos de red, se probará la acometida y se remplazará en caso de ser necesario.</w:t>
            </w:r>
          </w:p>
          <w:p w14:paraId="33CFEBDA" w14:textId="038ACA60" w:rsidR="00A94606" w:rsidRPr="00D936CA" w:rsidRDefault="00A94606" w:rsidP="00D936CA">
            <w:pPr>
              <w:pStyle w:val="IFTnormal"/>
              <w:numPr>
                <w:ilvl w:val="1"/>
                <w:numId w:val="107"/>
              </w:numPr>
              <w:rPr>
                <w:sz w:val="20"/>
                <w:szCs w:val="20"/>
              </w:rPr>
            </w:pPr>
            <w:r w:rsidRPr="00D936CA">
              <w:rPr>
                <w:sz w:val="20"/>
                <w:szCs w:val="20"/>
              </w:rPr>
              <w:t xml:space="preserve">El CS deberá conectar el </w:t>
            </w:r>
            <w:r w:rsidR="00BB7620" w:rsidRPr="00D936CA">
              <w:rPr>
                <w:sz w:val="20"/>
                <w:szCs w:val="20"/>
              </w:rPr>
              <w:t>m</w:t>
            </w:r>
            <w:r w:rsidRPr="00D936CA">
              <w:rPr>
                <w:sz w:val="20"/>
                <w:szCs w:val="20"/>
              </w:rPr>
              <w:t>ódem</w:t>
            </w:r>
            <w:r w:rsidR="00280C7F" w:rsidRPr="00D936CA">
              <w:rPr>
                <w:sz w:val="20"/>
                <w:szCs w:val="20"/>
              </w:rPr>
              <w:t>/ONT</w:t>
            </w:r>
            <w:r w:rsidRPr="00D936CA">
              <w:rPr>
                <w:sz w:val="20"/>
                <w:szCs w:val="20"/>
              </w:rPr>
              <w:t xml:space="preserve"> al PCT. </w:t>
            </w:r>
            <w:r w:rsidR="00280C7F" w:rsidRPr="00D936CA">
              <w:rPr>
                <w:sz w:val="20"/>
                <w:szCs w:val="20"/>
              </w:rPr>
              <w:t xml:space="preserve">Telmex se encargará de instalar </w:t>
            </w:r>
            <w:r w:rsidRPr="00D936CA">
              <w:rPr>
                <w:sz w:val="20"/>
                <w:szCs w:val="20"/>
              </w:rPr>
              <w:t>la ONT.</w:t>
            </w:r>
          </w:p>
          <w:p w14:paraId="33CFEBDB" w14:textId="647600C1" w:rsidR="00A94606" w:rsidRPr="00D936CA" w:rsidRDefault="00A94606" w:rsidP="00D936CA">
            <w:pPr>
              <w:pStyle w:val="IFTnormal"/>
              <w:numPr>
                <w:ilvl w:val="1"/>
                <w:numId w:val="107"/>
              </w:numPr>
              <w:rPr>
                <w:sz w:val="20"/>
                <w:szCs w:val="20"/>
              </w:rPr>
            </w:pPr>
            <w:r w:rsidRPr="00D936CA">
              <w:rPr>
                <w:sz w:val="20"/>
                <w:szCs w:val="20"/>
              </w:rPr>
              <w:t xml:space="preserve">El CS llamará al 01800-4040734 en el que proporcionará el número de serie del </w:t>
            </w:r>
            <w:r w:rsidR="00BB7620" w:rsidRPr="00D936CA">
              <w:rPr>
                <w:sz w:val="20"/>
                <w:szCs w:val="20"/>
              </w:rPr>
              <w:t>m</w:t>
            </w:r>
            <w:r w:rsidRPr="00D936CA">
              <w:rPr>
                <w:sz w:val="20"/>
                <w:szCs w:val="20"/>
              </w:rPr>
              <w:t xml:space="preserve">ódem y el número de línea/suscriptor, para la activación y sincronía en la red de Telmex. Para el caso de la ONT </w:t>
            </w:r>
            <w:r w:rsidR="00280C7F" w:rsidRPr="00D936CA">
              <w:rPr>
                <w:sz w:val="20"/>
                <w:szCs w:val="20"/>
              </w:rPr>
              <w:t>suministrará los datos requeridos de la ONT</w:t>
            </w:r>
            <w:r w:rsidRPr="00D936CA">
              <w:rPr>
                <w:sz w:val="20"/>
                <w:szCs w:val="20"/>
              </w:rPr>
              <w:t>.</w:t>
            </w:r>
          </w:p>
          <w:p w14:paraId="05FC6FC9" w14:textId="02B8C3A0" w:rsidR="00096633" w:rsidRDefault="00096633" w:rsidP="00D936CA">
            <w:pPr>
              <w:pStyle w:val="IFTnormal"/>
              <w:spacing w:after="120" w:line="240" w:lineRule="auto"/>
              <w:rPr>
                <w:sz w:val="20"/>
                <w:szCs w:val="20"/>
              </w:rPr>
            </w:pPr>
            <w:r>
              <w:rPr>
                <w:sz w:val="20"/>
                <w:szCs w:val="20"/>
              </w:rPr>
              <w:t>Si el técnico del CS no se presenta a la habilitación</w:t>
            </w:r>
            <w:r w:rsidR="00D16188">
              <w:rPr>
                <w:sz w:val="20"/>
                <w:szCs w:val="20"/>
              </w:rPr>
              <w:t xml:space="preserve">, o no se cuenta con el </w:t>
            </w:r>
            <w:r w:rsidR="002E2BEE">
              <w:rPr>
                <w:sz w:val="20"/>
                <w:szCs w:val="20"/>
              </w:rPr>
              <w:t>módem</w:t>
            </w:r>
            <w:r w:rsidR="00D16188">
              <w:rPr>
                <w:sz w:val="20"/>
                <w:szCs w:val="20"/>
              </w:rPr>
              <w:t xml:space="preserve"> en el domicilio al momento de la habilitación,</w:t>
            </w:r>
            <w:r>
              <w:rPr>
                <w:sz w:val="20"/>
                <w:szCs w:val="20"/>
              </w:rPr>
              <w:t xml:space="preserve"> se dará lugar a una visita en falso.</w:t>
            </w:r>
          </w:p>
          <w:p w14:paraId="33CFEBDC" w14:textId="7F9804C8" w:rsidR="00A94606" w:rsidRPr="00D936CA" w:rsidRDefault="00A94606" w:rsidP="00D936CA">
            <w:pPr>
              <w:pStyle w:val="IFTnormal"/>
              <w:spacing w:after="120" w:line="240" w:lineRule="auto"/>
              <w:rPr>
                <w:sz w:val="20"/>
                <w:szCs w:val="20"/>
              </w:rPr>
            </w:pPr>
            <w:r w:rsidRPr="00D936CA">
              <w:rPr>
                <w:sz w:val="20"/>
                <w:szCs w:val="20"/>
              </w:rPr>
              <w:t>En caso de que resulte en una visita en falso se deberán cubrir los gastos por la parte que incumplió (CS o Telmex).</w:t>
            </w:r>
          </w:p>
          <w:p w14:paraId="33CFEBDD" w14:textId="77777777" w:rsidR="00A94606" w:rsidRPr="00D936CA" w:rsidRDefault="00A94606" w:rsidP="00D936CA">
            <w:pPr>
              <w:pStyle w:val="IFTnormal"/>
              <w:spacing w:after="120" w:line="240" w:lineRule="auto"/>
              <w:rPr>
                <w:sz w:val="20"/>
                <w:szCs w:val="20"/>
              </w:rPr>
            </w:pPr>
            <w:r w:rsidRPr="00D936CA">
              <w:rPr>
                <w:sz w:val="20"/>
                <w:szCs w:val="20"/>
              </w:rPr>
              <w:t>Se indicará si se desea realizar la reprogramación de la habilitación o cancelar el servicio.</w:t>
            </w:r>
          </w:p>
        </w:tc>
      </w:tr>
      <w:tr w:rsidR="00D936CA" w:rsidRPr="00D936CA" w14:paraId="33CFEBE1" w14:textId="77777777" w:rsidTr="00060B2E">
        <w:tc>
          <w:tcPr>
            <w:tcW w:w="1496" w:type="pct"/>
          </w:tcPr>
          <w:p w14:paraId="33CFEBDF" w14:textId="77777777" w:rsidR="00A94606" w:rsidRPr="00D936CA" w:rsidRDefault="00A94606" w:rsidP="00D936CA">
            <w:pPr>
              <w:pStyle w:val="IFTnormal"/>
              <w:jc w:val="left"/>
              <w:rPr>
                <w:b/>
                <w:sz w:val="20"/>
                <w:szCs w:val="20"/>
              </w:rPr>
            </w:pPr>
            <w:r w:rsidRPr="00D936CA">
              <w:rPr>
                <w:b/>
                <w:sz w:val="20"/>
                <w:szCs w:val="20"/>
              </w:rPr>
              <w:lastRenderedPageBreak/>
              <w:t>Pruebas de Aceptación del Servicio</w:t>
            </w:r>
          </w:p>
        </w:tc>
        <w:tc>
          <w:tcPr>
            <w:tcW w:w="3504" w:type="pct"/>
          </w:tcPr>
          <w:p w14:paraId="33CFEBE0" w14:textId="199BBB3C" w:rsidR="00A94606" w:rsidRPr="00D936CA" w:rsidRDefault="00A94606" w:rsidP="00D936CA">
            <w:pPr>
              <w:pStyle w:val="IFTnormal"/>
              <w:rPr>
                <w:sz w:val="20"/>
                <w:szCs w:val="20"/>
              </w:rPr>
            </w:pPr>
            <w:r w:rsidRPr="00D936CA">
              <w:rPr>
                <w:sz w:val="20"/>
                <w:szCs w:val="20"/>
              </w:rPr>
              <w:t>Una vez realizada la activación y sincronía, Telmex realizará una prueba de sincronía la cual será almacenada en el SEG, para que el CS pueda consultarla.</w:t>
            </w:r>
          </w:p>
        </w:tc>
      </w:tr>
      <w:tr w:rsidR="00D936CA" w:rsidRPr="00D936CA" w14:paraId="33CFEBE4" w14:textId="77777777" w:rsidTr="00060B2E">
        <w:tc>
          <w:tcPr>
            <w:tcW w:w="1496" w:type="pct"/>
          </w:tcPr>
          <w:p w14:paraId="33CFEBE2" w14:textId="77777777" w:rsidR="00A94606" w:rsidRPr="00D936CA" w:rsidRDefault="00A94606" w:rsidP="00D936CA">
            <w:pPr>
              <w:pStyle w:val="IFTnormal"/>
              <w:jc w:val="left"/>
              <w:rPr>
                <w:b/>
                <w:sz w:val="20"/>
                <w:szCs w:val="20"/>
              </w:rPr>
            </w:pPr>
            <w:r w:rsidRPr="00D936CA">
              <w:rPr>
                <w:b/>
                <w:sz w:val="20"/>
                <w:szCs w:val="20"/>
              </w:rPr>
              <w:t>Facturación</w:t>
            </w:r>
          </w:p>
        </w:tc>
        <w:tc>
          <w:tcPr>
            <w:tcW w:w="3504" w:type="pct"/>
          </w:tcPr>
          <w:p w14:paraId="33CFEBE3" w14:textId="77777777" w:rsidR="00A94606" w:rsidRPr="00D936CA" w:rsidRDefault="00A94606" w:rsidP="00D936CA">
            <w:pPr>
              <w:pStyle w:val="IFTnormal"/>
              <w:rPr>
                <w:sz w:val="20"/>
                <w:szCs w:val="20"/>
              </w:rPr>
            </w:pPr>
            <w:r w:rsidRPr="00D936CA">
              <w:rPr>
                <w:sz w:val="20"/>
                <w:szCs w:val="20"/>
              </w:rPr>
              <w:t>Al corte del mes se realizará la facturación de los gastos de habilitación y de la renta correspondiente al perfil habilitado de acuerdo con los precios establecidos en el anexo de Tarifas correspondiente de esta OREDA.</w:t>
            </w:r>
          </w:p>
        </w:tc>
      </w:tr>
    </w:tbl>
    <w:p w14:paraId="33CFEBE5" w14:textId="77777777" w:rsidR="001442A1" w:rsidRPr="00D936CA" w:rsidRDefault="001442A1" w:rsidP="00060B2E">
      <w:pPr>
        <w:pStyle w:val="IFTnormal"/>
        <w:ind w:left="-567" w:right="-142"/>
      </w:pPr>
      <w:r w:rsidRPr="00D936CA">
        <w:t xml:space="preserve">Nota: </w:t>
      </w:r>
    </w:p>
    <w:p w14:paraId="33CFEBE6" w14:textId="1E4F91AE" w:rsidR="001442A1" w:rsidRPr="00D936CA" w:rsidRDefault="001442A1" w:rsidP="00060B2E">
      <w:pPr>
        <w:pStyle w:val="IFTnormal"/>
        <w:ind w:left="-567" w:right="-142"/>
      </w:pPr>
      <w:r w:rsidRPr="00D936CA">
        <w:lastRenderedPageBreak/>
        <w:t xml:space="preserve">La configuración del </w:t>
      </w:r>
      <w:r w:rsidR="00125A55" w:rsidRPr="00D936CA">
        <w:t>m</w:t>
      </w:r>
      <w:r w:rsidRPr="00D936CA">
        <w:t>ódem/ONT</w:t>
      </w:r>
      <w:r w:rsidR="0047419F" w:rsidRPr="00D936CA">
        <w:t>,</w:t>
      </w:r>
      <w:r w:rsidRPr="00D936CA">
        <w:t xml:space="preserve"> </w:t>
      </w:r>
      <w:r w:rsidR="00125A55" w:rsidRPr="00D936CA">
        <w:t>cuando aplique</w:t>
      </w:r>
      <w:r w:rsidR="0047419F" w:rsidRPr="00D936CA">
        <w:t>,</w:t>
      </w:r>
      <w:r w:rsidRPr="00D936CA">
        <w:t xml:space="preserve"> y la provisión de los servicios de datos, son responsabilidad del CS.</w:t>
      </w:r>
      <w:r w:rsidR="00280C7F" w:rsidRPr="00D936CA">
        <w:t xml:space="preserve"> A tal efecto y cuando Telmex sea encargado de la instalación de la ONT el CS le suministrará los parámetros de configuración que correspondan.</w:t>
      </w:r>
    </w:p>
    <w:p w14:paraId="33CFEBE7" w14:textId="1872E136" w:rsidR="00A94606" w:rsidRPr="00D936CA" w:rsidRDefault="00A94606" w:rsidP="00060B2E">
      <w:pPr>
        <w:pStyle w:val="IFTnormal"/>
        <w:ind w:left="-567" w:right="-142"/>
        <w:rPr>
          <w:b/>
          <w:lang w:val="es-ES"/>
        </w:rPr>
      </w:pPr>
      <w:r w:rsidRPr="00D936CA">
        <w:rPr>
          <w:rFonts w:cs="Arial"/>
        </w:rPr>
        <w:t>Asimismo</w:t>
      </w:r>
      <w:r w:rsidR="00344DCF">
        <w:rPr>
          <w:rFonts w:cs="Arial"/>
        </w:rPr>
        <w:t>,</w:t>
      </w:r>
      <w:r w:rsidRPr="00D936CA">
        <w:rPr>
          <w:rFonts w:cs="Arial"/>
        </w:rPr>
        <w:t xml:space="preserve"> se debe considerar que el cambio de Concesionario deberá ser transparente para el usuario final, es decir, en caso de afectación del servicio deberá considerar como máximo un plazo de 30 min</w:t>
      </w:r>
      <w:r w:rsidR="0047419F" w:rsidRPr="00D936CA">
        <w:rPr>
          <w:rFonts w:cs="Arial"/>
        </w:rPr>
        <w:t>utos</w:t>
      </w:r>
      <w:r w:rsidRPr="00D936CA">
        <w:rPr>
          <w:rFonts w:cs="Arial"/>
        </w:rPr>
        <w:t>.</w:t>
      </w:r>
    </w:p>
    <w:p w14:paraId="33CFEBE8" w14:textId="77777777" w:rsidR="001442A1" w:rsidRPr="00D936CA" w:rsidRDefault="001442A1" w:rsidP="00060B2E">
      <w:pPr>
        <w:pStyle w:val="IFTnormal"/>
        <w:ind w:left="-567" w:right="-142"/>
        <w:rPr>
          <w:b/>
        </w:rPr>
      </w:pPr>
      <w:r w:rsidRPr="00D936CA">
        <w:rPr>
          <w:b/>
        </w:rPr>
        <w:t>Citas para la instalación de servicios:</w:t>
      </w:r>
    </w:p>
    <w:p w14:paraId="33CFEBE9" w14:textId="77777777" w:rsidR="001442A1" w:rsidRPr="00D936CA" w:rsidRDefault="001442A1" w:rsidP="00060B2E">
      <w:pPr>
        <w:pStyle w:val="IFTnormal"/>
        <w:ind w:left="-567" w:right="-142"/>
      </w:pPr>
      <w:r w:rsidRPr="00D936CA">
        <w:t>Este procedimiento indica la forma en la que se agendarán las citas para atender servicios que requieran la presencia de un técnico de Telmex en el domicilio del Usuario Final.</w:t>
      </w:r>
    </w:p>
    <w:tbl>
      <w:tblPr>
        <w:tblStyle w:val="Tablaconcuadrcula"/>
        <w:tblW w:w="10207" w:type="dxa"/>
        <w:tblInd w:w="-714" w:type="dxa"/>
        <w:tblLook w:val="04A0" w:firstRow="1" w:lastRow="0" w:firstColumn="1" w:lastColumn="0" w:noHBand="0" w:noVBand="1"/>
      </w:tblPr>
      <w:tblGrid>
        <w:gridCol w:w="4401"/>
        <w:gridCol w:w="5806"/>
      </w:tblGrid>
      <w:tr w:rsidR="00344DCF" w:rsidRPr="00D936CA" w14:paraId="33CFEBEC" w14:textId="77777777" w:rsidTr="00060B2E">
        <w:tc>
          <w:tcPr>
            <w:tcW w:w="4401" w:type="dxa"/>
          </w:tcPr>
          <w:p w14:paraId="33CFEBEA" w14:textId="77777777" w:rsidR="00A94606" w:rsidRPr="00D936CA" w:rsidRDefault="00A94606" w:rsidP="00060B2E">
            <w:pPr>
              <w:pStyle w:val="IFTnormal"/>
              <w:jc w:val="center"/>
              <w:rPr>
                <w:b/>
                <w:sz w:val="20"/>
                <w:szCs w:val="20"/>
              </w:rPr>
            </w:pPr>
            <w:r w:rsidRPr="00D936CA">
              <w:rPr>
                <w:b/>
                <w:sz w:val="20"/>
                <w:szCs w:val="20"/>
              </w:rPr>
              <w:t>Actividad</w:t>
            </w:r>
          </w:p>
        </w:tc>
        <w:tc>
          <w:tcPr>
            <w:tcW w:w="5806" w:type="dxa"/>
          </w:tcPr>
          <w:p w14:paraId="33CFEBEB" w14:textId="77777777" w:rsidR="00A94606" w:rsidRPr="00D936CA" w:rsidRDefault="00A94606" w:rsidP="00060B2E">
            <w:pPr>
              <w:pStyle w:val="IFTnormal"/>
              <w:jc w:val="center"/>
              <w:rPr>
                <w:b/>
                <w:sz w:val="20"/>
                <w:szCs w:val="20"/>
              </w:rPr>
            </w:pPr>
            <w:r w:rsidRPr="00D936CA">
              <w:rPr>
                <w:b/>
                <w:sz w:val="20"/>
                <w:szCs w:val="20"/>
              </w:rPr>
              <w:t>Descripción</w:t>
            </w:r>
          </w:p>
        </w:tc>
      </w:tr>
      <w:tr w:rsidR="00344DCF" w:rsidRPr="00D936CA" w14:paraId="33CFEBEF" w14:textId="77777777" w:rsidTr="00060B2E">
        <w:tc>
          <w:tcPr>
            <w:tcW w:w="4401" w:type="dxa"/>
          </w:tcPr>
          <w:p w14:paraId="33CFEBED" w14:textId="77777777" w:rsidR="00A94606" w:rsidRPr="00D936CA" w:rsidRDefault="00A94606" w:rsidP="00344DCF">
            <w:pPr>
              <w:pStyle w:val="IFTnormal"/>
              <w:rPr>
                <w:b/>
                <w:sz w:val="20"/>
                <w:szCs w:val="20"/>
              </w:rPr>
            </w:pPr>
            <w:r w:rsidRPr="00D936CA">
              <w:rPr>
                <w:b/>
                <w:sz w:val="20"/>
                <w:szCs w:val="20"/>
              </w:rPr>
              <w:t>Programación de visita</w:t>
            </w:r>
          </w:p>
        </w:tc>
        <w:tc>
          <w:tcPr>
            <w:tcW w:w="5806" w:type="dxa"/>
          </w:tcPr>
          <w:p w14:paraId="33CFEBEE" w14:textId="765A7A8D" w:rsidR="00A94606" w:rsidRPr="00D936CA" w:rsidRDefault="00F644F3" w:rsidP="00D936CA">
            <w:pPr>
              <w:pStyle w:val="IFTnormal"/>
              <w:rPr>
                <w:sz w:val="20"/>
                <w:szCs w:val="20"/>
              </w:rPr>
            </w:pPr>
            <w:r>
              <w:rPr>
                <w:sz w:val="20"/>
                <w:szCs w:val="20"/>
              </w:rPr>
              <w:t>D</w:t>
            </w:r>
            <w:r w:rsidRPr="00F644F3">
              <w:rPr>
                <w:sz w:val="20"/>
                <w:szCs w:val="20"/>
              </w:rPr>
              <w:t xml:space="preserve">e acuerdo con las prácticas comerciales de Telmex </w:t>
            </w:r>
            <w:r>
              <w:rPr>
                <w:sz w:val="20"/>
                <w:szCs w:val="20"/>
              </w:rPr>
              <w:t>y</w:t>
            </w:r>
            <w:r w:rsidRPr="00F644F3">
              <w:rPr>
                <w:sz w:val="20"/>
                <w:szCs w:val="20"/>
              </w:rPr>
              <w:t xml:space="preserve"> en los mismos términos y condiciones que</w:t>
            </w:r>
            <w:r>
              <w:rPr>
                <w:sz w:val="20"/>
                <w:szCs w:val="20"/>
              </w:rPr>
              <w:t xml:space="preserve"> </w:t>
            </w:r>
            <w:r w:rsidRPr="00F644F3">
              <w:rPr>
                <w:sz w:val="20"/>
                <w:szCs w:val="20"/>
              </w:rPr>
              <w:t>sus propias operaciones</w:t>
            </w:r>
            <w:r>
              <w:rPr>
                <w:sz w:val="20"/>
                <w:szCs w:val="20"/>
              </w:rPr>
              <w:t>,</w:t>
            </w:r>
            <w:r w:rsidRPr="00F644F3">
              <w:rPr>
                <w:sz w:val="20"/>
                <w:szCs w:val="20"/>
              </w:rPr>
              <w:t xml:space="preserve"> </w:t>
            </w:r>
            <w:r w:rsidR="00A94606" w:rsidRPr="00D936CA">
              <w:rPr>
                <w:sz w:val="20"/>
                <w:szCs w:val="20"/>
              </w:rPr>
              <w:t xml:space="preserve">Telmex proporcionará fecha y </w:t>
            </w:r>
            <w:r w:rsidR="00A52DA2">
              <w:rPr>
                <w:sz w:val="20"/>
                <w:szCs w:val="20"/>
              </w:rPr>
              <w:t>ventana de tiempo para la atención del servicio (matutino/vespertino)</w:t>
            </w:r>
            <w:r w:rsidR="00A94606" w:rsidRPr="00D936CA">
              <w:rPr>
                <w:sz w:val="20"/>
                <w:szCs w:val="20"/>
              </w:rPr>
              <w:t xml:space="preserve"> para </w:t>
            </w:r>
            <w:r>
              <w:rPr>
                <w:sz w:val="20"/>
                <w:szCs w:val="20"/>
              </w:rPr>
              <w:t xml:space="preserve">la </w:t>
            </w:r>
            <w:r w:rsidR="00A94606" w:rsidRPr="00D936CA">
              <w:rPr>
                <w:sz w:val="20"/>
                <w:szCs w:val="20"/>
              </w:rPr>
              <w:t>instalación una vez confirmada la Factibilidad Técnica</w:t>
            </w:r>
            <w:r w:rsidR="00495F5B">
              <w:rPr>
                <w:sz w:val="20"/>
                <w:szCs w:val="20"/>
              </w:rPr>
              <w:t xml:space="preserve"> con base en la capacidad de atención de los técnicos</w:t>
            </w:r>
            <w:r>
              <w:rPr>
                <w:sz w:val="20"/>
                <w:szCs w:val="20"/>
              </w:rPr>
              <w:t xml:space="preserve"> por turno</w:t>
            </w:r>
            <w:r w:rsidR="00A94606" w:rsidRPr="00060B2E">
              <w:rPr>
                <w:sz w:val="20"/>
                <w:szCs w:val="20"/>
              </w:rPr>
              <w:t>.</w:t>
            </w:r>
          </w:p>
        </w:tc>
      </w:tr>
      <w:tr w:rsidR="00344DCF" w:rsidRPr="00D936CA" w14:paraId="33CFEBF2" w14:textId="77777777" w:rsidTr="00060B2E">
        <w:tc>
          <w:tcPr>
            <w:tcW w:w="4401" w:type="dxa"/>
          </w:tcPr>
          <w:p w14:paraId="33CFEBF0" w14:textId="77777777" w:rsidR="00A94606" w:rsidRPr="00D936CA" w:rsidRDefault="00A94606" w:rsidP="00344DCF">
            <w:pPr>
              <w:pStyle w:val="IFTnormal"/>
              <w:rPr>
                <w:b/>
                <w:sz w:val="20"/>
                <w:szCs w:val="20"/>
              </w:rPr>
            </w:pPr>
            <w:r w:rsidRPr="00D936CA">
              <w:rPr>
                <w:b/>
                <w:sz w:val="20"/>
                <w:szCs w:val="20"/>
              </w:rPr>
              <w:t>Confirmación de visita</w:t>
            </w:r>
          </w:p>
        </w:tc>
        <w:tc>
          <w:tcPr>
            <w:tcW w:w="5806" w:type="dxa"/>
          </w:tcPr>
          <w:p w14:paraId="33CFEBF1" w14:textId="4D5B54BE" w:rsidR="00A94606" w:rsidRPr="00D936CA" w:rsidRDefault="00A94606" w:rsidP="00D936CA">
            <w:pPr>
              <w:pStyle w:val="IFTnormal"/>
              <w:rPr>
                <w:sz w:val="20"/>
                <w:szCs w:val="20"/>
              </w:rPr>
            </w:pPr>
            <w:r w:rsidRPr="00D936CA">
              <w:rPr>
                <w:sz w:val="20"/>
                <w:szCs w:val="20"/>
              </w:rPr>
              <w:t>El CS podrá confirmar la fecha y</w:t>
            </w:r>
            <w:r w:rsidR="00A52DA2">
              <w:rPr>
                <w:sz w:val="20"/>
                <w:szCs w:val="20"/>
              </w:rPr>
              <w:t xml:space="preserve"> ventana de tiempo para la atención del servicio (matutino/vespertino)</w:t>
            </w:r>
            <w:r w:rsidRPr="00D936CA">
              <w:rPr>
                <w:sz w:val="20"/>
                <w:szCs w:val="20"/>
              </w:rPr>
              <w:t xml:space="preserve"> proporcionados por Telmex o sugerir </w:t>
            </w:r>
            <w:r w:rsidR="00A52DA2">
              <w:rPr>
                <w:sz w:val="20"/>
                <w:szCs w:val="20"/>
              </w:rPr>
              <w:t>otra ventana</w:t>
            </w:r>
            <w:r w:rsidRPr="00D936CA">
              <w:rPr>
                <w:sz w:val="20"/>
                <w:szCs w:val="20"/>
              </w:rPr>
              <w:t xml:space="preserve"> y/o fecha para instalación.</w:t>
            </w:r>
          </w:p>
        </w:tc>
      </w:tr>
      <w:tr w:rsidR="00344DCF" w:rsidRPr="00D936CA" w14:paraId="33CFEBF5" w14:textId="77777777" w:rsidTr="00060B2E">
        <w:tc>
          <w:tcPr>
            <w:tcW w:w="4401" w:type="dxa"/>
          </w:tcPr>
          <w:p w14:paraId="33CFEBF3" w14:textId="77777777" w:rsidR="00A94606" w:rsidRPr="00D936CA" w:rsidRDefault="00A94606" w:rsidP="00344DCF">
            <w:pPr>
              <w:pStyle w:val="IFTnormal"/>
              <w:rPr>
                <w:b/>
                <w:sz w:val="20"/>
                <w:szCs w:val="20"/>
              </w:rPr>
            </w:pPr>
            <w:r w:rsidRPr="00D936CA">
              <w:rPr>
                <w:b/>
                <w:sz w:val="20"/>
                <w:szCs w:val="20"/>
              </w:rPr>
              <w:t>Reprogramación de visita</w:t>
            </w:r>
          </w:p>
        </w:tc>
        <w:tc>
          <w:tcPr>
            <w:tcW w:w="5806" w:type="dxa"/>
          </w:tcPr>
          <w:p w14:paraId="33CFEBF4" w14:textId="43CEE77F" w:rsidR="00A94606" w:rsidRPr="00D936CA" w:rsidRDefault="00A94606" w:rsidP="00D936CA">
            <w:pPr>
              <w:pStyle w:val="IFTnormal"/>
              <w:rPr>
                <w:sz w:val="20"/>
                <w:szCs w:val="20"/>
              </w:rPr>
            </w:pPr>
            <w:r w:rsidRPr="00D936CA">
              <w:rPr>
                <w:sz w:val="20"/>
                <w:szCs w:val="20"/>
              </w:rPr>
              <w:t>El CS tendrá hasta 3 oportunidades de programar la instalación antes de que Telmex asista por primera vez al domicilio del Usuario Final</w:t>
            </w:r>
            <w:r w:rsidR="00495F5B">
              <w:rPr>
                <w:sz w:val="20"/>
                <w:szCs w:val="20"/>
              </w:rPr>
              <w:t xml:space="preserve"> </w:t>
            </w:r>
            <w:r w:rsidR="00495F5B" w:rsidRPr="00060B2E">
              <w:rPr>
                <w:sz w:val="20"/>
                <w:szCs w:val="20"/>
              </w:rPr>
              <w:t>para lo cual deberá dar aviso a Telmex con al menos 48 horas de anticipación</w:t>
            </w:r>
            <w:r w:rsidRPr="00A350CB">
              <w:rPr>
                <w:sz w:val="20"/>
                <w:szCs w:val="20"/>
              </w:rPr>
              <w:t>,</w:t>
            </w:r>
            <w:r w:rsidRPr="00D936CA">
              <w:rPr>
                <w:sz w:val="20"/>
                <w:szCs w:val="20"/>
              </w:rPr>
              <w:t xml:space="preserve"> si la fecha de programación excede los plazos estipulados en la Oferta de Referencia, dicha instalación no se considerará para la evaluación de los indicadores de calidad.</w:t>
            </w:r>
          </w:p>
        </w:tc>
      </w:tr>
      <w:tr w:rsidR="00344DCF" w:rsidRPr="00D936CA" w14:paraId="33CFEC01" w14:textId="77777777" w:rsidTr="00060B2E">
        <w:tc>
          <w:tcPr>
            <w:tcW w:w="4401" w:type="dxa"/>
          </w:tcPr>
          <w:p w14:paraId="33CFEBF6" w14:textId="77777777" w:rsidR="00A94606" w:rsidRPr="00D936CA" w:rsidRDefault="00A94606" w:rsidP="00344DCF">
            <w:pPr>
              <w:pStyle w:val="IFTnormal"/>
              <w:rPr>
                <w:b/>
                <w:sz w:val="20"/>
                <w:szCs w:val="20"/>
              </w:rPr>
            </w:pPr>
            <w:r w:rsidRPr="00D936CA">
              <w:rPr>
                <w:b/>
                <w:sz w:val="20"/>
                <w:szCs w:val="20"/>
              </w:rPr>
              <w:t>Visita en falso</w:t>
            </w:r>
          </w:p>
        </w:tc>
        <w:tc>
          <w:tcPr>
            <w:tcW w:w="5806" w:type="dxa"/>
          </w:tcPr>
          <w:p w14:paraId="33CFEBF7" w14:textId="77777777" w:rsidR="00A94606" w:rsidRPr="00D936CA" w:rsidRDefault="00A94606" w:rsidP="00D936CA">
            <w:pPr>
              <w:pStyle w:val="IFTnormal"/>
              <w:rPr>
                <w:sz w:val="20"/>
                <w:szCs w:val="20"/>
              </w:rPr>
            </w:pPr>
            <w:r w:rsidRPr="00D936CA">
              <w:rPr>
                <w:b/>
                <w:sz w:val="20"/>
                <w:szCs w:val="20"/>
              </w:rPr>
              <w:t>Atribuible a CS o Usuario Final</w:t>
            </w:r>
            <w:r w:rsidRPr="00D936CA">
              <w:rPr>
                <w:sz w:val="20"/>
                <w:szCs w:val="20"/>
              </w:rPr>
              <w:t xml:space="preserve">. En caso de que Telmex se presente en el domicilio del Usuario Final y no sea factible probar la acometida y habilitar el servicio por razones asociadas al usuario o al CS, Telmex desde el sitio (fuera del domicilio) contactará al CS para informar que el usuario no lo atendió o no se encontró en el domicilio, Telmex esperará </w:t>
            </w:r>
            <w:r w:rsidRPr="00A350CB">
              <w:rPr>
                <w:sz w:val="20"/>
                <w:szCs w:val="20"/>
              </w:rPr>
              <w:t>al menos 15 minutos</w:t>
            </w:r>
            <w:r w:rsidRPr="00D936CA">
              <w:rPr>
                <w:sz w:val="20"/>
                <w:szCs w:val="20"/>
              </w:rPr>
              <w:t xml:space="preserve"> para realizar la prueba y habilitar el servicio, el CS tendrá ese tiempo para solucionar la situación con su usuario. Si </w:t>
            </w:r>
            <w:r w:rsidRPr="00D936CA">
              <w:rPr>
                <w:sz w:val="20"/>
                <w:szCs w:val="20"/>
              </w:rPr>
              <w:lastRenderedPageBreak/>
              <w:t>durante este periodo no fue posible ejecutar la prueba de la cometida y habilitación del servicio, el CS deberá:</w:t>
            </w:r>
          </w:p>
          <w:p w14:paraId="33CFEBF8" w14:textId="589D5FB8" w:rsidR="00A94606" w:rsidRPr="00D936CA" w:rsidRDefault="00A94606" w:rsidP="00D936CA">
            <w:pPr>
              <w:pStyle w:val="IFTnormal"/>
              <w:numPr>
                <w:ilvl w:val="0"/>
                <w:numId w:val="103"/>
              </w:numPr>
              <w:rPr>
                <w:sz w:val="20"/>
                <w:szCs w:val="20"/>
              </w:rPr>
            </w:pPr>
            <w:r w:rsidRPr="00D936CA">
              <w:rPr>
                <w:sz w:val="20"/>
                <w:szCs w:val="20"/>
              </w:rPr>
              <w:t>Cubrir los gastos de la visita en falso.</w:t>
            </w:r>
          </w:p>
          <w:p w14:paraId="33CFEBF9" w14:textId="77777777" w:rsidR="00A94606" w:rsidRPr="00D936CA" w:rsidRDefault="00A94606" w:rsidP="00D936CA">
            <w:pPr>
              <w:pStyle w:val="IFTnormal"/>
              <w:numPr>
                <w:ilvl w:val="0"/>
                <w:numId w:val="103"/>
              </w:numPr>
              <w:rPr>
                <w:sz w:val="20"/>
                <w:szCs w:val="20"/>
              </w:rPr>
            </w:pPr>
            <w:r w:rsidRPr="00D936CA">
              <w:rPr>
                <w:sz w:val="20"/>
                <w:szCs w:val="20"/>
              </w:rPr>
              <w:t>Indicar si desea realizar la reprogramación de la prueba y habilitación del servicio.</w:t>
            </w:r>
          </w:p>
          <w:p w14:paraId="33CFEBFA" w14:textId="77777777" w:rsidR="00A94606" w:rsidRPr="00D936CA" w:rsidRDefault="00A94606" w:rsidP="00D936CA">
            <w:pPr>
              <w:pStyle w:val="IFTnormal"/>
              <w:numPr>
                <w:ilvl w:val="0"/>
                <w:numId w:val="103"/>
              </w:numPr>
              <w:rPr>
                <w:sz w:val="20"/>
                <w:szCs w:val="20"/>
              </w:rPr>
            </w:pPr>
            <w:r w:rsidRPr="00D936CA">
              <w:rPr>
                <w:sz w:val="20"/>
                <w:szCs w:val="20"/>
              </w:rPr>
              <w:t>Cancelar la solicitud en caso de que desee rechazar el servicio.</w:t>
            </w:r>
          </w:p>
          <w:p w14:paraId="33CFEBFB" w14:textId="7393D13E" w:rsidR="00A94606" w:rsidRPr="00D936CA" w:rsidRDefault="00A94606" w:rsidP="00D936CA">
            <w:pPr>
              <w:pStyle w:val="IFTnormal"/>
              <w:rPr>
                <w:sz w:val="20"/>
                <w:szCs w:val="20"/>
              </w:rPr>
            </w:pPr>
            <w:r w:rsidRPr="00D936CA">
              <w:rPr>
                <w:b/>
                <w:sz w:val="20"/>
                <w:szCs w:val="20"/>
              </w:rPr>
              <w:t>Atribuible a Telmex.</w:t>
            </w:r>
            <w:r w:rsidRPr="00D936CA">
              <w:rPr>
                <w:sz w:val="20"/>
                <w:szCs w:val="20"/>
              </w:rPr>
              <w:t xml:space="preserve"> Si por causas atribuibles a Telmex no fue factible realizar la prueba de la acometida y habilitación del servicio, se informará al CS a través del SEG la justificación de los motivos descritos en el apartado 1.4.2, y Telmex deberá:</w:t>
            </w:r>
          </w:p>
          <w:p w14:paraId="33CFEBFD" w14:textId="1168A302" w:rsidR="00A94606" w:rsidRPr="00D936CA" w:rsidRDefault="00280991" w:rsidP="00D936CA">
            <w:pPr>
              <w:pStyle w:val="IFTnormal"/>
              <w:numPr>
                <w:ilvl w:val="0"/>
                <w:numId w:val="104"/>
              </w:numPr>
              <w:rPr>
                <w:sz w:val="20"/>
                <w:szCs w:val="20"/>
              </w:rPr>
            </w:pPr>
            <w:r>
              <w:rPr>
                <w:sz w:val="20"/>
                <w:szCs w:val="20"/>
              </w:rPr>
              <w:t xml:space="preserve">Tramitar en tiempo y forma la </w:t>
            </w:r>
            <w:r w:rsidR="00A94606" w:rsidRPr="00D936CA">
              <w:rPr>
                <w:sz w:val="20"/>
                <w:szCs w:val="20"/>
              </w:rPr>
              <w:t xml:space="preserve">nueva fecha </w:t>
            </w:r>
            <w:r>
              <w:rPr>
                <w:sz w:val="20"/>
                <w:szCs w:val="20"/>
              </w:rPr>
              <w:t xml:space="preserve">propuesta por el CS </w:t>
            </w:r>
            <w:r w:rsidR="00A94606" w:rsidRPr="00D936CA">
              <w:rPr>
                <w:sz w:val="20"/>
                <w:szCs w:val="20"/>
              </w:rPr>
              <w:t>para concluir la habilitación del servicio.</w:t>
            </w:r>
          </w:p>
          <w:p w14:paraId="33CFEBFE" w14:textId="77777777" w:rsidR="00A94606" w:rsidRPr="00D936CA" w:rsidRDefault="00A94606" w:rsidP="00D936CA">
            <w:pPr>
              <w:pStyle w:val="IFTnormal"/>
              <w:rPr>
                <w:sz w:val="20"/>
                <w:szCs w:val="20"/>
              </w:rPr>
            </w:pPr>
            <w:r w:rsidRPr="00D936CA">
              <w:rPr>
                <w:b/>
                <w:sz w:val="20"/>
                <w:szCs w:val="20"/>
              </w:rPr>
              <w:t>Tercer visita atribuible a Usuario Final.</w:t>
            </w:r>
            <w:r w:rsidRPr="00D936CA">
              <w:rPr>
                <w:sz w:val="20"/>
                <w:szCs w:val="20"/>
              </w:rPr>
              <w:t xml:space="preserve"> Si no fue posible la instalación de la acometida en la tercera visita o durante los días hábiles programados por razones asociadas al usuario, el CS deberá:</w:t>
            </w:r>
          </w:p>
          <w:p w14:paraId="33CFEBFF" w14:textId="77777777" w:rsidR="00A94606" w:rsidRPr="00D936CA" w:rsidRDefault="00A94606" w:rsidP="00D936CA">
            <w:pPr>
              <w:pStyle w:val="IFTnormal"/>
              <w:numPr>
                <w:ilvl w:val="0"/>
                <w:numId w:val="105"/>
              </w:numPr>
              <w:rPr>
                <w:sz w:val="20"/>
                <w:szCs w:val="20"/>
              </w:rPr>
            </w:pPr>
            <w:r w:rsidRPr="00D936CA">
              <w:rPr>
                <w:sz w:val="20"/>
                <w:szCs w:val="20"/>
              </w:rPr>
              <w:t>Reingresar la solicitud en caso de que desee programar nuevamente la instalación.</w:t>
            </w:r>
          </w:p>
          <w:p w14:paraId="40090F73" w14:textId="5022F8B9" w:rsidR="00280991" w:rsidRPr="00280991" w:rsidRDefault="00A94606" w:rsidP="00060B2E">
            <w:pPr>
              <w:pStyle w:val="IFTnormal"/>
              <w:numPr>
                <w:ilvl w:val="0"/>
                <w:numId w:val="105"/>
              </w:numPr>
              <w:rPr>
                <w:sz w:val="20"/>
                <w:szCs w:val="20"/>
              </w:rPr>
            </w:pPr>
            <w:r w:rsidRPr="00D936CA">
              <w:rPr>
                <w:sz w:val="20"/>
                <w:szCs w:val="20"/>
              </w:rPr>
              <w:t>Cancelar la solicitud en caso de que desee rechazar el servicio.</w:t>
            </w:r>
          </w:p>
          <w:p w14:paraId="33CFEC00" w14:textId="536B08CA" w:rsidR="00280991" w:rsidRPr="00D936CA" w:rsidRDefault="00280991" w:rsidP="00060B2E">
            <w:pPr>
              <w:pStyle w:val="IFTnormal"/>
              <w:rPr>
                <w:sz w:val="20"/>
                <w:szCs w:val="20"/>
              </w:rPr>
            </w:pPr>
            <w:r w:rsidRPr="00060B2E">
              <w:rPr>
                <w:sz w:val="20"/>
                <w:szCs w:val="20"/>
              </w:rPr>
              <w:t xml:space="preserve">En caso de que el CS no reingrese la solicitud o la cancele en un plazo máximo de </w:t>
            </w:r>
            <w:r w:rsidR="00A350CB" w:rsidRPr="00060B2E">
              <w:rPr>
                <w:sz w:val="20"/>
                <w:szCs w:val="20"/>
              </w:rPr>
              <w:t>2</w:t>
            </w:r>
            <w:r w:rsidRPr="00060B2E">
              <w:rPr>
                <w:sz w:val="20"/>
                <w:szCs w:val="20"/>
              </w:rPr>
              <w:t xml:space="preserve"> días hábiles, se entenderá que no requiere el servicio y se cancelará la solicitud.</w:t>
            </w:r>
          </w:p>
        </w:tc>
      </w:tr>
    </w:tbl>
    <w:p w14:paraId="33CFEC02" w14:textId="77777777" w:rsidR="00A94606" w:rsidRPr="00D936CA" w:rsidRDefault="00A94606" w:rsidP="00D936CA">
      <w:pPr>
        <w:pStyle w:val="IFTnormal"/>
      </w:pPr>
    </w:p>
    <w:p w14:paraId="33CFEC03" w14:textId="77777777" w:rsidR="00A94606" w:rsidRPr="00D936CA" w:rsidRDefault="00A94606" w:rsidP="00060B2E">
      <w:pPr>
        <w:pStyle w:val="IFTnormal"/>
        <w:ind w:left="-567" w:right="-142"/>
        <w:rPr>
          <w:b/>
        </w:rPr>
      </w:pPr>
      <w:r w:rsidRPr="00D936CA">
        <w:rPr>
          <w:b/>
        </w:rPr>
        <w:t>Nota:</w:t>
      </w:r>
    </w:p>
    <w:p w14:paraId="33CFEC04" w14:textId="20B1A779" w:rsidR="00A94606" w:rsidRPr="00D936CA" w:rsidRDefault="00A94606" w:rsidP="00060B2E">
      <w:pPr>
        <w:pStyle w:val="IFTnormal"/>
        <w:ind w:left="-567" w:right="-142"/>
      </w:pPr>
      <w:r w:rsidRPr="00D936CA">
        <w:t xml:space="preserve">El registro, modificación y confirmación de fechas y </w:t>
      </w:r>
      <w:r w:rsidR="004D6AE4">
        <w:t>ventanas de atención</w:t>
      </w:r>
      <w:r w:rsidRPr="00D936CA">
        <w:t xml:space="preserve"> se hará a través del </w:t>
      </w:r>
      <w:r w:rsidR="00A45880" w:rsidRPr="00D936CA">
        <w:t xml:space="preserve">SEG </w:t>
      </w:r>
      <w:r w:rsidR="00A45880" w:rsidRPr="00941E7C">
        <w:t>o</w:t>
      </w:r>
      <w:r w:rsidRPr="00941E7C">
        <w:t xml:space="preserve"> al 01800-4040734.</w:t>
      </w:r>
    </w:p>
    <w:p w14:paraId="33CFEC05" w14:textId="77777777" w:rsidR="001442A1" w:rsidRPr="00D936CA" w:rsidRDefault="001442A1" w:rsidP="00060B2E">
      <w:pPr>
        <w:pStyle w:val="IFTnormal"/>
        <w:ind w:left="-567" w:right="-142"/>
        <w:rPr>
          <w:b/>
        </w:rPr>
      </w:pPr>
      <w:r w:rsidRPr="00D936CA">
        <w:rPr>
          <w:b/>
          <w:lang w:val="es-ES"/>
        </w:rPr>
        <w:t xml:space="preserve">Procedimiento de modificación de velocidad de </w:t>
      </w:r>
      <w:r w:rsidRPr="00D936CA">
        <w:rPr>
          <w:b/>
        </w:rPr>
        <w:t>SAIB</w:t>
      </w:r>
    </w:p>
    <w:p w14:paraId="33CFEC06" w14:textId="77777777" w:rsidR="001442A1" w:rsidRPr="00D936CA" w:rsidRDefault="001442A1"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modificación de los anchos de banda del SAIB a petición del CS; las fases en que se divide este procedimiento son: (i) Entrega y validación de </w:t>
      </w:r>
      <w:r w:rsidRPr="00D936CA">
        <w:rPr>
          <w:rFonts w:ascii="ITC Avant Garde" w:hAnsi="ITC Avant Garde" w:cs="Arial"/>
          <w:sz w:val="22"/>
          <w:szCs w:val="22"/>
          <w:lang w:val="es-ES" w:eastAsia="es-MX"/>
        </w:rPr>
        <w:lastRenderedPageBreak/>
        <w:t xml:space="preserve">la solicitud para que el CS manifieste su intención de modificar el ancho de banda del servicio, y la validación por parte de Telmex de que la solicitud cuenta con todos los elementos; (ii) </w:t>
      </w:r>
      <w:r w:rsidRPr="00D936CA">
        <w:rPr>
          <w:rFonts w:ascii="ITC Avant Garde" w:hAnsi="ITC Avant Garde" w:cs="Arial"/>
          <w:sz w:val="22"/>
          <w:szCs w:val="22"/>
        </w:rPr>
        <w:t>Análisis de Factibilidad técnica a fin de que Telmex pueda verificar que el ancho de banda solicitado es compatible con el bucle; y (iii) Habilitación y aprovisionamiento del servicio con la modificación solicitada, que detonará los procesos de pruebas de entrega y facturación.</w:t>
      </w:r>
    </w:p>
    <w:tbl>
      <w:tblPr>
        <w:tblStyle w:val="Tablaconcuadrcula"/>
        <w:tblW w:w="5309" w:type="pct"/>
        <w:tblInd w:w="-431" w:type="dxa"/>
        <w:tblLook w:val="04A0" w:firstRow="1" w:lastRow="0" w:firstColumn="1" w:lastColumn="0" w:noHBand="0" w:noVBand="1"/>
      </w:tblPr>
      <w:tblGrid>
        <w:gridCol w:w="2895"/>
        <w:gridCol w:w="7269"/>
      </w:tblGrid>
      <w:tr w:rsidR="00D936CA" w:rsidRPr="00D936CA" w14:paraId="33CFEC09" w14:textId="77777777" w:rsidTr="00060B2E">
        <w:tc>
          <w:tcPr>
            <w:tcW w:w="1424" w:type="pct"/>
          </w:tcPr>
          <w:p w14:paraId="33CFEC07" w14:textId="77777777" w:rsidR="00A94606" w:rsidRPr="00D936CA" w:rsidRDefault="00A94606" w:rsidP="00304B27">
            <w:pPr>
              <w:pStyle w:val="IFTnormal"/>
              <w:jc w:val="center"/>
              <w:rPr>
                <w:b/>
                <w:sz w:val="20"/>
                <w:szCs w:val="20"/>
              </w:rPr>
            </w:pPr>
            <w:r w:rsidRPr="00D936CA">
              <w:rPr>
                <w:b/>
                <w:sz w:val="20"/>
                <w:szCs w:val="20"/>
              </w:rPr>
              <w:t>Etapa</w:t>
            </w:r>
          </w:p>
        </w:tc>
        <w:tc>
          <w:tcPr>
            <w:tcW w:w="3576" w:type="pct"/>
          </w:tcPr>
          <w:p w14:paraId="33CFEC08" w14:textId="77777777" w:rsidR="00A94606" w:rsidRPr="00D936CA" w:rsidRDefault="00A94606" w:rsidP="00304B27">
            <w:pPr>
              <w:pStyle w:val="IFTnormal"/>
              <w:jc w:val="center"/>
              <w:rPr>
                <w:b/>
                <w:sz w:val="20"/>
                <w:szCs w:val="20"/>
              </w:rPr>
            </w:pPr>
            <w:r w:rsidRPr="00D936CA">
              <w:rPr>
                <w:b/>
                <w:sz w:val="20"/>
                <w:szCs w:val="20"/>
              </w:rPr>
              <w:t>Descripción</w:t>
            </w:r>
          </w:p>
        </w:tc>
      </w:tr>
      <w:tr w:rsidR="00D936CA" w:rsidRPr="00D936CA" w14:paraId="33CFEC0D" w14:textId="77777777" w:rsidTr="00060B2E">
        <w:tc>
          <w:tcPr>
            <w:tcW w:w="1424" w:type="pct"/>
          </w:tcPr>
          <w:p w14:paraId="33CFEC0A" w14:textId="77777777" w:rsidR="00A94606" w:rsidRPr="00D936CA" w:rsidRDefault="00A94606" w:rsidP="00304B27">
            <w:pPr>
              <w:pStyle w:val="IFTnormal"/>
              <w:jc w:val="left"/>
              <w:rPr>
                <w:b/>
                <w:sz w:val="20"/>
                <w:szCs w:val="20"/>
              </w:rPr>
            </w:pPr>
            <w:r w:rsidRPr="00D936CA">
              <w:rPr>
                <w:b/>
                <w:sz w:val="20"/>
                <w:szCs w:val="20"/>
              </w:rPr>
              <w:t>Envío de solicitud</w:t>
            </w:r>
          </w:p>
        </w:tc>
        <w:tc>
          <w:tcPr>
            <w:tcW w:w="3576" w:type="pct"/>
          </w:tcPr>
          <w:p w14:paraId="33CFEC0B" w14:textId="00B7CC19" w:rsidR="00A94606" w:rsidRPr="00D936CA" w:rsidRDefault="00A94606" w:rsidP="00304B27">
            <w:pPr>
              <w:pStyle w:val="IFTnormal"/>
              <w:rPr>
                <w:sz w:val="20"/>
                <w:szCs w:val="20"/>
              </w:rPr>
            </w:pPr>
            <w:r w:rsidRPr="00D936CA">
              <w:rPr>
                <w:sz w:val="20"/>
                <w:szCs w:val="20"/>
              </w:rPr>
              <w:t xml:space="preserve">El CS deberá presentar sus solicitudes en el formato correspondiente a través del SEG (podrá </w:t>
            </w:r>
            <w:r w:rsidR="00416FFF">
              <w:rPr>
                <w:sz w:val="20"/>
                <w:szCs w:val="20"/>
              </w:rPr>
              <w:t>hacerlo</w:t>
            </w:r>
            <w:r w:rsidR="00416FFF" w:rsidRPr="00D936CA">
              <w:rPr>
                <w:sz w:val="20"/>
                <w:szCs w:val="20"/>
              </w:rPr>
              <w:t xml:space="preserve"> </w:t>
            </w:r>
            <w:r w:rsidRPr="00D936CA">
              <w:rPr>
                <w:sz w:val="20"/>
                <w:szCs w:val="20"/>
              </w:rPr>
              <w:t xml:space="preserve">de </w:t>
            </w:r>
            <w:r w:rsidR="00E476A1" w:rsidRPr="00D936CA">
              <w:rPr>
                <w:sz w:val="20"/>
                <w:szCs w:val="20"/>
              </w:rPr>
              <w:t xml:space="preserve">acuerdo a </w:t>
            </w:r>
            <w:r w:rsidR="002E2BEE">
              <w:rPr>
                <w:sz w:val="20"/>
                <w:szCs w:val="20"/>
              </w:rPr>
              <w:t>lo establecido en</w:t>
            </w:r>
            <w:r w:rsidR="00E476A1" w:rsidRPr="00D936CA">
              <w:rPr>
                <w:sz w:val="20"/>
                <w:szCs w:val="20"/>
              </w:rPr>
              <w:t xml:space="preserve"> el numeral 1.8)</w:t>
            </w:r>
            <w:r w:rsidRPr="00D936CA">
              <w:rPr>
                <w:sz w:val="20"/>
                <w:szCs w:val="20"/>
              </w:rPr>
              <w:t>, especificando el NIS-Referencia del servicio a modificar:</w:t>
            </w:r>
          </w:p>
          <w:p w14:paraId="33CFEC0C" w14:textId="261D82DF" w:rsidR="00A94606" w:rsidRPr="00D936CA" w:rsidRDefault="00A94606" w:rsidP="00060B2E">
            <w:pPr>
              <w:pStyle w:val="IFTnormal"/>
              <w:numPr>
                <w:ilvl w:val="0"/>
                <w:numId w:val="102"/>
              </w:numPr>
              <w:spacing w:after="120" w:line="240" w:lineRule="auto"/>
              <w:ind w:left="0" w:hanging="284"/>
              <w:rPr>
                <w:sz w:val="20"/>
                <w:szCs w:val="20"/>
              </w:rPr>
            </w:pPr>
          </w:p>
        </w:tc>
      </w:tr>
      <w:tr w:rsidR="00D936CA" w:rsidRPr="00D936CA" w14:paraId="33CFEC16" w14:textId="77777777" w:rsidTr="00060B2E">
        <w:tc>
          <w:tcPr>
            <w:tcW w:w="1424" w:type="pct"/>
          </w:tcPr>
          <w:p w14:paraId="33CFEC0E" w14:textId="77777777" w:rsidR="00A94606" w:rsidRPr="00D936CA" w:rsidRDefault="00A94606" w:rsidP="00304B27">
            <w:pPr>
              <w:pStyle w:val="IFTnormal"/>
              <w:jc w:val="left"/>
              <w:rPr>
                <w:b/>
                <w:sz w:val="20"/>
                <w:szCs w:val="20"/>
              </w:rPr>
            </w:pPr>
            <w:r w:rsidRPr="00D936CA">
              <w:rPr>
                <w:b/>
                <w:sz w:val="20"/>
                <w:szCs w:val="20"/>
              </w:rPr>
              <w:t>Validación de solicitud</w:t>
            </w:r>
          </w:p>
        </w:tc>
        <w:tc>
          <w:tcPr>
            <w:tcW w:w="3576" w:type="pct"/>
          </w:tcPr>
          <w:p w14:paraId="33CFEC0F" w14:textId="77777777" w:rsidR="00A94606" w:rsidRPr="00AB05A0" w:rsidRDefault="00A94606" w:rsidP="00304B27">
            <w:pPr>
              <w:pStyle w:val="IFTnormal"/>
              <w:rPr>
                <w:sz w:val="20"/>
                <w:szCs w:val="20"/>
              </w:rPr>
            </w:pPr>
            <w:r w:rsidRPr="002E2BEE">
              <w:rPr>
                <w:sz w:val="20"/>
                <w:szCs w:val="20"/>
              </w:rPr>
              <w:t xml:space="preserve">Una vez enviada la solicitud será validada en un plazo máximo de 1 día hábil, así mismo se asignará de forma automática un número de folio </w:t>
            </w:r>
            <w:r w:rsidRPr="00AB05A0">
              <w:rPr>
                <w:sz w:val="20"/>
                <w:szCs w:val="20"/>
              </w:rPr>
              <w:t>a la solicitud del CS.</w:t>
            </w:r>
          </w:p>
          <w:p w14:paraId="33CFEC10" w14:textId="77777777" w:rsidR="00A94606" w:rsidRPr="00AB05A0" w:rsidRDefault="00A94606" w:rsidP="00304B27">
            <w:pPr>
              <w:pStyle w:val="IFTnormal"/>
              <w:rPr>
                <w:sz w:val="20"/>
                <w:szCs w:val="20"/>
              </w:rPr>
            </w:pPr>
            <w:r w:rsidRPr="00AB05A0">
              <w:rPr>
                <w:sz w:val="20"/>
                <w:szCs w:val="20"/>
              </w:rPr>
              <w:t>Durante el proceso de validación, Telmex evaluará las solicitudes enviadas por los CS para determinar si:</w:t>
            </w:r>
          </w:p>
          <w:p w14:paraId="33CFEC11" w14:textId="77777777" w:rsidR="00A94606" w:rsidRPr="00AB05A0" w:rsidRDefault="00A94606" w:rsidP="00060B2E">
            <w:pPr>
              <w:pStyle w:val="IFTnormal"/>
              <w:numPr>
                <w:ilvl w:val="0"/>
                <w:numId w:val="101"/>
              </w:numPr>
              <w:spacing w:after="120" w:line="240" w:lineRule="auto"/>
              <w:ind w:left="454"/>
              <w:rPr>
                <w:sz w:val="20"/>
                <w:szCs w:val="20"/>
              </w:rPr>
            </w:pPr>
            <w:r w:rsidRPr="00AB05A0">
              <w:rPr>
                <w:sz w:val="20"/>
                <w:szCs w:val="20"/>
              </w:rPr>
              <w:t>La información capturada es suficiente para procesar la solicitud.</w:t>
            </w:r>
          </w:p>
          <w:p w14:paraId="33CFEC12" w14:textId="77777777" w:rsidR="00A94606" w:rsidRPr="00AB05A0" w:rsidRDefault="00A94606" w:rsidP="00060B2E">
            <w:pPr>
              <w:pStyle w:val="IFTnormal"/>
              <w:numPr>
                <w:ilvl w:val="0"/>
                <w:numId w:val="101"/>
              </w:numPr>
              <w:spacing w:after="120" w:line="240" w:lineRule="auto"/>
              <w:ind w:left="454"/>
              <w:rPr>
                <w:sz w:val="20"/>
                <w:szCs w:val="20"/>
              </w:rPr>
            </w:pPr>
            <w:r w:rsidRPr="00AB05A0">
              <w:rPr>
                <w:sz w:val="20"/>
                <w:szCs w:val="20"/>
              </w:rPr>
              <w:t>El CS capturó correctamente los detalles del servicio requerido.</w:t>
            </w:r>
          </w:p>
          <w:p w14:paraId="33CFEC13" w14:textId="77777777" w:rsidR="00A94606" w:rsidRPr="00E32A0B" w:rsidRDefault="00A94606" w:rsidP="00060B2E">
            <w:pPr>
              <w:pStyle w:val="IFTnormal"/>
              <w:numPr>
                <w:ilvl w:val="0"/>
                <w:numId w:val="102"/>
              </w:numPr>
              <w:ind w:left="454" w:hanging="318"/>
              <w:rPr>
                <w:sz w:val="20"/>
                <w:szCs w:val="20"/>
              </w:rPr>
            </w:pPr>
            <w:r w:rsidRPr="00910165">
              <w:rPr>
                <w:b/>
                <w:sz w:val="20"/>
                <w:szCs w:val="20"/>
              </w:rPr>
              <w:t>Si la solicitud es correcta</w:t>
            </w:r>
            <w:r w:rsidRPr="00E32A0B">
              <w:rPr>
                <w:sz w:val="20"/>
                <w:szCs w:val="20"/>
              </w:rPr>
              <w:t>, Telmex cambiará el folio previamente asignado por el Número de Identificación de Solicitud (NIS).</w:t>
            </w:r>
          </w:p>
          <w:p w14:paraId="33CFEC14" w14:textId="4A9DB493" w:rsidR="00A94606" w:rsidRPr="00AB05A0" w:rsidRDefault="00A94606" w:rsidP="00060B2E">
            <w:pPr>
              <w:pStyle w:val="IFTnormal"/>
              <w:numPr>
                <w:ilvl w:val="0"/>
                <w:numId w:val="102"/>
              </w:numPr>
              <w:ind w:left="454" w:hanging="318"/>
              <w:rPr>
                <w:sz w:val="20"/>
                <w:szCs w:val="20"/>
              </w:rPr>
            </w:pPr>
            <w:r w:rsidRPr="004A7F0B">
              <w:rPr>
                <w:b/>
                <w:sz w:val="20"/>
                <w:szCs w:val="20"/>
              </w:rPr>
              <w:t>Si es incorrecta</w:t>
            </w:r>
            <w:r w:rsidRPr="004A7F0B">
              <w:rPr>
                <w:sz w:val="20"/>
                <w:szCs w:val="20"/>
              </w:rPr>
              <w:t>, Telmex devolverá la solicitud al CS indicando el motivo de rechazo, para que sea corregida y reenviada nuevamente a validación</w:t>
            </w:r>
            <w:r w:rsidR="00E476A1" w:rsidRPr="0040352E">
              <w:rPr>
                <w:sz w:val="20"/>
                <w:szCs w:val="20"/>
              </w:rPr>
              <w:t xml:space="preserve">, en caso </w:t>
            </w:r>
            <w:r w:rsidR="00E476A1" w:rsidRPr="002E2BEE">
              <w:rPr>
                <w:sz w:val="20"/>
                <w:szCs w:val="20"/>
              </w:rPr>
              <w:t xml:space="preserve">de haber usado el formato Excel de solicitudes masivas, </w:t>
            </w:r>
            <w:r w:rsidR="00E476A1" w:rsidRPr="00AB05A0">
              <w:rPr>
                <w:sz w:val="20"/>
                <w:szCs w:val="20"/>
              </w:rPr>
              <w:t>Telmex devolverá el archivo al CS indicando el motivo de rechazo por cada registro</w:t>
            </w:r>
          </w:p>
          <w:p w14:paraId="33CFEC15" w14:textId="77777777" w:rsidR="00A94606" w:rsidRPr="00AB05A0" w:rsidRDefault="00A94606" w:rsidP="00304B27">
            <w:pPr>
              <w:pStyle w:val="IFTnormal"/>
              <w:rPr>
                <w:sz w:val="20"/>
                <w:szCs w:val="20"/>
              </w:rPr>
            </w:pPr>
            <w:r w:rsidRPr="00AB05A0">
              <w:rPr>
                <w:sz w:val="20"/>
                <w:szCs w:val="20"/>
              </w:rPr>
              <w:t>La aceptación de la solicitud detonará el Análisis de Factibilidad Técnica o la modificación del servicio.</w:t>
            </w:r>
          </w:p>
        </w:tc>
      </w:tr>
      <w:tr w:rsidR="00D936CA" w:rsidRPr="00D936CA" w14:paraId="33CFEC1D" w14:textId="77777777" w:rsidTr="00060B2E">
        <w:tc>
          <w:tcPr>
            <w:tcW w:w="1424" w:type="pct"/>
          </w:tcPr>
          <w:p w14:paraId="33CFEC17" w14:textId="77777777" w:rsidR="00A94606" w:rsidRPr="00D936CA" w:rsidRDefault="00A94606" w:rsidP="00304B27">
            <w:pPr>
              <w:pStyle w:val="IFTnormal"/>
              <w:jc w:val="left"/>
              <w:rPr>
                <w:b/>
                <w:sz w:val="20"/>
                <w:szCs w:val="20"/>
              </w:rPr>
            </w:pPr>
            <w:r w:rsidRPr="00D936CA">
              <w:rPr>
                <w:b/>
                <w:sz w:val="20"/>
                <w:szCs w:val="20"/>
              </w:rPr>
              <w:t>Factibilidad Técnica</w:t>
            </w:r>
          </w:p>
        </w:tc>
        <w:tc>
          <w:tcPr>
            <w:tcW w:w="3576" w:type="pct"/>
          </w:tcPr>
          <w:p w14:paraId="33CFEC18" w14:textId="77777777" w:rsidR="00A94606" w:rsidRPr="006A43A3" w:rsidRDefault="00A94606" w:rsidP="00304B27">
            <w:pPr>
              <w:pStyle w:val="IFTnormal"/>
              <w:rPr>
                <w:sz w:val="20"/>
                <w:szCs w:val="20"/>
              </w:rPr>
            </w:pPr>
            <w:r w:rsidRPr="006A43A3">
              <w:rPr>
                <w:sz w:val="20"/>
                <w:szCs w:val="20"/>
              </w:rPr>
              <w:t>Durante el análisis de Factibilidad Técnica, Telmex determinará si existen los recursos técnicos y facilidades para ejecutar los cambios solicitados en un plazo máximo de 1 día hábil:</w:t>
            </w:r>
          </w:p>
          <w:p w14:paraId="33CFEC19" w14:textId="0A1192B6" w:rsidR="00A94606" w:rsidRPr="006A43A3" w:rsidRDefault="00A94606" w:rsidP="00060B2E">
            <w:pPr>
              <w:pStyle w:val="IFTnormal"/>
              <w:numPr>
                <w:ilvl w:val="0"/>
                <w:numId w:val="102"/>
              </w:numPr>
              <w:ind w:left="454" w:hanging="318"/>
              <w:rPr>
                <w:sz w:val="20"/>
                <w:szCs w:val="20"/>
                <w:lang w:val="es-ES_tradnl"/>
              </w:rPr>
            </w:pPr>
            <w:r w:rsidRPr="006A43A3">
              <w:rPr>
                <w:b/>
                <w:sz w:val="20"/>
                <w:szCs w:val="20"/>
              </w:rPr>
              <w:t>Si el perfil solicitado es factible</w:t>
            </w:r>
            <w:r w:rsidRPr="006A43A3">
              <w:rPr>
                <w:sz w:val="20"/>
                <w:szCs w:val="20"/>
              </w:rPr>
              <w:t>,</w:t>
            </w:r>
            <w:r w:rsidR="001A324E" w:rsidRPr="00060B2E">
              <w:rPr>
                <w:sz w:val="20"/>
                <w:szCs w:val="20"/>
              </w:rPr>
              <w:t xml:space="preserve"> el CS elegirá el que desee contratar</w:t>
            </w:r>
            <w:r w:rsidRPr="006A43A3">
              <w:rPr>
                <w:sz w:val="20"/>
                <w:szCs w:val="20"/>
                <w:lang w:val="es-ES_tradnl"/>
              </w:rPr>
              <w:t>, se asignará NIS y procede habilitación.</w:t>
            </w:r>
          </w:p>
          <w:p w14:paraId="33CFEC1B" w14:textId="08F0C3D5" w:rsidR="00A94606" w:rsidRPr="006A43A3" w:rsidRDefault="00A94606" w:rsidP="00060B2E">
            <w:pPr>
              <w:pStyle w:val="IFTnormal"/>
              <w:numPr>
                <w:ilvl w:val="0"/>
                <w:numId w:val="102"/>
              </w:numPr>
              <w:ind w:left="454" w:hanging="284"/>
              <w:rPr>
                <w:sz w:val="20"/>
                <w:szCs w:val="20"/>
              </w:rPr>
            </w:pPr>
            <w:r w:rsidRPr="006A43A3">
              <w:rPr>
                <w:b/>
                <w:sz w:val="20"/>
                <w:szCs w:val="20"/>
              </w:rPr>
              <w:t>Si el perfil solicitado no es factible técnicamente</w:t>
            </w:r>
            <w:r w:rsidRPr="006A43A3">
              <w:rPr>
                <w:sz w:val="20"/>
                <w:szCs w:val="20"/>
              </w:rPr>
              <w:t xml:space="preserve">, </w:t>
            </w:r>
            <w:r w:rsidRPr="006A43A3">
              <w:rPr>
                <w:sz w:val="20"/>
                <w:szCs w:val="20"/>
                <w:lang w:val="es-ES_tradnl"/>
              </w:rPr>
              <w:t xml:space="preserve">no es posible ningún incremento de velocidad, </w:t>
            </w:r>
            <w:r w:rsidRPr="006A43A3">
              <w:rPr>
                <w:sz w:val="20"/>
                <w:szCs w:val="20"/>
              </w:rPr>
              <w:t xml:space="preserve">se presentará al CS a través del SEG, la justificación de los motivos descritos en el apartado 1.4, </w:t>
            </w:r>
            <w:r w:rsidR="00941E7C" w:rsidRPr="00060B2E">
              <w:rPr>
                <w:sz w:val="20"/>
                <w:szCs w:val="20"/>
              </w:rPr>
              <w:t>y se mostrarán</w:t>
            </w:r>
            <w:r w:rsidRPr="006A43A3">
              <w:rPr>
                <w:sz w:val="20"/>
                <w:szCs w:val="20"/>
              </w:rPr>
              <w:t xml:space="preserve"> las evidencias correspondientes.</w:t>
            </w:r>
          </w:p>
          <w:p w14:paraId="33CFEC1C" w14:textId="5E274996" w:rsidR="00A94606" w:rsidRPr="006A43A3" w:rsidRDefault="00280991" w:rsidP="00060B2E">
            <w:pPr>
              <w:pStyle w:val="IFTnormal"/>
              <w:rPr>
                <w:sz w:val="20"/>
                <w:szCs w:val="20"/>
              </w:rPr>
            </w:pPr>
            <w:r w:rsidRPr="00060B2E">
              <w:rPr>
                <w:sz w:val="20"/>
                <w:szCs w:val="20"/>
              </w:rPr>
              <w:lastRenderedPageBreak/>
              <w:t>L</w:t>
            </w:r>
            <w:r w:rsidR="00A94606" w:rsidRPr="006A43A3">
              <w:rPr>
                <w:sz w:val="20"/>
                <w:szCs w:val="20"/>
              </w:rPr>
              <w:t>os CS incluyendo Telmex, harán uso de los mismos elementos, herramientas, funcionalidades, información, etc. Una vez validados los campos correspondientes se procederá directamente a la etapa de Habilitación y aprovisionamiento del Servicio.</w:t>
            </w:r>
          </w:p>
        </w:tc>
      </w:tr>
      <w:tr w:rsidR="00D936CA" w:rsidRPr="00D936CA" w14:paraId="33CFEC20" w14:textId="77777777" w:rsidTr="00060B2E">
        <w:tc>
          <w:tcPr>
            <w:tcW w:w="1424" w:type="pct"/>
          </w:tcPr>
          <w:p w14:paraId="33CFEC1E" w14:textId="77777777" w:rsidR="00A94606" w:rsidRPr="00D936CA" w:rsidRDefault="00A94606" w:rsidP="00304B27">
            <w:pPr>
              <w:pStyle w:val="IFTnormal"/>
              <w:jc w:val="left"/>
              <w:rPr>
                <w:b/>
                <w:sz w:val="20"/>
                <w:szCs w:val="20"/>
              </w:rPr>
            </w:pPr>
            <w:r w:rsidRPr="00D936CA">
              <w:rPr>
                <w:b/>
                <w:sz w:val="20"/>
                <w:szCs w:val="20"/>
              </w:rPr>
              <w:lastRenderedPageBreak/>
              <w:t>Habilitación y aprovisionamiento del Servicio</w:t>
            </w:r>
          </w:p>
        </w:tc>
        <w:tc>
          <w:tcPr>
            <w:tcW w:w="3576" w:type="pct"/>
          </w:tcPr>
          <w:p w14:paraId="33CFEC1F" w14:textId="77777777" w:rsidR="00A94606" w:rsidRPr="00D936CA" w:rsidRDefault="00A94606" w:rsidP="00304B27">
            <w:pPr>
              <w:pStyle w:val="IFTnormal"/>
              <w:rPr>
                <w:sz w:val="20"/>
                <w:szCs w:val="20"/>
              </w:rPr>
            </w:pPr>
            <w:r w:rsidRPr="00D936CA">
              <w:rPr>
                <w:sz w:val="20"/>
                <w:szCs w:val="20"/>
              </w:rPr>
              <w:t xml:space="preserve">Telmex llevará a cabo las actividades necesarias para modificar el servicio </w:t>
            </w:r>
            <w:r w:rsidRPr="00D936CA">
              <w:rPr>
                <w:sz w:val="20"/>
                <w:szCs w:val="20"/>
                <w:lang w:val="es-ES_tradnl"/>
              </w:rPr>
              <w:t>en un plazo no mayor a 3 días hábiles</w:t>
            </w:r>
            <w:r w:rsidRPr="00D936CA">
              <w:rPr>
                <w:sz w:val="20"/>
                <w:szCs w:val="20"/>
              </w:rPr>
              <w:t>:</w:t>
            </w:r>
          </w:p>
        </w:tc>
      </w:tr>
      <w:tr w:rsidR="00D936CA" w:rsidRPr="00D936CA" w14:paraId="33CFEC24" w14:textId="77777777" w:rsidTr="00060B2E">
        <w:tc>
          <w:tcPr>
            <w:tcW w:w="1424" w:type="pct"/>
          </w:tcPr>
          <w:p w14:paraId="33CFEC21" w14:textId="77777777" w:rsidR="00A94606" w:rsidRPr="00D936CA" w:rsidRDefault="00A94606" w:rsidP="00304B27">
            <w:pPr>
              <w:pStyle w:val="IFTnormal"/>
              <w:jc w:val="left"/>
              <w:rPr>
                <w:b/>
                <w:sz w:val="20"/>
                <w:szCs w:val="20"/>
              </w:rPr>
            </w:pPr>
            <w:r w:rsidRPr="00D936CA">
              <w:rPr>
                <w:b/>
                <w:sz w:val="20"/>
                <w:szCs w:val="20"/>
              </w:rPr>
              <w:t>Pruebas de Aceptación del Servicio</w:t>
            </w:r>
          </w:p>
        </w:tc>
        <w:tc>
          <w:tcPr>
            <w:tcW w:w="3576" w:type="pct"/>
          </w:tcPr>
          <w:p w14:paraId="33CFEC22" w14:textId="77777777" w:rsidR="00A94606" w:rsidRPr="00D936CA" w:rsidRDefault="00A94606" w:rsidP="00304B27">
            <w:pPr>
              <w:pStyle w:val="IFTnormal"/>
              <w:rPr>
                <w:sz w:val="20"/>
                <w:szCs w:val="20"/>
              </w:rPr>
            </w:pPr>
            <w:r w:rsidRPr="00D936CA">
              <w:rPr>
                <w:sz w:val="20"/>
                <w:szCs w:val="20"/>
              </w:rPr>
              <w:t>Una vez ejecutado el cambio, se llevarán a cabo las pruebas correspondientes para validar que el servicio ha sido habilitado de conformidad con lo requerido por el CS.</w:t>
            </w:r>
          </w:p>
          <w:p w14:paraId="33CFEC23" w14:textId="0A11F182" w:rsidR="00A94606" w:rsidRPr="00D936CA" w:rsidRDefault="00A94606" w:rsidP="00060B2E">
            <w:pPr>
              <w:pStyle w:val="IFTnormal"/>
              <w:numPr>
                <w:ilvl w:val="0"/>
                <w:numId w:val="102"/>
              </w:numPr>
              <w:ind w:left="454" w:hanging="284"/>
              <w:rPr>
                <w:sz w:val="20"/>
                <w:szCs w:val="20"/>
              </w:rPr>
            </w:pPr>
            <w:r w:rsidRPr="00D936CA">
              <w:rPr>
                <w:sz w:val="20"/>
                <w:szCs w:val="20"/>
              </w:rPr>
              <w:t>Los resultados de las pruebas realizadas se registrarán en el SEG, para que el CS pueda consultarlas.</w:t>
            </w:r>
          </w:p>
        </w:tc>
      </w:tr>
      <w:tr w:rsidR="00A94606" w:rsidRPr="00D936CA" w14:paraId="33CFEC29" w14:textId="77777777" w:rsidTr="00060B2E">
        <w:tc>
          <w:tcPr>
            <w:tcW w:w="1424" w:type="pct"/>
          </w:tcPr>
          <w:p w14:paraId="33CFEC25" w14:textId="77777777" w:rsidR="00A94606" w:rsidRPr="00D936CA" w:rsidRDefault="00A94606" w:rsidP="00304B27">
            <w:pPr>
              <w:pStyle w:val="IFTnormal"/>
              <w:jc w:val="left"/>
              <w:rPr>
                <w:b/>
                <w:sz w:val="20"/>
                <w:szCs w:val="20"/>
              </w:rPr>
            </w:pPr>
            <w:r w:rsidRPr="00D936CA">
              <w:rPr>
                <w:b/>
                <w:sz w:val="20"/>
                <w:szCs w:val="20"/>
              </w:rPr>
              <w:t>Facturación</w:t>
            </w:r>
          </w:p>
        </w:tc>
        <w:tc>
          <w:tcPr>
            <w:tcW w:w="3576" w:type="pct"/>
          </w:tcPr>
          <w:p w14:paraId="33CFEC26" w14:textId="77777777" w:rsidR="00A94606" w:rsidRPr="00D936CA" w:rsidRDefault="00A94606" w:rsidP="00304B27">
            <w:pPr>
              <w:pStyle w:val="IFTnormal"/>
              <w:rPr>
                <w:sz w:val="20"/>
                <w:szCs w:val="20"/>
              </w:rPr>
            </w:pPr>
            <w:r w:rsidRPr="00D936CA">
              <w:rPr>
                <w:sz w:val="20"/>
                <w:szCs w:val="20"/>
              </w:rPr>
              <w:t>Al corte del mes se realizará la facturación aplicable al servicio:</w:t>
            </w:r>
          </w:p>
          <w:p w14:paraId="33CFEC27" w14:textId="77777777" w:rsidR="00A94606" w:rsidRPr="00D936CA" w:rsidRDefault="00A94606" w:rsidP="00060B2E">
            <w:pPr>
              <w:pStyle w:val="IFTnormal"/>
              <w:numPr>
                <w:ilvl w:val="0"/>
                <w:numId w:val="102"/>
              </w:numPr>
              <w:ind w:left="454" w:hanging="284"/>
              <w:rPr>
                <w:sz w:val="20"/>
                <w:szCs w:val="20"/>
              </w:rPr>
            </w:pPr>
            <w:r w:rsidRPr="00D936CA">
              <w:rPr>
                <w:sz w:val="20"/>
                <w:szCs w:val="20"/>
              </w:rPr>
              <w:t>Se incluirán los gastos del cambio y la renta mensual correspondiente.</w:t>
            </w:r>
          </w:p>
          <w:p w14:paraId="33CFEC28" w14:textId="77777777" w:rsidR="00A94606" w:rsidRPr="00D936CA" w:rsidRDefault="00A94606" w:rsidP="00060B2E">
            <w:pPr>
              <w:pStyle w:val="IFTnormal"/>
              <w:numPr>
                <w:ilvl w:val="0"/>
                <w:numId w:val="102"/>
              </w:numPr>
              <w:ind w:left="454" w:hanging="284"/>
              <w:rPr>
                <w:sz w:val="20"/>
                <w:szCs w:val="20"/>
              </w:rPr>
            </w:pPr>
            <w:r w:rsidRPr="00D936CA">
              <w:rPr>
                <w:sz w:val="20"/>
                <w:szCs w:val="20"/>
              </w:rPr>
              <w:t>El CS contará con la posibilidad de solicitar ajustes o aclaraciones respecto a los conceptos y servicios incluidos en su factura.</w:t>
            </w:r>
          </w:p>
        </w:tc>
      </w:tr>
    </w:tbl>
    <w:p w14:paraId="33CFEC2A" w14:textId="77777777" w:rsidR="001442A1" w:rsidRPr="00D936CA" w:rsidRDefault="001442A1" w:rsidP="00D936CA">
      <w:pPr>
        <w:spacing w:after="200" w:line="276" w:lineRule="auto"/>
        <w:jc w:val="both"/>
        <w:rPr>
          <w:rFonts w:ascii="ITC Avant Garde" w:hAnsi="ITC Avant Garde" w:cs="Arial"/>
          <w:b/>
          <w:sz w:val="22"/>
          <w:szCs w:val="22"/>
          <w:lang w:val="es-ES" w:eastAsia="es-MX"/>
        </w:rPr>
      </w:pPr>
    </w:p>
    <w:p w14:paraId="33CFEC2B" w14:textId="77777777" w:rsidR="001442A1" w:rsidRPr="00D936CA" w:rsidRDefault="001442A1" w:rsidP="00060B2E">
      <w:pPr>
        <w:tabs>
          <w:tab w:val="center" w:pos="4420"/>
        </w:tabs>
        <w:spacing w:after="200" w:line="276" w:lineRule="auto"/>
        <w:ind w:left="-567" w:right="-142"/>
        <w:jc w:val="both"/>
        <w:rPr>
          <w:rFonts w:ascii="ITC Avant Garde" w:hAnsi="ITC Avant Garde" w:cs="Arial"/>
          <w:b/>
          <w:sz w:val="22"/>
          <w:szCs w:val="22"/>
        </w:rPr>
      </w:pPr>
      <w:r w:rsidRPr="00D936CA">
        <w:rPr>
          <w:rFonts w:ascii="ITC Avant Garde" w:hAnsi="ITC Avant Garde" w:cs="Arial"/>
          <w:b/>
          <w:sz w:val="22"/>
          <w:szCs w:val="22"/>
        </w:rPr>
        <w:t>Procedimiento de baja de SAIB</w:t>
      </w:r>
    </w:p>
    <w:p w14:paraId="33CFEC2C" w14:textId="77777777" w:rsidR="001442A1" w:rsidRPr="00D936CA" w:rsidRDefault="001442A1"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SAIB;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 xml:space="preserve">y </w:t>
      </w:r>
      <w:r w:rsidRPr="00D936CA">
        <w:rPr>
          <w:rFonts w:ascii="ITC Avant Garde" w:hAnsi="ITC Avant Garde" w:cs="Arial"/>
          <w:b/>
          <w:sz w:val="22"/>
          <w:szCs w:val="22"/>
        </w:rPr>
        <w:t>(ii)</w:t>
      </w:r>
      <w:r w:rsidRPr="00D936CA">
        <w:rPr>
          <w:rFonts w:ascii="ITC Avant Garde" w:hAnsi="ITC Avant Garde" w:cs="Arial"/>
          <w:sz w:val="22"/>
          <w:szCs w:val="22"/>
        </w:rPr>
        <w:t xml:space="preserve"> Baja del(los) servicio(s) y de la facturación correspondiente.</w:t>
      </w:r>
    </w:p>
    <w:tbl>
      <w:tblPr>
        <w:tblStyle w:val="Tablaconcuadrcula"/>
        <w:tblW w:w="5385" w:type="pct"/>
        <w:tblInd w:w="-572" w:type="dxa"/>
        <w:tblLook w:val="04A0" w:firstRow="1" w:lastRow="0" w:firstColumn="1" w:lastColumn="0" w:noHBand="0" w:noVBand="1"/>
      </w:tblPr>
      <w:tblGrid>
        <w:gridCol w:w="3039"/>
        <w:gridCol w:w="7270"/>
      </w:tblGrid>
      <w:tr w:rsidR="00D936CA" w:rsidRPr="00D936CA" w14:paraId="33CFEC2F" w14:textId="77777777" w:rsidTr="00060B2E">
        <w:tc>
          <w:tcPr>
            <w:tcW w:w="1474" w:type="pct"/>
          </w:tcPr>
          <w:p w14:paraId="33CFEC2D" w14:textId="77777777" w:rsidR="00A94606" w:rsidRPr="00D936CA" w:rsidRDefault="00A94606"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526" w:type="pct"/>
          </w:tcPr>
          <w:p w14:paraId="33CFEC2E" w14:textId="77777777" w:rsidR="00A94606" w:rsidRPr="00D936CA" w:rsidRDefault="00A94606"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C32" w14:textId="77777777" w:rsidTr="00060B2E">
        <w:tc>
          <w:tcPr>
            <w:tcW w:w="1474" w:type="pct"/>
          </w:tcPr>
          <w:p w14:paraId="33CFEC30" w14:textId="77777777" w:rsidR="00A94606" w:rsidRPr="00D936CA" w:rsidRDefault="00A94606"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526" w:type="pct"/>
          </w:tcPr>
          <w:p w14:paraId="33CFEC31" w14:textId="77617560" w:rsidR="00A94606" w:rsidRPr="00D936CA" w:rsidRDefault="00A94606"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El CS deberá presentar sus solicitudes en el formato correspondiente a través del SEG especificando el NIS-Referencia del servicio en operación.</w:t>
            </w:r>
          </w:p>
        </w:tc>
      </w:tr>
      <w:tr w:rsidR="00D936CA" w:rsidRPr="00D936CA" w14:paraId="33CFEC39" w14:textId="77777777" w:rsidTr="00060B2E">
        <w:tc>
          <w:tcPr>
            <w:tcW w:w="1474" w:type="pct"/>
          </w:tcPr>
          <w:p w14:paraId="33CFEC33" w14:textId="77777777" w:rsidR="00A94606" w:rsidRPr="00D936CA" w:rsidRDefault="00A94606" w:rsidP="00D936CA">
            <w:pPr>
              <w:pStyle w:val="IFTnormal"/>
              <w:jc w:val="left"/>
              <w:rPr>
                <w:b/>
                <w:sz w:val="20"/>
                <w:szCs w:val="20"/>
              </w:rPr>
            </w:pPr>
            <w:r w:rsidRPr="00D936CA">
              <w:rPr>
                <w:b/>
                <w:sz w:val="20"/>
                <w:szCs w:val="20"/>
              </w:rPr>
              <w:t>Validación de solicitud</w:t>
            </w:r>
          </w:p>
        </w:tc>
        <w:tc>
          <w:tcPr>
            <w:tcW w:w="3526" w:type="pct"/>
            <w:shd w:val="clear" w:color="auto" w:fill="auto"/>
          </w:tcPr>
          <w:p w14:paraId="33CFEC34" w14:textId="77777777" w:rsidR="00A94606" w:rsidRPr="00D936CA" w:rsidRDefault="00A94606" w:rsidP="00D936CA">
            <w:pPr>
              <w:pStyle w:val="IFTnormal"/>
              <w:rPr>
                <w:sz w:val="20"/>
                <w:szCs w:val="20"/>
              </w:rPr>
            </w:pPr>
            <w:r w:rsidRPr="00D936CA">
              <w:rPr>
                <w:sz w:val="20"/>
                <w:szCs w:val="20"/>
              </w:rPr>
              <w:t>Una vez enviada la solicitud será validada en un plazo máximo de 1 día hábil, así mismo se asignará de forma automática un número de folio a la solicitud del CS.</w:t>
            </w:r>
          </w:p>
          <w:p w14:paraId="33CFEC35" w14:textId="77777777" w:rsidR="00A94606" w:rsidRPr="00D936CA" w:rsidRDefault="00A94606" w:rsidP="00D936CA">
            <w:pPr>
              <w:pStyle w:val="IFTnormal"/>
              <w:rPr>
                <w:sz w:val="20"/>
                <w:szCs w:val="20"/>
              </w:rPr>
            </w:pPr>
            <w:r w:rsidRPr="00D936CA">
              <w:rPr>
                <w:sz w:val="20"/>
                <w:szCs w:val="20"/>
              </w:rPr>
              <w:t>Telmex evaluará las solicitudes enviadas por los CS para determinar si:</w:t>
            </w:r>
          </w:p>
          <w:p w14:paraId="33CFEC36" w14:textId="77777777" w:rsidR="00A94606" w:rsidRPr="00D936CA" w:rsidRDefault="00A94606"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xml:space="preserve">, Telmex cambiará el folio previamente </w:t>
            </w:r>
            <w:r w:rsidRPr="00D936CA">
              <w:rPr>
                <w:sz w:val="20"/>
                <w:szCs w:val="20"/>
              </w:rPr>
              <w:lastRenderedPageBreak/>
              <w:t>asignado por el Número de Identificación de Solicitud (NIS).</w:t>
            </w:r>
          </w:p>
          <w:p w14:paraId="33CFEC37" w14:textId="7D757233" w:rsidR="00A94606" w:rsidRPr="00D936CA" w:rsidRDefault="00A94606" w:rsidP="00D936CA">
            <w:pPr>
              <w:pStyle w:val="IFTnormal"/>
              <w:numPr>
                <w:ilvl w:val="0"/>
                <w:numId w:val="102"/>
              </w:numPr>
              <w:ind w:left="318" w:hanging="318"/>
            </w:pPr>
            <w:r w:rsidRPr="00D936CA">
              <w:rPr>
                <w:b/>
                <w:sz w:val="20"/>
                <w:szCs w:val="20"/>
              </w:rPr>
              <w:t>Si es incorrecta</w:t>
            </w:r>
            <w:r w:rsidRPr="00D936CA">
              <w:rPr>
                <w:sz w:val="20"/>
                <w:szCs w:val="20"/>
              </w:rPr>
              <w:t>, Telmex devolverá la solicitud al CS indicando el motivo de rechazo, para que sea corregida y reenviada nuevamente a validación</w:t>
            </w:r>
            <w:r w:rsidR="00946775" w:rsidRPr="00D936CA">
              <w:rPr>
                <w:rFonts w:cs="Arial"/>
              </w:rPr>
              <w:t>,</w:t>
            </w:r>
            <w:r w:rsidR="004D613F" w:rsidRPr="00D936CA">
              <w:rPr>
                <w:rFonts w:cs="Arial"/>
              </w:rPr>
              <w:t xml:space="preserve"> </w:t>
            </w:r>
          </w:p>
          <w:p w14:paraId="33CFEC38" w14:textId="471EA525" w:rsidR="00A94606" w:rsidRPr="00D936CA" w:rsidRDefault="00280991" w:rsidP="00D936CA">
            <w:pPr>
              <w:pStyle w:val="IFTnormal"/>
              <w:rPr>
                <w:sz w:val="20"/>
                <w:szCs w:val="20"/>
              </w:rPr>
            </w:pPr>
            <w:r>
              <w:rPr>
                <w:sz w:val="20"/>
                <w:szCs w:val="20"/>
              </w:rPr>
              <w:t>L</w:t>
            </w:r>
            <w:r w:rsidR="00A94606" w:rsidRPr="00D936CA">
              <w:rPr>
                <w:sz w:val="20"/>
                <w:szCs w:val="20"/>
              </w:rPr>
              <w:t>os CS incluyendo Telmex, harán uso de los mismos elementos, herramientas, funcionalidades, información, etc. Una vez validados los campos correspondientes se procederá directamente a la etapa de Ejecución de baja.</w:t>
            </w:r>
          </w:p>
        </w:tc>
      </w:tr>
      <w:tr w:rsidR="00D936CA" w:rsidRPr="00D936CA" w14:paraId="33CFEC3C" w14:textId="77777777" w:rsidTr="00060B2E">
        <w:tc>
          <w:tcPr>
            <w:tcW w:w="1474" w:type="pct"/>
          </w:tcPr>
          <w:p w14:paraId="33CFEC3A" w14:textId="77777777" w:rsidR="00A94606" w:rsidRPr="00D936CA" w:rsidRDefault="00A94606"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Ejecución de baja</w:t>
            </w:r>
          </w:p>
        </w:tc>
        <w:tc>
          <w:tcPr>
            <w:tcW w:w="3526" w:type="pct"/>
          </w:tcPr>
          <w:p w14:paraId="33CFEC3B" w14:textId="63F26E0C" w:rsidR="00A94606" w:rsidRPr="00D936CA" w:rsidRDefault="00A94606" w:rsidP="00D936CA">
            <w:pPr>
              <w:pStyle w:val="IFTnormal"/>
              <w:rPr>
                <w:rFonts w:cs="Arial"/>
                <w:sz w:val="20"/>
                <w:szCs w:val="20"/>
              </w:rPr>
            </w:pPr>
            <w:r w:rsidRPr="00D936CA">
              <w:rPr>
                <w:sz w:val="20"/>
                <w:szCs w:val="20"/>
              </w:rPr>
              <w:t>Una vez asignado el Número de Identificación de Solicitud (NIS) Telmex procederá a dar de baja el servicio</w:t>
            </w:r>
            <w:r w:rsidR="00304B27">
              <w:rPr>
                <w:sz w:val="20"/>
                <w:szCs w:val="20"/>
              </w:rPr>
              <w:t>,</w:t>
            </w:r>
            <w:r w:rsidRPr="00D936CA">
              <w:rPr>
                <w:sz w:val="20"/>
                <w:szCs w:val="20"/>
              </w:rPr>
              <w:t xml:space="preserve"> así como los cargos al CS asociados en un máximo de 1 día hábil a partir de la solicitud.</w:t>
            </w:r>
          </w:p>
        </w:tc>
      </w:tr>
      <w:tr w:rsidR="00A94606" w:rsidRPr="00D936CA" w14:paraId="33CFEC3F" w14:textId="77777777" w:rsidTr="00060B2E">
        <w:tc>
          <w:tcPr>
            <w:tcW w:w="1474" w:type="pct"/>
          </w:tcPr>
          <w:p w14:paraId="33CFEC3D" w14:textId="77777777" w:rsidR="00A94606" w:rsidRPr="00D936CA" w:rsidRDefault="00A94606" w:rsidP="00D936CA">
            <w:pPr>
              <w:pStyle w:val="IFTnormal"/>
              <w:jc w:val="left"/>
              <w:rPr>
                <w:b/>
                <w:sz w:val="20"/>
                <w:szCs w:val="20"/>
              </w:rPr>
            </w:pPr>
            <w:r w:rsidRPr="00D936CA">
              <w:rPr>
                <w:b/>
                <w:sz w:val="20"/>
                <w:szCs w:val="20"/>
              </w:rPr>
              <w:t>Facturación</w:t>
            </w:r>
          </w:p>
        </w:tc>
        <w:tc>
          <w:tcPr>
            <w:tcW w:w="3526" w:type="pct"/>
          </w:tcPr>
          <w:p w14:paraId="33CFEC3E" w14:textId="77777777" w:rsidR="00A94606" w:rsidRPr="00D936CA" w:rsidRDefault="00A94606" w:rsidP="00D936CA">
            <w:pPr>
              <w:pStyle w:val="IFTnormal"/>
              <w:rPr>
                <w:sz w:val="20"/>
                <w:szCs w:val="20"/>
              </w:rPr>
            </w:pPr>
            <w:r w:rsidRPr="00D936CA">
              <w:rPr>
                <w:sz w:val="20"/>
                <w:szCs w:val="20"/>
              </w:rPr>
              <w:t>En un plazo máximo de 2 días hábiles a partir de la solicitud de baja, Telmex dejará de generar nuevos cargos a los CS por el servicio.</w:t>
            </w:r>
          </w:p>
        </w:tc>
      </w:tr>
    </w:tbl>
    <w:p w14:paraId="33CFEC40" w14:textId="77777777" w:rsidR="00A94606" w:rsidRPr="00D936CA" w:rsidRDefault="00A94606" w:rsidP="00060B2E">
      <w:pPr>
        <w:spacing w:after="200" w:line="276" w:lineRule="auto"/>
        <w:ind w:left="-567" w:right="-142"/>
        <w:jc w:val="both"/>
        <w:rPr>
          <w:rFonts w:ascii="ITC Avant Garde" w:hAnsi="ITC Avant Garde" w:cs="Arial"/>
          <w:b/>
          <w:sz w:val="22"/>
          <w:szCs w:val="22"/>
          <w:lang w:val="es-ES" w:eastAsia="es-MX"/>
        </w:rPr>
      </w:pPr>
    </w:p>
    <w:p w14:paraId="33CFEC41" w14:textId="77777777" w:rsidR="00A94606" w:rsidRPr="00D936CA" w:rsidRDefault="00A94606" w:rsidP="00060B2E">
      <w:pPr>
        <w:spacing w:after="200" w:line="276" w:lineRule="auto"/>
        <w:ind w:left="-567" w:right="-142"/>
        <w:jc w:val="both"/>
        <w:rPr>
          <w:rFonts w:ascii="ITC Avant Garde" w:hAnsi="ITC Avant Garde" w:cs="Arial"/>
          <w:b/>
          <w:sz w:val="22"/>
          <w:szCs w:val="22"/>
        </w:rPr>
      </w:pPr>
      <w:r w:rsidRPr="00D936CA">
        <w:rPr>
          <w:rFonts w:ascii="ITC Avant Garde" w:hAnsi="ITC Avant Garde" w:cs="Arial"/>
          <w:b/>
          <w:sz w:val="22"/>
          <w:szCs w:val="22"/>
        </w:rPr>
        <w:t>Procedimiento de cancelación de solicitud</w:t>
      </w:r>
    </w:p>
    <w:p w14:paraId="33CFEC42" w14:textId="71D45FAE" w:rsidR="001442A1" w:rsidRPr="00D936CA" w:rsidRDefault="001442A1"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El objetivo y alcance de este procedimiento aplica para los casos en que el CS hubiera solicitado una habilitación</w:t>
      </w:r>
      <w:r w:rsidR="00E36163">
        <w:rPr>
          <w:rFonts w:ascii="ITC Avant Garde" w:hAnsi="ITC Avant Garde" w:cs="Arial"/>
          <w:sz w:val="22"/>
          <w:szCs w:val="22"/>
          <w:lang w:val="es-ES" w:eastAsia="es-MX"/>
        </w:rPr>
        <w:t xml:space="preserve"> o </w:t>
      </w:r>
      <w:r w:rsidRPr="00D936CA">
        <w:rPr>
          <w:rFonts w:ascii="ITC Avant Garde" w:hAnsi="ITC Avant Garde" w:cs="Arial"/>
          <w:sz w:val="22"/>
          <w:szCs w:val="22"/>
          <w:lang w:val="es-ES" w:eastAsia="es-MX"/>
        </w:rPr>
        <w:t xml:space="preserve">un cambio de domicilio y decide cancelarlo antes de que se hubiera concluido el movimiento solicitado; las fases en que se divide este procedimiento son: (i) Solicitud para que el CS manifieste su intención de cancelar el servicio previamente solicitado, y la validación por parte de Telmex de que la solicitud cuenta con todos los elementos; </w:t>
      </w:r>
      <w:r w:rsidRPr="00D936CA">
        <w:rPr>
          <w:rFonts w:ascii="ITC Avant Garde" w:hAnsi="ITC Avant Garde" w:cs="Arial"/>
          <w:sz w:val="22"/>
          <w:szCs w:val="22"/>
        </w:rPr>
        <w:t>y (ii) Cancelación  del (los) servicio (s).</w:t>
      </w:r>
    </w:p>
    <w:tbl>
      <w:tblPr>
        <w:tblStyle w:val="Tablaconcuadrcula"/>
        <w:tblW w:w="5306" w:type="pct"/>
        <w:tblInd w:w="-572" w:type="dxa"/>
        <w:tblLook w:val="04A0" w:firstRow="1" w:lastRow="0" w:firstColumn="1" w:lastColumn="0" w:noHBand="0" w:noVBand="1"/>
      </w:tblPr>
      <w:tblGrid>
        <w:gridCol w:w="3039"/>
        <w:gridCol w:w="7119"/>
      </w:tblGrid>
      <w:tr w:rsidR="00D936CA" w:rsidRPr="00D936CA" w14:paraId="33CFEC45" w14:textId="77777777" w:rsidTr="00060B2E">
        <w:tc>
          <w:tcPr>
            <w:tcW w:w="1496" w:type="pct"/>
          </w:tcPr>
          <w:p w14:paraId="33CFEC43" w14:textId="77777777" w:rsidR="00A94606" w:rsidRPr="00D936CA" w:rsidRDefault="00A94606"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504" w:type="pct"/>
          </w:tcPr>
          <w:p w14:paraId="33CFEC44" w14:textId="77777777" w:rsidR="00A94606" w:rsidRPr="00D936CA" w:rsidRDefault="00A94606"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C48" w14:textId="77777777" w:rsidTr="00060B2E">
        <w:tc>
          <w:tcPr>
            <w:tcW w:w="1496" w:type="pct"/>
          </w:tcPr>
          <w:p w14:paraId="33CFEC46" w14:textId="77777777" w:rsidR="00A94606" w:rsidRPr="00D936CA" w:rsidRDefault="00A94606"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504" w:type="pct"/>
          </w:tcPr>
          <w:p w14:paraId="33CFEC47" w14:textId="172DAC45" w:rsidR="00A94606" w:rsidRPr="00D936CA" w:rsidRDefault="00A94606"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 xml:space="preserve">El CS deberá ingresar la solicitud por medio del </w:t>
            </w:r>
            <w:r w:rsidR="00A45880" w:rsidRPr="00D936CA">
              <w:rPr>
                <w:rFonts w:ascii="ITC Avant Garde" w:hAnsi="ITC Avant Garde" w:cs="Arial"/>
                <w:bCs/>
                <w:sz w:val="20"/>
                <w:szCs w:val="20"/>
                <w:lang w:val="es-MX"/>
              </w:rPr>
              <w:t>SEG o</w:t>
            </w:r>
            <w:r w:rsidRPr="00D936CA">
              <w:rPr>
                <w:rFonts w:ascii="ITC Avant Garde" w:hAnsi="ITC Avant Garde" w:cs="Arial"/>
                <w:bCs/>
                <w:sz w:val="20"/>
                <w:szCs w:val="20"/>
                <w:lang w:val="es-MX"/>
              </w:rPr>
              <w:t xml:space="preserve"> vía telefónica al 01800-4040734 indicando el NIS-Referencia del servicio en que desea cancelar</w:t>
            </w:r>
            <w:r w:rsidR="00342400">
              <w:rPr>
                <w:rStyle w:val="Refdenotaalpie"/>
                <w:rFonts w:ascii="ITC Avant Garde" w:hAnsi="ITC Avant Garde" w:cs="Arial"/>
                <w:bCs/>
                <w:sz w:val="20"/>
                <w:szCs w:val="20"/>
                <w:lang w:val="es-MX"/>
              </w:rPr>
              <w:footnoteReference w:id="33"/>
            </w:r>
            <w:r w:rsidRPr="00D936CA">
              <w:rPr>
                <w:rFonts w:ascii="ITC Avant Garde" w:hAnsi="ITC Avant Garde" w:cs="Arial"/>
                <w:bCs/>
                <w:sz w:val="20"/>
                <w:szCs w:val="20"/>
                <w:lang w:val="es-MX"/>
              </w:rPr>
              <w:t>.</w:t>
            </w:r>
          </w:p>
        </w:tc>
      </w:tr>
      <w:tr w:rsidR="00D936CA" w:rsidRPr="00D936CA" w14:paraId="33CFEC4D" w14:textId="77777777" w:rsidTr="00060B2E">
        <w:tc>
          <w:tcPr>
            <w:tcW w:w="1496" w:type="pct"/>
          </w:tcPr>
          <w:p w14:paraId="33CFEC49" w14:textId="77777777" w:rsidR="00A94606" w:rsidRPr="00D936CA" w:rsidRDefault="00A94606" w:rsidP="00D936CA">
            <w:pPr>
              <w:pStyle w:val="IFTnormal"/>
              <w:jc w:val="left"/>
              <w:rPr>
                <w:b/>
                <w:sz w:val="20"/>
                <w:szCs w:val="20"/>
              </w:rPr>
            </w:pPr>
            <w:r w:rsidRPr="00D936CA">
              <w:rPr>
                <w:b/>
                <w:sz w:val="20"/>
                <w:szCs w:val="20"/>
              </w:rPr>
              <w:t>Validación de solicitud</w:t>
            </w:r>
          </w:p>
        </w:tc>
        <w:tc>
          <w:tcPr>
            <w:tcW w:w="3504" w:type="pct"/>
            <w:shd w:val="clear" w:color="auto" w:fill="auto"/>
          </w:tcPr>
          <w:p w14:paraId="33CFEC4A" w14:textId="77777777" w:rsidR="00A94606" w:rsidRPr="00D936CA" w:rsidRDefault="00A94606" w:rsidP="00D936CA">
            <w:pPr>
              <w:pStyle w:val="IFTnormal"/>
              <w:rPr>
                <w:sz w:val="20"/>
                <w:szCs w:val="20"/>
              </w:rPr>
            </w:pPr>
            <w:r w:rsidRPr="00D936CA">
              <w:rPr>
                <w:sz w:val="20"/>
                <w:szCs w:val="20"/>
              </w:rPr>
              <w:t>Durante el proceso de validación, Telmex evaluará las solicitudes enviadas por los CS para determinar si:</w:t>
            </w:r>
          </w:p>
          <w:p w14:paraId="33CFEC4B" w14:textId="77777777" w:rsidR="00A94606" w:rsidRPr="00D936CA" w:rsidRDefault="00A94606"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se validará que la solicitud de cancelación corresponda al CS y se revisará el estatus actual de la orden de servicio.</w:t>
            </w:r>
          </w:p>
          <w:p w14:paraId="33CFEC4C" w14:textId="77777777" w:rsidR="00A94606" w:rsidRPr="00D936CA" w:rsidRDefault="00A94606" w:rsidP="00D936CA">
            <w:pPr>
              <w:pStyle w:val="IFTnormal"/>
              <w:numPr>
                <w:ilvl w:val="0"/>
                <w:numId w:val="102"/>
              </w:numPr>
              <w:ind w:left="318" w:hanging="318"/>
              <w:rPr>
                <w:sz w:val="20"/>
                <w:szCs w:val="20"/>
              </w:rPr>
            </w:pPr>
            <w:r w:rsidRPr="00D936CA">
              <w:rPr>
                <w:b/>
                <w:sz w:val="20"/>
                <w:szCs w:val="20"/>
              </w:rPr>
              <w:lastRenderedPageBreak/>
              <w:t>Si es incorrecta</w:t>
            </w:r>
            <w:r w:rsidRPr="00D936CA">
              <w:rPr>
                <w:sz w:val="20"/>
                <w:szCs w:val="20"/>
              </w:rPr>
              <w:t>, Telmex devolverá la solicitud al CS indicando el motivo de rechazo, para que sea corregida y reenviada nuevamente a validación.</w:t>
            </w:r>
          </w:p>
        </w:tc>
      </w:tr>
      <w:tr w:rsidR="00A94606" w:rsidRPr="00D936CA" w14:paraId="33CFEC50" w14:textId="77777777" w:rsidTr="00060B2E">
        <w:tc>
          <w:tcPr>
            <w:tcW w:w="1496" w:type="pct"/>
          </w:tcPr>
          <w:p w14:paraId="33CFEC4E" w14:textId="77777777" w:rsidR="00A94606" w:rsidRPr="00D936CA" w:rsidRDefault="00A94606"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Cancelación del (los) servicio (s)</w:t>
            </w:r>
          </w:p>
        </w:tc>
        <w:tc>
          <w:tcPr>
            <w:tcW w:w="3504" w:type="pct"/>
          </w:tcPr>
          <w:p w14:paraId="33CFEC4F" w14:textId="77777777" w:rsidR="00A94606" w:rsidRPr="00D936CA" w:rsidRDefault="00A94606" w:rsidP="00D936CA">
            <w:pPr>
              <w:pStyle w:val="IFTnormal"/>
              <w:rPr>
                <w:sz w:val="20"/>
                <w:szCs w:val="20"/>
              </w:rPr>
            </w:pPr>
            <w:r w:rsidRPr="00D936CA">
              <w:rPr>
                <w:sz w:val="20"/>
                <w:szCs w:val="20"/>
              </w:rPr>
              <w:t>Se cancela el seguimiento a la solicitud, no aplicará cobro alguno si la notificación de cancelación se hace con un mínimo de 3 días de anticipación a la fecha confirmada de la habilitación del servicio.</w:t>
            </w:r>
          </w:p>
        </w:tc>
      </w:tr>
    </w:tbl>
    <w:p w14:paraId="33CFEC51" w14:textId="77777777" w:rsidR="001442A1" w:rsidRPr="00D936CA" w:rsidRDefault="001442A1" w:rsidP="00060B2E">
      <w:pPr>
        <w:spacing w:after="200" w:line="276" w:lineRule="auto"/>
        <w:ind w:left="-567" w:right="-142"/>
        <w:jc w:val="both"/>
        <w:rPr>
          <w:rFonts w:ascii="ITC Avant Garde" w:hAnsi="ITC Avant Garde"/>
          <w:b/>
          <w:sz w:val="22"/>
          <w:szCs w:val="22"/>
          <w:lang w:val="es-MX"/>
        </w:rPr>
      </w:pPr>
    </w:p>
    <w:p w14:paraId="33CFEC52" w14:textId="77777777" w:rsidR="001442A1" w:rsidRPr="00D936CA" w:rsidRDefault="001442A1"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Cambio de modalidad de Desagregación</w:t>
      </w:r>
    </w:p>
    <w:p w14:paraId="33CFEC53" w14:textId="59F79618" w:rsidR="001442A1" w:rsidRPr="00D936CA" w:rsidRDefault="001442A1"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rPr>
        <w:t>En caso de que el CS requiera modificaciones para cambiar a un servicio distinto de desagregación</w:t>
      </w:r>
      <w:r w:rsidR="00A94606" w:rsidRPr="00D936CA">
        <w:rPr>
          <w:rFonts w:ascii="ITC Avant Garde" w:hAnsi="ITC Avant Garde" w:cs="Arial"/>
          <w:sz w:val="22"/>
          <w:szCs w:val="22"/>
        </w:rPr>
        <w:t>,</w:t>
      </w:r>
      <w:r w:rsidRPr="00D936CA">
        <w:rPr>
          <w:rFonts w:ascii="ITC Avant Garde" w:hAnsi="ITC Avant Garde" w:cs="Arial"/>
          <w:sz w:val="22"/>
          <w:szCs w:val="22"/>
        </w:rPr>
        <w:t xml:space="preserve">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 Asimismo</w:t>
      </w:r>
      <w:r w:rsidR="00E47068">
        <w:rPr>
          <w:rFonts w:ascii="ITC Avant Garde" w:hAnsi="ITC Avant Garde" w:cs="Arial"/>
          <w:sz w:val="22"/>
          <w:szCs w:val="22"/>
        </w:rPr>
        <w:t>,</w:t>
      </w:r>
      <w:r w:rsidRPr="00D936CA">
        <w:rPr>
          <w:rFonts w:ascii="ITC Avant Garde" w:hAnsi="ITC Avant Garde" w:cs="Arial"/>
          <w:sz w:val="22"/>
          <w:szCs w:val="22"/>
        </w:rPr>
        <w:t xml:space="preserve"> se debe considerar que el cambio de desagregación de una modalidad a otra deberá ser transparente para el usuario final, es decir, en caso de afectación del servicio deberá considerarse como máximo un plazo de 30 min</w:t>
      </w:r>
      <w:r w:rsidR="0047419F" w:rsidRPr="00D936CA">
        <w:rPr>
          <w:rFonts w:ascii="ITC Avant Garde" w:hAnsi="ITC Avant Garde" w:cs="Arial"/>
          <w:sz w:val="22"/>
          <w:szCs w:val="22"/>
        </w:rPr>
        <w:t>utos</w:t>
      </w:r>
      <w:r w:rsidR="00E476A1" w:rsidRPr="00D936CA">
        <w:rPr>
          <w:rFonts w:ascii="ITC Avant Garde" w:hAnsi="ITC Avant Garde" w:cs="Arial"/>
          <w:sz w:val="22"/>
          <w:szCs w:val="22"/>
        </w:rPr>
        <w:t>.</w:t>
      </w:r>
    </w:p>
    <w:p w14:paraId="33CFEC54" w14:textId="77777777" w:rsidR="001442A1" w:rsidRPr="00D936CA" w:rsidRDefault="001442A1"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Cambio de Domicilio</w:t>
      </w:r>
    </w:p>
    <w:p w14:paraId="33CFEC55" w14:textId="4E368E09" w:rsidR="00CA397E" w:rsidRDefault="001442A1"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Aplican los movimientos de baja y alta del servicio conforme a los procedimientos correspondientes y dicho cambio será atendido conforme las políticas actuales de los servicios.</w:t>
      </w:r>
    </w:p>
    <w:p w14:paraId="1DF3C73D" w14:textId="77777777" w:rsidR="00A45880" w:rsidRPr="00D936CA" w:rsidRDefault="00A45880" w:rsidP="00060B2E">
      <w:pPr>
        <w:autoSpaceDE w:val="0"/>
        <w:autoSpaceDN w:val="0"/>
        <w:adjustRightInd w:val="0"/>
        <w:spacing w:after="200" w:line="276" w:lineRule="auto"/>
        <w:ind w:left="-567" w:right="-142"/>
        <w:jc w:val="both"/>
        <w:rPr>
          <w:rFonts w:cs="Arial"/>
        </w:rPr>
      </w:pPr>
    </w:p>
    <w:p w14:paraId="33CFEC56" w14:textId="77777777" w:rsidR="00394A75" w:rsidRPr="00D936CA" w:rsidRDefault="00375F39" w:rsidP="00D936CA">
      <w:pPr>
        <w:pStyle w:val="Ttulo2"/>
        <w:numPr>
          <w:ilvl w:val="1"/>
          <w:numId w:val="143"/>
        </w:numPr>
        <w:ind w:left="851" w:hanging="425"/>
      </w:pPr>
      <w:bookmarkStart w:id="430" w:name="_Toc436840899"/>
      <w:bookmarkStart w:id="431" w:name="_Toc436846336"/>
      <w:bookmarkStart w:id="432" w:name="_Toc436848286"/>
      <w:bookmarkStart w:id="433" w:name="_Toc436856534"/>
      <w:bookmarkStart w:id="434" w:name="_Toc436862680"/>
      <w:bookmarkStart w:id="435" w:name="_Toc436866330"/>
      <w:bookmarkStart w:id="436" w:name="_Toc436870909"/>
      <w:bookmarkStart w:id="437" w:name="_Toc436875901"/>
      <w:r w:rsidRPr="00D936CA">
        <w:t xml:space="preserve"> </w:t>
      </w:r>
      <w:bookmarkStart w:id="438" w:name="_Toc467248713"/>
      <w:bookmarkStart w:id="439" w:name="_Toc518031996"/>
      <w:r w:rsidR="00394A75" w:rsidRPr="00D936CA">
        <w:t>Plazos de Entrega de SAIB.</w:t>
      </w:r>
      <w:bookmarkEnd w:id="430"/>
      <w:bookmarkEnd w:id="431"/>
      <w:bookmarkEnd w:id="432"/>
      <w:bookmarkEnd w:id="433"/>
      <w:bookmarkEnd w:id="434"/>
      <w:bookmarkEnd w:id="435"/>
      <w:bookmarkEnd w:id="436"/>
      <w:bookmarkEnd w:id="437"/>
      <w:bookmarkEnd w:id="438"/>
      <w:bookmarkEnd w:id="439"/>
    </w:p>
    <w:p w14:paraId="33CFEC57" w14:textId="77777777" w:rsidR="001442A1" w:rsidRPr="00D936CA" w:rsidRDefault="001442A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Validación de la solicitud junto con verificación de factibilidad: máximo 2 días hábiles.</w:t>
      </w:r>
    </w:p>
    <w:p w14:paraId="33CFEC58" w14:textId="77777777" w:rsidR="001442A1" w:rsidRPr="00D936CA" w:rsidRDefault="001442A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Entrega del servicio para usuarios existentes (habilitación): máximo 5 días hábiles que se contabilizarán a partir de la solicitud para el servicio con el módem/ONT blanco que el CS provea.</w:t>
      </w:r>
    </w:p>
    <w:p w14:paraId="33CFEC59" w14:textId="77777777" w:rsidR="001442A1" w:rsidRPr="00D936CA" w:rsidRDefault="001442A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Entrega del servicio para usuarios existentes (habilitación): máximo 7 días hábiles que se contabilizarán a partir de la solicitud para el servicio en que Telmex deba entregar algún equipo a solicitud del CS.</w:t>
      </w:r>
    </w:p>
    <w:p w14:paraId="33CFEC5A" w14:textId="77777777" w:rsidR="001442A1" w:rsidRPr="00D936CA" w:rsidRDefault="001442A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 xml:space="preserve">Entrega del servicio para usuarios nuevos con acometida o recursos de red (habilitación): día confirmado por el CS en la solicitud (máximo día 5 hábil a </w:t>
      </w:r>
      <w:r w:rsidRPr="00D936CA">
        <w:rPr>
          <w:rFonts w:ascii="ITC Avant Garde" w:hAnsi="ITC Avant Garde"/>
          <w:sz w:val="22"/>
          <w:szCs w:val="22"/>
          <w:lang w:val="es-ES"/>
        </w:rPr>
        <w:lastRenderedPageBreak/>
        <w:t>partir de la solicitud sin provisión de equipo y máximo día 7 hábil a partir de la solicitud con provisión de equipo por parte de Telmex).</w:t>
      </w:r>
    </w:p>
    <w:p w14:paraId="33CFEC5B" w14:textId="2C2F2C14" w:rsidR="009E7693" w:rsidRDefault="001442A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 xml:space="preserve">Entrega del servicio para usuarios nuevos sin acometida (habilitación): </w:t>
      </w:r>
      <w:r w:rsidRPr="00D936CA">
        <w:rPr>
          <w:rFonts w:ascii="ITC Avant Garde" w:hAnsi="ITC Avant Garde"/>
          <w:sz w:val="22"/>
          <w:szCs w:val="22"/>
          <w:lang w:val="es-ES"/>
        </w:rPr>
        <w:t>día confirmado por el CS en la solicitud (máximo día 7 hábil indistintamente de quien provisione el equipo).</w:t>
      </w:r>
    </w:p>
    <w:p w14:paraId="28BAC898" w14:textId="77777777" w:rsidR="00A45880" w:rsidRPr="00D936CA" w:rsidRDefault="00A45880" w:rsidP="00A45880">
      <w:pPr>
        <w:pStyle w:val="Prrafodelista"/>
        <w:spacing w:after="200" w:line="276" w:lineRule="auto"/>
        <w:ind w:left="720"/>
        <w:jc w:val="both"/>
        <w:rPr>
          <w:rFonts w:ascii="ITC Avant Garde" w:hAnsi="ITC Avant Garde"/>
          <w:sz w:val="22"/>
          <w:szCs w:val="22"/>
          <w:lang w:val="es-ES"/>
        </w:rPr>
      </w:pPr>
    </w:p>
    <w:p w14:paraId="33CFEC5C" w14:textId="77777777" w:rsidR="00394A75" w:rsidRPr="00D936CA" w:rsidRDefault="00375F39" w:rsidP="00D936CA">
      <w:pPr>
        <w:pStyle w:val="Ttulo2"/>
        <w:numPr>
          <w:ilvl w:val="1"/>
          <w:numId w:val="143"/>
        </w:numPr>
        <w:ind w:left="851" w:hanging="425"/>
      </w:pPr>
      <w:bookmarkStart w:id="440" w:name="_Toc393983207"/>
      <w:bookmarkStart w:id="441" w:name="_Toc395116733"/>
      <w:bookmarkStart w:id="442" w:name="_Toc436840900"/>
      <w:bookmarkStart w:id="443" w:name="_Toc436846337"/>
      <w:bookmarkStart w:id="444" w:name="_Toc436848287"/>
      <w:bookmarkStart w:id="445" w:name="_Toc436856535"/>
      <w:bookmarkStart w:id="446" w:name="_Toc436862681"/>
      <w:bookmarkStart w:id="447" w:name="_Toc436866331"/>
      <w:bookmarkStart w:id="448" w:name="_Toc436870910"/>
      <w:bookmarkStart w:id="449" w:name="_Toc436875902"/>
      <w:r w:rsidRPr="00D936CA">
        <w:t xml:space="preserve"> </w:t>
      </w:r>
      <w:bookmarkStart w:id="450" w:name="_Toc467248714"/>
      <w:bookmarkStart w:id="451" w:name="_Toc518031997"/>
      <w:r w:rsidR="00394A75" w:rsidRPr="00D936CA">
        <w:t>Parámetros e indicadores de calidad</w:t>
      </w:r>
      <w:bookmarkEnd w:id="440"/>
      <w:bookmarkEnd w:id="441"/>
      <w:r w:rsidR="00394A75" w:rsidRPr="00D936CA">
        <w:t xml:space="preserve"> para SAIB</w:t>
      </w:r>
      <w:bookmarkEnd w:id="442"/>
      <w:bookmarkEnd w:id="443"/>
      <w:bookmarkEnd w:id="444"/>
      <w:bookmarkEnd w:id="445"/>
      <w:bookmarkEnd w:id="446"/>
      <w:bookmarkEnd w:id="447"/>
      <w:bookmarkEnd w:id="448"/>
      <w:bookmarkEnd w:id="449"/>
      <w:bookmarkEnd w:id="450"/>
      <w:bookmarkEnd w:id="451"/>
    </w:p>
    <w:p w14:paraId="33CFEC5D" w14:textId="77777777" w:rsidR="00394A75" w:rsidRPr="00D936CA" w:rsidRDefault="00394A75"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esta sección se muestran los parámetros e indicadores de calidad referentes a la provisión, continuidad y atención de fallas del Servicio de Acceso Indirecto al Bucle. Estos parámetros e indicadores corresponden a los utilizados en la propia operación de Telmex, y se medirán con una periodicidad trimestral por cada uno de los CS.</w:t>
      </w:r>
    </w:p>
    <w:p w14:paraId="33CFEC5E" w14:textId="77777777" w:rsidR="00394A75" w:rsidRPr="00D936CA" w:rsidRDefault="00394A75"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Parámetros e Indicadores para Provisión del Servicio</w:t>
      </w:r>
    </w:p>
    <w:p w14:paraId="33CFEC5F" w14:textId="77777777" w:rsidR="00394A75" w:rsidRPr="00D936CA" w:rsidRDefault="00394A75"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lo referente a la provisión de los servicios (validación de la solicitud, verificación de factibilidad y habilitación), se tienen los siguientes indicadores:</w:t>
      </w:r>
    </w:p>
    <w:p w14:paraId="33CFEC60" w14:textId="03642505" w:rsidR="00496130" w:rsidRPr="00D936CA" w:rsidRDefault="00C731CA" w:rsidP="00D936CA">
      <w:pPr>
        <w:pStyle w:val="Prrafodelista"/>
        <w:numPr>
          <w:ilvl w:val="0"/>
          <w:numId w:val="75"/>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Validación de la solicitud junto con verificación de la factibilidad</w:t>
      </w:r>
      <w:r w:rsidR="00A36E9D" w:rsidRPr="00D936CA">
        <w:rPr>
          <w:rFonts w:ascii="ITC Avant Garde" w:hAnsi="ITC Avant Garde"/>
          <w:sz w:val="22"/>
          <w:szCs w:val="22"/>
          <w:lang w:val="es-MX"/>
        </w:rPr>
        <w:t xml:space="preserve"> para usuarios</w:t>
      </w:r>
      <w:r w:rsidRPr="00D936CA">
        <w:rPr>
          <w:rFonts w:ascii="ITC Avant Garde" w:hAnsi="ITC Avant Garde"/>
          <w:sz w:val="22"/>
          <w:szCs w:val="22"/>
          <w:lang w:val="es-MX"/>
        </w:rPr>
        <w:t xml:space="preserve">: 90% de las solicitudes en máximo </w:t>
      </w:r>
      <w:r w:rsidR="005037BD" w:rsidRPr="00D936CA">
        <w:rPr>
          <w:rFonts w:ascii="ITC Avant Garde" w:hAnsi="ITC Avant Garde"/>
          <w:sz w:val="22"/>
          <w:szCs w:val="22"/>
          <w:lang w:val="es-MX"/>
        </w:rPr>
        <w:t>dos</w:t>
      </w:r>
      <w:r w:rsidRPr="00D936CA">
        <w:rPr>
          <w:rFonts w:ascii="ITC Avant Garde" w:hAnsi="ITC Avant Garde"/>
          <w:sz w:val="22"/>
          <w:szCs w:val="22"/>
          <w:lang w:val="es-MX"/>
        </w:rPr>
        <w:t xml:space="preserve"> días hábiles. </w:t>
      </w:r>
      <w:r w:rsidR="00496130" w:rsidRPr="00D936CA">
        <w:rPr>
          <w:rFonts w:ascii="ITC Avant Garde" w:hAnsi="ITC Avant Garde"/>
          <w:sz w:val="22"/>
          <w:szCs w:val="22"/>
          <w:lang w:val="es-MX"/>
        </w:rPr>
        <w:t xml:space="preserve">El 10% restante en un máximo de </w:t>
      </w:r>
      <w:r w:rsidR="005037BD" w:rsidRPr="00D936CA">
        <w:rPr>
          <w:rFonts w:ascii="ITC Avant Garde" w:hAnsi="ITC Avant Garde"/>
          <w:sz w:val="22"/>
          <w:szCs w:val="22"/>
          <w:lang w:val="es-MX"/>
        </w:rPr>
        <w:t>tres</w:t>
      </w:r>
      <w:r w:rsidR="00496130" w:rsidRPr="00D936CA">
        <w:rPr>
          <w:rFonts w:ascii="ITC Avant Garde" w:hAnsi="ITC Avant Garde"/>
          <w:sz w:val="22"/>
          <w:szCs w:val="22"/>
          <w:lang w:val="es-MX"/>
        </w:rPr>
        <w:t xml:space="preserve"> días hábiles a partir de la solicitud.</w:t>
      </w:r>
    </w:p>
    <w:p w14:paraId="33CFEC61" w14:textId="33ECF214" w:rsidR="00496130" w:rsidRPr="00D936CA" w:rsidRDefault="00496130" w:rsidP="00D936CA">
      <w:pPr>
        <w:pStyle w:val="Prrafodelista"/>
        <w:numPr>
          <w:ilvl w:val="0"/>
          <w:numId w:val="75"/>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Habilitación para usuarios existentes con el módem/ONT blanco provisto por el CS en tiempo: 90% en un máximo de </w:t>
      </w:r>
      <w:r w:rsidR="005037BD" w:rsidRPr="00D936CA">
        <w:rPr>
          <w:rFonts w:ascii="ITC Avant Garde" w:hAnsi="ITC Avant Garde"/>
          <w:sz w:val="22"/>
          <w:szCs w:val="22"/>
          <w:lang w:val="es-MX"/>
        </w:rPr>
        <w:t>cinco</w:t>
      </w:r>
      <w:r w:rsidRPr="00D936CA">
        <w:rPr>
          <w:rFonts w:ascii="ITC Avant Garde" w:hAnsi="ITC Avant Garde"/>
          <w:sz w:val="22"/>
          <w:szCs w:val="22"/>
          <w:lang w:val="es-MX"/>
        </w:rPr>
        <w:t xml:space="preserve"> días hábiles. El 10% restante validada en un máximo de 8 días hábiles a partir de la solicitud.</w:t>
      </w:r>
    </w:p>
    <w:p w14:paraId="33CFEC62" w14:textId="240FCB20" w:rsidR="00496130" w:rsidRPr="00D936CA" w:rsidRDefault="00496130" w:rsidP="00D936CA">
      <w:pPr>
        <w:pStyle w:val="Prrafodelista"/>
        <w:numPr>
          <w:ilvl w:val="0"/>
          <w:numId w:val="75"/>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Habilitación para usuarios existentes con entrega de módem/ONT por parte de Telmex en tiempo: 90% en un máximo de </w:t>
      </w:r>
      <w:r w:rsidR="005037BD" w:rsidRPr="00D936CA">
        <w:rPr>
          <w:rFonts w:ascii="ITC Avant Garde" w:hAnsi="ITC Avant Garde"/>
          <w:sz w:val="22"/>
          <w:szCs w:val="22"/>
          <w:lang w:val="es-MX"/>
        </w:rPr>
        <w:t>siete</w:t>
      </w:r>
      <w:r w:rsidRPr="00D936CA">
        <w:rPr>
          <w:rFonts w:ascii="ITC Avant Garde" w:hAnsi="ITC Avant Garde"/>
          <w:sz w:val="22"/>
          <w:szCs w:val="22"/>
          <w:lang w:val="es-MX"/>
        </w:rPr>
        <w:t xml:space="preserve"> días hábiles. El 10% restante validada en un máximo de 9 días hábiles a partir de la solicitud.</w:t>
      </w:r>
    </w:p>
    <w:p w14:paraId="33CFEC63" w14:textId="78D2EE5F" w:rsidR="00496130" w:rsidRPr="00D936CA" w:rsidRDefault="00496130" w:rsidP="00D936CA">
      <w:pPr>
        <w:pStyle w:val="Prrafodelista"/>
        <w:numPr>
          <w:ilvl w:val="0"/>
          <w:numId w:val="75"/>
        </w:numPr>
        <w:spacing w:after="200" w:line="276" w:lineRule="auto"/>
        <w:jc w:val="both"/>
        <w:rPr>
          <w:rStyle w:val="IFTnormalCar"/>
        </w:rPr>
      </w:pPr>
      <w:r w:rsidRPr="00D936CA">
        <w:rPr>
          <w:rFonts w:ascii="ITC Avant Garde" w:hAnsi="ITC Avant Garde"/>
          <w:sz w:val="22"/>
          <w:szCs w:val="22"/>
          <w:lang w:val="es-MX"/>
        </w:rPr>
        <w:t>Habilitación para usuarios nuevos con acometida y recursos de red</w:t>
      </w:r>
      <w:r w:rsidRPr="00D936CA">
        <w:rPr>
          <w:rStyle w:val="IFTnormalCar"/>
        </w:rPr>
        <w:t xml:space="preserve">: 90% en un máximo de </w:t>
      </w:r>
      <w:r w:rsidR="005037BD" w:rsidRPr="00D936CA">
        <w:rPr>
          <w:rStyle w:val="IFTnormalCar"/>
        </w:rPr>
        <w:t>cinco</w:t>
      </w:r>
      <w:r w:rsidRPr="00D936CA">
        <w:rPr>
          <w:rStyle w:val="IFTnormalCar"/>
        </w:rPr>
        <w:t xml:space="preserve"> días hábiles. El 10% restante en un máximo de </w:t>
      </w:r>
      <w:r w:rsidR="005037BD" w:rsidRPr="00D936CA">
        <w:rPr>
          <w:rStyle w:val="IFTnormalCar"/>
        </w:rPr>
        <w:t>siete</w:t>
      </w:r>
      <w:r w:rsidRPr="00D936CA">
        <w:rPr>
          <w:rStyle w:val="IFTnormalCar"/>
        </w:rPr>
        <w:t xml:space="preserve"> días hábiles a partir de la solicitud.</w:t>
      </w:r>
    </w:p>
    <w:p w14:paraId="33CFEC64" w14:textId="4F0FA8D3" w:rsidR="00C731CA" w:rsidRPr="00D936CA" w:rsidRDefault="00496130" w:rsidP="00D936CA">
      <w:pPr>
        <w:pStyle w:val="Prrafodelista"/>
        <w:numPr>
          <w:ilvl w:val="0"/>
          <w:numId w:val="75"/>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para usuarios nuevos sin acometida o recursos de red</w:t>
      </w:r>
      <w:r w:rsidRPr="00D936CA">
        <w:rPr>
          <w:rStyle w:val="IFTnormalCar"/>
        </w:rPr>
        <w:t xml:space="preserve">: 90% en un máximo de </w:t>
      </w:r>
      <w:r w:rsidR="005037BD" w:rsidRPr="00D936CA">
        <w:rPr>
          <w:rStyle w:val="IFTnormalCar"/>
        </w:rPr>
        <w:t>siete</w:t>
      </w:r>
      <w:r w:rsidRPr="00D936CA">
        <w:rPr>
          <w:rStyle w:val="IFTnormalCar"/>
        </w:rPr>
        <w:t xml:space="preserve"> días hábiles indistintamente de la provisión de equipo. El 10% restante en un máximo de 9 días hábiles a partir de la solicitud.</w:t>
      </w:r>
    </w:p>
    <w:p w14:paraId="33CFEC65" w14:textId="77777777" w:rsidR="00E24B74" w:rsidRPr="00D936CA" w:rsidRDefault="00E24B74" w:rsidP="00060B2E">
      <w:pPr>
        <w:spacing w:after="200" w:line="276" w:lineRule="auto"/>
        <w:ind w:left="-567" w:right="-142"/>
        <w:jc w:val="both"/>
        <w:rPr>
          <w:rFonts w:ascii="ITC Avant Garde" w:hAnsi="ITC Avant Garde"/>
          <w:b/>
          <w:sz w:val="22"/>
          <w:szCs w:val="22"/>
          <w:lang w:val="es-MX"/>
        </w:rPr>
      </w:pPr>
    </w:p>
    <w:p w14:paraId="33CFEC66" w14:textId="77777777" w:rsidR="00394A75" w:rsidRPr="00D936CA" w:rsidRDefault="00394A75"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Metodología</w:t>
      </w:r>
    </w:p>
    <w:p w14:paraId="33CFEC67" w14:textId="77777777" w:rsidR="00394A75" w:rsidRPr="00D936CA" w:rsidRDefault="00394A75"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 xml:space="preserve">Para realizar la medición de los indicadores presentados, se descontarán los plazos de entrega señalados en la sección 5.4 de este documento de los días totales utilizados para la realización de dicha actividad, considerando como inicio del proceso el día en que se solicitó el servicio por parte del CS. </w:t>
      </w:r>
    </w:p>
    <w:p w14:paraId="33CFEC68" w14:textId="77777777" w:rsidR="00394A75" w:rsidRPr="00D936CA" w:rsidRDefault="00394A75"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Parámetros para Reparación de Fallas</w:t>
      </w:r>
    </w:p>
    <w:p w14:paraId="33CFEC69" w14:textId="77777777" w:rsidR="00396176" w:rsidRPr="00D936CA" w:rsidRDefault="00396176" w:rsidP="00060B2E">
      <w:pPr>
        <w:pStyle w:val="IFTnormal"/>
        <w:ind w:left="-567" w:right="-142"/>
        <w:rPr>
          <w:rFonts w:cs="Century Gothic"/>
          <w:sz w:val="23"/>
          <w:szCs w:val="23"/>
        </w:rPr>
      </w:pPr>
      <w:r w:rsidRPr="00D936CA">
        <w:rPr>
          <w:rFonts w:cs="Century Gothic"/>
          <w:sz w:val="23"/>
          <w:szCs w:val="23"/>
        </w:rPr>
        <w:t xml:space="preserve">En cuanto a los parámetros de calidad asociados a la reparación de fallas, se tiene el siguiente alcance: </w:t>
      </w:r>
    </w:p>
    <w:p w14:paraId="33CFEC6A" w14:textId="77777777" w:rsidR="00396176" w:rsidRPr="00D936CA" w:rsidRDefault="00396176" w:rsidP="00060B2E">
      <w:pPr>
        <w:pStyle w:val="IFTnormal"/>
        <w:ind w:left="-567" w:right="-142"/>
        <w:rPr>
          <w:rFonts w:cs="Century Gothic"/>
          <w:sz w:val="23"/>
          <w:szCs w:val="23"/>
        </w:rPr>
      </w:pPr>
      <w:r w:rsidRPr="00D936CA">
        <w:rPr>
          <w:rFonts w:cs="Century Gothic"/>
          <w:sz w:val="23"/>
          <w:szCs w:val="23"/>
        </w:rPr>
        <w:t xml:space="preserve">Total de reparaciones atendidas: </w:t>
      </w:r>
    </w:p>
    <w:p w14:paraId="33CFEC6B" w14:textId="22A4E331" w:rsidR="00396176" w:rsidRPr="00D936CA" w:rsidRDefault="00396176" w:rsidP="00D936CA">
      <w:pPr>
        <w:pStyle w:val="IFTnormal"/>
        <w:numPr>
          <w:ilvl w:val="0"/>
          <w:numId w:val="137"/>
        </w:numPr>
        <w:rPr>
          <w:rFonts w:cs="Century Gothic"/>
          <w:sz w:val="23"/>
          <w:szCs w:val="23"/>
        </w:rPr>
      </w:pPr>
      <w:r w:rsidRPr="00D936CA">
        <w:rPr>
          <w:rFonts w:cs="Century Gothic"/>
          <w:sz w:val="23"/>
          <w:szCs w:val="23"/>
        </w:rPr>
        <w:t>dentro del día hábil siguiente a la recepción de la queja, del total de reportes levantados. Objetivo 8</w:t>
      </w:r>
      <w:r w:rsidR="000E17DD">
        <w:rPr>
          <w:rFonts w:cs="Century Gothic"/>
          <w:sz w:val="23"/>
          <w:szCs w:val="23"/>
        </w:rPr>
        <w:t>2</w:t>
      </w:r>
      <w:r w:rsidRPr="00D936CA">
        <w:rPr>
          <w:rFonts w:cs="Century Gothic"/>
          <w:sz w:val="23"/>
          <w:szCs w:val="23"/>
        </w:rPr>
        <w:t xml:space="preserve"> % </w:t>
      </w:r>
    </w:p>
    <w:p w14:paraId="33CFEC6C" w14:textId="2AAC9F80" w:rsidR="00396176" w:rsidRPr="00D936CA" w:rsidRDefault="00396176" w:rsidP="00D936CA">
      <w:pPr>
        <w:pStyle w:val="IFTnormal"/>
        <w:numPr>
          <w:ilvl w:val="0"/>
          <w:numId w:val="137"/>
        </w:numPr>
        <w:rPr>
          <w:rFonts w:cs="Century Gothic"/>
          <w:sz w:val="23"/>
          <w:szCs w:val="23"/>
        </w:rPr>
      </w:pPr>
      <w:r w:rsidRPr="00D936CA">
        <w:rPr>
          <w:rFonts w:cs="Century Gothic"/>
          <w:sz w:val="23"/>
          <w:szCs w:val="23"/>
        </w:rPr>
        <w:t>dentro de los tres días hábiles siguientes a la recepción de la queja, del total de reportes levantados. Objetivo 9</w:t>
      </w:r>
      <w:r w:rsidR="000E17DD">
        <w:rPr>
          <w:rFonts w:cs="Century Gothic"/>
          <w:sz w:val="23"/>
          <w:szCs w:val="23"/>
        </w:rPr>
        <w:t>4</w:t>
      </w:r>
      <w:r w:rsidRPr="00D936CA">
        <w:rPr>
          <w:rFonts w:cs="Century Gothic"/>
          <w:sz w:val="23"/>
          <w:szCs w:val="23"/>
        </w:rPr>
        <w:t xml:space="preserve">% </w:t>
      </w:r>
    </w:p>
    <w:p w14:paraId="77EC5277" w14:textId="3B6FBD07" w:rsidR="0038549F" w:rsidRPr="00D936CA" w:rsidRDefault="0038549F" w:rsidP="00060B2E">
      <w:pPr>
        <w:pStyle w:val="IFTnormal"/>
        <w:ind w:left="-567" w:right="-142"/>
        <w:rPr>
          <w:rFonts w:cs="Century Gothic"/>
          <w:sz w:val="23"/>
          <w:szCs w:val="23"/>
        </w:rPr>
      </w:pPr>
      <w:r w:rsidRPr="00D936CA">
        <w:t xml:space="preserve">Para los casos anteriores, la reparación de fallas para el </w:t>
      </w:r>
      <w:r w:rsidR="000E17DD">
        <w:t>6</w:t>
      </w:r>
      <w:r w:rsidRPr="00D936CA">
        <w:t>% de reportes restante no excederá de 10 días hábiles siguientes a la recepción de la queja.</w:t>
      </w:r>
    </w:p>
    <w:p w14:paraId="33CFEC6F" w14:textId="049F2583" w:rsidR="00396176" w:rsidRPr="00D936CA" w:rsidRDefault="00396176" w:rsidP="00060B2E">
      <w:pPr>
        <w:pStyle w:val="IFTnormal"/>
        <w:ind w:left="-567" w:right="-142"/>
        <w:rPr>
          <w:rFonts w:cs="Century Gothic"/>
          <w:sz w:val="23"/>
          <w:szCs w:val="23"/>
        </w:rPr>
      </w:pPr>
      <w:r w:rsidRPr="00D936CA">
        <w:rPr>
          <w:rFonts w:cs="Century Gothic"/>
          <w:sz w:val="23"/>
          <w:szCs w:val="23"/>
        </w:rPr>
        <w:t>Para realizar las mediciones de estos indicadores, se considerarán los reportes levantados en un horario de 9:00 a 17:00 horas</w:t>
      </w:r>
      <w:r w:rsidR="00E95213" w:rsidRPr="00D936CA">
        <w:rPr>
          <w:rFonts w:cs="Century Gothic"/>
          <w:sz w:val="23"/>
          <w:szCs w:val="23"/>
        </w:rPr>
        <w:t xml:space="preserve"> de lunes a viernes</w:t>
      </w:r>
      <w:r w:rsidRPr="00D936CA">
        <w:rPr>
          <w:rFonts w:cs="Century Gothic"/>
          <w:sz w:val="23"/>
          <w:szCs w:val="23"/>
        </w:rPr>
        <w:t xml:space="preserve">, aquellos que se reciban después de ese horario, se contabilizarán para el día hábil siguiente. </w:t>
      </w:r>
    </w:p>
    <w:p w14:paraId="33CFEC70" w14:textId="77777777" w:rsidR="00394A75" w:rsidRPr="00D936CA" w:rsidRDefault="00394A75" w:rsidP="00060B2E">
      <w:pPr>
        <w:autoSpaceDE w:val="0"/>
        <w:autoSpaceDN w:val="0"/>
        <w:adjustRightInd w:val="0"/>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Metodología</w:t>
      </w:r>
    </w:p>
    <w:p w14:paraId="33CFEC71" w14:textId="728DA81E" w:rsidR="00394A75" w:rsidRPr="00D936CA" w:rsidRDefault="00394A75"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El cálculo de los indicadores de reparación de </w:t>
      </w:r>
      <w:r w:rsidR="00A45880" w:rsidRPr="00D936CA">
        <w:rPr>
          <w:rFonts w:ascii="ITC Avant Garde" w:hAnsi="ITC Avant Garde"/>
          <w:sz w:val="22"/>
          <w:szCs w:val="22"/>
          <w:lang w:val="es-MX"/>
        </w:rPr>
        <w:t>fallas</w:t>
      </w:r>
      <w:r w:rsidRPr="00D936CA">
        <w:rPr>
          <w:rFonts w:ascii="ITC Avant Garde" w:hAnsi="ITC Avant Garde"/>
          <w:sz w:val="22"/>
          <w:szCs w:val="22"/>
          <w:lang w:val="es-MX"/>
        </w:rPr>
        <w:t xml:space="preserve"> se calcula de la siguiente forma, y se mide para reparaciones en 1, 3 y 10 días hábiles posteriores a la recepción de la queja: </w:t>
      </w:r>
    </w:p>
    <w:p w14:paraId="33CFEC72" w14:textId="77777777" w:rsidR="00394A75" w:rsidRPr="00D936CA" w:rsidRDefault="00394A75" w:rsidP="00060B2E">
      <w:pPr>
        <w:spacing w:after="200" w:line="276" w:lineRule="auto"/>
        <w:ind w:left="-567" w:right="-142"/>
        <w:jc w:val="both"/>
        <w:rPr>
          <w:rFonts w:ascii="ITC Avant Garde" w:hAnsi="ITC Avant Garde"/>
          <w:sz w:val="22"/>
          <w:szCs w:val="22"/>
        </w:rPr>
      </w:pPr>
      <w:r w:rsidRPr="00D936CA">
        <w:rPr>
          <w:rFonts w:ascii="ITC Avant Garde" w:hAnsi="ITC Avant Garde" w:cstheme="minorHAnsi"/>
          <w:b/>
          <w:sz w:val="22"/>
          <w:szCs w:val="22"/>
        </w:rPr>
        <w:t xml:space="preserve">Reparación de líneas: </w:t>
      </w:r>
      <w:r w:rsidRPr="00D936CA">
        <w:rPr>
          <w:rFonts w:ascii="ITC Avant Garde" w:hAnsi="ITC Avant Garde" w:cstheme="minorHAnsi"/>
          <w:sz w:val="22"/>
          <w:szCs w:val="22"/>
        </w:rPr>
        <w:t>porcentaje de las fallas reportadas, que son atendidas dentro del plazo a medir (1,</w:t>
      </w:r>
      <w:r w:rsidR="00A558F9" w:rsidRPr="00D936CA">
        <w:rPr>
          <w:rFonts w:ascii="ITC Avant Garde" w:hAnsi="ITC Avant Garde" w:cstheme="minorHAnsi"/>
          <w:sz w:val="22"/>
          <w:szCs w:val="22"/>
        </w:rPr>
        <w:t xml:space="preserve"> </w:t>
      </w:r>
      <w:r w:rsidRPr="00D936CA">
        <w:rPr>
          <w:rFonts w:ascii="ITC Avant Garde" w:hAnsi="ITC Avant Garde" w:cstheme="minorHAnsi"/>
          <w:sz w:val="22"/>
          <w:szCs w:val="22"/>
        </w:rPr>
        <w:t>3, 10 días hábiles siguientes a la recepción de la queja), durante el trimestre.</w:t>
      </w:r>
    </w:p>
    <w:p w14:paraId="33CFEC73" w14:textId="77777777" w:rsidR="00394A75" w:rsidRPr="00D936CA" w:rsidRDefault="00394A75" w:rsidP="00060B2E">
      <w:pPr>
        <w:autoSpaceDE w:val="0"/>
        <w:autoSpaceDN w:val="0"/>
        <w:adjustRightInd w:val="0"/>
        <w:spacing w:line="276" w:lineRule="auto"/>
        <w:ind w:left="-567" w:right="-142"/>
        <w:jc w:val="both"/>
        <w:rPr>
          <w:rFonts w:ascii="ITC Avant Garde" w:hAnsi="ITC Avant Garde"/>
          <w:i/>
          <w:sz w:val="22"/>
          <w:szCs w:val="22"/>
          <w:lang w:val="es-MX"/>
        </w:rPr>
      </w:pPr>
    </w:p>
    <w:p w14:paraId="33CFEC74" w14:textId="77777777" w:rsidR="00394A75" w:rsidRPr="00D936CA" w:rsidRDefault="00394A75" w:rsidP="00060B2E">
      <w:pPr>
        <w:autoSpaceDE w:val="0"/>
        <w:autoSpaceDN w:val="0"/>
        <w:adjustRightInd w:val="0"/>
        <w:spacing w:after="200" w:line="276" w:lineRule="auto"/>
        <w:ind w:left="-567" w:right="-142"/>
        <w:jc w:val="center"/>
        <w:rPr>
          <w:rFonts w:ascii="ITC Avant Garde" w:hAnsi="ITC Avant Garde"/>
          <w:sz w:val="22"/>
          <w:szCs w:val="22"/>
          <w:lang w:val="es-MX"/>
        </w:rPr>
      </w:pPr>
      <w:r w:rsidRPr="00D936CA">
        <w:rPr>
          <w:rFonts w:ascii="ITC Avant Garde" w:hAnsi="ITC Avant Garde"/>
          <w:i/>
          <w:sz w:val="22"/>
          <w:szCs w:val="22"/>
          <w:lang w:val="es-MX"/>
        </w:rPr>
        <w:t xml:space="preserve">Reparación de Fallas </w:t>
      </w:r>
      <w:r w:rsidRPr="00D936CA">
        <w:rPr>
          <w:rFonts w:ascii="ITC Avant Garde" w:hAnsi="ITC Avant Garde"/>
          <w:sz w:val="22"/>
          <w:szCs w:val="22"/>
          <w:lang w:val="es-MX"/>
        </w:rPr>
        <w:t xml:space="preserve">= </w:t>
      </w:r>
      <m:oMath>
        <m:f>
          <m:fPr>
            <m:ctrlPr>
              <w:rPr>
                <w:rFonts w:ascii="Cambria Math" w:hAnsi="Cambria Math"/>
                <w:i/>
                <w:sz w:val="22"/>
                <w:szCs w:val="22"/>
                <w:lang w:val="es-MX"/>
              </w:rPr>
            </m:ctrlPr>
          </m:fPr>
          <m:num>
            <m:r>
              <w:rPr>
                <w:rFonts w:ascii="Cambria Math" w:hAnsi="Cambria Math"/>
                <w:sz w:val="22"/>
                <w:szCs w:val="22"/>
                <w:lang w:val="es-MX"/>
              </w:rPr>
              <m:t>Fallas efectivas reparadas en el plazo a medir en  días hábiles</m:t>
            </m:r>
          </m:num>
          <m:den>
            <m:r>
              <w:rPr>
                <w:rFonts w:ascii="Cambria Math" w:hAnsi="Cambria Math"/>
                <w:sz w:val="22"/>
                <w:szCs w:val="22"/>
                <w:lang w:val="es-MX"/>
              </w:rPr>
              <m:t>Fallas Efectivas</m:t>
            </m:r>
          </m:den>
        </m:f>
        <m:r>
          <w:rPr>
            <w:rFonts w:ascii="Cambria Math" w:hAnsi="Cambria Math"/>
            <w:sz w:val="22"/>
            <w:szCs w:val="22"/>
            <w:lang w:val="es-MX"/>
          </w:rPr>
          <m:t xml:space="preserve"> x 100</m:t>
        </m:r>
      </m:oMath>
    </w:p>
    <w:p w14:paraId="33CFEC75" w14:textId="77777777" w:rsidR="00394A75" w:rsidRPr="00D936CA" w:rsidRDefault="00394A75" w:rsidP="00060B2E">
      <w:pPr>
        <w:autoSpaceDE w:val="0"/>
        <w:autoSpaceDN w:val="0"/>
        <w:adjustRightInd w:val="0"/>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 xml:space="preserve">Donde: </w:t>
      </w:r>
    </w:p>
    <w:p w14:paraId="33CFEC76" w14:textId="77777777" w:rsidR="00F966D4" w:rsidRPr="00D936CA" w:rsidRDefault="00394A75" w:rsidP="00060B2E">
      <w:pPr>
        <w:spacing w:after="200" w:line="276" w:lineRule="auto"/>
        <w:ind w:left="-567" w:right="-142"/>
        <w:jc w:val="both"/>
        <w:rPr>
          <w:rFonts w:ascii="ITC Avant Garde" w:hAnsi="ITC Avant Garde" w:cstheme="minorHAnsi"/>
          <w:sz w:val="22"/>
          <w:szCs w:val="22"/>
        </w:rPr>
      </w:pPr>
      <w:r w:rsidRPr="00D936CA">
        <w:rPr>
          <w:rFonts w:ascii="ITC Avant Garde" w:hAnsi="ITC Avant Garde"/>
          <w:i/>
          <w:sz w:val="22"/>
          <w:szCs w:val="22"/>
          <w:lang w:val="es-MX"/>
        </w:rPr>
        <w:t xml:space="preserve">Fallas efectivas reparadas en el plazo a medir (días hábiles) = </w:t>
      </w:r>
      <w:r w:rsidRPr="00D936CA">
        <w:rPr>
          <w:rFonts w:ascii="ITC Avant Garde" w:hAnsi="ITC Avant Garde" w:cstheme="minorHAnsi"/>
          <w:sz w:val="22"/>
          <w:szCs w:val="22"/>
        </w:rPr>
        <w:t xml:space="preserve">Es la cantidad de fallas reparadas dentro del plazo que interesa medir, en este caso serán 1, 3 y 10 días hábiles siguientes a la recepción de la queja conforme a los procedimientos formales de Telmex. </w:t>
      </w:r>
      <w:r w:rsidR="00F966D4" w:rsidRPr="00D936CA">
        <w:rPr>
          <w:rFonts w:ascii="ITC Avant Garde" w:hAnsi="ITC Avant Garde" w:cstheme="minorHAnsi"/>
          <w:sz w:val="22"/>
          <w:szCs w:val="22"/>
        </w:rPr>
        <w:t>En esta variable se eliminan las quejas debidas a fallas provocadas por fenómenos no previsibles o de fuerza mayor</w:t>
      </w:r>
      <w:r w:rsidR="00FF79FF" w:rsidRPr="00D936CA">
        <w:rPr>
          <w:rFonts w:ascii="ITC Avant Garde" w:hAnsi="ITC Avant Garde" w:cstheme="minorHAnsi"/>
          <w:sz w:val="22"/>
          <w:szCs w:val="22"/>
        </w:rPr>
        <w:t>,</w:t>
      </w:r>
      <w:r w:rsidR="00F966D4" w:rsidRPr="00D936CA">
        <w:rPr>
          <w:rFonts w:ascii="ITC Avant Garde" w:hAnsi="ITC Avant Garde" w:cstheme="minorHAnsi"/>
          <w:sz w:val="22"/>
          <w:szCs w:val="22"/>
        </w:rPr>
        <w:t xml:space="preserve"> además de las fallas en la red bajo responsabilidad del cliente.</w:t>
      </w:r>
    </w:p>
    <w:p w14:paraId="33CFEC77" w14:textId="77777777" w:rsidR="00F966D4" w:rsidRPr="00D936CA" w:rsidRDefault="00394A75" w:rsidP="00060B2E">
      <w:pPr>
        <w:spacing w:after="200" w:line="276" w:lineRule="auto"/>
        <w:ind w:left="-567" w:right="-142"/>
        <w:jc w:val="both"/>
        <w:rPr>
          <w:rFonts w:ascii="ITC Avant Garde" w:hAnsi="ITC Avant Garde" w:cstheme="minorHAnsi"/>
          <w:sz w:val="22"/>
          <w:szCs w:val="22"/>
        </w:rPr>
      </w:pPr>
      <w:r w:rsidRPr="00D936CA">
        <w:rPr>
          <w:rFonts w:ascii="ITC Avant Garde" w:hAnsi="ITC Avant Garde"/>
          <w:i/>
          <w:sz w:val="22"/>
          <w:szCs w:val="22"/>
          <w:lang w:val="es-MX"/>
        </w:rPr>
        <w:lastRenderedPageBreak/>
        <w:t>Fallas Efectivas</w:t>
      </w:r>
      <w:r w:rsidRPr="00D936CA">
        <w:rPr>
          <w:rFonts w:ascii="ITC Avant Garde" w:hAnsi="ITC Avant Garde"/>
          <w:sz w:val="22"/>
          <w:szCs w:val="22"/>
          <w:lang w:val="es-MX"/>
        </w:rPr>
        <w:t xml:space="preserve"> = </w:t>
      </w:r>
      <w:r w:rsidRPr="00D936CA">
        <w:rPr>
          <w:rFonts w:ascii="ITC Avant Garde" w:hAnsi="ITC Avant Garde" w:cstheme="minorHAnsi"/>
          <w:sz w:val="22"/>
          <w:szCs w:val="22"/>
        </w:rPr>
        <w:t xml:space="preserve">Cantidad de reportes de fallas recibidos </w:t>
      </w:r>
      <w:r w:rsidR="00F966D4" w:rsidRPr="00D936CA">
        <w:rPr>
          <w:rFonts w:ascii="ITC Avant Garde" w:hAnsi="ITC Avant Garde" w:cstheme="minorHAnsi"/>
          <w:sz w:val="22"/>
          <w:szCs w:val="22"/>
        </w:rPr>
        <w:t>excepto las quejas debidas a fallas provocadas por fenómenos no previsibles o de fuerza mayor, además de las fallas en la red bajo responsabilidad del cliente.</w:t>
      </w:r>
    </w:p>
    <w:p w14:paraId="33CFEC78" w14:textId="77777777" w:rsidR="00394A75" w:rsidRPr="00D936CA" w:rsidRDefault="00394A75" w:rsidP="00060B2E">
      <w:pPr>
        <w:autoSpaceDE w:val="0"/>
        <w:autoSpaceDN w:val="0"/>
        <w:adjustRightInd w:val="0"/>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Indicador para Disponibilidad</w:t>
      </w:r>
    </w:p>
    <w:p w14:paraId="33CFEC79" w14:textId="77777777" w:rsidR="00394A75" w:rsidRPr="00D936CA" w:rsidRDefault="00394A75"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El indicador de disponibilidad establece el porcentaje del tiempo durante el cual, el servicio se encuentra en operación normal respecto del tiempo total de medición. La meta de cumplimiento de este indicador es del </w:t>
      </w:r>
      <w:r w:rsidR="00C12B1B" w:rsidRPr="00D936CA">
        <w:rPr>
          <w:rFonts w:ascii="ITC Avant Garde" w:hAnsi="ITC Avant Garde"/>
          <w:sz w:val="22"/>
          <w:szCs w:val="22"/>
          <w:lang w:val="es-MX"/>
        </w:rPr>
        <w:t>99.5</w:t>
      </w:r>
      <w:r w:rsidRPr="00D936CA">
        <w:rPr>
          <w:rFonts w:ascii="ITC Avant Garde" w:hAnsi="ITC Avant Garde"/>
          <w:sz w:val="22"/>
          <w:szCs w:val="22"/>
          <w:lang w:val="es-MX"/>
        </w:rPr>
        <w:t>% al trimestre</w:t>
      </w:r>
      <w:r w:rsidR="00C12B1B" w:rsidRPr="00D936CA">
        <w:rPr>
          <w:rFonts w:ascii="ITC Avant Garde" w:hAnsi="ITC Avant Garde"/>
          <w:sz w:val="22"/>
          <w:szCs w:val="22"/>
          <w:lang w:val="es-MX"/>
        </w:rPr>
        <w:t>.</w:t>
      </w:r>
    </w:p>
    <w:p w14:paraId="63B56E29" w14:textId="77777777" w:rsidR="00A45880" w:rsidRDefault="00A45880" w:rsidP="00060B2E">
      <w:pPr>
        <w:spacing w:after="200" w:line="276" w:lineRule="auto"/>
        <w:ind w:left="-567" w:right="-142"/>
        <w:jc w:val="both"/>
        <w:rPr>
          <w:rFonts w:ascii="ITC Avant Garde" w:hAnsi="ITC Avant Garde"/>
          <w:b/>
          <w:bCs/>
          <w:sz w:val="22"/>
          <w:szCs w:val="22"/>
        </w:rPr>
      </w:pPr>
    </w:p>
    <w:p w14:paraId="33CFEC7A" w14:textId="3F776DA0" w:rsidR="00394A75" w:rsidRPr="00D936CA" w:rsidRDefault="00394A75" w:rsidP="00060B2E">
      <w:pPr>
        <w:spacing w:after="200" w:line="276" w:lineRule="auto"/>
        <w:ind w:left="-567" w:right="-142"/>
        <w:jc w:val="both"/>
        <w:rPr>
          <w:rFonts w:ascii="ITC Avant Garde" w:hAnsi="ITC Avant Garde"/>
          <w:b/>
          <w:bCs/>
          <w:sz w:val="22"/>
          <w:szCs w:val="22"/>
        </w:rPr>
      </w:pPr>
      <w:r w:rsidRPr="00D936CA">
        <w:rPr>
          <w:rFonts w:ascii="ITC Avant Garde" w:hAnsi="ITC Avant Garde"/>
          <w:b/>
          <w:bCs/>
          <w:sz w:val="22"/>
          <w:szCs w:val="22"/>
        </w:rPr>
        <w:t>Metodología</w:t>
      </w:r>
    </w:p>
    <w:p w14:paraId="33CFEC7C" w14:textId="35FA417E" w:rsidR="00394A75" w:rsidRPr="00D936CA" w:rsidRDefault="00394A75"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El indicador se calcula considerando el número de líneas en servicio durante el periodo de medición, menos las fallas efectivas reportadas por el tiempo de interrupción del servicio, respecto del total de líneas en servicio durante dicho período de medición.</w:t>
      </w:r>
    </w:p>
    <w:p w14:paraId="3EE8BDD7" w14:textId="77777777" w:rsidR="004D613F" w:rsidRPr="00D936CA" w:rsidRDefault="00394A75" w:rsidP="00060B2E">
      <w:pPr>
        <w:autoSpaceDE w:val="0"/>
        <w:autoSpaceDN w:val="0"/>
        <w:spacing w:after="200" w:line="276" w:lineRule="auto"/>
        <w:ind w:left="-567" w:right="-142"/>
        <w:jc w:val="both"/>
        <w:rPr>
          <w:rFonts w:ascii="ITC Avant Garde" w:hAnsi="ITC Avant Garde"/>
          <w:sz w:val="22"/>
          <w:szCs w:val="22"/>
        </w:rPr>
      </w:pPr>
      <w:r w:rsidRPr="00D936CA">
        <w:rPr>
          <w:rFonts w:ascii="ITC Avant Garde" w:hAnsi="ITC Avant Garde"/>
          <w:i/>
          <w:iCs/>
          <w:sz w:val="22"/>
          <w:szCs w:val="22"/>
        </w:rPr>
        <w:t xml:space="preserve">Disponibilidad </w:t>
      </w:r>
      <w:r w:rsidRPr="00D936CA">
        <w:rPr>
          <w:rFonts w:ascii="ITC Avant Garde" w:hAnsi="ITC Avant Garde"/>
          <w:sz w:val="22"/>
          <w:szCs w:val="22"/>
        </w:rPr>
        <w:t xml:space="preserve">= </w:t>
      </w:r>
    </w:p>
    <w:p w14:paraId="33CFEC7D" w14:textId="01C7C331" w:rsidR="00394A75" w:rsidRPr="001C0F0F" w:rsidRDefault="00AA13B3" w:rsidP="001C0F0F">
      <w:pPr>
        <w:autoSpaceDE w:val="0"/>
        <w:autoSpaceDN w:val="0"/>
        <w:spacing w:after="200" w:line="276" w:lineRule="auto"/>
        <w:ind w:left="-1134" w:right="-142"/>
        <w:jc w:val="both"/>
        <w:rPr>
          <w:rFonts w:ascii="ITC Avant Garde" w:hAnsi="ITC Avant Garde"/>
          <w:sz w:val="20"/>
          <w:szCs w:val="20"/>
        </w:rPr>
      </w:pPr>
      <m:oMathPara>
        <m:oMathParaPr>
          <m:jc m:val="left"/>
        </m:oMathParaPr>
        <m:oMath>
          <m:f>
            <m:fPr>
              <m:ctrlPr>
                <w:rPr>
                  <w:rFonts w:ascii="Cambria Math" w:eastAsiaTheme="minorHAnsi" w:hAnsi="Cambria Math"/>
                  <w:i/>
                  <w:iCs/>
                  <w:sz w:val="20"/>
                  <w:szCs w:val="20"/>
                </w:rPr>
              </m:ctrlPr>
            </m:fPr>
            <m:num>
              <m:d>
                <m:dPr>
                  <m:ctrlPr>
                    <w:rPr>
                      <w:rFonts w:ascii="Cambria Math" w:eastAsiaTheme="minorHAnsi" w:hAnsi="Cambria Math"/>
                      <w:i/>
                      <w:iCs/>
                      <w:sz w:val="20"/>
                      <w:szCs w:val="20"/>
                    </w:rPr>
                  </m:ctrlPr>
                </m:dPr>
                <m:e>
                  <m:r>
                    <w:rPr>
                      <w:rFonts w:ascii="Cambria Math" w:hAnsi="Cambria Math"/>
                      <w:sz w:val="20"/>
                      <w:szCs w:val="20"/>
                    </w:rPr>
                    <m:t>Total de líneas en servicio x Periodo de Medición</m:t>
                  </m:r>
                </m:e>
              </m:d>
              <m:r>
                <w:rPr>
                  <w:rFonts w:ascii="Cambria Math" w:hAnsi="Cambria Math"/>
                  <w:sz w:val="20"/>
                  <w:szCs w:val="20"/>
                </w:rPr>
                <m:t>-(Fallas Efectivas x Tiempo de Interrupción)</m:t>
              </m:r>
            </m:num>
            <m:den>
              <m:r>
                <w:rPr>
                  <w:rFonts w:ascii="Cambria Math" w:hAnsi="Cambria Math"/>
                  <w:sz w:val="20"/>
                  <w:szCs w:val="20"/>
                </w:rPr>
                <m:t>Total de líneas en servicio x Periodo de Medición</m:t>
              </m:r>
            </m:den>
          </m:f>
          <m:r>
            <w:rPr>
              <w:rFonts w:ascii="Cambria Math" w:hAnsi="Cambria Math"/>
              <w:sz w:val="20"/>
              <w:szCs w:val="20"/>
            </w:rPr>
            <m:t xml:space="preserve"> x 100</m:t>
          </m:r>
        </m:oMath>
      </m:oMathPara>
    </w:p>
    <w:p w14:paraId="33CFEC7E" w14:textId="77777777" w:rsidR="00394A75" w:rsidRPr="00D936CA" w:rsidRDefault="00394A75" w:rsidP="00060B2E">
      <w:pPr>
        <w:autoSpaceDE w:val="0"/>
        <w:autoSpaceDN w:val="0"/>
        <w:adjustRightInd w:val="0"/>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Parámetros e Indicadores de Calidad para Pruebas del Servicio</w:t>
      </w:r>
    </w:p>
    <w:p w14:paraId="33CFEC7F" w14:textId="77777777" w:rsidR="00396176" w:rsidRPr="00D936CA" w:rsidRDefault="00396176" w:rsidP="00060B2E">
      <w:pPr>
        <w:pStyle w:val="IFTnormal"/>
        <w:ind w:left="-567" w:right="-142"/>
        <w:rPr>
          <w:rFonts w:cs="Arial"/>
          <w:b/>
        </w:rPr>
      </w:pPr>
      <w:r w:rsidRPr="00D936CA">
        <w:rPr>
          <w:rFonts w:cs="Arial"/>
          <w:b/>
        </w:rPr>
        <w:t xml:space="preserve">Para la entrega, continuidad de servicio y atención de fallas de conexiones de usuario. </w:t>
      </w:r>
    </w:p>
    <w:p w14:paraId="33CFEC80" w14:textId="77777777" w:rsidR="00396176" w:rsidRPr="00D936CA" w:rsidRDefault="00396176" w:rsidP="00060B2E">
      <w:pPr>
        <w:spacing w:after="200" w:line="276" w:lineRule="auto"/>
        <w:ind w:left="-567" w:right="-142"/>
        <w:jc w:val="both"/>
        <w:rPr>
          <w:rFonts w:ascii="ITC Avant Garde" w:eastAsia="Calibri" w:hAnsi="ITC Avant Garde" w:cs="Arial"/>
          <w:sz w:val="22"/>
          <w:szCs w:val="22"/>
          <w:lang w:val="es-MX"/>
        </w:rPr>
      </w:pPr>
      <w:r w:rsidRPr="00D936CA">
        <w:rPr>
          <w:rFonts w:ascii="ITC Avant Garde" w:eastAsia="Calibri" w:hAnsi="ITC Avant Garde" w:cs="Arial"/>
          <w:sz w:val="22"/>
          <w:szCs w:val="22"/>
          <w:lang w:val="es-MX"/>
        </w:rPr>
        <w:t>Valores y parámetros eléctricos de resistencia de aislamiento y capacitancia para accesos de cobre: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843"/>
        <w:gridCol w:w="2126"/>
      </w:tblGrid>
      <w:tr w:rsidR="00D936CA" w:rsidRPr="000E17DD" w14:paraId="17A8C413" w14:textId="77777777" w:rsidTr="00083176">
        <w:trPr>
          <w:jc w:val="center"/>
        </w:trPr>
        <w:tc>
          <w:tcPr>
            <w:tcW w:w="1838" w:type="dxa"/>
            <w:shd w:val="clear" w:color="auto" w:fill="548DD4" w:themeFill="text2" w:themeFillTint="99"/>
            <w:vAlign w:val="center"/>
          </w:tcPr>
          <w:p w14:paraId="54E57A80" w14:textId="407F7BE0" w:rsidR="001D5D00" w:rsidRPr="00E47068" w:rsidRDefault="001D5D00" w:rsidP="00D936CA">
            <w:pPr>
              <w:spacing w:after="200" w:line="276" w:lineRule="auto"/>
              <w:jc w:val="center"/>
              <w:rPr>
                <w:rFonts w:ascii="ITC Avant Garde" w:eastAsia="Calibri" w:hAnsi="ITC Avant Garde" w:cs="Arial"/>
                <w:b/>
                <w:sz w:val="22"/>
                <w:szCs w:val="22"/>
              </w:rPr>
            </w:pPr>
            <w:r w:rsidRPr="00E47068">
              <w:rPr>
                <w:rFonts w:ascii="ITC Avant Garde" w:eastAsia="Calibri" w:hAnsi="ITC Avant Garde" w:cs="Arial"/>
                <w:b/>
                <w:sz w:val="22"/>
                <w:szCs w:val="22"/>
              </w:rPr>
              <w:t>Parámetro</w:t>
            </w:r>
          </w:p>
        </w:tc>
        <w:tc>
          <w:tcPr>
            <w:tcW w:w="1843" w:type="dxa"/>
            <w:shd w:val="clear" w:color="auto" w:fill="548DD4" w:themeFill="text2" w:themeFillTint="99"/>
            <w:vAlign w:val="center"/>
          </w:tcPr>
          <w:p w14:paraId="029971B9" w14:textId="3F9AC278" w:rsidR="001D5D00" w:rsidRPr="00E47068" w:rsidRDefault="001D5D00" w:rsidP="00D936CA">
            <w:pPr>
              <w:spacing w:after="200" w:line="276" w:lineRule="auto"/>
              <w:jc w:val="center"/>
              <w:rPr>
                <w:rFonts w:ascii="ITC Avant Garde" w:eastAsia="Calibri" w:hAnsi="ITC Avant Garde" w:cs="Arial"/>
                <w:b/>
                <w:sz w:val="22"/>
                <w:szCs w:val="22"/>
              </w:rPr>
            </w:pPr>
            <w:r w:rsidRPr="00E47068">
              <w:rPr>
                <w:rFonts w:ascii="ITC Avant Garde" w:eastAsia="Calibri" w:hAnsi="ITC Avant Garde" w:cs="Arial"/>
                <w:b/>
                <w:sz w:val="22"/>
                <w:szCs w:val="22"/>
              </w:rPr>
              <w:t>Medición entre puntos (hilos)</w:t>
            </w:r>
            <w:r w:rsidR="00821D44" w:rsidRPr="00E47068">
              <w:rPr>
                <w:rFonts w:ascii="ITC Avant Garde" w:eastAsia="Calibri" w:hAnsi="ITC Avant Garde" w:cs="Arial"/>
                <w:b/>
                <w:sz w:val="22"/>
                <w:szCs w:val="22"/>
              </w:rPr>
              <w:t xml:space="preserve"> y tierra</w:t>
            </w:r>
          </w:p>
        </w:tc>
        <w:tc>
          <w:tcPr>
            <w:tcW w:w="2126" w:type="dxa"/>
            <w:shd w:val="clear" w:color="auto" w:fill="548DD4" w:themeFill="text2" w:themeFillTint="99"/>
            <w:vAlign w:val="center"/>
          </w:tcPr>
          <w:p w14:paraId="53AC64ED" w14:textId="77777777" w:rsidR="001D5D00" w:rsidRPr="00E47068" w:rsidRDefault="001D5D00" w:rsidP="00D936CA">
            <w:pPr>
              <w:spacing w:after="200" w:line="276" w:lineRule="auto"/>
              <w:jc w:val="center"/>
              <w:rPr>
                <w:rFonts w:ascii="ITC Avant Garde" w:eastAsia="Calibri" w:hAnsi="ITC Avant Garde" w:cs="Arial"/>
                <w:b/>
                <w:sz w:val="22"/>
                <w:szCs w:val="22"/>
              </w:rPr>
            </w:pPr>
            <w:r w:rsidRPr="00E47068">
              <w:rPr>
                <w:rFonts w:ascii="ITC Avant Garde" w:eastAsia="Calibri" w:hAnsi="ITC Avant Garde" w:cs="Arial"/>
                <w:b/>
                <w:sz w:val="22"/>
                <w:szCs w:val="22"/>
              </w:rPr>
              <w:t>Valor Aceptable</w:t>
            </w:r>
          </w:p>
        </w:tc>
      </w:tr>
      <w:tr w:rsidR="00D936CA" w:rsidRPr="000E17DD" w14:paraId="3F34E92F" w14:textId="77777777" w:rsidTr="001D5D00">
        <w:trPr>
          <w:jc w:val="center"/>
        </w:trPr>
        <w:tc>
          <w:tcPr>
            <w:tcW w:w="1838" w:type="dxa"/>
            <w:vAlign w:val="center"/>
          </w:tcPr>
          <w:p w14:paraId="4076CD91" w14:textId="77777777" w:rsidR="001D5D00" w:rsidRPr="00E47068" w:rsidRDefault="001D5D00" w:rsidP="00D936CA">
            <w:pPr>
              <w:spacing w:after="200" w:line="276" w:lineRule="auto"/>
              <w:jc w:val="both"/>
              <w:rPr>
                <w:rFonts w:ascii="ITC Avant Garde" w:eastAsia="Calibri" w:hAnsi="ITC Avant Garde" w:cs="Arial"/>
                <w:sz w:val="22"/>
                <w:szCs w:val="22"/>
              </w:rPr>
            </w:pPr>
            <w:r w:rsidRPr="00E47068">
              <w:rPr>
                <w:rFonts w:ascii="ITC Avant Garde" w:eastAsia="Calibri" w:hAnsi="ITC Avant Garde" w:cs="Arial"/>
                <w:sz w:val="22"/>
                <w:szCs w:val="22"/>
              </w:rPr>
              <w:t>Resistencia de aislamiento</w:t>
            </w:r>
          </w:p>
        </w:tc>
        <w:tc>
          <w:tcPr>
            <w:tcW w:w="1843" w:type="dxa"/>
          </w:tcPr>
          <w:p w14:paraId="28B90427" w14:textId="77777777" w:rsidR="001D5D00" w:rsidRPr="00E47068" w:rsidRDefault="001D5D00" w:rsidP="00D936CA">
            <w:pPr>
              <w:spacing w:after="200" w:line="276" w:lineRule="auto"/>
              <w:jc w:val="center"/>
              <w:rPr>
                <w:rFonts w:ascii="ITC Avant Garde" w:eastAsia="Calibri" w:hAnsi="ITC Avant Garde" w:cs="Arial"/>
                <w:sz w:val="22"/>
                <w:szCs w:val="22"/>
              </w:rPr>
            </w:pPr>
            <w:r w:rsidRPr="00E47068">
              <w:rPr>
                <w:rFonts w:ascii="ITC Avant Garde" w:eastAsia="Calibri" w:hAnsi="ITC Avant Garde" w:cs="Arial"/>
                <w:sz w:val="22"/>
                <w:szCs w:val="22"/>
              </w:rPr>
              <w:t>a-b</w:t>
            </w:r>
          </w:p>
        </w:tc>
        <w:tc>
          <w:tcPr>
            <w:tcW w:w="2126" w:type="dxa"/>
            <w:vAlign w:val="center"/>
          </w:tcPr>
          <w:p w14:paraId="5CE102CA" w14:textId="77777777" w:rsidR="001D5D00" w:rsidRPr="00E47068" w:rsidRDefault="001D5D00" w:rsidP="00D936CA">
            <w:pPr>
              <w:spacing w:after="200" w:line="276" w:lineRule="auto"/>
              <w:jc w:val="both"/>
              <w:rPr>
                <w:rFonts w:ascii="ITC Avant Garde" w:eastAsia="Calibri" w:hAnsi="ITC Avant Garde" w:cs="Arial"/>
                <w:sz w:val="22"/>
                <w:szCs w:val="22"/>
              </w:rPr>
            </w:pPr>
            <w:r w:rsidRPr="00E47068">
              <w:rPr>
                <w:rFonts w:ascii="ITC Avant Garde" w:eastAsia="Calibri" w:hAnsi="ITC Avant Garde" w:cs="Arial"/>
                <w:sz w:val="22"/>
                <w:szCs w:val="22"/>
              </w:rPr>
              <w:t>Mayor a 1 Mohms</w:t>
            </w:r>
          </w:p>
        </w:tc>
      </w:tr>
      <w:tr w:rsidR="00D936CA" w:rsidRPr="000E17DD" w14:paraId="75EECF76" w14:textId="77777777" w:rsidTr="001D5D00">
        <w:trPr>
          <w:trHeight w:val="275"/>
          <w:jc w:val="center"/>
        </w:trPr>
        <w:tc>
          <w:tcPr>
            <w:tcW w:w="1838" w:type="dxa"/>
            <w:vAlign w:val="center"/>
          </w:tcPr>
          <w:p w14:paraId="2926BEF4" w14:textId="77777777" w:rsidR="001D5D00" w:rsidRPr="00E47068" w:rsidRDefault="001D5D00" w:rsidP="00D936CA">
            <w:pPr>
              <w:spacing w:after="200" w:line="276" w:lineRule="auto"/>
              <w:jc w:val="both"/>
              <w:rPr>
                <w:rFonts w:ascii="ITC Avant Garde" w:eastAsia="Calibri" w:hAnsi="ITC Avant Garde" w:cs="Arial"/>
                <w:sz w:val="22"/>
                <w:szCs w:val="22"/>
              </w:rPr>
            </w:pPr>
            <w:r w:rsidRPr="00E47068">
              <w:rPr>
                <w:rFonts w:ascii="ITC Avant Garde" w:eastAsia="Calibri" w:hAnsi="ITC Avant Garde" w:cs="Arial"/>
                <w:sz w:val="22"/>
                <w:szCs w:val="22"/>
              </w:rPr>
              <w:t xml:space="preserve">Capacitancia </w:t>
            </w:r>
          </w:p>
        </w:tc>
        <w:tc>
          <w:tcPr>
            <w:tcW w:w="1843" w:type="dxa"/>
          </w:tcPr>
          <w:p w14:paraId="4E785043" w14:textId="77777777" w:rsidR="001D5D00" w:rsidRPr="00E47068" w:rsidRDefault="001D5D00" w:rsidP="00D936CA">
            <w:pPr>
              <w:spacing w:after="200" w:line="276" w:lineRule="auto"/>
              <w:jc w:val="center"/>
              <w:rPr>
                <w:rFonts w:ascii="ITC Avant Garde" w:eastAsia="Calibri" w:hAnsi="ITC Avant Garde" w:cs="Arial"/>
                <w:sz w:val="22"/>
                <w:szCs w:val="22"/>
              </w:rPr>
            </w:pPr>
            <w:r w:rsidRPr="00E47068">
              <w:rPr>
                <w:rFonts w:ascii="ITC Avant Garde" w:eastAsia="Calibri" w:hAnsi="ITC Avant Garde" w:cs="Arial"/>
                <w:sz w:val="22"/>
                <w:szCs w:val="22"/>
              </w:rPr>
              <w:t>a-b</w:t>
            </w:r>
          </w:p>
        </w:tc>
        <w:tc>
          <w:tcPr>
            <w:tcW w:w="2126" w:type="dxa"/>
          </w:tcPr>
          <w:p w14:paraId="78ABE7F6" w14:textId="77777777" w:rsidR="001D5D00" w:rsidRPr="00E47068" w:rsidRDefault="001D5D00" w:rsidP="00D936CA">
            <w:pPr>
              <w:spacing w:after="200" w:line="276" w:lineRule="auto"/>
              <w:jc w:val="both"/>
              <w:rPr>
                <w:rFonts w:ascii="ITC Avant Garde" w:eastAsia="Calibri" w:hAnsi="ITC Avant Garde" w:cs="Arial"/>
                <w:sz w:val="22"/>
                <w:szCs w:val="22"/>
              </w:rPr>
            </w:pPr>
            <w:r w:rsidRPr="00E47068">
              <w:rPr>
                <w:rFonts w:ascii="ITC Avant Garde" w:eastAsia="Calibri" w:hAnsi="ITC Avant Garde" w:cs="Arial"/>
                <w:sz w:val="22"/>
                <w:szCs w:val="22"/>
              </w:rPr>
              <w:t>52.5 nF /km  ±5%</w:t>
            </w:r>
          </w:p>
        </w:tc>
      </w:tr>
    </w:tbl>
    <w:p w14:paraId="33CFEC87" w14:textId="77777777" w:rsidR="00396176" w:rsidRPr="00D936CA" w:rsidRDefault="00972D5E" w:rsidP="00D936CA">
      <w:pPr>
        <w:spacing w:before="120" w:after="200" w:line="276" w:lineRule="auto"/>
        <w:jc w:val="center"/>
        <w:rPr>
          <w:rFonts w:ascii="ITC Avant Garde" w:hAnsi="ITC Avant Garde"/>
          <w:sz w:val="18"/>
          <w:szCs w:val="18"/>
          <w:lang w:val="es-MX"/>
        </w:rPr>
      </w:pPr>
      <w:r w:rsidRPr="00D936CA">
        <w:rPr>
          <w:rFonts w:ascii="ITC Avant Garde" w:hAnsi="ITC Avant Garde"/>
          <w:sz w:val="18"/>
          <w:szCs w:val="18"/>
          <w:lang w:val="es-MX"/>
        </w:rPr>
        <w:t xml:space="preserve">Tabla 14. </w:t>
      </w:r>
      <w:r w:rsidR="00396176" w:rsidRPr="00D936CA">
        <w:rPr>
          <w:rFonts w:ascii="ITC Avant Garde" w:hAnsi="ITC Avant Garde"/>
          <w:sz w:val="18"/>
          <w:szCs w:val="18"/>
          <w:lang w:val="es-MX"/>
        </w:rPr>
        <w:t>Valores aceptables de resistencia y capacitancia</w:t>
      </w:r>
    </w:p>
    <w:p w14:paraId="33CFEC88" w14:textId="77777777" w:rsidR="00CD095E" w:rsidRPr="00D936CA" w:rsidRDefault="00371341"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b/>
          <w:sz w:val="22"/>
          <w:szCs w:val="22"/>
          <w:lang w:val="es-MX"/>
        </w:rPr>
        <w:t>Sincronía DSL (para SAIB en cobre)</w:t>
      </w:r>
      <w:r w:rsidR="00C50D73" w:rsidRPr="00D936CA">
        <w:rPr>
          <w:rFonts w:ascii="ITC Avant Garde" w:hAnsi="ITC Avant Garde"/>
          <w:b/>
          <w:sz w:val="22"/>
          <w:szCs w:val="22"/>
          <w:lang w:val="es-MX"/>
        </w:rPr>
        <w:t>:</w:t>
      </w:r>
    </w:p>
    <w:p w14:paraId="33CFEC8A" w14:textId="5FFF845A" w:rsidR="00C50D73" w:rsidRPr="00D936CA" w:rsidRDefault="00C50D73" w:rsidP="00060B2E">
      <w:pPr>
        <w:pStyle w:val="IFTnormal"/>
        <w:ind w:left="-567" w:right="-142"/>
        <w:rPr>
          <w:rFonts w:cs="Arial"/>
        </w:rPr>
      </w:pPr>
      <w:r w:rsidRPr="00D936CA">
        <w:rPr>
          <w:rFonts w:cs="Arial"/>
        </w:rPr>
        <w:t xml:space="preserve">Se hará una prueba de sincronía entre el módem y el DSLAM, cuyos valores deberán encontrase dentro de los umbrales de aceptación establecidos en </w:t>
      </w:r>
      <w:r w:rsidR="001C6461" w:rsidRPr="00D936CA">
        <w:rPr>
          <w:rFonts w:cs="Arial"/>
        </w:rPr>
        <w:t>esta sección</w:t>
      </w:r>
      <w:r w:rsidRPr="00D936CA">
        <w:rPr>
          <w:rFonts w:cs="Arial"/>
        </w:rPr>
        <w:t xml:space="preserve">. Estos valores servirán de referencia a efectos de continuidad de servicio y reparación de fallas junto con </w:t>
      </w:r>
      <w:r w:rsidRPr="00D936CA">
        <w:rPr>
          <w:rFonts w:cs="Arial"/>
        </w:rPr>
        <w:lastRenderedPageBreak/>
        <w:t xml:space="preserve">los parámetros de aceptación de la prueba de provisión </w:t>
      </w:r>
      <w:r w:rsidR="00AD6E1E" w:rsidRPr="00D936CA">
        <w:rPr>
          <w:rFonts w:cs="Arial"/>
        </w:rPr>
        <w:t xml:space="preserve">del pCAI según la recomendación </w:t>
      </w:r>
      <w:r w:rsidRPr="00D936CA">
        <w:rPr>
          <w:rFonts w:cs="Arial"/>
        </w:rPr>
        <w:t xml:space="preserve">Y.1564 de la ITU-T. </w:t>
      </w:r>
    </w:p>
    <w:p w14:paraId="33CFEC8B" w14:textId="3CCFADC9" w:rsidR="00394A75" w:rsidRDefault="00C50D73" w:rsidP="00060B2E">
      <w:pPr>
        <w:spacing w:after="200" w:line="276" w:lineRule="auto"/>
        <w:ind w:left="-567" w:right="-142"/>
        <w:jc w:val="both"/>
        <w:rPr>
          <w:rFonts w:ascii="ITC Avant Garde" w:eastAsia="Calibri" w:hAnsi="ITC Avant Garde" w:cs="Arial"/>
          <w:sz w:val="22"/>
          <w:szCs w:val="22"/>
          <w:lang w:val="es-MX"/>
        </w:rPr>
      </w:pPr>
      <w:r w:rsidRPr="00D936CA">
        <w:rPr>
          <w:rFonts w:ascii="ITC Avant Garde" w:eastAsia="Calibri" w:hAnsi="ITC Avant Garde" w:cs="Arial"/>
          <w:sz w:val="22"/>
          <w:szCs w:val="22"/>
          <w:lang w:val="es-MX"/>
        </w:rPr>
        <w:t>Valores y parámetros ópticas para accesos GPON:</w:t>
      </w:r>
    </w:p>
    <w:p w14:paraId="064AC965" w14:textId="77777777" w:rsidR="00083176" w:rsidRPr="00D936CA" w:rsidRDefault="00083176" w:rsidP="00060B2E">
      <w:pPr>
        <w:spacing w:after="200" w:line="276" w:lineRule="auto"/>
        <w:ind w:left="-567" w:right="-142"/>
        <w:jc w:val="both"/>
        <w:rPr>
          <w:rFonts w:ascii="ITC Avant Garde" w:hAnsi="ITC Avant Garde"/>
          <w:b/>
          <w:sz w:val="22"/>
          <w:szCs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3186"/>
      </w:tblGrid>
      <w:tr w:rsidR="00D936CA" w:rsidRPr="00D936CA" w14:paraId="33CFEC8E" w14:textId="77777777" w:rsidTr="00083176">
        <w:trPr>
          <w:jc w:val="center"/>
        </w:trPr>
        <w:tc>
          <w:tcPr>
            <w:tcW w:w="3036" w:type="dxa"/>
            <w:shd w:val="clear" w:color="auto" w:fill="548DD4" w:themeFill="text2" w:themeFillTint="99"/>
            <w:vAlign w:val="center"/>
          </w:tcPr>
          <w:p w14:paraId="33CFEC8C" w14:textId="77777777" w:rsidR="00394A75" w:rsidRPr="00D936CA" w:rsidRDefault="00394A75"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Parámetro</w:t>
            </w:r>
          </w:p>
        </w:tc>
        <w:tc>
          <w:tcPr>
            <w:tcW w:w="3186" w:type="dxa"/>
            <w:shd w:val="clear" w:color="auto" w:fill="548DD4" w:themeFill="text2" w:themeFillTint="99"/>
            <w:vAlign w:val="center"/>
          </w:tcPr>
          <w:p w14:paraId="33CFEC8D" w14:textId="77777777" w:rsidR="00394A75" w:rsidRPr="00D936CA" w:rsidRDefault="00394A75" w:rsidP="00D936CA">
            <w:pPr>
              <w:spacing w:before="60" w:after="60" w:line="276" w:lineRule="auto"/>
              <w:jc w:val="center"/>
              <w:rPr>
                <w:rFonts w:ascii="ITC Avant Garde" w:hAnsi="ITC Avant Garde"/>
                <w:b/>
                <w:sz w:val="20"/>
                <w:szCs w:val="20"/>
                <w:lang w:val="es-MX"/>
              </w:rPr>
            </w:pPr>
            <w:r w:rsidRPr="00D936CA">
              <w:rPr>
                <w:rFonts w:ascii="ITC Avant Garde" w:hAnsi="ITC Avant Garde"/>
                <w:b/>
                <w:sz w:val="20"/>
                <w:szCs w:val="20"/>
                <w:lang w:val="es-MX"/>
              </w:rPr>
              <w:t>Valor Aceptable</w:t>
            </w:r>
          </w:p>
        </w:tc>
      </w:tr>
      <w:tr w:rsidR="00D936CA" w:rsidRPr="00D936CA" w14:paraId="33CFEC92" w14:textId="77777777" w:rsidTr="00F71B4A">
        <w:trPr>
          <w:trHeight w:val="275"/>
          <w:jc w:val="center"/>
        </w:trPr>
        <w:tc>
          <w:tcPr>
            <w:tcW w:w="3036" w:type="dxa"/>
            <w:vAlign w:val="center"/>
          </w:tcPr>
          <w:p w14:paraId="33CFEC8F" w14:textId="77777777" w:rsidR="00394A75" w:rsidRPr="00D936CA" w:rsidRDefault="00394A75" w:rsidP="00D936CA">
            <w:pPr>
              <w:spacing w:before="60" w:after="60" w:line="276" w:lineRule="auto"/>
              <w:jc w:val="center"/>
              <w:rPr>
                <w:rFonts w:ascii="ITC Avant Garde" w:hAnsi="ITC Avant Garde"/>
                <w:sz w:val="20"/>
                <w:szCs w:val="20"/>
                <w:lang w:val="es-MX"/>
              </w:rPr>
            </w:pPr>
            <w:r w:rsidRPr="00D936CA">
              <w:rPr>
                <w:rFonts w:ascii="ITC Avant Garde" w:hAnsi="ITC Avant Garde"/>
                <w:sz w:val="20"/>
                <w:szCs w:val="20"/>
                <w:lang w:val="es-MX"/>
              </w:rPr>
              <w:t>Potencia</w:t>
            </w:r>
            <w:r w:rsidR="00C50D73" w:rsidRPr="00D936CA">
              <w:rPr>
                <w:rFonts w:ascii="ITC Avant Garde" w:hAnsi="ITC Avant Garde"/>
                <w:sz w:val="20"/>
                <w:szCs w:val="20"/>
                <w:lang w:val="es-MX"/>
              </w:rPr>
              <w:t xml:space="preserve"> óptica</w:t>
            </w:r>
          </w:p>
        </w:tc>
        <w:tc>
          <w:tcPr>
            <w:tcW w:w="3186" w:type="dxa"/>
          </w:tcPr>
          <w:p w14:paraId="33CFEC90" w14:textId="77777777" w:rsidR="00C50D73" w:rsidRPr="00D936CA" w:rsidRDefault="00C50D73" w:rsidP="00D936CA">
            <w:pPr>
              <w:spacing w:after="200" w:line="276" w:lineRule="auto"/>
              <w:jc w:val="center"/>
              <w:rPr>
                <w:rFonts w:ascii="ITC Avant Garde" w:eastAsia="Calibri" w:hAnsi="ITC Avant Garde" w:cs="Arial"/>
                <w:sz w:val="22"/>
                <w:szCs w:val="22"/>
                <w:lang w:val="es-MX"/>
              </w:rPr>
            </w:pPr>
            <w:r w:rsidRPr="00D936CA">
              <w:rPr>
                <w:rFonts w:ascii="ITC Avant Garde" w:eastAsia="Calibri" w:hAnsi="ITC Avant Garde" w:cs="Arial"/>
                <w:sz w:val="22"/>
                <w:szCs w:val="22"/>
                <w:lang w:val="es-MX"/>
              </w:rPr>
              <w:t>Mayor a  -27 dBm</w:t>
            </w:r>
          </w:p>
          <w:p w14:paraId="33CFEC91" w14:textId="77777777" w:rsidR="00394A75" w:rsidRPr="00D936CA" w:rsidRDefault="00C50D73" w:rsidP="00D936CA">
            <w:pPr>
              <w:spacing w:before="60" w:after="60" w:line="276" w:lineRule="auto"/>
              <w:jc w:val="center"/>
              <w:rPr>
                <w:rFonts w:ascii="ITC Avant Garde" w:hAnsi="ITC Avant Garde"/>
                <w:sz w:val="20"/>
                <w:szCs w:val="20"/>
                <w:lang w:val="es-MX"/>
              </w:rPr>
            </w:pPr>
            <w:r w:rsidRPr="00D936CA">
              <w:rPr>
                <w:rFonts w:ascii="ITC Avant Garde" w:eastAsia="Calibri" w:hAnsi="ITC Avant Garde"/>
                <w:sz w:val="22"/>
                <w:szCs w:val="22"/>
                <w:lang w:val="es-MX" w:eastAsia="en-US"/>
              </w:rPr>
              <w:t>Menor a -15 dBm</w:t>
            </w:r>
          </w:p>
        </w:tc>
      </w:tr>
    </w:tbl>
    <w:p w14:paraId="33CFEC93" w14:textId="77777777" w:rsidR="00394A75" w:rsidRPr="00D936CA" w:rsidRDefault="00397F98" w:rsidP="00D936CA">
      <w:pPr>
        <w:spacing w:before="120" w:after="200" w:line="276" w:lineRule="auto"/>
        <w:jc w:val="center"/>
        <w:rPr>
          <w:rFonts w:ascii="ITC Avant Garde" w:hAnsi="ITC Avant Garde"/>
          <w:sz w:val="18"/>
          <w:szCs w:val="18"/>
          <w:lang w:val="es-MX"/>
        </w:rPr>
      </w:pPr>
      <w:r w:rsidRPr="00D936CA">
        <w:rPr>
          <w:rFonts w:ascii="ITC Avant Garde" w:hAnsi="ITC Avant Garde"/>
          <w:sz w:val="18"/>
          <w:szCs w:val="18"/>
          <w:lang w:val="es-MX"/>
        </w:rPr>
        <w:t>Tabl</w:t>
      </w:r>
      <w:r w:rsidR="00972D5E" w:rsidRPr="00D936CA">
        <w:rPr>
          <w:rFonts w:ascii="ITC Avant Garde" w:hAnsi="ITC Avant Garde"/>
          <w:sz w:val="18"/>
          <w:szCs w:val="18"/>
          <w:lang w:val="es-MX"/>
        </w:rPr>
        <w:t>a 15.</w:t>
      </w:r>
      <w:r w:rsidRPr="00D936CA">
        <w:rPr>
          <w:rFonts w:ascii="ITC Avant Garde" w:hAnsi="ITC Avant Garde"/>
          <w:sz w:val="18"/>
          <w:szCs w:val="18"/>
          <w:lang w:val="es-MX"/>
        </w:rPr>
        <w:t xml:space="preserve"> </w:t>
      </w:r>
      <w:r w:rsidR="00394A75" w:rsidRPr="00D936CA">
        <w:rPr>
          <w:rFonts w:ascii="ITC Avant Garde" w:hAnsi="ITC Avant Garde"/>
          <w:sz w:val="18"/>
          <w:szCs w:val="18"/>
          <w:lang w:val="es-MX"/>
        </w:rPr>
        <w:t>Valores aceptables de potencia</w:t>
      </w:r>
    </w:p>
    <w:p w14:paraId="33CFEC94" w14:textId="77777777" w:rsidR="00C50D73" w:rsidRPr="00D936CA" w:rsidRDefault="00C50D73" w:rsidP="00060B2E">
      <w:pPr>
        <w:pStyle w:val="IFTnormal"/>
        <w:ind w:left="-567" w:right="-142"/>
        <w:rPr>
          <w:rFonts w:cs="Arial"/>
        </w:rPr>
      </w:pPr>
      <w:r w:rsidRPr="00D936CA">
        <w:rPr>
          <w:rFonts w:cs="Arial"/>
        </w:rPr>
        <w:t xml:space="preserve">Sincronía (para SAIB en GPON): </w:t>
      </w:r>
    </w:p>
    <w:p w14:paraId="33CFECA3" w14:textId="3D3BCDFC" w:rsidR="00C50D73" w:rsidRDefault="00C50D73" w:rsidP="00060B2E">
      <w:pPr>
        <w:spacing w:after="200" w:line="276" w:lineRule="auto"/>
        <w:ind w:left="-567" w:right="-142"/>
        <w:jc w:val="both"/>
        <w:rPr>
          <w:rFonts w:ascii="ITC Avant Garde" w:eastAsia="Calibri" w:hAnsi="ITC Avant Garde" w:cs="Arial"/>
          <w:sz w:val="22"/>
          <w:szCs w:val="22"/>
          <w:lang w:val="es-MX"/>
        </w:rPr>
      </w:pPr>
      <w:r w:rsidRPr="00D936CA">
        <w:rPr>
          <w:rFonts w:ascii="ITC Avant Garde" w:eastAsia="Calibri" w:hAnsi="ITC Avant Garde" w:cs="Arial"/>
          <w:sz w:val="22"/>
          <w:szCs w:val="22"/>
          <w:lang w:val="es-MX"/>
        </w:rPr>
        <w:t xml:space="preserve">Se hará una prueba de sincronía antes de la entrega del servicio entre la ONT y la OLT cuyos valores deberán encontrarse dentro de los umbrales de aceptación establecidos en </w:t>
      </w:r>
      <w:r w:rsidR="006225DB" w:rsidRPr="00D936CA">
        <w:rPr>
          <w:rFonts w:ascii="ITC Avant Garde" w:eastAsia="Calibri" w:hAnsi="ITC Avant Garde" w:cs="Arial"/>
          <w:sz w:val="22"/>
          <w:szCs w:val="22"/>
          <w:lang w:val="es-MX"/>
        </w:rPr>
        <w:t>esta</w:t>
      </w:r>
      <w:r w:rsidRPr="00D936CA">
        <w:rPr>
          <w:rFonts w:ascii="ITC Avant Garde" w:eastAsia="Calibri" w:hAnsi="ITC Avant Garde" w:cs="Arial"/>
          <w:sz w:val="22"/>
          <w:szCs w:val="22"/>
          <w:lang w:val="es-MX"/>
        </w:rPr>
        <w:t xml:space="preserve"> sección. Estos valores servirán de referencia a efectos de continuidad de servicio y reparación de fallas junto con los parámetros de aceptación de la prueba de provisión </w:t>
      </w:r>
      <w:r w:rsidR="00AD6E1E" w:rsidRPr="00D936CA">
        <w:rPr>
          <w:rFonts w:ascii="ITC Avant Garde" w:eastAsia="Calibri" w:hAnsi="ITC Avant Garde" w:cs="Arial"/>
          <w:sz w:val="22"/>
          <w:szCs w:val="22"/>
          <w:lang w:val="es-MX"/>
        </w:rPr>
        <w:t xml:space="preserve">del pCAI en el servicio SCyD de acuerdo con la recomendación </w:t>
      </w:r>
      <w:r w:rsidRPr="00D936CA">
        <w:rPr>
          <w:rFonts w:ascii="ITC Avant Garde" w:eastAsia="Calibri" w:hAnsi="ITC Avant Garde" w:cs="Arial"/>
          <w:sz w:val="22"/>
          <w:szCs w:val="22"/>
          <w:lang w:val="es-MX"/>
        </w:rPr>
        <w:t xml:space="preserve">Y.1564 de la ITU-T. </w:t>
      </w:r>
    </w:p>
    <w:p w14:paraId="3A5A169D" w14:textId="77777777" w:rsidR="00083176" w:rsidRPr="00D936CA" w:rsidRDefault="00083176" w:rsidP="00060B2E">
      <w:pPr>
        <w:spacing w:after="200" w:line="276" w:lineRule="auto"/>
        <w:ind w:left="-567" w:right="-142"/>
        <w:jc w:val="both"/>
        <w:rPr>
          <w:rFonts w:ascii="ITC Avant Garde" w:eastAsia="Calibri" w:hAnsi="ITC Avant Garde" w:cs="Arial"/>
          <w:sz w:val="22"/>
          <w:szCs w:val="22"/>
          <w:lang w:val="es-MX"/>
        </w:rPr>
      </w:pPr>
    </w:p>
    <w:p w14:paraId="33CFECA4" w14:textId="77777777" w:rsidR="00424A1B" w:rsidRPr="00D936CA" w:rsidRDefault="00375F39" w:rsidP="00F0320B">
      <w:pPr>
        <w:pStyle w:val="Ttulo2"/>
        <w:numPr>
          <w:ilvl w:val="2"/>
          <w:numId w:val="143"/>
        </w:numPr>
      </w:pPr>
      <w:bookmarkStart w:id="452" w:name="_Toc436840901"/>
      <w:bookmarkStart w:id="453" w:name="_Toc436846338"/>
      <w:bookmarkStart w:id="454" w:name="_Toc436848288"/>
      <w:bookmarkStart w:id="455" w:name="_Toc436856536"/>
      <w:bookmarkStart w:id="456" w:name="_Toc436862682"/>
      <w:bookmarkStart w:id="457" w:name="_Toc436866332"/>
      <w:bookmarkStart w:id="458" w:name="_Toc436870911"/>
      <w:bookmarkStart w:id="459" w:name="_Toc436875903"/>
      <w:r w:rsidRPr="00D936CA">
        <w:t xml:space="preserve"> </w:t>
      </w:r>
      <w:bookmarkStart w:id="460" w:name="_Toc467248715"/>
      <w:bookmarkStart w:id="461" w:name="_Toc518031998"/>
      <w:r w:rsidR="00424A1B" w:rsidRPr="00D936CA">
        <w:t>Propuesta de mejora de parámetros de calidad</w:t>
      </w:r>
      <w:bookmarkEnd w:id="460"/>
      <w:bookmarkEnd w:id="461"/>
    </w:p>
    <w:bookmarkEnd w:id="452"/>
    <w:bookmarkEnd w:id="453"/>
    <w:bookmarkEnd w:id="454"/>
    <w:bookmarkEnd w:id="455"/>
    <w:bookmarkEnd w:id="456"/>
    <w:bookmarkEnd w:id="457"/>
    <w:bookmarkEnd w:id="458"/>
    <w:bookmarkEnd w:id="459"/>
    <w:p w14:paraId="33CFECAC" w14:textId="7BE6DA7F" w:rsidR="00394A75" w:rsidRPr="00D936CA" w:rsidRDefault="00F0320B" w:rsidP="00060B2E">
      <w:pPr>
        <w:autoSpaceDE w:val="0"/>
        <w:autoSpaceDN w:val="0"/>
        <w:adjustRightInd w:val="0"/>
        <w:spacing w:after="200" w:line="276" w:lineRule="auto"/>
        <w:ind w:left="-567" w:right="-142"/>
        <w:jc w:val="both"/>
        <w:rPr>
          <w:rFonts w:ascii="ITC Avant Garde" w:hAnsi="ITC Avant Garde"/>
          <w:sz w:val="22"/>
          <w:szCs w:val="22"/>
          <w:lang w:val="es-ES"/>
        </w:rPr>
      </w:pPr>
      <w:r w:rsidRPr="00F0320B">
        <w:rPr>
          <w:rFonts w:ascii="ITC Avant Garde" w:hAnsi="ITC Avant Garde"/>
          <w:sz w:val="22"/>
          <w:szCs w:val="22"/>
          <w:lang w:val="es-MX"/>
        </w:rPr>
        <w:t>Cualquier evaluación de propuestas de mejora de parámetros de calidad, deberá llevarse a cabo mediante las disposiciones o lineamientos aplicables en la materia que en su caso emita el Instituto</w:t>
      </w:r>
      <w:r w:rsidR="00DD3630" w:rsidRPr="00DD3630">
        <w:rPr>
          <w:rFonts w:ascii="ITC Avant Garde" w:hAnsi="ITC Avant Garde"/>
          <w:sz w:val="22"/>
          <w:szCs w:val="22"/>
          <w:lang w:val="es-MX"/>
        </w:rPr>
        <w:t>.</w:t>
      </w:r>
    </w:p>
    <w:p w14:paraId="33CFECAD" w14:textId="77777777" w:rsidR="00394A75" w:rsidRPr="00E47068" w:rsidRDefault="00375F39" w:rsidP="00083176">
      <w:pPr>
        <w:pStyle w:val="Ttulo2"/>
        <w:numPr>
          <w:ilvl w:val="1"/>
          <w:numId w:val="143"/>
        </w:numPr>
        <w:ind w:left="851" w:hanging="425"/>
      </w:pPr>
      <w:bookmarkStart w:id="462" w:name="_Toc436840902"/>
      <w:bookmarkStart w:id="463" w:name="_Toc436846339"/>
      <w:bookmarkStart w:id="464" w:name="_Toc436848289"/>
      <w:bookmarkStart w:id="465" w:name="_Toc436856537"/>
      <w:bookmarkStart w:id="466" w:name="_Toc436862683"/>
      <w:bookmarkStart w:id="467" w:name="_Toc436866333"/>
      <w:bookmarkStart w:id="468" w:name="_Toc436870912"/>
      <w:bookmarkStart w:id="469" w:name="_Toc436875904"/>
      <w:r w:rsidRPr="00D936CA">
        <w:t xml:space="preserve"> </w:t>
      </w:r>
      <w:bookmarkStart w:id="470" w:name="_Toc467248717"/>
      <w:bookmarkStart w:id="471" w:name="_Toc518031999"/>
      <w:r w:rsidR="00394A75" w:rsidRPr="00E47068">
        <w:t>Procedimiento de pruebas de entrega del SAIB</w:t>
      </w:r>
      <w:bookmarkEnd w:id="462"/>
      <w:bookmarkEnd w:id="463"/>
      <w:bookmarkEnd w:id="464"/>
      <w:bookmarkEnd w:id="465"/>
      <w:bookmarkEnd w:id="466"/>
      <w:bookmarkEnd w:id="467"/>
      <w:bookmarkEnd w:id="468"/>
      <w:bookmarkEnd w:id="469"/>
      <w:r w:rsidR="003138FF" w:rsidRPr="00E47068">
        <w:t>.</w:t>
      </w:r>
      <w:bookmarkEnd w:id="470"/>
      <w:bookmarkEnd w:id="471"/>
    </w:p>
    <w:p w14:paraId="33CFECAE" w14:textId="0302152A" w:rsidR="00394A75" w:rsidRPr="00D936CA" w:rsidRDefault="00394A75"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 prueba de entrega de los servicios cuyo medio de acceso sea el par de cobre se realiza mediante la medición de los parámetros </w:t>
      </w:r>
      <w:r w:rsidR="008B1FE9" w:rsidRPr="00D936CA">
        <w:rPr>
          <w:rFonts w:ascii="ITC Avant Garde" w:hAnsi="ITC Avant Garde"/>
          <w:sz w:val="22"/>
          <w:szCs w:val="22"/>
        </w:rPr>
        <w:t>de velocidad de sincronía entre el módem y el DSLAM</w:t>
      </w:r>
      <w:r w:rsidR="00E17DC2" w:rsidRPr="00423A04">
        <w:rPr>
          <w:rStyle w:val="Refdenotaalpie"/>
          <w:rFonts w:ascii="ITC Avant Garde" w:eastAsia="Calibri" w:hAnsi="ITC Avant Garde" w:cs="Arial"/>
          <w:sz w:val="22"/>
          <w:szCs w:val="22"/>
        </w:rPr>
        <w:footnoteReference w:id="34"/>
      </w:r>
      <w:r w:rsidR="008B1FE9" w:rsidRPr="00D936CA">
        <w:rPr>
          <w:rFonts w:ascii="ITC Avant Garde" w:hAnsi="ITC Avant Garde"/>
          <w:sz w:val="22"/>
          <w:szCs w:val="22"/>
        </w:rPr>
        <w:t xml:space="preserve"> </w:t>
      </w:r>
      <w:r w:rsidRPr="00D936CA">
        <w:rPr>
          <w:rFonts w:ascii="ITC Avant Garde" w:hAnsi="ITC Avant Garde"/>
          <w:sz w:val="22"/>
          <w:szCs w:val="22"/>
        </w:rPr>
        <w:t>y cuyo</w:t>
      </w:r>
      <w:r w:rsidR="008B1FE9" w:rsidRPr="00D936CA">
        <w:rPr>
          <w:rFonts w:ascii="ITC Avant Garde" w:hAnsi="ITC Avant Garde"/>
          <w:sz w:val="22"/>
          <w:szCs w:val="22"/>
        </w:rPr>
        <w:t>s</w:t>
      </w:r>
      <w:r w:rsidRPr="00D936CA">
        <w:rPr>
          <w:rFonts w:ascii="ITC Avant Garde" w:hAnsi="ITC Avant Garde"/>
          <w:sz w:val="22"/>
          <w:szCs w:val="22"/>
        </w:rPr>
        <w:t xml:space="preserve"> valor</w:t>
      </w:r>
      <w:r w:rsidR="008B1FE9" w:rsidRPr="00D936CA">
        <w:rPr>
          <w:rFonts w:ascii="ITC Avant Garde" w:hAnsi="ITC Avant Garde"/>
          <w:sz w:val="22"/>
          <w:szCs w:val="22"/>
        </w:rPr>
        <w:t>es</w:t>
      </w:r>
      <w:r w:rsidRPr="00D936CA">
        <w:rPr>
          <w:rFonts w:ascii="ITC Avant Garde" w:hAnsi="ITC Avant Garde"/>
          <w:sz w:val="22"/>
          <w:szCs w:val="22"/>
        </w:rPr>
        <w:t xml:space="preserve"> deberá</w:t>
      </w:r>
      <w:r w:rsidR="008B1FE9" w:rsidRPr="00D936CA">
        <w:rPr>
          <w:rFonts w:ascii="ITC Avant Garde" w:hAnsi="ITC Avant Garde"/>
          <w:sz w:val="22"/>
          <w:szCs w:val="22"/>
        </w:rPr>
        <w:t>n</w:t>
      </w:r>
      <w:r w:rsidRPr="00D936CA">
        <w:rPr>
          <w:rFonts w:ascii="ITC Avant Garde" w:hAnsi="ITC Avant Garde"/>
          <w:sz w:val="22"/>
          <w:szCs w:val="22"/>
        </w:rPr>
        <w:t xml:space="preserve"> encontrase dentro de los umbrales de aceptación establecidos en la sección 5.</w:t>
      </w:r>
      <w:r w:rsidR="004F2BC7" w:rsidRPr="00D936CA">
        <w:rPr>
          <w:rFonts w:ascii="ITC Avant Garde" w:hAnsi="ITC Avant Garde"/>
          <w:sz w:val="22"/>
          <w:szCs w:val="22"/>
        </w:rPr>
        <w:t>1 de este Servicio</w:t>
      </w:r>
      <w:r w:rsidRPr="00D936CA">
        <w:rPr>
          <w:rFonts w:ascii="ITC Avant Garde" w:hAnsi="ITC Avant Garde"/>
          <w:sz w:val="22"/>
          <w:szCs w:val="22"/>
        </w:rPr>
        <w:t>.</w:t>
      </w:r>
    </w:p>
    <w:p w14:paraId="33CFECAF" w14:textId="77777777" w:rsidR="00D31B69" w:rsidRPr="00D936CA" w:rsidRDefault="00D31B69"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 prueba de entrega de los servicios cuyo medio de acceso sea fibra óptica se realiza mediante la medición de los parámetros de velocidad de sincronización y potencia óptica </w:t>
      </w:r>
      <w:r w:rsidRPr="00D936CA">
        <w:rPr>
          <w:rFonts w:ascii="ITC Avant Garde" w:hAnsi="ITC Avant Garde"/>
          <w:sz w:val="22"/>
          <w:szCs w:val="22"/>
        </w:rPr>
        <w:lastRenderedPageBreak/>
        <w:t>cuyo valor deberá encontrarse dentro de los umbrales de aceptación establecidos en la sección 5.5 de Parámetros e indicadores de calidad.</w:t>
      </w:r>
    </w:p>
    <w:p w14:paraId="33CFECB0" w14:textId="77777777" w:rsidR="00394A75" w:rsidRPr="00D936CA" w:rsidRDefault="00394A75" w:rsidP="00060B2E">
      <w:pPr>
        <w:spacing w:after="200" w:line="276" w:lineRule="auto"/>
        <w:ind w:left="-567" w:right="-142"/>
        <w:jc w:val="both"/>
        <w:rPr>
          <w:rFonts w:ascii="ITC Avant Garde" w:hAnsi="ITC Avant Garde"/>
          <w:b/>
          <w:sz w:val="22"/>
          <w:szCs w:val="22"/>
        </w:rPr>
      </w:pPr>
      <w:r w:rsidRPr="00D936CA">
        <w:rPr>
          <w:rFonts w:ascii="ITC Avant Garde" w:hAnsi="ITC Avant Garde"/>
          <w:b/>
          <w:sz w:val="22"/>
          <w:szCs w:val="22"/>
        </w:rPr>
        <w:t>Metodología</w:t>
      </w:r>
    </w:p>
    <w:p w14:paraId="33CFECB1" w14:textId="5FF732E5" w:rsidR="00394A75" w:rsidRPr="00D936CA" w:rsidRDefault="00394A75"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Para el caso de Acceso Indirecto al Bucle se tienen 2 escenarios según el medio de transmisión</w:t>
      </w:r>
      <w:r w:rsidR="00DC6518">
        <w:rPr>
          <w:rFonts w:ascii="ITC Avant Garde" w:hAnsi="ITC Avant Garde"/>
          <w:sz w:val="22"/>
          <w:szCs w:val="22"/>
        </w:rPr>
        <w:t>:</w:t>
      </w:r>
    </w:p>
    <w:p w14:paraId="33CFECB2" w14:textId="5D8BF7DC" w:rsidR="00394A75" w:rsidRPr="00D936CA" w:rsidRDefault="00394A75" w:rsidP="00623677">
      <w:pPr>
        <w:pStyle w:val="Prrafodelista"/>
        <w:numPr>
          <w:ilvl w:val="0"/>
          <w:numId w:val="59"/>
        </w:numPr>
        <w:spacing w:after="200" w:line="276" w:lineRule="auto"/>
        <w:ind w:left="1068"/>
        <w:jc w:val="both"/>
        <w:rPr>
          <w:rFonts w:ascii="ITC Avant Garde" w:hAnsi="ITC Avant Garde"/>
          <w:sz w:val="22"/>
          <w:szCs w:val="22"/>
        </w:rPr>
      </w:pPr>
      <w:r w:rsidRPr="00D936CA">
        <w:rPr>
          <w:rFonts w:ascii="ITC Avant Garde" w:hAnsi="ITC Avant Garde"/>
          <w:sz w:val="22"/>
          <w:szCs w:val="22"/>
        </w:rPr>
        <w:t>En el caso que el medio de acceso sea cobre se valida la sincronía xDSL mediante el indicador led del modem y la medición de los parámetros de velocidades de subida y bajada.</w:t>
      </w:r>
    </w:p>
    <w:p w14:paraId="33CFECB3" w14:textId="77777777" w:rsidR="00394A75" w:rsidRPr="00D936CA" w:rsidRDefault="00394A75" w:rsidP="00060B2E">
      <w:pPr>
        <w:pStyle w:val="Prrafodelista"/>
        <w:spacing w:after="200" w:line="276" w:lineRule="auto"/>
        <w:ind w:left="-567" w:right="-142"/>
        <w:jc w:val="both"/>
        <w:rPr>
          <w:rFonts w:ascii="ITC Avant Garde" w:hAnsi="ITC Avant Garde"/>
          <w:sz w:val="22"/>
          <w:szCs w:val="22"/>
        </w:rPr>
      </w:pPr>
    </w:p>
    <w:p w14:paraId="33CFECB4" w14:textId="29686045" w:rsidR="00394A75" w:rsidRPr="00D936CA" w:rsidRDefault="00394A75" w:rsidP="00CB25CE">
      <w:pPr>
        <w:jc w:val="both"/>
        <w:rPr>
          <w:rFonts w:ascii="ITC Avant Garde" w:hAnsi="ITC Avant Garde"/>
          <w:sz w:val="22"/>
          <w:szCs w:val="22"/>
        </w:rPr>
      </w:pPr>
    </w:p>
    <w:p w14:paraId="58F86681" w14:textId="77777777" w:rsidR="000F46AF" w:rsidRDefault="00AB05A0" w:rsidP="000F46AF">
      <w:pPr>
        <w:pStyle w:val="Textoindependiente"/>
        <w:spacing w:line="276" w:lineRule="auto"/>
        <w:rPr>
          <w:rFonts w:ascii="ITC Avant Garde" w:hAnsi="ITC Avant Garde"/>
          <w:sz w:val="18"/>
          <w:szCs w:val="18"/>
        </w:rPr>
      </w:pPr>
      <w:r w:rsidRPr="00125FDE">
        <w:rPr>
          <w:noProof/>
          <w:lang w:eastAsia="es-MX"/>
        </w:rPr>
        <w:drawing>
          <wp:inline distT="0" distB="0" distL="0" distR="0" wp14:anchorId="0F071737" wp14:editId="39186DA3">
            <wp:extent cx="4475997" cy="819395"/>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7779" b="57727"/>
                    <a:stretch/>
                  </pic:blipFill>
                  <pic:spPr bwMode="auto">
                    <a:xfrm>
                      <a:off x="0" y="0"/>
                      <a:ext cx="4546851" cy="832366"/>
                    </a:xfrm>
                    <a:prstGeom prst="rect">
                      <a:avLst/>
                    </a:prstGeom>
                    <a:noFill/>
                    <a:ln>
                      <a:noFill/>
                    </a:ln>
                    <a:extLst>
                      <a:ext uri="{53640926-AAD7-44D8-BBD7-CCE9431645EC}">
                        <a14:shadowObscured xmlns:a14="http://schemas.microsoft.com/office/drawing/2010/main"/>
                      </a:ext>
                    </a:extLst>
                  </pic:spPr>
                </pic:pic>
              </a:graphicData>
            </a:graphic>
          </wp:inline>
        </w:drawing>
      </w:r>
    </w:p>
    <w:p w14:paraId="71E3334D" w14:textId="74F0E7C5" w:rsidR="00AB05A0" w:rsidRPr="00D908F6" w:rsidRDefault="00AB05A0" w:rsidP="00623677">
      <w:pPr>
        <w:pStyle w:val="Textoindependiente"/>
        <w:spacing w:before="120" w:after="200" w:line="276" w:lineRule="auto"/>
        <w:rPr>
          <w:rFonts w:ascii="ITC Avant Garde" w:hAnsi="ITC Avant Garde"/>
          <w:sz w:val="18"/>
          <w:szCs w:val="18"/>
        </w:rPr>
      </w:pPr>
      <w:r w:rsidRPr="00D908F6">
        <w:rPr>
          <w:rFonts w:ascii="ITC Avant Garde" w:hAnsi="ITC Avant Garde"/>
          <w:sz w:val="18"/>
          <w:szCs w:val="18"/>
        </w:rPr>
        <w:t>Ejemplo de p</w:t>
      </w:r>
      <w:r w:rsidRPr="00060B2E">
        <w:rPr>
          <w:rFonts w:ascii="ITC Avant Garde" w:hAnsi="ITC Avant Garde"/>
          <w:sz w:val="18"/>
          <w:szCs w:val="18"/>
        </w:rPr>
        <w:t xml:space="preserve">arámetros </w:t>
      </w:r>
      <w:r w:rsidRPr="00D908F6">
        <w:rPr>
          <w:rFonts w:ascii="ITC Avant Garde" w:hAnsi="ITC Avant Garde"/>
          <w:sz w:val="18"/>
          <w:szCs w:val="18"/>
        </w:rPr>
        <w:t>para el servicio de datos</w:t>
      </w:r>
      <w:r w:rsidRPr="00060B2E">
        <w:rPr>
          <w:rFonts w:ascii="ITC Avant Garde" w:hAnsi="ITC Avant Garde"/>
          <w:sz w:val="18"/>
          <w:szCs w:val="18"/>
        </w:rPr>
        <w:t xml:space="preserve"> en cobre</w:t>
      </w:r>
      <w:r w:rsidRPr="00D908F6">
        <w:rPr>
          <w:rFonts w:ascii="ITC Avant Garde" w:hAnsi="ITC Avant Garde"/>
          <w:sz w:val="18"/>
          <w:szCs w:val="18"/>
        </w:rPr>
        <w:t>.</w:t>
      </w:r>
    </w:p>
    <w:p w14:paraId="33CFECB5" w14:textId="4ACFACA6" w:rsidR="00394A75" w:rsidRPr="00D936CA" w:rsidRDefault="00394A75" w:rsidP="00D936CA">
      <w:pPr>
        <w:spacing w:before="120" w:after="200" w:line="276" w:lineRule="auto"/>
        <w:jc w:val="center"/>
        <w:rPr>
          <w:rFonts w:ascii="ITC Avant Garde" w:hAnsi="ITC Avant Garde"/>
          <w:sz w:val="18"/>
          <w:szCs w:val="18"/>
        </w:rPr>
      </w:pPr>
    </w:p>
    <w:p w14:paraId="33CFECB6" w14:textId="731CAA3E" w:rsidR="00EF32DA" w:rsidRPr="00D936CA" w:rsidRDefault="00EF32DA"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En caso de que la prueba remota de datos sobre cobre no pueda ejecutarse, el técnico realiza mediciones en el domicilio del cliente (PCT) con los equipos de medición empleados por </w:t>
      </w:r>
      <w:r w:rsidR="000F46AF" w:rsidRPr="00D936CA">
        <w:rPr>
          <w:rFonts w:ascii="ITC Avant Garde" w:hAnsi="ITC Avant Garde"/>
          <w:sz w:val="22"/>
          <w:szCs w:val="22"/>
        </w:rPr>
        <w:t>Telmex a</w:t>
      </w:r>
      <w:r w:rsidRPr="00D936CA">
        <w:rPr>
          <w:rFonts w:ascii="ITC Avant Garde" w:hAnsi="ITC Avant Garde"/>
          <w:sz w:val="22"/>
          <w:szCs w:val="22"/>
        </w:rPr>
        <w:t xml:space="preserve"> fin de consultar velocidades de subida y bajada cuando el medio de transmisión es cobre, de conformidad con la tabla de parámetros eléctricos de la sección 4.9. </w:t>
      </w:r>
    </w:p>
    <w:p w14:paraId="33CFECB7" w14:textId="77777777" w:rsidR="00394A75" w:rsidRPr="00D936CA" w:rsidRDefault="00394A75" w:rsidP="00D936CA">
      <w:pPr>
        <w:pStyle w:val="Prrafodelista"/>
        <w:numPr>
          <w:ilvl w:val="0"/>
          <w:numId w:val="59"/>
        </w:numPr>
        <w:spacing w:after="200" w:line="276" w:lineRule="auto"/>
        <w:ind w:left="1068"/>
        <w:jc w:val="both"/>
        <w:rPr>
          <w:rFonts w:ascii="ITC Avant Garde" w:hAnsi="ITC Avant Garde"/>
          <w:sz w:val="22"/>
          <w:szCs w:val="22"/>
        </w:rPr>
      </w:pPr>
      <w:r w:rsidRPr="00D936CA">
        <w:rPr>
          <w:rFonts w:ascii="ITC Avant Garde" w:hAnsi="ITC Avant Garde"/>
          <w:sz w:val="22"/>
          <w:szCs w:val="22"/>
        </w:rPr>
        <w:t xml:space="preserve">Para el caso de que el medio de transmisión sea por fibra óptica se mide la potencia óptica de recepción. </w:t>
      </w:r>
    </w:p>
    <w:p w14:paraId="33CFECB8" w14:textId="6C35F7BB" w:rsidR="00EF32DA" w:rsidRPr="00D936CA" w:rsidRDefault="00371341"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Para el caso de fibra óptica si la prueba remota no puede ejecutarse, el técnico conectará equipo de medición al </w:t>
      </w:r>
      <w:r w:rsidR="000F46AF" w:rsidRPr="00D936CA">
        <w:rPr>
          <w:rFonts w:ascii="ITC Avant Garde" w:hAnsi="ITC Avant Garde"/>
          <w:sz w:val="22"/>
          <w:szCs w:val="22"/>
        </w:rPr>
        <w:t>PCT el</w:t>
      </w:r>
      <w:r w:rsidR="00394A75" w:rsidRPr="00D936CA">
        <w:rPr>
          <w:rFonts w:ascii="ITC Avant Garde" w:hAnsi="ITC Avant Garde"/>
          <w:sz w:val="22"/>
          <w:szCs w:val="22"/>
        </w:rPr>
        <w:t xml:space="preserve"> cual registrará la potencia de recepción en el PCT la cual deberá </w:t>
      </w:r>
      <w:r w:rsidR="00403D10" w:rsidRPr="00D936CA">
        <w:rPr>
          <w:rFonts w:ascii="ITC Avant Garde" w:hAnsi="ITC Avant Garde"/>
          <w:sz w:val="22"/>
          <w:szCs w:val="22"/>
        </w:rPr>
        <w:t>estar en el rango de -15 a -27 dBm</w:t>
      </w:r>
      <w:r w:rsidRPr="00D936CA">
        <w:rPr>
          <w:rFonts w:ascii="ITC Avant Garde" w:hAnsi="ITC Avant Garde"/>
          <w:sz w:val="22"/>
          <w:szCs w:val="22"/>
        </w:rPr>
        <w:t>. Este parámetro está basado en el estándar G.984.2 de la UIT-T y considera una prueba funcional entre la OLT y el PCT en el equipo de medición.</w:t>
      </w:r>
    </w:p>
    <w:p w14:paraId="33CFECB9" w14:textId="2D58A6B0" w:rsidR="00394A75" w:rsidRPr="00D936CA" w:rsidRDefault="00394A75"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Una vez asegurados los parámetros correctos, en automático se reportarán los resultados de las pruebas para el servicio de datos en el SEG, para que el CS pueda consultarlos.</w:t>
      </w:r>
    </w:p>
    <w:p w14:paraId="4CBC1F95" w14:textId="77777777" w:rsidR="00AB05A0" w:rsidRPr="00D936CA" w:rsidRDefault="00AB05A0" w:rsidP="00AB05A0">
      <w:pPr>
        <w:spacing w:after="200" w:line="276" w:lineRule="auto"/>
        <w:jc w:val="center"/>
        <w:rPr>
          <w:rFonts w:ascii="ITC Avant Garde" w:eastAsia="Calibri" w:hAnsi="ITC Avant Garde" w:cs="Arial"/>
          <w:sz w:val="22"/>
          <w:szCs w:val="22"/>
        </w:rPr>
      </w:pPr>
      <w:r w:rsidRPr="00C451FF">
        <w:rPr>
          <w:rFonts w:eastAsia="Calibri"/>
          <w:noProof/>
          <w:lang w:val="es-MX" w:eastAsia="es-MX"/>
        </w:rPr>
        <w:drawing>
          <wp:inline distT="0" distB="0" distL="0" distR="0" wp14:anchorId="733EABC3" wp14:editId="6FF54E49">
            <wp:extent cx="3668232" cy="689939"/>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14987" r="35187" b="10127"/>
                    <a:stretch/>
                  </pic:blipFill>
                  <pic:spPr bwMode="auto">
                    <a:xfrm>
                      <a:off x="0" y="0"/>
                      <a:ext cx="3767825" cy="708671"/>
                    </a:xfrm>
                    <a:prstGeom prst="rect">
                      <a:avLst/>
                    </a:prstGeom>
                    <a:noFill/>
                    <a:ln>
                      <a:noFill/>
                    </a:ln>
                    <a:extLst>
                      <a:ext uri="{53640926-AAD7-44D8-BBD7-CCE9431645EC}">
                        <a14:shadowObscured xmlns:a14="http://schemas.microsoft.com/office/drawing/2010/main"/>
                      </a:ext>
                    </a:extLst>
                  </pic:spPr>
                </pic:pic>
              </a:graphicData>
            </a:graphic>
          </wp:inline>
        </w:drawing>
      </w:r>
    </w:p>
    <w:p w14:paraId="28B44D91" w14:textId="2E237C83" w:rsidR="00790C0B" w:rsidRPr="00D936CA" w:rsidRDefault="00AB05A0" w:rsidP="0079784E">
      <w:pPr>
        <w:spacing w:after="200" w:line="276" w:lineRule="auto"/>
        <w:jc w:val="center"/>
        <w:rPr>
          <w:rFonts w:ascii="ITC Avant Garde" w:hAnsi="ITC Avant Garde"/>
          <w:sz w:val="22"/>
          <w:szCs w:val="22"/>
        </w:rPr>
      </w:pPr>
      <w:r w:rsidRPr="00311486">
        <w:rPr>
          <w:rFonts w:ascii="ITC Avant Garde" w:hAnsi="ITC Avant Garde"/>
          <w:sz w:val="18"/>
          <w:szCs w:val="18"/>
        </w:rPr>
        <w:lastRenderedPageBreak/>
        <w:t>Ejemplo de p</w:t>
      </w:r>
      <w:r w:rsidRPr="00E11E17">
        <w:rPr>
          <w:rFonts w:ascii="ITC Avant Garde" w:hAnsi="ITC Avant Garde"/>
          <w:sz w:val="18"/>
          <w:szCs w:val="18"/>
        </w:rPr>
        <w:t xml:space="preserve">arámetros </w:t>
      </w:r>
      <w:r w:rsidRPr="00311486">
        <w:rPr>
          <w:rFonts w:ascii="ITC Avant Garde" w:hAnsi="ITC Avant Garde"/>
          <w:sz w:val="18"/>
          <w:szCs w:val="18"/>
        </w:rPr>
        <w:t>para el servicio de datos</w:t>
      </w:r>
      <w:r w:rsidRPr="00E11E17">
        <w:rPr>
          <w:rFonts w:ascii="ITC Avant Garde" w:hAnsi="ITC Avant Garde"/>
          <w:sz w:val="18"/>
          <w:szCs w:val="18"/>
        </w:rPr>
        <w:t xml:space="preserve"> en fibra</w:t>
      </w:r>
      <w:bookmarkStart w:id="472" w:name="_Toc436840903"/>
      <w:bookmarkStart w:id="473" w:name="_Toc436846340"/>
      <w:bookmarkStart w:id="474" w:name="_Toc436848290"/>
      <w:bookmarkStart w:id="475" w:name="_Toc436856538"/>
      <w:bookmarkStart w:id="476" w:name="_Toc436862684"/>
      <w:bookmarkStart w:id="477" w:name="_Toc436866334"/>
      <w:bookmarkStart w:id="478" w:name="_Toc436870913"/>
      <w:bookmarkStart w:id="479" w:name="_Toc436875905"/>
    </w:p>
    <w:p w14:paraId="67B0FA89" w14:textId="77777777" w:rsidR="00790C0B" w:rsidRPr="00D936CA" w:rsidRDefault="00790C0B" w:rsidP="00D936CA">
      <w:pPr>
        <w:spacing w:after="200" w:line="276" w:lineRule="auto"/>
        <w:jc w:val="both"/>
        <w:rPr>
          <w:rFonts w:ascii="ITC Avant Garde" w:hAnsi="ITC Avant Garde"/>
          <w:sz w:val="22"/>
          <w:szCs w:val="22"/>
        </w:rPr>
      </w:pPr>
    </w:p>
    <w:p w14:paraId="1981EAB5" w14:textId="796D03CB" w:rsidR="00AB05A0" w:rsidRPr="00261D1A" w:rsidRDefault="00AB05A0" w:rsidP="00060B2E">
      <w:pPr>
        <w:pStyle w:val="Ttulo2"/>
        <w:numPr>
          <w:ilvl w:val="1"/>
          <w:numId w:val="143"/>
        </w:numPr>
        <w:tabs>
          <w:tab w:val="left" w:pos="993"/>
        </w:tabs>
        <w:ind w:left="709" w:hanging="283"/>
      </w:pPr>
      <w:bookmarkStart w:id="480" w:name="_Toc518032000"/>
      <w:bookmarkStart w:id="481" w:name="_Toc467248719"/>
      <w:bookmarkEnd w:id="472"/>
      <w:bookmarkEnd w:id="473"/>
      <w:bookmarkEnd w:id="474"/>
      <w:bookmarkEnd w:id="475"/>
      <w:bookmarkEnd w:id="476"/>
      <w:bookmarkEnd w:id="477"/>
      <w:bookmarkEnd w:id="478"/>
      <w:bookmarkEnd w:id="479"/>
      <w:r w:rsidRPr="00261D1A">
        <w:t xml:space="preserve">Puntos de Concentración </w:t>
      </w:r>
      <w:r w:rsidR="00910165">
        <w:t>para el</w:t>
      </w:r>
      <w:r w:rsidRPr="00261D1A">
        <w:t xml:space="preserve"> SAIB</w:t>
      </w:r>
      <w:r w:rsidR="00910165">
        <w:t xml:space="preserve"> a través del Servicio de Concentración y Distribución (SCyD)</w:t>
      </w:r>
      <w:bookmarkEnd w:id="480"/>
    </w:p>
    <w:p w14:paraId="2815E139" w14:textId="77777777" w:rsidR="00AB05A0" w:rsidRPr="00D936CA" w:rsidRDefault="00AB05A0" w:rsidP="00060B2E">
      <w:pPr>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MX"/>
        </w:rPr>
        <w:t xml:space="preserve">Telmex definirá los sitios para la entrega del tráfico del SAIB tomando en cuenta los criterios de eficiencia, factibilidad técnica, competencia y minimización de costos. </w:t>
      </w:r>
      <w:r w:rsidRPr="00D936CA">
        <w:rPr>
          <w:rFonts w:ascii="ITC Avant Garde" w:hAnsi="ITC Avant Garde"/>
          <w:sz w:val="22"/>
          <w:szCs w:val="22"/>
          <w:lang w:val="es-ES"/>
        </w:rPr>
        <w:t>A través de las consultas de información que el CS podrá realizar de conformidad con lo señalado en la sección 3 “Información relacionada con los servicios” de la OREDA, el CS podrá conocer los puntos de concentración para la entrega de tráfico del SAIB a través del Servicio de Concentración y Distribución.</w:t>
      </w:r>
    </w:p>
    <w:p w14:paraId="6A6E0C6A" w14:textId="154EE2B1" w:rsidR="00AB05A0" w:rsidRPr="00D936CA" w:rsidRDefault="00AB05A0" w:rsidP="00060B2E">
      <w:pPr>
        <w:autoSpaceDE w:val="0"/>
        <w:autoSpaceDN w:val="0"/>
        <w:adjustRightInd w:val="0"/>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A</w:t>
      </w:r>
      <w:r w:rsidRPr="00D936CA">
        <w:rPr>
          <w:rFonts w:ascii="ITC Avant Garde" w:hAnsi="ITC Avant Garde"/>
          <w:sz w:val="22"/>
          <w:szCs w:val="22"/>
          <w:lang w:val="es-MX"/>
        </w:rPr>
        <w:t xml:space="preserve"> través de la interfaz que se habilitará en la página de Internet donde se publique la OREDA se proporcionará la información anterior</w:t>
      </w:r>
      <w:r w:rsidR="00A94617">
        <w:rPr>
          <w:rFonts w:ascii="ITC Avant Garde" w:hAnsi="ITC Avant Garde"/>
          <w:sz w:val="22"/>
          <w:szCs w:val="22"/>
          <w:lang w:val="es-MX"/>
        </w:rPr>
        <w:t>,</w:t>
      </w:r>
      <w:r w:rsidRPr="00D936CA">
        <w:rPr>
          <w:rFonts w:ascii="ITC Avant Garde" w:hAnsi="ITC Avant Garde"/>
          <w:sz w:val="22"/>
          <w:szCs w:val="22"/>
          <w:lang w:val="es-MX"/>
        </w:rPr>
        <w:t xml:space="preserve"> así como </w:t>
      </w:r>
      <w:r w:rsidRPr="00D936CA">
        <w:rPr>
          <w:rFonts w:ascii="ITC Avant Garde" w:hAnsi="ITC Avant Garde"/>
          <w:sz w:val="22"/>
          <w:szCs w:val="22"/>
          <w:lang w:val="es-ES"/>
        </w:rPr>
        <w:t>la descripción de la forma o estructura de los listados de las centrales o instalaciones equivalentes que los conformen.</w:t>
      </w:r>
    </w:p>
    <w:p w14:paraId="1ADF2E01" w14:textId="77777777" w:rsidR="00AB05A0" w:rsidRPr="00D936CA" w:rsidRDefault="00AB05A0" w:rsidP="00060B2E">
      <w:pPr>
        <w:autoSpaceDE w:val="0"/>
        <w:autoSpaceDN w:val="0"/>
        <w:adjustRightInd w:val="0"/>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La información de la estructura de los puntos de entrega conforme a sus niveles de agregación se describe en la sección 3 de esta OREDA en el SCyD.</w:t>
      </w:r>
    </w:p>
    <w:p w14:paraId="19D95A0C" w14:textId="77777777" w:rsidR="00AB05A0" w:rsidRDefault="00AB05A0" w:rsidP="00060B2E">
      <w:pPr>
        <w:pStyle w:val="IFTnormal"/>
      </w:pPr>
    </w:p>
    <w:p w14:paraId="33CFECBF" w14:textId="1F2CEEFE" w:rsidR="004007B1" w:rsidRPr="00D936CA" w:rsidRDefault="00FD1591" w:rsidP="00D936CA">
      <w:pPr>
        <w:pStyle w:val="Ttulo2"/>
        <w:numPr>
          <w:ilvl w:val="1"/>
          <w:numId w:val="143"/>
        </w:numPr>
        <w:tabs>
          <w:tab w:val="left" w:pos="993"/>
        </w:tabs>
        <w:ind w:left="709" w:hanging="283"/>
      </w:pPr>
      <w:bookmarkStart w:id="482" w:name="_Toc518032001"/>
      <w:r w:rsidRPr="00D936CA">
        <w:t>Servicio de Concentración y Distribución</w:t>
      </w:r>
      <w:r w:rsidR="004007B1" w:rsidRPr="00D936CA">
        <w:t>.</w:t>
      </w:r>
      <w:bookmarkEnd w:id="481"/>
      <w:bookmarkEnd w:id="482"/>
      <w:r w:rsidR="004007B1" w:rsidRPr="00D936CA">
        <w:t xml:space="preserve"> </w:t>
      </w:r>
    </w:p>
    <w:p w14:paraId="33CFECC0" w14:textId="77777777" w:rsidR="00615935" w:rsidRPr="00D936CA" w:rsidRDefault="004007B1" w:rsidP="00060B2E">
      <w:pPr>
        <w:pStyle w:val="IFTnormal"/>
        <w:ind w:left="-567" w:right="-142"/>
      </w:pPr>
      <w:r w:rsidRPr="00D936CA">
        <w:t>Red de agregación Ethernet</w:t>
      </w:r>
    </w:p>
    <w:p w14:paraId="33CFECC1" w14:textId="4CACDF82" w:rsidR="00B249EC" w:rsidRPr="00D936CA" w:rsidRDefault="00B249EC" w:rsidP="00060B2E">
      <w:pPr>
        <w:pStyle w:val="IFTnormal"/>
        <w:ind w:left="-567" w:right="-142"/>
      </w:pPr>
      <w:bookmarkStart w:id="483" w:name="_Hlk516218965"/>
      <w:r w:rsidRPr="00D936CA">
        <w:t xml:space="preserve">La red de agregación Ethernet </w:t>
      </w:r>
      <w:r w:rsidR="00D36079" w:rsidRPr="00D936CA">
        <w:t xml:space="preserve">de Telmex </w:t>
      </w:r>
      <w:r w:rsidRPr="00D936CA">
        <w:t>la constituyen los puertos Ethernet de los diferentes equipos de acceso (DSLAM y/o OLT´s) en su lado de red junto con el conjunto de sistemas de transmisión, conmutación y enrutamiento organizados en nodos. Dicha red agrega los flujos de tráfico recibidos de los distintos usuarios etiquetados e identificados mediante sus VLAN de cliente (C-VLAN) y los agrega de acuerdo con el estándar IEEE 802.1Q (Q in Q)</w:t>
      </w:r>
      <w:r w:rsidR="00D36079" w:rsidRPr="00D936CA">
        <w:t>,</w:t>
      </w:r>
      <w:r w:rsidRPr="00D936CA">
        <w:t xml:space="preserve"> etiquetándolos mediante las correspondientes VLAN de servicio (S-VLAN) para su posterior transporte y entrega  a  nivel de Capa 2</w:t>
      </w:r>
      <w:r w:rsidR="00D36079" w:rsidRPr="00D936CA">
        <w:t>,</w:t>
      </w:r>
      <w:r w:rsidRPr="00D936CA">
        <w:t xml:space="preserve"> desde el puerto de salida del equipo de acceso al Puerto de Conexión de Acceso Indirecto (pCAI), ubicado en </w:t>
      </w:r>
      <w:r w:rsidR="00B66622" w:rsidRPr="00D936CA">
        <w:t>el</w:t>
      </w:r>
      <w:r w:rsidRPr="00D936CA">
        <w:t xml:space="preserve"> Nodo de Conexión de Acceso Indirecto (NCAI) elegido por el CS. </w:t>
      </w:r>
    </w:p>
    <w:p w14:paraId="33CFECC2" w14:textId="663775FC" w:rsidR="00B249EC" w:rsidRPr="00D936CA" w:rsidRDefault="00B249EC" w:rsidP="00060B2E">
      <w:pPr>
        <w:pStyle w:val="IFTnormal"/>
        <w:ind w:left="-567" w:right="-142"/>
      </w:pPr>
      <w:r w:rsidRPr="00D936CA">
        <w:t xml:space="preserve">La misma red y mediante el mismo sistema (Q in Q) se encarga de la distribución y entrega en sentido descendente de dichos flujos de tráfico desde dicho puerto (pCAI) hasta cada uno de los equipos de acceso donde se eliminarán las etiquetas de las S-VLAN y se entregarán las C-VLAN a los equipos terminales </w:t>
      </w:r>
      <w:r w:rsidR="000539CF" w:rsidRPr="00D936CA">
        <w:t>conectados en los PCT</w:t>
      </w:r>
      <w:r w:rsidRPr="00D936CA">
        <w:t xml:space="preserve"> de los sitios de los usuarios finales.</w:t>
      </w:r>
    </w:p>
    <w:bookmarkEnd w:id="483"/>
    <w:p w14:paraId="33CFECC3" w14:textId="54AC1E00" w:rsidR="00FD1591" w:rsidRPr="00D936CA" w:rsidRDefault="00FD1591"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El Servicio de Concentración y Distribución</w:t>
      </w:r>
      <w:r w:rsidRPr="00D936CA">
        <w:rPr>
          <w:rFonts w:ascii="ITC Avant Garde" w:hAnsi="ITC Avant Garde"/>
          <w:sz w:val="22"/>
          <w:szCs w:val="22"/>
        </w:rPr>
        <w:t xml:space="preserve"> </w:t>
      </w:r>
      <w:r w:rsidRPr="00D936CA">
        <w:rPr>
          <w:rFonts w:ascii="ITC Avant Garde" w:hAnsi="ITC Avant Garde"/>
          <w:sz w:val="22"/>
          <w:szCs w:val="22"/>
          <w:lang w:val="es-MX"/>
        </w:rPr>
        <w:t xml:space="preserve">permite la agregación del tráfico de SAIB generado por los usuarios y la entrega del mismo a los CS. Dicha agregación se </w:t>
      </w:r>
      <w:r w:rsidR="008E092D" w:rsidRPr="00D936CA">
        <w:rPr>
          <w:rFonts w:ascii="ITC Avant Garde" w:hAnsi="ITC Avant Garde"/>
          <w:sz w:val="22"/>
          <w:szCs w:val="22"/>
          <w:lang w:val="es-MX"/>
        </w:rPr>
        <w:t>puede</w:t>
      </w:r>
      <w:r w:rsidRPr="00D936CA">
        <w:rPr>
          <w:rFonts w:ascii="ITC Avant Garde" w:hAnsi="ITC Avant Garde"/>
          <w:sz w:val="22"/>
          <w:szCs w:val="22"/>
          <w:lang w:val="es-MX"/>
        </w:rPr>
        <w:t xml:space="preserve"> lleva</w:t>
      </w:r>
      <w:r w:rsidR="008E092D" w:rsidRPr="00D936CA">
        <w:rPr>
          <w:rFonts w:ascii="ITC Avant Garde" w:hAnsi="ITC Avant Garde"/>
          <w:sz w:val="22"/>
          <w:szCs w:val="22"/>
          <w:lang w:val="es-MX"/>
        </w:rPr>
        <w:t>r</w:t>
      </w:r>
      <w:r w:rsidRPr="00D936CA">
        <w:rPr>
          <w:rFonts w:ascii="ITC Avant Garde" w:hAnsi="ITC Avant Garde"/>
          <w:sz w:val="22"/>
          <w:szCs w:val="22"/>
          <w:lang w:val="es-MX"/>
        </w:rPr>
        <w:t xml:space="preserve"> a cabo en tres niveles: local, regional y nacional. </w:t>
      </w:r>
    </w:p>
    <w:p w14:paraId="33CFECC4" w14:textId="77777777" w:rsidR="00C807B6" w:rsidRPr="00D936CA" w:rsidRDefault="00C807B6"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La configuración mínima de la red de agregación para su uso por un CS incluye un conjunto de funcionalidades que permiten la administración del tráfico, al menos un Nodo de Concentración de Acceso Indirecto (NCAI), y al menos un puerto de Conexión de Acceso Indirecto (pCAI) que físicamente se ubica en un Punto de Concentración local, regional o nacional, así como las VLAN’s respectivas por cada pCAI habilitado en el punto de concentración siendo el resto ampliaciones y/o cambios. En el momento de la contratación el CS deberá indicar el nivel de agregación (local regional o nacional), y los pCAI deseados.</w:t>
      </w:r>
    </w:p>
    <w:p w14:paraId="33CFECC5" w14:textId="77777777" w:rsidR="00FD1591" w:rsidRPr="00D936CA" w:rsidRDefault="00FD1591"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NCAI (Nodo de Conexión de Acceso Indirecto): Nodos de entrega del servicio a nivel local, regional o nacional. En ellos se localizan los puertos (pCAI) o interfaces lógicas de entrega del servicio.</w:t>
      </w:r>
    </w:p>
    <w:p w14:paraId="33CFECC6" w14:textId="77777777" w:rsidR="00FD1591" w:rsidRPr="00D936CA" w:rsidRDefault="00FD1591"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El pCAI: Puerto de un NCAI. Es la interfaz física (puerto) en la que se entrega el tráfico de un CS correspondiente a un determinado conjunto de equipos de acceso (DSLAM/OLT). </w:t>
      </w:r>
    </w:p>
    <w:p w14:paraId="33CFECC7" w14:textId="77777777" w:rsidR="00FD1591" w:rsidRPr="00D936CA" w:rsidRDefault="00FD1591"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El CS definirá los nodos (NCAI) en que deberán habilitarse los puertos (pCAI) para el intercambio de tráfico del SAIB.  En cada NCAI, Telmex habilitará el puerto o puertos de interconexión para </w:t>
      </w:r>
      <w:r w:rsidR="008E0DBE" w:rsidRPr="00D936CA">
        <w:rPr>
          <w:rFonts w:ascii="ITC Avant Garde" w:hAnsi="ITC Avant Garde"/>
          <w:sz w:val="22"/>
          <w:szCs w:val="22"/>
          <w:lang w:val="es-MX"/>
        </w:rPr>
        <w:t>la correcta prestación d</w:t>
      </w:r>
      <w:r w:rsidRPr="00D936CA">
        <w:rPr>
          <w:rFonts w:ascii="ITC Avant Garde" w:hAnsi="ITC Avant Garde"/>
          <w:sz w:val="22"/>
          <w:szCs w:val="22"/>
          <w:lang w:val="es-MX"/>
        </w:rPr>
        <w:t>el SAIB con</w:t>
      </w:r>
      <w:r w:rsidR="008E0DBE" w:rsidRPr="00D936CA">
        <w:rPr>
          <w:rFonts w:ascii="ITC Avant Garde" w:hAnsi="ITC Avant Garde"/>
          <w:sz w:val="22"/>
          <w:szCs w:val="22"/>
          <w:lang w:val="es-MX"/>
        </w:rPr>
        <w:t>tratado por</w:t>
      </w:r>
      <w:r w:rsidRPr="00D936CA">
        <w:rPr>
          <w:rFonts w:ascii="ITC Avant Garde" w:hAnsi="ITC Avant Garde"/>
          <w:sz w:val="22"/>
          <w:szCs w:val="22"/>
          <w:lang w:val="es-MX"/>
        </w:rPr>
        <w:t xml:space="preserve"> el CS. Por su parte el CS hará lo propio en su lado de la red. El dimensionamiento de estos puertos será el necesario para soportar el tráfico intercambiado de acuerdo a la calidad provista por la red de Telmex para sus usuarios. </w:t>
      </w:r>
    </w:p>
    <w:p w14:paraId="33CFECC8" w14:textId="6A07D27F" w:rsidR="00AF30C9" w:rsidRPr="00D936CA" w:rsidRDefault="00637CD7" w:rsidP="00060B2E">
      <w:pPr>
        <w:pStyle w:val="IFTnormal"/>
        <w:ind w:left="-567" w:right="-142"/>
      </w:pPr>
      <w:r w:rsidRPr="00D936CA">
        <w:t xml:space="preserve">Telmex y el CS </w:t>
      </w:r>
      <w:r w:rsidR="00AF30C9" w:rsidRPr="00D936CA">
        <w:t>definirá</w:t>
      </w:r>
      <w:r w:rsidRPr="00D936CA">
        <w:t>n</w:t>
      </w:r>
      <w:r w:rsidR="00AF30C9" w:rsidRPr="00D936CA">
        <w:t>, la cantidad de usuarios que concentrará en cada pCAI, La unidad de contratación es el perfil asociado al usuario</w:t>
      </w:r>
      <w:r w:rsidR="00C54439" w:rsidRPr="00D936CA">
        <w:t xml:space="preserve"> (velocidad de transmisión)</w:t>
      </w:r>
      <w:r w:rsidR="00AF30C9" w:rsidRPr="00D936CA">
        <w:t>, la capacidad en Megabits utilizada por dicho perfil en cada puerto de interconexión será la que corresponda a los parámetros de calidad establecidos para el servicio.</w:t>
      </w:r>
    </w:p>
    <w:p w14:paraId="33CFECC9" w14:textId="77777777" w:rsidR="00B82C25" w:rsidRPr="00D936CA" w:rsidRDefault="00B82C25" w:rsidP="00060B2E">
      <w:pPr>
        <w:pStyle w:val="IFTnormal"/>
        <w:ind w:left="-567" w:right="-142"/>
        <w:rPr>
          <w:lang w:val="es-ES"/>
        </w:rPr>
      </w:pPr>
      <w:r w:rsidRPr="00D936CA">
        <w:rPr>
          <w:lang w:val="es-ES"/>
        </w:rPr>
        <w:t>Cada NCAI corresponde a un equipo de agregación de la red de transporte el cual tiene conectados diferentes equipos de la red de acceso (xDSL y GPON). En cada equipo de acceso se establece un enlace lógico por medio de una S-VLAN, que se utiliza para transportar el tráfico del SAIB hasta el punto de conexión a un equipo del CS, de tal forma que cuando se solicita un NCAI se establecen conexiones lógicas (S-VLAN’s) de todos y cada uno de los equipos de acceso conectados al NCAI y son concentradas en un pCAI.</w:t>
      </w:r>
    </w:p>
    <w:p w14:paraId="33CFECCA" w14:textId="77777777" w:rsidR="00B82C25" w:rsidRPr="00D936CA" w:rsidRDefault="00B82C25" w:rsidP="00060B2E">
      <w:pPr>
        <w:pStyle w:val="IFTnormal"/>
        <w:ind w:left="-567" w:right="-142"/>
      </w:pPr>
      <w:r w:rsidRPr="00D936CA">
        <w:t>La planeación del dimensionamiento de los pCAI será efectuada por Telmex y el CS de mutuo acuerdo cada uno en su lado de la interfaz de conformidad con esta Oferta y de la calidad del servicio comprometida y medida mediante los correspondientes parámetros de calidad</w:t>
      </w:r>
    </w:p>
    <w:p w14:paraId="33CFECCB" w14:textId="68E45EC1" w:rsidR="001F2188" w:rsidRPr="00D936CA" w:rsidRDefault="001F2188"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En un</w:t>
      </w:r>
      <w:r w:rsidR="00461303" w:rsidRPr="00D936CA">
        <w:rPr>
          <w:rFonts w:ascii="ITC Avant Garde" w:hAnsi="ITC Avant Garde"/>
          <w:sz w:val="22"/>
          <w:szCs w:val="22"/>
          <w:lang w:val="es-MX"/>
        </w:rPr>
        <w:t>a misma central o instalación equivalente</w:t>
      </w:r>
      <w:r w:rsidRPr="00D936CA">
        <w:rPr>
          <w:rFonts w:ascii="ITC Avant Garde" w:hAnsi="ITC Avant Garde"/>
          <w:sz w:val="22"/>
          <w:szCs w:val="22"/>
          <w:lang w:val="es-MX"/>
        </w:rPr>
        <w:t xml:space="preserve"> </w:t>
      </w:r>
      <w:r w:rsidR="00574DC9" w:rsidRPr="00D936CA">
        <w:rPr>
          <w:rFonts w:ascii="ITC Avant Garde" w:hAnsi="ITC Avant Garde"/>
          <w:sz w:val="22"/>
          <w:szCs w:val="22"/>
          <w:lang w:val="es-MX"/>
        </w:rPr>
        <w:t xml:space="preserve">de </w:t>
      </w:r>
      <w:r w:rsidRPr="00D936CA">
        <w:rPr>
          <w:rFonts w:ascii="ITC Avant Garde" w:hAnsi="ITC Avant Garde"/>
          <w:sz w:val="22"/>
          <w:szCs w:val="22"/>
          <w:lang w:val="es-MX"/>
        </w:rPr>
        <w:t>Telmex pueden existir uno o más NCAI, que a su vez pueden, en algunos casos, pertenecer a diferentes dominios administrativos. Esto obedece a la topología de la red de Telmex. Cada NCAI constituye un nodo de concentra</w:t>
      </w:r>
      <w:r w:rsidR="00574DC9" w:rsidRPr="00D936CA">
        <w:rPr>
          <w:rFonts w:ascii="ITC Avant Garde" w:hAnsi="ITC Avant Garde"/>
          <w:sz w:val="22"/>
          <w:szCs w:val="22"/>
          <w:lang w:val="es-MX"/>
        </w:rPr>
        <w:t>ción local, regional o nacional</w:t>
      </w:r>
      <w:r w:rsidRPr="00D936CA">
        <w:rPr>
          <w:rFonts w:ascii="ITC Avant Garde" w:hAnsi="ITC Avant Garde"/>
          <w:sz w:val="22"/>
          <w:szCs w:val="22"/>
          <w:lang w:val="es-MX"/>
        </w:rPr>
        <w:t xml:space="preserve">. </w:t>
      </w:r>
    </w:p>
    <w:p w14:paraId="33CFECCC" w14:textId="7B8DE161" w:rsidR="001F2188" w:rsidRPr="00D936CA" w:rsidRDefault="001F2188"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Telmex de conformidad con lo establecido en la sección 3 “Información Relacionada con los Servicios” de esta OREDA proporcionará a los CS la información relativa a los NCAI y los dominios Ethernet a los que pertenecen, así como el nivel de concentración local, regional y nacional al que están asociados. Adicionalmente, para mayor entendimiento de dicha información el CS puede consultar la descripción de la forma o estructura de los listados de las centrales o instalaciones equivalentes a través de la interfaz habilitada en la página de internet donde se publique la OREDA </w:t>
      </w:r>
      <w:r w:rsidR="000F46AF" w:rsidRPr="00D936CA">
        <w:rPr>
          <w:rFonts w:ascii="ITC Avant Garde" w:hAnsi="ITC Avant Garde"/>
          <w:sz w:val="22"/>
          <w:szCs w:val="22"/>
          <w:lang w:val="es-MX"/>
        </w:rPr>
        <w:t xml:space="preserve">y </w:t>
      </w:r>
      <w:r w:rsidR="000F46AF">
        <w:rPr>
          <w:rFonts w:ascii="ITC Avant Garde" w:hAnsi="ITC Avant Garde"/>
          <w:sz w:val="22"/>
          <w:szCs w:val="22"/>
          <w:lang w:val="es-MX"/>
        </w:rPr>
        <w:t>en</w:t>
      </w:r>
      <w:r w:rsidR="00B3252E">
        <w:rPr>
          <w:rFonts w:ascii="ITC Avant Garde" w:hAnsi="ITC Avant Garde"/>
          <w:sz w:val="22"/>
          <w:szCs w:val="22"/>
          <w:lang w:val="es-MX"/>
        </w:rPr>
        <w:t xml:space="preserve"> </w:t>
      </w:r>
      <w:r w:rsidRPr="00D936CA">
        <w:rPr>
          <w:rFonts w:ascii="ITC Avant Garde" w:hAnsi="ITC Avant Garde"/>
          <w:sz w:val="22"/>
          <w:szCs w:val="22"/>
          <w:lang w:val="es-MX"/>
        </w:rPr>
        <w:t>el SEG.</w:t>
      </w:r>
    </w:p>
    <w:p w14:paraId="33CFECCD" w14:textId="2BF70337" w:rsidR="001F2188" w:rsidRPr="00D936CA" w:rsidRDefault="001F2188"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El uso de la infraestructura y el mantenimiento asociado que Telmex realizará para el </w:t>
      </w:r>
      <w:r w:rsidR="000F46AF" w:rsidRPr="00D936CA">
        <w:rPr>
          <w:rFonts w:ascii="ITC Avant Garde" w:hAnsi="ITC Avant Garde"/>
          <w:sz w:val="22"/>
          <w:szCs w:val="22"/>
          <w:lang w:val="es-MX"/>
        </w:rPr>
        <w:t>SAIB</w:t>
      </w:r>
      <w:r w:rsidRPr="00D936CA">
        <w:rPr>
          <w:rFonts w:ascii="ITC Avant Garde" w:hAnsi="ITC Avant Garde"/>
          <w:sz w:val="22"/>
          <w:szCs w:val="22"/>
          <w:lang w:val="es-MX"/>
        </w:rPr>
        <w:t xml:space="preserve"> abarca desde el PCT, los equipos de acceso, el pCAI correspondiente, la conexión del DFO Telmex hasta el DFO del CS o donde Telmex entrega en punta el servicio</w:t>
      </w:r>
      <w:r w:rsidR="00647BB3" w:rsidRPr="00D936CA">
        <w:rPr>
          <w:rFonts w:ascii="ITC Avant Garde" w:hAnsi="ITC Avant Garde"/>
          <w:sz w:val="22"/>
          <w:szCs w:val="22"/>
          <w:lang w:val="es-MX"/>
        </w:rPr>
        <w:t xml:space="preserve"> a solicitud del CS</w:t>
      </w:r>
      <w:r w:rsidRPr="00D936CA">
        <w:rPr>
          <w:rFonts w:ascii="ITC Avant Garde" w:hAnsi="ITC Avant Garde"/>
          <w:sz w:val="22"/>
          <w:szCs w:val="22"/>
          <w:lang w:val="es-MX"/>
        </w:rPr>
        <w:t xml:space="preserve">, utilizando los medios de transmisión de la red de Telmex. Los equipos de la red de transmisión Telmex asociados a los pCAI, así como los puntos de concentración local, regional y nacional, realizándose de acuerdo a estándares certificados por organismos internacionales de estandarización para el correcto establecimiento, uso y mantenimiento de redes de tecnología Ethernet. En el </w:t>
      </w:r>
      <w:r w:rsidR="00ED6B9D">
        <w:rPr>
          <w:rFonts w:ascii="ITC Avant Garde" w:hAnsi="ITC Avant Garde"/>
          <w:sz w:val="22"/>
          <w:szCs w:val="22"/>
          <w:lang w:val="es-MX"/>
        </w:rPr>
        <w:t>SEG</w:t>
      </w:r>
      <w:r w:rsidRPr="00D936CA">
        <w:rPr>
          <w:rFonts w:ascii="ITC Avant Garde" w:hAnsi="ITC Avant Garde"/>
          <w:sz w:val="22"/>
          <w:szCs w:val="22"/>
          <w:lang w:val="es-MX"/>
        </w:rPr>
        <w:t xml:space="preserve"> se pondrá a disposición de los CS las especificaciones técnicas, guías de uso y manuales de configuración y programación de todos los equipos que constituyen la red de agregación Ethernet de Telmex relacionados con el SAIB.</w:t>
      </w:r>
    </w:p>
    <w:p w14:paraId="33CFECCE" w14:textId="42874E48" w:rsidR="00FD1591" w:rsidRPr="00D936CA" w:rsidRDefault="00FD1591" w:rsidP="00060B2E">
      <w:pPr>
        <w:autoSpaceDE w:val="0"/>
        <w:autoSpaceDN w:val="0"/>
        <w:adjustRightInd w:val="0"/>
        <w:spacing w:after="200" w:line="276" w:lineRule="auto"/>
        <w:ind w:left="-567" w:right="-142"/>
        <w:jc w:val="both"/>
        <w:rPr>
          <w:rFonts w:ascii="ITC Avant Garde" w:hAnsi="ITC Avant Garde"/>
          <w:sz w:val="22"/>
          <w:szCs w:val="22"/>
          <w:lang w:val="es-MX"/>
        </w:rPr>
      </w:pPr>
      <w:r w:rsidRPr="00E32A0B">
        <w:rPr>
          <w:rFonts w:ascii="ITC Avant Garde" w:hAnsi="ITC Avant Garde"/>
          <w:sz w:val="22"/>
          <w:szCs w:val="22"/>
          <w:lang w:val="es-MX"/>
        </w:rPr>
        <w:t>Cuando</w:t>
      </w:r>
      <w:r w:rsidR="00E32A0B">
        <w:rPr>
          <w:rFonts w:ascii="ITC Avant Garde" w:hAnsi="ITC Avant Garde"/>
          <w:sz w:val="22"/>
          <w:szCs w:val="22"/>
          <w:lang w:val="es-MX"/>
        </w:rPr>
        <w:t xml:space="preserve"> el CS solicite que el SCyD</w:t>
      </w:r>
      <w:r w:rsidRPr="00E32A0B">
        <w:rPr>
          <w:rFonts w:ascii="ITC Avant Garde" w:hAnsi="ITC Avant Garde"/>
          <w:sz w:val="22"/>
          <w:szCs w:val="22"/>
          <w:lang w:val="es-MX"/>
        </w:rPr>
        <w:t xml:space="preserve"> se entregue en ubicación distante se realizará bajo las condiciones del servicio de Tendido de Cable sobre infraestructura desagregada de la Oferta de Referencia de Compartición de Infraestructura Pasiva.</w:t>
      </w:r>
      <w:r w:rsidRPr="00D936CA">
        <w:rPr>
          <w:rFonts w:ascii="ITC Avant Garde" w:hAnsi="ITC Avant Garde"/>
          <w:sz w:val="22"/>
          <w:szCs w:val="22"/>
          <w:lang w:val="es-MX"/>
        </w:rPr>
        <w:t xml:space="preserve"> </w:t>
      </w:r>
    </w:p>
    <w:p w14:paraId="33CFECCF" w14:textId="37B47320" w:rsidR="00107AD0" w:rsidRPr="00D936CA" w:rsidRDefault="00107AD0"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Telmex podrá habilitar nuevos equipos de acceso en los diferentes NCAI, lo cual será notificado a los Concesionarios Solicitantes a través del SEG, para que a su solicitud las S-VLANS de los nuevos equipos sean incluidas en sus pCAI. </w:t>
      </w:r>
    </w:p>
    <w:p w14:paraId="33CFECD0" w14:textId="77777777" w:rsidR="00667A94" w:rsidRPr="00D936CA" w:rsidRDefault="00667A94"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rPr>
        <w:t>Para la entrega de tráfico SAIB a sitios que se encuentren en ubicación distante, los CS podrán utilizar enlaces de transporte propio</w:t>
      </w:r>
      <w:r w:rsidR="00647BB3" w:rsidRPr="00D936CA">
        <w:rPr>
          <w:rFonts w:ascii="ITC Avant Garde" w:hAnsi="ITC Avant Garde"/>
          <w:sz w:val="22"/>
          <w:szCs w:val="22"/>
        </w:rPr>
        <w:t>s</w:t>
      </w:r>
      <w:r w:rsidRPr="00D936CA">
        <w:rPr>
          <w:rFonts w:ascii="ITC Avant Garde" w:hAnsi="ITC Avant Garde"/>
          <w:sz w:val="22"/>
          <w:szCs w:val="22"/>
        </w:rPr>
        <w:t xml:space="preserve"> o arrendado</w:t>
      </w:r>
      <w:r w:rsidR="00647BB3" w:rsidRPr="00D936CA">
        <w:rPr>
          <w:rFonts w:ascii="ITC Avant Garde" w:hAnsi="ITC Avant Garde"/>
          <w:sz w:val="22"/>
          <w:szCs w:val="22"/>
        </w:rPr>
        <w:t>s</w:t>
      </w:r>
      <w:r w:rsidRPr="00D936CA">
        <w:rPr>
          <w:rFonts w:ascii="ITC Avant Garde" w:hAnsi="ITC Avant Garde"/>
          <w:sz w:val="22"/>
          <w:szCs w:val="22"/>
        </w:rPr>
        <w:t>.</w:t>
      </w:r>
    </w:p>
    <w:p w14:paraId="33CFECD1" w14:textId="5AF796FA" w:rsidR="00667A94" w:rsidRPr="00D936CA" w:rsidRDefault="00667A94"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caso de requerir el transporte o entrega de tráfico de datos entre NCAI´s del mismo nivel que no se comuniquen entre ellos, es decir que no pertenezcan al mismo dominio administrativo Ethernet, el CS podrá elegir entre la utilización de los servicios de enlaces de transporte (propios o arrendados) o solicitar la entrega en un pCAI de un NCAI que tenga la capacidad de agregación del tráfico de dichos nodos.</w:t>
      </w:r>
      <w:r w:rsidR="00461303" w:rsidRPr="00D936CA">
        <w:rPr>
          <w:rFonts w:ascii="ITC Avant Garde" w:hAnsi="ITC Avant Garde"/>
          <w:sz w:val="22"/>
          <w:szCs w:val="22"/>
          <w:lang w:val="es-MX"/>
        </w:rPr>
        <w:t xml:space="preserve"> En caso de que los NCAIs del mismo nivel que no se comuniquen entre ellos se encuentren en la misma central o instalación equivalente, a solicitud del CS Telmex deberá agregar todo el tráfico de dichos NCAIs en un solo NCAI previamente contratado sin necesidad de contratar enlaces de transporte.</w:t>
      </w:r>
    </w:p>
    <w:p w14:paraId="33CFECD2" w14:textId="77777777" w:rsidR="00250B78" w:rsidRPr="00D936CA" w:rsidRDefault="00250B78"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La conexión entre los puntos de presencia de los CS y los NCAI podrá llevarse a cabo mediante infraestructuras de terceros. Telmex ofrecerá asimismo el transporte de la señal para los CS interesados. Se podrá acordar entre varios CS la compartición de infraestructuras de transporte sin autorización previa de Telmex.</w:t>
      </w:r>
    </w:p>
    <w:p w14:paraId="33CFECD3" w14:textId="20B157C9" w:rsidR="00250B78" w:rsidRPr="00D936CA" w:rsidRDefault="00250B78"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transporte entre niveles de agregación se realizar</w:t>
      </w:r>
      <w:r w:rsidR="00B51702">
        <w:rPr>
          <w:rFonts w:ascii="ITC Avant Garde" w:hAnsi="ITC Avant Garde"/>
          <w:sz w:val="22"/>
          <w:szCs w:val="22"/>
          <w:lang w:val="es-MX"/>
        </w:rPr>
        <w:t>á</w:t>
      </w:r>
      <w:r w:rsidRPr="00D936CA">
        <w:rPr>
          <w:rFonts w:ascii="ITC Avant Garde" w:hAnsi="ITC Avant Garde"/>
          <w:sz w:val="22"/>
          <w:szCs w:val="22"/>
          <w:lang w:val="es-MX"/>
        </w:rPr>
        <w:t xml:space="preserve"> mediante la configuración de VLANs por troncal</w:t>
      </w:r>
      <w:r w:rsidR="00461303" w:rsidRPr="00D936CA">
        <w:rPr>
          <w:rFonts w:ascii="ITC Avant Garde" w:hAnsi="ITC Avant Garde"/>
          <w:sz w:val="22"/>
          <w:szCs w:val="22"/>
          <w:lang w:val="es-MX"/>
        </w:rPr>
        <w:t>.</w:t>
      </w:r>
      <w:r w:rsidRPr="00D936CA">
        <w:rPr>
          <w:rFonts w:ascii="ITC Avant Garde" w:hAnsi="ITC Avant Garde"/>
          <w:sz w:val="22"/>
          <w:szCs w:val="22"/>
          <w:lang w:val="es-MX"/>
        </w:rPr>
        <w:t xml:space="preserve"> </w:t>
      </w:r>
      <w:r w:rsidR="00461303" w:rsidRPr="00D936CA">
        <w:rPr>
          <w:rFonts w:ascii="ITC Avant Garde" w:hAnsi="ITC Avant Garde"/>
          <w:sz w:val="22"/>
          <w:szCs w:val="22"/>
          <w:lang w:val="es-MX"/>
        </w:rPr>
        <w:t xml:space="preserve">En caso de saturación de la troncal Telmex deberá facilitar la agregación de varias troncales agrupadas para la conducción de tráfico </w:t>
      </w:r>
      <w:r w:rsidRPr="00D936CA">
        <w:rPr>
          <w:rFonts w:ascii="ITC Avant Garde" w:hAnsi="ITC Avant Garde"/>
          <w:sz w:val="22"/>
          <w:szCs w:val="22"/>
          <w:lang w:val="es-MX"/>
        </w:rPr>
        <w:t>a efectos de optimizar el uso de la red evitando establecer interfaces paralelas. Si varios NCAIs locales reportan o están dentro de un dominio administrativo de nivel regional se establece solo un canal de transporte para llevar el tráfico de los mismos y se entrega en un solo puerto pCAI al siguiente nivel. Este mismo esquema aplica para el transporte y entrega del tráfico de nivel regional al nacional.</w:t>
      </w:r>
    </w:p>
    <w:p w14:paraId="5504F731" w14:textId="77777777" w:rsidR="00AB3F09" w:rsidRPr="00D936CA" w:rsidRDefault="00972D5E"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rPr>
        <w:t>En la siguiente imagen</w:t>
      </w:r>
      <w:r w:rsidR="00250B78" w:rsidRPr="00D936CA">
        <w:rPr>
          <w:rFonts w:ascii="ITC Avant Garde" w:hAnsi="ITC Avant Garde"/>
          <w:sz w:val="22"/>
          <w:szCs w:val="22"/>
        </w:rPr>
        <w:t xml:space="preserve"> se muestran los elementos que intervienen la red de agregación Ethernet, a fin de que el CS pueda identificar el plan de S-VLAN's y sus dominios administrativos en los nodos de concentración (NCAI), así como su alcance hasta los puertos de entrega pCAI:</w:t>
      </w:r>
    </w:p>
    <w:p w14:paraId="33CFECD6" w14:textId="61F17C38" w:rsidR="00FD1591" w:rsidRPr="00D936CA" w:rsidRDefault="00D6320B" w:rsidP="00060B2E">
      <w:pPr>
        <w:autoSpaceDE w:val="0"/>
        <w:autoSpaceDN w:val="0"/>
        <w:adjustRightInd w:val="0"/>
        <w:spacing w:after="200" w:line="276" w:lineRule="auto"/>
        <w:ind w:left="-567" w:right="-142"/>
        <w:jc w:val="center"/>
        <w:rPr>
          <w:rFonts w:ascii="ITC Avant Garde" w:hAnsi="ITC Avant Garde"/>
          <w:sz w:val="22"/>
          <w:szCs w:val="22"/>
        </w:rPr>
      </w:pPr>
      <w:r w:rsidRPr="00D936CA">
        <w:rPr>
          <w:noProof/>
          <w:lang w:val="es-MX" w:eastAsia="es-MX"/>
        </w:rPr>
        <w:drawing>
          <wp:inline distT="0" distB="0" distL="0" distR="0" wp14:anchorId="70AD6CD8" wp14:editId="55A751E2">
            <wp:extent cx="5613400" cy="2931795"/>
            <wp:effectExtent l="19050" t="19050" r="635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3400" cy="2931795"/>
                    </a:xfrm>
                    <a:prstGeom prst="rect">
                      <a:avLst/>
                    </a:prstGeom>
                    <a:ln>
                      <a:solidFill>
                        <a:schemeClr val="bg1">
                          <a:lumMod val="75000"/>
                        </a:schemeClr>
                      </a:solidFill>
                    </a:ln>
                  </pic:spPr>
                </pic:pic>
              </a:graphicData>
            </a:graphic>
          </wp:inline>
        </w:drawing>
      </w:r>
    </w:p>
    <w:p w14:paraId="33CFECD9" w14:textId="3F1E4D3F" w:rsidR="00143EA1" w:rsidRPr="00D936CA" w:rsidRDefault="00250B78" w:rsidP="00060B2E">
      <w:pPr>
        <w:autoSpaceDE w:val="0"/>
        <w:autoSpaceDN w:val="0"/>
        <w:adjustRightInd w:val="0"/>
        <w:spacing w:line="360" w:lineRule="auto"/>
        <w:ind w:left="-567" w:right="-142"/>
        <w:contextualSpacing/>
        <w:jc w:val="center"/>
        <w:rPr>
          <w:rFonts w:ascii="ITC Avant Garde" w:hAnsi="ITC Avant Garde"/>
          <w:i/>
          <w:sz w:val="18"/>
          <w:szCs w:val="18"/>
        </w:rPr>
      </w:pPr>
      <w:r w:rsidRPr="00D936CA">
        <w:rPr>
          <w:rFonts w:ascii="ITC Avant Garde" w:hAnsi="ITC Avant Garde"/>
          <w:i/>
          <w:sz w:val="18"/>
          <w:szCs w:val="18"/>
        </w:rPr>
        <w:t xml:space="preserve"> </w:t>
      </w:r>
      <w:r w:rsidR="00FD1591" w:rsidRPr="00D936CA">
        <w:rPr>
          <w:rFonts w:ascii="ITC Avant Garde" w:hAnsi="ITC Avant Garde"/>
          <w:i/>
          <w:sz w:val="18"/>
          <w:szCs w:val="18"/>
        </w:rPr>
        <w:t>Diagrama de red con los elementos que intervienen en el SCyD</w:t>
      </w:r>
      <w:r w:rsidR="00FD1591" w:rsidRPr="00D936CA">
        <w:rPr>
          <w:rStyle w:val="Refdenotaalpie"/>
          <w:rFonts w:ascii="ITC Avant Garde" w:hAnsi="ITC Avant Garde"/>
          <w:i/>
          <w:sz w:val="18"/>
          <w:szCs w:val="18"/>
        </w:rPr>
        <w:footnoteReference w:id="35"/>
      </w:r>
    </w:p>
    <w:p w14:paraId="33CFECDA" w14:textId="77777777" w:rsidR="00143EA1" w:rsidRPr="00D936CA" w:rsidRDefault="00143EA1" w:rsidP="00060B2E">
      <w:pPr>
        <w:pStyle w:val="IFTnormal"/>
        <w:ind w:left="-567" w:right="-142"/>
      </w:pPr>
      <w:r w:rsidRPr="00D936CA">
        <w:t xml:space="preserve">Información técnica sobre las infraestructuras del SAIB. </w:t>
      </w:r>
    </w:p>
    <w:p w14:paraId="33CFECDC" w14:textId="3E4318DE" w:rsidR="00143EA1" w:rsidRDefault="00143EA1" w:rsidP="00060B2E">
      <w:pPr>
        <w:pStyle w:val="IFTnormal"/>
        <w:ind w:left="-567" w:right="-142"/>
      </w:pPr>
      <w:r w:rsidRPr="00D936CA">
        <w:lastRenderedPageBreak/>
        <w:t>Las descripciones detalladas de todos los elementos que intervienen y son necesarios para la contratación del SAIB, los relacionados con los Dominios Administrativos de la red, los nodos de concentración de acceso indirecto (NCAI), los puertos de conexión de acceso indirecto (pCAI), los equipos de acceso (DSLAM/ONT) que reportan o pertenecen a cada NCAI y los mapas de cobertura de los usuarios conectados a dichos equipos están disponibles de conformidad con la sección 3 de la O</w:t>
      </w:r>
      <w:r w:rsidR="00DE33ED" w:rsidRPr="00D936CA">
        <w:t>REDA</w:t>
      </w:r>
      <w:r w:rsidRPr="00D936CA">
        <w:t xml:space="preserve"> “Información relacionada con los servicios” para su consulta en el SEG. Telmex será responsable de actualizar esta información a medida que se realicen cambios en la estructura, o en la arquitectura local, regional o nacional de la Red de Agregación Ethernet y de los recursos asociados, dominios administrativos y planes de las VLAN.</w:t>
      </w:r>
    </w:p>
    <w:p w14:paraId="2F1DC5DB" w14:textId="77777777" w:rsidR="000F46AF" w:rsidRPr="00D936CA" w:rsidRDefault="000F46AF" w:rsidP="00060B2E">
      <w:pPr>
        <w:pStyle w:val="IFTnormal"/>
        <w:ind w:left="-567" w:right="-142"/>
      </w:pPr>
    </w:p>
    <w:p w14:paraId="33CFECDD" w14:textId="77777777" w:rsidR="00FD1591" w:rsidRPr="00D936CA" w:rsidRDefault="00FD1591" w:rsidP="00D936CA">
      <w:pPr>
        <w:pStyle w:val="Ttulo2"/>
        <w:numPr>
          <w:ilvl w:val="1"/>
          <w:numId w:val="143"/>
        </w:numPr>
        <w:tabs>
          <w:tab w:val="left" w:pos="993"/>
        </w:tabs>
        <w:ind w:left="851" w:hanging="425"/>
      </w:pPr>
      <w:bookmarkStart w:id="484" w:name="_Toc467248720"/>
      <w:bookmarkStart w:id="485" w:name="_Toc518032002"/>
      <w:r w:rsidRPr="00D936CA">
        <w:t>Servicio de Concentración y Distribución-Local.</w:t>
      </w:r>
      <w:bookmarkEnd w:id="484"/>
      <w:bookmarkEnd w:id="485"/>
    </w:p>
    <w:p w14:paraId="33CFECDF" w14:textId="03A40E31" w:rsidR="00AF489E" w:rsidRPr="00D936CA" w:rsidRDefault="00AF489E" w:rsidP="00060B2E">
      <w:pPr>
        <w:pStyle w:val="IFTnormal"/>
        <w:ind w:left="-567" w:right="-142"/>
      </w:pPr>
      <w:r w:rsidRPr="00D936CA">
        <w:t xml:space="preserve">La agregación a nivel local consiste en concentrar los flujos del tráfico de datos provenientes de los equipos de acceso xDSL </w:t>
      </w:r>
      <w:r w:rsidR="00954521" w:rsidRPr="00D936CA">
        <w:t>(DSLAM)</w:t>
      </w:r>
      <w:r w:rsidRPr="00D936CA">
        <w:t xml:space="preserve"> y GPON</w:t>
      </w:r>
      <w:r w:rsidR="00954521" w:rsidRPr="00D936CA">
        <w:t xml:space="preserve"> (OLTs)</w:t>
      </w:r>
      <w:r w:rsidRPr="00D936CA">
        <w:t xml:space="preserve"> que conectan físicamente al usuario final dentro de una zona de cobertura y entregarlos a través de uno o más puertos de conexión de los Nodos de agregación local (NCAI-L).</w:t>
      </w:r>
    </w:p>
    <w:p w14:paraId="33CFECE0" w14:textId="006C7F33" w:rsidR="00AF489E" w:rsidRPr="00D936CA" w:rsidRDefault="00AF489E" w:rsidP="00060B2E">
      <w:pPr>
        <w:pStyle w:val="IFTnormal"/>
        <w:ind w:left="-567" w:right="-142"/>
      </w:pPr>
      <w:r w:rsidRPr="00D936CA">
        <w:t>El tráfico de datos generado por los usuarios finales se transporta en la red de agregación Ethernet a través de S-VLAN’s, de acuerdo al plan de VLAN’s indicad</w:t>
      </w:r>
      <w:r w:rsidR="00954521" w:rsidRPr="00D936CA">
        <w:t>a</w:t>
      </w:r>
      <w:r w:rsidRPr="00D936CA">
        <w:t xml:space="preserve"> en la presente OREDA. Esta red de agregación </w:t>
      </w:r>
      <w:r w:rsidR="004D5FA6" w:rsidRPr="00D936CA">
        <w:t>base integra</w:t>
      </w:r>
      <w:r w:rsidRPr="00D936CA">
        <w:t xml:space="preserve"> desde los puertos de los equipos de acceso (DSLAM y OLT) hasta los Puertos de Conexión de Acceso Indirecto (pCAI), ubicados en un nodo (NCAI) de concentración local. El puerto es f</w:t>
      </w:r>
      <w:r w:rsidR="001750AB" w:rsidRPr="00D936CA">
        <w:t>ísico e individual para cada CS realizando la conexión del DFO Telmex hasta el DFO del CS o donde Telmex entrega en punta el servicio a solicitud del CS.</w:t>
      </w:r>
      <w:r w:rsidRPr="00D936CA">
        <w:t xml:space="preserve"> </w:t>
      </w:r>
    </w:p>
    <w:p w14:paraId="33CFECE1" w14:textId="32CF6A4B" w:rsidR="00AF489E" w:rsidRPr="00D936CA" w:rsidRDefault="00AF489E" w:rsidP="00060B2E">
      <w:pPr>
        <w:pStyle w:val="IFTnormal"/>
        <w:ind w:left="-567" w:right="-142"/>
      </w:pPr>
      <w:r w:rsidRPr="00D936CA">
        <w:t xml:space="preserve">La red de agregación </w:t>
      </w:r>
      <w:r w:rsidR="000F46AF" w:rsidRPr="00D936CA">
        <w:t>local</w:t>
      </w:r>
      <w:r w:rsidRPr="00D936CA">
        <w:t xml:space="preserve"> está conformada por un NCAI, al menos un pCAI y el conjunto de los medios de transmisión que permiten la Concentración y Distribución de los equipos de acceso conectados a dicho NCAI. La zona de cobertura asociada será la correspondiente a los usuarios conectados a los equipos de acceso conectados al NCAI y aparece descrita de conformidad con la sección </w:t>
      </w:r>
      <w:r w:rsidR="001750AB" w:rsidRPr="00D936CA">
        <w:t xml:space="preserve">de </w:t>
      </w:r>
      <w:r w:rsidRPr="00D936CA">
        <w:t xml:space="preserve">Información </w:t>
      </w:r>
      <w:r w:rsidR="001750AB" w:rsidRPr="00D936CA">
        <w:t>relacionada con los servicios</w:t>
      </w:r>
      <w:r w:rsidRPr="00D936CA">
        <w:t xml:space="preserve"> para su consulta mediante el SEG. </w:t>
      </w:r>
    </w:p>
    <w:p w14:paraId="33CFECE2" w14:textId="77777777" w:rsidR="00AF489E" w:rsidRPr="00D936CA" w:rsidRDefault="00AF489E" w:rsidP="00060B2E">
      <w:pPr>
        <w:pStyle w:val="IFTnormal"/>
        <w:ind w:left="-567" w:right="-142"/>
      </w:pPr>
      <w:r w:rsidRPr="00D936CA">
        <w:t>Cuando un CS solicita un pCAI en un NCAI (local) se realiza la configuración de las S-VLAN’s desde los equipos de Acceso de un NCAI hasta el pCAI, es decir, se configuran los equipos de acceso conectados al NCAI.</w:t>
      </w:r>
    </w:p>
    <w:p w14:paraId="33CFECE4" w14:textId="5A2D8707" w:rsidR="006A2E2F" w:rsidRDefault="00AF489E" w:rsidP="00060B2E">
      <w:pPr>
        <w:pStyle w:val="IFTnormal"/>
        <w:ind w:left="-567" w:right="-142"/>
      </w:pPr>
      <w:r w:rsidRPr="00D936CA">
        <w:t>El CS podrá solicitar todos los NCAI-L de una misma central o instalación equivalente para lograr la cobertura total del edificio, o podrá solicitar sólo NCAI-L específicos del mismo edificio de acuerdo con su interés de cobertura. El CS podrá ampliar o reducir los NCAI-L a través del procedimiento de ampliación/eliminación de cobertura por NCAI, en el mismo nivel de agregación.</w:t>
      </w:r>
    </w:p>
    <w:p w14:paraId="1FA1F1D5" w14:textId="77777777" w:rsidR="000F46AF" w:rsidRPr="00D936CA" w:rsidRDefault="000F46AF" w:rsidP="00060B2E">
      <w:pPr>
        <w:pStyle w:val="IFTnormal"/>
        <w:ind w:left="-567" w:right="-142"/>
      </w:pPr>
    </w:p>
    <w:p w14:paraId="33CFECE5" w14:textId="5790CA85" w:rsidR="00A57892" w:rsidRPr="00D936CA" w:rsidRDefault="00647BB3" w:rsidP="00BD4D12">
      <w:pPr>
        <w:pStyle w:val="Ttulo2"/>
        <w:numPr>
          <w:ilvl w:val="1"/>
          <w:numId w:val="143"/>
        </w:numPr>
        <w:tabs>
          <w:tab w:val="left" w:pos="993"/>
        </w:tabs>
        <w:ind w:left="851" w:hanging="425"/>
      </w:pPr>
      <w:r w:rsidRPr="00BD4D12">
        <w:t xml:space="preserve"> </w:t>
      </w:r>
      <w:bookmarkStart w:id="486" w:name="_Toc518032003"/>
      <w:r w:rsidR="00A57892" w:rsidRPr="00BD4D12">
        <w:t>Servicio de Concentración y Distribución-Regional</w:t>
      </w:r>
      <w:bookmarkEnd w:id="486"/>
    </w:p>
    <w:p w14:paraId="33CFECE7" w14:textId="77777777" w:rsidR="006A2E2F" w:rsidRPr="00D936CA" w:rsidRDefault="006A2E2F" w:rsidP="00060B2E">
      <w:pPr>
        <w:pStyle w:val="IFTnormal"/>
        <w:ind w:left="-567" w:right="-142"/>
      </w:pPr>
      <w:r w:rsidRPr="00D936CA">
        <w:t xml:space="preserve">La agregación a nivel regional se realiza mediante la conducción y concentración del tráfico de SAIB procedente de NCAI´s-L de diferentes zonas de cobertura pertenecientes a una misma región, siendo esta última un mismo dominio administrativo. </w:t>
      </w:r>
    </w:p>
    <w:p w14:paraId="33CFECE8" w14:textId="77777777" w:rsidR="006A2E2F" w:rsidRPr="00D936CA" w:rsidRDefault="006A2E2F" w:rsidP="00060B2E">
      <w:pPr>
        <w:pStyle w:val="IFTnormal"/>
        <w:ind w:left="-567" w:right="-142"/>
      </w:pPr>
      <w:r w:rsidRPr="00D936CA">
        <w:t>Cuando un CS solicita un pCAI en un nodo regional (NCAI-R) se realizará la configuración de las S-VLAN’s desde los equipos de Acceso hasta el pCAI en el nodo regional (NCAI-R), es decir, se configuran todos los equipos de acceso existentes de los NCAI´s-L elegidos por el CS en esa región.</w:t>
      </w:r>
    </w:p>
    <w:p w14:paraId="33CFECEA" w14:textId="68B6371E" w:rsidR="006A2E2F" w:rsidRDefault="006A2E2F" w:rsidP="00060B2E">
      <w:pPr>
        <w:pStyle w:val="IFTnormal"/>
        <w:ind w:left="-567" w:right="-142"/>
      </w:pPr>
      <w:r w:rsidRPr="00D936CA">
        <w:t>El CS podrá solicitar todos los NCAI’s-L de una región para lograr la cobertura total de la misma, o podrá solicitar NCAI’s específicos de la región de acuerdo con su interés de cobertura. Posterior a la habilitación del SCyD-R el CS podrá ampliar o reducir la cobertura a través del procedimiento de ampliación/eliminación de cobertura por NCAI, en el mismo nivel de agregación</w:t>
      </w:r>
      <w:r w:rsidR="001750AB" w:rsidRPr="00D936CA">
        <w:t>.</w:t>
      </w:r>
    </w:p>
    <w:p w14:paraId="316D6A38" w14:textId="77777777" w:rsidR="00BD4D12" w:rsidRPr="00D936CA" w:rsidRDefault="00BD4D12" w:rsidP="00060B2E">
      <w:pPr>
        <w:pStyle w:val="IFTnormal"/>
        <w:ind w:left="-567" w:right="-142"/>
      </w:pPr>
    </w:p>
    <w:p w14:paraId="33CFECEB" w14:textId="77777777" w:rsidR="00A57892" w:rsidRPr="00D936CA" w:rsidRDefault="00A57892" w:rsidP="00D936CA">
      <w:pPr>
        <w:pStyle w:val="Ttulo2"/>
        <w:numPr>
          <w:ilvl w:val="1"/>
          <w:numId w:val="143"/>
        </w:numPr>
        <w:tabs>
          <w:tab w:val="left" w:pos="993"/>
        </w:tabs>
        <w:ind w:left="709" w:hanging="283"/>
      </w:pPr>
      <w:bookmarkStart w:id="487" w:name="_Toc467248721"/>
      <w:bookmarkStart w:id="488" w:name="_Toc518032004"/>
      <w:r w:rsidRPr="00D936CA">
        <w:t>Servicio de Concentración y Distribución-Nacional</w:t>
      </w:r>
      <w:bookmarkEnd w:id="487"/>
      <w:bookmarkEnd w:id="488"/>
    </w:p>
    <w:p w14:paraId="33CFECED" w14:textId="77777777" w:rsidR="006A2E2F" w:rsidRPr="00D936CA" w:rsidRDefault="006A2E2F" w:rsidP="00060B2E">
      <w:pPr>
        <w:pStyle w:val="IFTnormal"/>
        <w:ind w:left="-567" w:right="-142"/>
      </w:pPr>
      <w:r w:rsidRPr="00D936CA">
        <w:t xml:space="preserve">La agregación a nivel Nacional se realiza mediante la conducción y concentración del tráfico procedente de NCAI’s de diferentes zonas de cobertura pertenecientes a diferentes regiones. </w:t>
      </w:r>
    </w:p>
    <w:p w14:paraId="33CFECEE" w14:textId="77777777" w:rsidR="006A2E2F" w:rsidRPr="00D936CA" w:rsidRDefault="006A2E2F" w:rsidP="00060B2E">
      <w:pPr>
        <w:pStyle w:val="IFTnormal"/>
        <w:ind w:left="-567" w:right="-142"/>
      </w:pPr>
      <w:r w:rsidRPr="00D936CA">
        <w:t xml:space="preserve">Cuando un CS solicita un pCAI en un nodo de agregación nacional (NCAI-N) se realizará la configuración de las S-VLAN’s desde los equipos de Acceso hasta el pCAI del nodo nacional, es decir, se configuran los equipos de acceso existentes de los NCAI´s elegidos por el CS de las diferentes regiones (que constituyen dominios administrativos diferentes). </w:t>
      </w:r>
    </w:p>
    <w:p w14:paraId="33CFECF0" w14:textId="4D90A489" w:rsidR="006A2E2F" w:rsidRDefault="006A2E2F" w:rsidP="00060B2E">
      <w:pPr>
        <w:pStyle w:val="IFTnormal"/>
        <w:ind w:left="-567" w:right="-142"/>
      </w:pPr>
      <w:r w:rsidRPr="00D936CA">
        <w:t>El CS podrá solicitar todos los NCAI’s-R de cada región accesible desde el NCAI-N para lograr la cobertura total de dicha región desde el nodo nacional, o podrá solicitar NCAI’s específicos accesibles desde dicho NCAI-N. El CS podrá ampliar o reducir la cobertura a través del procedimiento de ampliación/eliminación de cobertura por NCAI, en el mismo nivel de agregación.</w:t>
      </w:r>
    </w:p>
    <w:p w14:paraId="4104EC78" w14:textId="77777777" w:rsidR="00BD4D12" w:rsidRPr="00D936CA" w:rsidRDefault="00BD4D12" w:rsidP="00060B2E">
      <w:pPr>
        <w:pStyle w:val="IFTnormal"/>
        <w:ind w:left="-567" w:right="-142"/>
      </w:pPr>
    </w:p>
    <w:p w14:paraId="33CFECF1" w14:textId="77777777" w:rsidR="00A57892" w:rsidRPr="00D936CA" w:rsidRDefault="00A57892" w:rsidP="00D936CA">
      <w:pPr>
        <w:pStyle w:val="Ttulo2"/>
        <w:numPr>
          <w:ilvl w:val="1"/>
          <w:numId w:val="143"/>
        </w:numPr>
        <w:tabs>
          <w:tab w:val="left" w:pos="993"/>
        </w:tabs>
        <w:ind w:left="851" w:hanging="425"/>
      </w:pPr>
      <w:bookmarkStart w:id="489" w:name="_Toc467248722"/>
      <w:bookmarkStart w:id="490" w:name="_Toc518032005"/>
      <w:r w:rsidRPr="00D936CA">
        <w:t>Características de configuración física y lógica del pCAI</w:t>
      </w:r>
      <w:bookmarkEnd w:id="489"/>
      <w:bookmarkEnd w:id="490"/>
      <w:r w:rsidRPr="00D936CA">
        <w:t xml:space="preserve"> </w:t>
      </w:r>
    </w:p>
    <w:p w14:paraId="33CFECF2" w14:textId="77777777" w:rsidR="007802A3" w:rsidRPr="00D936CA" w:rsidRDefault="007802A3" w:rsidP="00060B2E">
      <w:pPr>
        <w:pStyle w:val="IFTnormal"/>
        <w:ind w:left="-567" w:right="-142"/>
      </w:pPr>
      <w:r w:rsidRPr="00D936CA">
        <w:t xml:space="preserve">La configuración física de la interfaz es: </w:t>
      </w:r>
    </w:p>
    <w:p w14:paraId="33CFECF3" w14:textId="77777777" w:rsidR="007802A3" w:rsidRPr="00D936CA" w:rsidRDefault="007802A3" w:rsidP="00060B2E">
      <w:pPr>
        <w:pStyle w:val="IFTnormal"/>
        <w:ind w:left="-567" w:right="-142"/>
      </w:pPr>
      <w:r w:rsidRPr="00D936CA">
        <w:t xml:space="preserve">La conexión del equipo de Red del CS se realizará en el puerto del NCAI (pCAI). Esta interconexión utilizará alguna de las interfaces siguientes Según IEEE 802.3-2008 sección 3: </w:t>
      </w:r>
    </w:p>
    <w:p w14:paraId="33CFECF4" w14:textId="77777777" w:rsidR="007802A3" w:rsidRPr="00D936CA" w:rsidRDefault="007802A3" w:rsidP="00060B2E">
      <w:pPr>
        <w:pStyle w:val="IFTnormal"/>
        <w:ind w:left="-567" w:right="-142"/>
      </w:pPr>
      <w:r w:rsidRPr="00D936CA">
        <w:lastRenderedPageBreak/>
        <w:t xml:space="preserve">La conectividad física GE se realiza con interfaces IEEE 802.3-2008 sección 3 1000BASE-SX 50 </w:t>
      </w:r>
      <w:r w:rsidRPr="00D936CA">
        <w:rPr>
          <w:rFonts w:ascii="Calibri" w:hAnsi="Calibri"/>
        </w:rPr>
        <w:t>μ</w:t>
      </w:r>
      <w:r w:rsidRPr="00D936CA">
        <w:t xml:space="preserve">m MMF (7.5 dB @ 850 nm, &lt; 550 m) o con interfaces 1000BASE-LX 10 </w:t>
      </w:r>
      <w:r w:rsidRPr="00D936CA">
        <w:rPr>
          <w:rFonts w:ascii="Calibri" w:hAnsi="Calibri"/>
        </w:rPr>
        <w:t>μ</w:t>
      </w:r>
      <w:r w:rsidRPr="00D936CA">
        <w:t xml:space="preserve">m SMF (8dB @ 1310 nm, 5 km). </w:t>
      </w:r>
    </w:p>
    <w:p w14:paraId="33CFECF5" w14:textId="4A39F764" w:rsidR="007802A3" w:rsidRDefault="007802A3" w:rsidP="00060B2E">
      <w:pPr>
        <w:pStyle w:val="IFTnormal"/>
        <w:ind w:left="-567" w:right="-142"/>
      </w:pPr>
      <w:r w:rsidRPr="00D936CA">
        <w:t xml:space="preserve">La conectividad física 10 GE se realiza con interfaces IEEE 802.3-2008 sección 4 10GBASE-SR 50 </w:t>
      </w:r>
      <w:r w:rsidRPr="00D936CA">
        <w:rPr>
          <w:rFonts w:ascii="Calibri" w:hAnsi="Calibri"/>
        </w:rPr>
        <w:t>μ</w:t>
      </w:r>
      <w:r w:rsidRPr="00D936CA">
        <w:t xml:space="preserve">m MMF (7.3dB @ 850 nm, &lt; 300 m) o con interfaces 10GEBASE-LR 10 </w:t>
      </w:r>
      <w:r w:rsidRPr="00D936CA">
        <w:rPr>
          <w:rFonts w:ascii="Calibri" w:hAnsi="Calibri"/>
        </w:rPr>
        <w:t>μ</w:t>
      </w:r>
      <w:r w:rsidRPr="00D936CA">
        <w:t xml:space="preserve">m SMF (9.4dB @ 1310 nm, 10 km). </w:t>
      </w:r>
    </w:p>
    <w:p w14:paraId="2CD49943" w14:textId="39096A35" w:rsidR="00177BE7" w:rsidRPr="00D936CA" w:rsidRDefault="00177BE7" w:rsidP="00060B2E">
      <w:pPr>
        <w:pStyle w:val="IFTnormal"/>
        <w:ind w:left="-567" w:right="-142"/>
      </w:pPr>
      <w:r>
        <w:t>Todos los puertos estarán sujetos a la disponibilidad en la red.</w:t>
      </w:r>
    </w:p>
    <w:p w14:paraId="33CFECF6" w14:textId="412FE2B1" w:rsidR="007802A3" w:rsidRPr="00D936CA" w:rsidRDefault="00177BE7" w:rsidP="00060B2E">
      <w:pPr>
        <w:pStyle w:val="IFTnormal"/>
        <w:ind w:left="-567" w:right="-142"/>
      </w:pPr>
      <w:r>
        <w:t>Los</w:t>
      </w:r>
      <w:r w:rsidRPr="00D936CA">
        <w:t xml:space="preserve"> </w:t>
      </w:r>
      <w:r w:rsidR="007802A3" w:rsidRPr="00D936CA">
        <w:t>puertos Gigabit Ethernet se debe</w:t>
      </w:r>
      <w:r>
        <w:t>n</w:t>
      </w:r>
      <w:r w:rsidR="007802A3" w:rsidRPr="00D936CA">
        <w:t xml:space="preserve"> configurar en modo Full-Duplex con auto negociación inactiva. </w:t>
      </w:r>
    </w:p>
    <w:p w14:paraId="33CFECF7" w14:textId="77777777" w:rsidR="007802A3" w:rsidRPr="00D936CA" w:rsidRDefault="007802A3" w:rsidP="00060B2E">
      <w:pPr>
        <w:pStyle w:val="CondicionesFinales"/>
        <w:ind w:left="-567" w:right="-142"/>
        <w:rPr>
          <w:color w:val="auto"/>
        </w:rPr>
      </w:pPr>
      <w:r w:rsidRPr="00D936CA">
        <w:rPr>
          <w:color w:val="auto"/>
        </w:rPr>
        <w:t xml:space="preserve">Para el nivel local: </w:t>
      </w:r>
    </w:p>
    <w:p w14:paraId="33CFECF8" w14:textId="77777777" w:rsidR="007802A3" w:rsidRPr="00D936CA" w:rsidRDefault="007802A3" w:rsidP="00D936CA">
      <w:pPr>
        <w:pStyle w:val="CondicionesFinales"/>
        <w:numPr>
          <w:ilvl w:val="0"/>
          <w:numId w:val="131"/>
        </w:numPr>
        <w:rPr>
          <w:color w:val="auto"/>
          <w:lang w:val="es-MX"/>
        </w:rPr>
      </w:pPr>
      <w:r w:rsidRPr="00D936CA">
        <w:rPr>
          <w:color w:val="auto"/>
          <w:lang w:val="es-MX"/>
        </w:rPr>
        <w:t xml:space="preserve">100Base-xx: n x 10 Mbps hasta 100 Mbps. </w:t>
      </w:r>
    </w:p>
    <w:p w14:paraId="33CFECF9" w14:textId="77777777" w:rsidR="007802A3" w:rsidRPr="00D936CA" w:rsidRDefault="007802A3" w:rsidP="00D936CA">
      <w:pPr>
        <w:pStyle w:val="CondicionesFinales"/>
        <w:numPr>
          <w:ilvl w:val="0"/>
          <w:numId w:val="131"/>
        </w:numPr>
        <w:rPr>
          <w:color w:val="auto"/>
          <w:lang w:val="es-MX"/>
        </w:rPr>
      </w:pPr>
      <w:r w:rsidRPr="00D936CA">
        <w:rPr>
          <w:color w:val="auto"/>
          <w:lang w:val="es-MX"/>
        </w:rPr>
        <w:t xml:space="preserve">1000Base-xx: n x 100 Mbps hasta 1Gbps. </w:t>
      </w:r>
    </w:p>
    <w:p w14:paraId="33CFECFA" w14:textId="77777777" w:rsidR="007802A3" w:rsidRPr="00D936CA" w:rsidRDefault="007802A3" w:rsidP="00D936CA">
      <w:pPr>
        <w:pStyle w:val="CondicionesFinales"/>
        <w:numPr>
          <w:ilvl w:val="0"/>
          <w:numId w:val="131"/>
        </w:numPr>
        <w:rPr>
          <w:color w:val="auto"/>
          <w:lang w:val="es-MX"/>
        </w:rPr>
      </w:pPr>
      <w:r w:rsidRPr="00D936CA">
        <w:rPr>
          <w:color w:val="auto"/>
          <w:lang w:val="es-MX"/>
        </w:rPr>
        <w:t xml:space="preserve">1000Base-xx 1 GbE </w:t>
      </w:r>
    </w:p>
    <w:p w14:paraId="33CFECFB" w14:textId="74004A94" w:rsidR="007802A3" w:rsidRPr="00D936CA" w:rsidRDefault="007802A3" w:rsidP="00D936CA">
      <w:pPr>
        <w:pStyle w:val="CondicionesFinales"/>
        <w:numPr>
          <w:ilvl w:val="0"/>
          <w:numId w:val="131"/>
        </w:numPr>
        <w:rPr>
          <w:color w:val="auto"/>
          <w:lang w:val="es-MX"/>
        </w:rPr>
      </w:pPr>
      <w:r w:rsidRPr="00D936CA">
        <w:rPr>
          <w:color w:val="auto"/>
          <w:lang w:val="es-MX"/>
        </w:rPr>
        <w:t xml:space="preserve">10GBase-xx: 10 GbE </w:t>
      </w:r>
    </w:p>
    <w:p w14:paraId="33CFECFC" w14:textId="77777777" w:rsidR="007802A3" w:rsidRPr="00D936CA" w:rsidRDefault="007802A3" w:rsidP="00D936CA">
      <w:pPr>
        <w:pStyle w:val="CondicionesFinales"/>
        <w:numPr>
          <w:ilvl w:val="0"/>
          <w:numId w:val="131"/>
        </w:numPr>
        <w:rPr>
          <w:color w:val="auto"/>
          <w:lang w:val="es-MX"/>
        </w:rPr>
      </w:pPr>
      <w:r w:rsidRPr="00D936CA">
        <w:rPr>
          <w:color w:val="auto"/>
          <w:lang w:val="es-MX"/>
        </w:rPr>
        <w:t xml:space="preserve">En caso de conexión con equipos coubicados y velocidad de 1GBE se utilizará IEEE 802.3-2008 sección 3 1000BASE-SX 50 </w:t>
      </w:r>
      <w:r w:rsidRPr="00D936CA">
        <w:rPr>
          <w:rFonts w:ascii="Calibri" w:hAnsi="Calibri" w:cs="Calibri"/>
          <w:color w:val="auto"/>
          <w:lang w:val="es-MX"/>
        </w:rPr>
        <w:t>μ</w:t>
      </w:r>
      <w:r w:rsidRPr="00D936CA">
        <w:rPr>
          <w:color w:val="auto"/>
          <w:lang w:val="es-MX"/>
        </w:rPr>
        <w:t>m MMF (7.5 dB @ 850 nm, &lt; 550 m). El puerto debe configurarse en modo Full-D</w:t>
      </w:r>
      <w:r w:rsidRPr="00D936CA">
        <w:rPr>
          <w:rFonts w:cs="ITC Avant Garde"/>
          <w:color w:val="auto"/>
          <w:lang w:val="es-MX"/>
        </w:rPr>
        <w:t>ú</w:t>
      </w:r>
      <w:r w:rsidRPr="00D936CA">
        <w:rPr>
          <w:color w:val="auto"/>
          <w:lang w:val="es-MX"/>
        </w:rPr>
        <w:t xml:space="preserve">plex con auto negociación inactiva. </w:t>
      </w:r>
    </w:p>
    <w:p w14:paraId="33CFECFD" w14:textId="77777777" w:rsidR="007802A3" w:rsidRPr="00D936CA" w:rsidRDefault="007802A3" w:rsidP="00D936CA">
      <w:pPr>
        <w:pStyle w:val="CondicionesFinales"/>
        <w:numPr>
          <w:ilvl w:val="0"/>
          <w:numId w:val="131"/>
        </w:numPr>
        <w:rPr>
          <w:rFonts w:cs="Century Gothic"/>
          <w:color w:val="auto"/>
          <w:sz w:val="23"/>
          <w:szCs w:val="23"/>
          <w:lang w:val="es-MX" w:eastAsia="es-MX"/>
        </w:rPr>
      </w:pPr>
      <w:r w:rsidRPr="00D936CA">
        <w:rPr>
          <w:rFonts w:cs="Century Gothic"/>
          <w:color w:val="auto"/>
          <w:sz w:val="23"/>
          <w:szCs w:val="23"/>
          <w:lang w:val="es-MX" w:eastAsia="es-MX"/>
        </w:rPr>
        <w:t>Para el resto de los casos se negociará entre el CS y Telmex el estándar a utilizar, teniendo en cuenta que el CS pueda requerir conectividad hasta distancias de 10Km en velocidades de 1Gbps.</w:t>
      </w:r>
    </w:p>
    <w:p w14:paraId="33CFECFE" w14:textId="77777777" w:rsidR="007802A3" w:rsidRPr="00D936CA" w:rsidRDefault="007802A3" w:rsidP="00060B2E">
      <w:pPr>
        <w:pStyle w:val="CondicionesFinales"/>
        <w:ind w:left="-567" w:right="-142"/>
        <w:rPr>
          <w:color w:val="auto"/>
        </w:rPr>
      </w:pPr>
      <w:r w:rsidRPr="00D936CA">
        <w:rPr>
          <w:color w:val="auto"/>
        </w:rPr>
        <w:t>Para el nivel regional:</w:t>
      </w:r>
    </w:p>
    <w:p w14:paraId="33CFECFF" w14:textId="77777777" w:rsidR="007802A3" w:rsidRPr="00D936CA" w:rsidRDefault="007802A3" w:rsidP="00D936CA">
      <w:pPr>
        <w:pStyle w:val="CondicionesFinales"/>
        <w:numPr>
          <w:ilvl w:val="0"/>
          <w:numId w:val="132"/>
        </w:numPr>
        <w:rPr>
          <w:color w:val="auto"/>
          <w:lang w:val="es-MX"/>
        </w:rPr>
      </w:pPr>
      <w:r w:rsidRPr="00D936CA">
        <w:rPr>
          <w:color w:val="auto"/>
          <w:lang w:val="es-MX"/>
        </w:rPr>
        <w:t xml:space="preserve">1000Base-xx 1 GbE </w:t>
      </w:r>
    </w:p>
    <w:p w14:paraId="33CFED00" w14:textId="77777777" w:rsidR="007802A3" w:rsidRPr="00D936CA" w:rsidRDefault="007802A3" w:rsidP="00D936CA">
      <w:pPr>
        <w:pStyle w:val="CondicionesFinales"/>
        <w:numPr>
          <w:ilvl w:val="0"/>
          <w:numId w:val="132"/>
        </w:numPr>
        <w:rPr>
          <w:color w:val="auto"/>
          <w:lang w:val="es-MX"/>
        </w:rPr>
      </w:pPr>
      <w:r w:rsidRPr="00D936CA">
        <w:rPr>
          <w:color w:val="auto"/>
          <w:lang w:val="es-MX"/>
        </w:rPr>
        <w:t xml:space="preserve">10GBase-xx: 10 GbE </w:t>
      </w:r>
    </w:p>
    <w:p w14:paraId="33CFED01" w14:textId="77777777" w:rsidR="007802A3" w:rsidRPr="00D936CA" w:rsidRDefault="007802A3" w:rsidP="00D936CA">
      <w:pPr>
        <w:pStyle w:val="CondicionesFinales"/>
        <w:numPr>
          <w:ilvl w:val="0"/>
          <w:numId w:val="132"/>
        </w:numPr>
        <w:rPr>
          <w:color w:val="auto"/>
          <w:lang w:val="es-MX"/>
        </w:rPr>
      </w:pPr>
      <w:r w:rsidRPr="00D936CA">
        <w:rPr>
          <w:color w:val="auto"/>
          <w:lang w:val="es-MX"/>
        </w:rPr>
        <w:t xml:space="preserve">En caso de conexión con equipos coubicados y velocidad de 1GBE se utilizará IEEE 802.3-2008 sección 3 1000BASE-SX 50 </w:t>
      </w:r>
      <w:r w:rsidRPr="00D936CA">
        <w:rPr>
          <w:rFonts w:ascii="Calibri" w:hAnsi="Calibri" w:cs="Calibri"/>
          <w:color w:val="auto"/>
          <w:lang w:val="es-MX"/>
        </w:rPr>
        <w:t>μ</w:t>
      </w:r>
      <w:r w:rsidRPr="00D936CA">
        <w:rPr>
          <w:color w:val="auto"/>
          <w:lang w:val="es-MX"/>
        </w:rPr>
        <w:t>m MMF (7.5 dB @ 850 nm, &lt; 550 m). El puerto debe configurarse en modo Full-D</w:t>
      </w:r>
      <w:r w:rsidRPr="00D936CA">
        <w:rPr>
          <w:rFonts w:cs="ITC Avant Garde"/>
          <w:color w:val="auto"/>
          <w:lang w:val="es-MX"/>
        </w:rPr>
        <w:t>ú</w:t>
      </w:r>
      <w:r w:rsidRPr="00D936CA">
        <w:rPr>
          <w:color w:val="auto"/>
          <w:lang w:val="es-MX"/>
        </w:rPr>
        <w:t>plex con auto negociaci</w:t>
      </w:r>
      <w:r w:rsidRPr="00D936CA">
        <w:rPr>
          <w:rFonts w:cs="ITC Avant Garde"/>
          <w:color w:val="auto"/>
          <w:lang w:val="es-MX"/>
        </w:rPr>
        <w:t>ó</w:t>
      </w:r>
      <w:r w:rsidRPr="00D936CA">
        <w:rPr>
          <w:color w:val="auto"/>
          <w:lang w:val="es-MX"/>
        </w:rPr>
        <w:t xml:space="preserve">n inactiva. </w:t>
      </w:r>
    </w:p>
    <w:p w14:paraId="33CFED02" w14:textId="77777777" w:rsidR="007802A3" w:rsidRPr="00D936CA" w:rsidRDefault="007802A3" w:rsidP="00D936CA">
      <w:pPr>
        <w:pStyle w:val="CondicionesFinales"/>
        <w:numPr>
          <w:ilvl w:val="0"/>
          <w:numId w:val="132"/>
        </w:numPr>
        <w:rPr>
          <w:color w:val="auto"/>
          <w:lang w:val="es-MX"/>
        </w:rPr>
      </w:pPr>
      <w:r w:rsidRPr="00D936CA">
        <w:rPr>
          <w:color w:val="auto"/>
          <w:lang w:val="es-MX"/>
        </w:rPr>
        <w:t xml:space="preserve">Para el resto de los casos se negociará entre el CS y Telmex el estándar a utilizar. </w:t>
      </w:r>
    </w:p>
    <w:p w14:paraId="33CFED03" w14:textId="77777777" w:rsidR="007802A3" w:rsidRPr="00D936CA" w:rsidRDefault="007802A3" w:rsidP="00060B2E">
      <w:pPr>
        <w:pStyle w:val="CondicionesFinales"/>
        <w:ind w:left="-567" w:right="-142"/>
        <w:rPr>
          <w:color w:val="auto"/>
        </w:rPr>
      </w:pPr>
      <w:r w:rsidRPr="00D936CA">
        <w:rPr>
          <w:color w:val="auto"/>
        </w:rPr>
        <w:lastRenderedPageBreak/>
        <w:t>Para el nivel nacional:</w:t>
      </w:r>
    </w:p>
    <w:p w14:paraId="33CFED04" w14:textId="77777777" w:rsidR="007802A3" w:rsidRPr="00D936CA" w:rsidRDefault="007802A3" w:rsidP="00D936CA">
      <w:pPr>
        <w:pStyle w:val="CondicionesFinales"/>
        <w:numPr>
          <w:ilvl w:val="0"/>
          <w:numId w:val="133"/>
        </w:numPr>
        <w:rPr>
          <w:color w:val="auto"/>
          <w:lang w:val="es-MX"/>
        </w:rPr>
      </w:pPr>
      <w:r w:rsidRPr="00D936CA">
        <w:rPr>
          <w:color w:val="auto"/>
          <w:lang w:val="es-MX"/>
        </w:rPr>
        <w:t xml:space="preserve">1000Base-xx 1 GbE, Según IEEE 802.3-2008 sección 3 1000BASE-SX 50 </w:t>
      </w:r>
      <w:r w:rsidRPr="00D936CA">
        <w:rPr>
          <w:rFonts w:ascii="Calibri" w:hAnsi="Calibri" w:cs="Calibri"/>
          <w:color w:val="auto"/>
          <w:lang w:val="es-MX"/>
        </w:rPr>
        <w:t>μ</w:t>
      </w:r>
      <w:r w:rsidRPr="00D936CA">
        <w:rPr>
          <w:color w:val="auto"/>
          <w:lang w:val="es-MX"/>
        </w:rPr>
        <w:t>m MMF (7.5 dB @ 850 nm, &lt; 550 m). El puerto debe configurarse en modo Full-Duplex con auto negociaci</w:t>
      </w:r>
      <w:r w:rsidRPr="00D936CA">
        <w:rPr>
          <w:rFonts w:cs="ITC Avant Garde"/>
          <w:color w:val="auto"/>
          <w:lang w:val="es-MX"/>
        </w:rPr>
        <w:t>ó</w:t>
      </w:r>
      <w:r w:rsidRPr="00D936CA">
        <w:rPr>
          <w:color w:val="auto"/>
          <w:lang w:val="es-MX"/>
        </w:rPr>
        <w:t xml:space="preserve">n inactiva </w:t>
      </w:r>
    </w:p>
    <w:p w14:paraId="33CFED05" w14:textId="71E253C4" w:rsidR="007802A3" w:rsidRPr="00D936CA" w:rsidRDefault="007802A3" w:rsidP="00D936CA">
      <w:pPr>
        <w:pStyle w:val="CondicionesFinales"/>
        <w:numPr>
          <w:ilvl w:val="0"/>
          <w:numId w:val="133"/>
        </w:numPr>
        <w:rPr>
          <w:color w:val="auto"/>
          <w:lang w:val="es-MX"/>
        </w:rPr>
      </w:pPr>
      <w:r w:rsidRPr="00D936CA">
        <w:rPr>
          <w:color w:val="auto"/>
          <w:lang w:val="es-MX"/>
        </w:rPr>
        <w:t xml:space="preserve">10GBase-xx: 10 GbE </w:t>
      </w:r>
    </w:p>
    <w:p w14:paraId="33CFED06" w14:textId="77777777" w:rsidR="007802A3" w:rsidRPr="00D936CA" w:rsidRDefault="007802A3" w:rsidP="00D936CA">
      <w:pPr>
        <w:pStyle w:val="CondicionesFinales"/>
        <w:numPr>
          <w:ilvl w:val="0"/>
          <w:numId w:val="133"/>
        </w:numPr>
        <w:rPr>
          <w:color w:val="auto"/>
          <w:lang w:val="es-MX"/>
        </w:rPr>
      </w:pPr>
      <w:r w:rsidRPr="00D936CA">
        <w:rPr>
          <w:color w:val="auto"/>
          <w:lang w:val="es-MX"/>
        </w:rPr>
        <w:t xml:space="preserve">En caso de conexión con equipos coubicados y velocidad de 1GBE se utilizará IEEE 802.3-2008 sección 3 1000BASE-SX 50 </w:t>
      </w:r>
      <w:r w:rsidRPr="00D936CA">
        <w:rPr>
          <w:rFonts w:ascii="Calibri" w:hAnsi="Calibri" w:cs="Calibri"/>
          <w:color w:val="auto"/>
          <w:lang w:val="es-MX"/>
        </w:rPr>
        <w:t>μ</w:t>
      </w:r>
      <w:r w:rsidRPr="00D936CA">
        <w:rPr>
          <w:color w:val="auto"/>
          <w:lang w:val="es-MX"/>
        </w:rPr>
        <w:t>m MMF (7.5 dB @ 850 nm, &lt; 550 m). El puerto debe configurarse en modo Full-D</w:t>
      </w:r>
      <w:r w:rsidRPr="00D936CA">
        <w:rPr>
          <w:rFonts w:cs="ITC Avant Garde"/>
          <w:color w:val="auto"/>
          <w:lang w:val="es-MX"/>
        </w:rPr>
        <w:t>ú</w:t>
      </w:r>
      <w:r w:rsidRPr="00D936CA">
        <w:rPr>
          <w:color w:val="auto"/>
          <w:lang w:val="es-MX"/>
        </w:rPr>
        <w:t>plex con auto negociaci</w:t>
      </w:r>
      <w:r w:rsidRPr="00D936CA">
        <w:rPr>
          <w:rFonts w:cs="ITC Avant Garde"/>
          <w:color w:val="auto"/>
          <w:lang w:val="es-MX"/>
        </w:rPr>
        <w:t>ó</w:t>
      </w:r>
      <w:r w:rsidRPr="00D936CA">
        <w:rPr>
          <w:color w:val="auto"/>
          <w:lang w:val="es-MX"/>
        </w:rPr>
        <w:t xml:space="preserve">n inactiva </w:t>
      </w:r>
    </w:p>
    <w:p w14:paraId="33CFED07" w14:textId="77777777" w:rsidR="007802A3" w:rsidRPr="00D936CA" w:rsidRDefault="007802A3" w:rsidP="00D936CA">
      <w:pPr>
        <w:pStyle w:val="CondicionesFinales"/>
        <w:numPr>
          <w:ilvl w:val="0"/>
          <w:numId w:val="133"/>
        </w:numPr>
        <w:rPr>
          <w:color w:val="auto"/>
          <w:lang w:val="es-MX"/>
        </w:rPr>
      </w:pPr>
      <w:r w:rsidRPr="00D936CA">
        <w:rPr>
          <w:color w:val="auto"/>
          <w:lang w:val="es-MX"/>
        </w:rPr>
        <w:t xml:space="preserve">Para el resto de los casos se negociará entre el CS y Telmex el estándar a utilizar teniendo en cuenta que el Telmex deberá aceptar solicitudes del CS válidas para obtener conectividad hasta distancias de 40Km en velocidades de 1Gbps y de 10Gbps </w:t>
      </w:r>
    </w:p>
    <w:p w14:paraId="12265405" w14:textId="77777777" w:rsidR="000A31DD" w:rsidRDefault="000A31DD" w:rsidP="00060B2E">
      <w:pPr>
        <w:pStyle w:val="CondicionesFinales"/>
        <w:ind w:left="-567" w:right="-142"/>
        <w:rPr>
          <w:color w:val="auto"/>
        </w:rPr>
      </w:pPr>
    </w:p>
    <w:p w14:paraId="251D75F2" w14:textId="77777777" w:rsidR="000A31DD" w:rsidRDefault="000A31DD" w:rsidP="00060B2E">
      <w:pPr>
        <w:pStyle w:val="CondicionesFinales"/>
        <w:ind w:left="-567" w:right="-142"/>
        <w:rPr>
          <w:color w:val="auto"/>
        </w:rPr>
      </w:pPr>
    </w:p>
    <w:p w14:paraId="33CFED08" w14:textId="6371F052" w:rsidR="007802A3" w:rsidRPr="00D936CA" w:rsidRDefault="007802A3" w:rsidP="00060B2E">
      <w:pPr>
        <w:pStyle w:val="CondicionesFinales"/>
        <w:ind w:left="-567" w:right="-142"/>
        <w:rPr>
          <w:color w:val="auto"/>
        </w:rPr>
      </w:pPr>
      <w:r w:rsidRPr="00D936CA">
        <w:rPr>
          <w:color w:val="auto"/>
        </w:rPr>
        <w:t xml:space="preserve">Las características técnicas de la interfaz (pCAI) son: </w:t>
      </w:r>
    </w:p>
    <w:p w14:paraId="33CFED09" w14:textId="76429DED" w:rsidR="007802A3" w:rsidRDefault="007802A3" w:rsidP="00D936CA">
      <w:pPr>
        <w:pStyle w:val="CondicionesFinales"/>
        <w:numPr>
          <w:ilvl w:val="0"/>
          <w:numId w:val="134"/>
        </w:numPr>
        <w:rPr>
          <w:color w:val="auto"/>
          <w:lang w:val="es-MX"/>
        </w:rPr>
      </w:pPr>
      <w:r w:rsidRPr="00D936CA">
        <w:rPr>
          <w:color w:val="auto"/>
          <w:lang w:val="es-MX"/>
        </w:rPr>
        <w:t xml:space="preserve">El tipo de fibra a utilizar será la correspondiente a los interfaces estandarizados en IEEE 802.3-2008. Los conectores de remate en el DFO deben ser SC/UPC. </w:t>
      </w:r>
    </w:p>
    <w:p w14:paraId="74B18534" w14:textId="77777777" w:rsidR="000A31DD" w:rsidRPr="00D936CA" w:rsidRDefault="000A31DD" w:rsidP="000A31DD">
      <w:pPr>
        <w:pStyle w:val="CondicionesFinales"/>
        <w:ind w:left="0"/>
        <w:rPr>
          <w:color w:val="auto"/>
          <w:lang w:val="es-MX"/>
        </w:rPr>
      </w:pPr>
    </w:p>
    <w:p w14:paraId="33CFED0A" w14:textId="77777777" w:rsidR="00A57892" w:rsidRPr="00D936CA" w:rsidRDefault="00A57892" w:rsidP="00D936CA">
      <w:pPr>
        <w:pStyle w:val="Ttulo2"/>
        <w:numPr>
          <w:ilvl w:val="1"/>
          <w:numId w:val="143"/>
        </w:numPr>
        <w:tabs>
          <w:tab w:val="left" w:pos="993"/>
        </w:tabs>
        <w:ind w:left="851" w:hanging="425"/>
        <w:rPr>
          <w:iCs/>
        </w:rPr>
      </w:pPr>
      <w:bookmarkStart w:id="491" w:name="_Toc467248723"/>
      <w:bookmarkStart w:id="492" w:name="_Toc518032006"/>
      <w:r w:rsidRPr="00D936CA">
        <w:t>Plan de VLAN’s: Servicio de Concentración y Distribución Local, Regional y Nacional</w:t>
      </w:r>
      <w:bookmarkEnd w:id="491"/>
      <w:bookmarkEnd w:id="492"/>
    </w:p>
    <w:p w14:paraId="33CFED0C" w14:textId="77777777" w:rsidR="003739A0" w:rsidRPr="00D936CA" w:rsidRDefault="003739A0" w:rsidP="00060B2E">
      <w:pPr>
        <w:pStyle w:val="IFTnormal"/>
        <w:ind w:left="-567" w:right="-142"/>
      </w:pPr>
      <w:r w:rsidRPr="00D936CA">
        <w:t>Para la asignación de los identificadores de S-VLAN de servicio, se requiere una administración del plan de S-VLAN's, la cual contempla:</w:t>
      </w:r>
    </w:p>
    <w:p w14:paraId="33CFED0D" w14:textId="77777777" w:rsidR="003739A0" w:rsidRPr="00D936CA" w:rsidRDefault="003739A0" w:rsidP="00D936CA">
      <w:pPr>
        <w:pStyle w:val="CondicionesFinales"/>
        <w:numPr>
          <w:ilvl w:val="0"/>
          <w:numId w:val="135"/>
        </w:numPr>
        <w:rPr>
          <w:color w:val="auto"/>
        </w:rPr>
      </w:pPr>
      <w:r w:rsidRPr="00D936CA">
        <w:rPr>
          <w:color w:val="auto"/>
        </w:rPr>
        <w:t>Configurar una S-VLAN para el intercambio de tráfico de SAIB entre cada equipo de acceso (DSLAM/OLT) y el pCAI de conexión al CS.</w:t>
      </w:r>
    </w:p>
    <w:p w14:paraId="33CFED0E" w14:textId="77777777" w:rsidR="003739A0" w:rsidRPr="00D936CA" w:rsidRDefault="003739A0" w:rsidP="00D936CA">
      <w:pPr>
        <w:pStyle w:val="CondicionesFinales"/>
        <w:numPr>
          <w:ilvl w:val="0"/>
          <w:numId w:val="135"/>
        </w:numPr>
        <w:rPr>
          <w:color w:val="auto"/>
        </w:rPr>
      </w:pPr>
      <w:r w:rsidRPr="00D936CA">
        <w:rPr>
          <w:color w:val="auto"/>
        </w:rPr>
        <w:t>Configurar las S-VLAN necesarias en tantos pCAI como requiera el CS para el intercambio de tráfico proveniente de diferentes equipos de acceso (DSLAM/OLT).</w:t>
      </w:r>
    </w:p>
    <w:p w14:paraId="33CFED0F" w14:textId="14552290" w:rsidR="003739A0" w:rsidRPr="00D936CA" w:rsidRDefault="003739A0" w:rsidP="00D936CA">
      <w:pPr>
        <w:pStyle w:val="CondicionesFinales"/>
        <w:numPr>
          <w:ilvl w:val="0"/>
          <w:numId w:val="135"/>
        </w:numPr>
        <w:rPr>
          <w:color w:val="auto"/>
        </w:rPr>
      </w:pPr>
      <w:r w:rsidRPr="00D936CA">
        <w:rPr>
          <w:color w:val="auto"/>
        </w:rPr>
        <w:t xml:space="preserve">Validar que en la asignación de identificadores de S-VLAN en un pCAI no existan duplicidades. Los identificadores de S-VLAN son </w:t>
      </w:r>
      <w:r w:rsidRPr="00D936CA">
        <w:rPr>
          <w:color w:val="auto"/>
        </w:rPr>
        <w:lastRenderedPageBreak/>
        <w:t>únicos e irrepetibles en un dominio administrativo, no obstante</w:t>
      </w:r>
      <w:r w:rsidR="0021180E">
        <w:rPr>
          <w:color w:val="auto"/>
        </w:rPr>
        <w:t>,</w:t>
      </w:r>
      <w:r w:rsidRPr="00D936CA">
        <w:rPr>
          <w:color w:val="auto"/>
        </w:rPr>
        <w:t xml:space="preserve"> se pueden repetir en diferentes dominios administrativos.</w:t>
      </w:r>
    </w:p>
    <w:p w14:paraId="33CFED10" w14:textId="77777777" w:rsidR="003739A0" w:rsidRPr="00D936CA" w:rsidRDefault="003739A0" w:rsidP="00D936CA">
      <w:pPr>
        <w:pStyle w:val="CondicionesFinales"/>
        <w:numPr>
          <w:ilvl w:val="0"/>
          <w:numId w:val="135"/>
        </w:numPr>
        <w:rPr>
          <w:color w:val="auto"/>
        </w:rPr>
      </w:pPr>
      <w:r w:rsidRPr="00D936CA">
        <w:rPr>
          <w:color w:val="auto"/>
        </w:rPr>
        <w:t>Validar que para cada equipo de acceso sólo se asigna una S-VLAN por CS.</w:t>
      </w:r>
    </w:p>
    <w:p w14:paraId="33CFED11" w14:textId="77777777" w:rsidR="003739A0" w:rsidRPr="00D936CA" w:rsidRDefault="003739A0" w:rsidP="00D936CA">
      <w:pPr>
        <w:pStyle w:val="CondicionesFinales"/>
        <w:numPr>
          <w:ilvl w:val="0"/>
          <w:numId w:val="135"/>
        </w:numPr>
        <w:rPr>
          <w:color w:val="auto"/>
        </w:rPr>
      </w:pPr>
      <w:r w:rsidRPr="00D936CA">
        <w:rPr>
          <w:color w:val="auto"/>
        </w:rPr>
        <w:t>Tampoco puede haber duplicidades de las C-VLAN en el ámbito de la misma S-VLAN.</w:t>
      </w:r>
    </w:p>
    <w:p w14:paraId="33CFED12" w14:textId="77777777" w:rsidR="00720F8F" w:rsidRPr="00D936CA" w:rsidRDefault="00720F8F" w:rsidP="00060B2E">
      <w:pPr>
        <w:spacing w:after="200" w:line="276" w:lineRule="auto"/>
        <w:ind w:left="-567" w:right="-142"/>
        <w:jc w:val="both"/>
      </w:pPr>
      <w:r w:rsidRPr="00D936CA">
        <w:rPr>
          <w:rFonts w:ascii="ITC Avant Garde" w:hAnsi="ITC Avant Garde"/>
          <w:sz w:val="22"/>
          <w:szCs w:val="22"/>
        </w:rPr>
        <w:t>Dimensionamiento de los pCAI y control de tráfico.</w:t>
      </w:r>
    </w:p>
    <w:p w14:paraId="33CFED13" w14:textId="77777777" w:rsidR="00720F8F" w:rsidRPr="00D936CA" w:rsidRDefault="00720F8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Como se menciona anteriormente el pCAI es la interfaz en la que se entrega el tráfico de un CS correspondiente a un determinado conjunto de equipos de acceso (DSLAM/OLT). </w:t>
      </w:r>
    </w:p>
    <w:p w14:paraId="33CFED14" w14:textId="709799F7" w:rsidR="00720F8F" w:rsidRDefault="00720F8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El CS definirá los nodos (NCAI) en que deberán habilitarse los puertos (pCAI) para el intercambio de tráfico del SAIB.  En cada NCAI, Telmex habilitará el puerto o puertos de interconexión para el SAIB con el CS. Por su parte el CS hará lo propio en su lado de la interfaz de red.</w:t>
      </w:r>
    </w:p>
    <w:p w14:paraId="02FA83F5" w14:textId="4058B863" w:rsidR="000A31DD" w:rsidRDefault="000A31DD" w:rsidP="00060B2E">
      <w:pPr>
        <w:spacing w:after="200" w:line="276" w:lineRule="auto"/>
        <w:ind w:left="-567" w:right="-142"/>
        <w:jc w:val="both"/>
        <w:rPr>
          <w:rFonts w:ascii="ITC Avant Garde" w:hAnsi="ITC Avant Garde"/>
          <w:sz w:val="22"/>
          <w:szCs w:val="22"/>
        </w:rPr>
      </w:pPr>
    </w:p>
    <w:p w14:paraId="26A68C00" w14:textId="77777777" w:rsidR="000A31DD" w:rsidRPr="00D936CA" w:rsidRDefault="000A31DD" w:rsidP="00060B2E">
      <w:pPr>
        <w:spacing w:after="200" w:line="276" w:lineRule="auto"/>
        <w:ind w:left="-567" w:right="-142"/>
        <w:jc w:val="both"/>
        <w:rPr>
          <w:rFonts w:ascii="ITC Avant Garde" w:hAnsi="ITC Avant Garde"/>
          <w:sz w:val="22"/>
          <w:szCs w:val="22"/>
        </w:rPr>
      </w:pPr>
    </w:p>
    <w:p w14:paraId="33CFED15" w14:textId="77777777" w:rsidR="00720F8F" w:rsidRPr="00D936CA" w:rsidRDefault="00720F8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Dimensionamiento de los pCAI.</w:t>
      </w:r>
    </w:p>
    <w:p w14:paraId="33CFED1A" w14:textId="473C4EC0" w:rsidR="00720F8F" w:rsidRPr="00D936CA" w:rsidRDefault="00720F8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El dimensionamiento de estos puertos será el necesario para soportar el tráfico intercambiado de acuerdo al número de equipos de acceso conectados vía S-VLAN al pCAI el número de usuarios activos, sus perfiles de servicio y la calidad establecida para el servicio.</w:t>
      </w:r>
    </w:p>
    <w:p w14:paraId="33CFED1B" w14:textId="77777777" w:rsidR="0036427B" w:rsidRPr="00D936CA" w:rsidRDefault="0036427B" w:rsidP="00060B2E">
      <w:pPr>
        <w:pStyle w:val="IFTnormal"/>
        <w:ind w:left="-567" w:right="-142"/>
      </w:pPr>
      <w:r w:rsidRPr="00D936CA">
        <w:t>Control de tráfico (descendente) por CS</w:t>
      </w:r>
    </w:p>
    <w:p w14:paraId="33CFED1C" w14:textId="77777777" w:rsidR="0036427B" w:rsidRPr="00D936CA" w:rsidRDefault="0036427B" w:rsidP="00060B2E">
      <w:pPr>
        <w:pStyle w:val="IFTnormal"/>
        <w:ind w:left="-567" w:right="-142"/>
      </w:pPr>
      <w:r w:rsidRPr="00D936CA">
        <w:t>En sentido descendente (desde pCAI a DSLAM/OLT) se establecerán los mecanismos necesarios en la red Ethernet para asegurar el correcto funcionamiento de los servicios y la no interferencia de unos sobre otros. Este aspecto es particularmente relevante entre servicios de CS diferentes.</w:t>
      </w:r>
    </w:p>
    <w:p w14:paraId="33CFED1D" w14:textId="77777777" w:rsidR="0036427B" w:rsidRPr="00D936CA" w:rsidRDefault="0036427B" w:rsidP="00060B2E">
      <w:pPr>
        <w:pStyle w:val="IFTnormal"/>
        <w:ind w:left="-567" w:right="-142"/>
      </w:pPr>
      <w:r w:rsidRPr="00D936CA">
        <w:t xml:space="preserve">Se podrán establecer por Telmex las medidas siguientes: </w:t>
      </w:r>
    </w:p>
    <w:p w14:paraId="33CFED1E" w14:textId="77777777" w:rsidR="0036427B" w:rsidRPr="00D936CA" w:rsidRDefault="0036427B" w:rsidP="00D936CA">
      <w:pPr>
        <w:pStyle w:val="CondicionesFinales"/>
        <w:numPr>
          <w:ilvl w:val="0"/>
          <w:numId w:val="136"/>
        </w:numPr>
        <w:rPr>
          <w:color w:val="auto"/>
        </w:rPr>
      </w:pPr>
      <w:r w:rsidRPr="00D936CA">
        <w:rPr>
          <w:color w:val="auto"/>
        </w:rPr>
        <w:t>Medidas de protección contra bucles físicos. En el puerto pCAI, el NCAI de la red Ethernet podrá bloquear el puerto cuando detecte un bucle físico y quedará bloqueado mientras perdure el bucle.</w:t>
      </w:r>
    </w:p>
    <w:p w14:paraId="33CFED1F" w14:textId="6518772E" w:rsidR="0036427B" w:rsidRPr="00D936CA" w:rsidRDefault="0036427B" w:rsidP="00D936CA">
      <w:pPr>
        <w:pStyle w:val="CondicionesFinales"/>
        <w:numPr>
          <w:ilvl w:val="0"/>
          <w:numId w:val="136"/>
        </w:numPr>
        <w:rPr>
          <w:b/>
          <w:color w:val="auto"/>
        </w:rPr>
      </w:pPr>
      <w:r w:rsidRPr="00D936CA">
        <w:rPr>
          <w:color w:val="auto"/>
        </w:rPr>
        <w:t xml:space="preserve">Medidas de protección contra saturación de interfaces. Para evitar que errores de configuración u otro tipo de problemas en los módems/router de los CS puedan provocar saturación en </w:t>
      </w:r>
      <w:r w:rsidRPr="00D936CA">
        <w:rPr>
          <w:color w:val="auto"/>
        </w:rPr>
        <w:lastRenderedPageBreak/>
        <w:t>alguno de los enlaces (GbE) entre nodo NCAI y DSLAM/OLT, se aplicará un rate limit por S-VLAN entre pCAI-E y DSLAM/OLT. Este límite permitirá el funcionamiento normal de todos los servicios de acuerdo con la calidad establecida mediante los correspondientes parámetros de calidad. Este rate_limit se realizará en base a la capacidad agregada del servicio por S-VLAN y respetará los bits de prioridad incluidos en las C-VLAN .</w:t>
      </w:r>
    </w:p>
    <w:p w14:paraId="33CFED20" w14:textId="77777777" w:rsidR="0036427B" w:rsidRPr="00D936CA" w:rsidRDefault="0036427B" w:rsidP="00060B2E">
      <w:pPr>
        <w:pStyle w:val="IFTnormal"/>
        <w:ind w:left="-567" w:right="-142"/>
      </w:pPr>
      <w:r w:rsidRPr="00D936CA">
        <w:t>Control de tráfico (ascendente) por Telmex.</w:t>
      </w:r>
    </w:p>
    <w:p w14:paraId="33CFED22" w14:textId="5E55B444" w:rsidR="00A57892" w:rsidRDefault="0036427B" w:rsidP="00D936CA">
      <w:pPr>
        <w:pStyle w:val="CondicionesFinales"/>
        <w:numPr>
          <w:ilvl w:val="0"/>
          <w:numId w:val="136"/>
        </w:numPr>
        <w:rPr>
          <w:color w:val="auto"/>
        </w:rPr>
      </w:pPr>
      <w:r w:rsidRPr="00D936CA">
        <w:rPr>
          <w:color w:val="auto"/>
        </w:rPr>
        <w:t>En sentido ascendente el nodo de acceso (DSLAM/OLT) realizará el control de tráfico. Este límite permitirá el funcionamiento normal de todos los servicios de acuerdo con la calidad establecida mediante los correspondientes parámetros de calidad. El rate_limit se realizará en base a la capacidad agregada del servicio por S-VLAN y respetará los bits de prioridad incluidos en las C-VLAN.</w:t>
      </w:r>
    </w:p>
    <w:p w14:paraId="18F16D7F" w14:textId="77777777" w:rsidR="000A31DD" w:rsidRPr="00D936CA" w:rsidRDefault="000A31DD" w:rsidP="000A31DD">
      <w:pPr>
        <w:pStyle w:val="CondicionesFinales"/>
        <w:ind w:left="1211"/>
        <w:rPr>
          <w:color w:val="auto"/>
        </w:rPr>
      </w:pPr>
    </w:p>
    <w:p w14:paraId="33CFED24" w14:textId="46A12A29" w:rsidR="00175B5B" w:rsidRPr="00D936CA" w:rsidRDefault="00A57892" w:rsidP="00D936CA">
      <w:pPr>
        <w:pStyle w:val="Ttulo2"/>
        <w:numPr>
          <w:ilvl w:val="1"/>
          <w:numId w:val="143"/>
        </w:numPr>
        <w:tabs>
          <w:tab w:val="left" w:pos="993"/>
        </w:tabs>
        <w:ind w:left="851" w:hanging="425"/>
      </w:pPr>
      <w:bookmarkStart w:id="493" w:name="_Toc467248724"/>
      <w:bookmarkStart w:id="494" w:name="_Toc518032007"/>
      <w:r w:rsidRPr="00D936CA">
        <w:t>Servicio a Ubicación Distante</w:t>
      </w:r>
      <w:bookmarkEnd w:id="493"/>
      <w:bookmarkEnd w:id="494"/>
    </w:p>
    <w:p w14:paraId="33CFED26" w14:textId="01025DFC" w:rsidR="00175B5B" w:rsidRDefault="00175B5B" w:rsidP="00060B2E">
      <w:pPr>
        <w:pStyle w:val="IFTnormal"/>
        <w:ind w:left="-567" w:right="-142"/>
      </w:pPr>
      <w:r w:rsidRPr="00E95BFC">
        <w:t>El CS podrá solicitar que el SCyD sea terminado en un DFO para CS, de acuerdo con el Servicio de Tendido de Cable sobre Infraestructura Desagregada de la Oferta de Refe</w:t>
      </w:r>
      <w:r w:rsidRPr="00CD51E4">
        <w:t xml:space="preserve">rencia de Compartición de Infraestructura Pasiva. En cuyo caso, las características del cable de </w:t>
      </w:r>
      <w:r w:rsidR="00DA2D47" w:rsidRPr="00CA6BA9">
        <w:t>fibra óptica</w:t>
      </w:r>
      <w:r w:rsidRPr="00CA6BA9">
        <w:t xml:space="preserve"> deberán permitir distancias de conectividad de 40Km en velocidades de 1Gbps y de 70 Km en 10Gbps</w:t>
      </w:r>
      <w:r w:rsidR="00E95BFC" w:rsidRPr="00060B2E">
        <w:t>, con cargo al CS</w:t>
      </w:r>
      <w:r w:rsidR="00E95BFC">
        <w:t xml:space="preserve"> mediante trabajo especial</w:t>
      </w:r>
      <w:r w:rsidRPr="00E95BFC">
        <w:t>.</w:t>
      </w:r>
    </w:p>
    <w:p w14:paraId="52DC2C8A" w14:textId="77777777" w:rsidR="000A31DD" w:rsidRPr="00D936CA" w:rsidRDefault="000A31DD" w:rsidP="00060B2E">
      <w:pPr>
        <w:pStyle w:val="IFTnormal"/>
        <w:ind w:left="-567" w:right="-142"/>
      </w:pPr>
    </w:p>
    <w:p w14:paraId="33CFED27" w14:textId="77777777" w:rsidR="00A57892" w:rsidRPr="00D936CA" w:rsidRDefault="00A57892" w:rsidP="00D936CA">
      <w:pPr>
        <w:pStyle w:val="Ttulo2"/>
        <w:numPr>
          <w:ilvl w:val="1"/>
          <w:numId w:val="143"/>
        </w:numPr>
        <w:tabs>
          <w:tab w:val="left" w:pos="993"/>
        </w:tabs>
        <w:ind w:left="851" w:hanging="425"/>
      </w:pPr>
      <w:bookmarkStart w:id="495" w:name="_Toc467248725"/>
      <w:bookmarkStart w:id="496" w:name="_Toc518032008"/>
      <w:r w:rsidRPr="00D936CA">
        <w:t>Procedimientos de solicitud, modificación y baja del SCyD.</w:t>
      </w:r>
      <w:bookmarkEnd w:id="495"/>
      <w:bookmarkEnd w:id="496"/>
    </w:p>
    <w:p w14:paraId="33CFED28" w14:textId="0F98AD3B" w:rsidR="005B5734"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Queda establecido que</w:t>
      </w:r>
      <w:r w:rsidR="00A94617">
        <w:rPr>
          <w:rFonts w:ascii="ITC Avant Garde" w:hAnsi="ITC Avant Garde"/>
          <w:sz w:val="22"/>
          <w:szCs w:val="22"/>
          <w:lang w:val="es-MX"/>
        </w:rPr>
        <w:t>,</w:t>
      </w:r>
      <w:r w:rsidRPr="00D936CA">
        <w:rPr>
          <w:rFonts w:ascii="ITC Avant Garde" w:hAnsi="ITC Avant Garde"/>
          <w:sz w:val="22"/>
          <w:szCs w:val="22"/>
          <w:lang w:val="es-MX"/>
        </w:rPr>
        <w:t xml:space="preserve"> mediante el envío de la solicitud, el CS consiente efectuar el pago por las actividades a realizar</w:t>
      </w:r>
      <w:r w:rsidR="00A94617">
        <w:rPr>
          <w:rFonts w:ascii="ITC Avant Garde" w:hAnsi="ITC Avant Garde"/>
          <w:sz w:val="22"/>
          <w:szCs w:val="22"/>
          <w:lang w:val="es-MX"/>
        </w:rPr>
        <w:t>,</w:t>
      </w:r>
      <w:r w:rsidRPr="00D936CA">
        <w:rPr>
          <w:rFonts w:ascii="ITC Avant Garde" w:hAnsi="ITC Avant Garde"/>
          <w:sz w:val="22"/>
          <w:szCs w:val="22"/>
          <w:lang w:val="es-MX"/>
        </w:rPr>
        <w:t xml:space="preserve"> así como por los elementos de cobro que conforman el (los) servicios</w:t>
      </w:r>
      <w:r w:rsidR="001A619C" w:rsidRPr="00D936CA">
        <w:rPr>
          <w:rFonts w:ascii="ITC Avant Garde" w:hAnsi="ITC Avant Garde"/>
          <w:sz w:val="22"/>
          <w:szCs w:val="22"/>
          <w:lang w:val="es-MX"/>
        </w:rPr>
        <w:t xml:space="preserve"> </w:t>
      </w:r>
      <w:r w:rsidRPr="00D936CA">
        <w:rPr>
          <w:rFonts w:ascii="ITC Avant Garde" w:hAnsi="ITC Avant Garde"/>
          <w:sz w:val="22"/>
          <w:szCs w:val="22"/>
          <w:lang w:val="es-MX"/>
        </w:rPr>
        <w:t>(s), en el momento que se indique en el procedimiento. Asimismo, si el CS rechaza el servicio o decide no continuar con el procedimiento, deberá liquidar el monto generado por las actividades realizadas hasta el momento en que se decidió terminar el procedimiento. El CS se compromete a habilitar el equipamiento necesario para la interconexión con los pCAI en su lado correspondiente de la red. Asimismo</w:t>
      </w:r>
      <w:r w:rsidR="00A94617">
        <w:rPr>
          <w:rFonts w:ascii="ITC Avant Garde" w:hAnsi="ITC Avant Garde"/>
          <w:sz w:val="22"/>
          <w:szCs w:val="22"/>
          <w:lang w:val="es-MX"/>
        </w:rPr>
        <w:t>,</w:t>
      </w:r>
      <w:r w:rsidRPr="00D936CA">
        <w:rPr>
          <w:rFonts w:ascii="ITC Avant Garde" w:hAnsi="ITC Avant Garde"/>
          <w:sz w:val="22"/>
          <w:szCs w:val="22"/>
          <w:lang w:val="es-MX"/>
        </w:rPr>
        <w:t xml:space="preserve"> si el CS cancela la solicitud del punto de interconexión deberá compensar a Telmex por los costos incurridos no recuperados.</w:t>
      </w:r>
    </w:p>
    <w:p w14:paraId="33CFED29" w14:textId="76A0FDD1" w:rsidR="005B5734" w:rsidRPr="00D936CA" w:rsidRDefault="005B5734"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Para que el CS previ</w:t>
      </w:r>
      <w:r w:rsidR="00CD0002">
        <w:rPr>
          <w:rFonts w:ascii="ITC Avant Garde" w:hAnsi="ITC Avant Garde"/>
          <w:sz w:val="22"/>
          <w:szCs w:val="22"/>
          <w:lang w:val="es-MX"/>
        </w:rPr>
        <w:t>amente</w:t>
      </w:r>
      <w:r w:rsidRPr="00D936CA">
        <w:rPr>
          <w:rFonts w:ascii="ITC Avant Garde" w:hAnsi="ITC Avant Garde"/>
          <w:sz w:val="22"/>
          <w:szCs w:val="22"/>
          <w:lang w:val="es-MX"/>
        </w:rPr>
        <w:t xml:space="preserve"> a la contratación pueda consultar los </w:t>
      </w:r>
      <w:r w:rsidR="001A619C" w:rsidRPr="00D936CA">
        <w:rPr>
          <w:rFonts w:ascii="ITC Avant Garde" w:hAnsi="ITC Avant Garde"/>
          <w:sz w:val="22"/>
          <w:szCs w:val="22"/>
          <w:lang w:val="es-MX"/>
        </w:rPr>
        <w:t>equipos de acceso y sus unidades básicas</w:t>
      </w:r>
      <w:r w:rsidRPr="00D936CA">
        <w:rPr>
          <w:rFonts w:ascii="ITC Avant Garde" w:hAnsi="ITC Avant Garde"/>
          <w:sz w:val="22"/>
          <w:szCs w:val="22"/>
          <w:lang w:val="es-MX"/>
        </w:rPr>
        <w:t xml:space="preserve"> asociados a cada NCAI, la consulta se realizará conforme a lo establecido en la sección 3 de esta OREDA en lo relativo a la información tipo “b” (bases 8 y 9). </w:t>
      </w:r>
    </w:p>
    <w:p w14:paraId="33CFED2A" w14:textId="77777777" w:rsidR="005B5734" w:rsidRPr="00D936CA" w:rsidRDefault="005B5734"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El CS podrá tener acceso a la infraestructura de obra civil, incluyendo cualquier elemento o característica que sea necesaria para la correcta prestación de los servicios de desagregación solicitados, de conformidad con la Oferta de Compartición de Infraestructura de Telmex.</w:t>
      </w:r>
    </w:p>
    <w:p w14:paraId="33CFED2B" w14:textId="77777777" w:rsidR="005B5734" w:rsidRPr="00D936CA" w:rsidRDefault="005B5734"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Solicitud y Entrega de SCyD:</w:t>
      </w:r>
    </w:p>
    <w:p w14:paraId="33CFED2C" w14:textId="77777777" w:rsidR="005B5734" w:rsidRPr="00D936CA" w:rsidRDefault="005B5734"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solicitud y entrega de los servicios SCyD en el punto de interconexión;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solicitar el pCAI, las características que solicita para el mismo, y la validación por parte de Telmex de que la solicitud cuenta con todos los elementos para el suministro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(iii)</w:t>
      </w:r>
      <w:r w:rsidRPr="00D936CA">
        <w:rPr>
          <w:rFonts w:ascii="ITC Avant Garde" w:hAnsi="ITC Avant Garde" w:cs="Arial"/>
          <w:sz w:val="22"/>
          <w:szCs w:val="22"/>
        </w:rPr>
        <w:t xml:space="preserve"> Habilitación y aprovisionamiento del servicio solicitado, que detonará los procesos de pruebas de puesta en servicio del pCAI.</w:t>
      </w:r>
    </w:p>
    <w:tbl>
      <w:tblPr>
        <w:tblStyle w:val="Tablaconcuadrcula"/>
        <w:tblW w:w="5306" w:type="pct"/>
        <w:tblInd w:w="-572" w:type="dxa"/>
        <w:tblLook w:val="04A0" w:firstRow="1" w:lastRow="0" w:firstColumn="1" w:lastColumn="0" w:noHBand="0" w:noVBand="1"/>
      </w:tblPr>
      <w:tblGrid>
        <w:gridCol w:w="3039"/>
        <w:gridCol w:w="7119"/>
      </w:tblGrid>
      <w:tr w:rsidR="00D936CA" w:rsidRPr="00D936CA" w14:paraId="33CFED2F" w14:textId="77777777" w:rsidTr="00060B2E">
        <w:tc>
          <w:tcPr>
            <w:tcW w:w="1496" w:type="pct"/>
          </w:tcPr>
          <w:p w14:paraId="33CFED2D" w14:textId="77777777" w:rsidR="005B5734" w:rsidRPr="00D936CA" w:rsidRDefault="005B5734" w:rsidP="00D936CA">
            <w:pPr>
              <w:pStyle w:val="IFTnormal"/>
              <w:jc w:val="center"/>
              <w:rPr>
                <w:b/>
                <w:sz w:val="20"/>
                <w:szCs w:val="20"/>
              </w:rPr>
            </w:pPr>
            <w:r w:rsidRPr="00D936CA">
              <w:rPr>
                <w:b/>
                <w:sz w:val="20"/>
                <w:szCs w:val="20"/>
              </w:rPr>
              <w:t>Etapa</w:t>
            </w:r>
          </w:p>
        </w:tc>
        <w:tc>
          <w:tcPr>
            <w:tcW w:w="3504" w:type="pct"/>
          </w:tcPr>
          <w:p w14:paraId="33CFED2E"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D35" w14:textId="77777777" w:rsidTr="00060B2E">
        <w:tc>
          <w:tcPr>
            <w:tcW w:w="1496" w:type="pct"/>
          </w:tcPr>
          <w:p w14:paraId="33CFED30"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04" w:type="pct"/>
          </w:tcPr>
          <w:p w14:paraId="33CFED31" w14:textId="565E23BC" w:rsidR="005B5734" w:rsidRPr="00D936CA" w:rsidRDefault="005B5734" w:rsidP="00D936CA">
            <w:pPr>
              <w:pStyle w:val="IFTnormal"/>
              <w:rPr>
                <w:sz w:val="20"/>
                <w:szCs w:val="20"/>
              </w:rPr>
            </w:pPr>
            <w:r w:rsidRPr="00D936CA">
              <w:rPr>
                <w:sz w:val="20"/>
                <w:szCs w:val="20"/>
              </w:rPr>
              <w:t>El CS deberá presentar sus solicitudes en el formato correspondiente a través del SEG:</w:t>
            </w:r>
          </w:p>
          <w:p w14:paraId="33CFED32" w14:textId="77777777" w:rsidR="005B5734" w:rsidRPr="00D936CA" w:rsidRDefault="005B5734" w:rsidP="00D936CA">
            <w:pPr>
              <w:pStyle w:val="IFTnormal"/>
              <w:numPr>
                <w:ilvl w:val="0"/>
                <w:numId w:val="102"/>
              </w:numPr>
              <w:spacing w:after="120" w:line="240" w:lineRule="auto"/>
              <w:ind w:left="318" w:hanging="284"/>
              <w:rPr>
                <w:sz w:val="20"/>
                <w:szCs w:val="20"/>
              </w:rPr>
            </w:pPr>
            <w:r w:rsidRPr="00D936CA">
              <w:rPr>
                <w:sz w:val="20"/>
                <w:szCs w:val="20"/>
                <w:lang w:val="es-ES_tradnl"/>
              </w:rPr>
              <w:t>Indicar el nivel de agregación en el que desea contratar su servicio.</w:t>
            </w:r>
          </w:p>
          <w:p w14:paraId="33CFED33" w14:textId="77777777" w:rsidR="005B5734" w:rsidRPr="00D936CA" w:rsidRDefault="005B5734" w:rsidP="00D936CA">
            <w:pPr>
              <w:pStyle w:val="IFTnormal"/>
              <w:numPr>
                <w:ilvl w:val="0"/>
                <w:numId w:val="102"/>
              </w:numPr>
              <w:spacing w:after="120" w:line="240" w:lineRule="auto"/>
              <w:ind w:left="318" w:hanging="284"/>
              <w:rPr>
                <w:sz w:val="20"/>
                <w:szCs w:val="20"/>
              </w:rPr>
            </w:pPr>
            <w:r w:rsidRPr="00D936CA">
              <w:rPr>
                <w:sz w:val="20"/>
                <w:szCs w:val="20"/>
              </w:rPr>
              <w:t>Ubicación distante. El CS deberá enviar el NIS-Referencia del servicio de Compartición de Infraestructura</w:t>
            </w:r>
            <w:r w:rsidRPr="00D936CA">
              <w:rPr>
                <w:rStyle w:val="Refdenotaalpie"/>
                <w:rFonts w:cs="Arial"/>
                <w:lang w:eastAsia="es-MX"/>
              </w:rPr>
              <w:footnoteReference w:id="36"/>
            </w:r>
            <w:r w:rsidRPr="00D936CA">
              <w:rPr>
                <w:rFonts w:cs="Arial"/>
                <w:lang w:eastAsia="es-MX"/>
              </w:rPr>
              <w:t>.</w:t>
            </w:r>
          </w:p>
          <w:p w14:paraId="33CFED34" w14:textId="77777777" w:rsidR="005B5734" w:rsidRPr="00D936CA" w:rsidRDefault="005B5734" w:rsidP="00D936CA">
            <w:pPr>
              <w:pStyle w:val="IFTnormal"/>
              <w:spacing w:after="120" w:line="240" w:lineRule="auto"/>
              <w:ind w:left="34"/>
              <w:rPr>
                <w:sz w:val="20"/>
                <w:szCs w:val="20"/>
              </w:rPr>
            </w:pPr>
            <w:r w:rsidRPr="00D936CA">
              <w:rPr>
                <w:sz w:val="20"/>
                <w:szCs w:val="20"/>
              </w:rPr>
              <w:t>Una vez enviada se asignará de forma automática un número de folio a la solicitud del CS.</w:t>
            </w:r>
          </w:p>
        </w:tc>
      </w:tr>
      <w:tr w:rsidR="00D936CA" w:rsidRPr="00D936CA" w14:paraId="33CFED3A" w14:textId="77777777" w:rsidTr="00060B2E">
        <w:tc>
          <w:tcPr>
            <w:tcW w:w="1496" w:type="pct"/>
            <w:shd w:val="clear" w:color="auto" w:fill="auto"/>
          </w:tcPr>
          <w:p w14:paraId="33CFED36"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04" w:type="pct"/>
            <w:shd w:val="clear" w:color="auto" w:fill="auto"/>
          </w:tcPr>
          <w:p w14:paraId="33CFED37"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D38"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ED39"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xml:space="preserve">, Telmex devolverá la solicitud al CS indicando el motivo de rechazo, para que sea corregida y reenviada </w:t>
            </w:r>
            <w:r w:rsidRPr="00D936CA">
              <w:rPr>
                <w:sz w:val="20"/>
                <w:szCs w:val="20"/>
              </w:rPr>
              <w:lastRenderedPageBreak/>
              <w:t>nuevamente a validación.</w:t>
            </w:r>
          </w:p>
        </w:tc>
      </w:tr>
      <w:tr w:rsidR="00D936CA" w:rsidRPr="00D936CA" w14:paraId="33CFED3F" w14:textId="77777777" w:rsidTr="00060B2E">
        <w:tc>
          <w:tcPr>
            <w:tcW w:w="1496" w:type="pct"/>
          </w:tcPr>
          <w:p w14:paraId="33CFED3B" w14:textId="77777777" w:rsidR="005B5734" w:rsidRPr="00D936CA" w:rsidRDefault="005B5734" w:rsidP="00D936CA">
            <w:pPr>
              <w:pStyle w:val="IFTnormal"/>
              <w:jc w:val="left"/>
              <w:rPr>
                <w:b/>
                <w:sz w:val="20"/>
                <w:szCs w:val="20"/>
              </w:rPr>
            </w:pPr>
            <w:r w:rsidRPr="00D936CA">
              <w:rPr>
                <w:b/>
                <w:sz w:val="20"/>
                <w:szCs w:val="20"/>
              </w:rPr>
              <w:lastRenderedPageBreak/>
              <w:t>Factibilidad Técnica</w:t>
            </w:r>
          </w:p>
        </w:tc>
        <w:tc>
          <w:tcPr>
            <w:tcW w:w="3504" w:type="pct"/>
          </w:tcPr>
          <w:p w14:paraId="33CFED3C" w14:textId="77777777" w:rsidR="005B5734" w:rsidRPr="00D936CA" w:rsidRDefault="005B5734"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3 días hábiles:</w:t>
            </w:r>
          </w:p>
          <w:p w14:paraId="33CFED3D"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Existen facilidades</w:t>
            </w:r>
            <w:r w:rsidRPr="00D936CA">
              <w:rPr>
                <w:sz w:val="20"/>
                <w:szCs w:val="20"/>
              </w:rPr>
              <w:t>, se entregará un NIS por SCyD habilitado, un NIS o referencia por NCAI y un NIS o Referencia por cada pCAI y se enviará cotización. El CS contará con 5 días hábiles para realizar la aceptación de la cotización del servicio</w:t>
            </w:r>
            <w:r w:rsidRPr="00D936CA">
              <w:rPr>
                <w:rStyle w:val="Refdenotaalpie"/>
                <w:rFonts w:cs="Arial"/>
                <w:lang w:eastAsia="es-MX"/>
              </w:rPr>
              <w:footnoteReference w:id="37"/>
            </w:r>
            <w:r w:rsidRPr="00D936CA">
              <w:rPr>
                <w:rFonts w:cs="Arial"/>
                <w:lang w:val="es-ES" w:eastAsia="es-MX"/>
              </w:rPr>
              <w:t xml:space="preserve">. </w:t>
            </w:r>
            <w:r w:rsidRPr="00D936CA">
              <w:rPr>
                <w:sz w:val="20"/>
                <w:szCs w:val="20"/>
              </w:rPr>
              <w:t>Si no se acepta se entenderá que el CS rechazó el servicio.</w:t>
            </w:r>
          </w:p>
          <w:p w14:paraId="33CFED3E"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No existen facilidades</w:t>
            </w:r>
            <w:r w:rsidRPr="00D936CA">
              <w:rPr>
                <w:sz w:val="20"/>
                <w:szCs w:val="20"/>
              </w:rPr>
              <w:t>, se informará al CS la justificación de los motivos descritos en el apartado 1.4, así como las evidencias correspondientes. A solicitud del CS se iniciará el procedimiento de Trabajo Especial contenido en la sección 11 de esta OREDA.</w:t>
            </w:r>
          </w:p>
        </w:tc>
      </w:tr>
      <w:tr w:rsidR="00D936CA" w:rsidRPr="00D936CA" w14:paraId="33CFED42" w14:textId="77777777" w:rsidTr="00060B2E">
        <w:tc>
          <w:tcPr>
            <w:tcW w:w="1496" w:type="pct"/>
          </w:tcPr>
          <w:p w14:paraId="33CFED40" w14:textId="77777777" w:rsidR="005B5734" w:rsidRPr="00D936CA" w:rsidRDefault="005B5734" w:rsidP="00D936CA">
            <w:pPr>
              <w:pStyle w:val="IFTnormal"/>
              <w:jc w:val="left"/>
              <w:rPr>
                <w:b/>
                <w:sz w:val="20"/>
                <w:szCs w:val="20"/>
              </w:rPr>
            </w:pPr>
            <w:r w:rsidRPr="00D936CA">
              <w:rPr>
                <w:b/>
                <w:sz w:val="20"/>
                <w:szCs w:val="20"/>
              </w:rPr>
              <w:t>Habilitación y aprovisionamiento del Servicio</w:t>
            </w:r>
          </w:p>
        </w:tc>
        <w:tc>
          <w:tcPr>
            <w:tcW w:w="3504" w:type="pct"/>
          </w:tcPr>
          <w:p w14:paraId="33CFED41" w14:textId="0DA9DFFC" w:rsidR="005B5734" w:rsidRPr="00D936CA" w:rsidRDefault="005B5734" w:rsidP="00D936CA">
            <w:pPr>
              <w:pStyle w:val="IFTnormal"/>
              <w:rPr>
                <w:sz w:val="20"/>
                <w:szCs w:val="20"/>
              </w:rPr>
            </w:pPr>
            <w:r w:rsidRPr="00D936CA">
              <w:rPr>
                <w:sz w:val="20"/>
                <w:szCs w:val="20"/>
              </w:rPr>
              <w:t>Una vez aceptada la cotización por parte del CS</w:t>
            </w:r>
            <w:r w:rsidR="000220B9">
              <w:rPr>
                <w:sz w:val="20"/>
                <w:szCs w:val="20"/>
              </w:rPr>
              <w:t xml:space="preserve"> en el SEG</w:t>
            </w:r>
            <w:r w:rsidRPr="00D936CA">
              <w:rPr>
                <w:sz w:val="20"/>
                <w:szCs w:val="20"/>
              </w:rPr>
              <w:t>, Telmex notificará cuando esté disponible el servicio en un plazo máximo de 20 días (contados a partir de tener el enlace listo) indicando las VLAN’s configuradas a su servicio local, regional o nacional:</w:t>
            </w:r>
          </w:p>
        </w:tc>
      </w:tr>
      <w:tr w:rsidR="00D936CA" w:rsidRPr="00D936CA" w14:paraId="33CFED46" w14:textId="77777777" w:rsidTr="00060B2E">
        <w:tc>
          <w:tcPr>
            <w:tcW w:w="1496" w:type="pct"/>
          </w:tcPr>
          <w:p w14:paraId="33CFED43" w14:textId="77777777" w:rsidR="005B5734" w:rsidRPr="00D936CA" w:rsidRDefault="005B5734" w:rsidP="00D936CA">
            <w:pPr>
              <w:pStyle w:val="IFTnormal"/>
              <w:jc w:val="left"/>
              <w:rPr>
                <w:b/>
                <w:sz w:val="20"/>
                <w:szCs w:val="20"/>
              </w:rPr>
            </w:pPr>
            <w:r w:rsidRPr="00D936CA">
              <w:rPr>
                <w:b/>
                <w:sz w:val="20"/>
                <w:szCs w:val="20"/>
              </w:rPr>
              <w:t>Pruebas de Aceptación del Servicio</w:t>
            </w:r>
          </w:p>
        </w:tc>
        <w:tc>
          <w:tcPr>
            <w:tcW w:w="3504" w:type="pct"/>
          </w:tcPr>
          <w:p w14:paraId="33CFED44" w14:textId="7CD1770E" w:rsidR="005B5734" w:rsidRPr="00D936CA" w:rsidRDefault="005B5734" w:rsidP="00D936CA">
            <w:pPr>
              <w:pStyle w:val="IFTnormal"/>
              <w:rPr>
                <w:sz w:val="20"/>
                <w:szCs w:val="20"/>
              </w:rPr>
            </w:pPr>
            <w:r w:rsidRPr="00D936CA">
              <w:rPr>
                <w:sz w:val="20"/>
                <w:szCs w:val="20"/>
              </w:rPr>
              <w:t>Los resultados de la prueba realizada en el momento de la habilitación del servicio se capturarán en el SEG. Adicionalmente el CS tendrá 5 días hábiles para realizar la prueba en conjunto del servicio</w:t>
            </w:r>
            <w:r w:rsidRPr="00D936CA">
              <w:rPr>
                <w:rStyle w:val="Refdenotaalpie"/>
                <w:rFonts w:cs="Arial"/>
                <w:lang w:eastAsia="es-MX"/>
              </w:rPr>
              <w:footnoteReference w:id="38"/>
            </w:r>
            <w:r w:rsidRPr="00D936CA">
              <w:rPr>
                <w:sz w:val="20"/>
                <w:szCs w:val="20"/>
              </w:rPr>
              <w:t>, en caso de que no se realice la prueba, se entenderá que el CS ha aceptado de conformidad el servicio.</w:t>
            </w:r>
          </w:p>
          <w:p w14:paraId="33CFED45" w14:textId="77777777" w:rsidR="005B5734" w:rsidRPr="00D936CA" w:rsidRDefault="005B5734" w:rsidP="00D936CA">
            <w:pPr>
              <w:pStyle w:val="IFTnormal"/>
            </w:pPr>
            <w:r w:rsidRPr="00D936CA">
              <w:rPr>
                <w:sz w:val="20"/>
                <w:szCs w:val="20"/>
              </w:rPr>
              <w:t>Una vez realizada la aceptación del servicio, se entregará un Acta de Recepción del Servicio por SCyD y se comenzará a suministrar el tráfico correspondiente.</w:t>
            </w:r>
          </w:p>
        </w:tc>
      </w:tr>
      <w:tr w:rsidR="005B5734" w:rsidRPr="00D936CA" w14:paraId="33CFED4B" w14:textId="77777777" w:rsidTr="00060B2E">
        <w:tc>
          <w:tcPr>
            <w:tcW w:w="1496" w:type="pct"/>
          </w:tcPr>
          <w:p w14:paraId="33CFED47" w14:textId="77777777" w:rsidR="005B5734" w:rsidRPr="00D936CA" w:rsidRDefault="005B5734" w:rsidP="00D936CA">
            <w:pPr>
              <w:pStyle w:val="IFTnormal"/>
              <w:jc w:val="left"/>
              <w:rPr>
                <w:b/>
                <w:sz w:val="20"/>
                <w:szCs w:val="20"/>
              </w:rPr>
            </w:pPr>
            <w:r w:rsidRPr="00D936CA">
              <w:rPr>
                <w:b/>
                <w:sz w:val="20"/>
                <w:szCs w:val="20"/>
              </w:rPr>
              <w:t>Facturación</w:t>
            </w:r>
          </w:p>
        </w:tc>
        <w:tc>
          <w:tcPr>
            <w:tcW w:w="3504" w:type="pct"/>
          </w:tcPr>
          <w:p w14:paraId="33CFED48" w14:textId="77777777" w:rsidR="005B5734" w:rsidRPr="00D936CA" w:rsidRDefault="005B5734" w:rsidP="00D936CA">
            <w:pPr>
              <w:pStyle w:val="IFTnormal"/>
              <w:rPr>
                <w:sz w:val="20"/>
                <w:szCs w:val="20"/>
              </w:rPr>
            </w:pPr>
            <w:r w:rsidRPr="00D936CA">
              <w:rPr>
                <w:sz w:val="20"/>
                <w:szCs w:val="20"/>
              </w:rPr>
              <w:t>Al corte del mes se realizará la facturación aplicable al servicio:</w:t>
            </w:r>
          </w:p>
          <w:p w14:paraId="33CFED49" w14:textId="77777777" w:rsidR="005B5734" w:rsidRPr="00D936CA" w:rsidRDefault="005B5734"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ED4A" w14:textId="77777777" w:rsidR="005B5734" w:rsidRPr="00D936CA" w:rsidRDefault="005B5734"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D4C" w14:textId="77777777" w:rsidR="005B5734" w:rsidRPr="00D936CA" w:rsidRDefault="005B5734" w:rsidP="00060B2E">
      <w:pPr>
        <w:spacing w:after="200" w:line="276" w:lineRule="auto"/>
        <w:ind w:left="-567" w:right="-142"/>
        <w:jc w:val="both"/>
        <w:rPr>
          <w:rFonts w:ascii="ITC Avant Garde" w:hAnsi="ITC Avant Garde" w:cs="Arial"/>
          <w:b/>
          <w:sz w:val="22"/>
          <w:szCs w:val="22"/>
          <w:lang w:val="es-MX" w:eastAsia="es-MX"/>
        </w:rPr>
      </w:pPr>
    </w:p>
    <w:p w14:paraId="33CFED4D" w14:textId="77777777" w:rsidR="005B5734" w:rsidRPr="00D936CA" w:rsidRDefault="005B5734"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cs="Arial"/>
          <w:b/>
          <w:sz w:val="22"/>
          <w:szCs w:val="22"/>
          <w:lang w:val="es-MX" w:eastAsia="es-MX"/>
        </w:rPr>
        <w:lastRenderedPageBreak/>
        <w:t>Solicitud de pCAI por SCyD</w:t>
      </w:r>
      <w:r w:rsidRPr="00D936CA">
        <w:rPr>
          <w:rFonts w:ascii="ITC Avant Garde" w:hAnsi="ITC Avant Garde"/>
          <w:b/>
          <w:sz w:val="22"/>
          <w:szCs w:val="22"/>
          <w:lang w:val="es-MX"/>
        </w:rPr>
        <w:t>.</w:t>
      </w:r>
    </w:p>
    <w:p w14:paraId="33CFED4E" w14:textId="77777777" w:rsidR="005B5734" w:rsidRPr="00D936CA" w:rsidRDefault="005B5734"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solicitud de un nuevo pCAI en un SCyD en operación;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solicitar el servicio, las características que solicita para el mismo, y la validación por parte de Telmex de que la solicitud cuenta con todos los elementos para la solicitud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(iii)</w:t>
      </w:r>
      <w:r w:rsidRPr="00D936CA">
        <w:rPr>
          <w:rFonts w:ascii="ITC Avant Garde" w:hAnsi="ITC Avant Garde" w:cs="Arial"/>
          <w:sz w:val="22"/>
          <w:szCs w:val="22"/>
        </w:rPr>
        <w:t xml:space="preserve"> Habilitación y aprovisionamiento del servicio solicitado, que detonará los procesos de pruebas de entrega y facturación del servicio.</w:t>
      </w:r>
    </w:p>
    <w:tbl>
      <w:tblPr>
        <w:tblStyle w:val="Tablaconcuadrcula"/>
        <w:tblW w:w="5385" w:type="pct"/>
        <w:tblInd w:w="-572" w:type="dxa"/>
        <w:tblLook w:val="04A0" w:firstRow="1" w:lastRow="0" w:firstColumn="1" w:lastColumn="0" w:noHBand="0" w:noVBand="1"/>
      </w:tblPr>
      <w:tblGrid>
        <w:gridCol w:w="3039"/>
        <w:gridCol w:w="7270"/>
      </w:tblGrid>
      <w:tr w:rsidR="00D936CA" w:rsidRPr="00D936CA" w14:paraId="33CFED51" w14:textId="77777777" w:rsidTr="00060B2E">
        <w:tc>
          <w:tcPr>
            <w:tcW w:w="1474" w:type="pct"/>
          </w:tcPr>
          <w:p w14:paraId="33CFED4F" w14:textId="77777777" w:rsidR="005B5734" w:rsidRPr="00D936CA" w:rsidRDefault="005B5734" w:rsidP="00D936CA">
            <w:pPr>
              <w:pStyle w:val="IFTnormal"/>
              <w:jc w:val="center"/>
              <w:rPr>
                <w:b/>
                <w:sz w:val="20"/>
                <w:szCs w:val="20"/>
              </w:rPr>
            </w:pPr>
            <w:r w:rsidRPr="00D936CA">
              <w:rPr>
                <w:b/>
                <w:sz w:val="20"/>
                <w:szCs w:val="20"/>
              </w:rPr>
              <w:t>Etapa</w:t>
            </w:r>
          </w:p>
        </w:tc>
        <w:tc>
          <w:tcPr>
            <w:tcW w:w="3526" w:type="pct"/>
          </w:tcPr>
          <w:p w14:paraId="33CFED50"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D55" w14:textId="77777777" w:rsidTr="00060B2E">
        <w:tc>
          <w:tcPr>
            <w:tcW w:w="1474" w:type="pct"/>
          </w:tcPr>
          <w:p w14:paraId="33CFED52"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26" w:type="pct"/>
          </w:tcPr>
          <w:p w14:paraId="33CFED53" w14:textId="24618AEE" w:rsidR="005B5734" w:rsidRPr="00D936CA" w:rsidRDefault="005B5734" w:rsidP="00D936CA">
            <w:pPr>
              <w:pStyle w:val="IFTnormal"/>
              <w:rPr>
                <w:sz w:val="20"/>
                <w:szCs w:val="20"/>
              </w:rPr>
            </w:pPr>
            <w:r w:rsidRPr="00D936CA">
              <w:rPr>
                <w:sz w:val="20"/>
                <w:szCs w:val="20"/>
              </w:rPr>
              <w:t xml:space="preserve">El CS deberá presentar sus solicitudes en el formato correspondiente a través del </w:t>
            </w:r>
            <w:r w:rsidR="000A31DD" w:rsidRPr="00D936CA">
              <w:rPr>
                <w:sz w:val="20"/>
                <w:szCs w:val="20"/>
              </w:rPr>
              <w:t>SEG:</w:t>
            </w:r>
          </w:p>
          <w:p w14:paraId="33CFED54" w14:textId="77777777" w:rsidR="005B5734" w:rsidRPr="00D936CA" w:rsidRDefault="005B5734" w:rsidP="00D936CA">
            <w:pPr>
              <w:pStyle w:val="IFTnormal"/>
              <w:numPr>
                <w:ilvl w:val="0"/>
                <w:numId w:val="102"/>
              </w:numPr>
              <w:spacing w:after="120" w:line="240" w:lineRule="auto"/>
              <w:ind w:left="318" w:hanging="284"/>
              <w:rPr>
                <w:sz w:val="20"/>
                <w:szCs w:val="20"/>
              </w:rPr>
            </w:pPr>
            <w:r w:rsidRPr="00D936CA">
              <w:rPr>
                <w:sz w:val="20"/>
                <w:szCs w:val="20"/>
              </w:rPr>
              <w:t>Especificando como referencia el número de NIS-Referencia de SCyD en el cual desea habilitar un nuevo pCAI</w:t>
            </w:r>
          </w:p>
        </w:tc>
      </w:tr>
      <w:tr w:rsidR="00D936CA" w:rsidRPr="00D936CA" w14:paraId="33CFED5A" w14:textId="77777777" w:rsidTr="00060B2E">
        <w:tc>
          <w:tcPr>
            <w:tcW w:w="1474" w:type="pct"/>
          </w:tcPr>
          <w:p w14:paraId="33CFED56"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26" w:type="pct"/>
          </w:tcPr>
          <w:p w14:paraId="33CFED57"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D58"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ED59"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ED5F" w14:textId="77777777" w:rsidTr="00060B2E">
        <w:tc>
          <w:tcPr>
            <w:tcW w:w="1474" w:type="pct"/>
          </w:tcPr>
          <w:p w14:paraId="33CFED5B" w14:textId="77777777" w:rsidR="005B5734" w:rsidRPr="00D936CA" w:rsidRDefault="005B5734" w:rsidP="00D936CA">
            <w:pPr>
              <w:pStyle w:val="IFTnormal"/>
              <w:jc w:val="left"/>
              <w:rPr>
                <w:b/>
                <w:sz w:val="20"/>
                <w:szCs w:val="20"/>
              </w:rPr>
            </w:pPr>
            <w:r w:rsidRPr="00D936CA">
              <w:rPr>
                <w:b/>
                <w:sz w:val="20"/>
                <w:szCs w:val="20"/>
              </w:rPr>
              <w:t>Factibilidad Técnica</w:t>
            </w:r>
          </w:p>
        </w:tc>
        <w:tc>
          <w:tcPr>
            <w:tcW w:w="3526" w:type="pct"/>
          </w:tcPr>
          <w:p w14:paraId="33CFED5C" w14:textId="77777777" w:rsidR="005B5734" w:rsidRPr="00D936CA" w:rsidRDefault="005B5734"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3 días hábiles:</w:t>
            </w:r>
          </w:p>
          <w:p w14:paraId="33CFED5D"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Existen facilidades</w:t>
            </w:r>
            <w:r w:rsidRPr="00D936CA">
              <w:rPr>
                <w:sz w:val="20"/>
                <w:szCs w:val="20"/>
              </w:rPr>
              <w:t>, el CS contará con 5 días para aceptar el servicio.</w:t>
            </w:r>
          </w:p>
          <w:p w14:paraId="33CFED5E"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No existen facilidades</w:t>
            </w:r>
            <w:r w:rsidRPr="00D936CA">
              <w:rPr>
                <w:sz w:val="20"/>
                <w:szCs w:val="20"/>
              </w:rPr>
              <w:t>, a solicitud del CS se iniciará el procedimiento de Trabajos Especiales contenido en la sección 11 de esta OREDA.</w:t>
            </w:r>
          </w:p>
        </w:tc>
      </w:tr>
      <w:tr w:rsidR="00D936CA" w:rsidRPr="00D936CA" w14:paraId="33CFED62" w14:textId="77777777" w:rsidTr="00060B2E">
        <w:tc>
          <w:tcPr>
            <w:tcW w:w="1474" w:type="pct"/>
          </w:tcPr>
          <w:p w14:paraId="33CFED60" w14:textId="77777777" w:rsidR="005B5734" w:rsidRPr="00D936CA" w:rsidRDefault="005B5734" w:rsidP="00D936CA">
            <w:pPr>
              <w:pStyle w:val="IFTnormal"/>
              <w:jc w:val="left"/>
              <w:rPr>
                <w:b/>
                <w:sz w:val="20"/>
                <w:szCs w:val="20"/>
              </w:rPr>
            </w:pPr>
            <w:r w:rsidRPr="00D936CA">
              <w:rPr>
                <w:b/>
                <w:sz w:val="20"/>
                <w:szCs w:val="20"/>
              </w:rPr>
              <w:t>Habilitación y aprovisionamiento del Servicio</w:t>
            </w:r>
          </w:p>
        </w:tc>
        <w:tc>
          <w:tcPr>
            <w:tcW w:w="3526" w:type="pct"/>
          </w:tcPr>
          <w:p w14:paraId="33CFED61" w14:textId="77777777" w:rsidR="005B5734" w:rsidRPr="00D936CA" w:rsidRDefault="005B5734" w:rsidP="00D936CA">
            <w:pPr>
              <w:pStyle w:val="IFTnormal"/>
              <w:rPr>
                <w:sz w:val="20"/>
                <w:szCs w:val="20"/>
              </w:rPr>
            </w:pPr>
            <w:r w:rsidRPr="00D936CA">
              <w:rPr>
                <w:sz w:val="20"/>
                <w:szCs w:val="20"/>
              </w:rPr>
              <w:t>Telmex realizará la habilitación del pCAI en un plazo máximo de 20 días hábiles, una vez que el CS acepte el servicio. Si el CS no acepta se entenderá que rechazó el servicio</w:t>
            </w:r>
            <w:r w:rsidRPr="00D936CA">
              <w:rPr>
                <w:rFonts w:cs="Arial"/>
              </w:rPr>
              <w:t>.</w:t>
            </w:r>
          </w:p>
        </w:tc>
      </w:tr>
      <w:tr w:rsidR="00D936CA" w:rsidRPr="00D936CA" w14:paraId="33CFED65" w14:textId="77777777" w:rsidTr="00060B2E">
        <w:tc>
          <w:tcPr>
            <w:tcW w:w="1474" w:type="pct"/>
          </w:tcPr>
          <w:p w14:paraId="33CFED63" w14:textId="77777777" w:rsidR="005B5734" w:rsidRPr="00D936CA" w:rsidRDefault="005B5734" w:rsidP="00D936CA">
            <w:pPr>
              <w:pStyle w:val="IFTnormal"/>
              <w:jc w:val="left"/>
              <w:rPr>
                <w:b/>
                <w:sz w:val="20"/>
                <w:szCs w:val="20"/>
              </w:rPr>
            </w:pPr>
            <w:r w:rsidRPr="00D936CA">
              <w:rPr>
                <w:b/>
                <w:sz w:val="20"/>
                <w:szCs w:val="20"/>
              </w:rPr>
              <w:t>Pruebas de Aceptación del Servicio</w:t>
            </w:r>
          </w:p>
        </w:tc>
        <w:tc>
          <w:tcPr>
            <w:tcW w:w="3526" w:type="pct"/>
          </w:tcPr>
          <w:p w14:paraId="33CFED64" w14:textId="77777777" w:rsidR="005B5734" w:rsidRPr="00D936CA" w:rsidRDefault="005B5734" w:rsidP="00D936CA">
            <w:pPr>
              <w:pStyle w:val="IFTnormal"/>
              <w:rPr>
                <w:sz w:val="20"/>
                <w:szCs w:val="20"/>
              </w:rPr>
            </w:pPr>
            <w:r w:rsidRPr="00D936CA">
              <w:rPr>
                <w:sz w:val="20"/>
                <w:szCs w:val="20"/>
              </w:rPr>
              <w:t>En el momento de la entrega del servicio Telmex asignará un nuevo NIS-Referencia para el pCAI.</w:t>
            </w:r>
          </w:p>
        </w:tc>
      </w:tr>
      <w:tr w:rsidR="005B5734" w:rsidRPr="00D936CA" w14:paraId="33CFED6A" w14:textId="77777777" w:rsidTr="00060B2E">
        <w:tc>
          <w:tcPr>
            <w:tcW w:w="1474" w:type="pct"/>
          </w:tcPr>
          <w:p w14:paraId="33CFED66" w14:textId="77777777" w:rsidR="005B5734" w:rsidRPr="00D936CA" w:rsidRDefault="005B5734" w:rsidP="00D936CA">
            <w:pPr>
              <w:pStyle w:val="IFTnormal"/>
              <w:jc w:val="left"/>
              <w:rPr>
                <w:b/>
                <w:sz w:val="20"/>
                <w:szCs w:val="20"/>
              </w:rPr>
            </w:pPr>
            <w:r w:rsidRPr="00D936CA">
              <w:rPr>
                <w:b/>
                <w:sz w:val="20"/>
                <w:szCs w:val="20"/>
              </w:rPr>
              <w:t>Facturación</w:t>
            </w:r>
          </w:p>
        </w:tc>
        <w:tc>
          <w:tcPr>
            <w:tcW w:w="3526" w:type="pct"/>
          </w:tcPr>
          <w:p w14:paraId="33CFED67" w14:textId="77777777" w:rsidR="005B5734" w:rsidRPr="00D936CA" w:rsidRDefault="005B5734" w:rsidP="00D936CA">
            <w:pPr>
              <w:pStyle w:val="IFTnormal"/>
              <w:rPr>
                <w:sz w:val="20"/>
                <w:szCs w:val="20"/>
              </w:rPr>
            </w:pPr>
            <w:r w:rsidRPr="00D936CA">
              <w:rPr>
                <w:sz w:val="20"/>
                <w:szCs w:val="20"/>
              </w:rPr>
              <w:t>Al corte del mes se realizará la facturación aplicable al servicio:</w:t>
            </w:r>
          </w:p>
          <w:p w14:paraId="33CFED68" w14:textId="77777777" w:rsidR="005B5734" w:rsidRPr="00D936CA" w:rsidRDefault="005B5734" w:rsidP="00D936CA">
            <w:pPr>
              <w:pStyle w:val="IFTnormal"/>
              <w:numPr>
                <w:ilvl w:val="0"/>
                <w:numId w:val="102"/>
              </w:numPr>
              <w:ind w:left="318" w:hanging="284"/>
              <w:rPr>
                <w:sz w:val="20"/>
                <w:szCs w:val="20"/>
              </w:rPr>
            </w:pPr>
            <w:r w:rsidRPr="00D936CA">
              <w:rPr>
                <w:sz w:val="20"/>
                <w:szCs w:val="20"/>
              </w:rPr>
              <w:lastRenderedPageBreak/>
              <w:t>Se incluirán los gastos de instalación y la renta mensual correspondiente.</w:t>
            </w:r>
          </w:p>
          <w:p w14:paraId="33CFED69" w14:textId="77777777" w:rsidR="005B5734" w:rsidRPr="00D936CA" w:rsidRDefault="005B5734"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D6B" w14:textId="77777777" w:rsidR="005B5734" w:rsidRPr="00D936CA" w:rsidRDefault="005B5734" w:rsidP="00060B2E">
      <w:pPr>
        <w:spacing w:after="200" w:line="276" w:lineRule="auto"/>
        <w:ind w:left="-567" w:right="-142"/>
        <w:jc w:val="both"/>
        <w:rPr>
          <w:rFonts w:ascii="ITC Avant Garde" w:hAnsi="ITC Avant Garde" w:cs="Arial"/>
          <w:b/>
          <w:sz w:val="22"/>
          <w:szCs w:val="22"/>
          <w:lang w:val="es-ES" w:eastAsia="es-MX"/>
        </w:rPr>
      </w:pPr>
    </w:p>
    <w:p w14:paraId="33CFED6C" w14:textId="77777777" w:rsidR="005B5734" w:rsidRPr="00D936CA" w:rsidRDefault="005B5734" w:rsidP="00060B2E">
      <w:pPr>
        <w:tabs>
          <w:tab w:val="left" w:pos="7187"/>
        </w:tabs>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Ampliación/Eliminación de NCAI por SCyD</w:t>
      </w:r>
      <w:r w:rsidRPr="00D936CA">
        <w:rPr>
          <w:rStyle w:val="Refdenotaalpie"/>
          <w:rFonts w:ascii="ITC Avant Garde" w:hAnsi="ITC Avant Garde"/>
          <w:b/>
          <w:sz w:val="22"/>
          <w:szCs w:val="22"/>
          <w:lang w:val="es-MX"/>
        </w:rPr>
        <w:footnoteReference w:id="39"/>
      </w:r>
      <w:r w:rsidRPr="00D936CA">
        <w:rPr>
          <w:rFonts w:ascii="ITC Avant Garde" w:hAnsi="ITC Avant Garde"/>
          <w:b/>
          <w:sz w:val="22"/>
          <w:szCs w:val="22"/>
          <w:lang w:val="es-MX"/>
        </w:rPr>
        <w:t>:</w:t>
      </w:r>
      <w:r w:rsidRPr="00D936CA">
        <w:rPr>
          <w:rFonts w:ascii="ITC Avant Garde" w:hAnsi="ITC Avant Garde"/>
          <w:b/>
          <w:sz w:val="22"/>
          <w:szCs w:val="22"/>
          <w:lang w:val="es-MX"/>
        </w:rPr>
        <w:tab/>
      </w:r>
    </w:p>
    <w:p w14:paraId="33CFED6D" w14:textId="77777777" w:rsidR="005B5734" w:rsidRPr="00D936CA" w:rsidRDefault="005B5734"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ampliación o eliminación de un NCAI por SCyD en operación;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del servicio, las características que solicita para el mismo, y la validación por parte de Telmex de que la solicitud cuenta con todos los elementos;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(iii)</w:t>
      </w:r>
      <w:r w:rsidRPr="00D936CA">
        <w:rPr>
          <w:rFonts w:ascii="ITC Avant Garde" w:hAnsi="ITC Avant Garde" w:cs="Arial"/>
          <w:sz w:val="22"/>
          <w:szCs w:val="22"/>
        </w:rPr>
        <w:t xml:space="preserve"> Habilitación del servicio solicitado, que detonará los procesos de pruebas de entrega e inicio del servicio.</w:t>
      </w:r>
    </w:p>
    <w:tbl>
      <w:tblPr>
        <w:tblStyle w:val="Tablaconcuadrcula"/>
        <w:tblW w:w="5306" w:type="pct"/>
        <w:tblInd w:w="-572" w:type="dxa"/>
        <w:tblLook w:val="04A0" w:firstRow="1" w:lastRow="0" w:firstColumn="1" w:lastColumn="0" w:noHBand="0" w:noVBand="1"/>
      </w:tblPr>
      <w:tblGrid>
        <w:gridCol w:w="3039"/>
        <w:gridCol w:w="7119"/>
      </w:tblGrid>
      <w:tr w:rsidR="00D936CA" w:rsidRPr="00D936CA" w14:paraId="33CFED70" w14:textId="77777777" w:rsidTr="00060B2E">
        <w:tc>
          <w:tcPr>
            <w:tcW w:w="1496" w:type="pct"/>
          </w:tcPr>
          <w:p w14:paraId="33CFED6E" w14:textId="77777777" w:rsidR="005B5734" w:rsidRPr="00D936CA" w:rsidRDefault="005B5734" w:rsidP="00D936CA">
            <w:pPr>
              <w:pStyle w:val="IFTnormal"/>
              <w:jc w:val="center"/>
              <w:rPr>
                <w:b/>
                <w:sz w:val="20"/>
                <w:szCs w:val="20"/>
              </w:rPr>
            </w:pPr>
            <w:r w:rsidRPr="00D936CA">
              <w:rPr>
                <w:b/>
                <w:sz w:val="20"/>
                <w:szCs w:val="20"/>
              </w:rPr>
              <w:t>Etapa</w:t>
            </w:r>
          </w:p>
        </w:tc>
        <w:tc>
          <w:tcPr>
            <w:tcW w:w="3504" w:type="pct"/>
          </w:tcPr>
          <w:p w14:paraId="33CFED6F"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D73" w14:textId="77777777" w:rsidTr="00060B2E">
        <w:tc>
          <w:tcPr>
            <w:tcW w:w="1496" w:type="pct"/>
          </w:tcPr>
          <w:p w14:paraId="33CFED71"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04" w:type="pct"/>
          </w:tcPr>
          <w:p w14:paraId="33CFED72" w14:textId="4FDDAAB4" w:rsidR="005B5734" w:rsidRPr="00D936CA" w:rsidRDefault="005B5734" w:rsidP="00D936CA">
            <w:pPr>
              <w:pStyle w:val="IFTnormal"/>
              <w:rPr>
                <w:sz w:val="20"/>
                <w:szCs w:val="20"/>
              </w:rPr>
            </w:pPr>
            <w:r w:rsidRPr="00D936CA">
              <w:rPr>
                <w:sz w:val="20"/>
                <w:szCs w:val="20"/>
              </w:rPr>
              <w:t xml:space="preserve">El CS deberá presentar sus solicitudes en el formato correspondiente a través del </w:t>
            </w:r>
            <w:r w:rsidRPr="00285AAF">
              <w:rPr>
                <w:sz w:val="20"/>
                <w:szCs w:val="20"/>
              </w:rPr>
              <w:t>SEG,</w:t>
            </w:r>
            <w:r w:rsidRPr="00D936CA">
              <w:rPr>
                <w:sz w:val="20"/>
                <w:szCs w:val="20"/>
              </w:rPr>
              <w:t xml:space="preserve"> se dará seguimiento a la solicitud con folio hasta que se asigne un NIS.</w:t>
            </w:r>
          </w:p>
        </w:tc>
      </w:tr>
      <w:tr w:rsidR="00D936CA" w:rsidRPr="00D936CA" w14:paraId="33CFED78" w14:textId="77777777" w:rsidTr="00060B2E">
        <w:tc>
          <w:tcPr>
            <w:tcW w:w="1496" w:type="pct"/>
          </w:tcPr>
          <w:p w14:paraId="33CFED74"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04" w:type="pct"/>
            <w:shd w:val="clear" w:color="auto" w:fill="auto"/>
          </w:tcPr>
          <w:p w14:paraId="33CFED75"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D76"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ED77"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ED7D" w14:textId="77777777" w:rsidTr="00060B2E">
        <w:tc>
          <w:tcPr>
            <w:tcW w:w="1496" w:type="pct"/>
          </w:tcPr>
          <w:p w14:paraId="33CFED79" w14:textId="77777777" w:rsidR="005B5734" w:rsidRPr="00D936CA" w:rsidRDefault="005B5734" w:rsidP="00D936CA">
            <w:pPr>
              <w:pStyle w:val="IFTnormal"/>
              <w:jc w:val="left"/>
              <w:rPr>
                <w:b/>
                <w:sz w:val="20"/>
                <w:szCs w:val="20"/>
              </w:rPr>
            </w:pPr>
            <w:r w:rsidRPr="00D936CA">
              <w:rPr>
                <w:b/>
                <w:sz w:val="20"/>
                <w:szCs w:val="20"/>
              </w:rPr>
              <w:t>Factibilidad Técnica</w:t>
            </w:r>
          </w:p>
        </w:tc>
        <w:tc>
          <w:tcPr>
            <w:tcW w:w="3504" w:type="pct"/>
          </w:tcPr>
          <w:p w14:paraId="33CFED7A" w14:textId="77777777" w:rsidR="005B5734" w:rsidRPr="00D936CA" w:rsidRDefault="005B5734"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3 días hábiles:</w:t>
            </w:r>
          </w:p>
          <w:p w14:paraId="33CFED7B"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Existen facilidades</w:t>
            </w:r>
            <w:r w:rsidRPr="00D936CA">
              <w:rPr>
                <w:sz w:val="20"/>
                <w:szCs w:val="20"/>
              </w:rPr>
              <w:t xml:space="preserve">, se asignará un NIS-Referencia para cada NCAI que se desea agregar, así mismo el CS contará con 5 días para </w:t>
            </w:r>
            <w:r w:rsidRPr="00D936CA">
              <w:rPr>
                <w:sz w:val="20"/>
                <w:szCs w:val="20"/>
              </w:rPr>
              <w:lastRenderedPageBreak/>
              <w:t>aceptar el servicio. En caso contrario se entenderá que el CS rechazó el servicio.</w:t>
            </w:r>
          </w:p>
          <w:p w14:paraId="33CFED7C" w14:textId="13C2063B" w:rsidR="005B5734" w:rsidRPr="00D936CA" w:rsidRDefault="005B5734" w:rsidP="00D936CA">
            <w:pPr>
              <w:pStyle w:val="IFTnormal"/>
              <w:numPr>
                <w:ilvl w:val="0"/>
                <w:numId w:val="102"/>
              </w:numPr>
              <w:ind w:left="318" w:hanging="318"/>
              <w:rPr>
                <w:sz w:val="20"/>
                <w:szCs w:val="20"/>
              </w:rPr>
            </w:pPr>
            <w:r w:rsidRPr="00D936CA">
              <w:rPr>
                <w:b/>
                <w:sz w:val="20"/>
                <w:szCs w:val="20"/>
              </w:rPr>
              <w:t>No existen facilidades</w:t>
            </w:r>
            <w:r w:rsidRPr="00D936CA">
              <w:rPr>
                <w:sz w:val="20"/>
                <w:szCs w:val="20"/>
              </w:rPr>
              <w:t xml:space="preserve">, se presentará al CS, a través del SEG, la justificación de los motivos descritos en el apartado 1.4 relativo a los recursos de red asociados a los servicios, así como las evidencias correspondientes. A solicitud del CS se iniciará el procedimiento de Trabajo Especial contenido en la sección 11 de esta OREDA. </w:t>
            </w:r>
          </w:p>
        </w:tc>
      </w:tr>
      <w:tr w:rsidR="00D936CA" w:rsidRPr="00D936CA" w14:paraId="33CFED86" w14:textId="77777777" w:rsidTr="00060B2E">
        <w:tc>
          <w:tcPr>
            <w:tcW w:w="1496" w:type="pct"/>
          </w:tcPr>
          <w:p w14:paraId="33CFED7E" w14:textId="77777777" w:rsidR="005B5734" w:rsidRPr="00D936CA" w:rsidRDefault="005B5734" w:rsidP="00D936CA">
            <w:pPr>
              <w:pStyle w:val="IFTnormal"/>
              <w:jc w:val="left"/>
              <w:rPr>
                <w:b/>
                <w:sz w:val="20"/>
                <w:szCs w:val="20"/>
              </w:rPr>
            </w:pPr>
            <w:r w:rsidRPr="00D936CA">
              <w:rPr>
                <w:b/>
                <w:sz w:val="20"/>
                <w:szCs w:val="20"/>
              </w:rPr>
              <w:lastRenderedPageBreak/>
              <w:t>Habilitación y aprovisionamiento del Servicio</w:t>
            </w:r>
          </w:p>
        </w:tc>
        <w:tc>
          <w:tcPr>
            <w:tcW w:w="3504" w:type="pct"/>
          </w:tcPr>
          <w:p w14:paraId="33CFED7F" w14:textId="25330C99" w:rsidR="005B5734" w:rsidRPr="00D936CA" w:rsidRDefault="005B5734" w:rsidP="00D936CA">
            <w:pPr>
              <w:pStyle w:val="IFTnormal"/>
              <w:rPr>
                <w:sz w:val="20"/>
                <w:szCs w:val="20"/>
              </w:rPr>
            </w:pPr>
            <w:r w:rsidRPr="00D936CA">
              <w:rPr>
                <w:sz w:val="20"/>
                <w:szCs w:val="20"/>
              </w:rPr>
              <w:t>Una vez recibida la aceptación por parte del CS considerando los siguientes escenarios, en donde Telmex notificará al CS cuando esté disponible el servicio indicando las VLAN’s configuradas a su servicio local, regional o nacional:</w:t>
            </w:r>
          </w:p>
          <w:p w14:paraId="33CFED80" w14:textId="77777777" w:rsidR="005B5734" w:rsidRPr="00D936CA" w:rsidRDefault="005B5734" w:rsidP="00D936CA">
            <w:pPr>
              <w:pStyle w:val="IFTnormal"/>
              <w:rPr>
                <w:sz w:val="20"/>
                <w:szCs w:val="20"/>
              </w:rPr>
            </w:pPr>
            <w:r w:rsidRPr="00D936CA">
              <w:rPr>
                <w:b/>
                <w:sz w:val="20"/>
                <w:szCs w:val="20"/>
              </w:rPr>
              <w:t>Coubicacion Interna:</w:t>
            </w:r>
          </w:p>
          <w:p w14:paraId="33CFED81" w14:textId="41BD87BC" w:rsidR="005B5734" w:rsidRPr="00793025" w:rsidRDefault="005B5734" w:rsidP="00D936CA">
            <w:pPr>
              <w:pStyle w:val="IFTnormal"/>
              <w:numPr>
                <w:ilvl w:val="0"/>
                <w:numId w:val="115"/>
              </w:numPr>
              <w:rPr>
                <w:sz w:val="20"/>
                <w:szCs w:val="20"/>
              </w:rPr>
            </w:pPr>
            <w:r w:rsidRPr="00793025">
              <w:rPr>
                <w:sz w:val="20"/>
                <w:szCs w:val="20"/>
              </w:rPr>
              <w:t xml:space="preserve">Se habilitará el servicio en un plazo máximo de 20 días hábiles, por cada </w:t>
            </w:r>
            <w:r w:rsidR="00793025" w:rsidRPr="00060B2E">
              <w:rPr>
                <w:sz w:val="20"/>
                <w:szCs w:val="20"/>
              </w:rPr>
              <w:t>100</w:t>
            </w:r>
            <w:r w:rsidR="00CD51E4" w:rsidRPr="00793025">
              <w:rPr>
                <w:sz w:val="20"/>
                <w:szCs w:val="20"/>
              </w:rPr>
              <w:t xml:space="preserve"> equipos de acceso</w:t>
            </w:r>
            <w:r w:rsidR="00704708">
              <w:rPr>
                <w:sz w:val="20"/>
                <w:szCs w:val="20"/>
              </w:rPr>
              <w:t xml:space="preserve">, independientemente del número de </w:t>
            </w:r>
            <w:r w:rsidRPr="00793025">
              <w:rPr>
                <w:sz w:val="20"/>
                <w:szCs w:val="20"/>
              </w:rPr>
              <w:t>NCAI que se habilite</w:t>
            </w:r>
            <w:r w:rsidR="00704708">
              <w:rPr>
                <w:sz w:val="20"/>
                <w:szCs w:val="20"/>
              </w:rPr>
              <w:t>n</w:t>
            </w:r>
            <w:r w:rsidRPr="00793025">
              <w:rPr>
                <w:sz w:val="20"/>
                <w:szCs w:val="20"/>
              </w:rPr>
              <w:t xml:space="preserve"> en el SCyD, </w:t>
            </w:r>
            <w:r w:rsidR="00CD51E4" w:rsidRPr="00793025">
              <w:rPr>
                <w:sz w:val="20"/>
                <w:szCs w:val="20"/>
              </w:rPr>
              <w:t xml:space="preserve">y </w:t>
            </w:r>
            <w:r w:rsidR="00793025" w:rsidRPr="00060B2E">
              <w:rPr>
                <w:sz w:val="20"/>
                <w:szCs w:val="20"/>
              </w:rPr>
              <w:t>1</w:t>
            </w:r>
            <w:r w:rsidR="00CD51E4" w:rsidRPr="00793025">
              <w:rPr>
                <w:sz w:val="20"/>
                <w:szCs w:val="20"/>
              </w:rPr>
              <w:t xml:space="preserve"> día</w:t>
            </w:r>
            <w:r w:rsidR="00793025" w:rsidRPr="00060B2E">
              <w:rPr>
                <w:sz w:val="20"/>
                <w:szCs w:val="20"/>
              </w:rPr>
              <w:t xml:space="preserve"> adicional </w:t>
            </w:r>
            <w:r w:rsidR="00CD51E4" w:rsidRPr="00793025">
              <w:rPr>
                <w:sz w:val="20"/>
                <w:szCs w:val="20"/>
              </w:rPr>
              <w:t xml:space="preserve">por cada </w:t>
            </w:r>
            <w:r w:rsidR="00793025" w:rsidRPr="00060B2E">
              <w:rPr>
                <w:sz w:val="20"/>
                <w:szCs w:val="20"/>
              </w:rPr>
              <w:t xml:space="preserve">5 </w:t>
            </w:r>
            <w:r w:rsidR="00CD51E4" w:rsidRPr="00793025">
              <w:rPr>
                <w:sz w:val="20"/>
                <w:szCs w:val="20"/>
              </w:rPr>
              <w:t>equipo</w:t>
            </w:r>
            <w:r w:rsidR="00793025" w:rsidRPr="00060B2E">
              <w:rPr>
                <w:sz w:val="20"/>
                <w:szCs w:val="20"/>
              </w:rPr>
              <w:t>s</w:t>
            </w:r>
            <w:r w:rsidR="00CD51E4" w:rsidRPr="00793025">
              <w:rPr>
                <w:sz w:val="20"/>
                <w:szCs w:val="20"/>
              </w:rPr>
              <w:t xml:space="preserve"> de acceso adicional</w:t>
            </w:r>
            <w:r w:rsidR="00793025" w:rsidRPr="00060B2E">
              <w:rPr>
                <w:sz w:val="20"/>
                <w:szCs w:val="20"/>
              </w:rPr>
              <w:t>es</w:t>
            </w:r>
            <w:r w:rsidR="00CD51E4" w:rsidRPr="00793025">
              <w:rPr>
                <w:sz w:val="20"/>
                <w:szCs w:val="20"/>
              </w:rPr>
              <w:t xml:space="preserve">, </w:t>
            </w:r>
            <w:r w:rsidRPr="00793025">
              <w:rPr>
                <w:sz w:val="20"/>
                <w:szCs w:val="20"/>
              </w:rPr>
              <w:t>los cuales se contabilizarán a partir del ingreso de la solicitud.</w:t>
            </w:r>
          </w:p>
          <w:p w14:paraId="13A90805" w14:textId="77777777" w:rsidR="00310137" w:rsidRDefault="00310137" w:rsidP="00D936CA">
            <w:pPr>
              <w:pStyle w:val="IFTnormal"/>
              <w:rPr>
                <w:b/>
                <w:sz w:val="20"/>
                <w:szCs w:val="20"/>
              </w:rPr>
            </w:pPr>
          </w:p>
          <w:p w14:paraId="33CFED82" w14:textId="47D363D0" w:rsidR="005B5734" w:rsidRPr="00D936CA" w:rsidRDefault="005B5734" w:rsidP="00D936CA">
            <w:pPr>
              <w:pStyle w:val="IFTnormal"/>
              <w:rPr>
                <w:b/>
                <w:sz w:val="20"/>
                <w:szCs w:val="20"/>
              </w:rPr>
            </w:pPr>
            <w:r w:rsidRPr="00D936CA">
              <w:rPr>
                <w:b/>
                <w:sz w:val="20"/>
                <w:szCs w:val="20"/>
              </w:rPr>
              <w:t xml:space="preserve">Coubicacion Externa: </w:t>
            </w:r>
          </w:p>
          <w:p w14:paraId="33CFED83" w14:textId="77777777" w:rsidR="005B5734" w:rsidRPr="00D936CA" w:rsidRDefault="005B5734" w:rsidP="00D936CA">
            <w:pPr>
              <w:pStyle w:val="IFTnormal"/>
              <w:numPr>
                <w:ilvl w:val="0"/>
                <w:numId w:val="115"/>
              </w:numPr>
              <w:rPr>
                <w:sz w:val="20"/>
                <w:szCs w:val="20"/>
              </w:rPr>
            </w:pPr>
            <w:r w:rsidRPr="00D936CA">
              <w:rPr>
                <w:sz w:val="20"/>
                <w:szCs w:val="20"/>
              </w:rPr>
              <w:t>Se habilitará el servicio en un plazo máximo de 30 días hábiles, por cada NCAI que se habilite en el SCyD, los cuales se contabilizarán a partir del ingreso de la solicitud.</w:t>
            </w:r>
          </w:p>
          <w:p w14:paraId="33CFED84" w14:textId="77777777" w:rsidR="005B5734" w:rsidRPr="00D936CA" w:rsidRDefault="005B5734" w:rsidP="00D936CA">
            <w:pPr>
              <w:pStyle w:val="IFTnormal"/>
              <w:rPr>
                <w:b/>
                <w:sz w:val="20"/>
                <w:szCs w:val="20"/>
              </w:rPr>
            </w:pPr>
            <w:r w:rsidRPr="00D936CA">
              <w:rPr>
                <w:b/>
                <w:sz w:val="20"/>
                <w:szCs w:val="20"/>
              </w:rPr>
              <w:t xml:space="preserve">Ubicación Distante: </w:t>
            </w:r>
          </w:p>
          <w:p w14:paraId="33CFED85" w14:textId="77777777" w:rsidR="005B5734" w:rsidRPr="00D936CA" w:rsidRDefault="005B5734" w:rsidP="00D936CA">
            <w:pPr>
              <w:pStyle w:val="IFTnormal"/>
              <w:numPr>
                <w:ilvl w:val="0"/>
                <w:numId w:val="115"/>
              </w:numPr>
              <w:rPr>
                <w:sz w:val="20"/>
                <w:szCs w:val="20"/>
              </w:rPr>
            </w:pPr>
            <w:r w:rsidRPr="00D936CA">
              <w:rPr>
                <w:sz w:val="20"/>
                <w:szCs w:val="20"/>
              </w:rPr>
              <w:t>El servicio será instalado en un máximo de 45 días hábiles por cada SCyD habilitado, los cuales se contabilizarán a partir del ingreso de la solicitud.</w:t>
            </w:r>
          </w:p>
        </w:tc>
      </w:tr>
      <w:tr w:rsidR="00D936CA" w:rsidRPr="00D936CA" w14:paraId="33CFED8A" w14:textId="77777777" w:rsidTr="00060B2E">
        <w:tc>
          <w:tcPr>
            <w:tcW w:w="1496" w:type="pct"/>
          </w:tcPr>
          <w:p w14:paraId="33CFED87" w14:textId="77777777" w:rsidR="005B5734" w:rsidRPr="00D936CA" w:rsidRDefault="005B5734" w:rsidP="00D936CA">
            <w:pPr>
              <w:pStyle w:val="IFTnormal"/>
              <w:jc w:val="left"/>
              <w:rPr>
                <w:b/>
                <w:sz w:val="20"/>
                <w:szCs w:val="20"/>
              </w:rPr>
            </w:pPr>
            <w:r w:rsidRPr="00D936CA">
              <w:rPr>
                <w:b/>
                <w:sz w:val="20"/>
                <w:szCs w:val="20"/>
              </w:rPr>
              <w:t>Pruebas de Aceptación del Servicio</w:t>
            </w:r>
          </w:p>
        </w:tc>
        <w:tc>
          <w:tcPr>
            <w:tcW w:w="3504" w:type="pct"/>
          </w:tcPr>
          <w:p w14:paraId="33CFED88" w14:textId="5EEAA3D5" w:rsidR="005B5734" w:rsidRPr="00D936CA" w:rsidRDefault="005B5734" w:rsidP="00D936CA">
            <w:pPr>
              <w:pStyle w:val="IFTnormal"/>
              <w:rPr>
                <w:sz w:val="20"/>
                <w:szCs w:val="20"/>
              </w:rPr>
            </w:pPr>
            <w:r w:rsidRPr="00D936CA">
              <w:rPr>
                <w:sz w:val="20"/>
                <w:szCs w:val="20"/>
              </w:rPr>
              <w:t>Los resultados de la prueba realizada en el momento de la habilitación del servicio se capturarán en el SEG. Adicionalmente el CS tendrá 5 días hábiles para realizar la prueba en conjunto del servicio</w:t>
            </w:r>
            <w:r w:rsidRPr="00D936CA">
              <w:rPr>
                <w:rStyle w:val="Refdenotaalpie"/>
                <w:rFonts w:cs="Arial"/>
                <w:lang w:eastAsia="es-MX"/>
              </w:rPr>
              <w:footnoteReference w:id="40"/>
            </w:r>
            <w:r w:rsidRPr="00D936CA">
              <w:rPr>
                <w:sz w:val="20"/>
                <w:szCs w:val="20"/>
              </w:rPr>
              <w:t>, en caso de que no se realice la prueba, se entenderá que el CS ha aceptado de conformidad el servicio.</w:t>
            </w:r>
          </w:p>
          <w:p w14:paraId="33CFED89" w14:textId="77777777" w:rsidR="005B5734" w:rsidRPr="00D936CA" w:rsidRDefault="005B5734" w:rsidP="00D936CA">
            <w:pPr>
              <w:pStyle w:val="IFTnormal"/>
              <w:rPr>
                <w:sz w:val="20"/>
                <w:szCs w:val="20"/>
              </w:rPr>
            </w:pPr>
            <w:r w:rsidRPr="00D936CA">
              <w:rPr>
                <w:sz w:val="20"/>
                <w:szCs w:val="20"/>
              </w:rPr>
              <w:lastRenderedPageBreak/>
              <w:t>Una vez realizada la aceptación del servicio, se entregará un Acta de Recepción del Servicio por SCyD y se comenzará a suministrar el tráfico correspondiente.</w:t>
            </w:r>
          </w:p>
        </w:tc>
      </w:tr>
      <w:tr w:rsidR="00D936CA" w:rsidRPr="00D936CA" w14:paraId="33CFED8F" w14:textId="77777777" w:rsidTr="00060B2E">
        <w:tc>
          <w:tcPr>
            <w:tcW w:w="1496" w:type="pct"/>
          </w:tcPr>
          <w:p w14:paraId="33CFED8B" w14:textId="77777777" w:rsidR="005B5734" w:rsidRPr="00D936CA" w:rsidRDefault="005B5734" w:rsidP="00D936CA">
            <w:pPr>
              <w:pStyle w:val="IFTnormal"/>
              <w:jc w:val="left"/>
              <w:rPr>
                <w:b/>
                <w:sz w:val="20"/>
                <w:szCs w:val="20"/>
              </w:rPr>
            </w:pPr>
            <w:r w:rsidRPr="00D936CA">
              <w:rPr>
                <w:b/>
                <w:sz w:val="20"/>
                <w:szCs w:val="20"/>
              </w:rPr>
              <w:lastRenderedPageBreak/>
              <w:t>Facturación</w:t>
            </w:r>
          </w:p>
        </w:tc>
        <w:tc>
          <w:tcPr>
            <w:tcW w:w="3504" w:type="pct"/>
          </w:tcPr>
          <w:p w14:paraId="33CFED8C" w14:textId="77777777" w:rsidR="005B5734" w:rsidRPr="00D936CA" w:rsidRDefault="005B5734" w:rsidP="00D936CA">
            <w:pPr>
              <w:pStyle w:val="IFTnormal"/>
              <w:rPr>
                <w:sz w:val="20"/>
                <w:szCs w:val="20"/>
              </w:rPr>
            </w:pPr>
            <w:r w:rsidRPr="00D936CA">
              <w:rPr>
                <w:sz w:val="20"/>
                <w:szCs w:val="20"/>
              </w:rPr>
              <w:t>Al corte del mes se realizará la facturación aplicable al servicio:</w:t>
            </w:r>
          </w:p>
          <w:p w14:paraId="33CFED8D" w14:textId="77777777" w:rsidR="005B5734" w:rsidRPr="00D936CA" w:rsidRDefault="005B5734"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ED8E" w14:textId="77777777" w:rsidR="005B5734" w:rsidRPr="00D936CA" w:rsidRDefault="005B5734"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D90" w14:textId="77777777" w:rsidR="005B5734" w:rsidRPr="00D936CA" w:rsidRDefault="005B5734"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Nota:</w:t>
      </w:r>
    </w:p>
    <w:p w14:paraId="33CFED91" w14:textId="77777777" w:rsidR="005B5734" w:rsidRPr="00D936CA" w:rsidRDefault="005B5734"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CS deberá verificar que la habilitación del NCAI sea posible de acuerdo a la cantidad de pCAI que tenga habilitados en el SCyD.</w:t>
      </w:r>
    </w:p>
    <w:p w14:paraId="33CFED92" w14:textId="77777777" w:rsidR="005B5734" w:rsidRPr="00D936CA" w:rsidRDefault="005B5734"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Baja del SCyD</w:t>
      </w:r>
    </w:p>
    <w:p w14:paraId="33CFED93" w14:textId="77777777" w:rsidR="005B5734" w:rsidRPr="00D936CA" w:rsidRDefault="005B5734"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Concentración y Distribución prestados a través de uno o varios pCAI en un NCAI; las fases en que se divide este procedimiento son: (i) Entrega y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y (ii) Baja de los pCAI.</w:t>
      </w:r>
    </w:p>
    <w:tbl>
      <w:tblPr>
        <w:tblStyle w:val="Tablaconcuadrcula"/>
        <w:tblW w:w="5306" w:type="pct"/>
        <w:tblInd w:w="-572" w:type="dxa"/>
        <w:tblLook w:val="04A0" w:firstRow="1" w:lastRow="0" w:firstColumn="1" w:lastColumn="0" w:noHBand="0" w:noVBand="1"/>
      </w:tblPr>
      <w:tblGrid>
        <w:gridCol w:w="3039"/>
        <w:gridCol w:w="7119"/>
      </w:tblGrid>
      <w:tr w:rsidR="00D936CA" w:rsidRPr="00D936CA" w14:paraId="33CFED96" w14:textId="77777777" w:rsidTr="00060B2E">
        <w:tc>
          <w:tcPr>
            <w:tcW w:w="1496" w:type="pct"/>
          </w:tcPr>
          <w:p w14:paraId="33CFED94" w14:textId="77777777" w:rsidR="005B5734" w:rsidRPr="00D936CA" w:rsidRDefault="005B5734" w:rsidP="00D936CA">
            <w:pPr>
              <w:pStyle w:val="IFTnormal"/>
              <w:jc w:val="center"/>
              <w:rPr>
                <w:b/>
                <w:sz w:val="20"/>
                <w:szCs w:val="20"/>
              </w:rPr>
            </w:pPr>
            <w:r w:rsidRPr="00D936CA">
              <w:rPr>
                <w:b/>
                <w:sz w:val="20"/>
                <w:szCs w:val="20"/>
              </w:rPr>
              <w:t>Etapa</w:t>
            </w:r>
          </w:p>
        </w:tc>
        <w:tc>
          <w:tcPr>
            <w:tcW w:w="3504" w:type="pct"/>
          </w:tcPr>
          <w:p w14:paraId="33CFED95"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D99" w14:textId="77777777" w:rsidTr="00060B2E">
        <w:tc>
          <w:tcPr>
            <w:tcW w:w="1496" w:type="pct"/>
          </w:tcPr>
          <w:p w14:paraId="33CFED97"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04" w:type="pct"/>
          </w:tcPr>
          <w:p w14:paraId="33CFED98" w14:textId="1691E3F2" w:rsidR="005B5734" w:rsidRPr="00D936CA" w:rsidRDefault="005B5734" w:rsidP="00D936CA">
            <w:pPr>
              <w:pStyle w:val="IFTnormal"/>
              <w:rPr>
                <w:sz w:val="20"/>
                <w:szCs w:val="20"/>
              </w:rPr>
            </w:pPr>
            <w:r w:rsidRPr="00D936CA">
              <w:rPr>
                <w:sz w:val="20"/>
                <w:szCs w:val="20"/>
              </w:rPr>
              <w:t>El CS deberá presentar sus solicitudes en el SEG, indicando el NIS-Referencia del servicio en operación.</w:t>
            </w:r>
          </w:p>
        </w:tc>
      </w:tr>
      <w:tr w:rsidR="00D936CA" w:rsidRPr="00D936CA" w14:paraId="33CFED9E" w14:textId="77777777" w:rsidTr="00060B2E">
        <w:tc>
          <w:tcPr>
            <w:tcW w:w="1496" w:type="pct"/>
          </w:tcPr>
          <w:p w14:paraId="33CFED9A"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04" w:type="pct"/>
          </w:tcPr>
          <w:p w14:paraId="33CFED9B"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D9C"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 se dará seguimiento con un Número de Identificación de Solicitud (NIS).</w:t>
            </w:r>
          </w:p>
          <w:p w14:paraId="33CFED9D"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5B5734" w:rsidRPr="00D936CA" w14:paraId="33CFEDA1" w14:textId="77777777" w:rsidTr="00060B2E">
        <w:tc>
          <w:tcPr>
            <w:tcW w:w="1496" w:type="pct"/>
          </w:tcPr>
          <w:p w14:paraId="33CFED9F" w14:textId="77777777" w:rsidR="005B5734" w:rsidRPr="00D936CA" w:rsidRDefault="005B5734" w:rsidP="00D936CA">
            <w:pPr>
              <w:pStyle w:val="IFTnormal"/>
              <w:jc w:val="left"/>
              <w:rPr>
                <w:b/>
                <w:sz w:val="20"/>
                <w:szCs w:val="20"/>
              </w:rPr>
            </w:pPr>
            <w:r w:rsidRPr="00D936CA">
              <w:rPr>
                <w:b/>
                <w:sz w:val="20"/>
                <w:szCs w:val="20"/>
              </w:rPr>
              <w:t>Baja de servicio</w:t>
            </w:r>
          </w:p>
        </w:tc>
        <w:tc>
          <w:tcPr>
            <w:tcW w:w="3504" w:type="pct"/>
          </w:tcPr>
          <w:p w14:paraId="33CFEDA0" w14:textId="77777777" w:rsidR="005B5734" w:rsidRPr="00D936CA" w:rsidRDefault="005B5734" w:rsidP="00D936CA">
            <w:pPr>
              <w:pStyle w:val="IFTnormal"/>
              <w:numPr>
                <w:ilvl w:val="0"/>
                <w:numId w:val="102"/>
              </w:numPr>
              <w:ind w:left="318" w:hanging="318"/>
              <w:rPr>
                <w:sz w:val="20"/>
                <w:szCs w:val="20"/>
              </w:rPr>
            </w:pPr>
            <w:r w:rsidRPr="00D936CA">
              <w:rPr>
                <w:sz w:val="20"/>
                <w:szCs w:val="20"/>
              </w:rPr>
              <w:t>Una vez asignado el NIS se dará de baja el o los pCAI en un plazo máximo de 1 día hábil.</w:t>
            </w:r>
          </w:p>
        </w:tc>
      </w:tr>
    </w:tbl>
    <w:p w14:paraId="33CFEDA2" w14:textId="77777777" w:rsidR="00A57892" w:rsidRPr="00D936CA" w:rsidRDefault="00A57892" w:rsidP="00D936CA">
      <w:pPr>
        <w:rPr>
          <w:rFonts w:cs="Arial"/>
          <w:lang w:val="es-MX" w:eastAsia="es-MX"/>
        </w:rPr>
      </w:pPr>
    </w:p>
    <w:p w14:paraId="33CFEDA3" w14:textId="77777777" w:rsidR="00A57892" w:rsidRPr="00D936CA" w:rsidRDefault="00A57892" w:rsidP="00D936CA">
      <w:pPr>
        <w:pStyle w:val="Prrafodelista"/>
        <w:spacing w:after="200" w:line="276" w:lineRule="auto"/>
        <w:ind w:left="720"/>
        <w:jc w:val="both"/>
        <w:rPr>
          <w:rFonts w:ascii="ITC Avant Garde" w:hAnsi="ITC Avant Garde" w:cs="Arial"/>
          <w:sz w:val="22"/>
          <w:szCs w:val="22"/>
          <w:lang w:val="es-MX" w:eastAsia="es-MX"/>
        </w:rPr>
      </w:pPr>
    </w:p>
    <w:p w14:paraId="33CFEDA4" w14:textId="77777777" w:rsidR="00A57892" w:rsidRPr="00D936CA" w:rsidRDefault="00A57892" w:rsidP="00D936CA">
      <w:pPr>
        <w:pStyle w:val="Ttulo2"/>
        <w:numPr>
          <w:ilvl w:val="1"/>
          <w:numId w:val="143"/>
        </w:numPr>
        <w:tabs>
          <w:tab w:val="left" w:pos="993"/>
        </w:tabs>
        <w:ind w:left="851" w:hanging="425"/>
      </w:pPr>
      <w:bookmarkStart w:id="497" w:name="_Toc467248726"/>
      <w:bookmarkStart w:id="498" w:name="_Toc518032009"/>
      <w:r w:rsidRPr="00D936CA">
        <w:lastRenderedPageBreak/>
        <w:t>Plazos de Entrega de SCyD</w:t>
      </w:r>
      <w:bookmarkEnd w:id="497"/>
      <w:bookmarkEnd w:id="498"/>
    </w:p>
    <w:p w14:paraId="33CFEDA5" w14:textId="75E26B77" w:rsidR="00A57892" w:rsidRPr="006A43A3" w:rsidRDefault="00A57892" w:rsidP="00D936CA">
      <w:pPr>
        <w:pStyle w:val="Prrafodelista"/>
        <w:numPr>
          <w:ilvl w:val="0"/>
          <w:numId w:val="30"/>
        </w:numPr>
        <w:spacing w:after="200" w:line="276" w:lineRule="auto"/>
        <w:jc w:val="both"/>
        <w:rPr>
          <w:rFonts w:ascii="ITC Avant Garde" w:hAnsi="ITC Avant Garde" w:cs="Arial"/>
          <w:sz w:val="22"/>
          <w:szCs w:val="22"/>
        </w:rPr>
      </w:pPr>
      <w:r w:rsidRPr="00D936CA">
        <w:rPr>
          <w:rFonts w:ascii="ITC Avant Garde" w:hAnsi="ITC Avant Garde" w:cs="Arial"/>
          <w:sz w:val="22"/>
          <w:szCs w:val="22"/>
        </w:rPr>
        <w:t xml:space="preserve">Habilitación y entrega del SCyD en </w:t>
      </w:r>
      <w:r w:rsidRPr="00704708">
        <w:rPr>
          <w:rFonts w:ascii="ITC Avant Garde" w:hAnsi="ITC Avant Garde" w:cs="Arial"/>
          <w:sz w:val="22"/>
          <w:szCs w:val="22"/>
        </w:rPr>
        <w:t xml:space="preserve">Coubicación interna (validación de la solicitud, verificación de factibilidad y habilitación): 20 días hábiles por </w:t>
      </w:r>
      <w:r w:rsidR="00704708" w:rsidRPr="00060B2E">
        <w:rPr>
          <w:rFonts w:ascii="ITC Avant Garde" w:hAnsi="ITC Avant Garde" w:cs="Arial"/>
          <w:sz w:val="22"/>
          <w:szCs w:val="22"/>
        </w:rPr>
        <w:t>hasta 100</w:t>
      </w:r>
      <w:r w:rsidR="00A10AA7" w:rsidRPr="00060B2E">
        <w:rPr>
          <w:rFonts w:ascii="ITC Avant Garde" w:hAnsi="ITC Avant Garde" w:cs="Arial"/>
          <w:sz w:val="22"/>
          <w:szCs w:val="22"/>
        </w:rPr>
        <w:t xml:space="preserve"> equipos </w:t>
      </w:r>
      <w:r w:rsidR="00704708" w:rsidRPr="00060B2E">
        <w:rPr>
          <w:rFonts w:ascii="ITC Avant Garde" w:hAnsi="ITC Avant Garde" w:cs="Arial"/>
          <w:sz w:val="22"/>
          <w:szCs w:val="22"/>
        </w:rPr>
        <w:t xml:space="preserve">de acceso, independientemente del número de </w:t>
      </w:r>
      <w:r w:rsidRPr="00704708">
        <w:rPr>
          <w:rFonts w:ascii="ITC Avant Garde" w:hAnsi="ITC Avant Garde" w:cs="Arial"/>
          <w:sz w:val="22"/>
          <w:szCs w:val="22"/>
        </w:rPr>
        <w:t>NCAI</w:t>
      </w:r>
      <w:r w:rsidR="00704708" w:rsidRPr="00060B2E">
        <w:rPr>
          <w:rFonts w:ascii="ITC Avant Garde" w:hAnsi="ITC Avant Garde" w:cs="Arial"/>
          <w:sz w:val="22"/>
          <w:szCs w:val="22"/>
        </w:rPr>
        <w:t xml:space="preserve"> solicitados</w:t>
      </w:r>
      <w:r w:rsidRPr="00704708">
        <w:rPr>
          <w:rFonts w:ascii="ITC Avant Garde" w:hAnsi="ITC Avant Garde" w:cs="Arial"/>
          <w:sz w:val="22"/>
          <w:szCs w:val="22"/>
        </w:rPr>
        <w:t>, que se contabilizarán a partir de la solicitud</w:t>
      </w:r>
      <w:r w:rsidR="00A10AA7" w:rsidRPr="00704708">
        <w:rPr>
          <w:rFonts w:ascii="ITC Avant Garde" w:hAnsi="ITC Avant Garde" w:cs="Arial"/>
          <w:sz w:val="22"/>
          <w:szCs w:val="22"/>
        </w:rPr>
        <w:t xml:space="preserve">, por cada </w:t>
      </w:r>
      <w:r w:rsidR="00704708" w:rsidRPr="00060B2E">
        <w:rPr>
          <w:rFonts w:ascii="ITC Avant Garde" w:hAnsi="ITC Avant Garde" w:cs="Arial"/>
          <w:sz w:val="22"/>
          <w:szCs w:val="22"/>
        </w:rPr>
        <w:t>5</w:t>
      </w:r>
      <w:r w:rsidR="00A10AA7" w:rsidRPr="00704708">
        <w:rPr>
          <w:rFonts w:ascii="ITC Avant Garde" w:hAnsi="ITC Avant Garde" w:cs="Arial"/>
          <w:sz w:val="22"/>
          <w:szCs w:val="22"/>
        </w:rPr>
        <w:t xml:space="preserve"> equipos adicionales se aumentará un día a dicho plazo.</w:t>
      </w:r>
    </w:p>
    <w:p w14:paraId="33CFEDA6" w14:textId="11872A1A" w:rsidR="00A57892" w:rsidRPr="00D936CA" w:rsidRDefault="00A57892" w:rsidP="00D936CA">
      <w:pPr>
        <w:pStyle w:val="Prrafodelista"/>
        <w:numPr>
          <w:ilvl w:val="0"/>
          <w:numId w:val="30"/>
        </w:numPr>
        <w:spacing w:after="200" w:line="276" w:lineRule="auto"/>
        <w:jc w:val="both"/>
        <w:rPr>
          <w:rFonts w:ascii="ITC Avant Garde" w:hAnsi="ITC Avant Garde" w:cs="Arial"/>
          <w:sz w:val="22"/>
          <w:szCs w:val="22"/>
        </w:rPr>
      </w:pPr>
      <w:r w:rsidRPr="00D936CA">
        <w:rPr>
          <w:rFonts w:ascii="ITC Avant Garde" w:hAnsi="ITC Avant Garde" w:cs="Arial"/>
          <w:sz w:val="22"/>
          <w:szCs w:val="22"/>
        </w:rPr>
        <w:t xml:space="preserve">Habilitación y entrega del SCyD en Coubicación externa (validación de la solicitud, verificación de factibilidad y habilitación): 30 días hábiles por </w:t>
      </w:r>
      <w:r w:rsidR="00704708">
        <w:rPr>
          <w:rFonts w:ascii="ITC Avant Garde" w:hAnsi="ITC Avant Garde" w:cs="Arial"/>
          <w:sz w:val="22"/>
          <w:szCs w:val="22"/>
        </w:rPr>
        <w:t xml:space="preserve">hasta 100 </w:t>
      </w:r>
      <w:r w:rsidR="00A10AA7">
        <w:rPr>
          <w:rFonts w:ascii="ITC Avant Garde" w:hAnsi="ITC Avant Garde" w:cs="Arial"/>
          <w:sz w:val="22"/>
          <w:szCs w:val="22"/>
        </w:rPr>
        <w:t xml:space="preserve">equipos </w:t>
      </w:r>
      <w:r w:rsidR="00704708">
        <w:rPr>
          <w:rFonts w:ascii="ITC Avant Garde" w:hAnsi="ITC Avant Garde" w:cs="Arial"/>
          <w:sz w:val="22"/>
          <w:szCs w:val="22"/>
        </w:rPr>
        <w:t>de acceso, independientemente del número de</w:t>
      </w:r>
      <w:r w:rsidR="00A10AA7">
        <w:rPr>
          <w:rFonts w:ascii="ITC Avant Garde" w:hAnsi="ITC Avant Garde" w:cs="Arial"/>
          <w:sz w:val="22"/>
          <w:szCs w:val="22"/>
        </w:rPr>
        <w:t xml:space="preserve"> </w:t>
      </w:r>
      <w:r w:rsidRPr="00D936CA">
        <w:rPr>
          <w:rFonts w:ascii="ITC Avant Garde" w:hAnsi="ITC Avant Garde" w:cs="Arial"/>
          <w:sz w:val="22"/>
          <w:szCs w:val="22"/>
        </w:rPr>
        <w:t>NCAI</w:t>
      </w:r>
      <w:r w:rsidR="00704708">
        <w:rPr>
          <w:rFonts w:ascii="ITC Avant Garde" w:hAnsi="ITC Avant Garde" w:cs="Arial"/>
          <w:sz w:val="22"/>
          <w:szCs w:val="22"/>
        </w:rPr>
        <w:t xml:space="preserve"> solicitados</w:t>
      </w:r>
      <w:r w:rsidRPr="00D936CA">
        <w:rPr>
          <w:rFonts w:ascii="ITC Avant Garde" w:hAnsi="ITC Avant Garde" w:cs="Arial"/>
          <w:sz w:val="22"/>
          <w:szCs w:val="22"/>
        </w:rPr>
        <w:t>, que se contabilizarán a partir de la solicitud</w:t>
      </w:r>
      <w:r w:rsidR="00A10AA7">
        <w:rPr>
          <w:rFonts w:ascii="ITC Avant Garde" w:hAnsi="ITC Avant Garde" w:cs="Arial"/>
          <w:sz w:val="22"/>
          <w:szCs w:val="22"/>
        </w:rPr>
        <w:t xml:space="preserve">, por cada </w:t>
      </w:r>
      <w:r w:rsidR="00704708">
        <w:rPr>
          <w:rFonts w:ascii="ITC Avant Garde" w:hAnsi="ITC Avant Garde" w:cs="Arial"/>
          <w:sz w:val="22"/>
          <w:szCs w:val="22"/>
        </w:rPr>
        <w:t>5</w:t>
      </w:r>
      <w:r w:rsidR="00A10AA7">
        <w:rPr>
          <w:rFonts w:ascii="ITC Avant Garde" w:hAnsi="ITC Avant Garde" w:cs="Arial"/>
          <w:sz w:val="22"/>
          <w:szCs w:val="22"/>
        </w:rPr>
        <w:t xml:space="preserve"> equipos adicionales se aumentará un día a dicho plazo</w:t>
      </w:r>
      <w:r w:rsidRPr="00D936CA">
        <w:rPr>
          <w:rFonts w:ascii="ITC Avant Garde" w:hAnsi="ITC Avant Garde" w:cs="Arial"/>
          <w:sz w:val="22"/>
          <w:szCs w:val="22"/>
        </w:rPr>
        <w:t>.</w:t>
      </w:r>
    </w:p>
    <w:p w14:paraId="33CFEDA7" w14:textId="4B2DC023" w:rsidR="00A57892" w:rsidRPr="00D936CA" w:rsidRDefault="00A57892" w:rsidP="00D936CA">
      <w:pPr>
        <w:pStyle w:val="Prrafodelista"/>
        <w:numPr>
          <w:ilvl w:val="0"/>
          <w:numId w:val="30"/>
        </w:numPr>
        <w:spacing w:after="200" w:line="276" w:lineRule="auto"/>
        <w:jc w:val="both"/>
        <w:rPr>
          <w:rFonts w:ascii="ITC Avant Garde" w:hAnsi="ITC Avant Garde" w:cs="Arial"/>
          <w:sz w:val="22"/>
          <w:szCs w:val="22"/>
        </w:rPr>
      </w:pPr>
      <w:r w:rsidRPr="00D936CA">
        <w:rPr>
          <w:rFonts w:ascii="ITC Avant Garde" w:hAnsi="ITC Avant Garde" w:cs="Arial"/>
          <w:sz w:val="22"/>
          <w:szCs w:val="22"/>
        </w:rPr>
        <w:t xml:space="preserve">Habilitación y entrega del SCyD en Ubicación distante (validación de la solicitud, verificación de factibilidad y habilitación): 45 días hábiles por </w:t>
      </w:r>
      <w:r w:rsidR="00704708">
        <w:rPr>
          <w:rFonts w:ascii="ITC Avant Garde" w:hAnsi="ITC Avant Garde" w:cs="Arial"/>
          <w:sz w:val="22"/>
          <w:szCs w:val="22"/>
        </w:rPr>
        <w:t xml:space="preserve">hasta 100 </w:t>
      </w:r>
      <w:r w:rsidR="00A10AA7">
        <w:rPr>
          <w:rFonts w:ascii="ITC Avant Garde" w:hAnsi="ITC Avant Garde" w:cs="Arial"/>
          <w:sz w:val="22"/>
          <w:szCs w:val="22"/>
        </w:rPr>
        <w:t xml:space="preserve">equipos </w:t>
      </w:r>
      <w:r w:rsidR="00704708">
        <w:rPr>
          <w:rFonts w:ascii="ITC Avant Garde" w:hAnsi="ITC Avant Garde" w:cs="Arial"/>
          <w:sz w:val="22"/>
          <w:szCs w:val="22"/>
        </w:rPr>
        <w:t>de acceso, independientemente del número de</w:t>
      </w:r>
      <w:r w:rsidR="00A10AA7">
        <w:rPr>
          <w:rFonts w:ascii="ITC Avant Garde" w:hAnsi="ITC Avant Garde" w:cs="Arial"/>
          <w:sz w:val="22"/>
          <w:szCs w:val="22"/>
        </w:rPr>
        <w:t xml:space="preserve"> </w:t>
      </w:r>
      <w:r w:rsidRPr="00D936CA">
        <w:rPr>
          <w:rFonts w:ascii="ITC Avant Garde" w:hAnsi="ITC Avant Garde" w:cs="Arial"/>
          <w:sz w:val="22"/>
          <w:szCs w:val="22"/>
        </w:rPr>
        <w:t>NCAI</w:t>
      </w:r>
      <w:r w:rsidR="00704708">
        <w:rPr>
          <w:rFonts w:ascii="ITC Avant Garde" w:hAnsi="ITC Avant Garde" w:cs="Arial"/>
          <w:sz w:val="22"/>
          <w:szCs w:val="22"/>
        </w:rPr>
        <w:t xml:space="preserve"> solicitados</w:t>
      </w:r>
      <w:r w:rsidRPr="00D936CA">
        <w:rPr>
          <w:rFonts w:ascii="ITC Avant Garde" w:hAnsi="ITC Avant Garde" w:cs="Arial"/>
          <w:sz w:val="22"/>
          <w:szCs w:val="22"/>
        </w:rPr>
        <w:t>, que se contabilizarán a partir de la solicitud</w:t>
      </w:r>
      <w:r w:rsidR="00A10AA7">
        <w:rPr>
          <w:rFonts w:ascii="ITC Avant Garde" w:hAnsi="ITC Avant Garde" w:cs="Arial"/>
          <w:sz w:val="22"/>
          <w:szCs w:val="22"/>
        </w:rPr>
        <w:t xml:space="preserve">, por cada </w:t>
      </w:r>
      <w:r w:rsidR="00704708">
        <w:rPr>
          <w:rFonts w:ascii="ITC Avant Garde" w:hAnsi="ITC Avant Garde" w:cs="Arial"/>
          <w:sz w:val="22"/>
          <w:szCs w:val="22"/>
        </w:rPr>
        <w:t>5</w:t>
      </w:r>
      <w:r w:rsidR="00A10AA7">
        <w:rPr>
          <w:rFonts w:ascii="ITC Avant Garde" w:hAnsi="ITC Avant Garde" w:cs="Arial"/>
          <w:sz w:val="22"/>
          <w:szCs w:val="22"/>
        </w:rPr>
        <w:t xml:space="preserve"> equipo</w:t>
      </w:r>
      <w:r w:rsidR="00704708">
        <w:rPr>
          <w:rFonts w:ascii="ITC Avant Garde" w:hAnsi="ITC Avant Garde" w:cs="Arial"/>
          <w:sz w:val="22"/>
          <w:szCs w:val="22"/>
        </w:rPr>
        <w:t>s</w:t>
      </w:r>
      <w:r w:rsidR="00A10AA7">
        <w:rPr>
          <w:rFonts w:ascii="ITC Avant Garde" w:hAnsi="ITC Avant Garde" w:cs="Arial"/>
          <w:sz w:val="22"/>
          <w:szCs w:val="22"/>
        </w:rPr>
        <w:t xml:space="preserve"> adicionales se aumentará un día a dicho plazo</w:t>
      </w:r>
      <w:r w:rsidRPr="00D936CA">
        <w:rPr>
          <w:rFonts w:ascii="ITC Avant Garde" w:hAnsi="ITC Avant Garde" w:cs="Arial"/>
          <w:sz w:val="22"/>
          <w:szCs w:val="22"/>
        </w:rPr>
        <w:t>.</w:t>
      </w:r>
    </w:p>
    <w:p w14:paraId="33CFEDA8" w14:textId="77777777" w:rsidR="00A57892" w:rsidRPr="00D936CA" w:rsidRDefault="00A57892" w:rsidP="00D936CA">
      <w:pPr>
        <w:pStyle w:val="Prrafodelista"/>
        <w:spacing w:after="200" w:line="276" w:lineRule="auto"/>
        <w:ind w:left="720"/>
        <w:jc w:val="both"/>
        <w:rPr>
          <w:rFonts w:ascii="ITC Avant Garde" w:hAnsi="ITC Avant Garde" w:cs="Arial"/>
          <w:sz w:val="22"/>
          <w:szCs w:val="22"/>
        </w:rPr>
      </w:pPr>
    </w:p>
    <w:p w14:paraId="33CFEDA9" w14:textId="77777777" w:rsidR="00A57892" w:rsidRPr="00D936CA" w:rsidRDefault="00A57892" w:rsidP="00D936CA">
      <w:pPr>
        <w:pStyle w:val="Ttulo2"/>
        <w:numPr>
          <w:ilvl w:val="1"/>
          <w:numId w:val="143"/>
        </w:numPr>
        <w:tabs>
          <w:tab w:val="left" w:pos="993"/>
        </w:tabs>
        <w:ind w:left="851" w:hanging="425"/>
      </w:pPr>
      <w:bookmarkStart w:id="499" w:name="_Toc467248727"/>
      <w:bookmarkStart w:id="500" w:name="_Toc518032010"/>
      <w:r w:rsidRPr="00D936CA">
        <w:t>Parámetros e indicadores de Calidad para SCyD</w:t>
      </w:r>
      <w:bookmarkEnd w:id="499"/>
      <w:bookmarkEnd w:id="500"/>
    </w:p>
    <w:p w14:paraId="33CFEDAA" w14:textId="77777777" w:rsidR="00A57892" w:rsidRPr="00D936CA" w:rsidRDefault="00A57892" w:rsidP="00060B2E">
      <w:pPr>
        <w:pStyle w:val="IFTnormal"/>
        <w:ind w:left="-567" w:right="-142"/>
      </w:pPr>
      <w:r w:rsidRPr="00D936CA">
        <w:t>En esta sección se muestran los parámetros e indicadores de calidad referentes a la provisión, continuidad y atención de fallas del Servicio de Concentración y Distribución</w:t>
      </w:r>
      <w:r w:rsidRPr="00D936CA">
        <w:rPr>
          <w:b/>
        </w:rPr>
        <w:t>.</w:t>
      </w:r>
      <w:r w:rsidRPr="00D936CA">
        <w:t xml:space="preserve"> Estos parámetros e indicadores corresponden a los utilizados en la propia operación de Telmex, y se medirán con una periodicidad trimestral por cada uno de los CS.</w:t>
      </w:r>
    </w:p>
    <w:p w14:paraId="33CFEDAB" w14:textId="77777777" w:rsidR="00A57892" w:rsidRPr="00D936CA" w:rsidRDefault="00A57892" w:rsidP="00060B2E">
      <w:pPr>
        <w:pStyle w:val="IFTnormal"/>
        <w:ind w:left="-567" w:right="-142"/>
        <w:rPr>
          <w:b/>
        </w:rPr>
      </w:pPr>
      <w:r w:rsidRPr="00D936CA">
        <w:rPr>
          <w:b/>
        </w:rPr>
        <w:t>Parámetros e Indicadores para Provisión del Servicio</w:t>
      </w:r>
    </w:p>
    <w:p w14:paraId="33CFEDAC" w14:textId="77777777" w:rsidR="00A57892" w:rsidRPr="00D936CA" w:rsidRDefault="00A57892" w:rsidP="00060B2E">
      <w:pPr>
        <w:pStyle w:val="IFTnormal"/>
        <w:ind w:left="-567" w:right="-142"/>
      </w:pPr>
      <w:r w:rsidRPr="00D936CA">
        <w:t>En lo referente a la provisión de los servicios (validación de la solicitud, verificación de factibilidad y habilitación) se tienen los siguientes indicadores:</w:t>
      </w:r>
    </w:p>
    <w:p w14:paraId="33CFEDAD" w14:textId="77777777" w:rsidR="00A57892" w:rsidRPr="00D936CA" w:rsidRDefault="00A57892" w:rsidP="00060B2E">
      <w:pPr>
        <w:pStyle w:val="IFTnormal"/>
        <w:numPr>
          <w:ilvl w:val="0"/>
          <w:numId w:val="77"/>
        </w:numPr>
        <w:ind w:left="426" w:hanging="284"/>
      </w:pPr>
      <w:r w:rsidRPr="00D936CA">
        <w:t>Validación de la solicitud junto con validación de la factibilidad: 90% de las solicitudes en máximo de 4 días hábiles. El 10% restante en un máximo de 6 días hábiles.</w:t>
      </w:r>
    </w:p>
    <w:p w14:paraId="33CFEDAE" w14:textId="326F6AA1" w:rsidR="00A57892" w:rsidRDefault="00A57892" w:rsidP="00060B2E">
      <w:pPr>
        <w:pStyle w:val="IFTnormal"/>
        <w:numPr>
          <w:ilvl w:val="0"/>
          <w:numId w:val="77"/>
        </w:numPr>
        <w:ind w:left="426" w:hanging="284"/>
      </w:pPr>
      <w:r w:rsidRPr="00D936CA">
        <w:t>Habilitación de Servicio auxiliar de concentración y distribución (Coubicación Interna): 90% de las solicitudes en 20 días hábiles</w:t>
      </w:r>
      <w:r w:rsidR="00A10AA7">
        <w:t xml:space="preserve"> </w:t>
      </w:r>
      <w:r w:rsidR="00177BE7">
        <w:t>por cada 100 equipos de acceso, independientemente del número de NCAI solicitados, por cada 5 equipos adicionales se aumentará un día a dicho plazo</w:t>
      </w:r>
      <w:r w:rsidRPr="00D936CA">
        <w:t>. El 10% restante en 30 días hábiles</w:t>
      </w:r>
      <w:r w:rsidR="00340815">
        <w:t xml:space="preserve"> más los días que se hayan adicionado</w:t>
      </w:r>
      <w:r w:rsidRPr="00D936CA">
        <w:t>.</w:t>
      </w:r>
    </w:p>
    <w:p w14:paraId="33CFEDAF" w14:textId="04E7F26C" w:rsidR="00A57892" w:rsidRPr="00D936CA" w:rsidRDefault="00A57892" w:rsidP="00060B2E">
      <w:pPr>
        <w:pStyle w:val="IFTnormal"/>
        <w:numPr>
          <w:ilvl w:val="0"/>
          <w:numId w:val="77"/>
        </w:numPr>
        <w:ind w:left="426" w:hanging="284"/>
      </w:pPr>
      <w:r w:rsidRPr="00D936CA">
        <w:lastRenderedPageBreak/>
        <w:t>Externa): 90% de las solicitudes en 30 días hábiles</w:t>
      </w:r>
      <w:r w:rsidR="00A10AA7">
        <w:t xml:space="preserve"> </w:t>
      </w:r>
      <w:r w:rsidR="00340815">
        <w:t>por cada 100 equipos de acceso, independientemente del número de NCAI solicitados, por cada 5 equipos adicionales se aumentará un día a dicho plazo</w:t>
      </w:r>
      <w:r w:rsidRPr="00D936CA">
        <w:t>. El 10% restante en 45 días hábiles</w:t>
      </w:r>
      <w:r w:rsidR="00340815">
        <w:t xml:space="preserve"> más los días que se hayan adicionado</w:t>
      </w:r>
      <w:r w:rsidRPr="00D936CA">
        <w:t>.</w:t>
      </w:r>
    </w:p>
    <w:p w14:paraId="33CFEDB0" w14:textId="7E376EFE" w:rsidR="00A57892" w:rsidRPr="00D936CA" w:rsidRDefault="00A57892" w:rsidP="006D06E5">
      <w:pPr>
        <w:pStyle w:val="IFTnormal"/>
        <w:numPr>
          <w:ilvl w:val="0"/>
          <w:numId w:val="77"/>
        </w:numPr>
        <w:ind w:left="426" w:hanging="284"/>
      </w:pPr>
      <w:r w:rsidRPr="00D936CA">
        <w:t>Habilitación de Servicio auxiliar de concentración y distribución (Ubicación Distante): 90% de las solicitudes en 45 días hábiles</w:t>
      </w:r>
      <w:r w:rsidR="00A10AA7">
        <w:t xml:space="preserve"> </w:t>
      </w:r>
      <w:r w:rsidR="00340815">
        <w:t>por cada 100 equipos de acceso, independientemente del número de NCAI solicitados, por cada 5 equipos adicionales se aumentará un día a dicho plazo</w:t>
      </w:r>
      <w:r w:rsidRPr="00D936CA">
        <w:t>. El 10% restante en 68 días hábiles</w:t>
      </w:r>
      <w:r w:rsidR="00340815">
        <w:t xml:space="preserve"> más los días que se hayan adicionado</w:t>
      </w:r>
      <w:r w:rsidRPr="00D936CA">
        <w:t>.</w:t>
      </w:r>
    </w:p>
    <w:p w14:paraId="33CFEDB1" w14:textId="77777777" w:rsidR="00A57892" w:rsidRPr="00D936CA" w:rsidRDefault="00A57892" w:rsidP="00060B2E">
      <w:pPr>
        <w:autoSpaceDE w:val="0"/>
        <w:autoSpaceDN w:val="0"/>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 los tiempos de cada servicio, prevaleciendo el de mayor plazo o bien el solicitado al final.</w:t>
      </w:r>
    </w:p>
    <w:p w14:paraId="33CFEDB2" w14:textId="77777777" w:rsidR="00A57892" w:rsidRPr="00D936CA" w:rsidRDefault="00A57892" w:rsidP="00060B2E">
      <w:pPr>
        <w:pStyle w:val="IFTnormal"/>
        <w:ind w:left="-567" w:right="-142"/>
        <w:rPr>
          <w:b/>
        </w:rPr>
      </w:pPr>
      <w:r w:rsidRPr="00D936CA">
        <w:rPr>
          <w:b/>
        </w:rPr>
        <w:t>Metodología</w:t>
      </w:r>
    </w:p>
    <w:p w14:paraId="33CFEDB3" w14:textId="77777777" w:rsidR="00A57892" w:rsidRPr="00D936CA" w:rsidRDefault="00A57892" w:rsidP="00060B2E">
      <w:pPr>
        <w:pStyle w:val="IFTnormal"/>
        <w:ind w:left="-567" w:right="-142"/>
      </w:pPr>
      <w:r w:rsidRPr="00D936CA">
        <w:t xml:space="preserve">Para realizar la medición de los indicadores presentados, se descontarán los plazos de entrega señalados en la sección 11.8 de este documento de los días totales utilizados para la realización de dicha actividad, considerando como inicio del proceso el día en que se solicitó el servicio por parte del CS. </w:t>
      </w:r>
    </w:p>
    <w:p w14:paraId="33CFEDB4" w14:textId="77777777" w:rsidR="00A57892" w:rsidRPr="00D936CA" w:rsidRDefault="00A57892" w:rsidP="00060B2E">
      <w:pPr>
        <w:pStyle w:val="IFTnormal"/>
        <w:ind w:left="-567" w:right="-142"/>
        <w:rPr>
          <w:b/>
        </w:rPr>
      </w:pPr>
      <w:r w:rsidRPr="00D936CA">
        <w:rPr>
          <w:b/>
        </w:rPr>
        <w:t>Parámetros e Indicadores para Reparación de Fallas</w:t>
      </w:r>
    </w:p>
    <w:p w14:paraId="33CFEDB5" w14:textId="77777777" w:rsidR="00A57892" w:rsidRPr="00D936CA" w:rsidRDefault="00A57892" w:rsidP="00060B2E">
      <w:pPr>
        <w:pStyle w:val="IFTnormal"/>
        <w:ind w:left="-567" w:right="-142"/>
      </w:pPr>
      <w:r w:rsidRPr="00D936CA">
        <w:t>En cuanto a los parámetros de calidad asociados a la reparación de fallas que afecten a los usuarios residenciales o comerciales, no se diferencia por nivel de SCyD, teniendo el siguiente alcance:</w:t>
      </w:r>
    </w:p>
    <w:p w14:paraId="33CFEDB6" w14:textId="77777777" w:rsidR="00A57892" w:rsidRPr="00D936CA" w:rsidRDefault="00A57892" w:rsidP="00060B2E">
      <w:pPr>
        <w:pStyle w:val="IFTnormal"/>
        <w:ind w:left="-567" w:right="-142"/>
      </w:pPr>
      <w:r w:rsidRPr="00D936CA">
        <w:t>Para un SCyD Local en el 90% de los casos, reparación en 24 horas. El 10% restante en un máximo de 36 hrs.</w:t>
      </w:r>
    </w:p>
    <w:p w14:paraId="33CFEDB7" w14:textId="77777777" w:rsidR="00A57892" w:rsidRPr="00D936CA" w:rsidRDefault="00A57892" w:rsidP="00060B2E">
      <w:pPr>
        <w:pStyle w:val="IFTnormal"/>
        <w:ind w:left="-567" w:right="-142"/>
      </w:pPr>
      <w:r w:rsidRPr="00D936CA">
        <w:t>Para un SCyD Regional en el 90% de los casos, reparación en 16 horas. El 10% restante en un máximo de 24 hrs.</w:t>
      </w:r>
    </w:p>
    <w:p w14:paraId="33CFEDB8" w14:textId="77777777" w:rsidR="00A57892" w:rsidRPr="00D936CA" w:rsidRDefault="00A57892" w:rsidP="00060B2E">
      <w:pPr>
        <w:pStyle w:val="IFTnormal"/>
        <w:ind w:left="-567" w:right="-142"/>
      </w:pPr>
      <w:r w:rsidRPr="00D936CA">
        <w:t>Para un SCyD Nacional en el 90% de los casos, reparación en 12 horas. El 10% restante en un máximo de 18 hrs.</w:t>
      </w:r>
    </w:p>
    <w:p w14:paraId="33CFEDB9" w14:textId="77777777" w:rsidR="00A57892" w:rsidRPr="00D936CA" w:rsidRDefault="00A57892" w:rsidP="00060B2E">
      <w:pPr>
        <w:pStyle w:val="IFTnormal"/>
        <w:ind w:left="-567" w:right="-142"/>
      </w:pPr>
      <w:r w:rsidRPr="00D936CA">
        <w:t>Para realizar las mediciones de estos indicadores, se considerarán los reportes levantados las 24 horas del día, dichos tiempos no aplicarán para los casos fortuitos o de fuerza mayor.</w:t>
      </w:r>
    </w:p>
    <w:p w14:paraId="33CFEDBA" w14:textId="77777777" w:rsidR="00A57892" w:rsidRPr="00D936CA" w:rsidRDefault="00A57892" w:rsidP="00060B2E">
      <w:pPr>
        <w:pStyle w:val="IFTnormal"/>
        <w:ind w:left="-567" w:right="-142"/>
        <w:rPr>
          <w:b/>
        </w:rPr>
      </w:pPr>
      <w:r w:rsidRPr="00D936CA">
        <w:rPr>
          <w:b/>
        </w:rPr>
        <w:t>Parámetros e indicadores para las pruebas del SCyD</w:t>
      </w:r>
    </w:p>
    <w:p w14:paraId="33CFEDBB" w14:textId="77777777" w:rsidR="00A57892" w:rsidRPr="00D936CA" w:rsidRDefault="00A57892" w:rsidP="00060B2E">
      <w:pPr>
        <w:pStyle w:val="IFTnormal"/>
        <w:ind w:left="-567" w:right="-142"/>
      </w:pPr>
      <w:r w:rsidRPr="00D936CA">
        <w:lastRenderedPageBreak/>
        <w:t xml:space="preserve">Para la entrega del SCyD se ejecutarán pruebas basadas en la recomendación Y1564 de la ITU-T. Las pruebas se considerarán satisfactorias cuando cumplan con los siguientes resultados: </w:t>
      </w:r>
    </w:p>
    <w:p w14:paraId="1A5BC268" w14:textId="77777777" w:rsidR="00AD6E1E" w:rsidRPr="00D936CA" w:rsidRDefault="00AD6E1E" w:rsidP="00D936CA">
      <w:pPr>
        <w:pStyle w:val="IFTnormal"/>
        <w:numPr>
          <w:ilvl w:val="0"/>
          <w:numId w:val="142"/>
        </w:numPr>
      </w:pPr>
      <w:r w:rsidRPr="00D936CA">
        <w:t xml:space="preserve">Retardo de tramas (Latencia) ≤ 30 ms en pCAI Local y Regional, ≤ 50 ms pCAI nacional </w:t>
      </w:r>
    </w:p>
    <w:p w14:paraId="4D3DCAF9" w14:textId="54F1FC6A" w:rsidR="00AD6E1E" w:rsidRPr="00D936CA" w:rsidRDefault="00AD6E1E" w:rsidP="00D936CA">
      <w:pPr>
        <w:pStyle w:val="IFTnormal"/>
        <w:numPr>
          <w:ilvl w:val="0"/>
          <w:numId w:val="142"/>
        </w:numPr>
      </w:pPr>
      <w:r w:rsidRPr="00D936CA">
        <w:t xml:space="preserve">Variación del retardo (Jitter) ≤ 30 ms en pCAI Local y Regional, ≤ 50 ms pCAI nacional </w:t>
      </w:r>
    </w:p>
    <w:p w14:paraId="56A09F54" w14:textId="1726BCDE" w:rsidR="00AD6E1E" w:rsidRPr="00D936CA" w:rsidRDefault="00AD6E1E" w:rsidP="00D936CA">
      <w:pPr>
        <w:pStyle w:val="IFTnormal"/>
        <w:numPr>
          <w:ilvl w:val="0"/>
          <w:numId w:val="142"/>
        </w:numPr>
      </w:pPr>
      <w:r w:rsidRPr="00D936CA">
        <w:t xml:space="preserve">Perdida de tramas ≤ 0,4% en pCAI Local y Regional, ≤ 1% pCAI nacional </w:t>
      </w:r>
    </w:p>
    <w:p w14:paraId="78B7DA4F" w14:textId="03961B37" w:rsidR="00AD6E1E" w:rsidRPr="00D936CA" w:rsidRDefault="00AD6E1E" w:rsidP="00D936CA">
      <w:pPr>
        <w:pStyle w:val="IFTnormal"/>
        <w:numPr>
          <w:ilvl w:val="0"/>
          <w:numId w:val="142"/>
        </w:numPr>
      </w:pPr>
      <w:r w:rsidRPr="00D936CA">
        <w:t>Disponibilidad del servicio ≥ 99,9 %</w:t>
      </w:r>
    </w:p>
    <w:p w14:paraId="33CFEDC2" w14:textId="77777777" w:rsidR="00A57892" w:rsidRPr="00D936CA" w:rsidRDefault="00A57892" w:rsidP="00060B2E">
      <w:pPr>
        <w:pStyle w:val="IFTnormal"/>
        <w:ind w:left="-567"/>
        <w:rPr>
          <w:b/>
        </w:rPr>
      </w:pPr>
      <w:r w:rsidRPr="00D936CA">
        <w:rPr>
          <w:b/>
        </w:rPr>
        <w:t>Parámetros Técnicos</w:t>
      </w:r>
    </w:p>
    <w:p w14:paraId="33CFEDC3" w14:textId="77777777" w:rsidR="00A57892" w:rsidRPr="00D936CA" w:rsidRDefault="00A57892" w:rsidP="00D936CA">
      <w:pPr>
        <w:pStyle w:val="IFTnormal"/>
        <w:numPr>
          <w:ilvl w:val="0"/>
          <w:numId w:val="142"/>
        </w:numPr>
      </w:pPr>
      <w:r w:rsidRPr="00D936CA">
        <w:t>Tamaño máximo de trama (MTU) Ethernet de 1,518 bytes en el pCAI.</w:t>
      </w:r>
    </w:p>
    <w:p w14:paraId="33CFEDC4" w14:textId="77777777" w:rsidR="00A57892" w:rsidRPr="00D936CA" w:rsidRDefault="00A57892" w:rsidP="00D936CA">
      <w:pPr>
        <w:pStyle w:val="IFTnormal"/>
      </w:pPr>
    </w:p>
    <w:p w14:paraId="33CFEDC5" w14:textId="77777777" w:rsidR="00A57892" w:rsidRPr="00D936CA" w:rsidRDefault="00A57892" w:rsidP="00D936CA">
      <w:pPr>
        <w:pStyle w:val="Ttulo2"/>
        <w:numPr>
          <w:ilvl w:val="1"/>
          <w:numId w:val="143"/>
        </w:numPr>
        <w:tabs>
          <w:tab w:val="left" w:pos="993"/>
        </w:tabs>
        <w:ind w:left="851" w:hanging="425"/>
      </w:pPr>
      <w:bookmarkStart w:id="501" w:name="_Toc467248728"/>
      <w:bookmarkStart w:id="502" w:name="_Toc518032011"/>
      <w:r w:rsidRPr="00D936CA">
        <w:t xml:space="preserve">Procedimiento para la realización de pruebas para el </w:t>
      </w:r>
      <w:bookmarkEnd w:id="501"/>
      <w:r w:rsidRPr="00D936CA">
        <w:t>SCyD</w:t>
      </w:r>
      <w:bookmarkEnd w:id="502"/>
    </w:p>
    <w:p w14:paraId="33CFEDC6" w14:textId="77777777"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Pruebas de aceptación de alta de un puerto pCAI.</w:t>
      </w:r>
    </w:p>
    <w:p w14:paraId="33CFEDC7" w14:textId="77777777"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Para verificar el adecuado funcionamiento del SCyD a la entrega el servicio se realizará el siguiente protocolo de recepción del servicio:</w:t>
      </w:r>
    </w:p>
    <w:p w14:paraId="33CFEDC8" w14:textId="77777777"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el pCAI se conectará un equipo generador de señales Ethernet y se establecerán 1 VLAN’s cuya suma de ancho de banda será igual al ancho de banda contratado en el pCAI.</w:t>
      </w:r>
    </w:p>
    <w:p w14:paraId="33CFEDC9" w14:textId="0AD0B78A"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Para evitar la interrupción de servicios activos se establecerá un puerto de prueba auxiliar (PPA) al cual se conecta un loopback físico. Este puerto de prueba se establecerá en uno de los equipos Ethernet del NCAI</w:t>
      </w:r>
      <w:r w:rsidR="00AD6E1E" w:rsidRPr="00D936CA">
        <w:rPr>
          <w:rFonts w:ascii="ITC Avant Garde" w:hAnsi="ITC Avant Garde"/>
          <w:sz w:val="22"/>
          <w:szCs w:val="22"/>
          <w:lang w:val="es-MX"/>
        </w:rPr>
        <w:t xml:space="preserve"> en el lado de los equipos de acceso</w:t>
      </w:r>
      <w:r w:rsidRPr="00D936CA">
        <w:rPr>
          <w:rFonts w:ascii="ITC Avant Garde" w:hAnsi="ITC Avant Garde"/>
          <w:sz w:val="22"/>
          <w:szCs w:val="22"/>
          <w:lang w:val="es-MX"/>
        </w:rPr>
        <w:t>.</w:t>
      </w:r>
    </w:p>
    <w:p w14:paraId="33CFEDCA" w14:textId="65C37709"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Se ejecutarán pruebas basadas en la recomendación Y.1564 de la ITU-T</w:t>
      </w:r>
      <w:r w:rsidR="00AD6E1E" w:rsidRPr="00D936CA">
        <w:rPr>
          <w:rFonts w:ascii="ITC Avant Garde" w:hAnsi="ITC Avant Garde"/>
          <w:sz w:val="22"/>
          <w:szCs w:val="22"/>
          <w:lang w:val="es-MX"/>
        </w:rPr>
        <w:t xml:space="preserve"> en ambos sentido</w:t>
      </w:r>
      <w:r w:rsidR="00A94617">
        <w:rPr>
          <w:rFonts w:ascii="ITC Avant Garde" w:hAnsi="ITC Avant Garde"/>
          <w:sz w:val="22"/>
          <w:szCs w:val="22"/>
          <w:lang w:val="es-MX"/>
        </w:rPr>
        <w:t>s</w:t>
      </w:r>
      <w:r w:rsidR="00AD6E1E" w:rsidRPr="00D936CA">
        <w:rPr>
          <w:rFonts w:ascii="ITC Avant Garde" w:hAnsi="ITC Avant Garde"/>
          <w:sz w:val="22"/>
          <w:szCs w:val="22"/>
          <w:lang w:val="es-MX"/>
        </w:rPr>
        <w:t xml:space="preserve"> o en </w:t>
      </w:r>
      <w:r w:rsidR="00AD6E1E" w:rsidRPr="00D936CA">
        <w:rPr>
          <w:rFonts w:ascii="ITC Avant Garde" w:hAnsi="ITC Avant Garde"/>
          <w:i/>
          <w:sz w:val="22"/>
          <w:szCs w:val="22"/>
          <w:lang w:val="es-MX"/>
        </w:rPr>
        <w:t>loop back</w:t>
      </w:r>
      <w:r w:rsidRPr="00D936CA">
        <w:rPr>
          <w:rFonts w:ascii="ITC Avant Garde" w:hAnsi="ITC Avant Garde"/>
          <w:sz w:val="22"/>
          <w:szCs w:val="22"/>
          <w:lang w:val="es-MX"/>
        </w:rPr>
        <w:t>.</w:t>
      </w:r>
    </w:p>
    <w:p w14:paraId="33CFEDCD" w14:textId="63E5DD9B"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La prueba se considerará satisfactoria cuando cumpla con los siguientes resultados</w:t>
      </w:r>
      <w:r w:rsidR="00AD6E1E" w:rsidRPr="00D936CA">
        <w:rPr>
          <w:rFonts w:ascii="ITC Avant Garde" w:hAnsi="ITC Avant Garde"/>
          <w:sz w:val="22"/>
          <w:szCs w:val="22"/>
          <w:lang w:val="es-MX"/>
        </w:rPr>
        <w:t xml:space="preserve"> medidos en un sentido</w:t>
      </w:r>
      <w:r w:rsidRPr="00D936CA">
        <w:rPr>
          <w:rFonts w:ascii="ITC Avant Garde" w:hAnsi="ITC Avant Garde"/>
          <w:sz w:val="22"/>
          <w:szCs w:val="22"/>
          <w:lang w:val="es-MX"/>
        </w:rPr>
        <w:t xml:space="preserve">:  </w:t>
      </w:r>
    </w:p>
    <w:p w14:paraId="717E3BC2" w14:textId="77777777" w:rsidR="00AD6E1E" w:rsidRPr="00B25CFB" w:rsidRDefault="00AD6E1E" w:rsidP="00D936CA">
      <w:pPr>
        <w:pStyle w:val="IFTnormal"/>
        <w:numPr>
          <w:ilvl w:val="0"/>
          <w:numId w:val="142"/>
        </w:numPr>
      </w:pPr>
      <w:r w:rsidRPr="00B25CFB">
        <w:t xml:space="preserve">Retardo </w:t>
      </w:r>
      <w:r w:rsidRPr="00060B2E">
        <w:t xml:space="preserve">medio de tramas (Latencia)) ≤ 30 ms en pCAI Local y Regional, ≤ 50 ms pCAI nacional </w:t>
      </w:r>
    </w:p>
    <w:p w14:paraId="12C77339" w14:textId="0BE1240C" w:rsidR="00AD6E1E" w:rsidRPr="00B25CFB" w:rsidRDefault="00AD6E1E" w:rsidP="00D936CA">
      <w:pPr>
        <w:pStyle w:val="IFTnormal"/>
        <w:numPr>
          <w:ilvl w:val="0"/>
          <w:numId w:val="142"/>
        </w:numPr>
      </w:pPr>
      <w:r w:rsidRPr="00B25CFB">
        <w:t>Variación de</w:t>
      </w:r>
      <w:r w:rsidRPr="00060B2E">
        <w:t xml:space="preserve">l retardo (Jitter) ≤ 30 ms en pCAI Local y Regional, ≤ 50 ms pCAI nacional </w:t>
      </w:r>
    </w:p>
    <w:p w14:paraId="089BFAFF" w14:textId="7F5656E2" w:rsidR="00AD6E1E" w:rsidRPr="00D936CA" w:rsidRDefault="00AD6E1E" w:rsidP="00D936CA">
      <w:pPr>
        <w:pStyle w:val="IFTnormal"/>
        <w:numPr>
          <w:ilvl w:val="0"/>
          <w:numId w:val="142"/>
        </w:numPr>
      </w:pPr>
      <w:r w:rsidRPr="00D936CA">
        <w:t xml:space="preserve">Perdida de tramas ≤ 0,4% en pCAI Local y Regional, ≤ 1% pCAI nacional </w:t>
      </w:r>
    </w:p>
    <w:p w14:paraId="66E26EE9" w14:textId="51049D66" w:rsidR="00AD6E1E" w:rsidRPr="00D936CA" w:rsidRDefault="00AD6E1E" w:rsidP="00D936CA">
      <w:pPr>
        <w:pStyle w:val="IFTnormal"/>
        <w:numPr>
          <w:ilvl w:val="0"/>
          <w:numId w:val="142"/>
        </w:numPr>
        <w:rPr>
          <w:rFonts w:cs="Arial"/>
        </w:rPr>
      </w:pPr>
      <w:r w:rsidRPr="00D936CA">
        <w:lastRenderedPageBreak/>
        <w:t>Disponibilidad del servicio ≥ 99,9 %</w:t>
      </w:r>
    </w:p>
    <w:p w14:paraId="33CFEDCE" w14:textId="30D8763B" w:rsidR="00A57892" w:rsidRPr="00D936CA"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Una vez que el servicio haya sido probado, se procederá a firmar un documento de entrega del servicio</w:t>
      </w:r>
      <w:r w:rsidR="00AD6E1E" w:rsidRPr="00D936CA">
        <w:rPr>
          <w:rFonts w:ascii="ITC Avant Garde" w:hAnsi="ITC Avant Garde"/>
          <w:sz w:val="22"/>
          <w:szCs w:val="22"/>
          <w:lang w:val="es-MX"/>
        </w:rPr>
        <w:t xml:space="preserve"> que incluirá un informe de los resultados de la prueba de acuerdo al formato del Anexo 2 que acompaña a la recomendación Y.1564</w:t>
      </w:r>
      <w:r w:rsidRPr="00D936CA">
        <w:rPr>
          <w:rFonts w:ascii="ITC Avant Garde" w:hAnsi="ITC Avant Garde"/>
          <w:sz w:val="22"/>
          <w:szCs w:val="22"/>
          <w:lang w:val="es-MX"/>
        </w:rPr>
        <w:t>.</w:t>
      </w:r>
    </w:p>
    <w:p w14:paraId="33CFEDCF" w14:textId="773420AD" w:rsidR="00A57892" w:rsidRDefault="00A57892"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Si no cumple se abrirá una incidencia para el CS y se volverá a la actuación de prueba, para que el CS proceda a agendar otra fecha. Si el problema fuera de Telmex, se abrirá una incidencia, que será informativa para el CS. Esta incidencia podría conllevar el reinicio de las pruebas, por lo que se volvería a comunicar al CS la disponibilidad de pruebas. En este caso el exceso de tiempo contaría como retardo en la entrega.</w:t>
      </w:r>
    </w:p>
    <w:p w14:paraId="25D6840F" w14:textId="77777777" w:rsidR="003E6BBD" w:rsidRPr="00D936CA" w:rsidRDefault="003E6BBD" w:rsidP="00060B2E">
      <w:pPr>
        <w:spacing w:after="200" w:line="276" w:lineRule="auto"/>
        <w:ind w:left="-567" w:right="-142"/>
        <w:jc w:val="both"/>
        <w:rPr>
          <w:rFonts w:ascii="ITC Avant Garde" w:hAnsi="ITC Avant Garde"/>
          <w:sz w:val="22"/>
          <w:szCs w:val="22"/>
          <w:lang w:val="es-MX"/>
        </w:rPr>
      </w:pPr>
    </w:p>
    <w:p w14:paraId="76647ACC" w14:textId="77777777" w:rsidR="00CC1E96" w:rsidRPr="003543E9" w:rsidRDefault="00CC1E96" w:rsidP="006D06E5">
      <w:pPr>
        <w:pStyle w:val="Ttulo2"/>
        <w:numPr>
          <w:ilvl w:val="1"/>
          <w:numId w:val="143"/>
        </w:numPr>
        <w:tabs>
          <w:tab w:val="left" w:pos="993"/>
        </w:tabs>
        <w:ind w:left="851" w:hanging="425"/>
      </w:pPr>
      <w:bookmarkStart w:id="503" w:name="_Toc397703987"/>
      <w:bookmarkStart w:id="504" w:name="_Toc518032012"/>
      <w:r w:rsidRPr="003543E9">
        <w:t>Servicio auxiliar de Tendido de Cable de DFO-TMX a DFO-CS</w:t>
      </w:r>
      <w:bookmarkEnd w:id="503"/>
      <w:bookmarkEnd w:id="504"/>
    </w:p>
    <w:p w14:paraId="1B047D6F" w14:textId="78E79140" w:rsidR="00CC1E96" w:rsidRPr="003543E9" w:rsidRDefault="00CC1E96" w:rsidP="006D06E5">
      <w:pPr>
        <w:spacing w:after="200" w:line="276" w:lineRule="auto"/>
        <w:ind w:left="-567" w:right="-142"/>
        <w:jc w:val="both"/>
        <w:rPr>
          <w:rFonts w:ascii="ITC Avant Garde" w:hAnsi="ITC Avant Garde"/>
          <w:sz w:val="22"/>
          <w:szCs w:val="22"/>
          <w:lang w:val="es-MX"/>
        </w:rPr>
      </w:pPr>
      <w:r w:rsidRPr="003543E9">
        <w:rPr>
          <w:rFonts w:ascii="ITC Avant Garde" w:hAnsi="ITC Avant Garde"/>
          <w:sz w:val="22"/>
          <w:szCs w:val="22"/>
          <w:lang w:val="es-MX"/>
        </w:rPr>
        <w:t>Mediante el servicio se realiza la conexión del punto de entrega del SC</w:t>
      </w:r>
      <w:r>
        <w:rPr>
          <w:rFonts w:ascii="ITC Avant Garde" w:hAnsi="ITC Avant Garde"/>
          <w:sz w:val="22"/>
          <w:szCs w:val="22"/>
          <w:lang w:val="es-MX"/>
        </w:rPr>
        <w:t>y</w:t>
      </w:r>
      <w:r w:rsidRPr="003543E9">
        <w:rPr>
          <w:rFonts w:ascii="ITC Avant Garde" w:hAnsi="ITC Avant Garde"/>
          <w:sz w:val="22"/>
          <w:szCs w:val="22"/>
          <w:lang w:val="es-MX"/>
        </w:rPr>
        <w:t>D (DFO-TMX) al punto de recepción del CS (DFO-CS) ubicado en la coubicación para Desagregación del CS. Cuando el CS tenga contratada una coubicación para la Interconexión de Trafico Público Conmutado, el CS podrá elegir que este servicio de tendido de cable sea rematado en dicha coubicación.</w:t>
      </w:r>
    </w:p>
    <w:p w14:paraId="3CD4BD7A" w14:textId="0A61E95F" w:rsidR="00753544" w:rsidRDefault="00CC1E96" w:rsidP="006D06E5">
      <w:pPr>
        <w:spacing w:after="200" w:line="276" w:lineRule="auto"/>
        <w:ind w:left="-567" w:right="-142"/>
        <w:jc w:val="both"/>
        <w:rPr>
          <w:rFonts w:ascii="ITC Avant Garde" w:hAnsi="ITC Avant Garde"/>
          <w:sz w:val="22"/>
          <w:szCs w:val="22"/>
          <w:lang w:val="es-MX"/>
        </w:rPr>
      </w:pPr>
      <w:r w:rsidRPr="00CC1E96">
        <w:rPr>
          <w:rFonts w:ascii="ITC Avant Garde" w:hAnsi="ITC Avant Garde"/>
          <w:sz w:val="22"/>
          <w:szCs w:val="22"/>
          <w:lang w:val="es-MX"/>
        </w:rPr>
        <w:t xml:space="preserve">En este servicio Telmex realiza el estudio y la construcción de un DFO del lado Telmex, con un cable de 48 fibras ópticas tipo </w:t>
      </w:r>
      <w:r w:rsidRPr="006D06E5">
        <w:rPr>
          <w:rFonts w:ascii="ITC Avant Garde" w:hAnsi="ITC Avant Garde"/>
          <w:sz w:val="22"/>
          <w:szCs w:val="22"/>
          <w:lang w:val="es-MX"/>
        </w:rPr>
        <w:t>multimodo</w:t>
      </w:r>
      <w:r w:rsidRPr="00CC1E96">
        <w:rPr>
          <w:rFonts w:ascii="ITC Avant Garde" w:hAnsi="ITC Avant Garde"/>
          <w:sz w:val="22"/>
          <w:szCs w:val="22"/>
          <w:lang w:val="es-MX"/>
        </w:rPr>
        <w:t>, escalerilla y pasos necesarios para llegar a la sala del CS. El cable se deja en punta en la sala de</w:t>
      </w:r>
      <w:r w:rsidR="0035358C">
        <w:rPr>
          <w:rFonts w:ascii="ITC Avant Garde" w:hAnsi="ITC Avant Garde"/>
          <w:sz w:val="22"/>
          <w:szCs w:val="22"/>
          <w:lang w:val="es-MX"/>
        </w:rPr>
        <w:t>l</w:t>
      </w:r>
      <w:r w:rsidRPr="00CC1E96">
        <w:rPr>
          <w:rFonts w:ascii="ITC Avant Garde" w:hAnsi="ITC Avant Garde"/>
          <w:sz w:val="22"/>
          <w:szCs w:val="22"/>
          <w:lang w:val="es-MX"/>
        </w:rPr>
        <w:t xml:space="preserve"> CS para que el CS realice la conexión a su DFO. </w:t>
      </w:r>
      <w:r w:rsidR="00753544">
        <w:rPr>
          <w:rFonts w:ascii="ITC Avant Garde" w:hAnsi="ITC Avant Garde"/>
          <w:sz w:val="22"/>
          <w:szCs w:val="22"/>
          <w:lang w:val="es-MX"/>
        </w:rPr>
        <w:t>O en caso contrario y a solicitud del CS</w:t>
      </w:r>
      <w:r w:rsidR="00340815">
        <w:rPr>
          <w:rFonts w:ascii="ITC Avant Garde" w:hAnsi="ITC Avant Garde"/>
          <w:sz w:val="22"/>
          <w:szCs w:val="22"/>
          <w:lang w:val="es-MX"/>
        </w:rPr>
        <w:t xml:space="preserve"> con la contraprestación correspondiente</w:t>
      </w:r>
      <w:r w:rsidR="00753544">
        <w:rPr>
          <w:rFonts w:ascii="ITC Avant Garde" w:hAnsi="ITC Avant Garde"/>
          <w:sz w:val="22"/>
          <w:szCs w:val="22"/>
          <w:lang w:val="es-MX"/>
        </w:rPr>
        <w:t xml:space="preserve"> Telmex podrá fusionar las fibras, lo cual incluirá la instalación del DFO del CS.</w:t>
      </w:r>
      <w:r w:rsidR="00340815">
        <w:rPr>
          <w:rFonts w:ascii="ITC Avant Garde" w:hAnsi="ITC Avant Garde"/>
          <w:sz w:val="22"/>
          <w:szCs w:val="22"/>
          <w:lang w:val="es-MX"/>
        </w:rPr>
        <w:t xml:space="preserve"> Si el CS ya tiene su equipo DFO también podrá solicitar a Telmex la fusión de la fibra. Una vez entregado el servicio en la Coubicación del CS, el mantenimiento será responsabilidad del CS.</w:t>
      </w:r>
    </w:p>
    <w:p w14:paraId="164CD535" w14:textId="4567DEA2" w:rsidR="00CC1E96" w:rsidRPr="003543E9" w:rsidRDefault="00CC1E96" w:rsidP="006D06E5">
      <w:pPr>
        <w:spacing w:after="200" w:line="276" w:lineRule="auto"/>
        <w:ind w:left="-567" w:right="-142"/>
        <w:jc w:val="both"/>
        <w:rPr>
          <w:rFonts w:ascii="ITC Avant Garde" w:hAnsi="ITC Avant Garde"/>
          <w:sz w:val="22"/>
          <w:szCs w:val="22"/>
          <w:lang w:val="es-MX"/>
        </w:rPr>
      </w:pPr>
      <w:r w:rsidRPr="006D06E5">
        <w:rPr>
          <w:rFonts w:ascii="ITC Avant Garde" w:hAnsi="ITC Avant Garde"/>
          <w:sz w:val="22"/>
          <w:szCs w:val="22"/>
          <w:lang w:val="es-MX"/>
        </w:rPr>
        <w:t>Las modularidades son de 48 Fibras</w:t>
      </w:r>
      <w:r w:rsidRPr="00CC1E96">
        <w:rPr>
          <w:rFonts w:ascii="ITC Avant Garde" w:hAnsi="ITC Avant Garde"/>
          <w:sz w:val="22"/>
          <w:szCs w:val="22"/>
          <w:lang w:val="es-MX"/>
        </w:rPr>
        <w:t xml:space="preserve"> ópticas para cada cableado</w:t>
      </w:r>
      <w:r w:rsidRPr="003543E9">
        <w:rPr>
          <w:rFonts w:ascii="ITC Avant Garde" w:hAnsi="ITC Avant Garde"/>
          <w:sz w:val="22"/>
          <w:szCs w:val="22"/>
          <w:lang w:val="es-MX"/>
        </w:rPr>
        <w:t xml:space="preserve"> requerido. El servicio se muestra en la figura siguiente:</w:t>
      </w:r>
    </w:p>
    <w:p w14:paraId="1C9C097B" w14:textId="77777777" w:rsidR="00CC1E96" w:rsidRPr="005C6C5B" w:rsidRDefault="00CC1E96" w:rsidP="00CC1E96">
      <w:pPr>
        <w:shd w:val="clear" w:color="auto" w:fill="FFFFFF" w:themeFill="background1"/>
        <w:autoSpaceDE w:val="0"/>
        <w:autoSpaceDN w:val="0"/>
        <w:adjustRightInd w:val="0"/>
        <w:spacing w:line="360" w:lineRule="auto"/>
        <w:contextualSpacing/>
        <w:jc w:val="center"/>
        <w:rPr>
          <w:rFonts w:cs="Arial"/>
        </w:rPr>
      </w:pPr>
      <w:r w:rsidRPr="005C6C5B">
        <w:rPr>
          <w:rFonts w:cs="Arial"/>
          <w:noProof/>
          <w:lang w:val="es-MX" w:eastAsia="es-MX"/>
        </w:rPr>
        <w:drawing>
          <wp:inline distT="0" distB="0" distL="0" distR="0" wp14:anchorId="2CA67B2E" wp14:editId="09D05B92">
            <wp:extent cx="4265871" cy="1940234"/>
            <wp:effectExtent l="19050" t="0" r="1329" b="0"/>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275238" cy="1944494"/>
                    </a:xfrm>
                    <a:prstGeom prst="rect">
                      <a:avLst/>
                    </a:prstGeom>
                    <a:noFill/>
                  </pic:spPr>
                </pic:pic>
              </a:graphicData>
            </a:graphic>
          </wp:inline>
        </w:drawing>
      </w:r>
    </w:p>
    <w:p w14:paraId="29246224" w14:textId="4404970C" w:rsidR="00CC1E96" w:rsidRPr="005C6C5B" w:rsidRDefault="00CC1E96" w:rsidP="00CC1E96">
      <w:pPr>
        <w:spacing w:line="360" w:lineRule="auto"/>
        <w:contextualSpacing/>
        <w:jc w:val="center"/>
        <w:rPr>
          <w:sz w:val="16"/>
          <w:lang w:val="es-MX"/>
        </w:rPr>
      </w:pPr>
      <w:r w:rsidRPr="005C6C5B">
        <w:rPr>
          <w:sz w:val="16"/>
          <w:lang w:val="es-MX"/>
        </w:rPr>
        <w:t xml:space="preserve">Figura </w:t>
      </w:r>
      <w:r>
        <w:rPr>
          <w:sz w:val="16"/>
          <w:lang w:val="es-MX"/>
        </w:rPr>
        <w:t>12</w:t>
      </w:r>
      <w:r w:rsidRPr="005C6C5B">
        <w:rPr>
          <w:sz w:val="16"/>
          <w:lang w:val="es-MX"/>
        </w:rPr>
        <w:t>: Servicio Tendido de Cable DFO-TMX a DFO-CS</w:t>
      </w:r>
      <w:r w:rsidR="00340815">
        <w:rPr>
          <w:sz w:val="16"/>
          <w:lang w:val="es-MX"/>
        </w:rPr>
        <w:t>.</w:t>
      </w:r>
    </w:p>
    <w:p w14:paraId="73D5CA3A" w14:textId="77777777" w:rsidR="00CC1E96" w:rsidRPr="005C6C5B" w:rsidRDefault="00CC1E96" w:rsidP="00CC1E96">
      <w:pPr>
        <w:autoSpaceDE w:val="0"/>
        <w:autoSpaceDN w:val="0"/>
        <w:adjustRightInd w:val="0"/>
        <w:spacing w:line="360" w:lineRule="auto"/>
        <w:contextualSpacing/>
        <w:jc w:val="both"/>
        <w:rPr>
          <w:rFonts w:cs="Arial"/>
        </w:rPr>
      </w:pPr>
    </w:p>
    <w:p w14:paraId="6BBC1A63" w14:textId="77777777" w:rsidR="00CC1E96" w:rsidRPr="00340815" w:rsidRDefault="00CC1E96" w:rsidP="00060B2E">
      <w:pPr>
        <w:spacing w:after="200" w:line="276" w:lineRule="auto"/>
        <w:ind w:left="-567"/>
        <w:jc w:val="both"/>
        <w:rPr>
          <w:rFonts w:ascii="ITC Avant Garde" w:hAnsi="ITC Avant Garde"/>
          <w:sz w:val="22"/>
          <w:szCs w:val="22"/>
          <w:lang w:val="es-MX"/>
        </w:rPr>
      </w:pPr>
      <w:r w:rsidRPr="00340815">
        <w:rPr>
          <w:rFonts w:ascii="ITC Avant Garde" w:hAnsi="ITC Avant Garde"/>
          <w:sz w:val="22"/>
          <w:szCs w:val="22"/>
          <w:lang w:val="es-MX"/>
        </w:rPr>
        <w:t>Las características técnicas del cable con fibra óptica multimodo son:</w:t>
      </w:r>
    </w:p>
    <w:p w14:paraId="2A4D49F8" w14:textId="77777777" w:rsidR="00CC1E96" w:rsidRPr="00060B2E" w:rsidRDefault="00CC1E96" w:rsidP="00060B2E">
      <w:pPr>
        <w:pStyle w:val="IFTnormal"/>
        <w:numPr>
          <w:ilvl w:val="0"/>
          <w:numId w:val="142"/>
        </w:numPr>
      </w:pPr>
      <w:r w:rsidRPr="00060B2E">
        <w:t>Fibra multimodo 50/125 µm OM3, 10 Gbps@300 m ITU G651.1</w:t>
      </w:r>
    </w:p>
    <w:p w14:paraId="25D85FE4" w14:textId="77777777" w:rsidR="00CC1E96" w:rsidRPr="005C6C5B" w:rsidRDefault="00CC1E96" w:rsidP="00CC1E96">
      <w:pPr>
        <w:autoSpaceDE w:val="0"/>
        <w:autoSpaceDN w:val="0"/>
        <w:adjustRightInd w:val="0"/>
        <w:spacing w:line="360" w:lineRule="auto"/>
        <w:contextualSpacing/>
        <w:jc w:val="both"/>
        <w:rPr>
          <w:rFonts w:cs="Arial"/>
          <w:lang w:val="es-MX"/>
        </w:rPr>
      </w:pPr>
    </w:p>
    <w:p w14:paraId="5E211237" w14:textId="3D80A7CF" w:rsidR="003E6BBD" w:rsidRPr="00D936CA" w:rsidRDefault="003E6BBD" w:rsidP="003E6BBD">
      <w:pPr>
        <w:pStyle w:val="Ttulo2"/>
        <w:numPr>
          <w:ilvl w:val="1"/>
          <w:numId w:val="143"/>
        </w:numPr>
        <w:ind w:left="851" w:hanging="425"/>
      </w:pPr>
      <w:bookmarkStart w:id="505" w:name="_Toc518032013"/>
      <w:r w:rsidRPr="00D936CA">
        <w:t xml:space="preserve">Procedimientos de contratación, modificación y baja del servicio de Cableado </w:t>
      </w:r>
      <w:r>
        <w:t>de DFO-T</w:t>
      </w:r>
      <w:r w:rsidR="00DB545B">
        <w:t>MX</w:t>
      </w:r>
      <w:r>
        <w:t xml:space="preserve"> a DFO-CS</w:t>
      </w:r>
      <w:r w:rsidRPr="00D936CA">
        <w:t>.</w:t>
      </w:r>
      <w:bookmarkEnd w:id="505"/>
    </w:p>
    <w:p w14:paraId="35C4B740" w14:textId="220DAE03" w:rsidR="003E6BBD" w:rsidRPr="00D936CA" w:rsidRDefault="003E6BBD"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Queda establecido que</w:t>
      </w:r>
      <w:r w:rsidR="00340815">
        <w:rPr>
          <w:rFonts w:ascii="ITC Avant Garde" w:hAnsi="ITC Avant Garde"/>
          <w:sz w:val="22"/>
          <w:szCs w:val="22"/>
          <w:lang w:val="es-MX"/>
        </w:rPr>
        <w:t>,</w:t>
      </w:r>
      <w:r w:rsidRPr="00D936CA">
        <w:rPr>
          <w:rFonts w:ascii="ITC Avant Garde" w:hAnsi="ITC Avant Garde"/>
          <w:sz w:val="22"/>
          <w:szCs w:val="22"/>
          <w:lang w:val="es-MX"/>
        </w:rPr>
        <w:t xml:space="preserve"> mediante el envío de la solicitud, el CS </w:t>
      </w:r>
      <w:r w:rsidR="00310137">
        <w:rPr>
          <w:rFonts w:ascii="ITC Avant Garde" w:hAnsi="ITC Avant Garde"/>
          <w:sz w:val="22"/>
          <w:szCs w:val="22"/>
          <w:lang w:val="es-MX"/>
        </w:rPr>
        <w:t>está</w:t>
      </w:r>
      <w:r w:rsidR="003906CD">
        <w:rPr>
          <w:rFonts w:ascii="ITC Avant Garde" w:hAnsi="ITC Avant Garde"/>
          <w:sz w:val="22"/>
          <w:szCs w:val="22"/>
          <w:lang w:val="es-MX"/>
        </w:rPr>
        <w:t xml:space="preserve"> de acuerdo en</w:t>
      </w:r>
      <w:r w:rsidRPr="00D936CA">
        <w:rPr>
          <w:rFonts w:ascii="ITC Avant Garde" w:hAnsi="ITC Avant Garde"/>
          <w:sz w:val="22"/>
          <w:szCs w:val="22"/>
          <w:lang w:val="es-MX"/>
        </w:rPr>
        <w:t xml:space="preserve"> efectuar el pago por las actividades a realizar</w:t>
      </w:r>
      <w:r w:rsidR="00340815">
        <w:rPr>
          <w:rFonts w:ascii="ITC Avant Garde" w:hAnsi="ITC Avant Garde"/>
          <w:sz w:val="22"/>
          <w:szCs w:val="22"/>
          <w:lang w:val="es-MX"/>
        </w:rPr>
        <w:t>,</w:t>
      </w:r>
      <w:r w:rsidRPr="00D936CA">
        <w:rPr>
          <w:rFonts w:ascii="ITC Avant Garde" w:hAnsi="ITC Avant Garde"/>
          <w:sz w:val="22"/>
          <w:szCs w:val="22"/>
          <w:lang w:val="es-MX"/>
        </w:rPr>
        <w:t xml:space="preserve">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w:t>
      </w:r>
    </w:p>
    <w:p w14:paraId="56B6E1F9" w14:textId="7A2A3BC9" w:rsidR="003E6BBD" w:rsidRPr="00D936CA" w:rsidRDefault="003E6BBD"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b/>
          <w:sz w:val="22"/>
          <w:szCs w:val="22"/>
          <w:lang w:val="es-ES" w:eastAsia="es-MX"/>
        </w:rPr>
        <w:t xml:space="preserve">Procedimiento de contratación y entrega para </w:t>
      </w:r>
      <w:r>
        <w:rPr>
          <w:rFonts w:ascii="ITC Avant Garde" w:hAnsi="ITC Avant Garde" w:cs="Arial"/>
          <w:b/>
          <w:sz w:val="22"/>
          <w:szCs w:val="22"/>
          <w:lang w:val="es-ES" w:eastAsia="es-MX"/>
        </w:rPr>
        <w:t>el servicio de Cabl</w:t>
      </w:r>
      <w:r w:rsidR="00340815">
        <w:rPr>
          <w:rFonts w:ascii="ITC Avant Garde" w:hAnsi="ITC Avant Garde" w:cs="Arial"/>
          <w:b/>
          <w:sz w:val="22"/>
          <w:szCs w:val="22"/>
          <w:lang w:val="es-ES" w:eastAsia="es-MX"/>
        </w:rPr>
        <w:t>e</w:t>
      </w:r>
      <w:r>
        <w:rPr>
          <w:rFonts w:ascii="ITC Avant Garde" w:hAnsi="ITC Avant Garde" w:cs="Arial"/>
          <w:b/>
          <w:sz w:val="22"/>
          <w:szCs w:val="22"/>
          <w:lang w:val="es-ES" w:eastAsia="es-MX"/>
        </w:rPr>
        <w:t>ado de DFO-T</w:t>
      </w:r>
      <w:r w:rsidR="00DB545B">
        <w:rPr>
          <w:rFonts w:ascii="ITC Avant Garde" w:hAnsi="ITC Avant Garde" w:cs="Arial"/>
          <w:b/>
          <w:sz w:val="22"/>
          <w:szCs w:val="22"/>
          <w:lang w:val="es-ES" w:eastAsia="es-MX"/>
        </w:rPr>
        <w:t>MX</w:t>
      </w:r>
      <w:r>
        <w:rPr>
          <w:rFonts w:ascii="ITC Avant Garde" w:hAnsi="ITC Avant Garde" w:cs="Arial"/>
          <w:b/>
          <w:sz w:val="22"/>
          <w:szCs w:val="22"/>
          <w:lang w:val="es-ES" w:eastAsia="es-MX"/>
        </w:rPr>
        <w:t xml:space="preserve"> a DFO-CS</w:t>
      </w:r>
    </w:p>
    <w:p w14:paraId="4107F17D" w14:textId="72AB83CB" w:rsidR="003E6BBD" w:rsidRPr="00D936CA" w:rsidRDefault="003E6BBD"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El objetivo y alcance de este procedimiento es definir los pasos y actividades a desarrollar por parte de Telmex y del CS, a fin de realizar la contratación y entrega del Servicio de</w:t>
      </w:r>
      <w:r w:rsidRPr="00534914">
        <w:rPr>
          <w:rFonts w:ascii="ITC Avant Garde" w:hAnsi="ITC Avant Garde" w:cs="Arial"/>
          <w:sz w:val="22"/>
          <w:szCs w:val="22"/>
          <w:lang w:val="es-ES" w:eastAsia="es-MX"/>
        </w:rPr>
        <w:t xml:space="preserve"> </w:t>
      </w:r>
      <w:r w:rsidRPr="003543E9">
        <w:rPr>
          <w:rFonts w:ascii="ITC Avant Garde" w:hAnsi="ITC Avant Garde" w:cs="Arial"/>
          <w:sz w:val="22"/>
          <w:szCs w:val="22"/>
          <w:lang w:val="es-ES" w:eastAsia="es-MX"/>
        </w:rPr>
        <w:t>Cabl</w:t>
      </w:r>
      <w:r w:rsidR="00340815">
        <w:rPr>
          <w:rFonts w:ascii="ITC Avant Garde" w:hAnsi="ITC Avant Garde" w:cs="Arial"/>
          <w:sz w:val="22"/>
          <w:szCs w:val="22"/>
          <w:lang w:val="es-ES" w:eastAsia="es-MX"/>
        </w:rPr>
        <w:t>e</w:t>
      </w:r>
      <w:r w:rsidRPr="003543E9">
        <w:rPr>
          <w:rFonts w:ascii="ITC Avant Garde" w:hAnsi="ITC Avant Garde" w:cs="Arial"/>
          <w:sz w:val="22"/>
          <w:szCs w:val="22"/>
          <w:lang w:val="es-ES" w:eastAsia="es-MX"/>
        </w:rPr>
        <w:t>ado de DFO-T</w:t>
      </w:r>
      <w:r w:rsidR="00DB545B">
        <w:rPr>
          <w:rFonts w:ascii="ITC Avant Garde" w:hAnsi="ITC Avant Garde" w:cs="Arial"/>
          <w:sz w:val="22"/>
          <w:szCs w:val="22"/>
          <w:lang w:val="es-ES" w:eastAsia="es-MX"/>
        </w:rPr>
        <w:t>MX</w:t>
      </w:r>
      <w:r w:rsidRPr="003543E9">
        <w:rPr>
          <w:rFonts w:ascii="ITC Avant Garde" w:hAnsi="ITC Avant Garde" w:cs="Arial"/>
          <w:sz w:val="22"/>
          <w:szCs w:val="22"/>
          <w:lang w:val="es-ES" w:eastAsia="es-MX"/>
        </w:rPr>
        <w:t xml:space="preserve"> a DFO-CS</w:t>
      </w:r>
      <w:r w:rsidRPr="00D936CA">
        <w:rPr>
          <w:rFonts w:ascii="ITC Avant Garde" w:hAnsi="ITC Avant Garde" w:cs="Arial"/>
          <w:sz w:val="22"/>
          <w:szCs w:val="22"/>
          <w:lang w:val="es-ES" w:eastAsia="es-MX"/>
        </w:rPr>
        <w:t xml:space="preserve">;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contratar el servicio y la validación por parte de Telmex de que la solicitud cuenta con todos los elementos para la contratación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(iii)</w:t>
      </w:r>
      <w:r w:rsidRPr="00D936CA">
        <w:rPr>
          <w:rFonts w:ascii="ITC Avant Garde" w:hAnsi="ITC Avant Garde" w:cs="Arial"/>
          <w:sz w:val="22"/>
          <w:szCs w:val="22"/>
        </w:rPr>
        <w:t xml:space="preserve"> Habilitación y aprovisionamiento del servicio solicitado, que detonará los procesos de pruebas de entrega y facturación.</w:t>
      </w:r>
    </w:p>
    <w:tbl>
      <w:tblPr>
        <w:tblStyle w:val="Tablaconcuadrcula"/>
        <w:tblW w:w="5306" w:type="pct"/>
        <w:tblInd w:w="-572" w:type="dxa"/>
        <w:tblLook w:val="04A0" w:firstRow="1" w:lastRow="0" w:firstColumn="1" w:lastColumn="0" w:noHBand="0" w:noVBand="1"/>
      </w:tblPr>
      <w:tblGrid>
        <w:gridCol w:w="3039"/>
        <w:gridCol w:w="7119"/>
      </w:tblGrid>
      <w:tr w:rsidR="003E6BBD" w:rsidRPr="00D936CA" w14:paraId="3C36BBA9" w14:textId="77777777" w:rsidTr="00060B2E">
        <w:tc>
          <w:tcPr>
            <w:tcW w:w="1496" w:type="pct"/>
          </w:tcPr>
          <w:p w14:paraId="68C80EB1" w14:textId="77777777" w:rsidR="003E6BBD" w:rsidRPr="00D936CA" w:rsidRDefault="003E6BBD" w:rsidP="00A90ABE">
            <w:pPr>
              <w:pStyle w:val="IFTnormal"/>
              <w:jc w:val="center"/>
              <w:rPr>
                <w:b/>
                <w:sz w:val="20"/>
                <w:szCs w:val="20"/>
              </w:rPr>
            </w:pPr>
            <w:r w:rsidRPr="00D936CA">
              <w:rPr>
                <w:b/>
                <w:sz w:val="20"/>
                <w:szCs w:val="20"/>
              </w:rPr>
              <w:t>Etapa</w:t>
            </w:r>
          </w:p>
        </w:tc>
        <w:tc>
          <w:tcPr>
            <w:tcW w:w="3504" w:type="pct"/>
          </w:tcPr>
          <w:p w14:paraId="5DE884AD" w14:textId="77777777" w:rsidR="003E6BBD" w:rsidRPr="00D936CA" w:rsidRDefault="003E6BBD" w:rsidP="00A90ABE">
            <w:pPr>
              <w:pStyle w:val="IFTnormal"/>
              <w:jc w:val="center"/>
              <w:rPr>
                <w:b/>
                <w:sz w:val="20"/>
                <w:szCs w:val="20"/>
              </w:rPr>
            </w:pPr>
            <w:r w:rsidRPr="00D936CA">
              <w:rPr>
                <w:b/>
                <w:sz w:val="20"/>
                <w:szCs w:val="20"/>
              </w:rPr>
              <w:t>Descripción</w:t>
            </w:r>
          </w:p>
        </w:tc>
      </w:tr>
      <w:tr w:rsidR="003E6BBD" w:rsidRPr="00D936CA" w14:paraId="524A782E" w14:textId="77777777" w:rsidTr="00060B2E">
        <w:tc>
          <w:tcPr>
            <w:tcW w:w="1496" w:type="pct"/>
          </w:tcPr>
          <w:p w14:paraId="1ACA21EE" w14:textId="77777777" w:rsidR="003E6BBD" w:rsidRPr="00D936CA" w:rsidRDefault="003E6BBD" w:rsidP="00A90ABE">
            <w:pPr>
              <w:pStyle w:val="IFTnormal"/>
              <w:jc w:val="left"/>
              <w:rPr>
                <w:b/>
                <w:sz w:val="20"/>
                <w:szCs w:val="20"/>
              </w:rPr>
            </w:pPr>
            <w:r w:rsidRPr="00D936CA">
              <w:rPr>
                <w:b/>
                <w:sz w:val="20"/>
                <w:szCs w:val="20"/>
              </w:rPr>
              <w:t>Envío de solicitud</w:t>
            </w:r>
          </w:p>
        </w:tc>
        <w:tc>
          <w:tcPr>
            <w:tcW w:w="3504" w:type="pct"/>
          </w:tcPr>
          <w:p w14:paraId="578471A4" w14:textId="2DDF36EB" w:rsidR="003E6BBD" w:rsidRPr="00D936CA" w:rsidRDefault="003E6BBD" w:rsidP="00A90ABE">
            <w:pPr>
              <w:pStyle w:val="IFTnormal"/>
              <w:rPr>
                <w:sz w:val="20"/>
                <w:szCs w:val="20"/>
              </w:rPr>
            </w:pPr>
            <w:r w:rsidRPr="005C3B46">
              <w:rPr>
                <w:sz w:val="20"/>
                <w:szCs w:val="20"/>
              </w:rPr>
              <w:t>El CS deberá presentar su solicitud a través del SEG</w:t>
            </w:r>
            <w:r w:rsidR="005C3B46">
              <w:rPr>
                <w:sz w:val="20"/>
                <w:szCs w:val="20"/>
              </w:rPr>
              <w:t>.</w:t>
            </w:r>
          </w:p>
          <w:p w14:paraId="0F0873AD" w14:textId="477F1B5A" w:rsidR="003E6BBD" w:rsidRPr="00D936CA" w:rsidRDefault="003E6BBD" w:rsidP="00A90ABE">
            <w:pPr>
              <w:pStyle w:val="IFTnormal"/>
              <w:spacing w:after="120" w:line="240" w:lineRule="auto"/>
              <w:ind w:left="34"/>
              <w:rPr>
                <w:sz w:val="20"/>
                <w:szCs w:val="20"/>
              </w:rPr>
            </w:pPr>
            <w:r w:rsidRPr="00D936CA">
              <w:rPr>
                <w:sz w:val="20"/>
                <w:szCs w:val="20"/>
              </w:rPr>
              <w:t xml:space="preserve">Una vez enviada </w:t>
            </w:r>
            <w:r w:rsidR="001840B0">
              <w:rPr>
                <w:sz w:val="20"/>
                <w:szCs w:val="20"/>
              </w:rPr>
              <w:t xml:space="preserve">la solicitud </w:t>
            </w:r>
            <w:r w:rsidRPr="00D936CA">
              <w:rPr>
                <w:sz w:val="20"/>
                <w:szCs w:val="20"/>
              </w:rPr>
              <w:t>se asignará de forma automática un número de folio a la solicitud del CS.</w:t>
            </w:r>
          </w:p>
        </w:tc>
      </w:tr>
      <w:tr w:rsidR="003E6BBD" w:rsidRPr="00D936CA" w14:paraId="1F6975CA" w14:textId="77777777" w:rsidTr="002E4D4B">
        <w:tc>
          <w:tcPr>
            <w:tcW w:w="1496" w:type="pct"/>
          </w:tcPr>
          <w:p w14:paraId="0DF16FBB" w14:textId="77777777" w:rsidR="003E6BBD" w:rsidRPr="00D936CA" w:rsidRDefault="003E6BBD" w:rsidP="00A90ABE">
            <w:pPr>
              <w:pStyle w:val="IFTnormal"/>
              <w:jc w:val="left"/>
              <w:rPr>
                <w:b/>
                <w:sz w:val="20"/>
                <w:szCs w:val="20"/>
              </w:rPr>
            </w:pPr>
            <w:r w:rsidRPr="00D936CA">
              <w:rPr>
                <w:b/>
                <w:sz w:val="20"/>
                <w:szCs w:val="20"/>
              </w:rPr>
              <w:t>Validación de solicitud</w:t>
            </w:r>
          </w:p>
        </w:tc>
        <w:tc>
          <w:tcPr>
            <w:tcW w:w="3504" w:type="pct"/>
            <w:shd w:val="clear" w:color="auto" w:fill="auto"/>
          </w:tcPr>
          <w:p w14:paraId="02580572" w14:textId="77777777" w:rsidR="003E6BBD" w:rsidRPr="00D936CA" w:rsidRDefault="003E6BBD" w:rsidP="00A90ABE">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05D595D9" w14:textId="77777777" w:rsidR="003E6BBD" w:rsidRPr="00D936CA" w:rsidRDefault="003E6BBD" w:rsidP="00A90ABE">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6DE2587C" w14:textId="77777777" w:rsidR="003E6BBD" w:rsidRPr="00D936CA" w:rsidRDefault="003E6BBD" w:rsidP="00A90ABE">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3E6BBD" w:rsidRPr="00D936CA" w14:paraId="73FF8126" w14:textId="77777777" w:rsidTr="00060B2E">
        <w:tc>
          <w:tcPr>
            <w:tcW w:w="1496" w:type="pct"/>
          </w:tcPr>
          <w:p w14:paraId="2BD88E8A" w14:textId="77777777" w:rsidR="003E6BBD" w:rsidRPr="00D936CA" w:rsidRDefault="003E6BBD" w:rsidP="00A90ABE">
            <w:pPr>
              <w:pStyle w:val="IFTnormal"/>
              <w:jc w:val="left"/>
              <w:rPr>
                <w:b/>
                <w:sz w:val="20"/>
                <w:szCs w:val="20"/>
              </w:rPr>
            </w:pPr>
            <w:r w:rsidRPr="00D936CA">
              <w:rPr>
                <w:b/>
                <w:sz w:val="20"/>
                <w:szCs w:val="20"/>
              </w:rPr>
              <w:lastRenderedPageBreak/>
              <w:t>Factibilidad Técnica</w:t>
            </w:r>
          </w:p>
        </w:tc>
        <w:tc>
          <w:tcPr>
            <w:tcW w:w="3504" w:type="pct"/>
          </w:tcPr>
          <w:p w14:paraId="2DE11AE7" w14:textId="77777777" w:rsidR="003E6BBD" w:rsidRPr="00D936CA" w:rsidRDefault="003E6BBD" w:rsidP="00A90ABE">
            <w:pPr>
              <w:pStyle w:val="IFTnormal"/>
              <w:rPr>
                <w:sz w:val="20"/>
                <w:szCs w:val="20"/>
              </w:rPr>
            </w:pPr>
            <w:r w:rsidRPr="00D936CA">
              <w:rPr>
                <w:sz w:val="20"/>
                <w:szCs w:val="20"/>
              </w:rPr>
              <w:t xml:space="preserve">Durante el análisis de Factibilidad Técnica, Telmex determinará si existen los recursos técnicos y facilidades para habilitar los servicios solicitados en un plazo máximo </w:t>
            </w:r>
            <w:r w:rsidRPr="006D06E5">
              <w:rPr>
                <w:sz w:val="20"/>
                <w:szCs w:val="20"/>
              </w:rPr>
              <w:t>de 3 días hábiles:</w:t>
            </w:r>
          </w:p>
          <w:p w14:paraId="2FD1D06F" w14:textId="77777777" w:rsidR="003E6BBD" w:rsidRPr="00D936CA" w:rsidRDefault="003E6BBD" w:rsidP="00A90ABE">
            <w:pPr>
              <w:pStyle w:val="IFTnormal"/>
              <w:numPr>
                <w:ilvl w:val="0"/>
                <w:numId w:val="102"/>
              </w:numPr>
              <w:ind w:left="318" w:hanging="318"/>
              <w:rPr>
                <w:sz w:val="20"/>
                <w:szCs w:val="20"/>
              </w:rPr>
            </w:pPr>
            <w:r w:rsidRPr="00D936CA">
              <w:rPr>
                <w:b/>
                <w:sz w:val="20"/>
                <w:szCs w:val="20"/>
              </w:rPr>
              <w:t>Existen facilidades</w:t>
            </w:r>
            <w:r w:rsidRPr="00D936CA">
              <w:rPr>
                <w:sz w:val="20"/>
                <w:szCs w:val="20"/>
              </w:rPr>
              <w:t xml:space="preserve">, se asignará Número de Identificación de Seguimiento (NIS) y se enviará la cotización correspondiente (en un plazo máximo </w:t>
            </w:r>
            <w:r w:rsidRPr="006D06E5">
              <w:rPr>
                <w:sz w:val="20"/>
                <w:szCs w:val="20"/>
              </w:rPr>
              <w:t>de 5 días el CS de</w:t>
            </w:r>
            <w:r w:rsidRPr="00D936CA">
              <w:rPr>
                <w:sz w:val="20"/>
                <w:szCs w:val="20"/>
              </w:rPr>
              <w:t>berá responder y/o solicitar a Telmex revisión o aclaración de cotización, en caso de no recibir respuesta se entenderá que se rechaza el servicio).</w:t>
            </w:r>
          </w:p>
          <w:p w14:paraId="1F35F4DD" w14:textId="06876F77" w:rsidR="003E6BBD" w:rsidRPr="00D936CA" w:rsidRDefault="003E6BBD" w:rsidP="00A90ABE">
            <w:pPr>
              <w:pStyle w:val="IFTnormal"/>
              <w:numPr>
                <w:ilvl w:val="0"/>
                <w:numId w:val="102"/>
              </w:numPr>
              <w:ind w:left="318" w:hanging="318"/>
              <w:rPr>
                <w:sz w:val="20"/>
                <w:szCs w:val="20"/>
              </w:rPr>
            </w:pPr>
            <w:r w:rsidRPr="00D936CA">
              <w:rPr>
                <w:b/>
                <w:sz w:val="20"/>
                <w:szCs w:val="20"/>
              </w:rPr>
              <w:t>No existen facilidades</w:t>
            </w:r>
            <w:r w:rsidRPr="00D936CA">
              <w:rPr>
                <w:sz w:val="20"/>
                <w:szCs w:val="20"/>
              </w:rPr>
              <w:t>, se presentará al CS, a través del SEG, la justificación, así como las evidencias correspondientes. En este caso Telmex</w:t>
            </w:r>
            <w:r>
              <w:rPr>
                <w:sz w:val="20"/>
                <w:szCs w:val="20"/>
              </w:rPr>
              <w:t>, a solicitud del CS,</w:t>
            </w:r>
            <w:r w:rsidRPr="00D936CA">
              <w:rPr>
                <w:sz w:val="20"/>
                <w:szCs w:val="20"/>
              </w:rPr>
              <w:t xml:space="preserve"> iniciar</w:t>
            </w:r>
            <w:r>
              <w:rPr>
                <w:sz w:val="20"/>
                <w:szCs w:val="20"/>
              </w:rPr>
              <w:t>á</w:t>
            </w:r>
            <w:r w:rsidRPr="00D936CA">
              <w:rPr>
                <w:sz w:val="20"/>
                <w:szCs w:val="20"/>
              </w:rPr>
              <w:t xml:space="preserve"> el procedimiento de Trabajos Especiales de esta OREDA.</w:t>
            </w:r>
          </w:p>
        </w:tc>
      </w:tr>
      <w:tr w:rsidR="003E6BBD" w:rsidRPr="00D936CA" w14:paraId="4A319BC4" w14:textId="77777777" w:rsidTr="00060B2E">
        <w:tc>
          <w:tcPr>
            <w:tcW w:w="1496" w:type="pct"/>
          </w:tcPr>
          <w:p w14:paraId="2C0A77DB" w14:textId="77777777" w:rsidR="003E6BBD" w:rsidRPr="00D936CA" w:rsidRDefault="003E6BBD" w:rsidP="00A90ABE">
            <w:pPr>
              <w:pStyle w:val="IFTnormal"/>
              <w:jc w:val="left"/>
              <w:rPr>
                <w:b/>
                <w:sz w:val="20"/>
                <w:szCs w:val="20"/>
              </w:rPr>
            </w:pPr>
            <w:r w:rsidRPr="00D936CA">
              <w:rPr>
                <w:b/>
                <w:sz w:val="20"/>
                <w:szCs w:val="20"/>
              </w:rPr>
              <w:t>Habilitación y aprovisionamiento del Servicio</w:t>
            </w:r>
          </w:p>
        </w:tc>
        <w:tc>
          <w:tcPr>
            <w:tcW w:w="3504" w:type="pct"/>
          </w:tcPr>
          <w:p w14:paraId="2D895572" w14:textId="77777777" w:rsidR="001840B0" w:rsidRDefault="003E6BBD" w:rsidP="00A90ABE">
            <w:pPr>
              <w:pStyle w:val="IFTnormal"/>
              <w:rPr>
                <w:sz w:val="20"/>
                <w:szCs w:val="20"/>
              </w:rPr>
            </w:pPr>
            <w:r w:rsidRPr="00D936CA">
              <w:rPr>
                <w:sz w:val="20"/>
                <w:szCs w:val="20"/>
              </w:rPr>
              <w:t>Una vez aceptada la cotización por parte del CS</w:t>
            </w:r>
            <w:r w:rsidR="001840B0">
              <w:rPr>
                <w:sz w:val="20"/>
                <w:szCs w:val="20"/>
              </w:rPr>
              <w:t>:</w:t>
            </w:r>
          </w:p>
          <w:p w14:paraId="4E8106C5" w14:textId="0EE1F53A" w:rsidR="001840B0" w:rsidRDefault="001840B0" w:rsidP="00A90ABE">
            <w:pPr>
              <w:pStyle w:val="IFTnormal"/>
              <w:numPr>
                <w:ilvl w:val="0"/>
                <w:numId w:val="121"/>
              </w:numPr>
              <w:rPr>
                <w:sz w:val="20"/>
                <w:szCs w:val="20"/>
              </w:rPr>
            </w:pPr>
            <w:r>
              <w:rPr>
                <w:sz w:val="20"/>
                <w:szCs w:val="20"/>
              </w:rPr>
              <w:t>Si solicitó la fusión de la fibr</w:t>
            </w:r>
            <w:r w:rsidR="005C3B46">
              <w:rPr>
                <w:sz w:val="20"/>
                <w:szCs w:val="20"/>
              </w:rPr>
              <w:t>a (con y sin DFO)</w:t>
            </w:r>
            <w:r>
              <w:rPr>
                <w:sz w:val="20"/>
                <w:szCs w:val="20"/>
              </w:rPr>
              <w:t xml:space="preserve">, el CS deberá permitir el acceso de Telmex a su </w:t>
            </w:r>
            <w:r w:rsidR="005C3B46">
              <w:rPr>
                <w:sz w:val="20"/>
                <w:szCs w:val="20"/>
              </w:rPr>
              <w:t>Coubicación</w:t>
            </w:r>
            <w:r>
              <w:rPr>
                <w:sz w:val="20"/>
                <w:szCs w:val="20"/>
              </w:rPr>
              <w:t xml:space="preserve"> y una vez garantizado lo anterior, s</w:t>
            </w:r>
            <w:r w:rsidR="003E6BBD" w:rsidRPr="00D936CA">
              <w:rPr>
                <w:sz w:val="20"/>
                <w:szCs w:val="20"/>
              </w:rPr>
              <w:t xml:space="preserve">e habilitará el servicio. </w:t>
            </w:r>
          </w:p>
          <w:p w14:paraId="21AD0816" w14:textId="2DA3D02A" w:rsidR="001840B0" w:rsidRDefault="001840B0" w:rsidP="00A90ABE">
            <w:pPr>
              <w:pStyle w:val="IFTnormal"/>
              <w:numPr>
                <w:ilvl w:val="0"/>
                <w:numId w:val="121"/>
              </w:numPr>
              <w:rPr>
                <w:sz w:val="20"/>
                <w:szCs w:val="20"/>
              </w:rPr>
            </w:pPr>
            <w:r>
              <w:rPr>
                <w:sz w:val="20"/>
                <w:szCs w:val="20"/>
              </w:rPr>
              <w:t>Si el CS no solicitó la fusión de la fibra, Telmex entregará el servicio en punta.</w:t>
            </w:r>
          </w:p>
          <w:p w14:paraId="57393EF8" w14:textId="46ED88FC" w:rsidR="003E6BBD" w:rsidRPr="00D936CA" w:rsidRDefault="003E6BBD" w:rsidP="00A90ABE">
            <w:pPr>
              <w:pStyle w:val="IFTnormal"/>
              <w:numPr>
                <w:ilvl w:val="0"/>
                <w:numId w:val="121"/>
              </w:numPr>
              <w:rPr>
                <w:sz w:val="20"/>
                <w:szCs w:val="20"/>
              </w:rPr>
            </w:pPr>
            <w:r w:rsidRPr="00D936CA">
              <w:rPr>
                <w:sz w:val="20"/>
                <w:szCs w:val="20"/>
              </w:rPr>
              <w:t>Si el Cableado fue solicitado junto con Coubicación se habilitará en el plazo de entrega del servicio.</w:t>
            </w:r>
          </w:p>
        </w:tc>
      </w:tr>
      <w:tr w:rsidR="003E6BBD" w:rsidRPr="00D936CA" w14:paraId="71D73599" w14:textId="77777777" w:rsidTr="00060B2E">
        <w:tc>
          <w:tcPr>
            <w:tcW w:w="1496" w:type="pct"/>
          </w:tcPr>
          <w:p w14:paraId="6C3188B7" w14:textId="77777777" w:rsidR="003E6BBD" w:rsidRPr="00D936CA" w:rsidRDefault="003E6BBD" w:rsidP="00A90ABE">
            <w:pPr>
              <w:pStyle w:val="IFTnormal"/>
              <w:jc w:val="left"/>
              <w:rPr>
                <w:b/>
                <w:sz w:val="20"/>
                <w:szCs w:val="20"/>
              </w:rPr>
            </w:pPr>
            <w:r w:rsidRPr="00D936CA">
              <w:rPr>
                <w:b/>
                <w:sz w:val="20"/>
                <w:szCs w:val="20"/>
              </w:rPr>
              <w:t>Pruebas de Aceptación del Servicio</w:t>
            </w:r>
          </w:p>
        </w:tc>
        <w:tc>
          <w:tcPr>
            <w:tcW w:w="3504" w:type="pct"/>
          </w:tcPr>
          <w:p w14:paraId="4356BE81" w14:textId="77777777" w:rsidR="003E6BBD" w:rsidRPr="00D936CA" w:rsidRDefault="003E6BBD" w:rsidP="00A90ABE">
            <w:pPr>
              <w:pStyle w:val="IFTnormal"/>
              <w:rPr>
                <w:sz w:val="20"/>
                <w:szCs w:val="20"/>
              </w:rPr>
            </w:pPr>
            <w:r w:rsidRPr="00D936CA">
              <w:rPr>
                <w:sz w:val="20"/>
                <w:szCs w:val="20"/>
              </w:rPr>
              <w:t>Una vez instalado el servicio se le notificará al CS</w:t>
            </w:r>
          </w:p>
        </w:tc>
      </w:tr>
      <w:tr w:rsidR="003E6BBD" w:rsidRPr="00D936CA" w14:paraId="3E07B2EE" w14:textId="77777777" w:rsidTr="00060B2E">
        <w:tc>
          <w:tcPr>
            <w:tcW w:w="1496" w:type="pct"/>
          </w:tcPr>
          <w:p w14:paraId="68302D82" w14:textId="77777777" w:rsidR="003E6BBD" w:rsidRPr="00D936CA" w:rsidRDefault="003E6BBD" w:rsidP="00A90ABE">
            <w:pPr>
              <w:pStyle w:val="IFTnormal"/>
              <w:jc w:val="left"/>
              <w:rPr>
                <w:b/>
                <w:sz w:val="20"/>
                <w:szCs w:val="20"/>
              </w:rPr>
            </w:pPr>
            <w:r w:rsidRPr="00D936CA">
              <w:rPr>
                <w:b/>
                <w:sz w:val="20"/>
                <w:szCs w:val="20"/>
              </w:rPr>
              <w:t>Facturación</w:t>
            </w:r>
          </w:p>
        </w:tc>
        <w:tc>
          <w:tcPr>
            <w:tcW w:w="3504" w:type="pct"/>
          </w:tcPr>
          <w:p w14:paraId="1B4EC90B" w14:textId="77777777" w:rsidR="003E6BBD" w:rsidRPr="00D936CA" w:rsidRDefault="003E6BBD" w:rsidP="00A90ABE">
            <w:pPr>
              <w:pStyle w:val="IFTnormal"/>
              <w:rPr>
                <w:sz w:val="20"/>
                <w:szCs w:val="20"/>
              </w:rPr>
            </w:pPr>
            <w:r w:rsidRPr="00D936CA">
              <w:rPr>
                <w:sz w:val="20"/>
                <w:szCs w:val="20"/>
              </w:rPr>
              <w:t>Al corte del mes se realizará la facturación aplicable al servicio:</w:t>
            </w:r>
          </w:p>
          <w:p w14:paraId="3883654B" w14:textId="77777777" w:rsidR="003E6BBD" w:rsidRPr="00D936CA" w:rsidRDefault="003E6BBD" w:rsidP="00A90ABE">
            <w:pPr>
              <w:pStyle w:val="IFTnormal"/>
              <w:numPr>
                <w:ilvl w:val="0"/>
                <w:numId w:val="102"/>
              </w:numPr>
              <w:ind w:left="318" w:hanging="284"/>
              <w:rPr>
                <w:sz w:val="20"/>
                <w:szCs w:val="20"/>
              </w:rPr>
            </w:pPr>
            <w:r w:rsidRPr="00D936CA">
              <w:rPr>
                <w:sz w:val="20"/>
                <w:szCs w:val="20"/>
              </w:rPr>
              <w:t>Se incluirán los gastos de instalación o habilitación y la renta mensual correspondiente.</w:t>
            </w:r>
          </w:p>
          <w:p w14:paraId="23D1ADDD" w14:textId="77777777" w:rsidR="003E6BBD" w:rsidRPr="00D936CA" w:rsidRDefault="003E6BBD" w:rsidP="00A90ABE">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48681E6A" w14:textId="77777777" w:rsidR="003E6BBD" w:rsidRPr="00D936CA" w:rsidRDefault="003E6BBD" w:rsidP="00060B2E">
      <w:pPr>
        <w:spacing w:after="200" w:line="276" w:lineRule="auto"/>
        <w:ind w:left="-567" w:right="-142"/>
        <w:jc w:val="both"/>
        <w:rPr>
          <w:rFonts w:ascii="ITC Avant Garde" w:hAnsi="ITC Avant Garde"/>
          <w:b/>
          <w:sz w:val="22"/>
          <w:szCs w:val="22"/>
          <w:lang w:val="es-MX"/>
        </w:rPr>
      </w:pPr>
    </w:p>
    <w:p w14:paraId="5D63AD0F" w14:textId="208DC102" w:rsidR="003E6BBD" w:rsidRPr="00D936CA" w:rsidRDefault="003E6BBD"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 xml:space="preserve">Procedimiento de Baja </w:t>
      </w:r>
      <w:r w:rsidRPr="009473A4">
        <w:rPr>
          <w:rFonts w:ascii="ITC Avant Garde" w:hAnsi="ITC Avant Garde" w:cs="Arial"/>
          <w:b/>
          <w:sz w:val="22"/>
          <w:szCs w:val="22"/>
          <w:lang w:val="es-ES" w:eastAsia="es-MX"/>
        </w:rPr>
        <w:t>(</w:t>
      </w:r>
      <w:r w:rsidRPr="003543E9">
        <w:rPr>
          <w:rFonts w:ascii="ITC Avant Garde" w:hAnsi="ITC Avant Garde"/>
          <w:b/>
          <w:sz w:val="22"/>
          <w:szCs w:val="22"/>
        </w:rPr>
        <w:t>Cableado de DFO-T</w:t>
      </w:r>
      <w:r w:rsidR="00DB545B">
        <w:rPr>
          <w:rFonts w:ascii="ITC Avant Garde" w:hAnsi="ITC Avant Garde"/>
          <w:b/>
          <w:sz w:val="22"/>
          <w:szCs w:val="22"/>
        </w:rPr>
        <w:t>MX</w:t>
      </w:r>
      <w:r w:rsidRPr="003543E9">
        <w:rPr>
          <w:rFonts w:ascii="ITC Avant Garde" w:hAnsi="ITC Avant Garde"/>
          <w:b/>
          <w:sz w:val="22"/>
          <w:szCs w:val="22"/>
        </w:rPr>
        <w:t xml:space="preserve"> a DFO-CS</w:t>
      </w:r>
      <w:r w:rsidRPr="009473A4">
        <w:rPr>
          <w:rFonts w:ascii="ITC Avant Garde" w:hAnsi="ITC Avant Garde" w:cs="Arial"/>
          <w:b/>
          <w:sz w:val="22"/>
          <w:szCs w:val="22"/>
          <w:lang w:val="es-ES" w:eastAsia="es-MX"/>
        </w:rPr>
        <w:t>)</w:t>
      </w:r>
    </w:p>
    <w:p w14:paraId="53F30F82" w14:textId="12DF1613" w:rsidR="003E6BBD" w:rsidRPr="00D936CA" w:rsidRDefault="003E6BBD"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Cableado </w:t>
      </w:r>
      <w:r>
        <w:rPr>
          <w:rFonts w:ascii="ITC Avant Garde" w:hAnsi="ITC Avant Garde" w:cs="Arial"/>
          <w:sz w:val="22"/>
          <w:szCs w:val="22"/>
          <w:lang w:val="es-ES" w:eastAsia="es-MX"/>
        </w:rPr>
        <w:t>de DFO-T</w:t>
      </w:r>
      <w:r w:rsidR="00DB545B">
        <w:rPr>
          <w:rFonts w:ascii="ITC Avant Garde" w:hAnsi="ITC Avant Garde" w:cs="Arial"/>
          <w:sz w:val="22"/>
          <w:szCs w:val="22"/>
          <w:lang w:val="es-ES" w:eastAsia="es-MX"/>
        </w:rPr>
        <w:t>MX</w:t>
      </w:r>
      <w:r>
        <w:rPr>
          <w:rFonts w:ascii="ITC Avant Garde" w:hAnsi="ITC Avant Garde" w:cs="Arial"/>
          <w:sz w:val="22"/>
          <w:szCs w:val="22"/>
          <w:lang w:val="es-ES" w:eastAsia="es-MX"/>
        </w:rPr>
        <w:t xml:space="preserve"> a DFO-CS</w:t>
      </w:r>
      <w:r w:rsidRPr="00D936CA">
        <w:rPr>
          <w:rFonts w:ascii="ITC Avant Garde" w:hAnsi="ITC Avant Garde" w:cs="Arial"/>
          <w:sz w:val="22"/>
          <w:szCs w:val="22"/>
          <w:lang w:val="es-ES" w:eastAsia="es-MX"/>
        </w:rPr>
        <w:t xml:space="preserve">;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 xml:space="preserve">y </w:t>
      </w:r>
      <w:r w:rsidRPr="00D936CA">
        <w:rPr>
          <w:rFonts w:ascii="ITC Avant Garde" w:hAnsi="ITC Avant Garde" w:cs="Arial"/>
          <w:b/>
          <w:sz w:val="22"/>
          <w:szCs w:val="22"/>
        </w:rPr>
        <w:t>(ii)</w:t>
      </w:r>
      <w:r w:rsidRPr="00D936CA">
        <w:rPr>
          <w:rFonts w:ascii="ITC Avant Garde" w:hAnsi="ITC Avant Garde" w:cs="Arial"/>
          <w:sz w:val="22"/>
          <w:szCs w:val="22"/>
        </w:rPr>
        <w:t xml:space="preserve"> Baja del (los) servicio(s) y de la facturación correspondiente.</w:t>
      </w:r>
    </w:p>
    <w:tbl>
      <w:tblPr>
        <w:tblStyle w:val="Tablaconcuadrcula"/>
        <w:tblW w:w="5306" w:type="pct"/>
        <w:tblInd w:w="-572" w:type="dxa"/>
        <w:tblLook w:val="04A0" w:firstRow="1" w:lastRow="0" w:firstColumn="1" w:lastColumn="0" w:noHBand="0" w:noVBand="1"/>
      </w:tblPr>
      <w:tblGrid>
        <w:gridCol w:w="3039"/>
        <w:gridCol w:w="7119"/>
      </w:tblGrid>
      <w:tr w:rsidR="003E6BBD" w:rsidRPr="00D936CA" w14:paraId="7875F61F" w14:textId="77777777" w:rsidTr="00060B2E">
        <w:tc>
          <w:tcPr>
            <w:tcW w:w="1496" w:type="pct"/>
          </w:tcPr>
          <w:p w14:paraId="2EA6E01E" w14:textId="77777777" w:rsidR="003E6BBD" w:rsidRPr="00D936CA" w:rsidRDefault="003E6BBD" w:rsidP="00A90ABE">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Etapa</w:t>
            </w:r>
          </w:p>
        </w:tc>
        <w:tc>
          <w:tcPr>
            <w:tcW w:w="3504" w:type="pct"/>
          </w:tcPr>
          <w:p w14:paraId="52F0BC55" w14:textId="77777777" w:rsidR="003E6BBD" w:rsidRPr="00D936CA" w:rsidRDefault="003E6BBD" w:rsidP="00A90ABE">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3E6BBD" w:rsidRPr="00D936CA" w14:paraId="1D7A6D95" w14:textId="77777777" w:rsidTr="00060B2E">
        <w:tc>
          <w:tcPr>
            <w:tcW w:w="1496" w:type="pct"/>
          </w:tcPr>
          <w:p w14:paraId="606FFD05" w14:textId="77777777" w:rsidR="003E6BBD" w:rsidRPr="00D936CA" w:rsidRDefault="003E6BBD" w:rsidP="00A90ABE">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504" w:type="pct"/>
          </w:tcPr>
          <w:p w14:paraId="434A8919" w14:textId="77777777" w:rsidR="003E6BBD" w:rsidRPr="00D936CA" w:rsidRDefault="003E6BBD" w:rsidP="00A90ABE">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El CS deberá presentar sus solicitudes en el formato correspondiente a través del SEG una vez que entre en operación, especificando el NIS-Referencia del servicio en operación.</w:t>
            </w:r>
          </w:p>
        </w:tc>
      </w:tr>
      <w:tr w:rsidR="003E6BBD" w:rsidRPr="00D936CA" w14:paraId="573B74FA" w14:textId="77777777" w:rsidTr="00060B2E">
        <w:tc>
          <w:tcPr>
            <w:tcW w:w="1496" w:type="pct"/>
          </w:tcPr>
          <w:p w14:paraId="7CCABD60" w14:textId="77777777" w:rsidR="003E6BBD" w:rsidRPr="00D936CA" w:rsidRDefault="003E6BBD" w:rsidP="00A90ABE">
            <w:pPr>
              <w:pStyle w:val="IFTnormal"/>
              <w:jc w:val="left"/>
              <w:rPr>
                <w:b/>
                <w:sz w:val="20"/>
                <w:szCs w:val="20"/>
              </w:rPr>
            </w:pPr>
            <w:r w:rsidRPr="00D936CA">
              <w:rPr>
                <w:b/>
                <w:sz w:val="20"/>
                <w:szCs w:val="20"/>
              </w:rPr>
              <w:t>Validación de solicitud</w:t>
            </w:r>
          </w:p>
        </w:tc>
        <w:tc>
          <w:tcPr>
            <w:tcW w:w="3504" w:type="pct"/>
            <w:shd w:val="clear" w:color="auto" w:fill="auto"/>
          </w:tcPr>
          <w:p w14:paraId="08CFFA53" w14:textId="77777777" w:rsidR="003E6BBD" w:rsidRPr="00D936CA" w:rsidRDefault="003E6BBD" w:rsidP="00A90ABE">
            <w:pPr>
              <w:pStyle w:val="IFTnormal"/>
              <w:rPr>
                <w:sz w:val="20"/>
                <w:szCs w:val="20"/>
              </w:rPr>
            </w:pPr>
            <w:r w:rsidRPr="00D936CA">
              <w:rPr>
                <w:sz w:val="20"/>
                <w:szCs w:val="20"/>
              </w:rPr>
              <w:t>Una vez enviada la solicitud será validada en un plazo máximo de 1 día hábil, así mismo se asignará de forma automática un número de folio a la solicitud del CS.</w:t>
            </w:r>
          </w:p>
          <w:p w14:paraId="2DC2EBBD" w14:textId="77777777" w:rsidR="003E6BBD" w:rsidRPr="00D936CA" w:rsidRDefault="003E6BBD" w:rsidP="00A90ABE">
            <w:pPr>
              <w:pStyle w:val="IFTnormal"/>
              <w:rPr>
                <w:sz w:val="20"/>
                <w:szCs w:val="20"/>
              </w:rPr>
            </w:pPr>
            <w:r w:rsidRPr="00D936CA">
              <w:rPr>
                <w:sz w:val="20"/>
                <w:szCs w:val="20"/>
              </w:rPr>
              <w:t>Telmex evaluará las solicitudes enviadas por los CS para determinar si:</w:t>
            </w:r>
          </w:p>
          <w:p w14:paraId="29DA843C" w14:textId="77777777" w:rsidR="003E6BBD" w:rsidRPr="00D936CA" w:rsidRDefault="003E6BBD" w:rsidP="00A90ABE">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cambiará el folio previamente asignado por el Número de Identificación de Solicitud (NIS).</w:t>
            </w:r>
          </w:p>
          <w:p w14:paraId="3F0FABB8" w14:textId="77777777" w:rsidR="003E6BBD" w:rsidRPr="00D936CA" w:rsidRDefault="003E6BBD" w:rsidP="00A90ABE">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3E6BBD" w:rsidRPr="00D936CA" w14:paraId="7D61C094" w14:textId="77777777" w:rsidTr="00060B2E">
        <w:tc>
          <w:tcPr>
            <w:tcW w:w="1496" w:type="pct"/>
          </w:tcPr>
          <w:p w14:paraId="1F03916F" w14:textId="77777777" w:rsidR="003E6BBD" w:rsidRPr="00D936CA" w:rsidRDefault="003E6BBD" w:rsidP="00A90ABE">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Ejecución de baja</w:t>
            </w:r>
          </w:p>
        </w:tc>
        <w:tc>
          <w:tcPr>
            <w:tcW w:w="3504" w:type="pct"/>
          </w:tcPr>
          <w:p w14:paraId="66EF1767" w14:textId="3EAD3901" w:rsidR="003E6BBD" w:rsidRPr="00D936CA" w:rsidRDefault="003E6BBD" w:rsidP="00A90ABE">
            <w:pPr>
              <w:pStyle w:val="IFTnormal"/>
              <w:rPr>
                <w:rFonts w:cs="Arial"/>
                <w:sz w:val="20"/>
                <w:szCs w:val="20"/>
              </w:rPr>
            </w:pPr>
            <w:r w:rsidRPr="00D936CA">
              <w:rPr>
                <w:sz w:val="20"/>
                <w:szCs w:val="20"/>
              </w:rPr>
              <w:t xml:space="preserve">Una vez asignado el Número de Identificación de Solicitud (NIS) Telmex procederá a dar de baja el </w:t>
            </w:r>
            <w:r w:rsidR="005C3B46" w:rsidRPr="00D936CA">
              <w:rPr>
                <w:sz w:val="20"/>
                <w:szCs w:val="20"/>
              </w:rPr>
              <w:t>servicio,</w:t>
            </w:r>
            <w:r w:rsidRPr="00D936CA">
              <w:rPr>
                <w:sz w:val="20"/>
                <w:szCs w:val="20"/>
              </w:rPr>
              <w:t xml:space="preserve"> así como los cargos al CS asociados en un máximo de 1 día hábil a partir de la solicitud.</w:t>
            </w:r>
          </w:p>
        </w:tc>
      </w:tr>
      <w:tr w:rsidR="003E6BBD" w:rsidRPr="00D936CA" w14:paraId="6A7D6D88" w14:textId="77777777" w:rsidTr="00060B2E">
        <w:tc>
          <w:tcPr>
            <w:tcW w:w="1496" w:type="pct"/>
          </w:tcPr>
          <w:p w14:paraId="2A25D8C4" w14:textId="77777777" w:rsidR="003E6BBD" w:rsidRPr="00D936CA" w:rsidRDefault="003E6BBD" w:rsidP="00A90ABE">
            <w:pPr>
              <w:pStyle w:val="IFTnormal"/>
              <w:jc w:val="left"/>
              <w:rPr>
                <w:b/>
                <w:sz w:val="20"/>
                <w:szCs w:val="20"/>
              </w:rPr>
            </w:pPr>
            <w:r w:rsidRPr="00D936CA">
              <w:rPr>
                <w:b/>
                <w:sz w:val="20"/>
                <w:szCs w:val="20"/>
              </w:rPr>
              <w:t>Facturación</w:t>
            </w:r>
          </w:p>
        </w:tc>
        <w:tc>
          <w:tcPr>
            <w:tcW w:w="3504" w:type="pct"/>
          </w:tcPr>
          <w:p w14:paraId="08F9995E" w14:textId="77777777" w:rsidR="003E6BBD" w:rsidRPr="00D936CA" w:rsidRDefault="003E6BBD" w:rsidP="00A90ABE">
            <w:pPr>
              <w:pStyle w:val="IFTnormal"/>
              <w:rPr>
                <w:sz w:val="20"/>
                <w:szCs w:val="20"/>
              </w:rPr>
            </w:pPr>
            <w:r w:rsidRPr="00D936CA">
              <w:rPr>
                <w:sz w:val="20"/>
                <w:szCs w:val="20"/>
              </w:rPr>
              <w:t>En un plazo máximo de 2 días hábiles a partir de la solicitud de baja, Telmex dejará de generar nuevos cargos a los CS por el servicio.</w:t>
            </w:r>
          </w:p>
        </w:tc>
      </w:tr>
    </w:tbl>
    <w:p w14:paraId="68DFF80F" w14:textId="77777777" w:rsidR="003E6BBD" w:rsidRPr="00D936CA" w:rsidRDefault="003E6BBD" w:rsidP="00060B2E">
      <w:pPr>
        <w:spacing w:after="200" w:line="276" w:lineRule="auto"/>
        <w:ind w:left="-567"/>
        <w:jc w:val="both"/>
        <w:rPr>
          <w:rFonts w:ascii="ITC Avant Garde" w:hAnsi="ITC Avant Garde" w:cs="Arial"/>
          <w:sz w:val="22"/>
          <w:szCs w:val="22"/>
          <w:lang w:val="es-MX" w:eastAsia="es-MX"/>
        </w:rPr>
      </w:pPr>
      <w:r w:rsidRPr="00D936CA">
        <w:rPr>
          <w:rFonts w:ascii="ITC Avant Garde" w:hAnsi="ITC Avant Garde" w:cs="Arial"/>
          <w:sz w:val="22"/>
          <w:szCs w:val="22"/>
          <w:lang w:val="es-MX" w:eastAsia="es-MX"/>
        </w:rPr>
        <w:t xml:space="preserve">Nota: </w:t>
      </w:r>
    </w:p>
    <w:p w14:paraId="733C48BD" w14:textId="77777777" w:rsidR="003E6BBD" w:rsidRPr="00D936CA" w:rsidRDefault="003E6BBD" w:rsidP="00060B2E">
      <w:pPr>
        <w:spacing w:after="200" w:line="276" w:lineRule="auto"/>
        <w:ind w:left="-567"/>
        <w:jc w:val="both"/>
        <w:rPr>
          <w:rFonts w:ascii="ITC Avant Garde" w:hAnsi="ITC Avant Garde" w:cs="Arial"/>
          <w:b/>
          <w:sz w:val="22"/>
          <w:szCs w:val="22"/>
          <w:lang w:val="es-ES" w:eastAsia="es-MX"/>
        </w:rPr>
      </w:pPr>
      <w:r w:rsidRPr="00D936CA">
        <w:rPr>
          <w:rFonts w:ascii="ITC Avant Garde" w:hAnsi="ITC Avant Garde" w:cs="Arial"/>
          <w:sz w:val="22"/>
          <w:szCs w:val="22"/>
          <w:lang w:val="es-MX" w:eastAsia="es-MX"/>
        </w:rPr>
        <w:t>El CS deberá tomar en cuenta que no existe el esquema de rentas parciales sino sólo de rentas mensuales, por lo que no será posible realizar cobros parciales de los servicios.</w:t>
      </w:r>
    </w:p>
    <w:p w14:paraId="3D2AF162" w14:textId="77777777" w:rsidR="003E6BBD" w:rsidRPr="00D936CA" w:rsidRDefault="003E6BBD" w:rsidP="00060B2E">
      <w:pPr>
        <w:autoSpaceDE w:val="0"/>
        <w:autoSpaceDN w:val="0"/>
        <w:adjustRightInd w:val="0"/>
        <w:spacing w:after="200" w:line="276" w:lineRule="auto"/>
        <w:ind w:left="-567"/>
        <w:jc w:val="both"/>
        <w:rPr>
          <w:rFonts w:ascii="ITC Avant Garde" w:hAnsi="ITC Avant Garde" w:cs="Arial"/>
          <w:sz w:val="22"/>
          <w:szCs w:val="22"/>
          <w:lang w:val="es-MX"/>
        </w:rPr>
      </w:pPr>
    </w:p>
    <w:p w14:paraId="337B0E80" w14:textId="688A34DD" w:rsidR="003E6BBD" w:rsidRPr="00D936CA" w:rsidRDefault="003E6BBD" w:rsidP="003E6BBD">
      <w:pPr>
        <w:pStyle w:val="Ttulo2"/>
        <w:numPr>
          <w:ilvl w:val="1"/>
          <w:numId w:val="143"/>
        </w:numPr>
        <w:ind w:left="851" w:hanging="425"/>
      </w:pPr>
      <w:bookmarkStart w:id="506" w:name="_Toc518032014"/>
      <w:r w:rsidRPr="00D936CA">
        <w:t>Plazos de Entrega de</w:t>
      </w:r>
      <w:r w:rsidRPr="008A51AD">
        <w:t xml:space="preserve"> </w:t>
      </w:r>
      <w:r w:rsidRPr="003543E9">
        <w:t>Cableado de DFO-T</w:t>
      </w:r>
      <w:r w:rsidR="00083302">
        <w:t>MX</w:t>
      </w:r>
      <w:r w:rsidRPr="003543E9">
        <w:t xml:space="preserve"> a DFO-CS</w:t>
      </w:r>
      <w:bookmarkEnd w:id="506"/>
    </w:p>
    <w:p w14:paraId="12E80C6F" w14:textId="77777777" w:rsidR="003E6BBD" w:rsidRPr="00D936CA" w:rsidRDefault="003E6BBD" w:rsidP="00060B2E">
      <w:pPr>
        <w:pStyle w:val="IFTnormal"/>
        <w:ind w:left="-567"/>
      </w:pPr>
      <w:r w:rsidRPr="00D936CA">
        <w:t xml:space="preserve">En esta sección se muestran los plazos de entrega referentes a los procedimientos del Servicio de Cableado Multipar. Estos parámetros e indicadores corresponden a los utilizados en la propia operación de Telmex. </w:t>
      </w:r>
    </w:p>
    <w:p w14:paraId="6B31C02F" w14:textId="77777777" w:rsidR="003E6BBD" w:rsidRPr="00D936CA" w:rsidRDefault="003E6BBD" w:rsidP="003E6BBD">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Validación de la Solicitud junto con verificación de factibilidad: máximo 4 días hábiles.</w:t>
      </w:r>
    </w:p>
    <w:p w14:paraId="6EA6BE50" w14:textId="7458FB75" w:rsidR="003E6BBD" w:rsidRPr="00D936CA" w:rsidRDefault="003E6BBD" w:rsidP="003E6BBD">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Habilitación del servicio en un plazo máximo de </w:t>
      </w:r>
      <w:r w:rsidR="005C3B46">
        <w:rPr>
          <w:rFonts w:ascii="ITC Avant Garde" w:hAnsi="ITC Avant Garde"/>
          <w:sz w:val="22"/>
          <w:szCs w:val="22"/>
          <w:lang w:val="es-MX"/>
        </w:rPr>
        <w:t>40</w:t>
      </w:r>
      <w:r w:rsidRPr="00D936CA">
        <w:rPr>
          <w:rFonts w:ascii="ITC Avant Garde" w:hAnsi="ITC Avant Garde"/>
          <w:sz w:val="22"/>
          <w:szCs w:val="22"/>
          <w:lang w:val="es-MX"/>
        </w:rPr>
        <w:t xml:space="preserve"> días hábiles que se contabilizarán a partir de la solicitud.</w:t>
      </w:r>
    </w:p>
    <w:p w14:paraId="0DDFEAFE" w14:textId="32550152" w:rsidR="003E6BBD" w:rsidRDefault="003E6BBD" w:rsidP="003E6BBD">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Si la habilitación del cableado se solicita junto con la Coubicación, se respetan los plazos de la Coubicación.</w:t>
      </w:r>
    </w:p>
    <w:p w14:paraId="02207F5C" w14:textId="77777777" w:rsidR="00CC1E96" w:rsidRPr="00060B2E" w:rsidRDefault="00CC1E96" w:rsidP="00060B2E">
      <w:pPr>
        <w:spacing w:after="200" w:line="276" w:lineRule="auto"/>
        <w:jc w:val="both"/>
        <w:rPr>
          <w:rFonts w:ascii="ITC Avant Garde" w:hAnsi="ITC Avant Garde"/>
          <w:sz w:val="22"/>
          <w:szCs w:val="22"/>
          <w:lang w:val="es-MX"/>
        </w:rPr>
      </w:pPr>
    </w:p>
    <w:p w14:paraId="6246C35A" w14:textId="45FDE140" w:rsidR="003E6BBD" w:rsidRPr="00060B2E" w:rsidRDefault="003E6BBD" w:rsidP="003E6BBD">
      <w:pPr>
        <w:pStyle w:val="Ttulo2"/>
        <w:numPr>
          <w:ilvl w:val="1"/>
          <w:numId w:val="143"/>
        </w:numPr>
        <w:tabs>
          <w:tab w:val="left" w:pos="993"/>
        </w:tabs>
        <w:ind w:left="851" w:hanging="425"/>
      </w:pPr>
      <w:bookmarkStart w:id="507" w:name="_Toc518032015"/>
      <w:r w:rsidRPr="00060B2E">
        <w:t xml:space="preserve">Procedimiento para la realización de pruebas de entrega para el servicio auxiliar de </w:t>
      </w:r>
      <w:r w:rsidRPr="00CC1E96">
        <w:t>Cableado de DFO-T</w:t>
      </w:r>
      <w:r w:rsidR="00083302">
        <w:t>MX</w:t>
      </w:r>
      <w:r w:rsidRPr="00CC1E96">
        <w:t xml:space="preserve"> a DFO-CS</w:t>
      </w:r>
      <w:bookmarkEnd w:id="507"/>
    </w:p>
    <w:p w14:paraId="467B8D23" w14:textId="23F5EB66" w:rsidR="009D006C" w:rsidRDefault="009D006C" w:rsidP="00060B2E">
      <w:pPr>
        <w:spacing w:after="200" w:line="276" w:lineRule="auto"/>
        <w:ind w:left="-567" w:right="-142"/>
        <w:jc w:val="both"/>
        <w:rPr>
          <w:rFonts w:ascii="ITC Avant Garde" w:hAnsi="ITC Avant Garde"/>
          <w:sz w:val="22"/>
          <w:szCs w:val="22"/>
        </w:rPr>
      </w:pPr>
      <w:r>
        <w:rPr>
          <w:rFonts w:ascii="ITC Avant Garde" w:hAnsi="ITC Avant Garde"/>
          <w:sz w:val="22"/>
          <w:szCs w:val="22"/>
        </w:rPr>
        <w:t xml:space="preserve">Si </w:t>
      </w:r>
      <w:r w:rsidR="00CC1E96">
        <w:rPr>
          <w:rFonts w:ascii="ITC Avant Garde" w:hAnsi="ITC Avant Garde"/>
          <w:sz w:val="22"/>
          <w:szCs w:val="22"/>
        </w:rPr>
        <w:t xml:space="preserve">Telmex </w:t>
      </w:r>
      <w:r>
        <w:rPr>
          <w:rFonts w:ascii="ITC Avant Garde" w:hAnsi="ITC Avant Garde"/>
          <w:sz w:val="22"/>
          <w:szCs w:val="22"/>
        </w:rPr>
        <w:t>fusiona</w:t>
      </w:r>
      <w:r w:rsidR="00CC1E96">
        <w:rPr>
          <w:rFonts w:ascii="ITC Avant Garde" w:hAnsi="ITC Avant Garde"/>
          <w:sz w:val="22"/>
          <w:szCs w:val="22"/>
        </w:rPr>
        <w:t xml:space="preserve"> la fibra a solicitud del CS, </w:t>
      </w:r>
      <w:r w:rsidR="005C3B46">
        <w:rPr>
          <w:rFonts w:ascii="ITC Avant Garde" w:hAnsi="ITC Avant Garde"/>
          <w:sz w:val="22"/>
          <w:szCs w:val="22"/>
        </w:rPr>
        <w:t>Telmex</w:t>
      </w:r>
      <w:r w:rsidR="00CC1E96">
        <w:rPr>
          <w:rFonts w:ascii="ITC Avant Garde" w:hAnsi="ITC Avant Garde"/>
          <w:sz w:val="22"/>
          <w:szCs w:val="22"/>
        </w:rPr>
        <w:t xml:space="preserve"> realiza las pruebas de correspondencia en los puertos que haya contratado</w:t>
      </w:r>
      <w:r w:rsidR="005C3B46">
        <w:rPr>
          <w:rFonts w:ascii="ITC Avant Garde" w:hAnsi="ITC Avant Garde"/>
          <w:sz w:val="22"/>
          <w:szCs w:val="22"/>
        </w:rPr>
        <w:t xml:space="preserve"> y subirá al SEG las evidencias correspondientes</w:t>
      </w:r>
      <w:r w:rsidR="00CC1E96">
        <w:rPr>
          <w:rFonts w:ascii="ITC Avant Garde" w:hAnsi="ITC Avant Garde"/>
          <w:sz w:val="22"/>
          <w:szCs w:val="22"/>
        </w:rPr>
        <w:t xml:space="preserve">, </w:t>
      </w:r>
      <w:r>
        <w:rPr>
          <w:rFonts w:ascii="ITC Avant Garde" w:hAnsi="ITC Avant Garde"/>
          <w:sz w:val="22"/>
          <w:szCs w:val="22"/>
        </w:rPr>
        <w:t>en caso</w:t>
      </w:r>
      <w:r w:rsidR="00CC1E96">
        <w:rPr>
          <w:rFonts w:ascii="ITC Avant Garde" w:hAnsi="ITC Avant Garde"/>
          <w:sz w:val="22"/>
          <w:szCs w:val="22"/>
        </w:rPr>
        <w:t xml:space="preserve"> de que el CS opte por la </w:t>
      </w:r>
      <w:r>
        <w:rPr>
          <w:rFonts w:ascii="ITC Avant Garde" w:hAnsi="ITC Avant Garde"/>
          <w:sz w:val="22"/>
          <w:szCs w:val="22"/>
        </w:rPr>
        <w:t>entrega en punta sólo se entrega físicamente el cable</w:t>
      </w:r>
      <w:r w:rsidR="00CC1E96">
        <w:rPr>
          <w:rFonts w:ascii="ITC Avant Garde" w:hAnsi="ITC Avant Garde"/>
          <w:sz w:val="22"/>
          <w:szCs w:val="22"/>
        </w:rPr>
        <w:t xml:space="preserve"> y una vez que el CS haya fusionado las fibras</w:t>
      </w:r>
      <w:r w:rsidR="005C3B46">
        <w:rPr>
          <w:rFonts w:ascii="ITC Avant Garde" w:hAnsi="ITC Avant Garde"/>
          <w:sz w:val="22"/>
          <w:szCs w:val="22"/>
        </w:rPr>
        <w:t xml:space="preserve"> el CS</w:t>
      </w:r>
      <w:r w:rsidR="00CC1E96">
        <w:rPr>
          <w:rFonts w:ascii="ITC Avant Garde" w:hAnsi="ITC Avant Garde"/>
          <w:sz w:val="22"/>
          <w:szCs w:val="22"/>
        </w:rPr>
        <w:t xml:space="preserve"> podrá realizar la prueba de correspondencia</w:t>
      </w:r>
      <w:r w:rsidR="001E1363">
        <w:rPr>
          <w:rFonts w:ascii="ITC Avant Garde" w:hAnsi="ITC Avant Garde"/>
          <w:sz w:val="22"/>
          <w:szCs w:val="22"/>
        </w:rPr>
        <w:t xml:space="preserve"> y deberá compartir sus resultados a Telmex</w:t>
      </w:r>
      <w:r w:rsidR="00CC1E96">
        <w:rPr>
          <w:rFonts w:ascii="ITC Avant Garde" w:hAnsi="ITC Avant Garde"/>
          <w:sz w:val="22"/>
          <w:szCs w:val="22"/>
        </w:rPr>
        <w:t>.</w:t>
      </w:r>
    </w:p>
    <w:p w14:paraId="1F90530E" w14:textId="4C147220" w:rsidR="003E6BBD" w:rsidRPr="00060B2E" w:rsidRDefault="00CC1E96" w:rsidP="00060B2E">
      <w:pPr>
        <w:spacing w:after="200" w:line="276" w:lineRule="auto"/>
        <w:ind w:left="-567" w:right="-142"/>
        <w:jc w:val="both"/>
        <w:rPr>
          <w:rFonts w:ascii="ITC Avant Garde" w:hAnsi="ITC Avant Garde"/>
          <w:sz w:val="22"/>
          <w:szCs w:val="22"/>
        </w:rPr>
      </w:pPr>
      <w:bookmarkStart w:id="508" w:name="_Hlk516833426"/>
      <w:r>
        <w:rPr>
          <w:rFonts w:ascii="ITC Avant Garde" w:hAnsi="ITC Avant Garde"/>
          <w:sz w:val="22"/>
          <w:szCs w:val="22"/>
        </w:rPr>
        <w:t>Telmex entregará un acta de recepción del servicio de cableado de DFO-T</w:t>
      </w:r>
      <w:r w:rsidR="00083302">
        <w:rPr>
          <w:rFonts w:ascii="ITC Avant Garde" w:hAnsi="ITC Avant Garde"/>
          <w:sz w:val="22"/>
          <w:szCs w:val="22"/>
        </w:rPr>
        <w:t>MX</w:t>
      </w:r>
      <w:r>
        <w:rPr>
          <w:rFonts w:ascii="ITC Avant Garde" w:hAnsi="ITC Avant Garde"/>
          <w:sz w:val="22"/>
          <w:szCs w:val="22"/>
        </w:rPr>
        <w:t xml:space="preserve"> a DFO-CS, el cual en el caso de la entrega de la fibra en punta contendrá </w:t>
      </w:r>
      <w:r w:rsidR="009D006C">
        <w:rPr>
          <w:rFonts w:ascii="ITC Avant Garde" w:hAnsi="ITC Avant Garde"/>
          <w:sz w:val="22"/>
          <w:szCs w:val="22"/>
        </w:rPr>
        <w:t xml:space="preserve">la guía de las correspondencias con código de colores, para </w:t>
      </w:r>
      <w:r>
        <w:rPr>
          <w:rFonts w:ascii="ITC Avant Garde" w:hAnsi="ITC Avant Garde"/>
          <w:sz w:val="22"/>
          <w:szCs w:val="22"/>
        </w:rPr>
        <w:t>la correcta fusión de las fibras por parte del CS.</w:t>
      </w:r>
      <w:bookmarkEnd w:id="508"/>
    </w:p>
    <w:p w14:paraId="678D4883" w14:textId="77777777" w:rsidR="003E6BBD" w:rsidRPr="00D936CA" w:rsidRDefault="003E6BBD" w:rsidP="00D936CA">
      <w:pPr>
        <w:spacing w:after="200" w:line="276" w:lineRule="auto"/>
        <w:jc w:val="both"/>
      </w:pPr>
    </w:p>
    <w:p w14:paraId="33CFEDD5" w14:textId="77777777" w:rsidR="00182348" w:rsidRPr="00D936CA" w:rsidRDefault="00371341" w:rsidP="00B50532">
      <w:pPr>
        <w:pStyle w:val="1TitPrin"/>
      </w:pPr>
      <w:bookmarkStart w:id="509" w:name="_Toc436840904"/>
      <w:bookmarkStart w:id="510" w:name="_Toc436846341"/>
      <w:bookmarkStart w:id="511" w:name="_Toc436848291"/>
      <w:bookmarkStart w:id="512" w:name="_Toc436856539"/>
      <w:bookmarkStart w:id="513" w:name="_Toc436862685"/>
      <w:bookmarkStart w:id="514" w:name="_Toc436866335"/>
      <w:bookmarkStart w:id="515" w:name="_Toc436870914"/>
      <w:bookmarkStart w:id="516" w:name="_Toc436875906"/>
      <w:bookmarkStart w:id="517" w:name="_Toc467248730"/>
      <w:bookmarkStart w:id="518" w:name="_Toc518032016"/>
      <w:r w:rsidRPr="00D936CA">
        <w:t>Servicio de Desagregación.</w:t>
      </w:r>
      <w:bookmarkEnd w:id="509"/>
      <w:bookmarkEnd w:id="510"/>
      <w:bookmarkEnd w:id="511"/>
      <w:bookmarkEnd w:id="512"/>
      <w:bookmarkEnd w:id="513"/>
      <w:bookmarkEnd w:id="514"/>
      <w:bookmarkEnd w:id="515"/>
      <w:bookmarkEnd w:id="516"/>
      <w:bookmarkEnd w:id="517"/>
      <w:bookmarkEnd w:id="518"/>
    </w:p>
    <w:p w14:paraId="33CFEDD6" w14:textId="77777777" w:rsidR="00163356"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Dadas las características comerciales de los servicios de desagregación física del bucle, las siguientes modalidades SDTBL, SDTSBL, SDCBL, SDCSBL se agrupan en esta sección, puesto que comparten procedimientos de contratación, modificación del bucle, parámetros y plazos de entrega.</w:t>
      </w:r>
      <w:r w:rsidR="00BD4521" w:rsidRPr="00D936CA">
        <w:rPr>
          <w:rFonts w:ascii="ITC Avant Garde" w:hAnsi="ITC Avant Garde"/>
          <w:sz w:val="22"/>
          <w:szCs w:val="22"/>
          <w:lang w:val="es-MX"/>
        </w:rPr>
        <w:t xml:space="preserve"> </w:t>
      </w:r>
    </w:p>
    <w:p w14:paraId="33CFEDD7" w14:textId="77777777" w:rsidR="00203410" w:rsidRPr="00D936CA" w:rsidRDefault="00203410"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Estos servicios Telmex los proporcionará cuando menos bajo los mismos términos y condiciones que aplica para su propia operación.</w:t>
      </w:r>
    </w:p>
    <w:p w14:paraId="33CFEDD8" w14:textId="6498C9EE" w:rsidR="00182348" w:rsidRPr="00D936CA" w:rsidRDefault="00182348" w:rsidP="00060B2E">
      <w:pPr>
        <w:pStyle w:val="IFTnormal"/>
        <w:ind w:left="-567" w:right="-142"/>
      </w:pPr>
      <w:r w:rsidRPr="00D936CA">
        <w:t xml:space="preserve">En estos servicios, el CS es el responsable de la configuración de la velocidad de acceso a </w:t>
      </w:r>
      <w:r w:rsidR="00FC33CE" w:rsidRPr="00D936CA">
        <w:t>I</w:t>
      </w:r>
      <w:r w:rsidRPr="00D936CA">
        <w:t xml:space="preserve">nternet sobre la línea del usuario final, no obstante, la velocidad que el </w:t>
      </w:r>
      <w:r w:rsidR="00BD4521" w:rsidRPr="00D936CA">
        <w:t>CS</w:t>
      </w:r>
      <w:r w:rsidRPr="00D936CA">
        <w:t xml:space="preserve"> podrá </w:t>
      </w:r>
      <w:r w:rsidR="00310137" w:rsidRPr="00D936CA">
        <w:t>ofrecer</w:t>
      </w:r>
      <w:r w:rsidRPr="00D936CA">
        <w:t xml:space="preserve"> dependerá de las condiciones físicas del </w:t>
      </w:r>
      <w:r w:rsidR="003852AD" w:rsidRPr="00D936CA">
        <w:t>Bucle Local</w:t>
      </w:r>
      <w:r w:rsidRPr="00D936CA">
        <w:t xml:space="preserve"> de Telmex, y de que dicha oferta no afecte los servicios que Telmex u otros CS proporcionen a t</w:t>
      </w:r>
      <w:r w:rsidR="00F71B4A" w:rsidRPr="00D936CA">
        <w:t>ravés del mismo cable multipar.</w:t>
      </w:r>
      <w:r w:rsidR="009D3149" w:rsidRPr="00D936CA">
        <w:t xml:space="preserve"> </w:t>
      </w:r>
      <w:r w:rsidR="009D3149" w:rsidRPr="00D936CA">
        <w:rPr>
          <w:lang w:val="es-ES_tradnl"/>
        </w:rPr>
        <w:t>A petición del CS y en coordinación con éste, Telmex realizará las pruebas técnicas requeridas por el CS sin que ello signifique un retraso en la entrega de los servicios.</w:t>
      </w:r>
      <w:r w:rsidR="009D3149" w:rsidRPr="00D936CA">
        <w:rPr>
          <w:i/>
          <w:lang w:val="es-ES_tradnl"/>
        </w:rPr>
        <w:t xml:space="preserve"> </w:t>
      </w:r>
      <w:r w:rsidR="009D3149" w:rsidRPr="00D936CA">
        <w:t xml:space="preserve"> </w:t>
      </w:r>
    </w:p>
    <w:p w14:paraId="33CFEDD9" w14:textId="77777777" w:rsidR="00BB77B6" w:rsidRPr="00D936CA" w:rsidRDefault="00BB77B6"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Telmex y el CS son responsables de cumplir con el </w:t>
      </w:r>
      <w:r w:rsidR="003E0497" w:rsidRPr="00D936CA">
        <w:rPr>
          <w:rFonts w:ascii="ITC Avant Garde" w:hAnsi="ITC Avant Garde"/>
          <w:sz w:val="22"/>
          <w:szCs w:val="22"/>
          <w:lang w:val="es-MX"/>
        </w:rPr>
        <w:t>PGE</w:t>
      </w:r>
      <w:r w:rsidRPr="00D936CA">
        <w:rPr>
          <w:rFonts w:ascii="ITC Avant Garde" w:hAnsi="ITC Avant Garde"/>
          <w:sz w:val="22"/>
          <w:szCs w:val="22"/>
          <w:lang w:val="es-MX"/>
        </w:rPr>
        <w:t xml:space="preserve"> que constituye el Anexo D de la OREDA, </w:t>
      </w:r>
      <w:r w:rsidR="00303417" w:rsidRPr="00D936CA">
        <w:rPr>
          <w:rFonts w:ascii="ITC Avant Garde" w:hAnsi="ITC Avant Garde"/>
          <w:sz w:val="22"/>
          <w:szCs w:val="22"/>
          <w:lang w:val="es-MX"/>
        </w:rPr>
        <w:t xml:space="preserve">así como de proporcionar la información solicitada en los formatos correspondientes para la contratación de estos servicios, </w:t>
      </w:r>
      <w:r w:rsidRPr="00D936CA">
        <w:rPr>
          <w:rFonts w:ascii="ITC Avant Garde" w:hAnsi="ITC Avant Garde"/>
          <w:sz w:val="22"/>
          <w:szCs w:val="22"/>
          <w:lang w:val="es-MX"/>
        </w:rPr>
        <w:t xml:space="preserve">con el objeto de minimizar las interferencias entre los servicios. Por tanto, en caso de presentarse alguna interferencia se procederá como está establecido en el propio PGE aprobado por el Instituto. </w:t>
      </w:r>
    </w:p>
    <w:p w14:paraId="33CFEDDA" w14:textId="60484F81" w:rsidR="00E72E8A" w:rsidRPr="00D936CA" w:rsidRDefault="00011A1B"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 solicitud de </w:t>
      </w:r>
      <w:r w:rsidR="00B92638" w:rsidRPr="00D936CA">
        <w:rPr>
          <w:rFonts w:ascii="ITC Avant Garde" w:hAnsi="ITC Avant Garde"/>
          <w:sz w:val="22"/>
          <w:szCs w:val="22"/>
        </w:rPr>
        <w:t xml:space="preserve">servicio auxiliar de </w:t>
      </w:r>
      <w:r w:rsidR="00775272" w:rsidRPr="00D936CA">
        <w:rPr>
          <w:rFonts w:ascii="ITC Avant Garde" w:hAnsi="ITC Avant Garde"/>
          <w:sz w:val="22"/>
          <w:szCs w:val="22"/>
        </w:rPr>
        <w:t>Anexo</w:t>
      </w:r>
      <w:r w:rsidRPr="00D936CA">
        <w:rPr>
          <w:rFonts w:ascii="ITC Avant Garde" w:hAnsi="ITC Avant Garde"/>
          <w:sz w:val="22"/>
          <w:szCs w:val="22"/>
        </w:rPr>
        <w:t xml:space="preserve"> de </w:t>
      </w:r>
      <w:r w:rsidR="00775272" w:rsidRPr="00D936CA">
        <w:rPr>
          <w:rFonts w:ascii="ITC Avant Garde" w:hAnsi="ITC Avant Garde"/>
          <w:sz w:val="22"/>
          <w:szCs w:val="22"/>
        </w:rPr>
        <w:t>Caja</w:t>
      </w:r>
      <w:r w:rsidRPr="00D936CA">
        <w:rPr>
          <w:rFonts w:ascii="ITC Avant Garde" w:hAnsi="ITC Avant Garde"/>
          <w:sz w:val="22"/>
          <w:szCs w:val="22"/>
        </w:rPr>
        <w:t xml:space="preserve"> de </w:t>
      </w:r>
      <w:r w:rsidR="00775272" w:rsidRPr="00D936CA">
        <w:rPr>
          <w:rFonts w:ascii="ITC Avant Garde" w:hAnsi="ITC Avant Garde"/>
          <w:sz w:val="22"/>
          <w:szCs w:val="22"/>
        </w:rPr>
        <w:t>Distribución</w:t>
      </w:r>
      <w:r w:rsidRPr="00D936CA">
        <w:rPr>
          <w:rFonts w:ascii="ITC Avant Garde" w:hAnsi="ITC Avant Garde"/>
          <w:sz w:val="22"/>
          <w:szCs w:val="22"/>
        </w:rPr>
        <w:t xml:space="preserve"> para el SDTSBL y SDCSBL, se realizará en el SEG.</w:t>
      </w:r>
    </w:p>
    <w:p w14:paraId="33CFEDDB" w14:textId="77777777" w:rsidR="00D1231B" w:rsidRPr="00D936CA" w:rsidRDefault="00011A1B" w:rsidP="00060B2E">
      <w:pPr>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 xml:space="preserve">A fin de coadyuvar a que el servicio al usuario final/suscriptor no sea suspendido por más de 30 minutos en el 95% de los casos, y en ningún </w:t>
      </w:r>
      <w:r w:rsidR="00F0617B" w:rsidRPr="00D936CA">
        <w:rPr>
          <w:rFonts w:ascii="ITC Avant Garde" w:hAnsi="ITC Avant Garde"/>
          <w:sz w:val="22"/>
          <w:szCs w:val="22"/>
          <w:lang w:val="es-ES"/>
        </w:rPr>
        <w:t>caso se excedan los 120 minutos</w:t>
      </w:r>
      <w:r w:rsidRPr="00D936CA">
        <w:rPr>
          <w:rFonts w:ascii="ITC Avant Garde" w:hAnsi="ITC Avant Garde"/>
          <w:sz w:val="22"/>
          <w:szCs w:val="22"/>
          <w:lang w:val="es-ES"/>
        </w:rPr>
        <w:t xml:space="preserve">, Telmex </w:t>
      </w:r>
      <w:r w:rsidRPr="00D936CA">
        <w:rPr>
          <w:rFonts w:ascii="ITC Avant Garde" w:hAnsi="ITC Avant Garde"/>
          <w:sz w:val="22"/>
          <w:szCs w:val="22"/>
          <w:lang w:val="es-ES"/>
        </w:rPr>
        <w:lastRenderedPageBreak/>
        <w:t>informará al CS el momento en que realice el puente hacia la tablilla horizontal o el Anexo de Caja de Distribució</w:t>
      </w:r>
      <w:r w:rsidR="00F0617B" w:rsidRPr="00D936CA">
        <w:rPr>
          <w:rFonts w:ascii="ITC Avant Garde" w:hAnsi="ITC Avant Garde"/>
          <w:sz w:val="22"/>
          <w:szCs w:val="22"/>
          <w:lang w:val="es-ES"/>
        </w:rPr>
        <w:t xml:space="preserve">n, y el CS será responsable de </w:t>
      </w:r>
      <w:r w:rsidRPr="00D936CA">
        <w:rPr>
          <w:rFonts w:ascii="ITC Avant Garde" w:hAnsi="ITC Avant Garde"/>
          <w:sz w:val="22"/>
          <w:szCs w:val="22"/>
          <w:lang w:val="es-ES"/>
        </w:rPr>
        <w:t>tener activos los servicios (un número telefónico y el servicio de internet) y los equipos terminales necesarios para proporcionar los servicios de telecomunicaciones.</w:t>
      </w:r>
    </w:p>
    <w:p w14:paraId="33CFEDDC" w14:textId="77777777" w:rsidR="00997BD3"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Cuando el usuario tenga un servicio activo se mantendrán las condiciones técnicas del bucle en caso de que no sea técnicamente factible habilitar al usuario con las especificaciones del CS, de acuerdo a lo establecido en el PGE. </w:t>
      </w:r>
    </w:p>
    <w:p w14:paraId="33CFEDDD" w14:textId="77777777" w:rsidR="00997BD3"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En el caso de usuarios nuevos, el CS será responsable de notificar al usuario que Telmex instalará la acometida hasta su domicilio. </w:t>
      </w:r>
    </w:p>
    <w:p w14:paraId="33CFEDDE" w14:textId="77777777" w:rsidR="00A4016C"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La prestación de estos servicios iniciará como se indica en la sección 2 de esta </w:t>
      </w:r>
      <w:r w:rsidR="00CA026A" w:rsidRPr="00D936CA">
        <w:rPr>
          <w:rFonts w:ascii="ITC Avant Garde" w:hAnsi="ITC Avant Garde"/>
          <w:sz w:val="22"/>
          <w:szCs w:val="22"/>
          <w:lang w:val="es-MX"/>
        </w:rPr>
        <w:t>OREDA</w:t>
      </w:r>
      <w:r w:rsidRPr="00D936CA">
        <w:rPr>
          <w:rFonts w:ascii="ITC Avant Garde" w:hAnsi="ITC Avant Garde"/>
          <w:sz w:val="22"/>
          <w:szCs w:val="22"/>
          <w:lang w:val="es-MX"/>
        </w:rPr>
        <w:t xml:space="preserve">, y la Información relativa a las centrales o cajas de distribución acondicionadas y disponibles para la Desagregación se encontrará disponible conforme se describe en la sección 3 de esta OREDA. </w:t>
      </w:r>
    </w:p>
    <w:p w14:paraId="33CFEDDF" w14:textId="5487ADDD" w:rsidR="00C27B28" w:rsidRDefault="00C27B2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La provisión del </w:t>
      </w:r>
      <w:r w:rsidR="00BB7620" w:rsidRPr="00D936CA">
        <w:rPr>
          <w:rFonts w:ascii="ITC Avant Garde" w:hAnsi="ITC Avant Garde"/>
          <w:sz w:val="22"/>
          <w:szCs w:val="22"/>
          <w:lang w:val="es-MX"/>
        </w:rPr>
        <w:t>m</w:t>
      </w:r>
      <w:r w:rsidRPr="00D936CA">
        <w:rPr>
          <w:rFonts w:ascii="ITC Avant Garde" w:hAnsi="ITC Avant Garde"/>
          <w:sz w:val="22"/>
          <w:szCs w:val="22"/>
          <w:lang w:val="es-MX"/>
        </w:rPr>
        <w:t xml:space="preserve">ódem y el </w:t>
      </w:r>
      <w:r w:rsidR="0027331C" w:rsidRPr="00D936CA">
        <w:rPr>
          <w:rFonts w:ascii="ITC Avant Garde" w:hAnsi="ITC Avant Garde"/>
          <w:sz w:val="22"/>
          <w:szCs w:val="22"/>
          <w:lang w:val="es-MX"/>
        </w:rPr>
        <w:t>c</w:t>
      </w:r>
      <w:r w:rsidRPr="00D936CA">
        <w:rPr>
          <w:rFonts w:ascii="ITC Avant Garde" w:hAnsi="ITC Avant Garde"/>
          <w:sz w:val="22"/>
          <w:szCs w:val="22"/>
          <w:lang w:val="es-MX"/>
        </w:rPr>
        <w:t xml:space="preserve">ableado </w:t>
      </w:r>
      <w:r w:rsidR="0027331C" w:rsidRPr="00D936CA">
        <w:rPr>
          <w:rFonts w:ascii="ITC Avant Garde" w:hAnsi="ITC Avant Garde"/>
          <w:sz w:val="22"/>
          <w:szCs w:val="22"/>
          <w:lang w:val="es-MX"/>
        </w:rPr>
        <w:t>i</w:t>
      </w:r>
      <w:r w:rsidRPr="00D936CA">
        <w:rPr>
          <w:rFonts w:ascii="ITC Avant Garde" w:hAnsi="ITC Avant Garde"/>
          <w:sz w:val="22"/>
          <w:szCs w:val="22"/>
          <w:lang w:val="es-MX"/>
        </w:rPr>
        <w:t xml:space="preserve">nterior, así como el mantenimiento de los mismos, serán responsabilidad del CS. Asimismo, a solicitud del CS, Telmex deberá proporcionar el servicio </w:t>
      </w:r>
      <w:r w:rsidR="00A94617">
        <w:rPr>
          <w:rFonts w:ascii="ITC Avant Garde" w:hAnsi="ITC Avant Garde"/>
          <w:sz w:val="22"/>
          <w:szCs w:val="22"/>
          <w:lang w:val="es-MX"/>
        </w:rPr>
        <w:t xml:space="preserve">de </w:t>
      </w:r>
      <w:r w:rsidR="00371341" w:rsidRPr="00D936CA">
        <w:rPr>
          <w:rFonts w:ascii="ITC Avant Garde" w:hAnsi="ITC Avant Garde"/>
          <w:sz w:val="22"/>
          <w:szCs w:val="22"/>
          <w:lang w:val="es-MX"/>
        </w:rPr>
        <w:t>cable</w:t>
      </w:r>
      <w:r w:rsidRPr="00D936CA">
        <w:rPr>
          <w:rFonts w:ascii="ITC Avant Garde" w:hAnsi="ITC Avant Garde"/>
          <w:sz w:val="22"/>
          <w:szCs w:val="22"/>
          <w:lang w:val="es-MX"/>
        </w:rPr>
        <w:t xml:space="preserve">ado interno para el domicilio del suscriptor, </w:t>
      </w:r>
      <w:r w:rsidR="00742E50" w:rsidRPr="00D936CA">
        <w:rPr>
          <w:rFonts w:ascii="ITC Avant Garde" w:hAnsi="ITC Avant Garde"/>
          <w:sz w:val="22"/>
          <w:szCs w:val="22"/>
          <w:lang w:val="es-MX"/>
        </w:rPr>
        <w:t>con</w:t>
      </w:r>
      <w:r w:rsidRPr="00D936CA">
        <w:rPr>
          <w:rFonts w:ascii="ITC Avant Garde" w:hAnsi="ITC Avant Garde"/>
          <w:sz w:val="22"/>
          <w:szCs w:val="22"/>
          <w:lang w:val="es-MX"/>
        </w:rPr>
        <w:t xml:space="preserve"> un cargo específico en todos los servicios de desagregación que correspondan.</w:t>
      </w:r>
      <w:r w:rsidR="00742E50" w:rsidRPr="00D936CA">
        <w:rPr>
          <w:rFonts w:ascii="ITC Avant Garde" w:hAnsi="ITC Avant Garde"/>
          <w:sz w:val="22"/>
          <w:szCs w:val="22"/>
          <w:lang w:val="es-MX"/>
        </w:rPr>
        <w:t xml:space="preserve"> Telmex realizará estas actividades en los mismos términos y condiciones que aplica a sus Usuarios Finales.</w:t>
      </w:r>
    </w:p>
    <w:p w14:paraId="7425E188" w14:textId="77777777" w:rsidR="00310137" w:rsidRPr="00D936CA" w:rsidRDefault="00310137" w:rsidP="00060B2E">
      <w:pPr>
        <w:spacing w:after="200" w:line="276" w:lineRule="auto"/>
        <w:ind w:left="-567" w:right="-142"/>
        <w:jc w:val="both"/>
        <w:rPr>
          <w:rFonts w:ascii="ITC Avant Garde" w:hAnsi="ITC Avant Garde"/>
          <w:sz w:val="22"/>
          <w:szCs w:val="22"/>
          <w:lang w:val="es-MX"/>
        </w:rPr>
      </w:pPr>
    </w:p>
    <w:p w14:paraId="33CFEDE0" w14:textId="77777777" w:rsidR="003B31BB" w:rsidRPr="00D936CA" w:rsidRDefault="003B31BB" w:rsidP="00D936CA">
      <w:pPr>
        <w:pStyle w:val="Ttulo2"/>
        <w:numPr>
          <w:ilvl w:val="1"/>
          <w:numId w:val="143"/>
        </w:numPr>
        <w:ind w:left="851" w:hanging="425"/>
      </w:pPr>
      <w:bookmarkStart w:id="519" w:name="_Toc436840905"/>
      <w:bookmarkStart w:id="520" w:name="_Toc436846342"/>
      <w:bookmarkStart w:id="521" w:name="_Toc436848292"/>
      <w:bookmarkStart w:id="522" w:name="_Toc436856540"/>
      <w:bookmarkStart w:id="523" w:name="_Toc436862686"/>
      <w:bookmarkStart w:id="524" w:name="_Toc436866336"/>
      <w:bookmarkStart w:id="525" w:name="_Toc436870915"/>
      <w:bookmarkStart w:id="526" w:name="_Toc436875907"/>
      <w:bookmarkStart w:id="527" w:name="_Toc467248731"/>
      <w:bookmarkStart w:id="528" w:name="_Toc518032017"/>
      <w:r w:rsidRPr="00D936CA">
        <w:t>Servicio de Desagregación Total del Bucle Local y Servicio de Desagregación Compartida del Bucle Local.</w:t>
      </w:r>
      <w:bookmarkEnd w:id="519"/>
      <w:bookmarkEnd w:id="520"/>
      <w:bookmarkEnd w:id="521"/>
      <w:bookmarkEnd w:id="522"/>
      <w:bookmarkEnd w:id="523"/>
      <w:bookmarkEnd w:id="524"/>
      <w:bookmarkEnd w:id="525"/>
      <w:bookmarkEnd w:id="526"/>
      <w:bookmarkEnd w:id="527"/>
      <w:bookmarkEnd w:id="528"/>
    </w:p>
    <w:p w14:paraId="33CFEDE1" w14:textId="77777777" w:rsidR="003B31BB" w:rsidRPr="00D936CA" w:rsidRDefault="003B31BB" w:rsidP="00D936CA">
      <w:pPr>
        <w:pStyle w:val="Prrafodelista"/>
        <w:numPr>
          <w:ilvl w:val="2"/>
          <w:numId w:val="143"/>
        </w:numPr>
        <w:tabs>
          <w:tab w:val="left" w:pos="993"/>
        </w:tabs>
        <w:ind w:left="851" w:hanging="425"/>
        <w:outlineLvl w:val="2"/>
        <w:rPr>
          <w:rFonts w:ascii="ITC Avant Garde" w:hAnsi="ITC Avant Garde"/>
          <w:b/>
          <w:sz w:val="22"/>
        </w:rPr>
      </w:pPr>
      <w:bookmarkStart w:id="529" w:name="_Toc436840906"/>
      <w:bookmarkStart w:id="530" w:name="_Toc436846343"/>
      <w:bookmarkStart w:id="531" w:name="_Toc436848293"/>
      <w:bookmarkStart w:id="532" w:name="_Toc436856541"/>
      <w:bookmarkStart w:id="533" w:name="_Toc436862687"/>
      <w:bookmarkStart w:id="534" w:name="_Toc436866337"/>
      <w:bookmarkStart w:id="535" w:name="_Toc436870916"/>
      <w:bookmarkStart w:id="536" w:name="_Toc436875908"/>
      <w:bookmarkStart w:id="537" w:name="_Toc467248732"/>
      <w:bookmarkStart w:id="538" w:name="_Toc518032018"/>
      <w:r w:rsidRPr="00D936CA">
        <w:rPr>
          <w:rFonts w:ascii="ITC Avant Garde" w:hAnsi="ITC Avant Garde"/>
          <w:b/>
          <w:sz w:val="22"/>
        </w:rPr>
        <w:t>Servicio de Desagregación Total del Bucle Local</w:t>
      </w:r>
      <w:bookmarkEnd w:id="529"/>
      <w:bookmarkEnd w:id="530"/>
      <w:bookmarkEnd w:id="531"/>
      <w:bookmarkEnd w:id="532"/>
      <w:bookmarkEnd w:id="533"/>
      <w:bookmarkEnd w:id="534"/>
      <w:bookmarkEnd w:id="535"/>
      <w:bookmarkEnd w:id="536"/>
      <w:bookmarkEnd w:id="537"/>
      <w:bookmarkEnd w:id="538"/>
    </w:p>
    <w:p w14:paraId="33CFEDE2" w14:textId="77777777" w:rsidR="00375F39" w:rsidRPr="00D936CA" w:rsidRDefault="00375F39" w:rsidP="00060B2E">
      <w:pPr>
        <w:ind w:left="-567" w:right="-142"/>
      </w:pPr>
    </w:p>
    <w:p w14:paraId="33CFEDE3" w14:textId="77777777" w:rsidR="00A845FB" w:rsidRPr="00D936CA" w:rsidRDefault="00A845FB" w:rsidP="00060B2E">
      <w:pPr>
        <w:pStyle w:val="IFTnormal"/>
        <w:ind w:left="-567" w:right="-142"/>
      </w:pPr>
      <w:r w:rsidRPr="00D936CA">
        <w:t xml:space="preserve">En el SDTBL Telmex provee el Bucle Local al CS, de tal manera que este último pueda hacer uso de la capacidad de transmisión completa, entregando Telmex el circuito en el espacio para coubicación. El CS podrá acceder al Bucle Local de cobre en toda su trayectoria física y podrá disponer de las frecuencias del bucle indicadas en el PGE, con el fin de brindar servicios a través del mismo cable de la red principal y de la red secundaria a la que pertenece el bucle desagregado. </w:t>
      </w:r>
    </w:p>
    <w:p w14:paraId="33CFEDE4" w14:textId="77777777" w:rsidR="00A845FB" w:rsidRPr="00D936CA" w:rsidRDefault="00A845FB" w:rsidP="00060B2E">
      <w:pPr>
        <w:pStyle w:val="IFTnormal"/>
        <w:ind w:left="-567" w:right="-142"/>
      </w:pPr>
      <w:r w:rsidRPr="00D936CA">
        <w:t xml:space="preserve">Para poder acceder a un cliente vía esta modalidad de desagregación son necesarios dos servicios: el servicio en la sección de acceso (SDTBL) y el servicio de entrega del circuito hasta el espacio para coubicación del CS (Servicio de cableado multipar). El SDTBL comprende la conexión desde el PCT ubicado en el domicilio del usuario, la acometida, caja terminal, red secundaria, red principal y remate del par de cobre en la tablilla vertical del Distribuidor General ubicado en la Central Telefónica o Instalación Equivalente de Telmex. La sección de entrega del circuito hasta el espacio para coubicación del CS (servicio de cableado </w:t>
      </w:r>
      <w:r w:rsidRPr="00D936CA">
        <w:lastRenderedPageBreak/>
        <w:t>multipar) comprende el puente entre la tablilla vertical y horizontal del DG, el cableado multipar instalado entre la tablilla horizontal en el DG de Telmex y el espacio para coubicación del CS, cuando sea necesario la instalación de escalerillas y los elementos necesarios para el tendido del cableado multipar.</w:t>
      </w:r>
    </w:p>
    <w:p w14:paraId="33CFEDE5" w14:textId="77777777" w:rsidR="00A845FB" w:rsidRPr="00D936CA" w:rsidRDefault="00A845FB" w:rsidP="00060B2E">
      <w:pPr>
        <w:pStyle w:val="IFTnormal"/>
        <w:ind w:left="-567" w:right="-142"/>
      </w:pPr>
      <w:r w:rsidRPr="00D936CA">
        <w:t>La siguiente figura muestra el esquema del SDTBL y el Servicio de Cableado Multipar.</w:t>
      </w:r>
    </w:p>
    <w:p w14:paraId="33CFEDE6" w14:textId="77777777" w:rsidR="00A845FB" w:rsidRPr="00D936CA" w:rsidRDefault="00A845FB" w:rsidP="00060B2E">
      <w:pPr>
        <w:pStyle w:val="Texto1"/>
        <w:spacing w:after="200" w:line="276" w:lineRule="auto"/>
        <w:ind w:left="-567" w:right="-142"/>
        <w:rPr>
          <w:rFonts w:ascii="ITC Avant Garde" w:hAnsi="ITC Avant Garde"/>
          <w:sz w:val="22"/>
          <w:szCs w:val="22"/>
        </w:rPr>
      </w:pPr>
    </w:p>
    <w:p w14:paraId="33CFEDE7" w14:textId="77777777" w:rsidR="00A845FB" w:rsidRPr="00D936CA" w:rsidRDefault="00A845FB" w:rsidP="00D936CA">
      <w:pPr>
        <w:tabs>
          <w:tab w:val="left" w:pos="4395"/>
        </w:tabs>
        <w:spacing w:line="360" w:lineRule="auto"/>
        <w:jc w:val="center"/>
        <w:rPr>
          <w:rFonts w:ascii="ITC Avant Garde" w:hAnsi="ITC Avant Garde"/>
          <w:sz w:val="20"/>
          <w:szCs w:val="20"/>
        </w:rPr>
      </w:pPr>
      <w:r w:rsidRPr="00D936CA">
        <w:rPr>
          <w:rFonts w:ascii="ITC Avant Garde" w:hAnsi="ITC Avant Garde"/>
          <w:noProof/>
          <w:sz w:val="20"/>
          <w:szCs w:val="20"/>
          <w:lang w:val="es-MX" w:eastAsia="es-MX"/>
        </w:rPr>
        <w:drawing>
          <wp:inline distT="0" distB="0" distL="0" distR="0" wp14:anchorId="33CFF2C4" wp14:editId="33CFF2C5">
            <wp:extent cx="4724756" cy="24067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7316" cy="2418262"/>
                    </a:xfrm>
                    <a:prstGeom prst="rect">
                      <a:avLst/>
                    </a:prstGeom>
                    <a:noFill/>
                  </pic:spPr>
                </pic:pic>
              </a:graphicData>
            </a:graphic>
          </wp:inline>
        </w:drawing>
      </w:r>
    </w:p>
    <w:p w14:paraId="33CFEDE8" w14:textId="77777777" w:rsidR="00A845FB" w:rsidRPr="00D936CA" w:rsidRDefault="00A845FB" w:rsidP="00D936CA">
      <w:pPr>
        <w:spacing w:before="120" w:after="200" w:line="276" w:lineRule="auto"/>
        <w:jc w:val="center"/>
        <w:rPr>
          <w:rFonts w:ascii="ITC Avant Garde" w:hAnsi="ITC Avant Garde"/>
          <w:sz w:val="16"/>
          <w:szCs w:val="18"/>
        </w:rPr>
      </w:pPr>
      <w:r w:rsidRPr="00D936CA">
        <w:rPr>
          <w:rFonts w:ascii="ITC Avant Garde" w:hAnsi="ITC Avant Garde"/>
          <w:sz w:val="16"/>
          <w:szCs w:val="18"/>
        </w:rPr>
        <w:t>Servicio de Desagregación Total del Bucle Local y Servicio de Cableado Multipar.</w:t>
      </w:r>
    </w:p>
    <w:p w14:paraId="33CFEDE9" w14:textId="28828028" w:rsidR="00A845FB" w:rsidRPr="00D936CA" w:rsidRDefault="00A845FB" w:rsidP="00060B2E">
      <w:pPr>
        <w:pStyle w:val="IFTnormal"/>
        <w:ind w:left="-567" w:right="-142"/>
      </w:pPr>
      <w:r w:rsidRPr="00D936CA">
        <w:t>Para que el SDTBL se lleve a cabo de forma efectiva es necesario que previ</w:t>
      </w:r>
      <w:r w:rsidR="00854094" w:rsidRPr="00D936CA">
        <w:t>amente</w:t>
      </w:r>
      <w:r w:rsidRPr="00D936CA">
        <w:t xml:space="preserve"> a que Telmex entregue el circuito al CS, se deba contar con los siguientes elementos:</w:t>
      </w:r>
    </w:p>
    <w:p w14:paraId="33CFEDEA" w14:textId="77777777" w:rsidR="00A845FB" w:rsidRPr="00D936CA" w:rsidRDefault="00A845FB" w:rsidP="0067736F">
      <w:pPr>
        <w:pStyle w:val="IFTnormal"/>
        <w:numPr>
          <w:ilvl w:val="0"/>
          <w:numId w:val="92"/>
        </w:numPr>
        <w:ind w:left="142" w:right="-142"/>
      </w:pPr>
      <w:r w:rsidRPr="00D936CA">
        <w:t xml:space="preserve">Un espacio para coubicación donde el CS coloque su infraestructura de tal forma que Telmex pueda hacer la entrega del circuito de la Central o Instalación Equivalente a la cual pertenece el bucle a desagregar, conforme a lo establecido en la sección “Servicio de Coubicación para Desagregación del Bucle” de la presente oferta. </w:t>
      </w:r>
    </w:p>
    <w:p w14:paraId="33CFEDEB" w14:textId="77777777" w:rsidR="00A845FB" w:rsidRPr="00D936CA" w:rsidRDefault="00A845FB" w:rsidP="0067736F">
      <w:pPr>
        <w:pStyle w:val="IFTnormal"/>
        <w:numPr>
          <w:ilvl w:val="0"/>
          <w:numId w:val="92"/>
        </w:numPr>
        <w:ind w:left="142" w:right="-142"/>
      </w:pPr>
      <w:r w:rsidRPr="00D936CA">
        <w:t>Cableado multipar entre la tablilla horizontal instalada por Telmex en el DG de Telmex y el espacio para coubicación el CS donde ubique su infraestructura en la Central o Instalación Equivalente a la cual pertenece el bucle a desagregar.</w:t>
      </w:r>
    </w:p>
    <w:p w14:paraId="33CFEDEC" w14:textId="77777777" w:rsidR="00A845FB" w:rsidRPr="00D936CA" w:rsidRDefault="00A845FB" w:rsidP="0067736F">
      <w:pPr>
        <w:pStyle w:val="IFTnormal"/>
        <w:numPr>
          <w:ilvl w:val="0"/>
          <w:numId w:val="92"/>
        </w:numPr>
        <w:ind w:left="142" w:right="-142"/>
      </w:pPr>
      <w:r w:rsidRPr="00D936CA">
        <w:t>Infraestructura necesaria por parte del CS para recibir el bucle desagregado.</w:t>
      </w:r>
    </w:p>
    <w:p w14:paraId="33CFEDED" w14:textId="511EE1B4" w:rsidR="00A845FB" w:rsidRPr="00D936CA" w:rsidRDefault="00A845FB" w:rsidP="00060B2E">
      <w:pPr>
        <w:pStyle w:val="IFTnormal"/>
        <w:ind w:left="-567" w:right="-142"/>
      </w:pPr>
      <w:r w:rsidRPr="00D936CA">
        <w:t xml:space="preserve">A solicitud del CS, Telmex instalará el cableado multipar correspondiente a la sección de entrega del circuito, el cual comprende la instalación de tablilla horizontal en el DG de Telmex, tendido de cable multipar (en caso necesario escalerillas y los elementos requeridos para el tendido del cableado multipar) entre la tablilla horizontal instalada en el DG de Telmex y el espacio para coubicación de equipos y dispositivos del CS, necesarios para acceder a los servicios de desagregación, dejándose en punta el cableado y entregando </w:t>
      </w:r>
      <w:r w:rsidRPr="00D936CA">
        <w:lastRenderedPageBreak/>
        <w:t xml:space="preserve">Telmex la identificación de las posiciones de los pares en la tablilla. Para el etiquetado de la identificación del cableado multipar se llevará a cabo conforme a lo establecido en el Anexo G3 Guía para el etiquetado de cable multipar Instalado dentro de un edificio TELMEX. </w:t>
      </w:r>
    </w:p>
    <w:p w14:paraId="33CFEDEE" w14:textId="77777777" w:rsidR="00A845FB" w:rsidRPr="00D936CA" w:rsidRDefault="00A845FB" w:rsidP="00060B2E">
      <w:pPr>
        <w:pStyle w:val="IFTnormal"/>
        <w:ind w:left="-567" w:right="-142"/>
      </w:pPr>
      <w:r w:rsidRPr="00D936CA">
        <w:t>La solicitud de cableado multipar se llevará a cabo conforme al procedimiento de contratación, modificación y baja del cableado multipar y se pagarán las contraprestaciones correspondientes.</w:t>
      </w:r>
    </w:p>
    <w:p w14:paraId="33CFEDEF" w14:textId="77777777" w:rsidR="00A845FB" w:rsidRPr="00D936CA" w:rsidRDefault="00A845FB" w:rsidP="00060B2E">
      <w:pPr>
        <w:pStyle w:val="IFTnormal"/>
        <w:ind w:left="-567" w:right="-142"/>
      </w:pPr>
      <w:r w:rsidRPr="00D936CA">
        <w:t>En caso de que se requiera tendido de cable multipar para una Ubicación Distante, se prestará en términos de la Oferta de Compartición de Infraestructura, el CS deberá enviar junto con su solicitud el NIS-Referencia correspondiente al servicio de tendido de cable y el Acta de Entrega de Servicio obtenida a través de los procedimientos establecidos.</w:t>
      </w:r>
    </w:p>
    <w:p w14:paraId="33CFEDF0" w14:textId="7006F520" w:rsidR="00A845FB" w:rsidRPr="00D936CA" w:rsidRDefault="00A845FB" w:rsidP="00060B2E">
      <w:pPr>
        <w:pStyle w:val="IFTnormal"/>
        <w:ind w:left="-567" w:right="-142"/>
      </w:pPr>
      <w:r w:rsidRPr="00D936CA">
        <w:t xml:space="preserve">Las especificaciones técnicas del cable multipar a suministrar por parte de </w:t>
      </w:r>
      <w:r w:rsidR="00310137" w:rsidRPr="00D936CA">
        <w:t>Telmex</w:t>
      </w:r>
      <w:r w:rsidRPr="00D936CA">
        <w:t xml:space="preserve"> estarán de acuerdo con las que se utilizan en las propias operaciones, así como de acuerdo con las mejores prácticas las cuales están señaladas en los estándares internacionales ISO 11801 y TIA/EIA 568, las especificaciones mínimas son:</w:t>
      </w:r>
    </w:p>
    <w:p w14:paraId="33CFEDF1" w14:textId="77777777" w:rsidR="00A845FB" w:rsidRPr="00D936CA" w:rsidRDefault="00A845FB" w:rsidP="00D936CA">
      <w:pPr>
        <w:pStyle w:val="IFTnormal"/>
        <w:numPr>
          <w:ilvl w:val="0"/>
          <w:numId w:val="93"/>
        </w:numPr>
      </w:pPr>
      <w:r w:rsidRPr="00D936CA">
        <w:t>Compatibilidad con los equipos de conexión de las partes involucradas: El cable multipar blindado y estañado de 70 pares es compatible con todos los equipos de acuerdo a la impedancia estándar para el manejo de las tecnologías xDSL.</w:t>
      </w:r>
    </w:p>
    <w:p w14:paraId="33CFEDF2" w14:textId="77777777" w:rsidR="00A845FB" w:rsidRPr="00D936CA" w:rsidRDefault="00A845FB" w:rsidP="00D936CA">
      <w:pPr>
        <w:pStyle w:val="IFTnormal"/>
        <w:numPr>
          <w:ilvl w:val="0"/>
          <w:numId w:val="93"/>
        </w:numPr>
      </w:pPr>
      <w:r w:rsidRPr="00D936CA">
        <w:t>Los cables son del tipo CAT-3 que define a los cables para transmisión con banda ancha, con las características de transmisión establecidas en las normas ISO 11801 y TIA/EIA 568.</w:t>
      </w:r>
    </w:p>
    <w:p w14:paraId="33CFEDF3" w14:textId="522D0C14" w:rsidR="00A845FB" w:rsidRPr="00D936CA" w:rsidRDefault="00A845FB" w:rsidP="00D936CA">
      <w:pPr>
        <w:pStyle w:val="IFTnormal"/>
        <w:numPr>
          <w:ilvl w:val="0"/>
          <w:numId w:val="93"/>
        </w:numPr>
      </w:pPr>
      <w:r w:rsidRPr="00D936CA">
        <w:t xml:space="preserve">Etiquetado homologado de elementos: se realizará de acuerdo a lo que se menciona en el </w:t>
      </w:r>
      <w:r w:rsidR="006C7350" w:rsidRPr="00D936CA">
        <w:t>Anexo G3</w:t>
      </w:r>
      <w:r w:rsidRPr="00D936CA">
        <w:t xml:space="preserve"> “Guía para el etiquetado de cable multipar instalado dentro de un edificio TELMEX” con identificación: Mx-QMS-L3-51 en su versión actual. Adicional se etiquetará con el nombre del CS al que pertenece.</w:t>
      </w:r>
    </w:p>
    <w:p w14:paraId="33CFEDF4" w14:textId="77777777" w:rsidR="00A845FB" w:rsidRPr="00D936CA" w:rsidRDefault="00A845FB" w:rsidP="00D936CA">
      <w:pPr>
        <w:pStyle w:val="IFTnormal"/>
        <w:numPr>
          <w:ilvl w:val="0"/>
          <w:numId w:val="93"/>
        </w:numPr>
      </w:pPr>
      <w:r w:rsidRPr="00D936CA">
        <w:t xml:space="preserve">Tipo de terminación del cable: es T568 de acuerdo al estándar TIA/EIA para la transmisión de datos arriba de 100 Mbps. </w:t>
      </w:r>
    </w:p>
    <w:p w14:paraId="33CFEDF5" w14:textId="77777777" w:rsidR="00A845FB" w:rsidRPr="00D936CA" w:rsidRDefault="00A845FB" w:rsidP="00D936CA">
      <w:pPr>
        <w:pStyle w:val="IFTnormal"/>
        <w:numPr>
          <w:ilvl w:val="0"/>
          <w:numId w:val="93"/>
        </w:numPr>
      </w:pPr>
      <w:r w:rsidRPr="00D936CA">
        <w:t>Método de instalación: Durante la instalación, el cable no debe llegar a un radio de curvatura menor a 30 cm bajo tensión o 18 cm sin tensión.</w:t>
      </w:r>
    </w:p>
    <w:p w14:paraId="33CFEDF6" w14:textId="28EF2440" w:rsidR="00A845FB" w:rsidRPr="00D936CA" w:rsidRDefault="00A845FB" w:rsidP="00D936CA">
      <w:pPr>
        <w:pStyle w:val="IFTnormal"/>
        <w:numPr>
          <w:ilvl w:val="0"/>
          <w:numId w:val="93"/>
        </w:numPr>
      </w:pPr>
      <w:r w:rsidRPr="00D936CA">
        <w:t>A continuación</w:t>
      </w:r>
      <w:r w:rsidR="00297095">
        <w:t>,</w:t>
      </w:r>
      <w:r w:rsidRPr="00D936CA">
        <w:t xml:space="preserve"> se muestran las características de ancho de banda vs distancia a 100m permitidas para evitar la existencia de cortos circuitos o cables abiertos:</w:t>
      </w:r>
    </w:p>
    <w:p w14:paraId="33CFEDF7" w14:textId="77777777" w:rsidR="00A845FB" w:rsidRPr="00D936CA" w:rsidRDefault="00A845FB" w:rsidP="00D936CA">
      <w:pPr>
        <w:pStyle w:val="IFTnormal"/>
      </w:pPr>
    </w:p>
    <w:tbl>
      <w:tblPr>
        <w:tblStyle w:val="Tablaconcuadrcula"/>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14"/>
        <w:gridCol w:w="1795"/>
        <w:gridCol w:w="1796"/>
        <w:gridCol w:w="2093"/>
      </w:tblGrid>
      <w:tr w:rsidR="00D936CA" w:rsidRPr="0067736F" w14:paraId="33CFEDF9" w14:textId="77777777" w:rsidTr="00B61B63">
        <w:trPr>
          <w:jc w:val="center"/>
        </w:trPr>
        <w:tc>
          <w:tcPr>
            <w:tcW w:w="6491" w:type="dxa"/>
            <w:gridSpan w:val="4"/>
            <w:tcBorders>
              <w:top w:val="single" w:sz="4" w:space="0" w:color="808080"/>
              <w:left w:val="single" w:sz="4" w:space="0" w:color="808080"/>
              <w:bottom w:val="single" w:sz="4" w:space="0" w:color="808080"/>
              <w:right w:val="single" w:sz="4" w:space="0" w:color="808080"/>
            </w:tcBorders>
            <w:shd w:val="clear" w:color="auto" w:fill="548DD4"/>
            <w:vAlign w:val="center"/>
            <w:hideMark/>
          </w:tcPr>
          <w:p w14:paraId="33CFEDF8" w14:textId="77777777" w:rsidR="00A845FB" w:rsidRPr="0067736F" w:rsidRDefault="00A845FB" w:rsidP="00D936CA">
            <w:pPr>
              <w:spacing w:before="60" w:after="60" w:line="276" w:lineRule="auto"/>
              <w:jc w:val="center"/>
              <w:rPr>
                <w:rFonts w:ascii="ITC Avant Garde" w:hAnsi="ITC Avant Garde"/>
                <w:b/>
                <w:sz w:val="20"/>
                <w:szCs w:val="20"/>
              </w:rPr>
            </w:pPr>
            <w:r w:rsidRPr="0067736F">
              <w:rPr>
                <w:rFonts w:ascii="ITC Avant Garde" w:hAnsi="ITC Avant Garde"/>
                <w:b/>
                <w:sz w:val="20"/>
                <w:szCs w:val="20"/>
              </w:rPr>
              <w:t>Características de transmisión en 100 m a 20°C</w:t>
            </w:r>
          </w:p>
        </w:tc>
      </w:tr>
      <w:tr w:rsidR="00D936CA" w:rsidRPr="0067736F" w14:paraId="33CFEDFE"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shd w:val="clear" w:color="auto" w:fill="548DD4"/>
            <w:vAlign w:val="center"/>
            <w:hideMark/>
          </w:tcPr>
          <w:p w14:paraId="33CFEDFA" w14:textId="77777777" w:rsidR="00A845FB" w:rsidRPr="0067736F" w:rsidRDefault="00A845FB" w:rsidP="00D936CA">
            <w:pPr>
              <w:spacing w:before="60" w:after="60" w:line="276" w:lineRule="auto"/>
              <w:jc w:val="center"/>
              <w:rPr>
                <w:rFonts w:ascii="ITC Avant Garde" w:hAnsi="ITC Avant Garde"/>
                <w:b/>
                <w:sz w:val="20"/>
                <w:szCs w:val="20"/>
              </w:rPr>
            </w:pPr>
            <w:r w:rsidRPr="0067736F">
              <w:rPr>
                <w:rFonts w:ascii="ITC Avant Garde" w:hAnsi="ITC Avant Garde"/>
                <w:b/>
                <w:sz w:val="20"/>
                <w:szCs w:val="20"/>
              </w:rPr>
              <w:t xml:space="preserve">Frecuencia </w:t>
            </w:r>
            <w:r w:rsidRPr="0067736F">
              <w:rPr>
                <w:rFonts w:ascii="ITC Avant Garde" w:hAnsi="ITC Avant Garde"/>
                <w:b/>
                <w:sz w:val="20"/>
                <w:szCs w:val="20"/>
              </w:rPr>
              <w:lastRenderedPageBreak/>
              <w:t>(Mhz)</w:t>
            </w:r>
          </w:p>
        </w:tc>
        <w:tc>
          <w:tcPr>
            <w:tcW w:w="1795" w:type="dxa"/>
            <w:tcBorders>
              <w:top w:val="single" w:sz="4" w:space="0" w:color="808080"/>
              <w:left w:val="single" w:sz="4" w:space="0" w:color="808080"/>
              <w:bottom w:val="single" w:sz="4" w:space="0" w:color="808080"/>
              <w:right w:val="single" w:sz="4" w:space="0" w:color="808080"/>
            </w:tcBorders>
            <w:shd w:val="clear" w:color="auto" w:fill="548DD4"/>
            <w:vAlign w:val="center"/>
            <w:hideMark/>
          </w:tcPr>
          <w:p w14:paraId="33CFEDFB" w14:textId="77777777" w:rsidR="00A845FB" w:rsidRPr="0067736F" w:rsidRDefault="00A845FB" w:rsidP="00D936CA">
            <w:pPr>
              <w:spacing w:before="60" w:after="60" w:line="276" w:lineRule="auto"/>
              <w:jc w:val="center"/>
              <w:rPr>
                <w:rFonts w:ascii="ITC Avant Garde" w:hAnsi="ITC Avant Garde"/>
                <w:b/>
                <w:sz w:val="20"/>
                <w:szCs w:val="20"/>
              </w:rPr>
            </w:pPr>
            <w:r w:rsidRPr="0067736F">
              <w:rPr>
                <w:rFonts w:ascii="ITC Avant Garde" w:hAnsi="ITC Avant Garde"/>
                <w:b/>
                <w:sz w:val="20"/>
                <w:szCs w:val="20"/>
              </w:rPr>
              <w:lastRenderedPageBreak/>
              <w:t xml:space="preserve">Atenuación </w:t>
            </w:r>
            <w:r w:rsidRPr="0067736F">
              <w:rPr>
                <w:rFonts w:ascii="ITC Avant Garde" w:hAnsi="ITC Avant Garde"/>
                <w:b/>
                <w:sz w:val="20"/>
                <w:szCs w:val="20"/>
              </w:rPr>
              <w:lastRenderedPageBreak/>
              <w:t>Máx (dB)</w:t>
            </w:r>
          </w:p>
        </w:tc>
        <w:tc>
          <w:tcPr>
            <w:tcW w:w="1796" w:type="dxa"/>
            <w:tcBorders>
              <w:top w:val="single" w:sz="4" w:space="0" w:color="808080"/>
              <w:left w:val="single" w:sz="4" w:space="0" w:color="808080"/>
              <w:bottom w:val="single" w:sz="4" w:space="0" w:color="808080"/>
              <w:right w:val="single" w:sz="4" w:space="0" w:color="808080"/>
            </w:tcBorders>
            <w:shd w:val="clear" w:color="auto" w:fill="548DD4"/>
            <w:vAlign w:val="center"/>
            <w:hideMark/>
          </w:tcPr>
          <w:p w14:paraId="33CFEDFC" w14:textId="77777777" w:rsidR="00A845FB" w:rsidRPr="0067736F" w:rsidRDefault="00A845FB" w:rsidP="00D936CA">
            <w:pPr>
              <w:spacing w:before="60" w:after="60" w:line="276" w:lineRule="auto"/>
              <w:jc w:val="center"/>
              <w:rPr>
                <w:rFonts w:ascii="ITC Avant Garde" w:hAnsi="ITC Avant Garde"/>
                <w:b/>
                <w:sz w:val="20"/>
                <w:szCs w:val="20"/>
              </w:rPr>
            </w:pPr>
            <w:r w:rsidRPr="0067736F">
              <w:rPr>
                <w:rFonts w:ascii="ITC Avant Garde" w:hAnsi="ITC Avant Garde"/>
                <w:b/>
                <w:sz w:val="20"/>
                <w:szCs w:val="20"/>
              </w:rPr>
              <w:lastRenderedPageBreak/>
              <w:t xml:space="preserve">Diafonía PSNEXT </w:t>
            </w:r>
            <w:r w:rsidRPr="0067736F">
              <w:rPr>
                <w:rFonts w:ascii="ITC Avant Garde" w:hAnsi="ITC Avant Garde"/>
                <w:b/>
                <w:sz w:val="20"/>
                <w:szCs w:val="20"/>
              </w:rPr>
              <w:lastRenderedPageBreak/>
              <w:t>Mín (dB)</w:t>
            </w:r>
          </w:p>
        </w:tc>
        <w:tc>
          <w:tcPr>
            <w:tcW w:w="2093" w:type="dxa"/>
            <w:tcBorders>
              <w:top w:val="single" w:sz="4" w:space="0" w:color="808080"/>
              <w:left w:val="single" w:sz="4" w:space="0" w:color="808080"/>
              <w:bottom w:val="single" w:sz="4" w:space="0" w:color="808080"/>
              <w:right w:val="single" w:sz="4" w:space="0" w:color="808080"/>
            </w:tcBorders>
            <w:shd w:val="clear" w:color="auto" w:fill="548DD4"/>
            <w:vAlign w:val="center"/>
            <w:hideMark/>
          </w:tcPr>
          <w:p w14:paraId="33CFEDFD" w14:textId="77777777" w:rsidR="00A845FB" w:rsidRPr="0067736F" w:rsidRDefault="00A845FB" w:rsidP="00D936CA">
            <w:pPr>
              <w:spacing w:before="60" w:after="60" w:line="276" w:lineRule="auto"/>
              <w:jc w:val="center"/>
              <w:rPr>
                <w:rFonts w:ascii="ITC Avant Garde" w:hAnsi="ITC Avant Garde"/>
                <w:b/>
                <w:sz w:val="20"/>
                <w:szCs w:val="20"/>
              </w:rPr>
            </w:pPr>
            <w:r w:rsidRPr="0067736F">
              <w:rPr>
                <w:rFonts w:ascii="ITC Avant Garde" w:hAnsi="ITC Avant Garde"/>
                <w:b/>
                <w:sz w:val="20"/>
                <w:szCs w:val="20"/>
              </w:rPr>
              <w:lastRenderedPageBreak/>
              <w:t xml:space="preserve">Telediafonía </w:t>
            </w:r>
            <w:r w:rsidRPr="0067736F">
              <w:rPr>
                <w:rFonts w:ascii="ITC Avant Garde" w:hAnsi="ITC Avant Garde"/>
                <w:b/>
                <w:sz w:val="20"/>
                <w:szCs w:val="20"/>
              </w:rPr>
              <w:lastRenderedPageBreak/>
              <w:t>PSELFEXT Mín (dB)</w:t>
            </w:r>
          </w:p>
        </w:tc>
      </w:tr>
      <w:tr w:rsidR="00D936CA" w:rsidRPr="0067736F" w14:paraId="33CFEE03"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DFF"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lastRenderedPageBreak/>
              <w:t>0.3</w:t>
            </w:r>
          </w:p>
        </w:tc>
        <w:tc>
          <w:tcPr>
            <w:tcW w:w="1795" w:type="dxa"/>
            <w:tcBorders>
              <w:top w:val="single" w:sz="4" w:space="0" w:color="808080"/>
              <w:left w:val="single" w:sz="4" w:space="0" w:color="808080"/>
              <w:bottom w:val="single" w:sz="4" w:space="0" w:color="808080"/>
              <w:right w:val="single" w:sz="4" w:space="0" w:color="808080"/>
            </w:tcBorders>
            <w:hideMark/>
          </w:tcPr>
          <w:p w14:paraId="33CFEE00"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1.9</w:t>
            </w:r>
          </w:p>
        </w:tc>
        <w:tc>
          <w:tcPr>
            <w:tcW w:w="1796" w:type="dxa"/>
            <w:tcBorders>
              <w:top w:val="single" w:sz="4" w:space="0" w:color="808080"/>
              <w:left w:val="single" w:sz="4" w:space="0" w:color="808080"/>
              <w:bottom w:val="single" w:sz="4" w:space="0" w:color="808080"/>
              <w:right w:val="single" w:sz="4" w:space="0" w:color="808080"/>
            </w:tcBorders>
            <w:hideMark/>
          </w:tcPr>
          <w:p w14:paraId="33CFEE01"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2093" w:type="dxa"/>
            <w:tcBorders>
              <w:top w:val="single" w:sz="4" w:space="0" w:color="808080"/>
              <w:left w:val="single" w:sz="4" w:space="0" w:color="808080"/>
              <w:bottom w:val="single" w:sz="4" w:space="0" w:color="808080"/>
              <w:right w:val="single" w:sz="4" w:space="0" w:color="808080"/>
            </w:tcBorders>
            <w:hideMark/>
          </w:tcPr>
          <w:p w14:paraId="33CFEE02"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r>
      <w:tr w:rsidR="00D936CA" w:rsidRPr="0067736F" w14:paraId="33CFEE08"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04"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1.00</w:t>
            </w:r>
          </w:p>
        </w:tc>
        <w:tc>
          <w:tcPr>
            <w:tcW w:w="1795" w:type="dxa"/>
            <w:tcBorders>
              <w:top w:val="single" w:sz="4" w:space="0" w:color="808080"/>
              <w:left w:val="single" w:sz="4" w:space="0" w:color="808080"/>
              <w:bottom w:val="single" w:sz="4" w:space="0" w:color="808080"/>
              <w:right w:val="single" w:sz="4" w:space="0" w:color="808080"/>
            </w:tcBorders>
            <w:hideMark/>
          </w:tcPr>
          <w:p w14:paraId="33CFEE05"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3.3</w:t>
            </w:r>
          </w:p>
        </w:tc>
        <w:tc>
          <w:tcPr>
            <w:tcW w:w="1796" w:type="dxa"/>
            <w:tcBorders>
              <w:top w:val="single" w:sz="4" w:space="0" w:color="808080"/>
              <w:left w:val="single" w:sz="4" w:space="0" w:color="808080"/>
              <w:bottom w:val="single" w:sz="4" w:space="0" w:color="808080"/>
              <w:right w:val="single" w:sz="4" w:space="0" w:color="808080"/>
            </w:tcBorders>
            <w:hideMark/>
          </w:tcPr>
          <w:p w14:paraId="33CFEE06"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58.0</w:t>
            </w:r>
          </w:p>
        </w:tc>
        <w:tc>
          <w:tcPr>
            <w:tcW w:w="2093" w:type="dxa"/>
            <w:tcBorders>
              <w:top w:val="single" w:sz="4" w:space="0" w:color="808080"/>
              <w:left w:val="single" w:sz="4" w:space="0" w:color="808080"/>
              <w:bottom w:val="single" w:sz="4" w:space="0" w:color="808080"/>
              <w:right w:val="single" w:sz="4" w:space="0" w:color="808080"/>
            </w:tcBorders>
            <w:hideMark/>
          </w:tcPr>
          <w:p w14:paraId="33CFEE07"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58.0</w:t>
            </w:r>
          </w:p>
        </w:tc>
      </w:tr>
      <w:tr w:rsidR="00D936CA" w:rsidRPr="0067736F" w14:paraId="33CFEE0D"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09"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4.00</w:t>
            </w:r>
          </w:p>
        </w:tc>
        <w:tc>
          <w:tcPr>
            <w:tcW w:w="1795" w:type="dxa"/>
            <w:tcBorders>
              <w:top w:val="single" w:sz="4" w:space="0" w:color="808080"/>
              <w:left w:val="single" w:sz="4" w:space="0" w:color="808080"/>
              <w:bottom w:val="single" w:sz="4" w:space="0" w:color="808080"/>
              <w:right w:val="single" w:sz="4" w:space="0" w:color="808080"/>
            </w:tcBorders>
            <w:hideMark/>
          </w:tcPr>
          <w:p w14:paraId="33CFEE0A"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0B"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49.0</w:t>
            </w:r>
          </w:p>
        </w:tc>
        <w:tc>
          <w:tcPr>
            <w:tcW w:w="2093" w:type="dxa"/>
            <w:tcBorders>
              <w:top w:val="single" w:sz="4" w:space="0" w:color="808080"/>
              <w:left w:val="single" w:sz="4" w:space="0" w:color="808080"/>
              <w:bottom w:val="single" w:sz="4" w:space="0" w:color="808080"/>
              <w:right w:val="single" w:sz="4" w:space="0" w:color="808080"/>
            </w:tcBorders>
            <w:hideMark/>
          </w:tcPr>
          <w:p w14:paraId="33CFEE0C"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46.0</w:t>
            </w:r>
          </w:p>
        </w:tc>
      </w:tr>
      <w:tr w:rsidR="00D936CA" w:rsidRPr="0067736F" w14:paraId="33CFEE12"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0E"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8.00</w:t>
            </w:r>
          </w:p>
        </w:tc>
        <w:tc>
          <w:tcPr>
            <w:tcW w:w="1795" w:type="dxa"/>
            <w:tcBorders>
              <w:top w:val="single" w:sz="4" w:space="0" w:color="808080"/>
              <w:left w:val="single" w:sz="4" w:space="0" w:color="808080"/>
              <w:bottom w:val="single" w:sz="4" w:space="0" w:color="808080"/>
              <w:right w:val="single" w:sz="4" w:space="0" w:color="808080"/>
            </w:tcBorders>
            <w:hideMark/>
          </w:tcPr>
          <w:p w14:paraId="33CFEE0F"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10"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45.0</w:t>
            </w:r>
          </w:p>
        </w:tc>
        <w:tc>
          <w:tcPr>
            <w:tcW w:w="2093" w:type="dxa"/>
            <w:tcBorders>
              <w:top w:val="single" w:sz="4" w:space="0" w:color="808080"/>
              <w:left w:val="single" w:sz="4" w:space="0" w:color="808080"/>
              <w:bottom w:val="single" w:sz="4" w:space="0" w:color="808080"/>
              <w:right w:val="single" w:sz="4" w:space="0" w:color="808080"/>
            </w:tcBorders>
            <w:hideMark/>
          </w:tcPr>
          <w:p w14:paraId="33CFEE11"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40.0</w:t>
            </w:r>
          </w:p>
        </w:tc>
      </w:tr>
      <w:tr w:rsidR="00D936CA" w:rsidRPr="0067736F" w14:paraId="33CFEE17"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13"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10.00</w:t>
            </w:r>
          </w:p>
        </w:tc>
        <w:tc>
          <w:tcPr>
            <w:tcW w:w="1795" w:type="dxa"/>
            <w:tcBorders>
              <w:top w:val="single" w:sz="4" w:space="0" w:color="808080"/>
              <w:left w:val="single" w:sz="4" w:space="0" w:color="808080"/>
              <w:bottom w:val="single" w:sz="4" w:space="0" w:color="808080"/>
              <w:right w:val="single" w:sz="4" w:space="0" w:color="808080"/>
            </w:tcBorders>
            <w:hideMark/>
          </w:tcPr>
          <w:p w14:paraId="33CFEE14"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11.0</w:t>
            </w:r>
          </w:p>
        </w:tc>
        <w:tc>
          <w:tcPr>
            <w:tcW w:w="1796" w:type="dxa"/>
            <w:tcBorders>
              <w:top w:val="single" w:sz="4" w:space="0" w:color="808080"/>
              <w:left w:val="single" w:sz="4" w:space="0" w:color="808080"/>
              <w:bottom w:val="single" w:sz="4" w:space="0" w:color="808080"/>
              <w:right w:val="single" w:sz="4" w:space="0" w:color="808080"/>
            </w:tcBorders>
            <w:hideMark/>
          </w:tcPr>
          <w:p w14:paraId="33CFEE15"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43.0</w:t>
            </w:r>
          </w:p>
        </w:tc>
        <w:tc>
          <w:tcPr>
            <w:tcW w:w="2093" w:type="dxa"/>
            <w:tcBorders>
              <w:top w:val="single" w:sz="4" w:space="0" w:color="808080"/>
              <w:left w:val="single" w:sz="4" w:space="0" w:color="808080"/>
              <w:bottom w:val="single" w:sz="4" w:space="0" w:color="808080"/>
              <w:right w:val="single" w:sz="4" w:space="0" w:color="808080"/>
            </w:tcBorders>
            <w:hideMark/>
          </w:tcPr>
          <w:p w14:paraId="33CFEE16"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38.0</w:t>
            </w:r>
          </w:p>
        </w:tc>
      </w:tr>
      <w:tr w:rsidR="00D936CA" w:rsidRPr="0067736F" w14:paraId="33CFEE1C"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18"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16.00</w:t>
            </w:r>
          </w:p>
        </w:tc>
        <w:tc>
          <w:tcPr>
            <w:tcW w:w="1795" w:type="dxa"/>
            <w:tcBorders>
              <w:top w:val="single" w:sz="4" w:space="0" w:color="808080"/>
              <w:left w:val="single" w:sz="4" w:space="0" w:color="808080"/>
              <w:bottom w:val="single" w:sz="4" w:space="0" w:color="808080"/>
              <w:right w:val="single" w:sz="4" w:space="0" w:color="808080"/>
            </w:tcBorders>
            <w:hideMark/>
          </w:tcPr>
          <w:p w14:paraId="33CFEE19"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1A"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40.0</w:t>
            </w:r>
          </w:p>
        </w:tc>
        <w:tc>
          <w:tcPr>
            <w:tcW w:w="2093" w:type="dxa"/>
            <w:tcBorders>
              <w:top w:val="single" w:sz="4" w:space="0" w:color="808080"/>
              <w:left w:val="single" w:sz="4" w:space="0" w:color="808080"/>
              <w:bottom w:val="single" w:sz="4" w:space="0" w:color="808080"/>
              <w:right w:val="single" w:sz="4" w:space="0" w:color="808080"/>
            </w:tcBorders>
            <w:hideMark/>
          </w:tcPr>
          <w:p w14:paraId="33CFEE1B"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34.0</w:t>
            </w:r>
          </w:p>
        </w:tc>
      </w:tr>
      <w:tr w:rsidR="00D936CA" w:rsidRPr="0067736F" w14:paraId="33CFEE21"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1D"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20.00</w:t>
            </w:r>
          </w:p>
        </w:tc>
        <w:tc>
          <w:tcPr>
            <w:tcW w:w="1795" w:type="dxa"/>
            <w:tcBorders>
              <w:top w:val="single" w:sz="4" w:space="0" w:color="808080"/>
              <w:left w:val="single" w:sz="4" w:space="0" w:color="808080"/>
              <w:bottom w:val="single" w:sz="4" w:space="0" w:color="808080"/>
              <w:right w:val="single" w:sz="4" w:space="0" w:color="808080"/>
            </w:tcBorders>
            <w:hideMark/>
          </w:tcPr>
          <w:p w14:paraId="33CFEE1E"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1F"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39.0</w:t>
            </w:r>
          </w:p>
        </w:tc>
        <w:tc>
          <w:tcPr>
            <w:tcW w:w="2093" w:type="dxa"/>
            <w:tcBorders>
              <w:top w:val="single" w:sz="4" w:space="0" w:color="808080"/>
              <w:left w:val="single" w:sz="4" w:space="0" w:color="808080"/>
              <w:bottom w:val="single" w:sz="4" w:space="0" w:color="808080"/>
              <w:right w:val="single" w:sz="4" w:space="0" w:color="808080"/>
            </w:tcBorders>
            <w:hideMark/>
          </w:tcPr>
          <w:p w14:paraId="33CFEE20"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32.0</w:t>
            </w:r>
          </w:p>
        </w:tc>
      </w:tr>
      <w:tr w:rsidR="00D936CA" w:rsidRPr="0067736F" w14:paraId="33CFEE26"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22"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25.00</w:t>
            </w:r>
          </w:p>
        </w:tc>
        <w:tc>
          <w:tcPr>
            <w:tcW w:w="1795" w:type="dxa"/>
            <w:tcBorders>
              <w:top w:val="single" w:sz="4" w:space="0" w:color="808080"/>
              <w:left w:val="single" w:sz="4" w:space="0" w:color="808080"/>
              <w:bottom w:val="single" w:sz="4" w:space="0" w:color="808080"/>
              <w:right w:val="single" w:sz="4" w:space="0" w:color="808080"/>
            </w:tcBorders>
            <w:hideMark/>
          </w:tcPr>
          <w:p w14:paraId="33CFEE23"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24"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37.0</w:t>
            </w:r>
          </w:p>
        </w:tc>
        <w:tc>
          <w:tcPr>
            <w:tcW w:w="2093" w:type="dxa"/>
            <w:tcBorders>
              <w:top w:val="single" w:sz="4" w:space="0" w:color="808080"/>
              <w:left w:val="single" w:sz="4" w:space="0" w:color="808080"/>
              <w:bottom w:val="single" w:sz="4" w:space="0" w:color="808080"/>
              <w:right w:val="single" w:sz="4" w:space="0" w:color="808080"/>
            </w:tcBorders>
            <w:hideMark/>
          </w:tcPr>
          <w:p w14:paraId="33CFEE25"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30.0</w:t>
            </w:r>
          </w:p>
        </w:tc>
      </w:tr>
      <w:tr w:rsidR="00D936CA" w:rsidRPr="0067736F" w14:paraId="33CFEE2B"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27"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31.25</w:t>
            </w:r>
          </w:p>
        </w:tc>
        <w:tc>
          <w:tcPr>
            <w:tcW w:w="1795" w:type="dxa"/>
            <w:tcBorders>
              <w:top w:val="single" w:sz="4" w:space="0" w:color="808080"/>
              <w:left w:val="single" w:sz="4" w:space="0" w:color="808080"/>
              <w:bottom w:val="single" w:sz="4" w:space="0" w:color="808080"/>
              <w:right w:val="single" w:sz="4" w:space="0" w:color="808080"/>
            </w:tcBorders>
            <w:hideMark/>
          </w:tcPr>
          <w:p w14:paraId="33CFEE28"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29"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36.0</w:t>
            </w:r>
          </w:p>
        </w:tc>
        <w:tc>
          <w:tcPr>
            <w:tcW w:w="2093" w:type="dxa"/>
            <w:tcBorders>
              <w:top w:val="single" w:sz="4" w:space="0" w:color="808080"/>
              <w:left w:val="single" w:sz="4" w:space="0" w:color="808080"/>
              <w:bottom w:val="single" w:sz="4" w:space="0" w:color="808080"/>
              <w:right w:val="single" w:sz="4" w:space="0" w:color="808080"/>
            </w:tcBorders>
            <w:hideMark/>
          </w:tcPr>
          <w:p w14:paraId="33CFEE2A"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28.0</w:t>
            </w:r>
          </w:p>
        </w:tc>
      </w:tr>
      <w:tr w:rsidR="00D936CA" w:rsidRPr="0067736F" w14:paraId="33CFEE30"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2C"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63.00</w:t>
            </w:r>
          </w:p>
        </w:tc>
        <w:tc>
          <w:tcPr>
            <w:tcW w:w="1795" w:type="dxa"/>
            <w:tcBorders>
              <w:top w:val="single" w:sz="4" w:space="0" w:color="808080"/>
              <w:left w:val="single" w:sz="4" w:space="0" w:color="808080"/>
              <w:bottom w:val="single" w:sz="4" w:space="0" w:color="808080"/>
              <w:right w:val="single" w:sz="4" w:space="0" w:color="808080"/>
            </w:tcBorders>
            <w:hideMark/>
          </w:tcPr>
          <w:p w14:paraId="33CFEE2D"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2E"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31.0</w:t>
            </w:r>
          </w:p>
        </w:tc>
        <w:tc>
          <w:tcPr>
            <w:tcW w:w="2093" w:type="dxa"/>
            <w:tcBorders>
              <w:top w:val="single" w:sz="4" w:space="0" w:color="808080"/>
              <w:left w:val="single" w:sz="4" w:space="0" w:color="808080"/>
              <w:bottom w:val="single" w:sz="4" w:space="0" w:color="808080"/>
              <w:right w:val="single" w:sz="4" w:space="0" w:color="808080"/>
            </w:tcBorders>
            <w:hideMark/>
          </w:tcPr>
          <w:p w14:paraId="33CFEE2F"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22.0</w:t>
            </w:r>
          </w:p>
        </w:tc>
      </w:tr>
      <w:tr w:rsidR="00D936CA" w:rsidRPr="0067736F" w14:paraId="33CFEE35" w14:textId="77777777" w:rsidTr="00B61B63">
        <w:trPr>
          <w:jc w:val="center"/>
        </w:trPr>
        <w:tc>
          <w:tcPr>
            <w:tcW w:w="807" w:type="dxa"/>
            <w:tcBorders>
              <w:top w:val="single" w:sz="4" w:space="0" w:color="808080"/>
              <w:left w:val="single" w:sz="4" w:space="0" w:color="808080"/>
              <w:bottom w:val="single" w:sz="4" w:space="0" w:color="808080"/>
              <w:right w:val="single" w:sz="4" w:space="0" w:color="808080"/>
            </w:tcBorders>
            <w:hideMark/>
          </w:tcPr>
          <w:p w14:paraId="33CFEE31"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100.00</w:t>
            </w:r>
          </w:p>
        </w:tc>
        <w:tc>
          <w:tcPr>
            <w:tcW w:w="1795" w:type="dxa"/>
            <w:tcBorders>
              <w:top w:val="single" w:sz="4" w:space="0" w:color="808080"/>
              <w:left w:val="single" w:sz="4" w:space="0" w:color="808080"/>
              <w:bottom w:val="single" w:sz="4" w:space="0" w:color="808080"/>
              <w:right w:val="single" w:sz="4" w:space="0" w:color="808080"/>
            </w:tcBorders>
            <w:hideMark/>
          </w:tcPr>
          <w:p w14:paraId="33CFEE32"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w:t>
            </w:r>
          </w:p>
        </w:tc>
        <w:tc>
          <w:tcPr>
            <w:tcW w:w="1796" w:type="dxa"/>
            <w:tcBorders>
              <w:top w:val="single" w:sz="4" w:space="0" w:color="808080"/>
              <w:left w:val="single" w:sz="4" w:space="0" w:color="808080"/>
              <w:bottom w:val="single" w:sz="4" w:space="0" w:color="808080"/>
              <w:right w:val="single" w:sz="4" w:space="0" w:color="808080"/>
            </w:tcBorders>
            <w:hideMark/>
          </w:tcPr>
          <w:p w14:paraId="33CFEE33"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28.0</w:t>
            </w:r>
          </w:p>
        </w:tc>
        <w:tc>
          <w:tcPr>
            <w:tcW w:w="2093" w:type="dxa"/>
            <w:tcBorders>
              <w:top w:val="single" w:sz="4" w:space="0" w:color="808080"/>
              <w:left w:val="single" w:sz="4" w:space="0" w:color="808080"/>
              <w:bottom w:val="single" w:sz="4" w:space="0" w:color="808080"/>
              <w:right w:val="single" w:sz="4" w:space="0" w:color="808080"/>
            </w:tcBorders>
            <w:hideMark/>
          </w:tcPr>
          <w:p w14:paraId="33CFEE34" w14:textId="77777777" w:rsidR="00A845FB" w:rsidRPr="0067736F" w:rsidRDefault="00A845FB" w:rsidP="00D936CA">
            <w:pPr>
              <w:spacing w:before="60" w:after="60" w:line="276" w:lineRule="auto"/>
              <w:jc w:val="center"/>
              <w:rPr>
                <w:rFonts w:ascii="ITC Avant Garde" w:hAnsi="ITC Avant Garde"/>
                <w:sz w:val="20"/>
                <w:szCs w:val="20"/>
              </w:rPr>
            </w:pPr>
            <w:r w:rsidRPr="0067736F">
              <w:rPr>
                <w:rFonts w:ascii="ITC Avant Garde" w:hAnsi="ITC Avant Garde"/>
                <w:sz w:val="20"/>
                <w:szCs w:val="20"/>
              </w:rPr>
              <w:t>18.0</w:t>
            </w:r>
          </w:p>
        </w:tc>
      </w:tr>
    </w:tbl>
    <w:p w14:paraId="33CFEE36" w14:textId="77777777" w:rsidR="00A845FB" w:rsidRPr="00D936CA" w:rsidRDefault="00972D5E" w:rsidP="00D936CA">
      <w:pPr>
        <w:spacing w:before="120" w:after="200" w:line="276" w:lineRule="auto"/>
        <w:jc w:val="center"/>
        <w:rPr>
          <w:rFonts w:ascii="ITC Avant Garde" w:hAnsi="ITC Avant Garde"/>
          <w:sz w:val="16"/>
          <w:szCs w:val="18"/>
        </w:rPr>
      </w:pPr>
      <w:r w:rsidRPr="00D936CA">
        <w:rPr>
          <w:rFonts w:ascii="ITC Avant Garde" w:hAnsi="ITC Avant Garde"/>
          <w:sz w:val="16"/>
          <w:szCs w:val="18"/>
        </w:rPr>
        <w:t>Tabla 16.</w:t>
      </w:r>
      <w:r w:rsidR="00A845FB" w:rsidRPr="00D936CA">
        <w:rPr>
          <w:rFonts w:ascii="ITC Avant Garde" w:hAnsi="ITC Avant Garde"/>
          <w:sz w:val="16"/>
          <w:szCs w:val="18"/>
        </w:rPr>
        <w:t xml:space="preserve"> Características de transmisión de Cableado Multipar</w:t>
      </w:r>
    </w:p>
    <w:p w14:paraId="33CFEE37" w14:textId="7FB62075" w:rsidR="00A845FB" w:rsidRPr="00D936CA" w:rsidRDefault="00A845FB" w:rsidP="00060B2E">
      <w:pPr>
        <w:pStyle w:val="IFTnormal"/>
        <w:ind w:left="-567" w:right="-142"/>
      </w:pPr>
      <w:r w:rsidRPr="00D936CA">
        <w:t>Para la entrega del circuito y habilitación del SDTBL, Telmex realizará el puente entre las tablillas verticales y tablillas horizontales. El puente consiste en la conexión entre la tablilla vertical donde se conecta el par procedente del usuario final y la tablilla horizontal donde se remata el cableado multipar que va a al espacio para coubicació</w:t>
      </w:r>
      <w:r w:rsidR="00B25CFB">
        <w:t>n</w:t>
      </w:r>
      <w:r w:rsidRPr="00D936CA">
        <w:t>. Al momento del puente Telmex y el CS se deberán coordinar para identificar los pares a conectar en el puente y el CS pueda identificar en el cableado multipar a qué par corresponde el circuito entregado.</w:t>
      </w:r>
    </w:p>
    <w:p w14:paraId="33CFEE38" w14:textId="77777777" w:rsidR="00A845FB" w:rsidRPr="00D936CA" w:rsidRDefault="00A845FB" w:rsidP="00060B2E">
      <w:pPr>
        <w:pStyle w:val="IFTnormal"/>
        <w:ind w:left="-567" w:right="-142"/>
      </w:pPr>
      <w:r w:rsidRPr="00D936CA">
        <w:t>Las actividades que Telmex realizará en el SDTBL para la entrega y eficiente prestación del servicio consisten en:</w:t>
      </w:r>
    </w:p>
    <w:p w14:paraId="33CFEE39" w14:textId="77777777" w:rsidR="00A845FB" w:rsidRPr="00D936CA" w:rsidRDefault="00A845FB" w:rsidP="00D936CA">
      <w:pPr>
        <w:pStyle w:val="IFTnormal"/>
        <w:numPr>
          <w:ilvl w:val="0"/>
          <w:numId w:val="94"/>
        </w:numPr>
      </w:pPr>
      <w:r w:rsidRPr="00D936CA">
        <w:t xml:space="preserve">Puenteo entre las tablillas verticales y tablillas horizontales. </w:t>
      </w:r>
    </w:p>
    <w:p w14:paraId="33CFEE3A" w14:textId="77777777" w:rsidR="00A845FB" w:rsidRPr="00D936CA" w:rsidRDefault="00A845FB" w:rsidP="00D936CA">
      <w:pPr>
        <w:pStyle w:val="IFTnormal"/>
        <w:numPr>
          <w:ilvl w:val="0"/>
          <w:numId w:val="94"/>
        </w:numPr>
      </w:pPr>
      <w:r w:rsidRPr="00D936CA">
        <w:t>Instalación del PCT en el domicilio del usuario, en el caso de que el Bucle Local correspondiente al par de cobre no disponga de PCT.</w:t>
      </w:r>
    </w:p>
    <w:p w14:paraId="33CFEE3B" w14:textId="77777777" w:rsidR="00A845FB" w:rsidRPr="00D936CA" w:rsidRDefault="00A845FB" w:rsidP="00060B2E">
      <w:pPr>
        <w:pStyle w:val="IFTnormal"/>
        <w:ind w:left="-567" w:right="-142"/>
        <w:rPr>
          <w:b/>
        </w:rPr>
      </w:pPr>
      <w:r w:rsidRPr="00D936CA">
        <w:rPr>
          <w:b/>
        </w:rPr>
        <w:t>Responsabilidad de Telmex y recursos asociados al SDTBL y Cableado Multipar</w:t>
      </w:r>
    </w:p>
    <w:p w14:paraId="33CFEE3C" w14:textId="77777777" w:rsidR="00A845FB" w:rsidRPr="00D936CA" w:rsidRDefault="00A845FB" w:rsidP="00060B2E">
      <w:pPr>
        <w:pStyle w:val="IFTnormal"/>
        <w:ind w:left="-567" w:right="-142"/>
      </w:pPr>
      <w:r w:rsidRPr="00D936CA">
        <w:t xml:space="preserve">Telmex será responsable del mantenimiento del SDTBL desde el PCT hasta las conexiones de entrega en el espacio para la colocación de equipos y dispositivos del CS conforme a lo establecido en el numeral 7 (Servicio de Coubicación para Desagregación del Bucle) de la presente oferta, en su caso, punto de presencia (incluye el puente entre la tablilla horizontal y la tablilla vertical donde se conecta el par procedente del usuario final y el cableado multipar que va a la coubicación del CS). </w:t>
      </w:r>
    </w:p>
    <w:p w14:paraId="33CFEE3D" w14:textId="33582E62" w:rsidR="00A845FB" w:rsidRPr="00D936CA" w:rsidRDefault="00A845FB" w:rsidP="00060B2E">
      <w:pPr>
        <w:pStyle w:val="IFTnormal"/>
        <w:ind w:left="-567" w:right="-142"/>
      </w:pPr>
      <w:r w:rsidRPr="00D936CA">
        <w:lastRenderedPageBreak/>
        <w:t>El tipo de mantenimiento a realizar estará en función del segmento del Bucle Local y hasta el punto de entrega del circuito identificado con daño. Por otra parte</w:t>
      </w:r>
      <w:r w:rsidR="003B4F23">
        <w:t>,</w:t>
      </w:r>
      <w:r w:rsidRPr="00D936CA">
        <w:t xml:space="preserve"> las actividades primordiales a seguir son: </w:t>
      </w:r>
    </w:p>
    <w:p w14:paraId="33CFEE3E" w14:textId="77777777" w:rsidR="00A845FB" w:rsidRPr="00D936CA" w:rsidRDefault="00A845FB" w:rsidP="00D936CA">
      <w:pPr>
        <w:pStyle w:val="IFTnormal"/>
        <w:numPr>
          <w:ilvl w:val="0"/>
          <w:numId w:val="95"/>
        </w:numPr>
      </w:pPr>
      <w:r w:rsidRPr="00D936CA">
        <w:t>Ubicación del daño</w:t>
      </w:r>
    </w:p>
    <w:p w14:paraId="33CFEE3F" w14:textId="77777777" w:rsidR="00A845FB" w:rsidRPr="00D936CA" w:rsidRDefault="00A845FB" w:rsidP="00D936CA">
      <w:pPr>
        <w:pStyle w:val="IFTnormal"/>
        <w:numPr>
          <w:ilvl w:val="0"/>
          <w:numId w:val="95"/>
        </w:numPr>
      </w:pPr>
      <w:r w:rsidRPr="00D936CA">
        <w:t xml:space="preserve">Cuando el daño se localiza en el Bucle Local: </w:t>
      </w:r>
    </w:p>
    <w:p w14:paraId="33CFEE40" w14:textId="77777777" w:rsidR="00A845FB" w:rsidRPr="00D936CA" w:rsidRDefault="00A845FB" w:rsidP="00D936CA">
      <w:pPr>
        <w:pStyle w:val="IFTnormal"/>
        <w:numPr>
          <w:ilvl w:val="1"/>
          <w:numId w:val="96"/>
        </w:numPr>
      </w:pPr>
      <w:r w:rsidRPr="00D936CA">
        <w:t>Identificación de un par de cobre libre en buen estado eléctrico y físico</w:t>
      </w:r>
    </w:p>
    <w:p w14:paraId="33CFEE41" w14:textId="77777777" w:rsidR="00A845FB" w:rsidRPr="00D936CA" w:rsidRDefault="00A845FB" w:rsidP="00D936CA">
      <w:pPr>
        <w:pStyle w:val="IFTnormal"/>
        <w:numPr>
          <w:ilvl w:val="1"/>
          <w:numId w:val="96"/>
        </w:numPr>
      </w:pPr>
      <w:r w:rsidRPr="00D936CA">
        <w:t>Reasignación del SDTBL al par libre en buen estado eléctrico y físico y se notifica al CS la nueva posición de la tablilla.</w:t>
      </w:r>
    </w:p>
    <w:p w14:paraId="33CFEE42" w14:textId="77777777" w:rsidR="00A845FB" w:rsidRPr="00D936CA" w:rsidRDefault="00A845FB" w:rsidP="00D936CA">
      <w:pPr>
        <w:pStyle w:val="IFTnormal"/>
        <w:numPr>
          <w:ilvl w:val="1"/>
          <w:numId w:val="96"/>
        </w:numPr>
      </w:pPr>
      <w:r w:rsidRPr="00D936CA">
        <w:t xml:space="preserve">Cuando no exista un par libre en buen estado eléctrico y físico, Telmex procederá con la localización del daño eléctrico y/o físico para su reparación </w:t>
      </w:r>
    </w:p>
    <w:p w14:paraId="33CFEE43" w14:textId="77777777" w:rsidR="00A845FB" w:rsidRPr="00D936CA" w:rsidRDefault="00A845FB" w:rsidP="00D936CA">
      <w:pPr>
        <w:pStyle w:val="IFTnormal"/>
        <w:numPr>
          <w:ilvl w:val="0"/>
          <w:numId w:val="95"/>
        </w:numPr>
      </w:pPr>
      <w:r w:rsidRPr="00D936CA">
        <w:t>Cuando el daño se localice en el puente entre la tablilla horizontal y la tablilla vertical del DG de Telmex, será sustituido</w:t>
      </w:r>
    </w:p>
    <w:p w14:paraId="33CFEE44" w14:textId="6C5ADF5F" w:rsidR="00A845FB" w:rsidRPr="00D936CA" w:rsidRDefault="00A845FB" w:rsidP="00D936CA">
      <w:pPr>
        <w:pStyle w:val="IFTnormal"/>
        <w:numPr>
          <w:ilvl w:val="0"/>
          <w:numId w:val="95"/>
        </w:numPr>
      </w:pPr>
      <w:r w:rsidRPr="00D936CA">
        <w:t xml:space="preserve">Cuando el daño se localice en el cableado multipar que va del Distribuidor General de Telmex y </w:t>
      </w:r>
      <w:r w:rsidR="00C3362E" w:rsidRPr="00D936CA">
        <w:t>el espacio para la colocación de infraestructura</w:t>
      </w:r>
      <w:r w:rsidRPr="00D936CA">
        <w:t xml:space="preserve"> del CS, será sustituido.</w:t>
      </w:r>
    </w:p>
    <w:p w14:paraId="33CFEE45" w14:textId="77777777" w:rsidR="00A845FB" w:rsidRPr="00D936CA" w:rsidRDefault="00A845FB" w:rsidP="00D936CA">
      <w:pPr>
        <w:pStyle w:val="IFTnormal"/>
        <w:numPr>
          <w:ilvl w:val="0"/>
          <w:numId w:val="95"/>
        </w:numPr>
      </w:pPr>
      <w:r w:rsidRPr="00D936CA">
        <w:t>Cuando el daño se localice en las tablillas verticales u horizontales del Distribuidor General se reparará el daño.</w:t>
      </w:r>
    </w:p>
    <w:p w14:paraId="33CFEE46" w14:textId="77777777" w:rsidR="00A845FB" w:rsidRPr="00D936CA" w:rsidRDefault="00A845FB" w:rsidP="00D936CA">
      <w:pPr>
        <w:pStyle w:val="IFTnormal"/>
        <w:numPr>
          <w:ilvl w:val="0"/>
          <w:numId w:val="95"/>
        </w:numPr>
      </w:pPr>
      <w:r w:rsidRPr="00D936CA">
        <w:t>Cuando el daño se localice en el par procedente del usuario final, el elemento dañado será sustituido.</w:t>
      </w:r>
    </w:p>
    <w:p w14:paraId="33CFEE48" w14:textId="77777777" w:rsidR="00530A32" w:rsidRPr="00D936CA" w:rsidRDefault="00011A1B" w:rsidP="00D936CA">
      <w:pPr>
        <w:pStyle w:val="Prrafodelista"/>
        <w:numPr>
          <w:ilvl w:val="2"/>
          <w:numId w:val="143"/>
        </w:numPr>
        <w:tabs>
          <w:tab w:val="left" w:pos="993"/>
        </w:tabs>
        <w:ind w:left="851" w:hanging="425"/>
        <w:outlineLvl w:val="2"/>
        <w:rPr>
          <w:rFonts w:ascii="ITC Avant Garde" w:hAnsi="ITC Avant Garde"/>
          <w:b/>
          <w:sz w:val="22"/>
        </w:rPr>
      </w:pPr>
      <w:bookmarkStart w:id="539" w:name="_Toc436840907"/>
      <w:bookmarkStart w:id="540" w:name="_Toc436846344"/>
      <w:bookmarkStart w:id="541" w:name="_Toc436848294"/>
      <w:bookmarkStart w:id="542" w:name="_Toc436856542"/>
      <w:bookmarkStart w:id="543" w:name="_Toc436862688"/>
      <w:bookmarkStart w:id="544" w:name="_Toc436866338"/>
      <w:bookmarkStart w:id="545" w:name="_Toc436870917"/>
      <w:bookmarkStart w:id="546" w:name="_Toc436875909"/>
      <w:bookmarkStart w:id="547" w:name="_Toc467248733"/>
      <w:bookmarkStart w:id="548" w:name="_Toc518032019"/>
      <w:r w:rsidRPr="00D936CA">
        <w:rPr>
          <w:rFonts w:ascii="ITC Avant Garde" w:hAnsi="ITC Avant Garde"/>
          <w:b/>
          <w:sz w:val="22"/>
        </w:rPr>
        <w:t>Servicio de Desagregación Compartida del Bucle Local.</w:t>
      </w:r>
      <w:bookmarkEnd w:id="539"/>
      <w:bookmarkEnd w:id="540"/>
      <w:bookmarkEnd w:id="541"/>
      <w:bookmarkEnd w:id="542"/>
      <w:bookmarkEnd w:id="543"/>
      <w:bookmarkEnd w:id="544"/>
      <w:bookmarkEnd w:id="545"/>
      <w:bookmarkEnd w:id="546"/>
      <w:bookmarkEnd w:id="547"/>
      <w:bookmarkEnd w:id="548"/>
    </w:p>
    <w:p w14:paraId="0CD0DD00" w14:textId="77777777" w:rsidR="002E156F" w:rsidRPr="00D936CA" w:rsidRDefault="002E156F" w:rsidP="00060B2E">
      <w:pPr>
        <w:pStyle w:val="IFTnormal"/>
        <w:ind w:left="-567" w:right="-142"/>
      </w:pPr>
    </w:p>
    <w:p w14:paraId="33CFEE49" w14:textId="0A78F6B8" w:rsidR="000E485B" w:rsidRPr="00D936CA" w:rsidRDefault="000E485B" w:rsidP="00060B2E">
      <w:pPr>
        <w:pStyle w:val="IFTnormal"/>
        <w:ind w:left="-567" w:right="-142"/>
      </w:pPr>
      <w:r w:rsidRPr="00D936CA">
        <w:t xml:space="preserve">En el SDCBL Telmex provee el Bucle Local al CS, de tal manera que este último pueda hacer uso de la capacidad de transmisión parcial, entregando Telmex el circuito </w:t>
      </w:r>
      <w:r w:rsidRPr="00D936CA">
        <w:rPr>
          <w:lang w:val="es-ES"/>
        </w:rPr>
        <w:t xml:space="preserve">en el </w:t>
      </w:r>
      <w:r w:rsidRPr="00D936CA">
        <w:t xml:space="preserve">espacio para </w:t>
      </w:r>
      <w:r w:rsidR="00582300" w:rsidRPr="00D936CA">
        <w:t>coubicación</w:t>
      </w:r>
      <w:r w:rsidRPr="00D936CA">
        <w:t xml:space="preserve"> del CS.</w:t>
      </w:r>
      <w:r w:rsidRPr="00D936CA">
        <w:rPr>
          <w:lang w:val="es-ES"/>
        </w:rPr>
        <w:t xml:space="preserve"> </w:t>
      </w:r>
      <w:r w:rsidRPr="00D936CA">
        <w:t xml:space="preserve">El CS podrá acceder al Bucle Local de cobre en toda su trayectoria física y podrá disponer de la banda alta de frecuencias del bucle, con el fin de brindar servicios de datos a través del mismo cable multipar de la red principal y de la red secundaria a la que pertenece el bucle desagregado. </w:t>
      </w:r>
    </w:p>
    <w:p w14:paraId="33CFEE4A" w14:textId="77777777" w:rsidR="000E485B" w:rsidRPr="00D936CA" w:rsidRDefault="000E485B" w:rsidP="00060B2E">
      <w:pPr>
        <w:pStyle w:val="IFTnormal"/>
        <w:ind w:left="-567" w:right="-142"/>
      </w:pPr>
      <w:r w:rsidRPr="00D936CA">
        <w:t>El SDCBL consiste en compartir el Bucle Local entre Telmex y el CS; Telmex mantiene la gestión de la banda baja de frecuencias, y el CS proporciona el servicio de datos en la banda de frecuencias alta, siempre que no interfiera con los servicios que Telmex u otro Concesionario proporcionan a través del mismo cable multipar de la red principal y de la red secundaria de acuerdo con el PGE.</w:t>
      </w:r>
    </w:p>
    <w:p w14:paraId="33CFEE4B" w14:textId="77777777" w:rsidR="000E485B" w:rsidRPr="00D936CA" w:rsidRDefault="000E485B" w:rsidP="00060B2E">
      <w:pPr>
        <w:pStyle w:val="IFTnormal"/>
        <w:ind w:left="-567" w:right="-142"/>
      </w:pPr>
      <w:r w:rsidRPr="00D936CA">
        <w:lastRenderedPageBreak/>
        <w:t xml:space="preserve">Para poder acceder a un cliente vía esta modalidad de desagregación son necesarios dos servicios: el servicio en la sección de acceso (SDCBL) y la sección de entrega del circuito hasta </w:t>
      </w:r>
      <w:r w:rsidRPr="00D936CA">
        <w:rPr>
          <w:lang w:val="es-ES"/>
        </w:rPr>
        <w:t xml:space="preserve">el </w:t>
      </w:r>
      <w:r w:rsidRPr="00D936CA">
        <w:t xml:space="preserve">espacio para cubicación del CS (Servicio de cableado multipar). El SDCBL comprende la conexión desde el PCT ubicado en el domicilio del usuario, la acometida, caja terminal, red secundaria, red principal y remate del par de cobre en la tablilla vertical del Distribuidor General ubicado en la Central Telefónica o Instalación Equivalente de Telmex. La sección de entrega del circuito hasta </w:t>
      </w:r>
      <w:r w:rsidRPr="00D936CA">
        <w:rPr>
          <w:lang w:val="es-ES"/>
        </w:rPr>
        <w:t xml:space="preserve">el </w:t>
      </w:r>
      <w:r w:rsidRPr="00D936CA">
        <w:t xml:space="preserve">espacio para coubicación del CS (servicio de cableado multipar) comprende el puente entre la tablilla vertical y la tablilla horizontal con separación de bandas y </w:t>
      </w:r>
      <w:r w:rsidRPr="00D936CA">
        <w:rPr>
          <w:lang w:val="es-ES"/>
        </w:rPr>
        <w:t xml:space="preserve">el cableado multipar </w:t>
      </w:r>
      <w:r w:rsidRPr="00D936CA">
        <w:t xml:space="preserve">instalado entre la tablilla horizontal con separador de bandas del DG de Telmex y </w:t>
      </w:r>
      <w:r w:rsidRPr="00D936CA">
        <w:rPr>
          <w:lang w:val="es-ES"/>
        </w:rPr>
        <w:t xml:space="preserve">el </w:t>
      </w:r>
      <w:r w:rsidRPr="00D936CA">
        <w:t>espacio coubicación del CS, cuando sea necesario la instalación de escalerillas y los elementos necesarios para el tendido del cableado multipar.</w:t>
      </w:r>
    </w:p>
    <w:p w14:paraId="33CFEE4C" w14:textId="77777777" w:rsidR="000E485B" w:rsidRPr="00D936CA" w:rsidRDefault="000E485B" w:rsidP="00060B2E">
      <w:pPr>
        <w:pStyle w:val="IFTnormal"/>
        <w:ind w:left="-567" w:right="-142"/>
        <w:rPr>
          <w:lang w:val="es-ES"/>
        </w:rPr>
      </w:pPr>
      <w:r w:rsidRPr="00D936CA">
        <w:t>La siguiente figura muestra e</w:t>
      </w:r>
      <w:r w:rsidRPr="00D936CA">
        <w:rPr>
          <w:lang w:val="es-ES"/>
        </w:rPr>
        <w:t xml:space="preserve">l esquema del SDCBL y Servicio de Cableado multipar. </w:t>
      </w:r>
    </w:p>
    <w:p w14:paraId="33CFEE4D" w14:textId="77777777" w:rsidR="000E485B" w:rsidRPr="00D936CA" w:rsidRDefault="000E485B" w:rsidP="00060B2E">
      <w:pPr>
        <w:pStyle w:val="Texto1"/>
        <w:spacing w:line="360" w:lineRule="auto"/>
        <w:ind w:left="-567" w:right="-142"/>
        <w:contextualSpacing/>
        <w:jc w:val="center"/>
        <w:rPr>
          <w:rFonts w:ascii="ITC Avant Garde" w:hAnsi="ITC Avant Garde"/>
          <w:sz w:val="20"/>
          <w:szCs w:val="20"/>
        </w:rPr>
      </w:pPr>
      <w:r w:rsidRPr="00D936CA">
        <w:rPr>
          <w:rFonts w:ascii="ITC Avant Garde" w:hAnsi="ITC Avant Garde"/>
          <w:noProof/>
          <w:sz w:val="20"/>
          <w:szCs w:val="20"/>
          <w:lang w:val="es-MX" w:eastAsia="es-MX"/>
        </w:rPr>
        <w:drawing>
          <wp:inline distT="0" distB="0" distL="0" distR="0" wp14:anchorId="33CFF2C6" wp14:editId="33CFF2C7">
            <wp:extent cx="5001080" cy="25517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06704" cy="2554649"/>
                    </a:xfrm>
                    <a:prstGeom prst="rect">
                      <a:avLst/>
                    </a:prstGeom>
                    <a:noFill/>
                  </pic:spPr>
                </pic:pic>
              </a:graphicData>
            </a:graphic>
          </wp:inline>
        </w:drawing>
      </w:r>
    </w:p>
    <w:p w14:paraId="33CFEE4E" w14:textId="77777777" w:rsidR="000E485B" w:rsidRPr="00D936CA" w:rsidRDefault="000E485B" w:rsidP="00060B2E">
      <w:pPr>
        <w:pStyle w:val="IFTnormal"/>
        <w:ind w:left="-567" w:right="-142"/>
        <w:jc w:val="center"/>
        <w:rPr>
          <w:sz w:val="18"/>
          <w:szCs w:val="18"/>
        </w:rPr>
      </w:pPr>
      <w:r w:rsidRPr="00D936CA">
        <w:rPr>
          <w:sz w:val="18"/>
          <w:szCs w:val="18"/>
        </w:rPr>
        <w:t>Servicio de Desagregación Compartida del Bucle y Servicio de Cableado Multipar</w:t>
      </w:r>
    </w:p>
    <w:p w14:paraId="33CFEE4F" w14:textId="3D01A734" w:rsidR="000E485B" w:rsidRPr="00D936CA" w:rsidRDefault="000E485B" w:rsidP="00060B2E">
      <w:pPr>
        <w:pStyle w:val="IFTnormal"/>
        <w:ind w:left="-567" w:right="-142"/>
      </w:pPr>
      <w:r w:rsidRPr="00D936CA">
        <w:t>Telmex instalará divisores (splitters) en las tablillas del DG que corresponden a la sección de entrega del circuito, para separar el servicio de voz del servicio de datos. Las frecuencias de la banda alta serán entregadas al CS para que éste provea servicios de telecomunicaciones al usuario final, no obstante</w:t>
      </w:r>
      <w:r w:rsidR="00A01168">
        <w:t>,</w:t>
      </w:r>
      <w:r w:rsidRPr="00D936CA">
        <w:t xml:space="preserve"> el servicio de telefonía será gestionado por Telmex, ya sea que Telmex provea el servicio o la línea sea contratada en </w:t>
      </w:r>
      <w:r w:rsidR="001E6506">
        <w:t>SRL</w:t>
      </w:r>
      <w:r w:rsidRPr="00D936CA">
        <w:t>. En este servicio, el CS deberá proporcionar la instalación de los divisores de banda de frecuencias (microfiltro) en el domicilio del usuario, cuando el PCT no incluya splitters.</w:t>
      </w:r>
    </w:p>
    <w:p w14:paraId="33CFEE50" w14:textId="3846E6F2" w:rsidR="000E485B" w:rsidRPr="00D936CA" w:rsidRDefault="000E485B" w:rsidP="00060B2E">
      <w:pPr>
        <w:pStyle w:val="IFTnormal"/>
        <w:ind w:left="-567" w:right="-142"/>
      </w:pPr>
      <w:r w:rsidRPr="00D936CA">
        <w:t xml:space="preserve">Para que el servicio de SDTBL se lleve a cabo de forma efectiva es necesario que </w:t>
      </w:r>
      <w:r w:rsidR="00BC1C13" w:rsidRPr="00D936CA">
        <w:t>antes de</w:t>
      </w:r>
      <w:r w:rsidRPr="00D936CA">
        <w:t xml:space="preserve"> que Telmex entregue el circuito al CS, se deba contar con los siguientes elementos:</w:t>
      </w:r>
    </w:p>
    <w:p w14:paraId="33CFEE51" w14:textId="77777777" w:rsidR="000E485B" w:rsidRPr="00D936CA" w:rsidRDefault="000E485B" w:rsidP="00D936CA">
      <w:pPr>
        <w:pStyle w:val="IFTnormal"/>
        <w:numPr>
          <w:ilvl w:val="0"/>
          <w:numId w:val="97"/>
        </w:numPr>
      </w:pPr>
      <w:r w:rsidRPr="00D936CA">
        <w:t xml:space="preserve">Un espacio para coubicación donde el CS coloque su infraestructura de tal forma que Telmex pueda hacer la entrega del circuito de la Central o </w:t>
      </w:r>
      <w:r w:rsidRPr="00D936CA">
        <w:lastRenderedPageBreak/>
        <w:t xml:space="preserve">Instalación Equivalente a la cual pertenece el bucle a desagregar, conforme a lo establecido en la sección “Servicio de Coubicación para Desagregación del Bucle” de la presente oferta. </w:t>
      </w:r>
    </w:p>
    <w:p w14:paraId="33CFEE52" w14:textId="77777777" w:rsidR="000E485B" w:rsidRPr="00D936CA" w:rsidRDefault="000E485B" w:rsidP="00D936CA">
      <w:pPr>
        <w:pStyle w:val="IFTnormal"/>
        <w:numPr>
          <w:ilvl w:val="0"/>
          <w:numId w:val="97"/>
        </w:numPr>
      </w:pPr>
      <w:r w:rsidRPr="00D936CA">
        <w:t>Cableado multipar entre la tablilla horizontal instalada por Telmex en el DG de Telmex y el espacio para coubicación el CS donde ubique su infraestructura en la Central o Instalación Equivalente a la cual pertenece el bucle a desagregar.</w:t>
      </w:r>
    </w:p>
    <w:p w14:paraId="33CFEE53" w14:textId="77777777" w:rsidR="000E485B" w:rsidRPr="00D936CA" w:rsidRDefault="000E485B" w:rsidP="00D936CA">
      <w:pPr>
        <w:pStyle w:val="IFTnormal"/>
        <w:numPr>
          <w:ilvl w:val="0"/>
          <w:numId w:val="97"/>
        </w:numPr>
      </w:pPr>
      <w:r w:rsidRPr="00D936CA">
        <w:t>El CS contar con la infraestructura necesaria para recibir el bucle desagregado.</w:t>
      </w:r>
    </w:p>
    <w:p w14:paraId="33CFEE54" w14:textId="77777777" w:rsidR="000E485B" w:rsidRPr="00D936CA" w:rsidRDefault="000E485B" w:rsidP="00060B2E">
      <w:pPr>
        <w:pStyle w:val="IFTnormal"/>
        <w:ind w:left="-567" w:right="-142"/>
      </w:pPr>
      <w:r w:rsidRPr="00D936CA">
        <w:t xml:space="preserve">A solicitud del CS, Telmex instalará el cableado multipar correspondiente a la sección de entrega del circuito, el cual comprende la instalación de tablilla horizontal con separador de bandas en el DG de Telmex,  tendido de cable multipar (en caso necesario escalerillas y los elementos requeridos para el tendido del cableado multipar) entre la tablilla horizontal instalada en el Distribuidor General de Telmex y el espacio para coubicación de equipos y dispositivos del CS, necesarios para acceder a los servicios de desagregación, dejándose en punta el cableado y entregando Telmex la identificación de las posiciones de los pares en la tablilla. Para el etiquetado de la identificación del cableado multipar se llevará a cabo conforme a lo establecido en el Anexo G3 Guía para el etiquetado de cable multipar Instalado dentro de un edificio TELMEX. </w:t>
      </w:r>
    </w:p>
    <w:p w14:paraId="33CFEE55" w14:textId="77777777" w:rsidR="000E485B" w:rsidRPr="00D936CA" w:rsidRDefault="000E485B" w:rsidP="00060B2E">
      <w:pPr>
        <w:pStyle w:val="IFTnormal"/>
        <w:ind w:left="-567" w:right="-142"/>
      </w:pPr>
      <w:r w:rsidRPr="00D936CA">
        <w:t>La solicitud de cableado multipar se llevará a cabo conforme al procedimiento de contratación, modificación y baja del cableado multipar y se pagarán las contraprestaciones correspondientes.</w:t>
      </w:r>
    </w:p>
    <w:p w14:paraId="33CFEE56" w14:textId="77777777" w:rsidR="000E485B" w:rsidRPr="00D936CA" w:rsidRDefault="000E485B" w:rsidP="00060B2E">
      <w:pPr>
        <w:pStyle w:val="IFTnormal"/>
        <w:ind w:left="-567" w:right="-142"/>
      </w:pPr>
      <w:r w:rsidRPr="00D936CA">
        <w:t>En caso de que se requiera tendido de cable multipar correspondiente a la sección de entrega del circuito, para una Ubicación Distante, se prestará en términos de la Oferta de Compartición de Infraestructura, el CS deberá enviar junto con su solicitud el NIS-Referencia correspondiente al servicio de tendido de cable y el Acta de Entrega de Servicio obtenida a través de los procedimientos establecidos.</w:t>
      </w:r>
    </w:p>
    <w:p w14:paraId="33CFEE57" w14:textId="77777777" w:rsidR="000E485B" w:rsidRPr="00D936CA" w:rsidRDefault="000E485B" w:rsidP="00060B2E">
      <w:pPr>
        <w:pStyle w:val="IFTnormal"/>
        <w:ind w:left="-567" w:right="-142"/>
      </w:pPr>
      <w:r w:rsidRPr="00D936CA">
        <w:t>Las especificaciones técnicas del cable a suministrar son las mismas descritas para el SDTBL.</w:t>
      </w:r>
    </w:p>
    <w:p w14:paraId="33CFEE58" w14:textId="77777777" w:rsidR="000E485B" w:rsidRPr="00D936CA" w:rsidRDefault="000E485B" w:rsidP="00060B2E">
      <w:pPr>
        <w:pStyle w:val="IFTnormal"/>
        <w:ind w:left="-567" w:right="-142"/>
        <w:rPr>
          <w:lang w:val="es-ES"/>
        </w:rPr>
      </w:pPr>
      <w:r w:rsidRPr="00D936CA">
        <w:rPr>
          <w:lang w:val="es-ES"/>
        </w:rPr>
        <w:t>Para la entrega del circuito y habilitación del SDCBL, Telmex realizará el puente entre la tablilla vertical y la tablilla horizontal con separación de bandas. El puente consiste en la conexión entre la tablilla vertical donde se conecta el par procedente del usuario final y la tablilla horizontal con separador de bandas donde se remata el cableado multipar que va al espacio para coubicación del CS. Al momento del puente Telmex y el CS se deberán coordinar para identificar los pares a conectar en el puente y el CS pueda identificar en el cableado multipar a que par corresponde el circuito entregado.</w:t>
      </w:r>
    </w:p>
    <w:p w14:paraId="33CFEE59" w14:textId="77777777" w:rsidR="000E485B" w:rsidRPr="00D936CA" w:rsidRDefault="000E485B" w:rsidP="00060B2E">
      <w:pPr>
        <w:pStyle w:val="IFTnormal"/>
        <w:ind w:left="-567" w:right="-142"/>
        <w:rPr>
          <w:rFonts w:cs="Times New Roman"/>
        </w:rPr>
      </w:pPr>
      <w:r w:rsidRPr="00D936CA">
        <w:t>Las actividades que Telmex realizará en este servicio de desagregación consisten en:</w:t>
      </w:r>
    </w:p>
    <w:p w14:paraId="33CFEE5A" w14:textId="77777777" w:rsidR="000E485B" w:rsidRPr="00D936CA" w:rsidRDefault="000E485B" w:rsidP="00D936CA">
      <w:pPr>
        <w:pStyle w:val="IFTnormal"/>
        <w:numPr>
          <w:ilvl w:val="0"/>
          <w:numId w:val="98"/>
        </w:numPr>
      </w:pPr>
      <w:r w:rsidRPr="00D936CA">
        <w:t>Puenteo entre las tablillas verticales y tablillas horizontales.</w:t>
      </w:r>
    </w:p>
    <w:p w14:paraId="33CFEE5B" w14:textId="77777777" w:rsidR="000E485B" w:rsidRPr="00D936CA" w:rsidRDefault="000E485B" w:rsidP="00D936CA">
      <w:pPr>
        <w:pStyle w:val="IFTnormal"/>
        <w:numPr>
          <w:ilvl w:val="0"/>
          <w:numId w:val="98"/>
        </w:numPr>
      </w:pPr>
      <w:r w:rsidRPr="00D936CA">
        <w:lastRenderedPageBreak/>
        <w:t>Instalación del PCT en el domicilio del usuario, en el caso de que el Bucle Local correspondiente al par de cobre no disponga de PCT.</w:t>
      </w:r>
    </w:p>
    <w:p w14:paraId="33CFEE5C" w14:textId="77777777" w:rsidR="000E485B" w:rsidRPr="00D936CA" w:rsidRDefault="000E485B" w:rsidP="00060B2E">
      <w:pPr>
        <w:pStyle w:val="IFTnormal"/>
        <w:ind w:left="-567" w:right="-142"/>
        <w:rPr>
          <w:b/>
          <w:i/>
        </w:rPr>
      </w:pPr>
      <w:r w:rsidRPr="00D936CA">
        <w:rPr>
          <w:b/>
        </w:rPr>
        <w:t>Responsabilidad de Telmex y recursos asociados al SDCBL</w:t>
      </w:r>
    </w:p>
    <w:p w14:paraId="33CFEE5D" w14:textId="77777777" w:rsidR="000E485B" w:rsidRPr="00D936CA" w:rsidRDefault="000E485B" w:rsidP="00060B2E">
      <w:pPr>
        <w:pStyle w:val="IFTnormal"/>
        <w:ind w:left="-567" w:right="-142"/>
        <w:rPr>
          <w:lang w:val="es-ES"/>
        </w:rPr>
      </w:pPr>
      <w:r w:rsidRPr="00D936CA">
        <w:t xml:space="preserve">Telmex es responsable de proveer el Bucle Local al CS, del mantenimiento desde el PCT hasta </w:t>
      </w:r>
      <w:r w:rsidRPr="00D936CA">
        <w:rPr>
          <w:lang w:val="es-ES"/>
        </w:rPr>
        <w:t xml:space="preserve">el </w:t>
      </w:r>
      <w:r w:rsidRPr="00D936CA">
        <w:t>espacio para coubicación del CS (incluye los puentes entre la tablilla horizontal, divisores de frecuencia, tablilla vertical donde se conecta el par procedente del usuario final y el cableado multipar)</w:t>
      </w:r>
      <w:r w:rsidRPr="00D936CA">
        <w:rPr>
          <w:lang w:val="es-ES"/>
        </w:rPr>
        <w:t xml:space="preserve">. </w:t>
      </w:r>
    </w:p>
    <w:p w14:paraId="33CFEE5E" w14:textId="1052D1A7" w:rsidR="000E485B" w:rsidRPr="00D936CA" w:rsidRDefault="000E485B" w:rsidP="00060B2E">
      <w:pPr>
        <w:pStyle w:val="IFTnormal"/>
        <w:ind w:left="-567" w:right="-142"/>
        <w:rPr>
          <w:rFonts w:cs="Times New Roman"/>
        </w:rPr>
      </w:pPr>
      <w:r w:rsidRPr="00D936CA">
        <w:t xml:space="preserve">El tipo de mantenimiento a realizar estará en función al segmento del Bucle Local </w:t>
      </w:r>
      <w:r w:rsidRPr="00D936CA">
        <w:rPr>
          <w:lang w:val="es-ES"/>
        </w:rPr>
        <w:t xml:space="preserve">y hasta el punto de entrega del circuito en el </w:t>
      </w:r>
      <w:r w:rsidRPr="00D936CA">
        <w:t>espacio para la colocación de infraestructura del CS identificado con daño. Por otra parte</w:t>
      </w:r>
      <w:r w:rsidR="00A94617">
        <w:t>,</w:t>
      </w:r>
      <w:r w:rsidRPr="00D936CA">
        <w:t xml:space="preserve"> las actividades primordiales a seguir son:</w:t>
      </w:r>
    </w:p>
    <w:p w14:paraId="33CFEE5F" w14:textId="77777777" w:rsidR="000E485B" w:rsidRPr="00D936CA" w:rsidRDefault="000E485B" w:rsidP="00D936CA">
      <w:pPr>
        <w:pStyle w:val="IFTnormal"/>
        <w:numPr>
          <w:ilvl w:val="0"/>
          <w:numId w:val="99"/>
        </w:numPr>
      </w:pPr>
      <w:r w:rsidRPr="00D936CA">
        <w:t>Ubicación del daño</w:t>
      </w:r>
    </w:p>
    <w:p w14:paraId="33CFEE60" w14:textId="77777777" w:rsidR="000E485B" w:rsidRPr="00D936CA" w:rsidRDefault="000E485B" w:rsidP="00D936CA">
      <w:pPr>
        <w:pStyle w:val="IFTnormal"/>
        <w:numPr>
          <w:ilvl w:val="0"/>
          <w:numId w:val="99"/>
        </w:numPr>
      </w:pPr>
      <w:r w:rsidRPr="00D936CA">
        <w:t xml:space="preserve">Cuando el daño se localiza en el Bucle Local: </w:t>
      </w:r>
    </w:p>
    <w:p w14:paraId="33CFEE61" w14:textId="77777777" w:rsidR="000E485B" w:rsidRPr="00D936CA" w:rsidRDefault="000E485B" w:rsidP="00D936CA">
      <w:pPr>
        <w:pStyle w:val="IFTnormal"/>
        <w:numPr>
          <w:ilvl w:val="1"/>
          <w:numId w:val="100"/>
        </w:numPr>
      </w:pPr>
      <w:r w:rsidRPr="00D936CA">
        <w:t>Identificación de un par libre en buen estado eléctrico y físico</w:t>
      </w:r>
    </w:p>
    <w:p w14:paraId="33CFEE62" w14:textId="77777777" w:rsidR="000E485B" w:rsidRPr="00D936CA" w:rsidRDefault="000E485B" w:rsidP="00D936CA">
      <w:pPr>
        <w:pStyle w:val="IFTnormal"/>
        <w:numPr>
          <w:ilvl w:val="1"/>
          <w:numId w:val="100"/>
        </w:numPr>
      </w:pPr>
      <w:r w:rsidRPr="00D936CA">
        <w:t>Reasignación del SDCBL al par libre en buen estado eléctrico y físico y se notifica al CS la nueva posición de la tablilla.</w:t>
      </w:r>
    </w:p>
    <w:p w14:paraId="33CFEE63" w14:textId="77777777" w:rsidR="000E485B" w:rsidRPr="00D936CA" w:rsidRDefault="000E485B" w:rsidP="00D936CA">
      <w:pPr>
        <w:pStyle w:val="IFTnormal"/>
        <w:numPr>
          <w:ilvl w:val="1"/>
          <w:numId w:val="100"/>
        </w:numPr>
      </w:pPr>
      <w:r w:rsidRPr="00D936CA">
        <w:t xml:space="preserve">Cuando no exista un par libre en buen estado eléctrico y físico, Telmex procederá con la localización del daño eléctrico y/o físico para su reparación </w:t>
      </w:r>
    </w:p>
    <w:p w14:paraId="33CFEE64" w14:textId="77777777" w:rsidR="000E485B" w:rsidRPr="00D936CA" w:rsidRDefault="000E485B" w:rsidP="00D936CA">
      <w:pPr>
        <w:pStyle w:val="IFTnormal"/>
        <w:numPr>
          <w:ilvl w:val="0"/>
          <w:numId w:val="99"/>
        </w:numPr>
      </w:pPr>
      <w:r w:rsidRPr="00D936CA">
        <w:t>Cuando el daño se localice en el puente entre la tablilla horizontal y la tablilla vertical del DG de Telmex, será sustituido.</w:t>
      </w:r>
    </w:p>
    <w:p w14:paraId="33CFEE65" w14:textId="77777777" w:rsidR="00803455" w:rsidRPr="00D936CA" w:rsidRDefault="000E485B" w:rsidP="00D936CA">
      <w:pPr>
        <w:pStyle w:val="IFTnormal"/>
        <w:numPr>
          <w:ilvl w:val="0"/>
          <w:numId w:val="99"/>
        </w:numPr>
        <w:rPr>
          <w:lang w:val="es-ES_tradnl"/>
        </w:rPr>
      </w:pPr>
      <w:r w:rsidRPr="00D936CA">
        <w:t>Cuando el daño se localice en el cableado multipar que va del Distribuidor General de Telmex y el espacio para la colocación de infraestructura del CS, será sustituido.</w:t>
      </w:r>
      <w:r w:rsidR="00803455" w:rsidRPr="00D936CA">
        <w:rPr>
          <w:bCs w:val="0"/>
          <w:szCs w:val="18"/>
          <w:lang w:val="es-ES_tradnl"/>
        </w:rPr>
        <w:t xml:space="preserve"> </w:t>
      </w:r>
    </w:p>
    <w:p w14:paraId="33CFEE66" w14:textId="77777777" w:rsidR="000E485B" w:rsidRPr="00D936CA" w:rsidRDefault="00803455" w:rsidP="00D936CA">
      <w:pPr>
        <w:pStyle w:val="IFTnormal"/>
        <w:numPr>
          <w:ilvl w:val="0"/>
          <w:numId w:val="99"/>
        </w:numPr>
        <w:rPr>
          <w:lang w:val="es-ES_tradnl"/>
        </w:rPr>
      </w:pPr>
      <w:r w:rsidRPr="00D936CA">
        <w:rPr>
          <w:lang w:val="es-ES_tradnl"/>
        </w:rPr>
        <w:t>Cuando el daño se localice en las tablillas verticales u horizontales del Distribuidor General o en el separador de frecuencias se reparará el daño.</w:t>
      </w:r>
    </w:p>
    <w:p w14:paraId="33CFEE68" w14:textId="55D88310" w:rsidR="0002411B" w:rsidRDefault="000E485B" w:rsidP="00D936CA">
      <w:pPr>
        <w:pStyle w:val="IFTnormal"/>
        <w:numPr>
          <w:ilvl w:val="0"/>
          <w:numId w:val="99"/>
        </w:numPr>
      </w:pPr>
      <w:r w:rsidRPr="00D936CA">
        <w:t>Cuando el daño se localice en el par procedente del usuario final, el elemento dañado será sustituido.</w:t>
      </w:r>
    </w:p>
    <w:p w14:paraId="6E28F166" w14:textId="77777777" w:rsidR="0067736F" w:rsidRPr="00D936CA" w:rsidRDefault="0067736F" w:rsidP="0067736F">
      <w:pPr>
        <w:pStyle w:val="IFTnormal"/>
        <w:ind w:left="360"/>
      </w:pPr>
    </w:p>
    <w:p w14:paraId="33CFEE79" w14:textId="77777777" w:rsidR="00530A32" w:rsidRPr="00D936CA" w:rsidRDefault="00011A1B" w:rsidP="00D936CA">
      <w:pPr>
        <w:pStyle w:val="Ttulo2"/>
        <w:numPr>
          <w:ilvl w:val="1"/>
          <w:numId w:val="143"/>
        </w:numPr>
        <w:ind w:left="851" w:hanging="425"/>
      </w:pPr>
      <w:bookmarkStart w:id="549" w:name="_Toc436840908"/>
      <w:bookmarkStart w:id="550" w:name="_Toc436846345"/>
      <w:bookmarkStart w:id="551" w:name="_Toc436848295"/>
      <w:bookmarkStart w:id="552" w:name="_Toc436856543"/>
      <w:bookmarkStart w:id="553" w:name="_Toc436862689"/>
      <w:bookmarkStart w:id="554" w:name="_Toc436866339"/>
      <w:bookmarkStart w:id="555" w:name="_Toc436870918"/>
      <w:bookmarkStart w:id="556" w:name="_Toc436875910"/>
      <w:bookmarkStart w:id="557" w:name="_Toc467248735"/>
      <w:bookmarkStart w:id="558" w:name="_Toc518032020"/>
      <w:r w:rsidRPr="00D936CA">
        <w:t>Servicio de Desagregación Total del Sub Bucle Local y Servicio de Desagregación Compartida del Sub-Bucle Local.</w:t>
      </w:r>
      <w:bookmarkEnd w:id="549"/>
      <w:bookmarkEnd w:id="550"/>
      <w:bookmarkEnd w:id="551"/>
      <w:bookmarkEnd w:id="552"/>
      <w:bookmarkEnd w:id="553"/>
      <w:bookmarkEnd w:id="554"/>
      <w:bookmarkEnd w:id="555"/>
      <w:bookmarkEnd w:id="556"/>
      <w:bookmarkEnd w:id="557"/>
      <w:bookmarkEnd w:id="558"/>
    </w:p>
    <w:p w14:paraId="33CFEE7A" w14:textId="77777777" w:rsidR="00530A32" w:rsidRPr="00D936CA" w:rsidRDefault="00011A1B" w:rsidP="00D936CA">
      <w:pPr>
        <w:pStyle w:val="Prrafodelista"/>
        <w:numPr>
          <w:ilvl w:val="2"/>
          <w:numId w:val="143"/>
        </w:numPr>
        <w:tabs>
          <w:tab w:val="left" w:pos="993"/>
        </w:tabs>
        <w:ind w:left="851" w:hanging="425"/>
        <w:outlineLvl w:val="2"/>
        <w:rPr>
          <w:rFonts w:ascii="ITC Avant Garde" w:hAnsi="ITC Avant Garde"/>
          <w:b/>
          <w:sz w:val="22"/>
        </w:rPr>
      </w:pPr>
      <w:bookmarkStart w:id="559" w:name="_Toc436840909"/>
      <w:bookmarkStart w:id="560" w:name="_Toc436846346"/>
      <w:bookmarkStart w:id="561" w:name="_Toc436848296"/>
      <w:bookmarkStart w:id="562" w:name="_Toc436856544"/>
      <w:bookmarkStart w:id="563" w:name="_Toc436862690"/>
      <w:bookmarkStart w:id="564" w:name="_Toc436866340"/>
      <w:bookmarkStart w:id="565" w:name="_Toc436870919"/>
      <w:bookmarkStart w:id="566" w:name="_Toc436875911"/>
      <w:bookmarkStart w:id="567" w:name="_Toc467248736"/>
      <w:bookmarkStart w:id="568" w:name="_Toc518032021"/>
      <w:r w:rsidRPr="00D936CA">
        <w:rPr>
          <w:rFonts w:ascii="ITC Avant Garde" w:hAnsi="ITC Avant Garde"/>
          <w:b/>
          <w:sz w:val="22"/>
        </w:rPr>
        <w:t>Servicio de Desagregación Total del Sub Bucle Local.</w:t>
      </w:r>
      <w:bookmarkEnd w:id="559"/>
      <w:bookmarkEnd w:id="560"/>
      <w:bookmarkEnd w:id="561"/>
      <w:bookmarkEnd w:id="562"/>
      <w:bookmarkEnd w:id="563"/>
      <w:bookmarkEnd w:id="564"/>
      <w:bookmarkEnd w:id="565"/>
      <w:bookmarkEnd w:id="566"/>
      <w:bookmarkEnd w:id="567"/>
      <w:bookmarkEnd w:id="568"/>
    </w:p>
    <w:p w14:paraId="33CFEE7B" w14:textId="77777777" w:rsidR="00793745" w:rsidRPr="00D936CA" w:rsidRDefault="00793745" w:rsidP="00060B2E">
      <w:pPr>
        <w:ind w:left="-567" w:right="-142"/>
      </w:pPr>
    </w:p>
    <w:p w14:paraId="33CFEE7C" w14:textId="77777777" w:rsidR="008D60D8" w:rsidRPr="00D936CA" w:rsidRDefault="008D60D8" w:rsidP="00060B2E">
      <w:pPr>
        <w:pStyle w:val="IFTnormal"/>
        <w:ind w:left="-567" w:right="-142"/>
      </w:pPr>
      <w:r w:rsidRPr="00D936CA">
        <w:lastRenderedPageBreak/>
        <w:t>En el SDTSBL Telmex provee el Sub-bucle Local al CS, de tal manera que el CS puede hacer uso de la capacidad de transmisión completa, entregando Telmex el circuito en un punto técnicamente factible entre el domicilio del usuario final y la central telefónica o instalación equivalente.</w:t>
      </w:r>
      <w:r w:rsidRPr="00D936CA" w:rsidDel="00F76118">
        <w:t xml:space="preserve"> </w:t>
      </w:r>
      <w:r w:rsidRPr="00D936CA">
        <w:t xml:space="preserve">El CS podrá acceder al Sub-bucle Local y podrá disponer de toda la banda de frecuencias del bucle, con el fin de brindar servicios de datos a través del mismo cable multipar de la red secundaria a la que pertenece el bucle desagregado. </w:t>
      </w:r>
    </w:p>
    <w:p w14:paraId="33CFEE7D" w14:textId="77777777" w:rsidR="008D60D8" w:rsidRPr="00D936CA" w:rsidRDefault="008D60D8" w:rsidP="00060B2E">
      <w:pPr>
        <w:pStyle w:val="IFTnormal"/>
        <w:ind w:left="-567" w:right="-142"/>
      </w:pPr>
      <w:r w:rsidRPr="00D936CA">
        <w:t>Para poder acceder a un cliente vía esta modalidad de desagregación son necesarios dos servicios: servicio de acceso (SDTSBL) y la sección de entrega del circuito (Servicio de Anexo de caja de Distribución). El SDTSBL comprende la conexión desde el PCT ubicado en el domicilio del usuario, la acometida, caja terminal, red secundaria y remate del par de cobre en la tablilla de la CD ubicado en un punto técnicamente factible entre el domicilio del usuario y la Central Telefónica o Instalación Equivalente. La sección de entrega del circuito comprende el Anexo de Caja de Distribución, puente entre la tablilla de la CD y la tablilla del Anexo de Caja de Distribución, el cableado multipar instalado entre la tablilla del Anexo de Caja de Distribución y el pozo del CS donde será entregado el circuito, así como la canalización y los elementos necesario para el tendido del cableado multipar.</w:t>
      </w:r>
    </w:p>
    <w:p w14:paraId="33CFEE7E" w14:textId="77777777" w:rsidR="008D60D8" w:rsidRPr="00D936CA" w:rsidRDefault="008D60D8" w:rsidP="00060B2E">
      <w:pPr>
        <w:pStyle w:val="IFTnormal"/>
        <w:ind w:left="-567" w:right="-142"/>
      </w:pPr>
      <w:r w:rsidRPr="00D936CA">
        <w:t>La siguiente figura muestra el esquema del servicio de SDTSBL y Servicio de Anexo de Caja de Distribución.</w:t>
      </w:r>
    </w:p>
    <w:p w14:paraId="33CFEE7F" w14:textId="77777777" w:rsidR="008D60D8" w:rsidRPr="00D936CA" w:rsidRDefault="008D60D8" w:rsidP="00060B2E">
      <w:pPr>
        <w:spacing w:after="200" w:line="276" w:lineRule="auto"/>
        <w:ind w:left="-567" w:right="-142"/>
        <w:jc w:val="center"/>
        <w:rPr>
          <w:rFonts w:ascii="ITC Avant Garde" w:hAnsi="ITC Avant Garde"/>
        </w:rPr>
      </w:pPr>
      <w:r w:rsidRPr="00D936CA">
        <w:rPr>
          <w:rFonts w:ascii="ITC Avant Garde" w:hAnsi="ITC Avant Garde"/>
          <w:noProof/>
          <w:lang w:val="es-MX" w:eastAsia="es-MX"/>
        </w:rPr>
        <w:drawing>
          <wp:inline distT="0" distB="0" distL="0" distR="0" wp14:anchorId="33CFF2CA" wp14:editId="33CFF2CB">
            <wp:extent cx="4843481" cy="27522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1073" cy="2756582"/>
                    </a:xfrm>
                    <a:prstGeom prst="rect">
                      <a:avLst/>
                    </a:prstGeom>
                    <a:noFill/>
                  </pic:spPr>
                </pic:pic>
              </a:graphicData>
            </a:graphic>
          </wp:inline>
        </w:drawing>
      </w:r>
    </w:p>
    <w:p w14:paraId="33CFEE80" w14:textId="77777777" w:rsidR="008D60D8" w:rsidRPr="00D936CA" w:rsidRDefault="008D60D8" w:rsidP="00060B2E">
      <w:pPr>
        <w:pStyle w:val="CitaIFT"/>
        <w:ind w:left="-567" w:right="-142"/>
        <w:rPr>
          <w:i w:val="0"/>
          <w:color w:val="auto"/>
          <w:sz w:val="16"/>
        </w:rPr>
      </w:pPr>
      <w:r w:rsidRPr="00D936CA">
        <w:rPr>
          <w:i w:val="0"/>
          <w:color w:val="auto"/>
          <w:sz w:val="16"/>
        </w:rPr>
        <w:t>Servicio de Desagregación Total del Sub-bucle Local y Servicio de Anexo de Caja de Distribución</w:t>
      </w:r>
    </w:p>
    <w:p w14:paraId="33CFEE81" w14:textId="724556D2" w:rsidR="008D60D8" w:rsidRPr="00D936CA" w:rsidRDefault="008D60D8" w:rsidP="00060B2E">
      <w:pPr>
        <w:pStyle w:val="IFTnormal"/>
        <w:ind w:left="-567" w:right="-142"/>
      </w:pPr>
      <w:r w:rsidRPr="00D936CA">
        <w:t>Para que el SDTSBL se lleve a cabo de forma efectiva es necesario que previ</w:t>
      </w:r>
      <w:r w:rsidR="00854094" w:rsidRPr="00D936CA">
        <w:t>amente</w:t>
      </w:r>
      <w:r w:rsidRPr="00D936CA">
        <w:t xml:space="preserve"> a que Telmex entregue el circuito al CS, se deba contar con los siguientes elementos:</w:t>
      </w:r>
    </w:p>
    <w:p w14:paraId="33CFEE83" w14:textId="243FD164" w:rsidR="00D55585" w:rsidRPr="00D936CA" w:rsidRDefault="00D55585" w:rsidP="00D936CA">
      <w:pPr>
        <w:pStyle w:val="IFTnormal"/>
        <w:numPr>
          <w:ilvl w:val="0"/>
          <w:numId w:val="108"/>
        </w:numPr>
      </w:pPr>
      <w:r w:rsidRPr="00D936CA">
        <w:t xml:space="preserve">Acceso a Anexo de Caja de Distribución; </w:t>
      </w:r>
    </w:p>
    <w:p w14:paraId="33CFEE84" w14:textId="785F4ABF" w:rsidR="00D55585" w:rsidRPr="00D936CA" w:rsidRDefault="00D55585" w:rsidP="00D936CA">
      <w:pPr>
        <w:pStyle w:val="IFTnormal"/>
        <w:numPr>
          <w:ilvl w:val="0"/>
          <w:numId w:val="108"/>
        </w:numPr>
      </w:pPr>
      <w:r w:rsidRPr="00D936CA">
        <w:lastRenderedPageBreak/>
        <w:t>Cableado multipar entre la tablilla del Anexo de Caja de Distribución y el pozo</w:t>
      </w:r>
      <w:r w:rsidR="00545FB8" w:rsidRPr="00D936CA">
        <w:t xml:space="preserve"> del CS o multiconcesionario, mismo que podrá ser utilizado por distintos Concesionarios</w:t>
      </w:r>
      <w:r w:rsidRPr="00D936CA">
        <w:t xml:space="preserve">. </w:t>
      </w:r>
    </w:p>
    <w:p w14:paraId="33CFEE85" w14:textId="77777777" w:rsidR="00D55585" w:rsidRPr="00D936CA" w:rsidRDefault="00D55585" w:rsidP="00D936CA">
      <w:pPr>
        <w:pStyle w:val="IFTnormal"/>
        <w:numPr>
          <w:ilvl w:val="0"/>
          <w:numId w:val="108"/>
        </w:numPr>
      </w:pPr>
      <w:r w:rsidRPr="00D936CA">
        <w:t>El CS deberá contar con los equipos necesarios para recibir el bucle desagregado.</w:t>
      </w:r>
    </w:p>
    <w:p w14:paraId="33CFEE86" w14:textId="77777777" w:rsidR="008D60D8" w:rsidRPr="00D936CA" w:rsidRDefault="008D60D8" w:rsidP="00060B2E">
      <w:pPr>
        <w:pStyle w:val="IFTnormal"/>
        <w:ind w:left="-567" w:right="-142"/>
      </w:pPr>
      <w:r w:rsidRPr="00D936CA">
        <w:t>A solicitud del CS, Telmex instalará el Anexo de Caja de Distribución correspondiente a la sección de entrega del circuito. La instalación consiste en la instalación de Anexo de Caja de distribución, acometida hasta el pozo multiconcesionario e Instalación de cable multipar desde la tablilla del Anexo de Caja de Distribución hasta el cierre de empalme en el pozo del CS o multiconcesionario, así como la canalización y elementos necesarios para el tendido de cableado multipar. Telmex entregará al CS la identificación de las posiciones de los pares en la tablilla.</w:t>
      </w:r>
    </w:p>
    <w:p w14:paraId="33CFEE87" w14:textId="77777777" w:rsidR="008D60D8" w:rsidRPr="00D936CA" w:rsidRDefault="008D60D8" w:rsidP="00060B2E">
      <w:pPr>
        <w:pStyle w:val="IFTnormal"/>
        <w:ind w:left="-567" w:right="-142"/>
      </w:pPr>
      <w:r w:rsidRPr="00D936CA">
        <w:t>En caso de que el pozo multiconcesionario sea construido por Telmex, la propiedad del mismo se determinará por acuerdo de los CS involucrados.</w:t>
      </w:r>
      <w:r w:rsidRPr="00D936CA" w:rsidDel="00CB7FE7">
        <w:t xml:space="preserve"> </w:t>
      </w:r>
    </w:p>
    <w:p w14:paraId="33CFEE88" w14:textId="77777777" w:rsidR="008D60D8" w:rsidRPr="00D936CA" w:rsidRDefault="008D60D8" w:rsidP="00060B2E">
      <w:pPr>
        <w:pStyle w:val="IFTnormal"/>
        <w:ind w:left="-567" w:right="-142"/>
      </w:pPr>
      <w:r w:rsidRPr="00D936CA">
        <w:t xml:space="preserve">Por otro lado, la construcción de un pozo multiconcesionario podrá ser sustituirse por un pozo existente de Telmex, previo análisis de factibilidad vía la Oferta de Referencia para la Compartición de Infraestructura Pasiva. </w:t>
      </w:r>
    </w:p>
    <w:p w14:paraId="33CFEE89" w14:textId="2AB55DE4" w:rsidR="008D60D8" w:rsidRPr="00D936CA" w:rsidRDefault="008D60D8" w:rsidP="00060B2E">
      <w:pPr>
        <w:pStyle w:val="IFTnormal"/>
        <w:ind w:left="-567" w:right="-142"/>
      </w:pPr>
      <w:r w:rsidRPr="00D936CA">
        <w:t>Cuando sea necesari</w:t>
      </w:r>
      <w:r w:rsidR="00D41624">
        <w:t>a</w:t>
      </w:r>
      <w:r w:rsidRPr="00D936CA">
        <w:t xml:space="preserve"> la instalación de Anexo de Caja de Distribución correspondiente a la sección de entrega del circuito, Telmex notificará al resto de los CS con los que se tengan convenios firmados a través del SEG con el objetivo de que todos los involucrados se coordinen y definan dónde construirán el pozo en el que Telmex entregará la acometida del cableado multipar correspondiente a la sección de entrega del circuito y procedente de la tablilla del Anexo de Caja de Distribución para que se remate en el cierre de empalme del CS y sea técnicamente viable la desagregación en el Sub-bucle Local. El procedimiento para la colocación del Anexo de Caja de Distribución, el cual alojar</w:t>
      </w:r>
      <w:r w:rsidR="00842F16">
        <w:t>á</w:t>
      </w:r>
      <w:r w:rsidRPr="00D936CA">
        <w:t xml:space="preserve"> en su interior las tablillas de interconexión necesarias para llevar a cabo el puente entre las regletas o mufas de la Caja de Distribución Telmex y la red del Concesionario Solicitante se llevará a cabo conforme a lo establecido en el Anexo G4.</w:t>
      </w:r>
    </w:p>
    <w:p w14:paraId="33CFEE8A" w14:textId="77777777" w:rsidR="008D60D8" w:rsidRPr="00D936CA" w:rsidRDefault="008D60D8" w:rsidP="00060B2E">
      <w:pPr>
        <w:pStyle w:val="IFTnormal"/>
        <w:ind w:left="-567" w:right="-142"/>
      </w:pPr>
      <w:r w:rsidRPr="00D936CA">
        <w:t>El Anexo de Caja de Distribución será propiedad de Telmex, así como su administración, mantenimiento y la coordinación de las solicitudes de servicio de los CS.</w:t>
      </w:r>
    </w:p>
    <w:p w14:paraId="33CFEE8B" w14:textId="77777777" w:rsidR="008D60D8" w:rsidRPr="00D936CA" w:rsidRDefault="008D60D8" w:rsidP="00060B2E">
      <w:pPr>
        <w:pStyle w:val="IFTnormal"/>
        <w:ind w:left="-567" w:right="-142"/>
      </w:pPr>
      <w:r w:rsidRPr="00D936CA">
        <w:t>La instalación de Anexo de Caja de Distribución considera las siguientes actividades:</w:t>
      </w:r>
    </w:p>
    <w:p w14:paraId="33CFEE8C" w14:textId="77777777" w:rsidR="008D60D8" w:rsidRPr="00D936CA" w:rsidRDefault="008D60D8" w:rsidP="00D936CA">
      <w:pPr>
        <w:pStyle w:val="IFTnormal"/>
        <w:numPr>
          <w:ilvl w:val="0"/>
          <w:numId w:val="109"/>
        </w:numPr>
      </w:pPr>
      <w:r w:rsidRPr="00D936CA">
        <w:t>Construcción de Canalización de acometida desde Anexo de Caja de Distribución hasta el pozo del CS.</w:t>
      </w:r>
    </w:p>
    <w:p w14:paraId="33CFEE8D" w14:textId="77777777" w:rsidR="008D60D8" w:rsidRPr="00D936CA" w:rsidRDefault="008D60D8" w:rsidP="00D936CA">
      <w:pPr>
        <w:pStyle w:val="IFTnormal"/>
        <w:numPr>
          <w:ilvl w:val="0"/>
          <w:numId w:val="109"/>
        </w:numPr>
      </w:pPr>
      <w:r w:rsidRPr="00D936CA">
        <w:t>Construcción de base para Anexo de Caja de Distribución.</w:t>
      </w:r>
    </w:p>
    <w:p w14:paraId="33CFEE8E" w14:textId="77777777" w:rsidR="008D60D8" w:rsidRPr="00D936CA" w:rsidRDefault="008D60D8" w:rsidP="00D936CA">
      <w:pPr>
        <w:pStyle w:val="IFTnormal"/>
        <w:numPr>
          <w:ilvl w:val="0"/>
          <w:numId w:val="109"/>
        </w:numPr>
      </w:pPr>
      <w:r w:rsidRPr="00D936CA">
        <w:t>Instalación de Anexo de Caja de Distribución.</w:t>
      </w:r>
    </w:p>
    <w:p w14:paraId="33CFEE8F" w14:textId="77777777" w:rsidR="008D60D8" w:rsidRPr="00D936CA" w:rsidRDefault="008D60D8" w:rsidP="00D936CA">
      <w:pPr>
        <w:pStyle w:val="IFTnormal"/>
        <w:numPr>
          <w:ilvl w:val="0"/>
          <w:numId w:val="109"/>
        </w:numPr>
      </w:pPr>
      <w:r w:rsidRPr="00D936CA">
        <w:lastRenderedPageBreak/>
        <w:t>Instalación de cable multipar desde la tablilla del Anexo de Caja de Distribución hasta el cierre de empalme en el pozo multiconcesionario.</w:t>
      </w:r>
    </w:p>
    <w:p w14:paraId="33CFEE90" w14:textId="77777777" w:rsidR="008D60D8" w:rsidRPr="00D936CA" w:rsidRDefault="008D60D8" w:rsidP="00060B2E">
      <w:pPr>
        <w:pStyle w:val="IFTnormal"/>
        <w:ind w:left="-567" w:right="-142"/>
      </w:pPr>
      <w:r w:rsidRPr="00D936CA">
        <w:t>Para la entrega del circuito y habilitación del servicio SDTSBL, Telmex realizará el puente entre las tablillas de la CD y tablilla del Anexo de Caja de Distribución correspondientes a la sección de entrega del circuito. El puente consiste en la conexión entre la tablilla de la CD donde se conecta el par procedente del usuario fina y la tablilla del Anexo de Caja de Distribución donde se remata el cableado multipar que va al pozo del CS. Al momento del puente Telmex y el CS se deberán coordinar para identificar los pares a conectar en el puente y el CS pueda identificar en el cableado multipar a que par corresponde el circuito entregado.</w:t>
      </w:r>
    </w:p>
    <w:p w14:paraId="33CFEE91" w14:textId="77777777" w:rsidR="008D60D8" w:rsidRPr="00D936CA" w:rsidRDefault="008D60D8" w:rsidP="00060B2E">
      <w:pPr>
        <w:pStyle w:val="IFTnormal"/>
        <w:ind w:left="-567" w:right="-142"/>
        <w:rPr>
          <w:b/>
        </w:rPr>
      </w:pPr>
      <w:r w:rsidRPr="00D936CA">
        <w:rPr>
          <w:b/>
        </w:rPr>
        <w:t>Responsabilidad de Telmex y recursos asociados al SDTSBL</w:t>
      </w:r>
    </w:p>
    <w:p w14:paraId="33CFEE92" w14:textId="77777777" w:rsidR="008D60D8" w:rsidRPr="00D936CA" w:rsidRDefault="008D60D8" w:rsidP="00060B2E">
      <w:pPr>
        <w:pStyle w:val="IFTnormal"/>
        <w:ind w:left="-567" w:right="-142"/>
      </w:pPr>
      <w:r w:rsidRPr="00D936CA">
        <w:t>Telmex es responsable de proveer el Sub-bucle Local y de su mantenimiento desde el PCT hasta la tablilla del Anexo de Caja de Distribución y la acometida del cableado multipar entregado en el pozo de concesionario, desagregando únicamente el segmento de red secundaria del bucle de usuario final, sin llegar a la Central. El servicio será proporcionado desde un Anexo de Caja de Distribución ubicado en la vía pública, siempre y cuando se cuente con las facilidades requeridas, de no ser así, será justificado con base en lo establecido en esta OREDA en la sección 1.4.</w:t>
      </w:r>
    </w:p>
    <w:p w14:paraId="33CFEE93" w14:textId="42CB99DE" w:rsidR="008D60D8" w:rsidRPr="00D936CA" w:rsidRDefault="008D60D8" w:rsidP="00060B2E">
      <w:pPr>
        <w:pStyle w:val="IFTnormal"/>
        <w:ind w:left="-567" w:right="-142"/>
      </w:pPr>
      <w:r w:rsidRPr="00D936CA">
        <w:t>Cuando no se cuente con las facilidades requeridas se informar</w:t>
      </w:r>
      <w:r w:rsidR="00A94617">
        <w:t>án</w:t>
      </w:r>
      <w:r w:rsidRPr="00D936CA">
        <w:t xml:space="preserve"> y justificar</w:t>
      </w:r>
      <w:r w:rsidR="00A94617">
        <w:t>án</w:t>
      </w:r>
      <w:r w:rsidRPr="00D936CA">
        <w:t xml:space="preserve"> las razones por las cuales no es posible la colocación e instalación del Anexo de Caja de Distribución.</w:t>
      </w:r>
    </w:p>
    <w:p w14:paraId="33CFEE94" w14:textId="28925C6A" w:rsidR="008D60D8" w:rsidRPr="00D936CA" w:rsidRDefault="008D60D8" w:rsidP="00060B2E">
      <w:pPr>
        <w:pStyle w:val="IFTnormal"/>
        <w:ind w:left="-567" w:right="-142"/>
      </w:pPr>
      <w:r w:rsidRPr="00D936CA">
        <w:t>El tipo de mantenimiento a realizar estará en función al elemento del Sub-bucle Local identificado con daño. Por otra parte</w:t>
      </w:r>
      <w:r w:rsidR="00A94617">
        <w:t>,</w:t>
      </w:r>
      <w:r w:rsidRPr="00D936CA">
        <w:t xml:space="preserve"> las actividades primordiales a seguir son:</w:t>
      </w:r>
    </w:p>
    <w:p w14:paraId="33CFEE95" w14:textId="77777777" w:rsidR="008D60D8" w:rsidRPr="00D936CA" w:rsidRDefault="008D60D8" w:rsidP="00D936CA">
      <w:pPr>
        <w:pStyle w:val="IFTnormal"/>
        <w:numPr>
          <w:ilvl w:val="0"/>
          <w:numId w:val="110"/>
        </w:numPr>
      </w:pPr>
      <w:r w:rsidRPr="00D936CA">
        <w:t>Ubicación del daño.</w:t>
      </w:r>
    </w:p>
    <w:p w14:paraId="33CFEE96" w14:textId="77777777" w:rsidR="008D60D8" w:rsidRPr="00D936CA" w:rsidRDefault="008D60D8" w:rsidP="00D936CA">
      <w:pPr>
        <w:pStyle w:val="IFTnormal"/>
        <w:numPr>
          <w:ilvl w:val="0"/>
          <w:numId w:val="110"/>
        </w:numPr>
      </w:pPr>
      <w:r w:rsidRPr="00D936CA">
        <w:t>Cuando el daño se localice en el sub bucle local:</w:t>
      </w:r>
    </w:p>
    <w:p w14:paraId="33CFEE97" w14:textId="77777777" w:rsidR="008D60D8" w:rsidRPr="00D936CA" w:rsidRDefault="008D60D8" w:rsidP="00D936CA">
      <w:pPr>
        <w:pStyle w:val="IFTnormal"/>
        <w:numPr>
          <w:ilvl w:val="1"/>
          <w:numId w:val="111"/>
        </w:numPr>
      </w:pPr>
      <w:r w:rsidRPr="00D936CA">
        <w:t>Identificación de un par de cobre libre en buen estado eléctrico y físico.</w:t>
      </w:r>
    </w:p>
    <w:p w14:paraId="33CFEE98" w14:textId="77777777" w:rsidR="008D60D8" w:rsidRPr="00D936CA" w:rsidRDefault="008D60D8" w:rsidP="00D936CA">
      <w:pPr>
        <w:pStyle w:val="IFTnormal"/>
        <w:numPr>
          <w:ilvl w:val="1"/>
          <w:numId w:val="111"/>
        </w:numPr>
      </w:pPr>
      <w:r w:rsidRPr="00D936CA">
        <w:t xml:space="preserve">Reasignación del SDTSBL al par de cobre libre en buen estado eléctrico y físico </w:t>
      </w:r>
      <w:r w:rsidRPr="00D936CA">
        <w:rPr>
          <w:lang w:val="es-ES"/>
        </w:rPr>
        <w:t>y se notifica al CS la nueva posición de la tablilla</w:t>
      </w:r>
      <w:r w:rsidRPr="00D936CA">
        <w:t>.</w:t>
      </w:r>
    </w:p>
    <w:p w14:paraId="33CFEE99" w14:textId="77777777" w:rsidR="008D60D8" w:rsidRPr="00D936CA" w:rsidRDefault="008D60D8" w:rsidP="00D936CA">
      <w:pPr>
        <w:pStyle w:val="IFTnormal"/>
        <w:numPr>
          <w:ilvl w:val="1"/>
          <w:numId w:val="111"/>
        </w:numPr>
      </w:pPr>
      <w:r w:rsidRPr="00D936CA">
        <w:t>Cuando no exista un par de cobre libre en buen estado eléctrico y físico, Telmex procederá con la localización del daño eléctrico y/o físico para su reparación.</w:t>
      </w:r>
    </w:p>
    <w:p w14:paraId="33CFEE9A" w14:textId="77777777" w:rsidR="008D60D8" w:rsidRPr="00D936CA" w:rsidRDefault="008D60D8" w:rsidP="00D936CA">
      <w:pPr>
        <w:pStyle w:val="IFTnormal"/>
        <w:numPr>
          <w:ilvl w:val="0"/>
          <w:numId w:val="110"/>
        </w:numPr>
      </w:pPr>
      <w:r w:rsidRPr="00D936CA">
        <w:t>Cuando el daño se localice en el par procedente del usuario final, el elemento dañado será sustituido.</w:t>
      </w:r>
    </w:p>
    <w:p w14:paraId="33CFEE9B" w14:textId="77777777" w:rsidR="008D60D8" w:rsidRPr="00D936CA" w:rsidRDefault="008D60D8" w:rsidP="00D936CA">
      <w:pPr>
        <w:pStyle w:val="IFTnormal"/>
        <w:numPr>
          <w:ilvl w:val="0"/>
          <w:numId w:val="110"/>
        </w:numPr>
        <w:rPr>
          <w:lang w:val="es-ES"/>
        </w:rPr>
      </w:pPr>
      <w:r w:rsidRPr="00D936CA">
        <w:rPr>
          <w:lang w:val="es-ES"/>
        </w:rPr>
        <w:t xml:space="preserve">Cuando el daño se localice en el cableado multipar que va del Anexo de la </w:t>
      </w:r>
      <w:r w:rsidRPr="00D936CA">
        <w:t>Caja de Distribución a el pozo del CS</w:t>
      </w:r>
      <w:r w:rsidRPr="00D936CA">
        <w:rPr>
          <w:lang w:val="es-ES"/>
        </w:rPr>
        <w:t>, será sustituido.</w:t>
      </w:r>
    </w:p>
    <w:p w14:paraId="33CFEE9C" w14:textId="77777777" w:rsidR="008D60D8" w:rsidRPr="00D936CA" w:rsidRDefault="008D60D8" w:rsidP="00060B2E">
      <w:pPr>
        <w:pStyle w:val="IFTnormal"/>
        <w:ind w:left="-567" w:right="-142"/>
      </w:pPr>
      <w:r w:rsidRPr="00D936CA">
        <w:lastRenderedPageBreak/>
        <w:t>Las especificaciones y los fundamentos técnicos de los elementos y materiales a utilizar en la provisión del Anexo de Caja de Distribución son indicadas en el Anexo G4.</w:t>
      </w:r>
    </w:p>
    <w:p w14:paraId="109D1B7B" w14:textId="5F8B7D10" w:rsidR="00FB3F76" w:rsidRPr="0067736F" w:rsidRDefault="00011A1B" w:rsidP="0067736F">
      <w:pPr>
        <w:pStyle w:val="Prrafodelista"/>
        <w:numPr>
          <w:ilvl w:val="2"/>
          <w:numId w:val="143"/>
        </w:numPr>
        <w:tabs>
          <w:tab w:val="left" w:pos="993"/>
        </w:tabs>
        <w:spacing w:after="240"/>
        <w:ind w:left="850" w:hanging="425"/>
        <w:outlineLvl w:val="2"/>
        <w:rPr>
          <w:rFonts w:ascii="ITC Avant Garde" w:hAnsi="ITC Avant Garde"/>
          <w:b/>
          <w:sz w:val="22"/>
        </w:rPr>
      </w:pPr>
      <w:bookmarkStart w:id="569" w:name="_Toc436840910"/>
      <w:bookmarkStart w:id="570" w:name="_Toc436846347"/>
      <w:bookmarkStart w:id="571" w:name="_Toc436848297"/>
      <w:bookmarkStart w:id="572" w:name="_Toc436856545"/>
      <w:bookmarkStart w:id="573" w:name="_Toc436862691"/>
      <w:bookmarkStart w:id="574" w:name="_Toc436866341"/>
      <w:bookmarkStart w:id="575" w:name="_Toc436870920"/>
      <w:bookmarkStart w:id="576" w:name="_Toc436875912"/>
      <w:bookmarkStart w:id="577" w:name="_Toc467248737"/>
      <w:bookmarkStart w:id="578" w:name="_Toc518032022"/>
      <w:r w:rsidRPr="00D936CA">
        <w:rPr>
          <w:rFonts w:ascii="ITC Avant Garde" w:hAnsi="ITC Avant Garde"/>
          <w:b/>
          <w:sz w:val="22"/>
        </w:rPr>
        <w:t>Servicio de Desagregación Compartida del Sub</w:t>
      </w:r>
      <w:r w:rsidR="00BE5163" w:rsidRPr="00D936CA">
        <w:rPr>
          <w:rFonts w:ascii="ITC Avant Garde" w:hAnsi="ITC Avant Garde"/>
          <w:b/>
          <w:sz w:val="22"/>
        </w:rPr>
        <w:t>-b</w:t>
      </w:r>
      <w:r w:rsidRPr="00D936CA">
        <w:rPr>
          <w:rFonts w:ascii="ITC Avant Garde" w:hAnsi="ITC Avant Garde"/>
          <w:b/>
          <w:sz w:val="22"/>
        </w:rPr>
        <w:t>ucle</w:t>
      </w:r>
      <w:r w:rsidR="00BE5163" w:rsidRPr="00D936CA">
        <w:rPr>
          <w:rFonts w:ascii="ITC Avant Garde" w:hAnsi="ITC Avant Garde"/>
          <w:b/>
          <w:sz w:val="22"/>
        </w:rPr>
        <w:t xml:space="preserve"> Local</w:t>
      </w:r>
      <w:r w:rsidRPr="00D936CA">
        <w:rPr>
          <w:rFonts w:ascii="ITC Avant Garde" w:hAnsi="ITC Avant Garde"/>
          <w:b/>
          <w:sz w:val="22"/>
        </w:rPr>
        <w:t>.</w:t>
      </w:r>
      <w:bookmarkEnd w:id="569"/>
      <w:bookmarkEnd w:id="570"/>
      <w:bookmarkEnd w:id="571"/>
      <w:bookmarkEnd w:id="572"/>
      <w:bookmarkEnd w:id="573"/>
      <w:bookmarkEnd w:id="574"/>
      <w:bookmarkEnd w:id="575"/>
      <w:bookmarkEnd w:id="576"/>
      <w:bookmarkEnd w:id="577"/>
      <w:bookmarkEnd w:id="578"/>
    </w:p>
    <w:p w14:paraId="33CFEE9E" w14:textId="77777777" w:rsidR="008D60D8" w:rsidRPr="00D936CA" w:rsidRDefault="008D60D8" w:rsidP="00060B2E">
      <w:pPr>
        <w:pStyle w:val="IFTnormal"/>
        <w:ind w:left="-567" w:right="-142"/>
      </w:pPr>
      <w:r w:rsidRPr="00D936CA">
        <w:t>En el SDCSBL Telmex provee el Sub-bucle Local al CS, de tal manera que este último pueda hacer uso de la capacidad de transmisión parcial, entregando Telmex el circuito en un punto técnicamente factible entre el domicilio del usuario final y la central telefónica o instalación equivalente.</w:t>
      </w:r>
      <w:r w:rsidRPr="00D936CA" w:rsidDel="00F76118">
        <w:t xml:space="preserve"> </w:t>
      </w:r>
      <w:r w:rsidRPr="00D936CA">
        <w:t xml:space="preserve">El CS podrá acceder al Sub-bucle Local y podrá disponer de la banda de frecuencias altas del bucle, con el fin de brindar servicios de datos a través del mismo cable multipar de la red secundaria a la que pertenece el bucle desagregado. </w:t>
      </w:r>
    </w:p>
    <w:p w14:paraId="33CFEE9F" w14:textId="77777777" w:rsidR="008D60D8" w:rsidRPr="00D936CA" w:rsidRDefault="008D60D8" w:rsidP="00060B2E">
      <w:pPr>
        <w:pStyle w:val="IFTnormal"/>
        <w:ind w:left="-567" w:right="-142"/>
      </w:pPr>
      <w:r w:rsidRPr="00D936CA">
        <w:t>El SDCSBL consiste en compartir el Sub-bucle Local entre Telmex y el CS; Telmex mantiene la gestión de la banda baja de frecuencias, y el CS proporciona el servicio de datos en la banda de frecuencias altas, siempre que no interfiera con los servicios que Telmex u otro Concesionario proporcionan a través del mismo cable multipar de la red secundaria de acuerdo con el PGE.</w:t>
      </w:r>
    </w:p>
    <w:p w14:paraId="33CFEEA0" w14:textId="77777777" w:rsidR="008D60D8" w:rsidRPr="00D936CA" w:rsidRDefault="008D60D8" w:rsidP="00060B2E">
      <w:pPr>
        <w:pStyle w:val="IFTnormal"/>
        <w:ind w:left="-567" w:right="-142"/>
      </w:pPr>
      <w:r w:rsidRPr="00D936CA">
        <w:t>Para poder acceder a un cliente vía esta modalidad de desagregación son necesarios dos servicios: servicio de acceso (SDCSBL) y la sección de entrega del circuito (Servicio de Anexo de Caja de Distribución). El SDCSBL comprende la conexión desde el PCT ubicado en el domicilio del usuario, la acometida, caja terminal, red secundaria y remate del par de cobre en la tablilla de la CD ubicado en un punto técnicamente factible entre el domicilio del usuario y la Central Telefónica o Instalación Equivalente. La sección de entrega del circuito que comprende el Anexo de Caja de Distribución, puente entre la tablilla de la CD y la tablilla con separación de bandas del Anexo de Caja de Distribución, el cableado multipar instalado entre la tablilla con separación de bandas del Anexo de Caja de Distribución y el pozo del CS donde será entregado el circuito, así como la canalización y los elementos necesario para el tendido del cableado multipar.</w:t>
      </w:r>
    </w:p>
    <w:p w14:paraId="33CFEEA1" w14:textId="77777777" w:rsidR="008D60D8" w:rsidRPr="00D936CA" w:rsidRDefault="008D60D8" w:rsidP="00060B2E">
      <w:pPr>
        <w:pStyle w:val="IFTnormal"/>
        <w:ind w:left="-567" w:right="-142"/>
      </w:pPr>
      <w:r w:rsidRPr="00D936CA">
        <w:t>La siguiente figura muestra el esquema del servicio de SDTSBL y Servicio de Anexo de Caja de Distribución.</w:t>
      </w:r>
    </w:p>
    <w:p w14:paraId="33CFEEA2" w14:textId="77777777" w:rsidR="008D60D8" w:rsidRPr="00D936CA" w:rsidRDefault="008D60D8" w:rsidP="00060B2E">
      <w:pPr>
        <w:spacing w:after="200" w:line="276" w:lineRule="auto"/>
        <w:ind w:left="-567" w:right="-142"/>
        <w:jc w:val="center"/>
        <w:rPr>
          <w:rFonts w:ascii="ITC Avant Garde" w:hAnsi="ITC Avant Garde"/>
        </w:rPr>
      </w:pPr>
      <w:r w:rsidRPr="00D936CA">
        <w:rPr>
          <w:rFonts w:ascii="ITC Avant Garde" w:hAnsi="ITC Avant Garde"/>
          <w:noProof/>
          <w:lang w:val="es-MX" w:eastAsia="es-MX"/>
        </w:rPr>
        <w:lastRenderedPageBreak/>
        <w:drawing>
          <wp:inline distT="0" distB="0" distL="0" distR="0" wp14:anchorId="33CFF2CC" wp14:editId="33CFF2CD">
            <wp:extent cx="4541556" cy="260427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56259" cy="2612703"/>
                    </a:xfrm>
                    <a:prstGeom prst="rect">
                      <a:avLst/>
                    </a:prstGeom>
                    <a:noFill/>
                  </pic:spPr>
                </pic:pic>
              </a:graphicData>
            </a:graphic>
          </wp:inline>
        </w:drawing>
      </w:r>
    </w:p>
    <w:p w14:paraId="33CFEEA3" w14:textId="77777777" w:rsidR="008D60D8" w:rsidRPr="00D936CA" w:rsidRDefault="008D60D8" w:rsidP="00060B2E">
      <w:pPr>
        <w:spacing w:before="120" w:after="200" w:line="276" w:lineRule="auto"/>
        <w:ind w:left="-567" w:right="-142"/>
        <w:jc w:val="center"/>
        <w:rPr>
          <w:rFonts w:ascii="ITC Avant Garde" w:hAnsi="ITC Avant Garde"/>
          <w:sz w:val="18"/>
          <w:szCs w:val="18"/>
        </w:rPr>
      </w:pPr>
      <w:r w:rsidRPr="00D936CA">
        <w:rPr>
          <w:rFonts w:ascii="ITC Avant Garde" w:hAnsi="ITC Avant Garde"/>
          <w:sz w:val="18"/>
          <w:szCs w:val="18"/>
        </w:rPr>
        <w:t>Servicio de Desagregación Compartida del Sub-bucle Local.</w:t>
      </w:r>
    </w:p>
    <w:p w14:paraId="33CFEEA4" w14:textId="0D9D1F7E" w:rsidR="008D60D8" w:rsidRPr="00D936CA" w:rsidRDefault="008D60D8" w:rsidP="00060B2E">
      <w:pPr>
        <w:pStyle w:val="IFTnormal"/>
        <w:ind w:left="-567" w:right="-142"/>
      </w:pPr>
      <w:r w:rsidRPr="00D936CA">
        <w:t>Telmex instalará divisores (splitters) en tablillas en el Anexo de Caja de Distribución, para separar el servicio de voz del servicio de datos que proporcionar</w:t>
      </w:r>
      <w:r w:rsidR="00501B1B">
        <w:t>á</w:t>
      </w:r>
      <w:r w:rsidRPr="00D936CA">
        <w:t xml:space="preserve"> el CS. Las frecuencias de la banda alta serán entregadas al CS para que éste provea servicios de datos al usuario final, no obstante</w:t>
      </w:r>
      <w:r w:rsidR="00501B1B">
        <w:t>,</w:t>
      </w:r>
      <w:r w:rsidRPr="00D936CA">
        <w:t xml:space="preserve"> el servicio de telefonía será gestionado por Telmex, ya sea que Telmex provea el servicio o la línea sea contratada en </w:t>
      </w:r>
      <w:r w:rsidR="001E6506">
        <w:t>SRL</w:t>
      </w:r>
      <w:r w:rsidRPr="00D936CA">
        <w:t xml:space="preserve">. En este servicio, el CS deberá proporcionar el </w:t>
      </w:r>
      <w:r w:rsidR="004F27CB" w:rsidRPr="00D936CA">
        <w:t>Módem,</w:t>
      </w:r>
      <w:r w:rsidRPr="00D936CA">
        <w:t xml:space="preserve"> así como la instalación de los divisores de banda de frecuencias en el domicilio del usuario, cuando el Punto de Conexión Terminal no incluya splitters.</w:t>
      </w:r>
    </w:p>
    <w:p w14:paraId="33CFEEA5" w14:textId="16D0B5FE" w:rsidR="008D60D8" w:rsidRPr="00D936CA" w:rsidRDefault="008D60D8" w:rsidP="00060B2E">
      <w:pPr>
        <w:pStyle w:val="IFTnormal"/>
        <w:ind w:left="-567" w:right="-142"/>
      </w:pPr>
      <w:r w:rsidRPr="00D936CA">
        <w:t>Para que el SDCSBL se lleve a cabo de forma efectiva es necesario que previ</w:t>
      </w:r>
      <w:r w:rsidR="00854094" w:rsidRPr="00D936CA">
        <w:t>amente</w:t>
      </w:r>
      <w:r w:rsidRPr="00D936CA">
        <w:t xml:space="preserve"> a que Telmex entregue el circuito al CS, se deba contar con los siguientes elementos:</w:t>
      </w:r>
    </w:p>
    <w:p w14:paraId="65FFFE54" w14:textId="74F154C3" w:rsidR="00C11A68" w:rsidRPr="00D936CA" w:rsidRDefault="00C11A68" w:rsidP="00D936CA">
      <w:pPr>
        <w:pStyle w:val="IFTnormal"/>
        <w:numPr>
          <w:ilvl w:val="0"/>
          <w:numId w:val="153"/>
        </w:numPr>
      </w:pPr>
      <w:r w:rsidRPr="00D936CA">
        <w:t>Anexo de Caja de Distribución;</w:t>
      </w:r>
    </w:p>
    <w:p w14:paraId="33CFEEA8" w14:textId="36B5580F" w:rsidR="00B83952" w:rsidRPr="00D936CA" w:rsidRDefault="00B83952" w:rsidP="00D936CA">
      <w:pPr>
        <w:pStyle w:val="IFTnormal"/>
        <w:numPr>
          <w:ilvl w:val="0"/>
          <w:numId w:val="153"/>
        </w:numPr>
      </w:pPr>
      <w:r w:rsidRPr="00D936CA">
        <w:t>Cableado multipar entre la tablilla del Anexo de Caja de Distribución y el pozo</w:t>
      </w:r>
      <w:r w:rsidR="00C11A68" w:rsidRPr="00D936CA">
        <w:t xml:space="preserve"> del CS, mismo que podrá ser utilizado por distintos Concesionarios</w:t>
      </w:r>
      <w:r w:rsidRPr="00D936CA">
        <w:t xml:space="preserve">. </w:t>
      </w:r>
    </w:p>
    <w:p w14:paraId="33CFEEA9" w14:textId="77777777" w:rsidR="00B83952" w:rsidRPr="00D936CA" w:rsidRDefault="00B83952" w:rsidP="00D936CA">
      <w:pPr>
        <w:pStyle w:val="IFTnormal"/>
        <w:numPr>
          <w:ilvl w:val="0"/>
          <w:numId w:val="153"/>
        </w:numPr>
      </w:pPr>
      <w:r w:rsidRPr="00D936CA">
        <w:t>El CS deberá contar con los equipos necesarios para recibir el bucle desagregado.</w:t>
      </w:r>
    </w:p>
    <w:p w14:paraId="33CFEEAA" w14:textId="77777777" w:rsidR="008D60D8" w:rsidRPr="00D936CA" w:rsidRDefault="008D60D8" w:rsidP="00060B2E">
      <w:pPr>
        <w:pStyle w:val="IFTnormal"/>
        <w:ind w:left="-567" w:right="-142"/>
      </w:pPr>
      <w:r w:rsidRPr="00D936CA">
        <w:t>A solicitud del CS, Telmex instalará el Anexo de Caja de Distribución correspondiente a la sección de entrega del circuito. La instalación consiste en la instalación de Anexo de Caja de distribución, acometida hasta el pozo multiconcesionario e Instalación de cable multipar desde la tablilla con separador de bandas del Anexo de Caja de Distribución hasta el cierre de empalme en el pozo del CS o multiconcesionario, así como la canalización y elementos necesarios para el tendido de cableado multipar. Telmex entregará al CS la identificación de las posiciones de los pares en la tablilla.</w:t>
      </w:r>
    </w:p>
    <w:p w14:paraId="33CFEEAB" w14:textId="77777777" w:rsidR="008D60D8" w:rsidRPr="00D936CA" w:rsidRDefault="008D60D8" w:rsidP="00060B2E">
      <w:pPr>
        <w:pStyle w:val="IFTnormal"/>
        <w:ind w:left="-567" w:right="-142"/>
      </w:pPr>
      <w:r w:rsidRPr="00D936CA">
        <w:lastRenderedPageBreak/>
        <w:t>En caso de que el pozo multiconcesionario sea construido por Telmex, la propiedad del mismo se determinará por acuerdo de los CS involucrados.</w:t>
      </w:r>
      <w:r w:rsidRPr="00D936CA" w:rsidDel="00CB7FE7">
        <w:t xml:space="preserve"> </w:t>
      </w:r>
    </w:p>
    <w:p w14:paraId="33CFEEAC" w14:textId="77777777" w:rsidR="008D60D8" w:rsidRPr="00D936CA" w:rsidRDefault="008D60D8" w:rsidP="00060B2E">
      <w:pPr>
        <w:pStyle w:val="IFTnormal"/>
        <w:ind w:left="-567" w:right="-142"/>
      </w:pPr>
      <w:r w:rsidRPr="00D936CA">
        <w:t xml:space="preserve">La construcción de un pozo multiconcesionario podrá ser sustituido por un pozo existente de Telmex, previo análisis de factibilidad vía la Oferta de Referencia para la Compartición de Infraestructura Pasiva. </w:t>
      </w:r>
    </w:p>
    <w:p w14:paraId="33CFEEAD" w14:textId="2BAFA68F" w:rsidR="008D60D8" w:rsidRPr="00D936CA" w:rsidRDefault="008D60D8" w:rsidP="00060B2E">
      <w:pPr>
        <w:pStyle w:val="IFTnormal"/>
        <w:ind w:left="-567" w:right="-142"/>
      </w:pPr>
      <w:r w:rsidRPr="00D936CA">
        <w:t>Cuando sea necesario la instalación de Anexo de Caja de Distribución correspondiente a la sección de entrega del circuito, Telmex notificará al resto de los CS con los que se tengan convenios firmados a través del SEG con el objetivo de que todos los involucrados se coordinen y definan dónde construirán el pozo en el que Telmex entregará la acometida del cableado multipar correspondiente a la sección de entrega del circuito y procedente de la tablilla con separador de bandas del Anexo de Caja de Distribución para que se remate en el cierre de empalme del CS y sea técnicamente viable la desagregación en el Sub-bucle Local. El procedimiento para la colocación del Anexo de Caja de Distribución, el cual alojar</w:t>
      </w:r>
      <w:r w:rsidR="00CC2891">
        <w:t>á</w:t>
      </w:r>
      <w:r w:rsidRPr="00D936CA">
        <w:t xml:space="preserve"> en su interior las tablillas de interconexión necesarias para llevar a cabo el puente entre las regletas o mufas de la Caja de Distribución Telmex y la red del CS se llevará a cabo conforme a lo establecido en el Anexo G4.</w:t>
      </w:r>
    </w:p>
    <w:p w14:paraId="33CFEEAE" w14:textId="77777777" w:rsidR="008D60D8" w:rsidRPr="00D936CA" w:rsidRDefault="008D60D8" w:rsidP="00060B2E">
      <w:pPr>
        <w:pStyle w:val="IFTnormal"/>
        <w:ind w:left="-567" w:right="-142"/>
      </w:pPr>
      <w:r w:rsidRPr="00D936CA">
        <w:t>El Anexo de Caja de Distribución será propiedad de Telmex, así como su administración, mantenimiento y la coordinación de las solicitudes de servicio de los CS.</w:t>
      </w:r>
    </w:p>
    <w:p w14:paraId="33CFEEAF" w14:textId="77777777" w:rsidR="008D60D8" w:rsidRPr="00D936CA" w:rsidRDefault="008D60D8" w:rsidP="00060B2E">
      <w:pPr>
        <w:pStyle w:val="IFTnormal"/>
        <w:ind w:left="-567" w:right="-142"/>
      </w:pPr>
      <w:r w:rsidRPr="00D936CA">
        <w:t>La instalación de Anexo de Caja de Distribución considera las siguientes actividades:</w:t>
      </w:r>
    </w:p>
    <w:p w14:paraId="33CFEEB0" w14:textId="77777777" w:rsidR="008D60D8" w:rsidRPr="00D936CA" w:rsidRDefault="008D60D8" w:rsidP="00D936CA">
      <w:pPr>
        <w:pStyle w:val="IFTnormal"/>
        <w:numPr>
          <w:ilvl w:val="0"/>
          <w:numId w:val="112"/>
        </w:numPr>
      </w:pPr>
      <w:r w:rsidRPr="00D936CA">
        <w:t>Construcción de Canalización de acometida desde Anexo de Caja de Distribución hasta el pozo del CS.</w:t>
      </w:r>
    </w:p>
    <w:p w14:paraId="33CFEEB1" w14:textId="77777777" w:rsidR="008D60D8" w:rsidRPr="00D936CA" w:rsidRDefault="008D60D8" w:rsidP="00D936CA">
      <w:pPr>
        <w:pStyle w:val="IFTnormal"/>
        <w:numPr>
          <w:ilvl w:val="0"/>
          <w:numId w:val="112"/>
        </w:numPr>
      </w:pPr>
      <w:r w:rsidRPr="00D936CA">
        <w:t>Construcción de base para Anexo de Caja de Distribución.</w:t>
      </w:r>
    </w:p>
    <w:p w14:paraId="33CFEEB2" w14:textId="77777777" w:rsidR="008D60D8" w:rsidRPr="00D936CA" w:rsidRDefault="008D60D8" w:rsidP="00D936CA">
      <w:pPr>
        <w:pStyle w:val="IFTnormal"/>
        <w:numPr>
          <w:ilvl w:val="0"/>
          <w:numId w:val="112"/>
        </w:numPr>
      </w:pPr>
      <w:r w:rsidRPr="00D936CA">
        <w:t>Instalación de Anexo de Caja de Distribución.</w:t>
      </w:r>
    </w:p>
    <w:p w14:paraId="33CFEEB3" w14:textId="77777777" w:rsidR="008D60D8" w:rsidRPr="00D936CA" w:rsidRDefault="008D60D8" w:rsidP="00D936CA">
      <w:pPr>
        <w:pStyle w:val="IFTnormal"/>
        <w:numPr>
          <w:ilvl w:val="0"/>
          <w:numId w:val="112"/>
        </w:numPr>
      </w:pPr>
      <w:r w:rsidRPr="00D936CA">
        <w:t>Instalación de cable multipar desde la tablilla con separador de bandas del Anexo de Caja de Distribución hasta el cierre de empalme en el pozo multiconcesionario.</w:t>
      </w:r>
    </w:p>
    <w:p w14:paraId="33CFEEB4" w14:textId="77777777" w:rsidR="008D60D8" w:rsidRPr="00D936CA" w:rsidRDefault="008D60D8" w:rsidP="00060B2E">
      <w:pPr>
        <w:pStyle w:val="IFTnormal"/>
        <w:ind w:left="-567" w:right="-142"/>
      </w:pPr>
      <w:r w:rsidRPr="00D936CA">
        <w:t>Para la entrega del circuito y habilitación del SDCSBL, Telmex realizará el puente entre la tablilla de la CD y tablilla con separador de bandas del Anexo de Caja de Distribución correspondientes a la sección de entrega del circuito. El puente consiste en la conexión entre la tablilla de la CD donde se conecta el par procedente del usuario fina y la tablilla con separador de bandas del Anexo de Caja de Distribución donde se remata el cableado multipar que va al pozo del CS. Al momento del puente Telmex y el CS se deberán coordinar para identificar los pares a conectar en el puente y el CS pueda identificar en el cableado multipar a que par corresponde el circuito entregado.</w:t>
      </w:r>
    </w:p>
    <w:p w14:paraId="33CFEEB5" w14:textId="77777777" w:rsidR="008D60D8" w:rsidRPr="00D936CA" w:rsidRDefault="008D60D8" w:rsidP="00060B2E">
      <w:pPr>
        <w:pStyle w:val="IFTnormal"/>
        <w:ind w:left="-567" w:right="-142"/>
        <w:rPr>
          <w:b/>
        </w:rPr>
      </w:pPr>
      <w:r w:rsidRPr="00D936CA">
        <w:rPr>
          <w:b/>
        </w:rPr>
        <w:t>Responsabilidad de Telmex y recursos asociados al SDCSBL</w:t>
      </w:r>
    </w:p>
    <w:p w14:paraId="33CFEEB6" w14:textId="77777777" w:rsidR="008D60D8" w:rsidRPr="00D936CA" w:rsidRDefault="008D60D8" w:rsidP="00060B2E">
      <w:pPr>
        <w:pStyle w:val="IFTnormal"/>
        <w:ind w:left="-567" w:right="-142"/>
      </w:pPr>
      <w:r w:rsidRPr="00D936CA">
        <w:lastRenderedPageBreak/>
        <w:t>Telmex es responsable de proveer el sub-bucle local y su mantenimiento desde el Punto de Conexión Terminal (PCT) hasta la tablilla de remate donde se separan las bandas de frecuencias en el Anexo de Caja de Distribución de Telmex (incluye los puentes entre la Caja de Distribución y el Anexo de Caja de Distribución) y la acometida del cableado multipar entregado en el pozo de concesionario.</w:t>
      </w:r>
    </w:p>
    <w:p w14:paraId="33CFEEB7" w14:textId="77777777" w:rsidR="008D60D8" w:rsidRPr="00D936CA" w:rsidRDefault="008D60D8" w:rsidP="00060B2E">
      <w:pPr>
        <w:pStyle w:val="IFTnormal"/>
        <w:ind w:left="-567" w:right="-142"/>
      </w:pPr>
      <w:r w:rsidRPr="00D936CA">
        <w:rPr>
          <w:lang w:val="es-ES"/>
        </w:rPr>
        <w:t xml:space="preserve">Los recursos asociados para que se lleve a cabo la provisión del servicio de SDCSBL es la instalación de Anexo de Caja de Distribución y el cableado multipar, </w:t>
      </w:r>
      <w:r w:rsidRPr="00D936CA">
        <w:t xml:space="preserve">mismo que podrá ser utilizado por distintos Concesionarios, para habilitar las tablillas de remate donde se realiza el puente entre las regletas de la Caja de Distribución de Telmex y la red del CS. </w:t>
      </w:r>
    </w:p>
    <w:p w14:paraId="33CFEEB8" w14:textId="77777777" w:rsidR="008D60D8" w:rsidRPr="00D936CA" w:rsidRDefault="008D60D8" w:rsidP="00060B2E">
      <w:pPr>
        <w:pStyle w:val="IFTnormal"/>
        <w:ind w:left="-567" w:right="-142"/>
      </w:pPr>
      <w:r w:rsidRPr="00D936CA">
        <w:t xml:space="preserve">El Anexo de Caja de Distribución y el cableado multipar es necesario para la provisión de los servicios de SDCSBL a través de éste, el CS podrá conectar sus elementos de red a la red secundaria de Telmex. </w:t>
      </w:r>
    </w:p>
    <w:p w14:paraId="33CFEEB9" w14:textId="77777777" w:rsidR="008D60D8" w:rsidRPr="00D936CA" w:rsidRDefault="008D60D8" w:rsidP="00060B2E">
      <w:pPr>
        <w:pStyle w:val="IFTnormal"/>
        <w:ind w:left="-567" w:right="-142"/>
      </w:pPr>
      <w:r w:rsidRPr="00D936CA">
        <w:t>La referente al Anexo de Caja de Distribución se llevará a cabo en los mismos términos descritos en el SDTSB, del mismo modo lo que respecta al pozo multiconcesionario.</w:t>
      </w:r>
    </w:p>
    <w:p w14:paraId="33CFEEBA" w14:textId="08C2DA49" w:rsidR="008D60D8" w:rsidRPr="00D936CA" w:rsidRDefault="008D60D8" w:rsidP="00060B2E">
      <w:pPr>
        <w:pStyle w:val="IFTnormal"/>
        <w:ind w:left="-567" w:right="-142"/>
      </w:pPr>
      <w:r w:rsidRPr="00D936CA">
        <w:t>El tipo de mantenimiento a realizar estará en función del elemento del Sub-bucle Local identificado con daño. Por otra parte</w:t>
      </w:r>
      <w:r w:rsidR="00CC2891">
        <w:t>,</w:t>
      </w:r>
      <w:r w:rsidRPr="00D936CA">
        <w:t xml:space="preserve"> las actividades primordiales a seguir son:</w:t>
      </w:r>
    </w:p>
    <w:p w14:paraId="33CFEEBB" w14:textId="77777777" w:rsidR="008D60D8" w:rsidRPr="00D936CA" w:rsidRDefault="008D60D8" w:rsidP="00D936CA">
      <w:pPr>
        <w:pStyle w:val="IFTnormal"/>
        <w:numPr>
          <w:ilvl w:val="0"/>
          <w:numId w:val="113"/>
        </w:numPr>
      </w:pPr>
      <w:r w:rsidRPr="00D936CA">
        <w:t>Ubicación del daño.</w:t>
      </w:r>
    </w:p>
    <w:p w14:paraId="33CFEEBC" w14:textId="0C958C20" w:rsidR="008D60D8" w:rsidRPr="00D936CA" w:rsidRDefault="008D60D8" w:rsidP="00D936CA">
      <w:pPr>
        <w:pStyle w:val="IFTnormal"/>
        <w:numPr>
          <w:ilvl w:val="0"/>
          <w:numId w:val="113"/>
        </w:numPr>
      </w:pPr>
      <w:r w:rsidRPr="00D936CA">
        <w:t>Cuando el daño se localice en el sub</w:t>
      </w:r>
      <w:r w:rsidR="00CC2891">
        <w:t>-</w:t>
      </w:r>
      <w:r w:rsidRPr="00D936CA">
        <w:t>bucle local:</w:t>
      </w:r>
    </w:p>
    <w:p w14:paraId="33CFEEBD" w14:textId="77777777" w:rsidR="008D60D8" w:rsidRPr="00D936CA" w:rsidRDefault="008D60D8" w:rsidP="00060B2E">
      <w:pPr>
        <w:pStyle w:val="IFTnormal"/>
        <w:numPr>
          <w:ilvl w:val="0"/>
          <w:numId w:val="188"/>
        </w:numPr>
      </w:pPr>
      <w:r w:rsidRPr="00D936CA">
        <w:t>Identificación de un par de cobre libre en buen estado eléctrico y físico.</w:t>
      </w:r>
    </w:p>
    <w:p w14:paraId="33CFEEBE" w14:textId="77777777" w:rsidR="008D60D8" w:rsidRPr="00D936CA" w:rsidRDefault="008D60D8" w:rsidP="00060B2E">
      <w:pPr>
        <w:pStyle w:val="IFTnormal"/>
        <w:numPr>
          <w:ilvl w:val="0"/>
          <w:numId w:val="188"/>
        </w:numPr>
      </w:pPr>
      <w:r w:rsidRPr="00D936CA">
        <w:t xml:space="preserve">Reasignación del SDTSBL al par de cobre libre en buen estado eléctrico y físico </w:t>
      </w:r>
      <w:r w:rsidRPr="00D936CA">
        <w:rPr>
          <w:lang w:val="es-ES"/>
        </w:rPr>
        <w:t>y se notifica al CS la nueva posición de la tablilla</w:t>
      </w:r>
      <w:r w:rsidRPr="00D936CA">
        <w:t>.</w:t>
      </w:r>
    </w:p>
    <w:p w14:paraId="33CFEEBF" w14:textId="77777777" w:rsidR="008D60D8" w:rsidRPr="00D936CA" w:rsidRDefault="008D60D8" w:rsidP="00060B2E">
      <w:pPr>
        <w:pStyle w:val="IFTnormal"/>
        <w:numPr>
          <w:ilvl w:val="0"/>
          <w:numId w:val="188"/>
        </w:numPr>
      </w:pPr>
      <w:r w:rsidRPr="00D936CA">
        <w:t>Cuando no exista un par de cobre libre en buen estado eléctrico y físico, Telmex procederá con la localización del daño eléctrico y/o físico para su reparación.</w:t>
      </w:r>
    </w:p>
    <w:p w14:paraId="33CFEEC0" w14:textId="77777777" w:rsidR="008D60D8" w:rsidRPr="00D936CA" w:rsidRDefault="008D60D8" w:rsidP="00D936CA">
      <w:pPr>
        <w:pStyle w:val="IFTnormal"/>
        <w:numPr>
          <w:ilvl w:val="0"/>
          <w:numId w:val="113"/>
        </w:numPr>
      </w:pPr>
      <w:r w:rsidRPr="00D936CA">
        <w:t>Cuando el daño se localice en el par procedente del usuario final, el elemento dañado será sustituido.</w:t>
      </w:r>
    </w:p>
    <w:p w14:paraId="33CFEEC1" w14:textId="77777777" w:rsidR="008D60D8" w:rsidRPr="00D936CA" w:rsidRDefault="008D60D8" w:rsidP="00D936CA">
      <w:pPr>
        <w:pStyle w:val="IFTnormal"/>
        <w:numPr>
          <w:ilvl w:val="0"/>
          <w:numId w:val="113"/>
        </w:numPr>
        <w:rPr>
          <w:lang w:val="es-ES"/>
        </w:rPr>
      </w:pPr>
      <w:r w:rsidRPr="00D936CA">
        <w:rPr>
          <w:lang w:val="es-ES"/>
        </w:rPr>
        <w:t xml:space="preserve">Cuando el daño se localice en el cableado multipar que va del Anexo de la </w:t>
      </w:r>
      <w:r w:rsidRPr="00D936CA">
        <w:t>Caja de Distribución a el pozo del CS</w:t>
      </w:r>
      <w:r w:rsidRPr="00D936CA">
        <w:rPr>
          <w:lang w:val="es-ES"/>
        </w:rPr>
        <w:t>, será sustituido.</w:t>
      </w:r>
    </w:p>
    <w:p w14:paraId="33CFEEC2" w14:textId="3F1E2881" w:rsidR="008D60D8" w:rsidRDefault="008D60D8" w:rsidP="00060B2E">
      <w:pPr>
        <w:pStyle w:val="IFTnormal"/>
        <w:ind w:left="-567" w:right="-142"/>
      </w:pPr>
      <w:r w:rsidRPr="00D936CA">
        <w:t>Las especificaciones y los fundamentos técnicos de los elementos y materiales a utilizar en la provisión del Anexo de Caja de Distribución son indicadas en el Anexo G4.</w:t>
      </w:r>
    </w:p>
    <w:p w14:paraId="0304AD7D" w14:textId="77777777" w:rsidR="004F27CB" w:rsidRPr="00D936CA" w:rsidRDefault="004F27CB" w:rsidP="00060B2E">
      <w:pPr>
        <w:pStyle w:val="IFTnormal"/>
        <w:ind w:left="-567" w:right="-142"/>
      </w:pPr>
    </w:p>
    <w:p w14:paraId="33CFEEC3" w14:textId="68716ED7" w:rsidR="00530A32" w:rsidRPr="00CA6BA9" w:rsidRDefault="00011A1B" w:rsidP="00D936CA">
      <w:pPr>
        <w:pStyle w:val="Ttulo2"/>
        <w:numPr>
          <w:ilvl w:val="1"/>
          <w:numId w:val="143"/>
        </w:numPr>
        <w:ind w:left="851" w:hanging="425"/>
      </w:pPr>
      <w:bookmarkStart w:id="579" w:name="_Toc396337579"/>
      <w:bookmarkStart w:id="580" w:name="_Toc436840913"/>
      <w:bookmarkStart w:id="581" w:name="_Toc436846350"/>
      <w:bookmarkStart w:id="582" w:name="_Toc436848300"/>
      <w:bookmarkStart w:id="583" w:name="_Toc436856548"/>
      <w:bookmarkStart w:id="584" w:name="_Toc436862694"/>
      <w:bookmarkStart w:id="585" w:name="_Toc436866344"/>
      <w:bookmarkStart w:id="586" w:name="_Toc436870923"/>
      <w:bookmarkStart w:id="587" w:name="_Toc436875915"/>
      <w:bookmarkStart w:id="588" w:name="_Toc467248738"/>
      <w:bookmarkStart w:id="589" w:name="_Toc518032023"/>
      <w:r w:rsidRPr="00CA6BA9">
        <w:lastRenderedPageBreak/>
        <w:t>Procedimientos de contratación, modificación y baja de los servicio</w:t>
      </w:r>
      <w:bookmarkEnd w:id="579"/>
      <w:r w:rsidR="00C232D6" w:rsidRPr="00CA6BA9">
        <w:t xml:space="preserve">s </w:t>
      </w:r>
      <w:bookmarkStart w:id="590" w:name="_Hlk517191820"/>
      <w:r w:rsidR="00C232D6" w:rsidRPr="00CA6BA9">
        <w:t>SDTBL, SDCBL, SDT</w:t>
      </w:r>
      <w:r w:rsidRPr="00CA6BA9">
        <w:t>S</w:t>
      </w:r>
      <w:r w:rsidR="00C232D6" w:rsidRPr="00CA6BA9">
        <w:t>B</w:t>
      </w:r>
      <w:r w:rsidRPr="00CA6BA9">
        <w:t>L, SDCSBL</w:t>
      </w:r>
      <w:bookmarkEnd w:id="580"/>
      <w:bookmarkEnd w:id="581"/>
      <w:bookmarkEnd w:id="582"/>
      <w:bookmarkEnd w:id="583"/>
      <w:bookmarkEnd w:id="584"/>
      <w:bookmarkEnd w:id="585"/>
      <w:bookmarkEnd w:id="586"/>
      <w:bookmarkEnd w:id="587"/>
      <w:bookmarkEnd w:id="588"/>
      <w:bookmarkEnd w:id="589"/>
      <w:bookmarkEnd w:id="590"/>
    </w:p>
    <w:p w14:paraId="33CFEEC4" w14:textId="685A9B07" w:rsidR="005E167C" w:rsidRPr="00D936CA" w:rsidRDefault="00011A1B" w:rsidP="00060B2E">
      <w:pPr>
        <w:spacing w:after="200" w:line="276" w:lineRule="auto"/>
        <w:ind w:left="-567" w:right="-142" w:hanging="1"/>
        <w:jc w:val="both"/>
        <w:rPr>
          <w:rFonts w:ascii="ITC Avant Garde" w:hAnsi="ITC Avant Garde"/>
          <w:sz w:val="22"/>
          <w:szCs w:val="22"/>
          <w:lang w:val="es-MX"/>
        </w:rPr>
      </w:pPr>
      <w:r w:rsidRPr="00D936CA">
        <w:rPr>
          <w:rFonts w:ascii="ITC Avant Garde" w:hAnsi="ITC Avant Garde"/>
          <w:sz w:val="22"/>
          <w:szCs w:val="22"/>
          <w:lang w:val="es-MX"/>
        </w:rPr>
        <w:t>Queda establecido que</w:t>
      </w:r>
      <w:r w:rsidR="00CC2891">
        <w:rPr>
          <w:rFonts w:ascii="ITC Avant Garde" w:hAnsi="ITC Avant Garde"/>
          <w:sz w:val="22"/>
          <w:szCs w:val="22"/>
          <w:lang w:val="es-MX"/>
        </w:rPr>
        <w:t>,</w:t>
      </w:r>
      <w:r w:rsidRPr="00D936CA">
        <w:rPr>
          <w:rFonts w:ascii="ITC Avant Garde" w:hAnsi="ITC Avant Garde"/>
          <w:sz w:val="22"/>
          <w:szCs w:val="22"/>
          <w:lang w:val="es-MX"/>
        </w:rPr>
        <w:t xml:space="preserve"> mediante el envío de la solicitud, el CS consiente efectuar el pago por las actividades a realizar</w:t>
      </w:r>
      <w:r w:rsidR="00CC2891">
        <w:rPr>
          <w:rFonts w:ascii="ITC Avant Garde" w:hAnsi="ITC Avant Garde"/>
          <w:sz w:val="22"/>
          <w:szCs w:val="22"/>
          <w:lang w:val="es-MX"/>
        </w:rPr>
        <w:t>,</w:t>
      </w:r>
      <w:r w:rsidRPr="00D936CA">
        <w:rPr>
          <w:rFonts w:ascii="ITC Avant Garde" w:hAnsi="ITC Avant Garde"/>
          <w:sz w:val="22"/>
          <w:szCs w:val="22"/>
          <w:lang w:val="es-MX"/>
        </w:rPr>
        <w:t xml:space="preserve"> así como por los elementos de cobro que conforman el servicio, en el momento que se indique en el procedimiento. </w:t>
      </w:r>
      <w:r w:rsidR="005E167C" w:rsidRPr="00D936CA">
        <w:rPr>
          <w:rFonts w:ascii="ITC Avant Garde" w:hAnsi="ITC Avant Garde"/>
          <w:sz w:val="22"/>
          <w:szCs w:val="22"/>
          <w:lang w:val="es-MX"/>
        </w:rPr>
        <w:t>Asimismo, si el CS rechaza el servicio o decide no continuar con el procedimiento, deberá liquidar el monto generado por las actividades realizadas hasta el momento que decidió terminar el procedimiento</w:t>
      </w:r>
      <w:r w:rsidR="00125A55" w:rsidRPr="00D936CA">
        <w:rPr>
          <w:rFonts w:ascii="ITC Avant Garde" w:hAnsi="ITC Avant Garde"/>
          <w:sz w:val="22"/>
          <w:szCs w:val="22"/>
          <w:lang w:val="es-MX"/>
        </w:rPr>
        <w:t xml:space="preserve"> (si la solicitud es cancelada con al menos </w:t>
      </w:r>
      <w:r w:rsidR="002A6361" w:rsidRPr="00D936CA">
        <w:rPr>
          <w:rFonts w:ascii="ITC Avant Garde" w:hAnsi="ITC Avant Garde"/>
          <w:sz w:val="22"/>
          <w:szCs w:val="22"/>
          <w:lang w:val="es-MX"/>
        </w:rPr>
        <w:t>tres</w:t>
      </w:r>
      <w:r w:rsidR="00125A55" w:rsidRPr="00D936CA">
        <w:rPr>
          <w:rFonts w:ascii="ITC Avant Garde" w:hAnsi="ITC Avant Garde"/>
          <w:sz w:val="22"/>
          <w:szCs w:val="22"/>
          <w:lang w:val="es-MX"/>
        </w:rPr>
        <w:t xml:space="preserve"> días de anticipación a la programación de la habilitación, no aplicará cobro alguno).</w:t>
      </w:r>
    </w:p>
    <w:p w14:paraId="33CFEEC5" w14:textId="4917EE94" w:rsidR="005B5734" w:rsidRPr="00D936CA" w:rsidRDefault="005B5734"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contratación y entrega</w:t>
      </w:r>
      <w:r w:rsidR="00CC2891">
        <w:rPr>
          <w:rFonts w:ascii="ITC Avant Garde" w:hAnsi="ITC Avant Garde"/>
          <w:b/>
          <w:sz w:val="22"/>
          <w:szCs w:val="22"/>
          <w:lang w:val="es-MX"/>
        </w:rPr>
        <w:t xml:space="preserve"> </w:t>
      </w:r>
      <w:r w:rsidR="00CC2891" w:rsidRPr="00CC2891">
        <w:rPr>
          <w:rFonts w:ascii="ITC Avant Garde" w:hAnsi="ITC Avant Garde"/>
          <w:b/>
          <w:sz w:val="22"/>
          <w:szCs w:val="22"/>
          <w:lang w:val="es-MX"/>
        </w:rPr>
        <w:t>SDTBL, SDCBL, SDTSBL, SDCSBL</w:t>
      </w:r>
      <w:r w:rsidR="00CC2891">
        <w:rPr>
          <w:rFonts w:ascii="ITC Avant Garde" w:hAnsi="ITC Avant Garde"/>
          <w:b/>
          <w:sz w:val="22"/>
          <w:szCs w:val="22"/>
          <w:lang w:val="es-MX"/>
        </w:rPr>
        <w:t xml:space="preserve"> (alta)</w:t>
      </w:r>
      <w:r w:rsidRPr="00D936CA">
        <w:rPr>
          <w:rFonts w:ascii="ITC Avant Garde" w:hAnsi="ITC Avant Garde"/>
          <w:b/>
          <w:sz w:val="22"/>
          <w:szCs w:val="22"/>
          <w:lang w:val="es-MX"/>
        </w:rPr>
        <w:t xml:space="preserve"> </w:t>
      </w:r>
    </w:p>
    <w:p w14:paraId="33CFEEC6" w14:textId="77777777" w:rsidR="005E167C" w:rsidRPr="00D936CA" w:rsidRDefault="005E167C"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contratación y entrega de los servicios </w:t>
      </w:r>
      <w:r w:rsidRPr="00D936CA">
        <w:rPr>
          <w:rStyle w:val="IFTnormalCar"/>
        </w:rPr>
        <w:t>de SDTBL, SDCBL, SDTSBL, SDCSBL;</w:t>
      </w:r>
      <w:r w:rsidRPr="00D936CA">
        <w:rPr>
          <w:rFonts w:ascii="ITC Avant Garde" w:hAnsi="ITC Avant Garde" w:cs="Arial"/>
          <w:sz w:val="22"/>
          <w:szCs w:val="22"/>
          <w:lang w:val="es-ES" w:eastAsia="es-MX"/>
        </w:rPr>
        <w:t xml:space="preserve">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contratar el servicio, las características que solicita para el mismo, y la validación por parte de Telmex de que la solicitud cuenta con todos los elementos para la contratación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a fin de que Telmex pueda verificar que cuenta con los elementos para brindar el servicio solicitado; y </w:t>
      </w:r>
      <w:r w:rsidRPr="00D936CA">
        <w:rPr>
          <w:rFonts w:ascii="ITC Avant Garde" w:hAnsi="ITC Avant Garde" w:cs="Arial"/>
          <w:b/>
          <w:sz w:val="22"/>
          <w:szCs w:val="22"/>
        </w:rPr>
        <w:t>(iii)</w:t>
      </w:r>
      <w:r w:rsidRPr="00D936CA">
        <w:rPr>
          <w:rFonts w:ascii="ITC Avant Garde" w:hAnsi="ITC Avant Garde" w:cs="Arial"/>
          <w:sz w:val="22"/>
          <w:szCs w:val="22"/>
        </w:rPr>
        <w:t xml:space="preserve"> Habilitación y aprovisionamiento del servicio solicitado, que detonará los procesos de pruebas de entrega y facturación.</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EEC9" w14:textId="77777777" w:rsidTr="00060B2E">
        <w:tc>
          <w:tcPr>
            <w:tcW w:w="1446" w:type="pct"/>
          </w:tcPr>
          <w:p w14:paraId="33CFEEC7" w14:textId="77777777" w:rsidR="005B5734" w:rsidRPr="00D936CA" w:rsidRDefault="005B5734" w:rsidP="00D936CA">
            <w:pPr>
              <w:pStyle w:val="IFTnormal"/>
              <w:jc w:val="center"/>
              <w:rPr>
                <w:b/>
                <w:sz w:val="20"/>
                <w:szCs w:val="20"/>
              </w:rPr>
            </w:pPr>
            <w:r w:rsidRPr="00D936CA">
              <w:rPr>
                <w:b/>
                <w:sz w:val="20"/>
                <w:szCs w:val="20"/>
              </w:rPr>
              <w:t>Etapa</w:t>
            </w:r>
          </w:p>
        </w:tc>
        <w:tc>
          <w:tcPr>
            <w:tcW w:w="3554" w:type="pct"/>
          </w:tcPr>
          <w:p w14:paraId="33CFEEC8"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ECC" w14:textId="77777777" w:rsidTr="00060B2E">
        <w:tc>
          <w:tcPr>
            <w:tcW w:w="1446" w:type="pct"/>
          </w:tcPr>
          <w:p w14:paraId="33CFEECA" w14:textId="77777777" w:rsidR="005B5734" w:rsidRPr="00D936CA" w:rsidRDefault="005B5734" w:rsidP="00D936CA">
            <w:pPr>
              <w:pStyle w:val="IFTnormal"/>
              <w:jc w:val="left"/>
              <w:rPr>
                <w:b/>
                <w:sz w:val="20"/>
                <w:szCs w:val="20"/>
              </w:rPr>
            </w:pPr>
            <w:r w:rsidRPr="00D936CA">
              <w:rPr>
                <w:b/>
                <w:sz w:val="20"/>
                <w:szCs w:val="20"/>
              </w:rPr>
              <w:t>Autorización del suscriptor/usuario final</w:t>
            </w:r>
          </w:p>
        </w:tc>
        <w:tc>
          <w:tcPr>
            <w:tcW w:w="3554" w:type="pct"/>
          </w:tcPr>
          <w:p w14:paraId="33CFEECB" w14:textId="77777777" w:rsidR="005B5734" w:rsidRPr="00D936CA" w:rsidRDefault="005B5734" w:rsidP="00D936CA">
            <w:pPr>
              <w:pStyle w:val="IFTnormal"/>
              <w:rPr>
                <w:sz w:val="20"/>
                <w:szCs w:val="20"/>
              </w:rPr>
            </w:pPr>
            <w:r w:rsidRPr="00D936CA">
              <w:rPr>
                <w:sz w:val="20"/>
                <w:szCs w:val="20"/>
              </w:rPr>
              <w:t>Presentación del formato de verificación de la voluntad del suscriptor/usuario final. (Sólo usuarios existentes)</w:t>
            </w:r>
          </w:p>
        </w:tc>
      </w:tr>
      <w:tr w:rsidR="00D936CA" w:rsidRPr="00D936CA" w14:paraId="33CFEED2" w14:textId="77777777" w:rsidTr="00060B2E">
        <w:tc>
          <w:tcPr>
            <w:tcW w:w="1446" w:type="pct"/>
          </w:tcPr>
          <w:p w14:paraId="33CFEECD"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54" w:type="pct"/>
          </w:tcPr>
          <w:p w14:paraId="33CFEECE" w14:textId="04B2FB2F" w:rsidR="005B5734" w:rsidRPr="00D936CA" w:rsidRDefault="005B5734" w:rsidP="00D936CA">
            <w:pPr>
              <w:pStyle w:val="IFTnormal"/>
            </w:pPr>
            <w:r w:rsidRPr="00D936CA">
              <w:rPr>
                <w:sz w:val="20"/>
                <w:szCs w:val="20"/>
              </w:rPr>
              <w:t xml:space="preserve">El CS deberá presentar sus solicitudes en el SEG (podrá </w:t>
            </w:r>
            <w:r w:rsidR="00416FFF">
              <w:rPr>
                <w:sz w:val="20"/>
                <w:szCs w:val="20"/>
              </w:rPr>
              <w:t>hacerlo</w:t>
            </w:r>
            <w:r w:rsidR="00416FFF" w:rsidRPr="00D936CA">
              <w:rPr>
                <w:sz w:val="20"/>
                <w:szCs w:val="20"/>
              </w:rPr>
              <w:t xml:space="preserve"> </w:t>
            </w:r>
            <w:r w:rsidRPr="00D936CA">
              <w:rPr>
                <w:sz w:val="20"/>
                <w:szCs w:val="20"/>
              </w:rPr>
              <w:t>de</w:t>
            </w:r>
            <w:r w:rsidR="00842F16">
              <w:rPr>
                <w:sz w:val="20"/>
                <w:szCs w:val="20"/>
              </w:rPr>
              <w:t xml:space="preserve"> acuerdo a lo establecido </w:t>
            </w:r>
            <w:r w:rsidR="004F27CB">
              <w:rPr>
                <w:sz w:val="20"/>
                <w:szCs w:val="20"/>
              </w:rPr>
              <w:t xml:space="preserve">en </w:t>
            </w:r>
            <w:r w:rsidR="004F27CB" w:rsidRPr="00D936CA">
              <w:rPr>
                <w:sz w:val="20"/>
                <w:szCs w:val="20"/>
              </w:rPr>
              <w:t>el</w:t>
            </w:r>
            <w:r w:rsidR="00687C97" w:rsidRPr="00D936CA">
              <w:rPr>
                <w:sz w:val="20"/>
                <w:szCs w:val="20"/>
              </w:rPr>
              <w:t xml:space="preserve"> numeral 1.8)</w:t>
            </w:r>
            <w:r w:rsidRPr="00D936CA">
              <w:rPr>
                <w:sz w:val="20"/>
                <w:szCs w:val="20"/>
              </w:rPr>
              <w:t xml:space="preserve">. </w:t>
            </w:r>
          </w:p>
          <w:p w14:paraId="33CFEECF" w14:textId="77777777" w:rsidR="005B5734" w:rsidRPr="00D936CA" w:rsidRDefault="005B5734" w:rsidP="00D936CA">
            <w:pPr>
              <w:pStyle w:val="IFTnormal"/>
              <w:numPr>
                <w:ilvl w:val="0"/>
                <w:numId w:val="102"/>
              </w:numPr>
              <w:tabs>
                <w:tab w:val="left" w:pos="230"/>
              </w:tabs>
              <w:ind w:left="0" w:firstLine="0"/>
              <w:rPr>
                <w:sz w:val="20"/>
                <w:szCs w:val="20"/>
              </w:rPr>
            </w:pPr>
            <w:r w:rsidRPr="00D936CA">
              <w:rPr>
                <w:sz w:val="20"/>
                <w:szCs w:val="20"/>
              </w:rPr>
              <w:t>Usuarios existentes, indicar que el servicio es existente y activo y sus datos correspondientes.</w:t>
            </w:r>
          </w:p>
          <w:p w14:paraId="33CFEED0" w14:textId="77777777" w:rsidR="005B5734" w:rsidRPr="00D936CA" w:rsidRDefault="005B5734" w:rsidP="00D936CA">
            <w:pPr>
              <w:pStyle w:val="IFTnormal"/>
              <w:numPr>
                <w:ilvl w:val="0"/>
                <w:numId w:val="102"/>
              </w:numPr>
              <w:tabs>
                <w:tab w:val="left" w:pos="230"/>
              </w:tabs>
              <w:ind w:left="0" w:firstLine="0"/>
              <w:rPr>
                <w:sz w:val="20"/>
                <w:szCs w:val="20"/>
              </w:rPr>
            </w:pPr>
            <w:r w:rsidRPr="00D936CA">
              <w:rPr>
                <w:sz w:val="20"/>
                <w:szCs w:val="20"/>
              </w:rPr>
              <w:t>Usuarios nuevos, indicando que es un cliente nuevo con o sin acometida y sus datos correspondientes.</w:t>
            </w:r>
          </w:p>
          <w:p w14:paraId="33CFEED1" w14:textId="77777777" w:rsidR="005B5734" w:rsidRPr="00D936CA" w:rsidRDefault="005B5734" w:rsidP="00D936CA">
            <w:pPr>
              <w:pStyle w:val="IFTnormal"/>
              <w:rPr>
                <w:sz w:val="20"/>
                <w:szCs w:val="20"/>
              </w:rPr>
            </w:pPr>
            <w:r w:rsidRPr="00D936CA">
              <w:rPr>
                <w:sz w:val="20"/>
                <w:szCs w:val="20"/>
              </w:rPr>
              <w:t>Una vez enviada se asignará de forma automática un número de folio a la solicitud del CS.</w:t>
            </w:r>
          </w:p>
        </w:tc>
      </w:tr>
      <w:tr w:rsidR="00D936CA" w:rsidRPr="00D936CA" w14:paraId="33CFEED8" w14:textId="77777777" w:rsidTr="00060B2E">
        <w:tc>
          <w:tcPr>
            <w:tcW w:w="1446" w:type="pct"/>
          </w:tcPr>
          <w:p w14:paraId="33CFEED3"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EED4"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ED5"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cambiará el folio previamente asignado por el Número de Identificación de Solicitud (NIS).</w:t>
            </w:r>
          </w:p>
          <w:p w14:paraId="33CFEED6" w14:textId="061995AF" w:rsidR="005B5734" w:rsidRPr="00624A71" w:rsidRDefault="005B5734" w:rsidP="00D936CA">
            <w:pPr>
              <w:pStyle w:val="IFTnormal"/>
              <w:numPr>
                <w:ilvl w:val="0"/>
                <w:numId w:val="102"/>
              </w:numPr>
              <w:ind w:left="318" w:hanging="318"/>
              <w:rPr>
                <w:sz w:val="20"/>
                <w:szCs w:val="20"/>
              </w:rPr>
            </w:pPr>
            <w:r w:rsidRPr="00624A71">
              <w:rPr>
                <w:b/>
                <w:sz w:val="20"/>
                <w:szCs w:val="20"/>
              </w:rPr>
              <w:lastRenderedPageBreak/>
              <w:t>Si es incorrecta</w:t>
            </w:r>
            <w:r w:rsidRPr="00624A71">
              <w:rPr>
                <w:sz w:val="20"/>
                <w:szCs w:val="20"/>
              </w:rPr>
              <w:t>, Telmex devolverá la solicitud al CS indicando el motivo de rechazo, para que sea corregida y reenviada nuevamente a validación</w:t>
            </w:r>
            <w:r w:rsidR="00927A37" w:rsidRPr="00624A71">
              <w:rPr>
                <w:sz w:val="20"/>
                <w:szCs w:val="20"/>
              </w:rPr>
              <w:t xml:space="preserve">, </w:t>
            </w:r>
            <w:r w:rsidR="00927A37" w:rsidRPr="00060B2E">
              <w:rPr>
                <w:rFonts w:cs="Arial"/>
                <w:sz w:val="20"/>
                <w:szCs w:val="20"/>
              </w:rPr>
              <w:t>en caso de haber usado el formato Excel de solicitudes masivas, Telmex devolverá el archivo al CS indicando el motivo de rechazo por cada registro</w:t>
            </w:r>
            <w:r w:rsidRPr="00624A71">
              <w:rPr>
                <w:sz w:val="20"/>
                <w:szCs w:val="20"/>
              </w:rPr>
              <w:t>.</w:t>
            </w:r>
          </w:p>
          <w:p w14:paraId="33CFEED7" w14:textId="77777777" w:rsidR="005B5734" w:rsidRPr="00D936CA" w:rsidRDefault="005B5734" w:rsidP="00D936CA">
            <w:pPr>
              <w:pStyle w:val="IFTnormal"/>
              <w:rPr>
                <w:sz w:val="20"/>
                <w:szCs w:val="20"/>
              </w:rPr>
            </w:pPr>
            <w:r w:rsidRPr="00D936CA">
              <w:rPr>
                <w:sz w:val="20"/>
                <w:szCs w:val="20"/>
              </w:rPr>
              <w:t>La aceptación de la solicitud detonará el Análisis de Factibilidad Técnica.</w:t>
            </w:r>
          </w:p>
        </w:tc>
      </w:tr>
      <w:tr w:rsidR="00D936CA" w:rsidRPr="00D936CA" w14:paraId="33CFEEDE" w14:textId="77777777" w:rsidTr="00060B2E">
        <w:tc>
          <w:tcPr>
            <w:tcW w:w="1446" w:type="pct"/>
          </w:tcPr>
          <w:p w14:paraId="33CFEED9" w14:textId="77777777" w:rsidR="005B5734" w:rsidRPr="00D936CA" w:rsidRDefault="005B5734" w:rsidP="00D936CA">
            <w:pPr>
              <w:pStyle w:val="IFTnormal"/>
              <w:jc w:val="left"/>
              <w:rPr>
                <w:b/>
                <w:sz w:val="20"/>
                <w:szCs w:val="20"/>
              </w:rPr>
            </w:pPr>
            <w:r w:rsidRPr="00D936CA">
              <w:rPr>
                <w:b/>
                <w:sz w:val="20"/>
                <w:szCs w:val="20"/>
              </w:rPr>
              <w:lastRenderedPageBreak/>
              <w:t>Factibilidad Técnica</w:t>
            </w:r>
          </w:p>
        </w:tc>
        <w:tc>
          <w:tcPr>
            <w:tcW w:w="3554" w:type="pct"/>
          </w:tcPr>
          <w:p w14:paraId="33CFEEDA" w14:textId="77777777" w:rsidR="005B5734" w:rsidRPr="00D936CA" w:rsidRDefault="005B5734"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plazo máximo de 1 día hábil</w:t>
            </w:r>
            <w:r w:rsidRPr="00D936CA">
              <w:rPr>
                <w:rStyle w:val="Refdenotaalpie"/>
                <w:rFonts w:cs="Arial"/>
              </w:rPr>
              <w:footnoteReference w:id="41"/>
            </w:r>
            <w:r w:rsidRPr="00D936CA">
              <w:rPr>
                <w:sz w:val="20"/>
                <w:szCs w:val="20"/>
              </w:rPr>
              <w:t>:</w:t>
            </w:r>
          </w:p>
          <w:p w14:paraId="33CFEEDB"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existe factibilidad</w:t>
            </w:r>
            <w:r w:rsidRPr="00D936CA">
              <w:rPr>
                <w:sz w:val="20"/>
                <w:szCs w:val="20"/>
              </w:rPr>
              <w:t>, se procede a habilitar el servicio.</w:t>
            </w:r>
          </w:p>
          <w:p w14:paraId="33CFEEDC" w14:textId="78CAFB12" w:rsidR="005B5734" w:rsidRPr="00D936CA" w:rsidRDefault="005B5734" w:rsidP="00D936CA">
            <w:pPr>
              <w:pStyle w:val="IFTnormal"/>
              <w:numPr>
                <w:ilvl w:val="0"/>
                <w:numId w:val="102"/>
              </w:numPr>
              <w:ind w:left="318" w:hanging="318"/>
              <w:rPr>
                <w:sz w:val="20"/>
                <w:szCs w:val="20"/>
              </w:rPr>
            </w:pPr>
            <w:r w:rsidRPr="00D936CA">
              <w:rPr>
                <w:b/>
                <w:sz w:val="20"/>
                <w:szCs w:val="20"/>
              </w:rPr>
              <w:t>Si no es factible proporcionar el servicio</w:t>
            </w:r>
            <w:r w:rsidRPr="00D936CA">
              <w:rPr>
                <w:sz w:val="20"/>
                <w:szCs w:val="20"/>
              </w:rPr>
              <w:t xml:space="preserve">, se presentará al </w:t>
            </w:r>
            <w:r w:rsidR="00927A37" w:rsidRPr="00D936CA">
              <w:rPr>
                <w:sz w:val="20"/>
                <w:szCs w:val="20"/>
              </w:rPr>
              <w:t>CS</w:t>
            </w:r>
            <w:r w:rsidRPr="00D936CA">
              <w:rPr>
                <w:sz w:val="20"/>
                <w:szCs w:val="20"/>
              </w:rPr>
              <w:t xml:space="preserve">, a través del SEG, la </w:t>
            </w:r>
            <w:r w:rsidR="004F27CB" w:rsidRPr="00D936CA">
              <w:rPr>
                <w:sz w:val="20"/>
                <w:szCs w:val="20"/>
              </w:rPr>
              <w:t>justificación,</w:t>
            </w:r>
            <w:r w:rsidRPr="00D936CA">
              <w:rPr>
                <w:sz w:val="20"/>
                <w:szCs w:val="20"/>
              </w:rPr>
              <w:t xml:space="preserve"> así como las evidencias correspondientes, el CS contará con 2 días hábiles para indicar si desea habilitar el servicio bajo las mismas condiciones que existen en el bucle o sub-bucle</w:t>
            </w:r>
            <w:r w:rsidRPr="00D936CA">
              <w:rPr>
                <w:rStyle w:val="Refdenotaalpie"/>
                <w:rFonts w:cs="Arial"/>
              </w:rPr>
              <w:footnoteReference w:id="42"/>
            </w:r>
            <w:r w:rsidRPr="00D936CA">
              <w:rPr>
                <w:sz w:val="20"/>
                <w:szCs w:val="20"/>
              </w:rPr>
              <w:t>.</w:t>
            </w:r>
          </w:p>
          <w:p w14:paraId="33CFEEDD" w14:textId="45357166" w:rsidR="005B5734" w:rsidRPr="00D936CA" w:rsidRDefault="00624A71" w:rsidP="00D936CA">
            <w:pPr>
              <w:pStyle w:val="IFTnormal"/>
              <w:rPr>
                <w:sz w:val="20"/>
                <w:szCs w:val="20"/>
              </w:rPr>
            </w:pPr>
            <w:r>
              <w:rPr>
                <w:sz w:val="20"/>
                <w:szCs w:val="20"/>
              </w:rPr>
              <w:t>L</w:t>
            </w:r>
            <w:r w:rsidR="005B5734" w:rsidRPr="00D936CA">
              <w:rPr>
                <w:sz w:val="20"/>
                <w:szCs w:val="20"/>
              </w:rPr>
              <w:t>os CS incluyendo Telmex, harán uso de los mismos elementos, herramientas, funcionalidades, información, etc. Una vez validados los campos correspondientes se procederá directamente a la etapa de Habilitación y aprovisionamiento del Servicio.</w:t>
            </w:r>
          </w:p>
        </w:tc>
      </w:tr>
      <w:tr w:rsidR="00D936CA" w:rsidRPr="00D936CA" w14:paraId="33CFEEE7" w14:textId="77777777" w:rsidTr="00060B2E">
        <w:tc>
          <w:tcPr>
            <w:tcW w:w="1446" w:type="pct"/>
          </w:tcPr>
          <w:p w14:paraId="33CFEEDF" w14:textId="77777777" w:rsidR="005B5734" w:rsidRPr="00D936CA" w:rsidRDefault="005B5734" w:rsidP="00D936CA">
            <w:pPr>
              <w:pStyle w:val="IFTnormal"/>
              <w:jc w:val="left"/>
              <w:rPr>
                <w:b/>
                <w:sz w:val="20"/>
                <w:szCs w:val="20"/>
              </w:rPr>
            </w:pPr>
            <w:r w:rsidRPr="00D936CA">
              <w:rPr>
                <w:b/>
                <w:sz w:val="20"/>
                <w:szCs w:val="20"/>
              </w:rPr>
              <w:t>Habilitación y aprovisionamiento del Servicio</w:t>
            </w:r>
          </w:p>
        </w:tc>
        <w:tc>
          <w:tcPr>
            <w:tcW w:w="3554" w:type="pct"/>
          </w:tcPr>
          <w:p w14:paraId="33CFEEE0" w14:textId="56527B99" w:rsidR="005B5734" w:rsidRPr="00D936CA" w:rsidRDefault="005B5734" w:rsidP="00D936CA">
            <w:pPr>
              <w:pStyle w:val="IFTnormal"/>
              <w:rPr>
                <w:sz w:val="20"/>
                <w:szCs w:val="20"/>
              </w:rPr>
            </w:pPr>
            <w:r w:rsidRPr="00D936CA">
              <w:rPr>
                <w:sz w:val="20"/>
                <w:szCs w:val="20"/>
              </w:rPr>
              <w:t>Telmex llevará a cabo las actuaciones necesarias para habilitar los servicios</w:t>
            </w:r>
            <w:r w:rsidR="001D7EA0">
              <w:rPr>
                <w:rStyle w:val="Refdenotaalpie"/>
                <w:sz w:val="20"/>
                <w:szCs w:val="20"/>
              </w:rPr>
              <w:footnoteReference w:id="43"/>
            </w:r>
            <w:r w:rsidRPr="00D936CA">
              <w:rPr>
                <w:sz w:val="20"/>
                <w:szCs w:val="20"/>
              </w:rPr>
              <w:t>.</w:t>
            </w:r>
          </w:p>
          <w:p w14:paraId="33CFEEE1" w14:textId="77777777" w:rsidR="005B5734" w:rsidRPr="00D936CA" w:rsidRDefault="005B5734" w:rsidP="00D936CA">
            <w:pPr>
              <w:pStyle w:val="IFTnormal"/>
              <w:rPr>
                <w:sz w:val="20"/>
                <w:szCs w:val="20"/>
              </w:rPr>
            </w:pPr>
            <w:r w:rsidRPr="00D936CA">
              <w:rPr>
                <w:b/>
                <w:sz w:val="20"/>
                <w:szCs w:val="20"/>
              </w:rPr>
              <w:t>Usuarios Existentes:</w:t>
            </w:r>
            <w:r w:rsidRPr="00D936CA">
              <w:rPr>
                <w:sz w:val="20"/>
                <w:szCs w:val="20"/>
              </w:rPr>
              <w:t xml:space="preserve"> se procederá a habilitar el servicio en un plazo no mayor a 5 días hábiles los cuales contabilizarán a partir del ingreso de la solicitud. Una vez realizado el puente Telmex notificará inmediatamente al CS al número telefónico indicado en la solicitud.</w:t>
            </w:r>
          </w:p>
          <w:p w14:paraId="33CFEEE2" w14:textId="77777777" w:rsidR="005B5734" w:rsidRPr="00D936CA" w:rsidRDefault="005B5734" w:rsidP="00D936CA">
            <w:pPr>
              <w:pStyle w:val="IFTnormal"/>
              <w:numPr>
                <w:ilvl w:val="0"/>
                <w:numId w:val="114"/>
              </w:numPr>
              <w:rPr>
                <w:sz w:val="20"/>
                <w:szCs w:val="20"/>
              </w:rPr>
            </w:pPr>
            <w:r w:rsidRPr="00D936CA">
              <w:rPr>
                <w:sz w:val="20"/>
                <w:szCs w:val="20"/>
              </w:rPr>
              <w:t>Se habilita el servicio por parte del CS.</w:t>
            </w:r>
          </w:p>
          <w:p w14:paraId="33CFEEE3" w14:textId="77777777" w:rsidR="005B5734" w:rsidRPr="00D936CA" w:rsidRDefault="005B5734" w:rsidP="00D936CA">
            <w:pPr>
              <w:pStyle w:val="IFTnormal"/>
              <w:rPr>
                <w:sz w:val="20"/>
                <w:szCs w:val="20"/>
              </w:rPr>
            </w:pPr>
            <w:r w:rsidRPr="00D936CA">
              <w:rPr>
                <w:b/>
                <w:sz w:val="20"/>
                <w:szCs w:val="20"/>
              </w:rPr>
              <w:t>Usuarios Nuevos:</w:t>
            </w:r>
          </w:p>
          <w:p w14:paraId="33CFEEE4" w14:textId="3DB08086" w:rsidR="005B5734" w:rsidRPr="00D936CA" w:rsidRDefault="005B5734" w:rsidP="00D936CA">
            <w:pPr>
              <w:pStyle w:val="IFTnormal"/>
              <w:rPr>
                <w:rFonts w:cs="Arial"/>
                <w:sz w:val="20"/>
                <w:szCs w:val="20"/>
              </w:rPr>
            </w:pPr>
            <w:r w:rsidRPr="00D936CA">
              <w:rPr>
                <w:rFonts w:cs="Arial"/>
                <w:sz w:val="20"/>
                <w:szCs w:val="20"/>
              </w:rPr>
              <w:t xml:space="preserve">Si el usuario tiene acometida (habilitación en un plazo máximo de 5 días hábiles) o no cuenta con ella pero existen recursos de red, se probará la acometida y se remplazará en caso de ser necesario </w:t>
            </w:r>
            <w:r w:rsidRPr="00D936CA">
              <w:rPr>
                <w:rFonts w:cs="Arial"/>
                <w:sz w:val="20"/>
                <w:szCs w:val="20"/>
              </w:rPr>
              <w:lastRenderedPageBreak/>
              <w:t>(habilitación en un plazo máximo de 7 días hábiles)*.</w:t>
            </w:r>
          </w:p>
          <w:p w14:paraId="33CFEEE5" w14:textId="77777777" w:rsidR="005B5734" w:rsidRPr="00D936CA" w:rsidRDefault="005B5734" w:rsidP="00D936CA">
            <w:pPr>
              <w:pStyle w:val="IFTnormal"/>
              <w:numPr>
                <w:ilvl w:val="0"/>
                <w:numId w:val="114"/>
              </w:numPr>
              <w:rPr>
                <w:sz w:val="20"/>
                <w:szCs w:val="20"/>
              </w:rPr>
            </w:pPr>
            <w:r w:rsidRPr="00D936CA">
              <w:rPr>
                <w:sz w:val="20"/>
                <w:szCs w:val="20"/>
              </w:rPr>
              <w:t>Se habilita el servicio por parte del CS.</w:t>
            </w:r>
          </w:p>
          <w:p w14:paraId="33CFEEE6" w14:textId="77777777" w:rsidR="005B5734" w:rsidRPr="00D936CA" w:rsidRDefault="005B5734" w:rsidP="00D936CA">
            <w:pPr>
              <w:pStyle w:val="IFTnormal"/>
              <w:rPr>
                <w:sz w:val="20"/>
                <w:szCs w:val="20"/>
              </w:rPr>
            </w:pPr>
            <w:r w:rsidRPr="00D936CA">
              <w:rPr>
                <w:sz w:val="18"/>
                <w:szCs w:val="20"/>
              </w:rPr>
              <w:t>* Se deberá seguir el procedimiento de Citas para la instalación de servicios establecido en la contratación de Servicios de Reventa de Línea.</w:t>
            </w:r>
          </w:p>
        </w:tc>
      </w:tr>
      <w:tr w:rsidR="00D936CA" w:rsidRPr="00D936CA" w14:paraId="33CFEEEC" w14:textId="77777777" w:rsidTr="00060B2E">
        <w:tc>
          <w:tcPr>
            <w:tcW w:w="1446" w:type="pct"/>
          </w:tcPr>
          <w:p w14:paraId="33CFEEE8" w14:textId="77777777" w:rsidR="005B5734" w:rsidRPr="00D936CA" w:rsidRDefault="005B5734" w:rsidP="00D936CA">
            <w:pPr>
              <w:pStyle w:val="IFTnormal"/>
              <w:jc w:val="left"/>
              <w:rPr>
                <w:b/>
                <w:sz w:val="20"/>
                <w:szCs w:val="20"/>
              </w:rPr>
            </w:pPr>
            <w:r w:rsidRPr="00D936CA">
              <w:rPr>
                <w:b/>
                <w:sz w:val="20"/>
                <w:szCs w:val="20"/>
              </w:rPr>
              <w:lastRenderedPageBreak/>
              <w:t>Pruebas de Aceptación del Servicio</w:t>
            </w:r>
          </w:p>
        </w:tc>
        <w:tc>
          <w:tcPr>
            <w:tcW w:w="3554" w:type="pct"/>
          </w:tcPr>
          <w:p w14:paraId="33CFEEE9" w14:textId="1903C488" w:rsidR="005B5734" w:rsidRPr="00D936CA" w:rsidRDefault="005B5734" w:rsidP="00D936CA">
            <w:pPr>
              <w:pStyle w:val="IFTnormal"/>
              <w:rPr>
                <w:sz w:val="20"/>
                <w:szCs w:val="20"/>
              </w:rPr>
            </w:pPr>
            <w:r w:rsidRPr="00D936CA">
              <w:rPr>
                <w:sz w:val="20"/>
                <w:szCs w:val="20"/>
              </w:rPr>
              <w:t xml:space="preserve">Una vez habilitado el servicio, se ejecutarán las pruebas correspondientes para validar que el servicio ha sido instalado y habilitado de conformidad, el CS tendrá un tiempo máximo de 30 minutos una vez notificada la ejecución del puente y </w:t>
            </w:r>
            <w:r w:rsidR="007A4385">
              <w:rPr>
                <w:sz w:val="20"/>
                <w:szCs w:val="20"/>
              </w:rPr>
              <w:t xml:space="preserve">deberá </w:t>
            </w:r>
            <w:r w:rsidRPr="00D936CA">
              <w:rPr>
                <w:sz w:val="20"/>
                <w:szCs w:val="20"/>
              </w:rPr>
              <w:t>comunicarse al 01800-4040734 para asegurarse que el servicio está operando de manera correct</w:t>
            </w:r>
            <w:r w:rsidR="00E04B63">
              <w:rPr>
                <w:sz w:val="20"/>
                <w:szCs w:val="20"/>
              </w:rPr>
              <w:t>a</w:t>
            </w:r>
            <w:r w:rsidRPr="00D936CA">
              <w:rPr>
                <w:sz w:val="20"/>
                <w:szCs w:val="20"/>
              </w:rPr>
              <w:t xml:space="preserve"> o reportar cualquier anomalía</w:t>
            </w:r>
            <w:r w:rsidR="007A4385">
              <w:rPr>
                <w:sz w:val="20"/>
                <w:szCs w:val="20"/>
              </w:rPr>
              <w:t>, de lo contrario se entenderá que el servicio está operando correctamente</w:t>
            </w:r>
            <w:r w:rsidRPr="00D936CA">
              <w:rPr>
                <w:sz w:val="20"/>
                <w:szCs w:val="20"/>
              </w:rPr>
              <w:t>.</w:t>
            </w:r>
          </w:p>
          <w:p w14:paraId="33CFEEEA" w14:textId="4A869F18" w:rsidR="005B5734" w:rsidRPr="00D936CA" w:rsidRDefault="005B5734" w:rsidP="00D936CA">
            <w:pPr>
              <w:pStyle w:val="IFTnormal"/>
              <w:numPr>
                <w:ilvl w:val="0"/>
                <w:numId w:val="102"/>
              </w:numPr>
              <w:ind w:left="318" w:hanging="284"/>
              <w:rPr>
                <w:sz w:val="20"/>
                <w:szCs w:val="20"/>
              </w:rPr>
            </w:pPr>
            <w:r w:rsidRPr="00D936CA">
              <w:rPr>
                <w:sz w:val="20"/>
                <w:szCs w:val="20"/>
              </w:rPr>
              <w:t>Los resultados de las pruebas realizadas se registrarán en el SEG, para que el CS pueda consultarlas.</w:t>
            </w:r>
          </w:p>
          <w:p w14:paraId="33CFEEEB" w14:textId="77777777" w:rsidR="005B5734" w:rsidRPr="00D936CA" w:rsidRDefault="005B5734" w:rsidP="00D936CA">
            <w:pPr>
              <w:pStyle w:val="IFTnormal"/>
              <w:numPr>
                <w:ilvl w:val="0"/>
                <w:numId w:val="102"/>
              </w:numPr>
              <w:ind w:left="318" w:hanging="284"/>
              <w:rPr>
                <w:sz w:val="20"/>
                <w:szCs w:val="20"/>
              </w:rPr>
            </w:pPr>
            <w:r w:rsidRPr="00D936CA">
              <w:rPr>
                <w:sz w:val="20"/>
                <w:szCs w:val="20"/>
              </w:rPr>
              <w:t>Se notifica al CS para que realice todas las adecuaciones necesarias para configurar el servicio en su red.</w:t>
            </w:r>
          </w:p>
        </w:tc>
      </w:tr>
      <w:tr w:rsidR="00D936CA" w:rsidRPr="00D936CA" w14:paraId="33CFEEF1" w14:textId="77777777" w:rsidTr="00060B2E">
        <w:tc>
          <w:tcPr>
            <w:tcW w:w="1446" w:type="pct"/>
          </w:tcPr>
          <w:p w14:paraId="33CFEEED" w14:textId="77777777" w:rsidR="005B5734" w:rsidRPr="00D936CA" w:rsidRDefault="005B5734" w:rsidP="00D936CA">
            <w:pPr>
              <w:pStyle w:val="IFTnormal"/>
              <w:jc w:val="left"/>
              <w:rPr>
                <w:b/>
                <w:sz w:val="20"/>
                <w:szCs w:val="20"/>
              </w:rPr>
            </w:pPr>
            <w:r w:rsidRPr="00D936CA">
              <w:rPr>
                <w:b/>
                <w:sz w:val="20"/>
                <w:szCs w:val="20"/>
              </w:rPr>
              <w:t>Facturación</w:t>
            </w:r>
          </w:p>
        </w:tc>
        <w:tc>
          <w:tcPr>
            <w:tcW w:w="3554" w:type="pct"/>
          </w:tcPr>
          <w:p w14:paraId="33CFEEEE" w14:textId="77777777" w:rsidR="005B5734" w:rsidRPr="00D936CA" w:rsidRDefault="005B5734" w:rsidP="00D936CA">
            <w:pPr>
              <w:pStyle w:val="IFTnormal"/>
              <w:rPr>
                <w:sz w:val="20"/>
                <w:szCs w:val="20"/>
              </w:rPr>
            </w:pPr>
            <w:r w:rsidRPr="00D936CA">
              <w:rPr>
                <w:sz w:val="20"/>
                <w:szCs w:val="20"/>
              </w:rPr>
              <w:t>Al corte del mes se realizará la facturación aplicable al servicio:</w:t>
            </w:r>
          </w:p>
          <w:p w14:paraId="33CFEEEF" w14:textId="77777777" w:rsidR="005B5734" w:rsidRPr="00D936CA" w:rsidRDefault="005B5734"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EEF0" w14:textId="77777777" w:rsidR="005B5734" w:rsidRPr="00D936CA" w:rsidRDefault="005B5734"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EF2" w14:textId="77777777" w:rsidR="005E167C" w:rsidRPr="00D936CA" w:rsidRDefault="005E167C"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Notas: </w:t>
      </w:r>
    </w:p>
    <w:p w14:paraId="33CFEEF3" w14:textId="77777777" w:rsidR="005E167C" w:rsidRPr="00D936CA" w:rsidRDefault="005E167C" w:rsidP="00060B2E">
      <w:pPr>
        <w:autoSpaceDE w:val="0"/>
        <w:autoSpaceDN w:val="0"/>
        <w:adjustRightInd w:val="0"/>
        <w:spacing w:after="200" w:line="276" w:lineRule="auto"/>
        <w:ind w:left="-567" w:right="-142"/>
        <w:jc w:val="both"/>
        <w:rPr>
          <w:rFonts w:ascii="ITC Avant Garde" w:hAnsi="ITC Avant Garde"/>
          <w:sz w:val="22"/>
          <w:szCs w:val="22"/>
        </w:rPr>
      </w:pPr>
      <w:r w:rsidRPr="00021555">
        <w:rPr>
          <w:rFonts w:ascii="ITC Avant Garde" w:hAnsi="ITC Avant Garde"/>
          <w:sz w:val="22"/>
          <w:szCs w:val="22"/>
        </w:rPr>
        <w:t>Para garantizar la continuidad del servicio el CS deberá otorgar un número telefónico en el que desee recibir el servicio al momento de la desagregación efectiva. Una vez que se ha habilitado el servicio de desagregación, el CS deberá iniciar con el procedimiento de la portabilidad (en caso de aplicar), de acuerdo con los plazos regulados de dicho servicio</w:t>
      </w:r>
      <w:r w:rsidRPr="00021555">
        <w:rPr>
          <w:rStyle w:val="Refdenotaalpie"/>
          <w:rFonts w:ascii="ITC Avant Garde" w:hAnsi="ITC Avant Garde"/>
          <w:sz w:val="22"/>
          <w:szCs w:val="22"/>
        </w:rPr>
        <w:footnoteReference w:id="44"/>
      </w:r>
      <w:r w:rsidRPr="00021555">
        <w:rPr>
          <w:rFonts w:ascii="ITC Avant Garde" w:hAnsi="ITC Avant Garde"/>
          <w:sz w:val="22"/>
          <w:szCs w:val="22"/>
        </w:rPr>
        <w:t>.</w:t>
      </w:r>
      <w:r w:rsidRPr="00D936CA">
        <w:rPr>
          <w:rFonts w:ascii="ITC Avant Garde" w:hAnsi="ITC Avant Garde"/>
          <w:sz w:val="22"/>
          <w:szCs w:val="22"/>
        </w:rPr>
        <w:t xml:space="preserve"> </w:t>
      </w:r>
    </w:p>
    <w:p w14:paraId="33CFEEF4" w14:textId="56B0B9BD" w:rsidR="005E167C" w:rsidRPr="00D936CA" w:rsidRDefault="005E167C"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 instalación del </w:t>
      </w:r>
      <w:r w:rsidR="00DB6F9C" w:rsidRPr="00D936CA">
        <w:rPr>
          <w:rFonts w:ascii="ITC Avant Garde" w:hAnsi="ITC Avant Garde"/>
          <w:sz w:val="22"/>
          <w:szCs w:val="22"/>
        </w:rPr>
        <w:t>m</w:t>
      </w:r>
      <w:r w:rsidRPr="00D936CA">
        <w:rPr>
          <w:rFonts w:ascii="ITC Avant Garde" w:hAnsi="ITC Avant Garde"/>
          <w:sz w:val="22"/>
          <w:szCs w:val="22"/>
        </w:rPr>
        <w:t>ódem/ONT y la provisión de los servicios de telecomunicaciones, son responsabilidad del CS.</w:t>
      </w:r>
    </w:p>
    <w:p w14:paraId="33CFEEF5" w14:textId="3EF61B4C" w:rsidR="005B5734" w:rsidRPr="00D936CA" w:rsidRDefault="005B5734" w:rsidP="00060B2E">
      <w:pPr>
        <w:pStyle w:val="IFTnormal"/>
        <w:ind w:left="-567" w:right="-142"/>
      </w:pPr>
      <w:r w:rsidRPr="00D936CA">
        <w:t>Asimismo</w:t>
      </w:r>
      <w:r w:rsidR="00842F16">
        <w:t>,</w:t>
      </w:r>
      <w:r w:rsidRPr="00D936CA">
        <w:t xml:space="preserve"> se debe considerar que el cambio de Concesionario deberá ser transparente para el usuario final, es decir, en caso de afectación del servicio deberá considerarse como máximo un plazo de 30 min</w:t>
      </w:r>
      <w:r w:rsidR="009C6C0B">
        <w:t>utos</w:t>
      </w:r>
      <w:r w:rsidRPr="00D936CA">
        <w:t>.</w:t>
      </w:r>
    </w:p>
    <w:p w14:paraId="33CFEEF6" w14:textId="77777777" w:rsidR="005B5734" w:rsidRPr="00D936CA" w:rsidRDefault="005B5734" w:rsidP="00060B2E">
      <w:pPr>
        <w:pStyle w:val="IFTnormal"/>
        <w:ind w:left="-567" w:right="-142"/>
        <w:rPr>
          <w:b/>
        </w:rPr>
      </w:pPr>
      <w:r w:rsidRPr="00D936CA">
        <w:rPr>
          <w:b/>
        </w:rPr>
        <w:lastRenderedPageBreak/>
        <w:t>Citas para la instalación de servicios:</w:t>
      </w:r>
    </w:p>
    <w:p w14:paraId="33CFEEF7" w14:textId="77777777" w:rsidR="005B5734" w:rsidRPr="00D936CA" w:rsidRDefault="005B5734" w:rsidP="00060B2E">
      <w:pPr>
        <w:pStyle w:val="IFTnormal"/>
        <w:ind w:left="-567" w:right="-142"/>
      </w:pPr>
      <w:r w:rsidRPr="00D936CA">
        <w:t>Este procedimiento indica la forma en la que se agendarán las citas para atender servicios que requieran la presencia de un técnico de Telmex en el domicilio del Usuario Final.</w:t>
      </w:r>
    </w:p>
    <w:tbl>
      <w:tblPr>
        <w:tblStyle w:val="Tablaconcuadrcula"/>
        <w:tblW w:w="0" w:type="auto"/>
        <w:tblInd w:w="-431" w:type="dxa"/>
        <w:tblLook w:val="04A0" w:firstRow="1" w:lastRow="0" w:firstColumn="1" w:lastColumn="0" w:noHBand="0" w:noVBand="1"/>
      </w:tblPr>
      <w:tblGrid>
        <w:gridCol w:w="3545"/>
        <w:gridCol w:w="6232"/>
      </w:tblGrid>
      <w:tr w:rsidR="00D936CA" w:rsidRPr="00D936CA" w14:paraId="33CFEEFA" w14:textId="77777777" w:rsidTr="00060B2E">
        <w:tc>
          <w:tcPr>
            <w:tcW w:w="3545" w:type="dxa"/>
          </w:tcPr>
          <w:p w14:paraId="33CFEEF8" w14:textId="77777777" w:rsidR="005B5734" w:rsidRPr="00D936CA" w:rsidRDefault="005B5734" w:rsidP="00060B2E">
            <w:pPr>
              <w:pStyle w:val="IFTnormal"/>
              <w:jc w:val="center"/>
              <w:rPr>
                <w:b/>
                <w:sz w:val="20"/>
                <w:szCs w:val="20"/>
              </w:rPr>
            </w:pPr>
            <w:r w:rsidRPr="00D936CA">
              <w:rPr>
                <w:b/>
                <w:sz w:val="20"/>
                <w:szCs w:val="20"/>
              </w:rPr>
              <w:t>Actividad</w:t>
            </w:r>
          </w:p>
        </w:tc>
        <w:tc>
          <w:tcPr>
            <w:tcW w:w="6232" w:type="dxa"/>
          </w:tcPr>
          <w:p w14:paraId="33CFEEF9" w14:textId="77777777" w:rsidR="005B5734" w:rsidRPr="00D936CA" w:rsidRDefault="005B5734" w:rsidP="00060B2E">
            <w:pPr>
              <w:pStyle w:val="IFTnormal"/>
              <w:jc w:val="center"/>
              <w:rPr>
                <w:b/>
                <w:sz w:val="20"/>
                <w:szCs w:val="20"/>
              </w:rPr>
            </w:pPr>
            <w:r w:rsidRPr="00D936CA">
              <w:rPr>
                <w:b/>
                <w:sz w:val="20"/>
                <w:szCs w:val="20"/>
              </w:rPr>
              <w:t>Descripción</w:t>
            </w:r>
          </w:p>
        </w:tc>
      </w:tr>
      <w:tr w:rsidR="00D936CA" w:rsidRPr="00D936CA" w14:paraId="33CFEEFD" w14:textId="77777777" w:rsidTr="00060B2E">
        <w:tc>
          <w:tcPr>
            <w:tcW w:w="3545" w:type="dxa"/>
          </w:tcPr>
          <w:p w14:paraId="33CFEEFB" w14:textId="77777777" w:rsidR="005B5734" w:rsidRPr="00D936CA" w:rsidRDefault="005B5734" w:rsidP="00D936CA">
            <w:pPr>
              <w:pStyle w:val="IFTnormal"/>
              <w:rPr>
                <w:b/>
                <w:sz w:val="20"/>
                <w:szCs w:val="20"/>
              </w:rPr>
            </w:pPr>
            <w:r w:rsidRPr="00D936CA">
              <w:rPr>
                <w:b/>
                <w:sz w:val="20"/>
                <w:szCs w:val="20"/>
              </w:rPr>
              <w:t>Programación de visita</w:t>
            </w:r>
          </w:p>
        </w:tc>
        <w:tc>
          <w:tcPr>
            <w:tcW w:w="6232" w:type="dxa"/>
          </w:tcPr>
          <w:p w14:paraId="33CFEEFC" w14:textId="5679EC92" w:rsidR="005B5734" w:rsidRPr="00D936CA" w:rsidRDefault="00F644F3" w:rsidP="00D936CA">
            <w:pPr>
              <w:pStyle w:val="IFTnormal"/>
              <w:rPr>
                <w:sz w:val="20"/>
                <w:szCs w:val="20"/>
              </w:rPr>
            </w:pPr>
            <w:r>
              <w:rPr>
                <w:sz w:val="20"/>
                <w:szCs w:val="20"/>
              </w:rPr>
              <w:t>D</w:t>
            </w:r>
            <w:r w:rsidRPr="00F644F3">
              <w:rPr>
                <w:sz w:val="20"/>
                <w:szCs w:val="20"/>
              </w:rPr>
              <w:t xml:space="preserve">e acuerdo con las prácticas comerciales de Telmex </w:t>
            </w:r>
            <w:r>
              <w:rPr>
                <w:sz w:val="20"/>
                <w:szCs w:val="20"/>
              </w:rPr>
              <w:t>y</w:t>
            </w:r>
            <w:r w:rsidRPr="00F644F3">
              <w:rPr>
                <w:sz w:val="20"/>
                <w:szCs w:val="20"/>
              </w:rPr>
              <w:t xml:space="preserve"> en los mismos términos y condiciones que</w:t>
            </w:r>
            <w:r>
              <w:rPr>
                <w:sz w:val="20"/>
                <w:szCs w:val="20"/>
              </w:rPr>
              <w:t xml:space="preserve"> </w:t>
            </w:r>
            <w:r w:rsidRPr="00F644F3">
              <w:rPr>
                <w:sz w:val="20"/>
                <w:szCs w:val="20"/>
              </w:rPr>
              <w:t>sus propias operaciones</w:t>
            </w:r>
            <w:r>
              <w:rPr>
                <w:sz w:val="20"/>
                <w:szCs w:val="20"/>
              </w:rPr>
              <w:t>,</w:t>
            </w:r>
            <w:r w:rsidRPr="00F644F3">
              <w:rPr>
                <w:sz w:val="20"/>
                <w:szCs w:val="20"/>
              </w:rPr>
              <w:t xml:space="preserve"> </w:t>
            </w:r>
            <w:r w:rsidR="005B5734" w:rsidRPr="00D936CA">
              <w:rPr>
                <w:sz w:val="20"/>
                <w:szCs w:val="20"/>
              </w:rPr>
              <w:t xml:space="preserve">Telmex proporcionará fecha y </w:t>
            </w:r>
            <w:r w:rsidR="00A52DA2">
              <w:rPr>
                <w:sz w:val="20"/>
                <w:szCs w:val="20"/>
              </w:rPr>
              <w:t>ventana de tiempo para la atención del servicio (matutino/vespertino)</w:t>
            </w:r>
            <w:r w:rsidR="005B5734" w:rsidRPr="00D936CA">
              <w:rPr>
                <w:sz w:val="20"/>
                <w:szCs w:val="20"/>
              </w:rPr>
              <w:t xml:space="preserve"> para</w:t>
            </w:r>
            <w:r>
              <w:rPr>
                <w:sz w:val="20"/>
                <w:szCs w:val="20"/>
              </w:rPr>
              <w:t xml:space="preserve"> la</w:t>
            </w:r>
            <w:r w:rsidR="005B5734" w:rsidRPr="00D936CA">
              <w:rPr>
                <w:sz w:val="20"/>
                <w:szCs w:val="20"/>
              </w:rPr>
              <w:t xml:space="preserve"> instalación una vez confirmada la Factibilidad Técnica</w:t>
            </w:r>
            <w:r w:rsidR="00005FFF">
              <w:rPr>
                <w:sz w:val="20"/>
                <w:szCs w:val="20"/>
              </w:rPr>
              <w:t xml:space="preserve"> con base en la capacidad de atención de los técnicos</w:t>
            </w:r>
            <w:r>
              <w:rPr>
                <w:sz w:val="20"/>
                <w:szCs w:val="20"/>
              </w:rPr>
              <w:t xml:space="preserve"> por </w:t>
            </w:r>
            <w:r w:rsidR="00317F07">
              <w:rPr>
                <w:sz w:val="20"/>
                <w:szCs w:val="20"/>
              </w:rPr>
              <w:t>tuno.</w:t>
            </w:r>
          </w:p>
        </w:tc>
      </w:tr>
      <w:tr w:rsidR="00D936CA" w:rsidRPr="00D936CA" w14:paraId="33CFEF00" w14:textId="77777777" w:rsidTr="00060B2E">
        <w:tc>
          <w:tcPr>
            <w:tcW w:w="3545" w:type="dxa"/>
          </w:tcPr>
          <w:p w14:paraId="33CFEEFE" w14:textId="77777777" w:rsidR="005B5734" w:rsidRPr="00D936CA" w:rsidRDefault="005B5734" w:rsidP="00D936CA">
            <w:pPr>
              <w:pStyle w:val="IFTnormal"/>
              <w:rPr>
                <w:b/>
                <w:sz w:val="20"/>
                <w:szCs w:val="20"/>
              </w:rPr>
            </w:pPr>
            <w:r w:rsidRPr="00D936CA">
              <w:rPr>
                <w:b/>
                <w:sz w:val="20"/>
                <w:szCs w:val="20"/>
              </w:rPr>
              <w:t>Confirmación de visita</w:t>
            </w:r>
          </w:p>
        </w:tc>
        <w:tc>
          <w:tcPr>
            <w:tcW w:w="6232" w:type="dxa"/>
          </w:tcPr>
          <w:p w14:paraId="33CFEEFF" w14:textId="7B1617CB" w:rsidR="005B5734" w:rsidRPr="00D936CA" w:rsidRDefault="005B5734" w:rsidP="00D936CA">
            <w:pPr>
              <w:pStyle w:val="IFTnormal"/>
              <w:rPr>
                <w:sz w:val="20"/>
                <w:szCs w:val="20"/>
              </w:rPr>
            </w:pPr>
            <w:r w:rsidRPr="00D936CA">
              <w:rPr>
                <w:sz w:val="20"/>
                <w:szCs w:val="20"/>
              </w:rPr>
              <w:t xml:space="preserve">El CS podrá confirmar la fecha y </w:t>
            </w:r>
            <w:r w:rsidR="00A52DA2">
              <w:rPr>
                <w:sz w:val="20"/>
                <w:szCs w:val="20"/>
              </w:rPr>
              <w:t>ventana de tiempo para la atención del servicio (matutino/vespertino)</w:t>
            </w:r>
            <w:r w:rsidRPr="00D936CA">
              <w:rPr>
                <w:sz w:val="20"/>
                <w:szCs w:val="20"/>
              </w:rPr>
              <w:t xml:space="preserve"> proporcionados por Telmex o sugerir </w:t>
            </w:r>
            <w:r w:rsidR="00A52DA2">
              <w:rPr>
                <w:sz w:val="20"/>
                <w:szCs w:val="20"/>
              </w:rPr>
              <w:t>otra ventana</w:t>
            </w:r>
            <w:r w:rsidRPr="00D936CA">
              <w:rPr>
                <w:sz w:val="20"/>
                <w:szCs w:val="20"/>
              </w:rPr>
              <w:t xml:space="preserve"> y/o fecha para instalación.</w:t>
            </w:r>
          </w:p>
        </w:tc>
      </w:tr>
      <w:tr w:rsidR="00D936CA" w:rsidRPr="00D936CA" w14:paraId="33CFEF03" w14:textId="77777777" w:rsidTr="00060B2E">
        <w:tc>
          <w:tcPr>
            <w:tcW w:w="3545" w:type="dxa"/>
          </w:tcPr>
          <w:p w14:paraId="33CFEF01" w14:textId="77777777" w:rsidR="005B5734" w:rsidRPr="00D936CA" w:rsidRDefault="005B5734" w:rsidP="00D936CA">
            <w:pPr>
              <w:pStyle w:val="IFTnormal"/>
              <w:rPr>
                <w:b/>
                <w:sz w:val="20"/>
                <w:szCs w:val="20"/>
              </w:rPr>
            </w:pPr>
            <w:r w:rsidRPr="00D936CA">
              <w:rPr>
                <w:b/>
                <w:sz w:val="20"/>
                <w:szCs w:val="20"/>
              </w:rPr>
              <w:t>Reprogramación de visita</w:t>
            </w:r>
          </w:p>
        </w:tc>
        <w:tc>
          <w:tcPr>
            <w:tcW w:w="6232" w:type="dxa"/>
          </w:tcPr>
          <w:p w14:paraId="33CFEF02" w14:textId="199BCE38" w:rsidR="005B5734" w:rsidRPr="00D936CA" w:rsidRDefault="005B5734" w:rsidP="00D936CA">
            <w:pPr>
              <w:pStyle w:val="IFTnormal"/>
              <w:rPr>
                <w:sz w:val="20"/>
                <w:szCs w:val="20"/>
              </w:rPr>
            </w:pPr>
            <w:r w:rsidRPr="00D936CA">
              <w:rPr>
                <w:sz w:val="20"/>
                <w:szCs w:val="20"/>
              </w:rPr>
              <w:t xml:space="preserve">El CS tendrá hasta 3 oportunidades de programar la instalación antes de que Telmex asista por primera vez al domicilio del Usuario Final, </w:t>
            </w:r>
            <w:r w:rsidR="00005FFF" w:rsidRPr="00A350CB">
              <w:rPr>
                <w:sz w:val="20"/>
                <w:szCs w:val="20"/>
              </w:rPr>
              <w:t xml:space="preserve">para lo cual deberá dar aviso a Telmex con al menos </w:t>
            </w:r>
            <w:r w:rsidR="00005FFF" w:rsidRPr="00793025">
              <w:rPr>
                <w:sz w:val="20"/>
                <w:szCs w:val="20"/>
              </w:rPr>
              <w:t>48 horas de anticipación,</w:t>
            </w:r>
            <w:r w:rsidR="00005FFF">
              <w:rPr>
                <w:sz w:val="20"/>
                <w:szCs w:val="20"/>
              </w:rPr>
              <w:t xml:space="preserve"> </w:t>
            </w:r>
            <w:r w:rsidRPr="00D936CA">
              <w:rPr>
                <w:sz w:val="20"/>
                <w:szCs w:val="20"/>
              </w:rPr>
              <w:t>si la fecha de programación excede los plazos estipulados en la Oferta de Referencia, dicha instalación no se considerará para la evaluación de los indicadores de calidad.</w:t>
            </w:r>
          </w:p>
        </w:tc>
      </w:tr>
      <w:tr w:rsidR="00D936CA" w:rsidRPr="00D936CA" w14:paraId="33CFEF0F" w14:textId="77777777" w:rsidTr="00060B2E">
        <w:tc>
          <w:tcPr>
            <w:tcW w:w="3545" w:type="dxa"/>
          </w:tcPr>
          <w:p w14:paraId="33CFEF04" w14:textId="77777777" w:rsidR="005B5734" w:rsidRPr="00D936CA" w:rsidRDefault="005B5734" w:rsidP="00D936CA">
            <w:pPr>
              <w:pStyle w:val="IFTnormal"/>
              <w:rPr>
                <w:b/>
                <w:sz w:val="20"/>
                <w:szCs w:val="20"/>
              </w:rPr>
            </w:pPr>
            <w:r w:rsidRPr="00D936CA">
              <w:rPr>
                <w:b/>
                <w:sz w:val="20"/>
                <w:szCs w:val="20"/>
              </w:rPr>
              <w:t>Visita en falso</w:t>
            </w:r>
          </w:p>
        </w:tc>
        <w:tc>
          <w:tcPr>
            <w:tcW w:w="6232" w:type="dxa"/>
          </w:tcPr>
          <w:p w14:paraId="33CFEF05" w14:textId="77777777" w:rsidR="005B5734" w:rsidRPr="00D936CA" w:rsidRDefault="005B5734" w:rsidP="00D936CA">
            <w:pPr>
              <w:pStyle w:val="IFTnormal"/>
              <w:rPr>
                <w:sz w:val="20"/>
                <w:szCs w:val="20"/>
              </w:rPr>
            </w:pPr>
            <w:r w:rsidRPr="00D936CA">
              <w:rPr>
                <w:b/>
                <w:sz w:val="20"/>
                <w:szCs w:val="20"/>
              </w:rPr>
              <w:t>Atribuible a CS o Usuario Final</w:t>
            </w:r>
            <w:r w:rsidRPr="00D936CA">
              <w:rPr>
                <w:sz w:val="20"/>
                <w:szCs w:val="20"/>
              </w:rPr>
              <w:t xml:space="preserve">. En caso de que Telmex se presente en el domicilio del Usuario Final y no sea factible probar la acometida y habilitar el servicio por razones asociadas al usuario o al CS, Telmex desde el sitio (fuera del domicilio) contactará al CS para informar que el usuario no lo atendió o no se encontró en el domicilio, Telmex esperará </w:t>
            </w:r>
            <w:r w:rsidRPr="00A350CB">
              <w:rPr>
                <w:sz w:val="20"/>
                <w:szCs w:val="20"/>
              </w:rPr>
              <w:t>al menos 15 minutos</w:t>
            </w:r>
            <w:r w:rsidRPr="00D936CA">
              <w:rPr>
                <w:sz w:val="20"/>
                <w:szCs w:val="20"/>
              </w:rPr>
              <w:t xml:space="preserve"> para realizar la prueba y habilitar el servicio, el CS tendrá ese tiempo para solucionar la situación con su usuario. Si durante este periodo no fue posible ejecutar la prueba de la cometida y habilitación del servicio, el CS deberá:</w:t>
            </w:r>
          </w:p>
          <w:p w14:paraId="33CFEF06" w14:textId="77777777" w:rsidR="005B5734" w:rsidRPr="00D936CA" w:rsidRDefault="005B5734" w:rsidP="00D936CA">
            <w:pPr>
              <w:pStyle w:val="IFTnormal"/>
              <w:numPr>
                <w:ilvl w:val="0"/>
                <w:numId w:val="103"/>
              </w:numPr>
              <w:rPr>
                <w:sz w:val="20"/>
                <w:szCs w:val="20"/>
              </w:rPr>
            </w:pPr>
            <w:r w:rsidRPr="00D936CA">
              <w:rPr>
                <w:sz w:val="20"/>
                <w:szCs w:val="20"/>
              </w:rPr>
              <w:t>Cubrir los gastos de la visita en falso.</w:t>
            </w:r>
          </w:p>
          <w:p w14:paraId="33CFEF07" w14:textId="77777777" w:rsidR="005B5734" w:rsidRPr="00D936CA" w:rsidRDefault="005B5734" w:rsidP="00D936CA">
            <w:pPr>
              <w:pStyle w:val="IFTnormal"/>
              <w:numPr>
                <w:ilvl w:val="0"/>
                <w:numId w:val="103"/>
              </w:numPr>
              <w:rPr>
                <w:sz w:val="20"/>
                <w:szCs w:val="20"/>
              </w:rPr>
            </w:pPr>
            <w:r w:rsidRPr="00D936CA">
              <w:rPr>
                <w:sz w:val="20"/>
                <w:szCs w:val="20"/>
              </w:rPr>
              <w:t>Indicar si desea realizar la reprogramación de la prueba y habilitación del servicio.</w:t>
            </w:r>
          </w:p>
          <w:p w14:paraId="33CFEF08" w14:textId="77777777" w:rsidR="005B5734" w:rsidRPr="00D936CA" w:rsidRDefault="005B5734" w:rsidP="00D936CA">
            <w:pPr>
              <w:pStyle w:val="IFTnormal"/>
              <w:numPr>
                <w:ilvl w:val="0"/>
                <w:numId w:val="103"/>
              </w:numPr>
              <w:rPr>
                <w:sz w:val="20"/>
                <w:szCs w:val="20"/>
              </w:rPr>
            </w:pPr>
            <w:r w:rsidRPr="00D936CA">
              <w:rPr>
                <w:sz w:val="20"/>
                <w:szCs w:val="20"/>
              </w:rPr>
              <w:t>Cancelar la solicitud en caso de que desee rechazar el servicio.</w:t>
            </w:r>
          </w:p>
          <w:p w14:paraId="33CFEF09" w14:textId="0942FD69" w:rsidR="005B5734" w:rsidRPr="00D936CA" w:rsidRDefault="005B5734" w:rsidP="00D936CA">
            <w:pPr>
              <w:pStyle w:val="IFTnormal"/>
              <w:rPr>
                <w:sz w:val="20"/>
                <w:szCs w:val="20"/>
              </w:rPr>
            </w:pPr>
            <w:r w:rsidRPr="00D936CA">
              <w:rPr>
                <w:b/>
                <w:sz w:val="20"/>
                <w:szCs w:val="20"/>
              </w:rPr>
              <w:t>Atribuible a Telmex.</w:t>
            </w:r>
            <w:r w:rsidRPr="00D936CA">
              <w:rPr>
                <w:sz w:val="20"/>
                <w:szCs w:val="20"/>
              </w:rPr>
              <w:t xml:space="preserve"> Si por causas atribuibles a Telmex no fue factible realizar la prueba de la acometida y habilitación del </w:t>
            </w:r>
            <w:r w:rsidRPr="00D936CA">
              <w:rPr>
                <w:sz w:val="20"/>
                <w:szCs w:val="20"/>
              </w:rPr>
              <w:lastRenderedPageBreak/>
              <w:t>servicio, se informará al CS a través del SEG la justificación de los motivos descritos en el apartado 1.4.2, y Telmex deberá:</w:t>
            </w:r>
          </w:p>
          <w:p w14:paraId="33CFEF0B" w14:textId="585F1AE0" w:rsidR="005B5734" w:rsidRPr="00D936CA" w:rsidRDefault="00005FFF" w:rsidP="00005FFF">
            <w:pPr>
              <w:pStyle w:val="IFTnormal"/>
              <w:numPr>
                <w:ilvl w:val="0"/>
                <w:numId w:val="104"/>
              </w:numPr>
              <w:rPr>
                <w:sz w:val="20"/>
                <w:szCs w:val="20"/>
              </w:rPr>
            </w:pPr>
            <w:r>
              <w:rPr>
                <w:sz w:val="20"/>
                <w:szCs w:val="20"/>
              </w:rPr>
              <w:t xml:space="preserve">Tramitar en tiempo y forma la </w:t>
            </w:r>
            <w:r w:rsidR="005B5734" w:rsidRPr="00D936CA">
              <w:rPr>
                <w:sz w:val="20"/>
                <w:szCs w:val="20"/>
              </w:rPr>
              <w:t>nueva fecha</w:t>
            </w:r>
            <w:r>
              <w:rPr>
                <w:sz w:val="20"/>
                <w:szCs w:val="20"/>
              </w:rPr>
              <w:t xml:space="preserve"> propuesta por el CS</w:t>
            </w:r>
            <w:r w:rsidR="005B5734" w:rsidRPr="00D936CA">
              <w:rPr>
                <w:sz w:val="20"/>
                <w:szCs w:val="20"/>
              </w:rPr>
              <w:t xml:space="preserve"> para concluir la habilitación del servicio.</w:t>
            </w:r>
          </w:p>
          <w:p w14:paraId="33CFEF0C" w14:textId="77777777" w:rsidR="005B5734" w:rsidRPr="00D936CA" w:rsidRDefault="005B5734" w:rsidP="00D936CA">
            <w:pPr>
              <w:pStyle w:val="IFTnormal"/>
              <w:rPr>
                <w:sz w:val="20"/>
                <w:szCs w:val="20"/>
              </w:rPr>
            </w:pPr>
            <w:r w:rsidRPr="00D936CA">
              <w:rPr>
                <w:b/>
                <w:sz w:val="20"/>
                <w:szCs w:val="20"/>
              </w:rPr>
              <w:t>Tercer visita atribuible a Usuario Final.</w:t>
            </w:r>
            <w:r w:rsidRPr="00D936CA">
              <w:rPr>
                <w:sz w:val="20"/>
                <w:szCs w:val="20"/>
              </w:rPr>
              <w:t xml:space="preserve"> Si no fue posible la instalación de la acometida en la tercera visita o durante los días hábiles programados por razones asociadas al usuario, el CS deberá:</w:t>
            </w:r>
          </w:p>
          <w:p w14:paraId="33CFEF0D" w14:textId="77777777" w:rsidR="005B5734" w:rsidRPr="00D936CA" w:rsidRDefault="005B5734" w:rsidP="00D936CA">
            <w:pPr>
              <w:pStyle w:val="IFTnormal"/>
              <w:numPr>
                <w:ilvl w:val="0"/>
                <w:numId w:val="105"/>
              </w:numPr>
              <w:rPr>
                <w:sz w:val="20"/>
                <w:szCs w:val="20"/>
              </w:rPr>
            </w:pPr>
            <w:r w:rsidRPr="00D936CA">
              <w:rPr>
                <w:sz w:val="20"/>
                <w:szCs w:val="20"/>
              </w:rPr>
              <w:t>Reingresar la solicitud en caso de que desee programar nuevamente la instalación.</w:t>
            </w:r>
          </w:p>
          <w:p w14:paraId="12A7C5FD" w14:textId="77777777" w:rsidR="005B5734" w:rsidRDefault="005B5734" w:rsidP="00D936CA">
            <w:pPr>
              <w:pStyle w:val="IFTnormal"/>
              <w:numPr>
                <w:ilvl w:val="0"/>
                <w:numId w:val="105"/>
              </w:numPr>
              <w:rPr>
                <w:sz w:val="20"/>
                <w:szCs w:val="20"/>
              </w:rPr>
            </w:pPr>
            <w:r w:rsidRPr="00D936CA">
              <w:rPr>
                <w:sz w:val="20"/>
                <w:szCs w:val="20"/>
              </w:rPr>
              <w:t>Cancelar la solicitud en caso de que desee rechazar el servicio.</w:t>
            </w:r>
          </w:p>
          <w:p w14:paraId="33CFEF0E" w14:textId="5C3F67E5" w:rsidR="00005FFF" w:rsidRPr="00D936CA" w:rsidRDefault="00005FFF" w:rsidP="00060B2E">
            <w:pPr>
              <w:pStyle w:val="IFTnormal"/>
              <w:rPr>
                <w:sz w:val="20"/>
                <w:szCs w:val="20"/>
              </w:rPr>
            </w:pPr>
            <w:r w:rsidRPr="00A350CB">
              <w:rPr>
                <w:sz w:val="20"/>
                <w:szCs w:val="20"/>
              </w:rPr>
              <w:t xml:space="preserve">En caso de que el CS no reingrese la solicitud o la cancele en un plazo máximo de </w:t>
            </w:r>
            <w:r w:rsidR="00A350CB" w:rsidRPr="00060B2E">
              <w:rPr>
                <w:sz w:val="20"/>
                <w:szCs w:val="20"/>
              </w:rPr>
              <w:t>2</w:t>
            </w:r>
            <w:r w:rsidRPr="00A350CB">
              <w:rPr>
                <w:sz w:val="20"/>
                <w:szCs w:val="20"/>
              </w:rPr>
              <w:t xml:space="preserve"> días hábiles, se entenderá que no requiere el servicio y se cancelará la solicitud.</w:t>
            </w:r>
          </w:p>
        </w:tc>
      </w:tr>
    </w:tbl>
    <w:p w14:paraId="33CFEF10" w14:textId="77777777" w:rsidR="005B5734" w:rsidRPr="00D936CA" w:rsidRDefault="005B5734" w:rsidP="00060B2E">
      <w:pPr>
        <w:pStyle w:val="IFTnormal"/>
        <w:ind w:left="-567"/>
        <w:rPr>
          <w:b/>
        </w:rPr>
      </w:pPr>
      <w:r w:rsidRPr="00D936CA">
        <w:rPr>
          <w:b/>
        </w:rPr>
        <w:lastRenderedPageBreak/>
        <w:t>Nota:</w:t>
      </w:r>
    </w:p>
    <w:p w14:paraId="33CFEF11" w14:textId="54541D96" w:rsidR="005B5734" w:rsidRPr="00D936CA" w:rsidRDefault="005B5734" w:rsidP="00060B2E">
      <w:pPr>
        <w:pStyle w:val="IFTnormal"/>
        <w:ind w:left="-567"/>
      </w:pPr>
      <w:r w:rsidRPr="00D936CA">
        <w:t xml:space="preserve">El registro, modificación y confirmación de fechas y </w:t>
      </w:r>
      <w:r w:rsidR="004D6AE4">
        <w:t>ventanas de atención</w:t>
      </w:r>
      <w:r w:rsidRPr="00D936CA">
        <w:t xml:space="preserve"> se hará a través del </w:t>
      </w:r>
      <w:r w:rsidR="00317F07" w:rsidRPr="00D936CA">
        <w:t xml:space="preserve">SEG </w:t>
      </w:r>
      <w:r w:rsidR="00317F07" w:rsidRPr="00941E7C">
        <w:t>o</w:t>
      </w:r>
      <w:r w:rsidRPr="00941E7C">
        <w:t xml:space="preserve"> al 01800-4040734</w:t>
      </w:r>
      <w:r w:rsidRPr="00D936CA">
        <w:t>.</w:t>
      </w:r>
    </w:p>
    <w:p w14:paraId="33CFEF12" w14:textId="77777777" w:rsidR="005E167C" w:rsidRPr="00D936CA" w:rsidRDefault="005E167C" w:rsidP="00060B2E">
      <w:pPr>
        <w:spacing w:after="200" w:line="276" w:lineRule="auto"/>
        <w:ind w:left="-567"/>
        <w:jc w:val="both"/>
        <w:rPr>
          <w:rFonts w:ascii="ITC Avant Garde" w:hAnsi="ITC Avant Garde" w:cs="Arial"/>
          <w:b/>
          <w:sz w:val="22"/>
          <w:szCs w:val="22"/>
        </w:rPr>
      </w:pPr>
      <w:r w:rsidRPr="00D936CA">
        <w:rPr>
          <w:rFonts w:ascii="ITC Avant Garde" w:hAnsi="ITC Avant Garde" w:cs="Arial"/>
          <w:b/>
          <w:sz w:val="22"/>
          <w:szCs w:val="22"/>
        </w:rPr>
        <w:t>Baja del servicio</w:t>
      </w:r>
    </w:p>
    <w:p w14:paraId="33CFEF13" w14:textId="77777777" w:rsidR="005E167C" w:rsidRPr="00D936CA" w:rsidRDefault="005E167C" w:rsidP="00060B2E">
      <w:pPr>
        <w:spacing w:after="200" w:line="276" w:lineRule="auto"/>
        <w:ind w:left="-567"/>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Desagregación Total y Compartida del Bucle y del Sub-bucle;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 xml:space="preserve">y </w:t>
      </w:r>
      <w:r w:rsidRPr="00D936CA">
        <w:rPr>
          <w:rFonts w:ascii="ITC Avant Garde" w:hAnsi="ITC Avant Garde" w:cs="Arial"/>
          <w:b/>
          <w:sz w:val="22"/>
          <w:szCs w:val="22"/>
        </w:rPr>
        <w:t>(ii)</w:t>
      </w:r>
      <w:r w:rsidRPr="00D936CA">
        <w:rPr>
          <w:rFonts w:ascii="ITC Avant Garde" w:hAnsi="ITC Avant Garde" w:cs="Arial"/>
          <w:sz w:val="22"/>
          <w:szCs w:val="22"/>
        </w:rPr>
        <w:t xml:space="preserve"> Baja del (los) servicio (s) y de la facturación correspondiente.</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EF16" w14:textId="77777777" w:rsidTr="00060B2E">
        <w:tc>
          <w:tcPr>
            <w:tcW w:w="1446" w:type="pct"/>
          </w:tcPr>
          <w:p w14:paraId="33CFEF14"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554" w:type="pct"/>
          </w:tcPr>
          <w:p w14:paraId="33CFEF15"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F19" w14:textId="77777777" w:rsidTr="00060B2E">
        <w:tc>
          <w:tcPr>
            <w:tcW w:w="1446" w:type="pct"/>
          </w:tcPr>
          <w:p w14:paraId="33CFEF17"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554" w:type="pct"/>
          </w:tcPr>
          <w:p w14:paraId="33CFEF18" w14:textId="52FCDDA2" w:rsidR="005B5734" w:rsidRPr="00D936CA" w:rsidRDefault="005B5734"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El CS deberá presentar sus solicitudes en el formato correspondiente a través del SEG, especificando el NIS-Referencia del servicio en operación.</w:t>
            </w:r>
          </w:p>
        </w:tc>
      </w:tr>
      <w:tr w:rsidR="00D936CA" w:rsidRPr="00D936CA" w14:paraId="33CFEF20" w14:textId="77777777" w:rsidTr="00060B2E">
        <w:tc>
          <w:tcPr>
            <w:tcW w:w="1446" w:type="pct"/>
          </w:tcPr>
          <w:p w14:paraId="33CFEF1A"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54" w:type="pct"/>
          </w:tcPr>
          <w:p w14:paraId="33CFEF1B" w14:textId="77777777" w:rsidR="005B5734" w:rsidRPr="00D936CA" w:rsidRDefault="005B5734" w:rsidP="00D936CA">
            <w:pPr>
              <w:pStyle w:val="IFTnormal"/>
              <w:rPr>
                <w:sz w:val="20"/>
                <w:szCs w:val="20"/>
              </w:rPr>
            </w:pPr>
            <w:r w:rsidRPr="00D936CA">
              <w:rPr>
                <w:sz w:val="20"/>
                <w:szCs w:val="20"/>
              </w:rPr>
              <w:t>Una vez enviada la solicitud será validada en un plazo máximo de 1 día hábil, así mismo se asignará de forma automática un número de folio a la solicitud del CS.</w:t>
            </w:r>
          </w:p>
          <w:p w14:paraId="33CFEF1C" w14:textId="77777777" w:rsidR="005B5734" w:rsidRPr="00D936CA" w:rsidRDefault="005B5734" w:rsidP="00D936CA">
            <w:pPr>
              <w:pStyle w:val="IFTnormal"/>
              <w:rPr>
                <w:sz w:val="20"/>
                <w:szCs w:val="20"/>
              </w:rPr>
            </w:pPr>
            <w:r w:rsidRPr="00D936CA">
              <w:rPr>
                <w:sz w:val="20"/>
                <w:szCs w:val="20"/>
              </w:rPr>
              <w:t>Telmex evaluará las solicitudes enviadas por los CS para determinar si:</w:t>
            </w:r>
          </w:p>
          <w:p w14:paraId="33CFEF1D"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xml:space="preserve">, Telmex cambiará el folio previamente </w:t>
            </w:r>
            <w:r w:rsidRPr="00D936CA">
              <w:rPr>
                <w:sz w:val="20"/>
                <w:szCs w:val="20"/>
              </w:rPr>
              <w:lastRenderedPageBreak/>
              <w:t>asignado por el Número de Identificación de Solicitud (NIS).</w:t>
            </w:r>
          </w:p>
          <w:p w14:paraId="33CFEF1E" w14:textId="6B698167" w:rsidR="005B5734" w:rsidRPr="00D936CA" w:rsidRDefault="005B5734" w:rsidP="00D936CA">
            <w:pPr>
              <w:pStyle w:val="IFTnormal"/>
              <w:numPr>
                <w:ilvl w:val="0"/>
                <w:numId w:val="102"/>
              </w:numPr>
              <w:ind w:left="318" w:hanging="318"/>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p w14:paraId="33CFEF1F" w14:textId="499643EE" w:rsidR="005B5734" w:rsidRPr="00D936CA" w:rsidRDefault="001D7EA0" w:rsidP="00D936CA">
            <w:pPr>
              <w:pStyle w:val="IFTnormal"/>
              <w:rPr>
                <w:sz w:val="20"/>
                <w:szCs w:val="20"/>
              </w:rPr>
            </w:pPr>
            <w:r>
              <w:rPr>
                <w:sz w:val="20"/>
                <w:szCs w:val="20"/>
              </w:rPr>
              <w:t>L</w:t>
            </w:r>
            <w:r w:rsidR="005B5734" w:rsidRPr="00D936CA">
              <w:rPr>
                <w:sz w:val="20"/>
                <w:szCs w:val="20"/>
              </w:rPr>
              <w:t>os CS incluyendo Telmex, harán uso de los mismos elementos, herramientas, funcionalidades, información, etc. Una vez validados los campos correspondientes se procederá directamente a la etapa de Ejecución de baja.</w:t>
            </w:r>
          </w:p>
        </w:tc>
      </w:tr>
      <w:tr w:rsidR="00D936CA" w:rsidRPr="00D936CA" w14:paraId="33CFEF23" w14:textId="77777777" w:rsidTr="00060B2E">
        <w:tc>
          <w:tcPr>
            <w:tcW w:w="1446" w:type="pct"/>
          </w:tcPr>
          <w:p w14:paraId="33CFEF21"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Ejecución de baja</w:t>
            </w:r>
          </w:p>
        </w:tc>
        <w:tc>
          <w:tcPr>
            <w:tcW w:w="3554" w:type="pct"/>
          </w:tcPr>
          <w:p w14:paraId="33CFEF22" w14:textId="1D5AE184" w:rsidR="005B5734" w:rsidRPr="00D936CA" w:rsidRDefault="005B5734" w:rsidP="00D936CA">
            <w:pPr>
              <w:pStyle w:val="IFTnormal"/>
              <w:rPr>
                <w:rFonts w:cs="Arial"/>
                <w:sz w:val="20"/>
                <w:szCs w:val="20"/>
              </w:rPr>
            </w:pPr>
            <w:r w:rsidRPr="00D936CA">
              <w:rPr>
                <w:sz w:val="20"/>
                <w:szCs w:val="20"/>
              </w:rPr>
              <w:t>Una vez asignado el Número de Identificación de Solicitud (NIS) Telmex procederá a dar de baja el servicio</w:t>
            </w:r>
            <w:r w:rsidR="00AC4B3D">
              <w:rPr>
                <w:sz w:val="20"/>
                <w:szCs w:val="20"/>
              </w:rPr>
              <w:t>,</w:t>
            </w:r>
            <w:r w:rsidRPr="00D936CA">
              <w:rPr>
                <w:sz w:val="20"/>
                <w:szCs w:val="20"/>
              </w:rPr>
              <w:t xml:space="preserve"> así como los cargos al CS asociados en un máximo de 1 día hábil a partir de la solicitud.</w:t>
            </w:r>
          </w:p>
        </w:tc>
      </w:tr>
      <w:tr w:rsidR="00D936CA" w:rsidRPr="00D936CA" w14:paraId="33CFEF26" w14:textId="77777777" w:rsidTr="00060B2E">
        <w:tc>
          <w:tcPr>
            <w:tcW w:w="1446" w:type="pct"/>
          </w:tcPr>
          <w:p w14:paraId="33CFEF24" w14:textId="77777777" w:rsidR="005B5734" w:rsidRPr="00D936CA" w:rsidRDefault="005B5734" w:rsidP="00D936CA">
            <w:pPr>
              <w:pStyle w:val="IFTnormal"/>
              <w:jc w:val="left"/>
              <w:rPr>
                <w:b/>
                <w:sz w:val="20"/>
                <w:szCs w:val="20"/>
              </w:rPr>
            </w:pPr>
            <w:r w:rsidRPr="00D936CA">
              <w:rPr>
                <w:b/>
                <w:sz w:val="20"/>
                <w:szCs w:val="20"/>
              </w:rPr>
              <w:t>Facturación</w:t>
            </w:r>
          </w:p>
        </w:tc>
        <w:tc>
          <w:tcPr>
            <w:tcW w:w="3554" w:type="pct"/>
          </w:tcPr>
          <w:p w14:paraId="33CFEF25" w14:textId="77777777" w:rsidR="005B5734" w:rsidRPr="00D936CA" w:rsidRDefault="005B5734" w:rsidP="00D936CA">
            <w:pPr>
              <w:pStyle w:val="IFTnormal"/>
              <w:rPr>
                <w:sz w:val="20"/>
                <w:szCs w:val="20"/>
              </w:rPr>
            </w:pPr>
            <w:r w:rsidRPr="00D936CA">
              <w:rPr>
                <w:sz w:val="20"/>
                <w:szCs w:val="20"/>
              </w:rPr>
              <w:t>En un plazo máximo de 2 días hábiles a partir de la solicitud de baja, Telmex dejará de generar nuevos cargos a los CS por el servicio.</w:t>
            </w:r>
          </w:p>
        </w:tc>
      </w:tr>
    </w:tbl>
    <w:p w14:paraId="33CFEF27" w14:textId="77777777" w:rsidR="005E167C" w:rsidRPr="00D936CA" w:rsidRDefault="005E167C" w:rsidP="00060B2E">
      <w:pPr>
        <w:spacing w:after="200" w:line="276" w:lineRule="auto"/>
        <w:ind w:left="-567" w:right="-142"/>
        <w:jc w:val="both"/>
        <w:rPr>
          <w:rFonts w:ascii="ITC Avant Garde" w:hAnsi="ITC Avant Garde" w:cs="Arial"/>
          <w:sz w:val="22"/>
          <w:szCs w:val="22"/>
          <w:lang w:val="es-MX" w:eastAsia="es-MX"/>
        </w:rPr>
      </w:pPr>
      <w:r w:rsidRPr="00D936CA">
        <w:rPr>
          <w:rFonts w:ascii="ITC Avant Garde" w:hAnsi="ITC Avant Garde" w:cs="Arial"/>
          <w:sz w:val="22"/>
          <w:szCs w:val="22"/>
          <w:lang w:val="es-MX" w:eastAsia="es-MX"/>
        </w:rPr>
        <w:t>Nota:</w:t>
      </w:r>
    </w:p>
    <w:p w14:paraId="33CFEF28" w14:textId="2E50899C" w:rsidR="005E167C" w:rsidRPr="00D936CA" w:rsidRDefault="005E167C"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sz w:val="22"/>
          <w:szCs w:val="22"/>
          <w:lang w:val="es-MX" w:eastAsia="es-MX"/>
        </w:rPr>
        <w:t>El CS deberá tomar en cuenta que no existe el esquema de rentas parciales sino sólo de rentas mensuales, por lo que no será posible realizar cobros parciales de los servicios</w:t>
      </w:r>
      <w:r w:rsidR="0021453B">
        <w:rPr>
          <w:rFonts w:ascii="ITC Avant Garde" w:hAnsi="ITC Avant Garde" w:cs="Arial"/>
          <w:sz w:val="22"/>
          <w:szCs w:val="22"/>
          <w:lang w:val="es-MX" w:eastAsia="es-MX"/>
        </w:rPr>
        <w:t>.</w:t>
      </w:r>
    </w:p>
    <w:p w14:paraId="33CFEF29" w14:textId="77777777" w:rsidR="005E167C" w:rsidRPr="00D936CA" w:rsidRDefault="005E167C" w:rsidP="00060B2E">
      <w:pPr>
        <w:spacing w:after="200" w:line="276" w:lineRule="auto"/>
        <w:ind w:left="-567" w:right="-142"/>
        <w:jc w:val="both"/>
        <w:rPr>
          <w:rFonts w:ascii="ITC Avant Garde" w:hAnsi="ITC Avant Garde" w:cs="Arial"/>
          <w:b/>
          <w:sz w:val="22"/>
          <w:szCs w:val="22"/>
        </w:rPr>
      </w:pPr>
      <w:r w:rsidRPr="00D936CA">
        <w:rPr>
          <w:rFonts w:ascii="ITC Avant Garde" w:hAnsi="ITC Avant Garde" w:cs="Arial"/>
          <w:b/>
          <w:sz w:val="22"/>
          <w:szCs w:val="22"/>
        </w:rPr>
        <w:t>Procedimiento de cancelación</w:t>
      </w:r>
      <w:r w:rsidR="005B5734" w:rsidRPr="00D936CA">
        <w:rPr>
          <w:rFonts w:ascii="ITC Avant Garde" w:hAnsi="ITC Avant Garde" w:cs="Arial"/>
          <w:b/>
          <w:sz w:val="22"/>
          <w:szCs w:val="22"/>
        </w:rPr>
        <w:t xml:space="preserve"> de solicitud</w:t>
      </w:r>
    </w:p>
    <w:p w14:paraId="33CFEF2A" w14:textId="5E105F21" w:rsidR="005E167C" w:rsidRPr="00060B2E" w:rsidRDefault="005E167C" w:rsidP="00060B2E">
      <w:pPr>
        <w:spacing w:after="200" w:line="276" w:lineRule="auto"/>
        <w:ind w:left="-567" w:right="-142"/>
        <w:jc w:val="both"/>
        <w:rPr>
          <w:rFonts w:ascii="ITC Avant Garde" w:hAnsi="ITC Avant Garde" w:cs="Arial"/>
          <w:sz w:val="20"/>
          <w:szCs w:val="20"/>
        </w:rPr>
      </w:pPr>
      <w:r w:rsidRPr="00060B2E">
        <w:rPr>
          <w:rFonts w:ascii="ITC Avant Garde" w:hAnsi="ITC Avant Garde" w:cs="Arial"/>
          <w:sz w:val="20"/>
          <w:szCs w:val="20"/>
          <w:lang w:val="es-ES" w:eastAsia="es-MX"/>
        </w:rPr>
        <w:t>El objetivo y alcance de este procedimiento aplica para los casos en que el CS hubiera solicitado una habilitación</w:t>
      </w:r>
      <w:r w:rsidR="00E36163" w:rsidRPr="00060B2E">
        <w:rPr>
          <w:rFonts w:ascii="ITC Avant Garde" w:hAnsi="ITC Avant Garde" w:cs="Arial"/>
          <w:sz w:val="20"/>
          <w:szCs w:val="20"/>
          <w:lang w:val="es-ES" w:eastAsia="es-MX"/>
        </w:rPr>
        <w:t xml:space="preserve"> o </w:t>
      </w:r>
      <w:r w:rsidRPr="00060B2E">
        <w:rPr>
          <w:rFonts w:ascii="ITC Avant Garde" w:hAnsi="ITC Avant Garde" w:cs="Arial"/>
          <w:sz w:val="20"/>
          <w:szCs w:val="20"/>
          <w:lang w:val="es-ES" w:eastAsia="es-MX"/>
        </w:rPr>
        <w:t xml:space="preserve">un cambio de domicilio y decide cancelarlo antes de que se hubiera concluido el movimiento solicitado; las fases en que se divide este procedimiento son: </w:t>
      </w:r>
      <w:r w:rsidRPr="00060B2E">
        <w:rPr>
          <w:rFonts w:ascii="ITC Avant Garde" w:hAnsi="ITC Avant Garde" w:cs="Arial"/>
          <w:b/>
          <w:sz w:val="20"/>
          <w:szCs w:val="20"/>
          <w:lang w:val="es-ES" w:eastAsia="es-MX"/>
        </w:rPr>
        <w:t>(i)</w:t>
      </w:r>
      <w:r w:rsidRPr="00060B2E">
        <w:rPr>
          <w:rFonts w:ascii="ITC Avant Garde" w:hAnsi="ITC Avant Garde" w:cs="Arial"/>
          <w:sz w:val="20"/>
          <w:szCs w:val="20"/>
          <w:lang w:val="es-ES" w:eastAsia="es-MX"/>
        </w:rPr>
        <w:t xml:space="preserve"> Solicitud para que el CS manifieste su intención de cancelar el servicio previamente solicitado, y la validación por parte de Telmex de que la solicitud cuenta con todos los elementos; </w:t>
      </w:r>
      <w:r w:rsidRPr="00060B2E">
        <w:rPr>
          <w:rFonts w:ascii="ITC Avant Garde" w:hAnsi="ITC Avant Garde" w:cs="Arial"/>
          <w:sz w:val="20"/>
          <w:szCs w:val="20"/>
        </w:rPr>
        <w:t xml:space="preserve">y </w:t>
      </w:r>
      <w:r w:rsidRPr="00060B2E">
        <w:rPr>
          <w:rFonts w:ascii="ITC Avant Garde" w:hAnsi="ITC Avant Garde" w:cs="Arial"/>
          <w:b/>
          <w:sz w:val="20"/>
          <w:szCs w:val="20"/>
        </w:rPr>
        <w:t>(ii)</w:t>
      </w:r>
      <w:r w:rsidRPr="00060B2E">
        <w:rPr>
          <w:rFonts w:ascii="ITC Avant Garde" w:hAnsi="ITC Avant Garde" w:cs="Arial"/>
          <w:sz w:val="20"/>
          <w:szCs w:val="20"/>
        </w:rPr>
        <w:t xml:space="preserve"> Cancelación  del (los) servicio (s).</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EF2D" w14:textId="77777777" w:rsidTr="00060B2E">
        <w:tc>
          <w:tcPr>
            <w:tcW w:w="1446" w:type="pct"/>
          </w:tcPr>
          <w:p w14:paraId="33CFEF2B"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554" w:type="pct"/>
          </w:tcPr>
          <w:p w14:paraId="33CFEF2C"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F30" w14:textId="77777777" w:rsidTr="00060B2E">
        <w:tc>
          <w:tcPr>
            <w:tcW w:w="1446" w:type="pct"/>
          </w:tcPr>
          <w:p w14:paraId="33CFEF2E"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554" w:type="pct"/>
          </w:tcPr>
          <w:p w14:paraId="33CFEF2F" w14:textId="6123FD44" w:rsidR="005B5734" w:rsidRPr="00D936CA" w:rsidRDefault="005B5734"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 xml:space="preserve">El CS deberá ingresar la solicitud vía </w:t>
            </w:r>
            <w:r w:rsidR="0021453B">
              <w:rPr>
                <w:rFonts w:ascii="ITC Avant Garde" w:hAnsi="ITC Avant Garde" w:cs="Arial"/>
                <w:bCs/>
                <w:sz w:val="20"/>
                <w:szCs w:val="20"/>
                <w:lang w:val="es-MX"/>
              </w:rPr>
              <w:t>el SEG,</w:t>
            </w:r>
            <w:r w:rsidRPr="00D936CA">
              <w:rPr>
                <w:rFonts w:ascii="ITC Avant Garde" w:hAnsi="ITC Avant Garde" w:cs="Arial"/>
                <w:bCs/>
                <w:sz w:val="20"/>
                <w:szCs w:val="20"/>
                <w:lang w:val="es-MX"/>
              </w:rPr>
              <w:t xml:space="preserve"> indicando el NIS-Referencia del servicio que desea cancelar</w:t>
            </w:r>
            <w:r w:rsidR="00776BAF">
              <w:rPr>
                <w:rStyle w:val="Refdenotaalpie"/>
                <w:rFonts w:ascii="ITC Avant Garde" w:hAnsi="ITC Avant Garde" w:cs="Arial"/>
                <w:bCs/>
                <w:sz w:val="20"/>
                <w:szCs w:val="20"/>
                <w:lang w:val="es-MX"/>
              </w:rPr>
              <w:footnoteReference w:id="45"/>
            </w:r>
            <w:r w:rsidRPr="00D936CA">
              <w:rPr>
                <w:rFonts w:ascii="ITC Avant Garde" w:hAnsi="ITC Avant Garde" w:cs="Arial"/>
                <w:bCs/>
                <w:sz w:val="20"/>
                <w:szCs w:val="20"/>
                <w:lang w:val="es-MX"/>
              </w:rPr>
              <w:t>.</w:t>
            </w:r>
          </w:p>
        </w:tc>
      </w:tr>
      <w:tr w:rsidR="00D936CA" w:rsidRPr="00D936CA" w14:paraId="33CFEF35" w14:textId="77777777" w:rsidTr="00060B2E">
        <w:tc>
          <w:tcPr>
            <w:tcW w:w="1446" w:type="pct"/>
          </w:tcPr>
          <w:p w14:paraId="33CFEF31"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EF32"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para determinar si:</w:t>
            </w:r>
          </w:p>
          <w:p w14:paraId="33CFEF33"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se validará que la solicitud de cancelación corresponda al CS y se revisará el estatus actual de la orden de servicio.</w:t>
            </w:r>
          </w:p>
          <w:p w14:paraId="33CFEF34" w14:textId="77777777" w:rsidR="005B5734" w:rsidRPr="00D936CA" w:rsidRDefault="005B5734" w:rsidP="00D936CA">
            <w:pPr>
              <w:pStyle w:val="IFTnormal"/>
              <w:numPr>
                <w:ilvl w:val="0"/>
                <w:numId w:val="102"/>
              </w:numPr>
              <w:ind w:left="318" w:hanging="318"/>
              <w:rPr>
                <w:sz w:val="20"/>
                <w:szCs w:val="20"/>
              </w:rPr>
            </w:pPr>
            <w:r w:rsidRPr="00D936CA">
              <w:rPr>
                <w:b/>
                <w:sz w:val="20"/>
                <w:szCs w:val="20"/>
              </w:rPr>
              <w:lastRenderedPageBreak/>
              <w:t>Si es incorrecta</w:t>
            </w:r>
            <w:r w:rsidRPr="00D936CA">
              <w:rPr>
                <w:sz w:val="20"/>
                <w:szCs w:val="20"/>
              </w:rPr>
              <w:t>, Telmex devolverá la solicitud al CS indicando el motivo de rechazo, para que sea corregida y reenviada nuevamente a validación.</w:t>
            </w:r>
          </w:p>
        </w:tc>
      </w:tr>
      <w:tr w:rsidR="005B5734" w:rsidRPr="00D936CA" w14:paraId="33CFEF38" w14:textId="77777777" w:rsidTr="00060B2E">
        <w:tc>
          <w:tcPr>
            <w:tcW w:w="1446" w:type="pct"/>
          </w:tcPr>
          <w:p w14:paraId="33CFEF36"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Cancelación del (los) servicio (s)</w:t>
            </w:r>
          </w:p>
        </w:tc>
        <w:tc>
          <w:tcPr>
            <w:tcW w:w="3554" w:type="pct"/>
          </w:tcPr>
          <w:p w14:paraId="33CFEF37" w14:textId="77777777" w:rsidR="005B5734" w:rsidRPr="00D936CA" w:rsidRDefault="005B5734" w:rsidP="00D936CA">
            <w:pPr>
              <w:pStyle w:val="IFTnormal"/>
              <w:rPr>
                <w:sz w:val="20"/>
                <w:szCs w:val="20"/>
              </w:rPr>
            </w:pPr>
            <w:r w:rsidRPr="00D936CA">
              <w:rPr>
                <w:sz w:val="20"/>
                <w:szCs w:val="20"/>
              </w:rPr>
              <w:t>Se cancela el seguimiento a la solicitud, no aplicará cobro alguno si la notificación de cancelación se hace con un mínimo de 3 días de anticipación a la fecha confirmada de la habilitación del servicio.</w:t>
            </w:r>
          </w:p>
        </w:tc>
      </w:tr>
    </w:tbl>
    <w:p w14:paraId="33CFEF39" w14:textId="77777777" w:rsidR="005E167C" w:rsidRPr="00D936CA" w:rsidRDefault="005E167C" w:rsidP="00060B2E">
      <w:pPr>
        <w:spacing w:after="200" w:line="276" w:lineRule="auto"/>
        <w:ind w:left="-567" w:right="-142"/>
        <w:jc w:val="both"/>
        <w:rPr>
          <w:rFonts w:ascii="ITC Avant Garde" w:hAnsi="ITC Avant Garde"/>
          <w:b/>
          <w:sz w:val="22"/>
          <w:szCs w:val="22"/>
          <w:lang w:val="es-MX"/>
        </w:rPr>
      </w:pPr>
    </w:p>
    <w:p w14:paraId="33CFEF3A" w14:textId="77777777" w:rsidR="005E167C" w:rsidRPr="00D936CA" w:rsidRDefault="005E167C"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Cambio de modalidad de Desagregación</w:t>
      </w:r>
    </w:p>
    <w:p w14:paraId="33CFEF3B" w14:textId="77777777" w:rsidR="005E167C" w:rsidRPr="00D936CA" w:rsidRDefault="005E167C"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rPr>
        <w:t>En caso de que el CS requiera modificaciones para cambiar a un servicio distinto de desagregación</w:t>
      </w:r>
      <w:r w:rsidR="005B5734" w:rsidRPr="00D936CA">
        <w:rPr>
          <w:rFonts w:ascii="ITC Avant Garde" w:hAnsi="ITC Avant Garde" w:cs="Arial"/>
          <w:sz w:val="22"/>
          <w:szCs w:val="22"/>
        </w:rPr>
        <w:t>,</w:t>
      </w:r>
      <w:r w:rsidRPr="00D936CA">
        <w:rPr>
          <w:rFonts w:ascii="ITC Avant Garde" w:hAnsi="ITC Avant Garde" w:cs="Arial"/>
          <w:sz w:val="22"/>
          <w:szCs w:val="22"/>
        </w:rPr>
        <w:t xml:space="preserve">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w:t>
      </w:r>
    </w:p>
    <w:p w14:paraId="33CFEF3C" w14:textId="77777777" w:rsidR="005E167C" w:rsidRPr="00D936CA" w:rsidRDefault="005E167C" w:rsidP="00060B2E">
      <w:pPr>
        <w:autoSpaceDE w:val="0"/>
        <w:autoSpaceDN w:val="0"/>
        <w:adjustRightInd w:val="0"/>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Cambio de Domicilio</w:t>
      </w:r>
    </w:p>
    <w:p w14:paraId="33CFEF3D" w14:textId="77777777" w:rsidR="009B35C4" w:rsidRPr="00D936CA" w:rsidRDefault="005E167C" w:rsidP="00060B2E">
      <w:pPr>
        <w:pStyle w:val="IFTnormal"/>
        <w:ind w:left="-567" w:right="-142"/>
        <w:rPr>
          <w:rFonts w:cs="Arial"/>
          <w:lang w:eastAsia="es-MX"/>
        </w:rPr>
      </w:pPr>
      <w:r w:rsidRPr="00D936CA">
        <w:t>En caso de que el usuario final cambie de domicilio y el CS siga proveyendo el servicio, dicho cambio será atendido conforme al procedimiento de contratación (baja por alta).</w:t>
      </w:r>
      <w:r w:rsidR="009B35C4" w:rsidRPr="00D936CA">
        <w:rPr>
          <w:rFonts w:cs="Arial"/>
          <w:lang w:eastAsia="es-MX"/>
        </w:rPr>
        <w:t xml:space="preserve"> </w:t>
      </w:r>
    </w:p>
    <w:p w14:paraId="33CFEF3E" w14:textId="77777777" w:rsidR="00B66F6D" w:rsidRPr="00D936CA" w:rsidRDefault="00B66F6D" w:rsidP="00060B2E">
      <w:pPr>
        <w:spacing w:after="200" w:line="276" w:lineRule="auto"/>
        <w:ind w:left="-567" w:right="-142"/>
        <w:jc w:val="both"/>
        <w:rPr>
          <w:rFonts w:ascii="ITC Avant Garde" w:hAnsi="ITC Avant Garde" w:cs="Arial"/>
          <w:sz w:val="22"/>
          <w:szCs w:val="22"/>
          <w:lang w:val="es-MX" w:eastAsia="es-MX"/>
        </w:rPr>
      </w:pPr>
    </w:p>
    <w:p w14:paraId="33CFEF3F" w14:textId="77777777" w:rsidR="00530A32" w:rsidRPr="00D936CA" w:rsidRDefault="00011A1B" w:rsidP="00D936CA">
      <w:pPr>
        <w:pStyle w:val="Ttulo2"/>
        <w:numPr>
          <w:ilvl w:val="1"/>
          <w:numId w:val="143"/>
        </w:numPr>
        <w:ind w:left="851" w:hanging="425"/>
      </w:pPr>
      <w:bookmarkStart w:id="592" w:name="_Toc436840914"/>
      <w:bookmarkStart w:id="593" w:name="_Toc436846351"/>
      <w:bookmarkStart w:id="594" w:name="_Toc436848301"/>
      <w:bookmarkStart w:id="595" w:name="_Toc436856549"/>
      <w:bookmarkStart w:id="596" w:name="_Toc436862695"/>
      <w:bookmarkStart w:id="597" w:name="_Toc436866345"/>
      <w:bookmarkStart w:id="598" w:name="_Toc436870924"/>
      <w:bookmarkStart w:id="599" w:name="_Toc436875916"/>
      <w:bookmarkStart w:id="600" w:name="_Toc467248739"/>
      <w:bookmarkStart w:id="601" w:name="_Toc518032024"/>
      <w:r w:rsidRPr="00D936CA">
        <w:t>Plazos de Entrega.</w:t>
      </w:r>
      <w:bookmarkEnd w:id="592"/>
      <w:bookmarkEnd w:id="593"/>
      <w:bookmarkEnd w:id="594"/>
      <w:bookmarkEnd w:id="595"/>
      <w:bookmarkEnd w:id="596"/>
      <w:bookmarkEnd w:id="597"/>
      <w:bookmarkEnd w:id="598"/>
      <w:bookmarkEnd w:id="599"/>
      <w:bookmarkEnd w:id="600"/>
      <w:bookmarkEnd w:id="601"/>
    </w:p>
    <w:p w14:paraId="33CFEF40" w14:textId="77777777" w:rsidR="005E167C" w:rsidRPr="00D936CA" w:rsidRDefault="005E167C"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Validación de la solicitud junto con verificación de factibilidad: máximo 2 días hábiles.</w:t>
      </w:r>
    </w:p>
    <w:p w14:paraId="33CFEF41" w14:textId="3CB80513" w:rsidR="005E167C" w:rsidRPr="00D936CA" w:rsidRDefault="005E167C" w:rsidP="00D936CA">
      <w:pPr>
        <w:pStyle w:val="Prrafodelista"/>
        <w:numPr>
          <w:ilvl w:val="0"/>
          <w:numId w:val="30"/>
        </w:numPr>
        <w:spacing w:after="200" w:line="276" w:lineRule="auto"/>
        <w:rPr>
          <w:rFonts w:ascii="ITC Avant Garde" w:hAnsi="ITC Avant Garde"/>
          <w:sz w:val="22"/>
          <w:szCs w:val="22"/>
          <w:lang w:val="es-MX"/>
        </w:rPr>
      </w:pPr>
      <w:r w:rsidRPr="00D936CA">
        <w:rPr>
          <w:rFonts w:ascii="ITC Avant Garde" w:hAnsi="ITC Avant Garde"/>
          <w:sz w:val="22"/>
          <w:szCs w:val="22"/>
          <w:lang w:val="es-MX"/>
        </w:rPr>
        <w:t xml:space="preserve">Entrega del servicio para usuarios existentes (habilitación): máximo 5 días hábiles que se contabilizarán </w:t>
      </w:r>
      <w:r w:rsidRPr="00D936CA">
        <w:rPr>
          <w:rFonts w:ascii="ITC Avant Garde" w:hAnsi="ITC Avant Garde"/>
          <w:sz w:val="22"/>
          <w:szCs w:val="22"/>
          <w:lang w:val="es-ES"/>
        </w:rPr>
        <w:t>a partir de la solicitud para el servicio con el módem/ONT blanco que el CS provea.</w:t>
      </w:r>
    </w:p>
    <w:p w14:paraId="33CFEF42" w14:textId="77777777" w:rsidR="005E167C" w:rsidRPr="00D936CA" w:rsidRDefault="005E167C"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Entrega del servicio para usuarios nuevos con acometida o recursos de red (habilitación): día confirmado por el CS en la solicitud (máximo día 5 hábil a partir de la solicitud sin provisión de equipo y máximo día 7 hábil a partir de la solicitud con provisión de equipo).</w:t>
      </w:r>
    </w:p>
    <w:p w14:paraId="33CFEF44" w14:textId="39FFE56D" w:rsidR="009B35C4" w:rsidRPr="00317F07" w:rsidRDefault="005E167C"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Entrega del servicio para usuarios nuevos sin acometida (habilitación día confirmado por el CS en la solicitud (máximo día 5 hábil a partir de la solicitud sin provisión de equipo y máximo día 7 hábil a partir de la solicitud con provisión de equipo).</w:t>
      </w:r>
    </w:p>
    <w:p w14:paraId="29114996" w14:textId="77777777" w:rsidR="00317F07" w:rsidRPr="00D936CA" w:rsidRDefault="00317F07" w:rsidP="00317F07">
      <w:pPr>
        <w:pStyle w:val="Prrafodelista"/>
        <w:spacing w:after="200" w:line="276" w:lineRule="auto"/>
        <w:ind w:left="720"/>
        <w:jc w:val="both"/>
        <w:rPr>
          <w:rFonts w:ascii="ITC Avant Garde" w:hAnsi="ITC Avant Garde"/>
          <w:sz w:val="22"/>
          <w:szCs w:val="22"/>
          <w:lang w:val="es-ES"/>
        </w:rPr>
      </w:pPr>
    </w:p>
    <w:p w14:paraId="33CFEF45" w14:textId="77777777" w:rsidR="00530A32" w:rsidRPr="00D936CA" w:rsidRDefault="00011A1B" w:rsidP="00D936CA">
      <w:pPr>
        <w:pStyle w:val="Ttulo2"/>
        <w:numPr>
          <w:ilvl w:val="1"/>
          <w:numId w:val="143"/>
        </w:numPr>
        <w:ind w:left="851" w:hanging="425"/>
      </w:pPr>
      <w:bookmarkStart w:id="602" w:name="_Toc436840915"/>
      <w:bookmarkStart w:id="603" w:name="_Toc436846352"/>
      <w:bookmarkStart w:id="604" w:name="_Toc436848302"/>
      <w:bookmarkStart w:id="605" w:name="_Toc436856550"/>
      <w:bookmarkStart w:id="606" w:name="_Toc436862696"/>
      <w:bookmarkStart w:id="607" w:name="_Toc436866346"/>
      <w:bookmarkStart w:id="608" w:name="_Toc436870925"/>
      <w:bookmarkStart w:id="609" w:name="_Toc436875917"/>
      <w:bookmarkStart w:id="610" w:name="_Toc467248740"/>
      <w:bookmarkStart w:id="611" w:name="_Toc518032025"/>
      <w:r w:rsidRPr="00D936CA">
        <w:lastRenderedPageBreak/>
        <w:t xml:space="preserve">Parámetros e indicadores de calidad de </w:t>
      </w:r>
      <w:r w:rsidR="0099383E" w:rsidRPr="00D936CA">
        <w:t>SDTBL</w:t>
      </w:r>
      <w:r w:rsidRPr="00D936CA">
        <w:t xml:space="preserve">, </w:t>
      </w:r>
      <w:r w:rsidR="0099383E" w:rsidRPr="00D936CA">
        <w:t>SDCBL</w:t>
      </w:r>
      <w:r w:rsidRPr="00D936CA">
        <w:t xml:space="preserve">, </w:t>
      </w:r>
      <w:r w:rsidR="0099383E" w:rsidRPr="00D936CA">
        <w:t>SDTSBL</w:t>
      </w:r>
      <w:r w:rsidRPr="00D936CA">
        <w:t xml:space="preserve"> y </w:t>
      </w:r>
      <w:r w:rsidR="0099383E" w:rsidRPr="00D936CA">
        <w:t>SDCSBL</w:t>
      </w:r>
      <w:r w:rsidRPr="00D936CA">
        <w:t>.</w:t>
      </w:r>
      <w:bookmarkEnd w:id="602"/>
      <w:bookmarkEnd w:id="603"/>
      <w:bookmarkEnd w:id="604"/>
      <w:bookmarkEnd w:id="605"/>
      <w:bookmarkEnd w:id="606"/>
      <w:bookmarkEnd w:id="607"/>
      <w:bookmarkEnd w:id="608"/>
      <w:bookmarkEnd w:id="609"/>
      <w:bookmarkEnd w:id="610"/>
      <w:bookmarkEnd w:id="611"/>
    </w:p>
    <w:p w14:paraId="33CFEF46" w14:textId="77777777" w:rsidR="0002741C"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esta sección se muestran los parámetros e indicadores de calidad referentes a la provisión, continuidad y atención de fallas del Servicio de Desagregación Total del Bucle, Servicio de Desagregación Total del Sub Bucle, Servicio de Desagregación Compartida del Bucle y Servicio de Desagregación Compartida del Sub Bucle. Estos parámetros e indicadores corresponden a los utilizados en la propia operación de Telmex, y se medirán con una periodicidad trimestral por cada uno de los CS.</w:t>
      </w:r>
    </w:p>
    <w:p w14:paraId="33CFEF47" w14:textId="77777777" w:rsidR="0002741C" w:rsidRPr="00D936CA" w:rsidRDefault="00011A1B"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Parámetros e Indicadores para Provisión del Servicio</w:t>
      </w:r>
    </w:p>
    <w:p w14:paraId="33CFEF48" w14:textId="77777777" w:rsidR="0002741C" w:rsidRPr="00D936CA" w:rsidRDefault="00011A1B" w:rsidP="00060B2E">
      <w:pPr>
        <w:spacing w:before="120"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lo referente a la provisión de los servicios</w:t>
      </w:r>
      <w:r w:rsidR="007D7542" w:rsidRPr="00D936CA">
        <w:rPr>
          <w:rFonts w:ascii="ITC Avant Garde" w:hAnsi="ITC Avant Garde"/>
          <w:sz w:val="22"/>
          <w:szCs w:val="22"/>
          <w:lang w:val="es-MX"/>
        </w:rPr>
        <w:t xml:space="preserve"> (validación de la solicitud, verificación de factibilidad y habilitación)</w:t>
      </w:r>
      <w:r w:rsidRPr="00D936CA">
        <w:rPr>
          <w:rFonts w:ascii="ITC Avant Garde" w:hAnsi="ITC Avant Garde"/>
          <w:sz w:val="22"/>
          <w:szCs w:val="22"/>
          <w:lang w:val="es-MX"/>
        </w:rPr>
        <w:t>, se tienen los siguientes indicadores:</w:t>
      </w:r>
    </w:p>
    <w:p w14:paraId="33CFEF49" w14:textId="2A36C90F" w:rsidR="00D56B6E" w:rsidRPr="00842F16" w:rsidRDefault="003416E2" w:rsidP="00D936CA">
      <w:pPr>
        <w:pStyle w:val="CondicionesFinales"/>
        <w:numPr>
          <w:ilvl w:val="0"/>
          <w:numId w:val="30"/>
        </w:numPr>
        <w:rPr>
          <w:color w:val="auto"/>
        </w:rPr>
      </w:pPr>
      <w:r w:rsidRPr="00842F16">
        <w:rPr>
          <w:color w:val="auto"/>
        </w:rPr>
        <w:t xml:space="preserve">Validación de la solicitud junto con </w:t>
      </w:r>
      <w:r w:rsidR="00AF75F1" w:rsidRPr="00842F16">
        <w:rPr>
          <w:color w:val="auto"/>
        </w:rPr>
        <w:t xml:space="preserve">verificación </w:t>
      </w:r>
      <w:r w:rsidRPr="00842F16">
        <w:rPr>
          <w:color w:val="auto"/>
        </w:rPr>
        <w:t xml:space="preserve">de la factibilidad: 90% de las solicitudes en máximo de 2 días hábiles. </w:t>
      </w:r>
      <w:r w:rsidR="00D56B6E" w:rsidRPr="00842F16">
        <w:rPr>
          <w:color w:val="auto"/>
        </w:rPr>
        <w:t>El 10% restante en un máximo de 3 días hábiles.</w:t>
      </w:r>
    </w:p>
    <w:p w14:paraId="33CFEF4A" w14:textId="77777777" w:rsidR="00D56B6E" w:rsidRPr="00D936CA" w:rsidRDefault="00D56B6E" w:rsidP="00D936CA">
      <w:pPr>
        <w:spacing w:after="200" w:line="276" w:lineRule="auto"/>
        <w:jc w:val="both"/>
        <w:rPr>
          <w:rFonts w:ascii="ITC Avant Garde" w:hAnsi="ITC Avant Garde"/>
          <w:sz w:val="22"/>
          <w:szCs w:val="22"/>
          <w:lang w:val="es-MX"/>
        </w:rPr>
      </w:pPr>
      <w:r w:rsidRPr="00D936CA">
        <w:rPr>
          <w:rFonts w:ascii="ITC Avant Garde" w:hAnsi="ITC Avant Garde"/>
          <w:b/>
          <w:sz w:val="22"/>
          <w:szCs w:val="22"/>
          <w:lang w:val="es-MX"/>
        </w:rPr>
        <w:t>Con pronóstico:</w:t>
      </w:r>
    </w:p>
    <w:p w14:paraId="33CFEF4B" w14:textId="77777777" w:rsidR="00D56B6E" w:rsidRPr="00D936CA" w:rsidRDefault="00D56B6E" w:rsidP="00D936CA">
      <w:pPr>
        <w:pStyle w:val="CondicionesFinales"/>
        <w:numPr>
          <w:ilvl w:val="0"/>
          <w:numId w:val="30"/>
        </w:numPr>
        <w:rPr>
          <w:color w:val="auto"/>
        </w:rPr>
      </w:pPr>
      <w:r w:rsidRPr="00D936CA">
        <w:rPr>
          <w:color w:val="auto"/>
        </w:rPr>
        <w:t>Habilitación para usuarios existentes en tiempo: 90% en un máximo de 5 días hábiles. El 10% restante validada en un máximo de 8 días hábiles.</w:t>
      </w:r>
    </w:p>
    <w:p w14:paraId="33CFEF4C" w14:textId="77777777" w:rsidR="00D56B6E" w:rsidRPr="00D936CA" w:rsidRDefault="00D56B6E" w:rsidP="00D936CA">
      <w:pPr>
        <w:pStyle w:val="CondicionesFinales"/>
        <w:numPr>
          <w:ilvl w:val="0"/>
          <w:numId w:val="30"/>
        </w:numPr>
        <w:rPr>
          <w:color w:val="auto"/>
        </w:rPr>
      </w:pPr>
      <w:r w:rsidRPr="00D936CA">
        <w:rPr>
          <w:color w:val="auto"/>
        </w:rPr>
        <w:t>Habilitación para usuarios nuevos con y sin acometida o recursos de red el día indicado por el CS en la solicitud, en caso contrario aplica una pena conforme el Anexo B.</w:t>
      </w:r>
    </w:p>
    <w:p w14:paraId="33CFEF4D" w14:textId="77777777" w:rsidR="00D56B6E" w:rsidRPr="00D936CA" w:rsidRDefault="00D56B6E"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Sin pronóstico:</w:t>
      </w:r>
    </w:p>
    <w:p w14:paraId="33CFEF4E" w14:textId="77777777" w:rsidR="00D56B6E" w:rsidRPr="00D936CA" w:rsidRDefault="00D56B6E" w:rsidP="00D936CA">
      <w:pPr>
        <w:pStyle w:val="CondicionesFinales"/>
        <w:numPr>
          <w:ilvl w:val="0"/>
          <w:numId w:val="30"/>
        </w:numPr>
        <w:rPr>
          <w:color w:val="auto"/>
        </w:rPr>
      </w:pPr>
      <w:r w:rsidRPr="00D936CA">
        <w:rPr>
          <w:color w:val="auto"/>
        </w:rPr>
        <w:t>Habilitación para usuarios existentes en tiempo: 65% en un máximo de 5 días hábiles. El 35% restante validada en un máximo de 8 días hábiles.</w:t>
      </w:r>
    </w:p>
    <w:p w14:paraId="33CFEF4F" w14:textId="77777777" w:rsidR="00370E33" w:rsidRPr="00D936CA" w:rsidRDefault="00D56B6E" w:rsidP="00D936CA">
      <w:pPr>
        <w:pStyle w:val="CondicionesFinales"/>
        <w:numPr>
          <w:ilvl w:val="0"/>
          <w:numId w:val="30"/>
        </w:numPr>
        <w:rPr>
          <w:color w:val="auto"/>
        </w:rPr>
      </w:pPr>
      <w:r w:rsidRPr="00D936CA">
        <w:rPr>
          <w:color w:val="auto"/>
        </w:rPr>
        <w:t>Habilitación para usuarios nuevos con y sin acometida o recursos de red el día indicado por el CS en la solicitud, en caso contrario aplica una pena conforme el Anexo B.</w:t>
      </w:r>
    </w:p>
    <w:p w14:paraId="33CFEF50" w14:textId="77777777" w:rsidR="0002741C" w:rsidRPr="00D936CA" w:rsidRDefault="00011A1B"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Metodología</w:t>
      </w:r>
    </w:p>
    <w:p w14:paraId="33CFEF51" w14:textId="12CC0F61" w:rsidR="0002741C"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Para realizar la medición de los indicadores presentados, se descontarán los plazos de entrega señalados en la sección </w:t>
      </w:r>
      <w:r w:rsidR="00AF75F1" w:rsidRPr="00D936CA">
        <w:rPr>
          <w:rFonts w:ascii="ITC Avant Garde" w:hAnsi="ITC Avant Garde"/>
          <w:sz w:val="22"/>
          <w:szCs w:val="22"/>
          <w:lang w:val="es-MX"/>
        </w:rPr>
        <w:t>6</w:t>
      </w:r>
      <w:r w:rsidRPr="00D936CA">
        <w:rPr>
          <w:rFonts w:ascii="ITC Avant Garde" w:hAnsi="ITC Avant Garde"/>
          <w:sz w:val="22"/>
          <w:szCs w:val="22"/>
          <w:lang w:val="es-MX"/>
        </w:rPr>
        <w:t xml:space="preserve">.4 de este documento de los días totales utilizados para la realización de dicha actividad, considerando como inicio del proceso el día en que se solicitó el servicio por parte del CS. </w:t>
      </w:r>
    </w:p>
    <w:p w14:paraId="33CFEF52" w14:textId="77777777" w:rsidR="00F553F3" w:rsidRPr="00D936CA" w:rsidRDefault="00F74396" w:rsidP="00060B2E">
      <w:pPr>
        <w:autoSpaceDE w:val="0"/>
        <w:autoSpaceDN w:val="0"/>
        <w:adjustRightInd w:val="0"/>
        <w:spacing w:after="200" w:line="276" w:lineRule="auto"/>
        <w:ind w:left="-567" w:right="-142"/>
        <w:rPr>
          <w:rFonts w:ascii="ITC Avant Garde" w:hAnsi="ITC Avant Garde"/>
          <w:b/>
          <w:sz w:val="22"/>
          <w:szCs w:val="22"/>
          <w:lang w:val="es-MX"/>
        </w:rPr>
      </w:pPr>
      <w:r w:rsidRPr="00D936CA">
        <w:rPr>
          <w:rFonts w:ascii="ITC Avant Garde" w:hAnsi="ITC Avant Garde"/>
          <w:b/>
          <w:sz w:val="22"/>
          <w:szCs w:val="22"/>
          <w:lang w:val="es-MX"/>
        </w:rPr>
        <w:t xml:space="preserve">Parámetros de </w:t>
      </w:r>
      <w:r w:rsidR="00011A1B" w:rsidRPr="00D936CA">
        <w:rPr>
          <w:rFonts w:ascii="ITC Avant Garde" w:hAnsi="ITC Avant Garde"/>
          <w:b/>
          <w:sz w:val="22"/>
          <w:szCs w:val="22"/>
          <w:lang w:val="es-MX"/>
        </w:rPr>
        <w:t>Reparación de Fallas</w:t>
      </w:r>
    </w:p>
    <w:p w14:paraId="33CFEF53" w14:textId="77777777" w:rsidR="0002741C" w:rsidRPr="00D936CA" w:rsidRDefault="00011A1B" w:rsidP="00060B2E">
      <w:pPr>
        <w:pStyle w:val="Default"/>
        <w:spacing w:after="200" w:line="276" w:lineRule="auto"/>
        <w:ind w:left="-567" w:right="-142"/>
        <w:jc w:val="both"/>
        <w:rPr>
          <w:rFonts w:ascii="ITC Avant Garde" w:hAnsi="ITC Avant Garde"/>
          <w:color w:val="auto"/>
          <w:sz w:val="22"/>
          <w:szCs w:val="22"/>
          <w:lang w:val="es-MX"/>
        </w:rPr>
      </w:pPr>
      <w:r w:rsidRPr="00D936CA">
        <w:rPr>
          <w:rFonts w:ascii="ITC Avant Garde" w:hAnsi="ITC Avant Garde"/>
          <w:color w:val="auto"/>
          <w:sz w:val="22"/>
          <w:szCs w:val="22"/>
          <w:lang w:val="es-MX"/>
        </w:rPr>
        <w:lastRenderedPageBreak/>
        <w:t>En cuanto a los parámetros de calidad asociados a la reparación de fallas que afecten a los usuarios residenciales o comerciales, se tiene el siguiente alcance:</w:t>
      </w:r>
    </w:p>
    <w:p w14:paraId="33CFEF54" w14:textId="7AA78EE7" w:rsidR="0002741C" w:rsidRPr="00D936CA" w:rsidRDefault="00011A1B" w:rsidP="00D936CA">
      <w:pPr>
        <w:pStyle w:val="Default"/>
        <w:numPr>
          <w:ilvl w:val="0"/>
          <w:numId w:val="57"/>
        </w:numPr>
        <w:spacing w:after="200" w:line="276" w:lineRule="auto"/>
        <w:ind w:left="851"/>
        <w:jc w:val="both"/>
        <w:rPr>
          <w:rFonts w:ascii="ITC Avant Garde" w:hAnsi="ITC Avant Garde"/>
          <w:color w:val="auto"/>
          <w:sz w:val="22"/>
          <w:szCs w:val="22"/>
          <w:lang w:val="es-MX"/>
        </w:rPr>
      </w:pPr>
      <w:r w:rsidRPr="00D936CA">
        <w:rPr>
          <w:rFonts w:ascii="ITC Avant Garde" w:hAnsi="ITC Avant Garde"/>
          <w:color w:val="auto"/>
          <w:sz w:val="22"/>
          <w:szCs w:val="22"/>
          <w:lang w:val="es-MX"/>
        </w:rPr>
        <w:t xml:space="preserve">Total de reparaciones atendidas dentro del día hábil siguiente a la recepción de la queja, del total de reportes levantados. </w:t>
      </w:r>
      <w:r w:rsidR="00B53E09" w:rsidRPr="00D936CA">
        <w:rPr>
          <w:rFonts w:ascii="ITC Avant Garde" w:hAnsi="ITC Avant Garde"/>
          <w:color w:val="auto"/>
          <w:sz w:val="22"/>
          <w:szCs w:val="22"/>
          <w:lang w:val="es-MX"/>
        </w:rPr>
        <w:t xml:space="preserve">Al menos </w:t>
      </w:r>
      <w:r w:rsidRPr="00D936CA">
        <w:rPr>
          <w:rFonts w:ascii="ITC Avant Garde" w:hAnsi="ITC Avant Garde"/>
          <w:color w:val="auto"/>
          <w:sz w:val="22"/>
          <w:szCs w:val="22"/>
          <w:lang w:val="es-MX"/>
        </w:rPr>
        <w:t>8</w:t>
      </w:r>
      <w:r w:rsidR="0021453B">
        <w:rPr>
          <w:rFonts w:ascii="ITC Avant Garde" w:hAnsi="ITC Avant Garde"/>
          <w:color w:val="auto"/>
          <w:sz w:val="22"/>
          <w:szCs w:val="22"/>
          <w:lang w:val="es-MX"/>
        </w:rPr>
        <w:t>2</w:t>
      </w:r>
      <w:r w:rsidRPr="00D936CA">
        <w:rPr>
          <w:rFonts w:ascii="ITC Avant Garde" w:hAnsi="ITC Avant Garde"/>
          <w:color w:val="auto"/>
          <w:sz w:val="22"/>
          <w:szCs w:val="22"/>
          <w:lang w:val="es-MX"/>
        </w:rPr>
        <w:t xml:space="preserve"> %</w:t>
      </w:r>
      <w:r w:rsidR="00283C8F" w:rsidRPr="00D936CA">
        <w:rPr>
          <w:rFonts w:ascii="ITC Avant Garde" w:hAnsi="ITC Avant Garde"/>
          <w:color w:val="auto"/>
          <w:sz w:val="22"/>
          <w:szCs w:val="22"/>
          <w:lang w:val="es-MX"/>
        </w:rPr>
        <w:t>.</w:t>
      </w:r>
      <w:r w:rsidRPr="00D936CA">
        <w:rPr>
          <w:rFonts w:ascii="ITC Avant Garde" w:hAnsi="ITC Avant Garde"/>
          <w:color w:val="auto"/>
          <w:sz w:val="22"/>
          <w:szCs w:val="22"/>
          <w:lang w:val="es-MX"/>
        </w:rPr>
        <w:t xml:space="preserve"> </w:t>
      </w:r>
    </w:p>
    <w:p w14:paraId="33CFEF55" w14:textId="09222E6E" w:rsidR="0002741C" w:rsidRPr="00D936CA" w:rsidRDefault="00011A1B" w:rsidP="00D936CA">
      <w:pPr>
        <w:pStyle w:val="Default"/>
        <w:numPr>
          <w:ilvl w:val="0"/>
          <w:numId w:val="57"/>
        </w:numPr>
        <w:spacing w:after="200" w:line="276" w:lineRule="auto"/>
        <w:ind w:left="851"/>
        <w:jc w:val="both"/>
        <w:rPr>
          <w:rFonts w:ascii="ITC Avant Garde" w:hAnsi="ITC Avant Garde"/>
          <w:color w:val="auto"/>
          <w:sz w:val="22"/>
          <w:szCs w:val="22"/>
          <w:lang w:val="es-MX"/>
        </w:rPr>
      </w:pPr>
      <w:r w:rsidRPr="00D936CA">
        <w:rPr>
          <w:rFonts w:ascii="ITC Avant Garde" w:hAnsi="ITC Avant Garde"/>
          <w:color w:val="auto"/>
          <w:sz w:val="22"/>
          <w:szCs w:val="22"/>
          <w:lang w:val="es-MX"/>
        </w:rPr>
        <w:t xml:space="preserve">Total de reparaciones atendidas dentro de los 3 días hábiles siguientes a la recepción de la queja, del total de reportes levantados. </w:t>
      </w:r>
      <w:r w:rsidR="00B53E09" w:rsidRPr="00D936CA">
        <w:rPr>
          <w:rFonts w:ascii="ITC Avant Garde" w:hAnsi="ITC Avant Garde"/>
          <w:color w:val="auto"/>
          <w:sz w:val="22"/>
          <w:szCs w:val="22"/>
          <w:lang w:val="es-MX"/>
        </w:rPr>
        <w:t xml:space="preserve">Al menos </w:t>
      </w:r>
      <w:r w:rsidRPr="00D936CA">
        <w:rPr>
          <w:rFonts w:ascii="ITC Avant Garde" w:hAnsi="ITC Avant Garde"/>
          <w:color w:val="auto"/>
          <w:sz w:val="22"/>
          <w:szCs w:val="22"/>
          <w:lang w:val="es-MX"/>
        </w:rPr>
        <w:t>9</w:t>
      </w:r>
      <w:r w:rsidR="0021453B">
        <w:rPr>
          <w:rFonts w:ascii="ITC Avant Garde" w:hAnsi="ITC Avant Garde"/>
          <w:color w:val="auto"/>
          <w:sz w:val="22"/>
          <w:szCs w:val="22"/>
          <w:lang w:val="es-MX"/>
        </w:rPr>
        <w:t>4</w:t>
      </w:r>
      <w:r w:rsidRPr="00D936CA">
        <w:rPr>
          <w:rFonts w:ascii="ITC Avant Garde" w:hAnsi="ITC Avant Garde"/>
          <w:color w:val="auto"/>
          <w:sz w:val="22"/>
          <w:szCs w:val="22"/>
          <w:lang w:val="es-MX"/>
        </w:rPr>
        <w:t xml:space="preserve"> %</w:t>
      </w:r>
      <w:r w:rsidR="00283C8F" w:rsidRPr="00D936CA">
        <w:rPr>
          <w:rFonts w:ascii="ITC Avant Garde" w:hAnsi="ITC Avant Garde"/>
          <w:color w:val="auto"/>
          <w:sz w:val="22"/>
          <w:szCs w:val="22"/>
          <w:lang w:val="es-MX"/>
        </w:rPr>
        <w:t>.</w:t>
      </w:r>
      <w:r w:rsidRPr="00D936CA">
        <w:rPr>
          <w:rFonts w:ascii="ITC Avant Garde" w:hAnsi="ITC Avant Garde"/>
          <w:color w:val="auto"/>
          <w:sz w:val="22"/>
          <w:szCs w:val="22"/>
          <w:lang w:val="es-MX"/>
        </w:rPr>
        <w:t xml:space="preserve"> </w:t>
      </w:r>
    </w:p>
    <w:p w14:paraId="33CFEF56" w14:textId="7F5BE4D5" w:rsidR="0002741C" w:rsidRPr="00D936CA" w:rsidRDefault="00011A1B" w:rsidP="00060B2E">
      <w:pPr>
        <w:pStyle w:val="Default"/>
        <w:spacing w:after="200" w:line="276" w:lineRule="auto"/>
        <w:ind w:left="-567" w:right="-142"/>
        <w:jc w:val="both"/>
        <w:rPr>
          <w:rFonts w:ascii="ITC Avant Garde" w:hAnsi="ITC Avant Garde"/>
          <w:color w:val="auto"/>
          <w:sz w:val="22"/>
          <w:szCs w:val="22"/>
          <w:lang w:val="es-MX"/>
        </w:rPr>
      </w:pPr>
      <w:r w:rsidRPr="00D936CA">
        <w:rPr>
          <w:rFonts w:ascii="ITC Avant Garde" w:hAnsi="ITC Avant Garde"/>
          <w:color w:val="auto"/>
          <w:sz w:val="22"/>
          <w:szCs w:val="22"/>
          <w:lang w:val="es-MX"/>
        </w:rPr>
        <w:t xml:space="preserve">Para los casos anteriores, la reparación de fallas para el </w:t>
      </w:r>
      <w:r w:rsidR="0021453B">
        <w:rPr>
          <w:rFonts w:ascii="ITC Avant Garde" w:hAnsi="ITC Avant Garde"/>
          <w:color w:val="auto"/>
          <w:sz w:val="22"/>
          <w:szCs w:val="22"/>
          <w:lang w:val="es-MX"/>
        </w:rPr>
        <w:t>6</w:t>
      </w:r>
      <w:r w:rsidRPr="00D936CA">
        <w:rPr>
          <w:rFonts w:ascii="ITC Avant Garde" w:hAnsi="ITC Avant Garde"/>
          <w:color w:val="auto"/>
          <w:sz w:val="22"/>
          <w:szCs w:val="22"/>
          <w:lang w:val="es-MX"/>
        </w:rPr>
        <w:t>% de reportes restante no excederá de 10 días hábiles siguientes a la recepción de la queja.</w:t>
      </w:r>
    </w:p>
    <w:p w14:paraId="33CFEF57" w14:textId="3976C84B" w:rsidR="00530A32" w:rsidRPr="00D936CA" w:rsidRDefault="00011A1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Para realizar las mediciones de estos indicadores, se considerarán los reportes levantados en un horario de </w:t>
      </w:r>
      <w:r w:rsidR="00743A98" w:rsidRPr="00D936CA">
        <w:rPr>
          <w:rFonts w:ascii="ITC Avant Garde" w:hAnsi="ITC Avant Garde"/>
          <w:sz w:val="22"/>
          <w:szCs w:val="22"/>
          <w:lang w:val="es-MX"/>
        </w:rPr>
        <w:t>9</w:t>
      </w:r>
      <w:r w:rsidRPr="00D936CA">
        <w:rPr>
          <w:rFonts w:ascii="ITC Avant Garde" w:hAnsi="ITC Avant Garde"/>
          <w:sz w:val="22"/>
          <w:szCs w:val="22"/>
          <w:lang w:val="es-MX"/>
        </w:rPr>
        <w:t>:00 a 1</w:t>
      </w:r>
      <w:r w:rsidR="003F13FE" w:rsidRPr="00D936CA">
        <w:rPr>
          <w:rFonts w:ascii="ITC Avant Garde" w:hAnsi="ITC Avant Garde"/>
          <w:sz w:val="22"/>
          <w:szCs w:val="22"/>
          <w:lang w:val="es-MX"/>
        </w:rPr>
        <w:t>7</w:t>
      </w:r>
      <w:r w:rsidRPr="00D936CA">
        <w:rPr>
          <w:rFonts w:ascii="ITC Avant Garde" w:hAnsi="ITC Avant Garde"/>
          <w:sz w:val="22"/>
          <w:szCs w:val="22"/>
          <w:lang w:val="es-MX"/>
        </w:rPr>
        <w:t>:00 horas, aquellos que se reciban después de ese horario, se contabilizarán para el día hábil siguiente.</w:t>
      </w:r>
    </w:p>
    <w:p w14:paraId="33CFEF58" w14:textId="77777777" w:rsidR="00396495" w:rsidRPr="00D936CA" w:rsidRDefault="00396495" w:rsidP="00060B2E">
      <w:pPr>
        <w:autoSpaceDE w:val="0"/>
        <w:autoSpaceDN w:val="0"/>
        <w:adjustRightInd w:val="0"/>
        <w:spacing w:after="200" w:line="276" w:lineRule="auto"/>
        <w:ind w:left="-567" w:right="-142"/>
        <w:rPr>
          <w:rFonts w:ascii="ITC Avant Garde" w:hAnsi="ITC Avant Garde"/>
          <w:b/>
          <w:sz w:val="22"/>
          <w:szCs w:val="22"/>
          <w:lang w:val="es-MX"/>
        </w:rPr>
      </w:pPr>
      <w:r w:rsidRPr="00D936CA">
        <w:rPr>
          <w:rFonts w:ascii="ITC Avant Garde" w:hAnsi="ITC Avant Garde"/>
          <w:b/>
          <w:sz w:val="22"/>
          <w:szCs w:val="22"/>
          <w:lang w:val="es-MX"/>
        </w:rPr>
        <w:t>Metodología</w:t>
      </w:r>
    </w:p>
    <w:p w14:paraId="33CFEF59" w14:textId="2A57CC29" w:rsidR="00396495" w:rsidRPr="00D936CA" w:rsidRDefault="00396495" w:rsidP="00060B2E">
      <w:pPr>
        <w:autoSpaceDE w:val="0"/>
        <w:autoSpaceDN w:val="0"/>
        <w:adjustRightInd w:val="0"/>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El cálculo de los indicadores de reparación de </w:t>
      </w:r>
      <w:r w:rsidR="00317F07" w:rsidRPr="00D936CA">
        <w:rPr>
          <w:rFonts w:ascii="ITC Avant Garde" w:hAnsi="ITC Avant Garde"/>
          <w:sz w:val="22"/>
          <w:szCs w:val="22"/>
          <w:lang w:val="es-MX"/>
        </w:rPr>
        <w:t>fallas</w:t>
      </w:r>
      <w:r w:rsidRPr="00D936CA">
        <w:rPr>
          <w:rFonts w:ascii="ITC Avant Garde" w:hAnsi="ITC Avant Garde"/>
          <w:sz w:val="22"/>
          <w:szCs w:val="22"/>
          <w:lang w:val="es-MX"/>
        </w:rPr>
        <w:t xml:space="preserve"> se calcula de la siguiente forma, y se mide para reparaciones en 1, 3 y 10 días hábiles posteriores a la recepción de la queja: </w:t>
      </w:r>
    </w:p>
    <w:p w14:paraId="33CFEF5A" w14:textId="1CEEA6BC" w:rsidR="00396495" w:rsidRPr="00D936CA" w:rsidRDefault="00396495"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cstheme="minorHAnsi"/>
          <w:b/>
          <w:sz w:val="22"/>
          <w:szCs w:val="22"/>
        </w:rPr>
        <w:t xml:space="preserve">Reparación de </w:t>
      </w:r>
      <w:r w:rsidR="00743A98" w:rsidRPr="00D936CA">
        <w:rPr>
          <w:rFonts w:ascii="ITC Avant Garde" w:hAnsi="ITC Avant Garde" w:cstheme="minorHAnsi"/>
          <w:b/>
          <w:sz w:val="22"/>
          <w:szCs w:val="22"/>
        </w:rPr>
        <w:t>líneas</w:t>
      </w:r>
      <w:r w:rsidRPr="00D936CA">
        <w:rPr>
          <w:rFonts w:ascii="ITC Avant Garde" w:hAnsi="ITC Avant Garde" w:cstheme="minorHAnsi"/>
          <w:b/>
          <w:sz w:val="22"/>
          <w:szCs w:val="22"/>
        </w:rPr>
        <w:t xml:space="preserve">: </w:t>
      </w:r>
      <w:r w:rsidRPr="00D936CA">
        <w:rPr>
          <w:rFonts w:ascii="ITC Avant Garde" w:hAnsi="ITC Avant Garde" w:cstheme="minorHAnsi"/>
          <w:sz w:val="22"/>
          <w:szCs w:val="22"/>
        </w:rPr>
        <w:t>porcentaje de las fallas reportadas, que son atendidas dentro del plazo a medir (1,3, 10 días hábiles siguientes a la recepción de la queja), durante el trimestre.</w:t>
      </w:r>
    </w:p>
    <w:p w14:paraId="33CFEF5B" w14:textId="77777777" w:rsidR="00396495" w:rsidRPr="00D936CA" w:rsidRDefault="00396495" w:rsidP="00D936CA">
      <w:pPr>
        <w:autoSpaceDE w:val="0"/>
        <w:autoSpaceDN w:val="0"/>
        <w:adjustRightInd w:val="0"/>
        <w:spacing w:line="360" w:lineRule="auto"/>
        <w:jc w:val="center"/>
        <w:rPr>
          <w:rFonts w:ascii="ITC Avant Garde" w:hAnsi="ITC Avant Garde"/>
          <w:sz w:val="22"/>
          <w:szCs w:val="22"/>
          <w:lang w:val="es-MX"/>
        </w:rPr>
      </w:pPr>
      <w:r w:rsidRPr="00D936CA">
        <w:rPr>
          <w:rFonts w:ascii="ITC Avant Garde" w:hAnsi="ITC Avant Garde"/>
          <w:i/>
          <w:sz w:val="20"/>
          <w:szCs w:val="22"/>
          <w:lang w:val="es-MX"/>
        </w:rPr>
        <w:t xml:space="preserve">Reparación de Fallas </w:t>
      </w:r>
      <w:r w:rsidRPr="00D936CA">
        <w:rPr>
          <w:rFonts w:ascii="ITC Avant Garde" w:hAnsi="ITC Avant Garde"/>
          <w:sz w:val="22"/>
          <w:szCs w:val="22"/>
          <w:lang w:val="es-MX"/>
        </w:rPr>
        <w:t xml:space="preserve">= </w:t>
      </w:r>
      <m:oMath>
        <m:f>
          <m:fPr>
            <m:ctrlPr>
              <w:rPr>
                <w:rFonts w:ascii="Cambria Math" w:hAnsi="Cambria Math"/>
                <w:i/>
                <w:sz w:val="22"/>
                <w:szCs w:val="22"/>
                <w:lang w:val="es-MX"/>
              </w:rPr>
            </m:ctrlPr>
          </m:fPr>
          <m:num>
            <m:r>
              <w:rPr>
                <w:rFonts w:ascii="Cambria Math" w:hAnsi="Cambria Math"/>
                <w:sz w:val="22"/>
                <w:szCs w:val="22"/>
                <w:lang w:val="es-MX"/>
              </w:rPr>
              <m:t>Fallas efectivas reparadas en el plazo a medir en  días hábiles</m:t>
            </m:r>
          </m:num>
          <m:den>
            <m:r>
              <w:rPr>
                <w:rFonts w:ascii="Cambria Math" w:hAnsi="Cambria Math"/>
                <w:sz w:val="22"/>
                <w:szCs w:val="22"/>
                <w:lang w:val="es-MX"/>
              </w:rPr>
              <m:t>Fallas Efectivas</m:t>
            </m:r>
          </m:den>
        </m:f>
        <m:r>
          <w:rPr>
            <w:rFonts w:ascii="Cambria Math" w:hAnsi="Cambria Math"/>
            <w:sz w:val="22"/>
            <w:szCs w:val="22"/>
            <w:lang w:val="es-MX"/>
          </w:rPr>
          <m:t xml:space="preserve"> x 100</m:t>
        </m:r>
      </m:oMath>
    </w:p>
    <w:p w14:paraId="33CFEF5C" w14:textId="77777777" w:rsidR="00396495" w:rsidRPr="00D936CA" w:rsidRDefault="00396495" w:rsidP="00060B2E">
      <w:pPr>
        <w:autoSpaceDE w:val="0"/>
        <w:autoSpaceDN w:val="0"/>
        <w:adjustRightInd w:val="0"/>
        <w:spacing w:line="360" w:lineRule="auto"/>
        <w:ind w:left="-567" w:right="-142"/>
        <w:rPr>
          <w:rFonts w:ascii="ITC Avant Garde" w:hAnsi="ITC Avant Garde"/>
          <w:b/>
          <w:sz w:val="22"/>
          <w:szCs w:val="22"/>
          <w:lang w:val="es-MX"/>
        </w:rPr>
      </w:pPr>
    </w:p>
    <w:p w14:paraId="33CFEF5D" w14:textId="77777777" w:rsidR="00396495" w:rsidRPr="00D936CA" w:rsidRDefault="00396495" w:rsidP="00060B2E">
      <w:pPr>
        <w:autoSpaceDE w:val="0"/>
        <w:autoSpaceDN w:val="0"/>
        <w:adjustRightInd w:val="0"/>
        <w:spacing w:after="200" w:line="276" w:lineRule="auto"/>
        <w:ind w:left="-567" w:right="-142"/>
        <w:rPr>
          <w:rFonts w:ascii="ITC Avant Garde" w:hAnsi="ITC Avant Garde"/>
          <w:b/>
          <w:sz w:val="22"/>
          <w:szCs w:val="22"/>
          <w:lang w:val="es-MX"/>
        </w:rPr>
      </w:pPr>
      <w:r w:rsidRPr="00D936CA">
        <w:rPr>
          <w:rFonts w:ascii="ITC Avant Garde" w:hAnsi="ITC Avant Garde"/>
          <w:b/>
          <w:sz w:val="22"/>
          <w:szCs w:val="22"/>
          <w:lang w:val="es-MX"/>
        </w:rPr>
        <w:t xml:space="preserve">Donde: </w:t>
      </w:r>
    </w:p>
    <w:p w14:paraId="33CFEF5E" w14:textId="77777777" w:rsidR="00321ACA" w:rsidRPr="00D936CA" w:rsidRDefault="00396495" w:rsidP="00060B2E">
      <w:pPr>
        <w:autoSpaceDE w:val="0"/>
        <w:autoSpaceDN w:val="0"/>
        <w:adjustRightInd w:val="0"/>
        <w:spacing w:after="200" w:line="276" w:lineRule="auto"/>
        <w:ind w:left="-567" w:right="-142"/>
        <w:jc w:val="both"/>
        <w:rPr>
          <w:rFonts w:ascii="ITC Avant Garde" w:hAnsi="ITC Avant Garde"/>
          <w:i/>
          <w:sz w:val="22"/>
          <w:szCs w:val="22"/>
          <w:lang w:val="es-MX"/>
        </w:rPr>
      </w:pPr>
      <w:r w:rsidRPr="00D936CA">
        <w:rPr>
          <w:rFonts w:ascii="ITC Avant Garde" w:hAnsi="ITC Avant Garde"/>
          <w:i/>
          <w:sz w:val="22"/>
          <w:szCs w:val="22"/>
          <w:lang w:val="es-MX"/>
        </w:rPr>
        <w:t xml:space="preserve">Fallas efectivas reparadas en el plazo a medir (días hábiles) = </w:t>
      </w:r>
      <w:r w:rsidRPr="00D936CA">
        <w:rPr>
          <w:rFonts w:ascii="ITC Avant Garde" w:hAnsi="ITC Avant Garde" w:cstheme="minorHAnsi"/>
          <w:sz w:val="22"/>
          <w:szCs w:val="22"/>
        </w:rPr>
        <w:t xml:space="preserve">Es la cantidad de fallas reparadas dentro del plazo que interesa medir, en este caso serán 1, 3 y 10 días hábiles siguientes a la recepción de la queja conforme a los procedimientos formales de Telmex. </w:t>
      </w:r>
      <w:r w:rsidR="00321ACA" w:rsidRPr="00D936CA">
        <w:rPr>
          <w:rFonts w:ascii="ITC Avant Garde" w:hAnsi="ITC Avant Garde" w:cstheme="minorHAnsi"/>
          <w:sz w:val="22"/>
          <w:szCs w:val="22"/>
        </w:rPr>
        <w:t>En esta variable se eliminan las quejas debidas a fallas provocadas por fenómenos no previsibles o de fuerza mayor además de las fallas en la red bajo responsabilidad del cliente.</w:t>
      </w:r>
    </w:p>
    <w:p w14:paraId="33CFEF5F" w14:textId="05400FF3" w:rsidR="00321ACA" w:rsidRDefault="00321ACA" w:rsidP="00060B2E">
      <w:pPr>
        <w:spacing w:after="200" w:line="276" w:lineRule="auto"/>
        <w:ind w:left="-567" w:right="-142"/>
        <w:jc w:val="both"/>
        <w:rPr>
          <w:rFonts w:ascii="ITC Avant Garde" w:hAnsi="ITC Avant Garde" w:cstheme="minorHAnsi"/>
          <w:sz w:val="22"/>
          <w:szCs w:val="22"/>
        </w:rPr>
      </w:pPr>
      <w:r w:rsidRPr="00D936CA">
        <w:rPr>
          <w:rFonts w:ascii="ITC Avant Garde" w:hAnsi="ITC Avant Garde"/>
          <w:i/>
          <w:sz w:val="22"/>
          <w:szCs w:val="22"/>
          <w:lang w:val="es-MX"/>
        </w:rPr>
        <w:t xml:space="preserve">Fallas Efectivas = </w:t>
      </w:r>
      <w:r w:rsidRPr="00D936CA">
        <w:rPr>
          <w:rFonts w:ascii="ITC Avant Garde" w:hAnsi="ITC Avant Garde" w:cstheme="minorHAnsi"/>
          <w:sz w:val="22"/>
          <w:szCs w:val="22"/>
        </w:rPr>
        <w:t>Cantidad de reportes de fallas recibidos excepto las quejas debidas a fallas provocadas por fenómenos no previsibles o de fuerza mayor, además de las fallas en la red bajo responsabilidad del cliente.</w:t>
      </w:r>
    </w:p>
    <w:p w14:paraId="05B08298" w14:textId="77777777" w:rsidR="00317F07" w:rsidRPr="00D936CA" w:rsidRDefault="00317F07" w:rsidP="00060B2E">
      <w:pPr>
        <w:spacing w:after="200" w:line="276" w:lineRule="auto"/>
        <w:ind w:left="-567" w:right="-142"/>
        <w:jc w:val="both"/>
        <w:rPr>
          <w:rFonts w:ascii="ITC Avant Garde" w:hAnsi="ITC Avant Garde"/>
          <w:i/>
          <w:sz w:val="22"/>
          <w:szCs w:val="22"/>
          <w:lang w:val="es-MX"/>
        </w:rPr>
      </w:pPr>
    </w:p>
    <w:p w14:paraId="33CFEF60" w14:textId="77777777" w:rsidR="00F74396" w:rsidRPr="00D936CA" w:rsidRDefault="00F74396" w:rsidP="00060B2E">
      <w:pPr>
        <w:autoSpaceDE w:val="0"/>
        <w:autoSpaceDN w:val="0"/>
        <w:adjustRightInd w:val="0"/>
        <w:spacing w:after="200" w:line="276" w:lineRule="auto"/>
        <w:ind w:left="-567" w:right="-142"/>
        <w:rPr>
          <w:rFonts w:ascii="ITC Avant Garde" w:hAnsi="ITC Avant Garde"/>
          <w:b/>
          <w:sz w:val="22"/>
          <w:szCs w:val="22"/>
          <w:lang w:val="es-MX"/>
        </w:rPr>
      </w:pPr>
      <w:r w:rsidRPr="00D936CA">
        <w:rPr>
          <w:rFonts w:ascii="ITC Avant Garde" w:hAnsi="ITC Avant Garde"/>
          <w:b/>
          <w:sz w:val="22"/>
          <w:szCs w:val="22"/>
          <w:lang w:val="es-MX"/>
        </w:rPr>
        <w:t>Indicador para Disponibilidad</w:t>
      </w:r>
    </w:p>
    <w:p w14:paraId="33CFEF61" w14:textId="77777777" w:rsidR="00F74396" w:rsidRPr="00D936CA" w:rsidRDefault="00F74396"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indicador de disponibilidad establece el porcentaje del tiempo durante el cual, el servicio se encuentra en operación normal respecto del tiempo total de medición. La meta de cumplimiento de este indicador es del 98% al trimestre</w:t>
      </w:r>
      <w:r w:rsidR="00EA4F02" w:rsidRPr="00D936CA">
        <w:rPr>
          <w:rFonts w:ascii="ITC Avant Garde" w:hAnsi="ITC Avant Garde"/>
          <w:sz w:val="22"/>
          <w:szCs w:val="22"/>
          <w:lang w:val="es-MX"/>
        </w:rPr>
        <w:t>.</w:t>
      </w:r>
    </w:p>
    <w:p w14:paraId="33CFEF62" w14:textId="77777777" w:rsidR="00F74396" w:rsidRPr="00D936CA" w:rsidRDefault="00F74396" w:rsidP="00060B2E">
      <w:pPr>
        <w:spacing w:after="200" w:line="276" w:lineRule="auto"/>
        <w:ind w:left="-567" w:right="-142"/>
        <w:jc w:val="both"/>
        <w:rPr>
          <w:rFonts w:ascii="ITC Avant Garde" w:hAnsi="ITC Avant Garde"/>
          <w:b/>
          <w:bCs/>
          <w:sz w:val="22"/>
          <w:szCs w:val="22"/>
        </w:rPr>
      </w:pPr>
      <w:r w:rsidRPr="00D936CA">
        <w:rPr>
          <w:rFonts w:ascii="ITC Avant Garde" w:hAnsi="ITC Avant Garde"/>
          <w:b/>
          <w:bCs/>
          <w:sz w:val="22"/>
          <w:szCs w:val="22"/>
        </w:rPr>
        <w:lastRenderedPageBreak/>
        <w:t>Metodología</w:t>
      </w:r>
    </w:p>
    <w:p w14:paraId="33CFEF63" w14:textId="77777777" w:rsidR="00F74396" w:rsidRPr="00D936CA" w:rsidRDefault="00F74396"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El indicador se calcula considerando el número de líneas en servicio durante el periodo de medición, menos las fallas efectivas reportadas por el tiempo de interrupción del servicio, respecto del total de líneas en servicio durante dicho período de medición.</w:t>
      </w:r>
    </w:p>
    <w:p w14:paraId="33CFEF64" w14:textId="77777777" w:rsidR="00F74396" w:rsidRPr="00D936CA" w:rsidRDefault="00F74396" w:rsidP="00060B2E">
      <w:pPr>
        <w:autoSpaceDE w:val="0"/>
        <w:autoSpaceDN w:val="0"/>
        <w:spacing w:line="360" w:lineRule="auto"/>
        <w:ind w:left="-567" w:right="-142"/>
        <w:jc w:val="center"/>
        <w:rPr>
          <w:rFonts w:ascii="ITC Avant Garde" w:hAnsi="ITC Avant Garde"/>
        </w:rPr>
      </w:pPr>
      <w:r w:rsidRPr="00D936CA">
        <w:rPr>
          <w:rFonts w:ascii="ITC Avant Garde" w:hAnsi="ITC Avant Garde"/>
          <w:i/>
          <w:iCs/>
          <w:sz w:val="18"/>
          <w:szCs w:val="18"/>
        </w:rPr>
        <w:t xml:space="preserve">Disponibilidad </w:t>
      </w:r>
      <w:r w:rsidRPr="00D936CA">
        <w:rPr>
          <w:rFonts w:ascii="ITC Avant Garde" w:hAnsi="ITC Avant Garde"/>
        </w:rPr>
        <w:t xml:space="preserve">= </w:t>
      </w:r>
      <m:oMath>
        <m:f>
          <m:fPr>
            <m:ctrlPr>
              <w:rPr>
                <w:rFonts w:ascii="Cambria Math" w:eastAsiaTheme="minorHAnsi" w:hAnsi="Cambria Math"/>
                <w:i/>
                <w:iCs/>
                <w:sz w:val="20"/>
                <w:szCs w:val="20"/>
              </w:rPr>
            </m:ctrlPr>
          </m:fPr>
          <m:num>
            <m:d>
              <m:dPr>
                <m:ctrlPr>
                  <w:rPr>
                    <w:rFonts w:ascii="Cambria Math" w:eastAsiaTheme="minorHAnsi" w:hAnsi="Cambria Math"/>
                    <w:i/>
                    <w:iCs/>
                    <w:sz w:val="20"/>
                    <w:szCs w:val="20"/>
                  </w:rPr>
                </m:ctrlPr>
              </m:dPr>
              <m:e>
                <m:r>
                  <w:rPr>
                    <w:rFonts w:ascii="Cambria Math" w:hAnsi="Cambria Math"/>
                    <w:sz w:val="20"/>
                    <w:szCs w:val="20"/>
                  </w:rPr>
                  <m:t>Total de líneas en servicio x Periodo de Medición</m:t>
                </m:r>
              </m:e>
            </m:d>
            <m:r>
              <w:rPr>
                <w:rFonts w:ascii="Cambria Math" w:hAnsi="Cambria Math"/>
                <w:sz w:val="20"/>
                <w:szCs w:val="20"/>
              </w:rPr>
              <m:t>-(Fallas Efectivas x Tiempo de Interrupción)</m:t>
            </m:r>
          </m:num>
          <m:den>
            <m:r>
              <w:rPr>
                <w:rFonts w:ascii="Cambria Math" w:hAnsi="Cambria Math"/>
                <w:sz w:val="20"/>
                <w:szCs w:val="20"/>
              </w:rPr>
              <m:t>Total de líneas en servicio x Periodo de Medición</m:t>
            </m:r>
          </m:den>
        </m:f>
        <m:r>
          <w:rPr>
            <w:rFonts w:ascii="Cambria Math" w:hAnsi="Cambria Math"/>
            <w:sz w:val="20"/>
            <w:szCs w:val="20"/>
          </w:rPr>
          <m:t xml:space="preserve"> x 100</m:t>
        </m:r>
      </m:oMath>
    </w:p>
    <w:p w14:paraId="33CFEF65" w14:textId="77777777" w:rsidR="00F74396" w:rsidRPr="00D936CA" w:rsidRDefault="00F74396" w:rsidP="00060B2E">
      <w:pPr>
        <w:spacing w:after="200" w:line="276" w:lineRule="auto"/>
        <w:ind w:left="-567" w:right="-142"/>
        <w:jc w:val="both"/>
        <w:rPr>
          <w:rFonts w:ascii="ITC Avant Garde" w:hAnsi="ITC Avant Garde"/>
          <w:sz w:val="22"/>
          <w:szCs w:val="22"/>
          <w:lang w:val="es-MX"/>
        </w:rPr>
      </w:pPr>
    </w:p>
    <w:p w14:paraId="33CFEF66" w14:textId="77777777" w:rsidR="00F27E64" w:rsidRPr="00D936CA" w:rsidRDefault="00D42CEC"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Se consideran fallas efectivas a la cantidad de reportes de fallas en líneas excepto los reportes debidos a fallas provocados por fenómenos no previsibles o de fuerza mayor, además de las fallas en la red bajo responsabilidad del cliente.</w:t>
      </w:r>
    </w:p>
    <w:p w14:paraId="33CFEF67" w14:textId="77777777" w:rsidR="0002741C" w:rsidRPr="00D936CA" w:rsidRDefault="00011A1B" w:rsidP="00060B2E">
      <w:pPr>
        <w:autoSpaceDE w:val="0"/>
        <w:autoSpaceDN w:val="0"/>
        <w:adjustRightInd w:val="0"/>
        <w:spacing w:after="200" w:line="276" w:lineRule="auto"/>
        <w:ind w:left="-567" w:right="-142"/>
        <w:rPr>
          <w:rFonts w:ascii="ITC Avant Garde" w:hAnsi="ITC Avant Garde"/>
          <w:b/>
          <w:sz w:val="22"/>
          <w:szCs w:val="22"/>
          <w:lang w:val="es-MX"/>
        </w:rPr>
      </w:pPr>
      <w:r w:rsidRPr="00AC4B3D">
        <w:rPr>
          <w:rFonts w:ascii="ITC Avant Garde" w:hAnsi="ITC Avant Garde"/>
          <w:b/>
          <w:sz w:val="22"/>
          <w:szCs w:val="22"/>
          <w:lang w:val="es-MX"/>
        </w:rPr>
        <w:t>Parámetros e Indicadores de Calidad para Pruebas del Servicio</w:t>
      </w:r>
    </w:p>
    <w:p w14:paraId="33CFEF68" w14:textId="77777777" w:rsidR="00530A32" w:rsidRPr="00D936CA" w:rsidRDefault="00011A1B" w:rsidP="00060B2E">
      <w:pPr>
        <w:autoSpaceDE w:val="0"/>
        <w:autoSpaceDN w:val="0"/>
        <w:adjustRightInd w:val="0"/>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Resistencia y Capacitancia</w:t>
      </w:r>
    </w:p>
    <w:p w14:paraId="33CFEF69" w14:textId="77777777" w:rsidR="006511E6" w:rsidRPr="00D936CA" w:rsidRDefault="006511E6"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En el proceso de aprovisionamiento y en el proceso de reparación de fallas para líneas de cobre, se realiza la medición de los parámetros eléctricos indicados en la tabla siguiente, esto se realiza entre la línea de cobre y tierra.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146"/>
        <w:gridCol w:w="1969"/>
      </w:tblGrid>
      <w:tr w:rsidR="00D936CA" w:rsidRPr="00B37E33" w14:paraId="4DBDB8E0" w14:textId="77777777" w:rsidTr="00060B2E">
        <w:trPr>
          <w:trHeight w:val="451"/>
          <w:jc w:val="center"/>
        </w:trPr>
        <w:tc>
          <w:tcPr>
            <w:tcW w:w="2689" w:type="dxa"/>
            <w:shd w:val="clear" w:color="auto" w:fill="4F81BD" w:themeFill="accent1"/>
            <w:vAlign w:val="center"/>
          </w:tcPr>
          <w:p w14:paraId="0B37EE83" w14:textId="77777777" w:rsidR="00743A98" w:rsidRPr="00B37E33" w:rsidRDefault="00743A98" w:rsidP="00AC4B3D">
            <w:pPr>
              <w:spacing w:line="276" w:lineRule="auto"/>
              <w:contextualSpacing/>
              <w:jc w:val="center"/>
              <w:rPr>
                <w:rFonts w:ascii="ITC Avant Garde" w:hAnsi="ITC Avant Garde"/>
                <w:sz w:val="20"/>
                <w:szCs w:val="20"/>
              </w:rPr>
            </w:pPr>
            <w:r w:rsidRPr="00B37E33">
              <w:rPr>
                <w:rFonts w:ascii="ITC Avant Garde" w:hAnsi="ITC Avant Garde"/>
                <w:sz w:val="20"/>
                <w:szCs w:val="20"/>
              </w:rPr>
              <w:t>Parámetro</w:t>
            </w:r>
          </w:p>
        </w:tc>
        <w:tc>
          <w:tcPr>
            <w:tcW w:w="2146" w:type="dxa"/>
            <w:shd w:val="clear" w:color="auto" w:fill="4F81BD" w:themeFill="accent1"/>
            <w:vAlign w:val="center"/>
          </w:tcPr>
          <w:p w14:paraId="7BC5D70D" w14:textId="77777777" w:rsidR="00743A98" w:rsidRPr="00B37E33" w:rsidRDefault="00743A98" w:rsidP="00AC4B3D">
            <w:pPr>
              <w:spacing w:line="276" w:lineRule="auto"/>
              <w:contextualSpacing/>
              <w:jc w:val="center"/>
              <w:rPr>
                <w:rFonts w:ascii="ITC Avant Garde" w:hAnsi="ITC Avant Garde"/>
                <w:sz w:val="20"/>
                <w:szCs w:val="20"/>
              </w:rPr>
            </w:pPr>
            <w:r w:rsidRPr="00B37E33">
              <w:rPr>
                <w:rFonts w:ascii="ITC Avant Garde" w:hAnsi="ITC Avant Garde"/>
                <w:sz w:val="20"/>
                <w:szCs w:val="20"/>
              </w:rPr>
              <w:t>Medición entre puntos (hilos)</w:t>
            </w:r>
          </w:p>
        </w:tc>
        <w:tc>
          <w:tcPr>
            <w:tcW w:w="1969" w:type="dxa"/>
            <w:shd w:val="clear" w:color="auto" w:fill="4F81BD" w:themeFill="accent1"/>
            <w:vAlign w:val="center"/>
          </w:tcPr>
          <w:p w14:paraId="6FD80827" w14:textId="77777777" w:rsidR="00743A98" w:rsidRPr="00B37E33" w:rsidRDefault="00743A98" w:rsidP="00566C6D">
            <w:pPr>
              <w:spacing w:line="276" w:lineRule="auto"/>
              <w:contextualSpacing/>
              <w:jc w:val="center"/>
              <w:rPr>
                <w:rFonts w:ascii="ITC Avant Garde" w:hAnsi="ITC Avant Garde"/>
                <w:sz w:val="20"/>
                <w:szCs w:val="20"/>
              </w:rPr>
            </w:pPr>
            <w:r w:rsidRPr="00B37E33">
              <w:rPr>
                <w:rFonts w:ascii="ITC Avant Garde" w:hAnsi="ITC Avant Garde"/>
                <w:sz w:val="20"/>
                <w:szCs w:val="20"/>
              </w:rPr>
              <w:t>Valor Aceptable</w:t>
            </w:r>
          </w:p>
        </w:tc>
      </w:tr>
      <w:tr w:rsidR="00D936CA" w:rsidRPr="00B37E33" w14:paraId="007CDB91" w14:textId="77777777" w:rsidTr="00060B2E">
        <w:trPr>
          <w:jc w:val="center"/>
        </w:trPr>
        <w:tc>
          <w:tcPr>
            <w:tcW w:w="2689" w:type="dxa"/>
            <w:vMerge w:val="restart"/>
            <w:vAlign w:val="center"/>
          </w:tcPr>
          <w:p w14:paraId="026A5B32" w14:textId="77777777" w:rsidR="00743A98" w:rsidRPr="00B37E33" w:rsidRDefault="00743A98" w:rsidP="00AC4B3D">
            <w:pPr>
              <w:spacing w:line="276" w:lineRule="auto"/>
              <w:contextualSpacing/>
              <w:jc w:val="center"/>
              <w:rPr>
                <w:rFonts w:ascii="ITC Avant Garde" w:hAnsi="ITC Avant Garde"/>
                <w:sz w:val="20"/>
                <w:szCs w:val="20"/>
              </w:rPr>
            </w:pPr>
            <w:r w:rsidRPr="00B37E33">
              <w:rPr>
                <w:rFonts w:ascii="ITC Avant Garde" w:hAnsi="ITC Avant Garde"/>
                <w:sz w:val="20"/>
                <w:szCs w:val="20"/>
              </w:rPr>
              <w:t>Resistencia de aislamiento</w:t>
            </w:r>
          </w:p>
        </w:tc>
        <w:tc>
          <w:tcPr>
            <w:tcW w:w="2146" w:type="dxa"/>
          </w:tcPr>
          <w:p w14:paraId="45393D45" w14:textId="77777777" w:rsidR="00743A98" w:rsidRPr="00B37E33" w:rsidRDefault="00743A98" w:rsidP="00AC4B3D">
            <w:pPr>
              <w:spacing w:line="276" w:lineRule="auto"/>
              <w:contextualSpacing/>
              <w:jc w:val="center"/>
              <w:rPr>
                <w:rFonts w:ascii="ITC Avant Garde" w:hAnsi="ITC Avant Garde"/>
                <w:sz w:val="20"/>
                <w:szCs w:val="20"/>
              </w:rPr>
            </w:pPr>
            <w:r w:rsidRPr="00B37E33">
              <w:rPr>
                <w:rFonts w:ascii="ITC Avant Garde" w:hAnsi="ITC Avant Garde"/>
                <w:sz w:val="20"/>
                <w:szCs w:val="20"/>
              </w:rPr>
              <w:t>a-b</w:t>
            </w:r>
          </w:p>
        </w:tc>
        <w:tc>
          <w:tcPr>
            <w:tcW w:w="1969" w:type="dxa"/>
            <w:vMerge w:val="restart"/>
            <w:vAlign w:val="center"/>
          </w:tcPr>
          <w:p w14:paraId="3FF04B13" w14:textId="77777777" w:rsidR="00743A98" w:rsidRPr="00B37E33" w:rsidRDefault="00743A98" w:rsidP="00060B2E">
            <w:pPr>
              <w:spacing w:line="276" w:lineRule="auto"/>
              <w:contextualSpacing/>
              <w:jc w:val="right"/>
              <w:rPr>
                <w:rFonts w:ascii="ITC Avant Garde" w:hAnsi="ITC Avant Garde"/>
                <w:sz w:val="20"/>
                <w:szCs w:val="20"/>
              </w:rPr>
            </w:pPr>
            <w:r w:rsidRPr="00B37E33">
              <w:rPr>
                <w:rFonts w:ascii="ITC Avant Garde" w:hAnsi="ITC Avant Garde"/>
                <w:sz w:val="20"/>
                <w:szCs w:val="20"/>
              </w:rPr>
              <w:t>Mayor a 1 Mohms</w:t>
            </w:r>
          </w:p>
        </w:tc>
      </w:tr>
      <w:tr w:rsidR="00D936CA" w:rsidRPr="00B37E33" w14:paraId="0A17E3CF" w14:textId="77777777" w:rsidTr="00060B2E">
        <w:trPr>
          <w:jc w:val="center"/>
        </w:trPr>
        <w:tc>
          <w:tcPr>
            <w:tcW w:w="2689" w:type="dxa"/>
            <w:vMerge/>
          </w:tcPr>
          <w:p w14:paraId="50FFFDFA" w14:textId="77777777" w:rsidR="00743A98" w:rsidRPr="00B37E33" w:rsidRDefault="00743A98">
            <w:pPr>
              <w:spacing w:line="276" w:lineRule="auto"/>
              <w:contextualSpacing/>
              <w:rPr>
                <w:rFonts w:ascii="ITC Avant Garde" w:hAnsi="ITC Avant Garde"/>
                <w:sz w:val="20"/>
                <w:szCs w:val="20"/>
              </w:rPr>
            </w:pPr>
          </w:p>
        </w:tc>
        <w:tc>
          <w:tcPr>
            <w:tcW w:w="2146" w:type="dxa"/>
          </w:tcPr>
          <w:p w14:paraId="07BF316C" w14:textId="77777777" w:rsidR="00743A98" w:rsidRPr="00B37E33" w:rsidRDefault="00743A98">
            <w:pPr>
              <w:spacing w:line="276" w:lineRule="auto"/>
              <w:contextualSpacing/>
              <w:jc w:val="center"/>
              <w:rPr>
                <w:rFonts w:ascii="ITC Avant Garde" w:hAnsi="ITC Avant Garde"/>
                <w:sz w:val="20"/>
                <w:szCs w:val="20"/>
              </w:rPr>
            </w:pPr>
            <w:r w:rsidRPr="00B37E33">
              <w:rPr>
                <w:rFonts w:ascii="ITC Avant Garde" w:hAnsi="ITC Avant Garde"/>
                <w:sz w:val="20"/>
                <w:szCs w:val="20"/>
              </w:rPr>
              <w:t>a-tierra</w:t>
            </w:r>
          </w:p>
        </w:tc>
        <w:tc>
          <w:tcPr>
            <w:tcW w:w="1969" w:type="dxa"/>
            <w:vMerge/>
          </w:tcPr>
          <w:p w14:paraId="4CD7B3C1" w14:textId="77777777" w:rsidR="00743A98" w:rsidRPr="00B37E33" w:rsidRDefault="00743A98">
            <w:pPr>
              <w:spacing w:line="276" w:lineRule="auto"/>
              <w:contextualSpacing/>
              <w:jc w:val="center"/>
              <w:rPr>
                <w:rFonts w:ascii="ITC Avant Garde" w:hAnsi="ITC Avant Garde"/>
                <w:sz w:val="20"/>
                <w:szCs w:val="20"/>
              </w:rPr>
            </w:pPr>
          </w:p>
        </w:tc>
      </w:tr>
      <w:tr w:rsidR="00D936CA" w:rsidRPr="00B37E33" w14:paraId="4F596572" w14:textId="77777777" w:rsidTr="00060B2E">
        <w:trPr>
          <w:jc w:val="center"/>
        </w:trPr>
        <w:tc>
          <w:tcPr>
            <w:tcW w:w="2689" w:type="dxa"/>
            <w:vMerge/>
          </w:tcPr>
          <w:p w14:paraId="518B36DE" w14:textId="77777777" w:rsidR="00743A98" w:rsidRPr="00B37E33" w:rsidRDefault="00743A98">
            <w:pPr>
              <w:spacing w:line="276" w:lineRule="auto"/>
              <w:contextualSpacing/>
              <w:rPr>
                <w:rFonts w:ascii="ITC Avant Garde" w:hAnsi="ITC Avant Garde"/>
                <w:sz w:val="20"/>
                <w:szCs w:val="20"/>
              </w:rPr>
            </w:pPr>
          </w:p>
        </w:tc>
        <w:tc>
          <w:tcPr>
            <w:tcW w:w="2146" w:type="dxa"/>
          </w:tcPr>
          <w:p w14:paraId="64C4C51A" w14:textId="77777777" w:rsidR="00743A98" w:rsidRPr="00B37E33" w:rsidRDefault="00743A98">
            <w:pPr>
              <w:spacing w:line="276" w:lineRule="auto"/>
              <w:contextualSpacing/>
              <w:jc w:val="center"/>
              <w:rPr>
                <w:rFonts w:ascii="ITC Avant Garde" w:hAnsi="ITC Avant Garde"/>
                <w:sz w:val="20"/>
                <w:szCs w:val="20"/>
              </w:rPr>
            </w:pPr>
            <w:r w:rsidRPr="00B37E33">
              <w:rPr>
                <w:rFonts w:ascii="ITC Avant Garde" w:hAnsi="ITC Avant Garde"/>
                <w:sz w:val="20"/>
                <w:szCs w:val="20"/>
              </w:rPr>
              <w:t>b-tierra</w:t>
            </w:r>
          </w:p>
        </w:tc>
        <w:tc>
          <w:tcPr>
            <w:tcW w:w="1969" w:type="dxa"/>
            <w:vMerge/>
          </w:tcPr>
          <w:p w14:paraId="6BCA6A35" w14:textId="77777777" w:rsidR="00743A98" w:rsidRPr="00B37E33" w:rsidRDefault="00743A98">
            <w:pPr>
              <w:spacing w:line="276" w:lineRule="auto"/>
              <w:contextualSpacing/>
              <w:jc w:val="center"/>
              <w:rPr>
                <w:rFonts w:ascii="ITC Avant Garde" w:hAnsi="ITC Avant Garde"/>
                <w:sz w:val="20"/>
                <w:szCs w:val="20"/>
              </w:rPr>
            </w:pPr>
          </w:p>
        </w:tc>
      </w:tr>
      <w:tr w:rsidR="00D936CA" w:rsidRPr="00B37E33" w14:paraId="2F725237" w14:textId="77777777" w:rsidTr="00060B2E">
        <w:trPr>
          <w:trHeight w:val="275"/>
          <w:jc w:val="center"/>
        </w:trPr>
        <w:tc>
          <w:tcPr>
            <w:tcW w:w="2689" w:type="dxa"/>
            <w:vMerge w:val="restart"/>
            <w:vAlign w:val="center"/>
          </w:tcPr>
          <w:p w14:paraId="3395995C" w14:textId="77777777" w:rsidR="00743A98" w:rsidRPr="00B37E33" w:rsidRDefault="00743A98" w:rsidP="00AC4B3D">
            <w:pPr>
              <w:spacing w:line="276" w:lineRule="auto"/>
              <w:contextualSpacing/>
              <w:jc w:val="center"/>
              <w:rPr>
                <w:rFonts w:ascii="ITC Avant Garde" w:hAnsi="ITC Avant Garde"/>
                <w:sz w:val="20"/>
                <w:szCs w:val="20"/>
              </w:rPr>
            </w:pPr>
            <w:r w:rsidRPr="00B37E33">
              <w:rPr>
                <w:rFonts w:ascii="ITC Avant Garde" w:hAnsi="ITC Avant Garde"/>
                <w:sz w:val="20"/>
                <w:szCs w:val="20"/>
              </w:rPr>
              <w:t xml:space="preserve">Capacitancia </w:t>
            </w:r>
          </w:p>
        </w:tc>
        <w:tc>
          <w:tcPr>
            <w:tcW w:w="2146" w:type="dxa"/>
          </w:tcPr>
          <w:p w14:paraId="0D293B30" w14:textId="77777777" w:rsidR="00743A98" w:rsidRPr="00B37E33" w:rsidRDefault="00743A98" w:rsidP="00AC4B3D">
            <w:pPr>
              <w:spacing w:line="276" w:lineRule="auto"/>
              <w:contextualSpacing/>
              <w:jc w:val="center"/>
              <w:rPr>
                <w:rFonts w:ascii="ITC Avant Garde" w:hAnsi="ITC Avant Garde"/>
                <w:sz w:val="20"/>
                <w:szCs w:val="20"/>
              </w:rPr>
            </w:pPr>
            <w:r w:rsidRPr="00B37E33">
              <w:rPr>
                <w:rFonts w:ascii="ITC Avant Garde" w:hAnsi="ITC Avant Garde"/>
                <w:sz w:val="20"/>
                <w:szCs w:val="20"/>
              </w:rPr>
              <w:t>a-b</w:t>
            </w:r>
          </w:p>
        </w:tc>
        <w:tc>
          <w:tcPr>
            <w:tcW w:w="1969" w:type="dxa"/>
          </w:tcPr>
          <w:p w14:paraId="01D04EF9" w14:textId="77777777" w:rsidR="00743A98" w:rsidRPr="00B37E33" w:rsidRDefault="00743A98" w:rsidP="00566C6D">
            <w:pPr>
              <w:spacing w:line="276" w:lineRule="auto"/>
              <w:contextualSpacing/>
              <w:jc w:val="right"/>
              <w:rPr>
                <w:rFonts w:ascii="ITC Avant Garde" w:hAnsi="ITC Avant Garde"/>
                <w:sz w:val="20"/>
                <w:szCs w:val="20"/>
              </w:rPr>
            </w:pPr>
            <w:r w:rsidRPr="00B37E33">
              <w:rPr>
                <w:rFonts w:ascii="ITC Avant Garde" w:hAnsi="ITC Avant Garde"/>
                <w:sz w:val="20"/>
                <w:szCs w:val="20"/>
              </w:rPr>
              <w:t>52.5 nF</w:t>
            </w:r>
            <w:r w:rsidRPr="00B37E33">
              <w:rPr>
                <w:rFonts w:ascii="ITC Avant Garde" w:hAnsi="ITC Avant Garde"/>
                <w:sz w:val="20"/>
                <w:szCs w:val="20"/>
                <w:lang w:val="pt-BR"/>
              </w:rPr>
              <w:t xml:space="preserve">/ Km </w:t>
            </w:r>
            <w:r w:rsidRPr="00B37E33">
              <w:rPr>
                <w:rFonts w:ascii="ITC Avant Garde" w:hAnsi="ITC Avant Garde" w:cs="Arial"/>
                <w:sz w:val="20"/>
                <w:szCs w:val="20"/>
              </w:rPr>
              <w:t>±  5 %</w:t>
            </w:r>
          </w:p>
        </w:tc>
      </w:tr>
      <w:tr w:rsidR="00D936CA" w:rsidRPr="00B37E33" w14:paraId="0FF93940" w14:textId="77777777" w:rsidTr="00060B2E">
        <w:trPr>
          <w:trHeight w:val="263"/>
          <w:jc w:val="center"/>
        </w:trPr>
        <w:tc>
          <w:tcPr>
            <w:tcW w:w="2689" w:type="dxa"/>
            <w:vMerge/>
            <w:vAlign w:val="center"/>
          </w:tcPr>
          <w:p w14:paraId="4FC8E4D1" w14:textId="77777777" w:rsidR="00743A98" w:rsidRPr="00B37E33" w:rsidRDefault="00743A98">
            <w:pPr>
              <w:spacing w:line="276" w:lineRule="auto"/>
              <w:contextualSpacing/>
              <w:jc w:val="center"/>
              <w:rPr>
                <w:rFonts w:ascii="ITC Avant Garde" w:hAnsi="ITC Avant Garde"/>
                <w:sz w:val="20"/>
                <w:szCs w:val="20"/>
              </w:rPr>
            </w:pPr>
          </w:p>
        </w:tc>
        <w:tc>
          <w:tcPr>
            <w:tcW w:w="2146" w:type="dxa"/>
          </w:tcPr>
          <w:p w14:paraId="68FF18CA" w14:textId="77777777" w:rsidR="00743A98" w:rsidRPr="00B37E33" w:rsidRDefault="00743A98">
            <w:pPr>
              <w:spacing w:line="276" w:lineRule="auto"/>
              <w:contextualSpacing/>
              <w:jc w:val="center"/>
              <w:rPr>
                <w:rFonts w:ascii="ITC Avant Garde" w:hAnsi="ITC Avant Garde"/>
                <w:sz w:val="20"/>
                <w:szCs w:val="20"/>
              </w:rPr>
            </w:pPr>
            <w:r w:rsidRPr="00B37E33">
              <w:rPr>
                <w:rFonts w:ascii="ITC Avant Garde" w:hAnsi="ITC Avant Garde"/>
                <w:sz w:val="20"/>
                <w:szCs w:val="20"/>
              </w:rPr>
              <w:t>a-tierra</w:t>
            </w:r>
          </w:p>
        </w:tc>
        <w:tc>
          <w:tcPr>
            <w:tcW w:w="1969" w:type="dxa"/>
          </w:tcPr>
          <w:p w14:paraId="1D66E8AF" w14:textId="77777777" w:rsidR="00743A98" w:rsidRPr="00B37E33" w:rsidRDefault="00743A98">
            <w:pPr>
              <w:spacing w:line="276" w:lineRule="auto"/>
              <w:contextualSpacing/>
              <w:jc w:val="right"/>
              <w:rPr>
                <w:rFonts w:ascii="ITC Avant Garde" w:hAnsi="ITC Avant Garde"/>
                <w:sz w:val="20"/>
                <w:szCs w:val="20"/>
              </w:rPr>
            </w:pPr>
            <w:r w:rsidRPr="00B37E33">
              <w:rPr>
                <w:rFonts w:ascii="ITC Avant Garde" w:hAnsi="ITC Avant Garde" w:cs="Arial"/>
                <w:sz w:val="20"/>
                <w:szCs w:val="20"/>
              </w:rPr>
              <w:t xml:space="preserve">64 </w:t>
            </w:r>
            <w:r w:rsidRPr="00B37E33">
              <w:rPr>
                <w:rFonts w:ascii="ITC Avant Garde" w:hAnsi="ITC Avant Garde"/>
                <w:sz w:val="20"/>
                <w:szCs w:val="20"/>
                <w:lang w:val="pt-BR"/>
              </w:rPr>
              <w:t>nF/Km</w:t>
            </w:r>
            <w:r w:rsidRPr="00B37E33">
              <w:rPr>
                <w:rFonts w:ascii="ITC Avant Garde" w:hAnsi="ITC Avant Garde" w:cs="Arial"/>
                <w:sz w:val="20"/>
                <w:szCs w:val="20"/>
                <w:lang w:val="pt-BR"/>
              </w:rPr>
              <w:t xml:space="preserve"> </w:t>
            </w:r>
            <w:r w:rsidRPr="00B37E33">
              <w:rPr>
                <w:rFonts w:ascii="ITC Avant Garde" w:hAnsi="ITC Avant Garde" w:cs="Arial"/>
                <w:sz w:val="20"/>
                <w:szCs w:val="20"/>
              </w:rPr>
              <w:t>± 10 %</w:t>
            </w:r>
          </w:p>
        </w:tc>
      </w:tr>
      <w:tr w:rsidR="00D936CA" w:rsidRPr="00B37E33" w14:paraId="426FF5FA" w14:textId="77777777" w:rsidTr="00060B2E">
        <w:trPr>
          <w:jc w:val="center"/>
        </w:trPr>
        <w:tc>
          <w:tcPr>
            <w:tcW w:w="2689" w:type="dxa"/>
            <w:vMerge/>
            <w:vAlign w:val="center"/>
          </w:tcPr>
          <w:p w14:paraId="6715FE26" w14:textId="77777777" w:rsidR="00743A98" w:rsidRPr="00B37E33" w:rsidRDefault="00743A98">
            <w:pPr>
              <w:spacing w:line="276" w:lineRule="auto"/>
              <w:contextualSpacing/>
              <w:rPr>
                <w:rFonts w:ascii="ITC Avant Garde" w:hAnsi="ITC Avant Garde"/>
                <w:sz w:val="20"/>
                <w:szCs w:val="20"/>
              </w:rPr>
            </w:pPr>
          </w:p>
        </w:tc>
        <w:tc>
          <w:tcPr>
            <w:tcW w:w="2146" w:type="dxa"/>
          </w:tcPr>
          <w:p w14:paraId="51C3F6F5" w14:textId="77777777" w:rsidR="00743A98" w:rsidRPr="00B37E33" w:rsidRDefault="00743A98">
            <w:pPr>
              <w:spacing w:line="276" w:lineRule="auto"/>
              <w:contextualSpacing/>
              <w:jc w:val="center"/>
              <w:rPr>
                <w:rFonts w:ascii="ITC Avant Garde" w:hAnsi="ITC Avant Garde"/>
                <w:sz w:val="20"/>
                <w:szCs w:val="20"/>
              </w:rPr>
            </w:pPr>
            <w:r w:rsidRPr="00B37E33">
              <w:rPr>
                <w:rFonts w:ascii="ITC Avant Garde" w:hAnsi="ITC Avant Garde"/>
                <w:sz w:val="20"/>
                <w:szCs w:val="20"/>
              </w:rPr>
              <w:t>b-tierra</w:t>
            </w:r>
          </w:p>
        </w:tc>
        <w:tc>
          <w:tcPr>
            <w:tcW w:w="1969" w:type="dxa"/>
          </w:tcPr>
          <w:p w14:paraId="65E5F835" w14:textId="77777777" w:rsidR="00743A98" w:rsidRPr="00B37E33" w:rsidRDefault="00743A98">
            <w:pPr>
              <w:spacing w:line="276" w:lineRule="auto"/>
              <w:contextualSpacing/>
              <w:jc w:val="right"/>
              <w:rPr>
                <w:rFonts w:ascii="ITC Avant Garde" w:hAnsi="ITC Avant Garde"/>
                <w:sz w:val="20"/>
                <w:szCs w:val="20"/>
              </w:rPr>
            </w:pPr>
            <w:r w:rsidRPr="00B37E33">
              <w:rPr>
                <w:rFonts w:ascii="ITC Avant Garde" w:hAnsi="ITC Avant Garde" w:cs="Arial"/>
                <w:sz w:val="20"/>
                <w:szCs w:val="20"/>
              </w:rPr>
              <w:t xml:space="preserve">64 </w:t>
            </w:r>
            <w:r w:rsidRPr="00B37E33">
              <w:rPr>
                <w:rFonts w:ascii="ITC Avant Garde" w:hAnsi="ITC Avant Garde"/>
                <w:sz w:val="20"/>
                <w:szCs w:val="20"/>
                <w:lang w:val="pt-BR"/>
              </w:rPr>
              <w:t>nF/Km</w:t>
            </w:r>
            <w:r w:rsidRPr="00B37E33">
              <w:rPr>
                <w:rFonts w:ascii="ITC Avant Garde" w:hAnsi="ITC Avant Garde" w:cs="Arial"/>
                <w:sz w:val="20"/>
                <w:szCs w:val="20"/>
                <w:lang w:val="pt-BR"/>
              </w:rPr>
              <w:t xml:space="preserve"> </w:t>
            </w:r>
            <w:r w:rsidRPr="00B37E33">
              <w:rPr>
                <w:rFonts w:ascii="ITC Avant Garde" w:hAnsi="ITC Avant Garde" w:cs="Arial"/>
                <w:sz w:val="20"/>
                <w:szCs w:val="20"/>
              </w:rPr>
              <w:t>± 10 %</w:t>
            </w:r>
          </w:p>
        </w:tc>
      </w:tr>
    </w:tbl>
    <w:p w14:paraId="33CFEF82" w14:textId="77777777" w:rsidR="00864494" w:rsidRPr="00D936CA" w:rsidRDefault="00347648" w:rsidP="00060B2E">
      <w:pPr>
        <w:spacing w:before="120" w:after="200" w:line="276" w:lineRule="auto"/>
        <w:ind w:left="-567" w:right="-142"/>
        <w:jc w:val="center"/>
        <w:rPr>
          <w:rFonts w:ascii="ITC Avant Garde" w:hAnsi="ITC Avant Garde"/>
          <w:sz w:val="16"/>
          <w:szCs w:val="18"/>
          <w:lang w:val="es-MX"/>
        </w:rPr>
      </w:pPr>
      <w:r w:rsidRPr="00D936CA">
        <w:rPr>
          <w:rFonts w:ascii="ITC Avant Garde" w:hAnsi="ITC Avant Garde"/>
          <w:sz w:val="16"/>
          <w:szCs w:val="18"/>
          <w:lang w:val="es-MX"/>
        </w:rPr>
        <w:t xml:space="preserve">Tabla </w:t>
      </w:r>
      <w:r w:rsidR="00972D5E" w:rsidRPr="00D936CA">
        <w:rPr>
          <w:rFonts w:ascii="ITC Avant Garde" w:hAnsi="ITC Avant Garde"/>
          <w:sz w:val="16"/>
          <w:szCs w:val="18"/>
          <w:lang w:val="es-MX"/>
        </w:rPr>
        <w:t>17.</w:t>
      </w:r>
      <w:r w:rsidRPr="00D936CA">
        <w:rPr>
          <w:rFonts w:ascii="ITC Avant Garde" w:hAnsi="ITC Avant Garde"/>
          <w:sz w:val="16"/>
          <w:szCs w:val="18"/>
          <w:lang w:val="es-MX"/>
        </w:rPr>
        <w:t xml:space="preserve"> </w:t>
      </w:r>
      <w:r w:rsidR="00864494" w:rsidRPr="00D936CA">
        <w:rPr>
          <w:rFonts w:ascii="ITC Avant Garde" w:hAnsi="ITC Avant Garde"/>
          <w:sz w:val="16"/>
          <w:szCs w:val="18"/>
          <w:lang w:val="es-MX"/>
        </w:rPr>
        <w:t>Valores aceptables de resistencia y capacitancia</w:t>
      </w:r>
    </w:p>
    <w:p w14:paraId="0B2200F6" w14:textId="798F76A6" w:rsidR="00C16734" w:rsidRPr="00E11152" w:rsidRDefault="00C16734" w:rsidP="00060B2E">
      <w:pPr>
        <w:autoSpaceDE w:val="0"/>
        <w:autoSpaceDN w:val="0"/>
        <w:adjustRightInd w:val="0"/>
        <w:spacing w:after="200" w:line="276" w:lineRule="auto"/>
        <w:ind w:left="-567" w:right="-142"/>
        <w:jc w:val="both"/>
        <w:rPr>
          <w:rFonts w:ascii="ITC Avant Garde" w:hAnsi="ITC Avant Garde"/>
          <w:sz w:val="22"/>
          <w:szCs w:val="22"/>
        </w:rPr>
      </w:pPr>
      <w:r w:rsidRPr="00060B2E">
        <w:rPr>
          <w:rFonts w:ascii="ITC Avant Garde" w:hAnsi="ITC Avant Garde"/>
          <w:sz w:val="22"/>
          <w:szCs w:val="22"/>
        </w:rPr>
        <w:t>Para los casos de servicios de acceso a internet–Infinitum, una vez validado el cobre se realiza la verificación de la sincronía con el equipo de pruebas correspondiente. Misma que consiste en conectar el equipo DSL para constatar que se active la indicación de sincronía DSL.</w:t>
      </w:r>
    </w:p>
    <w:p w14:paraId="33CFEF83" w14:textId="31D3EAA1" w:rsidR="006511E6" w:rsidRPr="00D936CA" w:rsidRDefault="006511E6"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rPr>
        <w:t>De lo anterior, se tiene que</w:t>
      </w:r>
      <w:r w:rsidR="00AC4B3D">
        <w:rPr>
          <w:rFonts w:ascii="ITC Avant Garde" w:hAnsi="ITC Avant Garde"/>
          <w:sz w:val="22"/>
          <w:szCs w:val="22"/>
        </w:rPr>
        <w:t>,</w:t>
      </w:r>
      <w:r w:rsidRPr="00D936CA">
        <w:rPr>
          <w:rFonts w:ascii="ITC Avant Garde" w:hAnsi="ITC Avant Garde"/>
          <w:sz w:val="22"/>
          <w:szCs w:val="22"/>
        </w:rPr>
        <w:t xml:space="preserve"> si los resultados de las mediciones se encuentran dentro los rangos mostrados, el servicio opera de forma adecuada, de lo contrario, es posible caracterizar las siguientes fallas:</w:t>
      </w:r>
    </w:p>
    <w:p w14:paraId="33CFEF84" w14:textId="77777777" w:rsidR="006511E6" w:rsidRPr="00D936CA" w:rsidRDefault="006511E6" w:rsidP="00D936CA">
      <w:pPr>
        <w:pStyle w:val="Prrafodelista"/>
        <w:numPr>
          <w:ilvl w:val="0"/>
          <w:numId w:val="63"/>
        </w:numPr>
        <w:spacing w:after="200" w:line="276" w:lineRule="auto"/>
        <w:jc w:val="both"/>
        <w:rPr>
          <w:rFonts w:ascii="ITC Avant Garde" w:hAnsi="ITC Avant Garde"/>
          <w:sz w:val="22"/>
          <w:szCs w:val="22"/>
        </w:rPr>
      </w:pPr>
      <w:r w:rsidRPr="00D936CA">
        <w:rPr>
          <w:rFonts w:ascii="ITC Avant Garde" w:hAnsi="ITC Avant Garde"/>
          <w:sz w:val="22"/>
          <w:szCs w:val="22"/>
        </w:rPr>
        <w:t>Fallas Resistivas (bajo aislamiento)</w:t>
      </w:r>
    </w:p>
    <w:p w14:paraId="33CFEF85" w14:textId="77777777" w:rsidR="006511E6" w:rsidRPr="00D936CA" w:rsidRDefault="006511E6" w:rsidP="00D936CA">
      <w:pPr>
        <w:pStyle w:val="Prrafodelista"/>
        <w:numPr>
          <w:ilvl w:val="0"/>
          <w:numId w:val="63"/>
        </w:numPr>
        <w:spacing w:after="200" w:line="276" w:lineRule="auto"/>
        <w:jc w:val="both"/>
        <w:rPr>
          <w:rFonts w:ascii="ITC Avant Garde" w:hAnsi="ITC Avant Garde"/>
          <w:sz w:val="22"/>
          <w:szCs w:val="22"/>
        </w:rPr>
      </w:pPr>
      <w:r w:rsidRPr="00D936CA">
        <w:rPr>
          <w:rFonts w:ascii="ITC Avant Garde" w:hAnsi="ITC Avant Garde"/>
          <w:sz w:val="22"/>
          <w:szCs w:val="22"/>
        </w:rPr>
        <w:t>Cortos</w:t>
      </w:r>
    </w:p>
    <w:p w14:paraId="33CFEF86" w14:textId="77777777" w:rsidR="006511E6" w:rsidRPr="00D936CA" w:rsidRDefault="006511E6" w:rsidP="00D936CA">
      <w:pPr>
        <w:pStyle w:val="Prrafodelista"/>
        <w:numPr>
          <w:ilvl w:val="0"/>
          <w:numId w:val="63"/>
        </w:numPr>
        <w:spacing w:after="200" w:line="276" w:lineRule="auto"/>
        <w:jc w:val="both"/>
        <w:rPr>
          <w:rFonts w:ascii="ITC Avant Garde" w:hAnsi="ITC Avant Garde"/>
          <w:sz w:val="22"/>
          <w:szCs w:val="22"/>
        </w:rPr>
      </w:pPr>
      <w:r w:rsidRPr="00D936CA">
        <w:rPr>
          <w:rFonts w:ascii="ITC Avant Garde" w:hAnsi="ITC Avant Garde"/>
          <w:sz w:val="22"/>
          <w:szCs w:val="22"/>
        </w:rPr>
        <w:t>Tierras</w:t>
      </w:r>
    </w:p>
    <w:p w14:paraId="33CFEF87" w14:textId="77777777" w:rsidR="006511E6" w:rsidRPr="00D936CA" w:rsidRDefault="006511E6" w:rsidP="00D936CA">
      <w:pPr>
        <w:pStyle w:val="Prrafodelista"/>
        <w:numPr>
          <w:ilvl w:val="0"/>
          <w:numId w:val="63"/>
        </w:numPr>
        <w:spacing w:after="200" w:line="276" w:lineRule="auto"/>
        <w:jc w:val="both"/>
        <w:rPr>
          <w:rFonts w:ascii="ITC Avant Garde" w:hAnsi="ITC Avant Garde"/>
          <w:sz w:val="22"/>
          <w:szCs w:val="22"/>
        </w:rPr>
      </w:pPr>
      <w:r w:rsidRPr="00D936CA">
        <w:rPr>
          <w:rFonts w:ascii="ITC Avant Garde" w:hAnsi="ITC Avant Garde"/>
          <w:sz w:val="22"/>
          <w:szCs w:val="22"/>
        </w:rPr>
        <w:lastRenderedPageBreak/>
        <w:t>Desbalance capacitivo</w:t>
      </w:r>
    </w:p>
    <w:p w14:paraId="33CFEF88" w14:textId="77777777" w:rsidR="006511E6" w:rsidRPr="00D936CA" w:rsidRDefault="006511E6" w:rsidP="00D936CA">
      <w:pPr>
        <w:pStyle w:val="Prrafodelista"/>
        <w:numPr>
          <w:ilvl w:val="0"/>
          <w:numId w:val="63"/>
        </w:numPr>
        <w:spacing w:after="200" w:line="276" w:lineRule="auto"/>
        <w:jc w:val="both"/>
        <w:rPr>
          <w:rFonts w:ascii="ITC Avant Garde" w:hAnsi="ITC Avant Garde"/>
          <w:sz w:val="22"/>
          <w:szCs w:val="22"/>
        </w:rPr>
      </w:pPr>
      <w:r w:rsidRPr="00D936CA">
        <w:rPr>
          <w:rFonts w:ascii="ITC Avant Garde" w:hAnsi="ITC Avant Garde"/>
          <w:sz w:val="22"/>
          <w:szCs w:val="22"/>
        </w:rPr>
        <w:t>Abiertos (discontinuidad parcial o total del hilo)</w:t>
      </w:r>
    </w:p>
    <w:p w14:paraId="33CFEF89" w14:textId="77777777" w:rsidR="009B35C4" w:rsidRPr="00D936CA" w:rsidRDefault="009B35C4" w:rsidP="00D936CA">
      <w:pPr>
        <w:pStyle w:val="Prrafodelista"/>
        <w:spacing w:after="200" w:line="276" w:lineRule="auto"/>
        <w:ind w:left="720"/>
        <w:jc w:val="both"/>
        <w:rPr>
          <w:rFonts w:ascii="ITC Avant Garde" w:hAnsi="ITC Avant Garde"/>
          <w:sz w:val="22"/>
          <w:szCs w:val="22"/>
        </w:rPr>
      </w:pPr>
    </w:p>
    <w:p w14:paraId="33CFEF8A" w14:textId="77777777" w:rsidR="00530A32" w:rsidRPr="00D936CA" w:rsidRDefault="00011A1B" w:rsidP="00D936CA">
      <w:pPr>
        <w:pStyle w:val="Prrafodelista"/>
        <w:numPr>
          <w:ilvl w:val="2"/>
          <w:numId w:val="143"/>
        </w:numPr>
        <w:ind w:left="709"/>
        <w:outlineLvl w:val="2"/>
        <w:rPr>
          <w:rFonts w:ascii="ITC Avant Garde" w:hAnsi="ITC Avant Garde"/>
          <w:b/>
          <w:sz w:val="22"/>
        </w:rPr>
      </w:pPr>
      <w:bookmarkStart w:id="612" w:name="_Toc436840916"/>
      <w:bookmarkStart w:id="613" w:name="_Toc436846353"/>
      <w:bookmarkStart w:id="614" w:name="_Toc436848303"/>
      <w:bookmarkStart w:id="615" w:name="_Toc436856551"/>
      <w:bookmarkStart w:id="616" w:name="_Toc436862697"/>
      <w:bookmarkStart w:id="617" w:name="_Toc436866347"/>
      <w:bookmarkStart w:id="618" w:name="_Toc436870926"/>
      <w:bookmarkStart w:id="619" w:name="_Toc436875918"/>
      <w:bookmarkStart w:id="620" w:name="_Toc467248741"/>
      <w:bookmarkStart w:id="621" w:name="_Toc518032026"/>
      <w:r w:rsidRPr="00D936CA">
        <w:rPr>
          <w:rFonts w:ascii="ITC Avant Garde" w:hAnsi="ITC Avant Garde"/>
          <w:b/>
          <w:sz w:val="22"/>
        </w:rPr>
        <w:t>Propuesta de mejora de parámetros de calidad</w:t>
      </w:r>
      <w:bookmarkEnd w:id="612"/>
      <w:bookmarkEnd w:id="613"/>
      <w:bookmarkEnd w:id="614"/>
      <w:bookmarkEnd w:id="615"/>
      <w:bookmarkEnd w:id="616"/>
      <w:bookmarkEnd w:id="617"/>
      <w:bookmarkEnd w:id="618"/>
      <w:bookmarkEnd w:id="619"/>
      <w:bookmarkEnd w:id="620"/>
      <w:bookmarkEnd w:id="621"/>
    </w:p>
    <w:p w14:paraId="33CFEF8B" w14:textId="768A236B" w:rsidR="00375F39" w:rsidRDefault="00375F39" w:rsidP="00060B2E">
      <w:pPr>
        <w:ind w:left="-426" w:right="-142"/>
      </w:pPr>
    </w:p>
    <w:p w14:paraId="2C7DB30A" w14:textId="56CE2F38" w:rsidR="00553885" w:rsidRPr="00553885" w:rsidRDefault="001D7511" w:rsidP="00215FFE">
      <w:pPr>
        <w:spacing w:after="200" w:line="276" w:lineRule="auto"/>
        <w:ind w:left="-567"/>
        <w:jc w:val="both"/>
        <w:rPr>
          <w:rFonts w:ascii="ITC Avant Garde" w:hAnsi="ITC Avant Garde"/>
          <w:sz w:val="22"/>
          <w:szCs w:val="22"/>
        </w:rPr>
      </w:pPr>
      <w:r w:rsidRPr="001D7511">
        <w:rPr>
          <w:rFonts w:ascii="ITC Avant Garde" w:hAnsi="ITC Avant Garde"/>
          <w:sz w:val="22"/>
          <w:szCs w:val="22"/>
          <w:lang w:val="es-MX"/>
        </w:rPr>
        <w:t>Cualquier evaluación de propuestas de mejora de parámetros de calidad, deberá llevarse a cabo mediante las disposiciones o lineamientos aplicables en la materia que en su caso emita el Instituto</w:t>
      </w:r>
      <w:r w:rsidR="00417898">
        <w:rPr>
          <w:rFonts w:ascii="ITC Avant Garde" w:hAnsi="ITC Avant Garde"/>
          <w:sz w:val="22"/>
          <w:szCs w:val="22"/>
          <w:lang w:val="es-MX"/>
        </w:rPr>
        <w:t xml:space="preserve">. </w:t>
      </w:r>
    </w:p>
    <w:p w14:paraId="17DE183F" w14:textId="77777777" w:rsidR="00553885" w:rsidRPr="00553885" w:rsidRDefault="00553885" w:rsidP="00553885">
      <w:pPr>
        <w:spacing w:after="200" w:line="276" w:lineRule="auto"/>
        <w:ind w:left="-567" w:right="-142"/>
        <w:jc w:val="both"/>
        <w:rPr>
          <w:rFonts w:ascii="ITC Avant Garde" w:hAnsi="ITC Avant Garde"/>
          <w:sz w:val="22"/>
          <w:szCs w:val="22"/>
        </w:rPr>
      </w:pPr>
    </w:p>
    <w:p w14:paraId="33CFEF90" w14:textId="44BBDFEB" w:rsidR="00530A32" w:rsidRPr="00D936CA" w:rsidRDefault="00011A1B" w:rsidP="00D936CA">
      <w:pPr>
        <w:pStyle w:val="Ttulo2"/>
        <w:numPr>
          <w:ilvl w:val="1"/>
          <w:numId w:val="143"/>
        </w:numPr>
        <w:ind w:left="851" w:hanging="425"/>
      </w:pPr>
      <w:bookmarkStart w:id="622" w:name="_Toc436840917"/>
      <w:bookmarkStart w:id="623" w:name="_Toc436846354"/>
      <w:bookmarkStart w:id="624" w:name="_Toc436848304"/>
      <w:bookmarkStart w:id="625" w:name="_Toc436856552"/>
      <w:bookmarkStart w:id="626" w:name="_Toc436862698"/>
      <w:bookmarkStart w:id="627" w:name="_Toc436866348"/>
      <w:bookmarkStart w:id="628" w:name="_Toc436870927"/>
      <w:bookmarkStart w:id="629" w:name="_Toc436875919"/>
      <w:bookmarkStart w:id="630" w:name="_Toc467248742"/>
      <w:bookmarkStart w:id="631" w:name="_Toc518032027"/>
      <w:r w:rsidRPr="00D936CA">
        <w:t>Procedimiento para la realización de pruebas de la entrega del SDTBL, SDCBL, SDTS</w:t>
      </w:r>
      <w:r w:rsidR="00C16734" w:rsidRPr="00D936CA">
        <w:t>B</w:t>
      </w:r>
      <w:r w:rsidRPr="00D936CA">
        <w:t>L, SDCSBL</w:t>
      </w:r>
      <w:bookmarkEnd w:id="622"/>
      <w:bookmarkEnd w:id="623"/>
      <w:bookmarkEnd w:id="624"/>
      <w:bookmarkEnd w:id="625"/>
      <w:bookmarkEnd w:id="626"/>
      <w:bookmarkEnd w:id="627"/>
      <w:bookmarkEnd w:id="628"/>
      <w:bookmarkEnd w:id="629"/>
      <w:bookmarkEnd w:id="630"/>
      <w:bookmarkEnd w:id="631"/>
    </w:p>
    <w:p w14:paraId="33CFEF91" w14:textId="0A1423C1" w:rsidR="00D33CB8" w:rsidRPr="00D936CA" w:rsidRDefault="00011A1B"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 prueba de entrega de los servicios cuyo medio de acceso sea el par de cobre se realiza mediante la medición de los parámetros eléctricos de resistencia de aislamiento y capacitancia y cuyo valor deberá encontrase dentro de los umbrales de aceptación establecidos en la </w:t>
      </w:r>
      <w:r w:rsidR="00972D5E" w:rsidRPr="00D936CA">
        <w:rPr>
          <w:rFonts w:ascii="ITC Avant Garde" w:hAnsi="ITC Avant Garde"/>
          <w:sz w:val="22"/>
          <w:szCs w:val="22"/>
        </w:rPr>
        <w:t>sección</w:t>
      </w:r>
      <w:r w:rsidR="00C16734" w:rsidRPr="00D936CA">
        <w:rPr>
          <w:rFonts w:ascii="ITC Avant Garde" w:hAnsi="ITC Avant Garde"/>
          <w:sz w:val="22"/>
          <w:szCs w:val="22"/>
        </w:rPr>
        <w:t xml:space="preserve"> </w:t>
      </w:r>
      <w:r w:rsidRPr="00D936CA">
        <w:rPr>
          <w:rFonts w:ascii="ITC Avant Garde" w:hAnsi="ITC Avant Garde"/>
          <w:sz w:val="22"/>
          <w:szCs w:val="22"/>
        </w:rPr>
        <w:t>de Par</w:t>
      </w:r>
      <w:r w:rsidR="00972D5E" w:rsidRPr="00D936CA">
        <w:rPr>
          <w:rFonts w:ascii="ITC Avant Garde" w:hAnsi="ITC Avant Garde"/>
          <w:sz w:val="22"/>
          <w:szCs w:val="22"/>
        </w:rPr>
        <w:t xml:space="preserve">ámetros e indicadores de </w:t>
      </w:r>
      <w:r w:rsidR="00C16734" w:rsidRPr="00D936CA">
        <w:rPr>
          <w:rFonts w:ascii="ITC Avant Garde" w:hAnsi="ITC Avant Garde"/>
          <w:sz w:val="22"/>
          <w:szCs w:val="22"/>
        </w:rPr>
        <w:t>calidad</w:t>
      </w:r>
      <w:r w:rsidRPr="00D936CA">
        <w:rPr>
          <w:rFonts w:ascii="ITC Avant Garde" w:hAnsi="ITC Avant Garde"/>
          <w:sz w:val="22"/>
          <w:szCs w:val="22"/>
        </w:rPr>
        <w:t>.</w:t>
      </w:r>
    </w:p>
    <w:p w14:paraId="33CFEF92" w14:textId="54995107" w:rsidR="00072A5C" w:rsidRPr="00D936CA" w:rsidRDefault="00072A5C" w:rsidP="00060B2E">
      <w:pPr>
        <w:spacing w:after="200" w:line="276" w:lineRule="auto"/>
        <w:ind w:left="-567" w:right="-142"/>
        <w:jc w:val="both"/>
        <w:rPr>
          <w:rFonts w:ascii="ITC Avant Garde" w:hAnsi="ITC Avant Garde"/>
          <w:bCs/>
          <w:sz w:val="22"/>
          <w:szCs w:val="22"/>
        </w:rPr>
      </w:pPr>
      <w:r w:rsidRPr="00D936CA">
        <w:rPr>
          <w:rFonts w:ascii="ITC Avant Garde" w:hAnsi="ITC Avant Garde"/>
          <w:bCs/>
          <w:sz w:val="22"/>
          <w:szCs w:val="22"/>
        </w:rPr>
        <w:t xml:space="preserve">El técnico realiza las diversas pruebas que los equipos de medición empleados por </w:t>
      </w:r>
      <w:r w:rsidR="00553885" w:rsidRPr="00D936CA">
        <w:rPr>
          <w:rFonts w:ascii="ITC Avant Garde" w:hAnsi="ITC Avant Garde"/>
          <w:bCs/>
          <w:sz w:val="22"/>
          <w:szCs w:val="22"/>
        </w:rPr>
        <w:t>Telmex permiten</w:t>
      </w:r>
      <w:r w:rsidRPr="00D936CA">
        <w:rPr>
          <w:rFonts w:ascii="ITC Avant Garde" w:hAnsi="ITC Avant Garde"/>
          <w:bCs/>
          <w:sz w:val="22"/>
          <w:szCs w:val="22"/>
        </w:rPr>
        <w:t xml:space="preserve"> a fin de consultar velocidades de sincronía de subida y bajada, entre otras pruebas.</w:t>
      </w:r>
    </w:p>
    <w:p w14:paraId="33CFEF93" w14:textId="77777777" w:rsidR="00072A5C" w:rsidRPr="00D936CA" w:rsidRDefault="00072A5C" w:rsidP="00060B2E">
      <w:pPr>
        <w:spacing w:after="200" w:line="276" w:lineRule="auto"/>
        <w:ind w:left="-567" w:right="-142"/>
        <w:jc w:val="both"/>
        <w:rPr>
          <w:rFonts w:ascii="ITC Avant Garde" w:hAnsi="ITC Avant Garde"/>
          <w:bCs/>
          <w:sz w:val="22"/>
          <w:szCs w:val="22"/>
        </w:rPr>
      </w:pPr>
      <w:r w:rsidRPr="00D936CA">
        <w:rPr>
          <w:rFonts w:ascii="ITC Avant Garde" w:hAnsi="ITC Avant Garde"/>
          <w:bCs/>
          <w:sz w:val="22"/>
          <w:szCs w:val="22"/>
        </w:rPr>
        <w:t>Cada prueba realizada que implique el uso de un equipo de medición deberá ser ejecutada una vez calibrado correctamente dicho equipo.</w:t>
      </w:r>
    </w:p>
    <w:p w14:paraId="33CFEF94" w14:textId="4DC789A0" w:rsidR="00072A5C" w:rsidRPr="00D936CA" w:rsidRDefault="00F5224C" w:rsidP="00060B2E">
      <w:pPr>
        <w:spacing w:after="200" w:line="276" w:lineRule="auto"/>
        <w:ind w:left="-567" w:right="-142"/>
        <w:jc w:val="both"/>
        <w:rPr>
          <w:rFonts w:ascii="ITC Avant Garde" w:hAnsi="ITC Avant Garde"/>
          <w:bCs/>
          <w:sz w:val="22"/>
          <w:szCs w:val="22"/>
        </w:rPr>
      </w:pPr>
      <w:r>
        <w:rPr>
          <w:rFonts w:ascii="ITC Avant Garde" w:hAnsi="ITC Avant Garde"/>
          <w:sz w:val="22"/>
          <w:szCs w:val="22"/>
        </w:rPr>
        <w:t>U</w:t>
      </w:r>
      <w:r w:rsidRPr="00D936CA">
        <w:rPr>
          <w:rFonts w:ascii="ITC Avant Garde" w:hAnsi="ITC Avant Garde"/>
          <w:sz w:val="22"/>
          <w:szCs w:val="22"/>
        </w:rPr>
        <w:t xml:space="preserve">na </w:t>
      </w:r>
      <w:r w:rsidR="00072A5C" w:rsidRPr="00D936CA">
        <w:rPr>
          <w:rFonts w:ascii="ITC Avant Garde" w:hAnsi="ITC Avant Garde"/>
          <w:sz w:val="22"/>
          <w:szCs w:val="22"/>
        </w:rPr>
        <w:t xml:space="preserve">prueba </w:t>
      </w:r>
      <w:r>
        <w:rPr>
          <w:rFonts w:ascii="ITC Avant Garde" w:hAnsi="ITC Avant Garde"/>
          <w:sz w:val="22"/>
          <w:szCs w:val="22"/>
        </w:rPr>
        <w:t xml:space="preserve">adicional </w:t>
      </w:r>
      <w:r w:rsidR="00072A5C" w:rsidRPr="00D936CA">
        <w:rPr>
          <w:rFonts w:ascii="ITC Avant Garde" w:hAnsi="ITC Avant Garde"/>
          <w:sz w:val="22"/>
          <w:szCs w:val="22"/>
        </w:rPr>
        <w:t>disponible</w:t>
      </w:r>
      <w:r>
        <w:rPr>
          <w:rFonts w:ascii="ITC Avant Garde" w:hAnsi="ITC Avant Garde"/>
          <w:sz w:val="22"/>
          <w:szCs w:val="22"/>
        </w:rPr>
        <w:t>, con cobro al CS,</w:t>
      </w:r>
      <w:r w:rsidR="00072A5C" w:rsidRPr="00D936CA">
        <w:rPr>
          <w:rFonts w:ascii="ITC Avant Garde" w:hAnsi="ITC Avant Garde"/>
          <w:sz w:val="22"/>
          <w:szCs w:val="22"/>
        </w:rPr>
        <w:t xml:space="preserve"> </w:t>
      </w:r>
      <w:r>
        <w:rPr>
          <w:rFonts w:ascii="ITC Avant Garde" w:hAnsi="ITC Avant Garde"/>
          <w:sz w:val="22"/>
          <w:szCs w:val="22"/>
        </w:rPr>
        <w:t>es</w:t>
      </w:r>
      <w:r w:rsidRPr="00D936CA">
        <w:rPr>
          <w:rFonts w:ascii="ITC Avant Garde" w:hAnsi="ITC Avant Garde"/>
          <w:sz w:val="22"/>
          <w:szCs w:val="22"/>
        </w:rPr>
        <w:t xml:space="preserve"> </w:t>
      </w:r>
      <w:r w:rsidR="00072A5C" w:rsidRPr="00D936CA">
        <w:rPr>
          <w:rFonts w:ascii="ITC Avant Garde" w:hAnsi="ITC Avant Garde"/>
          <w:sz w:val="22"/>
          <w:szCs w:val="22"/>
        </w:rPr>
        <w:t xml:space="preserve">la </w:t>
      </w:r>
      <w:r w:rsidR="00072A5C" w:rsidRPr="00D936CA">
        <w:rPr>
          <w:rFonts w:ascii="ITC Avant Garde" w:hAnsi="ITC Avant Garde"/>
          <w:bCs/>
          <w:sz w:val="22"/>
          <w:szCs w:val="22"/>
        </w:rPr>
        <w:t>siguiente:</w:t>
      </w:r>
    </w:p>
    <w:p w14:paraId="33CFEF95" w14:textId="77777777" w:rsidR="00072A5C" w:rsidRPr="00D936CA" w:rsidRDefault="00072A5C" w:rsidP="00D936CA">
      <w:pPr>
        <w:numPr>
          <w:ilvl w:val="0"/>
          <w:numId w:val="90"/>
        </w:numPr>
        <w:spacing w:after="200" w:line="276" w:lineRule="auto"/>
        <w:jc w:val="both"/>
        <w:rPr>
          <w:rFonts w:ascii="ITC Avant Garde" w:hAnsi="ITC Avant Garde"/>
          <w:sz w:val="22"/>
          <w:szCs w:val="22"/>
        </w:rPr>
      </w:pPr>
      <w:r w:rsidRPr="00D936CA">
        <w:rPr>
          <w:rFonts w:ascii="ITC Avant Garde" w:hAnsi="ITC Avant Garde"/>
          <w:b/>
          <w:bCs/>
          <w:sz w:val="22"/>
          <w:szCs w:val="22"/>
        </w:rPr>
        <w:t>Pruebas extremo a extremo para garantizar el correcto funcionamiento del Bucle Local</w:t>
      </w:r>
      <w:r w:rsidRPr="00D936CA">
        <w:rPr>
          <w:rFonts w:ascii="ITC Avant Garde" w:hAnsi="ITC Avant Garde"/>
          <w:bCs/>
          <w:sz w:val="22"/>
          <w:szCs w:val="22"/>
        </w:rPr>
        <w:t>: A la entrega del servicio de desagregación en las frecuencias altas. Las pruebas conllevarán la realización de medidas de continuidad eléctrica y medidas de atenuación a diferentes frecuencias de operación del par entre el equipo del CS y el PCT. El CS coubicado confirmará la asistencia de su personal de manera que se puedan efectuar las medidas de caracterización en la fecha y ventana horaria convenida, la citada prueba se realizará una vez que el PCT haya sido instalado ya sea por Telmex o el CS.</w:t>
      </w:r>
    </w:p>
    <w:p w14:paraId="33CFEFA5" w14:textId="63D475AC" w:rsidR="00072A5C" w:rsidRDefault="00072A5C" w:rsidP="00D936CA">
      <w:pPr>
        <w:spacing w:after="200" w:line="276" w:lineRule="auto"/>
        <w:jc w:val="both"/>
        <w:rPr>
          <w:rFonts w:ascii="ITC Avant Garde" w:hAnsi="ITC Avant Garde"/>
          <w:bCs/>
          <w:sz w:val="22"/>
          <w:szCs w:val="22"/>
        </w:rPr>
      </w:pPr>
    </w:p>
    <w:p w14:paraId="68B33314" w14:textId="77777777" w:rsidR="001C3D84" w:rsidRPr="00D936CA" w:rsidRDefault="001C3D84" w:rsidP="00D936CA">
      <w:pPr>
        <w:spacing w:after="200" w:line="276" w:lineRule="auto"/>
        <w:jc w:val="both"/>
        <w:rPr>
          <w:rFonts w:ascii="ITC Avant Garde" w:hAnsi="ITC Avant Garde"/>
          <w:bCs/>
          <w:sz w:val="22"/>
          <w:szCs w:val="22"/>
        </w:rPr>
      </w:pPr>
    </w:p>
    <w:p w14:paraId="33CFEFA6" w14:textId="77777777" w:rsidR="00072A5C" w:rsidRPr="00D936CA" w:rsidRDefault="00072A5C" w:rsidP="00D936CA">
      <w:pPr>
        <w:spacing w:after="200" w:line="276" w:lineRule="auto"/>
        <w:jc w:val="both"/>
        <w:rPr>
          <w:rFonts w:ascii="ITC Avant Garde" w:hAnsi="ITC Avant Garde"/>
          <w:b/>
          <w:bCs/>
          <w:sz w:val="22"/>
          <w:szCs w:val="22"/>
        </w:rPr>
      </w:pPr>
      <w:r w:rsidRPr="00425DB4">
        <w:rPr>
          <w:rFonts w:ascii="ITC Avant Garde" w:hAnsi="ITC Avant Garde"/>
          <w:b/>
          <w:bCs/>
          <w:sz w:val="22"/>
          <w:szCs w:val="22"/>
        </w:rPr>
        <w:t>Metodología</w:t>
      </w:r>
    </w:p>
    <w:p w14:paraId="33CFEFA7" w14:textId="3CE9C85A" w:rsidR="00072A5C" w:rsidRPr="00D936CA" w:rsidRDefault="00072A5C" w:rsidP="00D936CA">
      <w:pPr>
        <w:spacing w:after="200" w:line="276" w:lineRule="auto"/>
        <w:jc w:val="both"/>
        <w:rPr>
          <w:rFonts w:ascii="ITC Avant Garde" w:hAnsi="ITC Avant Garde"/>
          <w:bCs/>
          <w:sz w:val="22"/>
          <w:szCs w:val="22"/>
        </w:rPr>
      </w:pPr>
      <w:r w:rsidRPr="00D936CA">
        <w:rPr>
          <w:rFonts w:ascii="ITC Avant Garde" w:hAnsi="ITC Avant Garde"/>
          <w:bCs/>
          <w:sz w:val="22"/>
          <w:szCs w:val="22"/>
        </w:rPr>
        <w:lastRenderedPageBreak/>
        <w:t>La medición de los parámetros indicados se realiza en forma remota</w:t>
      </w:r>
      <w:r w:rsidR="00816BBF" w:rsidRPr="00423A04">
        <w:rPr>
          <w:rStyle w:val="Refdenotaalpie"/>
          <w:rFonts w:ascii="ITC Avant Garde" w:eastAsia="Calibri" w:hAnsi="ITC Avant Garde" w:cs="Arial"/>
          <w:sz w:val="22"/>
          <w:szCs w:val="22"/>
        </w:rPr>
        <w:footnoteReference w:id="46"/>
      </w:r>
      <w:r w:rsidRPr="00D936CA">
        <w:rPr>
          <w:rFonts w:ascii="ITC Avant Garde" w:hAnsi="ITC Avant Garde"/>
          <w:bCs/>
          <w:sz w:val="22"/>
          <w:szCs w:val="22"/>
        </w:rPr>
        <w:t xml:space="preserve"> utilizando los recursos de la propia central o cabezas de prueba de la red al término de la ejecución y se registrarán los valores en el formato de la imagen a continuación, indicando el cumplimiento de acuerdo a la tabla de Parámetros Eléctricos de esta OREDA.</w:t>
      </w:r>
    </w:p>
    <w:p w14:paraId="16CD21CA" w14:textId="77777777" w:rsidR="00F5224C" w:rsidRDefault="00F5224C" w:rsidP="00F5224C">
      <w:pPr>
        <w:jc w:val="center"/>
        <w:rPr>
          <w:rFonts w:ascii="Century Gothic" w:eastAsiaTheme="minorHAnsi" w:hAnsi="Century Gothic" w:cs="Calibri"/>
          <w:b/>
          <w:bCs/>
          <w:color w:val="403152"/>
          <w:sz w:val="22"/>
          <w:szCs w:val="22"/>
          <w:lang w:eastAsia="es-MX"/>
        </w:rPr>
      </w:pPr>
      <w:r w:rsidRPr="00BC4F70">
        <w:rPr>
          <w:noProof/>
          <w:lang w:val="es-MX" w:eastAsia="es-MX"/>
        </w:rPr>
        <w:drawing>
          <wp:inline distT="0" distB="0" distL="0" distR="0" wp14:anchorId="25D8D9E7" wp14:editId="78E7D1FC">
            <wp:extent cx="4109722" cy="925830"/>
            <wp:effectExtent l="0" t="0" r="508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6729"/>
                    <a:stretch/>
                  </pic:blipFill>
                  <pic:spPr bwMode="auto">
                    <a:xfrm>
                      <a:off x="0" y="0"/>
                      <a:ext cx="4112079" cy="926361"/>
                    </a:xfrm>
                    <a:prstGeom prst="rect">
                      <a:avLst/>
                    </a:prstGeom>
                    <a:noFill/>
                    <a:ln>
                      <a:noFill/>
                    </a:ln>
                    <a:extLst>
                      <a:ext uri="{53640926-AAD7-44D8-BBD7-CCE9431645EC}">
                        <a14:shadowObscured xmlns:a14="http://schemas.microsoft.com/office/drawing/2010/main"/>
                      </a:ext>
                    </a:extLst>
                  </pic:spPr>
                </pic:pic>
              </a:graphicData>
            </a:graphic>
          </wp:inline>
        </w:drawing>
      </w:r>
    </w:p>
    <w:p w14:paraId="5695EF7D" w14:textId="77777777" w:rsidR="00F5224C" w:rsidRPr="00EC5495" w:rsidRDefault="00F5224C" w:rsidP="00F5224C">
      <w:pPr>
        <w:spacing w:after="200" w:line="276" w:lineRule="auto"/>
        <w:jc w:val="center"/>
        <w:rPr>
          <w:rFonts w:ascii="ITC Avant Garde" w:eastAsia="Calibri" w:hAnsi="ITC Avant Garde" w:cs="Arial"/>
          <w:sz w:val="22"/>
          <w:szCs w:val="22"/>
        </w:rPr>
      </w:pPr>
      <w:r w:rsidRPr="00EC5495">
        <w:rPr>
          <w:rFonts w:ascii="ITC Avant Garde" w:hAnsi="ITC Avant Garde"/>
          <w:sz w:val="18"/>
          <w:szCs w:val="18"/>
        </w:rPr>
        <w:t>Ejemplo de p</w:t>
      </w:r>
      <w:r w:rsidRPr="00E11E17">
        <w:rPr>
          <w:rFonts w:ascii="ITC Avant Garde" w:hAnsi="ITC Avant Garde"/>
          <w:sz w:val="18"/>
          <w:szCs w:val="18"/>
        </w:rPr>
        <w:t xml:space="preserve">arámetros </w:t>
      </w:r>
      <w:r w:rsidRPr="00EC5495">
        <w:rPr>
          <w:rFonts w:ascii="ITC Avant Garde" w:hAnsi="ITC Avant Garde"/>
          <w:sz w:val="18"/>
          <w:szCs w:val="18"/>
        </w:rPr>
        <w:t>para el servicio de voz</w:t>
      </w:r>
      <w:r w:rsidRPr="00E11E17">
        <w:rPr>
          <w:rFonts w:ascii="ITC Avant Garde" w:hAnsi="ITC Avant Garde"/>
          <w:sz w:val="18"/>
          <w:szCs w:val="18"/>
        </w:rPr>
        <w:t xml:space="preserve"> en cobre</w:t>
      </w:r>
    </w:p>
    <w:p w14:paraId="33CFEFAE" w14:textId="5D3EAB17" w:rsidR="00352AE2" w:rsidRPr="00D936CA" w:rsidRDefault="00352AE2" w:rsidP="001C3D84">
      <w:pPr>
        <w:spacing w:line="360" w:lineRule="auto"/>
        <w:contextualSpacing/>
        <w:rPr>
          <w:rFonts w:ascii="ITC Avant Garde" w:hAnsi="ITC Avant Garde" w:cs="Arial"/>
          <w:b/>
          <w:lang w:eastAsia="es-MX"/>
        </w:rPr>
      </w:pPr>
      <w:bookmarkStart w:id="632" w:name="_Toc436840919"/>
      <w:bookmarkStart w:id="633" w:name="_Toc436846356"/>
      <w:bookmarkStart w:id="634" w:name="_Toc436848306"/>
      <w:bookmarkStart w:id="635" w:name="_Toc436856554"/>
      <w:bookmarkStart w:id="636" w:name="_Toc436862700"/>
      <w:bookmarkStart w:id="637" w:name="_Toc436866350"/>
      <w:bookmarkStart w:id="638" w:name="_Toc436870929"/>
      <w:bookmarkStart w:id="639" w:name="_Toc436875921"/>
      <w:bookmarkEnd w:id="51"/>
    </w:p>
    <w:p w14:paraId="2C546C08" w14:textId="77777777" w:rsidR="00AC0AB2" w:rsidRPr="00422CA2" w:rsidRDefault="00AC0AB2" w:rsidP="00060B2E">
      <w:pPr>
        <w:pStyle w:val="Ttulo2"/>
        <w:numPr>
          <w:ilvl w:val="1"/>
          <w:numId w:val="143"/>
        </w:numPr>
        <w:ind w:left="851" w:hanging="425"/>
      </w:pPr>
      <w:bookmarkStart w:id="640" w:name="_Toc518032028"/>
      <w:bookmarkStart w:id="641" w:name="_Toc467248744"/>
      <w:r w:rsidRPr="00422CA2">
        <w:t>Servicio Auxiliar de Cableado Multipar</w:t>
      </w:r>
      <w:bookmarkEnd w:id="640"/>
    </w:p>
    <w:p w14:paraId="3DC13F4E" w14:textId="77777777" w:rsidR="00AC0AB2" w:rsidRPr="00422CA2" w:rsidRDefault="00AC0AB2" w:rsidP="00060B2E">
      <w:pPr>
        <w:spacing w:after="200" w:line="276" w:lineRule="auto"/>
        <w:ind w:left="-567" w:right="-142"/>
        <w:jc w:val="both"/>
        <w:rPr>
          <w:rFonts w:ascii="ITC Avant Garde" w:hAnsi="ITC Avant Garde"/>
          <w:sz w:val="22"/>
          <w:szCs w:val="22"/>
          <w:lang w:val="es-MX"/>
        </w:rPr>
      </w:pPr>
      <w:r w:rsidRPr="00422CA2">
        <w:rPr>
          <w:rFonts w:ascii="ITC Avant Garde" w:hAnsi="ITC Avant Garde"/>
          <w:sz w:val="22"/>
          <w:szCs w:val="22"/>
          <w:lang w:val="es-MX"/>
        </w:rPr>
        <w:t xml:space="preserve">El servicio de cableado multipar permite al CS la desagregación efectiva, para los Servicios de Desagregación Total del Bucle y Desagregación Compartida del Bucle, el cableado es instalado hasta la Coubicación del Concesionario. </w:t>
      </w:r>
    </w:p>
    <w:p w14:paraId="39A6695B" w14:textId="77777777" w:rsidR="00AC0AB2" w:rsidRPr="00422CA2" w:rsidRDefault="00AC0AB2" w:rsidP="00060B2E">
      <w:pPr>
        <w:spacing w:after="200" w:line="276" w:lineRule="auto"/>
        <w:ind w:left="-567" w:right="-142"/>
        <w:jc w:val="both"/>
        <w:rPr>
          <w:rFonts w:ascii="ITC Avant Garde" w:hAnsi="ITC Avant Garde"/>
          <w:sz w:val="22"/>
          <w:szCs w:val="22"/>
          <w:lang w:val="es-MX"/>
        </w:rPr>
      </w:pPr>
      <w:r w:rsidRPr="00422CA2">
        <w:rPr>
          <w:rFonts w:ascii="ITC Avant Garde" w:hAnsi="ITC Avant Garde"/>
          <w:sz w:val="22"/>
          <w:szCs w:val="22"/>
          <w:lang w:val="es-MX"/>
        </w:rPr>
        <w:t>En caso de que el Servicio de Tendido de Cable Multipar sea solicitado para una Ubicación Distante, se prestará en términos de la Oferta de Compartición de Infraestructura, el CS deberá enviar junto con su solicitud el NIS</w:t>
      </w:r>
      <w:r w:rsidRPr="00422CA2">
        <w:rPr>
          <w:rFonts w:ascii="ITC Avant Garde" w:hAnsi="ITC Avant Garde"/>
          <w:sz w:val="22"/>
          <w:szCs w:val="22"/>
        </w:rPr>
        <w:t>-Referencia</w:t>
      </w:r>
      <w:r w:rsidRPr="00422CA2">
        <w:rPr>
          <w:rFonts w:ascii="ITC Avant Garde" w:hAnsi="ITC Avant Garde"/>
          <w:sz w:val="22"/>
          <w:szCs w:val="22"/>
          <w:lang w:val="es-MX"/>
        </w:rPr>
        <w:t xml:space="preserve"> correspondiente al servicio de tendido de cable y el Acta de Entrega de Servicio obtenida a través de los procedimientos establecidos.</w:t>
      </w:r>
    </w:p>
    <w:p w14:paraId="55A665C8" w14:textId="77777777" w:rsidR="00AC0AB2" w:rsidRPr="00422CA2" w:rsidRDefault="00AC0AB2" w:rsidP="00060B2E">
      <w:pPr>
        <w:spacing w:after="200" w:line="276" w:lineRule="auto"/>
        <w:ind w:left="-567" w:right="-142"/>
        <w:jc w:val="both"/>
        <w:rPr>
          <w:rFonts w:ascii="ITC Avant Garde" w:hAnsi="ITC Avant Garde"/>
          <w:sz w:val="22"/>
          <w:szCs w:val="22"/>
          <w:lang w:val="es-MX"/>
        </w:rPr>
      </w:pPr>
      <w:r w:rsidRPr="00422CA2">
        <w:rPr>
          <w:rFonts w:ascii="ITC Avant Garde" w:hAnsi="ITC Avant Garde"/>
          <w:sz w:val="22"/>
          <w:szCs w:val="22"/>
          <w:lang w:val="es-MX"/>
        </w:rPr>
        <w:t xml:space="preserve">Mediante este servicio se instala cable Multipar entre el Distribuidor General de Telmex y la Coubicación del CS, el cual es tendido sobre escalerillas nuevas o existentes. El cable Multipar se deja en punta en la entrada de la Coubicación del CS. </w:t>
      </w:r>
    </w:p>
    <w:p w14:paraId="6B9B8B23" w14:textId="77777777" w:rsidR="00AC0AB2" w:rsidRPr="00422CA2" w:rsidRDefault="00AC0AB2" w:rsidP="00060B2E">
      <w:pPr>
        <w:spacing w:after="200" w:line="276" w:lineRule="auto"/>
        <w:ind w:left="-567" w:right="-142"/>
        <w:jc w:val="both"/>
        <w:rPr>
          <w:rFonts w:ascii="ITC Avant Garde" w:hAnsi="ITC Avant Garde"/>
          <w:sz w:val="22"/>
          <w:szCs w:val="22"/>
          <w:lang w:val="es-MX"/>
        </w:rPr>
      </w:pPr>
      <w:r w:rsidRPr="00422CA2">
        <w:rPr>
          <w:rFonts w:ascii="ITC Avant Garde" w:hAnsi="ITC Avant Garde"/>
          <w:sz w:val="22"/>
          <w:szCs w:val="22"/>
          <w:lang w:val="es-MX"/>
        </w:rPr>
        <w:t xml:space="preserve">Las especificaciones técnicas del cable a suministrar estarán de acuerdo con las que se utilizan en las propias operaciones, así como de acuerdo con las mejores prácticas las cuales están señaladas en los estándares internacionales </w:t>
      </w:r>
      <w:r w:rsidRPr="00422CA2">
        <w:rPr>
          <w:rFonts w:ascii="ITC Avant Garde" w:hAnsi="ITC Avant Garde" w:cs="Arial"/>
          <w:sz w:val="22"/>
          <w:szCs w:val="22"/>
        </w:rPr>
        <w:t>ISO 11801 y TIA/EIA 568</w:t>
      </w:r>
      <w:r w:rsidRPr="00422CA2">
        <w:rPr>
          <w:rFonts w:ascii="ITC Avant Garde" w:hAnsi="ITC Avant Garde"/>
          <w:sz w:val="22"/>
          <w:szCs w:val="22"/>
          <w:lang w:val="es-MX"/>
        </w:rPr>
        <w:t>, las especificaciones mínimas son:</w:t>
      </w:r>
    </w:p>
    <w:p w14:paraId="4935A39E" w14:textId="77777777" w:rsidR="00AC0AB2" w:rsidRPr="00422CA2" w:rsidRDefault="00AC0AB2" w:rsidP="00AC0AB2">
      <w:pPr>
        <w:pStyle w:val="Prrafodelista"/>
        <w:numPr>
          <w:ilvl w:val="0"/>
          <w:numId w:val="158"/>
        </w:numPr>
        <w:spacing w:after="200" w:line="276" w:lineRule="auto"/>
        <w:jc w:val="both"/>
        <w:rPr>
          <w:rFonts w:ascii="ITC Avant Garde" w:hAnsi="ITC Avant Garde" w:cs="Arial"/>
          <w:sz w:val="22"/>
          <w:szCs w:val="22"/>
        </w:rPr>
      </w:pPr>
      <w:r w:rsidRPr="00422CA2">
        <w:rPr>
          <w:rFonts w:ascii="ITC Avant Garde" w:hAnsi="ITC Avant Garde" w:cs="Arial"/>
          <w:sz w:val="22"/>
          <w:szCs w:val="22"/>
        </w:rPr>
        <w:t>Compatibilidad con los equipos de conexión de las partes involucradas: El cable multipar blindado y estañado de 70 pares es compatible con todos los equipos de acuerdo a la impedancia estándar para el manejo de las tecnologías xDSL.</w:t>
      </w:r>
    </w:p>
    <w:p w14:paraId="29D2BF70" w14:textId="77777777" w:rsidR="00AC0AB2" w:rsidRPr="00422CA2" w:rsidRDefault="00AC0AB2" w:rsidP="00AC0AB2">
      <w:pPr>
        <w:pStyle w:val="Prrafodelista"/>
        <w:numPr>
          <w:ilvl w:val="0"/>
          <w:numId w:val="158"/>
        </w:numPr>
        <w:spacing w:after="200" w:line="276" w:lineRule="auto"/>
        <w:jc w:val="both"/>
        <w:rPr>
          <w:rFonts w:ascii="ITC Avant Garde" w:hAnsi="ITC Avant Garde" w:cs="Arial"/>
          <w:sz w:val="22"/>
          <w:szCs w:val="22"/>
        </w:rPr>
      </w:pPr>
      <w:r w:rsidRPr="00422CA2">
        <w:rPr>
          <w:rFonts w:ascii="ITC Avant Garde" w:hAnsi="ITC Avant Garde" w:cs="Arial"/>
          <w:sz w:val="22"/>
          <w:szCs w:val="22"/>
        </w:rPr>
        <w:lastRenderedPageBreak/>
        <w:t>Los cables son del tipo CAT-3 que define a los cables para transmisión con banda ancha, con las características de transmisión establecidas en las normas ISO 11801 y TIA/EIA 568.</w:t>
      </w:r>
    </w:p>
    <w:p w14:paraId="1506F9C4" w14:textId="706FB6F7" w:rsidR="00AC0AB2" w:rsidRPr="00422CA2" w:rsidRDefault="00AC0AB2" w:rsidP="00AC0AB2">
      <w:pPr>
        <w:pStyle w:val="Prrafodelista"/>
        <w:numPr>
          <w:ilvl w:val="0"/>
          <w:numId w:val="158"/>
        </w:numPr>
        <w:spacing w:after="200" w:line="276" w:lineRule="auto"/>
        <w:jc w:val="both"/>
        <w:rPr>
          <w:rFonts w:ascii="ITC Avant Garde" w:hAnsi="ITC Avant Garde" w:cs="Arial"/>
          <w:sz w:val="22"/>
          <w:szCs w:val="22"/>
        </w:rPr>
      </w:pPr>
      <w:r w:rsidRPr="00422CA2">
        <w:rPr>
          <w:rFonts w:ascii="ITC Avant Garde" w:hAnsi="ITC Avant Garde" w:cs="Arial"/>
          <w:sz w:val="22"/>
          <w:szCs w:val="22"/>
        </w:rPr>
        <w:t>Etiquetado homologado de elementos: se realizará de acuerdo a lo que se menciona en el numeral 8.7 “Guía para el etiquetado de cable multipar instalado dentro de un edificio TELMEX” con identificación: Mx-QMS-L3-51 en su versión actual. Adicional se etiquetará con el nombre del CS al que pertenece.</w:t>
      </w:r>
    </w:p>
    <w:p w14:paraId="47A89205" w14:textId="77777777" w:rsidR="00AC0AB2" w:rsidRPr="00422CA2" w:rsidRDefault="00AC0AB2" w:rsidP="00AC0AB2">
      <w:pPr>
        <w:pStyle w:val="Prrafodelista"/>
        <w:numPr>
          <w:ilvl w:val="0"/>
          <w:numId w:val="158"/>
        </w:numPr>
        <w:spacing w:after="200" w:line="276" w:lineRule="auto"/>
        <w:jc w:val="both"/>
        <w:rPr>
          <w:rFonts w:ascii="ITC Avant Garde" w:hAnsi="ITC Avant Garde" w:cs="Arial"/>
          <w:sz w:val="22"/>
          <w:szCs w:val="22"/>
        </w:rPr>
      </w:pPr>
      <w:r w:rsidRPr="00422CA2">
        <w:rPr>
          <w:rFonts w:ascii="ITC Avant Garde" w:hAnsi="ITC Avant Garde" w:cs="Arial"/>
          <w:sz w:val="22"/>
          <w:szCs w:val="22"/>
        </w:rPr>
        <w:t xml:space="preserve">Tipo de terminación del cable: es T568 de acuerdo al estándar TIA/EIA para la transmisión de datos arriba de 100 Mbps. </w:t>
      </w:r>
    </w:p>
    <w:p w14:paraId="28F69E0A" w14:textId="77777777" w:rsidR="00AC0AB2" w:rsidRPr="00422CA2" w:rsidRDefault="00AC0AB2" w:rsidP="00AC0AB2">
      <w:pPr>
        <w:pStyle w:val="Prrafodelista"/>
        <w:numPr>
          <w:ilvl w:val="0"/>
          <w:numId w:val="158"/>
        </w:numPr>
        <w:spacing w:after="200" w:line="276" w:lineRule="auto"/>
        <w:jc w:val="both"/>
        <w:rPr>
          <w:rFonts w:ascii="ITC Avant Garde" w:hAnsi="ITC Avant Garde" w:cs="Arial"/>
          <w:sz w:val="22"/>
          <w:szCs w:val="22"/>
        </w:rPr>
      </w:pPr>
      <w:r w:rsidRPr="00422CA2">
        <w:rPr>
          <w:rFonts w:ascii="ITC Avant Garde" w:hAnsi="ITC Avant Garde" w:cs="Arial"/>
          <w:sz w:val="22"/>
          <w:szCs w:val="22"/>
        </w:rPr>
        <w:t>Método de instalación: Durante la instalación, el cable no debe llegar a un radio de curvatura menor a 30 cm bajo tensión o 18 cm sin tensión.</w:t>
      </w:r>
    </w:p>
    <w:p w14:paraId="18199F68" w14:textId="08CB1CD7" w:rsidR="00AC0AB2" w:rsidRDefault="00AC0AB2" w:rsidP="00AC0AB2">
      <w:pPr>
        <w:pStyle w:val="Prrafodelista"/>
        <w:numPr>
          <w:ilvl w:val="0"/>
          <w:numId w:val="158"/>
        </w:numPr>
        <w:spacing w:after="200" w:line="276" w:lineRule="auto"/>
        <w:jc w:val="both"/>
        <w:rPr>
          <w:rFonts w:ascii="ITC Avant Garde" w:hAnsi="ITC Avant Garde" w:cs="Arial"/>
          <w:sz w:val="22"/>
          <w:szCs w:val="22"/>
        </w:rPr>
      </w:pPr>
      <w:r w:rsidRPr="00422CA2">
        <w:rPr>
          <w:rFonts w:ascii="ITC Avant Garde" w:hAnsi="ITC Avant Garde" w:cs="Arial"/>
          <w:sz w:val="22"/>
          <w:szCs w:val="22"/>
        </w:rPr>
        <w:t>A continuación</w:t>
      </w:r>
      <w:r w:rsidR="00F5224C">
        <w:rPr>
          <w:rFonts w:ascii="ITC Avant Garde" w:hAnsi="ITC Avant Garde" w:cs="Arial"/>
          <w:sz w:val="22"/>
          <w:szCs w:val="22"/>
        </w:rPr>
        <w:t>,</w:t>
      </w:r>
      <w:r w:rsidRPr="00422CA2">
        <w:rPr>
          <w:rFonts w:ascii="ITC Avant Garde" w:hAnsi="ITC Avant Garde" w:cs="Arial"/>
          <w:sz w:val="22"/>
          <w:szCs w:val="22"/>
        </w:rPr>
        <w:t xml:space="preserve"> se muestran las características de ancho de banda vs distancia a 100m permitidas para evitar la existencia de cortos circuitos o cables abiertos:</w:t>
      </w:r>
    </w:p>
    <w:p w14:paraId="181B3D8E" w14:textId="77777777" w:rsidR="00AC0AB2" w:rsidRPr="00915A69" w:rsidRDefault="00AC0AB2" w:rsidP="00AC0AB2">
      <w:pPr>
        <w:spacing w:after="200" w:line="276" w:lineRule="auto"/>
        <w:jc w:val="both"/>
        <w:rPr>
          <w:rFonts w:ascii="ITC Avant Garde" w:hAnsi="ITC Avant Garde" w:cs="Arial"/>
          <w:sz w:val="22"/>
          <w:szCs w:val="22"/>
        </w:rPr>
      </w:pPr>
    </w:p>
    <w:tbl>
      <w:tblPr>
        <w:tblStyle w:val="Tablaconcuadrcula"/>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95"/>
        <w:gridCol w:w="1795"/>
        <w:gridCol w:w="1796"/>
        <w:gridCol w:w="2093"/>
      </w:tblGrid>
      <w:tr w:rsidR="00AC0AB2" w:rsidRPr="00A1306F" w14:paraId="1114C8F5" w14:textId="77777777" w:rsidTr="00A1306F">
        <w:trPr>
          <w:jc w:val="center"/>
        </w:trPr>
        <w:tc>
          <w:tcPr>
            <w:tcW w:w="7479" w:type="dxa"/>
            <w:gridSpan w:val="4"/>
            <w:shd w:val="clear" w:color="auto" w:fill="548DD4" w:themeFill="text2" w:themeFillTint="99"/>
            <w:vAlign w:val="center"/>
          </w:tcPr>
          <w:p w14:paraId="68153811" w14:textId="77777777" w:rsidR="00AC0AB2" w:rsidRPr="00060B2E" w:rsidRDefault="00AC0AB2" w:rsidP="00060B2E">
            <w:pPr>
              <w:spacing w:line="276" w:lineRule="auto"/>
              <w:contextualSpacing/>
              <w:jc w:val="center"/>
              <w:rPr>
                <w:rFonts w:ascii="ITC Avant Garde" w:hAnsi="ITC Avant Garde"/>
                <w:sz w:val="18"/>
              </w:rPr>
            </w:pPr>
            <w:r w:rsidRPr="00060B2E">
              <w:rPr>
                <w:rFonts w:ascii="ITC Avant Garde" w:hAnsi="ITC Avant Garde"/>
                <w:sz w:val="18"/>
              </w:rPr>
              <w:t>Características de transmisión en 100 m a 20°C</w:t>
            </w:r>
          </w:p>
        </w:tc>
      </w:tr>
      <w:tr w:rsidR="00AC0AB2" w:rsidRPr="00A1306F" w14:paraId="5E24F70C" w14:textId="77777777" w:rsidTr="00A1306F">
        <w:trPr>
          <w:jc w:val="center"/>
        </w:trPr>
        <w:tc>
          <w:tcPr>
            <w:tcW w:w="1795" w:type="dxa"/>
            <w:shd w:val="clear" w:color="auto" w:fill="548DD4" w:themeFill="text2" w:themeFillTint="99"/>
            <w:vAlign w:val="center"/>
          </w:tcPr>
          <w:p w14:paraId="656E1E3E" w14:textId="77777777" w:rsidR="00AC0AB2" w:rsidRPr="00060B2E" w:rsidRDefault="00AC0AB2" w:rsidP="00060B2E">
            <w:pPr>
              <w:spacing w:line="276" w:lineRule="auto"/>
              <w:contextualSpacing/>
              <w:jc w:val="center"/>
              <w:rPr>
                <w:rFonts w:ascii="ITC Avant Garde" w:hAnsi="ITC Avant Garde"/>
                <w:sz w:val="18"/>
              </w:rPr>
            </w:pPr>
            <w:r w:rsidRPr="00060B2E">
              <w:rPr>
                <w:rFonts w:ascii="ITC Avant Garde" w:hAnsi="ITC Avant Garde"/>
                <w:sz w:val="18"/>
              </w:rPr>
              <w:t>Frecuencia (Mhz)</w:t>
            </w:r>
          </w:p>
        </w:tc>
        <w:tc>
          <w:tcPr>
            <w:tcW w:w="1795" w:type="dxa"/>
            <w:shd w:val="clear" w:color="auto" w:fill="548DD4" w:themeFill="text2" w:themeFillTint="99"/>
            <w:vAlign w:val="center"/>
          </w:tcPr>
          <w:p w14:paraId="4C8B160D" w14:textId="77777777" w:rsidR="00AC0AB2" w:rsidRPr="00060B2E" w:rsidRDefault="00AC0AB2" w:rsidP="00060B2E">
            <w:pPr>
              <w:spacing w:line="276" w:lineRule="auto"/>
              <w:contextualSpacing/>
              <w:jc w:val="center"/>
              <w:rPr>
                <w:rFonts w:ascii="ITC Avant Garde" w:hAnsi="ITC Avant Garde"/>
                <w:sz w:val="18"/>
              </w:rPr>
            </w:pPr>
            <w:r w:rsidRPr="00060B2E">
              <w:rPr>
                <w:rFonts w:ascii="ITC Avant Garde" w:hAnsi="ITC Avant Garde"/>
                <w:sz w:val="18"/>
              </w:rPr>
              <w:t>Atenuación Máx (dB)</w:t>
            </w:r>
          </w:p>
        </w:tc>
        <w:tc>
          <w:tcPr>
            <w:tcW w:w="1796" w:type="dxa"/>
            <w:shd w:val="clear" w:color="auto" w:fill="548DD4" w:themeFill="text2" w:themeFillTint="99"/>
            <w:vAlign w:val="center"/>
          </w:tcPr>
          <w:p w14:paraId="0ED9CF49" w14:textId="77777777" w:rsidR="00AC0AB2" w:rsidRPr="00060B2E" w:rsidRDefault="00AC0AB2" w:rsidP="00060B2E">
            <w:pPr>
              <w:spacing w:line="276" w:lineRule="auto"/>
              <w:contextualSpacing/>
              <w:jc w:val="center"/>
              <w:rPr>
                <w:rFonts w:ascii="ITC Avant Garde" w:hAnsi="ITC Avant Garde"/>
                <w:sz w:val="18"/>
              </w:rPr>
            </w:pPr>
            <w:r w:rsidRPr="00060B2E">
              <w:rPr>
                <w:rFonts w:ascii="ITC Avant Garde" w:hAnsi="ITC Avant Garde"/>
                <w:sz w:val="18"/>
              </w:rPr>
              <w:t>Diafonía PSNEXT Mín (dB)</w:t>
            </w:r>
          </w:p>
        </w:tc>
        <w:tc>
          <w:tcPr>
            <w:tcW w:w="2093" w:type="dxa"/>
            <w:shd w:val="clear" w:color="auto" w:fill="548DD4" w:themeFill="text2" w:themeFillTint="99"/>
            <w:vAlign w:val="center"/>
          </w:tcPr>
          <w:p w14:paraId="54F1DFD6" w14:textId="77777777" w:rsidR="00AC0AB2" w:rsidRPr="00060B2E" w:rsidRDefault="00AC0AB2" w:rsidP="00060B2E">
            <w:pPr>
              <w:spacing w:line="276" w:lineRule="auto"/>
              <w:contextualSpacing/>
              <w:jc w:val="center"/>
              <w:rPr>
                <w:rFonts w:ascii="ITC Avant Garde" w:hAnsi="ITC Avant Garde"/>
                <w:sz w:val="18"/>
              </w:rPr>
            </w:pPr>
            <w:r w:rsidRPr="00060B2E">
              <w:rPr>
                <w:rFonts w:ascii="ITC Avant Garde" w:hAnsi="ITC Avant Garde"/>
                <w:sz w:val="18"/>
              </w:rPr>
              <w:t>Telediafonía PSELFEXT Mín (dB)</w:t>
            </w:r>
          </w:p>
        </w:tc>
      </w:tr>
      <w:tr w:rsidR="00AC0AB2" w:rsidRPr="00422CA2" w14:paraId="182BC960" w14:textId="77777777" w:rsidTr="00A90ABE">
        <w:trPr>
          <w:jc w:val="center"/>
        </w:trPr>
        <w:tc>
          <w:tcPr>
            <w:tcW w:w="1795" w:type="dxa"/>
          </w:tcPr>
          <w:p w14:paraId="4B266D30"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0.3</w:t>
            </w:r>
          </w:p>
        </w:tc>
        <w:tc>
          <w:tcPr>
            <w:tcW w:w="1795" w:type="dxa"/>
          </w:tcPr>
          <w:p w14:paraId="1C379E82"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1.9</w:t>
            </w:r>
          </w:p>
        </w:tc>
        <w:tc>
          <w:tcPr>
            <w:tcW w:w="1796" w:type="dxa"/>
          </w:tcPr>
          <w:p w14:paraId="1CC8B36D"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2093" w:type="dxa"/>
          </w:tcPr>
          <w:p w14:paraId="5A981A0A"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r>
      <w:tr w:rsidR="00AC0AB2" w:rsidRPr="00422CA2" w14:paraId="0162DEA6" w14:textId="77777777" w:rsidTr="00A90ABE">
        <w:trPr>
          <w:jc w:val="center"/>
        </w:trPr>
        <w:tc>
          <w:tcPr>
            <w:tcW w:w="1795" w:type="dxa"/>
          </w:tcPr>
          <w:p w14:paraId="62D93640"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1.00</w:t>
            </w:r>
          </w:p>
        </w:tc>
        <w:tc>
          <w:tcPr>
            <w:tcW w:w="1795" w:type="dxa"/>
          </w:tcPr>
          <w:p w14:paraId="42030EF0"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3.3</w:t>
            </w:r>
          </w:p>
        </w:tc>
        <w:tc>
          <w:tcPr>
            <w:tcW w:w="1796" w:type="dxa"/>
          </w:tcPr>
          <w:p w14:paraId="0A60F74A"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58.0</w:t>
            </w:r>
          </w:p>
        </w:tc>
        <w:tc>
          <w:tcPr>
            <w:tcW w:w="2093" w:type="dxa"/>
          </w:tcPr>
          <w:p w14:paraId="44FB8D27"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58.0</w:t>
            </w:r>
          </w:p>
        </w:tc>
      </w:tr>
      <w:tr w:rsidR="00AC0AB2" w:rsidRPr="00422CA2" w14:paraId="460D2791" w14:textId="77777777" w:rsidTr="00A90ABE">
        <w:trPr>
          <w:jc w:val="center"/>
        </w:trPr>
        <w:tc>
          <w:tcPr>
            <w:tcW w:w="1795" w:type="dxa"/>
          </w:tcPr>
          <w:p w14:paraId="490432BD"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4.00</w:t>
            </w:r>
          </w:p>
        </w:tc>
        <w:tc>
          <w:tcPr>
            <w:tcW w:w="1795" w:type="dxa"/>
          </w:tcPr>
          <w:p w14:paraId="411B4B7C"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4F2BBCA5"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49.0</w:t>
            </w:r>
          </w:p>
        </w:tc>
        <w:tc>
          <w:tcPr>
            <w:tcW w:w="2093" w:type="dxa"/>
          </w:tcPr>
          <w:p w14:paraId="5BF0F5A8"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46.0</w:t>
            </w:r>
          </w:p>
        </w:tc>
      </w:tr>
      <w:tr w:rsidR="00AC0AB2" w:rsidRPr="00422CA2" w14:paraId="6631082C" w14:textId="77777777" w:rsidTr="00A90ABE">
        <w:trPr>
          <w:jc w:val="center"/>
        </w:trPr>
        <w:tc>
          <w:tcPr>
            <w:tcW w:w="1795" w:type="dxa"/>
          </w:tcPr>
          <w:p w14:paraId="01B3B0FC"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8.00</w:t>
            </w:r>
          </w:p>
        </w:tc>
        <w:tc>
          <w:tcPr>
            <w:tcW w:w="1795" w:type="dxa"/>
          </w:tcPr>
          <w:p w14:paraId="659955B6"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467A20BA"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45.0</w:t>
            </w:r>
          </w:p>
        </w:tc>
        <w:tc>
          <w:tcPr>
            <w:tcW w:w="2093" w:type="dxa"/>
          </w:tcPr>
          <w:p w14:paraId="564668D8"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40.0</w:t>
            </w:r>
          </w:p>
        </w:tc>
      </w:tr>
      <w:tr w:rsidR="00AC0AB2" w:rsidRPr="00422CA2" w14:paraId="6F092BB0" w14:textId="77777777" w:rsidTr="00A90ABE">
        <w:trPr>
          <w:jc w:val="center"/>
        </w:trPr>
        <w:tc>
          <w:tcPr>
            <w:tcW w:w="1795" w:type="dxa"/>
          </w:tcPr>
          <w:p w14:paraId="02137ACC"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10.00</w:t>
            </w:r>
          </w:p>
        </w:tc>
        <w:tc>
          <w:tcPr>
            <w:tcW w:w="1795" w:type="dxa"/>
          </w:tcPr>
          <w:p w14:paraId="405A8C6C"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11.0</w:t>
            </w:r>
          </w:p>
        </w:tc>
        <w:tc>
          <w:tcPr>
            <w:tcW w:w="1796" w:type="dxa"/>
          </w:tcPr>
          <w:p w14:paraId="6CC9DA6F"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43.0</w:t>
            </w:r>
          </w:p>
        </w:tc>
        <w:tc>
          <w:tcPr>
            <w:tcW w:w="2093" w:type="dxa"/>
          </w:tcPr>
          <w:p w14:paraId="16CDC4F2"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38.0</w:t>
            </w:r>
          </w:p>
        </w:tc>
      </w:tr>
      <w:tr w:rsidR="00AC0AB2" w:rsidRPr="00422CA2" w14:paraId="6EE03C9D" w14:textId="77777777" w:rsidTr="00A90ABE">
        <w:trPr>
          <w:jc w:val="center"/>
        </w:trPr>
        <w:tc>
          <w:tcPr>
            <w:tcW w:w="1795" w:type="dxa"/>
          </w:tcPr>
          <w:p w14:paraId="4DDDEC7B"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16.00</w:t>
            </w:r>
          </w:p>
        </w:tc>
        <w:tc>
          <w:tcPr>
            <w:tcW w:w="1795" w:type="dxa"/>
          </w:tcPr>
          <w:p w14:paraId="55C61A1A"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2BE4351B"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40.0</w:t>
            </w:r>
          </w:p>
        </w:tc>
        <w:tc>
          <w:tcPr>
            <w:tcW w:w="2093" w:type="dxa"/>
          </w:tcPr>
          <w:p w14:paraId="6CD62898"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34.0</w:t>
            </w:r>
          </w:p>
        </w:tc>
      </w:tr>
      <w:tr w:rsidR="00AC0AB2" w:rsidRPr="00422CA2" w14:paraId="2BC982AD" w14:textId="77777777" w:rsidTr="00A90ABE">
        <w:trPr>
          <w:jc w:val="center"/>
        </w:trPr>
        <w:tc>
          <w:tcPr>
            <w:tcW w:w="1795" w:type="dxa"/>
          </w:tcPr>
          <w:p w14:paraId="2B82345E"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20.00</w:t>
            </w:r>
          </w:p>
        </w:tc>
        <w:tc>
          <w:tcPr>
            <w:tcW w:w="1795" w:type="dxa"/>
          </w:tcPr>
          <w:p w14:paraId="3D1FD231"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08CF65B1"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39.0</w:t>
            </w:r>
          </w:p>
        </w:tc>
        <w:tc>
          <w:tcPr>
            <w:tcW w:w="2093" w:type="dxa"/>
          </w:tcPr>
          <w:p w14:paraId="177CDA25"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32.0</w:t>
            </w:r>
          </w:p>
        </w:tc>
      </w:tr>
      <w:tr w:rsidR="00AC0AB2" w:rsidRPr="00422CA2" w14:paraId="23B8D72C" w14:textId="77777777" w:rsidTr="00A90ABE">
        <w:trPr>
          <w:jc w:val="center"/>
        </w:trPr>
        <w:tc>
          <w:tcPr>
            <w:tcW w:w="1795" w:type="dxa"/>
          </w:tcPr>
          <w:p w14:paraId="6CA6FA64"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25.00</w:t>
            </w:r>
          </w:p>
        </w:tc>
        <w:tc>
          <w:tcPr>
            <w:tcW w:w="1795" w:type="dxa"/>
          </w:tcPr>
          <w:p w14:paraId="5CE0BC79"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34AB4866"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37.0</w:t>
            </w:r>
          </w:p>
        </w:tc>
        <w:tc>
          <w:tcPr>
            <w:tcW w:w="2093" w:type="dxa"/>
          </w:tcPr>
          <w:p w14:paraId="2A052DC0"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30.0</w:t>
            </w:r>
          </w:p>
        </w:tc>
      </w:tr>
      <w:tr w:rsidR="00AC0AB2" w:rsidRPr="00422CA2" w14:paraId="71A26C86" w14:textId="77777777" w:rsidTr="00A90ABE">
        <w:trPr>
          <w:jc w:val="center"/>
        </w:trPr>
        <w:tc>
          <w:tcPr>
            <w:tcW w:w="1795" w:type="dxa"/>
          </w:tcPr>
          <w:p w14:paraId="05238436"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31.25</w:t>
            </w:r>
          </w:p>
        </w:tc>
        <w:tc>
          <w:tcPr>
            <w:tcW w:w="1795" w:type="dxa"/>
          </w:tcPr>
          <w:p w14:paraId="3E93BB32"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4481541E"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36.0</w:t>
            </w:r>
          </w:p>
        </w:tc>
        <w:tc>
          <w:tcPr>
            <w:tcW w:w="2093" w:type="dxa"/>
          </w:tcPr>
          <w:p w14:paraId="3084CC68"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28.0</w:t>
            </w:r>
          </w:p>
        </w:tc>
      </w:tr>
      <w:tr w:rsidR="00AC0AB2" w:rsidRPr="00422CA2" w14:paraId="483E3F20" w14:textId="77777777" w:rsidTr="00A90ABE">
        <w:trPr>
          <w:jc w:val="center"/>
        </w:trPr>
        <w:tc>
          <w:tcPr>
            <w:tcW w:w="1795" w:type="dxa"/>
          </w:tcPr>
          <w:p w14:paraId="7F2A3A1A"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63.00</w:t>
            </w:r>
          </w:p>
        </w:tc>
        <w:tc>
          <w:tcPr>
            <w:tcW w:w="1795" w:type="dxa"/>
          </w:tcPr>
          <w:p w14:paraId="1203E72B"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3AC80981"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31.0</w:t>
            </w:r>
          </w:p>
        </w:tc>
        <w:tc>
          <w:tcPr>
            <w:tcW w:w="2093" w:type="dxa"/>
          </w:tcPr>
          <w:p w14:paraId="27216C23"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22.0</w:t>
            </w:r>
          </w:p>
        </w:tc>
      </w:tr>
      <w:tr w:rsidR="00AC0AB2" w:rsidRPr="00422CA2" w14:paraId="296DC53A" w14:textId="77777777" w:rsidTr="00A90ABE">
        <w:trPr>
          <w:jc w:val="center"/>
        </w:trPr>
        <w:tc>
          <w:tcPr>
            <w:tcW w:w="1795" w:type="dxa"/>
          </w:tcPr>
          <w:p w14:paraId="1708823F"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100.00</w:t>
            </w:r>
          </w:p>
        </w:tc>
        <w:tc>
          <w:tcPr>
            <w:tcW w:w="1795" w:type="dxa"/>
          </w:tcPr>
          <w:p w14:paraId="3C7979A3"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w:t>
            </w:r>
          </w:p>
        </w:tc>
        <w:tc>
          <w:tcPr>
            <w:tcW w:w="1796" w:type="dxa"/>
          </w:tcPr>
          <w:p w14:paraId="1B3C3863"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28.0</w:t>
            </w:r>
          </w:p>
        </w:tc>
        <w:tc>
          <w:tcPr>
            <w:tcW w:w="2093" w:type="dxa"/>
          </w:tcPr>
          <w:p w14:paraId="704BDD18" w14:textId="77777777" w:rsidR="00AC0AB2" w:rsidRPr="00422CA2" w:rsidRDefault="00AC0AB2" w:rsidP="00A90ABE">
            <w:pPr>
              <w:spacing w:before="60" w:after="60" w:line="276" w:lineRule="auto"/>
              <w:jc w:val="center"/>
              <w:rPr>
                <w:rFonts w:ascii="ITC Avant Garde" w:hAnsi="ITC Avant Garde"/>
                <w:sz w:val="20"/>
                <w:szCs w:val="20"/>
              </w:rPr>
            </w:pPr>
            <w:r w:rsidRPr="00422CA2">
              <w:rPr>
                <w:rFonts w:ascii="ITC Avant Garde" w:hAnsi="ITC Avant Garde"/>
                <w:sz w:val="20"/>
                <w:szCs w:val="20"/>
              </w:rPr>
              <w:t>18.0</w:t>
            </w:r>
          </w:p>
        </w:tc>
      </w:tr>
    </w:tbl>
    <w:p w14:paraId="7333FDEF" w14:textId="77777777" w:rsidR="00AC0AB2" w:rsidRPr="00422CA2" w:rsidRDefault="00AC0AB2" w:rsidP="00AC0AB2">
      <w:pPr>
        <w:pStyle w:val="Prrafodelista"/>
        <w:spacing w:before="120" w:after="200" w:line="276" w:lineRule="auto"/>
        <w:ind w:left="720"/>
        <w:jc w:val="center"/>
        <w:rPr>
          <w:rFonts w:ascii="ITC Avant Garde" w:hAnsi="ITC Avant Garde" w:cs="Arial"/>
          <w:sz w:val="18"/>
          <w:szCs w:val="18"/>
        </w:rPr>
      </w:pPr>
      <w:r w:rsidRPr="00422CA2">
        <w:rPr>
          <w:rFonts w:ascii="ITC Avant Garde" w:hAnsi="ITC Avant Garde" w:cs="Arial"/>
          <w:sz w:val="18"/>
          <w:szCs w:val="18"/>
        </w:rPr>
        <w:t>Tabla 23 Características de transmisión de Cableado Multipar</w:t>
      </w:r>
    </w:p>
    <w:p w14:paraId="2CA1BF0C" w14:textId="77777777" w:rsidR="00AC0AB2" w:rsidRPr="00422CA2" w:rsidRDefault="00AC0AB2" w:rsidP="00060B2E">
      <w:pPr>
        <w:spacing w:after="200" w:line="276" w:lineRule="auto"/>
        <w:ind w:left="-567" w:right="-142"/>
        <w:jc w:val="both"/>
        <w:rPr>
          <w:rFonts w:ascii="ITC Avant Garde" w:hAnsi="ITC Avant Garde"/>
          <w:sz w:val="22"/>
          <w:szCs w:val="22"/>
          <w:lang w:val="es-MX"/>
        </w:rPr>
      </w:pPr>
      <w:r w:rsidRPr="00422CA2">
        <w:rPr>
          <w:rFonts w:ascii="ITC Avant Garde" w:hAnsi="ITC Avant Garde"/>
          <w:sz w:val="22"/>
          <w:szCs w:val="22"/>
          <w:lang w:val="es-MX"/>
        </w:rPr>
        <w:t>La figura siguiente muestra el servicio de cableado Multipar cuando el CS tiene contratada una Coubicación dentro de la Central Telmex.</w:t>
      </w:r>
    </w:p>
    <w:p w14:paraId="542B07B3" w14:textId="77777777" w:rsidR="00AC0AB2" w:rsidRPr="00422CA2" w:rsidRDefault="00AC0AB2" w:rsidP="00AC0AB2">
      <w:pPr>
        <w:spacing w:after="200" w:line="276" w:lineRule="auto"/>
        <w:contextualSpacing/>
        <w:jc w:val="center"/>
        <w:rPr>
          <w:rFonts w:ascii="ITC Avant Garde" w:hAnsi="ITC Avant Garde"/>
          <w:sz w:val="22"/>
          <w:szCs w:val="22"/>
          <w:lang w:val="es-MX"/>
        </w:rPr>
      </w:pPr>
      <w:r w:rsidRPr="00422CA2">
        <w:rPr>
          <w:rFonts w:ascii="ITC Avant Garde" w:hAnsi="ITC Avant Garde"/>
          <w:noProof/>
          <w:sz w:val="22"/>
          <w:szCs w:val="22"/>
          <w:lang w:val="es-MX" w:eastAsia="es-MX"/>
        </w:rPr>
        <w:lastRenderedPageBreak/>
        <w:drawing>
          <wp:inline distT="0" distB="0" distL="0" distR="0" wp14:anchorId="6FF6271A" wp14:editId="5146FD8A">
            <wp:extent cx="4384977" cy="283873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4393712" cy="2844390"/>
                    </a:xfrm>
                    <a:prstGeom prst="rect">
                      <a:avLst/>
                    </a:prstGeom>
                    <a:noFill/>
                  </pic:spPr>
                </pic:pic>
              </a:graphicData>
            </a:graphic>
          </wp:inline>
        </w:drawing>
      </w:r>
    </w:p>
    <w:p w14:paraId="11D33DCA" w14:textId="77777777" w:rsidR="00AC0AB2" w:rsidRPr="00422CA2" w:rsidRDefault="00AC0AB2" w:rsidP="00AC0AB2">
      <w:pPr>
        <w:spacing w:after="200" w:line="276" w:lineRule="auto"/>
        <w:contextualSpacing/>
        <w:jc w:val="center"/>
        <w:rPr>
          <w:rFonts w:ascii="ITC Avant Garde" w:hAnsi="ITC Avant Garde"/>
          <w:sz w:val="18"/>
          <w:szCs w:val="18"/>
          <w:lang w:val="es-MX"/>
        </w:rPr>
      </w:pPr>
      <w:r w:rsidRPr="00422CA2">
        <w:rPr>
          <w:rFonts w:ascii="ITC Avant Garde" w:hAnsi="ITC Avant Garde"/>
          <w:sz w:val="18"/>
          <w:szCs w:val="18"/>
          <w:lang w:val="es-MX"/>
        </w:rPr>
        <w:t xml:space="preserve">Servicio de Cableado Multipar </w:t>
      </w:r>
    </w:p>
    <w:p w14:paraId="5CFB3606" w14:textId="77777777" w:rsidR="00AC0AB2" w:rsidRPr="00501A63" w:rsidRDefault="00AC0AB2" w:rsidP="00060B2E">
      <w:pPr>
        <w:spacing w:after="200" w:line="276" w:lineRule="auto"/>
        <w:jc w:val="both"/>
      </w:pPr>
    </w:p>
    <w:p w14:paraId="33CFEFAF" w14:textId="4980604D" w:rsidR="00D10CC9" w:rsidRPr="00D936CA" w:rsidRDefault="00D10CC9" w:rsidP="00D936CA">
      <w:pPr>
        <w:pStyle w:val="Ttulo2"/>
        <w:numPr>
          <w:ilvl w:val="1"/>
          <w:numId w:val="143"/>
        </w:numPr>
        <w:ind w:left="851" w:hanging="425"/>
      </w:pPr>
      <w:bookmarkStart w:id="642" w:name="_Toc518032029"/>
      <w:r w:rsidRPr="00D936CA">
        <w:t>Procedimientos de contratación, modificación y baja del servicio de Cableado Multipar.</w:t>
      </w:r>
      <w:bookmarkEnd w:id="641"/>
      <w:bookmarkEnd w:id="642"/>
    </w:p>
    <w:p w14:paraId="33CFEFB0" w14:textId="29F07CDD" w:rsidR="005B5734" w:rsidRPr="00D936CA" w:rsidRDefault="00D10CC9"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Queda establecido que</w:t>
      </w:r>
      <w:r w:rsidR="00200B4B">
        <w:rPr>
          <w:rFonts w:ascii="ITC Avant Garde" w:hAnsi="ITC Avant Garde"/>
          <w:sz w:val="22"/>
          <w:szCs w:val="22"/>
          <w:lang w:val="es-MX"/>
        </w:rPr>
        <w:t>,</w:t>
      </w:r>
      <w:r w:rsidRPr="00D936CA">
        <w:rPr>
          <w:rFonts w:ascii="ITC Avant Garde" w:hAnsi="ITC Avant Garde"/>
          <w:sz w:val="22"/>
          <w:szCs w:val="22"/>
          <w:lang w:val="es-MX"/>
        </w:rPr>
        <w:t xml:space="preserve"> mediante el envío de la solicitud, el CS consiente efectuar el pago por las actividades a </w:t>
      </w:r>
      <w:r w:rsidR="001C3D84" w:rsidRPr="00D936CA">
        <w:rPr>
          <w:rFonts w:ascii="ITC Avant Garde" w:hAnsi="ITC Avant Garde"/>
          <w:sz w:val="22"/>
          <w:szCs w:val="22"/>
          <w:lang w:val="es-MX"/>
        </w:rPr>
        <w:t>realizar,</w:t>
      </w:r>
      <w:r w:rsidRPr="00D936CA">
        <w:rPr>
          <w:rFonts w:ascii="ITC Avant Garde" w:hAnsi="ITC Avant Garde"/>
          <w:sz w:val="22"/>
          <w:szCs w:val="22"/>
          <w:lang w:val="es-MX"/>
        </w:rPr>
        <w:t xml:space="preserve"> así como por los elementos de cobro que conforman el servicio, en el momento que se indique en el procedimiento. </w:t>
      </w:r>
      <w:r w:rsidR="005B5734" w:rsidRPr="00D936CA">
        <w:rPr>
          <w:rFonts w:ascii="ITC Avant Garde" w:hAnsi="ITC Avant Garde"/>
          <w:sz w:val="22"/>
          <w:szCs w:val="22"/>
          <w:lang w:val="es-MX"/>
        </w:rPr>
        <w:t xml:space="preserve">Asimismo, si el CS rechaza el servicio o decide no continuar con el procedimiento, deberá liquidar el monto generado por las actividades realizadas hasta el momento que decidió terminar el procedimiento. </w:t>
      </w:r>
    </w:p>
    <w:p w14:paraId="33CFEFB1" w14:textId="77777777" w:rsidR="005B5734" w:rsidRPr="00D936CA" w:rsidRDefault="005B5734"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b/>
          <w:sz w:val="22"/>
          <w:szCs w:val="22"/>
          <w:lang w:val="es-ES" w:eastAsia="es-MX"/>
        </w:rPr>
        <w:t>Procedimiento de contratación y entrega para cableado interno y externo (Cableado Multipar)</w:t>
      </w:r>
    </w:p>
    <w:p w14:paraId="33CFEFB2" w14:textId="77777777" w:rsidR="005B5734" w:rsidRPr="00D936CA" w:rsidRDefault="005B5734"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contratación y entrega del Servicio de Cableado Multipar;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contratar el servicio y la validación por parte de Telmex de que la solicitud cuenta con todos los elementos para la contratación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(iii)</w:t>
      </w:r>
      <w:r w:rsidRPr="00D936CA">
        <w:rPr>
          <w:rFonts w:ascii="ITC Avant Garde" w:hAnsi="ITC Avant Garde" w:cs="Arial"/>
          <w:sz w:val="22"/>
          <w:szCs w:val="22"/>
        </w:rPr>
        <w:t xml:space="preserve"> Habilitación y aprovisionamiento del servicio solicitado, que detonará los procesos de pruebas de entrega y facturación.</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EFB5" w14:textId="77777777" w:rsidTr="00060B2E">
        <w:tc>
          <w:tcPr>
            <w:tcW w:w="1446" w:type="pct"/>
          </w:tcPr>
          <w:p w14:paraId="33CFEFB3" w14:textId="77777777" w:rsidR="005B5734" w:rsidRPr="00D936CA" w:rsidRDefault="005B5734" w:rsidP="00D936CA">
            <w:pPr>
              <w:pStyle w:val="IFTnormal"/>
              <w:jc w:val="center"/>
              <w:rPr>
                <w:b/>
                <w:sz w:val="20"/>
                <w:szCs w:val="20"/>
              </w:rPr>
            </w:pPr>
            <w:r w:rsidRPr="00D936CA">
              <w:rPr>
                <w:b/>
                <w:sz w:val="20"/>
                <w:szCs w:val="20"/>
              </w:rPr>
              <w:t>Etapa</w:t>
            </w:r>
          </w:p>
        </w:tc>
        <w:tc>
          <w:tcPr>
            <w:tcW w:w="3554" w:type="pct"/>
          </w:tcPr>
          <w:p w14:paraId="33CFEFB4"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FB9" w14:textId="77777777" w:rsidTr="00060B2E">
        <w:tc>
          <w:tcPr>
            <w:tcW w:w="1446" w:type="pct"/>
          </w:tcPr>
          <w:p w14:paraId="33CFEFB6"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54" w:type="pct"/>
          </w:tcPr>
          <w:p w14:paraId="33CFEFB7" w14:textId="40971F2D" w:rsidR="005B5734" w:rsidRPr="00D936CA" w:rsidRDefault="005B5734" w:rsidP="00D936CA">
            <w:pPr>
              <w:pStyle w:val="IFTnormal"/>
              <w:rPr>
                <w:sz w:val="20"/>
                <w:szCs w:val="20"/>
              </w:rPr>
            </w:pPr>
            <w:r w:rsidRPr="00D936CA">
              <w:rPr>
                <w:sz w:val="20"/>
                <w:szCs w:val="20"/>
              </w:rPr>
              <w:t>El CS deberá presentar sus solicitudes en el formato correspondiente a través del SEG.</w:t>
            </w:r>
          </w:p>
          <w:p w14:paraId="33CFEFB8" w14:textId="77777777" w:rsidR="005B5734" w:rsidRPr="00D936CA" w:rsidRDefault="005B5734" w:rsidP="00D936CA">
            <w:pPr>
              <w:pStyle w:val="IFTnormal"/>
              <w:spacing w:after="120" w:line="240" w:lineRule="auto"/>
              <w:ind w:left="34"/>
              <w:rPr>
                <w:sz w:val="20"/>
                <w:szCs w:val="20"/>
              </w:rPr>
            </w:pPr>
            <w:r w:rsidRPr="00D936CA">
              <w:rPr>
                <w:sz w:val="20"/>
                <w:szCs w:val="20"/>
              </w:rPr>
              <w:t xml:space="preserve">Una vez enviada se asignará de forma automática un número de folio </w:t>
            </w:r>
            <w:r w:rsidRPr="00D936CA">
              <w:rPr>
                <w:sz w:val="20"/>
                <w:szCs w:val="20"/>
              </w:rPr>
              <w:lastRenderedPageBreak/>
              <w:t>a la solicitud del CS.</w:t>
            </w:r>
          </w:p>
        </w:tc>
      </w:tr>
      <w:tr w:rsidR="00D936CA" w:rsidRPr="00D936CA" w14:paraId="33CFEFBE" w14:textId="77777777" w:rsidTr="00060B2E">
        <w:tc>
          <w:tcPr>
            <w:tcW w:w="1446" w:type="pct"/>
          </w:tcPr>
          <w:p w14:paraId="33CFEFBA" w14:textId="77777777" w:rsidR="005B5734" w:rsidRPr="00D936CA" w:rsidRDefault="005B5734" w:rsidP="00D936CA">
            <w:pPr>
              <w:pStyle w:val="IFTnormal"/>
              <w:jc w:val="left"/>
              <w:rPr>
                <w:b/>
                <w:sz w:val="20"/>
                <w:szCs w:val="20"/>
              </w:rPr>
            </w:pPr>
            <w:r w:rsidRPr="00D936CA">
              <w:rPr>
                <w:b/>
                <w:sz w:val="20"/>
                <w:szCs w:val="20"/>
              </w:rPr>
              <w:lastRenderedPageBreak/>
              <w:t>Validación de solicitud</w:t>
            </w:r>
          </w:p>
        </w:tc>
        <w:tc>
          <w:tcPr>
            <w:tcW w:w="3554" w:type="pct"/>
            <w:shd w:val="clear" w:color="auto" w:fill="auto"/>
          </w:tcPr>
          <w:p w14:paraId="33CFEFBB"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FBC"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EFBD"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EFC3" w14:textId="77777777" w:rsidTr="00060B2E">
        <w:tc>
          <w:tcPr>
            <w:tcW w:w="1446" w:type="pct"/>
          </w:tcPr>
          <w:p w14:paraId="33CFEFBF" w14:textId="77777777" w:rsidR="005B5734" w:rsidRPr="00D936CA" w:rsidRDefault="005B5734" w:rsidP="00D936CA">
            <w:pPr>
              <w:pStyle w:val="IFTnormal"/>
              <w:jc w:val="left"/>
              <w:rPr>
                <w:b/>
                <w:sz w:val="20"/>
                <w:szCs w:val="20"/>
              </w:rPr>
            </w:pPr>
            <w:r w:rsidRPr="00D936CA">
              <w:rPr>
                <w:b/>
                <w:sz w:val="20"/>
                <w:szCs w:val="20"/>
              </w:rPr>
              <w:t>Factibilidad Técnica</w:t>
            </w:r>
          </w:p>
        </w:tc>
        <w:tc>
          <w:tcPr>
            <w:tcW w:w="3554" w:type="pct"/>
          </w:tcPr>
          <w:p w14:paraId="33CFEFC0" w14:textId="77777777" w:rsidR="005B5734" w:rsidRPr="00D936CA" w:rsidRDefault="005B5734"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3 días hábiles:</w:t>
            </w:r>
          </w:p>
          <w:p w14:paraId="33CFEFC1"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Existen facilidades</w:t>
            </w:r>
            <w:r w:rsidRPr="00D936CA">
              <w:rPr>
                <w:sz w:val="20"/>
                <w:szCs w:val="20"/>
              </w:rPr>
              <w:t>, se asignará Número de Identificación de Seguimiento (NIS) y se enviará la cotización correspondiente (en un plazo máximo de 5 días el CS deberá responder y/o solicitar a Telmex revisión o aclaración de cotización, en caso de no recibir respuesta se entenderá que se rechaza el servicio).</w:t>
            </w:r>
          </w:p>
          <w:p w14:paraId="33CFEFC2" w14:textId="0093CBE8" w:rsidR="005B5734" w:rsidRPr="00D936CA" w:rsidRDefault="005B5734" w:rsidP="00D936CA">
            <w:pPr>
              <w:pStyle w:val="IFTnormal"/>
              <w:numPr>
                <w:ilvl w:val="0"/>
                <w:numId w:val="102"/>
              </w:numPr>
              <w:ind w:left="318" w:hanging="318"/>
              <w:rPr>
                <w:sz w:val="20"/>
                <w:szCs w:val="20"/>
              </w:rPr>
            </w:pPr>
            <w:r w:rsidRPr="00D936CA">
              <w:rPr>
                <w:b/>
                <w:sz w:val="20"/>
                <w:szCs w:val="20"/>
              </w:rPr>
              <w:t>No existen facilidades</w:t>
            </w:r>
            <w:r w:rsidRPr="00D936CA">
              <w:rPr>
                <w:sz w:val="20"/>
                <w:szCs w:val="20"/>
              </w:rPr>
              <w:t>, se presentará al CS, a través del SEG, la justificación de los motivos descritos en el apartado 1.4 relativo a los recursos de red asociados a los servicios, así como las evidencias correspondientes. En este caso Telmex</w:t>
            </w:r>
            <w:r w:rsidR="004F7DB2">
              <w:rPr>
                <w:sz w:val="20"/>
                <w:szCs w:val="20"/>
              </w:rPr>
              <w:t>, a solicitud del CS,</w:t>
            </w:r>
            <w:r w:rsidRPr="00D936CA">
              <w:rPr>
                <w:sz w:val="20"/>
                <w:szCs w:val="20"/>
              </w:rPr>
              <w:t xml:space="preserve"> tendrá un plazo de 10 días hábiles para proporcionar al CS un anteproyecto para iniciar el procedimiento de Trabajos Especiales contenido en la sección 11 de esta OREDA (en un plazo máximo de 5 días el CS deberá responder y/o solicitar a Telmex revisión o aclaración de cotización, en caso de no recibir respuesta se entenderá que se rechaza el servicio).</w:t>
            </w:r>
          </w:p>
        </w:tc>
      </w:tr>
      <w:tr w:rsidR="00D936CA" w:rsidRPr="00D936CA" w14:paraId="33CFEFC7" w14:textId="77777777" w:rsidTr="00060B2E">
        <w:tc>
          <w:tcPr>
            <w:tcW w:w="1446" w:type="pct"/>
          </w:tcPr>
          <w:p w14:paraId="33CFEFC4" w14:textId="77777777" w:rsidR="005B5734" w:rsidRPr="00D936CA" w:rsidRDefault="005B5734" w:rsidP="00D936CA">
            <w:pPr>
              <w:pStyle w:val="IFTnormal"/>
              <w:jc w:val="left"/>
              <w:rPr>
                <w:b/>
                <w:sz w:val="20"/>
                <w:szCs w:val="20"/>
              </w:rPr>
            </w:pPr>
            <w:r w:rsidRPr="00D936CA">
              <w:rPr>
                <w:b/>
                <w:sz w:val="20"/>
                <w:szCs w:val="20"/>
              </w:rPr>
              <w:t>Habilitación y aprovisionamiento del Servicio</w:t>
            </w:r>
          </w:p>
        </w:tc>
        <w:tc>
          <w:tcPr>
            <w:tcW w:w="3554" w:type="pct"/>
          </w:tcPr>
          <w:p w14:paraId="33CFEFC5" w14:textId="77777777" w:rsidR="005B5734" w:rsidRPr="00D936CA" w:rsidRDefault="005B5734" w:rsidP="00D936CA">
            <w:pPr>
              <w:pStyle w:val="IFTnormal"/>
              <w:rPr>
                <w:sz w:val="20"/>
                <w:szCs w:val="20"/>
              </w:rPr>
            </w:pPr>
            <w:r w:rsidRPr="00D936CA">
              <w:rPr>
                <w:sz w:val="20"/>
                <w:szCs w:val="20"/>
              </w:rPr>
              <w:t>Una vez aceptada la cotización por parte del CS:</w:t>
            </w:r>
          </w:p>
          <w:p w14:paraId="33CFEFC6" w14:textId="77777777" w:rsidR="005B5734" w:rsidRPr="00D936CA" w:rsidRDefault="005B5734" w:rsidP="00D936CA">
            <w:pPr>
              <w:pStyle w:val="IFTnormal"/>
              <w:numPr>
                <w:ilvl w:val="0"/>
                <w:numId w:val="121"/>
              </w:numPr>
              <w:rPr>
                <w:sz w:val="20"/>
                <w:szCs w:val="20"/>
              </w:rPr>
            </w:pPr>
            <w:r w:rsidRPr="00D936CA">
              <w:rPr>
                <w:sz w:val="20"/>
                <w:szCs w:val="20"/>
              </w:rPr>
              <w:t>Se habilitará el servicio de conformidad con el tipo de Coubicación del CS. Si el Cableado fue solicitado junto con Coubicación se habilitará en el plazo de entrega del servicio.</w:t>
            </w:r>
          </w:p>
        </w:tc>
      </w:tr>
      <w:tr w:rsidR="00D936CA" w:rsidRPr="00D936CA" w14:paraId="33CFEFCA" w14:textId="77777777" w:rsidTr="00060B2E">
        <w:tc>
          <w:tcPr>
            <w:tcW w:w="1446" w:type="pct"/>
          </w:tcPr>
          <w:p w14:paraId="33CFEFC8" w14:textId="77777777" w:rsidR="005B5734" w:rsidRPr="00D936CA" w:rsidRDefault="005B5734" w:rsidP="00D936CA">
            <w:pPr>
              <w:pStyle w:val="IFTnormal"/>
              <w:jc w:val="left"/>
              <w:rPr>
                <w:b/>
                <w:sz w:val="20"/>
                <w:szCs w:val="20"/>
              </w:rPr>
            </w:pPr>
            <w:r w:rsidRPr="00D936CA">
              <w:rPr>
                <w:b/>
                <w:sz w:val="20"/>
                <w:szCs w:val="20"/>
              </w:rPr>
              <w:t>Pruebas de Aceptación del Servicio</w:t>
            </w:r>
          </w:p>
        </w:tc>
        <w:tc>
          <w:tcPr>
            <w:tcW w:w="3554" w:type="pct"/>
          </w:tcPr>
          <w:p w14:paraId="33CFEFC9" w14:textId="77777777" w:rsidR="005B5734" w:rsidRPr="00D936CA" w:rsidRDefault="005B5734" w:rsidP="00D936CA">
            <w:pPr>
              <w:pStyle w:val="IFTnormal"/>
              <w:rPr>
                <w:sz w:val="20"/>
                <w:szCs w:val="20"/>
              </w:rPr>
            </w:pPr>
            <w:r w:rsidRPr="00D936CA">
              <w:rPr>
                <w:sz w:val="20"/>
                <w:szCs w:val="20"/>
              </w:rPr>
              <w:t>Una vez instalado el servicio se le notificará al CS</w:t>
            </w:r>
          </w:p>
        </w:tc>
      </w:tr>
      <w:tr w:rsidR="005B5734" w:rsidRPr="00D936CA" w14:paraId="33CFEFCF" w14:textId="77777777" w:rsidTr="00060B2E">
        <w:tc>
          <w:tcPr>
            <w:tcW w:w="1446" w:type="pct"/>
          </w:tcPr>
          <w:p w14:paraId="33CFEFCB" w14:textId="77777777" w:rsidR="005B5734" w:rsidRPr="00D936CA" w:rsidRDefault="005B5734" w:rsidP="00D936CA">
            <w:pPr>
              <w:pStyle w:val="IFTnormal"/>
              <w:jc w:val="left"/>
              <w:rPr>
                <w:b/>
                <w:sz w:val="20"/>
                <w:szCs w:val="20"/>
              </w:rPr>
            </w:pPr>
            <w:r w:rsidRPr="00D936CA">
              <w:rPr>
                <w:b/>
                <w:sz w:val="20"/>
                <w:szCs w:val="20"/>
              </w:rPr>
              <w:t>Facturación</w:t>
            </w:r>
          </w:p>
        </w:tc>
        <w:tc>
          <w:tcPr>
            <w:tcW w:w="3554" w:type="pct"/>
          </w:tcPr>
          <w:p w14:paraId="33CFEFCC" w14:textId="77777777" w:rsidR="005B5734" w:rsidRPr="00D936CA" w:rsidRDefault="005B5734" w:rsidP="00D936CA">
            <w:pPr>
              <w:pStyle w:val="IFTnormal"/>
              <w:rPr>
                <w:sz w:val="20"/>
                <w:szCs w:val="20"/>
              </w:rPr>
            </w:pPr>
            <w:r w:rsidRPr="00D936CA">
              <w:rPr>
                <w:sz w:val="20"/>
                <w:szCs w:val="20"/>
              </w:rPr>
              <w:t>Al corte del mes se realizará la facturación aplicable al servicio:</w:t>
            </w:r>
          </w:p>
          <w:p w14:paraId="33CFEFCD" w14:textId="77777777" w:rsidR="005B5734" w:rsidRPr="00D936CA" w:rsidRDefault="005B5734" w:rsidP="00D936CA">
            <w:pPr>
              <w:pStyle w:val="IFTnormal"/>
              <w:numPr>
                <w:ilvl w:val="0"/>
                <w:numId w:val="102"/>
              </w:numPr>
              <w:ind w:left="318" w:hanging="284"/>
              <w:rPr>
                <w:sz w:val="20"/>
                <w:szCs w:val="20"/>
              </w:rPr>
            </w:pPr>
            <w:r w:rsidRPr="00D936CA">
              <w:rPr>
                <w:sz w:val="20"/>
                <w:szCs w:val="20"/>
              </w:rPr>
              <w:t>Se incluirán los gastos de instalación o habilitación y la renta mensual correspondiente.</w:t>
            </w:r>
          </w:p>
          <w:p w14:paraId="33CFEFCE" w14:textId="77777777" w:rsidR="005B5734" w:rsidRPr="00D936CA" w:rsidRDefault="005B5734" w:rsidP="00D936CA">
            <w:pPr>
              <w:pStyle w:val="IFTnormal"/>
              <w:numPr>
                <w:ilvl w:val="0"/>
                <w:numId w:val="102"/>
              </w:numPr>
              <w:ind w:left="318" w:hanging="284"/>
              <w:rPr>
                <w:sz w:val="20"/>
                <w:szCs w:val="20"/>
              </w:rPr>
            </w:pPr>
            <w:r w:rsidRPr="00D936CA">
              <w:rPr>
                <w:sz w:val="20"/>
                <w:szCs w:val="20"/>
              </w:rPr>
              <w:t xml:space="preserve">El CS contará con la posibilidad de solicitar ajustes o aclaraciones </w:t>
            </w:r>
            <w:r w:rsidRPr="00D936CA">
              <w:rPr>
                <w:sz w:val="20"/>
                <w:szCs w:val="20"/>
              </w:rPr>
              <w:lastRenderedPageBreak/>
              <w:t>respecto a los conceptos y servicios incluidos en su factura.</w:t>
            </w:r>
          </w:p>
        </w:tc>
      </w:tr>
    </w:tbl>
    <w:p w14:paraId="33CFEFD0" w14:textId="77777777" w:rsidR="005B5734" w:rsidRPr="00D936CA" w:rsidRDefault="005B5734" w:rsidP="00060B2E">
      <w:pPr>
        <w:spacing w:after="200" w:line="276" w:lineRule="auto"/>
        <w:ind w:left="-567" w:right="-142"/>
        <w:jc w:val="both"/>
        <w:rPr>
          <w:rFonts w:ascii="ITC Avant Garde" w:hAnsi="ITC Avant Garde" w:cs="Arial"/>
          <w:b/>
          <w:sz w:val="22"/>
          <w:szCs w:val="22"/>
          <w:lang w:val="es-ES" w:eastAsia="es-MX"/>
        </w:rPr>
      </w:pPr>
    </w:p>
    <w:p w14:paraId="33CFEFD1" w14:textId="77777777" w:rsidR="005B5734" w:rsidRPr="00D936CA" w:rsidRDefault="005B5734"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b/>
          <w:sz w:val="22"/>
          <w:szCs w:val="22"/>
          <w:lang w:val="es-ES" w:eastAsia="es-MX"/>
        </w:rPr>
        <w:t>Procedimiento de contratación y entrega a Ubicación Distante (Cableado Multipar)</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EFD4" w14:textId="77777777" w:rsidTr="00060B2E">
        <w:tc>
          <w:tcPr>
            <w:tcW w:w="1446" w:type="pct"/>
          </w:tcPr>
          <w:p w14:paraId="33CFEFD2" w14:textId="77777777" w:rsidR="005B5734" w:rsidRPr="00D936CA" w:rsidRDefault="005B5734" w:rsidP="00D936CA">
            <w:pPr>
              <w:pStyle w:val="IFTnormal"/>
              <w:jc w:val="center"/>
              <w:rPr>
                <w:b/>
                <w:sz w:val="20"/>
                <w:szCs w:val="20"/>
              </w:rPr>
            </w:pPr>
            <w:r w:rsidRPr="00D936CA">
              <w:rPr>
                <w:b/>
                <w:sz w:val="20"/>
                <w:szCs w:val="20"/>
              </w:rPr>
              <w:t>Etapa</w:t>
            </w:r>
          </w:p>
        </w:tc>
        <w:tc>
          <w:tcPr>
            <w:tcW w:w="3554" w:type="pct"/>
          </w:tcPr>
          <w:p w14:paraId="33CFEFD3" w14:textId="77777777" w:rsidR="005B5734" w:rsidRPr="00D936CA" w:rsidRDefault="005B5734" w:rsidP="00D936CA">
            <w:pPr>
              <w:pStyle w:val="IFTnormal"/>
              <w:jc w:val="center"/>
              <w:rPr>
                <w:b/>
                <w:sz w:val="20"/>
                <w:szCs w:val="20"/>
              </w:rPr>
            </w:pPr>
            <w:r w:rsidRPr="00D936CA">
              <w:rPr>
                <w:b/>
                <w:sz w:val="20"/>
                <w:szCs w:val="20"/>
              </w:rPr>
              <w:t>Descripción</w:t>
            </w:r>
          </w:p>
        </w:tc>
      </w:tr>
      <w:tr w:rsidR="00D936CA" w:rsidRPr="00D936CA" w14:paraId="33CFEFD8" w14:textId="77777777" w:rsidTr="00060B2E">
        <w:tc>
          <w:tcPr>
            <w:tcW w:w="1446" w:type="pct"/>
          </w:tcPr>
          <w:p w14:paraId="33CFEFD5" w14:textId="77777777" w:rsidR="005B5734" w:rsidRPr="00D936CA" w:rsidRDefault="005B5734" w:rsidP="00D936CA">
            <w:pPr>
              <w:pStyle w:val="IFTnormal"/>
              <w:jc w:val="left"/>
              <w:rPr>
                <w:b/>
                <w:sz w:val="20"/>
                <w:szCs w:val="20"/>
              </w:rPr>
            </w:pPr>
            <w:r w:rsidRPr="00D936CA">
              <w:rPr>
                <w:b/>
                <w:sz w:val="20"/>
                <w:szCs w:val="20"/>
              </w:rPr>
              <w:t>Envío de solicitud</w:t>
            </w:r>
          </w:p>
        </w:tc>
        <w:tc>
          <w:tcPr>
            <w:tcW w:w="3554" w:type="pct"/>
          </w:tcPr>
          <w:p w14:paraId="33CFEFD6" w14:textId="240E25A4" w:rsidR="005B5734" w:rsidRPr="00D936CA" w:rsidRDefault="005B5734" w:rsidP="00D936CA">
            <w:pPr>
              <w:pStyle w:val="IFTnormal"/>
              <w:rPr>
                <w:sz w:val="20"/>
                <w:szCs w:val="20"/>
              </w:rPr>
            </w:pPr>
            <w:r w:rsidRPr="00D936CA">
              <w:rPr>
                <w:sz w:val="20"/>
                <w:szCs w:val="20"/>
              </w:rPr>
              <w:t>El CS deberá presentar sus solicitudes en el formato correspondiente a través del SEG. El CS deberá enviar el NIS-Referencia del pozo arrendado.</w:t>
            </w:r>
          </w:p>
          <w:p w14:paraId="33CFEFD7" w14:textId="77777777" w:rsidR="005B5734" w:rsidRPr="00D936CA" w:rsidRDefault="005B5734" w:rsidP="00D936CA">
            <w:pPr>
              <w:pStyle w:val="IFTnormal"/>
              <w:spacing w:after="120" w:line="240" w:lineRule="auto"/>
              <w:ind w:left="34"/>
              <w:rPr>
                <w:sz w:val="20"/>
                <w:szCs w:val="20"/>
              </w:rPr>
            </w:pPr>
            <w:r w:rsidRPr="00D936CA">
              <w:rPr>
                <w:sz w:val="20"/>
                <w:szCs w:val="20"/>
              </w:rPr>
              <w:t>Una vez enviada se asignará de forma automática un número de folio a la solicitud del CS.</w:t>
            </w:r>
          </w:p>
        </w:tc>
      </w:tr>
      <w:tr w:rsidR="00D936CA" w:rsidRPr="00D936CA" w14:paraId="33CFEFDD" w14:textId="77777777" w:rsidTr="00060B2E">
        <w:tc>
          <w:tcPr>
            <w:tcW w:w="1446" w:type="pct"/>
          </w:tcPr>
          <w:p w14:paraId="33CFEFD9"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EFDA" w14:textId="77777777" w:rsidR="005B5734" w:rsidRPr="00D936CA" w:rsidRDefault="005B5734"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EFDB"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EFDC"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EFE2" w14:textId="77777777" w:rsidTr="00060B2E">
        <w:tc>
          <w:tcPr>
            <w:tcW w:w="1446" w:type="pct"/>
          </w:tcPr>
          <w:p w14:paraId="33CFEFDE" w14:textId="77777777" w:rsidR="005B5734" w:rsidRPr="00D936CA" w:rsidRDefault="005B5734" w:rsidP="00D936CA">
            <w:pPr>
              <w:pStyle w:val="IFTnormal"/>
              <w:jc w:val="left"/>
              <w:rPr>
                <w:b/>
                <w:sz w:val="20"/>
                <w:szCs w:val="20"/>
              </w:rPr>
            </w:pPr>
            <w:r w:rsidRPr="00D936CA">
              <w:rPr>
                <w:b/>
                <w:sz w:val="20"/>
                <w:szCs w:val="20"/>
              </w:rPr>
              <w:t>Factibilidad Técnica</w:t>
            </w:r>
          </w:p>
        </w:tc>
        <w:tc>
          <w:tcPr>
            <w:tcW w:w="3554" w:type="pct"/>
          </w:tcPr>
          <w:p w14:paraId="33CFEFDF" w14:textId="77777777" w:rsidR="005B5734" w:rsidRPr="00D936CA" w:rsidRDefault="005B5734"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3 días hábiles:</w:t>
            </w:r>
          </w:p>
          <w:p w14:paraId="33CFEFE0"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Existen facilidades</w:t>
            </w:r>
            <w:r w:rsidRPr="00D936CA">
              <w:rPr>
                <w:sz w:val="20"/>
                <w:szCs w:val="20"/>
              </w:rPr>
              <w:t>, se asignará Número de Identificación de Seguimiento (NIS) y se enviará la cotización correspondiente (en un plazo máximo de 10 días el CS deberá responder y/o solicitar a Telmex revisión o aclaración de cotización, en caso de no recibir respuesta se entenderá que se rechaza el servicio).</w:t>
            </w:r>
          </w:p>
          <w:p w14:paraId="33CFEFE1" w14:textId="4DC6BDD3" w:rsidR="005B5734" w:rsidRPr="00D936CA" w:rsidRDefault="005B5734" w:rsidP="00D936CA">
            <w:pPr>
              <w:pStyle w:val="IFTnormal"/>
              <w:numPr>
                <w:ilvl w:val="0"/>
                <w:numId w:val="102"/>
              </w:numPr>
              <w:ind w:left="318" w:hanging="318"/>
              <w:rPr>
                <w:sz w:val="20"/>
                <w:szCs w:val="20"/>
              </w:rPr>
            </w:pPr>
            <w:r w:rsidRPr="00D936CA">
              <w:rPr>
                <w:b/>
                <w:sz w:val="20"/>
                <w:szCs w:val="20"/>
              </w:rPr>
              <w:t>No existen facilidades</w:t>
            </w:r>
            <w:r w:rsidRPr="00D936CA">
              <w:rPr>
                <w:sz w:val="20"/>
                <w:szCs w:val="20"/>
              </w:rPr>
              <w:t>, se presentará al CS, a través del SEG, la justificación con las evidencias correspondientes.</w:t>
            </w:r>
          </w:p>
        </w:tc>
      </w:tr>
      <w:tr w:rsidR="00D936CA" w:rsidRPr="00D936CA" w14:paraId="33CFEFE6" w14:textId="77777777" w:rsidTr="00060B2E">
        <w:tc>
          <w:tcPr>
            <w:tcW w:w="1446" w:type="pct"/>
          </w:tcPr>
          <w:p w14:paraId="33CFEFE3" w14:textId="77777777" w:rsidR="005B5734" w:rsidRPr="00D936CA" w:rsidRDefault="005B5734" w:rsidP="00D936CA">
            <w:pPr>
              <w:pStyle w:val="IFTnormal"/>
              <w:jc w:val="left"/>
              <w:rPr>
                <w:b/>
                <w:sz w:val="20"/>
                <w:szCs w:val="20"/>
              </w:rPr>
            </w:pPr>
            <w:r w:rsidRPr="00D936CA">
              <w:rPr>
                <w:b/>
                <w:sz w:val="20"/>
                <w:szCs w:val="20"/>
              </w:rPr>
              <w:t>Habilitación y aprovisionamiento del Servicio</w:t>
            </w:r>
          </w:p>
        </w:tc>
        <w:tc>
          <w:tcPr>
            <w:tcW w:w="3554" w:type="pct"/>
          </w:tcPr>
          <w:p w14:paraId="33CFEFE4" w14:textId="77777777" w:rsidR="005B5734" w:rsidRPr="00D936CA" w:rsidRDefault="005B5734" w:rsidP="00D936CA">
            <w:pPr>
              <w:pStyle w:val="IFTnormal"/>
              <w:rPr>
                <w:sz w:val="20"/>
                <w:szCs w:val="20"/>
              </w:rPr>
            </w:pPr>
            <w:r w:rsidRPr="00D936CA">
              <w:rPr>
                <w:sz w:val="20"/>
                <w:szCs w:val="20"/>
              </w:rPr>
              <w:t>Una vez aceptada la cotización por parte del CS:</w:t>
            </w:r>
          </w:p>
          <w:p w14:paraId="33CFEFE5" w14:textId="77777777" w:rsidR="005B5734" w:rsidRPr="00D936CA" w:rsidRDefault="005B5734" w:rsidP="00D936CA">
            <w:pPr>
              <w:pStyle w:val="IFTnormal"/>
              <w:numPr>
                <w:ilvl w:val="0"/>
                <w:numId w:val="102"/>
              </w:numPr>
              <w:ind w:left="318" w:hanging="318"/>
              <w:rPr>
                <w:sz w:val="20"/>
                <w:szCs w:val="20"/>
              </w:rPr>
            </w:pPr>
            <w:r w:rsidRPr="00D936CA">
              <w:rPr>
                <w:sz w:val="20"/>
                <w:szCs w:val="20"/>
              </w:rPr>
              <w:t>El CS notificará que ya ha dejado la gaza en el pozo más cercano (de acuerdo a factibilidad de la ruta) al pozo de acometida de la Central, y en un plazo no mayor a 45 días hábiles desde el envío de la solicitud se realizará el tendido de cable hasta la tablilla horizontal del DG.</w:t>
            </w:r>
          </w:p>
        </w:tc>
      </w:tr>
      <w:tr w:rsidR="005B5734" w:rsidRPr="00D936CA" w14:paraId="33CFEFEB" w14:textId="77777777" w:rsidTr="00060B2E">
        <w:tc>
          <w:tcPr>
            <w:tcW w:w="1446" w:type="pct"/>
          </w:tcPr>
          <w:p w14:paraId="33CFEFE7" w14:textId="77777777" w:rsidR="005B5734" w:rsidRPr="00D936CA" w:rsidRDefault="005B5734" w:rsidP="00D936CA">
            <w:pPr>
              <w:pStyle w:val="IFTnormal"/>
              <w:jc w:val="left"/>
              <w:rPr>
                <w:b/>
                <w:sz w:val="20"/>
                <w:szCs w:val="20"/>
              </w:rPr>
            </w:pPr>
            <w:r w:rsidRPr="00D936CA">
              <w:rPr>
                <w:b/>
                <w:sz w:val="20"/>
                <w:szCs w:val="20"/>
              </w:rPr>
              <w:t>Facturación</w:t>
            </w:r>
          </w:p>
        </w:tc>
        <w:tc>
          <w:tcPr>
            <w:tcW w:w="3554" w:type="pct"/>
          </w:tcPr>
          <w:p w14:paraId="33CFEFE8" w14:textId="77777777" w:rsidR="005B5734" w:rsidRPr="00D936CA" w:rsidRDefault="005B5734" w:rsidP="00D936CA">
            <w:pPr>
              <w:pStyle w:val="IFTnormal"/>
              <w:rPr>
                <w:sz w:val="20"/>
                <w:szCs w:val="20"/>
              </w:rPr>
            </w:pPr>
            <w:r w:rsidRPr="00D936CA">
              <w:rPr>
                <w:sz w:val="20"/>
                <w:szCs w:val="20"/>
              </w:rPr>
              <w:t>Al corte del mes se realizará la facturación aplicable al servicio:</w:t>
            </w:r>
          </w:p>
          <w:p w14:paraId="33CFEFE9" w14:textId="77777777" w:rsidR="005B5734" w:rsidRPr="00D936CA" w:rsidRDefault="005B5734" w:rsidP="00D936CA">
            <w:pPr>
              <w:pStyle w:val="IFTnormal"/>
              <w:numPr>
                <w:ilvl w:val="0"/>
                <w:numId w:val="102"/>
              </w:numPr>
              <w:ind w:left="318" w:hanging="284"/>
              <w:rPr>
                <w:sz w:val="20"/>
                <w:szCs w:val="20"/>
              </w:rPr>
            </w:pPr>
            <w:r w:rsidRPr="00D936CA">
              <w:rPr>
                <w:sz w:val="20"/>
                <w:szCs w:val="20"/>
              </w:rPr>
              <w:t xml:space="preserve">Se incluirán los gastos de instalación y la renta mensual </w:t>
            </w:r>
            <w:r w:rsidRPr="00D936CA">
              <w:rPr>
                <w:sz w:val="20"/>
                <w:szCs w:val="20"/>
              </w:rPr>
              <w:lastRenderedPageBreak/>
              <w:t>correspondiente.</w:t>
            </w:r>
          </w:p>
          <w:p w14:paraId="33CFEFEA" w14:textId="77777777" w:rsidR="005B5734" w:rsidRPr="00D936CA" w:rsidRDefault="005B5734"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EFEC" w14:textId="77777777" w:rsidR="005B5734" w:rsidRPr="00D936CA" w:rsidRDefault="005B5734" w:rsidP="00060B2E">
      <w:pPr>
        <w:tabs>
          <w:tab w:val="left" w:pos="9356"/>
        </w:tabs>
        <w:spacing w:after="200" w:line="276" w:lineRule="auto"/>
        <w:ind w:left="-567"/>
        <w:jc w:val="both"/>
        <w:rPr>
          <w:rFonts w:ascii="ITC Avant Garde" w:hAnsi="ITC Avant Garde"/>
          <w:b/>
          <w:sz w:val="22"/>
          <w:szCs w:val="22"/>
          <w:lang w:val="es-MX"/>
        </w:rPr>
      </w:pPr>
    </w:p>
    <w:p w14:paraId="33CFEFED" w14:textId="77777777" w:rsidR="005B5734" w:rsidRPr="00D936CA" w:rsidRDefault="005B5734" w:rsidP="00060B2E">
      <w:pPr>
        <w:tabs>
          <w:tab w:val="left" w:pos="9356"/>
        </w:tabs>
        <w:spacing w:after="200" w:line="276" w:lineRule="auto"/>
        <w:ind w:left="-567"/>
        <w:jc w:val="both"/>
        <w:rPr>
          <w:rFonts w:ascii="ITC Avant Garde" w:hAnsi="ITC Avant Garde"/>
          <w:b/>
          <w:sz w:val="22"/>
          <w:szCs w:val="22"/>
          <w:lang w:val="es-MX"/>
        </w:rPr>
      </w:pPr>
      <w:r w:rsidRPr="00D936CA">
        <w:rPr>
          <w:rFonts w:ascii="ITC Avant Garde" w:hAnsi="ITC Avant Garde"/>
          <w:b/>
          <w:sz w:val="22"/>
          <w:szCs w:val="22"/>
          <w:lang w:val="es-MX"/>
        </w:rPr>
        <w:t xml:space="preserve">Procedimiento de Baja </w:t>
      </w:r>
      <w:r w:rsidRPr="00D936CA">
        <w:rPr>
          <w:rFonts w:ascii="ITC Avant Garde" w:hAnsi="ITC Avant Garde" w:cs="Arial"/>
          <w:b/>
          <w:sz w:val="22"/>
          <w:szCs w:val="22"/>
          <w:lang w:val="es-ES" w:eastAsia="es-MX"/>
        </w:rPr>
        <w:t>(Cableado Multipar)</w:t>
      </w:r>
    </w:p>
    <w:p w14:paraId="33CFEFEE" w14:textId="77777777" w:rsidR="005B5734" w:rsidRPr="00D936CA" w:rsidRDefault="005B5734" w:rsidP="00060B2E">
      <w:pPr>
        <w:tabs>
          <w:tab w:val="left" w:pos="9356"/>
        </w:tabs>
        <w:spacing w:after="200" w:line="276" w:lineRule="auto"/>
        <w:ind w:left="-567"/>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Cableado Multipar;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 xml:space="preserve">y </w:t>
      </w:r>
      <w:r w:rsidRPr="00D936CA">
        <w:rPr>
          <w:rFonts w:ascii="ITC Avant Garde" w:hAnsi="ITC Avant Garde" w:cs="Arial"/>
          <w:b/>
          <w:sz w:val="22"/>
          <w:szCs w:val="22"/>
        </w:rPr>
        <w:t>(ii)</w:t>
      </w:r>
      <w:r w:rsidRPr="00D936CA">
        <w:rPr>
          <w:rFonts w:ascii="ITC Avant Garde" w:hAnsi="ITC Avant Garde" w:cs="Arial"/>
          <w:sz w:val="22"/>
          <w:szCs w:val="22"/>
        </w:rPr>
        <w:t xml:space="preserve"> Baja del (los) servicio(s) y de la facturación correspondiente.</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EFF1" w14:textId="77777777" w:rsidTr="00060B2E">
        <w:tc>
          <w:tcPr>
            <w:tcW w:w="1446" w:type="pct"/>
          </w:tcPr>
          <w:p w14:paraId="33CFEFEF" w14:textId="77777777" w:rsidR="005B5734" w:rsidRPr="00D936CA" w:rsidRDefault="005B5734"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554" w:type="pct"/>
          </w:tcPr>
          <w:p w14:paraId="33CFEFF0" w14:textId="77777777" w:rsidR="005B5734" w:rsidRPr="00D936CA" w:rsidRDefault="005B5734" w:rsidP="00060B2E">
            <w:pPr>
              <w:spacing w:after="200" w:line="276" w:lineRule="auto"/>
              <w:jc w:val="center"/>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EFF4" w14:textId="77777777" w:rsidTr="00060B2E">
        <w:tc>
          <w:tcPr>
            <w:tcW w:w="1446" w:type="pct"/>
          </w:tcPr>
          <w:p w14:paraId="33CFEFF2"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Envío de solicitud</w:t>
            </w:r>
          </w:p>
        </w:tc>
        <w:tc>
          <w:tcPr>
            <w:tcW w:w="3554" w:type="pct"/>
          </w:tcPr>
          <w:p w14:paraId="33CFEFF3" w14:textId="7457E37C" w:rsidR="005B5734" w:rsidRPr="00D936CA" w:rsidRDefault="005B5734"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El CS deberá presentar sus solicitudes en el formato correspondiente a través del SEG, especificando el NIS-Referencia del servicio en operación.</w:t>
            </w:r>
          </w:p>
        </w:tc>
      </w:tr>
      <w:tr w:rsidR="00D936CA" w:rsidRPr="00D936CA" w14:paraId="33CFEFFA" w14:textId="77777777" w:rsidTr="00060B2E">
        <w:tc>
          <w:tcPr>
            <w:tcW w:w="1446" w:type="pct"/>
          </w:tcPr>
          <w:p w14:paraId="33CFEFF5" w14:textId="77777777" w:rsidR="005B5734" w:rsidRPr="00D936CA" w:rsidRDefault="005B5734"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EFF6" w14:textId="77777777" w:rsidR="005B5734" w:rsidRPr="00D936CA" w:rsidRDefault="005B5734" w:rsidP="00D936CA">
            <w:pPr>
              <w:pStyle w:val="IFTnormal"/>
              <w:rPr>
                <w:sz w:val="20"/>
                <w:szCs w:val="20"/>
              </w:rPr>
            </w:pPr>
            <w:r w:rsidRPr="00D936CA">
              <w:rPr>
                <w:sz w:val="20"/>
                <w:szCs w:val="20"/>
              </w:rPr>
              <w:t>Una vez enviada la solicitud será validada en un plazo máximo de 1 día hábil, así mismo se asignará de forma automática un número de folio a la solicitud del CS.</w:t>
            </w:r>
          </w:p>
          <w:p w14:paraId="33CFEFF7" w14:textId="77777777" w:rsidR="005B5734" w:rsidRPr="00D936CA" w:rsidRDefault="005B5734" w:rsidP="00D936CA">
            <w:pPr>
              <w:pStyle w:val="IFTnormal"/>
              <w:rPr>
                <w:sz w:val="20"/>
                <w:szCs w:val="20"/>
              </w:rPr>
            </w:pPr>
            <w:r w:rsidRPr="00D936CA">
              <w:rPr>
                <w:sz w:val="20"/>
                <w:szCs w:val="20"/>
              </w:rPr>
              <w:t>Telmex evaluará las solicitudes enviadas por los CS para determinar si:</w:t>
            </w:r>
          </w:p>
          <w:p w14:paraId="33CFEFF8"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cambiará el folio previamente asignado por el Número de Identificación de Solicitud (NIS).</w:t>
            </w:r>
          </w:p>
          <w:p w14:paraId="33CFEFF9" w14:textId="77777777" w:rsidR="005B5734" w:rsidRPr="00D936CA" w:rsidRDefault="005B5734"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EFFD" w14:textId="77777777" w:rsidTr="00060B2E">
        <w:tc>
          <w:tcPr>
            <w:tcW w:w="1446" w:type="pct"/>
          </w:tcPr>
          <w:p w14:paraId="33CFEFFB" w14:textId="77777777" w:rsidR="005B5734" w:rsidRPr="00D936CA" w:rsidRDefault="005B5734"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Ejecución de baja</w:t>
            </w:r>
          </w:p>
        </w:tc>
        <w:tc>
          <w:tcPr>
            <w:tcW w:w="3554" w:type="pct"/>
          </w:tcPr>
          <w:p w14:paraId="33CFEFFC" w14:textId="0AD848AC" w:rsidR="005B5734" w:rsidRPr="00D936CA" w:rsidRDefault="005B5734" w:rsidP="00D936CA">
            <w:pPr>
              <w:pStyle w:val="IFTnormal"/>
              <w:rPr>
                <w:rFonts w:cs="Arial"/>
                <w:sz w:val="20"/>
                <w:szCs w:val="20"/>
              </w:rPr>
            </w:pPr>
            <w:r w:rsidRPr="00D936CA">
              <w:rPr>
                <w:sz w:val="20"/>
                <w:szCs w:val="20"/>
              </w:rPr>
              <w:t>Una vez asignado el Número de Identificación de Solicitud (NIS) Telmex procederá a dar de baja el servicio</w:t>
            </w:r>
            <w:r w:rsidR="00200B4B">
              <w:rPr>
                <w:sz w:val="20"/>
                <w:szCs w:val="20"/>
              </w:rPr>
              <w:t>,</w:t>
            </w:r>
            <w:r w:rsidRPr="00D936CA">
              <w:rPr>
                <w:sz w:val="20"/>
                <w:szCs w:val="20"/>
              </w:rPr>
              <w:t xml:space="preserve"> así como los cargos al CS asociados en un máximo de 1 día hábil a partir de la solicitud.</w:t>
            </w:r>
          </w:p>
        </w:tc>
      </w:tr>
      <w:tr w:rsidR="00D936CA" w:rsidRPr="00D936CA" w14:paraId="33CFF000" w14:textId="77777777" w:rsidTr="00060B2E">
        <w:tc>
          <w:tcPr>
            <w:tcW w:w="1446" w:type="pct"/>
          </w:tcPr>
          <w:p w14:paraId="33CFEFFE" w14:textId="77777777" w:rsidR="005B5734" w:rsidRPr="00D936CA" w:rsidRDefault="005B5734" w:rsidP="00D936CA">
            <w:pPr>
              <w:pStyle w:val="IFTnormal"/>
              <w:jc w:val="left"/>
              <w:rPr>
                <w:b/>
                <w:sz w:val="20"/>
                <w:szCs w:val="20"/>
              </w:rPr>
            </w:pPr>
            <w:r w:rsidRPr="00D936CA">
              <w:rPr>
                <w:b/>
                <w:sz w:val="20"/>
                <w:szCs w:val="20"/>
              </w:rPr>
              <w:t>Facturación</w:t>
            </w:r>
          </w:p>
        </w:tc>
        <w:tc>
          <w:tcPr>
            <w:tcW w:w="3554" w:type="pct"/>
          </w:tcPr>
          <w:p w14:paraId="33CFEFFF" w14:textId="77777777" w:rsidR="005B5734" w:rsidRPr="00D936CA" w:rsidRDefault="005B5734" w:rsidP="00D936CA">
            <w:pPr>
              <w:pStyle w:val="IFTnormal"/>
              <w:rPr>
                <w:sz w:val="20"/>
                <w:szCs w:val="20"/>
              </w:rPr>
            </w:pPr>
            <w:r w:rsidRPr="00D936CA">
              <w:rPr>
                <w:sz w:val="20"/>
                <w:szCs w:val="20"/>
              </w:rPr>
              <w:t>En un plazo máximo de 2 días hábiles a partir de la solicitud de baja, Telmex dejará de generar nuevos cargos a los CS por el servicio.</w:t>
            </w:r>
          </w:p>
        </w:tc>
      </w:tr>
    </w:tbl>
    <w:p w14:paraId="33CFF001" w14:textId="77777777" w:rsidR="005B5734" w:rsidRPr="00D936CA" w:rsidRDefault="005B5734" w:rsidP="00060B2E">
      <w:pPr>
        <w:spacing w:after="200" w:line="276" w:lineRule="auto"/>
        <w:ind w:left="-567" w:right="-142"/>
        <w:jc w:val="both"/>
        <w:rPr>
          <w:rFonts w:ascii="ITC Avant Garde" w:hAnsi="ITC Avant Garde" w:cs="Arial"/>
          <w:sz w:val="22"/>
          <w:szCs w:val="22"/>
          <w:lang w:val="es-MX" w:eastAsia="es-MX"/>
        </w:rPr>
      </w:pPr>
      <w:r w:rsidRPr="00D936CA">
        <w:rPr>
          <w:rFonts w:ascii="ITC Avant Garde" w:hAnsi="ITC Avant Garde" w:cs="Arial"/>
          <w:sz w:val="22"/>
          <w:szCs w:val="22"/>
          <w:lang w:val="es-MX" w:eastAsia="es-MX"/>
        </w:rPr>
        <w:t xml:space="preserve">Nota: </w:t>
      </w:r>
    </w:p>
    <w:p w14:paraId="33CFF002" w14:textId="09F2E99A" w:rsidR="005B5734" w:rsidRDefault="005B5734" w:rsidP="00060B2E">
      <w:pPr>
        <w:spacing w:after="200" w:line="276" w:lineRule="auto"/>
        <w:ind w:left="-567" w:right="-142"/>
        <w:jc w:val="both"/>
        <w:rPr>
          <w:rFonts w:ascii="ITC Avant Garde" w:hAnsi="ITC Avant Garde" w:cs="Arial"/>
          <w:sz w:val="22"/>
          <w:szCs w:val="22"/>
          <w:lang w:val="es-MX" w:eastAsia="es-MX"/>
        </w:rPr>
      </w:pPr>
      <w:r w:rsidRPr="00D936CA">
        <w:rPr>
          <w:rFonts w:ascii="ITC Avant Garde" w:hAnsi="ITC Avant Garde" w:cs="Arial"/>
          <w:sz w:val="22"/>
          <w:szCs w:val="22"/>
          <w:lang w:val="es-MX" w:eastAsia="es-MX"/>
        </w:rPr>
        <w:t>El CS deberá tomar en cuenta que no existe el esquema de rentas parciales sino sólo de rentas mensuales, por lo que no será posible realizar cobros parciales de los servicios.</w:t>
      </w:r>
    </w:p>
    <w:p w14:paraId="46F87F14" w14:textId="462FFCB4" w:rsidR="001C3D84" w:rsidRDefault="001C3D84" w:rsidP="00060B2E">
      <w:pPr>
        <w:spacing w:after="200" w:line="276" w:lineRule="auto"/>
        <w:ind w:left="-567" w:right="-142"/>
        <w:jc w:val="both"/>
        <w:rPr>
          <w:rFonts w:ascii="ITC Avant Garde" w:hAnsi="ITC Avant Garde" w:cs="Arial"/>
          <w:b/>
          <w:sz w:val="22"/>
          <w:szCs w:val="22"/>
          <w:lang w:val="es-ES" w:eastAsia="es-MX"/>
        </w:rPr>
      </w:pPr>
    </w:p>
    <w:p w14:paraId="39FE6872" w14:textId="77777777" w:rsidR="001C3D84" w:rsidRPr="00D936CA" w:rsidRDefault="001C3D84" w:rsidP="00060B2E">
      <w:pPr>
        <w:spacing w:after="200" w:line="276" w:lineRule="auto"/>
        <w:ind w:left="-567" w:right="-142"/>
        <w:jc w:val="both"/>
        <w:rPr>
          <w:rFonts w:ascii="ITC Avant Garde" w:hAnsi="ITC Avant Garde" w:cs="Arial"/>
          <w:b/>
          <w:sz w:val="22"/>
          <w:szCs w:val="22"/>
          <w:lang w:val="es-ES" w:eastAsia="es-MX"/>
        </w:rPr>
      </w:pPr>
    </w:p>
    <w:p w14:paraId="33CFF003" w14:textId="77777777" w:rsidR="005B5734" w:rsidRPr="00D936CA" w:rsidRDefault="005B5734"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de Ampliación del Cableado Multipar</w:t>
      </w:r>
    </w:p>
    <w:p w14:paraId="33CFF004" w14:textId="77777777" w:rsidR="00E2264E" w:rsidRPr="00D936CA" w:rsidRDefault="005B5734" w:rsidP="00060B2E">
      <w:pPr>
        <w:autoSpaceDE w:val="0"/>
        <w:autoSpaceDN w:val="0"/>
        <w:adjustRightInd w:val="0"/>
        <w:spacing w:after="200" w:line="276" w:lineRule="auto"/>
        <w:ind w:left="-567" w:right="-142"/>
        <w:jc w:val="both"/>
        <w:rPr>
          <w:rFonts w:ascii="ITC Avant Garde" w:hAnsi="ITC Avant Garde" w:cs="Arial"/>
          <w:sz w:val="22"/>
          <w:szCs w:val="22"/>
          <w:lang w:val="es-MX"/>
        </w:rPr>
      </w:pPr>
      <w:r w:rsidRPr="00D936CA">
        <w:rPr>
          <w:rFonts w:ascii="ITC Avant Garde" w:hAnsi="ITC Avant Garde" w:cs="Arial"/>
          <w:sz w:val="22"/>
          <w:szCs w:val="22"/>
          <w:lang w:val="es-MX"/>
        </w:rPr>
        <w:t>En caso de que el CS requiera ampliaciones o modificaciones, deberá presentar el formato correspondiente. Se considerará como una nueva solicitud y estará sujeta al procedimiento previamente descrito</w:t>
      </w:r>
      <w:r w:rsidR="00E2264E" w:rsidRPr="00D936CA">
        <w:rPr>
          <w:rFonts w:ascii="ITC Avant Garde" w:hAnsi="ITC Avant Garde" w:cs="Arial"/>
          <w:sz w:val="22"/>
          <w:szCs w:val="22"/>
          <w:lang w:val="es-MX"/>
        </w:rPr>
        <w:t>.</w:t>
      </w:r>
    </w:p>
    <w:p w14:paraId="33CFF005" w14:textId="77777777" w:rsidR="00D10CC9" w:rsidRPr="00D936CA" w:rsidRDefault="00D10CC9" w:rsidP="00060B2E">
      <w:pPr>
        <w:autoSpaceDE w:val="0"/>
        <w:autoSpaceDN w:val="0"/>
        <w:adjustRightInd w:val="0"/>
        <w:spacing w:after="200" w:line="276" w:lineRule="auto"/>
        <w:ind w:left="-567" w:right="-142"/>
        <w:jc w:val="both"/>
        <w:rPr>
          <w:rFonts w:ascii="ITC Avant Garde" w:hAnsi="ITC Avant Garde" w:cs="Arial"/>
          <w:sz w:val="22"/>
          <w:szCs w:val="22"/>
          <w:lang w:val="es-MX"/>
        </w:rPr>
      </w:pPr>
    </w:p>
    <w:p w14:paraId="33CFF006" w14:textId="77777777" w:rsidR="00D10CC9" w:rsidRPr="00D936CA" w:rsidRDefault="00D10CC9" w:rsidP="00D936CA">
      <w:pPr>
        <w:pStyle w:val="Ttulo2"/>
        <w:numPr>
          <w:ilvl w:val="1"/>
          <w:numId w:val="143"/>
        </w:numPr>
        <w:ind w:left="851" w:hanging="425"/>
      </w:pPr>
      <w:bookmarkStart w:id="643" w:name="_Toc467248745"/>
      <w:bookmarkStart w:id="644" w:name="_Toc518032030"/>
      <w:r w:rsidRPr="00D936CA">
        <w:t>Plazos de Entrega de Cableado Multipar</w:t>
      </w:r>
      <w:bookmarkEnd w:id="643"/>
      <w:bookmarkEnd w:id="644"/>
    </w:p>
    <w:p w14:paraId="33CFF008" w14:textId="6ABEFB8A" w:rsidR="00D10CC9" w:rsidRPr="00D936CA" w:rsidRDefault="00D10CC9" w:rsidP="00060B2E">
      <w:pPr>
        <w:pStyle w:val="IFTnormal"/>
        <w:ind w:left="-426" w:right="-142"/>
      </w:pPr>
      <w:r w:rsidRPr="00D936CA">
        <w:t xml:space="preserve">En esta sección se muestran los plazos de entrega referentes a los procedimientos del Servicio de Cableado Multipar. Estos parámetros e indicadores corresponden a los utilizados en la propia operación de Telmex. </w:t>
      </w:r>
    </w:p>
    <w:p w14:paraId="33CFF009"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Validación de la Solicitud junto con verificación de factibilidad: máximo 4 días hábiles.</w:t>
      </w:r>
    </w:p>
    <w:p w14:paraId="33CFF00A"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del servicio del cableado Multipar en Coubicación interna en un plazo máximo de 15 días hábiles que se contabilizarán a partir de la solicitud.</w:t>
      </w:r>
    </w:p>
    <w:p w14:paraId="33CFF00B"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del servicio de cableado Multipar en Coubicación externa en un plazo máximo de 25 días hábiles que se contabilizarán a partir de la solicitud.</w:t>
      </w:r>
    </w:p>
    <w:p w14:paraId="33CFF00C"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del servicio de cableado Multipar de Ubicación Distante en un plazo máximo de 45 días hábiles que se contabilizarán a partir de la solicitud.</w:t>
      </w:r>
    </w:p>
    <w:p w14:paraId="33CFF00D" w14:textId="4C3D37F6" w:rsidR="00D10CC9"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Si la habilitación del cableado se solicita junto con la Coubicación, se respetan los plazos de la Coubicación.</w:t>
      </w:r>
    </w:p>
    <w:p w14:paraId="6398A7B7" w14:textId="77777777" w:rsidR="004158B4" w:rsidRPr="004158B4" w:rsidRDefault="004158B4" w:rsidP="004158B4">
      <w:pPr>
        <w:spacing w:after="200" w:line="276" w:lineRule="auto"/>
        <w:jc w:val="both"/>
        <w:rPr>
          <w:rFonts w:ascii="ITC Avant Garde" w:hAnsi="ITC Avant Garde"/>
          <w:sz w:val="22"/>
          <w:szCs w:val="22"/>
          <w:lang w:val="es-MX"/>
        </w:rPr>
      </w:pPr>
    </w:p>
    <w:p w14:paraId="33CFF00E" w14:textId="77777777" w:rsidR="00D10CC9" w:rsidRPr="00D936CA" w:rsidRDefault="00D10CC9" w:rsidP="00D936CA">
      <w:pPr>
        <w:pStyle w:val="Ttulo2"/>
        <w:numPr>
          <w:ilvl w:val="1"/>
          <w:numId w:val="143"/>
        </w:numPr>
        <w:tabs>
          <w:tab w:val="left" w:pos="993"/>
        </w:tabs>
        <w:ind w:left="851" w:hanging="425"/>
      </w:pPr>
      <w:bookmarkStart w:id="645" w:name="_Toc467248746"/>
      <w:bookmarkStart w:id="646" w:name="_Toc518032031"/>
      <w:r w:rsidRPr="00D936CA">
        <w:t>Procedimiento para la realización de pruebas de entrega para el servicio auxiliar de cableado multipar</w:t>
      </w:r>
      <w:bookmarkEnd w:id="645"/>
      <w:bookmarkEnd w:id="646"/>
    </w:p>
    <w:p w14:paraId="33CFF00F" w14:textId="77777777" w:rsidR="00D10CC9" w:rsidRPr="00D936CA" w:rsidRDefault="00D10CC9"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Para generar las pruebas de habilitación del servicio de cableado multipar, se seguirá el siguiente procedimiento:</w:t>
      </w:r>
    </w:p>
    <w:p w14:paraId="33CFF010" w14:textId="77777777" w:rsidR="00D10CC9" w:rsidRPr="00D936CA" w:rsidRDefault="00D10CC9" w:rsidP="00D936CA">
      <w:pPr>
        <w:numPr>
          <w:ilvl w:val="0"/>
          <w:numId w:val="44"/>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Telmex realizará el cableado desde la tablilla horizontal asignada al CS para la desagregación total o compartida del bucle local en el DG de Telmex, hasta la coubicación para la desagregación del CS, dejando en punto el cable multipar antes mencionado.</w:t>
      </w:r>
    </w:p>
    <w:p w14:paraId="33CFF011" w14:textId="77777777" w:rsidR="00D10CC9" w:rsidRPr="00D936CA" w:rsidRDefault="00D10CC9" w:rsidP="00D936CA">
      <w:pPr>
        <w:numPr>
          <w:ilvl w:val="0"/>
          <w:numId w:val="44"/>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Las pruebas que realizará Telmex son:</w:t>
      </w:r>
    </w:p>
    <w:p w14:paraId="33CFF012" w14:textId="77777777" w:rsidR="00D10CC9" w:rsidRPr="00D936CA" w:rsidRDefault="00D10CC9" w:rsidP="00D936CA">
      <w:pPr>
        <w:numPr>
          <w:ilvl w:val="1"/>
          <w:numId w:val="44"/>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lastRenderedPageBreak/>
        <w:t>Continuidad. Consiste en emplear un generador de tono (zumbador) y lápiz inductor en cada uno de los pares conectados para asegurar su continuidad.</w:t>
      </w:r>
    </w:p>
    <w:p w14:paraId="33CFF013" w14:textId="77777777" w:rsidR="00D10CC9" w:rsidRPr="00D936CA" w:rsidRDefault="00D10CC9" w:rsidP="00D936CA">
      <w:pPr>
        <w:numPr>
          <w:ilvl w:val="1"/>
          <w:numId w:val="44"/>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Correspondencia. Consiste en validar que de acuerdo al código de colores exista correspondencia en el orden de los pares conectados en cada posición de su Tablilla.</w:t>
      </w:r>
    </w:p>
    <w:p w14:paraId="33CFF014" w14:textId="77777777" w:rsidR="00D10CC9" w:rsidRPr="00D936CA" w:rsidRDefault="00D10CC9" w:rsidP="00D936CA">
      <w:pPr>
        <w:numPr>
          <w:ilvl w:val="0"/>
          <w:numId w:val="44"/>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Se entregará al CS un reporte con los resultados de la prueba del servicio.</w:t>
      </w:r>
    </w:p>
    <w:p w14:paraId="33CFF015" w14:textId="77777777" w:rsidR="00D10CC9" w:rsidRPr="00D936CA" w:rsidRDefault="00D10CC9" w:rsidP="00D936CA">
      <w:pPr>
        <w:spacing w:after="200" w:line="276" w:lineRule="auto"/>
        <w:rPr>
          <w:rFonts w:ascii="ITC Avant Garde" w:hAnsi="ITC Avant Garde" w:cs="Arial"/>
          <w:sz w:val="22"/>
          <w:szCs w:val="22"/>
        </w:rPr>
      </w:pPr>
    </w:p>
    <w:p w14:paraId="33CFF020" w14:textId="77777777" w:rsidR="00D10CC9" w:rsidRPr="00D936CA" w:rsidRDefault="00D10CC9" w:rsidP="00D936CA">
      <w:pPr>
        <w:pStyle w:val="Ttulo2"/>
        <w:numPr>
          <w:ilvl w:val="1"/>
          <w:numId w:val="143"/>
        </w:numPr>
        <w:tabs>
          <w:tab w:val="left" w:pos="993"/>
        </w:tabs>
        <w:ind w:left="851" w:hanging="425"/>
      </w:pPr>
      <w:bookmarkStart w:id="647" w:name="_Toc467248748"/>
      <w:bookmarkStart w:id="648" w:name="_Toc518032032"/>
      <w:r w:rsidRPr="00D936CA">
        <w:t>Parámetros e indicadores de Calidad de Cableado Multipar</w:t>
      </w:r>
      <w:bookmarkEnd w:id="647"/>
      <w:bookmarkEnd w:id="648"/>
    </w:p>
    <w:p w14:paraId="33CFF021" w14:textId="77777777" w:rsidR="00D10CC9" w:rsidRPr="00D936CA" w:rsidRDefault="00D10CC9" w:rsidP="00060B2E">
      <w:pPr>
        <w:pStyle w:val="IFTnormal"/>
        <w:ind w:left="-567" w:right="-142"/>
      </w:pPr>
      <w:r w:rsidRPr="00D936CA">
        <w:t>En esta sección se muestran los parámetros e indicadores de calidad referentes a la provisión, continuidad y atención de fallas del Servicio de Cableado Multipar. Estos parámetros e indicadores corresponden a los utilizados en la propia operación de Telmex, y se medirán con una periodicidad trimestral por cada uno de los CS.</w:t>
      </w:r>
    </w:p>
    <w:p w14:paraId="33CFF022" w14:textId="77777777" w:rsidR="00D10CC9" w:rsidRPr="00D936CA" w:rsidRDefault="00D10CC9" w:rsidP="00060B2E">
      <w:pPr>
        <w:pStyle w:val="IFTnormal"/>
        <w:ind w:left="-567" w:right="-142"/>
        <w:rPr>
          <w:b/>
        </w:rPr>
      </w:pPr>
      <w:r w:rsidRPr="00D936CA">
        <w:rPr>
          <w:b/>
        </w:rPr>
        <w:t>Parámetros e Indicadores para Provisión del Servicio</w:t>
      </w:r>
    </w:p>
    <w:p w14:paraId="33CFF023" w14:textId="77777777" w:rsidR="00D10CC9" w:rsidRPr="00D936CA" w:rsidRDefault="00D10CC9" w:rsidP="00060B2E">
      <w:pPr>
        <w:pStyle w:val="IFTnormal"/>
        <w:ind w:left="-567" w:right="-142"/>
      </w:pPr>
      <w:r w:rsidRPr="00D936CA">
        <w:t>En lo referente a la provisión de los servicios (validación de la solicitud, verificación de factibilidad y habilitación), se tienen los siguientes indicadores:</w:t>
      </w:r>
    </w:p>
    <w:p w14:paraId="33CFF024"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Validación de la solicitud junto con validación de la factibilidad: 90% de las solicitudes en máximo de 4 días hábiles. El 10% restante en un máximo de 6 días hábiles.</w:t>
      </w:r>
    </w:p>
    <w:p w14:paraId="33CFF025"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de Cableado Multipar Interno: 90% en un máximo de 15 días hábiles. El 10% restante en un máximo de 23 días hábiles.</w:t>
      </w:r>
    </w:p>
    <w:p w14:paraId="33CFF026"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de Cableado Multipar Externo: 90% en un máximo de 25 días hábiles. El 10% restante en un máximo de 38 días hábiles.</w:t>
      </w:r>
    </w:p>
    <w:p w14:paraId="33CFF027" w14:textId="77777777" w:rsidR="00D10CC9" w:rsidRPr="00D936CA" w:rsidRDefault="00D10CC9"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Habilitación de Cableado Multipar Ubicación Distante: 90% en un máximo de 45 días hábiles. El 10% restante en un máximo de 68 días hábiles.</w:t>
      </w:r>
    </w:p>
    <w:p w14:paraId="33CFF028" w14:textId="77777777" w:rsidR="00D10CC9" w:rsidRPr="00D936CA" w:rsidRDefault="00D10CC9" w:rsidP="00060B2E">
      <w:pPr>
        <w:pStyle w:val="IFTnormal"/>
        <w:ind w:left="-567" w:right="-142"/>
        <w:rPr>
          <w:b/>
        </w:rPr>
      </w:pPr>
      <w:r w:rsidRPr="00D936CA">
        <w:rPr>
          <w:b/>
        </w:rPr>
        <w:t>Metodología</w:t>
      </w:r>
    </w:p>
    <w:p w14:paraId="33CFF029" w14:textId="77777777" w:rsidR="00D10CC9" w:rsidRPr="00D936CA" w:rsidRDefault="00D10CC9" w:rsidP="00060B2E">
      <w:pPr>
        <w:pStyle w:val="IFTnormal"/>
        <w:ind w:left="-567" w:right="-142"/>
      </w:pPr>
      <w:r w:rsidRPr="00D936CA">
        <w:t xml:space="preserve">Para realizar la medición de los indicadores presentados, se descontarán los plazos de entrega señalados en la sección 9.3 de este documento de los días totales utilizados para la realización de dicha actividad, considerando como inicio del proceso el día en que se solicitó el servicio por parte del CS. </w:t>
      </w:r>
    </w:p>
    <w:p w14:paraId="33CFF02A" w14:textId="77777777" w:rsidR="00D10CC9" w:rsidRPr="00D936CA" w:rsidRDefault="00D10CC9" w:rsidP="00060B2E">
      <w:pPr>
        <w:pStyle w:val="IFTnormal"/>
        <w:ind w:left="-567" w:right="-142"/>
        <w:rPr>
          <w:b/>
        </w:rPr>
      </w:pPr>
      <w:r w:rsidRPr="00D936CA">
        <w:rPr>
          <w:b/>
        </w:rPr>
        <w:t>Parámetros e Indicadores para Reparación de Fallas</w:t>
      </w:r>
    </w:p>
    <w:p w14:paraId="33CFF02B" w14:textId="66C09BA2" w:rsidR="00D10CC9" w:rsidRPr="00D936CA" w:rsidRDefault="00D10CC9" w:rsidP="00D936CA">
      <w:pPr>
        <w:pStyle w:val="IFTnormal"/>
      </w:pPr>
      <w:r w:rsidRPr="00D936CA">
        <w:t>•</w:t>
      </w:r>
      <w:r w:rsidRPr="00D936CA">
        <w:tab/>
        <w:t>8</w:t>
      </w:r>
      <w:r w:rsidR="00AC0AB2">
        <w:t>2</w:t>
      </w:r>
      <w:r w:rsidRPr="00D936CA">
        <w:t>% de reparación en el mismo día hábil.</w:t>
      </w:r>
    </w:p>
    <w:p w14:paraId="33CFF02C" w14:textId="061F73AA" w:rsidR="00D10CC9" w:rsidRPr="00D936CA" w:rsidRDefault="00D10CC9" w:rsidP="00D936CA">
      <w:pPr>
        <w:pStyle w:val="IFTnormal"/>
      </w:pPr>
      <w:r w:rsidRPr="00D936CA">
        <w:lastRenderedPageBreak/>
        <w:t>•</w:t>
      </w:r>
      <w:r w:rsidRPr="00D936CA">
        <w:tab/>
        <w:t>9</w:t>
      </w:r>
      <w:r w:rsidR="00AC0AB2">
        <w:t>4</w:t>
      </w:r>
      <w:r w:rsidRPr="00D936CA">
        <w:t>% de reparaciones en un plazo máximo de tres días hábiles.</w:t>
      </w:r>
    </w:p>
    <w:p w14:paraId="33CFF02D" w14:textId="7FA5041D" w:rsidR="00D10CC9" w:rsidRPr="00D936CA" w:rsidRDefault="00D10CC9" w:rsidP="00D936CA">
      <w:pPr>
        <w:pStyle w:val="IFTnormal"/>
      </w:pPr>
      <w:r w:rsidRPr="00D936CA">
        <w:t>•</w:t>
      </w:r>
      <w:r w:rsidRPr="00D936CA">
        <w:tab/>
      </w:r>
      <w:r w:rsidR="00AC0AB2">
        <w:t>6</w:t>
      </w:r>
      <w:r w:rsidRPr="00D936CA">
        <w:t>% restante no excederá 10 días hábiles.</w:t>
      </w:r>
    </w:p>
    <w:p w14:paraId="33CFF02E" w14:textId="77777777" w:rsidR="00D10CC9" w:rsidRPr="00D936CA" w:rsidRDefault="00D10CC9" w:rsidP="00D936CA">
      <w:pPr>
        <w:pStyle w:val="IFTnormal"/>
        <w:rPr>
          <w:rFonts w:cs="Arial"/>
        </w:rPr>
      </w:pPr>
    </w:p>
    <w:p w14:paraId="2348A3CD" w14:textId="4AE9A061" w:rsidR="00962165" w:rsidRPr="00422CA2" w:rsidRDefault="00962165" w:rsidP="00060B2E">
      <w:pPr>
        <w:pStyle w:val="Ttulo2"/>
        <w:numPr>
          <w:ilvl w:val="1"/>
          <w:numId w:val="143"/>
        </w:numPr>
        <w:tabs>
          <w:tab w:val="left" w:pos="993"/>
        </w:tabs>
        <w:ind w:left="851" w:hanging="425"/>
      </w:pPr>
      <w:bookmarkStart w:id="649" w:name="_Toc436840936"/>
      <w:bookmarkStart w:id="650" w:name="_Toc436846373"/>
      <w:bookmarkStart w:id="651" w:name="_Toc436848323"/>
      <w:bookmarkStart w:id="652" w:name="_Toc436856571"/>
      <w:bookmarkStart w:id="653" w:name="_Toc436862717"/>
      <w:bookmarkStart w:id="654" w:name="_Toc436866367"/>
      <w:bookmarkStart w:id="655" w:name="_Toc436870946"/>
      <w:bookmarkStart w:id="656" w:name="_Toc436875938"/>
      <w:bookmarkStart w:id="657" w:name="_Toc465676795"/>
      <w:bookmarkStart w:id="658" w:name="_Toc518032033"/>
      <w:bookmarkStart w:id="659" w:name="_Toc467248749"/>
      <w:bookmarkStart w:id="660" w:name="_Toc436840923"/>
      <w:bookmarkStart w:id="661" w:name="_Toc436846360"/>
      <w:bookmarkStart w:id="662" w:name="_Toc436848310"/>
      <w:bookmarkStart w:id="663" w:name="_Toc436856558"/>
      <w:bookmarkStart w:id="664" w:name="_Toc436862704"/>
      <w:bookmarkStart w:id="665" w:name="_Toc436866354"/>
      <w:bookmarkStart w:id="666" w:name="_Toc436870933"/>
      <w:bookmarkStart w:id="667" w:name="_Toc436875925"/>
      <w:bookmarkEnd w:id="632"/>
      <w:bookmarkEnd w:id="633"/>
      <w:bookmarkEnd w:id="634"/>
      <w:bookmarkEnd w:id="635"/>
      <w:bookmarkEnd w:id="636"/>
      <w:bookmarkEnd w:id="637"/>
      <w:bookmarkEnd w:id="638"/>
      <w:bookmarkEnd w:id="639"/>
      <w:r w:rsidRPr="00422CA2">
        <w:t>Servicio Auxiliar de Anexo de Caja de Distribución</w:t>
      </w:r>
      <w:bookmarkEnd w:id="649"/>
      <w:bookmarkEnd w:id="650"/>
      <w:bookmarkEnd w:id="651"/>
      <w:bookmarkEnd w:id="652"/>
      <w:bookmarkEnd w:id="653"/>
      <w:bookmarkEnd w:id="654"/>
      <w:bookmarkEnd w:id="655"/>
      <w:bookmarkEnd w:id="656"/>
      <w:bookmarkEnd w:id="657"/>
      <w:bookmarkEnd w:id="658"/>
    </w:p>
    <w:p w14:paraId="0271B209" w14:textId="77777777" w:rsidR="008D2DB5" w:rsidRPr="00D936CA" w:rsidRDefault="008D2DB5" w:rsidP="00060B2E">
      <w:pPr>
        <w:pStyle w:val="IFTnormal"/>
        <w:ind w:left="-567" w:right="-142"/>
      </w:pPr>
      <w:bookmarkStart w:id="668" w:name="_Toc436840937"/>
      <w:bookmarkStart w:id="669" w:name="_Toc436846374"/>
      <w:bookmarkStart w:id="670" w:name="_Toc436848324"/>
      <w:bookmarkStart w:id="671" w:name="_Toc436856572"/>
      <w:bookmarkStart w:id="672" w:name="_Toc436862718"/>
      <w:bookmarkStart w:id="673" w:name="_Toc436866368"/>
      <w:bookmarkStart w:id="674" w:name="_Toc436870947"/>
      <w:bookmarkStart w:id="675" w:name="_Toc436875939"/>
      <w:bookmarkStart w:id="676" w:name="_Toc465676796"/>
      <w:r w:rsidRPr="00D936CA">
        <w:t xml:space="preserve">El Servicio Auxiliar de Anexo de Caja de Distribución es necesario para la provisión de los servicios de SDTSBL y SDCSBL a través de éste, el CS podrá conectar sus elementos de red a la red secundaria de Telmex. </w:t>
      </w:r>
    </w:p>
    <w:p w14:paraId="5EC7B997" w14:textId="77777777" w:rsidR="008D2DB5" w:rsidRPr="00D936CA" w:rsidRDefault="008D2DB5" w:rsidP="00060B2E">
      <w:pPr>
        <w:pStyle w:val="IFTnormal"/>
        <w:ind w:left="-567" w:right="-142"/>
      </w:pPr>
      <w:r w:rsidRPr="00D936CA">
        <w:t>Este servicio consiste en la instalación del Anexo de Caja de Distribución, mismo que podrá ser utilizado por distintos Concesionarios, para habilitar las tablillas de remate donde se realiza el puente entre las regletas de la Caja de Distribución de Telmex y la red del CS.</w:t>
      </w:r>
    </w:p>
    <w:p w14:paraId="2F27CA26" w14:textId="77777777" w:rsidR="008D2DB5" w:rsidRPr="00D936CA" w:rsidRDefault="008D2DB5" w:rsidP="00060B2E">
      <w:pPr>
        <w:pStyle w:val="IFTnormal"/>
        <w:ind w:left="-567" w:right="-142"/>
      </w:pPr>
      <w:r w:rsidRPr="00D936CA">
        <w:t>El servicio de Anexo de Caja de Distribución se representa en la siguiente figura:</w:t>
      </w:r>
    </w:p>
    <w:p w14:paraId="2482DAB0" w14:textId="77777777" w:rsidR="008D2DB5" w:rsidRPr="00D936CA" w:rsidRDefault="008D2DB5" w:rsidP="00060B2E">
      <w:pPr>
        <w:pStyle w:val="IFTnormal"/>
        <w:ind w:left="-567" w:right="-142"/>
        <w:jc w:val="center"/>
      </w:pPr>
      <w:r w:rsidRPr="00D936CA">
        <w:rPr>
          <w:noProof/>
          <w:lang w:eastAsia="es-MX"/>
        </w:rPr>
        <w:drawing>
          <wp:inline distT="0" distB="0" distL="0" distR="0" wp14:anchorId="0C1CA212" wp14:editId="418245B6">
            <wp:extent cx="4104168" cy="1509395"/>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960" t="39079" r="28953" b="26906"/>
                    <a:stretch/>
                  </pic:blipFill>
                  <pic:spPr bwMode="auto">
                    <a:xfrm>
                      <a:off x="0" y="0"/>
                      <a:ext cx="4115003" cy="1513380"/>
                    </a:xfrm>
                    <a:prstGeom prst="rect">
                      <a:avLst/>
                    </a:prstGeom>
                    <a:ln>
                      <a:noFill/>
                    </a:ln>
                    <a:extLst>
                      <a:ext uri="{53640926-AAD7-44D8-BBD7-CCE9431645EC}">
                        <a14:shadowObscured xmlns:a14="http://schemas.microsoft.com/office/drawing/2010/main"/>
                      </a:ext>
                    </a:extLst>
                  </pic:spPr>
                </pic:pic>
              </a:graphicData>
            </a:graphic>
          </wp:inline>
        </w:drawing>
      </w:r>
    </w:p>
    <w:p w14:paraId="4B0C6555" w14:textId="77777777" w:rsidR="008D2DB5" w:rsidRPr="00D936CA" w:rsidRDefault="008D2DB5" w:rsidP="00060B2E">
      <w:pPr>
        <w:pStyle w:val="IFTnormal"/>
        <w:ind w:left="-567" w:right="-142"/>
        <w:jc w:val="center"/>
        <w:rPr>
          <w:i/>
          <w:sz w:val="16"/>
          <w:szCs w:val="18"/>
        </w:rPr>
      </w:pPr>
      <w:r w:rsidRPr="00D936CA">
        <w:rPr>
          <w:i/>
          <w:sz w:val="16"/>
          <w:szCs w:val="18"/>
        </w:rPr>
        <w:t>Servicio de Anexo de Caja de Distribución</w:t>
      </w:r>
    </w:p>
    <w:p w14:paraId="35984E16" w14:textId="0DBC4CF5" w:rsidR="008D2DB5" w:rsidRPr="00D936CA" w:rsidRDefault="008D2DB5" w:rsidP="00060B2E">
      <w:pPr>
        <w:pStyle w:val="IFTnormal"/>
        <w:ind w:left="-567" w:right="-142"/>
      </w:pPr>
      <w:r w:rsidRPr="00D936CA">
        <w:t xml:space="preserve">Cuando un CS realice la solicitud del Servicio Auxiliar de Anexo de Caja de Distribución, Telmex notificará dicha solicitud al resto de los Concesionarios con los que se tengan convenios firmados a través del SEG con el objetivo de que todos los involucrados se coordinen y definan dónde construirán el pozo en el que Telmex entregará la acometida del cableado multipar procedente de la tablilla del Anexo de Caja de Distribución para que se remate en el cierre de empalme del CS y sea técnicamente viable la desagregación en el sub-bucle. </w:t>
      </w:r>
    </w:p>
    <w:p w14:paraId="2EF88486" w14:textId="3DCB010F" w:rsidR="008D2DB5" w:rsidRPr="00D936CA" w:rsidRDefault="008D2DB5" w:rsidP="00060B2E">
      <w:pPr>
        <w:pStyle w:val="IFTnormal"/>
        <w:ind w:left="-567" w:right="-142"/>
      </w:pPr>
      <w:r w:rsidRPr="00D936CA">
        <w:t xml:space="preserve">Por otro </w:t>
      </w:r>
      <w:r w:rsidR="004158B4" w:rsidRPr="00D936CA">
        <w:t>lado,</w:t>
      </w:r>
      <w:r w:rsidRPr="00D936CA">
        <w:t xml:space="preserve"> el prerrequisito de construcción de un pozo multiconcesionario podrá ser sustituido por un pozo existente de Telmex, previo análisis de factibilidad vía la Oferta de Referencia para la Compartición de Infraestructura Pasiva. El procedimiento técnico relativo al Anexo de Caja de Distribución se detalla en el punto 9.7 de la presente OREDA.</w:t>
      </w:r>
    </w:p>
    <w:p w14:paraId="0F00DD0D" w14:textId="77777777" w:rsidR="008D2DB5" w:rsidRPr="00D936CA" w:rsidRDefault="008D2DB5" w:rsidP="00060B2E">
      <w:pPr>
        <w:pStyle w:val="IFTnormal"/>
        <w:ind w:left="-567" w:right="-142"/>
      </w:pPr>
      <w:r w:rsidRPr="00D936CA">
        <w:t>El CS puede solicitar el servicio de Anexo de Caja de Distribución, cuando ya exista pozo multiconcesionario y Anexo de Caja de Distribución para desagregación.</w:t>
      </w:r>
    </w:p>
    <w:p w14:paraId="2F2D036E" w14:textId="77777777" w:rsidR="008D2DB5" w:rsidRPr="00D936CA" w:rsidRDefault="008D2DB5" w:rsidP="00060B2E">
      <w:pPr>
        <w:pStyle w:val="IFTnormal"/>
        <w:ind w:left="-567" w:right="-142"/>
      </w:pPr>
      <w:r w:rsidRPr="00D936CA">
        <w:lastRenderedPageBreak/>
        <w:t>El Anexo de Caja será propiedad de Telmex, así como su administración y la coordinación de las solicitudes de servicio de los CS.</w:t>
      </w:r>
    </w:p>
    <w:p w14:paraId="6CE96647" w14:textId="77777777" w:rsidR="008D2DB5" w:rsidRPr="00D936CA" w:rsidRDefault="008D2DB5" w:rsidP="00060B2E">
      <w:pPr>
        <w:pStyle w:val="IFTnormal"/>
        <w:ind w:left="-567" w:right="-142"/>
      </w:pPr>
      <w:r w:rsidRPr="00D936CA">
        <w:t>En caso de que el pozo multiconcesionario sea construido por Telmex, la propiedad del mismo se determinará por acuerdo de los CS involucrados. El Servicio Auxiliar de Anexo de Caja de Distribución considera las siguientes actividades:</w:t>
      </w:r>
    </w:p>
    <w:p w14:paraId="5105B165" w14:textId="77777777" w:rsidR="008D2DB5" w:rsidRPr="00D936CA" w:rsidRDefault="008D2DB5" w:rsidP="004158B4">
      <w:pPr>
        <w:pStyle w:val="IFTnormal"/>
        <w:numPr>
          <w:ilvl w:val="4"/>
          <w:numId w:val="76"/>
        </w:numPr>
        <w:ind w:left="142" w:right="-142"/>
      </w:pPr>
      <w:r w:rsidRPr="00D936CA">
        <w:t>Construcción de Canalización de Acometida desde Anexo de Caja de Distribución hasta el pozo del CS.</w:t>
      </w:r>
    </w:p>
    <w:p w14:paraId="6273566B" w14:textId="77777777" w:rsidR="008D2DB5" w:rsidRPr="00D936CA" w:rsidRDefault="008D2DB5" w:rsidP="004158B4">
      <w:pPr>
        <w:pStyle w:val="IFTnormal"/>
        <w:numPr>
          <w:ilvl w:val="4"/>
          <w:numId w:val="76"/>
        </w:numPr>
        <w:ind w:left="142" w:right="-142"/>
      </w:pPr>
      <w:r w:rsidRPr="00D936CA">
        <w:t>Construcción de Base para Anexo de Caja de Distribución.</w:t>
      </w:r>
    </w:p>
    <w:p w14:paraId="7DC721D5" w14:textId="77777777" w:rsidR="008D2DB5" w:rsidRPr="00D936CA" w:rsidRDefault="008D2DB5" w:rsidP="004158B4">
      <w:pPr>
        <w:pStyle w:val="IFTnormal"/>
        <w:numPr>
          <w:ilvl w:val="4"/>
          <w:numId w:val="76"/>
        </w:numPr>
        <w:ind w:left="142" w:right="-142"/>
      </w:pPr>
      <w:r w:rsidRPr="00D936CA">
        <w:t>Instalación de Anexo de Caja de Distribución.</w:t>
      </w:r>
    </w:p>
    <w:p w14:paraId="5B69D5D9" w14:textId="77777777" w:rsidR="008D2DB5" w:rsidRPr="00D936CA" w:rsidRDefault="008D2DB5" w:rsidP="004158B4">
      <w:pPr>
        <w:pStyle w:val="IFTnormal"/>
        <w:numPr>
          <w:ilvl w:val="4"/>
          <w:numId w:val="76"/>
        </w:numPr>
        <w:ind w:left="142" w:right="-142"/>
      </w:pPr>
      <w:r w:rsidRPr="00D936CA">
        <w:t>Instalación de cable multipar desde la tablilla del Anexo de Caja de Distribución hasta el cierre de empalme en el pozo multiconcesionario.</w:t>
      </w:r>
    </w:p>
    <w:p w14:paraId="063DCE36" w14:textId="5CA62D40" w:rsidR="008D2DB5" w:rsidRDefault="008D2DB5" w:rsidP="00060B2E">
      <w:pPr>
        <w:pStyle w:val="IFTnormal"/>
        <w:ind w:left="-567" w:right="-142"/>
      </w:pPr>
      <w:r w:rsidRPr="00D936CA">
        <w:t>Las especificaciones y los fundamentos técnicos de los elementos y materiales a utilizar en la provisión del servicio de Anexo de Caja de Distribución son indicadas en el punto 9.6 de la presente OREDA.</w:t>
      </w:r>
    </w:p>
    <w:p w14:paraId="6E22C837" w14:textId="77777777" w:rsidR="004158B4" w:rsidRPr="00D936CA" w:rsidRDefault="004158B4" w:rsidP="00060B2E">
      <w:pPr>
        <w:pStyle w:val="IFTnormal"/>
        <w:ind w:left="-567" w:right="-142"/>
      </w:pPr>
    </w:p>
    <w:p w14:paraId="33CFF02F" w14:textId="212292C1" w:rsidR="00D10CC9" w:rsidRPr="00D936CA" w:rsidRDefault="00D10CC9" w:rsidP="00D936CA">
      <w:pPr>
        <w:pStyle w:val="Ttulo2"/>
        <w:numPr>
          <w:ilvl w:val="1"/>
          <w:numId w:val="143"/>
        </w:numPr>
        <w:tabs>
          <w:tab w:val="left" w:pos="993"/>
        </w:tabs>
        <w:ind w:left="851" w:hanging="425"/>
      </w:pPr>
      <w:bookmarkStart w:id="677" w:name="_Toc518032034"/>
      <w:bookmarkEnd w:id="668"/>
      <w:bookmarkEnd w:id="669"/>
      <w:bookmarkEnd w:id="670"/>
      <w:bookmarkEnd w:id="671"/>
      <w:bookmarkEnd w:id="672"/>
      <w:bookmarkEnd w:id="673"/>
      <w:bookmarkEnd w:id="674"/>
      <w:bookmarkEnd w:id="675"/>
      <w:bookmarkEnd w:id="676"/>
      <w:r w:rsidRPr="00D936CA">
        <w:t>Procedimientos de contratación, modificación y baja del servicio de Anexo de Caja.</w:t>
      </w:r>
      <w:bookmarkEnd w:id="659"/>
      <w:bookmarkEnd w:id="677"/>
      <w:r w:rsidRPr="00D936CA">
        <w:t xml:space="preserve"> </w:t>
      </w:r>
    </w:p>
    <w:p w14:paraId="33CFF030" w14:textId="4FC1339A" w:rsidR="00E2264E" w:rsidRPr="00D936CA" w:rsidRDefault="00D10CC9" w:rsidP="00060B2E">
      <w:pPr>
        <w:pStyle w:val="IFTnormal"/>
        <w:ind w:left="-567" w:right="-142"/>
      </w:pPr>
      <w:r w:rsidRPr="00D936CA">
        <w:t xml:space="preserve">Queda establecido </w:t>
      </w:r>
      <w:r w:rsidR="004158B4" w:rsidRPr="00D936CA">
        <w:t>que,</w:t>
      </w:r>
      <w:r w:rsidRPr="00D936CA">
        <w:t xml:space="preserve"> mediante el envío de la solicitud, el CS consiente efectuar el pago por las actividades a </w:t>
      </w:r>
      <w:r w:rsidR="001D7A9A" w:rsidRPr="00D936CA">
        <w:t>realizar,</w:t>
      </w:r>
      <w:r w:rsidRPr="00D936CA">
        <w:t xml:space="preserve"> así como por los elementos de cobro que conforman el servicio, en el momento que se indique en el procedimiento. </w:t>
      </w:r>
      <w:r w:rsidR="00E2264E" w:rsidRPr="00D936CA">
        <w:t>Asimismo, si el CS rechaza el servicio o decide no continuar con el procedimiento, deberá liquidar el monto generado por las actividades realizadas hasta el momento que decidió terminar el procedimiento.</w:t>
      </w:r>
    </w:p>
    <w:p w14:paraId="33CFF031" w14:textId="77777777" w:rsidR="00E2264E" w:rsidRPr="00D936CA" w:rsidRDefault="00E2264E" w:rsidP="00060B2E">
      <w:pPr>
        <w:pStyle w:val="IFTnormal"/>
        <w:ind w:left="-567" w:right="-142"/>
        <w:rPr>
          <w:b/>
        </w:rPr>
      </w:pPr>
      <w:r w:rsidRPr="00D936CA">
        <w:rPr>
          <w:b/>
        </w:rPr>
        <w:t>Procedimiento de Contratación y Entrega de Anexo de Caja (Construcción de Pozo multi-concesionario por CS):</w:t>
      </w:r>
    </w:p>
    <w:p w14:paraId="33CFF032" w14:textId="3C21C4F7" w:rsidR="00E2264E" w:rsidRPr="00D936CA" w:rsidRDefault="00E2264E" w:rsidP="00060B2E">
      <w:pPr>
        <w:pStyle w:val="IFTnormal"/>
        <w:ind w:left="-567" w:right="-142"/>
      </w:pPr>
      <w:r w:rsidRPr="00D936CA">
        <w:t>El objetivo y alcance de este procedimiento es definir los pasos y actividades a desarrollar por parte de Telmex y del CS, a fin de realizar la contratación y entrega del Anexo de Caja de Distribución cuando el CS realiza la construcción del pozo multi</w:t>
      </w:r>
      <w:r w:rsidR="00C16734" w:rsidRPr="00D936CA">
        <w:t>-</w:t>
      </w:r>
      <w:r w:rsidRPr="00D936CA">
        <w:t xml:space="preserve">concesionario; las fases en que se divide este procedimiento son: </w:t>
      </w:r>
      <w:r w:rsidRPr="00D936CA">
        <w:rPr>
          <w:b/>
        </w:rPr>
        <w:t>(i)</w:t>
      </w:r>
      <w:r w:rsidRPr="00D936CA">
        <w:t xml:space="preserve"> Entrega y validación de la solicitud para que el CS manifieste su intención de contratar el servicio y la validación por parte de Telmex de que la solicitud cuenta con todos los elementos para la contratación del servicio; </w:t>
      </w:r>
      <w:r w:rsidRPr="00D936CA">
        <w:rPr>
          <w:b/>
        </w:rPr>
        <w:t>(ii)</w:t>
      </w:r>
      <w:r w:rsidRPr="00D936CA">
        <w:t xml:space="preserve"> Análisis de Factibilidad técnica a fin de que Telmex pueda verificar que cuenta con los elementos para brindar el servicio solicitado; </w:t>
      </w:r>
      <w:r w:rsidRPr="00D936CA">
        <w:rPr>
          <w:b/>
        </w:rPr>
        <w:t>(iii)</w:t>
      </w:r>
      <w:r w:rsidRPr="00D936CA">
        <w:t xml:space="preserve"> Coordinación de las solicitudes de los CS que deseen participar en el pozo multi</w:t>
      </w:r>
      <w:r w:rsidR="00C16734" w:rsidRPr="00D936CA">
        <w:t>-</w:t>
      </w:r>
      <w:r w:rsidRPr="00D936CA">
        <w:t xml:space="preserve">concesionario; </w:t>
      </w:r>
      <w:r w:rsidRPr="00D936CA">
        <w:rPr>
          <w:b/>
        </w:rPr>
        <w:t>(iv)</w:t>
      </w:r>
      <w:r w:rsidRPr="00D936CA">
        <w:t xml:space="preserve"> coordinación para la instalación del cableado </w:t>
      </w:r>
      <w:r w:rsidRPr="00D936CA">
        <w:lastRenderedPageBreak/>
        <w:t xml:space="preserve">multipar y trabajos de empalme y </w:t>
      </w:r>
      <w:r w:rsidRPr="00D936CA">
        <w:rPr>
          <w:b/>
        </w:rPr>
        <w:t>(v)</w:t>
      </w:r>
      <w:r w:rsidRPr="00D936CA">
        <w:t xml:space="preserve"> Habilitación del servicio solicitado, que detonará los procesos de pruebas de entrega y facturación.</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035" w14:textId="77777777" w:rsidTr="00060B2E">
        <w:tc>
          <w:tcPr>
            <w:tcW w:w="1446" w:type="pct"/>
          </w:tcPr>
          <w:p w14:paraId="33CFF033" w14:textId="77777777" w:rsidR="00E2264E" w:rsidRPr="00D936CA" w:rsidRDefault="00E2264E" w:rsidP="00D936CA">
            <w:pPr>
              <w:pStyle w:val="IFTnormal"/>
              <w:jc w:val="center"/>
              <w:rPr>
                <w:b/>
                <w:sz w:val="20"/>
                <w:szCs w:val="20"/>
              </w:rPr>
            </w:pPr>
            <w:r w:rsidRPr="00D936CA">
              <w:rPr>
                <w:b/>
                <w:sz w:val="20"/>
                <w:szCs w:val="20"/>
              </w:rPr>
              <w:t>Etapa</w:t>
            </w:r>
          </w:p>
        </w:tc>
        <w:tc>
          <w:tcPr>
            <w:tcW w:w="3554" w:type="pct"/>
          </w:tcPr>
          <w:p w14:paraId="33CFF034" w14:textId="77777777" w:rsidR="00E2264E" w:rsidRPr="00D936CA" w:rsidRDefault="00E2264E" w:rsidP="00D936CA">
            <w:pPr>
              <w:pStyle w:val="IFTnormal"/>
              <w:jc w:val="center"/>
              <w:rPr>
                <w:b/>
                <w:sz w:val="20"/>
                <w:szCs w:val="20"/>
              </w:rPr>
            </w:pPr>
            <w:r w:rsidRPr="00D936CA">
              <w:rPr>
                <w:b/>
                <w:sz w:val="20"/>
                <w:szCs w:val="20"/>
              </w:rPr>
              <w:t>Descripción</w:t>
            </w:r>
          </w:p>
        </w:tc>
      </w:tr>
      <w:tr w:rsidR="00D936CA" w:rsidRPr="00D936CA" w14:paraId="33CFF03A" w14:textId="77777777" w:rsidTr="00060B2E">
        <w:tc>
          <w:tcPr>
            <w:tcW w:w="1446" w:type="pct"/>
          </w:tcPr>
          <w:p w14:paraId="33CFF036" w14:textId="77777777" w:rsidR="00E2264E" w:rsidRPr="00D936CA" w:rsidRDefault="00E2264E" w:rsidP="00D936CA">
            <w:pPr>
              <w:pStyle w:val="IFTnormal"/>
              <w:jc w:val="left"/>
              <w:rPr>
                <w:b/>
                <w:sz w:val="20"/>
                <w:szCs w:val="20"/>
              </w:rPr>
            </w:pPr>
            <w:r w:rsidRPr="00D936CA">
              <w:rPr>
                <w:b/>
                <w:sz w:val="20"/>
                <w:szCs w:val="20"/>
              </w:rPr>
              <w:t>Envío de solicitud</w:t>
            </w:r>
          </w:p>
        </w:tc>
        <w:tc>
          <w:tcPr>
            <w:tcW w:w="3554" w:type="pct"/>
          </w:tcPr>
          <w:p w14:paraId="33CFF037" w14:textId="52C49303" w:rsidR="00E2264E" w:rsidRPr="00D936CA" w:rsidRDefault="00E2264E" w:rsidP="00D936CA">
            <w:pPr>
              <w:pStyle w:val="IFTnormal"/>
              <w:rPr>
                <w:sz w:val="20"/>
                <w:szCs w:val="20"/>
              </w:rPr>
            </w:pPr>
            <w:r w:rsidRPr="00D936CA">
              <w:rPr>
                <w:sz w:val="20"/>
                <w:szCs w:val="20"/>
              </w:rPr>
              <w:t>El CS deberá presentar sus solicitudes en el formato correspondiente a través del SEG:</w:t>
            </w:r>
          </w:p>
          <w:p w14:paraId="33CFF038" w14:textId="44D18DDD" w:rsidR="00E2264E" w:rsidRPr="00D936CA" w:rsidRDefault="00E2264E" w:rsidP="00D936CA">
            <w:pPr>
              <w:pStyle w:val="IFTnormal"/>
              <w:numPr>
                <w:ilvl w:val="0"/>
                <w:numId w:val="122"/>
              </w:numPr>
              <w:rPr>
                <w:sz w:val="20"/>
                <w:szCs w:val="20"/>
              </w:rPr>
            </w:pPr>
            <w:r w:rsidRPr="00D936CA">
              <w:rPr>
                <w:sz w:val="20"/>
                <w:szCs w:val="20"/>
              </w:rPr>
              <w:t>Indicará y ubicará geográficamente el pozo multi</w:t>
            </w:r>
            <w:r w:rsidR="00C16734" w:rsidRPr="00D936CA">
              <w:rPr>
                <w:sz w:val="20"/>
                <w:szCs w:val="20"/>
              </w:rPr>
              <w:t>-</w:t>
            </w:r>
            <w:r w:rsidRPr="00D936CA">
              <w:rPr>
                <w:sz w:val="20"/>
                <w:szCs w:val="20"/>
              </w:rPr>
              <w:t>concesionario, anexando el proyecto de construcción.</w:t>
            </w:r>
          </w:p>
          <w:p w14:paraId="33CFF039" w14:textId="77777777" w:rsidR="00E2264E" w:rsidRPr="00D936CA" w:rsidRDefault="00E2264E" w:rsidP="00D936CA">
            <w:pPr>
              <w:pStyle w:val="IFTnormal"/>
              <w:spacing w:after="120" w:line="240" w:lineRule="auto"/>
              <w:ind w:left="34"/>
              <w:rPr>
                <w:sz w:val="20"/>
                <w:szCs w:val="20"/>
              </w:rPr>
            </w:pPr>
            <w:r w:rsidRPr="00D936CA">
              <w:rPr>
                <w:sz w:val="20"/>
                <w:szCs w:val="20"/>
              </w:rPr>
              <w:t>Una vez enviada se asignará de forma automática un número de folio a la solicitud del CS.</w:t>
            </w:r>
          </w:p>
        </w:tc>
      </w:tr>
      <w:tr w:rsidR="00D936CA" w:rsidRPr="00D936CA" w14:paraId="33CFF03F" w14:textId="77777777" w:rsidTr="00060B2E">
        <w:tc>
          <w:tcPr>
            <w:tcW w:w="1446" w:type="pct"/>
          </w:tcPr>
          <w:p w14:paraId="33CFF03B" w14:textId="77777777" w:rsidR="00E2264E" w:rsidRPr="00D936CA" w:rsidRDefault="00E2264E"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F03C" w14:textId="77777777" w:rsidR="00E2264E" w:rsidRPr="00D936CA" w:rsidRDefault="00E2264E"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F03D"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F03E"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045" w14:textId="77777777" w:rsidTr="00060B2E">
        <w:tc>
          <w:tcPr>
            <w:tcW w:w="1446" w:type="pct"/>
          </w:tcPr>
          <w:p w14:paraId="33CFF040" w14:textId="77777777" w:rsidR="00E2264E" w:rsidRPr="00D936CA" w:rsidRDefault="00E2264E" w:rsidP="00D936CA">
            <w:pPr>
              <w:pStyle w:val="IFTnormal"/>
              <w:jc w:val="left"/>
              <w:rPr>
                <w:b/>
                <w:sz w:val="20"/>
                <w:szCs w:val="20"/>
              </w:rPr>
            </w:pPr>
            <w:r w:rsidRPr="00D936CA">
              <w:rPr>
                <w:b/>
                <w:sz w:val="20"/>
                <w:szCs w:val="20"/>
              </w:rPr>
              <w:t>Factibilidad Técnica</w:t>
            </w:r>
          </w:p>
        </w:tc>
        <w:tc>
          <w:tcPr>
            <w:tcW w:w="3554" w:type="pct"/>
          </w:tcPr>
          <w:p w14:paraId="33CFF041" w14:textId="77777777" w:rsidR="00E2264E" w:rsidRPr="00D936CA" w:rsidRDefault="00E2264E" w:rsidP="00D936CA">
            <w:pPr>
              <w:pStyle w:val="IFTnormal"/>
              <w:rPr>
                <w:sz w:val="20"/>
                <w:szCs w:val="20"/>
              </w:rPr>
            </w:pPr>
            <w:r w:rsidRPr="00D936CA">
              <w:rPr>
                <w:sz w:val="20"/>
                <w:szCs w:val="20"/>
              </w:rPr>
              <w:t>Telmex verificará la factibilidad técnica para realizar la construcción de un anexo de caja en un plazo máximo de 3 días hábiles:</w:t>
            </w:r>
          </w:p>
          <w:p w14:paraId="33CFF042" w14:textId="7B21B899" w:rsidR="00E2264E" w:rsidRPr="00D936CA" w:rsidRDefault="00E2264E" w:rsidP="00D936CA">
            <w:pPr>
              <w:pStyle w:val="IFTnormal"/>
              <w:numPr>
                <w:ilvl w:val="0"/>
                <w:numId w:val="102"/>
              </w:numPr>
              <w:ind w:left="318" w:hanging="318"/>
              <w:rPr>
                <w:sz w:val="20"/>
                <w:szCs w:val="20"/>
              </w:rPr>
            </w:pPr>
            <w:r w:rsidRPr="00D936CA">
              <w:rPr>
                <w:b/>
                <w:sz w:val="20"/>
                <w:szCs w:val="20"/>
              </w:rPr>
              <w:t>Es factible</w:t>
            </w:r>
            <w:r w:rsidR="005F3962">
              <w:rPr>
                <w:b/>
                <w:sz w:val="20"/>
                <w:szCs w:val="20"/>
              </w:rPr>
              <w:t xml:space="preserve"> </w:t>
            </w:r>
            <w:r w:rsidR="005F3962" w:rsidRPr="00D936CA">
              <w:rPr>
                <w:sz w:val="20"/>
                <w:szCs w:val="20"/>
              </w:rPr>
              <w:t>se asignará Número de Identificación de Seguimiento (NIS)</w:t>
            </w:r>
            <w:r w:rsidR="001D7A9A">
              <w:rPr>
                <w:sz w:val="20"/>
                <w:szCs w:val="20"/>
              </w:rPr>
              <w:t>.</w:t>
            </w:r>
          </w:p>
          <w:p w14:paraId="33CFF043"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Es factible pero son necesarias adecuaciones a la infraestructura</w:t>
            </w:r>
            <w:r w:rsidRPr="00D936CA">
              <w:rPr>
                <w:sz w:val="20"/>
                <w:szCs w:val="20"/>
              </w:rPr>
              <w:t>; las adecuaciones serán incluidas en la instalación del Anexo de Caja y la descripción de las mismas será detallada en el análisis de factibilidad.</w:t>
            </w:r>
          </w:p>
          <w:p w14:paraId="33CFF044"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No existen facilidades</w:t>
            </w:r>
            <w:r w:rsidRPr="00D936CA">
              <w:rPr>
                <w:sz w:val="20"/>
                <w:szCs w:val="20"/>
              </w:rPr>
              <w:t>, se informará al CS la justificación de los motivos descritos en el apartado 1.4, así como las evidencias correspondientes. A solicitud del CS se iniciará el procedimiento de Trabajo Especial contenido en la sección 11 de esta OREDA.</w:t>
            </w:r>
          </w:p>
        </w:tc>
      </w:tr>
      <w:tr w:rsidR="00D936CA" w:rsidRPr="00D936CA" w14:paraId="33CFF049" w14:textId="77777777" w:rsidTr="00060B2E">
        <w:tc>
          <w:tcPr>
            <w:tcW w:w="1446" w:type="pct"/>
          </w:tcPr>
          <w:p w14:paraId="33CFF046" w14:textId="3AC12757" w:rsidR="00E2264E" w:rsidRPr="00D936CA" w:rsidRDefault="00E2264E" w:rsidP="00D936CA">
            <w:pPr>
              <w:pStyle w:val="IFTnormal"/>
              <w:jc w:val="left"/>
              <w:rPr>
                <w:b/>
                <w:sz w:val="20"/>
                <w:szCs w:val="20"/>
              </w:rPr>
            </w:pPr>
            <w:r w:rsidRPr="00D936CA">
              <w:rPr>
                <w:b/>
                <w:sz w:val="20"/>
                <w:szCs w:val="20"/>
              </w:rPr>
              <w:t>Coordinación de las solicitudes de los CS que deseen participar en el pozo multi</w:t>
            </w:r>
            <w:r w:rsidR="00C16734" w:rsidRPr="00D936CA">
              <w:rPr>
                <w:b/>
                <w:sz w:val="20"/>
                <w:szCs w:val="20"/>
              </w:rPr>
              <w:t>-</w:t>
            </w:r>
            <w:r w:rsidRPr="00D936CA">
              <w:rPr>
                <w:b/>
                <w:sz w:val="20"/>
                <w:szCs w:val="20"/>
              </w:rPr>
              <w:t>concesionario;</w:t>
            </w:r>
          </w:p>
        </w:tc>
        <w:tc>
          <w:tcPr>
            <w:tcW w:w="3554" w:type="pct"/>
          </w:tcPr>
          <w:p w14:paraId="33CFF047" w14:textId="26F99EDE" w:rsidR="00E2264E" w:rsidRPr="00D936CA" w:rsidRDefault="00E2264E" w:rsidP="00D936CA">
            <w:pPr>
              <w:pStyle w:val="IFTnormal"/>
              <w:rPr>
                <w:sz w:val="20"/>
                <w:szCs w:val="20"/>
              </w:rPr>
            </w:pPr>
            <w:r w:rsidRPr="00D936CA">
              <w:rPr>
                <w:sz w:val="20"/>
                <w:szCs w:val="20"/>
              </w:rPr>
              <w:t xml:space="preserve">Se informará en un plazo máximo de 5 días hábiles, a todos los Concesionarios con los que se tengan Convenios firmados, que un CS solicitó el Servicio de Anexo de Caja de Distribución, para que los interesados se coordinen con el </w:t>
            </w:r>
            <w:r w:rsidR="001D7A9A" w:rsidRPr="00D936CA">
              <w:rPr>
                <w:sz w:val="20"/>
                <w:szCs w:val="20"/>
              </w:rPr>
              <w:t>CS en</w:t>
            </w:r>
            <w:r w:rsidRPr="00D936CA">
              <w:rPr>
                <w:sz w:val="20"/>
                <w:szCs w:val="20"/>
              </w:rPr>
              <w:t xml:space="preserve"> caso de requerir el servicio de un Pozo multi</w:t>
            </w:r>
            <w:r w:rsidR="00C16734" w:rsidRPr="00D936CA">
              <w:rPr>
                <w:sz w:val="20"/>
                <w:szCs w:val="20"/>
              </w:rPr>
              <w:t>-</w:t>
            </w:r>
            <w:r w:rsidRPr="00D936CA">
              <w:rPr>
                <w:sz w:val="20"/>
                <w:szCs w:val="20"/>
              </w:rPr>
              <w:t>concesionario. Este proyecto de los Concesionarios deberá incluir:</w:t>
            </w:r>
          </w:p>
          <w:p w14:paraId="33CFF048" w14:textId="3F26DF6F" w:rsidR="00E2264E" w:rsidRPr="00D936CA" w:rsidRDefault="00E2264E" w:rsidP="00D936CA">
            <w:pPr>
              <w:pStyle w:val="IFTnormal"/>
              <w:numPr>
                <w:ilvl w:val="0"/>
                <w:numId w:val="123"/>
              </w:numPr>
              <w:rPr>
                <w:sz w:val="20"/>
                <w:szCs w:val="20"/>
              </w:rPr>
            </w:pPr>
            <w:r w:rsidRPr="00D936CA">
              <w:rPr>
                <w:sz w:val="20"/>
                <w:szCs w:val="20"/>
              </w:rPr>
              <w:t xml:space="preserve">El permiso y espacio de la instalación de la acometida desde el </w:t>
            </w:r>
            <w:r w:rsidRPr="00D936CA">
              <w:rPr>
                <w:sz w:val="20"/>
                <w:szCs w:val="20"/>
              </w:rPr>
              <w:lastRenderedPageBreak/>
              <w:t>Anexo de Caja de Distribución hasta el pozo multi</w:t>
            </w:r>
            <w:r w:rsidR="00C16734" w:rsidRPr="00D936CA">
              <w:rPr>
                <w:sz w:val="20"/>
                <w:szCs w:val="20"/>
              </w:rPr>
              <w:t>-</w:t>
            </w:r>
            <w:r w:rsidRPr="00D936CA">
              <w:rPr>
                <w:sz w:val="20"/>
                <w:szCs w:val="20"/>
              </w:rPr>
              <w:t>concesionario.</w:t>
            </w:r>
          </w:p>
        </w:tc>
      </w:tr>
      <w:tr w:rsidR="00D936CA" w:rsidRPr="00D936CA" w14:paraId="33CFF04D" w14:textId="77777777" w:rsidTr="00060B2E">
        <w:tc>
          <w:tcPr>
            <w:tcW w:w="1446" w:type="pct"/>
          </w:tcPr>
          <w:p w14:paraId="33CFF04A" w14:textId="77777777" w:rsidR="00E2264E" w:rsidRPr="00D936CA" w:rsidRDefault="00E2264E" w:rsidP="00D936CA">
            <w:pPr>
              <w:pStyle w:val="IFTnormal"/>
              <w:jc w:val="left"/>
              <w:rPr>
                <w:b/>
                <w:sz w:val="20"/>
                <w:szCs w:val="20"/>
              </w:rPr>
            </w:pPr>
            <w:r w:rsidRPr="00D936CA">
              <w:rPr>
                <w:b/>
                <w:sz w:val="20"/>
                <w:szCs w:val="20"/>
              </w:rPr>
              <w:lastRenderedPageBreak/>
              <w:t>Coordinación para la instalación del cableado multipar y trabajos de empalme</w:t>
            </w:r>
          </w:p>
        </w:tc>
        <w:tc>
          <w:tcPr>
            <w:tcW w:w="3554" w:type="pct"/>
          </w:tcPr>
          <w:p w14:paraId="33CFF04B" w14:textId="7E258241" w:rsidR="00E2264E" w:rsidRPr="00D936CA" w:rsidRDefault="00E2264E" w:rsidP="00D936CA">
            <w:pPr>
              <w:pStyle w:val="IFTnormal"/>
              <w:numPr>
                <w:ilvl w:val="0"/>
                <w:numId w:val="123"/>
              </w:numPr>
              <w:rPr>
                <w:sz w:val="20"/>
                <w:szCs w:val="20"/>
              </w:rPr>
            </w:pPr>
            <w:r w:rsidRPr="00D936CA">
              <w:rPr>
                <w:sz w:val="20"/>
                <w:szCs w:val="20"/>
              </w:rPr>
              <w:t>En un plazo no mayor a 10 días hábiles, se enviará la cotización por el gasto de instalación del Anexo de Caja de Distribución, de la acometida hasta el pozo multi</w:t>
            </w:r>
            <w:r w:rsidR="00C16734" w:rsidRPr="00D936CA">
              <w:rPr>
                <w:sz w:val="20"/>
                <w:szCs w:val="20"/>
              </w:rPr>
              <w:t>-</w:t>
            </w:r>
            <w:r w:rsidRPr="00D936CA">
              <w:rPr>
                <w:sz w:val="20"/>
                <w:szCs w:val="20"/>
              </w:rPr>
              <w:t>concesionario e Instalación de cable multipar desde la tablilla del Anexo de Caja de Distribución hasta el cierre de empalme en el pozo multi</w:t>
            </w:r>
            <w:r w:rsidR="00C16734" w:rsidRPr="00D936CA">
              <w:rPr>
                <w:sz w:val="20"/>
                <w:szCs w:val="20"/>
              </w:rPr>
              <w:t>-</w:t>
            </w:r>
            <w:r w:rsidRPr="00D936CA">
              <w:rPr>
                <w:sz w:val="20"/>
                <w:szCs w:val="20"/>
              </w:rPr>
              <w:t>concesionario, y de las adecuaciones de haber sido identificadas en el análisis de factibilidad.</w:t>
            </w:r>
          </w:p>
          <w:p w14:paraId="33CFF04C" w14:textId="77777777" w:rsidR="00E2264E" w:rsidRPr="00D936CA" w:rsidRDefault="00E2264E" w:rsidP="00D936CA">
            <w:pPr>
              <w:pStyle w:val="IFTnormal"/>
              <w:numPr>
                <w:ilvl w:val="0"/>
                <w:numId w:val="123"/>
              </w:numPr>
              <w:rPr>
                <w:sz w:val="20"/>
                <w:szCs w:val="20"/>
              </w:rPr>
            </w:pPr>
            <w:r w:rsidRPr="00D936CA">
              <w:rPr>
                <w:sz w:val="20"/>
                <w:szCs w:val="20"/>
              </w:rPr>
              <w:t>El CS contará con 5 días hábiles para aceptar la cotización correspondiente al gasto de instalación del Anexo de Caja de Distribución</w:t>
            </w:r>
            <w:r w:rsidRPr="00D936CA">
              <w:rPr>
                <w:rStyle w:val="Refdenotaalpie"/>
                <w:rFonts w:cs="Arial"/>
              </w:rPr>
              <w:footnoteReference w:id="47"/>
            </w:r>
            <w:r w:rsidRPr="00D936CA">
              <w:rPr>
                <w:sz w:val="20"/>
                <w:szCs w:val="20"/>
              </w:rPr>
              <w:t>, dentro de este plazo el CS podrá analizar el presupuesto y solicitar aclaraciones a Telmex, de no recibirse el pago se entenderá que el CS rechazó el servicio.</w:t>
            </w:r>
          </w:p>
        </w:tc>
      </w:tr>
      <w:tr w:rsidR="00D936CA" w:rsidRPr="00D936CA" w14:paraId="33CFF054" w14:textId="77777777" w:rsidTr="00060B2E">
        <w:tc>
          <w:tcPr>
            <w:tcW w:w="1446" w:type="pct"/>
          </w:tcPr>
          <w:p w14:paraId="33CFF04E" w14:textId="77777777" w:rsidR="00E2264E" w:rsidRPr="00D936CA" w:rsidRDefault="00E2264E" w:rsidP="00D936CA">
            <w:pPr>
              <w:pStyle w:val="IFTnormal"/>
              <w:jc w:val="left"/>
              <w:rPr>
                <w:b/>
                <w:sz w:val="20"/>
                <w:szCs w:val="20"/>
              </w:rPr>
            </w:pPr>
            <w:r w:rsidRPr="00D936CA">
              <w:rPr>
                <w:b/>
                <w:sz w:val="20"/>
                <w:szCs w:val="20"/>
              </w:rPr>
              <w:t>Habilitación y aprovisionamiento del Servicio</w:t>
            </w:r>
          </w:p>
        </w:tc>
        <w:tc>
          <w:tcPr>
            <w:tcW w:w="3554" w:type="pct"/>
          </w:tcPr>
          <w:p w14:paraId="33CFF04F" w14:textId="0002F4D3" w:rsidR="00E2264E" w:rsidRPr="00D936CA" w:rsidRDefault="00E2264E" w:rsidP="00D936CA">
            <w:pPr>
              <w:pStyle w:val="IFTnormal"/>
              <w:rPr>
                <w:sz w:val="20"/>
                <w:szCs w:val="20"/>
              </w:rPr>
            </w:pPr>
            <w:r w:rsidRPr="00D936CA">
              <w:rPr>
                <w:sz w:val="20"/>
                <w:szCs w:val="20"/>
              </w:rPr>
              <w:t>Una vez aceptada la cotización se iniciará la instalación del Anexo</w:t>
            </w:r>
            <w:r w:rsidRPr="00D936CA">
              <w:rPr>
                <w:rStyle w:val="Refdenotaalpie"/>
                <w:rFonts w:cs="Arial"/>
              </w:rPr>
              <w:footnoteReference w:id="48"/>
            </w:r>
            <w:r w:rsidRPr="00D936CA">
              <w:rPr>
                <w:rFonts w:cs="Arial"/>
              </w:rPr>
              <w:t xml:space="preserve"> </w:t>
            </w:r>
            <w:r w:rsidRPr="00D936CA">
              <w:rPr>
                <w:sz w:val="20"/>
                <w:szCs w:val="20"/>
              </w:rPr>
              <w:t>y se notificará al CS para que éste inicie simultáneamente la construcción del pozo multi</w:t>
            </w:r>
            <w:r w:rsidR="00C16734" w:rsidRPr="00D936CA">
              <w:rPr>
                <w:sz w:val="20"/>
                <w:szCs w:val="20"/>
              </w:rPr>
              <w:t>-</w:t>
            </w:r>
            <w:r w:rsidRPr="00D936CA">
              <w:rPr>
                <w:sz w:val="20"/>
                <w:szCs w:val="20"/>
              </w:rPr>
              <w:t>concesionario. El servicio quedará habilitado en un plazo máximo de 23 días hábiles los cuales contabilizarán a partir de la solicitud.</w:t>
            </w:r>
          </w:p>
          <w:p w14:paraId="33CFF050" w14:textId="0C76E3D9" w:rsidR="00E2264E" w:rsidRPr="00D936CA" w:rsidRDefault="00E2264E" w:rsidP="00D936CA">
            <w:pPr>
              <w:pStyle w:val="IFTnormal"/>
              <w:rPr>
                <w:sz w:val="20"/>
                <w:szCs w:val="20"/>
              </w:rPr>
            </w:pPr>
            <w:r w:rsidRPr="00D936CA">
              <w:rPr>
                <w:sz w:val="20"/>
                <w:szCs w:val="20"/>
              </w:rPr>
              <w:t>Telmex iniciará la instalación del cableado multipar desde la tablilla del Anexo de Caja de Distribución hasta el cierre de empalme ubicado en el pozo multi</w:t>
            </w:r>
            <w:r w:rsidR="00C16734" w:rsidRPr="00D936CA">
              <w:rPr>
                <w:sz w:val="20"/>
                <w:szCs w:val="20"/>
              </w:rPr>
              <w:t>-</w:t>
            </w:r>
            <w:r w:rsidRPr="00D936CA">
              <w:rPr>
                <w:sz w:val="20"/>
                <w:szCs w:val="20"/>
              </w:rPr>
              <w:t>concesionario una vez que se cuente con los siguientes elementos:</w:t>
            </w:r>
          </w:p>
          <w:p w14:paraId="33CFF051" w14:textId="77777777" w:rsidR="00E2264E" w:rsidRPr="00D936CA" w:rsidRDefault="00E2264E" w:rsidP="00D936CA">
            <w:pPr>
              <w:pStyle w:val="IFTnormal"/>
              <w:numPr>
                <w:ilvl w:val="0"/>
                <w:numId w:val="124"/>
              </w:numPr>
              <w:rPr>
                <w:sz w:val="20"/>
                <w:szCs w:val="20"/>
              </w:rPr>
            </w:pPr>
            <w:r w:rsidRPr="00D936CA">
              <w:rPr>
                <w:sz w:val="20"/>
                <w:szCs w:val="20"/>
              </w:rPr>
              <w:t>Anexo de caja de distribución</w:t>
            </w:r>
          </w:p>
          <w:p w14:paraId="33CFF052" w14:textId="77777777" w:rsidR="00E2264E" w:rsidRPr="00D936CA" w:rsidRDefault="00E2264E" w:rsidP="00D936CA">
            <w:pPr>
              <w:pStyle w:val="IFTnormal"/>
              <w:numPr>
                <w:ilvl w:val="0"/>
                <w:numId w:val="124"/>
              </w:numPr>
              <w:rPr>
                <w:sz w:val="20"/>
                <w:szCs w:val="20"/>
              </w:rPr>
            </w:pPr>
            <w:r w:rsidRPr="00D936CA">
              <w:rPr>
                <w:sz w:val="20"/>
                <w:szCs w:val="20"/>
              </w:rPr>
              <w:t>Acometida de conexión hacia pozo de CS</w:t>
            </w:r>
          </w:p>
          <w:p w14:paraId="33CFF053" w14:textId="77777777" w:rsidR="00E2264E" w:rsidRPr="00D936CA" w:rsidRDefault="00E2264E" w:rsidP="00D936CA">
            <w:pPr>
              <w:pStyle w:val="IFTnormal"/>
              <w:numPr>
                <w:ilvl w:val="0"/>
                <w:numId w:val="124"/>
              </w:numPr>
              <w:rPr>
                <w:sz w:val="20"/>
                <w:szCs w:val="20"/>
              </w:rPr>
            </w:pPr>
            <w:r w:rsidRPr="00D936CA">
              <w:rPr>
                <w:sz w:val="20"/>
                <w:szCs w:val="20"/>
              </w:rPr>
              <w:t>Pozo multi-concesionario</w:t>
            </w:r>
          </w:p>
        </w:tc>
      </w:tr>
      <w:tr w:rsidR="00D936CA" w:rsidRPr="00D936CA" w14:paraId="33CFF058" w14:textId="77777777" w:rsidTr="00060B2E">
        <w:tc>
          <w:tcPr>
            <w:tcW w:w="1446" w:type="pct"/>
          </w:tcPr>
          <w:p w14:paraId="33CFF055" w14:textId="77777777" w:rsidR="00E2264E" w:rsidRPr="00D936CA" w:rsidRDefault="00E2264E" w:rsidP="00D936CA">
            <w:pPr>
              <w:pStyle w:val="IFTnormal"/>
              <w:jc w:val="left"/>
              <w:rPr>
                <w:b/>
                <w:sz w:val="20"/>
                <w:szCs w:val="20"/>
              </w:rPr>
            </w:pPr>
            <w:r w:rsidRPr="00D936CA">
              <w:rPr>
                <w:b/>
                <w:sz w:val="20"/>
                <w:szCs w:val="20"/>
              </w:rPr>
              <w:t>Pruebas de Aceptación del Servicio</w:t>
            </w:r>
          </w:p>
        </w:tc>
        <w:tc>
          <w:tcPr>
            <w:tcW w:w="3554" w:type="pct"/>
          </w:tcPr>
          <w:p w14:paraId="33CFF056" w14:textId="480FC138" w:rsidR="00E2264E" w:rsidRPr="00D936CA" w:rsidRDefault="00E2264E" w:rsidP="00D936CA">
            <w:pPr>
              <w:pStyle w:val="IFTnormal"/>
              <w:rPr>
                <w:sz w:val="20"/>
                <w:szCs w:val="20"/>
              </w:rPr>
            </w:pPr>
            <w:r w:rsidRPr="00D936CA">
              <w:rPr>
                <w:sz w:val="20"/>
                <w:szCs w:val="20"/>
              </w:rPr>
              <w:t>Habiendo terminado la instalación de cableado multipar hasta el cierre de empalme ubicado en el pozo multi</w:t>
            </w:r>
            <w:r w:rsidR="00C16734" w:rsidRPr="00D936CA">
              <w:rPr>
                <w:sz w:val="20"/>
                <w:szCs w:val="20"/>
              </w:rPr>
              <w:t>-</w:t>
            </w:r>
            <w:r w:rsidRPr="00D936CA">
              <w:rPr>
                <w:sz w:val="20"/>
                <w:szCs w:val="20"/>
              </w:rPr>
              <w:t>concesionario, el CS deberá de iniciar con los trabajos de empalme de acuerdo a la posición de la tablilla en Anexo de Caja de Distribución asignada por Telmex.</w:t>
            </w:r>
          </w:p>
          <w:p w14:paraId="33CFF057" w14:textId="7B350E83" w:rsidR="00E2264E" w:rsidRPr="00D936CA" w:rsidRDefault="00E2264E" w:rsidP="00D936CA">
            <w:pPr>
              <w:pStyle w:val="IFTnormal"/>
            </w:pPr>
            <w:r w:rsidRPr="00D936CA">
              <w:rPr>
                <w:sz w:val="20"/>
                <w:szCs w:val="20"/>
              </w:rPr>
              <w:t xml:space="preserve">Cuando el servicio esté habilitado en coordinación con el CS que solicitó el servicio, se realizará la prueba de recepción, los resultados </w:t>
            </w:r>
            <w:r w:rsidRPr="00D936CA">
              <w:rPr>
                <w:sz w:val="20"/>
                <w:szCs w:val="20"/>
              </w:rPr>
              <w:lastRenderedPageBreak/>
              <w:t>de la prueba se presentarán en el SEG, para que el CS pueda consultarlas.</w:t>
            </w:r>
          </w:p>
        </w:tc>
      </w:tr>
      <w:tr w:rsidR="00E2264E" w:rsidRPr="00D936CA" w14:paraId="33CFF05D" w14:textId="77777777" w:rsidTr="00060B2E">
        <w:tc>
          <w:tcPr>
            <w:tcW w:w="1446" w:type="pct"/>
          </w:tcPr>
          <w:p w14:paraId="33CFF059" w14:textId="77777777" w:rsidR="00E2264E" w:rsidRPr="00D936CA" w:rsidRDefault="00E2264E" w:rsidP="00D936CA">
            <w:pPr>
              <w:pStyle w:val="IFTnormal"/>
              <w:jc w:val="left"/>
              <w:rPr>
                <w:b/>
                <w:sz w:val="20"/>
                <w:szCs w:val="20"/>
              </w:rPr>
            </w:pPr>
            <w:r w:rsidRPr="00D936CA">
              <w:rPr>
                <w:b/>
                <w:sz w:val="20"/>
                <w:szCs w:val="20"/>
              </w:rPr>
              <w:lastRenderedPageBreak/>
              <w:t>Facturación</w:t>
            </w:r>
          </w:p>
        </w:tc>
        <w:tc>
          <w:tcPr>
            <w:tcW w:w="3554" w:type="pct"/>
          </w:tcPr>
          <w:p w14:paraId="33CFF05A" w14:textId="77777777" w:rsidR="00E2264E" w:rsidRPr="00D936CA" w:rsidRDefault="00E2264E" w:rsidP="00D936CA">
            <w:pPr>
              <w:pStyle w:val="IFTnormal"/>
              <w:rPr>
                <w:sz w:val="20"/>
                <w:szCs w:val="20"/>
              </w:rPr>
            </w:pPr>
            <w:r w:rsidRPr="00D936CA">
              <w:rPr>
                <w:sz w:val="20"/>
                <w:szCs w:val="20"/>
              </w:rPr>
              <w:t>Al corte del mes se realizará la facturación aplicable al servicio:</w:t>
            </w:r>
          </w:p>
          <w:p w14:paraId="33CFF05B" w14:textId="77777777" w:rsidR="00E2264E" w:rsidRPr="00D936CA" w:rsidRDefault="00E2264E"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F05C" w14:textId="77777777" w:rsidR="00E2264E" w:rsidRPr="00D936CA" w:rsidRDefault="00E2264E"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F05E" w14:textId="77777777" w:rsidR="00E2264E" w:rsidRPr="00D936CA" w:rsidRDefault="00E2264E" w:rsidP="00D936CA">
      <w:pPr>
        <w:pStyle w:val="IFTnormal"/>
        <w:rPr>
          <w:b/>
        </w:rPr>
      </w:pPr>
    </w:p>
    <w:p w14:paraId="33CFF05F" w14:textId="77777777" w:rsidR="00E2264E" w:rsidRPr="00D936CA" w:rsidRDefault="00E2264E" w:rsidP="00060B2E">
      <w:pPr>
        <w:pStyle w:val="IFTnormal"/>
        <w:ind w:left="-567" w:right="-142"/>
        <w:rPr>
          <w:b/>
        </w:rPr>
      </w:pPr>
      <w:r w:rsidRPr="00D936CA">
        <w:rPr>
          <w:b/>
        </w:rPr>
        <w:t>Procedimiento de Contratación de Anexo de Caja (Trabajo Especial para construcción de Pozo):</w:t>
      </w:r>
    </w:p>
    <w:p w14:paraId="33CFF060" w14:textId="77777777" w:rsidR="00E2264E" w:rsidRPr="00D936CA" w:rsidRDefault="00E2264E" w:rsidP="00060B2E">
      <w:pPr>
        <w:pStyle w:val="IFTnormal"/>
        <w:ind w:left="-567" w:right="-142"/>
        <w:rPr>
          <w:rFonts w:cs="Arial"/>
          <w:b/>
          <w:lang w:val="es-ES" w:eastAsia="es-MX"/>
        </w:rPr>
      </w:pPr>
      <w:r w:rsidRPr="00D936CA">
        <w:rPr>
          <w:rFonts w:cs="Arial"/>
          <w:lang w:val="es-ES" w:eastAsia="es-MX"/>
        </w:rPr>
        <w:t xml:space="preserve">El objetivo y alcance de este procedimiento es definir la secuencia y actividades a desarrollar por parte de Telmex y del CS, a fin de realizar la contratación y entrega del Anexo de Caja de Distribución cuando el CS solicita a Telmex la construcción del pozo; las fases en que se divide este procedimiento son: </w:t>
      </w:r>
      <w:r w:rsidRPr="00D936CA">
        <w:rPr>
          <w:rFonts w:cs="Arial"/>
          <w:b/>
          <w:lang w:val="es-ES" w:eastAsia="es-MX"/>
        </w:rPr>
        <w:t>(i)</w:t>
      </w:r>
      <w:r w:rsidRPr="00D936CA">
        <w:rPr>
          <w:rFonts w:cs="Arial"/>
          <w:lang w:val="es-ES" w:eastAsia="es-MX"/>
        </w:rPr>
        <w:t xml:space="preserve"> Entrega y validación de la solicitud para que el CS manifieste su intención de contratar el servicio y la validación por parte de Telmex de que la solicitud cuenta con todos los elementos para la contratación del servicio; </w:t>
      </w:r>
      <w:r w:rsidRPr="00D936CA">
        <w:rPr>
          <w:rFonts w:cs="Arial"/>
          <w:b/>
          <w:lang w:val="es-ES" w:eastAsia="es-MX"/>
        </w:rPr>
        <w:t>(ii)</w:t>
      </w:r>
      <w:r w:rsidRPr="00D936CA">
        <w:rPr>
          <w:rFonts w:cs="Arial"/>
          <w:lang w:val="es-ES" w:eastAsia="es-MX"/>
        </w:rPr>
        <w:t xml:space="preserve"> </w:t>
      </w:r>
      <w:r w:rsidRPr="00D936CA">
        <w:rPr>
          <w:rFonts w:cs="Arial"/>
        </w:rPr>
        <w:t xml:space="preserve">Análisis de Factibilidad Técnica a fin de que Telmex pueda verificar que cuenta con los elementos para brindar el servicio solicitado; </w:t>
      </w:r>
      <w:r w:rsidRPr="00D936CA">
        <w:rPr>
          <w:rFonts w:cs="Arial"/>
          <w:b/>
        </w:rPr>
        <w:t>(iii)</w:t>
      </w:r>
      <w:r w:rsidRPr="00D936CA">
        <w:rPr>
          <w:rFonts w:cs="Arial"/>
        </w:rPr>
        <w:t xml:space="preserve"> Coordinación de las solicitudes de los CS que deseen participar en el pozo multiconcesionario; </w:t>
      </w:r>
      <w:r w:rsidRPr="00D936CA">
        <w:rPr>
          <w:rFonts w:cs="Arial"/>
          <w:b/>
        </w:rPr>
        <w:t>(iv)</w:t>
      </w:r>
      <w:r w:rsidRPr="00D936CA">
        <w:rPr>
          <w:rFonts w:cs="Arial"/>
        </w:rPr>
        <w:t xml:space="preserve"> Coordinación para la instalación del cableado multipar y trabajos de empalme; (v) Habilitación del servicio solicitado, que detonará los procesos de pruebas de entrega y facturación.</w:t>
      </w:r>
    </w:p>
    <w:p w14:paraId="33CFF061" w14:textId="184828F9" w:rsidR="00E2264E" w:rsidRPr="00D936CA" w:rsidRDefault="00E2264E" w:rsidP="00060B2E">
      <w:pPr>
        <w:pStyle w:val="IFTnormal"/>
        <w:ind w:left="-567" w:right="-142"/>
      </w:pPr>
      <w:r w:rsidRPr="00D936CA">
        <w:t xml:space="preserve">Telmex administrará las solicitudes de distintos Concesionarios. Una vez que ingrese la primer solicitud se pondrá un anuncio durante 3 días hábiles a través del </w:t>
      </w:r>
      <w:r w:rsidR="001D7A9A" w:rsidRPr="00D936CA">
        <w:t>SEG con</w:t>
      </w:r>
      <w:r w:rsidRPr="00D936CA">
        <w:t xml:space="preserve"> el fin de que otros concesionarios interesados soliciten el servicio, en este caso, éstos deberán ingresar la solicitud de tablillas adicionales a través del SEG. </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064" w14:textId="77777777" w:rsidTr="00060B2E">
        <w:tc>
          <w:tcPr>
            <w:tcW w:w="1446" w:type="pct"/>
          </w:tcPr>
          <w:p w14:paraId="33CFF062" w14:textId="77777777" w:rsidR="00E2264E" w:rsidRPr="00D936CA" w:rsidRDefault="00E2264E" w:rsidP="00D936CA">
            <w:pPr>
              <w:pStyle w:val="IFTnormal"/>
              <w:jc w:val="center"/>
              <w:rPr>
                <w:b/>
                <w:sz w:val="20"/>
                <w:szCs w:val="20"/>
              </w:rPr>
            </w:pPr>
            <w:r w:rsidRPr="00D936CA">
              <w:rPr>
                <w:b/>
                <w:sz w:val="20"/>
                <w:szCs w:val="20"/>
              </w:rPr>
              <w:t>Etapa</w:t>
            </w:r>
          </w:p>
        </w:tc>
        <w:tc>
          <w:tcPr>
            <w:tcW w:w="3554" w:type="pct"/>
          </w:tcPr>
          <w:p w14:paraId="33CFF063" w14:textId="77777777" w:rsidR="00E2264E" w:rsidRPr="00D936CA" w:rsidRDefault="00E2264E" w:rsidP="00D936CA">
            <w:pPr>
              <w:pStyle w:val="IFTnormal"/>
              <w:jc w:val="center"/>
              <w:rPr>
                <w:b/>
                <w:sz w:val="20"/>
                <w:szCs w:val="20"/>
              </w:rPr>
            </w:pPr>
            <w:r w:rsidRPr="00D936CA">
              <w:rPr>
                <w:b/>
                <w:sz w:val="20"/>
                <w:szCs w:val="20"/>
              </w:rPr>
              <w:t>Descripción</w:t>
            </w:r>
          </w:p>
        </w:tc>
      </w:tr>
      <w:tr w:rsidR="00D936CA" w:rsidRPr="00D936CA" w14:paraId="33CFF069" w14:textId="77777777" w:rsidTr="00060B2E">
        <w:tc>
          <w:tcPr>
            <w:tcW w:w="1446" w:type="pct"/>
          </w:tcPr>
          <w:p w14:paraId="33CFF065" w14:textId="77777777" w:rsidR="00E2264E" w:rsidRPr="00D936CA" w:rsidRDefault="00E2264E" w:rsidP="00D936CA">
            <w:pPr>
              <w:pStyle w:val="IFTnormal"/>
              <w:jc w:val="left"/>
              <w:rPr>
                <w:b/>
                <w:sz w:val="20"/>
                <w:szCs w:val="20"/>
              </w:rPr>
            </w:pPr>
            <w:r w:rsidRPr="00D936CA">
              <w:rPr>
                <w:b/>
                <w:sz w:val="20"/>
                <w:szCs w:val="20"/>
              </w:rPr>
              <w:t>Envío de solicitud</w:t>
            </w:r>
          </w:p>
        </w:tc>
        <w:tc>
          <w:tcPr>
            <w:tcW w:w="3554" w:type="pct"/>
          </w:tcPr>
          <w:p w14:paraId="33CFF066" w14:textId="4C6A86BE" w:rsidR="00E2264E" w:rsidRPr="00D936CA" w:rsidRDefault="00E2264E" w:rsidP="00D936CA">
            <w:pPr>
              <w:pStyle w:val="IFTnormal"/>
              <w:rPr>
                <w:sz w:val="20"/>
                <w:szCs w:val="20"/>
              </w:rPr>
            </w:pPr>
            <w:r w:rsidRPr="00D936CA">
              <w:rPr>
                <w:sz w:val="20"/>
                <w:szCs w:val="20"/>
              </w:rPr>
              <w:t>El CS deberá presentar sus solicitudes en el formato correspondiente a través del SEG:</w:t>
            </w:r>
          </w:p>
          <w:p w14:paraId="33CFF067" w14:textId="77777777" w:rsidR="00E2264E" w:rsidRPr="00D936CA" w:rsidRDefault="00E2264E" w:rsidP="00D936CA">
            <w:pPr>
              <w:pStyle w:val="IFTnormal"/>
              <w:numPr>
                <w:ilvl w:val="0"/>
                <w:numId w:val="122"/>
              </w:numPr>
              <w:rPr>
                <w:sz w:val="20"/>
                <w:szCs w:val="20"/>
              </w:rPr>
            </w:pPr>
            <w:r w:rsidRPr="00D936CA">
              <w:rPr>
                <w:sz w:val="20"/>
                <w:szCs w:val="20"/>
              </w:rPr>
              <w:t>Solicitará la construcción del pozo.</w:t>
            </w:r>
          </w:p>
          <w:p w14:paraId="33CFF068" w14:textId="77777777" w:rsidR="00E2264E" w:rsidRPr="00D936CA" w:rsidRDefault="00E2264E" w:rsidP="00D936CA">
            <w:pPr>
              <w:pStyle w:val="IFTnormal"/>
              <w:spacing w:after="120" w:line="240" w:lineRule="auto"/>
              <w:ind w:left="34"/>
              <w:rPr>
                <w:sz w:val="20"/>
                <w:szCs w:val="20"/>
              </w:rPr>
            </w:pPr>
            <w:r w:rsidRPr="00D936CA">
              <w:rPr>
                <w:sz w:val="20"/>
                <w:szCs w:val="20"/>
              </w:rPr>
              <w:t>Una vez enviada se asignará de forma automática un número de folio a la solicitud del CS.</w:t>
            </w:r>
          </w:p>
        </w:tc>
      </w:tr>
      <w:tr w:rsidR="00D936CA" w:rsidRPr="00D936CA" w14:paraId="33CFF06E" w14:textId="77777777" w:rsidTr="00060B2E">
        <w:tc>
          <w:tcPr>
            <w:tcW w:w="1446" w:type="pct"/>
          </w:tcPr>
          <w:p w14:paraId="33CFF06A" w14:textId="77777777" w:rsidR="00E2264E" w:rsidRPr="00D936CA" w:rsidRDefault="00E2264E"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F06B" w14:textId="77777777" w:rsidR="00E2264E" w:rsidRPr="00D936CA" w:rsidRDefault="00E2264E"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F06C"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xml:space="preserve">, se procede con el análisis de Factibilidad </w:t>
            </w:r>
            <w:r w:rsidRPr="00D936CA">
              <w:rPr>
                <w:sz w:val="20"/>
                <w:szCs w:val="20"/>
              </w:rPr>
              <w:lastRenderedPageBreak/>
              <w:t>Técnica.</w:t>
            </w:r>
          </w:p>
          <w:p w14:paraId="33CFF06D"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075" w14:textId="77777777" w:rsidTr="00060B2E">
        <w:tc>
          <w:tcPr>
            <w:tcW w:w="1446" w:type="pct"/>
          </w:tcPr>
          <w:p w14:paraId="33CFF06F" w14:textId="77777777" w:rsidR="00E2264E" w:rsidRPr="00D936CA" w:rsidRDefault="00E2264E" w:rsidP="00D936CA">
            <w:pPr>
              <w:pStyle w:val="IFTnormal"/>
              <w:jc w:val="left"/>
              <w:rPr>
                <w:b/>
                <w:sz w:val="20"/>
                <w:szCs w:val="20"/>
              </w:rPr>
            </w:pPr>
            <w:r w:rsidRPr="00D936CA">
              <w:rPr>
                <w:b/>
                <w:sz w:val="20"/>
                <w:szCs w:val="20"/>
              </w:rPr>
              <w:lastRenderedPageBreak/>
              <w:t>Factibilidad Técnica</w:t>
            </w:r>
          </w:p>
        </w:tc>
        <w:tc>
          <w:tcPr>
            <w:tcW w:w="3554" w:type="pct"/>
          </w:tcPr>
          <w:p w14:paraId="33CFF070" w14:textId="77777777" w:rsidR="00E2264E" w:rsidRPr="00D936CA" w:rsidRDefault="00E2264E" w:rsidP="00D936CA">
            <w:pPr>
              <w:pStyle w:val="IFTnormal"/>
              <w:rPr>
                <w:sz w:val="20"/>
                <w:szCs w:val="20"/>
              </w:rPr>
            </w:pPr>
            <w:r w:rsidRPr="00D936CA">
              <w:rPr>
                <w:sz w:val="20"/>
                <w:szCs w:val="20"/>
              </w:rPr>
              <w:t>Telmex verificará la factibilidad técnica para realizar la construcción de un anexo de caja y del pozo en un plazo máximo de 3 días hábiles:</w:t>
            </w:r>
          </w:p>
          <w:p w14:paraId="33CFF071"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 xml:space="preserve">Es factible </w:t>
            </w:r>
            <w:r w:rsidRPr="00D936CA">
              <w:rPr>
                <w:sz w:val="20"/>
                <w:szCs w:val="20"/>
              </w:rPr>
              <w:t>la construcción del anexo de caja y pozo.</w:t>
            </w:r>
          </w:p>
          <w:p w14:paraId="33CFF072" w14:textId="77777777" w:rsidR="00E2264E" w:rsidRPr="00D936CA" w:rsidRDefault="00E2264E" w:rsidP="00D936CA">
            <w:pPr>
              <w:pStyle w:val="IFTnormal"/>
              <w:numPr>
                <w:ilvl w:val="0"/>
                <w:numId w:val="102"/>
              </w:numPr>
              <w:ind w:left="318" w:hanging="318"/>
              <w:rPr>
                <w:b/>
                <w:sz w:val="20"/>
                <w:szCs w:val="20"/>
              </w:rPr>
            </w:pPr>
            <w:r w:rsidRPr="00D936CA">
              <w:rPr>
                <w:b/>
                <w:sz w:val="20"/>
                <w:szCs w:val="20"/>
              </w:rPr>
              <w:t>No es factible:</w:t>
            </w:r>
          </w:p>
          <w:p w14:paraId="33CFF073" w14:textId="3CC24F5E" w:rsidR="00E2264E" w:rsidRPr="00D936CA" w:rsidRDefault="00E2264E" w:rsidP="00D936CA">
            <w:pPr>
              <w:pStyle w:val="IFTnormal"/>
              <w:numPr>
                <w:ilvl w:val="0"/>
                <w:numId w:val="125"/>
              </w:numPr>
              <w:rPr>
                <w:sz w:val="20"/>
                <w:szCs w:val="20"/>
              </w:rPr>
            </w:pPr>
            <w:r w:rsidRPr="00D936CA">
              <w:rPr>
                <w:b/>
                <w:sz w:val="20"/>
                <w:szCs w:val="20"/>
              </w:rPr>
              <w:t>La construcción del pozo</w:t>
            </w:r>
            <w:r w:rsidRPr="00D936CA">
              <w:rPr>
                <w:sz w:val="20"/>
                <w:szCs w:val="20"/>
              </w:rPr>
              <w:t>, se presentará al CS, a través del SEG, la justificación de los motivos descritos en el apartado 1.4 relativo a los recursos de red asociados a los servicios, así como las evidencias correspondientes. En este caso, se da por terminado el proceso y se cancela la solicitud.</w:t>
            </w:r>
          </w:p>
          <w:p w14:paraId="33CFF074" w14:textId="056B9FD8" w:rsidR="00E2264E" w:rsidRPr="00D936CA" w:rsidRDefault="00E2264E" w:rsidP="00D936CA">
            <w:pPr>
              <w:pStyle w:val="IFTnormal"/>
              <w:numPr>
                <w:ilvl w:val="0"/>
                <w:numId w:val="125"/>
              </w:numPr>
              <w:rPr>
                <w:sz w:val="20"/>
                <w:szCs w:val="20"/>
              </w:rPr>
            </w:pPr>
            <w:r w:rsidRPr="00D936CA">
              <w:rPr>
                <w:b/>
                <w:sz w:val="20"/>
                <w:szCs w:val="20"/>
              </w:rPr>
              <w:t>La construcción del Anexo de Caja</w:t>
            </w:r>
            <w:r w:rsidRPr="00D936CA">
              <w:rPr>
                <w:sz w:val="20"/>
                <w:szCs w:val="20"/>
              </w:rPr>
              <w:t>, se presentará al CS, a través del SEG, la justificación de los motivos descritos en el apartado 1.4 relativo a los recursos de red asociados a los servicios, así como las evidencias correspondientes, y a solicitud del CS se iniciará el procedimiento de Trabajo Especial contenido en la sección 11 de esta OREDA.</w:t>
            </w:r>
          </w:p>
        </w:tc>
      </w:tr>
      <w:tr w:rsidR="00D936CA" w:rsidRPr="00D936CA" w14:paraId="33CFF07C" w14:textId="77777777" w:rsidTr="00060B2E">
        <w:tc>
          <w:tcPr>
            <w:tcW w:w="1446" w:type="pct"/>
          </w:tcPr>
          <w:p w14:paraId="33CFF076" w14:textId="77777777" w:rsidR="00E2264E" w:rsidRPr="00D936CA" w:rsidRDefault="00E2264E" w:rsidP="00D936CA">
            <w:pPr>
              <w:pStyle w:val="IFTnormal"/>
              <w:jc w:val="left"/>
              <w:rPr>
                <w:b/>
                <w:sz w:val="20"/>
                <w:szCs w:val="20"/>
              </w:rPr>
            </w:pPr>
            <w:r w:rsidRPr="00D936CA">
              <w:rPr>
                <w:b/>
                <w:sz w:val="20"/>
                <w:szCs w:val="20"/>
              </w:rPr>
              <w:t>Coordinación de las solicitudes de los CS que deseen participar en el pozo multiconcesionario;</w:t>
            </w:r>
          </w:p>
        </w:tc>
        <w:tc>
          <w:tcPr>
            <w:tcW w:w="3554" w:type="pct"/>
          </w:tcPr>
          <w:p w14:paraId="33CFF077" w14:textId="77777777" w:rsidR="00E2264E" w:rsidRPr="00D936CA" w:rsidRDefault="00E2264E" w:rsidP="00D936CA">
            <w:pPr>
              <w:pStyle w:val="IFTnormal"/>
              <w:rPr>
                <w:sz w:val="20"/>
                <w:szCs w:val="20"/>
              </w:rPr>
            </w:pPr>
            <w:r w:rsidRPr="00D936CA">
              <w:rPr>
                <w:sz w:val="20"/>
                <w:szCs w:val="20"/>
              </w:rPr>
              <w:t>En un plazo no mayor a 10 días hábiles (contabilizados a partir de la recepción de la solicitud del servicio) se enviará la cotización por el gasto de instalación de:</w:t>
            </w:r>
          </w:p>
          <w:p w14:paraId="33CFF078" w14:textId="77777777" w:rsidR="00E2264E" w:rsidRPr="00D936CA" w:rsidRDefault="00E2264E" w:rsidP="00D936CA">
            <w:pPr>
              <w:pStyle w:val="IFTnormal"/>
              <w:numPr>
                <w:ilvl w:val="0"/>
                <w:numId w:val="126"/>
              </w:numPr>
              <w:rPr>
                <w:sz w:val="20"/>
                <w:szCs w:val="20"/>
              </w:rPr>
            </w:pPr>
            <w:r w:rsidRPr="00D936CA">
              <w:rPr>
                <w:sz w:val="20"/>
                <w:szCs w:val="20"/>
              </w:rPr>
              <w:t>Anexo de Caja de Distribución.</w:t>
            </w:r>
          </w:p>
          <w:p w14:paraId="33CFF079" w14:textId="77777777" w:rsidR="00E2264E" w:rsidRPr="00D936CA" w:rsidRDefault="00E2264E" w:rsidP="00D936CA">
            <w:pPr>
              <w:pStyle w:val="IFTnormal"/>
              <w:numPr>
                <w:ilvl w:val="0"/>
                <w:numId w:val="126"/>
              </w:numPr>
              <w:rPr>
                <w:sz w:val="20"/>
                <w:szCs w:val="20"/>
              </w:rPr>
            </w:pPr>
            <w:r w:rsidRPr="00D936CA">
              <w:rPr>
                <w:sz w:val="20"/>
                <w:szCs w:val="20"/>
              </w:rPr>
              <w:t>Construcción del pozo, de la acometida hasta el pozo multiconcesionario.</w:t>
            </w:r>
          </w:p>
          <w:p w14:paraId="33CFF07A" w14:textId="77777777" w:rsidR="00E2264E" w:rsidRPr="00D936CA" w:rsidRDefault="00E2264E" w:rsidP="00D936CA">
            <w:pPr>
              <w:pStyle w:val="IFTnormal"/>
              <w:numPr>
                <w:ilvl w:val="0"/>
                <w:numId w:val="126"/>
              </w:numPr>
              <w:rPr>
                <w:sz w:val="20"/>
                <w:szCs w:val="20"/>
              </w:rPr>
            </w:pPr>
            <w:r w:rsidRPr="00D936CA">
              <w:rPr>
                <w:sz w:val="20"/>
                <w:szCs w:val="20"/>
              </w:rPr>
              <w:t>Instalación de cable multipar desde la tablilla del Anexo de Caja de Distribución hasta el cierre de empalme en el pozo multiconcesionario.</w:t>
            </w:r>
          </w:p>
          <w:p w14:paraId="33CFF07B" w14:textId="77777777" w:rsidR="00E2264E" w:rsidRPr="00D936CA" w:rsidRDefault="00E2264E" w:rsidP="00D936CA">
            <w:pPr>
              <w:pStyle w:val="IFTnormal"/>
              <w:rPr>
                <w:sz w:val="20"/>
                <w:szCs w:val="20"/>
              </w:rPr>
            </w:pPr>
            <w:r w:rsidRPr="00D936CA">
              <w:rPr>
                <w:sz w:val="20"/>
                <w:szCs w:val="20"/>
              </w:rPr>
              <w:t>El CS contará con 5 días hábiles para aceptar la cotización correspondiente al gasto de instalación</w:t>
            </w:r>
            <w:r w:rsidRPr="00D936CA">
              <w:rPr>
                <w:rStyle w:val="Refdenotaalpie"/>
                <w:rFonts w:cs="Arial"/>
              </w:rPr>
              <w:footnoteReference w:id="49"/>
            </w:r>
            <w:r w:rsidRPr="00D936CA">
              <w:rPr>
                <w:sz w:val="20"/>
                <w:szCs w:val="20"/>
              </w:rPr>
              <w:t>, dentro de este plazo el CS podrá analizar el presupuesto y solicitar aclaraciones a Telmex, de no recibirse el pago se entenderá que el CS rechazó el servicio.</w:t>
            </w:r>
          </w:p>
        </w:tc>
      </w:tr>
      <w:tr w:rsidR="00D936CA" w:rsidRPr="00D936CA" w14:paraId="33CFF07F" w14:textId="77777777" w:rsidTr="00060B2E">
        <w:tc>
          <w:tcPr>
            <w:tcW w:w="1446" w:type="pct"/>
          </w:tcPr>
          <w:p w14:paraId="33CFF07D" w14:textId="77777777" w:rsidR="00E2264E" w:rsidRPr="00D936CA" w:rsidRDefault="00E2264E" w:rsidP="00D936CA">
            <w:pPr>
              <w:pStyle w:val="IFTnormal"/>
              <w:jc w:val="left"/>
              <w:rPr>
                <w:b/>
                <w:sz w:val="20"/>
                <w:szCs w:val="20"/>
              </w:rPr>
            </w:pPr>
            <w:r w:rsidRPr="00D936CA">
              <w:rPr>
                <w:b/>
                <w:sz w:val="20"/>
                <w:szCs w:val="20"/>
              </w:rPr>
              <w:lastRenderedPageBreak/>
              <w:t>Coordinación para la instalación del cableado multipar y trabajos de empalme</w:t>
            </w:r>
          </w:p>
        </w:tc>
        <w:tc>
          <w:tcPr>
            <w:tcW w:w="3554" w:type="pct"/>
          </w:tcPr>
          <w:p w14:paraId="33CFF07E" w14:textId="77777777" w:rsidR="00E2264E" w:rsidRPr="00D936CA" w:rsidRDefault="00E2264E" w:rsidP="00D936CA">
            <w:pPr>
              <w:pStyle w:val="IFTnormal"/>
              <w:numPr>
                <w:ilvl w:val="0"/>
                <w:numId w:val="123"/>
              </w:numPr>
              <w:rPr>
                <w:sz w:val="20"/>
                <w:szCs w:val="20"/>
              </w:rPr>
            </w:pPr>
            <w:r w:rsidRPr="00D936CA">
              <w:rPr>
                <w:sz w:val="20"/>
                <w:szCs w:val="20"/>
              </w:rPr>
              <w:t>Una vez aceptada la cotización, se iniciará la construcción del pozo a través del procedimiento de Trabajos Especiales contenido en la sección 11 de esta OREDA. Una vez concluido el Trabajo Especial se inicia la construcción del Anexo de Caja</w:t>
            </w:r>
            <w:r w:rsidRPr="00D936CA">
              <w:rPr>
                <w:rStyle w:val="Refdenotaalpie"/>
                <w:rFonts w:cs="Arial"/>
              </w:rPr>
              <w:footnoteReference w:id="50"/>
            </w:r>
            <w:r w:rsidRPr="00D936CA">
              <w:rPr>
                <w:sz w:val="20"/>
                <w:szCs w:val="20"/>
              </w:rPr>
              <w:t>.</w:t>
            </w:r>
          </w:p>
        </w:tc>
      </w:tr>
      <w:tr w:rsidR="00D936CA" w:rsidRPr="00D936CA" w14:paraId="33CFF082" w14:textId="77777777" w:rsidTr="00060B2E">
        <w:tc>
          <w:tcPr>
            <w:tcW w:w="1446" w:type="pct"/>
          </w:tcPr>
          <w:p w14:paraId="33CFF080" w14:textId="77777777" w:rsidR="00E2264E" w:rsidRPr="00D936CA" w:rsidRDefault="00E2264E" w:rsidP="00D936CA">
            <w:pPr>
              <w:pStyle w:val="IFTnormal"/>
              <w:jc w:val="left"/>
              <w:rPr>
                <w:b/>
                <w:sz w:val="20"/>
                <w:szCs w:val="20"/>
              </w:rPr>
            </w:pPr>
            <w:r w:rsidRPr="00D936CA">
              <w:rPr>
                <w:b/>
                <w:sz w:val="20"/>
                <w:szCs w:val="20"/>
              </w:rPr>
              <w:t>Habilitación y aprovisionamiento del Servicio</w:t>
            </w:r>
          </w:p>
        </w:tc>
        <w:tc>
          <w:tcPr>
            <w:tcW w:w="3554" w:type="pct"/>
          </w:tcPr>
          <w:p w14:paraId="33CFF081" w14:textId="77777777" w:rsidR="00E2264E" w:rsidRPr="00D936CA" w:rsidRDefault="00E2264E" w:rsidP="00D936CA">
            <w:pPr>
              <w:pStyle w:val="IFTnormal"/>
              <w:rPr>
                <w:sz w:val="20"/>
                <w:szCs w:val="20"/>
              </w:rPr>
            </w:pPr>
            <w:r w:rsidRPr="00D936CA">
              <w:rPr>
                <w:sz w:val="20"/>
                <w:szCs w:val="20"/>
              </w:rPr>
              <w:t>Una vez terminada la instalación de cableado multipar hasta el cierre de empalme ubicado en el pozo multiconcesionario, el CS deberá iniciar con los trabajos de empalme de acuerdo a la posición de la tablilla en el Anexo de Caja de Distribución asignada por Telmex.</w:t>
            </w:r>
          </w:p>
        </w:tc>
      </w:tr>
      <w:tr w:rsidR="00D936CA" w:rsidRPr="00D936CA" w14:paraId="33CFF085" w14:textId="77777777" w:rsidTr="00060B2E">
        <w:tc>
          <w:tcPr>
            <w:tcW w:w="1446" w:type="pct"/>
          </w:tcPr>
          <w:p w14:paraId="33CFF083" w14:textId="77777777" w:rsidR="00E2264E" w:rsidRPr="00D936CA" w:rsidRDefault="00E2264E" w:rsidP="00D936CA">
            <w:pPr>
              <w:pStyle w:val="IFTnormal"/>
              <w:jc w:val="left"/>
              <w:rPr>
                <w:b/>
                <w:sz w:val="20"/>
                <w:szCs w:val="20"/>
              </w:rPr>
            </w:pPr>
            <w:r w:rsidRPr="00D936CA">
              <w:rPr>
                <w:b/>
                <w:sz w:val="20"/>
                <w:szCs w:val="20"/>
              </w:rPr>
              <w:t>Pruebas de Aceptación del Servicio</w:t>
            </w:r>
          </w:p>
        </w:tc>
        <w:tc>
          <w:tcPr>
            <w:tcW w:w="3554" w:type="pct"/>
          </w:tcPr>
          <w:p w14:paraId="33CFF084" w14:textId="5B84D4C0" w:rsidR="00E2264E" w:rsidRPr="00D936CA" w:rsidRDefault="00E2264E" w:rsidP="00D936CA">
            <w:pPr>
              <w:pStyle w:val="IFTnormal"/>
            </w:pPr>
            <w:r w:rsidRPr="00D936CA">
              <w:rPr>
                <w:sz w:val="20"/>
                <w:szCs w:val="20"/>
              </w:rPr>
              <w:t>Cuando ambos servicios estén habilitados, en coordinación con el CS que solicitó el servicio se realizará la prueba de recepción, los resultados de la prueba se presentarán en el SEG, para que el CS pueda consultarlas.</w:t>
            </w:r>
          </w:p>
        </w:tc>
      </w:tr>
      <w:tr w:rsidR="00E2264E" w:rsidRPr="00D936CA" w14:paraId="33CFF08A" w14:textId="77777777" w:rsidTr="00060B2E">
        <w:tc>
          <w:tcPr>
            <w:tcW w:w="1446" w:type="pct"/>
          </w:tcPr>
          <w:p w14:paraId="33CFF086" w14:textId="77777777" w:rsidR="00E2264E" w:rsidRPr="00D936CA" w:rsidRDefault="00E2264E" w:rsidP="00D936CA">
            <w:pPr>
              <w:pStyle w:val="IFTnormal"/>
              <w:jc w:val="left"/>
              <w:rPr>
                <w:b/>
                <w:sz w:val="20"/>
                <w:szCs w:val="20"/>
              </w:rPr>
            </w:pPr>
            <w:r w:rsidRPr="00D936CA">
              <w:rPr>
                <w:b/>
                <w:sz w:val="20"/>
                <w:szCs w:val="20"/>
              </w:rPr>
              <w:t>Facturación</w:t>
            </w:r>
          </w:p>
        </w:tc>
        <w:tc>
          <w:tcPr>
            <w:tcW w:w="3554" w:type="pct"/>
          </w:tcPr>
          <w:p w14:paraId="33CFF087" w14:textId="77777777" w:rsidR="00E2264E" w:rsidRPr="00D936CA" w:rsidRDefault="00E2264E" w:rsidP="00D936CA">
            <w:pPr>
              <w:pStyle w:val="IFTnormal"/>
              <w:rPr>
                <w:sz w:val="20"/>
                <w:szCs w:val="20"/>
              </w:rPr>
            </w:pPr>
            <w:r w:rsidRPr="00D936CA">
              <w:rPr>
                <w:sz w:val="20"/>
                <w:szCs w:val="20"/>
              </w:rPr>
              <w:t>Al corte del mes se realizará la facturación aplicable al servicio:</w:t>
            </w:r>
          </w:p>
          <w:p w14:paraId="33CFF088" w14:textId="77777777" w:rsidR="00E2264E" w:rsidRPr="00D936CA" w:rsidRDefault="00E2264E"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F089" w14:textId="77777777" w:rsidR="00E2264E" w:rsidRPr="00D936CA" w:rsidRDefault="00E2264E"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F08B" w14:textId="77777777" w:rsidR="00E2264E" w:rsidRPr="00D936CA" w:rsidRDefault="00E2264E" w:rsidP="00060B2E">
      <w:pPr>
        <w:pStyle w:val="IFTnormal"/>
        <w:ind w:left="-567" w:right="-142"/>
      </w:pPr>
    </w:p>
    <w:p w14:paraId="33CFF08C" w14:textId="77777777" w:rsidR="00E2264E" w:rsidRPr="00D936CA" w:rsidRDefault="00E2264E" w:rsidP="00060B2E">
      <w:pPr>
        <w:pStyle w:val="IFTnormal"/>
        <w:ind w:left="-567" w:right="-142"/>
        <w:rPr>
          <w:b/>
        </w:rPr>
      </w:pPr>
      <w:r w:rsidRPr="00D936CA">
        <w:rPr>
          <w:b/>
        </w:rPr>
        <w:t>Procedimiento de Contratación de Anexo de Caja (Arrendamiento de pozo a través de la Oferta de Referencia de Compartición de Infraestructura):</w:t>
      </w:r>
    </w:p>
    <w:p w14:paraId="33CFF08D" w14:textId="433F74C3" w:rsidR="00E2264E" w:rsidRPr="00D936CA" w:rsidRDefault="00E2264E" w:rsidP="00060B2E">
      <w:pPr>
        <w:pStyle w:val="IFTnormal"/>
        <w:ind w:left="-567" w:right="-142"/>
        <w:rPr>
          <w:rFonts w:cs="Arial"/>
        </w:rPr>
      </w:pPr>
      <w:r w:rsidRPr="00D936CA">
        <w:t xml:space="preserve">A solicitud del CS se pone a disposición, la compartición de un pozo de Telmex a través de la Oferta de Referencia de Compartición de Infraestructura, esto siempre que exista el pozo y no se establezca ninguna limitante a su uso, para lo cual </w:t>
      </w:r>
      <w:r w:rsidRPr="00D936CA">
        <w:rPr>
          <w:rFonts w:cs="Arial"/>
        </w:rPr>
        <w:t>el CS deberá proporcionar el NIS-Referencia del pozo arrendado a través del SEG.</w:t>
      </w:r>
    </w:p>
    <w:p w14:paraId="33CFF08E" w14:textId="6A7D3847" w:rsidR="00E2264E" w:rsidRPr="00D936CA" w:rsidRDefault="00E2264E" w:rsidP="00060B2E">
      <w:pPr>
        <w:pStyle w:val="IFTnormal"/>
        <w:ind w:left="-567" w:right="-142"/>
      </w:pPr>
      <w:r w:rsidRPr="00D936CA">
        <w:t xml:space="preserve">Telmex administrará las solicitudes de distintos Concesionarios. Una vez que ingrese la primera solicitud se notificará a través del SEG con el fin de que otros concesionarios interesados soliciten el servicio. </w:t>
      </w:r>
    </w:p>
    <w:p w14:paraId="33CFF08F" w14:textId="2358A0B1" w:rsidR="00E2264E" w:rsidRDefault="00E2264E" w:rsidP="00060B2E">
      <w:pPr>
        <w:pStyle w:val="IFTnormal"/>
        <w:ind w:left="-567" w:right="-142"/>
        <w:rPr>
          <w:rFonts w:cs="Arial"/>
        </w:rPr>
      </w:pPr>
      <w:r w:rsidRPr="00D936CA">
        <w:rPr>
          <w:rFonts w:cs="Arial"/>
          <w:lang w:val="es-ES" w:eastAsia="es-MX"/>
        </w:rPr>
        <w:t xml:space="preserve">El objetivo y alcance de este procedimiento es definir los pasos y actividades a desarrollar por parte de Telmex y del CS, a fin de realizar la contratación y entrega del Anexo de Caja de Distribución cuando el CS arrienda el pozo a Telmex; las fases en que se divide este procedimiento son: </w:t>
      </w:r>
      <w:r w:rsidRPr="00D936CA">
        <w:rPr>
          <w:rFonts w:cs="Arial"/>
          <w:b/>
          <w:lang w:val="es-ES" w:eastAsia="es-MX"/>
        </w:rPr>
        <w:t>(i)</w:t>
      </w:r>
      <w:r w:rsidRPr="00D936CA">
        <w:rPr>
          <w:rFonts w:cs="Arial"/>
          <w:lang w:val="es-ES" w:eastAsia="es-MX"/>
        </w:rPr>
        <w:t xml:space="preserve"> Entrega y validación de la solicitud para que el CS manifieste su </w:t>
      </w:r>
      <w:r w:rsidRPr="00D936CA">
        <w:rPr>
          <w:rFonts w:cs="Arial"/>
          <w:lang w:val="es-ES" w:eastAsia="es-MX"/>
        </w:rPr>
        <w:lastRenderedPageBreak/>
        <w:t xml:space="preserve">intención de contratar el servicio y la validación por parte de Telmex de que la solicitud cuenta con todos los elementos para la contratación del servicio; </w:t>
      </w:r>
      <w:r w:rsidRPr="00D936CA">
        <w:rPr>
          <w:rFonts w:cs="Arial"/>
          <w:b/>
          <w:lang w:val="es-ES" w:eastAsia="es-MX"/>
        </w:rPr>
        <w:t>(ii)</w:t>
      </w:r>
      <w:r w:rsidRPr="00D936CA">
        <w:rPr>
          <w:rFonts w:cs="Arial"/>
          <w:lang w:val="es-ES" w:eastAsia="es-MX"/>
        </w:rPr>
        <w:t xml:space="preserve"> </w:t>
      </w:r>
      <w:r w:rsidRPr="00D936CA">
        <w:rPr>
          <w:rFonts w:cs="Arial"/>
        </w:rPr>
        <w:t xml:space="preserve">Análisis de Factibilidad técnica a fin de que Telmex pueda verificar que cuenta con los elementos para brindar el servicio solicitado; </w:t>
      </w:r>
      <w:r w:rsidRPr="00D936CA">
        <w:rPr>
          <w:rFonts w:cs="Arial"/>
          <w:b/>
        </w:rPr>
        <w:t>(iii)</w:t>
      </w:r>
      <w:r w:rsidRPr="00D936CA">
        <w:rPr>
          <w:rFonts w:cs="Arial"/>
        </w:rPr>
        <w:t xml:space="preserve"> Coordinación de las solicitudes de los CS que deseen participar en el pozo multiconcesionario; </w:t>
      </w:r>
      <w:r w:rsidRPr="00D936CA">
        <w:rPr>
          <w:rFonts w:cs="Arial"/>
          <w:b/>
        </w:rPr>
        <w:t>(iv)</w:t>
      </w:r>
      <w:r w:rsidRPr="00D936CA">
        <w:rPr>
          <w:rFonts w:cs="Arial"/>
        </w:rPr>
        <w:t xml:space="preserve"> Coordinación para la instalación del cableado multipar y trabajos de empalme y </w:t>
      </w:r>
      <w:r w:rsidRPr="00D936CA">
        <w:rPr>
          <w:rFonts w:cs="Arial"/>
          <w:b/>
        </w:rPr>
        <w:t>(v)</w:t>
      </w:r>
      <w:r w:rsidRPr="00D936CA">
        <w:rPr>
          <w:rFonts w:cs="Arial"/>
        </w:rPr>
        <w:t xml:space="preserve"> Habilitación del servicio solicitado, que detonará los procesos de pruebas de entrega y facturación.</w:t>
      </w:r>
    </w:p>
    <w:p w14:paraId="1A195DAD" w14:textId="77777777" w:rsidR="001D7A9A" w:rsidRPr="00D936CA" w:rsidRDefault="001D7A9A" w:rsidP="00060B2E">
      <w:pPr>
        <w:pStyle w:val="IFTnormal"/>
        <w:ind w:left="-567" w:right="-142"/>
        <w:rPr>
          <w:rFonts w:cs="Arial"/>
        </w:rPr>
      </w:pP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092" w14:textId="77777777" w:rsidTr="00060B2E">
        <w:tc>
          <w:tcPr>
            <w:tcW w:w="1446" w:type="pct"/>
          </w:tcPr>
          <w:p w14:paraId="33CFF090" w14:textId="77777777" w:rsidR="00E2264E" w:rsidRPr="00D936CA" w:rsidRDefault="00E2264E" w:rsidP="00D936CA">
            <w:pPr>
              <w:pStyle w:val="IFTnormal"/>
              <w:jc w:val="center"/>
              <w:rPr>
                <w:b/>
                <w:sz w:val="20"/>
                <w:szCs w:val="20"/>
              </w:rPr>
            </w:pPr>
            <w:r w:rsidRPr="00D936CA">
              <w:rPr>
                <w:b/>
                <w:sz w:val="20"/>
                <w:szCs w:val="20"/>
              </w:rPr>
              <w:t>Etapa</w:t>
            </w:r>
          </w:p>
        </w:tc>
        <w:tc>
          <w:tcPr>
            <w:tcW w:w="3554" w:type="pct"/>
          </w:tcPr>
          <w:p w14:paraId="33CFF091" w14:textId="77777777" w:rsidR="00E2264E" w:rsidRPr="00D936CA" w:rsidRDefault="00E2264E" w:rsidP="00D936CA">
            <w:pPr>
              <w:pStyle w:val="IFTnormal"/>
              <w:jc w:val="center"/>
              <w:rPr>
                <w:b/>
                <w:sz w:val="20"/>
                <w:szCs w:val="20"/>
              </w:rPr>
            </w:pPr>
            <w:r w:rsidRPr="00D936CA">
              <w:rPr>
                <w:b/>
                <w:sz w:val="20"/>
                <w:szCs w:val="20"/>
              </w:rPr>
              <w:t>Descripción</w:t>
            </w:r>
          </w:p>
        </w:tc>
      </w:tr>
      <w:tr w:rsidR="00D936CA" w:rsidRPr="00D936CA" w14:paraId="33CFF097" w14:textId="77777777" w:rsidTr="00060B2E">
        <w:tc>
          <w:tcPr>
            <w:tcW w:w="1446" w:type="pct"/>
          </w:tcPr>
          <w:p w14:paraId="33CFF093" w14:textId="77777777" w:rsidR="00E2264E" w:rsidRPr="00D936CA" w:rsidRDefault="00E2264E" w:rsidP="00D936CA">
            <w:pPr>
              <w:pStyle w:val="IFTnormal"/>
              <w:jc w:val="left"/>
              <w:rPr>
                <w:b/>
                <w:sz w:val="20"/>
                <w:szCs w:val="20"/>
              </w:rPr>
            </w:pPr>
            <w:r w:rsidRPr="00D936CA">
              <w:rPr>
                <w:b/>
                <w:sz w:val="20"/>
                <w:szCs w:val="20"/>
              </w:rPr>
              <w:t>Envío de solicitud</w:t>
            </w:r>
          </w:p>
        </w:tc>
        <w:tc>
          <w:tcPr>
            <w:tcW w:w="3554" w:type="pct"/>
          </w:tcPr>
          <w:p w14:paraId="33CFF094" w14:textId="398755CB" w:rsidR="00E2264E" w:rsidRPr="00D936CA" w:rsidRDefault="00E2264E" w:rsidP="00D936CA">
            <w:pPr>
              <w:pStyle w:val="IFTnormal"/>
              <w:rPr>
                <w:sz w:val="20"/>
                <w:szCs w:val="20"/>
              </w:rPr>
            </w:pPr>
            <w:r w:rsidRPr="00D936CA">
              <w:rPr>
                <w:sz w:val="20"/>
                <w:szCs w:val="20"/>
              </w:rPr>
              <w:t>El CS deberá presentar sus solicitudes en el formato correspondiente a través del SEG</w:t>
            </w:r>
            <w:r w:rsidR="00EC053A">
              <w:rPr>
                <w:sz w:val="20"/>
                <w:szCs w:val="20"/>
              </w:rPr>
              <w:t xml:space="preserve"> </w:t>
            </w:r>
            <w:r w:rsidR="005E2623">
              <w:rPr>
                <w:sz w:val="20"/>
                <w:szCs w:val="20"/>
              </w:rPr>
              <w:t>indicando</w:t>
            </w:r>
            <w:r w:rsidRPr="00D936CA">
              <w:rPr>
                <w:sz w:val="20"/>
                <w:szCs w:val="20"/>
              </w:rPr>
              <w:t>:</w:t>
            </w:r>
          </w:p>
          <w:p w14:paraId="33CFF095" w14:textId="77777777" w:rsidR="00E2264E" w:rsidRPr="00D936CA" w:rsidRDefault="00E2264E" w:rsidP="00D936CA">
            <w:pPr>
              <w:pStyle w:val="IFTnormal"/>
              <w:numPr>
                <w:ilvl w:val="0"/>
                <w:numId w:val="122"/>
              </w:numPr>
              <w:rPr>
                <w:sz w:val="20"/>
                <w:szCs w:val="20"/>
              </w:rPr>
            </w:pPr>
            <w:r w:rsidRPr="00D936CA">
              <w:rPr>
                <w:sz w:val="20"/>
                <w:szCs w:val="20"/>
              </w:rPr>
              <w:t>NIS de referencia del pozo arrendado</w:t>
            </w:r>
          </w:p>
          <w:p w14:paraId="33CFF096" w14:textId="77777777" w:rsidR="00E2264E" w:rsidRPr="00D936CA" w:rsidRDefault="00E2264E" w:rsidP="00D936CA">
            <w:pPr>
              <w:pStyle w:val="IFTnormal"/>
              <w:spacing w:after="120" w:line="240" w:lineRule="auto"/>
              <w:ind w:left="34"/>
              <w:rPr>
                <w:sz w:val="20"/>
                <w:szCs w:val="20"/>
              </w:rPr>
            </w:pPr>
            <w:r w:rsidRPr="00D936CA">
              <w:rPr>
                <w:sz w:val="20"/>
                <w:szCs w:val="20"/>
              </w:rPr>
              <w:t>Una vez enviada se asignará de forma automática un número de folio a la solicitud del CS.</w:t>
            </w:r>
          </w:p>
        </w:tc>
      </w:tr>
      <w:tr w:rsidR="00D936CA" w:rsidRPr="00D936CA" w14:paraId="33CFF09C" w14:textId="77777777" w:rsidTr="00060B2E">
        <w:tc>
          <w:tcPr>
            <w:tcW w:w="1446" w:type="pct"/>
          </w:tcPr>
          <w:p w14:paraId="33CFF098" w14:textId="77777777" w:rsidR="00E2264E" w:rsidRPr="00D936CA" w:rsidRDefault="00E2264E"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F099" w14:textId="77777777" w:rsidR="00E2264E" w:rsidRPr="00D936CA" w:rsidRDefault="00E2264E"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F09A"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F09B"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0A1" w14:textId="77777777" w:rsidTr="00060B2E">
        <w:tc>
          <w:tcPr>
            <w:tcW w:w="1446" w:type="pct"/>
          </w:tcPr>
          <w:p w14:paraId="33CFF09D" w14:textId="77777777" w:rsidR="00E2264E" w:rsidRPr="00D936CA" w:rsidRDefault="00E2264E" w:rsidP="00D936CA">
            <w:pPr>
              <w:pStyle w:val="IFTnormal"/>
              <w:jc w:val="left"/>
              <w:rPr>
                <w:b/>
                <w:sz w:val="20"/>
                <w:szCs w:val="20"/>
              </w:rPr>
            </w:pPr>
            <w:r w:rsidRPr="00D936CA">
              <w:rPr>
                <w:b/>
                <w:sz w:val="20"/>
                <w:szCs w:val="20"/>
              </w:rPr>
              <w:t>Factibilidad Técnica</w:t>
            </w:r>
          </w:p>
        </w:tc>
        <w:tc>
          <w:tcPr>
            <w:tcW w:w="3554" w:type="pct"/>
          </w:tcPr>
          <w:p w14:paraId="33CFF09E" w14:textId="77777777" w:rsidR="00E2264E" w:rsidRPr="00D936CA" w:rsidRDefault="00E2264E" w:rsidP="00D936CA">
            <w:pPr>
              <w:pStyle w:val="IFTnormal"/>
              <w:rPr>
                <w:sz w:val="20"/>
                <w:szCs w:val="20"/>
              </w:rPr>
            </w:pPr>
            <w:r w:rsidRPr="00D936CA">
              <w:rPr>
                <w:sz w:val="20"/>
                <w:szCs w:val="20"/>
              </w:rPr>
              <w:t>Telmex verificará la factibilidad técnica para realizar la construcción de un anexo de caja y del pozo en un plazo máximo de 3 días hábiles:</w:t>
            </w:r>
          </w:p>
          <w:p w14:paraId="33CFF09F"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 xml:space="preserve">Es factible </w:t>
            </w:r>
            <w:r w:rsidRPr="00D936CA">
              <w:rPr>
                <w:sz w:val="20"/>
                <w:szCs w:val="20"/>
              </w:rPr>
              <w:t>la construcción del anexo de Caja de Distribución.</w:t>
            </w:r>
          </w:p>
          <w:p w14:paraId="33CFF0A0" w14:textId="64284BE7" w:rsidR="00E2264E" w:rsidRPr="00D936CA" w:rsidRDefault="00E2264E" w:rsidP="00D936CA">
            <w:pPr>
              <w:pStyle w:val="IFTnormal"/>
              <w:numPr>
                <w:ilvl w:val="0"/>
                <w:numId w:val="102"/>
              </w:numPr>
              <w:ind w:left="318" w:hanging="318"/>
              <w:rPr>
                <w:sz w:val="20"/>
                <w:szCs w:val="20"/>
              </w:rPr>
            </w:pPr>
            <w:r w:rsidRPr="00D936CA">
              <w:rPr>
                <w:b/>
                <w:sz w:val="20"/>
                <w:szCs w:val="20"/>
              </w:rPr>
              <w:t>No es factible la construcción del Anexo de Caja</w:t>
            </w:r>
            <w:r w:rsidRPr="00D936CA">
              <w:rPr>
                <w:sz w:val="20"/>
                <w:szCs w:val="20"/>
              </w:rPr>
              <w:t>, se presentará al CS, a través del SEG, la justificación de los motivos descritos en el apartado 1.4, relativo a los recursos de red asociados a los servicios, así como las evidencias correspondientes, y a solicitud del CS, se iniciará el procedimiento de Trabajo Especial contenido en la sección 11 de esta OREDA.</w:t>
            </w:r>
          </w:p>
        </w:tc>
      </w:tr>
      <w:tr w:rsidR="00D936CA" w:rsidRPr="00D936CA" w14:paraId="33CFF0A7" w14:textId="77777777" w:rsidTr="00060B2E">
        <w:tc>
          <w:tcPr>
            <w:tcW w:w="1446" w:type="pct"/>
          </w:tcPr>
          <w:p w14:paraId="33CFF0A2" w14:textId="58C5A95A" w:rsidR="00E2264E" w:rsidRPr="00D936CA" w:rsidRDefault="00E2264E" w:rsidP="00D936CA">
            <w:pPr>
              <w:pStyle w:val="IFTnormal"/>
              <w:jc w:val="left"/>
              <w:rPr>
                <w:b/>
                <w:sz w:val="20"/>
                <w:szCs w:val="20"/>
              </w:rPr>
            </w:pPr>
            <w:r w:rsidRPr="00D936CA">
              <w:rPr>
                <w:b/>
                <w:sz w:val="20"/>
                <w:szCs w:val="20"/>
              </w:rPr>
              <w:t>Coordinación de las solicitudes de los CS que deseen participar en el pozo multi</w:t>
            </w:r>
            <w:r w:rsidR="00C16734" w:rsidRPr="00D936CA">
              <w:rPr>
                <w:b/>
                <w:sz w:val="20"/>
                <w:szCs w:val="20"/>
              </w:rPr>
              <w:t>-</w:t>
            </w:r>
            <w:r w:rsidRPr="00D936CA">
              <w:rPr>
                <w:b/>
                <w:sz w:val="20"/>
                <w:szCs w:val="20"/>
              </w:rPr>
              <w:t>concesionario;</w:t>
            </w:r>
          </w:p>
        </w:tc>
        <w:tc>
          <w:tcPr>
            <w:tcW w:w="3554" w:type="pct"/>
          </w:tcPr>
          <w:p w14:paraId="33CFF0A3" w14:textId="77777777" w:rsidR="00E2264E" w:rsidRPr="00D936CA" w:rsidRDefault="00E2264E" w:rsidP="00D936CA">
            <w:pPr>
              <w:pStyle w:val="IFTnormal"/>
              <w:rPr>
                <w:sz w:val="20"/>
                <w:szCs w:val="20"/>
              </w:rPr>
            </w:pPr>
            <w:r w:rsidRPr="00D936CA">
              <w:rPr>
                <w:sz w:val="20"/>
                <w:szCs w:val="20"/>
              </w:rPr>
              <w:t>En un plazo no mayor a 10 días hábiles (contabilizados a partir de la recepción de la solicitud del servicio) se enviará la cotización por el gasto de instalación de:</w:t>
            </w:r>
          </w:p>
          <w:p w14:paraId="33CFF0A4" w14:textId="78F4BF5F" w:rsidR="00E2264E" w:rsidRPr="00D936CA" w:rsidRDefault="00E2264E" w:rsidP="00D936CA">
            <w:pPr>
              <w:pStyle w:val="IFTnormal"/>
              <w:numPr>
                <w:ilvl w:val="0"/>
                <w:numId w:val="126"/>
              </w:numPr>
              <w:rPr>
                <w:sz w:val="20"/>
                <w:szCs w:val="20"/>
              </w:rPr>
            </w:pPr>
            <w:r w:rsidRPr="00D936CA">
              <w:rPr>
                <w:sz w:val="20"/>
                <w:szCs w:val="20"/>
              </w:rPr>
              <w:t>Anexo de Caja de Distribución, de la acometida hasta el pozo</w:t>
            </w:r>
          </w:p>
          <w:p w14:paraId="33CFF0A5" w14:textId="77777777" w:rsidR="00E2264E" w:rsidRPr="00D936CA" w:rsidRDefault="00E2264E" w:rsidP="00D936CA">
            <w:pPr>
              <w:pStyle w:val="IFTnormal"/>
              <w:numPr>
                <w:ilvl w:val="0"/>
                <w:numId w:val="126"/>
              </w:numPr>
              <w:rPr>
                <w:sz w:val="20"/>
                <w:szCs w:val="20"/>
              </w:rPr>
            </w:pPr>
            <w:r w:rsidRPr="00D936CA">
              <w:rPr>
                <w:sz w:val="20"/>
                <w:szCs w:val="20"/>
              </w:rPr>
              <w:lastRenderedPageBreak/>
              <w:t>Instalación de cable multipar desde la tablilla del Anexo de Caja de Distribución hasta el cierre de empalme en el pozo.</w:t>
            </w:r>
          </w:p>
          <w:p w14:paraId="33CFF0A6" w14:textId="77777777" w:rsidR="00E2264E" w:rsidRPr="00D936CA" w:rsidRDefault="00E2264E" w:rsidP="00D936CA">
            <w:pPr>
              <w:pStyle w:val="IFTnormal"/>
              <w:rPr>
                <w:sz w:val="20"/>
                <w:szCs w:val="20"/>
              </w:rPr>
            </w:pPr>
            <w:r w:rsidRPr="00D936CA">
              <w:rPr>
                <w:sz w:val="20"/>
                <w:szCs w:val="20"/>
              </w:rPr>
              <w:t>El CS contará con 5 días hábiles para aceptar la cotización correspondiente al gasto de instalación</w:t>
            </w:r>
            <w:r w:rsidRPr="00D936CA">
              <w:rPr>
                <w:rStyle w:val="Refdenotaalpie"/>
                <w:rFonts w:cs="Arial"/>
              </w:rPr>
              <w:footnoteReference w:id="51"/>
            </w:r>
            <w:r w:rsidRPr="00D936CA">
              <w:rPr>
                <w:sz w:val="20"/>
                <w:szCs w:val="20"/>
              </w:rPr>
              <w:t>, dentro de este plazo el CS podrá analizar el presupuesto y solicitar aclaraciones a Telmex, de no recibirse el pago se entenderá que el CS rechazó el servicio.</w:t>
            </w:r>
          </w:p>
        </w:tc>
      </w:tr>
      <w:tr w:rsidR="00D936CA" w:rsidRPr="00D936CA" w14:paraId="33CFF0AA" w14:textId="77777777" w:rsidTr="00060B2E">
        <w:tc>
          <w:tcPr>
            <w:tcW w:w="1446" w:type="pct"/>
          </w:tcPr>
          <w:p w14:paraId="33CFF0A8" w14:textId="77777777" w:rsidR="00E2264E" w:rsidRPr="00D936CA" w:rsidRDefault="00E2264E" w:rsidP="00D936CA">
            <w:pPr>
              <w:pStyle w:val="IFTnormal"/>
              <w:jc w:val="left"/>
              <w:rPr>
                <w:b/>
                <w:sz w:val="20"/>
                <w:szCs w:val="20"/>
              </w:rPr>
            </w:pPr>
            <w:r w:rsidRPr="00D936CA">
              <w:rPr>
                <w:b/>
                <w:sz w:val="20"/>
                <w:szCs w:val="20"/>
              </w:rPr>
              <w:lastRenderedPageBreak/>
              <w:t>Coordinación para la instalación del cableado multipar y trabajos de empalme</w:t>
            </w:r>
          </w:p>
        </w:tc>
        <w:tc>
          <w:tcPr>
            <w:tcW w:w="3554" w:type="pct"/>
          </w:tcPr>
          <w:p w14:paraId="33CFF0A9" w14:textId="77777777" w:rsidR="00E2264E" w:rsidRPr="00D936CA" w:rsidRDefault="00E2264E" w:rsidP="00D936CA">
            <w:pPr>
              <w:pStyle w:val="IFTnormal"/>
              <w:numPr>
                <w:ilvl w:val="0"/>
                <w:numId w:val="123"/>
              </w:numPr>
              <w:rPr>
                <w:sz w:val="20"/>
                <w:szCs w:val="20"/>
              </w:rPr>
            </w:pPr>
            <w:r w:rsidRPr="00D936CA">
              <w:rPr>
                <w:sz w:val="20"/>
                <w:szCs w:val="20"/>
              </w:rPr>
              <w:t>Una vez aceptada la cotización, se iniciará la construcción Anexo de Caja</w:t>
            </w:r>
            <w:r w:rsidRPr="00D936CA">
              <w:rPr>
                <w:rStyle w:val="Refdenotaalpie"/>
                <w:rFonts w:cs="Arial"/>
              </w:rPr>
              <w:footnoteReference w:id="52"/>
            </w:r>
            <w:r w:rsidRPr="00D936CA">
              <w:rPr>
                <w:sz w:val="20"/>
                <w:szCs w:val="20"/>
              </w:rPr>
              <w:t>.</w:t>
            </w:r>
          </w:p>
        </w:tc>
      </w:tr>
      <w:tr w:rsidR="00D936CA" w:rsidRPr="00D936CA" w14:paraId="33CFF0AD" w14:textId="77777777" w:rsidTr="00060B2E">
        <w:tc>
          <w:tcPr>
            <w:tcW w:w="1446" w:type="pct"/>
          </w:tcPr>
          <w:p w14:paraId="33CFF0AB" w14:textId="77777777" w:rsidR="00E2264E" w:rsidRPr="00D936CA" w:rsidRDefault="00E2264E" w:rsidP="00D936CA">
            <w:pPr>
              <w:pStyle w:val="IFTnormal"/>
              <w:jc w:val="left"/>
              <w:rPr>
                <w:b/>
                <w:sz w:val="20"/>
                <w:szCs w:val="20"/>
              </w:rPr>
            </w:pPr>
            <w:r w:rsidRPr="00D936CA">
              <w:rPr>
                <w:b/>
                <w:sz w:val="20"/>
                <w:szCs w:val="20"/>
              </w:rPr>
              <w:t>Habilitación y aprovisionamiento del Servicio</w:t>
            </w:r>
          </w:p>
        </w:tc>
        <w:tc>
          <w:tcPr>
            <w:tcW w:w="3554" w:type="pct"/>
          </w:tcPr>
          <w:p w14:paraId="33CFF0AC" w14:textId="69DA56A3" w:rsidR="00E2264E" w:rsidRPr="00D936CA" w:rsidRDefault="00E2264E" w:rsidP="00D936CA">
            <w:pPr>
              <w:pStyle w:val="IFTnormal"/>
              <w:rPr>
                <w:sz w:val="20"/>
                <w:szCs w:val="20"/>
              </w:rPr>
            </w:pPr>
            <w:r w:rsidRPr="00D936CA">
              <w:rPr>
                <w:sz w:val="20"/>
                <w:szCs w:val="20"/>
              </w:rPr>
              <w:t>Una vez terminada la instalación de cableado multipar hasta el cierre de empalme ubicado en el pozo multi</w:t>
            </w:r>
            <w:r w:rsidR="00C16734" w:rsidRPr="00D936CA">
              <w:rPr>
                <w:sz w:val="20"/>
                <w:szCs w:val="20"/>
              </w:rPr>
              <w:t>-</w:t>
            </w:r>
            <w:r w:rsidRPr="00D936CA">
              <w:rPr>
                <w:sz w:val="20"/>
                <w:szCs w:val="20"/>
              </w:rPr>
              <w:t>concesionario, el CS deberá iniciar con los trabajos de empalme de acuerdo a la posición de la tablilla en el Anexo de Caja de Distribución asignada por Telmex. El servicio quedará habilitado en un plazo máximo de 23 días hábiles contabilizados a partir de ingresada la solicitud.</w:t>
            </w:r>
          </w:p>
        </w:tc>
      </w:tr>
      <w:tr w:rsidR="00D936CA" w:rsidRPr="00D936CA" w14:paraId="33CFF0B0" w14:textId="77777777" w:rsidTr="00060B2E">
        <w:tc>
          <w:tcPr>
            <w:tcW w:w="1446" w:type="pct"/>
          </w:tcPr>
          <w:p w14:paraId="33CFF0AE" w14:textId="77777777" w:rsidR="00E2264E" w:rsidRPr="00D936CA" w:rsidRDefault="00E2264E" w:rsidP="00D936CA">
            <w:pPr>
              <w:pStyle w:val="IFTnormal"/>
              <w:jc w:val="left"/>
              <w:rPr>
                <w:b/>
                <w:sz w:val="20"/>
                <w:szCs w:val="20"/>
              </w:rPr>
            </w:pPr>
            <w:r w:rsidRPr="00D936CA">
              <w:rPr>
                <w:b/>
                <w:sz w:val="20"/>
                <w:szCs w:val="20"/>
              </w:rPr>
              <w:t>Pruebas de Aceptación del Servicio</w:t>
            </w:r>
          </w:p>
        </w:tc>
        <w:tc>
          <w:tcPr>
            <w:tcW w:w="3554" w:type="pct"/>
          </w:tcPr>
          <w:p w14:paraId="33CFF0AF" w14:textId="16ED4495" w:rsidR="00E2264E" w:rsidRPr="00D936CA" w:rsidRDefault="00E2264E" w:rsidP="00D936CA">
            <w:pPr>
              <w:pStyle w:val="IFTnormal"/>
              <w:rPr>
                <w:sz w:val="20"/>
                <w:szCs w:val="20"/>
              </w:rPr>
            </w:pPr>
            <w:r w:rsidRPr="00D936CA">
              <w:rPr>
                <w:sz w:val="20"/>
                <w:szCs w:val="20"/>
              </w:rPr>
              <w:t>En coordinación con el CS que solicitó el servicio se realizará la prueba de recepción, los resultados de la prueba se presentarán en el SEG, para que el CS pueda consultarlas.</w:t>
            </w:r>
          </w:p>
        </w:tc>
      </w:tr>
      <w:tr w:rsidR="00E2264E" w:rsidRPr="00D936CA" w14:paraId="33CFF0B5" w14:textId="77777777" w:rsidTr="00060B2E">
        <w:tc>
          <w:tcPr>
            <w:tcW w:w="1446" w:type="pct"/>
          </w:tcPr>
          <w:p w14:paraId="33CFF0B1" w14:textId="77777777" w:rsidR="00E2264E" w:rsidRPr="00D936CA" w:rsidRDefault="00E2264E" w:rsidP="00D936CA">
            <w:pPr>
              <w:pStyle w:val="IFTnormal"/>
              <w:jc w:val="left"/>
              <w:rPr>
                <w:b/>
                <w:sz w:val="20"/>
                <w:szCs w:val="20"/>
              </w:rPr>
            </w:pPr>
            <w:r w:rsidRPr="00D936CA">
              <w:rPr>
                <w:b/>
                <w:sz w:val="20"/>
                <w:szCs w:val="20"/>
              </w:rPr>
              <w:t>Facturación</w:t>
            </w:r>
          </w:p>
        </w:tc>
        <w:tc>
          <w:tcPr>
            <w:tcW w:w="3554" w:type="pct"/>
          </w:tcPr>
          <w:p w14:paraId="33CFF0B2" w14:textId="77777777" w:rsidR="00E2264E" w:rsidRPr="00D936CA" w:rsidRDefault="00E2264E" w:rsidP="00D936CA">
            <w:pPr>
              <w:pStyle w:val="IFTnormal"/>
              <w:rPr>
                <w:sz w:val="20"/>
                <w:szCs w:val="20"/>
              </w:rPr>
            </w:pPr>
            <w:r w:rsidRPr="00D936CA">
              <w:rPr>
                <w:sz w:val="20"/>
                <w:szCs w:val="20"/>
              </w:rPr>
              <w:t>Al corte del mes se realizará la facturación aplicable al servicio:</w:t>
            </w:r>
          </w:p>
          <w:p w14:paraId="33CFF0B3" w14:textId="77777777" w:rsidR="00E2264E" w:rsidRPr="00D936CA" w:rsidRDefault="00E2264E"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F0B4" w14:textId="77777777" w:rsidR="00E2264E" w:rsidRPr="00D936CA" w:rsidRDefault="00E2264E"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F0B6" w14:textId="77777777" w:rsidR="00E2264E" w:rsidRPr="00D936CA" w:rsidRDefault="00E2264E" w:rsidP="00060B2E">
      <w:pPr>
        <w:pStyle w:val="IFTnormal"/>
        <w:ind w:left="-567" w:right="-142"/>
        <w:rPr>
          <w:rFonts w:cs="Arial"/>
          <w:b/>
          <w:lang w:val="es-ES" w:eastAsia="es-MX"/>
        </w:rPr>
      </w:pPr>
    </w:p>
    <w:p w14:paraId="33CFF0B7" w14:textId="77777777" w:rsidR="00E2264E" w:rsidRPr="00D936CA" w:rsidRDefault="00E2264E" w:rsidP="00060B2E">
      <w:pPr>
        <w:pStyle w:val="IFTnormal"/>
        <w:ind w:left="-567" w:right="-142"/>
        <w:rPr>
          <w:b/>
        </w:rPr>
      </w:pPr>
      <w:r w:rsidRPr="00D936CA">
        <w:rPr>
          <w:b/>
        </w:rPr>
        <w:t>Procedimiento de Contratación y Entrega cuando ya Existe un Pozo Multiconcesionario y un Anexo de Caja de Distribución para Desagregación:</w:t>
      </w:r>
    </w:p>
    <w:p w14:paraId="33CFF0B8" w14:textId="77777777" w:rsidR="00E2264E" w:rsidRPr="00D936CA" w:rsidRDefault="00E2264E" w:rsidP="00060B2E">
      <w:pPr>
        <w:pStyle w:val="IFTnormal"/>
        <w:ind w:left="-567" w:right="-142"/>
        <w:rPr>
          <w:rFonts w:cs="Arial"/>
        </w:rPr>
      </w:pPr>
      <w:r w:rsidRPr="00D936CA">
        <w:rPr>
          <w:rFonts w:cs="Arial"/>
          <w:lang w:val="es-ES" w:eastAsia="es-MX"/>
        </w:rPr>
        <w:t xml:space="preserve">El objetivo y alcance de este procedimiento es definir los pasos y actividades a desarrollar por parte de Telmex y el CS, a fin de realizar la contratación y entrega del Anexo de Caja de Distribución cuando existe pozo multiconcesionario; las fases en que se divide este procedimiento son: </w:t>
      </w:r>
      <w:r w:rsidRPr="00D936CA">
        <w:rPr>
          <w:rFonts w:cs="Arial"/>
          <w:b/>
          <w:lang w:val="es-ES" w:eastAsia="es-MX"/>
        </w:rPr>
        <w:t>(i)</w:t>
      </w:r>
      <w:r w:rsidRPr="00D936CA">
        <w:rPr>
          <w:rFonts w:cs="Arial"/>
          <w:lang w:val="es-ES" w:eastAsia="es-MX"/>
        </w:rPr>
        <w:t xml:space="preserve"> Entrega y validación de la solicitud para que el CS manifieste su </w:t>
      </w:r>
      <w:r w:rsidRPr="00D936CA">
        <w:rPr>
          <w:rFonts w:cs="Arial"/>
          <w:lang w:val="es-ES" w:eastAsia="es-MX"/>
        </w:rPr>
        <w:lastRenderedPageBreak/>
        <w:t xml:space="preserve">intención de contratar el servicio y la validación por parte de Telmex de que la solicitud cuenta con todos los elementos para la contratación del servicio; </w:t>
      </w:r>
      <w:r w:rsidRPr="00D936CA">
        <w:rPr>
          <w:rFonts w:cs="Arial"/>
          <w:b/>
          <w:lang w:val="es-ES" w:eastAsia="es-MX"/>
        </w:rPr>
        <w:t>(ii)</w:t>
      </w:r>
      <w:r w:rsidRPr="00D936CA">
        <w:rPr>
          <w:rFonts w:cs="Arial"/>
          <w:lang w:val="es-ES" w:eastAsia="es-MX"/>
        </w:rPr>
        <w:t xml:space="preserve"> </w:t>
      </w:r>
      <w:r w:rsidRPr="00D936CA">
        <w:rPr>
          <w:rFonts w:cs="Arial"/>
        </w:rPr>
        <w:t xml:space="preserve">Análisis de Factibilidad técnica a fin de que Telmex pueda verificar que cuenta con los elementos para brindar el servicio solicitado; </w:t>
      </w:r>
      <w:r w:rsidRPr="00D936CA">
        <w:rPr>
          <w:rFonts w:cs="Arial"/>
          <w:b/>
        </w:rPr>
        <w:t>(iii)</w:t>
      </w:r>
      <w:r w:rsidRPr="00D936CA">
        <w:rPr>
          <w:rFonts w:cs="Arial"/>
        </w:rPr>
        <w:t xml:space="preserve"> Coordinación para la instalación del cableado multipar y trabajos de empalme;  y </w:t>
      </w:r>
      <w:r w:rsidRPr="00D936CA">
        <w:rPr>
          <w:rFonts w:cs="Arial"/>
          <w:b/>
        </w:rPr>
        <w:t>(iv)</w:t>
      </w:r>
      <w:r w:rsidRPr="00D936CA">
        <w:rPr>
          <w:rFonts w:cs="Arial"/>
        </w:rPr>
        <w:t xml:space="preserve"> Habilitación del servicio solicitado, que detonará los procesos de pruebas de entrega y facturación.</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0BB" w14:textId="77777777" w:rsidTr="00060B2E">
        <w:tc>
          <w:tcPr>
            <w:tcW w:w="1446" w:type="pct"/>
          </w:tcPr>
          <w:p w14:paraId="33CFF0B9" w14:textId="77777777" w:rsidR="00E2264E" w:rsidRPr="00D936CA" w:rsidRDefault="00E2264E" w:rsidP="00D936CA">
            <w:pPr>
              <w:pStyle w:val="IFTnormal"/>
              <w:jc w:val="center"/>
              <w:rPr>
                <w:b/>
                <w:sz w:val="20"/>
                <w:szCs w:val="20"/>
              </w:rPr>
            </w:pPr>
            <w:r w:rsidRPr="00D936CA">
              <w:rPr>
                <w:b/>
                <w:sz w:val="20"/>
                <w:szCs w:val="20"/>
              </w:rPr>
              <w:t>Etapa</w:t>
            </w:r>
          </w:p>
        </w:tc>
        <w:tc>
          <w:tcPr>
            <w:tcW w:w="3554" w:type="pct"/>
          </w:tcPr>
          <w:p w14:paraId="33CFF0BA" w14:textId="77777777" w:rsidR="00E2264E" w:rsidRPr="00D936CA" w:rsidRDefault="00E2264E" w:rsidP="00D936CA">
            <w:pPr>
              <w:pStyle w:val="IFTnormal"/>
              <w:jc w:val="center"/>
              <w:rPr>
                <w:b/>
                <w:sz w:val="20"/>
                <w:szCs w:val="20"/>
              </w:rPr>
            </w:pPr>
            <w:r w:rsidRPr="00D936CA">
              <w:rPr>
                <w:b/>
                <w:sz w:val="20"/>
                <w:szCs w:val="20"/>
              </w:rPr>
              <w:t>Descripción</w:t>
            </w:r>
          </w:p>
        </w:tc>
      </w:tr>
      <w:tr w:rsidR="00D936CA" w:rsidRPr="00D936CA" w14:paraId="33CFF0BF" w14:textId="77777777" w:rsidTr="00060B2E">
        <w:tc>
          <w:tcPr>
            <w:tcW w:w="1446" w:type="pct"/>
          </w:tcPr>
          <w:p w14:paraId="33CFF0BC" w14:textId="77777777" w:rsidR="00E2264E" w:rsidRPr="00D936CA" w:rsidRDefault="00E2264E" w:rsidP="00D936CA">
            <w:pPr>
              <w:pStyle w:val="IFTnormal"/>
              <w:jc w:val="left"/>
              <w:rPr>
                <w:b/>
                <w:sz w:val="20"/>
                <w:szCs w:val="20"/>
              </w:rPr>
            </w:pPr>
            <w:r w:rsidRPr="00D936CA">
              <w:rPr>
                <w:b/>
                <w:sz w:val="20"/>
                <w:szCs w:val="20"/>
              </w:rPr>
              <w:t>Envío de solicitud</w:t>
            </w:r>
          </w:p>
        </w:tc>
        <w:tc>
          <w:tcPr>
            <w:tcW w:w="3554" w:type="pct"/>
          </w:tcPr>
          <w:p w14:paraId="33CFF0BD" w14:textId="2BF3AA53" w:rsidR="00E2264E" w:rsidRPr="00D936CA" w:rsidRDefault="00E2264E" w:rsidP="00D936CA">
            <w:pPr>
              <w:pStyle w:val="IFTnormal"/>
              <w:rPr>
                <w:sz w:val="20"/>
                <w:szCs w:val="20"/>
              </w:rPr>
            </w:pPr>
            <w:r w:rsidRPr="00D936CA">
              <w:rPr>
                <w:sz w:val="20"/>
                <w:szCs w:val="20"/>
              </w:rPr>
              <w:t>El CS deberá presentar sus solicitudes en el formato correspondiente a través del SEG.</w:t>
            </w:r>
          </w:p>
          <w:p w14:paraId="33CFF0BE" w14:textId="77777777" w:rsidR="00E2264E" w:rsidRPr="00D936CA" w:rsidRDefault="00E2264E" w:rsidP="00D936CA">
            <w:pPr>
              <w:pStyle w:val="IFTnormal"/>
              <w:spacing w:after="120" w:line="240" w:lineRule="auto"/>
              <w:ind w:left="34"/>
              <w:rPr>
                <w:sz w:val="20"/>
                <w:szCs w:val="20"/>
              </w:rPr>
            </w:pPr>
            <w:r w:rsidRPr="00D936CA">
              <w:rPr>
                <w:sz w:val="20"/>
                <w:szCs w:val="20"/>
              </w:rPr>
              <w:t>Una vez enviada se asignará de forma automática un número de folio a la solicitud del CS.</w:t>
            </w:r>
          </w:p>
        </w:tc>
      </w:tr>
      <w:tr w:rsidR="00D936CA" w:rsidRPr="00D936CA" w14:paraId="33CFF0C4" w14:textId="77777777" w:rsidTr="00060B2E">
        <w:tc>
          <w:tcPr>
            <w:tcW w:w="1446" w:type="pct"/>
          </w:tcPr>
          <w:p w14:paraId="33CFF0C0" w14:textId="77777777" w:rsidR="00E2264E" w:rsidRPr="00D936CA" w:rsidRDefault="00E2264E"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F0C1" w14:textId="77777777" w:rsidR="00E2264E" w:rsidRPr="00D936CA" w:rsidRDefault="00E2264E"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F0C2"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F0C3"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0CA" w14:textId="77777777" w:rsidTr="00060B2E">
        <w:tc>
          <w:tcPr>
            <w:tcW w:w="1446" w:type="pct"/>
          </w:tcPr>
          <w:p w14:paraId="33CFF0C5" w14:textId="77777777" w:rsidR="00E2264E" w:rsidRPr="00D936CA" w:rsidRDefault="00E2264E" w:rsidP="00D936CA">
            <w:pPr>
              <w:pStyle w:val="IFTnormal"/>
              <w:jc w:val="left"/>
              <w:rPr>
                <w:b/>
                <w:sz w:val="20"/>
                <w:szCs w:val="20"/>
              </w:rPr>
            </w:pPr>
            <w:r w:rsidRPr="00D936CA">
              <w:rPr>
                <w:b/>
                <w:sz w:val="20"/>
                <w:szCs w:val="20"/>
              </w:rPr>
              <w:t>Factibilidad Técnica</w:t>
            </w:r>
          </w:p>
        </w:tc>
        <w:tc>
          <w:tcPr>
            <w:tcW w:w="3554" w:type="pct"/>
          </w:tcPr>
          <w:p w14:paraId="33CFF0C6" w14:textId="77777777" w:rsidR="00E2264E" w:rsidRPr="00D936CA" w:rsidRDefault="00E2264E" w:rsidP="00D936CA">
            <w:pPr>
              <w:pStyle w:val="IFTnormal"/>
              <w:rPr>
                <w:sz w:val="20"/>
                <w:szCs w:val="20"/>
              </w:rPr>
            </w:pPr>
            <w:r w:rsidRPr="00D936CA">
              <w:rPr>
                <w:sz w:val="20"/>
                <w:szCs w:val="20"/>
              </w:rPr>
              <w:t>Telmex verificará la factibilidad técnica para realizar la construcción de un anexo de caja y del pozo en un plazo máximo de 5 días hábiles:</w:t>
            </w:r>
          </w:p>
          <w:p w14:paraId="33CFF0C7"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Es factible.</w:t>
            </w:r>
          </w:p>
          <w:p w14:paraId="33CFF0C8"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Es factible parcialmente</w:t>
            </w:r>
            <w:r w:rsidRPr="00D936CA">
              <w:rPr>
                <w:sz w:val="20"/>
                <w:szCs w:val="20"/>
              </w:rPr>
              <w:t>, se proporcionará al CS la cotización por la disponibilidad existente.</w:t>
            </w:r>
          </w:p>
          <w:p w14:paraId="33CFF0C9" w14:textId="3DD9FA62" w:rsidR="00E2264E" w:rsidRPr="00D936CA" w:rsidRDefault="00E2264E" w:rsidP="00D936CA">
            <w:pPr>
              <w:pStyle w:val="IFTnormal"/>
              <w:numPr>
                <w:ilvl w:val="0"/>
                <w:numId w:val="102"/>
              </w:numPr>
              <w:ind w:left="318" w:hanging="318"/>
              <w:rPr>
                <w:sz w:val="20"/>
                <w:szCs w:val="20"/>
              </w:rPr>
            </w:pPr>
            <w:r w:rsidRPr="00D936CA">
              <w:rPr>
                <w:b/>
                <w:sz w:val="20"/>
                <w:szCs w:val="20"/>
              </w:rPr>
              <w:t>No es factible,</w:t>
            </w:r>
            <w:r w:rsidRPr="00D936CA">
              <w:rPr>
                <w:sz w:val="20"/>
                <w:szCs w:val="20"/>
              </w:rPr>
              <w:t xml:space="preserve"> a través del SEG, la justificación de los motivos descritos en el apartado 1.4, relativo a los recursos de red asociados a los servicios, así como las evidencias correspondientes (reporte fotográfico).</w:t>
            </w:r>
          </w:p>
        </w:tc>
      </w:tr>
      <w:tr w:rsidR="00D936CA" w:rsidRPr="00D936CA" w14:paraId="33CFF0D1" w14:textId="77777777" w:rsidTr="00060B2E">
        <w:tc>
          <w:tcPr>
            <w:tcW w:w="1446" w:type="pct"/>
          </w:tcPr>
          <w:p w14:paraId="33CFF0CB" w14:textId="77777777" w:rsidR="00E2264E" w:rsidRPr="00D936CA" w:rsidRDefault="00E2264E" w:rsidP="00D936CA">
            <w:pPr>
              <w:pStyle w:val="IFTnormal"/>
              <w:jc w:val="left"/>
              <w:rPr>
                <w:b/>
                <w:sz w:val="20"/>
                <w:szCs w:val="20"/>
              </w:rPr>
            </w:pPr>
            <w:r w:rsidRPr="00D936CA">
              <w:rPr>
                <w:b/>
                <w:sz w:val="20"/>
                <w:szCs w:val="20"/>
              </w:rPr>
              <w:t>Coordinación de las solicitudes de los CS que deseen participar en el pozo multiconcesionario;</w:t>
            </w:r>
          </w:p>
        </w:tc>
        <w:tc>
          <w:tcPr>
            <w:tcW w:w="3554" w:type="pct"/>
          </w:tcPr>
          <w:p w14:paraId="33CFF0CC" w14:textId="77777777" w:rsidR="00E2264E" w:rsidRPr="00D936CA" w:rsidRDefault="00E2264E" w:rsidP="00D936CA">
            <w:pPr>
              <w:pStyle w:val="IFTnormal"/>
              <w:rPr>
                <w:sz w:val="20"/>
                <w:szCs w:val="20"/>
              </w:rPr>
            </w:pPr>
            <w:r w:rsidRPr="00D936CA">
              <w:rPr>
                <w:sz w:val="20"/>
                <w:szCs w:val="20"/>
              </w:rPr>
              <w:t>En un plazo no mayor a 5 días hábiles se enviará la cotización por el gasto de instalación de:</w:t>
            </w:r>
          </w:p>
          <w:p w14:paraId="33CFF0CD" w14:textId="77777777" w:rsidR="00E2264E" w:rsidRPr="00D936CA" w:rsidRDefault="00E2264E" w:rsidP="00D936CA">
            <w:pPr>
              <w:pStyle w:val="IFTnormal"/>
              <w:numPr>
                <w:ilvl w:val="0"/>
                <w:numId w:val="126"/>
              </w:numPr>
              <w:rPr>
                <w:sz w:val="20"/>
                <w:szCs w:val="20"/>
              </w:rPr>
            </w:pPr>
            <w:r w:rsidRPr="00D936CA">
              <w:rPr>
                <w:sz w:val="20"/>
                <w:szCs w:val="20"/>
              </w:rPr>
              <w:t>Anexo de Caja de Distribución</w:t>
            </w:r>
          </w:p>
          <w:p w14:paraId="33CFF0CE" w14:textId="77777777" w:rsidR="00E2264E" w:rsidRPr="00D936CA" w:rsidRDefault="00E2264E" w:rsidP="00D936CA">
            <w:pPr>
              <w:pStyle w:val="IFTnormal"/>
              <w:numPr>
                <w:ilvl w:val="0"/>
                <w:numId w:val="126"/>
              </w:numPr>
              <w:rPr>
                <w:sz w:val="20"/>
                <w:szCs w:val="20"/>
              </w:rPr>
            </w:pPr>
            <w:r w:rsidRPr="00D936CA">
              <w:rPr>
                <w:sz w:val="20"/>
                <w:szCs w:val="20"/>
              </w:rPr>
              <w:t>La tablilla en Anexo de Caja</w:t>
            </w:r>
          </w:p>
          <w:p w14:paraId="33CFF0CF" w14:textId="77777777" w:rsidR="00E2264E" w:rsidRPr="00D936CA" w:rsidRDefault="00E2264E" w:rsidP="00D936CA">
            <w:pPr>
              <w:pStyle w:val="IFTnormal"/>
              <w:numPr>
                <w:ilvl w:val="0"/>
                <w:numId w:val="126"/>
              </w:numPr>
              <w:rPr>
                <w:sz w:val="20"/>
                <w:szCs w:val="20"/>
              </w:rPr>
            </w:pPr>
            <w:r w:rsidRPr="00D936CA">
              <w:rPr>
                <w:sz w:val="20"/>
                <w:szCs w:val="20"/>
              </w:rPr>
              <w:t>Instalación de cable hasta el cierre de empalme en el pozo.</w:t>
            </w:r>
          </w:p>
          <w:p w14:paraId="33CFF0D0" w14:textId="77777777" w:rsidR="00E2264E" w:rsidRPr="00D936CA" w:rsidRDefault="00E2264E" w:rsidP="00D936CA">
            <w:pPr>
              <w:pStyle w:val="IFTnormal"/>
              <w:rPr>
                <w:sz w:val="20"/>
                <w:szCs w:val="20"/>
              </w:rPr>
            </w:pPr>
            <w:r w:rsidRPr="00D936CA">
              <w:rPr>
                <w:sz w:val="20"/>
                <w:szCs w:val="20"/>
              </w:rPr>
              <w:t xml:space="preserve">El CS contará con 5 días hábiles para aceptar la cotización </w:t>
            </w:r>
            <w:r w:rsidRPr="00D936CA">
              <w:rPr>
                <w:sz w:val="20"/>
                <w:szCs w:val="20"/>
              </w:rPr>
              <w:lastRenderedPageBreak/>
              <w:t>correspondiente al gasto de instalación del Anexo de Caja de Distribución</w:t>
            </w:r>
            <w:r w:rsidRPr="00D936CA">
              <w:rPr>
                <w:rStyle w:val="Refdenotaalpie"/>
                <w:rFonts w:cs="Arial"/>
              </w:rPr>
              <w:footnoteReference w:id="53"/>
            </w:r>
            <w:r w:rsidRPr="00D936CA">
              <w:rPr>
                <w:sz w:val="20"/>
                <w:szCs w:val="20"/>
              </w:rPr>
              <w:t>, dentro de este plazo, el CS podrá analizar el presupuesto y solicitar aclaraciones a Telmex, de no recibirse el pago se entenderá que el CS rechazó el servicio.</w:t>
            </w:r>
          </w:p>
        </w:tc>
      </w:tr>
      <w:tr w:rsidR="00D936CA" w:rsidRPr="00D936CA" w14:paraId="33CFF0D4" w14:textId="77777777" w:rsidTr="00060B2E">
        <w:tc>
          <w:tcPr>
            <w:tcW w:w="1446" w:type="pct"/>
          </w:tcPr>
          <w:p w14:paraId="33CFF0D2" w14:textId="77777777" w:rsidR="00E2264E" w:rsidRPr="00D936CA" w:rsidRDefault="00E2264E" w:rsidP="00D936CA">
            <w:pPr>
              <w:pStyle w:val="IFTnormal"/>
              <w:jc w:val="left"/>
              <w:rPr>
                <w:b/>
                <w:sz w:val="20"/>
                <w:szCs w:val="20"/>
              </w:rPr>
            </w:pPr>
            <w:r w:rsidRPr="00D936CA">
              <w:rPr>
                <w:b/>
                <w:sz w:val="20"/>
                <w:szCs w:val="20"/>
              </w:rPr>
              <w:lastRenderedPageBreak/>
              <w:t>Coordinación para la instalación del cableado multipar y trabajos de empalme</w:t>
            </w:r>
          </w:p>
        </w:tc>
        <w:tc>
          <w:tcPr>
            <w:tcW w:w="3554" w:type="pct"/>
          </w:tcPr>
          <w:p w14:paraId="33CFF0D3" w14:textId="77777777" w:rsidR="00E2264E" w:rsidRPr="00D936CA" w:rsidRDefault="00E2264E" w:rsidP="00D936CA">
            <w:pPr>
              <w:pStyle w:val="IFTnormal"/>
              <w:numPr>
                <w:ilvl w:val="0"/>
                <w:numId w:val="123"/>
              </w:numPr>
              <w:rPr>
                <w:sz w:val="20"/>
                <w:szCs w:val="20"/>
              </w:rPr>
            </w:pPr>
            <w:r w:rsidRPr="00D936CA">
              <w:rPr>
                <w:sz w:val="20"/>
                <w:szCs w:val="20"/>
              </w:rPr>
              <w:t xml:space="preserve">Una vez aceptada la cotización, se iniciará la instalación de la tablilla y del cableado desde la tablilla del Anexo de Caja de Distribución hasta el cierre de empalme ubicado en el pozo multiconcesionario. </w:t>
            </w:r>
          </w:p>
        </w:tc>
      </w:tr>
      <w:tr w:rsidR="00D936CA" w:rsidRPr="00D936CA" w14:paraId="33CFF0D7" w14:textId="77777777" w:rsidTr="00060B2E">
        <w:tc>
          <w:tcPr>
            <w:tcW w:w="1446" w:type="pct"/>
          </w:tcPr>
          <w:p w14:paraId="33CFF0D5" w14:textId="77777777" w:rsidR="00E2264E" w:rsidRPr="00D936CA" w:rsidRDefault="00E2264E" w:rsidP="00D936CA">
            <w:pPr>
              <w:pStyle w:val="IFTnormal"/>
              <w:jc w:val="left"/>
              <w:rPr>
                <w:b/>
                <w:sz w:val="20"/>
                <w:szCs w:val="20"/>
              </w:rPr>
            </w:pPr>
            <w:r w:rsidRPr="00D936CA">
              <w:rPr>
                <w:b/>
                <w:sz w:val="20"/>
                <w:szCs w:val="20"/>
              </w:rPr>
              <w:t>Habilitación y aprovisionamiento del Servicio</w:t>
            </w:r>
          </w:p>
        </w:tc>
        <w:tc>
          <w:tcPr>
            <w:tcW w:w="3554" w:type="pct"/>
          </w:tcPr>
          <w:p w14:paraId="33CFF0D6" w14:textId="77777777" w:rsidR="00E2264E" w:rsidRPr="00D936CA" w:rsidRDefault="00E2264E" w:rsidP="00D936CA">
            <w:pPr>
              <w:pStyle w:val="IFTnormal"/>
              <w:rPr>
                <w:sz w:val="20"/>
                <w:szCs w:val="20"/>
              </w:rPr>
            </w:pPr>
            <w:r w:rsidRPr="00D936CA">
              <w:rPr>
                <w:sz w:val="20"/>
                <w:szCs w:val="20"/>
              </w:rPr>
              <w:t>Una vez terminada la instalación de cableado multipar hasta el cierre de empalme ubicado en el pozo, el CS deberá iniciar con los trabajos de empalme de acuerdo a la posición de la tablilla en Anexo de Caja de Distribución asignada por Telmex. El servicio quedará habilitado en un plazo máximo de 15 días hábiles contabilizado a partir de ingresada la solicitud.</w:t>
            </w:r>
          </w:p>
        </w:tc>
      </w:tr>
      <w:tr w:rsidR="00D936CA" w:rsidRPr="00D936CA" w14:paraId="33CFF0DA" w14:textId="77777777" w:rsidTr="00060B2E">
        <w:tc>
          <w:tcPr>
            <w:tcW w:w="1446" w:type="pct"/>
          </w:tcPr>
          <w:p w14:paraId="33CFF0D8" w14:textId="77777777" w:rsidR="00E2264E" w:rsidRPr="00D936CA" w:rsidRDefault="00E2264E" w:rsidP="00D936CA">
            <w:pPr>
              <w:pStyle w:val="IFTnormal"/>
              <w:jc w:val="left"/>
              <w:rPr>
                <w:b/>
                <w:sz w:val="20"/>
                <w:szCs w:val="20"/>
              </w:rPr>
            </w:pPr>
            <w:r w:rsidRPr="00D936CA">
              <w:rPr>
                <w:b/>
                <w:sz w:val="20"/>
                <w:szCs w:val="20"/>
              </w:rPr>
              <w:t>Pruebas de Aceptación del Servicio</w:t>
            </w:r>
          </w:p>
        </w:tc>
        <w:tc>
          <w:tcPr>
            <w:tcW w:w="3554" w:type="pct"/>
          </w:tcPr>
          <w:p w14:paraId="33CFF0D9" w14:textId="281A4810" w:rsidR="00E2264E" w:rsidRPr="00D936CA" w:rsidRDefault="00E2264E" w:rsidP="00D936CA">
            <w:pPr>
              <w:pStyle w:val="IFTnormal"/>
              <w:rPr>
                <w:sz w:val="20"/>
                <w:szCs w:val="20"/>
              </w:rPr>
            </w:pPr>
            <w:r w:rsidRPr="00D936CA">
              <w:rPr>
                <w:sz w:val="20"/>
                <w:szCs w:val="20"/>
              </w:rPr>
              <w:t>En coordinación con el CS que solicitó el servicio se realizará la prueba de recepción, los resultados de la prueba se presentarán en el SEG, para que el CS pueda consultarlas.</w:t>
            </w:r>
          </w:p>
        </w:tc>
      </w:tr>
      <w:tr w:rsidR="00E2264E" w:rsidRPr="00D936CA" w14:paraId="33CFF0DF" w14:textId="77777777" w:rsidTr="00060B2E">
        <w:tc>
          <w:tcPr>
            <w:tcW w:w="1446" w:type="pct"/>
          </w:tcPr>
          <w:p w14:paraId="33CFF0DB" w14:textId="77777777" w:rsidR="00E2264E" w:rsidRPr="00D936CA" w:rsidRDefault="00E2264E" w:rsidP="00D936CA">
            <w:pPr>
              <w:pStyle w:val="IFTnormal"/>
              <w:jc w:val="left"/>
              <w:rPr>
                <w:b/>
                <w:sz w:val="20"/>
                <w:szCs w:val="20"/>
              </w:rPr>
            </w:pPr>
            <w:r w:rsidRPr="00D936CA">
              <w:rPr>
                <w:b/>
                <w:sz w:val="20"/>
                <w:szCs w:val="20"/>
              </w:rPr>
              <w:t>Facturación</w:t>
            </w:r>
          </w:p>
        </w:tc>
        <w:tc>
          <w:tcPr>
            <w:tcW w:w="3554" w:type="pct"/>
          </w:tcPr>
          <w:p w14:paraId="33CFF0DC" w14:textId="77777777" w:rsidR="00E2264E" w:rsidRPr="00D936CA" w:rsidRDefault="00E2264E" w:rsidP="00D936CA">
            <w:pPr>
              <w:pStyle w:val="IFTnormal"/>
              <w:rPr>
                <w:sz w:val="20"/>
                <w:szCs w:val="20"/>
              </w:rPr>
            </w:pPr>
            <w:r w:rsidRPr="00D936CA">
              <w:rPr>
                <w:sz w:val="20"/>
                <w:szCs w:val="20"/>
              </w:rPr>
              <w:t>Al corte del mes se realizará la facturación aplicable al servicio:</w:t>
            </w:r>
          </w:p>
          <w:p w14:paraId="33CFF0DD" w14:textId="77777777" w:rsidR="00E2264E" w:rsidRPr="00D936CA" w:rsidRDefault="00E2264E"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F0DE" w14:textId="77777777" w:rsidR="00E2264E" w:rsidRPr="00D936CA" w:rsidRDefault="00E2264E"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F0E0" w14:textId="77777777" w:rsidR="00E2264E" w:rsidRPr="00D936CA" w:rsidRDefault="00E2264E" w:rsidP="00060B2E">
      <w:pPr>
        <w:pStyle w:val="IFTnormal"/>
        <w:ind w:left="-567" w:right="-142"/>
        <w:rPr>
          <w:b/>
        </w:rPr>
      </w:pPr>
    </w:p>
    <w:p w14:paraId="33CFF0E1" w14:textId="77777777" w:rsidR="00E2264E" w:rsidRPr="00D936CA" w:rsidRDefault="00E2264E" w:rsidP="00060B2E">
      <w:pPr>
        <w:pStyle w:val="IFTnormal"/>
        <w:ind w:left="-567" w:right="-142"/>
        <w:rPr>
          <w:b/>
        </w:rPr>
      </w:pPr>
      <w:r w:rsidRPr="00D936CA">
        <w:rPr>
          <w:b/>
        </w:rPr>
        <w:t xml:space="preserve">Baja del servicio de Anexo de Caja: </w:t>
      </w:r>
    </w:p>
    <w:p w14:paraId="33CFF0E2" w14:textId="77777777" w:rsidR="00E2264E" w:rsidRPr="00D936CA" w:rsidRDefault="00E2264E" w:rsidP="00060B2E">
      <w:pPr>
        <w:pStyle w:val="IFTnormal"/>
        <w:ind w:left="-567" w:right="-142"/>
        <w:rPr>
          <w:rFonts w:cs="Arial"/>
        </w:rPr>
      </w:pPr>
      <w:r w:rsidRPr="00D936CA">
        <w:rPr>
          <w:rFonts w:cs="Arial"/>
          <w:lang w:val="es-ES" w:eastAsia="es-MX"/>
        </w:rPr>
        <w:t xml:space="preserve">El objetivo y alcance de este procedimiento es definir los pasos y actividades a desarrollar por parte de Telmex y del CS, a fin de realizar la baja de los servicios de Anexo de Caja de Distribución; las fases en que se divide este procedimiento son: </w:t>
      </w:r>
      <w:r w:rsidRPr="00D936CA">
        <w:rPr>
          <w:rFonts w:cs="Arial"/>
          <w:b/>
          <w:lang w:val="es-ES" w:eastAsia="es-MX"/>
        </w:rPr>
        <w:t>(i)</w:t>
      </w:r>
      <w:r w:rsidRPr="00D936CA">
        <w:rPr>
          <w:rFonts w:cs="Arial"/>
          <w:lang w:val="es-ES" w:eastAsia="es-MX"/>
        </w:rPr>
        <w:t xml:space="preserve"> Entrega y validación de la solicitud para que el CS manifieste su intención de dar de baja los servicios, y la validación por parte de Telmex de que la solicitud cuenta con todos los elementos; </w:t>
      </w:r>
      <w:r w:rsidRPr="00D936CA">
        <w:rPr>
          <w:rFonts w:cs="Arial"/>
        </w:rPr>
        <w:t xml:space="preserve">y </w:t>
      </w:r>
      <w:r w:rsidRPr="00D936CA">
        <w:rPr>
          <w:rFonts w:cs="Arial"/>
          <w:b/>
        </w:rPr>
        <w:t>(ii)</w:t>
      </w:r>
      <w:r w:rsidRPr="00D936CA">
        <w:rPr>
          <w:rFonts w:cs="Arial"/>
        </w:rPr>
        <w:t xml:space="preserve"> Baja del servicio y de la facturación correspondiente.</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0E5" w14:textId="77777777" w:rsidTr="00060B2E">
        <w:tc>
          <w:tcPr>
            <w:tcW w:w="1446" w:type="pct"/>
          </w:tcPr>
          <w:p w14:paraId="33CFF0E3" w14:textId="77777777" w:rsidR="00E2264E" w:rsidRPr="00D936CA" w:rsidRDefault="00E2264E"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Etapa</w:t>
            </w:r>
          </w:p>
        </w:tc>
        <w:tc>
          <w:tcPr>
            <w:tcW w:w="3554" w:type="pct"/>
          </w:tcPr>
          <w:p w14:paraId="33CFF0E4" w14:textId="77777777" w:rsidR="00E2264E" w:rsidRPr="00D936CA" w:rsidRDefault="00E2264E"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Descripción</w:t>
            </w:r>
          </w:p>
        </w:tc>
      </w:tr>
      <w:tr w:rsidR="00D936CA" w:rsidRPr="00D936CA" w14:paraId="33CFF0E8" w14:textId="77777777" w:rsidTr="00060B2E">
        <w:tc>
          <w:tcPr>
            <w:tcW w:w="1446" w:type="pct"/>
          </w:tcPr>
          <w:p w14:paraId="33CFF0E6" w14:textId="77777777" w:rsidR="00E2264E" w:rsidRPr="00D936CA" w:rsidRDefault="00E2264E"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lastRenderedPageBreak/>
              <w:t>Envío de solicitud</w:t>
            </w:r>
          </w:p>
        </w:tc>
        <w:tc>
          <w:tcPr>
            <w:tcW w:w="3554" w:type="pct"/>
          </w:tcPr>
          <w:p w14:paraId="33CFF0E7" w14:textId="0D5ED029" w:rsidR="00E2264E" w:rsidRPr="00D936CA" w:rsidRDefault="00E2264E" w:rsidP="00D936CA">
            <w:pPr>
              <w:spacing w:after="200" w:line="276" w:lineRule="auto"/>
              <w:jc w:val="both"/>
              <w:rPr>
                <w:rFonts w:ascii="ITC Avant Garde" w:hAnsi="ITC Avant Garde" w:cs="Arial"/>
                <w:bCs/>
                <w:sz w:val="20"/>
                <w:szCs w:val="20"/>
                <w:lang w:val="es-MX"/>
              </w:rPr>
            </w:pPr>
            <w:r w:rsidRPr="00D936CA">
              <w:rPr>
                <w:rFonts w:ascii="ITC Avant Garde" w:hAnsi="ITC Avant Garde" w:cs="Arial"/>
                <w:bCs/>
                <w:sz w:val="20"/>
                <w:szCs w:val="20"/>
                <w:lang w:val="es-MX"/>
              </w:rPr>
              <w:t>El CS deberá presentar sus solicitudes en el formato correspondiente a través del SEG, especificando el NIS-Referencia del servicio en operación.</w:t>
            </w:r>
          </w:p>
        </w:tc>
      </w:tr>
      <w:tr w:rsidR="00D936CA" w:rsidRPr="00D936CA" w14:paraId="33CFF0EE" w14:textId="77777777" w:rsidTr="00060B2E">
        <w:tc>
          <w:tcPr>
            <w:tcW w:w="1446" w:type="pct"/>
          </w:tcPr>
          <w:p w14:paraId="33CFF0E9" w14:textId="77777777" w:rsidR="00E2264E" w:rsidRPr="00D936CA" w:rsidRDefault="00E2264E" w:rsidP="00D936CA">
            <w:pPr>
              <w:pStyle w:val="IFTnormal"/>
              <w:jc w:val="left"/>
              <w:rPr>
                <w:b/>
                <w:sz w:val="20"/>
                <w:szCs w:val="20"/>
              </w:rPr>
            </w:pPr>
            <w:r w:rsidRPr="00D936CA">
              <w:rPr>
                <w:b/>
                <w:sz w:val="20"/>
                <w:szCs w:val="20"/>
              </w:rPr>
              <w:t>Validación de solicitud</w:t>
            </w:r>
          </w:p>
        </w:tc>
        <w:tc>
          <w:tcPr>
            <w:tcW w:w="3554" w:type="pct"/>
            <w:shd w:val="clear" w:color="auto" w:fill="auto"/>
          </w:tcPr>
          <w:p w14:paraId="33CFF0EA" w14:textId="77777777" w:rsidR="00E2264E" w:rsidRPr="00D936CA" w:rsidRDefault="00E2264E" w:rsidP="00D936CA">
            <w:pPr>
              <w:pStyle w:val="IFTnormal"/>
              <w:rPr>
                <w:sz w:val="20"/>
                <w:szCs w:val="20"/>
              </w:rPr>
            </w:pPr>
            <w:r w:rsidRPr="00D936CA">
              <w:rPr>
                <w:sz w:val="20"/>
                <w:szCs w:val="20"/>
              </w:rPr>
              <w:t>Una vez enviada la solicitud será validada en un plazo máximo de 1 día hábil, así mismo se asignará de forma automática un número de folio a la solicitud del CS.</w:t>
            </w:r>
          </w:p>
          <w:p w14:paraId="33CFF0EB" w14:textId="77777777" w:rsidR="00E2264E" w:rsidRPr="00D936CA" w:rsidRDefault="00E2264E" w:rsidP="00D936CA">
            <w:pPr>
              <w:pStyle w:val="IFTnormal"/>
              <w:rPr>
                <w:sz w:val="20"/>
                <w:szCs w:val="20"/>
              </w:rPr>
            </w:pPr>
            <w:r w:rsidRPr="00D936CA">
              <w:rPr>
                <w:sz w:val="20"/>
                <w:szCs w:val="20"/>
              </w:rPr>
              <w:t>Telmex evaluará las solicitudes enviadas por los CS para determinar si:</w:t>
            </w:r>
          </w:p>
          <w:p w14:paraId="33CFF0EC"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Telmex cambiará el folio previamente asignado por el Número de Identificación de Solicitud (NIS).</w:t>
            </w:r>
          </w:p>
          <w:p w14:paraId="33CFF0ED" w14:textId="77777777" w:rsidR="00E2264E" w:rsidRPr="00D936CA" w:rsidRDefault="00E2264E"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0F1" w14:textId="77777777" w:rsidTr="00060B2E">
        <w:tc>
          <w:tcPr>
            <w:tcW w:w="1446" w:type="pct"/>
          </w:tcPr>
          <w:p w14:paraId="33CFF0EF" w14:textId="77777777" w:rsidR="00E2264E" w:rsidRPr="00D936CA" w:rsidRDefault="00E2264E" w:rsidP="00D936CA">
            <w:pPr>
              <w:spacing w:after="200" w:line="276" w:lineRule="auto"/>
              <w:jc w:val="both"/>
              <w:rPr>
                <w:rFonts w:ascii="ITC Avant Garde" w:hAnsi="ITC Avant Garde" w:cs="Arial"/>
                <w:b/>
                <w:bCs/>
                <w:sz w:val="20"/>
                <w:szCs w:val="20"/>
                <w:lang w:val="es-MX"/>
              </w:rPr>
            </w:pPr>
            <w:r w:rsidRPr="00D936CA">
              <w:rPr>
                <w:rFonts w:ascii="ITC Avant Garde" w:hAnsi="ITC Avant Garde" w:cs="Arial"/>
                <w:b/>
                <w:bCs/>
                <w:sz w:val="20"/>
                <w:szCs w:val="20"/>
                <w:lang w:val="es-MX"/>
              </w:rPr>
              <w:t>Ejecución de baja</w:t>
            </w:r>
          </w:p>
        </w:tc>
        <w:tc>
          <w:tcPr>
            <w:tcW w:w="3554" w:type="pct"/>
          </w:tcPr>
          <w:p w14:paraId="33CFF0F0" w14:textId="291B14C8" w:rsidR="00E2264E" w:rsidRPr="00D936CA" w:rsidRDefault="00E2264E" w:rsidP="00D936CA">
            <w:pPr>
              <w:pStyle w:val="IFTnormal"/>
              <w:rPr>
                <w:sz w:val="20"/>
                <w:szCs w:val="20"/>
              </w:rPr>
            </w:pPr>
            <w:r w:rsidRPr="00D936CA">
              <w:rPr>
                <w:sz w:val="20"/>
                <w:szCs w:val="20"/>
              </w:rPr>
              <w:t xml:space="preserve">Una vez asignado el Número de Identificación de Solicitud (NIS) Telmex procederá a dar de baja el </w:t>
            </w:r>
            <w:r w:rsidR="000F74B5" w:rsidRPr="00D936CA">
              <w:rPr>
                <w:sz w:val="20"/>
                <w:szCs w:val="20"/>
              </w:rPr>
              <w:t>servicio,</w:t>
            </w:r>
            <w:r w:rsidRPr="00D936CA">
              <w:rPr>
                <w:sz w:val="20"/>
                <w:szCs w:val="20"/>
              </w:rPr>
              <w:t xml:space="preserve"> así como los cargos al CS asociados en un máximo de 1 día hábil a partir de la solicitud. Telmex procederá al retiro de los puentes en el Anexo de Caja, sin responsabilidad alguna sobre cualquier servicio que hubiera quedado activo del CS que dio de baja los servicios.</w:t>
            </w:r>
          </w:p>
        </w:tc>
      </w:tr>
      <w:tr w:rsidR="00D936CA" w:rsidRPr="00D936CA" w14:paraId="33CFF0F4" w14:textId="77777777" w:rsidTr="00060B2E">
        <w:tc>
          <w:tcPr>
            <w:tcW w:w="1446" w:type="pct"/>
          </w:tcPr>
          <w:p w14:paraId="33CFF0F2" w14:textId="77777777" w:rsidR="00E2264E" w:rsidRPr="00D936CA" w:rsidRDefault="00E2264E" w:rsidP="00D936CA">
            <w:pPr>
              <w:pStyle w:val="IFTnormal"/>
              <w:jc w:val="left"/>
              <w:rPr>
                <w:b/>
                <w:sz w:val="20"/>
                <w:szCs w:val="20"/>
              </w:rPr>
            </w:pPr>
            <w:r w:rsidRPr="00D936CA">
              <w:rPr>
                <w:b/>
                <w:sz w:val="20"/>
                <w:szCs w:val="20"/>
              </w:rPr>
              <w:t>Facturación</w:t>
            </w:r>
          </w:p>
        </w:tc>
        <w:tc>
          <w:tcPr>
            <w:tcW w:w="3554" w:type="pct"/>
          </w:tcPr>
          <w:p w14:paraId="33CFF0F3" w14:textId="77777777" w:rsidR="00E2264E" w:rsidRPr="00D936CA" w:rsidRDefault="00E2264E" w:rsidP="00D936CA">
            <w:pPr>
              <w:pStyle w:val="IFTnormal"/>
              <w:rPr>
                <w:sz w:val="20"/>
                <w:szCs w:val="20"/>
              </w:rPr>
            </w:pPr>
            <w:r w:rsidRPr="00D936CA">
              <w:rPr>
                <w:sz w:val="20"/>
                <w:szCs w:val="20"/>
              </w:rPr>
              <w:t>En un plazo máximo de 2 días hábiles a partir de la solicitud de baja, Telmex dejará de generar nuevos cargos a los CS por el servicio.</w:t>
            </w:r>
          </w:p>
        </w:tc>
      </w:tr>
    </w:tbl>
    <w:p w14:paraId="33CFF0F5" w14:textId="77777777" w:rsidR="00E2264E" w:rsidRPr="00D936CA" w:rsidRDefault="00E2264E" w:rsidP="00060B2E">
      <w:pPr>
        <w:pStyle w:val="IFTnormal"/>
        <w:ind w:left="-567" w:right="-142"/>
        <w:rPr>
          <w:rFonts w:cs="Arial"/>
          <w:lang w:eastAsia="es-MX"/>
        </w:rPr>
      </w:pPr>
      <w:r w:rsidRPr="00D936CA">
        <w:rPr>
          <w:rFonts w:cs="Arial"/>
          <w:lang w:eastAsia="es-MX"/>
        </w:rPr>
        <w:t>Nota:</w:t>
      </w:r>
    </w:p>
    <w:p w14:paraId="33CFF0F7" w14:textId="0EF8F54E" w:rsidR="00D10CC9" w:rsidRDefault="00E2264E" w:rsidP="00060B2E">
      <w:pPr>
        <w:pStyle w:val="IFTnormal"/>
        <w:ind w:left="-567" w:right="-142"/>
      </w:pPr>
      <w:r w:rsidRPr="00D936CA">
        <w:t>El CS deberá tomar en cuenta que no existe el esquema de rentas parciales sino sólo de rentas mensuales, por lo que no será posible realizar cobros parciales de los servicios.</w:t>
      </w:r>
    </w:p>
    <w:p w14:paraId="7FE77119" w14:textId="77777777" w:rsidR="000F74B5" w:rsidRPr="00D936CA" w:rsidRDefault="000F74B5" w:rsidP="00060B2E">
      <w:pPr>
        <w:pStyle w:val="IFTnormal"/>
        <w:ind w:left="-567" w:right="-142"/>
        <w:rPr>
          <w:rFonts w:cs="Arial"/>
          <w:lang w:eastAsia="es-MX"/>
        </w:rPr>
      </w:pPr>
    </w:p>
    <w:p w14:paraId="33CFF109" w14:textId="77777777" w:rsidR="00D10CC9" w:rsidRPr="00D936CA" w:rsidRDefault="00D10CC9" w:rsidP="00D936CA">
      <w:pPr>
        <w:pStyle w:val="Ttulo2"/>
        <w:numPr>
          <w:ilvl w:val="1"/>
          <w:numId w:val="143"/>
        </w:numPr>
        <w:tabs>
          <w:tab w:val="left" w:pos="993"/>
        </w:tabs>
        <w:ind w:left="851" w:hanging="425"/>
      </w:pPr>
      <w:bookmarkStart w:id="678" w:name="_Toc467248751"/>
      <w:bookmarkStart w:id="679" w:name="_Toc518032035"/>
      <w:r w:rsidRPr="00D936CA">
        <w:t>Plazos de Entrega del Anexo de Caja de Distribución</w:t>
      </w:r>
      <w:bookmarkEnd w:id="678"/>
      <w:bookmarkEnd w:id="679"/>
    </w:p>
    <w:p w14:paraId="33CFF10A" w14:textId="77777777" w:rsidR="00D10CC9" w:rsidRPr="00D936CA" w:rsidRDefault="00D10CC9" w:rsidP="00D936CA">
      <w:pPr>
        <w:pStyle w:val="IFTnormal"/>
        <w:numPr>
          <w:ilvl w:val="4"/>
          <w:numId w:val="36"/>
        </w:numPr>
        <w:ind w:left="851"/>
      </w:pPr>
      <w:r w:rsidRPr="00D936CA">
        <w:t>Validación de la Solicitud junto con verificación de factibilidad: máximo 4 días hábiles.</w:t>
      </w:r>
    </w:p>
    <w:p w14:paraId="33CFF10B" w14:textId="20118478" w:rsidR="00D10CC9" w:rsidRPr="00D936CA" w:rsidRDefault="00D10CC9" w:rsidP="00D936CA">
      <w:pPr>
        <w:pStyle w:val="IFTnormal"/>
        <w:numPr>
          <w:ilvl w:val="4"/>
          <w:numId w:val="36"/>
        </w:numPr>
        <w:ind w:left="851"/>
      </w:pPr>
      <w:r w:rsidRPr="00D936CA">
        <w:t>Entrega del Servicio Auxiliar de Anexo de Caja de Distribución (Pozo Multiconcesionario construido por CS</w:t>
      </w:r>
      <w:r w:rsidR="00E36163">
        <w:t xml:space="preserve"> o </w:t>
      </w:r>
      <w:r w:rsidRPr="00D936CA">
        <w:t>arrendamiento de Pozo): 23 días hábiles que se contabilizarán a partir de la solicitud.</w:t>
      </w:r>
    </w:p>
    <w:p w14:paraId="33CFF10C" w14:textId="77777777" w:rsidR="00D10CC9" w:rsidRPr="00D936CA" w:rsidRDefault="00D10CC9" w:rsidP="00D936CA">
      <w:pPr>
        <w:pStyle w:val="IFTnormal"/>
        <w:numPr>
          <w:ilvl w:val="4"/>
          <w:numId w:val="36"/>
        </w:numPr>
        <w:ind w:left="851"/>
      </w:pPr>
      <w:r w:rsidRPr="00D936CA">
        <w:t xml:space="preserve">Entrega del Servicio Auxiliar de Anexo de Caja de Distribución (ya existe Pozo Multiconcesionario): 15 días hábiles que se contabilizarán a partir de la solicitud. </w:t>
      </w:r>
    </w:p>
    <w:p w14:paraId="33CFF10E" w14:textId="6CEABC06" w:rsidR="00D10CC9" w:rsidRDefault="00D10CC9" w:rsidP="00D936CA">
      <w:pPr>
        <w:pStyle w:val="IFTnormal"/>
        <w:numPr>
          <w:ilvl w:val="4"/>
          <w:numId w:val="36"/>
        </w:numPr>
        <w:ind w:left="851"/>
      </w:pPr>
      <w:r w:rsidRPr="00D936CA">
        <w:lastRenderedPageBreak/>
        <w:t>Entrega del servicio de Contratación de Anexo de Caja y Trabajo Especial para Construcción de Pozo: Trabajo Especial.</w:t>
      </w:r>
    </w:p>
    <w:p w14:paraId="043C1A69" w14:textId="77777777" w:rsidR="000F74B5" w:rsidRPr="00D936CA" w:rsidRDefault="000F74B5" w:rsidP="000F74B5">
      <w:pPr>
        <w:pStyle w:val="IFTnormal"/>
      </w:pPr>
    </w:p>
    <w:p w14:paraId="33CFF10F" w14:textId="77777777" w:rsidR="00D10CC9" w:rsidRPr="00D936CA" w:rsidRDefault="00D10CC9" w:rsidP="00D936CA">
      <w:pPr>
        <w:pStyle w:val="Ttulo2"/>
        <w:numPr>
          <w:ilvl w:val="1"/>
          <w:numId w:val="143"/>
        </w:numPr>
        <w:tabs>
          <w:tab w:val="left" w:pos="993"/>
        </w:tabs>
        <w:ind w:left="851" w:hanging="425"/>
      </w:pPr>
      <w:bookmarkStart w:id="680" w:name="_Toc467248752"/>
      <w:bookmarkStart w:id="681" w:name="_Toc518032036"/>
      <w:r w:rsidRPr="00D936CA">
        <w:t>Parámetros e Indicadores de Calidad para el Anexo de Caja de Distribución</w:t>
      </w:r>
      <w:bookmarkEnd w:id="680"/>
      <w:bookmarkEnd w:id="681"/>
    </w:p>
    <w:p w14:paraId="33CFF110" w14:textId="77777777" w:rsidR="00D10CC9" w:rsidRPr="00D936CA" w:rsidRDefault="00D10CC9" w:rsidP="00060B2E">
      <w:pPr>
        <w:pStyle w:val="IFTnormal"/>
        <w:ind w:left="-567" w:right="-142"/>
      </w:pPr>
      <w:r w:rsidRPr="00D936CA">
        <w:t>En esta sección se muestran los parámetros e indicadores de calidad referentes a la provisión, continuidad y atención de fallas del Servicio de Anexo de Caja de Distribución. Estos parámetros e indicadores corresponden a los utilizados en la propia operación de Telmex, y se medirán con una periodicidad trimestral por cada uno de los CS.</w:t>
      </w:r>
    </w:p>
    <w:p w14:paraId="33CFF111" w14:textId="77777777" w:rsidR="00D10CC9" w:rsidRPr="00D936CA" w:rsidRDefault="00D10CC9" w:rsidP="00060B2E">
      <w:pPr>
        <w:pStyle w:val="IFTnormal"/>
        <w:ind w:left="-567" w:right="-142"/>
        <w:rPr>
          <w:b/>
        </w:rPr>
      </w:pPr>
      <w:r w:rsidRPr="00D936CA">
        <w:rPr>
          <w:b/>
        </w:rPr>
        <w:t>Parámetros e Indicadores para Provisión del Servicio</w:t>
      </w:r>
    </w:p>
    <w:p w14:paraId="33CFF112" w14:textId="77777777" w:rsidR="00D10CC9" w:rsidRPr="00D936CA" w:rsidRDefault="00D10CC9" w:rsidP="00060B2E">
      <w:pPr>
        <w:pStyle w:val="IFTnormal"/>
        <w:ind w:left="-567" w:right="-142"/>
      </w:pPr>
      <w:r w:rsidRPr="00D936CA">
        <w:t>En lo referente a la provisión de los servicios (validación de la solicitud, verificación de factibilidad y habilitación), se tienen los siguientes indicadores:</w:t>
      </w:r>
    </w:p>
    <w:p w14:paraId="33CFF113" w14:textId="77777777" w:rsidR="00D10CC9" w:rsidRPr="00D936CA" w:rsidRDefault="00D10CC9" w:rsidP="00D936CA">
      <w:pPr>
        <w:pStyle w:val="IFTnormal"/>
        <w:numPr>
          <w:ilvl w:val="4"/>
          <w:numId w:val="36"/>
        </w:numPr>
        <w:ind w:left="851"/>
      </w:pPr>
      <w:r w:rsidRPr="00D936CA">
        <w:t>Validación de la solicitud junto con validación de la factibilidad: 90% de las solicitudes en máximo de 4 días hábiles. El 10% restante en un máximo de 6 días hábiles.</w:t>
      </w:r>
    </w:p>
    <w:p w14:paraId="33CFF114" w14:textId="69A056AA" w:rsidR="00D10CC9" w:rsidRPr="00D936CA" w:rsidRDefault="00D10CC9" w:rsidP="00D936CA">
      <w:pPr>
        <w:pStyle w:val="IFTnormal"/>
        <w:numPr>
          <w:ilvl w:val="4"/>
          <w:numId w:val="36"/>
        </w:numPr>
        <w:ind w:left="851"/>
      </w:pPr>
      <w:r w:rsidRPr="00D936CA">
        <w:t>Habilitación de Servicio Auxiliar de Anexo de Caja de Distribución (Pozo Multiconcesionario construido por CS</w:t>
      </w:r>
      <w:r w:rsidR="00E36163">
        <w:t xml:space="preserve"> o </w:t>
      </w:r>
      <w:r w:rsidRPr="00D936CA">
        <w:t>arrendamiento de Pozo): 90% en máximo 23 días hábiles. El 10% restante en un máximo de 35 días hábiles.</w:t>
      </w:r>
    </w:p>
    <w:p w14:paraId="33CFF115" w14:textId="77777777" w:rsidR="00D10CC9" w:rsidRPr="00D936CA" w:rsidRDefault="00D10CC9" w:rsidP="00D936CA">
      <w:pPr>
        <w:pStyle w:val="IFTnormal"/>
        <w:numPr>
          <w:ilvl w:val="4"/>
          <w:numId w:val="36"/>
        </w:numPr>
        <w:ind w:left="851"/>
      </w:pPr>
      <w:r w:rsidRPr="00D936CA">
        <w:t>Porcentaje de Habilitación de Servicio Auxiliar de Anexo de Caja de Distribución (ya existe Pozo Multiconcesionario): 90% en máximo 15 días hábiles. El 10% restante en un máximo de 23 días hábiles.</w:t>
      </w:r>
    </w:p>
    <w:p w14:paraId="33CFF116" w14:textId="77777777" w:rsidR="00D10CC9" w:rsidRPr="00D936CA" w:rsidRDefault="00D10CC9" w:rsidP="00060B2E">
      <w:pPr>
        <w:pStyle w:val="IFTnormal"/>
        <w:ind w:left="-567" w:right="-142"/>
        <w:rPr>
          <w:b/>
        </w:rPr>
      </w:pPr>
      <w:r w:rsidRPr="00D936CA">
        <w:rPr>
          <w:b/>
        </w:rPr>
        <w:t>Metodología</w:t>
      </w:r>
    </w:p>
    <w:p w14:paraId="33CFF117" w14:textId="729B13E1" w:rsidR="00D10CC9" w:rsidRPr="00D936CA" w:rsidRDefault="00D10CC9" w:rsidP="00060B2E">
      <w:pPr>
        <w:pStyle w:val="IFTnormal"/>
        <w:ind w:left="-567" w:right="-142"/>
      </w:pPr>
      <w:r w:rsidRPr="00D936CA">
        <w:t xml:space="preserve">Para realizar la medición de los indicadores presentados, se descontarán los plazos de entrega señalados en la sección </w:t>
      </w:r>
      <w:r w:rsidR="004E362C" w:rsidRPr="00D936CA">
        <w:t>6.15</w:t>
      </w:r>
      <w:r w:rsidRPr="00D936CA">
        <w:t xml:space="preserve"> de este documento de los días totales utilizados para la realización de dicha actividad, considerando como inicio del proceso el día en que se solicitó el servicio por parte del CS.</w:t>
      </w:r>
    </w:p>
    <w:p w14:paraId="33CFF118" w14:textId="77777777" w:rsidR="00D10CC9" w:rsidRPr="00D936CA" w:rsidRDefault="00D10CC9" w:rsidP="00060B2E">
      <w:pPr>
        <w:pStyle w:val="IFTnormal"/>
        <w:ind w:left="-567" w:right="-142"/>
        <w:rPr>
          <w:b/>
        </w:rPr>
      </w:pPr>
      <w:r w:rsidRPr="00D936CA">
        <w:rPr>
          <w:b/>
        </w:rPr>
        <w:t>Parámetros e Indicadores para Reparación de Fallas</w:t>
      </w:r>
    </w:p>
    <w:p w14:paraId="33CFF119" w14:textId="605EF085" w:rsidR="00D10CC9" w:rsidRDefault="00D10CC9" w:rsidP="00D936CA">
      <w:pPr>
        <w:pStyle w:val="IFTnormal"/>
        <w:numPr>
          <w:ilvl w:val="4"/>
          <w:numId w:val="36"/>
        </w:numPr>
        <w:ind w:left="851"/>
      </w:pPr>
      <w:r w:rsidRPr="00D936CA">
        <w:t xml:space="preserve">90% de reparaciones en un plazo máximo de 72 horas </w:t>
      </w:r>
    </w:p>
    <w:p w14:paraId="353DF8D5" w14:textId="77777777" w:rsidR="000F74B5" w:rsidRPr="00D936CA" w:rsidRDefault="000F74B5" w:rsidP="000F74B5">
      <w:pPr>
        <w:pStyle w:val="IFTnormal"/>
      </w:pPr>
    </w:p>
    <w:p w14:paraId="33CFF11A" w14:textId="77777777" w:rsidR="00D10CC9" w:rsidRPr="00D936CA" w:rsidRDefault="00D10CC9" w:rsidP="00D936CA">
      <w:pPr>
        <w:pStyle w:val="Ttulo2"/>
        <w:numPr>
          <w:ilvl w:val="1"/>
          <w:numId w:val="143"/>
        </w:numPr>
        <w:tabs>
          <w:tab w:val="left" w:pos="993"/>
        </w:tabs>
        <w:ind w:left="851" w:hanging="425"/>
      </w:pPr>
      <w:bookmarkStart w:id="682" w:name="_Toc467248753"/>
      <w:bookmarkStart w:id="683" w:name="_Toc518032037"/>
      <w:r w:rsidRPr="00D936CA">
        <w:t>Procedimiento para la realización de pruebas de entrega para el cableado en el Servicio Auxiliar de Anexo de Caja de Distribución.</w:t>
      </w:r>
      <w:bookmarkEnd w:id="682"/>
      <w:bookmarkEnd w:id="683"/>
    </w:p>
    <w:p w14:paraId="33CFF11B" w14:textId="77777777" w:rsidR="00D10CC9" w:rsidRPr="00D936CA" w:rsidRDefault="00D10CC9" w:rsidP="00060B2E">
      <w:pPr>
        <w:pStyle w:val="IFTnormal"/>
        <w:ind w:left="-567" w:right="-142"/>
      </w:pPr>
      <w:r w:rsidRPr="00D936CA">
        <w:t>Para la realización de pruebas de entrega, se considera el siguiente procedimiento:</w:t>
      </w:r>
    </w:p>
    <w:p w14:paraId="33CFF11C" w14:textId="77777777" w:rsidR="00D10CC9" w:rsidRPr="00D936CA" w:rsidRDefault="00D10CC9" w:rsidP="00D936CA">
      <w:pPr>
        <w:pStyle w:val="IFTnormal"/>
        <w:numPr>
          <w:ilvl w:val="0"/>
          <w:numId w:val="74"/>
        </w:numPr>
        <w:rPr>
          <w:rFonts w:cs="Arial"/>
        </w:rPr>
      </w:pPr>
      <w:r w:rsidRPr="00D936CA">
        <w:rPr>
          <w:rFonts w:cs="Arial"/>
          <w:lang w:eastAsia="es-MX"/>
        </w:rPr>
        <w:lastRenderedPageBreak/>
        <w:t>Telmex realizará el cableado desde la tablilla que se encuentra en el anexo, hasta el cierre de empalme que se encuentra en el Pozo multiconcesionario.</w:t>
      </w:r>
    </w:p>
    <w:p w14:paraId="33CFF11D" w14:textId="4F688B7F" w:rsidR="00D10CC9" w:rsidRPr="00D936CA" w:rsidRDefault="00D10CC9" w:rsidP="00D936CA">
      <w:pPr>
        <w:pStyle w:val="IFTnormal"/>
        <w:numPr>
          <w:ilvl w:val="0"/>
          <w:numId w:val="74"/>
        </w:numPr>
      </w:pPr>
      <w:r w:rsidRPr="00D936CA">
        <w:rPr>
          <w:rFonts w:cs="Arial"/>
        </w:rPr>
        <w:t>Una vez colocado el cableado y antes de instalar el cierre, se deben realizar las prueba</w:t>
      </w:r>
      <w:r w:rsidR="00820EC4">
        <w:rPr>
          <w:rFonts w:cs="Arial"/>
        </w:rPr>
        <w:t>s</w:t>
      </w:r>
      <w:r w:rsidRPr="00D936CA">
        <w:rPr>
          <w:rFonts w:cs="Arial"/>
        </w:rPr>
        <w:t xml:space="preserve"> de continuidad a cada par.</w:t>
      </w:r>
    </w:p>
    <w:p w14:paraId="33CFF11E" w14:textId="77777777" w:rsidR="00D10CC9" w:rsidRPr="00D936CA" w:rsidRDefault="00D10CC9" w:rsidP="00D936CA">
      <w:pPr>
        <w:pStyle w:val="IFTnormal"/>
        <w:numPr>
          <w:ilvl w:val="0"/>
          <w:numId w:val="74"/>
        </w:numPr>
      </w:pPr>
      <w:r w:rsidRPr="00D936CA">
        <w:t>Se entregará al CS un reporte con los resultados de la prueba del servicio.</w:t>
      </w:r>
    </w:p>
    <w:p w14:paraId="33CFF121" w14:textId="2A14127B" w:rsidR="00D10CC9" w:rsidRDefault="00D10CC9" w:rsidP="00D936CA">
      <w:pPr>
        <w:rPr>
          <w:rFonts w:ascii="ITC Avant Garde" w:hAnsi="ITC Avant Garde"/>
          <w:lang w:val="es-ES" w:eastAsia="es-MX"/>
        </w:rPr>
      </w:pPr>
    </w:p>
    <w:p w14:paraId="5F15B825" w14:textId="0196C0D9" w:rsidR="000F74B5" w:rsidRDefault="000F74B5" w:rsidP="00D936CA">
      <w:pPr>
        <w:rPr>
          <w:rFonts w:ascii="ITC Avant Garde" w:hAnsi="ITC Avant Garde"/>
          <w:lang w:val="es-ES" w:eastAsia="es-MX"/>
        </w:rPr>
      </w:pPr>
    </w:p>
    <w:p w14:paraId="0F70F637" w14:textId="67DD43B9" w:rsidR="000F74B5" w:rsidRDefault="000F74B5" w:rsidP="00D936CA">
      <w:pPr>
        <w:rPr>
          <w:rFonts w:ascii="ITC Avant Garde" w:hAnsi="ITC Avant Garde"/>
          <w:lang w:val="es-ES" w:eastAsia="es-MX"/>
        </w:rPr>
      </w:pPr>
    </w:p>
    <w:p w14:paraId="2E7C0FE3" w14:textId="77777777" w:rsidR="000F74B5" w:rsidRPr="00D936CA" w:rsidRDefault="000F74B5" w:rsidP="00D936CA">
      <w:pPr>
        <w:rPr>
          <w:rFonts w:ascii="ITC Avant Garde" w:hAnsi="ITC Avant Garde"/>
          <w:lang w:val="es-ES" w:eastAsia="es-MX"/>
        </w:rPr>
      </w:pPr>
    </w:p>
    <w:p w14:paraId="33CFF122" w14:textId="77777777" w:rsidR="003D4DF8" w:rsidRPr="00D936CA" w:rsidRDefault="003D4DF8" w:rsidP="00B50532">
      <w:pPr>
        <w:pStyle w:val="1TitPrin"/>
      </w:pPr>
      <w:bookmarkStart w:id="684" w:name="_Toc467248755"/>
      <w:bookmarkStart w:id="685" w:name="_Toc518032038"/>
      <w:r w:rsidRPr="00D936CA">
        <w:t>Servicio de Coubicación para Desagregación del Bucle</w:t>
      </w:r>
      <w:bookmarkEnd w:id="684"/>
      <w:bookmarkEnd w:id="685"/>
    </w:p>
    <w:p w14:paraId="33CFF123" w14:textId="77777777" w:rsidR="00597CC7" w:rsidRPr="00D936CA" w:rsidRDefault="00597CC7"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Para la provisión del </w:t>
      </w:r>
      <w:r w:rsidRPr="007241B3">
        <w:rPr>
          <w:rFonts w:ascii="ITC Avant Garde" w:hAnsi="ITC Avant Garde"/>
          <w:sz w:val="22"/>
          <w:szCs w:val="22"/>
          <w:lang w:val="es-MX"/>
        </w:rPr>
        <w:t>SAIB</w:t>
      </w:r>
      <w:r w:rsidRPr="00D936CA">
        <w:rPr>
          <w:rFonts w:ascii="ITC Avant Garde" w:hAnsi="ITC Avant Garde"/>
          <w:sz w:val="22"/>
          <w:szCs w:val="22"/>
          <w:lang w:val="es-MX"/>
        </w:rPr>
        <w:t>, SDTBL y SDCBL es necesario que el CS cuente con un espacio donde ubique su infraestructura de tal forma que Telmex pueda entregar los servicios de desagregación.</w:t>
      </w:r>
    </w:p>
    <w:p w14:paraId="33CFF124" w14:textId="77777777" w:rsidR="00597CC7" w:rsidRPr="00D936CA" w:rsidRDefault="00597CC7"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Para lo anterior el CS deberá contar con cualquiera de las siguientes alternativas como espacio para coubicación:</w:t>
      </w:r>
    </w:p>
    <w:p w14:paraId="33CFF125" w14:textId="77777777" w:rsidR="00597CC7" w:rsidRPr="00D936CA" w:rsidRDefault="00597CC7" w:rsidP="00D936CA">
      <w:pPr>
        <w:pStyle w:val="Prrafodelista"/>
        <w:numPr>
          <w:ilvl w:val="0"/>
          <w:numId w:val="78"/>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Contratar el SCD;</w:t>
      </w:r>
    </w:p>
    <w:p w14:paraId="33CFF126" w14:textId="77777777" w:rsidR="00597CC7" w:rsidRPr="00D936CA" w:rsidRDefault="00597CC7" w:rsidP="00D936CA">
      <w:pPr>
        <w:pStyle w:val="IFTnormal"/>
        <w:numPr>
          <w:ilvl w:val="0"/>
          <w:numId w:val="78"/>
        </w:numPr>
      </w:pPr>
      <w:r w:rsidRPr="00D936CA">
        <w:t xml:space="preserve">Tener una Ubicación Distante definida para la entrega de los servicios; </w:t>
      </w:r>
    </w:p>
    <w:p w14:paraId="33CFF127" w14:textId="77777777" w:rsidR="00597CC7" w:rsidRPr="00D936CA" w:rsidRDefault="00597CC7" w:rsidP="00D936CA">
      <w:pPr>
        <w:pStyle w:val="IFTnormal"/>
        <w:numPr>
          <w:ilvl w:val="0"/>
          <w:numId w:val="78"/>
        </w:numPr>
      </w:pPr>
      <w:r w:rsidRPr="00D936CA">
        <w:t xml:space="preserve">Contar en el sitio de interés con una coubicación contratada para interconexión; </w:t>
      </w:r>
    </w:p>
    <w:p w14:paraId="33CFF128" w14:textId="77777777" w:rsidR="00597CC7" w:rsidRPr="00D936CA" w:rsidRDefault="00597CC7" w:rsidP="00D936CA">
      <w:pPr>
        <w:pStyle w:val="IFTnormal"/>
        <w:numPr>
          <w:ilvl w:val="0"/>
          <w:numId w:val="78"/>
        </w:numPr>
      </w:pPr>
      <w:r w:rsidRPr="00D936CA">
        <w:t>Contar en el sitio de interés con coubicación compartida con otro CS (pudiendo ser tanto de interconexión como de desagregación); o</w:t>
      </w:r>
    </w:p>
    <w:p w14:paraId="33CFF129" w14:textId="77777777" w:rsidR="00597CC7" w:rsidRPr="00D936CA" w:rsidRDefault="00597CC7" w:rsidP="00D936CA">
      <w:pPr>
        <w:pStyle w:val="IFTnormal"/>
        <w:numPr>
          <w:ilvl w:val="0"/>
          <w:numId w:val="78"/>
        </w:numPr>
      </w:pPr>
      <w:r w:rsidRPr="00D936CA">
        <w:t xml:space="preserve">Contar en el sitio de interés con una Coubicación para Desagregación previamente contratada, </w:t>
      </w:r>
    </w:p>
    <w:p w14:paraId="33CFF12A" w14:textId="06E0643C" w:rsidR="00597CC7" w:rsidRDefault="00597CC7" w:rsidP="00060B2E">
      <w:pPr>
        <w:pStyle w:val="IFTnormal"/>
        <w:ind w:left="-567" w:right="-142"/>
      </w:pPr>
      <w:r w:rsidRPr="00D936CA">
        <w:t xml:space="preserve">En los últimos tres casos es necesario que sea factible hacer uso de estos espacios y en caso de requerirse se realicen las adecuaciones pertinentes, las cuales se limitarán a ampliación de espacio, energía eléctrica o aire acondicionado, para el correcto funcionamiento de los equipos a instalar. Asimismo, en estos casos no será necesario que los CS firmen un nuevo convenio de coubicación ya que se hará uso de espacios previamente contratados. De ser necesario </w:t>
      </w:r>
      <w:r w:rsidR="00F07D23" w:rsidRPr="00D936CA">
        <w:t>Telmex</w:t>
      </w:r>
      <w:r w:rsidRPr="00D936CA">
        <w:t xml:space="preserve"> hará las adecuaciones correspondientes a cuenta del CS.</w:t>
      </w:r>
    </w:p>
    <w:p w14:paraId="69720FD6" w14:textId="77777777" w:rsidR="000F74B5" w:rsidRPr="00D936CA" w:rsidRDefault="000F74B5" w:rsidP="00060B2E">
      <w:pPr>
        <w:pStyle w:val="IFTnormal"/>
        <w:ind w:left="-567" w:right="-142"/>
      </w:pPr>
    </w:p>
    <w:p w14:paraId="33CFF12B" w14:textId="77777777" w:rsidR="008271AD" w:rsidRPr="00D936CA" w:rsidRDefault="008A083F" w:rsidP="00D936CA">
      <w:pPr>
        <w:pStyle w:val="Ttulo2"/>
        <w:numPr>
          <w:ilvl w:val="1"/>
          <w:numId w:val="143"/>
        </w:numPr>
        <w:ind w:left="851" w:hanging="425"/>
      </w:pPr>
      <w:bookmarkStart w:id="686" w:name="_Toc467248756"/>
      <w:bookmarkStart w:id="687" w:name="_Toc518032039"/>
      <w:r w:rsidRPr="00D936CA">
        <w:lastRenderedPageBreak/>
        <w:t>Generalidades</w:t>
      </w:r>
      <w:r w:rsidR="008271AD" w:rsidRPr="00D936CA">
        <w:t>.</w:t>
      </w:r>
      <w:bookmarkEnd w:id="686"/>
      <w:bookmarkEnd w:id="687"/>
    </w:p>
    <w:p w14:paraId="33CFF12C" w14:textId="77777777" w:rsidR="003D4DF8" w:rsidRPr="00D936CA" w:rsidRDefault="008A083F"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Servicio de Coubicación para Desagregación es un s</w:t>
      </w:r>
      <w:r w:rsidR="003D4DF8" w:rsidRPr="00D936CA">
        <w:rPr>
          <w:rFonts w:ascii="ITC Avant Garde" w:hAnsi="ITC Avant Garde"/>
          <w:sz w:val="22"/>
          <w:szCs w:val="22"/>
          <w:lang w:val="es-MX"/>
        </w:rPr>
        <w:t>ervicio de arrendamiento de espacio para la colocación de equipos y dispositivos del CS necesarios para acceder a los servicios de desagregación, mediante su ubicación en los espacios físicos abiertos o cerrados en las Instalaciones de Telmex, que Incluye el acondicionamiento necesario para la Instalación de equipos para los servicios de desagregación, la provisión de recursos técnicos, suministro de energía, medidas de seguridad, aire acondicionado, y demás facilidades necesarias para su adecuada operación, así como el acceso a los espacios físicos mencionado. Los espacios para Coubicación se categorizan de conformidad con la zona económica en que se encuentran situados, definiéndose tres zonas: alta, media y baja.</w:t>
      </w:r>
    </w:p>
    <w:p w14:paraId="33CFF12D" w14:textId="77777777" w:rsidR="003D4DF8" w:rsidRPr="00D936CA" w:rsidRDefault="003D4DF8" w:rsidP="00D936CA">
      <w:pPr>
        <w:pStyle w:val="Prrafodelista"/>
        <w:numPr>
          <w:ilvl w:val="0"/>
          <w:numId w:val="73"/>
        </w:numPr>
        <w:spacing w:after="200" w:line="276" w:lineRule="auto"/>
        <w:ind w:left="714" w:hanging="357"/>
        <w:jc w:val="both"/>
        <w:rPr>
          <w:rFonts w:ascii="ITC Avant Garde" w:hAnsi="ITC Avant Garde"/>
          <w:sz w:val="22"/>
          <w:szCs w:val="22"/>
          <w:lang w:val="es-MX"/>
        </w:rPr>
      </w:pPr>
      <w:r w:rsidRPr="00D936CA">
        <w:rPr>
          <w:rFonts w:ascii="ITC Avant Garde" w:hAnsi="ITC Avant Garde"/>
          <w:b/>
          <w:sz w:val="22"/>
          <w:szCs w:val="22"/>
          <w:lang w:val="es-MX"/>
        </w:rPr>
        <w:t>Zona alta:</w:t>
      </w:r>
      <w:r w:rsidRPr="00D936CA">
        <w:rPr>
          <w:rFonts w:ascii="ITC Avant Garde" w:hAnsi="ITC Avant Garde"/>
          <w:sz w:val="22"/>
          <w:szCs w:val="22"/>
          <w:lang w:val="es-MX"/>
        </w:rPr>
        <w:t xml:space="preserve"> Se trata de sitios ubicados en zonas urbanas, habitacionales o comerciales, cuya población percibe el ingreso promedio más alto en el país.</w:t>
      </w:r>
    </w:p>
    <w:p w14:paraId="33CFF12E" w14:textId="77777777" w:rsidR="003D4DF8" w:rsidRPr="00D936CA" w:rsidRDefault="003D4DF8" w:rsidP="00D936CA">
      <w:pPr>
        <w:pStyle w:val="Prrafodelista"/>
        <w:numPr>
          <w:ilvl w:val="0"/>
          <w:numId w:val="73"/>
        </w:numPr>
        <w:spacing w:after="200" w:line="276" w:lineRule="auto"/>
        <w:ind w:left="714" w:hanging="357"/>
        <w:jc w:val="both"/>
        <w:rPr>
          <w:rFonts w:ascii="ITC Avant Garde" w:hAnsi="ITC Avant Garde"/>
          <w:sz w:val="22"/>
          <w:szCs w:val="22"/>
          <w:lang w:val="es-MX"/>
        </w:rPr>
      </w:pPr>
      <w:r w:rsidRPr="00D936CA">
        <w:rPr>
          <w:rFonts w:ascii="ITC Avant Garde" w:hAnsi="ITC Avant Garde"/>
          <w:b/>
          <w:sz w:val="22"/>
          <w:szCs w:val="22"/>
          <w:lang w:val="es-MX"/>
        </w:rPr>
        <w:t>Zona media:</w:t>
      </w:r>
      <w:r w:rsidRPr="00D936CA">
        <w:rPr>
          <w:rFonts w:ascii="ITC Avant Garde" w:hAnsi="ITC Avant Garde"/>
          <w:sz w:val="22"/>
          <w:szCs w:val="22"/>
          <w:lang w:val="es-MX"/>
        </w:rPr>
        <w:t xml:space="preserve"> Se trata de sitios ubicados en zonas urbanas, habitacionales o comerciales, cuya población percibe el ingreso promedio en el país.</w:t>
      </w:r>
    </w:p>
    <w:p w14:paraId="33CFF12F" w14:textId="77777777" w:rsidR="003D4DF8" w:rsidRPr="00D936CA" w:rsidRDefault="003D4DF8" w:rsidP="00D936CA">
      <w:pPr>
        <w:pStyle w:val="Prrafodelista"/>
        <w:numPr>
          <w:ilvl w:val="0"/>
          <w:numId w:val="73"/>
        </w:numPr>
        <w:spacing w:after="200" w:line="276" w:lineRule="auto"/>
        <w:ind w:left="714" w:hanging="357"/>
        <w:rPr>
          <w:rFonts w:ascii="ITC Avant Garde" w:hAnsi="ITC Avant Garde"/>
          <w:sz w:val="22"/>
          <w:szCs w:val="22"/>
          <w:lang w:val="es-MX"/>
        </w:rPr>
      </w:pPr>
      <w:r w:rsidRPr="00D936CA">
        <w:rPr>
          <w:rFonts w:ascii="ITC Avant Garde" w:hAnsi="ITC Avant Garde"/>
          <w:b/>
          <w:sz w:val="22"/>
          <w:szCs w:val="22"/>
          <w:lang w:val="es-MX"/>
        </w:rPr>
        <w:t>Zona baja:</w:t>
      </w:r>
      <w:r w:rsidRPr="00D936CA">
        <w:rPr>
          <w:rFonts w:ascii="ITC Avant Garde" w:hAnsi="ITC Avant Garde"/>
          <w:sz w:val="22"/>
          <w:szCs w:val="22"/>
          <w:lang w:val="es-MX"/>
        </w:rPr>
        <w:t xml:space="preserve"> Se trata de sitios ubicados en zonas suburbanas, habitacionales o comerciales, cuya población percibe el ingreso promedio más bajo en el país, o bien sitios ubicados en zonas rurales o de cultivo.</w:t>
      </w:r>
    </w:p>
    <w:p w14:paraId="33CFF130" w14:textId="77777777"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Estos espacios se ubicarán en zonas específicas en donde exista factibilidad técnica dentro de las Centrales, Instalaciones Equivalentes o predios donde se localizan las mismas, diferenciadas e independientes de los espacios que Telmex ocupa para su operación, que provean las facilidades técnicas necesarias y que cuenten con espacios vacantes. </w:t>
      </w:r>
    </w:p>
    <w:p w14:paraId="33CFF131" w14:textId="77777777"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Quedan excluidas las áreas que estén ocupadas por equipos de telecomunicaciones</w:t>
      </w:r>
      <w:r w:rsidRPr="00D936CA">
        <w:rPr>
          <w:rStyle w:val="Refdenotaalpie"/>
          <w:rFonts w:ascii="ITC Avant Garde" w:hAnsi="ITC Avant Garde"/>
          <w:sz w:val="22"/>
          <w:szCs w:val="22"/>
          <w:lang w:val="es-MX"/>
        </w:rPr>
        <w:footnoteReference w:id="54"/>
      </w:r>
      <w:r w:rsidRPr="00D936CA">
        <w:rPr>
          <w:rFonts w:ascii="ITC Avant Garde" w:hAnsi="ITC Avant Garde"/>
          <w:sz w:val="22"/>
          <w:szCs w:val="22"/>
          <w:lang w:val="es-MX"/>
        </w:rPr>
        <w:t xml:space="preserve"> y otros equipamientos auxiliares, así como las áreas que ocupa el personal para su mantenimiento, los espacios comunes necesarios para la movilidad de personas y equipos (tales como pasillos y accesos para apertura de puertas), al igual que aquellos espacios que por su naturaleza se utilizan para la operación de la red (estacionamientos, bodegas, áreas de carga y descarga).</w:t>
      </w:r>
    </w:p>
    <w:p w14:paraId="33CFF132" w14:textId="77777777"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Si algún CS ya cuenta con Coubicación en alguna de las instalaciones de Telmex, podrá ser utilizada bajo las condiciones establecidas en el Servicio de Coubicación para Desagregación. En caso de que aplique, de acuerdo con las condiciones técnicas y operativas, al interior de la Coubicación, podrá llevarse a cabo la adecuación o instalación de elementos que permitan llevar a esta Coubicación el cableado del servicio requerido.</w:t>
      </w:r>
    </w:p>
    <w:p w14:paraId="33CFF133" w14:textId="7A16CF0B"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Dependiendo del servicio que se requiera, la instalación puede provenir de la sala de interconexión, transmisión, conmutación, distribuidor general o algún otro punto de las instalaciones de la central y serán variables en función de la distancia. De manera enunciativa más no limitativa, las adecuaciones a la Coubicación se requerirán cuando un CS solicite servicios auxiliares de Desagregación como el SCyD y el Cableado de DFO-</w:t>
      </w:r>
      <w:r w:rsidR="00083302" w:rsidRPr="00D936CA">
        <w:rPr>
          <w:rFonts w:ascii="ITC Avant Garde" w:hAnsi="ITC Avant Garde"/>
          <w:sz w:val="22"/>
          <w:szCs w:val="22"/>
          <w:lang w:val="es-MX"/>
        </w:rPr>
        <w:t>T</w:t>
      </w:r>
      <w:r w:rsidR="00083302">
        <w:rPr>
          <w:rFonts w:ascii="ITC Avant Garde" w:hAnsi="ITC Avant Garde"/>
          <w:sz w:val="22"/>
          <w:szCs w:val="22"/>
          <w:lang w:val="es-MX"/>
        </w:rPr>
        <w:t>MX</w:t>
      </w:r>
      <w:r w:rsidR="00083302" w:rsidRPr="00D936CA">
        <w:rPr>
          <w:rFonts w:ascii="ITC Avant Garde" w:hAnsi="ITC Avant Garde"/>
          <w:sz w:val="22"/>
          <w:szCs w:val="22"/>
          <w:lang w:val="es-MX"/>
        </w:rPr>
        <w:t xml:space="preserve"> </w:t>
      </w:r>
      <w:r w:rsidRPr="00D936CA">
        <w:rPr>
          <w:rFonts w:ascii="ITC Avant Garde" w:hAnsi="ITC Avant Garde"/>
          <w:sz w:val="22"/>
          <w:szCs w:val="22"/>
          <w:lang w:val="es-MX"/>
        </w:rPr>
        <w:t>a DFO-CS para la entrega de SAIB; o el servicio auxiliar de Cableado Multipar para la entrega de los servicios SDTBL y SDCBL. Los elementos a instalar pueden ser escalerillas de aluminio (incluyendo la perforación de muros y lozas), la instalación de tablillas o splitters, la ampliación de fuerza y clima, construcción de canaletas, entre otros. En todos los casos se procurará minimizar el impacto negativo que pudiera tener el servicio operativo habitual y se realizará en todo momento en coordinación con el CS.</w:t>
      </w:r>
    </w:p>
    <w:p w14:paraId="33CFF134" w14:textId="77777777"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La Coubicación para Desagregación podrá ser utilizada por uno o más CS, no obstante, Telmex firmará el Convenio con un solo CS, y será decisión del CS compartir esa Coubicación con otros CS, en cuyo caso el responsable ante Telmex de dicha Coubicación será quien deberá tramitar los accesos y permisos. Si el CS responsable permite la instalación de componentes o equipos de otro CS, será bajo su responsabilidad y siempre informando de esta situación a Telmex. El CS que esté compartiendo la Coubicación (no responsable), podrá solicitar directamente los servicios para lo que deberá entregar a Telmex un documento que demuestre que el CS responsable está de acuerdo con la compartición de la Coubicación.</w:t>
      </w:r>
    </w:p>
    <w:p w14:paraId="33CFF135" w14:textId="77777777"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Cuando Telmex cierre una Central Telefónica o Instalación Equivalente deberá considerar dentro de sus nuevas instalaciones los servicios actualmente contratados por los CS y realizar su reubicación asumiendo Telmex los costos correspondientes.</w:t>
      </w:r>
    </w:p>
    <w:p w14:paraId="33CFF136" w14:textId="3CBE2E31"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Asimismo, notificará con 12 meses de anticipación tanto al Instituto como a los CS, a fin de coordinar con el CS su reubicación, de conformidad con el procedimiento al respecto </w:t>
      </w:r>
      <w:r w:rsidRPr="005715B4">
        <w:rPr>
          <w:rFonts w:ascii="ITC Avant Garde" w:hAnsi="ITC Avant Garde"/>
          <w:sz w:val="22"/>
          <w:szCs w:val="22"/>
          <w:lang w:val="es-MX"/>
        </w:rPr>
        <w:t>de esta OREDA.</w:t>
      </w:r>
    </w:p>
    <w:p w14:paraId="33CFF137" w14:textId="77777777" w:rsidR="003D4DF8" w:rsidRPr="00D936CA" w:rsidRDefault="003D4DF8"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Será responsabilidad de Telmex y los CS realizar de manera conjunta las adecuaciones necesarias para garantizar la continuidad de los servicios. </w:t>
      </w:r>
    </w:p>
    <w:p w14:paraId="33CFF138" w14:textId="77777777" w:rsidR="003D4DF8" w:rsidRPr="00D936CA" w:rsidRDefault="003D4DF8" w:rsidP="00060B2E">
      <w:pPr>
        <w:pStyle w:val="IFTnormal"/>
        <w:ind w:left="-567" w:right="-142"/>
      </w:pPr>
      <w:r w:rsidRPr="00D936CA">
        <w:t>Existen 3 tipos de Coubicación para Desagregación dentro de las Instalaciones de Telmex:</w:t>
      </w:r>
    </w:p>
    <w:p w14:paraId="33CFF139" w14:textId="77777777" w:rsidR="003D4DF8" w:rsidRPr="00D936CA" w:rsidRDefault="003D4DF8" w:rsidP="00060B2E">
      <w:pPr>
        <w:pStyle w:val="IFTnormal"/>
        <w:ind w:left="-567" w:right="-142"/>
      </w:pPr>
      <w:r w:rsidRPr="00D936CA">
        <w:t>Tipo 1 (Local): Área de 9 m2 (3x3), con delimitación de tabla roca pudiendo utilizar las paredes existentes.</w:t>
      </w:r>
    </w:p>
    <w:p w14:paraId="33CFF13A" w14:textId="77777777" w:rsidR="003D4DF8" w:rsidRPr="00D936CA" w:rsidRDefault="003D4DF8" w:rsidP="00060B2E">
      <w:pPr>
        <w:pStyle w:val="IFTnormal"/>
        <w:ind w:left="-567" w:right="-142"/>
      </w:pPr>
      <w:r w:rsidRPr="00D936CA">
        <w:t>Tipo 2 (Local): Área de 4 m2 (2x2), con delimitación de tabla roca pudiendo utilizar las paredes existentes.</w:t>
      </w:r>
    </w:p>
    <w:p w14:paraId="33CFF13B" w14:textId="18E065E1" w:rsidR="003D4DF8" w:rsidRPr="00D936CA" w:rsidRDefault="003D4DF8" w:rsidP="00060B2E">
      <w:pPr>
        <w:pStyle w:val="IFTnormal"/>
        <w:ind w:left="-567" w:right="-142"/>
      </w:pPr>
      <w:r w:rsidRPr="00D936CA">
        <w:t xml:space="preserve">Tipo 3 (Gabinete): Área cerrada delimitada por tabla roca pudiendo utilizar paredes existentes, igual o mayor a 20 m2 dependiendo de la disponibilidad de espacio, </w:t>
      </w:r>
      <w:r w:rsidR="000F74B5" w:rsidRPr="00D936CA">
        <w:t>que tendrá</w:t>
      </w:r>
      <w:r w:rsidRPr="00D936CA">
        <w:t xml:space="preserve"> </w:t>
      </w:r>
      <w:r w:rsidRPr="00D936CA">
        <w:lastRenderedPageBreak/>
        <w:t>la capacidad  de almacenar gabinetes cerrados con rack de 21 pulgadas que cumplen el estándar ETSI 300 119:</w:t>
      </w:r>
    </w:p>
    <w:p w14:paraId="33CFF13C" w14:textId="77777777" w:rsidR="003D4DF8" w:rsidRPr="00D936CA" w:rsidRDefault="003D4DF8" w:rsidP="00D936CA">
      <w:pPr>
        <w:pStyle w:val="CondicionesFinales"/>
        <w:rPr>
          <w:color w:val="auto"/>
        </w:rPr>
      </w:pPr>
      <w:r w:rsidRPr="00D936CA">
        <w:rPr>
          <w:color w:val="auto"/>
        </w:rPr>
        <w:t xml:space="preserve">   • Altura: 2200 [mm]</w:t>
      </w:r>
    </w:p>
    <w:p w14:paraId="33CFF13D" w14:textId="77777777" w:rsidR="003D4DF8" w:rsidRPr="00D936CA" w:rsidRDefault="003D4DF8" w:rsidP="00D936CA">
      <w:pPr>
        <w:pStyle w:val="CondicionesFinales"/>
        <w:rPr>
          <w:color w:val="auto"/>
        </w:rPr>
      </w:pPr>
      <w:r w:rsidRPr="00D936CA">
        <w:rPr>
          <w:color w:val="auto"/>
        </w:rPr>
        <w:t xml:space="preserve">   • Ancho: 600 [mm]</w:t>
      </w:r>
    </w:p>
    <w:p w14:paraId="33CFF13E" w14:textId="77777777" w:rsidR="003D4DF8" w:rsidRPr="00D936CA" w:rsidRDefault="003D4DF8" w:rsidP="00D936CA">
      <w:pPr>
        <w:pStyle w:val="CondicionesFinales"/>
        <w:rPr>
          <w:color w:val="auto"/>
          <w:lang w:val="es-MX"/>
        </w:rPr>
      </w:pPr>
      <w:r w:rsidRPr="00D936CA">
        <w:rPr>
          <w:color w:val="auto"/>
          <w:lang w:val="es-MX"/>
        </w:rPr>
        <w:t xml:space="preserve">   • </w:t>
      </w:r>
      <w:r w:rsidRPr="00D936CA">
        <w:rPr>
          <w:color w:val="auto"/>
        </w:rPr>
        <w:t>Profundidad</w:t>
      </w:r>
      <w:r w:rsidRPr="00D936CA">
        <w:rPr>
          <w:color w:val="auto"/>
          <w:lang w:val="es-MX"/>
        </w:rPr>
        <w:t>: 600 [mm]</w:t>
      </w:r>
    </w:p>
    <w:p w14:paraId="33CFF13F" w14:textId="77777777" w:rsidR="003D4DF8" w:rsidRPr="00D936CA" w:rsidRDefault="003D4DF8" w:rsidP="00060B2E">
      <w:pPr>
        <w:pStyle w:val="IFTnormal"/>
        <w:ind w:left="-567" w:right="-142"/>
      </w:pPr>
      <w:r w:rsidRPr="00D936CA">
        <w:t>6 unidades de rack serán reservadas para el PDU (unidad de distribución de energía) y el sistema de ventilación.</w:t>
      </w:r>
    </w:p>
    <w:p w14:paraId="33CFF140" w14:textId="77777777" w:rsidR="003D4DF8" w:rsidRPr="00D936CA" w:rsidRDefault="003D4DF8" w:rsidP="00060B2E">
      <w:pPr>
        <w:pStyle w:val="IFTnormal"/>
        <w:ind w:left="-567" w:right="-142"/>
      </w:pPr>
      <w:r w:rsidRPr="00D936CA">
        <w:rPr>
          <w:rFonts w:cs="Arial"/>
        </w:rPr>
        <w:t>Telmex permitirá al Concesionario Solicitante compartir con otros Concesionarios que se lo requieran, el gabinete que al efecto Telmex le haya proporcionado. En cuyo caso el responsable del gabinete seguirá siendo el Concesionario Solicitante</w:t>
      </w:r>
    </w:p>
    <w:p w14:paraId="33CFF141" w14:textId="77777777" w:rsidR="003D4DF8" w:rsidRPr="00D936CA" w:rsidRDefault="003D4DF8" w:rsidP="00060B2E">
      <w:pPr>
        <w:pStyle w:val="IFTnormal"/>
        <w:ind w:left="-567" w:right="-142"/>
      </w:pPr>
      <w:r w:rsidRPr="00D936CA">
        <w:t>Las modalidades Tipo 1 (Local): Área de 9 m2 (3x3) y Tipo 2 (Local) de coubicación podrán ser internas o externas.</w:t>
      </w:r>
    </w:p>
    <w:p w14:paraId="33CFF142" w14:textId="77777777" w:rsidR="003D4DF8" w:rsidRPr="00D936CA" w:rsidRDefault="003D4DF8" w:rsidP="00D936CA">
      <w:pPr>
        <w:pStyle w:val="Prrafodelista"/>
        <w:numPr>
          <w:ilvl w:val="0"/>
          <w:numId w:val="78"/>
        </w:numPr>
        <w:autoSpaceDE w:val="0"/>
        <w:autoSpaceDN w:val="0"/>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 los tiempos de cada servicio, prevaleciendo el de mayor plazo o bien el solicitado al final.</w:t>
      </w:r>
    </w:p>
    <w:p w14:paraId="33CFF143" w14:textId="77777777" w:rsidR="003D4DF8" w:rsidRPr="00D936CA" w:rsidRDefault="003D4DF8" w:rsidP="00D936CA">
      <w:pPr>
        <w:pStyle w:val="Prrafodelista"/>
        <w:numPr>
          <w:ilvl w:val="2"/>
          <w:numId w:val="143"/>
        </w:numPr>
        <w:tabs>
          <w:tab w:val="left" w:pos="993"/>
        </w:tabs>
        <w:ind w:left="851" w:hanging="425"/>
        <w:outlineLvl w:val="2"/>
        <w:rPr>
          <w:rFonts w:ascii="ITC Avant Garde" w:hAnsi="ITC Avant Garde"/>
          <w:b/>
          <w:sz w:val="22"/>
        </w:rPr>
      </w:pPr>
      <w:bookmarkStart w:id="688" w:name="_Toc467248757"/>
      <w:bookmarkStart w:id="689" w:name="_Toc518032040"/>
      <w:r w:rsidRPr="00D936CA">
        <w:rPr>
          <w:rFonts w:ascii="ITC Avant Garde" w:hAnsi="ITC Avant Garde"/>
          <w:b/>
          <w:sz w:val="22"/>
        </w:rPr>
        <w:t>Características técnicas mínimas para los tipos de coubicación:</w:t>
      </w:r>
      <w:bookmarkEnd w:id="688"/>
      <w:bookmarkEnd w:id="689"/>
    </w:p>
    <w:p w14:paraId="33CFF144" w14:textId="77777777" w:rsidR="00793745" w:rsidRPr="00D936CA" w:rsidRDefault="00793745" w:rsidP="00D936CA"/>
    <w:tbl>
      <w:tblPr>
        <w:tblW w:w="8060" w:type="dxa"/>
        <w:jc w:val="center"/>
        <w:tblCellMar>
          <w:left w:w="70" w:type="dxa"/>
          <w:right w:w="70" w:type="dxa"/>
        </w:tblCellMar>
        <w:tblLook w:val="04A0" w:firstRow="1" w:lastRow="0" w:firstColumn="1" w:lastColumn="0" w:noHBand="0" w:noVBand="1"/>
      </w:tblPr>
      <w:tblGrid>
        <w:gridCol w:w="2552"/>
        <w:gridCol w:w="5508"/>
      </w:tblGrid>
      <w:tr w:rsidR="00D936CA" w:rsidRPr="00D936CA" w14:paraId="33CFF147" w14:textId="77777777" w:rsidTr="004F7BD0">
        <w:trPr>
          <w:trHeight w:val="57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F145" w14:textId="77777777"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eastAsia="es-MX"/>
              </w:rPr>
              <w:t>Acceso</w:t>
            </w:r>
          </w:p>
        </w:tc>
        <w:tc>
          <w:tcPr>
            <w:tcW w:w="5508" w:type="dxa"/>
            <w:tcBorders>
              <w:top w:val="single" w:sz="4" w:space="0" w:color="auto"/>
              <w:left w:val="nil"/>
              <w:bottom w:val="single" w:sz="4" w:space="0" w:color="auto"/>
              <w:right w:val="single" w:sz="4" w:space="0" w:color="auto"/>
            </w:tcBorders>
            <w:shd w:val="clear" w:color="auto" w:fill="auto"/>
            <w:vAlign w:val="center"/>
            <w:hideMark/>
          </w:tcPr>
          <w:p w14:paraId="33CFF146"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7X24 hrs. Todos los días del año atendiendo los procedimientos correspondientes</w:t>
            </w:r>
          </w:p>
        </w:tc>
      </w:tr>
      <w:tr w:rsidR="00D936CA" w:rsidRPr="00D936CA" w14:paraId="33CFF14A" w14:textId="77777777" w:rsidTr="004F7BD0">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48" w14:textId="77777777" w:rsidR="003D4DF8" w:rsidRPr="00D936CA" w:rsidRDefault="003D4DF8" w:rsidP="00D936CA">
            <w:pPr>
              <w:jc w:val="center"/>
              <w:rPr>
                <w:rFonts w:ascii="ITC Avant Garde" w:hAnsi="ITC Avant Garde"/>
                <w:b/>
                <w:bCs/>
                <w:sz w:val="22"/>
                <w:szCs w:val="21"/>
                <w:lang w:eastAsia="es-MX"/>
              </w:rPr>
            </w:pPr>
            <w:r w:rsidRPr="00D936CA">
              <w:rPr>
                <w:rFonts w:ascii="Times New Roman" w:hAnsi="Times New Roman"/>
                <w:b/>
                <w:bCs/>
                <w:sz w:val="22"/>
                <w:szCs w:val="14"/>
                <w:lang w:eastAsia="es-MX"/>
              </w:rPr>
              <w:t xml:space="preserve"> </w:t>
            </w:r>
            <w:r w:rsidRPr="00D936CA">
              <w:rPr>
                <w:rFonts w:ascii="ITC Avant Garde" w:hAnsi="ITC Avant Garde"/>
                <w:b/>
                <w:bCs/>
                <w:sz w:val="22"/>
                <w:lang w:eastAsia="es-MX"/>
              </w:rPr>
              <w:t>Contactos eléctricos</w:t>
            </w:r>
          </w:p>
        </w:tc>
        <w:tc>
          <w:tcPr>
            <w:tcW w:w="5508" w:type="dxa"/>
            <w:tcBorders>
              <w:top w:val="nil"/>
              <w:left w:val="nil"/>
              <w:bottom w:val="single" w:sz="4" w:space="0" w:color="auto"/>
              <w:right w:val="single" w:sz="4" w:space="0" w:color="auto"/>
            </w:tcBorders>
            <w:shd w:val="clear" w:color="auto" w:fill="auto"/>
            <w:vAlign w:val="center"/>
            <w:hideMark/>
          </w:tcPr>
          <w:p w14:paraId="33CFF149"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2 contactos dobles polarizados, voltaje suministrado por la compañía comercial +/- 10% máximo</w:t>
            </w:r>
          </w:p>
        </w:tc>
      </w:tr>
      <w:tr w:rsidR="00D936CA" w:rsidRPr="00D936CA" w14:paraId="33CFF14D" w14:textId="77777777" w:rsidTr="004F7BD0">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4B" w14:textId="77777777" w:rsidR="003D4DF8" w:rsidRPr="00D936CA" w:rsidRDefault="003D4DF8" w:rsidP="00D936CA">
            <w:pPr>
              <w:jc w:val="center"/>
              <w:rPr>
                <w:rFonts w:ascii="ITC Avant Garde" w:hAnsi="ITC Avant Garde"/>
                <w:b/>
                <w:bCs/>
                <w:sz w:val="22"/>
                <w:szCs w:val="21"/>
                <w:lang w:eastAsia="es-MX"/>
              </w:rPr>
            </w:pPr>
            <w:r w:rsidRPr="00D936CA">
              <w:rPr>
                <w:rFonts w:ascii="Times New Roman" w:hAnsi="Times New Roman"/>
                <w:b/>
                <w:bCs/>
                <w:sz w:val="22"/>
                <w:szCs w:val="14"/>
                <w:lang w:eastAsia="es-MX"/>
              </w:rPr>
              <w:t xml:space="preserve"> </w:t>
            </w:r>
            <w:r w:rsidRPr="00D936CA">
              <w:rPr>
                <w:rFonts w:ascii="ITC Avant Garde" w:hAnsi="ITC Avant Garde"/>
                <w:b/>
                <w:bCs/>
                <w:sz w:val="22"/>
                <w:lang w:eastAsia="es-MX"/>
              </w:rPr>
              <w:t>Corriente Directa</w:t>
            </w:r>
          </w:p>
        </w:tc>
        <w:tc>
          <w:tcPr>
            <w:tcW w:w="5508" w:type="dxa"/>
            <w:tcBorders>
              <w:top w:val="nil"/>
              <w:left w:val="nil"/>
              <w:bottom w:val="single" w:sz="4" w:space="0" w:color="auto"/>
              <w:right w:val="single" w:sz="4" w:space="0" w:color="auto"/>
            </w:tcBorders>
            <w:shd w:val="clear" w:color="auto" w:fill="auto"/>
            <w:vAlign w:val="center"/>
            <w:hideMark/>
          </w:tcPr>
          <w:p w14:paraId="33CFF14C"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-48 volts, con 10 Amperes y respaldo de 4 horas, en su caso se podrá requerir respaldo opcional.</w:t>
            </w:r>
          </w:p>
        </w:tc>
      </w:tr>
      <w:tr w:rsidR="00D936CA" w:rsidRPr="00D936CA" w14:paraId="33CFF150" w14:textId="77777777" w:rsidTr="004F7BD0">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4E" w14:textId="77777777"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eastAsia="es-MX"/>
              </w:rPr>
              <w:t>Corriente Alterna</w:t>
            </w:r>
          </w:p>
        </w:tc>
        <w:tc>
          <w:tcPr>
            <w:tcW w:w="5508" w:type="dxa"/>
            <w:tcBorders>
              <w:top w:val="nil"/>
              <w:left w:val="nil"/>
              <w:bottom w:val="single" w:sz="4" w:space="0" w:color="auto"/>
              <w:right w:val="single" w:sz="4" w:space="0" w:color="auto"/>
            </w:tcBorders>
            <w:shd w:val="clear" w:color="auto" w:fill="auto"/>
            <w:vAlign w:val="center"/>
            <w:hideMark/>
          </w:tcPr>
          <w:p w14:paraId="33CFF14F"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10 Amperes con dos contactos polarizados a 127 volts con respaldo opcional</w:t>
            </w:r>
          </w:p>
        </w:tc>
      </w:tr>
      <w:tr w:rsidR="00D936CA" w:rsidRPr="00D936CA" w14:paraId="33CFF153" w14:textId="77777777" w:rsidTr="004F7BD0">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51" w14:textId="77777777"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eastAsia="es-MX"/>
              </w:rPr>
              <w:t>Temperatura</w:t>
            </w:r>
          </w:p>
        </w:tc>
        <w:tc>
          <w:tcPr>
            <w:tcW w:w="5508" w:type="dxa"/>
            <w:tcBorders>
              <w:top w:val="nil"/>
              <w:left w:val="nil"/>
              <w:bottom w:val="single" w:sz="4" w:space="0" w:color="auto"/>
              <w:right w:val="single" w:sz="4" w:space="0" w:color="auto"/>
            </w:tcBorders>
            <w:shd w:val="clear" w:color="auto" w:fill="auto"/>
            <w:vAlign w:val="center"/>
            <w:hideMark/>
          </w:tcPr>
          <w:p w14:paraId="33CFF152"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Menor a 25 grados centígrados, con un consumo máximo de 2500 Kwh/mes.</w:t>
            </w:r>
          </w:p>
        </w:tc>
      </w:tr>
      <w:tr w:rsidR="00D936CA" w:rsidRPr="00D936CA" w14:paraId="33CFF156" w14:textId="77777777" w:rsidTr="004F7BD0">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54" w14:textId="77777777"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val="en-US" w:eastAsia="es-MX"/>
              </w:rPr>
              <w:t>Altura libre</w:t>
            </w:r>
          </w:p>
        </w:tc>
        <w:tc>
          <w:tcPr>
            <w:tcW w:w="5508" w:type="dxa"/>
            <w:tcBorders>
              <w:top w:val="nil"/>
              <w:left w:val="nil"/>
              <w:bottom w:val="single" w:sz="4" w:space="0" w:color="auto"/>
              <w:right w:val="single" w:sz="4" w:space="0" w:color="auto"/>
            </w:tcBorders>
            <w:shd w:val="clear" w:color="auto" w:fill="auto"/>
            <w:vAlign w:val="center"/>
            <w:hideMark/>
          </w:tcPr>
          <w:p w14:paraId="33CFF155"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3.0 m para instalación de equipo. Los ductos y escalerillas estarán dentro de esta altura (2.40 m)</w:t>
            </w:r>
          </w:p>
        </w:tc>
      </w:tr>
      <w:tr w:rsidR="00D936CA" w:rsidRPr="00D936CA" w14:paraId="33CFF159" w14:textId="77777777" w:rsidTr="004F7BD0">
        <w:trPr>
          <w:trHeight w:val="114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57" w14:textId="77777777"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eastAsia="es-MX"/>
              </w:rPr>
              <w:lastRenderedPageBreak/>
              <w:t>Sistema de tierras</w:t>
            </w:r>
          </w:p>
        </w:tc>
        <w:tc>
          <w:tcPr>
            <w:tcW w:w="5508" w:type="dxa"/>
            <w:tcBorders>
              <w:top w:val="nil"/>
              <w:left w:val="nil"/>
              <w:bottom w:val="single" w:sz="4" w:space="0" w:color="auto"/>
              <w:right w:val="single" w:sz="4" w:space="0" w:color="auto"/>
            </w:tcBorders>
            <w:shd w:val="clear" w:color="auto" w:fill="auto"/>
            <w:vAlign w:val="center"/>
            <w:hideMark/>
          </w:tcPr>
          <w:p w14:paraId="33CFF158"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Conductor principal de puesta a tierra calibre 1/0 AWG con derivación a cada local con cable calibre 6 AWG con un valor máximo de 5 ohms.</w:t>
            </w:r>
          </w:p>
        </w:tc>
      </w:tr>
      <w:tr w:rsidR="00D936CA" w:rsidRPr="00D936CA" w14:paraId="33CFF15C" w14:textId="77777777" w:rsidTr="004F7BD0">
        <w:trPr>
          <w:trHeight w:val="300"/>
          <w:jc w:val="center"/>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33CFF15A" w14:textId="3A3AF6D4"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eastAsia="es-MX"/>
              </w:rPr>
              <w:t>Acceso por mantenimiento</w:t>
            </w:r>
          </w:p>
        </w:tc>
        <w:tc>
          <w:tcPr>
            <w:tcW w:w="5508" w:type="dxa"/>
            <w:vMerge w:val="restart"/>
            <w:tcBorders>
              <w:top w:val="nil"/>
              <w:left w:val="single" w:sz="4" w:space="0" w:color="auto"/>
              <w:bottom w:val="single" w:sz="4" w:space="0" w:color="auto"/>
              <w:right w:val="single" w:sz="4" w:space="0" w:color="auto"/>
            </w:tcBorders>
            <w:shd w:val="clear" w:color="auto" w:fill="auto"/>
            <w:vAlign w:val="center"/>
            <w:hideMark/>
          </w:tcPr>
          <w:p w14:paraId="33CFF15B"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Avisar previamente al centro de control de la Red.</w:t>
            </w:r>
          </w:p>
        </w:tc>
      </w:tr>
      <w:tr w:rsidR="00D936CA" w:rsidRPr="00D936CA" w14:paraId="33CFF15F" w14:textId="77777777" w:rsidTr="004F7BD0">
        <w:trPr>
          <w:trHeight w:val="300"/>
          <w:jc w:val="center"/>
        </w:trPr>
        <w:tc>
          <w:tcPr>
            <w:tcW w:w="2552" w:type="dxa"/>
            <w:vMerge/>
            <w:tcBorders>
              <w:top w:val="nil"/>
              <w:left w:val="single" w:sz="4" w:space="0" w:color="auto"/>
              <w:bottom w:val="single" w:sz="4" w:space="0" w:color="auto"/>
              <w:right w:val="single" w:sz="4" w:space="0" w:color="auto"/>
            </w:tcBorders>
            <w:vAlign w:val="center"/>
            <w:hideMark/>
          </w:tcPr>
          <w:p w14:paraId="33CFF15D" w14:textId="77777777" w:rsidR="003D4DF8" w:rsidRPr="00D936CA" w:rsidRDefault="003D4DF8" w:rsidP="00D936CA">
            <w:pPr>
              <w:rPr>
                <w:rFonts w:ascii="ITC Avant Garde" w:hAnsi="ITC Avant Garde"/>
                <w:b/>
                <w:bCs/>
                <w:sz w:val="22"/>
                <w:lang w:eastAsia="es-MX"/>
              </w:rPr>
            </w:pPr>
          </w:p>
        </w:tc>
        <w:tc>
          <w:tcPr>
            <w:tcW w:w="5508" w:type="dxa"/>
            <w:vMerge/>
            <w:tcBorders>
              <w:top w:val="nil"/>
              <w:left w:val="single" w:sz="4" w:space="0" w:color="auto"/>
              <w:bottom w:val="single" w:sz="4" w:space="0" w:color="auto"/>
              <w:right w:val="single" w:sz="4" w:space="0" w:color="auto"/>
            </w:tcBorders>
            <w:vAlign w:val="center"/>
            <w:hideMark/>
          </w:tcPr>
          <w:p w14:paraId="33CFF15E" w14:textId="77777777" w:rsidR="003D4DF8" w:rsidRPr="00D936CA" w:rsidRDefault="003D4DF8" w:rsidP="00D936CA">
            <w:pPr>
              <w:rPr>
                <w:rFonts w:ascii="ITC Avant Garde" w:hAnsi="ITC Avant Garde"/>
                <w:sz w:val="22"/>
                <w:lang w:eastAsia="es-MX"/>
              </w:rPr>
            </w:pPr>
          </w:p>
        </w:tc>
      </w:tr>
      <w:tr w:rsidR="00D936CA" w:rsidRPr="00D936CA" w14:paraId="33CFF162" w14:textId="77777777" w:rsidTr="004F7BD0">
        <w:trPr>
          <w:trHeight w:val="14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60" w14:textId="77777777" w:rsidR="003D4DF8" w:rsidRPr="00D936CA" w:rsidRDefault="003D4DF8" w:rsidP="00D936CA">
            <w:pPr>
              <w:jc w:val="center"/>
              <w:rPr>
                <w:rFonts w:ascii="ITC Avant Garde" w:hAnsi="ITC Avant Garde"/>
                <w:b/>
                <w:bCs/>
                <w:sz w:val="22"/>
                <w:szCs w:val="21"/>
                <w:lang w:eastAsia="es-MX"/>
              </w:rPr>
            </w:pPr>
            <w:r w:rsidRPr="00D936CA">
              <w:rPr>
                <w:rFonts w:ascii="Times New Roman" w:hAnsi="Times New Roman"/>
                <w:b/>
                <w:bCs/>
                <w:sz w:val="22"/>
                <w:szCs w:val="14"/>
                <w:lang w:eastAsia="es-MX"/>
              </w:rPr>
              <w:t xml:space="preserve"> </w:t>
            </w:r>
            <w:r w:rsidRPr="00D936CA">
              <w:rPr>
                <w:rFonts w:ascii="ITC Avant Garde" w:hAnsi="ITC Avant Garde"/>
                <w:b/>
                <w:bCs/>
                <w:sz w:val="22"/>
                <w:lang w:eastAsia="es-MX"/>
              </w:rPr>
              <w:t>Herraje y/o ductería</w:t>
            </w:r>
          </w:p>
        </w:tc>
        <w:tc>
          <w:tcPr>
            <w:tcW w:w="5508" w:type="dxa"/>
            <w:tcBorders>
              <w:top w:val="nil"/>
              <w:left w:val="nil"/>
              <w:bottom w:val="single" w:sz="4" w:space="0" w:color="auto"/>
              <w:right w:val="single" w:sz="4" w:space="0" w:color="auto"/>
            </w:tcBorders>
            <w:shd w:val="clear" w:color="auto" w:fill="auto"/>
            <w:vAlign w:val="center"/>
            <w:hideMark/>
          </w:tcPr>
          <w:p w14:paraId="33CFF161"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Será provisto por el propietario del edificio, para conectar el punto de llegada al edificio con las áreas asignadas y con otras coubicaciones en caso de requerirse.</w:t>
            </w:r>
          </w:p>
        </w:tc>
      </w:tr>
      <w:tr w:rsidR="00D936CA" w:rsidRPr="00D936CA" w14:paraId="33CFF165" w14:textId="77777777" w:rsidTr="004F7BD0">
        <w:trPr>
          <w:trHeight w:val="114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63" w14:textId="77777777" w:rsidR="003D4DF8" w:rsidRPr="00D936CA" w:rsidRDefault="003D4DF8" w:rsidP="00D936CA">
            <w:pPr>
              <w:jc w:val="center"/>
              <w:rPr>
                <w:rFonts w:ascii="ITC Avant Garde" w:hAnsi="ITC Avant Garde"/>
                <w:b/>
                <w:bCs/>
                <w:sz w:val="22"/>
                <w:szCs w:val="21"/>
                <w:lang w:eastAsia="es-MX"/>
              </w:rPr>
            </w:pPr>
            <w:r w:rsidRPr="00D936CA">
              <w:rPr>
                <w:rFonts w:ascii="Times New Roman" w:hAnsi="Times New Roman"/>
                <w:b/>
                <w:bCs/>
                <w:sz w:val="22"/>
                <w:szCs w:val="14"/>
                <w:lang w:eastAsia="es-MX"/>
              </w:rPr>
              <w:t xml:space="preserve">  </w:t>
            </w:r>
            <w:r w:rsidRPr="00D936CA">
              <w:rPr>
                <w:rFonts w:ascii="ITC Avant Garde" w:hAnsi="ITC Avant Garde"/>
                <w:b/>
                <w:bCs/>
                <w:sz w:val="22"/>
                <w:lang w:eastAsia="es-MX"/>
              </w:rPr>
              <w:t>Identificación de Alimentación</w:t>
            </w:r>
          </w:p>
        </w:tc>
        <w:tc>
          <w:tcPr>
            <w:tcW w:w="5508" w:type="dxa"/>
            <w:tcBorders>
              <w:top w:val="nil"/>
              <w:left w:val="nil"/>
              <w:bottom w:val="single" w:sz="4" w:space="0" w:color="auto"/>
              <w:right w:val="single" w:sz="4" w:space="0" w:color="auto"/>
            </w:tcBorders>
            <w:shd w:val="clear" w:color="auto" w:fill="auto"/>
            <w:vAlign w:val="center"/>
            <w:hideMark/>
          </w:tcPr>
          <w:p w14:paraId="33CFF164"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Identificación de los interruptores termomagnéticos asignados a los concesionarios en el tablero general de C.A.</w:t>
            </w:r>
          </w:p>
        </w:tc>
      </w:tr>
      <w:tr w:rsidR="00D936CA" w:rsidRPr="00D936CA" w14:paraId="33CFF168" w14:textId="77777777" w:rsidTr="004F7BD0">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66" w14:textId="77777777" w:rsidR="003D4DF8" w:rsidRPr="00D936CA" w:rsidRDefault="003D4DF8" w:rsidP="00D936CA">
            <w:pPr>
              <w:jc w:val="center"/>
              <w:rPr>
                <w:rFonts w:ascii="ITC Avant Garde" w:hAnsi="ITC Avant Garde"/>
                <w:b/>
                <w:bCs/>
                <w:sz w:val="22"/>
                <w:szCs w:val="21"/>
                <w:lang w:eastAsia="es-MX"/>
              </w:rPr>
            </w:pPr>
            <w:r w:rsidRPr="00D936CA">
              <w:rPr>
                <w:rFonts w:ascii="Times New Roman" w:hAnsi="Times New Roman"/>
                <w:b/>
                <w:bCs/>
                <w:sz w:val="22"/>
                <w:szCs w:val="14"/>
                <w:lang w:eastAsia="es-MX"/>
              </w:rPr>
              <w:t xml:space="preserve"> </w:t>
            </w:r>
            <w:r w:rsidRPr="00D936CA">
              <w:rPr>
                <w:rFonts w:ascii="ITC Avant Garde" w:hAnsi="ITC Avant Garde"/>
                <w:b/>
                <w:bCs/>
                <w:sz w:val="22"/>
                <w:lang w:eastAsia="es-MX"/>
              </w:rPr>
              <w:t>Fijación del equipo</w:t>
            </w:r>
          </w:p>
        </w:tc>
        <w:tc>
          <w:tcPr>
            <w:tcW w:w="5508" w:type="dxa"/>
            <w:tcBorders>
              <w:top w:val="nil"/>
              <w:left w:val="nil"/>
              <w:bottom w:val="single" w:sz="4" w:space="0" w:color="auto"/>
              <w:right w:val="single" w:sz="4" w:space="0" w:color="auto"/>
            </w:tcBorders>
            <w:shd w:val="clear" w:color="auto" w:fill="auto"/>
            <w:vAlign w:val="center"/>
            <w:hideMark/>
          </w:tcPr>
          <w:p w14:paraId="33CFF167"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Anclaje a piso y/o techo de común acuerdo</w:t>
            </w:r>
          </w:p>
        </w:tc>
      </w:tr>
      <w:tr w:rsidR="00D936CA" w:rsidRPr="00D936CA" w14:paraId="33CFF16B" w14:textId="77777777" w:rsidTr="004F7BD0">
        <w:trPr>
          <w:trHeight w:val="90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CFF169" w14:textId="77777777" w:rsidR="003D4DF8" w:rsidRPr="00D936CA" w:rsidRDefault="003D4DF8" w:rsidP="00D936CA">
            <w:pPr>
              <w:jc w:val="center"/>
              <w:rPr>
                <w:rFonts w:ascii="ITC Avant Garde" w:hAnsi="ITC Avant Garde"/>
                <w:b/>
                <w:bCs/>
                <w:sz w:val="22"/>
                <w:lang w:eastAsia="es-MX"/>
              </w:rPr>
            </w:pPr>
            <w:r w:rsidRPr="00D936CA">
              <w:rPr>
                <w:rFonts w:ascii="ITC Avant Garde" w:hAnsi="ITC Avant Garde"/>
                <w:b/>
                <w:bCs/>
                <w:sz w:val="22"/>
                <w:lang w:eastAsia="es-MX"/>
              </w:rPr>
              <w:t>Acabado del piso</w:t>
            </w:r>
          </w:p>
        </w:tc>
        <w:tc>
          <w:tcPr>
            <w:tcW w:w="5508" w:type="dxa"/>
            <w:tcBorders>
              <w:top w:val="nil"/>
              <w:left w:val="nil"/>
              <w:bottom w:val="single" w:sz="4" w:space="0" w:color="auto"/>
              <w:right w:val="single" w:sz="4" w:space="0" w:color="auto"/>
            </w:tcBorders>
            <w:shd w:val="clear" w:color="auto" w:fill="auto"/>
            <w:vAlign w:val="center"/>
            <w:hideMark/>
          </w:tcPr>
          <w:p w14:paraId="33CFF16A" w14:textId="77777777" w:rsidR="003D4DF8" w:rsidRPr="00D936CA" w:rsidRDefault="003D4DF8" w:rsidP="00D936CA">
            <w:pPr>
              <w:jc w:val="both"/>
              <w:rPr>
                <w:rFonts w:ascii="ITC Avant Garde" w:hAnsi="ITC Avant Garde"/>
                <w:sz w:val="22"/>
                <w:lang w:eastAsia="es-MX"/>
              </w:rPr>
            </w:pPr>
            <w:r w:rsidRPr="00D936CA">
              <w:rPr>
                <w:rFonts w:ascii="ITC Avant Garde" w:hAnsi="ITC Avant Garde"/>
                <w:sz w:val="22"/>
                <w:lang w:eastAsia="es-MX"/>
              </w:rPr>
              <w:t>Firme de concreto 400Kg/m</w:t>
            </w:r>
            <w:r w:rsidRPr="00D936CA">
              <w:rPr>
                <w:rFonts w:ascii="ITC Avant Garde" w:hAnsi="ITC Avant Garde"/>
                <w:sz w:val="22"/>
                <w:vertAlign w:val="superscript"/>
                <w:lang w:eastAsia="es-MX"/>
              </w:rPr>
              <w:t>2</w:t>
            </w:r>
            <w:r w:rsidRPr="00D936CA">
              <w:rPr>
                <w:rFonts w:ascii="ITC Avant Garde" w:hAnsi="ITC Avant Garde"/>
                <w:sz w:val="22"/>
                <w:lang w:eastAsia="es-MX"/>
              </w:rPr>
              <w:t>, sin ondulaciones, 3 mm de desnivel cubierto con loseta vinílica.</w:t>
            </w:r>
          </w:p>
        </w:tc>
      </w:tr>
    </w:tbl>
    <w:p w14:paraId="33CFF16C" w14:textId="77777777" w:rsidR="003D4DF8" w:rsidRPr="00D936CA" w:rsidRDefault="00631A75" w:rsidP="00D936CA">
      <w:pPr>
        <w:pStyle w:val="CondicionesFinales"/>
        <w:ind w:left="360"/>
        <w:jc w:val="center"/>
        <w:rPr>
          <w:color w:val="auto"/>
          <w:sz w:val="16"/>
          <w:lang w:val="es-MX"/>
        </w:rPr>
      </w:pPr>
      <w:r w:rsidRPr="00D936CA">
        <w:rPr>
          <w:color w:val="auto"/>
          <w:sz w:val="16"/>
          <w:lang w:val="es-MX"/>
        </w:rPr>
        <w:t>Tabla 18.</w:t>
      </w:r>
      <w:r w:rsidR="003D4DF8" w:rsidRPr="00D936CA">
        <w:rPr>
          <w:color w:val="auto"/>
          <w:sz w:val="16"/>
          <w:lang w:val="es-MX"/>
        </w:rPr>
        <w:t xml:space="preserve"> Características técnicas mínimas de los tipos de coubicación.</w:t>
      </w:r>
    </w:p>
    <w:p w14:paraId="33CFF16D" w14:textId="73B1189D" w:rsidR="003D4DF8" w:rsidRDefault="003D4DF8" w:rsidP="00060B2E">
      <w:pPr>
        <w:pStyle w:val="IFTnormal"/>
        <w:ind w:left="-567" w:right="-142"/>
      </w:pPr>
      <w:r w:rsidRPr="00D936CA">
        <w:t>Si el CS solicita el aprovisionamiento de la energía alterna, directa, clima, espacio, etc. con requerimientos particulares diferentes a los ofrecidos para este tipo de coubicación, la solicitud se atenderá como adecuación y el CS cubrirá el costo de los consumos excedentes en su facturación mensual, a través de los cobros adicionales del interruptor termo magnético.</w:t>
      </w:r>
    </w:p>
    <w:p w14:paraId="6C0A41DC" w14:textId="77777777" w:rsidR="000F74B5" w:rsidRPr="00D936CA" w:rsidRDefault="000F74B5" w:rsidP="00060B2E">
      <w:pPr>
        <w:pStyle w:val="IFTnormal"/>
        <w:ind w:left="-567" w:right="-142"/>
      </w:pPr>
    </w:p>
    <w:p w14:paraId="33CFF16E" w14:textId="26CE43F0" w:rsidR="0092070D" w:rsidRPr="00D936CA" w:rsidRDefault="008601E7" w:rsidP="00D936CA">
      <w:pPr>
        <w:pStyle w:val="Ttulo2"/>
        <w:numPr>
          <w:ilvl w:val="1"/>
          <w:numId w:val="143"/>
        </w:numPr>
        <w:ind w:left="851" w:hanging="425"/>
      </w:pPr>
      <w:r w:rsidRPr="00D936CA">
        <w:t xml:space="preserve"> </w:t>
      </w:r>
      <w:bookmarkStart w:id="690" w:name="_Toc467248758"/>
      <w:bookmarkStart w:id="691" w:name="_Toc518032041"/>
      <w:r w:rsidR="00140DD3" w:rsidRPr="00D936CA">
        <w:t>Adecuaciones disponibles para la Coubicación.</w:t>
      </w:r>
      <w:bookmarkEnd w:id="660"/>
      <w:bookmarkEnd w:id="661"/>
      <w:bookmarkEnd w:id="662"/>
      <w:bookmarkEnd w:id="663"/>
      <w:bookmarkEnd w:id="664"/>
      <w:bookmarkEnd w:id="665"/>
      <w:bookmarkEnd w:id="666"/>
      <w:bookmarkEnd w:id="667"/>
      <w:bookmarkEnd w:id="690"/>
      <w:bookmarkEnd w:id="691"/>
    </w:p>
    <w:p w14:paraId="33CFF16F" w14:textId="77777777" w:rsidR="00140DD3" w:rsidRPr="00D936CA" w:rsidRDefault="00140DD3"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Se entiende por adecuación cualquier ajuste a las condiciones técnicas preexistentes para los diferentes tipos de Coubicación, requerido por el CS a través del formato de Solicitud de Coubicación para Servicios de Desagregación; estos ajustes pueden estar relacionados con el incremento en la capacidad de: suministro de energía eléctrica, interruptores de alimentación, aire acondicionado o cualquier otro elemento de infraestructura de red que no implique crecimiento del área arrendada y modificaciones a la infraestructura de obra civil de una Coubicación existente.</w:t>
      </w:r>
    </w:p>
    <w:p w14:paraId="33CFF170" w14:textId="77777777" w:rsidR="00C33FC3" w:rsidRPr="00D936CA" w:rsidRDefault="00C33FC3"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CS podrá solicitar las siguientes adecuaciones para los 3 tipos de coubicación existentes:</w:t>
      </w:r>
    </w:p>
    <w:p w14:paraId="33CFF171" w14:textId="77777777" w:rsidR="00140DD3" w:rsidRPr="00D936CA" w:rsidRDefault="00140DD3" w:rsidP="00D936CA">
      <w:pPr>
        <w:pStyle w:val="Prrafodelista"/>
        <w:numPr>
          <w:ilvl w:val="0"/>
          <w:numId w:val="67"/>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Diferentes capacidades de fuerza (para corriente alterna o directa). Las capacidades de los interruptores termomagnéticos que podrá solicitar serán: 20, 30, 40, 50, 60</w:t>
      </w:r>
      <w:r w:rsidR="000B78A6" w:rsidRPr="00D936CA">
        <w:rPr>
          <w:rFonts w:ascii="ITC Avant Garde" w:hAnsi="ITC Avant Garde"/>
          <w:sz w:val="22"/>
          <w:szCs w:val="22"/>
          <w:lang w:val="es-MX"/>
        </w:rPr>
        <w:t>, 70</w:t>
      </w:r>
      <w:r w:rsidRPr="00D936CA">
        <w:rPr>
          <w:rFonts w:ascii="ITC Avant Garde" w:hAnsi="ITC Avant Garde"/>
          <w:sz w:val="22"/>
          <w:szCs w:val="22"/>
          <w:lang w:val="es-MX"/>
        </w:rPr>
        <w:t>, 80, 90, 100, 150 y 200 (Amperes).</w:t>
      </w:r>
    </w:p>
    <w:p w14:paraId="33CFF172" w14:textId="77777777" w:rsidR="00140DD3" w:rsidRPr="00D936CA" w:rsidRDefault="00140DD3" w:rsidP="00D936CA">
      <w:pPr>
        <w:pStyle w:val="Prrafodelista"/>
        <w:numPr>
          <w:ilvl w:val="0"/>
          <w:numId w:val="67"/>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lastRenderedPageBreak/>
        <w:t>Diferentes capacidades de clima, es decir mayor cantidad de unidades de BTUs</w:t>
      </w:r>
      <w:r w:rsidRPr="00D936CA">
        <w:rPr>
          <w:rStyle w:val="Refdenotaalpie"/>
          <w:rFonts w:ascii="ITC Avant Garde" w:hAnsi="ITC Avant Garde"/>
          <w:sz w:val="22"/>
          <w:szCs w:val="22"/>
          <w:lang w:val="es-MX"/>
        </w:rPr>
        <w:footnoteReference w:id="55"/>
      </w:r>
      <w:r w:rsidRPr="00D936CA">
        <w:rPr>
          <w:rFonts w:ascii="ITC Avant Garde" w:hAnsi="ITC Avant Garde"/>
          <w:sz w:val="22"/>
          <w:szCs w:val="22"/>
          <w:lang w:val="es-MX"/>
        </w:rPr>
        <w:t>, los cuales estarán asociados a una mayor capacidad de fuerza.</w:t>
      </w:r>
    </w:p>
    <w:p w14:paraId="33CFF173" w14:textId="129ECF4B" w:rsidR="00140DD3" w:rsidRDefault="00140DD3"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caso de que un CS requiera más metros cuadrados, lo cual implique cambios en la obra civil (loza, paredes o piso) de una Coubicación existente, la solicitud estará sujeta a factibilidad técnica y a los tiempos de atención asociados a una Coubicación nueva establecidos en el numeral 7.</w:t>
      </w:r>
      <w:r w:rsidR="00886F3F" w:rsidRPr="00D936CA">
        <w:rPr>
          <w:rFonts w:ascii="ITC Avant Garde" w:hAnsi="ITC Avant Garde"/>
          <w:sz w:val="22"/>
          <w:szCs w:val="22"/>
          <w:lang w:val="es-MX"/>
        </w:rPr>
        <w:t>6</w:t>
      </w:r>
      <w:r w:rsidRPr="00D936CA">
        <w:rPr>
          <w:rFonts w:ascii="ITC Avant Garde" w:hAnsi="ITC Avant Garde"/>
          <w:sz w:val="22"/>
          <w:szCs w:val="22"/>
          <w:lang w:val="es-MX"/>
        </w:rPr>
        <w:t xml:space="preserve"> de la presente </w:t>
      </w:r>
      <w:r w:rsidR="005D7076" w:rsidRPr="00D936CA">
        <w:rPr>
          <w:rFonts w:ascii="ITC Avant Garde" w:hAnsi="ITC Avant Garde"/>
          <w:sz w:val="22"/>
          <w:szCs w:val="22"/>
          <w:lang w:val="es-MX"/>
        </w:rPr>
        <w:t>OREDA</w:t>
      </w:r>
      <w:r w:rsidRPr="00D936CA">
        <w:rPr>
          <w:rFonts w:ascii="ITC Avant Garde" w:hAnsi="ITC Avant Garde"/>
          <w:sz w:val="22"/>
          <w:szCs w:val="22"/>
          <w:lang w:val="es-MX"/>
        </w:rPr>
        <w:t>. El tiempo de implementación se notificará al CS en la cotización del servicio y estará en función del tipo de trabajos a realizar.</w:t>
      </w:r>
    </w:p>
    <w:p w14:paraId="71832285" w14:textId="031BF36B" w:rsidR="005715B4" w:rsidRDefault="005715B4" w:rsidP="00060B2E">
      <w:pPr>
        <w:spacing w:after="200" w:line="276" w:lineRule="auto"/>
        <w:ind w:left="-567" w:right="-142"/>
        <w:jc w:val="both"/>
        <w:rPr>
          <w:rFonts w:ascii="ITC Avant Garde" w:hAnsi="ITC Avant Garde"/>
          <w:sz w:val="22"/>
          <w:szCs w:val="22"/>
          <w:lang w:val="es-MX"/>
        </w:rPr>
      </w:pPr>
      <w:r>
        <w:rPr>
          <w:rFonts w:ascii="ITC Avant Garde" w:hAnsi="ITC Avant Garde"/>
          <w:sz w:val="22"/>
          <w:szCs w:val="22"/>
          <w:lang w:val="es-MX"/>
        </w:rPr>
        <w:t>Cualquier trabajo adicional a los antes descritos deberán solicitarse como un Trabajo Especial.</w:t>
      </w:r>
    </w:p>
    <w:p w14:paraId="6255FF86" w14:textId="77777777" w:rsidR="002351BB" w:rsidRPr="00D936CA" w:rsidRDefault="002351BB" w:rsidP="00060B2E">
      <w:pPr>
        <w:spacing w:after="200" w:line="276" w:lineRule="auto"/>
        <w:ind w:left="-567" w:right="-142"/>
        <w:jc w:val="both"/>
        <w:rPr>
          <w:rFonts w:ascii="ITC Avant Garde" w:hAnsi="ITC Avant Garde"/>
          <w:sz w:val="22"/>
          <w:szCs w:val="22"/>
          <w:lang w:val="es-MX"/>
        </w:rPr>
      </w:pPr>
    </w:p>
    <w:p w14:paraId="33CFF174" w14:textId="77777777" w:rsidR="00140DD3" w:rsidRPr="00D936CA" w:rsidRDefault="008601E7" w:rsidP="00D936CA">
      <w:pPr>
        <w:pStyle w:val="Ttulo2"/>
        <w:numPr>
          <w:ilvl w:val="1"/>
          <w:numId w:val="143"/>
        </w:numPr>
        <w:ind w:left="851" w:hanging="425"/>
      </w:pPr>
      <w:bookmarkStart w:id="692" w:name="_Toc436840924"/>
      <w:bookmarkStart w:id="693" w:name="_Toc436846361"/>
      <w:bookmarkStart w:id="694" w:name="_Toc436848311"/>
      <w:bookmarkStart w:id="695" w:name="_Toc436856559"/>
      <w:bookmarkStart w:id="696" w:name="_Toc436862705"/>
      <w:bookmarkStart w:id="697" w:name="_Toc436866355"/>
      <w:bookmarkStart w:id="698" w:name="_Toc436870934"/>
      <w:bookmarkStart w:id="699" w:name="_Toc436875926"/>
      <w:r w:rsidRPr="00D936CA">
        <w:t xml:space="preserve"> </w:t>
      </w:r>
      <w:bookmarkStart w:id="700" w:name="_Toc467248759"/>
      <w:bookmarkStart w:id="701" w:name="_Toc518032042"/>
      <w:r w:rsidR="00C468D4" w:rsidRPr="00D936CA">
        <w:t>Identificador de Ubicación en Lenguaje Común (CLLI)</w:t>
      </w:r>
      <w:bookmarkEnd w:id="692"/>
      <w:bookmarkEnd w:id="693"/>
      <w:bookmarkEnd w:id="694"/>
      <w:bookmarkEnd w:id="695"/>
      <w:bookmarkEnd w:id="696"/>
      <w:bookmarkEnd w:id="697"/>
      <w:bookmarkEnd w:id="698"/>
      <w:bookmarkEnd w:id="699"/>
      <w:bookmarkEnd w:id="700"/>
      <w:bookmarkEnd w:id="701"/>
    </w:p>
    <w:p w14:paraId="33CFF175" w14:textId="77777777" w:rsidR="00C468D4" w:rsidRPr="00D936CA" w:rsidRDefault="00C468D4"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Una vez asignado el espacio para Coubicación al CS, Telmex enviará al CS el CLLI </w:t>
      </w:r>
      <w:r w:rsidR="009D6550" w:rsidRPr="00D936CA">
        <w:rPr>
          <w:rFonts w:ascii="ITC Avant Garde" w:hAnsi="ITC Avant Garde"/>
          <w:sz w:val="22"/>
          <w:szCs w:val="22"/>
          <w:lang w:val="es-MX"/>
        </w:rPr>
        <w:t xml:space="preserve">único </w:t>
      </w:r>
      <w:r w:rsidRPr="00D936CA">
        <w:rPr>
          <w:rFonts w:ascii="ITC Avant Garde" w:hAnsi="ITC Avant Garde"/>
          <w:sz w:val="22"/>
          <w:szCs w:val="22"/>
          <w:lang w:val="es-MX"/>
        </w:rPr>
        <w:t xml:space="preserve">correspondiente para la identificación de la Coubicación, ya que será necesario para solicitar servicios auxiliares. </w:t>
      </w:r>
    </w:p>
    <w:p w14:paraId="33CFF176" w14:textId="1838A59B" w:rsidR="00140DD3" w:rsidRDefault="00C468D4"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En caso de que el CS solicite servicios </w:t>
      </w:r>
      <w:r w:rsidR="00D90DCF" w:rsidRPr="00D936CA">
        <w:rPr>
          <w:rFonts w:ascii="ITC Avant Garde" w:hAnsi="ITC Avant Garde"/>
          <w:sz w:val="22"/>
          <w:szCs w:val="22"/>
          <w:lang w:val="es-MX"/>
        </w:rPr>
        <w:t xml:space="preserve">de manera simultánea, </w:t>
      </w:r>
      <w:r w:rsidRPr="00D936CA">
        <w:rPr>
          <w:rFonts w:ascii="ITC Avant Garde" w:hAnsi="ITC Avant Garde"/>
          <w:sz w:val="22"/>
          <w:szCs w:val="22"/>
          <w:lang w:val="es-MX"/>
        </w:rPr>
        <w:t xml:space="preserve">deberá indicar </w:t>
      </w:r>
      <w:r w:rsidR="00D90DCF" w:rsidRPr="00D936CA">
        <w:rPr>
          <w:rFonts w:ascii="ITC Avant Garde" w:hAnsi="ITC Avant Garde"/>
          <w:sz w:val="22"/>
          <w:szCs w:val="22"/>
          <w:lang w:val="es-MX"/>
        </w:rPr>
        <w:t>en los formatos correspondientes el</w:t>
      </w:r>
      <w:r w:rsidRPr="00D936CA">
        <w:rPr>
          <w:rFonts w:ascii="ITC Avant Garde" w:hAnsi="ITC Avant Garde"/>
          <w:sz w:val="22"/>
          <w:szCs w:val="22"/>
          <w:lang w:val="es-MX"/>
        </w:rPr>
        <w:t xml:space="preserve"> NIS-Referencia asociado a los servicios.</w:t>
      </w:r>
    </w:p>
    <w:p w14:paraId="5035E155" w14:textId="77777777" w:rsidR="002351BB" w:rsidRPr="00D936CA" w:rsidRDefault="002351BB" w:rsidP="00060B2E">
      <w:pPr>
        <w:spacing w:after="200" w:line="276" w:lineRule="auto"/>
        <w:ind w:left="-567" w:right="-142"/>
        <w:jc w:val="both"/>
        <w:rPr>
          <w:rFonts w:ascii="ITC Avant Garde" w:hAnsi="ITC Avant Garde"/>
          <w:sz w:val="22"/>
          <w:szCs w:val="22"/>
          <w:lang w:val="es-MX"/>
        </w:rPr>
      </w:pPr>
    </w:p>
    <w:p w14:paraId="33CFF177" w14:textId="77777777" w:rsidR="0092070D" w:rsidRPr="00D936CA" w:rsidRDefault="0092070D" w:rsidP="00D936CA">
      <w:pPr>
        <w:pStyle w:val="Ttulo2"/>
        <w:numPr>
          <w:ilvl w:val="1"/>
          <w:numId w:val="143"/>
        </w:numPr>
        <w:ind w:left="851" w:hanging="425"/>
      </w:pPr>
      <w:bookmarkStart w:id="702" w:name="_Toc396337603"/>
      <w:bookmarkStart w:id="703" w:name="_Toc436840925"/>
      <w:bookmarkStart w:id="704" w:name="_Toc436846362"/>
      <w:bookmarkStart w:id="705" w:name="_Toc436848312"/>
      <w:bookmarkStart w:id="706" w:name="_Toc436856560"/>
      <w:bookmarkStart w:id="707" w:name="_Toc436862706"/>
      <w:bookmarkStart w:id="708" w:name="_Toc436866356"/>
      <w:bookmarkStart w:id="709" w:name="_Toc436870935"/>
      <w:bookmarkStart w:id="710" w:name="_Toc436875927"/>
      <w:bookmarkStart w:id="711" w:name="_Toc467248760"/>
      <w:bookmarkStart w:id="712" w:name="_Toc518032043"/>
      <w:r w:rsidRPr="00D936CA">
        <w:t>Servicio de Reasignación y Servicio de Recuperación de Espacio de Coubicación para Desagregación.</w:t>
      </w:r>
      <w:bookmarkEnd w:id="702"/>
      <w:bookmarkEnd w:id="703"/>
      <w:bookmarkEnd w:id="704"/>
      <w:bookmarkEnd w:id="705"/>
      <w:bookmarkEnd w:id="706"/>
      <w:bookmarkEnd w:id="707"/>
      <w:bookmarkEnd w:id="708"/>
      <w:bookmarkEnd w:id="709"/>
      <w:bookmarkEnd w:id="710"/>
      <w:bookmarkEnd w:id="711"/>
      <w:bookmarkEnd w:id="712"/>
    </w:p>
    <w:p w14:paraId="33CFF178" w14:textId="77777777" w:rsidR="0092070D" w:rsidRPr="00D936CA" w:rsidRDefault="0092070D" w:rsidP="00060B2E">
      <w:pPr>
        <w:spacing w:after="200" w:line="276" w:lineRule="auto"/>
        <w:ind w:left="-567" w:right="-142"/>
        <w:jc w:val="both"/>
        <w:rPr>
          <w:rFonts w:ascii="ITC Avant Garde" w:hAnsi="ITC Avant Garde"/>
          <w:sz w:val="22"/>
          <w:szCs w:val="22"/>
        </w:rPr>
      </w:pPr>
      <w:bookmarkStart w:id="713" w:name="_Toc396337601"/>
      <w:r w:rsidRPr="00D936CA">
        <w:rPr>
          <w:rFonts w:ascii="ITC Avant Garde" w:hAnsi="ITC Avant Garde"/>
          <w:sz w:val="22"/>
          <w:szCs w:val="22"/>
        </w:rPr>
        <w:t>La Reasignación y Recuperación de Espacio para Coubicación son Servicios que iniciarán cuando no se cuente con espacio disponible en la central para satisfacer la demanda de Coubicación para Desagregación.</w:t>
      </w:r>
    </w:p>
    <w:p w14:paraId="33CFF179" w14:textId="77777777" w:rsidR="0092070D" w:rsidRPr="00D936CA" w:rsidRDefault="0092070D"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Cuando no exista espacio vacante primero se realizará la Reasignación de Espacios que consiste en un procedimiento de redistribución de elementos de la red de Telmex con el fin de liberar espacio para Coubicación.</w:t>
      </w:r>
    </w:p>
    <w:p w14:paraId="33CFF17A" w14:textId="77777777" w:rsidR="0092070D" w:rsidRPr="00D936CA" w:rsidRDefault="0092070D"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Si esta Reasignación de Espacios no fuese suficiente para liberar espacio a fin de poder atender la solicitud de Coubicación, entonces se iniciará el Servicio de Recuperación de Espacios, que ocurre cuando un espacio de Coubicación para Desagregación no hubiera sido utilizado efectivamente  por un CS después de ocho meses de su entrega (es decir, que no haya instalado los equipos para proveer servicios a los usuario finales o que no tenga </w:t>
      </w:r>
      <w:r w:rsidRPr="00D936CA">
        <w:rPr>
          <w:rFonts w:ascii="ITC Avant Garde" w:hAnsi="ITC Avant Garde"/>
          <w:sz w:val="22"/>
          <w:szCs w:val="22"/>
        </w:rPr>
        <w:lastRenderedPageBreak/>
        <w:t>ningún servicio contratado en dicha Coubicación), debiéndose otorgar a dicho CS la posibilidad de justificar las razones por las que el espacio no está siendo ocupado efectivamente, si esto se debe a causas no imputables al CS, dicho espacio no podrá recuperarse.</w:t>
      </w:r>
    </w:p>
    <w:p w14:paraId="33CFF17B" w14:textId="77777777" w:rsidR="0092070D" w:rsidRPr="00D936CA" w:rsidRDefault="0092070D"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 factibilidad técnica de estos servicios depende de la existencia del espacio disponible, de la movilidad, así como de la suficiencia de espacio para la habilitación de los elementos instalados en el predio o </w:t>
      </w:r>
      <w:r w:rsidR="00A155C5" w:rsidRPr="00D936CA">
        <w:rPr>
          <w:rFonts w:ascii="ITC Avant Garde" w:hAnsi="ITC Avant Garde"/>
          <w:sz w:val="22"/>
          <w:szCs w:val="22"/>
        </w:rPr>
        <w:t>C</w:t>
      </w:r>
      <w:r w:rsidRPr="00D936CA">
        <w:rPr>
          <w:rFonts w:ascii="ITC Avant Garde" w:hAnsi="ITC Avant Garde"/>
          <w:sz w:val="22"/>
          <w:szCs w:val="22"/>
        </w:rPr>
        <w:t xml:space="preserve">entral </w:t>
      </w:r>
      <w:r w:rsidR="00A155C5" w:rsidRPr="00D936CA">
        <w:rPr>
          <w:rFonts w:ascii="ITC Avant Garde" w:hAnsi="ITC Avant Garde"/>
          <w:sz w:val="22"/>
          <w:szCs w:val="22"/>
        </w:rPr>
        <w:t>Telefónica</w:t>
      </w:r>
      <w:r w:rsidRPr="00D936CA">
        <w:rPr>
          <w:rFonts w:ascii="ITC Avant Garde" w:hAnsi="ITC Avant Garde"/>
          <w:sz w:val="22"/>
          <w:szCs w:val="22"/>
        </w:rPr>
        <w:t xml:space="preserve"> para que sea posible proporcionar el espacio que es solicitado por el CS. Esta actividad tiene un costo, por lo que el CS deberá resarcir </w:t>
      </w:r>
      <w:r w:rsidR="00A155C5" w:rsidRPr="00D936CA">
        <w:rPr>
          <w:rFonts w:ascii="ITC Avant Garde" w:hAnsi="ITC Avant Garde"/>
          <w:sz w:val="22"/>
          <w:szCs w:val="22"/>
        </w:rPr>
        <w:t>los costos incurridos</w:t>
      </w:r>
      <w:r w:rsidRPr="00D936CA">
        <w:rPr>
          <w:rFonts w:ascii="ITC Avant Garde" w:hAnsi="ITC Avant Garde"/>
          <w:sz w:val="22"/>
          <w:szCs w:val="22"/>
        </w:rPr>
        <w:t xml:space="preserve"> si decide interrumpir el procedimiento de reasignación o recuperación de espacios.</w:t>
      </w:r>
    </w:p>
    <w:p w14:paraId="33CFF17C" w14:textId="77777777" w:rsidR="0092070D" w:rsidRPr="00D936CA" w:rsidRDefault="0092070D"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Si después de aplicar el proceso de Reasignación y Recuperación de Espacio no es técnicamente factible ofrecer el Servicio de Coubicación para Desagregación, </w:t>
      </w:r>
      <w:r w:rsidR="005B205C" w:rsidRPr="00D936CA">
        <w:rPr>
          <w:rFonts w:ascii="ITC Avant Garde" w:hAnsi="ITC Avant Garde"/>
          <w:sz w:val="22"/>
          <w:szCs w:val="22"/>
        </w:rPr>
        <w:t>Telmex</w:t>
      </w:r>
      <w:r w:rsidR="00371341" w:rsidRPr="00D936CA">
        <w:rPr>
          <w:rFonts w:ascii="ITC Avant Garde" w:hAnsi="ITC Avant Garde"/>
          <w:sz w:val="22"/>
          <w:szCs w:val="22"/>
        </w:rPr>
        <w:t xml:space="preserve"> ofrece</w:t>
      </w:r>
      <w:r w:rsidR="005B205C" w:rsidRPr="00D936CA">
        <w:rPr>
          <w:rFonts w:ascii="ITC Avant Garde" w:hAnsi="ITC Avant Garde"/>
          <w:sz w:val="22"/>
          <w:szCs w:val="22"/>
        </w:rPr>
        <w:t>rá</w:t>
      </w:r>
      <w:r w:rsidR="00371341" w:rsidRPr="00D936CA">
        <w:rPr>
          <w:rFonts w:ascii="ITC Avant Garde" w:hAnsi="ITC Avant Garde"/>
          <w:sz w:val="22"/>
          <w:szCs w:val="22"/>
        </w:rPr>
        <w:t xml:space="preserve"> a los CS </w:t>
      </w:r>
      <w:r w:rsidR="005B205C" w:rsidRPr="00D936CA">
        <w:rPr>
          <w:rFonts w:ascii="ITC Avant Garde" w:hAnsi="ITC Avant Garde"/>
          <w:sz w:val="22"/>
          <w:szCs w:val="22"/>
        </w:rPr>
        <w:t xml:space="preserve">una solución alternativa que corresponderá a la central más cercana con disponibilidad de espacio, en un plazo no mayor a </w:t>
      </w:r>
      <w:r w:rsidR="00C33FC3" w:rsidRPr="00D936CA">
        <w:rPr>
          <w:rFonts w:ascii="ITC Avant Garde" w:hAnsi="ITC Avant Garde"/>
          <w:sz w:val="22"/>
          <w:szCs w:val="22"/>
        </w:rPr>
        <w:t xml:space="preserve">5 (cinco) </w:t>
      </w:r>
      <w:r w:rsidR="005B205C" w:rsidRPr="00D936CA">
        <w:rPr>
          <w:rFonts w:ascii="ITC Avant Garde" w:hAnsi="ITC Avant Garde"/>
          <w:sz w:val="22"/>
          <w:szCs w:val="22"/>
        </w:rPr>
        <w:t>días hábiles</w:t>
      </w:r>
      <w:r w:rsidR="00574174" w:rsidRPr="00D936CA">
        <w:rPr>
          <w:rFonts w:ascii="ITC Avant Garde" w:hAnsi="ITC Avant Garde"/>
          <w:sz w:val="22"/>
          <w:szCs w:val="22"/>
        </w:rPr>
        <w:t>.</w:t>
      </w:r>
    </w:p>
    <w:p w14:paraId="33CFF17D" w14:textId="7915446B" w:rsidR="0092070D" w:rsidRDefault="008B4831"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rPr>
        <w:t>Finalmente, si tras haber ejecutado todos los procedimientos de Reasignación y Recuperación de Espacio no se satisface la demanda total del Servicio de Coubicación para Desagregación, Telmex notificará al CS y al Instituto dicha situación para los efectos conducentes.</w:t>
      </w:r>
    </w:p>
    <w:p w14:paraId="3FEEAA57" w14:textId="77777777" w:rsidR="002351BB" w:rsidRPr="00D936CA" w:rsidRDefault="002351BB" w:rsidP="00060B2E">
      <w:pPr>
        <w:autoSpaceDE w:val="0"/>
        <w:autoSpaceDN w:val="0"/>
        <w:adjustRightInd w:val="0"/>
        <w:spacing w:after="200" w:line="276" w:lineRule="auto"/>
        <w:ind w:left="-567" w:right="-142"/>
        <w:jc w:val="both"/>
        <w:rPr>
          <w:rFonts w:ascii="ITC Avant Garde" w:hAnsi="ITC Avant Garde"/>
          <w:sz w:val="22"/>
          <w:szCs w:val="22"/>
        </w:rPr>
      </w:pPr>
    </w:p>
    <w:p w14:paraId="33CFF17E" w14:textId="77777777" w:rsidR="0092070D" w:rsidRPr="00D936CA" w:rsidRDefault="0092070D" w:rsidP="00D936CA">
      <w:pPr>
        <w:pStyle w:val="Ttulo2"/>
        <w:numPr>
          <w:ilvl w:val="1"/>
          <w:numId w:val="143"/>
        </w:numPr>
        <w:ind w:left="851" w:hanging="425"/>
      </w:pPr>
      <w:bookmarkStart w:id="714" w:name="_Toc436840926"/>
      <w:bookmarkStart w:id="715" w:name="_Toc436846363"/>
      <w:bookmarkStart w:id="716" w:name="_Toc436848313"/>
      <w:bookmarkStart w:id="717" w:name="_Toc436856561"/>
      <w:bookmarkStart w:id="718" w:name="_Toc436862707"/>
      <w:bookmarkStart w:id="719" w:name="_Toc436866357"/>
      <w:bookmarkStart w:id="720" w:name="_Toc436870936"/>
      <w:bookmarkStart w:id="721" w:name="_Toc436875928"/>
      <w:bookmarkStart w:id="722" w:name="_Toc467248761"/>
      <w:bookmarkStart w:id="723" w:name="_Toc518032044"/>
      <w:r w:rsidRPr="00D936CA">
        <w:t>Procedimientos de contratación, modificación, mantenimiento y baja del servicio</w:t>
      </w:r>
      <w:bookmarkEnd w:id="713"/>
      <w:r w:rsidRPr="00D936CA">
        <w:t>.</w:t>
      </w:r>
      <w:bookmarkEnd w:id="714"/>
      <w:bookmarkEnd w:id="715"/>
      <w:bookmarkEnd w:id="716"/>
      <w:bookmarkEnd w:id="717"/>
      <w:bookmarkEnd w:id="718"/>
      <w:bookmarkEnd w:id="719"/>
      <w:bookmarkEnd w:id="720"/>
      <w:bookmarkEnd w:id="721"/>
      <w:bookmarkEnd w:id="722"/>
      <w:bookmarkEnd w:id="723"/>
    </w:p>
    <w:p w14:paraId="33CFF17F" w14:textId="267419BD" w:rsidR="008070FB" w:rsidRPr="00D936CA" w:rsidRDefault="008070FB"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Queda establecido que</w:t>
      </w:r>
      <w:r w:rsidR="007241B3">
        <w:rPr>
          <w:rFonts w:ascii="ITC Avant Garde" w:hAnsi="ITC Avant Garde"/>
          <w:sz w:val="22"/>
          <w:szCs w:val="22"/>
          <w:lang w:val="es-MX"/>
        </w:rPr>
        <w:t>,</w:t>
      </w:r>
      <w:r w:rsidRPr="00D936CA">
        <w:rPr>
          <w:rFonts w:ascii="ITC Avant Garde" w:hAnsi="ITC Avant Garde"/>
          <w:sz w:val="22"/>
          <w:szCs w:val="22"/>
          <w:lang w:val="es-MX"/>
        </w:rPr>
        <w:t xml:space="preserve"> mediante el envío de la solicitud, el CS consiente efectuar el pago por las actividades a realizar</w:t>
      </w:r>
      <w:r w:rsidR="00424955">
        <w:rPr>
          <w:rFonts w:ascii="ITC Avant Garde" w:hAnsi="ITC Avant Garde"/>
          <w:sz w:val="22"/>
          <w:szCs w:val="22"/>
          <w:lang w:val="es-MX"/>
        </w:rPr>
        <w:t>,</w:t>
      </w:r>
      <w:r w:rsidRPr="00D936CA">
        <w:rPr>
          <w:rFonts w:ascii="ITC Avant Garde" w:hAnsi="ITC Avant Garde"/>
          <w:sz w:val="22"/>
          <w:szCs w:val="22"/>
          <w:lang w:val="es-MX"/>
        </w:rPr>
        <w:t xml:space="preserve"> así como por los elementos de cobro que conforman el (los) servicio(s), en el momento que se indique en el procedimiento. Asimismo, si el CS rechaza el servicio o decide no continuar con el procedimiento, deberá liquidar el monto generado por las actividades realizadas hasta el momento que decidió terminar el procedimiento.</w:t>
      </w:r>
    </w:p>
    <w:p w14:paraId="33CFF180" w14:textId="77777777" w:rsidR="00393314" w:rsidRPr="00D936CA" w:rsidRDefault="00393314" w:rsidP="00060B2E">
      <w:pPr>
        <w:pStyle w:val="IFTnormal"/>
        <w:ind w:left="-567" w:right="-142"/>
      </w:pPr>
      <w:r w:rsidRPr="00D936CA">
        <w:t>Procedimiento en caso de cierre de Central(es) Telefónica(s) o Instalación(es) Equivalente(s).</w:t>
      </w:r>
    </w:p>
    <w:p w14:paraId="33CFF181" w14:textId="66FEEE4E" w:rsidR="00393314" w:rsidRPr="00D936CA" w:rsidRDefault="00393314" w:rsidP="00060B2E">
      <w:pPr>
        <w:pStyle w:val="IFTnormal"/>
        <w:ind w:left="-567" w:right="-142"/>
      </w:pPr>
      <w:r w:rsidRPr="00D936CA">
        <w:t>Telmex notificará al CS el cierre de Central(es) Telefónica(s) o Instalación(es) Equivalente(s) con 12 (doce) meses de anticipación entregando al CS lo siguiente:</w:t>
      </w:r>
    </w:p>
    <w:p w14:paraId="33CFF182" w14:textId="77777777" w:rsidR="00393314" w:rsidRPr="00D936CA" w:rsidRDefault="00393314" w:rsidP="00D936CA">
      <w:pPr>
        <w:pStyle w:val="IFTnormal"/>
        <w:ind w:left="284"/>
      </w:pPr>
      <w:r w:rsidRPr="00D936CA">
        <w:t>a) Plan de trabajos de Telmex (incluye plazos, responsables y acciones).</w:t>
      </w:r>
    </w:p>
    <w:p w14:paraId="33CFF183" w14:textId="77777777" w:rsidR="00393314" w:rsidRPr="00D936CA" w:rsidRDefault="00393314" w:rsidP="00D936CA">
      <w:pPr>
        <w:pStyle w:val="IFTnormal"/>
        <w:ind w:left="284"/>
      </w:pPr>
      <w:r w:rsidRPr="00D936CA">
        <w:t>b) Propuestas de Central(es) Telefónica(s) o Instalación(es) Equivalente(s) para reubicar al CS en función de las características vigentes de coubicación contratada por dicho(s) CS. (Incluye plazos, responsables y acciones).</w:t>
      </w:r>
    </w:p>
    <w:p w14:paraId="33CFF184" w14:textId="77777777" w:rsidR="00393314" w:rsidRPr="00D936CA" w:rsidRDefault="00393314" w:rsidP="00D936CA">
      <w:pPr>
        <w:pStyle w:val="IFTnormal"/>
        <w:ind w:left="284"/>
      </w:pPr>
      <w:r w:rsidRPr="00D936CA">
        <w:t>c) Plan de trabajos a coordinar con el CS</w:t>
      </w:r>
    </w:p>
    <w:p w14:paraId="33CFF185" w14:textId="77777777" w:rsidR="00393314" w:rsidRPr="00D936CA" w:rsidRDefault="00393314" w:rsidP="00060B2E">
      <w:pPr>
        <w:pStyle w:val="IFTnormal"/>
        <w:ind w:left="-567" w:right="-142"/>
      </w:pPr>
      <w:r w:rsidRPr="00D936CA">
        <w:lastRenderedPageBreak/>
        <w:t xml:space="preserve">El o los CS  sujetos a reubicación podrán solicitar </w:t>
      </w:r>
      <w:r w:rsidR="00F07D23" w:rsidRPr="00D936CA">
        <w:t>a Telmex</w:t>
      </w:r>
      <w:r w:rsidRPr="00D936CA">
        <w:t xml:space="preserve"> información adicional que les permita valorar la conveniencia de lo propuesto por Telmex en el inciso b) y c). </w:t>
      </w:r>
    </w:p>
    <w:p w14:paraId="33CFF186" w14:textId="77777777" w:rsidR="008070FB" w:rsidRPr="00D936CA" w:rsidRDefault="008070FB"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b/>
          <w:sz w:val="22"/>
          <w:szCs w:val="22"/>
          <w:lang w:val="es-ES" w:eastAsia="es-MX"/>
        </w:rPr>
        <w:t>Procedimiento de contratación y entrega de Coubicación y Reasignación de espacio.</w:t>
      </w:r>
    </w:p>
    <w:p w14:paraId="33CFF187" w14:textId="77777777" w:rsidR="008070FB" w:rsidRPr="00D936CA" w:rsidRDefault="008070FB" w:rsidP="00060B2E">
      <w:pPr>
        <w:spacing w:after="200" w:line="276" w:lineRule="auto"/>
        <w:ind w:left="-567" w:right="-142"/>
        <w:jc w:val="both"/>
        <w:rPr>
          <w:rFonts w:ascii="ITC Avant Garde" w:hAnsi="ITC Avant Garde" w:cs="Arial"/>
          <w:sz w:val="22"/>
          <w:szCs w:val="22"/>
          <w:lang w:val="es-ES" w:eastAsia="es-MX"/>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contratación y entrega de los servicios de Coubicación.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contratar el servicio, las características que solicita para el mismo, y la validación por parte de Telmex de que la solicitud cuenta con todos los elementos para la contratación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Análisis de Factibilidad técnica a fin de que Telmex pueda verificar que cuenta con los elementos para brindar el servicio solicitado; y </w:t>
      </w:r>
      <w:r w:rsidRPr="00D936CA">
        <w:rPr>
          <w:rFonts w:ascii="ITC Avant Garde" w:hAnsi="ITC Avant Garde" w:cs="Arial"/>
          <w:b/>
          <w:sz w:val="22"/>
          <w:szCs w:val="22"/>
          <w:lang w:val="es-ES" w:eastAsia="es-MX"/>
        </w:rPr>
        <w:t>(iii)</w:t>
      </w:r>
      <w:r w:rsidRPr="00D936CA">
        <w:rPr>
          <w:rFonts w:ascii="ITC Avant Garde" w:hAnsi="ITC Avant Garde" w:cs="Arial"/>
          <w:sz w:val="22"/>
          <w:szCs w:val="22"/>
          <w:lang w:val="es-ES" w:eastAsia="es-MX"/>
        </w:rPr>
        <w:t xml:space="preserve"> Habilitación y aprovisionamiento del servicio solicitado, que detonará los procesos de</w:t>
      </w:r>
      <w:r w:rsidR="00E01D48" w:rsidRPr="00D936CA">
        <w:rPr>
          <w:rFonts w:ascii="ITC Avant Garde" w:hAnsi="ITC Avant Garde" w:cs="Arial"/>
          <w:sz w:val="22"/>
          <w:szCs w:val="22"/>
          <w:lang w:val="es-ES" w:eastAsia="es-MX"/>
        </w:rPr>
        <w:t>l acta</w:t>
      </w:r>
      <w:r w:rsidRPr="00D936CA">
        <w:rPr>
          <w:rFonts w:ascii="ITC Avant Garde" w:hAnsi="ITC Avant Garde" w:cs="Arial"/>
          <w:sz w:val="22"/>
          <w:szCs w:val="22"/>
          <w:lang w:val="es-ES" w:eastAsia="es-MX"/>
        </w:rPr>
        <w:t xml:space="preserve"> de entrega y facturación; en caso de no existir espacio vacante y facilidades técnicas para proporcionar la Coubicación</w:t>
      </w:r>
      <w:r w:rsidR="007C2B3A" w:rsidRPr="00D936CA">
        <w:rPr>
          <w:rFonts w:ascii="ITC Avant Garde" w:hAnsi="ITC Avant Garde" w:cs="Arial"/>
          <w:sz w:val="22"/>
          <w:szCs w:val="22"/>
          <w:lang w:val="es-ES" w:eastAsia="es-MX"/>
        </w:rPr>
        <w:t xml:space="preserve"> se procederá a:</w:t>
      </w:r>
      <w:r w:rsidRPr="00D936CA">
        <w:rPr>
          <w:rFonts w:ascii="ITC Avant Garde" w:hAnsi="ITC Avant Garde" w:cs="Arial"/>
          <w:sz w:val="22"/>
          <w:szCs w:val="22"/>
          <w:lang w:val="es-ES" w:eastAsia="es-MX"/>
        </w:rPr>
        <w:t xml:space="preserve"> </w:t>
      </w:r>
      <w:r w:rsidRPr="00D936CA">
        <w:rPr>
          <w:rFonts w:ascii="ITC Avant Garde" w:hAnsi="ITC Avant Garde" w:cs="Arial"/>
          <w:b/>
          <w:sz w:val="22"/>
          <w:szCs w:val="22"/>
          <w:lang w:val="es-ES" w:eastAsia="es-MX"/>
        </w:rPr>
        <w:t>(iv)</w:t>
      </w:r>
      <w:r w:rsidRPr="00D936CA">
        <w:rPr>
          <w:rFonts w:ascii="ITC Avant Garde" w:hAnsi="ITC Avant Garde" w:cs="Arial"/>
          <w:sz w:val="22"/>
          <w:szCs w:val="22"/>
          <w:lang w:val="es-ES" w:eastAsia="es-MX"/>
        </w:rPr>
        <w:t xml:space="preserve"> Reasignación de espacio y Redistribución de elementos.</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18A" w14:textId="77777777" w:rsidTr="00060B2E">
        <w:tc>
          <w:tcPr>
            <w:tcW w:w="1446" w:type="pct"/>
          </w:tcPr>
          <w:p w14:paraId="33CFF188" w14:textId="77777777" w:rsidR="001E62DF" w:rsidRPr="00D936CA" w:rsidRDefault="001E62DF" w:rsidP="00D936CA">
            <w:pPr>
              <w:pStyle w:val="IFTnormal"/>
              <w:jc w:val="center"/>
              <w:rPr>
                <w:b/>
                <w:sz w:val="20"/>
                <w:szCs w:val="20"/>
              </w:rPr>
            </w:pPr>
            <w:r w:rsidRPr="00D936CA">
              <w:rPr>
                <w:b/>
                <w:sz w:val="20"/>
                <w:szCs w:val="20"/>
              </w:rPr>
              <w:t>Etapa</w:t>
            </w:r>
          </w:p>
        </w:tc>
        <w:tc>
          <w:tcPr>
            <w:tcW w:w="3554" w:type="pct"/>
          </w:tcPr>
          <w:p w14:paraId="33CFF189" w14:textId="77777777" w:rsidR="001E62DF" w:rsidRPr="00D936CA" w:rsidRDefault="001E62DF" w:rsidP="00D936CA">
            <w:pPr>
              <w:pStyle w:val="IFTnormal"/>
              <w:jc w:val="center"/>
              <w:rPr>
                <w:b/>
                <w:sz w:val="20"/>
                <w:szCs w:val="20"/>
              </w:rPr>
            </w:pPr>
            <w:r w:rsidRPr="00D936CA">
              <w:rPr>
                <w:b/>
                <w:sz w:val="20"/>
                <w:szCs w:val="20"/>
              </w:rPr>
              <w:t>Descripción</w:t>
            </w:r>
          </w:p>
        </w:tc>
      </w:tr>
      <w:tr w:rsidR="00D936CA" w:rsidRPr="00D936CA" w14:paraId="33CFF18E" w14:textId="77777777" w:rsidTr="00060B2E">
        <w:tc>
          <w:tcPr>
            <w:tcW w:w="1446" w:type="pct"/>
          </w:tcPr>
          <w:p w14:paraId="33CFF18B" w14:textId="77777777" w:rsidR="001E62DF" w:rsidRPr="00D936CA" w:rsidRDefault="001E62DF" w:rsidP="00D936CA">
            <w:pPr>
              <w:pStyle w:val="IFTnormal"/>
              <w:jc w:val="left"/>
              <w:rPr>
                <w:b/>
                <w:sz w:val="20"/>
                <w:szCs w:val="20"/>
              </w:rPr>
            </w:pPr>
            <w:r w:rsidRPr="00D936CA">
              <w:rPr>
                <w:b/>
                <w:sz w:val="20"/>
                <w:szCs w:val="20"/>
              </w:rPr>
              <w:t>Envío de solicitud</w:t>
            </w:r>
          </w:p>
        </w:tc>
        <w:tc>
          <w:tcPr>
            <w:tcW w:w="3554" w:type="pct"/>
          </w:tcPr>
          <w:p w14:paraId="33CFF18C" w14:textId="3FD3C3DA" w:rsidR="001E62DF" w:rsidRPr="00D936CA" w:rsidRDefault="001E62DF" w:rsidP="00D936CA">
            <w:pPr>
              <w:pStyle w:val="IFTnormal"/>
              <w:rPr>
                <w:sz w:val="20"/>
                <w:szCs w:val="20"/>
              </w:rPr>
            </w:pPr>
            <w:r w:rsidRPr="00D936CA">
              <w:rPr>
                <w:sz w:val="20"/>
                <w:szCs w:val="20"/>
              </w:rPr>
              <w:t>El CS deberá presentar sus solicitudes en el formato correspondiente a través del SEG.</w:t>
            </w:r>
          </w:p>
          <w:p w14:paraId="33CFF18D" w14:textId="77777777" w:rsidR="001E62DF" w:rsidRPr="00D936CA" w:rsidRDefault="001E62DF" w:rsidP="00D936CA">
            <w:pPr>
              <w:pStyle w:val="IFTnormal"/>
              <w:rPr>
                <w:sz w:val="20"/>
                <w:szCs w:val="20"/>
              </w:rPr>
            </w:pPr>
            <w:r w:rsidRPr="00D936CA">
              <w:rPr>
                <w:sz w:val="20"/>
                <w:szCs w:val="20"/>
              </w:rPr>
              <w:t>Una vez enviada se asignará de forma automática un número de folio a la solicitud del CS.</w:t>
            </w:r>
          </w:p>
        </w:tc>
      </w:tr>
      <w:tr w:rsidR="00D936CA" w:rsidRPr="00D936CA" w14:paraId="33CFF193" w14:textId="77777777" w:rsidTr="00060B2E">
        <w:tc>
          <w:tcPr>
            <w:tcW w:w="1446" w:type="pct"/>
          </w:tcPr>
          <w:p w14:paraId="33CFF18F" w14:textId="77777777" w:rsidR="001E62DF" w:rsidRPr="00D936CA" w:rsidRDefault="001E62DF" w:rsidP="00D936CA">
            <w:pPr>
              <w:pStyle w:val="IFTnormal"/>
              <w:jc w:val="left"/>
              <w:rPr>
                <w:b/>
                <w:sz w:val="20"/>
                <w:szCs w:val="20"/>
              </w:rPr>
            </w:pPr>
            <w:r w:rsidRPr="00D936CA">
              <w:rPr>
                <w:b/>
                <w:sz w:val="20"/>
                <w:szCs w:val="20"/>
              </w:rPr>
              <w:t>Validación de solicitud</w:t>
            </w:r>
          </w:p>
        </w:tc>
        <w:tc>
          <w:tcPr>
            <w:tcW w:w="3554" w:type="pct"/>
          </w:tcPr>
          <w:p w14:paraId="33CFF190" w14:textId="2957B502" w:rsidR="001E62DF" w:rsidRPr="00E8594D" w:rsidRDefault="001E62DF" w:rsidP="00D936CA">
            <w:pPr>
              <w:pStyle w:val="IFTnormal"/>
            </w:pPr>
            <w:r w:rsidRPr="00D936CA">
              <w:rPr>
                <w:sz w:val="20"/>
                <w:szCs w:val="20"/>
              </w:rPr>
              <w:t>Durante el proceso de validación, Telmex evaluará las solicitudes enviadas por los CS en un plazo máximo de 1 día hábil:</w:t>
            </w:r>
          </w:p>
          <w:p w14:paraId="33CFF191" w14:textId="77777777" w:rsidR="001E62DF" w:rsidRPr="00D936CA" w:rsidRDefault="001E62DF"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F192" w14:textId="241CB693" w:rsidR="001E62DF" w:rsidRPr="00D936CA" w:rsidRDefault="001E62DF"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19E" w14:textId="77777777" w:rsidTr="00060B2E">
        <w:tc>
          <w:tcPr>
            <w:tcW w:w="1446" w:type="pct"/>
          </w:tcPr>
          <w:p w14:paraId="33CFF194" w14:textId="77777777" w:rsidR="001E62DF" w:rsidRPr="00D936CA" w:rsidRDefault="001E62DF" w:rsidP="00D936CA">
            <w:pPr>
              <w:pStyle w:val="IFTnormal"/>
              <w:jc w:val="left"/>
              <w:rPr>
                <w:b/>
                <w:sz w:val="20"/>
                <w:szCs w:val="20"/>
              </w:rPr>
            </w:pPr>
            <w:r w:rsidRPr="00D936CA">
              <w:rPr>
                <w:b/>
                <w:sz w:val="20"/>
                <w:szCs w:val="20"/>
              </w:rPr>
              <w:t>Factibilidad Técnica</w:t>
            </w:r>
          </w:p>
        </w:tc>
        <w:tc>
          <w:tcPr>
            <w:tcW w:w="3554" w:type="pct"/>
          </w:tcPr>
          <w:p w14:paraId="33CFF195" w14:textId="77777777" w:rsidR="001E62DF" w:rsidRPr="00D936CA" w:rsidRDefault="001E62DF" w:rsidP="00D936CA">
            <w:pPr>
              <w:pStyle w:val="IFTnormal"/>
              <w:rPr>
                <w:sz w:val="20"/>
                <w:szCs w:val="20"/>
              </w:rPr>
            </w:pPr>
            <w:r w:rsidRPr="00D936CA">
              <w:rPr>
                <w:sz w:val="20"/>
                <w:szCs w:val="20"/>
              </w:rPr>
              <w:t>Durante el análisis de Factibilidad Técnica, Telmex determinará si existen los recursos técnicos y facilidades para habilitar los servicios solicitados en un plazo máximo de 3 días hábiles:</w:t>
            </w:r>
          </w:p>
          <w:p w14:paraId="33CFF196" w14:textId="77777777" w:rsidR="001E62DF" w:rsidRPr="00D936CA" w:rsidRDefault="001E62DF" w:rsidP="00D936CA">
            <w:pPr>
              <w:pStyle w:val="IFTnormal"/>
              <w:numPr>
                <w:ilvl w:val="0"/>
                <w:numId w:val="116"/>
              </w:numPr>
              <w:rPr>
                <w:sz w:val="20"/>
                <w:szCs w:val="20"/>
              </w:rPr>
            </w:pPr>
            <w:r w:rsidRPr="00D936CA">
              <w:rPr>
                <w:b/>
                <w:sz w:val="20"/>
                <w:szCs w:val="20"/>
              </w:rPr>
              <w:t xml:space="preserve">Existe espacio vacante facilidades técnicas </w:t>
            </w:r>
            <w:r w:rsidRPr="00D936CA">
              <w:rPr>
                <w:sz w:val="20"/>
                <w:szCs w:val="20"/>
              </w:rPr>
              <w:t>en la central telefónica o Instalación Equivalente:</w:t>
            </w:r>
          </w:p>
          <w:p w14:paraId="33CFF197" w14:textId="77777777" w:rsidR="001E62DF" w:rsidRPr="00D936CA" w:rsidRDefault="001E62DF" w:rsidP="00D936CA">
            <w:pPr>
              <w:pStyle w:val="IFTnormal"/>
              <w:numPr>
                <w:ilvl w:val="1"/>
                <w:numId w:val="116"/>
              </w:numPr>
              <w:rPr>
                <w:sz w:val="20"/>
                <w:szCs w:val="20"/>
              </w:rPr>
            </w:pPr>
            <w:r w:rsidRPr="00D936CA">
              <w:rPr>
                <w:sz w:val="20"/>
                <w:szCs w:val="20"/>
              </w:rPr>
              <w:t>Se asignará NIS y se enviará cotización a CS</w:t>
            </w:r>
          </w:p>
          <w:p w14:paraId="33CFF198" w14:textId="7C94E610" w:rsidR="001E62DF" w:rsidRPr="00D936CA" w:rsidRDefault="001E62DF" w:rsidP="00D936CA">
            <w:pPr>
              <w:pStyle w:val="IFTnormal"/>
              <w:numPr>
                <w:ilvl w:val="0"/>
                <w:numId w:val="116"/>
              </w:numPr>
              <w:rPr>
                <w:sz w:val="20"/>
                <w:szCs w:val="20"/>
              </w:rPr>
            </w:pPr>
            <w:r w:rsidRPr="00D936CA">
              <w:rPr>
                <w:b/>
                <w:sz w:val="20"/>
                <w:szCs w:val="20"/>
              </w:rPr>
              <w:t xml:space="preserve">No existe espacio vacante para proveer </w:t>
            </w:r>
            <w:r w:rsidR="00E8594D" w:rsidRPr="00D936CA">
              <w:rPr>
                <w:b/>
                <w:sz w:val="20"/>
                <w:szCs w:val="20"/>
              </w:rPr>
              <w:t>Coubicación</w:t>
            </w:r>
            <w:r w:rsidRPr="00D936CA">
              <w:rPr>
                <w:sz w:val="20"/>
                <w:szCs w:val="20"/>
              </w:rPr>
              <w:t>:</w:t>
            </w:r>
          </w:p>
          <w:p w14:paraId="33CFF199" w14:textId="774AEAA5" w:rsidR="001E62DF" w:rsidRPr="00D936CA" w:rsidRDefault="001E62DF" w:rsidP="00D936CA">
            <w:pPr>
              <w:pStyle w:val="IFTnormal"/>
              <w:numPr>
                <w:ilvl w:val="1"/>
                <w:numId w:val="116"/>
              </w:numPr>
              <w:rPr>
                <w:sz w:val="20"/>
                <w:szCs w:val="20"/>
              </w:rPr>
            </w:pPr>
            <w:r w:rsidRPr="00D936CA">
              <w:rPr>
                <w:sz w:val="20"/>
                <w:szCs w:val="20"/>
              </w:rPr>
              <w:t xml:space="preserve">Se iniciará el proceso de Reasignación de Espacios </w:t>
            </w:r>
            <w:r w:rsidRPr="00D936CA">
              <w:rPr>
                <w:sz w:val="20"/>
                <w:szCs w:val="20"/>
              </w:rPr>
              <w:lastRenderedPageBreak/>
              <w:t>analizando la factibilidad y de ser factible se enviará la cotización correspondiente a las actividades a realizar en un plazo máximo de 5 días hábiles. De no ser factible atender la demanda de espacio con el procedimiento de reasignación de espacios se informará al CS y se iniciará el procedimiento de Recuperación de Espacio.</w:t>
            </w:r>
          </w:p>
          <w:p w14:paraId="33CFF19A" w14:textId="77777777" w:rsidR="001E62DF" w:rsidRPr="00D936CA" w:rsidRDefault="001E62DF" w:rsidP="00D936CA">
            <w:pPr>
              <w:pStyle w:val="IFTnormal"/>
              <w:numPr>
                <w:ilvl w:val="0"/>
                <w:numId w:val="116"/>
              </w:numPr>
              <w:rPr>
                <w:sz w:val="20"/>
                <w:szCs w:val="20"/>
              </w:rPr>
            </w:pPr>
            <w:r w:rsidRPr="00D936CA">
              <w:rPr>
                <w:b/>
                <w:sz w:val="20"/>
                <w:szCs w:val="20"/>
              </w:rPr>
              <w:t>No es posible atender la demanda de Coubicación</w:t>
            </w:r>
            <w:r w:rsidRPr="00D936CA">
              <w:rPr>
                <w:rFonts w:cs="Arial"/>
              </w:rPr>
              <w:t xml:space="preserve"> </w:t>
            </w:r>
            <w:r w:rsidRPr="00D936CA">
              <w:rPr>
                <w:sz w:val="20"/>
                <w:szCs w:val="20"/>
              </w:rPr>
              <w:t>a través del procedimiento de Reasignación de Espacio:</w:t>
            </w:r>
          </w:p>
          <w:p w14:paraId="33CFF19B" w14:textId="77777777" w:rsidR="001E62DF" w:rsidRPr="00D936CA" w:rsidRDefault="001E62DF" w:rsidP="00D936CA">
            <w:pPr>
              <w:pStyle w:val="IFTnormal"/>
              <w:numPr>
                <w:ilvl w:val="1"/>
                <w:numId w:val="116"/>
              </w:numPr>
              <w:rPr>
                <w:sz w:val="20"/>
                <w:szCs w:val="20"/>
              </w:rPr>
            </w:pPr>
            <w:r w:rsidRPr="00D936CA">
              <w:rPr>
                <w:sz w:val="20"/>
                <w:szCs w:val="20"/>
              </w:rPr>
              <w:t>Se iniciará el procedimiento de Recuperación de Espacio</w:t>
            </w:r>
          </w:p>
          <w:p w14:paraId="33CFF19C" w14:textId="77777777" w:rsidR="001E62DF" w:rsidRPr="00D936CA" w:rsidRDefault="001E62DF" w:rsidP="00D936CA">
            <w:pPr>
              <w:pStyle w:val="IFTnormal"/>
              <w:numPr>
                <w:ilvl w:val="0"/>
                <w:numId w:val="116"/>
              </w:numPr>
              <w:rPr>
                <w:sz w:val="20"/>
                <w:szCs w:val="20"/>
              </w:rPr>
            </w:pPr>
            <w:r w:rsidRPr="00D936CA">
              <w:rPr>
                <w:b/>
                <w:sz w:val="20"/>
                <w:szCs w:val="20"/>
              </w:rPr>
              <w:t xml:space="preserve">No existe factibilidad técnica, </w:t>
            </w:r>
            <w:r w:rsidRPr="00D936CA">
              <w:rPr>
                <w:sz w:val="20"/>
                <w:szCs w:val="20"/>
              </w:rPr>
              <w:t>se informará al CS la justificación de los motivos descritos en el apartado 1.4, así como las evidencias correspondientes. En un plazo no mayor a 5 días hábiles ofrecerá un medio alternativo de solución, de ser solicitado por el CS se iniciará el procedimiento de Trabajo Especial.</w:t>
            </w:r>
          </w:p>
          <w:p w14:paraId="33CFF19D" w14:textId="77777777" w:rsidR="001E62DF" w:rsidRPr="00D936CA" w:rsidRDefault="001E62DF" w:rsidP="00D936CA">
            <w:pPr>
              <w:pStyle w:val="IFTnormal"/>
              <w:rPr>
                <w:sz w:val="20"/>
                <w:szCs w:val="20"/>
              </w:rPr>
            </w:pPr>
            <w:r w:rsidRPr="00D936CA">
              <w:rPr>
                <w:sz w:val="20"/>
                <w:szCs w:val="20"/>
              </w:rPr>
              <w:t>El CS contará con 5 días hábiles para realizar la aceptación de la cotización del servicio</w:t>
            </w:r>
            <w:r w:rsidRPr="00D936CA">
              <w:rPr>
                <w:rStyle w:val="Refdenotaalpie"/>
                <w:rFonts w:cs="Arial"/>
                <w:lang w:eastAsia="es-MX"/>
              </w:rPr>
              <w:footnoteReference w:id="56"/>
            </w:r>
            <w:r w:rsidRPr="00D936CA">
              <w:rPr>
                <w:rFonts w:cs="Arial"/>
                <w:lang w:val="es-ES" w:eastAsia="es-MX"/>
              </w:rPr>
              <w:t xml:space="preserve">. </w:t>
            </w:r>
            <w:r w:rsidRPr="00D936CA">
              <w:rPr>
                <w:sz w:val="20"/>
                <w:szCs w:val="20"/>
              </w:rPr>
              <w:t>Si no se acepta se entenderá que el CS rechazó el servicio.</w:t>
            </w:r>
          </w:p>
        </w:tc>
      </w:tr>
      <w:tr w:rsidR="00D936CA" w:rsidRPr="00D936CA" w14:paraId="33CFF1A3" w14:textId="77777777" w:rsidTr="00060B2E">
        <w:tc>
          <w:tcPr>
            <w:tcW w:w="1446" w:type="pct"/>
          </w:tcPr>
          <w:p w14:paraId="33CFF19F" w14:textId="77777777" w:rsidR="001E62DF" w:rsidRPr="00D936CA" w:rsidRDefault="001E62DF" w:rsidP="00D936CA">
            <w:pPr>
              <w:pStyle w:val="IFTnormal"/>
              <w:jc w:val="left"/>
              <w:rPr>
                <w:b/>
                <w:sz w:val="20"/>
                <w:szCs w:val="20"/>
              </w:rPr>
            </w:pPr>
            <w:r w:rsidRPr="00D936CA">
              <w:rPr>
                <w:b/>
                <w:sz w:val="20"/>
                <w:szCs w:val="20"/>
              </w:rPr>
              <w:lastRenderedPageBreak/>
              <w:t>Habilitación y aprovisionamiento del Servicio</w:t>
            </w:r>
          </w:p>
        </w:tc>
        <w:tc>
          <w:tcPr>
            <w:tcW w:w="3554" w:type="pct"/>
          </w:tcPr>
          <w:p w14:paraId="33CFF1A0" w14:textId="77777777" w:rsidR="001E62DF" w:rsidRPr="00D936CA" w:rsidRDefault="001E62DF" w:rsidP="00D936CA">
            <w:pPr>
              <w:pStyle w:val="IFTnormal"/>
              <w:rPr>
                <w:sz w:val="20"/>
                <w:szCs w:val="20"/>
              </w:rPr>
            </w:pPr>
            <w:r w:rsidRPr="00D936CA">
              <w:rPr>
                <w:sz w:val="20"/>
                <w:szCs w:val="20"/>
              </w:rPr>
              <w:t>Telmex iniciará la elaboración del diseño y la construcción de la Coubicación, una vez aceptada la cotización por parte del CS:</w:t>
            </w:r>
          </w:p>
          <w:p w14:paraId="33CFF1A1" w14:textId="1018BF72" w:rsidR="001E62DF" w:rsidRPr="00D936CA" w:rsidRDefault="001E62DF" w:rsidP="00D936CA">
            <w:pPr>
              <w:pStyle w:val="IFTnormal"/>
              <w:numPr>
                <w:ilvl w:val="0"/>
                <w:numId w:val="115"/>
              </w:numPr>
              <w:rPr>
                <w:b/>
                <w:sz w:val="20"/>
                <w:szCs w:val="20"/>
              </w:rPr>
            </w:pPr>
            <w:r w:rsidRPr="00D936CA">
              <w:rPr>
                <w:sz w:val="20"/>
                <w:szCs w:val="20"/>
              </w:rPr>
              <w:t>Se entregará en un plazo máximo de 60 días hábiles, derivado de la construcción de obra civil</w:t>
            </w:r>
            <w:r w:rsidRPr="00D936CA">
              <w:rPr>
                <w:rStyle w:val="Refdenotaalpie"/>
                <w:rFonts w:cs="Arial"/>
              </w:rPr>
              <w:footnoteReference w:id="57"/>
            </w:r>
            <w:r w:rsidRPr="00D936CA">
              <w:rPr>
                <w:rFonts w:cs="Arial"/>
                <w:sz w:val="20"/>
                <w:szCs w:val="20"/>
              </w:rPr>
              <w:t>.</w:t>
            </w:r>
          </w:p>
          <w:p w14:paraId="33CFF1A2" w14:textId="77777777" w:rsidR="001E62DF" w:rsidRPr="00D936CA" w:rsidRDefault="001E62DF" w:rsidP="00D936CA">
            <w:pPr>
              <w:pStyle w:val="IFTnormal"/>
              <w:rPr>
                <w:b/>
                <w:sz w:val="20"/>
                <w:szCs w:val="20"/>
              </w:rPr>
            </w:pPr>
            <w:r w:rsidRPr="00D936CA">
              <w:rPr>
                <w:sz w:val="20"/>
                <w:szCs w:val="20"/>
              </w:rPr>
              <w:t>Una vez construida se le notificará al CS que la Coubicación está lista para ser ocupada, y se firmará de conformidad el formato de recepción para coubicaciones de CS.</w:t>
            </w:r>
          </w:p>
        </w:tc>
      </w:tr>
      <w:tr w:rsidR="001E62DF" w:rsidRPr="00D936CA" w14:paraId="33CFF1A8" w14:textId="77777777" w:rsidTr="00060B2E">
        <w:tc>
          <w:tcPr>
            <w:tcW w:w="1446" w:type="pct"/>
          </w:tcPr>
          <w:p w14:paraId="33CFF1A4" w14:textId="77777777" w:rsidR="001E62DF" w:rsidRPr="00D936CA" w:rsidRDefault="001E62DF" w:rsidP="00D936CA">
            <w:pPr>
              <w:pStyle w:val="IFTnormal"/>
              <w:jc w:val="left"/>
              <w:rPr>
                <w:b/>
                <w:sz w:val="20"/>
                <w:szCs w:val="20"/>
              </w:rPr>
            </w:pPr>
            <w:r w:rsidRPr="00D936CA">
              <w:rPr>
                <w:b/>
                <w:sz w:val="20"/>
                <w:szCs w:val="20"/>
              </w:rPr>
              <w:t>Facturación</w:t>
            </w:r>
          </w:p>
        </w:tc>
        <w:tc>
          <w:tcPr>
            <w:tcW w:w="3554" w:type="pct"/>
          </w:tcPr>
          <w:p w14:paraId="33CFF1A5" w14:textId="77777777" w:rsidR="001E62DF" w:rsidRPr="00D936CA" w:rsidRDefault="001E62DF" w:rsidP="00D936CA">
            <w:pPr>
              <w:pStyle w:val="IFTnormal"/>
              <w:rPr>
                <w:sz w:val="20"/>
                <w:szCs w:val="20"/>
              </w:rPr>
            </w:pPr>
            <w:r w:rsidRPr="00D936CA">
              <w:rPr>
                <w:sz w:val="20"/>
                <w:szCs w:val="20"/>
              </w:rPr>
              <w:t>Al corte del mes se realizará la facturación aplicable al servicio:</w:t>
            </w:r>
          </w:p>
          <w:p w14:paraId="33CFF1A6" w14:textId="77777777" w:rsidR="001E62DF" w:rsidRPr="00D936CA" w:rsidRDefault="001E62DF"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F1A7" w14:textId="77777777" w:rsidR="001E62DF" w:rsidRPr="00D936CA" w:rsidRDefault="001E62DF"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F1A9" w14:textId="77777777" w:rsidR="00C82C0B" w:rsidRPr="00D936CA" w:rsidRDefault="00C82C0B" w:rsidP="00D936CA">
      <w:pPr>
        <w:spacing w:after="200" w:line="276" w:lineRule="auto"/>
        <w:jc w:val="both"/>
        <w:rPr>
          <w:rFonts w:ascii="ITC Avant Garde" w:hAnsi="ITC Avant Garde" w:cs="Arial"/>
          <w:sz w:val="22"/>
          <w:szCs w:val="22"/>
          <w:lang w:val="es-ES" w:eastAsia="es-MX"/>
        </w:rPr>
      </w:pPr>
    </w:p>
    <w:p w14:paraId="33CFF1AA" w14:textId="77777777" w:rsidR="008070FB" w:rsidRPr="00D936CA" w:rsidRDefault="008070FB"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lastRenderedPageBreak/>
        <w:t>Procedimiento para Recuperación de Espacio</w:t>
      </w:r>
    </w:p>
    <w:p w14:paraId="33CFF1AB" w14:textId="77777777" w:rsidR="008070FB" w:rsidRPr="00D936CA" w:rsidRDefault="008070FB"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Recuperación de Espacios derivado de que no fuera posible atender la demanda de Coubicación una vez realizado el procedimiento de reasignación de espacio;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w:t>
      </w:r>
      <w:r w:rsidRPr="00D936CA">
        <w:rPr>
          <w:rFonts w:ascii="ITC Avant Garde" w:hAnsi="ITC Avant Garde" w:cs="Arial"/>
          <w:sz w:val="22"/>
          <w:szCs w:val="22"/>
        </w:rPr>
        <w:t xml:space="preserve"> Cotización e inicio de la recuperación de espacio o de un medio alternativo de solución.</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1AE" w14:textId="77777777" w:rsidTr="00060B2E">
        <w:tc>
          <w:tcPr>
            <w:tcW w:w="1446" w:type="pct"/>
          </w:tcPr>
          <w:p w14:paraId="33CFF1AC" w14:textId="77777777" w:rsidR="001E62DF" w:rsidRPr="00D936CA" w:rsidRDefault="001E62DF" w:rsidP="00D936CA">
            <w:pPr>
              <w:pStyle w:val="IFTnormal"/>
              <w:jc w:val="center"/>
              <w:rPr>
                <w:b/>
                <w:sz w:val="20"/>
                <w:szCs w:val="20"/>
              </w:rPr>
            </w:pPr>
            <w:r w:rsidRPr="00D936CA">
              <w:rPr>
                <w:b/>
                <w:sz w:val="20"/>
                <w:szCs w:val="20"/>
              </w:rPr>
              <w:t>Etapa</w:t>
            </w:r>
          </w:p>
        </w:tc>
        <w:tc>
          <w:tcPr>
            <w:tcW w:w="3554" w:type="pct"/>
          </w:tcPr>
          <w:p w14:paraId="33CFF1AD" w14:textId="77777777" w:rsidR="001E62DF" w:rsidRPr="00D936CA" w:rsidRDefault="001E62DF" w:rsidP="00D936CA">
            <w:pPr>
              <w:pStyle w:val="IFTnormal"/>
              <w:jc w:val="center"/>
              <w:rPr>
                <w:b/>
                <w:sz w:val="20"/>
                <w:szCs w:val="20"/>
              </w:rPr>
            </w:pPr>
            <w:r w:rsidRPr="00D936CA">
              <w:rPr>
                <w:b/>
                <w:sz w:val="20"/>
                <w:szCs w:val="20"/>
              </w:rPr>
              <w:t>Descripción</w:t>
            </w:r>
          </w:p>
        </w:tc>
      </w:tr>
      <w:tr w:rsidR="00D936CA" w:rsidRPr="00D936CA" w14:paraId="33CFF1B6" w14:textId="77777777" w:rsidTr="00060B2E">
        <w:tc>
          <w:tcPr>
            <w:tcW w:w="1446" w:type="pct"/>
          </w:tcPr>
          <w:p w14:paraId="33CFF1AF" w14:textId="77777777" w:rsidR="001E62DF" w:rsidRPr="00D936CA" w:rsidRDefault="001E62DF" w:rsidP="00D936CA">
            <w:pPr>
              <w:pStyle w:val="IFTnormal"/>
              <w:jc w:val="left"/>
              <w:rPr>
                <w:b/>
                <w:sz w:val="20"/>
                <w:szCs w:val="20"/>
              </w:rPr>
            </w:pPr>
            <w:r w:rsidRPr="00D936CA">
              <w:rPr>
                <w:b/>
                <w:sz w:val="20"/>
                <w:szCs w:val="20"/>
              </w:rPr>
              <w:t>Factibilidad Técnica</w:t>
            </w:r>
          </w:p>
        </w:tc>
        <w:tc>
          <w:tcPr>
            <w:tcW w:w="3554" w:type="pct"/>
          </w:tcPr>
          <w:p w14:paraId="33CFF1B0" w14:textId="77777777" w:rsidR="001E62DF" w:rsidRPr="00D936CA" w:rsidRDefault="001E62DF" w:rsidP="00D936CA">
            <w:pPr>
              <w:pStyle w:val="IFTnormal"/>
              <w:rPr>
                <w:sz w:val="20"/>
                <w:szCs w:val="20"/>
              </w:rPr>
            </w:pPr>
            <w:r w:rsidRPr="00D936CA">
              <w:rPr>
                <w:sz w:val="20"/>
                <w:szCs w:val="20"/>
              </w:rPr>
              <w:t>A partir de la notificación de reasignación de espacio no factible, Telmex analizará la factibilidad técnica para recuperación de espacio en un plazo máximo de 3 días hábiles:</w:t>
            </w:r>
          </w:p>
          <w:p w14:paraId="33CFF1B1" w14:textId="77777777" w:rsidR="001E62DF" w:rsidRPr="00D936CA" w:rsidRDefault="001E62DF" w:rsidP="00D936CA">
            <w:pPr>
              <w:pStyle w:val="IFTnormal"/>
              <w:numPr>
                <w:ilvl w:val="0"/>
                <w:numId w:val="116"/>
              </w:numPr>
              <w:rPr>
                <w:sz w:val="20"/>
                <w:szCs w:val="20"/>
              </w:rPr>
            </w:pPr>
            <w:r w:rsidRPr="00D936CA">
              <w:rPr>
                <w:sz w:val="20"/>
                <w:szCs w:val="20"/>
              </w:rPr>
              <w:t>Si se determina que un CS no ha utilizado efectivamente el espacio, dicho CS será notificado y tendrá un plazo de 5 días hábiles para ofrecer una respuesta sobre las causas por las cuales no ha utilizado efectivamente el espacio. Si no se recibe respuesta por parte del CS se entenderá que es posible recuperar el espacio.</w:t>
            </w:r>
          </w:p>
          <w:p w14:paraId="33CFF1B2" w14:textId="3A3DB002" w:rsidR="001E62DF" w:rsidRPr="00D936CA" w:rsidRDefault="001E62DF" w:rsidP="00D936CA">
            <w:pPr>
              <w:pStyle w:val="IFTnormal"/>
              <w:numPr>
                <w:ilvl w:val="0"/>
                <w:numId w:val="116"/>
              </w:numPr>
              <w:rPr>
                <w:sz w:val="20"/>
                <w:szCs w:val="20"/>
              </w:rPr>
            </w:pPr>
            <w:r w:rsidRPr="00D936CA">
              <w:rPr>
                <w:sz w:val="20"/>
                <w:szCs w:val="20"/>
              </w:rPr>
              <w:t>Si el CS en la respuesta justifica que la utilización no efectiva es por causas no imputables al mismo, se permitirá la continuidad del servicio. En cambio</w:t>
            </w:r>
            <w:r w:rsidR="007241B3">
              <w:rPr>
                <w:sz w:val="20"/>
                <w:szCs w:val="20"/>
              </w:rPr>
              <w:t>,</w:t>
            </w:r>
            <w:r w:rsidRPr="00D936CA">
              <w:rPr>
                <w:sz w:val="20"/>
                <w:szCs w:val="20"/>
              </w:rPr>
              <w:t xml:space="preserve"> si la justificación muestra que la utilización no efectiva es por decisiones del CS se procederá a recuperar el espacio. Dicha situación será notificada al Instituto:</w:t>
            </w:r>
          </w:p>
          <w:p w14:paraId="33CFF1B3" w14:textId="77777777" w:rsidR="001E62DF" w:rsidRPr="00D936CA" w:rsidRDefault="001E62DF" w:rsidP="00D936CA">
            <w:pPr>
              <w:pStyle w:val="IFTnormal"/>
              <w:numPr>
                <w:ilvl w:val="1"/>
                <w:numId w:val="116"/>
              </w:numPr>
              <w:rPr>
                <w:sz w:val="20"/>
                <w:szCs w:val="20"/>
              </w:rPr>
            </w:pPr>
            <w:r w:rsidRPr="00D936CA">
              <w:rPr>
                <w:sz w:val="20"/>
                <w:szCs w:val="20"/>
              </w:rPr>
              <w:t>Si tras la comunicación con el CS resulta factible la Recuperación del Espacio, se enviará cotización al nuevo CS en un plazo de 5 días hábiles.</w:t>
            </w:r>
          </w:p>
          <w:p w14:paraId="33CFF1B4" w14:textId="48DFA9FC" w:rsidR="001E62DF" w:rsidRPr="00D936CA" w:rsidRDefault="001E62DF" w:rsidP="00D936CA">
            <w:pPr>
              <w:pStyle w:val="IFTnormal"/>
              <w:numPr>
                <w:ilvl w:val="1"/>
                <w:numId w:val="116"/>
              </w:numPr>
              <w:rPr>
                <w:sz w:val="20"/>
                <w:szCs w:val="20"/>
              </w:rPr>
            </w:pPr>
            <w:r w:rsidRPr="00D936CA">
              <w:rPr>
                <w:sz w:val="20"/>
                <w:szCs w:val="20"/>
              </w:rPr>
              <w:t>Si no es factible la recuperación de espacio, se entregará al CS en el SEG la justificación de los motivos descritos en el apartado 1.4 relativo a los recursos de red asociados a los servicios, así como las evidencias correspondientes, y se pondrá a consideración del CS la alternativa de solicitar un trabajo especial.</w:t>
            </w:r>
          </w:p>
          <w:p w14:paraId="33CFF1B5" w14:textId="77777777" w:rsidR="001E62DF" w:rsidRPr="00D936CA" w:rsidRDefault="001E62DF" w:rsidP="00D936CA">
            <w:pPr>
              <w:pStyle w:val="IFTnormal"/>
              <w:rPr>
                <w:sz w:val="20"/>
                <w:szCs w:val="20"/>
              </w:rPr>
            </w:pPr>
            <w:r w:rsidRPr="00D936CA">
              <w:rPr>
                <w:sz w:val="20"/>
                <w:szCs w:val="20"/>
              </w:rPr>
              <w:t>El CS contará con 5 días hábiles para aceptar la cotización del servicio</w:t>
            </w:r>
            <w:r w:rsidRPr="00D936CA">
              <w:rPr>
                <w:rStyle w:val="Refdenotaalpie"/>
                <w:rFonts w:cs="Arial"/>
              </w:rPr>
              <w:footnoteReference w:id="58"/>
            </w:r>
            <w:r w:rsidRPr="00D936CA">
              <w:rPr>
                <w:rFonts w:cs="Arial"/>
                <w:sz w:val="20"/>
                <w:szCs w:val="20"/>
                <w:lang w:eastAsia="es-MX"/>
              </w:rPr>
              <w:t xml:space="preserve">, </w:t>
            </w:r>
            <w:r w:rsidRPr="00D936CA">
              <w:rPr>
                <w:sz w:val="20"/>
                <w:szCs w:val="20"/>
              </w:rPr>
              <w:t xml:space="preserve">dentro de este plazo el CS podrá analizar el presupuesto y solicitar aclaraciones a Telmex, si no acepta la cotización se </w:t>
            </w:r>
            <w:r w:rsidRPr="00D936CA">
              <w:rPr>
                <w:sz w:val="20"/>
                <w:szCs w:val="20"/>
              </w:rPr>
              <w:lastRenderedPageBreak/>
              <w:t>entenderá que el CS rechazó el servicio.</w:t>
            </w:r>
          </w:p>
        </w:tc>
      </w:tr>
      <w:tr w:rsidR="00D936CA" w:rsidRPr="00D936CA" w14:paraId="33CFF1B9" w14:textId="77777777" w:rsidTr="00060B2E">
        <w:tc>
          <w:tcPr>
            <w:tcW w:w="1446" w:type="pct"/>
          </w:tcPr>
          <w:p w14:paraId="33CFF1B7" w14:textId="77777777" w:rsidR="001E62DF" w:rsidRPr="00D936CA" w:rsidRDefault="001E62DF" w:rsidP="00D936CA">
            <w:pPr>
              <w:pStyle w:val="IFTnormal"/>
              <w:jc w:val="left"/>
              <w:rPr>
                <w:b/>
                <w:sz w:val="20"/>
                <w:szCs w:val="20"/>
              </w:rPr>
            </w:pPr>
            <w:r w:rsidRPr="00D936CA">
              <w:rPr>
                <w:b/>
                <w:sz w:val="20"/>
                <w:szCs w:val="20"/>
              </w:rPr>
              <w:lastRenderedPageBreak/>
              <w:t>Habilitación y aprovisionamiento del Servicio</w:t>
            </w:r>
          </w:p>
        </w:tc>
        <w:tc>
          <w:tcPr>
            <w:tcW w:w="3554" w:type="pct"/>
          </w:tcPr>
          <w:p w14:paraId="33CFF1B8" w14:textId="77777777" w:rsidR="001E62DF" w:rsidRPr="00D936CA" w:rsidRDefault="001E62DF" w:rsidP="00D936CA">
            <w:pPr>
              <w:pStyle w:val="IFTnormal"/>
              <w:rPr>
                <w:sz w:val="20"/>
                <w:szCs w:val="20"/>
              </w:rPr>
            </w:pPr>
            <w:r w:rsidRPr="00D936CA">
              <w:rPr>
                <w:sz w:val="20"/>
                <w:szCs w:val="20"/>
              </w:rPr>
              <w:t>Una vez aceptada la cotización por parte del CS, se procederá a realizar la Recuperación de Espacio y se acordará una fecha de entrega de la Coubicación.</w:t>
            </w:r>
          </w:p>
        </w:tc>
      </w:tr>
    </w:tbl>
    <w:p w14:paraId="33CFF1BA" w14:textId="77777777" w:rsidR="001E62DF" w:rsidRPr="00D936CA" w:rsidRDefault="001E62DF" w:rsidP="00060B2E">
      <w:pPr>
        <w:pStyle w:val="IFTnormal"/>
        <w:ind w:left="-567" w:right="-142"/>
        <w:rPr>
          <w:rFonts w:cs="Arial"/>
          <w:b/>
          <w:lang w:val="es-ES" w:eastAsia="es-MX"/>
        </w:rPr>
      </w:pPr>
      <w:r w:rsidRPr="00D936CA">
        <w:rPr>
          <w:sz w:val="20"/>
        </w:rPr>
        <w:t>Nota: Si el CS solicitó el Servicio de Cableado Multipar de manera simultánea a la Coubicación, éste se entregará junto con la Coubicación.</w:t>
      </w:r>
    </w:p>
    <w:p w14:paraId="33CFF1BB" w14:textId="77777777" w:rsidR="001E62DF" w:rsidRPr="00D936CA" w:rsidRDefault="001E62DF"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b/>
          <w:sz w:val="22"/>
          <w:szCs w:val="22"/>
          <w:lang w:val="es-ES" w:eastAsia="es-MX"/>
        </w:rPr>
        <w:t>Procedimiento de adecuación de Coubicación</w:t>
      </w:r>
    </w:p>
    <w:p w14:paraId="33CFF1BC" w14:textId="47890323" w:rsidR="001E62DF" w:rsidRPr="00D936CA" w:rsidRDefault="001E62DF" w:rsidP="00060B2E">
      <w:pPr>
        <w:spacing w:after="200" w:line="276" w:lineRule="auto"/>
        <w:ind w:left="-567" w:right="-142"/>
        <w:jc w:val="both"/>
        <w:rPr>
          <w:rFonts w:ascii="ITC Avant Garde" w:hAnsi="ITC Avant Garde" w:cs="Arial"/>
          <w:sz w:val="22"/>
          <w:szCs w:val="22"/>
          <w:lang w:val="es-ES" w:eastAsia="es-MX"/>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modificación de alguna Coubicación existente;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modificar la Coubicación y la validación por parte de Telmex de que la solicitud cuenta con todos los elementos para la contratación del servicio; </w:t>
      </w:r>
      <w:r w:rsidRPr="00D936CA">
        <w:rPr>
          <w:rFonts w:ascii="ITC Avant Garde" w:hAnsi="ITC Avant Garde" w:cs="Arial"/>
          <w:b/>
          <w:sz w:val="22"/>
          <w:szCs w:val="22"/>
          <w:lang w:val="es-ES" w:eastAsia="es-MX"/>
        </w:rPr>
        <w:t>(ii)</w:t>
      </w:r>
      <w:r w:rsidRPr="00D936CA">
        <w:rPr>
          <w:rFonts w:ascii="ITC Avant Garde" w:hAnsi="ITC Avant Garde" w:cs="Arial"/>
          <w:sz w:val="22"/>
          <w:szCs w:val="22"/>
          <w:lang w:val="es-ES" w:eastAsia="es-MX"/>
        </w:rPr>
        <w:t xml:space="preserve"> </w:t>
      </w:r>
      <w:r w:rsidRPr="00D936CA">
        <w:rPr>
          <w:rFonts w:ascii="ITC Avant Garde" w:hAnsi="ITC Avant Garde" w:cs="Arial"/>
          <w:sz w:val="22"/>
          <w:szCs w:val="22"/>
        </w:rPr>
        <w:t xml:space="preserve">Análisis de Factibilidad Técnica a fin de que Telmex pueda verificar que cuenta con los elementos para brindar el servicio solicitado; y </w:t>
      </w:r>
      <w:r w:rsidRPr="00D936CA">
        <w:rPr>
          <w:rFonts w:ascii="ITC Avant Garde" w:hAnsi="ITC Avant Garde" w:cs="Arial"/>
          <w:b/>
          <w:sz w:val="22"/>
          <w:szCs w:val="22"/>
        </w:rPr>
        <w:t>(ii)</w:t>
      </w:r>
      <w:r w:rsidRPr="00D936CA">
        <w:rPr>
          <w:rFonts w:ascii="ITC Avant Garde" w:hAnsi="ITC Avant Garde" w:cs="Arial"/>
          <w:sz w:val="22"/>
          <w:szCs w:val="22"/>
        </w:rPr>
        <w:t xml:space="preserve"> Entrega de cotización e inicio de la modificación. </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1BF" w14:textId="77777777" w:rsidTr="00060B2E">
        <w:tc>
          <w:tcPr>
            <w:tcW w:w="1446" w:type="pct"/>
          </w:tcPr>
          <w:p w14:paraId="33CFF1BD" w14:textId="77777777" w:rsidR="001E62DF" w:rsidRPr="00D936CA" w:rsidRDefault="001E62DF" w:rsidP="00D936CA">
            <w:pPr>
              <w:pStyle w:val="IFTnormal"/>
              <w:jc w:val="center"/>
              <w:rPr>
                <w:b/>
                <w:sz w:val="20"/>
                <w:szCs w:val="20"/>
              </w:rPr>
            </w:pPr>
            <w:r w:rsidRPr="00D936CA">
              <w:rPr>
                <w:b/>
                <w:sz w:val="20"/>
                <w:szCs w:val="20"/>
              </w:rPr>
              <w:t>Etapa</w:t>
            </w:r>
          </w:p>
        </w:tc>
        <w:tc>
          <w:tcPr>
            <w:tcW w:w="3554" w:type="pct"/>
          </w:tcPr>
          <w:p w14:paraId="33CFF1BE" w14:textId="77777777" w:rsidR="001E62DF" w:rsidRPr="00D936CA" w:rsidRDefault="001E62DF" w:rsidP="00D936CA">
            <w:pPr>
              <w:pStyle w:val="IFTnormal"/>
              <w:jc w:val="center"/>
              <w:rPr>
                <w:b/>
                <w:sz w:val="20"/>
                <w:szCs w:val="20"/>
              </w:rPr>
            </w:pPr>
            <w:r w:rsidRPr="00D936CA">
              <w:rPr>
                <w:b/>
                <w:sz w:val="20"/>
                <w:szCs w:val="20"/>
              </w:rPr>
              <w:t>Descripción</w:t>
            </w:r>
          </w:p>
        </w:tc>
      </w:tr>
      <w:tr w:rsidR="00D936CA" w:rsidRPr="00D936CA" w14:paraId="33CFF1C4" w14:textId="77777777" w:rsidTr="00060B2E">
        <w:tc>
          <w:tcPr>
            <w:tcW w:w="1446" w:type="pct"/>
          </w:tcPr>
          <w:p w14:paraId="33CFF1C0" w14:textId="77777777" w:rsidR="001E62DF" w:rsidRPr="00D936CA" w:rsidRDefault="001E62DF" w:rsidP="00D936CA">
            <w:pPr>
              <w:pStyle w:val="IFTnormal"/>
              <w:jc w:val="left"/>
              <w:rPr>
                <w:b/>
                <w:sz w:val="20"/>
                <w:szCs w:val="20"/>
              </w:rPr>
            </w:pPr>
            <w:r w:rsidRPr="00D936CA">
              <w:rPr>
                <w:b/>
                <w:sz w:val="20"/>
                <w:szCs w:val="20"/>
              </w:rPr>
              <w:t>Envío de solicitud</w:t>
            </w:r>
          </w:p>
        </w:tc>
        <w:tc>
          <w:tcPr>
            <w:tcW w:w="3554" w:type="pct"/>
          </w:tcPr>
          <w:p w14:paraId="33CFF1C1" w14:textId="024BC1A4" w:rsidR="001E62DF" w:rsidRPr="00D936CA" w:rsidRDefault="001E62DF" w:rsidP="00D936CA">
            <w:pPr>
              <w:pStyle w:val="IFTnormal"/>
              <w:rPr>
                <w:sz w:val="20"/>
                <w:szCs w:val="20"/>
              </w:rPr>
            </w:pPr>
            <w:r w:rsidRPr="00D936CA">
              <w:rPr>
                <w:sz w:val="20"/>
                <w:szCs w:val="20"/>
              </w:rPr>
              <w:t>El CS deberá presentar sus solicitudes en el formato correspondiente a través del SEG, indicando:</w:t>
            </w:r>
          </w:p>
          <w:p w14:paraId="33CFF1C2" w14:textId="77777777" w:rsidR="001E62DF" w:rsidRPr="00D936CA" w:rsidRDefault="001E62DF" w:rsidP="00D936CA">
            <w:pPr>
              <w:pStyle w:val="IFTnormal"/>
              <w:numPr>
                <w:ilvl w:val="0"/>
                <w:numId w:val="117"/>
              </w:numPr>
              <w:rPr>
                <w:sz w:val="20"/>
                <w:szCs w:val="20"/>
              </w:rPr>
            </w:pPr>
            <w:r w:rsidRPr="00D936CA">
              <w:rPr>
                <w:sz w:val="20"/>
                <w:szCs w:val="20"/>
              </w:rPr>
              <w:t>NIS-Referencia del servicio en operación.</w:t>
            </w:r>
          </w:p>
          <w:p w14:paraId="33CFF1C3" w14:textId="77777777" w:rsidR="001E62DF" w:rsidRPr="00D936CA" w:rsidRDefault="001E62DF" w:rsidP="00D936CA">
            <w:pPr>
              <w:pStyle w:val="IFTnormal"/>
              <w:rPr>
                <w:sz w:val="20"/>
                <w:szCs w:val="20"/>
              </w:rPr>
            </w:pPr>
            <w:r w:rsidRPr="00D936CA">
              <w:rPr>
                <w:sz w:val="20"/>
                <w:szCs w:val="20"/>
              </w:rPr>
              <w:t>Una vez enviada se asignará de forma automática un número de folio a la solicitud del CS.</w:t>
            </w:r>
          </w:p>
        </w:tc>
      </w:tr>
      <w:tr w:rsidR="00D936CA" w:rsidRPr="00D936CA" w14:paraId="33CFF1C9" w14:textId="77777777" w:rsidTr="00060B2E">
        <w:tc>
          <w:tcPr>
            <w:tcW w:w="1446" w:type="pct"/>
          </w:tcPr>
          <w:p w14:paraId="33CFF1C5" w14:textId="77777777" w:rsidR="001E62DF" w:rsidRPr="00D936CA" w:rsidRDefault="001E62DF" w:rsidP="00D936CA">
            <w:pPr>
              <w:pStyle w:val="IFTnormal"/>
              <w:jc w:val="left"/>
              <w:rPr>
                <w:b/>
                <w:sz w:val="20"/>
                <w:szCs w:val="20"/>
              </w:rPr>
            </w:pPr>
            <w:r w:rsidRPr="00D936CA">
              <w:rPr>
                <w:b/>
                <w:sz w:val="20"/>
                <w:szCs w:val="20"/>
              </w:rPr>
              <w:t>Validación de solicitud</w:t>
            </w:r>
          </w:p>
        </w:tc>
        <w:tc>
          <w:tcPr>
            <w:tcW w:w="3554" w:type="pct"/>
          </w:tcPr>
          <w:p w14:paraId="33CFF1C6" w14:textId="77777777" w:rsidR="001E62DF" w:rsidRPr="00D936CA" w:rsidRDefault="001E62DF"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F1C7" w14:textId="77777777" w:rsidR="001E62DF" w:rsidRPr="00D936CA" w:rsidRDefault="001E62DF"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procede con el análisis de Factibilidad Técnica.</w:t>
            </w:r>
          </w:p>
          <w:p w14:paraId="33CFF1C8" w14:textId="77777777" w:rsidR="001E62DF" w:rsidRPr="00D936CA" w:rsidRDefault="001E62DF"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D936CA" w:rsidRPr="00D936CA" w14:paraId="33CFF1D1" w14:textId="77777777" w:rsidTr="00060B2E">
        <w:tc>
          <w:tcPr>
            <w:tcW w:w="1446" w:type="pct"/>
          </w:tcPr>
          <w:p w14:paraId="33CFF1CA" w14:textId="77777777" w:rsidR="001E62DF" w:rsidRPr="00D936CA" w:rsidRDefault="001E62DF" w:rsidP="00D936CA">
            <w:pPr>
              <w:pStyle w:val="IFTnormal"/>
              <w:jc w:val="left"/>
              <w:rPr>
                <w:b/>
                <w:sz w:val="20"/>
                <w:szCs w:val="20"/>
              </w:rPr>
            </w:pPr>
            <w:r w:rsidRPr="00D936CA">
              <w:rPr>
                <w:b/>
                <w:sz w:val="20"/>
                <w:szCs w:val="20"/>
              </w:rPr>
              <w:t>Factibilidad Técnica</w:t>
            </w:r>
          </w:p>
        </w:tc>
        <w:tc>
          <w:tcPr>
            <w:tcW w:w="3554" w:type="pct"/>
          </w:tcPr>
          <w:p w14:paraId="33CFF1CB" w14:textId="77777777" w:rsidR="001E62DF" w:rsidRPr="00D936CA" w:rsidRDefault="001E62DF" w:rsidP="00D936CA">
            <w:pPr>
              <w:pStyle w:val="IFTnormal"/>
              <w:rPr>
                <w:sz w:val="20"/>
                <w:szCs w:val="20"/>
              </w:rPr>
            </w:pPr>
            <w:r w:rsidRPr="00D936CA">
              <w:rPr>
                <w:sz w:val="20"/>
                <w:szCs w:val="20"/>
              </w:rPr>
              <w:t>Durante el análisis de Factibilidad Técnica se responderá al CS en un plazo máximo de 3 días hábiles:</w:t>
            </w:r>
          </w:p>
          <w:p w14:paraId="33CFF1CC" w14:textId="77777777" w:rsidR="001E62DF" w:rsidRPr="00D936CA" w:rsidRDefault="001E62DF" w:rsidP="00D936CA">
            <w:pPr>
              <w:pStyle w:val="IFTnormal"/>
              <w:numPr>
                <w:ilvl w:val="0"/>
                <w:numId w:val="116"/>
              </w:numPr>
              <w:rPr>
                <w:sz w:val="20"/>
                <w:szCs w:val="20"/>
              </w:rPr>
            </w:pPr>
            <w:r w:rsidRPr="00D936CA">
              <w:rPr>
                <w:b/>
                <w:sz w:val="20"/>
                <w:szCs w:val="20"/>
              </w:rPr>
              <w:t>Existe factibilidad técnica</w:t>
            </w:r>
          </w:p>
          <w:p w14:paraId="33CFF1CD" w14:textId="77777777" w:rsidR="001E62DF" w:rsidRPr="00D936CA" w:rsidRDefault="001E62DF" w:rsidP="00D936CA">
            <w:pPr>
              <w:pStyle w:val="IFTnormal"/>
              <w:numPr>
                <w:ilvl w:val="1"/>
                <w:numId w:val="116"/>
              </w:numPr>
              <w:rPr>
                <w:sz w:val="20"/>
                <w:szCs w:val="20"/>
              </w:rPr>
            </w:pPr>
            <w:r w:rsidRPr="00D936CA">
              <w:rPr>
                <w:sz w:val="20"/>
                <w:szCs w:val="20"/>
              </w:rPr>
              <w:t>Se realiza la cotización correspondiente</w:t>
            </w:r>
          </w:p>
          <w:p w14:paraId="33CFF1CE" w14:textId="77777777" w:rsidR="001E62DF" w:rsidRPr="00D936CA" w:rsidRDefault="001E62DF" w:rsidP="00D936CA">
            <w:pPr>
              <w:pStyle w:val="IFTnormal"/>
              <w:numPr>
                <w:ilvl w:val="1"/>
                <w:numId w:val="116"/>
              </w:numPr>
              <w:rPr>
                <w:sz w:val="20"/>
                <w:szCs w:val="20"/>
              </w:rPr>
            </w:pPr>
            <w:r w:rsidRPr="00D936CA">
              <w:rPr>
                <w:sz w:val="20"/>
                <w:szCs w:val="20"/>
              </w:rPr>
              <w:lastRenderedPageBreak/>
              <w:t>El CS contará con 5 días hábiles para realizar la aceptación de la cotización del servicio</w:t>
            </w:r>
            <w:r w:rsidRPr="00D936CA">
              <w:rPr>
                <w:rStyle w:val="Refdenotaalpie"/>
                <w:rFonts w:cs="Arial"/>
                <w:lang w:eastAsia="es-MX"/>
              </w:rPr>
              <w:footnoteReference w:id="59"/>
            </w:r>
            <w:r w:rsidRPr="00D936CA">
              <w:rPr>
                <w:rFonts w:cs="Arial"/>
                <w:lang w:val="es-ES" w:eastAsia="es-MX"/>
              </w:rPr>
              <w:t xml:space="preserve">. </w:t>
            </w:r>
            <w:r w:rsidRPr="00D936CA">
              <w:rPr>
                <w:sz w:val="20"/>
                <w:szCs w:val="20"/>
              </w:rPr>
              <w:t>Si no se acepta se entenderá que el CS rechazó el servicio.</w:t>
            </w:r>
          </w:p>
          <w:p w14:paraId="33CFF1CF" w14:textId="2F506016" w:rsidR="001E62DF" w:rsidRPr="00D936CA" w:rsidRDefault="001E62DF" w:rsidP="00D936CA">
            <w:pPr>
              <w:pStyle w:val="IFTnormal"/>
              <w:numPr>
                <w:ilvl w:val="0"/>
                <w:numId w:val="116"/>
              </w:numPr>
              <w:rPr>
                <w:sz w:val="20"/>
                <w:szCs w:val="20"/>
              </w:rPr>
            </w:pPr>
            <w:r w:rsidRPr="00D936CA">
              <w:rPr>
                <w:b/>
                <w:sz w:val="20"/>
                <w:szCs w:val="20"/>
              </w:rPr>
              <w:t>No existe factibilidad técnica</w:t>
            </w:r>
            <w:r w:rsidRPr="00D936CA">
              <w:rPr>
                <w:sz w:val="20"/>
                <w:szCs w:val="20"/>
              </w:rPr>
              <w:t>:</w:t>
            </w:r>
          </w:p>
          <w:p w14:paraId="33CFF1D0" w14:textId="6DAF9CA9" w:rsidR="001E62DF" w:rsidRPr="00D936CA" w:rsidRDefault="001E62DF" w:rsidP="00D936CA">
            <w:pPr>
              <w:pStyle w:val="IFTnormal"/>
              <w:numPr>
                <w:ilvl w:val="1"/>
                <w:numId w:val="116"/>
              </w:numPr>
              <w:rPr>
                <w:sz w:val="20"/>
                <w:szCs w:val="20"/>
              </w:rPr>
            </w:pPr>
            <w:r w:rsidRPr="00D936CA">
              <w:rPr>
                <w:sz w:val="20"/>
                <w:szCs w:val="20"/>
              </w:rPr>
              <w:t>Se entregará al CS en el SEG la justificación de los motivos descritos en el apartado 1.4 relativo a los recursos de red asociados a los servicios, así como las evidencias correspondientes, a solicitud del CS se iniciará el procedimiento de Trabajo Especial.</w:t>
            </w:r>
          </w:p>
        </w:tc>
      </w:tr>
      <w:tr w:rsidR="00D936CA" w:rsidRPr="00D936CA" w14:paraId="33CFF1D5" w14:textId="77777777" w:rsidTr="00060B2E">
        <w:tc>
          <w:tcPr>
            <w:tcW w:w="1446" w:type="pct"/>
          </w:tcPr>
          <w:p w14:paraId="33CFF1D2" w14:textId="77777777" w:rsidR="001E62DF" w:rsidRPr="00D936CA" w:rsidRDefault="001E62DF" w:rsidP="00D936CA">
            <w:pPr>
              <w:pStyle w:val="IFTnormal"/>
              <w:jc w:val="left"/>
              <w:rPr>
                <w:b/>
                <w:sz w:val="20"/>
                <w:szCs w:val="20"/>
              </w:rPr>
            </w:pPr>
            <w:r w:rsidRPr="00D936CA">
              <w:rPr>
                <w:b/>
                <w:sz w:val="20"/>
                <w:szCs w:val="20"/>
              </w:rPr>
              <w:lastRenderedPageBreak/>
              <w:t>Habilitación y aprovisionamiento del Servicio</w:t>
            </w:r>
          </w:p>
        </w:tc>
        <w:tc>
          <w:tcPr>
            <w:tcW w:w="3554" w:type="pct"/>
          </w:tcPr>
          <w:p w14:paraId="33CFF1D3" w14:textId="77777777" w:rsidR="001E62DF" w:rsidRPr="00D936CA" w:rsidRDefault="001E62DF" w:rsidP="00D936CA">
            <w:pPr>
              <w:pStyle w:val="IFTnormal"/>
              <w:rPr>
                <w:sz w:val="20"/>
                <w:szCs w:val="20"/>
              </w:rPr>
            </w:pPr>
            <w:r w:rsidRPr="00D936CA">
              <w:rPr>
                <w:sz w:val="20"/>
                <w:szCs w:val="20"/>
              </w:rPr>
              <w:t xml:space="preserve">Una vez aceptada la cotización por parte del CS, se </w:t>
            </w:r>
            <w:r w:rsidRPr="00D936CA">
              <w:rPr>
                <w:rFonts w:cs="Arial"/>
                <w:sz w:val="20"/>
                <w:szCs w:val="20"/>
              </w:rPr>
              <w:t>realizará la modificación en un plazo máximo de 30 días hábiles</w:t>
            </w:r>
            <w:r w:rsidRPr="00D936CA">
              <w:rPr>
                <w:rStyle w:val="Refdenotaalpie"/>
                <w:rFonts w:cs="Arial"/>
                <w:lang w:val="es-ES" w:eastAsia="es-MX"/>
              </w:rPr>
              <w:footnoteReference w:id="60"/>
            </w:r>
            <w:r w:rsidRPr="00D936CA">
              <w:rPr>
                <w:rFonts w:cs="Arial"/>
                <w:sz w:val="20"/>
                <w:szCs w:val="20"/>
              </w:rPr>
              <w:t>.</w:t>
            </w:r>
            <w:r w:rsidRPr="00D936CA">
              <w:rPr>
                <w:sz w:val="20"/>
                <w:szCs w:val="20"/>
              </w:rPr>
              <w:t xml:space="preserve"> </w:t>
            </w:r>
          </w:p>
          <w:p w14:paraId="33CFF1D4" w14:textId="77777777" w:rsidR="001E62DF" w:rsidRPr="00D936CA" w:rsidRDefault="001E62DF" w:rsidP="00D936CA">
            <w:pPr>
              <w:pStyle w:val="IFTnormal"/>
              <w:rPr>
                <w:rFonts w:cs="Arial"/>
                <w:lang w:val="es-ES" w:eastAsia="es-MX"/>
              </w:rPr>
            </w:pPr>
            <w:r w:rsidRPr="00D936CA">
              <w:rPr>
                <w:sz w:val="20"/>
                <w:szCs w:val="20"/>
              </w:rPr>
              <w:t>Una vez realizadas las modificaciones se le notificará al CS que la Coubicación está lista para ser ocupada.</w:t>
            </w:r>
          </w:p>
        </w:tc>
      </w:tr>
      <w:tr w:rsidR="001E62DF" w:rsidRPr="00D936CA" w14:paraId="33CFF1DA" w14:textId="77777777" w:rsidTr="00060B2E">
        <w:tc>
          <w:tcPr>
            <w:tcW w:w="1446" w:type="pct"/>
          </w:tcPr>
          <w:p w14:paraId="33CFF1D6" w14:textId="77777777" w:rsidR="001E62DF" w:rsidRPr="00D936CA" w:rsidRDefault="001E62DF" w:rsidP="00D936CA">
            <w:pPr>
              <w:pStyle w:val="IFTnormal"/>
              <w:jc w:val="left"/>
              <w:rPr>
                <w:b/>
                <w:sz w:val="20"/>
                <w:szCs w:val="20"/>
              </w:rPr>
            </w:pPr>
            <w:r w:rsidRPr="00D936CA">
              <w:rPr>
                <w:b/>
                <w:sz w:val="20"/>
                <w:szCs w:val="20"/>
              </w:rPr>
              <w:t>Facturación</w:t>
            </w:r>
          </w:p>
        </w:tc>
        <w:tc>
          <w:tcPr>
            <w:tcW w:w="3554" w:type="pct"/>
          </w:tcPr>
          <w:p w14:paraId="33CFF1D7" w14:textId="77777777" w:rsidR="001E62DF" w:rsidRPr="00D936CA" w:rsidRDefault="001E62DF" w:rsidP="00D936CA">
            <w:pPr>
              <w:pStyle w:val="IFTnormal"/>
              <w:rPr>
                <w:sz w:val="20"/>
                <w:szCs w:val="20"/>
              </w:rPr>
            </w:pPr>
            <w:r w:rsidRPr="00D936CA">
              <w:rPr>
                <w:sz w:val="20"/>
                <w:szCs w:val="20"/>
              </w:rPr>
              <w:t>Al corte del mes se realizará la facturación aplicable al servicio:</w:t>
            </w:r>
          </w:p>
          <w:p w14:paraId="33CFF1D8" w14:textId="77777777" w:rsidR="001E62DF" w:rsidRPr="00D936CA" w:rsidRDefault="001E62DF" w:rsidP="00D936CA">
            <w:pPr>
              <w:pStyle w:val="IFTnormal"/>
              <w:numPr>
                <w:ilvl w:val="0"/>
                <w:numId w:val="102"/>
              </w:numPr>
              <w:ind w:left="318" w:hanging="284"/>
              <w:rPr>
                <w:sz w:val="20"/>
                <w:szCs w:val="20"/>
              </w:rPr>
            </w:pPr>
            <w:r w:rsidRPr="00D936CA">
              <w:rPr>
                <w:sz w:val="20"/>
                <w:szCs w:val="20"/>
              </w:rPr>
              <w:t>Se incluirán los gastos de instalación y la renta mensual correspondiente.</w:t>
            </w:r>
          </w:p>
          <w:p w14:paraId="33CFF1D9" w14:textId="77777777" w:rsidR="001E62DF" w:rsidRPr="00D936CA" w:rsidRDefault="001E62DF" w:rsidP="00D936CA">
            <w:pPr>
              <w:pStyle w:val="IFTnormal"/>
              <w:numPr>
                <w:ilvl w:val="0"/>
                <w:numId w:val="102"/>
              </w:numPr>
              <w:ind w:left="318" w:hanging="284"/>
              <w:rPr>
                <w:sz w:val="20"/>
                <w:szCs w:val="20"/>
              </w:rPr>
            </w:pPr>
            <w:r w:rsidRPr="00D936CA">
              <w:rPr>
                <w:sz w:val="20"/>
                <w:szCs w:val="20"/>
              </w:rPr>
              <w:t>El CS contará con la posibilidad de solicitar ajustes o aclaraciones respecto a los conceptos y servicios incluidos en su factura.</w:t>
            </w:r>
          </w:p>
        </w:tc>
      </w:tr>
    </w:tbl>
    <w:p w14:paraId="33CFF1DB" w14:textId="77777777" w:rsidR="008070FB" w:rsidRPr="00D936CA" w:rsidRDefault="008070FB" w:rsidP="00060B2E">
      <w:pPr>
        <w:spacing w:after="200" w:line="276" w:lineRule="auto"/>
        <w:ind w:left="-567" w:right="-142"/>
        <w:jc w:val="both"/>
        <w:rPr>
          <w:rFonts w:ascii="ITC Avant Garde" w:hAnsi="ITC Avant Garde" w:cs="Arial"/>
          <w:sz w:val="22"/>
          <w:szCs w:val="22"/>
          <w:lang w:val="es-ES" w:eastAsia="es-MX"/>
        </w:rPr>
      </w:pPr>
    </w:p>
    <w:p w14:paraId="33CFF1DC" w14:textId="3B24F1EA" w:rsidR="008070FB" w:rsidRPr="00D936CA" w:rsidRDefault="008070FB" w:rsidP="00060B2E">
      <w:pPr>
        <w:autoSpaceDE w:val="0"/>
        <w:autoSpaceDN w:val="0"/>
        <w:adjustRightInd w:val="0"/>
        <w:spacing w:after="200" w:line="276" w:lineRule="auto"/>
        <w:ind w:left="-567" w:right="-142"/>
        <w:jc w:val="both"/>
        <w:rPr>
          <w:rFonts w:ascii="ITC Avant Garde" w:hAnsi="ITC Avant Garde"/>
          <w:sz w:val="22"/>
          <w:szCs w:val="22"/>
        </w:rPr>
      </w:pPr>
      <w:r w:rsidRPr="00D936CA">
        <w:rPr>
          <w:rFonts w:ascii="ITC Avant Garde" w:hAnsi="ITC Avant Garde"/>
          <w:sz w:val="22"/>
          <w:szCs w:val="22"/>
          <w:lang w:val="es-ES"/>
        </w:rPr>
        <w:t>Debido a que la ejecución de los trabajos de adecuación se realiza en condiciones de operación por parte de la infraestructura de equipo del CS, se debe acordar con el CS la ventana de mantenimiento correspondiente para evitar cualquier tipo de afectación, esto se realizara a través del SEG.</w:t>
      </w:r>
    </w:p>
    <w:p w14:paraId="33CFF1DD" w14:textId="77777777" w:rsidR="008070FB" w:rsidRPr="00D936CA" w:rsidRDefault="008070FB" w:rsidP="00060B2E">
      <w:pPr>
        <w:spacing w:after="200" w:line="276" w:lineRule="auto"/>
        <w:ind w:left="-567" w:right="-142"/>
        <w:jc w:val="both"/>
        <w:rPr>
          <w:rFonts w:ascii="ITC Avant Garde" w:hAnsi="ITC Avant Garde" w:cs="Arial"/>
          <w:b/>
          <w:sz w:val="22"/>
          <w:szCs w:val="22"/>
        </w:rPr>
      </w:pPr>
      <w:r w:rsidRPr="00D936CA">
        <w:rPr>
          <w:rFonts w:ascii="ITC Avant Garde" w:hAnsi="ITC Avant Garde" w:cs="Arial"/>
          <w:b/>
          <w:sz w:val="22"/>
          <w:szCs w:val="22"/>
        </w:rPr>
        <w:t>Baja del servicio</w:t>
      </w:r>
    </w:p>
    <w:p w14:paraId="33CFF1DE" w14:textId="77777777" w:rsidR="008070FB" w:rsidRPr="00D936CA" w:rsidRDefault="008070FB" w:rsidP="00060B2E">
      <w:pPr>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realizar la baja de los servicios de Coubicación; las fases en que se divide este procedimiento son: </w:t>
      </w:r>
      <w:r w:rsidRPr="00D936CA">
        <w:rPr>
          <w:rFonts w:ascii="ITC Avant Garde" w:hAnsi="ITC Avant Garde" w:cs="Arial"/>
          <w:b/>
          <w:sz w:val="22"/>
          <w:szCs w:val="22"/>
          <w:lang w:val="es-ES" w:eastAsia="es-MX"/>
        </w:rPr>
        <w:t>(i)</w:t>
      </w:r>
      <w:r w:rsidRPr="00D936CA">
        <w:rPr>
          <w:rFonts w:ascii="ITC Avant Garde" w:hAnsi="ITC Avant Garde" w:cs="Arial"/>
          <w:sz w:val="22"/>
          <w:szCs w:val="22"/>
          <w:lang w:val="es-ES" w:eastAsia="es-MX"/>
        </w:rPr>
        <w:t xml:space="preserve"> Entrega y validación de la solicitud para que el CS manifieste su intención de dar de baja los servicios, y la validación por parte de Telmex de que la solicitud cuenta con todos los elementos; </w:t>
      </w:r>
      <w:r w:rsidRPr="00D936CA">
        <w:rPr>
          <w:rFonts w:ascii="ITC Avant Garde" w:hAnsi="ITC Avant Garde" w:cs="Arial"/>
          <w:sz w:val="22"/>
          <w:szCs w:val="22"/>
        </w:rPr>
        <w:t xml:space="preserve">y </w:t>
      </w:r>
      <w:r w:rsidRPr="00D936CA">
        <w:rPr>
          <w:rFonts w:ascii="ITC Avant Garde" w:hAnsi="ITC Avant Garde" w:cs="Arial"/>
          <w:b/>
          <w:sz w:val="22"/>
          <w:szCs w:val="22"/>
        </w:rPr>
        <w:t>(ii)</w:t>
      </w:r>
      <w:r w:rsidRPr="00D936CA">
        <w:rPr>
          <w:rFonts w:ascii="ITC Avant Garde" w:hAnsi="ITC Avant Garde" w:cs="Arial"/>
          <w:sz w:val="22"/>
          <w:szCs w:val="22"/>
        </w:rPr>
        <w:t xml:space="preserve"> Baja del (los) servicio (s) y de la facturación correspondiente.</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1E1" w14:textId="77777777" w:rsidTr="00060B2E">
        <w:tc>
          <w:tcPr>
            <w:tcW w:w="1446" w:type="pct"/>
          </w:tcPr>
          <w:p w14:paraId="33CFF1DF" w14:textId="77777777" w:rsidR="001E62DF" w:rsidRPr="00D936CA" w:rsidRDefault="001E62DF" w:rsidP="00D936CA">
            <w:pPr>
              <w:pStyle w:val="IFTnormal"/>
              <w:jc w:val="center"/>
              <w:rPr>
                <w:b/>
                <w:sz w:val="20"/>
                <w:szCs w:val="20"/>
              </w:rPr>
            </w:pPr>
            <w:r w:rsidRPr="00D936CA">
              <w:rPr>
                <w:b/>
                <w:sz w:val="20"/>
                <w:szCs w:val="20"/>
              </w:rPr>
              <w:lastRenderedPageBreak/>
              <w:t>Etapa</w:t>
            </w:r>
          </w:p>
        </w:tc>
        <w:tc>
          <w:tcPr>
            <w:tcW w:w="3554" w:type="pct"/>
          </w:tcPr>
          <w:p w14:paraId="33CFF1E0" w14:textId="77777777" w:rsidR="001E62DF" w:rsidRPr="00D936CA" w:rsidRDefault="001E62DF" w:rsidP="00D936CA">
            <w:pPr>
              <w:pStyle w:val="IFTnormal"/>
              <w:jc w:val="center"/>
              <w:rPr>
                <w:b/>
                <w:sz w:val="20"/>
                <w:szCs w:val="20"/>
              </w:rPr>
            </w:pPr>
            <w:r w:rsidRPr="00D936CA">
              <w:rPr>
                <w:b/>
                <w:sz w:val="20"/>
                <w:szCs w:val="20"/>
              </w:rPr>
              <w:t>Descripción</w:t>
            </w:r>
          </w:p>
        </w:tc>
      </w:tr>
      <w:tr w:rsidR="00D936CA" w:rsidRPr="00D936CA" w14:paraId="33CFF1E4" w14:textId="77777777" w:rsidTr="00060B2E">
        <w:tc>
          <w:tcPr>
            <w:tcW w:w="1446" w:type="pct"/>
          </w:tcPr>
          <w:p w14:paraId="33CFF1E2" w14:textId="77777777" w:rsidR="001E62DF" w:rsidRPr="00D936CA" w:rsidRDefault="001E62DF" w:rsidP="00D936CA">
            <w:pPr>
              <w:pStyle w:val="IFTnormal"/>
              <w:jc w:val="left"/>
              <w:rPr>
                <w:b/>
                <w:sz w:val="20"/>
                <w:szCs w:val="20"/>
              </w:rPr>
            </w:pPr>
            <w:r w:rsidRPr="00D936CA">
              <w:rPr>
                <w:b/>
                <w:sz w:val="20"/>
                <w:szCs w:val="20"/>
              </w:rPr>
              <w:t>Envío de solicitud</w:t>
            </w:r>
          </w:p>
        </w:tc>
        <w:tc>
          <w:tcPr>
            <w:tcW w:w="3554" w:type="pct"/>
          </w:tcPr>
          <w:p w14:paraId="33CFF1E3" w14:textId="20F90F86" w:rsidR="001E62DF" w:rsidRPr="00D936CA" w:rsidRDefault="001E62DF" w:rsidP="00D936CA">
            <w:pPr>
              <w:pStyle w:val="IFTnormal"/>
              <w:rPr>
                <w:sz w:val="20"/>
                <w:szCs w:val="20"/>
              </w:rPr>
            </w:pPr>
            <w:r w:rsidRPr="00D936CA">
              <w:rPr>
                <w:sz w:val="20"/>
                <w:szCs w:val="20"/>
              </w:rPr>
              <w:t>El CS deberá presentar sus solicitudes en el formato correspondiente a través del SEG, indicando el NIS-Referencia del servicio en operación.</w:t>
            </w:r>
          </w:p>
        </w:tc>
      </w:tr>
      <w:tr w:rsidR="00D936CA" w:rsidRPr="00D936CA" w14:paraId="33CFF1E9" w14:textId="77777777" w:rsidTr="00060B2E">
        <w:tc>
          <w:tcPr>
            <w:tcW w:w="1446" w:type="pct"/>
          </w:tcPr>
          <w:p w14:paraId="33CFF1E5" w14:textId="77777777" w:rsidR="001E62DF" w:rsidRPr="00D936CA" w:rsidRDefault="001E62DF" w:rsidP="00D936CA">
            <w:pPr>
              <w:pStyle w:val="IFTnormal"/>
              <w:jc w:val="left"/>
              <w:rPr>
                <w:b/>
                <w:sz w:val="20"/>
                <w:szCs w:val="20"/>
              </w:rPr>
            </w:pPr>
            <w:r w:rsidRPr="00D936CA">
              <w:rPr>
                <w:b/>
                <w:sz w:val="20"/>
                <w:szCs w:val="20"/>
              </w:rPr>
              <w:t>Validación de solicitud</w:t>
            </w:r>
          </w:p>
        </w:tc>
        <w:tc>
          <w:tcPr>
            <w:tcW w:w="3554" w:type="pct"/>
          </w:tcPr>
          <w:p w14:paraId="33CFF1E6" w14:textId="77777777" w:rsidR="001E62DF" w:rsidRPr="00D936CA" w:rsidRDefault="001E62DF" w:rsidP="00D936CA">
            <w:pPr>
              <w:pStyle w:val="IFTnormal"/>
              <w:rPr>
                <w:sz w:val="20"/>
                <w:szCs w:val="20"/>
              </w:rPr>
            </w:pPr>
            <w:r w:rsidRPr="00D936CA">
              <w:rPr>
                <w:sz w:val="20"/>
                <w:szCs w:val="20"/>
              </w:rPr>
              <w:t>Durante el proceso de validación, Telmex evaluará las solicitudes enviadas por los CS en un plazo máximo de 1 día hábil para determinar si:</w:t>
            </w:r>
          </w:p>
          <w:p w14:paraId="33CFF1E7" w14:textId="77777777" w:rsidR="001E62DF" w:rsidRPr="00D936CA" w:rsidRDefault="001E62DF" w:rsidP="00D936CA">
            <w:pPr>
              <w:pStyle w:val="IFTnormal"/>
              <w:numPr>
                <w:ilvl w:val="0"/>
                <w:numId w:val="102"/>
              </w:numPr>
              <w:ind w:left="318" w:hanging="318"/>
              <w:rPr>
                <w:sz w:val="20"/>
                <w:szCs w:val="20"/>
              </w:rPr>
            </w:pPr>
            <w:r w:rsidRPr="00D936CA">
              <w:rPr>
                <w:b/>
                <w:sz w:val="20"/>
                <w:szCs w:val="20"/>
              </w:rPr>
              <w:t>Si la solicitud es correcta</w:t>
            </w:r>
            <w:r w:rsidRPr="00D936CA">
              <w:rPr>
                <w:sz w:val="20"/>
                <w:szCs w:val="20"/>
              </w:rPr>
              <w:t>, se dará seguimiento con un Número de Identificación de Solicitud (NIS)</w:t>
            </w:r>
          </w:p>
          <w:p w14:paraId="33CFF1E8" w14:textId="77777777" w:rsidR="001E62DF" w:rsidRPr="00D936CA" w:rsidRDefault="001E62DF" w:rsidP="00D936CA">
            <w:pPr>
              <w:pStyle w:val="IFTnormal"/>
              <w:numPr>
                <w:ilvl w:val="0"/>
                <w:numId w:val="102"/>
              </w:numPr>
              <w:ind w:left="318" w:hanging="318"/>
              <w:rPr>
                <w:sz w:val="20"/>
                <w:szCs w:val="20"/>
              </w:rPr>
            </w:pPr>
            <w:r w:rsidRPr="00D936CA">
              <w:rPr>
                <w:b/>
                <w:sz w:val="20"/>
                <w:szCs w:val="20"/>
              </w:rPr>
              <w:t>Si es incorrecta</w:t>
            </w:r>
            <w:r w:rsidRPr="00D936CA">
              <w:rPr>
                <w:sz w:val="20"/>
                <w:szCs w:val="20"/>
              </w:rPr>
              <w:t>, Telmex devolverá la solicitud al CS indicando el motivo de rechazo, para que sea corregida y reenviada nuevamente a validación.</w:t>
            </w:r>
          </w:p>
        </w:tc>
      </w:tr>
      <w:tr w:rsidR="001E62DF" w:rsidRPr="00D936CA" w14:paraId="33CFF1EF" w14:textId="77777777" w:rsidTr="00060B2E">
        <w:tc>
          <w:tcPr>
            <w:tcW w:w="1446" w:type="pct"/>
          </w:tcPr>
          <w:p w14:paraId="33CFF1EA" w14:textId="77777777" w:rsidR="001E62DF" w:rsidRPr="00D936CA" w:rsidRDefault="001E62DF" w:rsidP="00D936CA">
            <w:pPr>
              <w:pStyle w:val="IFTnormal"/>
              <w:jc w:val="left"/>
              <w:rPr>
                <w:b/>
                <w:sz w:val="20"/>
                <w:szCs w:val="20"/>
              </w:rPr>
            </w:pPr>
            <w:r w:rsidRPr="00D936CA">
              <w:rPr>
                <w:b/>
                <w:sz w:val="20"/>
                <w:szCs w:val="20"/>
              </w:rPr>
              <w:t>Baja de servicio</w:t>
            </w:r>
          </w:p>
        </w:tc>
        <w:tc>
          <w:tcPr>
            <w:tcW w:w="3554" w:type="pct"/>
          </w:tcPr>
          <w:p w14:paraId="33CFF1EB" w14:textId="77777777" w:rsidR="001E62DF" w:rsidRPr="00D936CA" w:rsidRDefault="001E62DF" w:rsidP="00D936CA">
            <w:pPr>
              <w:pStyle w:val="IFTnormal"/>
              <w:rPr>
                <w:sz w:val="20"/>
                <w:szCs w:val="20"/>
              </w:rPr>
            </w:pPr>
            <w:r w:rsidRPr="00D936CA">
              <w:rPr>
                <w:sz w:val="20"/>
                <w:szCs w:val="20"/>
              </w:rPr>
              <w:t>Una vez asignado el NIS el CS deberá retirar sus equipos en un plazo máximo de 5 días hábiles. Retirados los equipos Telmex verificará que no existan afectaciones:</w:t>
            </w:r>
          </w:p>
          <w:p w14:paraId="33CFF1EC" w14:textId="7BB99C30" w:rsidR="001E62DF" w:rsidRPr="00D936CA" w:rsidRDefault="001E62DF" w:rsidP="00D936CA">
            <w:pPr>
              <w:pStyle w:val="IFTnormal"/>
              <w:numPr>
                <w:ilvl w:val="0"/>
                <w:numId w:val="118"/>
              </w:numPr>
              <w:rPr>
                <w:sz w:val="20"/>
                <w:szCs w:val="20"/>
              </w:rPr>
            </w:pPr>
            <w:r w:rsidRPr="00D936CA">
              <w:rPr>
                <w:sz w:val="20"/>
                <w:szCs w:val="20"/>
              </w:rPr>
              <w:t>De no existir afectaciones, se finalizará la baja el servicio correspondiente, se cerrará el NIS en el SEG</w:t>
            </w:r>
            <w:r w:rsidR="009A5FF5">
              <w:rPr>
                <w:sz w:val="20"/>
                <w:szCs w:val="20"/>
              </w:rPr>
              <w:t>.</w:t>
            </w:r>
          </w:p>
          <w:p w14:paraId="33CFF1ED" w14:textId="08E8745B" w:rsidR="001E62DF" w:rsidRPr="00D936CA" w:rsidRDefault="001E62DF" w:rsidP="00D936CA">
            <w:pPr>
              <w:numPr>
                <w:ilvl w:val="0"/>
                <w:numId w:val="118"/>
              </w:numPr>
              <w:spacing w:after="200" w:line="276" w:lineRule="auto"/>
              <w:jc w:val="both"/>
              <w:rPr>
                <w:rFonts w:ascii="ITC Avant Garde" w:eastAsia="Calibri" w:hAnsi="ITC Avant Garde" w:cs="Calibri"/>
                <w:bCs/>
                <w:sz w:val="20"/>
                <w:szCs w:val="20"/>
                <w:lang w:val="es-MX" w:eastAsia="en-US"/>
              </w:rPr>
            </w:pPr>
            <w:r w:rsidRPr="00D936CA">
              <w:rPr>
                <w:rFonts w:ascii="ITC Avant Garde" w:eastAsia="Calibri" w:hAnsi="ITC Avant Garde" w:cs="Calibri"/>
                <w:bCs/>
                <w:sz w:val="20"/>
                <w:szCs w:val="20"/>
                <w:lang w:val="es-MX" w:eastAsia="en-US"/>
              </w:rPr>
              <w:t xml:space="preserve">En caso de existir afectaciones, el CS deberá resarcir los daños. Una vez realizado lo anterior, se finalizará la baja el servicio correspondiente, se cerrará el NIS en el </w:t>
            </w:r>
            <w:r w:rsidR="002351BB" w:rsidRPr="00D936CA">
              <w:rPr>
                <w:rFonts w:ascii="ITC Avant Garde" w:eastAsia="Calibri" w:hAnsi="ITC Avant Garde" w:cs="Calibri"/>
                <w:bCs/>
                <w:sz w:val="20"/>
                <w:szCs w:val="20"/>
                <w:lang w:val="es-MX" w:eastAsia="en-US"/>
              </w:rPr>
              <w:t>SEG.</w:t>
            </w:r>
          </w:p>
          <w:p w14:paraId="33CFF1EE" w14:textId="77777777" w:rsidR="001E62DF" w:rsidRPr="00D936CA" w:rsidRDefault="001E62DF" w:rsidP="00D936CA">
            <w:pPr>
              <w:spacing w:after="200" w:line="276" w:lineRule="auto"/>
              <w:jc w:val="both"/>
              <w:rPr>
                <w:rFonts w:ascii="ITC Avant Garde" w:eastAsia="Calibri" w:hAnsi="ITC Avant Garde" w:cs="Calibri"/>
                <w:bCs/>
                <w:sz w:val="20"/>
                <w:szCs w:val="20"/>
                <w:lang w:val="es-MX" w:eastAsia="en-US"/>
              </w:rPr>
            </w:pPr>
            <w:r w:rsidRPr="00D936CA">
              <w:rPr>
                <w:rFonts w:ascii="ITC Avant Garde" w:eastAsia="Calibri" w:hAnsi="ITC Avant Garde" w:cs="Calibri"/>
                <w:bCs/>
                <w:sz w:val="20"/>
                <w:szCs w:val="20"/>
                <w:lang w:val="es-MX" w:eastAsia="en-US"/>
              </w:rPr>
              <w:t>En un plazo máximo de 2 días hábiles Telmex detendrá la facturación.</w:t>
            </w:r>
          </w:p>
        </w:tc>
      </w:tr>
    </w:tbl>
    <w:p w14:paraId="33CFF1F0" w14:textId="77777777" w:rsidR="001E62DF" w:rsidRPr="00D936CA" w:rsidRDefault="001E62DF" w:rsidP="00D936CA">
      <w:pPr>
        <w:spacing w:after="200" w:line="276" w:lineRule="auto"/>
        <w:jc w:val="both"/>
        <w:rPr>
          <w:rFonts w:ascii="ITC Avant Garde" w:hAnsi="ITC Avant Garde" w:cs="Arial"/>
          <w:sz w:val="22"/>
          <w:szCs w:val="22"/>
          <w:lang w:val="es-ES" w:eastAsia="es-MX"/>
        </w:rPr>
      </w:pPr>
    </w:p>
    <w:p w14:paraId="33CFF1F2" w14:textId="28E51686" w:rsidR="001E62DF" w:rsidRPr="00D936CA" w:rsidRDefault="001E62DF" w:rsidP="00A467F4">
      <w:pPr>
        <w:spacing w:after="200" w:line="276" w:lineRule="auto"/>
        <w:jc w:val="both"/>
        <w:rPr>
          <w:rFonts w:ascii="ITC Avant Garde" w:hAnsi="ITC Avant Garde" w:cs="Arial"/>
          <w:sz w:val="22"/>
          <w:szCs w:val="22"/>
          <w:lang w:val="es-MX" w:eastAsia="es-MX"/>
        </w:rPr>
      </w:pPr>
      <w:r w:rsidRPr="00D936CA">
        <w:rPr>
          <w:rFonts w:ascii="ITC Avant Garde" w:hAnsi="ITC Avant Garde" w:cs="Arial"/>
          <w:sz w:val="22"/>
          <w:szCs w:val="22"/>
          <w:lang w:val="es-MX" w:eastAsia="es-MX"/>
        </w:rPr>
        <w:t>Nota:</w:t>
      </w:r>
      <w:r w:rsidR="00A467F4">
        <w:rPr>
          <w:rFonts w:ascii="ITC Avant Garde" w:hAnsi="ITC Avant Garde" w:cs="Arial"/>
          <w:sz w:val="22"/>
          <w:szCs w:val="22"/>
          <w:lang w:val="es-MX" w:eastAsia="es-MX"/>
        </w:rPr>
        <w:t xml:space="preserve"> </w:t>
      </w:r>
      <w:r w:rsidRPr="00D936CA">
        <w:rPr>
          <w:rFonts w:ascii="ITC Avant Garde" w:hAnsi="ITC Avant Garde" w:cs="Arial"/>
          <w:sz w:val="22"/>
          <w:szCs w:val="22"/>
          <w:lang w:val="es-MX" w:eastAsia="es-MX"/>
        </w:rPr>
        <w:t xml:space="preserve">El CS deberá tomar en cuenta que no existe el esquema de rentas parciales sino sólo de rentas mensuales, por lo que no será posible realizar cobros parciales de los servicios. </w:t>
      </w:r>
    </w:p>
    <w:p w14:paraId="33CFF1F3" w14:textId="77777777" w:rsidR="001E62DF" w:rsidRPr="00D936CA" w:rsidRDefault="001E62DF"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para accesos a Coubicación por falla.</w:t>
      </w:r>
    </w:p>
    <w:p w14:paraId="33CFF1F4" w14:textId="77777777" w:rsidR="001E62DF" w:rsidRPr="00D936CA" w:rsidRDefault="001E62DF" w:rsidP="00060B2E">
      <w:pPr>
        <w:spacing w:after="200" w:line="276" w:lineRule="auto"/>
        <w:ind w:left="-567" w:right="-142"/>
        <w:jc w:val="both"/>
        <w:rPr>
          <w:rFonts w:ascii="ITC Avant Garde" w:hAnsi="ITC Avant Garde" w:cs="Arial"/>
          <w:sz w:val="22"/>
          <w:szCs w:val="22"/>
          <w:lang w:val="es-ES" w:eastAsia="es-MX"/>
        </w:rPr>
      </w:pPr>
      <w:r w:rsidRPr="00D936CA">
        <w:rPr>
          <w:rFonts w:ascii="ITC Avant Garde" w:hAnsi="ITC Avant Garde" w:cs="Arial"/>
          <w:sz w:val="22"/>
          <w:szCs w:val="22"/>
          <w:lang w:val="es-ES" w:eastAsia="es-MX"/>
        </w:rPr>
        <w:t xml:space="preserve">El objetivo y alcance de este procedimiento es definir los pasos y actividades a desarrollar por parte de Telmex y del CS, a fin de tramitar el acceso a sus Coubicaciones derivado de una falla en los servicios; las fases en que se divide este procedimiento son: (i) Entrega de la solicitud; </w:t>
      </w:r>
      <w:r w:rsidRPr="00D936CA">
        <w:rPr>
          <w:rFonts w:ascii="ITC Avant Garde" w:hAnsi="ITC Avant Garde" w:cs="Arial"/>
          <w:sz w:val="22"/>
          <w:szCs w:val="22"/>
        </w:rPr>
        <w:t>y (ii) Asignación del pase de acceso a la Coubicación.</w:t>
      </w:r>
    </w:p>
    <w:p w14:paraId="33CFF1F5" w14:textId="62BC25E6" w:rsidR="001E62DF" w:rsidRPr="00D936CA" w:rsidRDefault="001E62DF" w:rsidP="00D936CA">
      <w:pPr>
        <w:pStyle w:val="Prrafodelista"/>
        <w:numPr>
          <w:ilvl w:val="0"/>
          <w:numId w:val="31"/>
        </w:numPr>
        <w:autoSpaceDE w:val="0"/>
        <w:autoSpaceDN w:val="0"/>
        <w:adjustRightInd w:val="0"/>
        <w:spacing w:after="200" w:line="276" w:lineRule="auto"/>
        <w:jc w:val="both"/>
        <w:rPr>
          <w:rFonts w:ascii="ITC Avant Garde" w:hAnsi="ITC Avant Garde" w:cs="Arial"/>
          <w:sz w:val="22"/>
          <w:szCs w:val="22"/>
          <w:lang w:val="es-ES" w:eastAsia="es-MX"/>
        </w:rPr>
      </w:pPr>
      <w:r w:rsidRPr="00D936CA">
        <w:rPr>
          <w:rFonts w:ascii="ITC Avant Garde" w:hAnsi="ITC Avant Garde" w:cs="Arial"/>
          <w:sz w:val="22"/>
          <w:szCs w:val="22"/>
          <w:lang w:val="es-ES" w:eastAsia="es-MX"/>
        </w:rPr>
        <w:t>Cuando el CS necesite acceder a la Coubicación para reparar alguna falla</w:t>
      </w:r>
      <w:r w:rsidR="00C45435">
        <w:rPr>
          <w:rFonts w:ascii="ITC Avant Garde" w:hAnsi="ITC Avant Garde" w:cs="Arial"/>
          <w:sz w:val="22"/>
          <w:szCs w:val="22"/>
          <w:lang w:val="es-ES" w:eastAsia="es-MX"/>
        </w:rPr>
        <w:t xml:space="preserve"> se</w:t>
      </w:r>
      <w:r w:rsidR="007241B3">
        <w:rPr>
          <w:rFonts w:ascii="ITC Avant Garde" w:hAnsi="ITC Avant Garde" w:cs="Arial"/>
          <w:sz w:val="22"/>
          <w:szCs w:val="22"/>
          <w:lang w:val="es-ES" w:eastAsia="es-MX"/>
        </w:rPr>
        <w:t xml:space="preserve"> deberá solicitar el acceso a través del Centro de Atención de Operadores (CAO)</w:t>
      </w:r>
      <w:r w:rsidR="00C45435">
        <w:rPr>
          <w:rFonts w:ascii="ITC Avant Garde" w:hAnsi="ITC Avant Garde" w:cs="Arial"/>
          <w:sz w:val="22"/>
          <w:szCs w:val="22"/>
          <w:lang w:val="es-ES" w:eastAsia="es-MX"/>
        </w:rPr>
        <w:t xml:space="preserve"> apeg</w:t>
      </w:r>
      <w:r w:rsidR="007241B3">
        <w:rPr>
          <w:rFonts w:ascii="ITC Avant Garde" w:hAnsi="ITC Avant Garde" w:cs="Arial"/>
          <w:sz w:val="22"/>
          <w:szCs w:val="22"/>
          <w:lang w:val="es-ES" w:eastAsia="es-MX"/>
        </w:rPr>
        <w:t>ándose</w:t>
      </w:r>
      <w:r w:rsidR="00C45435">
        <w:rPr>
          <w:rFonts w:ascii="ITC Avant Garde" w:hAnsi="ITC Avant Garde" w:cs="Arial"/>
          <w:sz w:val="22"/>
          <w:szCs w:val="22"/>
          <w:lang w:val="es-ES" w:eastAsia="es-MX"/>
        </w:rPr>
        <w:t xml:space="preserve"> a los procedimientos actuales de acceso a las centrales empleados por Telmex y los CS</w:t>
      </w:r>
      <w:r w:rsidR="002351BB">
        <w:rPr>
          <w:rFonts w:ascii="ITC Avant Garde" w:hAnsi="ITC Avant Garde" w:cs="Arial"/>
          <w:sz w:val="22"/>
          <w:szCs w:val="22"/>
          <w:lang w:val="es-ES" w:eastAsia="es-MX"/>
        </w:rPr>
        <w:t>.</w:t>
      </w:r>
    </w:p>
    <w:p w14:paraId="33CFF1F7" w14:textId="77777777" w:rsidR="001E62DF" w:rsidRPr="00D936CA" w:rsidRDefault="001E62DF"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Procedimiento para mantenimiento programado.</w:t>
      </w:r>
    </w:p>
    <w:p w14:paraId="33CFF1F8" w14:textId="77777777" w:rsidR="001E62DF" w:rsidRPr="00D936CA" w:rsidRDefault="001E62DF" w:rsidP="00060B2E">
      <w:pPr>
        <w:spacing w:after="200" w:line="276" w:lineRule="auto"/>
        <w:ind w:left="-567" w:right="-142"/>
        <w:jc w:val="both"/>
        <w:rPr>
          <w:rFonts w:ascii="ITC Avant Garde" w:hAnsi="ITC Avant Garde" w:cs="Arial"/>
          <w:b/>
          <w:sz w:val="22"/>
          <w:szCs w:val="22"/>
          <w:lang w:val="es-ES" w:eastAsia="es-MX"/>
        </w:rPr>
      </w:pPr>
      <w:r w:rsidRPr="00D936CA">
        <w:rPr>
          <w:rFonts w:ascii="ITC Avant Garde" w:hAnsi="ITC Avant Garde" w:cs="Arial"/>
          <w:sz w:val="22"/>
          <w:szCs w:val="22"/>
          <w:lang w:val="es-ES" w:eastAsia="es-MX"/>
        </w:rPr>
        <w:lastRenderedPageBreak/>
        <w:t xml:space="preserve">El objetivo y alcance de este procedimiento es definir los pasos y actividades a desarrollar por parte de Telmex y del CS, a fin de tramitar el acceso a sus Coubicaciones derivado de un mantenimiento programado en su Coubicación; las fases en que se divide este procedimiento son: (i) Entrega de la solicitud; </w:t>
      </w:r>
      <w:r w:rsidRPr="00D936CA">
        <w:rPr>
          <w:rFonts w:ascii="ITC Avant Garde" w:hAnsi="ITC Avant Garde" w:cs="Arial"/>
          <w:sz w:val="22"/>
          <w:szCs w:val="22"/>
        </w:rPr>
        <w:t>y (ii) Asignación del pase de acceso a la Coubicación.</w:t>
      </w:r>
    </w:p>
    <w:p w14:paraId="33CFF1F9" w14:textId="77777777" w:rsidR="001E62DF" w:rsidRPr="00D936CA" w:rsidRDefault="001E62D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Cuando el CS requiera realizar actividades de mantenimiento sobre los elementos instalados en su Coubicación, deberá:</w:t>
      </w:r>
    </w:p>
    <w:p w14:paraId="33CFF1FA" w14:textId="34B2BB91" w:rsidR="001E62DF" w:rsidRPr="00F63797" w:rsidRDefault="001E62DF" w:rsidP="00D936CA">
      <w:pPr>
        <w:pStyle w:val="Prrafodelista"/>
        <w:numPr>
          <w:ilvl w:val="0"/>
          <w:numId w:val="32"/>
        </w:numPr>
        <w:autoSpaceDE w:val="0"/>
        <w:autoSpaceDN w:val="0"/>
        <w:adjustRightInd w:val="0"/>
        <w:spacing w:after="200" w:line="276" w:lineRule="auto"/>
        <w:jc w:val="both"/>
        <w:rPr>
          <w:rFonts w:ascii="ITC Avant Garde" w:hAnsi="ITC Avant Garde" w:cs="Arial"/>
          <w:sz w:val="22"/>
          <w:szCs w:val="22"/>
          <w:lang w:val="es-ES" w:eastAsia="es-MX"/>
        </w:rPr>
      </w:pPr>
      <w:r w:rsidRPr="007C5B7A">
        <w:rPr>
          <w:rFonts w:ascii="ITC Avant Garde" w:hAnsi="ITC Avant Garde" w:cs="Arial"/>
          <w:sz w:val="22"/>
          <w:szCs w:val="22"/>
          <w:lang w:val="es-ES" w:eastAsia="es-MX"/>
        </w:rPr>
        <w:t>Dar aviso con 10 días hábiles de anticipación</w:t>
      </w:r>
      <w:r w:rsidRPr="004D6AE4">
        <w:rPr>
          <w:rFonts w:ascii="ITC Avant Garde" w:hAnsi="ITC Avant Garde" w:cs="Arial"/>
          <w:sz w:val="22"/>
          <w:szCs w:val="22"/>
          <w:lang w:val="es-ES" w:eastAsia="es-MX"/>
        </w:rPr>
        <w:t xml:space="preserve"> a través del </w:t>
      </w:r>
      <w:r w:rsidR="007C5B7A" w:rsidRPr="00060B2E">
        <w:rPr>
          <w:rFonts w:ascii="ITC Avant Garde" w:hAnsi="ITC Avant Garde" w:cs="Arial"/>
          <w:sz w:val="22"/>
          <w:szCs w:val="22"/>
          <w:lang w:val="es-ES" w:eastAsia="es-MX"/>
        </w:rPr>
        <w:t>Centro de Atención a Operadores</w:t>
      </w:r>
      <w:r w:rsidRPr="00F63797">
        <w:rPr>
          <w:rFonts w:ascii="ITC Avant Garde" w:hAnsi="ITC Avant Garde" w:cs="Arial"/>
          <w:sz w:val="22"/>
          <w:szCs w:val="22"/>
          <w:lang w:val="es-ES" w:eastAsia="es-MX"/>
        </w:rPr>
        <w:t>. Dicho aviso deberá contener:</w:t>
      </w:r>
    </w:p>
    <w:p w14:paraId="33CFF1FB" w14:textId="77777777" w:rsidR="001E62DF" w:rsidRPr="00D936CA" w:rsidRDefault="001E62DF" w:rsidP="00D936CA">
      <w:pPr>
        <w:pStyle w:val="Prrafodelista"/>
        <w:numPr>
          <w:ilvl w:val="1"/>
          <w:numId w:val="68"/>
        </w:numPr>
        <w:spacing w:after="200" w:line="276" w:lineRule="auto"/>
        <w:ind w:left="1418"/>
        <w:jc w:val="both"/>
        <w:rPr>
          <w:rFonts w:ascii="ITC Avant Garde" w:hAnsi="ITC Avant Garde"/>
          <w:sz w:val="22"/>
          <w:szCs w:val="22"/>
        </w:rPr>
      </w:pPr>
      <w:r w:rsidRPr="00D936CA">
        <w:rPr>
          <w:rFonts w:ascii="ITC Avant Garde" w:hAnsi="ITC Avant Garde"/>
          <w:sz w:val="22"/>
          <w:szCs w:val="22"/>
        </w:rPr>
        <w:t>Descripción detallada de las actividades a realizar;</w:t>
      </w:r>
    </w:p>
    <w:p w14:paraId="33CFF1FC" w14:textId="77777777" w:rsidR="001E62DF" w:rsidRPr="00D936CA" w:rsidRDefault="001E62DF" w:rsidP="00D936CA">
      <w:pPr>
        <w:pStyle w:val="Prrafodelista"/>
        <w:numPr>
          <w:ilvl w:val="1"/>
          <w:numId w:val="68"/>
        </w:numPr>
        <w:spacing w:after="200" w:line="276" w:lineRule="auto"/>
        <w:ind w:left="1418"/>
        <w:jc w:val="both"/>
        <w:rPr>
          <w:rFonts w:ascii="ITC Avant Garde" w:hAnsi="ITC Avant Garde"/>
          <w:sz w:val="22"/>
          <w:szCs w:val="22"/>
        </w:rPr>
      </w:pPr>
      <w:r w:rsidRPr="00D936CA">
        <w:rPr>
          <w:rFonts w:ascii="ITC Avant Garde" w:hAnsi="ITC Avant Garde"/>
          <w:sz w:val="22"/>
          <w:szCs w:val="22"/>
        </w:rPr>
        <w:t>Coubicación que será intervenida;</w:t>
      </w:r>
    </w:p>
    <w:p w14:paraId="33CFF1FD" w14:textId="77777777" w:rsidR="001E62DF" w:rsidRPr="00D936CA" w:rsidRDefault="001E62DF" w:rsidP="00D936CA">
      <w:pPr>
        <w:pStyle w:val="Prrafodelista"/>
        <w:numPr>
          <w:ilvl w:val="1"/>
          <w:numId w:val="68"/>
        </w:numPr>
        <w:spacing w:after="200" w:line="276" w:lineRule="auto"/>
        <w:ind w:left="1418"/>
        <w:jc w:val="both"/>
        <w:rPr>
          <w:rFonts w:ascii="ITC Avant Garde" w:hAnsi="ITC Avant Garde"/>
          <w:sz w:val="22"/>
          <w:szCs w:val="22"/>
        </w:rPr>
      </w:pPr>
      <w:r w:rsidRPr="00D936CA">
        <w:rPr>
          <w:rFonts w:ascii="ITC Avant Garde" w:hAnsi="ITC Avant Garde"/>
          <w:sz w:val="22"/>
          <w:szCs w:val="22"/>
        </w:rPr>
        <w:t>Programa de actividades, detallando horarios, fechas y</w:t>
      </w:r>
    </w:p>
    <w:p w14:paraId="33CFF1FE" w14:textId="77777777" w:rsidR="001E62DF" w:rsidRPr="00D936CA" w:rsidRDefault="001E62DF" w:rsidP="00D936CA">
      <w:pPr>
        <w:pStyle w:val="Prrafodelista"/>
        <w:numPr>
          <w:ilvl w:val="1"/>
          <w:numId w:val="68"/>
        </w:numPr>
        <w:spacing w:after="200" w:line="276" w:lineRule="auto"/>
        <w:ind w:left="1418"/>
        <w:jc w:val="both"/>
        <w:rPr>
          <w:rFonts w:ascii="ITC Avant Garde" w:hAnsi="ITC Avant Garde"/>
          <w:sz w:val="22"/>
          <w:szCs w:val="22"/>
        </w:rPr>
      </w:pPr>
      <w:r w:rsidRPr="00D936CA">
        <w:rPr>
          <w:rFonts w:ascii="ITC Avant Garde" w:hAnsi="ITC Avant Garde"/>
          <w:sz w:val="22"/>
          <w:szCs w:val="22"/>
        </w:rPr>
        <w:t>Datos de contacto.</w:t>
      </w:r>
    </w:p>
    <w:p w14:paraId="33CFF1FF" w14:textId="77777777" w:rsidR="001E62DF" w:rsidRPr="00D936CA" w:rsidRDefault="001E62DF" w:rsidP="00D936CA">
      <w:pPr>
        <w:pStyle w:val="Prrafodelista"/>
        <w:numPr>
          <w:ilvl w:val="0"/>
          <w:numId w:val="32"/>
        </w:numPr>
        <w:autoSpaceDE w:val="0"/>
        <w:autoSpaceDN w:val="0"/>
        <w:adjustRightInd w:val="0"/>
        <w:spacing w:after="200" w:line="276" w:lineRule="auto"/>
        <w:jc w:val="both"/>
        <w:rPr>
          <w:rFonts w:ascii="ITC Avant Garde" w:hAnsi="ITC Avant Garde" w:cs="Arial"/>
          <w:sz w:val="22"/>
          <w:szCs w:val="22"/>
          <w:lang w:val="es-ES" w:eastAsia="es-MX"/>
        </w:rPr>
      </w:pPr>
      <w:r w:rsidRPr="00D936CA">
        <w:rPr>
          <w:rFonts w:ascii="ITC Avant Garde" w:hAnsi="ITC Avant Garde" w:cs="Arial"/>
          <w:sz w:val="22"/>
          <w:szCs w:val="22"/>
          <w:lang w:val="es-ES" w:eastAsia="es-MX"/>
        </w:rPr>
        <w:t>Telmex contestará en un plazo de 2 días hábiles con la autorización correspondiente.</w:t>
      </w:r>
    </w:p>
    <w:p w14:paraId="33CFF200" w14:textId="77777777" w:rsidR="001E62DF" w:rsidRPr="00D936CA" w:rsidRDefault="001E62D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El CS deberá tramitar los Accesos a su Coubicación mediante el procedimiento establecido para Accesos a Coubicación.</w:t>
      </w:r>
    </w:p>
    <w:p w14:paraId="33CFF201" w14:textId="77777777" w:rsidR="001E62DF" w:rsidRPr="00D936CA" w:rsidRDefault="001E62DF" w:rsidP="00060B2E">
      <w:pPr>
        <w:autoSpaceDE w:val="0"/>
        <w:autoSpaceDN w:val="0"/>
        <w:adjustRightInd w:val="0"/>
        <w:spacing w:after="200" w:line="276" w:lineRule="auto"/>
        <w:ind w:left="-567" w:right="-142"/>
        <w:rPr>
          <w:rFonts w:ascii="ITC Avant Garde" w:hAnsi="ITC Avant Garde" w:cs="Arial"/>
          <w:b/>
          <w:sz w:val="22"/>
          <w:szCs w:val="22"/>
        </w:rPr>
      </w:pPr>
      <w:r w:rsidRPr="00D936CA">
        <w:rPr>
          <w:rFonts w:ascii="ITC Avant Garde" w:hAnsi="ITC Avant Garde" w:cs="Arial"/>
          <w:b/>
          <w:sz w:val="22"/>
          <w:szCs w:val="22"/>
        </w:rPr>
        <w:t>Procedimiento para Reubicación por Cierre de Centrales Telefónicas</w:t>
      </w:r>
    </w:p>
    <w:p w14:paraId="33CFF202" w14:textId="77777777" w:rsidR="001E62DF" w:rsidRPr="00D936CA" w:rsidRDefault="001E62DF"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rPr>
        <w:t xml:space="preserve">Cuando Telmex decida cerrar una </w:t>
      </w:r>
      <w:r w:rsidRPr="00D936CA">
        <w:rPr>
          <w:rFonts w:ascii="ITC Avant Garde" w:hAnsi="ITC Avant Garde"/>
          <w:sz w:val="22"/>
          <w:szCs w:val="22"/>
          <w:lang w:val="es-MX"/>
        </w:rPr>
        <w:t>Central Telefónica o Instalación Equivalente</w:t>
      </w:r>
      <w:r w:rsidRPr="00D936CA">
        <w:rPr>
          <w:rFonts w:ascii="ITC Avant Garde" w:hAnsi="ITC Avant Garde"/>
          <w:sz w:val="22"/>
          <w:szCs w:val="22"/>
        </w:rPr>
        <w:t xml:space="preserve">, los Concesionarios Solicitantes serán reubicados en otra </w:t>
      </w:r>
      <w:r w:rsidRPr="00D936CA">
        <w:rPr>
          <w:rFonts w:ascii="ITC Avant Garde" w:hAnsi="ITC Avant Garde"/>
          <w:sz w:val="22"/>
          <w:szCs w:val="22"/>
          <w:lang w:val="es-MX"/>
        </w:rPr>
        <w:t>Central Telefónica o Instalación Equivalente</w:t>
      </w:r>
      <w:r w:rsidRPr="00D936CA">
        <w:rPr>
          <w:rFonts w:ascii="ITC Avant Garde" w:hAnsi="ITC Avant Garde"/>
          <w:sz w:val="22"/>
          <w:szCs w:val="22"/>
        </w:rPr>
        <w:t xml:space="preserve">, </w:t>
      </w:r>
      <w:r w:rsidRPr="00D936CA">
        <w:rPr>
          <w:rFonts w:ascii="ITC Avant Garde" w:hAnsi="ITC Avant Garde"/>
          <w:sz w:val="22"/>
          <w:szCs w:val="22"/>
          <w:lang w:val="es-MX"/>
        </w:rPr>
        <w:t xml:space="preserve">considerando dentro de las nuevas instalaciones los servicios actualmente contratados por los CS. </w:t>
      </w:r>
    </w:p>
    <w:p w14:paraId="33CFF203" w14:textId="77777777" w:rsidR="001E62DF" w:rsidRPr="00D936CA" w:rsidRDefault="001E62D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lang w:val="es-MX"/>
        </w:rPr>
        <w:t xml:space="preserve">Telmex realizará la reubicación; </w:t>
      </w:r>
      <w:r w:rsidRPr="00D936CA">
        <w:rPr>
          <w:rFonts w:ascii="ITC Avant Garde" w:hAnsi="ITC Avant Garde"/>
          <w:sz w:val="22"/>
          <w:szCs w:val="22"/>
        </w:rPr>
        <w:t xml:space="preserve">estableciendo acuerdos con el CS para minimizar las afectaciones en los servicios de los usuarios finales. </w:t>
      </w:r>
      <w:r w:rsidRPr="00D936CA">
        <w:rPr>
          <w:rFonts w:ascii="ITC Avant Garde" w:hAnsi="ITC Avant Garde"/>
          <w:sz w:val="22"/>
          <w:szCs w:val="22"/>
          <w:lang w:val="es-MX"/>
        </w:rPr>
        <w:t xml:space="preserve">Será responsabilidad de Telmex y los CS realizar de manera conjunta las adecuaciones necesarias para garantizar la continuidad de los servicios </w:t>
      </w:r>
      <w:r w:rsidRPr="00D936CA">
        <w:rPr>
          <w:rFonts w:ascii="ITC Avant Garde" w:hAnsi="ITC Avant Garde"/>
          <w:sz w:val="22"/>
          <w:szCs w:val="22"/>
        </w:rPr>
        <w:t>dando seguimiento al siguiente procedimiento:</w:t>
      </w:r>
    </w:p>
    <w:tbl>
      <w:tblPr>
        <w:tblStyle w:val="Tablaconcuadrcula"/>
        <w:tblW w:w="5231" w:type="pct"/>
        <w:tblInd w:w="-431" w:type="dxa"/>
        <w:tblLook w:val="04A0" w:firstRow="1" w:lastRow="0" w:firstColumn="1" w:lastColumn="0" w:noHBand="0" w:noVBand="1"/>
      </w:tblPr>
      <w:tblGrid>
        <w:gridCol w:w="2896"/>
        <w:gridCol w:w="7118"/>
      </w:tblGrid>
      <w:tr w:rsidR="00D936CA" w:rsidRPr="00D936CA" w14:paraId="33CFF206" w14:textId="77777777" w:rsidTr="00060B2E">
        <w:tc>
          <w:tcPr>
            <w:tcW w:w="1446" w:type="pct"/>
          </w:tcPr>
          <w:p w14:paraId="33CFF204" w14:textId="77777777" w:rsidR="001E62DF" w:rsidRPr="00D936CA" w:rsidRDefault="001E62DF" w:rsidP="00D936CA">
            <w:pPr>
              <w:pStyle w:val="IFTnormal"/>
              <w:jc w:val="center"/>
              <w:rPr>
                <w:b/>
                <w:sz w:val="20"/>
                <w:szCs w:val="20"/>
              </w:rPr>
            </w:pPr>
            <w:r w:rsidRPr="00D936CA">
              <w:rPr>
                <w:b/>
                <w:sz w:val="20"/>
                <w:szCs w:val="20"/>
              </w:rPr>
              <w:t>Etapa</w:t>
            </w:r>
          </w:p>
        </w:tc>
        <w:tc>
          <w:tcPr>
            <w:tcW w:w="3554" w:type="pct"/>
          </w:tcPr>
          <w:p w14:paraId="33CFF205" w14:textId="77777777" w:rsidR="001E62DF" w:rsidRPr="00D936CA" w:rsidRDefault="001E62DF" w:rsidP="00D936CA">
            <w:pPr>
              <w:pStyle w:val="IFTnormal"/>
              <w:jc w:val="center"/>
              <w:rPr>
                <w:b/>
                <w:sz w:val="20"/>
                <w:szCs w:val="20"/>
              </w:rPr>
            </w:pPr>
            <w:r w:rsidRPr="00D936CA">
              <w:rPr>
                <w:b/>
                <w:sz w:val="20"/>
                <w:szCs w:val="20"/>
              </w:rPr>
              <w:t>Descripción</w:t>
            </w:r>
          </w:p>
        </w:tc>
      </w:tr>
      <w:tr w:rsidR="00D936CA" w:rsidRPr="00D936CA" w14:paraId="33CFF209" w14:textId="77777777" w:rsidTr="00060B2E">
        <w:tc>
          <w:tcPr>
            <w:tcW w:w="1446" w:type="pct"/>
          </w:tcPr>
          <w:p w14:paraId="33CFF207" w14:textId="77777777" w:rsidR="001E62DF" w:rsidRPr="00D936CA" w:rsidRDefault="001E62DF" w:rsidP="00D936CA">
            <w:pPr>
              <w:pStyle w:val="IFTnormal"/>
              <w:jc w:val="left"/>
              <w:rPr>
                <w:b/>
                <w:sz w:val="20"/>
                <w:szCs w:val="20"/>
              </w:rPr>
            </w:pPr>
            <w:r w:rsidRPr="00D936CA">
              <w:rPr>
                <w:b/>
                <w:sz w:val="20"/>
                <w:szCs w:val="20"/>
              </w:rPr>
              <w:t>Notificación cierre de central</w:t>
            </w:r>
          </w:p>
        </w:tc>
        <w:tc>
          <w:tcPr>
            <w:tcW w:w="3554" w:type="pct"/>
          </w:tcPr>
          <w:p w14:paraId="33CFF208" w14:textId="77777777" w:rsidR="001E62DF" w:rsidRPr="00D936CA" w:rsidRDefault="001E62DF" w:rsidP="00D936CA">
            <w:pPr>
              <w:pStyle w:val="IFTnormal"/>
              <w:rPr>
                <w:sz w:val="20"/>
                <w:szCs w:val="20"/>
              </w:rPr>
            </w:pPr>
            <w:r w:rsidRPr="00D936CA">
              <w:rPr>
                <w:rFonts w:cs="Arial"/>
                <w:sz w:val="20"/>
                <w:lang w:val="es-ES" w:eastAsia="es-MX"/>
              </w:rPr>
              <w:t>Telmex notificará a los CS con 12 meses de anticipación sobre la Reubicación.</w:t>
            </w:r>
          </w:p>
        </w:tc>
      </w:tr>
      <w:tr w:rsidR="00D936CA" w:rsidRPr="00D936CA" w14:paraId="33CFF20F" w14:textId="77777777" w:rsidTr="00060B2E">
        <w:tc>
          <w:tcPr>
            <w:tcW w:w="1446" w:type="pct"/>
          </w:tcPr>
          <w:p w14:paraId="33CFF20A" w14:textId="77777777" w:rsidR="001E62DF" w:rsidRPr="00D936CA" w:rsidRDefault="001E62DF" w:rsidP="00D936CA">
            <w:pPr>
              <w:pStyle w:val="IFTnormal"/>
              <w:jc w:val="left"/>
              <w:rPr>
                <w:b/>
                <w:sz w:val="20"/>
                <w:szCs w:val="20"/>
              </w:rPr>
            </w:pPr>
            <w:r w:rsidRPr="00D936CA">
              <w:rPr>
                <w:b/>
                <w:sz w:val="20"/>
                <w:szCs w:val="20"/>
              </w:rPr>
              <w:t>Factibilidad Técnica</w:t>
            </w:r>
          </w:p>
        </w:tc>
        <w:tc>
          <w:tcPr>
            <w:tcW w:w="3554" w:type="pct"/>
          </w:tcPr>
          <w:p w14:paraId="33CFF20B" w14:textId="77777777" w:rsidR="001E62DF" w:rsidRPr="00D936CA" w:rsidRDefault="001E62DF" w:rsidP="00D936CA">
            <w:pPr>
              <w:pStyle w:val="IFTnormal"/>
              <w:rPr>
                <w:sz w:val="20"/>
                <w:szCs w:val="20"/>
              </w:rPr>
            </w:pPr>
            <w:r w:rsidRPr="00D936CA">
              <w:rPr>
                <w:sz w:val="20"/>
                <w:szCs w:val="20"/>
              </w:rPr>
              <w:t xml:space="preserve">Telmex analizará las posibles alternativas para reubicación considerando la información de los servicios actualmente contratados por cada CS y la disponibilidad de recursos técnicos e infraestructura de Centrales Telefónicas o Instalaciones Equivalentes donde los </w:t>
            </w:r>
            <w:r w:rsidRPr="00D936CA">
              <w:rPr>
                <w:sz w:val="20"/>
                <w:szCs w:val="20"/>
              </w:rPr>
              <w:lastRenderedPageBreak/>
              <w:t>clientes de la central en proceso de cierre van a ser reubicados.</w:t>
            </w:r>
          </w:p>
          <w:p w14:paraId="33CFF20C" w14:textId="77777777" w:rsidR="001E62DF" w:rsidRPr="00D936CA" w:rsidRDefault="001E62DF" w:rsidP="00D936CA">
            <w:pPr>
              <w:autoSpaceDE w:val="0"/>
              <w:autoSpaceDN w:val="0"/>
              <w:adjustRightInd w:val="0"/>
              <w:spacing w:after="200" w:line="276" w:lineRule="auto"/>
              <w:jc w:val="both"/>
              <w:rPr>
                <w:rFonts w:ascii="ITC Avant Garde" w:hAnsi="ITC Avant Garde"/>
                <w:sz w:val="20"/>
                <w:szCs w:val="20"/>
              </w:rPr>
            </w:pPr>
            <w:r w:rsidRPr="00D936CA">
              <w:rPr>
                <w:rFonts w:ascii="ITC Avant Garde" w:hAnsi="ITC Avant Garde"/>
                <w:sz w:val="20"/>
                <w:szCs w:val="20"/>
              </w:rPr>
              <w:t>Identificadas las Centrales Telefónicas o Instalaciones Equivalentes se notificará a los CS involucrados para su conciliación.</w:t>
            </w:r>
          </w:p>
          <w:p w14:paraId="33CFF20D" w14:textId="77777777" w:rsidR="001E62DF" w:rsidRPr="00D936CA" w:rsidRDefault="001E62DF" w:rsidP="00D936CA">
            <w:pPr>
              <w:pStyle w:val="Prrafodelista"/>
              <w:numPr>
                <w:ilvl w:val="0"/>
                <w:numId w:val="119"/>
              </w:numPr>
              <w:autoSpaceDE w:val="0"/>
              <w:autoSpaceDN w:val="0"/>
              <w:adjustRightInd w:val="0"/>
              <w:spacing w:after="200" w:line="276" w:lineRule="auto"/>
              <w:jc w:val="both"/>
              <w:rPr>
                <w:rFonts w:ascii="ITC Avant Garde" w:hAnsi="ITC Avant Garde"/>
                <w:sz w:val="20"/>
                <w:szCs w:val="20"/>
              </w:rPr>
            </w:pPr>
            <w:r w:rsidRPr="00D936CA">
              <w:rPr>
                <w:rFonts w:ascii="ITC Avant Garde" w:hAnsi="ITC Avant Garde"/>
                <w:sz w:val="20"/>
                <w:szCs w:val="20"/>
              </w:rPr>
              <w:t>En caso de que el CS rechace la propuesta inicial, Telmex le presentará otras alternativas de reubicación.</w:t>
            </w:r>
          </w:p>
          <w:p w14:paraId="33CFF20E" w14:textId="77777777" w:rsidR="001E62DF" w:rsidRPr="00D936CA" w:rsidRDefault="001E62DF" w:rsidP="00D936CA">
            <w:pPr>
              <w:pStyle w:val="Prrafodelista"/>
              <w:numPr>
                <w:ilvl w:val="0"/>
                <w:numId w:val="119"/>
              </w:numPr>
              <w:autoSpaceDE w:val="0"/>
              <w:autoSpaceDN w:val="0"/>
              <w:adjustRightInd w:val="0"/>
              <w:spacing w:after="200" w:line="276" w:lineRule="auto"/>
              <w:jc w:val="both"/>
              <w:rPr>
                <w:rFonts w:ascii="ITC Avant Garde" w:hAnsi="ITC Avant Garde"/>
                <w:sz w:val="20"/>
                <w:szCs w:val="20"/>
              </w:rPr>
            </w:pPr>
            <w:r w:rsidRPr="00D936CA">
              <w:rPr>
                <w:rFonts w:ascii="ITC Avant Garde" w:hAnsi="ITC Avant Garde"/>
                <w:sz w:val="20"/>
                <w:szCs w:val="20"/>
              </w:rPr>
              <w:t>En caso de que ninguna alternativa de reubicación sea aceptada por el CS se notificará dicha situación al Instituto.</w:t>
            </w:r>
          </w:p>
        </w:tc>
      </w:tr>
      <w:tr w:rsidR="001E62DF" w:rsidRPr="00D936CA" w14:paraId="33CFF212" w14:textId="77777777" w:rsidTr="00060B2E">
        <w:tc>
          <w:tcPr>
            <w:tcW w:w="1446" w:type="pct"/>
          </w:tcPr>
          <w:p w14:paraId="33CFF210" w14:textId="77777777" w:rsidR="001E62DF" w:rsidRPr="00D936CA" w:rsidRDefault="001E62DF" w:rsidP="00D936CA">
            <w:pPr>
              <w:pStyle w:val="IFTnormal"/>
              <w:jc w:val="left"/>
              <w:rPr>
                <w:b/>
                <w:sz w:val="20"/>
                <w:szCs w:val="20"/>
              </w:rPr>
            </w:pPr>
            <w:r w:rsidRPr="00D936CA">
              <w:rPr>
                <w:b/>
                <w:sz w:val="20"/>
                <w:szCs w:val="20"/>
              </w:rPr>
              <w:lastRenderedPageBreak/>
              <w:t>Habilitación del Servicio</w:t>
            </w:r>
          </w:p>
        </w:tc>
        <w:tc>
          <w:tcPr>
            <w:tcW w:w="3554" w:type="pct"/>
          </w:tcPr>
          <w:p w14:paraId="33CFF211" w14:textId="77777777" w:rsidR="001E62DF" w:rsidRPr="00D936CA" w:rsidRDefault="001E62DF" w:rsidP="00D936CA">
            <w:pPr>
              <w:pStyle w:val="IFTnormal"/>
              <w:rPr>
                <w:sz w:val="20"/>
                <w:szCs w:val="20"/>
              </w:rPr>
            </w:pPr>
            <w:r w:rsidRPr="00D936CA">
              <w:rPr>
                <w:sz w:val="20"/>
                <w:szCs w:val="20"/>
              </w:rPr>
              <w:t>Una vez que el CS notifique la aceptación de la alternativa propuesta se iniciará el proceso de adecuación para la reubicación de Coubicación y Servicios de Desagregación en la nueva Central o Instalación Equivalente.</w:t>
            </w:r>
          </w:p>
        </w:tc>
      </w:tr>
    </w:tbl>
    <w:p w14:paraId="33CFF213" w14:textId="77777777" w:rsidR="001E62DF" w:rsidRPr="00D936CA" w:rsidRDefault="001E62DF" w:rsidP="00060B2E">
      <w:pPr>
        <w:autoSpaceDE w:val="0"/>
        <w:autoSpaceDN w:val="0"/>
        <w:adjustRightInd w:val="0"/>
        <w:spacing w:after="200" w:line="276" w:lineRule="auto"/>
        <w:ind w:left="-567" w:right="-142"/>
        <w:jc w:val="both"/>
        <w:rPr>
          <w:rFonts w:ascii="ITC Avant Garde" w:hAnsi="ITC Avant Garde"/>
          <w:sz w:val="22"/>
          <w:szCs w:val="22"/>
        </w:rPr>
      </w:pPr>
    </w:p>
    <w:p w14:paraId="33CFF214" w14:textId="77777777" w:rsidR="00533B60" w:rsidRPr="00D936CA" w:rsidRDefault="001E62DF"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Para garantizar la continuidad de los servicios prestados por los Concesionarios Solicitantes, Telmex deberá asegurar la terminación de la habilitación de la Coubicación y puesta en operación de los servicios de desagregación previo al cierre de la Central Telefónica o Instalación Equivalente.</w:t>
      </w:r>
    </w:p>
    <w:p w14:paraId="33CFF215" w14:textId="77777777" w:rsidR="0092070D" w:rsidRPr="00D936CA" w:rsidRDefault="0092070D" w:rsidP="00D936CA">
      <w:pPr>
        <w:spacing w:after="200" w:line="276" w:lineRule="auto"/>
        <w:jc w:val="both"/>
        <w:rPr>
          <w:rFonts w:ascii="ITC Avant Garde" w:hAnsi="ITC Avant Garde"/>
          <w:sz w:val="22"/>
          <w:szCs w:val="22"/>
        </w:rPr>
      </w:pPr>
    </w:p>
    <w:p w14:paraId="33CFF216" w14:textId="77777777" w:rsidR="00C831EF" w:rsidRPr="00D936CA" w:rsidRDefault="00C831EF" w:rsidP="00D936CA">
      <w:pPr>
        <w:pStyle w:val="Ttulo2"/>
        <w:numPr>
          <w:ilvl w:val="1"/>
          <w:numId w:val="143"/>
        </w:numPr>
        <w:ind w:left="851" w:hanging="425"/>
      </w:pPr>
      <w:bookmarkStart w:id="724" w:name="_Toc396337602"/>
      <w:bookmarkStart w:id="725" w:name="_Toc436840927"/>
      <w:bookmarkStart w:id="726" w:name="_Toc436846364"/>
      <w:bookmarkStart w:id="727" w:name="_Toc436848314"/>
      <w:bookmarkStart w:id="728" w:name="_Toc436856562"/>
      <w:bookmarkStart w:id="729" w:name="_Toc436862708"/>
      <w:bookmarkStart w:id="730" w:name="_Toc436866358"/>
      <w:bookmarkStart w:id="731" w:name="_Toc436870937"/>
      <w:bookmarkStart w:id="732" w:name="_Toc436875929"/>
      <w:bookmarkStart w:id="733" w:name="_Toc467248762"/>
      <w:bookmarkStart w:id="734" w:name="_Toc518032045"/>
      <w:r w:rsidRPr="00D936CA">
        <w:t>Plazos de Entrega</w:t>
      </w:r>
      <w:bookmarkEnd w:id="724"/>
      <w:r w:rsidRPr="00D936CA">
        <w:t xml:space="preserve"> de Coubicación</w:t>
      </w:r>
      <w:bookmarkEnd w:id="725"/>
      <w:bookmarkEnd w:id="726"/>
      <w:bookmarkEnd w:id="727"/>
      <w:bookmarkEnd w:id="728"/>
      <w:bookmarkEnd w:id="729"/>
      <w:bookmarkEnd w:id="730"/>
      <w:bookmarkEnd w:id="731"/>
      <w:bookmarkEnd w:id="732"/>
      <w:bookmarkEnd w:id="733"/>
      <w:bookmarkEnd w:id="734"/>
    </w:p>
    <w:p w14:paraId="33CFF217" w14:textId="77777777" w:rsidR="00FF25E6" w:rsidRPr="00D936CA" w:rsidRDefault="00FF25E6" w:rsidP="00D936CA">
      <w:pPr>
        <w:pStyle w:val="Prrafodelista"/>
        <w:numPr>
          <w:ilvl w:val="0"/>
          <w:numId w:val="3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Validación de la solicitud junto con verificación de factibilidad: máximo 4 días hábiles.</w:t>
      </w:r>
    </w:p>
    <w:p w14:paraId="33CFF218" w14:textId="77777777" w:rsidR="00FF25E6" w:rsidRPr="00D936CA" w:rsidRDefault="00FF25E6"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Verificación de la factibilidad técnica para reasignación de espacios: 3 días hábiles.</w:t>
      </w:r>
    </w:p>
    <w:p w14:paraId="33CFF219" w14:textId="77777777" w:rsidR="00FF25E6" w:rsidRPr="00D936CA" w:rsidRDefault="00FF25E6"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Verificación de la factibilidad técnica para recuperación de espacios: 3 días hábiles.</w:t>
      </w:r>
    </w:p>
    <w:p w14:paraId="33CFF21A" w14:textId="77777777" w:rsidR="00FF25E6" w:rsidRPr="00D936CA" w:rsidRDefault="00FF25E6"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Entrega de Coubicación nueva (validación de la solicitud, verificación de factibilidad técnica y construcción): 60 días hábiles, los cuales contabilizarán a partir de la solicitud.</w:t>
      </w:r>
    </w:p>
    <w:p w14:paraId="33CFF21B" w14:textId="77777777" w:rsidR="00C831EF" w:rsidRPr="00D936CA" w:rsidRDefault="00C831EF"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 xml:space="preserve">Entrega de modificación a Coubicación existente (validación de la solicitud, verificación de factibilidad técnica y construcción): </w:t>
      </w:r>
      <w:r w:rsidR="00107F51" w:rsidRPr="00D936CA">
        <w:rPr>
          <w:rFonts w:ascii="ITC Avant Garde" w:hAnsi="ITC Avant Garde"/>
          <w:sz w:val="22"/>
          <w:szCs w:val="22"/>
          <w:lang w:val="es-MX"/>
        </w:rPr>
        <w:t xml:space="preserve">30 </w:t>
      </w:r>
      <w:r w:rsidRPr="00D936CA">
        <w:rPr>
          <w:rFonts w:ascii="ITC Avant Garde" w:hAnsi="ITC Avant Garde"/>
          <w:sz w:val="22"/>
          <w:szCs w:val="22"/>
          <w:lang w:val="es-MX"/>
        </w:rPr>
        <w:t>días hábiles, a partir de la solicitud.</w:t>
      </w:r>
    </w:p>
    <w:p w14:paraId="33CFF21C" w14:textId="77777777" w:rsidR="00C831EF" w:rsidRPr="00D936CA" w:rsidRDefault="00C831EF"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Reasignación de espacio: Due date</w:t>
      </w:r>
      <w:r w:rsidR="00917FE1" w:rsidRPr="00D936CA">
        <w:rPr>
          <w:rFonts w:ascii="ITC Avant Garde" w:hAnsi="ITC Avant Garde"/>
          <w:sz w:val="22"/>
          <w:szCs w:val="22"/>
          <w:lang w:val="es-MX"/>
        </w:rPr>
        <w:t>.</w:t>
      </w:r>
    </w:p>
    <w:p w14:paraId="33CFF21D" w14:textId="77777777" w:rsidR="00C831EF" w:rsidRPr="00D936CA" w:rsidRDefault="00C831EF"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MX"/>
        </w:rPr>
        <w:t>Recuperación de espacio: Due date</w:t>
      </w:r>
      <w:r w:rsidR="00917FE1" w:rsidRPr="00D936CA">
        <w:rPr>
          <w:rFonts w:ascii="ITC Avant Garde" w:hAnsi="ITC Avant Garde"/>
          <w:sz w:val="22"/>
          <w:szCs w:val="22"/>
          <w:lang w:val="es-MX"/>
        </w:rPr>
        <w:t>.</w:t>
      </w:r>
    </w:p>
    <w:p w14:paraId="33CFF21E" w14:textId="77777777" w:rsidR="00107F51" w:rsidRPr="00D936CA" w:rsidRDefault="00917FE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lastRenderedPageBreak/>
        <w:t>Reubicación por</w:t>
      </w:r>
      <w:r w:rsidR="00107F51" w:rsidRPr="00D936CA">
        <w:rPr>
          <w:rFonts w:ascii="ITC Avant Garde" w:hAnsi="ITC Avant Garde"/>
          <w:sz w:val="22"/>
          <w:szCs w:val="22"/>
          <w:lang w:val="es-ES"/>
        </w:rPr>
        <w:t xml:space="preserve"> Cierre de Centrales Telefónicas: Due date</w:t>
      </w:r>
      <w:r w:rsidRPr="00D936CA">
        <w:rPr>
          <w:rFonts w:ascii="ITC Avant Garde" w:hAnsi="ITC Avant Garde"/>
          <w:sz w:val="22"/>
          <w:szCs w:val="22"/>
          <w:lang w:val="es-ES"/>
        </w:rPr>
        <w:t>.</w:t>
      </w:r>
    </w:p>
    <w:p w14:paraId="33CFF21F" w14:textId="77777777" w:rsidR="00917FE1" w:rsidRPr="00D936CA" w:rsidRDefault="00917FE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Autorización de acceso a Coubicación por falla: 2 horas.</w:t>
      </w:r>
    </w:p>
    <w:p w14:paraId="33CFF220" w14:textId="77777777" w:rsidR="00917FE1" w:rsidRPr="00D936CA" w:rsidRDefault="00917FE1" w:rsidP="00D936CA">
      <w:pPr>
        <w:pStyle w:val="Prrafodelista"/>
        <w:numPr>
          <w:ilvl w:val="0"/>
          <w:numId w:val="30"/>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Autorización de acceso por mantenimiento preventivo: 2 días hábiles.</w:t>
      </w:r>
    </w:p>
    <w:p w14:paraId="33CFF221" w14:textId="77777777" w:rsidR="00C831EF" w:rsidRPr="00D936CA" w:rsidRDefault="00C831EF" w:rsidP="00060B2E">
      <w:pPr>
        <w:spacing w:after="200" w:line="276" w:lineRule="auto"/>
        <w:ind w:left="-567" w:right="-142"/>
        <w:jc w:val="both"/>
        <w:rPr>
          <w:rFonts w:ascii="ITC Avant Garde" w:hAnsi="ITC Avant Garde"/>
          <w:sz w:val="22"/>
          <w:szCs w:val="22"/>
          <w:lang w:val="es-ES"/>
        </w:rPr>
      </w:pPr>
      <w:r w:rsidRPr="00D936CA">
        <w:rPr>
          <w:rFonts w:ascii="ITC Avant Garde" w:hAnsi="ITC Avant Garde"/>
          <w:sz w:val="22"/>
          <w:szCs w:val="22"/>
          <w:lang w:val="es-ES"/>
        </w:rPr>
        <w:t xml:space="preserve">Cuando se requiera un permiso de construcción otorgado por las Autoridades competentes, </w:t>
      </w:r>
      <w:r w:rsidR="0009465E" w:rsidRPr="00D936CA">
        <w:rPr>
          <w:rFonts w:ascii="ITC Avant Garde" w:hAnsi="ITC Avant Garde"/>
          <w:sz w:val="22"/>
          <w:szCs w:val="22"/>
          <w:lang w:val="es-ES"/>
        </w:rPr>
        <w:t>el tiempo requerido para obtenerlo</w:t>
      </w:r>
      <w:r w:rsidRPr="00D936CA">
        <w:rPr>
          <w:rFonts w:ascii="ITC Avant Garde" w:hAnsi="ITC Avant Garde"/>
          <w:sz w:val="22"/>
          <w:szCs w:val="22"/>
          <w:lang w:val="es-ES"/>
        </w:rPr>
        <w:t xml:space="preserve"> no se contabilizará dentro de los plazos de entrega.</w:t>
      </w:r>
    </w:p>
    <w:p w14:paraId="33CFF222" w14:textId="77777777" w:rsidR="00915A69" w:rsidRPr="00D936CA" w:rsidRDefault="00915A69" w:rsidP="00060B2E">
      <w:pPr>
        <w:spacing w:after="200" w:line="276" w:lineRule="auto"/>
        <w:ind w:left="-567" w:right="-142"/>
        <w:jc w:val="both"/>
        <w:rPr>
          <w:rFonts w:ascii="ITC Avant Garde" w:hAnsi="ITC Avant Garde"/>
          <w:sz w:val="22"/>
          <w:szCs w:val="22"/>
          <w:lang w:val="es-ES"/>
        </w:rPr>
      </w:pPr>
    </w:p>
    <w:p w14:paraId="33CFF223" w14:textId="77777777" w:rsidR="00210FB6" w:rsidRPr="00D936CA" w:rsidRDefault="00210FB6" w:rsidP="00D936CA">
      <w:pPr>
        <w:pStyle w:val="Ttulo2"/>
        <w:numPr>
          <w:ilvl w:val="1"/>
          <w:numId w:val="143"/>
        </w:numPr>
        <w:ind w:left="851" w:hanging="425"/>
      </w:pPr>
      <w:bookmarkStart w:id="735" w:name="_Toc436840928"/>
      <w:bookmarkStart w:id="736" w:name="_Toc436846365"/>
      <w:bookmarkStart w:id="737" w:name="_Toc436848315"/>
      <w:bookmarkStart w:id="738" w:name="_Toc436856563"/>
      <w:bookmarkStart w:id="739" w:name="_Toc436862709"/>
      <w:bookmarkStart w:id="740" w:name="_Toc436866359"/>
      <w:bookmarkStart w:id="741" w:name="_Toc436870938"/>
      <w:bookmarkStart w:id="742" w:name="_Toc436875930"/>
      <w:bookmarkStart w:id="743" w:name="_Toc467248763"/>
      <w:bookmarkStart w:id="744" w:name="_Toc518032046"/>
      <w:r w:rsidRPr="00D936CA">
        <w:t>Parámetros e indicadores de calidad para los Servicios de Coubicación</w:t>
      </w:r>
      <w:bookmarkEnd w:id="735"/>
      <w:bookmarkEnd w:id="736"/>
      <w:bookmarkEnd w:id="737"/>
      <w:bookmarkEnd w:id="738"/>
      <w:bookmarkEnd w:id="739"/>
      <w:bookmarkEnd w:id="740"/>
      <w:bookmarkEnd w:id="741"/>
      <w:bookmarkEnd w:id="742"/>
      <w:bookmarkEnd w:id="743"/>
      <w:bookmarkEnd w:id="744"/>
    </w:p>
    <w:p w14:paraId="33CFF224" w14:textId="6706C191" w:rsidR="003E475D" w:rsidRDefault="003E475D"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esta sección se muestran los parámetros e indicadores de calidad referentes a la provisión y atención de fallas del Servicio de Coubicación. Estos parámetros e indicadores corresponden a los utilizados en la propia operación de Telmex, y se medirán con una periodicidad trimestral por cada uno de los CS.</w:t>
      </w:r>
    </w:p>
    <w:p w14:paraId="093CCFCA" w14:textId="77777777" w:rsidR="002351BB" w:rsidRPr="00D936CA" w:rsidRDefault="002351BB" w:rsidP="00060B2E">
      <w:pPr>
        <w:spacing w:after="200" w:line="276" w:lineRule="auto"/>
        <w:ind w:left="-567" w:right="-142"/>
        <w:jc w:val="both"/>
        <w:rPr>
          <w:rFonts w:ascii="ITC Avant Garde" w:hAnsi="ITC Avant Garde"/>
          <w:sz w:val="22"/>
          <w:szCs w:val="22"/>
          <w:lang w:val="es-MX"/>
        </w:rPr>
      </w:pPr>
    </w:p>
    <w:p w14:paraId="33CFF225" w14:textId="77777777" w:rsidR="003E475D" w:rsidRPr="00D936CA" w:rsidRDefault="003E475D"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 xml:space="preserve">Parámetros e indicadores para provisión de los servicios </w:t>
      </w:r>
    </w:p>
    <w:p w14:paraId="33CFF226" w14:textId="77777777" w:rsidR="003E475D" w:rsidRPr="00D936CA" w:rsidRDefault="003E475D"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lo referente a la provisión de los servicios (validación de la solicitud, verificación de factibilidad y habilitación), se tienen los siguientes indicadores:</w:t>
      </w:r>
    </w:p>
    <w:p w14:paraId="33CFF227" w14:textId="77777777" w:rsidR="003E475D" w:rsidRPr="00D936CA" w:rsidRDefault="003E475D" w:rsidP="00D936CA">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t>Con pronóstico:</w:t>
      </w:r>
    </w:p>
    <w:p w14:paraId="33CFF228" w14:textId="77777777" w:rsidR="00BE37EC" w:rsidRPr="00D936CA" w:rsidRDefault="006952E8" w:rsidP="00D936CA">
      <w:pPr>
        <w:pStyle w:val="Prrafodelista"/>
        <w:numPr>
          <w:ilvl w:val="0"/>
          <w:numId w:val="71"/>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Validación de la solicitud junto con verificación de la factibilidad: 90% de las solicitudes en </w:t>
      </w:r>
      <w:r w:rsidR="00F629EC" w:rsidRPr="00D936CA">
        <w:rPr>
          <w:rFonts w:ascii="ITC Avant Garde" w:hAnsi="ITC Avant Garde"/>
          <w:sz w:val="22"/>
          <w:szCs w:val="22"/>
          <w:lang w:val="es-MX"/>
        </w:rPr>
        <w:t xml:space="preserve">un plazo </w:t>
      </w:r>
      <w:r w:rsidRPr="00D936CA">
        <w:rPr>
          <w:rFonts w:ascii="ITC Avant Garde" w:hAnsi="ITC Avant Garde"/>
          <w:sz w:val="22"/>
          <w:szCs w:val="22"/>
          <w:lang w:val="es-MX"/>
        </w:rPr>
        <w:t xml:space="preserve">máximo de </w:t>
      </w:r>
      <w:r w:rsidR="005D752F" w:rsidRPr="00D936CA">
        <w:rPr>
          <w:rFonts w:ascii="ITC Avant Garde" w:hAnsi="ITC Avant Garde"/>
          <w:sz w:val="22"/>
          <w:szCs w:val="22"/>
          <w:lang w:val="es-MX"/>
        </w:rPr>
        <w:t>4</w:t>
      </w:r>
      <w:r w:rsidRPr="00D936CA">
        <w:rPr>
          <w:rFonts w:ascii="ITC Avant Garde" w:hAnsi="ITC Avant Garde"/>
          <w:sz w:val="22"/>
          <w:szCs w:val="22"/>
          <w:lang w:val="es-MX"/>
        </w:rPr>
        <w:t xml:space="preserve"> días hábiles. El 10% restante en </w:t>
      </w:r>
      <w:r w:rsidR="00F629EC" w:rsidRPr="00D936CA">
        <w:rPr>
          <w:rFonts w:ascii="ITC Avant Garde" w:hAnsi="ITC Avant Garde"/>
          <w:sz w:val="22"/>
          <w:szCs w:val="22"/>
          <w:lang w:val="es-MX"/>
        </w:rPr>
        <w:t xml:space="preserve">máximo </w:t>
      </w:r>
      <w:r w:rsidR="00BE37EC" w:rsidRPr="00D936CA">
        <w:rPr>
          <w:rFonts w:ascii="ITC Avant Garde" w:hAnsi="ITC Avant Garde"/>
          <w:sz w:val="22"/>
          <w:szCs w:val="22"/>
          <w:lang w:val="es-MX"/>
        </w:rPr>
        <w:t>6 días hábiles.</w:t>
      </w:r>
    </w:p>
    <w:p w14:paraId="33CFF229" w14:textId="77777777" w:rsidR="00BE37EC" w:rsidRPr="00D936CA" w:rsidRDefault="00BE37EC" w:rsidP="00D936CA">
      <w:pPr>
        <w:pStyle w:val="Prrafodelista"/>
        <w:numPr>
          <w:ilvl w:val="0"/>
          <w:numId w:val="71"/>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Entrega de Coubicaciones nuevas: 90% de entregas en un plazo máximo de 60, el 10% restante en 90 días hábiles.</w:t>
      </w:r>
    </w:p>
    <w:p w14:paraId="33CFF22A" w14:textId="77777777" w:rsidR="00BE37EC" w:rsidRPr="00D936CA" w:rsidRDefault="00BE37EC" w:rsidP="00D936CA">
      <w:pPr>
        <w:pStyle w:val="Prrafodelista"/>
        <w:numPr>
          <w:ilvl w:val="0"/>
          <w:numId w:val="71"/>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Entrega de adecuaciones para Coubicaciones existentes: 90% de entregas en un plazo máximo de 30 días, el 10% restante en 45 días hábiles.</w:t>
      </w:r>
    </w:p>
    <w:p w14:paraId="33CFF22B" w14:textId="77777777" w:rsidR="00BE37EC" w:rsidRPr="00D936CA" w:rsidRDefault="00BE37EC" w:rsidP="00D936CA">
      <w:pPr>
        <w:pStyle w:val="Prrafodelista"/>
        <w:numPr>
          <w:ilvl w:val="0"/>
          <w:numId w:val="71"/>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Reasignación y Recuperación de espacio: 90% de entregas en el tiempo pactado, el 10% restante no podrá exceder el 150% del tiempo original pactado.</w:t>
      </w:r>
    </w:p>
    <w:p w14:paraId="33CFF22C" w14:textId="77777777" w:rsidR="00BE37EC" w:rsidRPr="00D936CA" w:rsidRDefault="00BE37EC" w:rsidP="00D936CA">
      <w:pPr>
        <w:pStyle w:val="Prrafodelista"/>
        <w:numPr>
          <w:ilvl w:val="0"/>
          <w:numId w:val="71"/>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Reubicación por Cierre de Centrales Telefónicas: 90% de entregas en el tiempo pactado, el 10% restante no podrá exceder el 150% del tiempo original pactado.</w:t>
      </w:r>
    </w:p>
    <w:p w14:paraId="33CFF22D" w14:textId="6AA0A758" w:rsidR="00BE37EC" w:rsidRPr="00D936CA" w:rsidRDefault="00BE37EC"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los casos anteriores, el porcentaje restante no excederá el 150% de los plazos originales.</w:t>
      </w:r>
    </w:p>
    <w:p w14:paraId="33CFF22E" w14:textId="77777777" w:rsidR="00BE37EC" w:rsidRPr="00D936CA" w:rsidRDefault="00BE37EC" w:rsidP="00ED3F91">
      <w:pPr>
        <w:spacing w:after="200" w:line="276" w:lineRule="auto"/>
        <w:jc w:val="both"/>
        <w:rPr>
          <w:rFonts w:ascii="ITC Avant Garde" w:hAnsi="ITC Avant Garde"/>
          <w:b/>
          <w:sz w:val="22"/>
          <w:szCs w:val="22"/>
          <w:lang w:val="es-MX"/>
        </w:rPr>
      </w:pPr>
      <w:r w:rsidRPr="00D936CA">
        <w:rPr>
          <w:rFonts w:ascii="ITC Avant Garde" w:hAnsi="ITC Avant Garde"/>
          <w:b/>
          <w:sz w:val="22"/>
          <w:szCs w:val="22"/>
          <w:lang w:val="es-MX"/>
        </w:rPr>
        <w:lastRenderedPageBreak/>
        <w:t>Sin pronóstico:</w:t>
      </w:r>
    </w:p>
    <w:p w14:paraId="33CFF22F" w14:textId="77777777" w:rsidR="00BE37EC" w:rsidRPr="00D936CA" w:rsidRDefault="00BE37EC" w:rsidP="00ED3F91">
      <w:pPr>
        <w:pStyle w:val="Prrafodelista"/>
        <w:numPr>
          <w:ilvl w:val="0"/>
          <w:numId w:val="72"/>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Validación de la solicitud junto con verificación de la factibilidad: 65% de las solicitudes en un plazo máximo de 4 días hábiles, el 35% restante en máximo 6 días hábiles.</w:t>
      </w:r>
    </w:p>
    <w:p w14:paraId="33CFF230" w14:textId="77777777" w:rsidR="00BE37EC" w:rsidRPr="00D936CA" w:rsidRDefault="00BE37EC" w:rsidP="00ED3F91">
      <w:pPr>
        <w:pStyle w:val="Prrafodelista"/>
        <w:numPr>
          <w:ilvl w:val="0"/>
          <w:numId w:val="72"/>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Entrega de Coubicaciones nuevas: 65% de entregas en un plazo máximo de 60 días hábiles, el 35% restante en 90 días hábiles.</w:t>
      </w:r>
    </w:p>
    <w:p w14:paraId="33CFF231" w14:textId="77777777" w:rsidR="00BE37EC" w:rsidRPr="00D936CA" w:rsidRDefault="00BE37EC" w:rsidP="00ED3F91">
      <w:pPr>
        <w:pStyle w:val="Prrafodelista"/>
        <w:numPr>
          <w:ilvl w:val="0"/>
          <w:numId w:val="72"/>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Entrega de adecuaciones para Coubicaciones existentes: 65% de entregas en un plazo máximo de 30 días, el 35% restante en 45 días hábiles.</w:t>
      </w:r>
    </w:p>
    <w:p w14:paraId="33CFF232" w14:textId="77777777" w:rsidR="00BE37EC" w:rsidRPr="00D936CA" w:rsidRDefault="00BE37EC" w:rsidP="00ED3F91">
      <w:pPr>
        <w:pStyle w:val="Prrafodelista"/>
        <w:numPr>
          <w:ilvl w:val="0"/>
          <w:numId w:val="72"/>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Reasignación y Recuperación de espacio: 65% de entregas en el tiempo pactado, el 35% restante no podrá exceder el 150% del tiempo original pactado.</w:t>
      </w:r>
    </w:p>
    <w:p w14:paraId="33CFF233" w14:textId="77777777" w:rsidR="0047240E" w:rsidRPr="00D936CA" w:rsidRDefault="00BE37EC" w:rsidP="00ED3F91">
      <w:pPr>
        <w:pStyle w:val="Prrafodelista"/>
        <w:numPr>
          <w:ilvl w:val="0"/>
          <w:numId w:val="72"/>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Reubicación por Cierre de Centrales Telefónicas: 65% de entregas en el tiempo pactado, el 35% restante no podrá exceder el 150% del tiempo original pactado.</w:t>
      </w:r>
    </w:p>
    <w:p w14:paraId="33CFF234" w14:textId="77777777" w:rsidR="003E475D" w:rsidRPr="00D936CA" w:rsidRDefault="003E475D"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En los casos anteriores, la habilitación de servicios para el porcentaje restante no excederá el </w:t>
      </w:r>
      <w:r w:rsidR="00AA46B6" w:rsidRPr="00D936CA">
        <w:rPr>
          <w:rFonts w:ascii="ITC Avant Garde" w:hAnsi="ITC Avant Garde"/>
          <w:sz w:val="22"/>
          <w:szCs w:val="22"/>
          <w:lang w:val="es-MX"/>
        </w:rPr>
        <w:t>150</w:t>
      </w:r>
      <w:r w:rsidRPr="00D936CA">
        <w:rPr>
          <w:rFonts w:ascii="ITC Avant Garde" w:hAnsi="ITC Avant Garde"/>
          <w:sz w:val="22"/>
          <w:szCs w:val="22"/>
          <w:lang w:val="es-MX"/>
        </w:rPr>
        <w:t xml:space="preserve">% de los plazos </w:t>
      </w:r>
      <w:r w:rsidRPr="002E4D4B">
        <w:rPr>
          <w:rFonts w:ascii="ITC Avant Garde" w:hAnsi="ITC Avant Garde"/>
          <w:sz w:val="22"/>
          <w:szCs w:val="22"/>
          <w:lang w:val="es-MX"/>
        </w:rPr>
        <w:t>originales (considerando como plazo el día completo superior).</w:t>
      </w:r>
    </w:p>
    <w:p w14:paraId="33CFF235" w14:textId="77777777" w:rsidR="00C831EF" w:rsidRPr="00D936CA" w:rsidRDefault="003E475D"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Los elementos infraestructurales relacionados con la provisión de cada servicio son los que se señalan en la sección 1.4 de esta </w:t>
      </w:r>
      <w:r w:rsidR="00CA026A" w:rsidRPr="00D936CA">
        <w:rPr>
          <w:rFonts w:ascii="ITC Avant Garde" w:hAnsi="ITC Avant Garde"/>
          <w:sz w:val="22"/>
          <w:szCs w:val="22"/>
          <w:lang w:val="es-MX"/>
        </w:rPr>
        <w:t>OREDA</w:t>
      </w:r>
      <w:r w:rsidRPr="00D936CA">
        <w:rPr>
          <w:rFonts w:ascii="ITC Avant Garde" w:hAnsi="ITC Avant Garde"/>
          <w:sz w:val="22"/>
          <w:szCs w:val="22"/>
          <w:lang w:val="es-MX"/>
        </w:rPr>
        <w:t>.</w:t>
      </w:r>
    </w:p>
    <w:p w14:paraId="33CFF236" w14:textId="77777777" w:rsidR="00AA46B6" w:rsidRPr="00D936CA" w:rsidRDefault="00AA46B6"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Sobre los accesos por falla o mantenimiento preventivo:</w:t>
      </w:r>
    </w:p>
    <w:p w14:paraId="33CFF237" w14:textId="77777777" w:rsidR="00AA46B6" w:rsidRPr="00D936CA" w:rsidRDefault="00AA46B6" w:rsidP="00D936CA">
      <w:pPr>
        <w:pStyle w:val="Prrafodelista"/>
        <w:numPr>
          <w:ilvl w:val="0"/>
          <w:numId w:val="71"/>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Autorización de acceso a Coubicación por falla: 100% de las solicitudes en 2 horas.</w:t>
      </w:r>
    </w:p>
    <w:p w14:paraId="33CFF238" w14:textId="77777777" w:rsidR="00AA46B6" w:rsidRPr="00D936CA" w:rsidRDefault="00AA46B6" w:rsidP="00D936CA">
      <w:pPr>
        <w:pStyle w:val="Prrafodelista"/>
        <w:numPr>
          <w:ilvl w:val="0"/>
          <w:numId w:val="71"/>
        </w:numPr>
        <w:spacing w:after="200" w:line="276" w:lineRule="auto"/>
        <w:jc w:val="both"/>
        <w:rPr>
          <w:rFonts w:ascii="ITC Avant Garde" w:hAnsi="ITC Avant Garde"/>
          <w:sz w:val="22"/>
          <w:szCs w:val="22"/>
          <w:lang w:val="es-ES"/>
        </w:rPr>
      </w:pPr>
      <w:r w:rsidRPr="00D936CA">
        <w:rPr>
          <w:rFonts w:ascii="ITC Avant Garde" w:hAnsi="ITC Avant Garde"/>
          <w:sz w:val="22"/>
          <w:szCs w:val="22"/>
          <w:lang w:val="es-ES"/>
        </w:rPr>
        <w:t>Autorización de acceso por mantenimiento preventivo: 100% de las solicitudes en 2 días hábiles.</w:t>
      </w:r>
    </w:p>
    <w:p w14:paraId="33CFF239" w14:textId="77777777" w:rsidR="00DE1A7E" w:rsidRPr="00D936CA" w:rsidRDefault="00DE1A7E"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Metodología</w:t>
      </w:r>
    </w:p>
    <w:p w14:paraId="33CFF23A" w14:textId="77777777" w:rsidR="00DE1A7E" w:rsidRPr="00D936CA" w:rsidRDefault="00DE1A7E"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Para realizar la medición de los indicadores presentados, se descontarán los plazos de entrega señalados en la sección </w:t>
      </w:r>
      <w:r w:rsidR="00D57AC3" w:rsidRPr="00D936CA">
        <w:rPr>
          <w:rFonts w:ascii="ITC Avant Garde" w:hAnsi="ITC Avant Garde"/>
          <w:sz w:val="22"/>
          <w:szCs w:val="22"/>
          <w:lang w:val="es-MX"/>
        </w:rPr>
        <w:t>8</w:t>
      </w:r>
      <w:r w:rsidRPr="00D936CA">
        <w:rPr>
          <w:rFonts w:ascii="ITC Avant Garde" w:hAnsi="ITC Avant Garde"/>
          <w:sz w:val="22"/>
          <w:szCs w:val="22"/>
          <w:lang w:val="es-MX"/>
        </w:rPr>
        <w:t>.</w:t>
      </w:r>
      <w:r w:rsidR="00D57AC3" w:rsidRPr="00D936CA">
        <w:rPr>
          <w:rFonts w:ascii="ITC Avant Garde" w:hAnsi="ITC Avant Garde"/>
          <w:sz w:val="22"/>
          <w:szCs w:val="22"/>
          <w:lang w:val="es-MX"/>
        </w:rPr>
        <w:t>6</w:t>
      </w:r>
      <w:r w:rsidRPr="00D936CA">
        <w:rPr>
          <w:rFonts w:ascii="ITC Avant Garde" w:hAnsi="ITC Avant Garde"/>
          <w:sz w:val="22"/>
          <w:szCs w:val="22"/>
          <w:lang w:val="es-MX"/>
        </w:rPr>
        <w:t xml:space="preserve"> de este documento de los días totales utilizados para la realización de dicha actividad, considerando como inicio del proceso el día en que se solicitó el servicio por parte del CS. La misma metodología se aplicará para las tres modalidades de Coubicación.</w:t>
      </w:r>
    </w:p>
    <w:p w14:paraId="33CFF23B" w14:textId="77777777" w:rsidR="00DE1A7E" w:rsidRPr="00D936CA" w:rsidRDefault="00DE1A7E"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Parámetros e Indicadores para Reparación de Fallas</w:t>
      </w:r>
    </w:p>
    <w:p w14:paraId="33CFF23C" w14:textId="77777777" w:rsidR="000B293F" w:rsidRPr="00D936CA" w:rsidRDefault="003F2E19" w:rsidP="00060B2E">
      <w:pPr>
        <w:pStyle w:val="CondicionesFinales"/>
        <w:ind w:left="-567" w:right="-142"/>
        <w:rPr>
          <w:rFonts w:cs="Times New Roman"/>
          <w:bCs w:val="0"/>
          <w:color w:val="auto"/>
          <w:lang w:val="es-MX"/>
        </w:rPr>
      </w:pPr>
      <w:r w:rsidRPr="00D936CA">
        <w:rPr>
          <w:rFonts w:cs="Times New Roman"/>
          <w:bCs w:val="0"/>
          <w:color w:val="auto"/>
          <w:lang w:val="es-MX"/>
        </w:rPr>
        <w:t xml:space="preserve">En virtud de que el servicio de Coubicación es un servicio necesario para que el CS pueda proveer los </w:t>
      </w:r>
      <w:r w:rsidRPr="007241B3">
        <w:rPr>
          <w:rFonts w:cs="Times New Roman"/>
          <w:bCs w:val="0"/>
          <w:color w:val="auto"/>
          <w:lang w:val="es-MX"/>
        </w:rPr>
        <w:t>Servicios de Acceso Indirecto al Bucle</w:t>
      </w:r>
      <w:r w:rsidRPr="00D936CA">
        <w:rPr>
          <w:rFonts w:cs="Times New Roman"/>
          <w:bCs w:val="0"/>
          <w:color w:val="auto"/>
          <w:lang w:val="es-MX"/>
        </w:rPr>
        <w:t xml:space="preserve"> así como Desagregación Total y </w:t>
      </w:r>
      <w:r w:rsidRPr="00D936CA">
        <w:rPr>
          <w:rFonts w:cs="Times New Roman"/>
          <w:bCs w:val="0"/>
          <w:color w:val="auto"/>
          <w:lang w:val="es-MX"/>
        </w:rPr>
        <w:lastRenderedPageBreak/>
        <w:t>Compartida del Bucle y de</w:t>
      </w:r>
      <w:r w:rsidRPr="00D936CA">
        <w:rPr>
          <w:rFonts w:cs="Times New Roman"/>
          <w:color w:val="auto"/>
          <w:lang w:val="es-MX"/>
        </w:rPr>
        <w:t>l Sub-bucle a usuarios finales,</w:t>
      </w:r>
      <w:r w:rsidRPr="00D936CA">
        <w:rPr>
          <w:rFonts w:cs="Times New Roman"/>
          <w:bCs w:val="0"/>
          <w:color w:val="auto"/>
          <w:lang w:val="es-MX"/>
        </w:rPr>
        <w:t xml:space="preserve"> </w:t>
      </w:r>
      <w:r w:rsidR="000B293F" w:rsidRPr="00D936CA">
        <w:rPr>
          <w:rFonts w:cs="Times New Roman"/>
          <w:bCs w:val="0"/>
          <w:color w:val="auto"/>
          <w:lang w:val="es-MX"/>
        </w:rPr>
        <w:t xml:space="preserve">es en dichos servicios finales donde se contabilizará la disponibilidad de los servicios y la reparación de fallas, por lo que en este servicio no se incluirán parámetros específicos al respecto, ya que de hacerlo se estaría duplicando su contabilización para una misma incidencia. </w:t>
      </w:r>
    </w:p>
    <w:p w14:paraId="33CFF23D" w14:textId="72257D57" w:rsidR="003F2E19" w:rsidRPr="00D936CA" w:rsidRDefault="000B293F" w:rsidP="00060B2E">
      <w:pPr>
        <w:pStyle w:val="CondicionesFinales"/>
        <w:ind w:left="-567" w:right="-142"/>
        <w:rPr>
          <w:rFonts w:cs="Times New Roman"/>
          <w:bCs w:val="0"/>
          <w:color w:val="auto"/>
          <w:lang w:val="es-MX"/>
        </w:rPr>
      </w:pPr>
      <w:r w:rsidRPr="00D936CA">
        <w:rPr>
          <w:rFonts w:cs="Times New Roman"/>
          <w:bCs w:val="0"/>
          <w:color w:val="auto"/>
          <w:lang w:val="es-MX"/>
        </w:rPr>
        <w:t xml:space="preserve">En lo relativo a </w:t>
      </w:r>
      <w:r w:rsidR="005C37E2" w:rsidRPr="00D936CA">
        <w:rPr>
          <w:rFonts w:cs="Times New Roman"/>
          <w:bCs w:val="0"/>
          <w:color w:val="auto"/>
          <w:lang w:val="es-MX"/>
        </w:rPr>
        <w:t>l</w:t>
      </w:r>
      <w:r w:rsidR="003F2E19" w:rsidRPr="00D936CA">
        <w:rPr>
          <w:rFonts w:cs="Times New Roman"/>
          <w:bCs w:val="0"/>
          <w:color w:val="auto"/>
          <w:lang w:val="es-MX"/>
        </w:rPr>
        <w:t xml:space="preserve">os parámetros e indicadores de calidad asociados a fallas en el suministro de energía eléctrica </w:t>
      </w:r>
      <w:r w:rsidRPr="00D936CA">
        <w:rPr>
          <w:rFonts w:cs="Times New Roman"/>
          <w:bCs w:val="0"/>
          <w:color w:val="auto"/>
          <w:lang w:val="es-MX"/>
        </w:rPr>
        <w:t>el servicio se ofrece con un esquema de respaldo a través de bancos de baterías en las principales centrales (más de 5,000 líneas)</w:t>
      </w:r>
      <w:r w:rsidR="003F2E19" w:rsidRPr="00D936CA">
        <w:rPr>
          <w:rFonts w:cs="Times New Roman"/>
          <w:bCs w:val="0"/>
          <w:color w:val="auto"/>
          <w:lang w:val="es-MX"/>
        </w:rPr>
        <w:t xml:space="preserve">, </w:t>
      </w:r>
      <w:r w:rsidRPr="00D936CA">
        <w:rPr>
          <w:rFonts w:cs="Times New Roman"/>
          <w:bCs w:val="0"/>
          <w:color w:val="auto"/>
          <w:lang w:val="es-MX"/>
        </w:rPr>
        <w:t xml:space="preserve">por lo que las </w:t>
      </w:r>
      <w:r w:rsidR="003F2E19" w:rsidRPr="00D936CA">
        <w:rPr>
          <w:rFonts w:cs="Times New Roman"/>
          <w:bCs w:val="0"/>
          <w:color w:val="auto"/>
          <w:lang w:val="es-MX"/>
        </w:rPr>
        <w:t xml:space="preserve">condiciones </w:t>
      </w:r>
      <w:r w:rsidR="00371341" w:rsidRPr="00D936CA">
        <w:rPr>
          <w:rFonts w:cs="Times New Roman"/>
          <w:bCs w:val="0"/>
          <w:color w:val="auto"/>
          <w:lang w:val="es-MX"/>
        </w:rPr>
        <w:t xml:space="preserve">ambientales </w:t>
      </w:r>
      <w:r w:rsidR="003F2E19" w:rsidRPr="00D936CA">
        <w:rPr>
          <w:rFonts w:cs="Times New Roman"/>
          <w:bCs w:val="0"/>
          <w:color w:val="auto"/>
          <w:lang w:val="es-MX"/>
        </w:rPr>
        <w:t xml:space="preserve">de acceso, iluminación y </w:t>
      </w:r>
      <w:r w:rsidR="002351BB" w:rsidRPr="00D936CA">
        <w:rPr>
          <w:rFonts w:cs="Times New Roman"/>
          <w:bCs w:val="0"/>
          <w:color w:val="auto"/>
          <w:lang w:val="es-MX"/>
        </w:rPr>
        <w:t>vigilancia</w:t>
      </w:r>
      <w:r w:rsidR="003F2E19" w:rsidRPr="00D936CA">
        <w:rPr>
          <w:rFonts w:cs="Times New Roman"/>
          <w:bCs w:val="0"/>
          <w:color w:val="auto"/>
          <w:lang w:val="es-MX"/>
        </w:rPr>
        <w:t xml:space="preserve"> serán los mismos que Telmex emplee para su propia operación. </w:t>
      </w:r>
    </w:p>
    <w:p w14:paraId="33CFF23E" w14:textId="5EA4187B" w:rsidR="003F2E19" w:rsidRPr="00D936CA" w:rsidRDefault="003F2E19" w:rsidP="00060B2E">
      <w:pPr>
        <w:pStyle w:val="CondicionesFinales"/>
        <w:ind w:left="-567" w:right="-142"/>
        <w:rPr>
          <w:rFonts w:cs="Times New Roman"/>
          <w:bCs w:val="0"/>
          <w:color w:val="auto"/>
          <w:lang w:val="es-MX"/>
        </w:rPr>
      </w:pPr>
      <w:r w:rsidRPr="00D936CA">
        <w:rPr>
          <w:rFonts w:cs="Times New Roman"/>
          <w:bCs w:val="0"/>
          <w:color w:val="auto"/>
          <w:lang w:val="es-MX"/>
        </w:rPr>
        <w:t xml:space="preserve">Las fallas ocasionadas por desastres naturales o causas de fuerza </w:t>
      </w:r>
      <w:r w:rsidR="002351BB" w:rsidRPr="00D936CA">
        <w:rPr>
          <w:rFonts w:cs="Times New Roman"/>
          <w:bCs w:val="0"/>
          <w:color w:val="auto"/>
          <w:lang w:val="es-MX"/>
        </w:rPr>
        <w:t>mayor</w:t>
      </w:r>
      <w:r w:rsidRPr="00D936CA">
        <w:rPr>
          <w:rFonts w:cs="Times New Roman"/>
          <w:bCs w:val="0"/>
          <w:color w:val="auto"/>
          <w:lang w:val="es-MX"/>
        </w:rPr>
        <w:t xml:space="preserve"> serán atendidas en plazos que reflejen la complejidad de las actividades a realizar</w:t>
      </w:r>
      <w:r w:rsidR="00907B53" w:rsidRPr="00D936CA">
        <w:rPr>
          <w:rFonts w:cs="Times New Roman"/>
          <w:bCs w:val="0"/>
          <w:color w:val="auto"/>
          <w:lang w:val="es-MX"/>
        </w:rPr>
        <w:t>.</w:t>
      </w:r>
    </w:p>
    <w:p w14:paraId="33CFF23F" w14:textId="77777777" w:rsidR="00DE1A7E" w:rsidRPr="00D936CA" w:rsidRDefault="003F2E19" w:rsidP="00060B2E">
      <w:pPr>
        <w:pStyle w:val="CondicionesFinales"/>
        <w:ind w:left="-567" w:right="-142"/>
        <w:rPr>
          <w:rFonts w:cs="Times New Roman"/>
          <w:bCs w:val="0"/>
          <w:color w:val="auto"/>
          <w:lang w:val="es-MX"/>
        </w:rPr>
      </w:pPr>
      <w:r w:rsidRPr="00D936CA">
        <w:rPr>
          <w:rFonts w:cs="Times New Roman"/>
          <w:bCs w:val="0"/>
          <w:color w:val="auto"/>
          <w:lang w:val="es-MX"/>
        </w:rPr>
        <w:t>Si las fallas en energía o clima fueron ocasionadas por un mal uso de las instalaciones o por excesos de consumo de los equipos de concesionario, el CS deberá pagar las reparaciones correspondientes.</w:t>
      </w:r>
    </w:p>
    <w:p w14:paraId="67838930" w14:textId="779DDFA1" w:rsidR="002351BB" w:rsidRDefault="002351BB" w:rsidP="00A467F4">
      <w:pPr>
        <w:pStyle w:val="CondicionesFinales"/>
        <w:ind w:left="0" w:right="-142"/>
        <w:rPr>
          <w:rFonts w:cs="Times New Roman"/>
          <w:bCs w:val="0"/>
          <w:color w:val="auto"/>
          <w:lang w:val="es-MX"/>
        </w:rPr>
      </w:pPr>
    </w:p>
    <w:p w14:paraId="7E99123B" w14:textId="515D4D41" w:rsidR="00A467F4" w:rsidRDefault="00A467F4" w:rsidP="00A467F4">
      <w:pPr>
        <w:pStyle w:val="CondicionesFinales"/>
        <w:ind w:left="0" w:right="-142"/>
        <w:rPr>
          <w:rFonts w:cs="Times New Roman"/>
          <w:bCs w:val="0"/>
          <w:color w:val="auto"/>
          <w:lang w:val="es-MX"/>
        </w:rPr>
      </w:pPr>
    </w:p>
    <w:p w14:paraId="03699F24" w14:textId="77777777" w:rsidR="00A467F4" w:rsidRPr="00D936CA" w:rsidRDefault="00A467F4" w:rsidP="00A467F4">
      <w:pPr>
        <w:pStyle w:val="CondicionesFinales"/>
        <w:ind w:left="0" w:right="-142"/>
        <w:rPr>
          <w:rFonts w:cs="Times New Roman"/>
          <w:bCs w:val="0"/>
          <w:color w:val="auto"/>
          <w:lang w:val="es-MX"/>
        </w:rPr>
      </w:pPr>
    </w:p>
    <w:p w14:paraId="33CFF241" w14:textId="77777777" w:rsidR="0026522C" w:rsidRPr="00D936CA" w:rsidRDefault="006A522B" w:rsidP="002351BB">
      <w:pPr>
        <w:pStyle w:val="Prrafodelista"/>
        <w:numPr>
          <w:ilvl w:val="2"/>
          <w:numId w:val="143"/>
        </w:numPr>
        <w:tabs>
          <w:tab w:val="left" w:pos="993"/>
        </w:tabs>
        <w:spacing w:after="240"/>
        <w:ind w:left="850" w:hanging="425"/>
        <w:outlineLvl w:val="2"/>
        <w:rPr>
          <w:rFonts w:ascii="ITC Avant Garde" w:hAnsi="ITC Avant Garde"/>
          <w:b/>
          <w:sz w:val="22"/>
        </w:rPr>
      </w:pPr>
      <w:bookmarkStart w:id="745" w:name="_Toc436840929"/>
      <w:bookmarkStart w:id="746" w:name="_Toc436846366"/>
      <w:bookmarkStart w:id="747" w:name="_Toc436848316"/>
      <w:bookmarkStart w:id="748" w:name="_Toc436856564"/>
      <w:bookmarkStart w:id="749" w:name="_Toc436862710"/>
      <w:bookmarkStart w:id="750" w:name="_Toc436866360"/>
      <w:bookmarkStart w:id="751" w:name="_Toc436870939"/>
      <w:bookmarkStart w:id="752" w:name="_Toc436875931"/>
      <w:bookmarkStart w:id="753" w:name="_Toc467248764"/>
      <w:bookmarkStart w:id="754" w:name="_Toc518032047"/>
      <w:r w:rsidRPr="00D936CA">
        <w:rPr>
          <w:rFonts w:ascii="ITC Avant Garde" w:hAnsi="ITC Avant Garde"/>
          <w:b/>
          <w:sz w:val="22"/>
        </w:rPr>
        <w:t>Propuesta de mejora de parámetros de calidad</w:t>
      </w:r>
      <w:bookmarkEnd w:id="745"/>
      <w:bookmarkEnd w:id="746"/>
      <w:bookmarkEnd w:id="747"/>
      <w:bookmarkEnd w:id="748"/>
      <w:bookmarkEnd w:id="749"/>
      <w:bookmarkEnd w:id="750"/>
      <w:bookmarkEnd w:id="751"/>
      <w:bookmarkEnd w:id="752"/>
      <w:bookmarkEnd w:id="753"/>
      <w:bookmarkEnd w:id="754"/>
    </w:p>
    <w:p w14:paraId="33CFF246" w14:textId="7C6A31D6" w:rsidR="00915A69" w:rsidRDefault="001D7511" w:rsidP="00060B2E">
      <w:pPr>
        <w:spacing w:after="200" w:line="276" w:lineRule="auto"/>
        <w:ind w:left="-567" w:right="-142"/>
        <w:jc w:val="both"/>
        <w:rPr>
          <w:rFonts w:ascii="ITC Avant Garde" w:hAnsi="ITC Avant Garde"/>
          <w:sz w:val="22"/>
          <w:szCs w:val="22"/>
          <w:lang w:val="es-MX"/>
        </w:rPr>
      </w:pPr>
      <w:r w:rsidRPr="001D7511">
        <w:rPr>
          <w:rFonts w:ascii="ITC Avant Garde" w:hAnsi="ITC Avant Garde"/>
          <w:sz w:val="22"/>
          <w:szCs w:val="22"/>
          <w:lang w:val="es-MX"/>
        </w:rPr>
        <w:t>Cualquier evaluación de propuestas de mejora de parámetros de calidad, deberá llevarse a cabo mediante las disposiciones o lineamientos aplicables en la materia que en su caso emita el Instituto.</w:t>
      </w:r>
      <w:r w:rsidR="00CA686A">
        <w:rPr>
          <w:rFonts w:ascii="ITC Avant Garde" w:hAnsi="ITC Avant Garde"/>
          <w:sz w:val="22"/>
          <w:szCs w:val="22"/>
          <w:lang w:val="es-MX"/>
        </w:rPr>
        <w:t xml:space="preserve"> </w:t>
      </w:r>
    </w:p>
    <w:p w14:paraId="73BCBA62" w14:textId="77777777" w:rsidR="002351BB" w:rsidRPr="00D936CA" w:rsidRDefault="002351BB" w:rsidP="00060B2E">
      <w:pPr>
        <w:spacing w:after="200" w:line="276" w:lineRule="auto"/>
        <w:ind w:left="-567" w:right="-142"/>
        <w:jc w:val="both"/>
        <w:rPr>
          <w:rFonts w:ascii="ITC Avant Garde" w:hAnsi="ITC Avant Garde"/>
          <w:sz w:val="22"/>
          <w:szCs w:val="22"/>
          <w:lang w:val="es-MX"/>
        </w:rPr>
      </w:pPr>
    </w:p>
    <w:p w14:paraId="33CFF247" w14:textId="77777777" w:rsidR="00251D03" w:rsidRPr="00D936CA" w:rsidRDefault="00251D03" w:rsidP="00D936CA">
      <w:pPr>
        <w:pStyle w:val="Ttulo2"/>
        <w:numPr>
          <w:ilvl w:val="1"/>
          <w:numId w:val="143"/>
        </w:numPr>
        <w:ind w:left="851" w:hanging="425"/>
      </w:pPr>
      <w:bookmarkStart w:id="755" w:name="_Toc436840930"/>
      <w:bookmarkStart w:id="756" w:name="_Toc436846367"/>
      <w:bookmarkStart w:id="757" w:name="_Toc436848317"/>
      <w:bookmarkStart w:id="758" w:name="_Toc436856565"/>
      <w:bookmarkStart w:id="759" w:name="_Toc436862711"/>
      <w:bookmarkStart w:id="760" w:name="_Toc436866361"/>
      <w:bookmarkStart w:id="761" w:name="_Toc436870940"/>
      <w:bookmarkStart w:id="762" w:name="_Toc436875932"/>
      <w:bookmarkStart w:id="763" w:name="_Toc467248765"/>
      <w:bookmarkStart w:id="764" w:name="_Toc518032048"/>
      <w:r w:rsidRPr="00D936CA">
        <w:t>Procedimiento para la entrega del Servicio de Coubicación para Desagregación</w:t>
      </w:r>
      <w:bookmarkEnd w:id="755"/>
      <w:bookmarkEnd w:id="756"/>
      <w:bookmarkEnd w:id="757"/>
      <w:bookmarkEnd w:id="758"/>
      <w:bookmarkEnd w:id="759"/>
      <w:bookmarkEnd w:id="760"/>
      <w:bookmarkEnd w:id="761"/>
      <w:bookmarkEnd w:id="762"/>
      <w:bookmarkEnd w:id="763"/>
      <w:bookmarkEnd w:id="764"/>
    </w:p>
    <w:p w14:paraId="33CFF248" w14:textId="77777777" w:rsidR="00251D03" w:rsidRPr="00D936CA" w:rsidRDefault="00251D03"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El Objetivo de este procedimiento es describir las actividades que se desarrollarán por parte de Telmex y los CS para formalizar la entrega del servicio de Coubicación e inicio de la facturación del mismo. Este procedimiento aplica para la entrega de la Coubicación Cerrada (CC), en las Centrales Telefónicas y/o Instalaciones Equivalentes</w:t>
      </w:r>
      <w:r w:rsidR="002B095D" w:rsidRPr="00D936CA">
        <w:rPr>
          <w:rFonts w:ascii="ITC Avant Garde" w:hAnsi="ITC Avant Garde"/>
          <w:sz w:val="22"/>
          <w:szCs w:val="22"/>
          <w:lang w:val="es-MX"/>
        </w:rPr>
        <w:t xml:space="preserve"> de Telmex.</w:t>
      </w:r>
    </w:p>
    <w:p w14:paraId="33CFF249" w14:textId="60E06AEF" w:rsidR="002B095D" w:rsidRPr="00D936CA" w:rsidRDefault="002B095D" w:rsidP="00D936CA">
      <w:pPr>
        <w:pStyle w:val="Prrafodelista"/>
        <w:numPr>
          <w:ilvl w:val="0"/>
          <w:numId w:val="7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Terminados los trabajos de habilitación de los Servicios para Coubicación, se notificará al CS a través del </w:t>
      </w:r>
      <w:r w:rsidR="00ED6B9D">
        <w:rPr>
          <w:rFonts w:ascii="ITC Avant Garde" w:hAnsi="ITC Avant Garde"/>
          <w:sz w:val="22"/>
          <w:szCs w:val="22"/>
          <w:lang w:val="es-MX"/>
        </w:rPr>
        <w:t>SEG</w:t>
      </w:r>
      <w:r w:rsidRPr="00D936CA">
        <w:rPr>
          <w:rFonts w:ascii="ITC Avant Garde" w:hAnsi="ITC Avant Garde"/>
          <w:sz w:val="22"/>
          <w:szCs w:val="22"/>
          <w:lang w:val="es-MX"/>
        </w:rPr>
        <w:t>.</w:t>
      </w:r>
    </w:p>
    <w:p w14:paraId="33CFF24A" w14:textId="77777777" w:rsidR="002B095D" w:rsidRPr="00D936CA" w:rsidRDefault="00371341" w:rsidP="00D936CA">
      <w:pPr>
        <w:pStyle w:val="Prrafodelista"/>
        <w:numPr>
          <w:ilvl w:val="0"/>
          <w:numId w:val="7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Telmex acordará con el CS la fecha de entrega del servicio con una anticipación mínima de 48 horas hábiles.</w:t>
      </w:r>
    </w:p>
    <w:p w14:paraId="33CFF24B" w14:textId="08FC8173" w:rsidR="002B095D" w:rsidRPr="00D936CA" w:rsidRDefault="002B095D" w:rsidP="00D936CA">
      <w:pPr>
        <w:pStyle w:val="Prrafodelista"/>
        <w:numPr>
          <w:ilvl w:val="0"/>
          <w:numId w:val="7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lastRenderedPageBreak/>
        <w:t xml:space="preserve">El día de la entrega el área de Operación y Mantenimiento de Telmex, así como el CS utilizando el Formato de Recepción para Cubicaciones de Concesionarios </w:t>
      </w:r>
      <w:r w:rsidR="002351BB" w:rsidRPr="00D936CA">
        <w:rPr>
          <w:rFonts w:ascii="ITC Avant Garde" w:hAnsi="ITC Avant Garde"/>
          <w:sz w:val="22"/>
          <w:szCs w:val="22"/>
          <w:lang w:val="es-MX"/>
        </w:rPr>
        <w:t>Solicitantes revisarán</w:t>
      </w:r>
      <w:r w:rsidRPr="00D936CA">
        <w:rPr>
          <w:rFonts w:ascii="ITC Avant Garde" w:hAnsi="ITC Avant Garde"/>
          <w:sz w:val="22"/>
          <w:szCs w:val="22"/>
          <w:lang w:val="es-MX"/>
        </w:rPr>
        <w:t xml:space="preserve"> que las facilidades técnicas y servicios auxiliares estén en conformidad </w:t>
      </w:r>
      <w:r w:rsidR="008E0EEC" w:rsidRPr="00D936CA">
        <w:rPr>
          <w:rFonts w:ascii="ITC Avant Garde" w:hAnsi="ITC Avant Garde"/>
          <w:sz w:val="22"/>
          <w:szCs w:val="22"/>
          <w:lang w:val="es-MX"/>
        </w:rPr>
        <w:t>con el</w:t>
      </w:r>
      <w:r w:rsidRPr="00D936CA">
        <w:rPr>
          <w:rFonts w:ascii="ITC Avant Garde" w:hAnsi="ITC Avant Garde"/>
          <w:sz w:val="22"/>
          <w:szCs w:val="22"/>
          <w:lang w:val="es-MX"/>
        </w:rPr>
        <w:t xml:space="preserve"> servicio contratado. En caso de no identificar alguna desviación, ambas partes firmarán como aceptación el</w:t>
      </w:r>
      <w:r w:rsidR="008E0EEC" w:rsidRPr="00D936CA">
        <w:rPr>
          <w:rFonts w:ascii="ITC Avant Garde" w:hAnsi="ITC Avant Garde"/>
          <w:sz w:val="22"/>
          <w:szCs w:val="22"/>
          <w:lang w:val="es-MX"/>
        </w:rPr>
        <w:t xml:space="preserve"> </w:t>
      </w:r>
      <w:r w:rsidRPr="00D936CA">
        <w:rPr>
          <w:rFonts w:ascii="ITC Avant Garde" w:hAnsi="ITC Avant Garde"/>
          <w:sz w:val="22"/>
          <w:szCs w:val="22"/>
          <w:lang w:val="es-MX"/>
        </w:rPr>
        <w:t>formato antes mencionado.</w:t>
      </w:r>
    </w:p>
    <w:p w14:paraId="33CFF24C" w14:textId="1BFEE442" w:rsidR="002B095D" w:rsidRPr="00D936CA" w:rsidRDefault="002B095D" w:rsidP="00D936CA">
      <w:pPr>
        <w:pStyle w:val="Prrafodelista"/>
        <w:numPr>
          <w:ilvl w:val="0"/>
          <w:numId w:val="7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En caso de identificar alguna desviación al servicio se programará </w:t>
      </w:r>
      <w:r w:rsidR="008E0EEC" w:rsidRPr="00D936CA">
        <w:rPr>
          <w:rFonts w:ascii="ITC Avant Garde" w:hAnsi="ITC Avant Garde"/>
          <w:sz w:val="22"/>
          <w:szCs w:val="22"/>
          <w:lang w:val="es-MX"/>
        </w:rPr>
        <w:t xml:space="preserve">una </w:t>
      </w:r>
      <w:r w:rsidRPr="00D936CA">
        <w:rPr>
          <w:rFonts w:ascii="ITC Avant Garde" w:hAnsi="ITC Avant Garde"/>
          <w:sz w:val="22"/>
          <w:szCs w:val="22"/>
          <w:lang w:val="es-MX"/>
        </w:rPr>
        <w:t>nueva fecha de entrega de acuerdo al tipo de modificación o adecuación que se requiera</w:t>
      </w:r>
      <w:r w:rsidR="00C801BF">
        <w:rPr>
          <w:rFonts w:ascii="ITC Avant Garde" w:hAnsi="ITC Avant Garde"/>
          <w:sz w:val="22"/>
          <w:szCs w:val="22"/>
          <w:lang w:val="es-MX"/>
        </w:rPr>
        <w:t>.</w:t>
      </w:r>
      <w:r w:rsidRPr="00D936CA">
        <w:rPr>
          <w:rFonts w:ascii="ITC Avant Garde" w:hAnsi="ITC Avant Garde"/>
          <w:sz w:val="22"/>
          <w:szCs w:val="22"/>
          <w:lang w:val="es-MX"/>
        </w:rPr>
        <w:t xml:space="preserve"> </w:t>
      </w:r>
    </w:p>
    <w:p w14:paraId="33CFF24D" w14:textId="6CE495F4" w:rsidR="00251D03" w:rsidRPr="00D936CA" w:rsidRDefault="002B095D" w:rsidP="00D936CA">
      <w:pPr>
        <w:pStyle w:val="Prrafodelista"/>
        <w:numPr>
          <w:ilvl w:val="0"/>
          <w:numId w:val="70"/>
        </w:numPr>
        <w:spacing w:after="200" w:line="276" w:lineRule="auto"/>
        <w:jc w:val="both"/>
        <w:rPr>
          <w:rFonts w:ascii="ITC Avant Garde" w:hAnsi="ITC Avant Garde"/>
          <w:sz w:val="22"/>
          <w:szCs w:val="22"/>
          <w:lang w:val="es-MX"/>
        </w:rPr>
      </w:pPr>
      <w:r w:rsidRPr="00D936CA">
        <w:rPr>
          <w:rFonts w:ascii="ITC Avant Garde" w:hAnsi="ITC Avant Garde"/>
          <w:sz w:val="22"/>
          <w:szCs w:val="22"/>
          <w:lang w:val="es-MX"/>
        </w:rPr>
        <w:t xml:space="preserve">Una vez firmado el Formato </w:t>
      </w:r>
      <w:r w:rsidR="008E0EEC" w:rsidRPr="00D936CA">
        <w:rPr>
          <w:rFonts w:ascii="ITC Avant Garde" w:hAnsi="ITC Avant Garde"/>
          <w:sz w:val="22"/>
          <w:szCs w:val="22"/>
          <w:lang w:val="es-MX"/>
        </w:rPr>
        <w:t>de Recepción para C</w:t>
      </w:r>
      <w:r w:rsidR="006B0C71">
        <w:rPr>
          <w:rFonts w:ascii="ITC Avant Garde" w:hAnsi="ITC Avant Garde"/>
          <w:sz w:val="22"/>
          <w:szCs w:val="22"/>
          <w:lang w:val="es-MX"/>
        </w:rPr>
        <w:t>o</w:t>
      </w:r>
      <w:r w:rsidR="008E0EEC" w:rsidRPr="00D936CA">
        <w:rPr>
          <w:rFonts w:ascii="ITC Avant Garde" w:hAnsi="ITC Avant Garde"/>
          <w:sz w:val="22"/>
          <w:szCs w:val="22"/>
          <w:lang w:val="es-MX"/>
        </w:rPr>
        <w:t xml:space="preserve">ubicaciones iniciará </w:t>
      </w:r>
      <w:r w:rsidRPr="00D936CA">
        <w:rPr>
          <w:rFonts w:ascii="ITC Avant Garde" w:hAnsi="ITC Avant Garde"/>
          <w:sz w:val="22"/>
          <w:szCs w:val="22"/>
          <w:lang w:val="es-MX"/>
        </w:rPr>
        <w:t>la facturación del servicio.</w:t>
      </w:r>
    </w:p>
    <w:p w14:paraId="33CFF24E" w14:textId="18599273" w:rsidR="001B10B5" w:rsidRPr="00D936CA" w:rsidRDefault="001B10B5"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Metodología para la realización de Pruebas de aceptación para las C</w:t>
      </w:r>
      <w:r w:rsidR="006B0C71">
        <w:rPr>
          <w:rFonts w:ascii="ITC Avant Garde" w:hAnsi="ITC Avant Garde"/>
          <w:b/>
          <w:sz w:val="22"/>
          <w:szCs w:val="22"/>
          <w:lang w:val="es-MX"/>
        </w:rPr>
        <w:t>o</w:t>
      </w:r>
      <w:r w:rsidRPr="00D936CA">
        <w:rPr>
          <w:rFonts w:ascii="ITC Avant Garde" w:hAnsi="ITC Avant Garde"/>
          <w:b/>
          <w:sz w:val="22"/>
          <w:szCs w:val="22"/>
          <w:lang w:val="es-MX"/>
        </w:rPr>
        <w:t>ubicaciones</w:t>
      </w:r>
    </w:p>
    <w:p w14:paraId="33CFF24F" w14:textId="59FEC416" w:rsidR="001B10B5" w:rsidRDefault="001B10B5"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Las pruebas se llevarán a cabo mediante inspecciones físicas y/o mediciones de los aspectos indicados en el </w:t>
      </w:r>
      <w:r w:rsidR="00C62DE4" w:rsidRPr="00D936CA">
        <w:rPr>
          <w:rFonts w:ascii="ITC Avant Garde" w:hAnsi="ITC Avant Garde"/>
          <w:sz w:val="22"/>
          <w:szCs w:val="22"/>
          <w:lang w:val="es-MX"/>
        </w:rPr>
        <w:t>LISTADO DE VERIFICACIÓN PARA EL SERVICIO DE COUBICACIÓN PARA DESAGREGACIÓN</w:t>
      </w:r>
      <w:r w:rsidRPr="00D936CA">
        <w:rPr>
          <w:rFonts w:ascii="ITC Avant Garde" w:hAnsi="ITC Avant Garde"/>
          <w:sz w:val="22"/>
          <w:szCs w:val="22"/>
          <w:lang w:val="es-MX"/>
        </w:rPr>
        <w:t xml:space="preserve"> según se requiera, los resultados obtenidos deberán registrarse en el campo correspondiente de dicho formato.</w:t>
      </w:r>
    </w:p>
    <w:p w14:paraId="1DB55962" w14:textId="77777777" w:rsidR="002351BB" w:rsidRPr="00D936CA" w:rsidRDefault="002351BB" w:rsidP="00060B2E">
      <w:pPr>
        <w:spacing w:after="200" w:line="276" w:lineRule="auto"/>
        <w:ind w:left="-567" w:right="-142"/>
        <w:jc w:val="both"/>
        <w:rPr>
          <w:rFonts w:ascii="ITC Avant Garde" w:hAnsi="ITC Avant Garde"/>
          <w:sz w:val="22"/>
          <w:szCs w:val="22"/>
          <w:lang w:val="es-MX"/>
        </w:rPr>
      </w:pPr>
    </w:p>
    <w:p w14:paraId="33CFF250" w14:textId="4B9D2A14" w:rsidR="001B10B5" w:rsidRDefault="001B10B5" w:rsidP="00D936CA">
      <w:pPr>
        <w:pStyle w:val="Ttulo2"/>
        <w:numPr>
          <w:ilvl w:val="1"/>
          <w:numId w:val="143"/>
        </w:numPr>
        <w:ind w:left="851" w:hanging="425"/>
      </w:pPr>
      <w:bookmarkStart w:id="765" w:name="_Toc436840931"/>
      <w:bookmarkStart w:id="766" w:name="_Toc436846368"/>
      <w:bookmarkStart w:id="767" w:name="_Toc436848318"/>
      <w:bookmarkStart w:id="768" w:name="_Toc436856566"/>
      <w:bookmarkStart w:id="769" w:name="_Toc436862712"/>
      <w:bookmarkStart w:id="770" w:name="_Toc436866362"/>
      <w:bookmarkStart w:id="771" w:name="_Toc436870941"/>
      <w:bookmarkStart w:id="772" w:name="_Toc436875933"/>
      <w:bookmarkStart w:id="773" w:name="_Toc467248766"/>
      <w:bookmarkStart w:id="774" w:name="_Toc518032049"/>
      <w:r w:rsidRPr="00D936CA">
        <w:lastRenderedPageBreak/>
        <w:t xml:space="preserve">Formatos </w:t>
      </w:r>
      <w:r w:rsidR="004B2386" w:rsidRPr="00D936CA">
        <w:t>del</w:t>
      </w:r>
      <w:r w:rsidRPr="00D936CA">
        <w:t xml:space="preserve"> Servicio de Coubicación para Desagregación</w:t>
      </w:r>
      <w:bookmarkEnd w:id="765"/>
      <w:bookmarkEnd w:id="766"/>
      <w:bookmarkEnd w:id="767"/>
      <w:bookmarkEnd w:id="768"/>
      <w:bookmarkEnd w:id="769"/>
      <w:bookmarkEnd w:id="770"/>
      <w:bookmarkEnd w:id="771"/>
      <w:bookmarkEnd w:id="772"/>
      <w:bookmarkEnd w:id="773"/>
      <w:bookmarkEnd w:id="774"/>
    </w:p>
    <w:p w14:paraId="33CFF251" w14:textId="6BCE4C39" w:rsidR="00D61DBE" w:rsidRPr="00ED3F91" w:rsidRDefault="00AE0C59" w:rsidP="00060B2E">
      <w:pPr>
        <w:spacing w:after="200" w:line="276" w:lineRule="auto"/>
        <w:jc w:val="center"/>
        <w:rPr>
          <w:rFonts w:ascii="ITC Avant Garde" w:hAnsi="ITC Avant Garde"/>
          <w:sz w:val="22"/>
          <w:szCs w:val="22"/>
          <w:lang w:val="es-MX"/>
        </w:rPr>
      </w:pPr>
      <w:r w:rsidRPr="00D936CA">
        <w:rPr>
          <w:noProof/>
          <w:lang w:val="es-MX" w:eastAsia="es-MX"/>
        </w:rPr>
        <w:drawing>
          <wp:inline distT="0" distB="0" distL="0" distR="0" wp14:anchorId="00145571" wp14:editId="644F2722">
            <wp:extent cx="5492125" cy="788551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2125" cy="7885517"/>
                    </a:xfrm>
                    <a:prstGeom prst="rect">
                      <a:avLst/>
                    </a:prstGeom>
                    <a:noFill/>
                    <a:ln>
                      <a:noFill/>
                    </a:ln>
                  </pic:spPr>
                </pic:pic>
              </a:graphicData>
            </a:graphic>
          </wp:inline>
        </w:drawing>
      </w:r>
    </w:p>
    <w:p w14:paraId="33CFF252" w14:textId="77777777" w:rsidR="001B10B5" w:rsidRPr="00D936CA" w:rsidRDefault="00407113" w:rsidP="00D936CA">
      <w:pPr>
        <w:spacing w:after="200" w:line="276" w:lineRule="auto"/>
        <w:jc w:val="center"/>
        <w:rPr>
          <w:rFonts w:ascii="ITC Avant Garde" w:hAnsi="ITC Avant Garde"/>
          <w:sz w:val="22"/>
          <w:szCs w:val="22"/>
          <w:lang w:val="es-MX"/>
        </w:rPr>
      </w:pPr>
      <w:r w:rsidRPr="00D936CA">
        <w:rPr>
          <w:noProof/>
          <w:lang w:val="es-MX" w:eastAsia="es-MX"/>
        </w:rPr>
        <w:lastRenderedPageBreak/>
        <w:drawing>
          <wp:inline distT="0" distB="0" distL="0" distR="0" wp14:anchorId="33CFF2E5" wp14:editId="33CFF2E6">
            <wp:extent cx="5129127" cy="7826045"/>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7099" cy="7838209"/>
                    </a:xfrm>
                    <a:prstGeom prst="rect">
                      <a:avLst/>
                    </a:prstGeom>
                    <a:noFill/>
                    <a:ln>
                      <a:noFill/>
                    </a:ln>
                  </pic:spPr>
                </pic:pic>
              </a:graphicData>
            </a:graphic>
          </wp:inline>
        </w:drawing>
      </w:r>
    </w:p>
    <w:p w14:paraId="33CFF253" w14:textId="7BFD2831" w:rsidR="001B10B5" w:rsidRPr="00D936CA" w:rsidRDefault="00A71F8B" w:rsidP="00D936CA">
      <w:pPr>
        <w:spacing w:after="200" w:line="276" w:lineRule="auto"/>
        <w:jc w:val="center"/>
        <w:rPr>
          <w:rFonts w:ascii="ITC Avant Garde" w:hAnsi="ITC Avant Garde"/>
          <w:sz w:val="22"/>
          <w:szCs w:val="22"/>
          <w:lang w:val="es-MX"/>
        </w:rPr>
      </w:pPr>
      <w:r w:rsidRPr="00D936CA">
        <w:rPr>
          <w:noProof/>
          <w:lang w:val="es-MX" w:eastAsia="es-MX"/>
        </w:rPr>
        <w:lastRenderedPageBreak/>
        <w:drawing>
          <wp:inline distT="0" distB="0" distL="0" distR="0" wp14:anchorId="7D4F39EC" wp14:editId="1CC99F5B">
            <wp:extent cx="5613400" cy="830436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3400" cy="8304363"/>
                    </a:xfrm>
                    <a:prstGeom prst="rect">
                      <a:avLst/>
                    </a:prstGeom>
                    <a:noFill/>
                    <a:ln>
                      <a:noFill/>
                    </a:ln>
                  </pic:spPr>
                </pic:pic>
              </a:graphicData>
            </a:graphic>
          </wp:inline>
        </w:drawing>
      </w:r>
    </w:p>
    <w:p w14:paraId="33CFF254" w14:textId="77777777" w:rsidR="00161A23" w:rsidRPr="00D936CA" w:rsidRDefault="00407113" w:rsidP="00D936CA">
      <w:pPr>
        <w:spacing w:after="200" w:line="276" w:lineRule="auto"/>
        <w:jc w:val="both"/>
        <w:rPr>
          <w:rFonts w:ascii="ITC Avant Garde" w:hAnsi="ITC Avant Garde"/>
          <w:sz w:val="22"/>
          <w:szCs w:val="22"/>
          <w:lang w:val="es-MX"/>
        </w:rPr>
      </w:pPr>
      <w:r w:rsidRPr="00D936CA">
        <w:rPr>
          <w:noProof/>
          <w:lang w:val="es-MX" w:eastAsia="es-MX"/>
        </w:rPr>
        <w:lastRenderedPageBreak/>
        <w:drawing>
          <wp:inline distT="0" distB="0" distL="0" distR="0" wp14:anchorId="33CFF2E9" wp14:editId="33CFF2EA">
            <wp:extent cx="5613400" cy="6198003"/>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3400" cy="6198003"/>
                    </a:xfrm>
                    <a:prstGeom prst="rect">
                      <a:avLst/>
                    </a:prstGeom>
                    <a:noFill/>
                    <a:ln>
                      <a:noFill/>
                    </a:ln>
                  </pic:spPr>
                </pic:pic>
              </a:graphicData>
            </a:graphic>
          </wp:inline>
        </w:drawing>
      </w:r>
    </w:p>
    <w:p w14:paraId="33CFF255" w14:textId="77777777" w:rsidR="00915A69" w:rsidRPr="00D936CA" w:rsidRDefault="00915A69" w:rsidP="00D936CA">
      <w:pPr>
        <w:pStyle w:val="Prrafodelista"/>
        <w:ind w:left="0"/>
      </w:pPr>
      <w:bookmarkStart w:id="775" w:name="_Toc436840952"/>
      <w:bookmarkStart w:id="776" w:name="_Toc436846389"/>
      <w:bookmarkStart w:id="777" w:name="_Toc436848339"/>
      <w:bookmarkStart w:id="778" w:name="_Toc436856587"/>
      <w:bookmarkStart w:id="779" w:name="_Toc436862733"/>
      <w:bookmarkStart w:id="780" w:name="_Toc436866383"/>
      <w:bookmarkStart w:id="781" w:name="_Toc436870962"/>
      <w:bookmarkStart w:id="782" w:name="_Toc436875954"/>
    </w:p>
    <w:p w14:paraId="33CFF256" w14:textId="0BF2322C" w:rsidR="005757EC" w:rsidRPr="00D936CA" w:rsidRDefault="0015192E" w:rsidP="00B50532">
      <w:pPr>
        <w:pStyle w:val="1TitPrin"/>
      </w:pPr>
      <w:bookmarkStart w:id="783" w:name="_Toc467248767"/>
      <w:bookmarkStart w:id="784" w:name="_Toc518032050"/>
      <w:r w:rsidRPr="00D936CA" w:rsidDel="00875E33">
        <w:t>Trabajos Especiales</w:t>
      </w:r>
      <w:bookmarkEnd w:id="775"/>
      <w:bookmarkEnd w:id="776"/>
      <w:bookmarkEnd w:id="777"/>
      <w:bookmarkEnd w:id="778"/>
      <w:bookmarkEnd w:id="779"/>
      <w:bookmarkEnd w:id="780"/>
      <w:bookmarkEnd w:id="781"/>
      <w:bookmarkEnd w:id="782"/>
      <w:bookmarkEnd w:id="783"/>
      <w:bookmarkEnd w:id="784"/>
    </w:p>
    <w:p w14:paraId="33CFF257" w14:textId="77777777" w:rsidR="0015192E" w:rsidRPr="00D936CA" w:rsidDel="00875E33" w:rsidRDefault="0015192E"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sidDel="00875E33">
        <w:rPr>
          <w:rFonts w:ascii="ITC Avant Garde" w:hAnsi="ITC Avant Garde" w:cs="Arial"/>
          <w:sz w:val="22"/>
          <w:szCs w:val="22"/>
        </w:rPr>
        <w:t xml:space="preserve">En caso de que Telmex no pueda proporcionar los servicios bajo las condiciones descritas en la sección 1.4 de esta </w:t>
      </w:r>
      <w:r w:rsidR="000F3B5A" w:rsidRPr="00D936CA">
        <w:rPr>
          <w:rFonts w:ascii="ITC Avant Garde" w:hAnsi="ITC Avant Garde" w:cs="Arial"/>
          <w:sz w:val="22"/>
          <w:szCs w:val="22"/>
        </w:rPr>
        <w:t>OREDA</w:t>
      </w:r>
      <w:r w:rsidRPr="00D936CA" w:rsidDel="00875E33">
        <w:rPr>
          <w:rFonts w:ascii="ITC Avant Garde" w:hAnsi="ITC Avant Garde" w:cs="Arial"/>
          <w:sz w:val="22"/>
          <w:szCs w:val="22"/>
        </w:rPr>
        <w:t xml:space="preserve">, el CS podrá solicitar Trabajos Especiales, los cuales le permitirán acceder a los servicios solicitados. </w:t>
      </w:r>
    </w:p>
    <w:p w14:paraId="33CFF258" w14:textId="77777777" w:rsidR="0015192E" w:rsidRPr="00D936CA" w:rsidDel="00875E33" w:rsidRDefault="0015192E"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sidDel="00875E33">
        <w:rPr>
          <w:rFonts w:ascii="ITC Avant Garde" w:hAnsi="ITC Avant Garde" w:cs="Arial"/>
          <w:sz w:val="22"/>
          <w:szCs w:val="22"/>
        </w:rPr>
        <w:t xml:space="preserve">Los tiempos incurridos en la realización de los Trabajos Especiales, incluyendo los plazos de presentación y aceptación entre las partes, no serán considerados como parte de los tiempos de habilitación de los servicios. Es decir la contabilización de días para la </w:t>
      </w:r>
      <w:r w:rsidRPr="00D936CA" w:rsidDel="00875E33">
        <w:rPr>
          <w:rFonts w:ascii="ITC Avant Garde" w:hAnsi="ITC Avant Garde" w:cs="Arial"/>
          <w:sz w:val="22"/>
          <w:szCs w:val="22"/>
        </w:rPr>
        <w:lastRenderedPageBreak/>
        <w:t>contratación y habilitación de estos servicios, se detendrá a partir de la notificación de no factibilidad, y será reanudada cuando el CS valide la entrega del Trabajo Especial.</w:t>
      </w:r>
    </w:p>
    <w:p w14:paraId="33CFF259" w14:textId="77777777" w:rsidR="0015192E" w:rsidRPr="00D936CA" w:rsidDel="00875E33" w:rsidRDefault="0015192E"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sidDel="00875E33">
        <w:rPr>
          <w:rFonts w:ascii="ITC Avant Garde" w:hAnsi="ITC Avant Garde" w:cs="Arial"/>
          <w:sz w:val="22"/>
          <w:szCs w:val="22"/>
        </w:rPr>
        <w:t>La cotización que se envíe al CS contemplará únicamente los costos incurridos para la ejecución del Trabajo Especial.</w:t>
      </w:r>
    </w:p>
    <w:p w14:paraId="33CFF25A" w14:textId="5A34DEC2" w:rsidR="0015192E" w:rsidRDefault="0015192E"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sidDel="00875E33">
        <w:rPr>
          <w:rFonts w:ascii="ITC Avant Garde" w:hAnsi="ITC Avant Garde" w:cs="Arial"/>
          <w:sz w:val="22"/>
          <w:szCs w:val="22"/>
        </w:rPr>
        <w:t>Los servicios que pueden solicitar la contratación de Trabajos Especiales son aquellos en cuyo procedimiento se establece que en caso de no existir factibilidad técnica para proporcionar el servicio, a petición de los CS, podría iniciarse el trabajo especial.</w:t>
      </w:r>
    </w:p>
    <w:p w14:paraId="3952A98B" w14:textId="77777777" w:rsidR="003C6B91" w:rsidRPr="00D936CA" w:rsidDel="00875E33" w:rsidRDefault="003C6B91" w:rsidP="00060B2E">
      <w:pPr>
        <w:autoSpaceDE w:val="0"/>
        <w:autoSpaceDN w:val="0"/>
        <w:adjustRightInd w:val="0"/>
        <w:spacing w:after="200" w:line="276" w:lineRule="auto"/>
        <w:ind w:left="-567" w:right="-142"/>
        <w:jc w:val="both"/>
        <w:rPr>
          <w:rFonts w:ascii="ITC Avant Garde" w:hAnsi="ITC Avant Garde" w:cs="Arial"/>
          <w:sz w:val="22"/>
          <w:szCs w:val="22"/>
        </w:rPr>
      </w:pPr>
    </w:p>
    <w:p w14:paraId="33CFF25B" w14:textId="77777777" w:rsidR="0015192E" w:rsidRPr="00D936CA" w:rsidRDefault="00407552" w:rsidP="00D936CA">
      <w:pPr>
        <w:pStyle w:val="Ttulo2"/>
        <w:numPr>
          <w:ilvl w:val="1"/>
          <w:numId w:val="143"/>
        </w:numPr>
        <w:ind w:left="851" w:hanging="425"/>
      </w:pPr>
      <w:bookmarkStart w:id="785" w:name="_Toc436840953"/>
      <w:bookmarkStart w:id="786" w:name="_Toc436846390"/>
      <w:bookmarkStart w:id="787" w:name="_Toc436848340"/>
      <w:bookmarkStart w:id="788" w:name="_Toc436856588"/>
      <w:bookmarkStart w:id="789" w:name="_Toc436862734"/>
      <w:bookmarkStart w:id="790" w:name="_Toc436866384"/>
      <w:bookmarkStart w:id="791" w:name="_Toc436870963"/>
      <w:bookmarkStart w:id="792" w:name="_Toc436875955"/>
      <w:r w:rsidRPr="00D936CA">
        <w:t xml:space="preserve"> </w:t>
      </w:r>
      <w:bookmarkStart w:id="793" w:name="_Toc467248768"/>
      <w:bookmarkStart w:id="794" w:name="_Toc518032051"/>
      <w:r w:rsidR="0015192E" w:rsidRPr="00D936CA">
        <w:t>Procedimiento para solicitud, aceptación y entrega de Trabajos Especiales</w:t>
      </w:r>
      <w:bookmarkEnd w:id="785"/>
      <w:bookmarkEnd w:id="786"/>
      <w:bookmarkEnd w:id="787"/>
      <w:bookmarkEnd w:id="788"/>
      <w:bookmarkEnd w:id="789"/>
      <w:bookmarkEnd w:id="790"/>
      <w:bookmarkEnd w:id="791"/>
      <w:bookmarkEnd w:id="792"/>
      <w:bookmarkEnd w:id="793"/>
      <w:bookmarkEnd w:id="794"/>
    </w:p>
    <w:p w14:paraId="33CFF25C" w14:textId="465F2C90" w:rsidR="0015192E" w:rsidRPr="00D936CA" w:rsidRDefault="0015192E" w:rsidP="00D936CA">
      <w:pPr>
        <w:pStyle w:val="Prrafodelista"/>
        <w:numPr>
          <w:ilvl w:val="0"/>
          <w:numId w:val="60"/>
        </w:num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Una vez notificada la no factibilidad de un servicio, el CS podrá solicitar a Telmex la realización de un Trabajo Especial</w:t>
      </w:r>
      <w:r w:rsidRPr="006A43A3">
        <w:rPr>
          <w:rFonts w:ascii="ITC Avant Garde" w:hAnsi="ITC Avant Garde" w:cs="Arial"/>
          <w:sz w:val="22"/>
          <w:szCs w:val="22"/>
        </w:rPr>
        <w:t xml:space="preserve">, </w:t>
      </w:r>
      <w:r w:rsidR="003E6BBD" w:rsidRPr="006A43A3">
        <w:rPr>
          <w:rFonts w:ascii="ITC Avant Garde" w:hAnsi="ITC Avant Garde" w:cs="Arial"/>
          <w:sz w:val="22"/>
          <w:szCs w:val="22"/>
        </w:rPr>
        <w:t>para lo cual tendrá un plazo máximo de 5 días hábiles, de lo contrario la solicitud del servicio que corresponda se cancelará</w:t>
      </w:r>
      <w:r w:rsidRPr="006A43A3">
        <w:rPr>
          <w:rFonts w:ascii="ITC Avant Garde" w:hAnsi="ITC Avant Garde" w:cs="Arial"/>
          <w:sz w:val="22"/>
          <w:szCs w:val="22"/>
        </w:rPr>
        <w:t>, el CS contar</w:t>
      </w:r>
      <w:r w:rsidRPr="00D936CA">
        <w:rPr>
          <w:rFonts w:ascii="ITC Avant Garde" w:hAnsi="ITC Avant Garde" w:cs="Arial"/>
          <w:sz w:val="22"/>
          <w:szCs w:val="22"/>
        </w:rPr>
        <w:t xml:space="preserve">á con la opción de solicitar dicho Trabajo a través del </w:t>
      </w:r>
      <w:r w:rsidR="00501A63">
        <w:rPr>
          <w:rFonts w:ascii="ITC Avant Garde" w:hAnsi="ITC Avant Garde" w:cs="Arial"/>
          <w:sz w:val="22"/>
          <w:szCs w:val="22"/>
        </w:rPr>
        <w:t>SEG en la sección comentarios.  dentro de la misma solicitud del servicio que no fue factible</w:t>
      </w:r>
      <w:r w:rsidRPr="00D936CA">
        <w:rPr>
          <w:rFonts w:ascii="ITC Avant Garde" w:hAnsi="ITC Avant Garde" w:cs="Arial"/>
          <w:sz w:val="22"/>
          <w:szCs w:val="22"/>
        </w:rPr>
        <w:t xml:space="preserve">, </w:t>
      </w:r>
    </w:p>
    <w:p w14:paraId="33CFF25D" w14:textId="77777777" w:rsidR="0015192E" w:rsidRPr="00D936CA" w:rsidRDefault="0015192E" w:rsidP="00D936CA">
      <w:pPr>
        <w:pStyle w:val="Prrafodelista"/>
        <w:numPr>
          <w:ilvl w:val="0"/>
          <w:numId w:val="60"/>
        </w:num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 xml:space="preserve">Una vez validada la solicitud de Trabajo Especial del CS, Telmex en un plazo máximo de 10 días hábiles presentará los términos bajo los cuales ofrecerá el servicio. Estos términos contendrán la solución técnica propuesta, el plazo compromiso para la entrega del Trabajo Especial, así como la cotización correspondiente. </w:t>
      </w:r>
    </w:p>
    <w:p w14:paraId="33CFF25E" w14:textId="6915E33F" w:rsidR="0015192E" w:rsidRPr="00D936CA" w:rsidRDefault="0015192E" w:rsidP="00D936CA">
      <w:pPr>
        <w:pStyle w:val="Prrafodelista"/>
        <w:numPr>
          <w:ilvl w:val="0"/>
          <w:numId w:val="60"/>
        </w:num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El CS contará con 10 días hábiles para aceptar el servicio. En caso contrario, se dará por terminado el procedimiento y se facturar</w:t>
      </w:r>
      <w:r w:rsidR="00D95EDC">
        <w:rPr>
          <w:rFonts w:ascii="ITC Avant Garde" w:hAnsi="ITC Avant Garde" w:cs="Arial"/>
          <w:sz w:val="22"/>
          <w:szCs w:val="22"/>
        </w:rPr>
        <w:t>á</w:t>
      </w:r>
      <w:r w:rsidRPr="00D936CA">
        <w:rPr>
          <w:rFonts w:ascii="ITC Avant Garde" w:hAnsi="ITC Avant Garde" w:cs="Arial"/>
          <w:sz w:val="22"/>
          <w:szCs w:val="22"/>
        </w:rPr>
        <w:t>n los costos incurridos para la elaboración de la propuesta de Trabajo Especial</w:t>
      </w:r>
      <w:r w:rsidR="00D95EDC">
        <w:rPr>
          <w:rFonts w:ascii="ITC Avant Garde" w:hAnsi="ITC Avant Garde" w:cs="Arial"/>
          <w:sz w:val="22"/>
          <w:szCs w:val="22"/>
        </w:rPr>
        <w:t xml:space="preserve"> solicitada</w:t>
      </w:r>
      <w:r w:rsidRPr="00D936CA">
        <w:rPr>
          <w:rFonts w:ascii="ITC Avant Garde" w:hAnsi="ITC Avant Garde" w:cs="Arial"/>
          <w:sz w:val="22"/>
          <w:szCs w:val="22"/>
        </w:rPr>
        <w:t>.</w:t>
      </w:r>
    </w:p>
    <w:p w14:paraId="33CFF25F" w14:textId="5F6584B7" w:rsidR="0015192E" w:rsidRPr="00D936CA" w:rsidRDefault="0015192E" w:rsidP="00D936CA">
      <w:pPr>
        <w:pStyle w:val="Prrafodelista"/>
        <w:numPr>
          <w:ilvl w:val="0"/>
          <w:numId w:val="60"/>
        </w:num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Una vez aceptada la cotización, el CS recibirá de Telmex la Referencia correspondiente a la solicitud de Trabajo Especial,</w:t>
      </w:r>
      <w:r w:rsidR="00D95EDC">
        <w:rPr>
          <w:rFonts w:ascii="ITC Avant Garde" w:hAnsi="ITC Avant Garde" w:cs="Arial"/>
          <w:sz w:val="22"/>
          <w:szCs w:val="22"/>
        </w:rPr>
        <w:t xml:space="preserve"> y</w:t>
      </w:r>
      <w:r w:rsidRPr="00D936CA">
        <w:rPr>
          <w:rFonts w:ascii="ITC Avant Garde" w:hAnsi="ITC Avant Garde" w:cs="Arial"/>
          <w:sz w:val="22"/>
          <w:szCs w:val="22"/>
        </w:rPr>
        <w:t xml:space="preserve"> se comenzarán los trabajos hasta que el CS haya realizado el pago por el Trabajo Especial solicitado.</w:t>
      </w:r>
    </w:p>
    <w:p w14:paraId="33CFF260" w14:textId="77777777" w:rsidR="0015192E" w:rsidRPr="00D936CA" w:rsidRDefault="0015192E" w:rsidP="00D936CA">
      <w:pPr>
        <w:pStyle w:val="Prrafodelista"/>
        <w:numPr>
          <w:ilvl w:val="0"/>
          <w:numId w:val="60"/>
        </w:num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 xml:space="preserve">Telmex notificará al CS cuando el Trabajo Especial esté finalizado. El CS tendrá 5 días hábiles para realizar la prueba en conjunto del servicio. En caso de que no se realice la prueba, se entenderá que el CS ha aceptado de conformidad el servicio. </w:t>
      </w:r>
    </w:p>
    <w:p w14:paraId="33CFF261" w14:textId="5A457E0A" w:rsidR="0015192E" w:rsidRDefault="0015192E" w:rsidP="00D936CA">
      <w:pPr>
        <w:pStyle w:val="Prrafodelista"/>
        <w:numPr>
          <w:ilvl w:val="0"/>
          <w:numId w:val="60"/>
        </w:numPr>
        <w:autoSpaceDE w:val="0"/>
        <w:autoSpaceDN w:val="0"/>
        <w:adjustRightInd w:val="0"/>
        <w:spacing w:after="200" w:line="276" w:lineRule="auto"/>
        <w:jc w:val="both"/>
        <w:rPr>
          <w:rFonts w:ascii="ITC Avant Garde" w:hAnsi="ITC Avant Garde" w:cs="Arial"/>
          <w:sz w:val="22"/>
          <w:szCs w:val="22"/>
        </w:rPr>
      </w:pPr>
      <w:r w:rsidRPr="00D936CA">
        <w:rPr>
          <w:rFonts w:ascii="ITC Avant Garde" w:hAnsi="ITC Avant Garde" w:cs="Arial"/>
          <w:sz w:val="22"/>
          <w:szCs w:val="22"/>
        </w:rPr>
        <w:t xml:space="preserve">Una vez que se haya aceptado el servicio, se entregará un Acta de Recepción del Servicio y se comenzará a facturar la renta correspondiente. </w:t>
      </w:r>
    </w:p>
    <w:p w14:paraId="37012637" w14:textId="77777777" w:rsidR="003C6B91" w:rsidRPr="00D936CA" w:rsidRDefault="003C6B91" w:rsidP="003C6B91">
      <w:pPr>
        <w:pStyle w:val="Prrafodelista"/>
        <w:autoSpaceDE w:val="0"/>
        <w:autoSpaceDN w:val="0"/>
        <w:adjustRightInd w:val="0"/>
        <w:spacing w:after="200" w:line="276" w:lineRule="auto"/>
        <w:ind w:left="720"/>
        <w:jc w:val="both"/>
        <w:rPr>
          <w:rFonts w:ascii="ITC Avant Garde" w:hAnsi="ITC Avant Garde" w:cs="Arial"/>
          <w:sz w:val="22"/>
          <w:szCs w:val="22"/>
        </w:rPr>
      </w:pPr>
    </w:p>
    <w:p w14:paraId="33CFF262" w14:textId="77777777" w:rsidR="0015192E" w:rsidRPr="00D936CA" w:rsidRDefault="00407552" w:rsidP="00D936CA">
      <w:pPr>
        <w:pStyle w:val="Ttulo2"/>
        <w:numPr>
          <w:ilvl w:val="1"/>
          <w:numId w:val="143"/>
        </w:numPr>
        <w:ind w:left="851" w:hanging="425"/>
      </w:pPr>
      <w:bookmarkStart w:id="795" w:name="_Toc436840954"/>
      <w:bookmarkStart w:id="796" w:name="_Toc436846391"/>
      <w:bookmarkStart w:id="797" w:name="_Toc436848341"/>
      <w:bookmarkStart w:id="798" w:name="_Toc436856589"/>
      <w:bookmarkStart w:id="799" w:name="_Toc436862735"/>
      <w:bookmarkStart w:id="800" w:name="_Toc436866385"/>
      <w:bookmarkStart w:id="801" w:name="_Toc436870964"/>
      <w:bookmarkStart w:id="802" w:name="_Toc436875956"/>
      <w:r w:rsidRPr="00D936CA">
        <w:lastRenderedPageBreak/>
        <w:t xml:space="preserve"> </w:t>
      </w:r>
      <w:bookmarkStart w:id="803" w:name="_Toc467248769"/>
      <w:bookmarkStart w:id="804" w:name="_Toc518032052"/>
      <w:r w:rsidR="0015192E" w:rsidRPr="00D936CA">
        <w:t>Parámetros e Indicadores de Calidad de Trabajos Especiales</w:t>
      </w:r>
      <w:bookmarkEnd w:id="795"/>
      <w:bookmarkEnd w:id="796"/>
      <w:bookmarkEnd w:id="797"/>
      <w:bookmarkEnd w:id="798"/>
      <w:bookmarkEnd w:id="799"/>
      <w:bookmarkEnd w:id="800"/>
      <w:bookmarkEnd w:id="801"/>
      <w:bookmarkEnd w:id="802"/>
      <w:bookmarkEnd w:id="803"/>
      <w:bookmarkEnd w:id="804"/>
    </w:p>
    <w:p w14:paraId="33CFF263" w14:textId="77777777" w:rsidR="0015192E" w:rsidRPr="00D936CA" w:rsidRDefault="0015192E"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En esta sección se muestran los parámetros e indicadores de calidad del Servicio de Trabajos Especiales. Estos parámetros e indicadores corresponden a los utilizados en la propia operación de Telmex, y se medirán con una periodicidad trimestral por cada uno de los CS.</w:t>
      </w:r>
    </w:p>
    <w:p w14:paraId="33CFF264" w14:textId="77777777" w:rsidR="0015192E" w:rsidRPr="00D936CA" w:rsidRDefault="0015192E" w:rsidP="00060B2E">
      <w:pPr>
        <w:autoSpaceDE w:val="0"/>
        <w:autoSpaceDN w:val="0"/>
        <w:adjustRightInd w:val="0"/>
        <w:spacing w:after="200" w:line="276" w:lineRule="auto"/>
        <w:ind w:left="-567" w:right="-142"/>
        <w:jc w:val="both"/>
        <w:rPr>
          <w:rFonts w:ascii="ITC Avant Garde" w:hAnsi="ITC Avant Garde" w:cs="Arial"/>
          <w:sz w:val="22"/>
          <w:szCs w:val="22"/>
        </w:rPr>
      </w:pPr>
      <w:r w:rsidRPr="00D936CA">
        <w:rPr>
          <w:rFonts w:ascii="ITC Avant Garde" w:hAnsi="ITC Avant Garde" w:cs="Arial"/>
          <w:sz w:val="22"/>
          <w:szCs w:val="22"/>
        </w:rPr>
        <w:t xml:space="preserve">Debido a la naturaleza de los Trabajos Especiales, los plazos de entrega serán notificados al CS como una fecha compromiso. </w:t>
      </w:r>
    </w:p>
    <w:p w14:paraId="33CFF265" w14:textId="77777777" w:rsidR="0015192E" w:rsidRPr="00D936CA" w:rsidRDefault="0015192E"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Parámetros e Indicadores para Provisión del Servicio</w:t>
      </w:r>
    </w:p>
    <w:p w14:paraId="33CFF266" w14:textId="77777777" w:rsidR="0015192E" w:rsidRPr="00D936CA" w:rsidRDefault="0015192E" w:rsidP="00D936CA">
      <w:pPr>
        <w:pStyle w:val="Prrafodelista"/>
        <w:numPr>
          <w:ilvl w:val="0"/>
          <w:numId w:val="30"/>
        </w:numPr>
        <w:spacing w:after="200" w:line="276" w:lineRule="auto"/>
        <w:ind w:left="993"/>
        <w:jc w:val="both"/>
        <w:rPr>
          <w:rFonts w:ascii="ITC Avant Garde" w:hAnsi="ITC Avant Garde"/>
          <w:sz w:val="22"/>
          <w:szCs w:val="22"/>
          <w:lang w:val="es-MX"/>
        </w:rPr>
      </w:pPr>
      <w:r w:rsidRPr="00D936CA">
        <w:rPr>
          <w:rFonts w:ascii="ITC Avant Garde" w:hAnsi="ITC Avant Garde"/>
          <w:sz w:val="22"/>
          <w:szCs w:val="22"/>
          <w:lang w:val="es-MX"/>
        </w:rPr>
        <w:t xml:space="preserve">Entrega de </w:t>
      </w:r>
      <w:r w:rsidRPr="00D936CA">
        <w:rPr>
          <w:rFonts w:ascii="ITC Avant Garde" w:hAnsi="ITC Avant Garde" w:cs="Arial"/>
          <w:sz w:val="22"/>
          <w:szCs w:val="22"/>
        </w:rPr>
        <w:t xml:space="preserve">los términos bajo los cuales se ofrecerá el servicio </w:t>
      </w:r>
      <w:r w:rsidRPr="00D936CA">
        <w:rPr>
          <w:rFonts w:ascii="ITC Avant Garde" w:hAnsi="ITC Avant Garde"/>
          <w:sz w:val="22"/>
          <w:szCs w:val="22"/>
          <w:lang w:val="es-MX"/>
        </w:rPr>
        <w:t xml:space="preserve">en tiempo: </w:t>
      </w:r>
      <w:r w:rsidRPr="00D936CA">
        <w:rPr>
          <w:rFonts w:ascii="ITC Avant Garde" w:hAnsi="ITC Avant Garde" w:cs="Arial"/>
          <w:sz w:val="22"/>
          <w:szCs w:val="22"/>
        </w:rPr>
        <w:t xml:space="preserve">90% en un máximo de 10 días hábiles. </w:t>
      </w:r>
      <w:r w:rsidRPr="00D936CA">
        <w:rPr>
          <w:rFonts w:ascii="ITC Avant Garde" w:hAnsi="ITC Avant Garde"/>
          <w:sz w:val="22"/>
          <w:szCs w:val="22"/>
          <w:lang w:val="es-MX"/>
        </w:rPr>
        <w:t>El 10% restante en un máximo de 15 días hábiles.</w:t>
      </w:r>
    </w:p>
    <w:p w14:paraId="33CFF267" w14:textId="77777777" w:rsidR="0015192E" w:rsidRPr="00D936CA" w:rsidRDefault="0015192E" w:rsidP="00D936CA">
      <w:pPr>
        <w:pStyle w:val="Prrafodelista"/>
        <w:numPr>
          <w:ilvl w:val="0"/>
          <w:numId w:val="30"/>
        </w:numPr>
        <w:spacing w:after="200" w:line="276" w:lineRule="auto"/>
        <w:ind w:left="993"/>
        <w:jc w:val="both"/>
        <w:rPr>
          <w:rFonts w:ascii="ITC Avant Garde" w:hAnsi="ITC Avant Garde"/>
          <w:sz w:val="22"/>
          <w:szCs w:val="22"/>
          <w:lang w:val="es-MX"/>
        </w:rPr>
      </w:pPr>
      <w:r w:rsidRPr="00D936CA">
        <w:rPr>
          <w:rFonts w:ascii="ITC Avant Garde" w:hAnsi="ITC Avant Garde"/>
          <w:sz w:val="22"/>
          <w:szCs w:val="22"/>
          <w:lang w:val="es-MX"/>
        </w:rPr>
        <w:t>Servicios habilitados en tiempo: 90%</w:t>
      </w:r>
      <w:r w:rsidRPr="00D936CA">
        <w:rPr>
          <w:rStyle w:val="Refdenotaalpie"/>
          <w:rFonts w:ascii="ITC Avant Garde" w:hAnsi="ITC Avant Garde"/>
          <w:sz w:val="22"/>
          <w:szCs w:val="22"/>
          <w:lang w:val="es-MX"/>
        </w:rPr>
        <w:footnoteReference w:id="61"/>
      </w:r>
      <w:r w:rsidRPr="00D936CA">
        <w:rPr>
          <w:rFonts w:ascii="ITC Avant Garde" w:hAnsi="ITC Avant Garde"/>
          <w:sz w:val="22"/>
          <w:szCs w:val="22"/>
          <w:lang w:val="es-MX"/>
        </w:rPr>
        <w:t xml:space="preserve"> en el plazo compromiso. El 10% restante en un máximo de un 50% extra del plazo original.</w:t>
      </w:r>
    </w:p>
    <w:p w14:paraId="33CFF268" w14:textId="77777777" w:rsidR="0015192E" w:rsidRPr="00D936CA" w:rsidRDefault="0015192E" w:rsidP="00060B2E">
      <w:pPr>
        <w:spacing w:after="200" w:line="276" w:lineRule="auto"/>
        <w:ind w:left="-567" w:right="-142"/>
        <w:jc w:val="both"/>
        <w:rPr>
          <w:rFonts w:ascii="ITC Avant Garde" w:hAnsi="ITC Avant Garde"/>
          <w:b/>
          <w:sz w:val="22"/>
          <w:szCs w:val="22"/>
          <w:lang w:val="es-MX"/>
        </w:rPr>
      </w:pPr>
      <w:r w:rsidRPr="00D936CA">
        <w:rPr>
          <w:rFonts w:ascii="ITC Avant Garde" w:hAnsi="ITC Avant Garde"/>
          <w:b/>
          <w:sz w:val="22"/>
          <w:szCs w:val="22"/>
          <w:lang w:val="es-MX"/>
        </w:rPr>
        <w:t>Metodología</w:t>
      </w:r>
    </w:p>
    <w:p w14:paraId="33CFF269" w14:textId="77777777" w:rsidR="0015192E" w:rsidRPr="00D936CA" w:rsidRDefault="0015192E"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 xml:space="preserve">Para realizar la medición de los indicadores presentados, se descontarán los plazos de entrega comprometidos de los días totales utilizados para la realización del trabajo especial, considerando como inicio del proceso el día siguiente al que se realizó el pago del trabajo especial por parte del CS. </w:t>
      </w:r>
    </w:p>
    <w:p w14:paraId="33CFF26A" w14:textId="77777777" w:rsidR="00915A69" w:rsidRPr="00D936CA" w:rsidRDefault="00915A69" w:rsidP="00060B2E">
      <w:pPr>
        <w:spacing w:after="200" w:line="276" w:lineRule="auto"/>
        <w:ind w:left="-567" w:right="-142"/>
        <w:jc w:val="both"/>
        <w:rPr>
          <w:rFonts w:ascii="ITC Avant Garde" w:hAnsi="ITC Avant Garde"/>
          <w:sz w:val="22"/>
          <w:szCs w:val="22"/>
          <w:lang w:val="es-MX"/>
        </w:rPr>
      </w:pPr>
    </w:p>
    <w:p w14:paraId="33CFF26B" w14:textId="77777777" w:rsidR="00217803" w:rsidRPr="00D936CA" w:rsidRDefault="00217803" w:rsidP="00B50532">
      <w:pPr>
        <w:pStyle w:val="1TitPrin"/>
      </w:pPr>
      <w:bookmarkStart w:id="805" w:name="_Toc467248770"/>
      <w:bookmarkStart w:id="806" w:name="_Toc518032053"/>
      <w:r w:rsidRPr="00D936CA">
        <w:t>Servicio Opcional de Cableado Interior de usuario final</w:t>
      </w:r>
      <w:bookmarkEnd w:id="805"/>
      <w:bookmarkEnd w:id="806"/>
    </w:p>
    <w:p w14:paraId="33CFF26C" w14:textId="77777777" w:rsidR="00217803" w:rsidRPr="00D936CA" w:rsidRDefault="00217803"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lang w:val="es-MX"/>
        </w:rPr>
        <w:t xml:space="preserve">El CS podrá instalar el </w:t>
      </w:r>
      <w:r w:rsidR="00DC4A8F" w:rsidRPr="00D936CA">
        <w:rPr>
          <w:rFonts w:ascii="ITC Avant Garde" w:hAnsi="ITC Avant Garde"/>
          <w:sz w:val="22"/>
          <w:szCs w:val="22"/>
          <w:lang w:val="es-MX"/>
        </w:rPr>
        <w:t>c</w:t>
      </w:r>
      <w:r w:rsidRPr="00D936CA">
        <w:rPr>
          <w:rFonts w:ascii="ITC Avant Garde" w:hAnsi="ITC Avant Garde"/>
          <w:sz w:val="22"/>
          <w:szCs w:val="22"/>
          <w:lang w:val="es-MX"/>
        </w:rPr>
        <w:t xml:space="preserve">ableado </w:t>
      </w:r>
      <w:r w:rsidR="00DC4A8F" w:rsidRPr="00D936CA">
        <w:rPr>
          <w:rFonts w:ascii="ITC Avant Garde" w:hAnsi="ITC Avant Garde"/>
          <w:sz w:val="22"/>
          <w:szCs w:val="22"/>
          <w:lang w:val="es-MX"/>
        </w:rPr>
        <w:t>i</w:t>
      </w:r>
      <w:r w:rsidRPr="00D936CA">
        <w:rPr>
          <w:rFonts w:ascii="ITC Avant Garde" w:hAnsi="ITC Avant Garde"/>
          <w:sz w:val="22"/>
          <w:szCs w:val="22"/>
          <w:lang w:val="es-MX"/>
        </w:rPr>
        <w:t xml:space="preserve">nterior tomando en consideración la recomendación de Telmex establecida en el Anexo </w:t>
      </w:r>
      <w:r w:rsidR="00DC4A8F" w:rsidRPr="00D936CA">
        <w:rPr>
          <w:rFonts w:ascii="ITC Avant Garde" w:hAnsi="ITC Avant Garde"/>
          <w:sz w:val="22"/>
          <w:szCs w:val="22"/>
          <w:lang w:val="es-MX"/>
        </w:rPr>
        <w:t>G1</w:t>
      </w:r>
      <w:r w:rsidRPr="00D936CA">
        <w:rPr>
          <w:rStyle w:val="Refdenotaalpie"/>
          <w:rFonts w:ascii="ITC Avant Garde" w:hAnsi="ITC Avant Garde"/>
          <w:sz w:val="22"/>
          <w:szCs w:val="22"/>
          <w:lang w:val="es-MX"/>
        </w:rPr>
        <w:footnoteReference w:id="62"/>
      </w:r>
      <w:r w:rsidRPr="00D936CA">
        <w:rPr>
          <w:rFonts w:ascii="ITC Avant Garde" w:hAnsi="ITC Avant Garde"/>
          <w:sz w:val="22"/>
          <w:szCs w:val="22"/>
          <w:lang w:val="es-MX"/>
        </w:rPr>
        <w:t>: Normativa Técnica para los servicios de desagregación, o bien podrá solicitar que Telmex instale el Cableado Interior en el domicilio del usuario</w:t>
      </w:r>
      <w:r w:rsidRPr="00D936CA">
        <w:rPr>
          <w:rStyle w:val="Refdenotaalpie"/>
          <w:rFonts w:ascii="ITC Avant Garde" w:hAnsi="ITC Avant Garde"/>
          <w:sz w:val="22"/>
          <w:szCs w:val="22"/>
          <w:lang w:val="es-MX"/>
        </w:rPr>
        <w:footnoteReference w:id="63"/>
      </w:r>
      <w:r w:rsidR="00324D36" w:rsidRPr="00D936CA">
        <w:rPr>
          <w:rFonts w:ascii="ITC Avant Garde" w:hAnsi="ITC Avant Garde"/>
          <w:sz w:val="22"/>
          <w:szCs w:val="22"/>
          <w:lang w:val="es-MX"/>
        </w:rPr>
        <w:t>, lo cual estará sujeto a la capacidad de atención</w:t>
      </w:r>
      <w:r w:rsidRPr="00D936CA">
        <w:rPr>
          <w:rFonts w:ascii="ITC Avant Garde" w:hAnsi="ITC Avant Garde"/>
          <w:sz w:val="22"/>
          <w:szCs w:val="22"/>
          <w:lang w:val="es-MX"/>
        </w:rPr>
        <w:t>. E</w:t>
      </w:r>
      <w:r w:rsidR="00B272B1" w:rsidRPr="00D936CA">
        <w:rPr>
          <w:rFonts w:ascii="ITC Avant Garde" w:hAnsi="ITC Avant Garde"/>
          <w:sz w:val="22"/>
          <w:szCs w:val="22"/>
          <w:lang w:val="es-MX"/>
        </w:rPr>
        <w:t>n caso de que el</w:t>
      </w:r>
      <w:r w:rsidRPr="00D936CA">
        <w:rPr>
          <w:rFonts w:ascii="ITC Avant Garde" w:hAnsi="ITC Avant Garde"/>
          <w:sz w:val="22"/>
          <w:szCs w:val="22"/>
          <w:lang w:val="es-MX"/>
        </w:rPr>
        <w:t xml:space="preserve"> cableado interior se</w:t>
      </w:r>
      <w:r w:rsidR="00B272B1" w:rsidRPr="00D936CA">
        <w:rPr>
          <w:rFonts w:ascii="ITC Avant Garde" w:hAnsi="ITC Avant Garde"/>
          <w:sz w:val="22"/>
          <w:szCs w:val="22"/>
          <w:lang w:val="es-MX"/>
        </w:rPr>
        <w:t>a solicitado</w:t>
      </w:r>
      <w:r w:rsidRPr="00D936CA">
        <w:rPr>
          <w:rFonts w:ascii="ITC Avant Garde" w:hAnsi="ITC Avant Garde"/>
          <w:sz w:val="22"/>
          <w:szCs w:val="22"/>
          <w:lang w:val="es-MX"/>
        </w:rPr>
        <w:t xml:space="preserve"> por los CS a la habilitación del servicio de Desagregación, </w:t>
      </w:r>
      <w:r w:rsidR="00B272B1" w:rsidRPr="00D936CA">
        <w:rPr>
          <w:rFonts w:ascii="ITC Avant Garde" w:hAnsi="ITC Avant Garde"/>
          <w:sz w:val="22"/>
          <w:szCs w:val="22"/>
          <w:lang w:val="es-MX"/>
        </w:rPr>
        <w:t>será instalado el cableado en el mismo evento</w:t>
      </w:r>
      <w:r w:rsidRPr="00D936CA">
        <w:rPr>
          <w:rFonts w:ascii="ITC Avant Garde" w:hAnsi="ITC Avant Garde"/>
          <w:sz w:val="22"/>
          <w:szCs w:val="22"/>
          <w:lang w:val="es-MX"/>
        </w:rPr>
        <w:t xml:space="preserve">, o bien </w:t>
      </w:r>
      <w:r w:rsidR="00B272B1" w:rsidRPr="00D936CA">
        <w:rPr>
          <w:rFonts w:ascii="ITC Avant Garde" w:hAnsi="ITC Avant Garde"/>
          <w:sz w:val="22"/>
          <w:szCs w:val="22"/>
          <w:lang w:val="es-MX"/>
        </w:rPr>
        <w:t xml:space="preserve">será habilitado </w:t>
      </w:r>
      <w:r w:rsidRPr="00D936CA">
        <w:rPr>
          <w:rFonts w:ascii="ITC Avant Garde" w:hAnsi="ITC Avant Garde"/>
          <w:sz w:val="22"/>
          <w:szCs w:val="22"/>
          <w:lang w:val="es-MX"/>
        </w:rPr>
        <w:t xml:space="preserve">posteriormente para </w:t>
      </w:r>
      <w:r w:rsidR="00B272B1" w:rsidRPr="00D936CA">
        <w:rPr>
          <w:rFonts w:ascii="ITC Avant Garde" w:hAnsi="ITC Avant Garde"/>
          <w:sz w:val="22"/>
          <w:szCs w:val="22"/>
          <w:lang w:val="es-MX"/>
        </w:rPr>
        <w:t>el caso</w:t>
      </w:r>
      <w:r w:rsidRPr="00D936CA">
        <w:rPr>
          <w:rFonts w:ascii="ITC Avant Garde" w:hAnsi="ITC Avant Garde"/>
          <w:sz w:val="22"/>
          <w:szCs w:val="22"/>
          <w:lang w:val="es-MX"/>
        </w:rPr>
        <w:t xml:space="preserve"> de extensiones adicionales, </w:t>
      </w:r>
    </w:p>
    <w:p w14:paraId="33CFF26D" w14:textId="77777777" w:rsidR="00217803" w:rsidRPr="00D936CA" w:rsidRDefault="00217803"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lastRenderedPageBreak/>
        <w:t>El alcance de este servicio al CS es el mismo que se ofrece a los usuarios de Telmex, el cual comprende la instalación de cableado entre el PCT hasta la roseta para la conexión de uno o dos dispositivos terminales</w:t>
      </w:r>
      <w:r w:rsidRPr="00D936CA">
        <w:rPr>
          <w:rFonts w:ascii="ITC Avant Garde" w:hAnsi="ITC Avant Garde"/>
          <w:sz w:val="22"/>
          <w:szCs w:val="22"/>
          <w:vertAlign w:val="superscript"/>
          <w:lang w:val="es-MX"/>
        </w:rPr>
        <w:footnoteReference w:id="64"/>
      </w:r>
      <w:r w:rsidRPr="00D936CA">
        <w:rPr>
          <w:rFonts w:ascii="ITC Avant Garde" w:hAnsi="ITC Avant Garde"/>
          <w:sz w:val="22"/>
          <w:szCs w:val="22"/>
          <w:lang w:val="es-MX"/>
        </w:rPr>
        <w:t>, no considera el retiro de un cableado existente.</w:t>
      </w:r>
    </w:p>
    <w:p w14:paraId="33CFF26E" w14:textId="77777777" w:rsidR="00217803" w:rsidRPr="00D936CA" w:rsidRDefault="00217803" w:rsidP="00060B2E">
      <w:pPr>
        <w:spacing w:after="200" w:line="276" w:lineRule="auto"/>
        <w:ind w:left="-567" w:right="-142"/>
        <w:jc w:val="both"/>
        <w:rPr>
          <w:rFonts w:ascii="ITC Avant Garde" w:hAnsi="ITC Avant Garde"/>
          <w:sz w:val="22"/>
          <w:szCs w:val="22"/>
          <w:lang w:val="es-MX"/>
        </w:rPr>
      </w:pPr>
      <w:r w:rsidRPr="00D936CA">
        <w:rPr>
          <w:rFonts w:ascii="ITC Avant Garde" w:hAnsi="ITC Avant Garde"/>
          <w:sz w:val="22"/>
          <w:szCs w:val="22"/>
          <w:lang w:val="es-MX"/>
        </w:rPr>
        <w:t>Durante la instalación del cableado interior, Telmex realizará el siguiente procedimiento:</w:t>
      </w:r>
    </w:p>
    <w:p w14:paraId="33CFF26F" w14:textId="77777777" w:rsidR="00217803" w:rsidRPr="00D936CA" w:rsidRDefault="00217803" w:rsidP="00D936CA">
      <w:pPr>
        <w:spacing w:after="200" w:line="276" w:lineRule="auto"/>
        <w:ind w:left="993" w:hanging="426"/>
        <w:jc w:val="both"/>
        <w:rPr>
          <w:rFonts w:ascii="ITC Avant Garde" w:hAnsi="ITC Avant Garde"/>
          <w:sz w:val="22"/>
          <w:szCs w:val="22"/>
          <w:lang w:val="es-MX"/>
        </w:rPr>
      </w:pPr>
      <w:r w:rsidRPr="00D936CA">
        <w:rPr>
          <w:rFonts w:ascii="ITC Avant Garde" w:hAnsi="ITC Avant Garde"/>
          <w:sz w:val="22"/>
          <w:szCs w:val="22"/>
          <w:lang w:val="es-MX"/>
        </w:rPr>
        <w:t>1)</w:t>
      </w:r>
      <w:r w:rsidRPr="00D936CA">
        <w:rPr>
          <w:rFonts w:ascii="ITC Avant Garde" w:hAnsi="ITC Avant Garde"/>
          <w:sz w:val="22"/>
          <w:szCs w:val="22"/>
          <w:lang w:val="es-MX"/>
        </w:rPr>
        <w:tab/>
        <w:t>Se valida en la solicitud el número de extensiones requeridas por el CS.</w:t>
      </w:r>
    </w:p>
    <w:p w14:paraId="33CFF270" w14:textId="77777777" w:rsidR="00217803" w:rsidRPr="00D936CA" w:rsidRDefault="00217803" w:rsidP="00D936CA">
      <w:pPr>
        <w:spacing w:after="200" w:line="276" w:lineRule="auto"/>
        <w:ind w:left="993" w:hanging="426"/>
        <w:jc w:val="both"/>
        <w:rPr>
          <w:rFonts w:ascii="ITC Avant Garde" w:hAnsi="ITC Avant Garde"/>
          <w:sz w:val="22"/>
          <w:szCs w:val="22"/>
          <w:lang w:val="es-MX"/>
        </w:rPr>
      </w:pPr>
      <w:r w:rsidRPr="00D936CA">
        <w:rPr>
          <w:rFonts w:ascii="ITC Avant Garde" w:hAnsi="ITC Avant Garde"/>
          <w:sz w:val="22"/>
          <w:szCs w:val="22"/>
          <w:lang w:val="es-MX"/>
        </w:rPr>
        <w:t>2)</w:t>
      </w:r>
      <w:r w:rsidRPr="00D936CA">
        <w:rPr>
          <w:rFonts w:ascii="ITC Avant Garde" w:hAnsi="ITC Avant Garde"/>
          <w:sz w:val="22"/>
          <w:szCs w:val="22"/>
          <w:lang w:val="es-MX"/>
        </w:rPr>
        <w:tab/>
        <w:t>Posteriormente se planea la trayectoria de la instalación en conjunto con el usuario final iniciando desde el PCT.</w:t>
      </w:r>
    </w:p>
    <w:p w14:paraId="33CFF271" w14:textId="77777777" w:rsidR="00217803" w:rsidRPr="00D936CA" w:rsidRDefault="00217803" w:rsidP="00D936CA">
      <w:pPr>
        <w:spacing w:after="200" w:line="276" w:lineRule="auto"/>
        <w:ind w:left="993" w:hanging="426"/>
        <w:jc w:val="both"/>
        <w:rPr>
          <w:rFonts w:ascii="ITC Avant Garde" w:hAnsi="ITC Avant Garde"/>
          <w:sz w:val="22"/>
          <w:szCs w:val="22"/>
          <w:lang w:val="es-MX"/>
        </w:rPr>
      </w:pPr>
      <w:r w:rsidRPr="00D936CA">
        <w:rPr>
          <w:rFonts w:ascii="ITC Avant Garde" w:hAnsi="ITC Avant Garde"/>
          <w:sz w:val="22"/>
          <w:szCs w:val="22"/>
          <w:lang w:val="es-MX"/>
        </w:rPr>
        <w:t>3)</w:t>
      </w:r>
      <w:r w:rsidRPr="00D936CA">
        <w:rPr>
          <w:rFonts w:ascii="ITC Avant Garde" w:hAnsi="ITC Avant Garde"/>
          <w:sz w:val="22"/>
          <w:szCs w:val="22"/>
          <w:lang w:val="es-MX"/>
        </w:rPr>
        <w:tab/>
        <w:t>Se conecta con cordón marfil interior/exterior en el PCT a las rosetas donde se conecta el equipo terminal del usuario final conforme se indica en la normativa técnica correspondiente del Anexo E de la presente OREDA.</w:t>
      </w:r>
    </w:p>
    <w:p w14:paraId="33CFF272" w14:textId="77777777" w:rsidR="00217803" w:rsidRPr="00D936CA" w:rsidRDefault="00217803" w:rsidP="00D936CA">
      <w:pPr>
        <w:spacing w:after="200" w:line="276" w:lineRule="auto"/>
        <w:ind w:left="993" w:hanging="426"/>
        <w:jc w:val="both"/>
        <w:rPr>
          <w:rFonts w:ascii="ITC Avant Garde" w:hAnsi="ITC Avant Garde"/>
          <w:sz w:val="22"/>
          <w:szCs w:val="22"/>
          <w:lang w:val="es-MX"/>
        </w:rPr>
      </w:pPr>
      <w:r w:rsidRPr="00D936CA">
        <w:rPr>
          <w:rFonts w:ascii="ITC Avant Garde" w:hAnsi="ITC Avant Garde"/>
          <w:sz w:val="22"/>
          <w:szCs w:val="22"/>
          <w:lang w:val="es-MX"/>
        </w:rPr>
        <w:t>4)</w:t>
      </w:r>
      <w:r w:rsidRPr="00D936CA">
        <w:rPr>
          <w:rFonts w:ascii="ITC Avant Garde" w:hAnsi="ITC Avant Garde"/>
          <w:sz w:val="22"/>
          <w:szCs w:val="22"/>
          <w:lang w:val="es-MX"/>
        </w:rPr>
        <w:tab/>
        <w:t xml:space="preserve">Se realiza prueba de continuidad del cableado y se liquida el servicio. </w:t>
      </w:r>
    </w:p>
    <w:p w14:paraId="33CFF275" w14:textId="77777777" w:rsidR="00217803" w:rsidRPr="00D936CA" w:rsidRDefault="00217803" w:rsidP="00060B2E">
      <w:pPr>
        <w:spacing w:line="360" w:lineRule="auto"/>
        <w:ind w:left="-567" w:right="-142"/>
        <w:contextualSpacing/>
        <w:jc w:val="center"/>
        <w:rPr>
          <w:rFonts w:ascii="ITC Avant Garde" w:hAnsi="ITC Avant Garde"/>
          <w:noProof/>
          <w:szCs w:val="22"/>
          <w:lang w:val="es-MX" w:eastAsia="es-MX"/>
        </w:rPr>
      </w:pPr>
    </w:p>
    <w:p w14:paraId="33CFF276" w14:textId="77777777" w:rsidR="00217803" w:rsidRPr="00D936CA" w:rsidRDefault="00217803" w:rsidP="00060B2E">
      <w:pPr>
        <w:spacing w:after="200" w:line="276" w:lineRule="auto"/>
        <w:ind w:left="-567" w:right="-142"/>
        <w:jc w:val="both"/>
        <w:rPr>
          <w:rFonts w:ascii="ITC Avant Garde" w:hAnsi="ITC Avant Garde"/>
          <w:b/>
          <w:sz w:val="22"/>
          <w:szCs w:val="22"/>
        </w:rPr>
      </w:pPr>
      <w:r w:rsidRPr="00D936CA">
        <w:rPr>
          <w:rFonts w:ascii="ITC Avant Garde" w:hAnsi="ITC Avant Garde"/>
          <w:b/>
          <w:sz w:val="22"/>
          <w:szCs w:val="22"/>
        </w:rPr>
        <w:t>Garantía del servicio</w:t>
      </w:r>
    </w:p>
    <w:p w14:paraId="33CFF277" w14:textId="77777777" w:rsidR="00217803" w:rsidRPr="00D936CA" w:rsidRDefault="00217803" w:rsidP="00060B2E">
      <w:pPr>
        <w:spacing w:after="200" w:line="276" w:lineRule="auto"/>
        <w:ind w:left="-567" w:right="-142"/>
        <w:jc w:val="both"/>
        <w:rPr>
          <w:rFonts w:ascii="ITC Avant Garde" w:hAnsi="ITC Avant Garde"/>
          <w:sz w:val="22"/>
          <w:szCs w:val="22"/>
        </w:rPr>
      </w:pPr>
      <w:r w:rsidRPr="00D936CA">
        <w:rPr>
          <w:rFonts w:ascii="ITC Avant Garde" w:hAnsi="ITC Avant Garde"/>
          <w:sz w:val="22"/>
          <w:szCs w:val="22"/>
        </w:rPr>
        <w:t xml:space="preserve">Las fallas originadas en el cableado interior serán atendidas por Telmex, siempre que ocurran durante los 60 días </w:t>
      </w:r>
      <w:r w:rsidR="00B272B1" w:rsidRPr="00D936CA">
        <w:rPr>
          <w:rFonts w:ascii="ITC Avant Garde" w:hAnsi="ITC Avant Garde"/>
          <w:sz w:val="22"/>
          <w:szCs w:val="22"/>
        </w:rPr>
        <w:t xml:space="preserve">naturales </w:t>
      </w:r>
      <w:r w:rsidRPr="00D936CA">
        <w:rPr>
          <w:rFonts w:ascii="ITC Avant Garde" w:hAnsi="ITC Avant Garde"/>
          <w:sz w:val="22"/>
          <w:szCs w:val="22"/>
        </w:rPr>
        <w:t>posteriores a la instalación del cableado y queden excluidos los siguientes escenarios que no son atribuibles al servicio brindado por Telmex:</w:t>
      </w:r>
    </w:p>
    <w:p w14:paraId="33CFF278" w14:textId="77777777" w:rsidR="00217803" w:rsidRPr="00D936CA" w:rsidRDefault="00217803" w:rsidP="00D936CA">
      <w:pPr>
        <w:pStyle w:val="Prrafodelista"/>
        <w:numPr>
          <w:ilvl w:val="0"/>
          <w:numId w:val="55"/>
        </w:numPr>
        <w:spacing w:after="200" w:line="276" w:lineRule="auto"/>
        <w:jc w:val="both"/>
        <w:rPr>
          <w:rFonts w:ascii="ITC Avant Garde" w:hAnsi="ITC Avant Garde"/>
          <w:sz w:val="22"/>
          <w:szCs w:val="22"/>
        </w:rPr>
      </w:pPr>
      <w:r w:rsidRPr="00D936CA">
        <w:rPr>
          <w:rFonts w:ascii="ITC Avant Garde" w:hAnsi="ITC Avant Garde"/>
          <w:sz w:val="22"/>
          <w:szCs w:val="22"/>
        </w:rPr>
        <w:t>Corte intencional del cable</w:t>
      </w:r>
    </w:p>
    <w:p w14:paraId="33CFF279" w14:textId="77777777" w:rsidR="00217803" w:rsidRPr="00D936CA" w:rsidRDefault="00217803" w:rsidP="00D936CA">
      <w:pPr>
        <w:pStyle w:val="Prrafodelista"/>
        <w:numPr>
          <w:ilvl w:val="0"/>
          <w:numId w:val="55"/>
        </w:numPr>
        <w:spacing w:after="200" w:line="276" w:lineRule="auto"/>
        <w:jc w:val="both"/>
        <w:rPr>
          <w:rFonts w:ascii="ITC Avant Garde" w:hAnsi="ITC Avant Garde"/>
          <w:sz w:val="22"/>
          <w:szCs w:val="22"/>
        </w:rPr>
      </w:pPr>
      <w:r w:rsidRPr="00D936CA">
        <w:rPr>
          <w:rFonts w:ascii="ITC Avant Garde" w:hAnsi="ITC Avant Garde"/>
          <w:sz w:val="22"/>
          <w:szCs w:val="22"/>
        </w:rPr>
        <w:t>Causas fortuitas o de fuerza mayor</w:t>
      </w:r>
    </w:p>
    <w:p w14:paraId="33CFF27A" w14:textId="77777777" w:rsidR="00217803" w:rsidRPr="00D936CA" w:rsidRDefault="00217803" w:rsidP="00D936CA">
      <w:pPr>
        <w:pStyle w:val="Prrafodelista"/>
        <w:numPr>
          <w:ilvl w:val="0"/>
          <w:numId w:val="55"/>
        </w:numPr>
        <w:spacing w:after="200" w:line="276" w:lineRule="auto"/>
        <w:jc w:val="both"/>
        <w:rPr>
          <w:rFonts w:ascii="ITC Avant Garde" w:hAnsi="ITC Avant Garde"/>
          <w:sz w:val="22"/>
          <w:szCs w:val="22"/>
        </w:rPr>
      </w:pPr>
      <w:r w:rsidRPr="00D936CA">
        <w:rPr>
          <w:rFonts w:ascii="ITC Avant Garde" w:hAnsi="ITC Avant Garde"/>
          <w:sz w:val="22"/>
          <w:szCs w:val="22"/>
        </w:rPr>
        <w:t>Deterioro por uso inadecuado del cableado</w:t>
      </w:r>
    </w:p>
    <w:p w14:paraId="33CFF27B" w14:textId="77777777" w:rsidR="00217803" w:rsidRPr="00D936CA" w:rsidRDefault="00217803" w:rsidP="00D936CA">
      <w:pPr>
        <w:pStyle w:val="Prrafodelista"/>
        <w:numPr>
          <w:ilvl w:val="0"/>
          <w:numId w:val="55"/>
        </w:numPr>
        <w:spacing w:after="200" w:line="276" w:lineRule="auto"/>
        <w:jc w:val="both"/>
        <w:rPr>
          <w:rFonts w:ascii="ITC Avant Garde" w:hAnsi="ITC Avant Garde"/>
          <w:sz w:val="22"/>
          <w:szCs w:val="22"/>
        </w:rPr>
      </w:pPr>
      <w:r w:rsidRPr="00D936CA">
        <w:rPr>
          <w:rFonts w:ascii="ITC Avant Garde" w:hAnsi="ITC Avant Garde"/>
          <w:sz w:val="22"/>
          <w:szCs w:val="22"/>
        </w:rPr>
        <w:t>Daños por obras, remodelaciones o reparaciones al interior del inmueble</w:t>
      </w:r>
    </w:p>
    <w:p w14:paraId="33CFF27C" w14:textId="77777777" w:rsidR="00217803" w:rsidRPr="00D936CA" w:rsidRDefault="00217803" w:rsidP="00D936CA">
      <w:pPr>
        <w:pStyle w:val="Prrafodelista"/>
        <w:numPr>
          <w:ilvl w:val="0"/>
          <w:numId w:val="55"/>
        </w:numPr>
        <w:spacing w:after="200" w:line="276" w:lineRule="auto"/>
        <w:jc w:val="both"/>
        <w:rPr>
          <w:rFonts w:ascii="ITC Avant Garde" w:hAnsi="ITC Avant Garde"/>
          <w:sz w:val="22"/>
          <w:szCs w:val="22"/>
        </w:rPr>
      </w:pPr>
      <w:r w:rsidRPr="00D936CA">
        <w:rPr>
          <w:rFonts w:ascii="ITC Avant Garde" w:hAnsi="ITC Avant Garde"/>
          <w:sz w:val="22"/>
          <w:szCs w:val="22"/>
        </w:rPr>
        <w:t>Desconexiones</w:t>
      </w:r>
    </w:p>
    <w:p w14:paraId="33CFF27D" w14:textId="77777777" w:rsidR="00217803" w:rsidRPr="00D936CA" w:rsidRDefault="00217803" w:rsidP="00D936CA">
      <w:pPr>
        <w:pStyle w:val="Prrafodelista"/>
        <w:numPr>
          <w:ilvl w:val="0"/>
          <w:numId w:val="55"/>
        </w:numPr>
        <w:spacing w:after="200" w:line="276" w:lineRule="auto"/>
        <w:jc w:val="both"/>
        <w:rPr>
          <w:rFonts w:ascii="ITC Avant Garde" w:hAnsi="ITC Avant Garde"/>
          <w:sz w:val="22"/>
          <w:szCs w:val="22"/>
        </w:rPr>
      </w:pPr>
      <w:r w:rsidRPr="00D936CA">
        <w:rPr>
          <w:rFonts w:ascii="ITC Avant Garde" w:hAnsi="ITC Avant Garde"/>
          <w:sz w:val="22"/>
          <w:szCs w:val="22"/>
        </w:rPr>
        <w:t>Robo, vandalismo, siniestros, daños por roedores, etc.</w:t>
      </w:r>
    </w:p>
    <w:p w14:paraId="33CFF27E" w14:textId="77777777" w:rsidR="00E12D30" w:rsidRPr="00D936CA" w:rsidRDefault="00E12D30" w:rsidP="00D936CA">
      <w:pPr>
        <w:spacing w:after="200" w:line="276" w:lineRule="auto"/>
        <w:jc w:val="both"/>
        <w:rPr>
          <w:rFonts w:ascii="ITC Avant Garde" w:hAnsi="ITC Avant Garde" w:cs="Arial"/>
          <w:sz w:val="22"/>
          <w:szCs w:val="22"/>
          <w:lang w:eastAsia="es-MX"/>
        </w:rPr>
      </w:pPr>
    </w:p>
    <w:sectPr w:rsidR="00E12D30" w:rsidRPr="00D936CA" w:rsidSect="00060B2E">
      <w:pgSz w:w="12242" w:h="15842" w:code="1"/>
      <w:pgMar w:top="1417" w:right="1185" w:bottom="1417"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6E075" w14:textId="77777777" w:rsidR="00D4037C" w:rsidRDefault="00D4037C">
      <w:r>
        <w:separator/>
      </w:r>
    </w:p>
    <w:p w14:paraId="791DBC0C" w14:textId="77777777" w:rsidR="00D4037C" w:rsidRDefault="00D4037C"/>
  </w:endnote>
  <w:endnote w:type="continuationSeparator" w:id="0">
    <w:p w14:paraId="6F3A5D4D" w14:textId="77777777" w:rsidR="00D4037C" w:rsidRDefault="00D4037C">
      <w:r>
        <w:continuationSeparator/>
      </w:r>
    </w:p>
    <w:p w14:paraId="2D1A3608" w14:textId="77777777" w:rsidR="00D4037C" w:rsidRDefault="00D4037C"/>
  </w:endnote>
  <w:endnote w:type="continuationNotice" w:id="1">
    <w:p w14:paraId="0D81EC7C" w14:textId="77777777" w:rsidR="00D4037C" w:rsidRDefault="00D4037C"/>
    <w:p w14:paraId="4C59F862" w14:textId="77777777" w:rsidR="00D4037C" w:rsidRDefault="00D40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TC Avant Garde">
    <w:altName w:val="Segoe Script"/>
    <w:panose1 w:val="020B04020202030203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auto"/>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ITC Avant Garde Std Bk">
    <w:panose1 w:val="020B0502020202020204"/>
    <w:charset w:val="00"/>
    <w:family w:val="swiss"/>
    <w:notTrueType/>
    <w:pitch w:val="variable"/>
    <w:sig w:usb0="800000AF" w:usb1="4000204A"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vantGarde Bk BT">
    <w:altName w:val="Century Gothic"/>
    <w:charset w:val="00"/>
    <w:family w:val="swiss"/>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F2FB" w14:textId="78C447A4" w:rsidR="007164DF" w:rsidRPr="00C82861" w:rsidRDefault="007164DF" w:rsidP="00DD6B0F">
    <w:pPr>
      <w:pStyle w:val="Piedepgina"/>
      <w:jc w:val="right"/>
      <w:rPr>
        <w:rFonts w:ascii="ITC Avant Garde" w:hAnsi="ITC Avant Garde"/>
        <w:sz w:val="18"/>
      </w:rPr>
    </w:pPr>
    <w:r w:rsidRPr="00C82861">
      <w:rPr>
        <w:rFonts w:ascii="ITC Avant Garde" w:hAnsi="ITC Avant Garde"/>
        <w:b/>
        <w:sz w:val="18"/>
      </w:rPr>
      <w:fldChar w:fldCharType="begin"/>
    </w:r>
    <w:r w:rsidRPr="00C82861">
      <w:rPr>
        <w:rFonts w:ascii="ITC Avant Garde" w:hAnsi="ITC Avant Garde"/>
        <w:b/>
        <w:sz w:val="18"/>
      </w:rPr>
      <w:instrText>PAGE</w:instrText>
    </w:r>
    <w:r w:rsidRPr="00C82861">
      <w:rPr>
        <w:rFonts w:ascii="ITC Avant Garde" w:hAnsi="ITC Avant Garde"/>
        <w:b/>
        <w:sz w:val="18"/>
      </w:rPr>
      <w:fldChar w:fldCharType="separate"/>
    </w:r>
    <w:r w:rsidR="00AA13B3">
      <w:rPr>
        <w:rFonts w:ascii="ITC Avant Garde" w:hAnsi="ITC Avant Garde"/>
        <w:b/>
        <w:noProof/>
        <w:sz w:val="18"/>
      </w:rPr>
      <w:t>16</w:t>
    </w:r>
    <w:r w:rsidRPr="00C82861">
      <w:rPr>
        <w:rFonts w:ascii="ITC Avant Garde" w:hAnsi="ITC Avant Garde"/>
        <w:b/>
        <w:sz w:val="18"/>
      </w:rPr>
      <w:fldChar w:fldCharType="end"/>
    </w:r>
    <w:r w:rsidRPr="00C82861">
      <w:rPr>
        <w:rFonts w:ascii="ITC Avant Garde" w:hAnsi="ITC Avant Garde"/>
        <w:sz w:val="18"/>
      </w:rPr>
      <w:t xml:space="preserve"> de </w:t>
    </w:r>
    <w:r w:rsidRPr="00C82861">
      <w:rPr>
        <w:rFonts w:ascii="ITC Avant Garde" w:hAnsi="ITC Avant Garde"/>
        <w:b/>
        <w:sz w:val="18"/>
      </w:rPr>
      <w:fldChar w:fldCharType="begin"/>
    </w:r>
    <w:r w:rsidRPr="00C82861">
      <w:rPr>
        <w:rFonts w:ascii="ITC Avant Garde" w:hAnsi="ITC Avant Garde"/>
        <w:b/>
        <w:sz w:val="18"/>
      </w:rPr>
      <w:instrText>NUMPAGES</w:instrText>
    </w:r>
    <w:r w:rsidRPr="00C82861">
      <w:rPr>
        <w:rFonts w:ascii="ITC Avant Garde" w:hAnsi="ITC Avant Garde"/>
        <w:b/>
        <w:sz w:val="18"/>
      </w:rPr>
      <w:fldChar w:fldCharType="separate"/>
    </w:r>
    <w:r w:rsidR="00AA13B3">
      <w:rPr>
        <w:rFonts w:ascii="ITC Avant Garde" w:hAnsi="ITC Avant Garde"/>
        <w:b/>
        <w:noProof/>
        <w:sz w:val="18"/>
      </w:rPr>
      <w:t>231</w:t>
    </w:r>
    <w:r w:rsidRPr="00C82861">
      <w:rPr>
        <w:rFonts w:ascii="ITC Avant Garde" w:hAnsi="ITC Avant Garde"/>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566606"/>
      <w:docPartObj>
        <w:docPartGallery w:val="Page Numbers (Bottom of Page)"/>
        <w:docPartUnique/>
      </w:docPartObj>
    </w:sdtPr>
    <w:sdtEndPr/>
    <w:sdtContent>
      <w:sdt>
        <w:sdtPr>
          <w:id w:val="-1769616900"/>
          <w:docPartObj>
            <w:docPartGallery w:val="Page Numbers (Top of Page)"/>
            <w:docPartUnique/>
          </w:docPartObj>
        </w:sdtPr>
        <w:sdtEndPr/>
        <w:sdtContent>
          <w:p w14:paraId="05C59381" w14:textId="710C6522" w:rsidR="007164DF" w:rsidRDefault="007164DF">
            <w:pPr>
              <w:pStyle w:val="Piedepgina"/>
              <w:jc w:val="right"/>
            </w:pPr>
            <w:r>
              <w:rPr>
                <w:lang w:val="es-ES"/>
              </w:rPr>
              <w:t xml:space="preserve">Página </w:t>
            </w:r>
            <w:r>
              <w:rPr>
                <w:b/>
                <w:bCs/>
              </w:rPr>
              <w:fldChar w:fldCharType="begin"/>
            </w:r>
            <w:r>
              <w:rPr>
                <w:b/>
                <w:bCs/>
              </w:rPr>
              <w:instrText>PAGE</w:instrText>
            </w:r>
            <w:r>
              <w:rPr>
                <w:b/>
                <w:bCs/>
              </w:rPr>
              <w:fldChar w:fldCharType="separate"/>
            </w:r>
            <w:r w:rsidR="00AA13B3">
              <w:rPr>
                <w:b/>
                <w:bCs/>
                <w:noProof/>
              </w:rPr>
              <w:t>176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A13B3">
              <w:rPr>
                <w:b/>
                <w:bCs/>
                <w:noProof/>
              </w:rPr>
              <w:t>231</w:t>
            </w:r>
            <w:r>
              <w:rPr>
                <w:b/>
                <w:bCs/>
              </w:rPr>
              <w:fldChar w:fldCharType="end"/>
            </w:r>
          </w:p>
        </w:sdtContent>
      </w:sdt>
    </w:sdtContent>
  </w:sdt>
  <w:p w14:paraId="5B501EC6" w14:textId="60FA84CD" w:rsidR="007164DF" w:rsidRPr="00E4229B" w:rsidRDefault="007164DF" w:rsidP="00A90ABE">
    <w:pPr>
      <w:pStyle w:val="Piedepgina"/>
      <w:jc w:val="right"/>
      <w:rPr>
        <w:rFonts w:ascii="AvantGarde Bk BT" w:hAnsi="AvantGarde Bk B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4C0E1" w14:textId="77777777" w:rsidR="00D4037C" w:rsidRDefault="00D4037C">
      <w:r>
        <w:separator/>
      </w:r>
    </w:p>
    <w:p w14:paraId="0DB8490A" w14:textId="77777777" w:rsidR="00D4037C" w:rsidRDefault="00D4037C"/>
  </w:footnote>
  <w:footnote w:type="continuationSeparator" w:id="0">
    <w:p w14:paraId="55D7B68A" w14:textId="77777777" w:rsidR="00D4037C" w:rsidRDefault="00D4037C">
      <w:r>
        <w:continuationSeparator/>
      </w:r>
    </w:p>
    <w:p w14:paraId="4F82BC73" w14:textId="77777777" w:rsidR="00D4037C" w:rsidRDefault="00D4037C"/>
  </w:footnote>
  <w:footnote w:type="continuationNotice" w:id="1">
    <w:p w14:paraId="243CC994" w14:textId="77777777" w:rsidR="00D4037C" w:rsidRDefault="00D4037C"/>
    <w:p w14:paraId="4B0DFE4B" w14:textId="77777777" w:rsidR="00D4037C" w:rsidRDefault="00D4037C"/>
  </w:footnote>
  <w:footnote w:id="2">
    <w:p w14:paraId="33CFF303" w14:textId="77777777" w:rsidR="007164DF" w:rsidRPr="008D2A4C" w:rsidRDefault="007164DF" w:rsidP="00060B2E">
      <w:pPr>
        <w:pStyle w:val="Textonotapie"/>
        <w:jc w:val="both"/>
        <w:rPr>
          <w:sz w:val="18"/>
          <w:szCs w:val="18"/>
          <w:lang w:val="en-US"/>
        </w:rPr>
      </w:pPr>
      <w:r w:rsidRPr="008D2A4C">
        <w:rPr>
          <w:rStyle w:val="Refdenotaalpie"/>
          <w:sz w:val="18"/>
          <w:szCs w:val="18"/>
        </w:rPr>
        <w:footnoteRef/>
      </w:r>
      <w:r w:rsidRPr="008D2A4C">
        <w:rPr>
          <w:sz w:val="18"/>
          <w:szCs w:val="18"/>
          <w:lang w:val="en-US"/>
        </w:rPr>
        <w:t xml:space="preserve"> </w:t>
      </w:r>
      <w:r w:rsidRPr="008F3C1F">
        <w:rPr>
          <w:i/>
          <w:sz w:val="18"/>
          <w:szCs w:val="18"/>
          <w:lang w:val="en-US"/>
        </w:rPr>
        <w:t>A concatenation of individual IEEE 802 Local Area Networks (LANs) interconnected by Bridges, including Virtual Local Area Ne</w:t>
      </w:r>
      <w:r w:rsidRPr="008D2A4C">
        <w:rPr>
          <w:i/>
          <w:sz w:val="18"/>
          <w:szCs w:val="18"/>
          <w:lang w:val="en-US"/>
        </w:rPr>
        <w:t>twork (VLAN) Bridges.</w:t>
      </w:r>
    </w:p>
  </w:footnote>
  <w:footnote w:id="3">
    <w:p w14:paraId="33CFF305" w14:textId="77777777" w:rsidR="007164DF" w:rsidRPr="008D2A4C" w:rsidRDefault="007164DF" w:rsidP="008F3C1F">
      <w:pPr>
        <w:pStyle w:val="Textonotapie"/>
        <w:jc w:val="both"/>
        <w:rPr>
          <w:rFonts w:cs="Arial"/>
          <w:sz w:val="18"/>
          <w:szCs w:val="18"/>
          <w:lang w:val="es-MX"/>
        </w:rPr>
      </w:pPr>
      <w:r w:rsidRPr="008F3C1F">
        <w:rPr>
          <w:rStyle w:val="Refdenotaalpie"/>
          <w:rFonts w:cs="Arial"/>
          <w:sz w:val="18"/>
          <w:szCs w:val="18"/>
        </w:rPr>
        <w:footnoteRef/>
      </w:r>
      <w:r w:rsidRPr="008F3C1F">
        <w:rPr>
          <w:rFonts w:cs="Arial"/>
          <w:sz w:val="18"/>
          <w:szCs w:val="18"/>
        </w:rPr>
        <w:t xml:space="preserve"> </w:t>
      </w:r>
      <w:r w:rsidRPr="008D2A4C">
        <w:rPr>
          <w:rFonts w:cs="Arial"/>
          <w:sz w:val="18"/>
          <w:szCs w:val="18"/>
          <w:lang w:val="es-MX"/>
        </w:rPr>
        <w:t>El nuevo proveedor del servicio (receptor) deberá resguardar el documento en el que el suscriptor da su consentimiento al usuario final de realizar la contratación o modificación de los servicios de telecomunicaciones.</w:t>
      </w:r>
    </w:p>
  </w:footnote>
  <w:footnote w:id="4">
    <w:p w14:paraId="33CFF311" w14:textId="6F812D11" w:rsidR="007164DF" w:rsidRPr="008D2A4C" w:rsidRDefault="007164DF" w:rsidP="00060B2E">
      <w:pPr>
        <w:jc w:val="both"/>
        <w:rPr>
          <w:rFonts w:cs="Arial"/>
          <w:sz w:val="18"/>
          <w:szCs w:val="18"/>
        </w:rPr>
      </w:pPr>
      <w:r w:rsidRPr="008D2A4C">
        <w:rPr>
          <w:rStyle w:val="Refdenotaalpie"/>
          <w:rFonts w:cs="Arial"/>
          <w:sz w:val="18"/>
          <w:szCs w:val="18"/>
        </w:rPr>
        <w:footnoteRef/>
      </w:r>
      <w:r w:rsidRPr="008D2A4C">
        <w:rPr>
          <w:rFonts w:cs="Arial"/>
          <w:sz w:val="18"/>
          <w:szCs w:val="18"/>
        </w:rPr>
        <w:t xml:space="preserve"> </w:t>
      </w:r>
      <w:bookmarkStart w:id="117" w:name="_Hlk517363872"/>
      <w:r w:rsidRPr="008D2A4C">
        <w:rPr>
          <w:sz w:val="18"/>
          <w:szCs w:val="18"/>
        </w:rPr>
        <w:t>Las mediciones de pruebas de entrega remotas sólo son factibles cuando existen las condiciones técnico-operativas necesarias para poder llevarlas a cabo.</w:t>
      </w:r>
      <w:r w:rsidRPr="008D2A4C">
        <w:rPr>
          <w:rFonts w:cs="Arial"/>
          <w:sz w:val="18"/>
          <w:szCs w:val="18"/>
          <w:lang w:val="es-ES"/>
        </w:rPr>
        <w:t xml:space="preserve"> Cuando no sea factible realizar la prueba remota se utilizará el valor teórico de distancia obtenido en la construcción de red.</w:t>
      </w:r>
      <w:bookmarkEnd w:id="117"/>
    </w:p>
  </w:footnote>
  <w:footnote w:id="5">
    <w:p w14:paraId="33CFF312" w14:textId="77777777" w:rsidR="007164DF" w:rsidRPr="00550638" w:rsidRDefault="007164DF" w:rsidP="00060B2E">
      <w:pPr>
        <w:pStyle w:val="Textonotapie"/>
        <w:jc w:val="both"/>
        <w:rPr>
          <w:rFonts w:cs="Arial"/>
          <w:sz w:val="18"/>
          <w:szCs w:val="18"/>
        </w:rPr>
      </w:pPr>
      <w:r w:rsidRPr="00550638">
        <w:rPr>
          <w:rStyle w:val="Refdenotaalpie"/>
          <w:rFonts w:cs="Arial"/>
          <w:sz w:val="18"/>
          <w:szCs w:val="18"/>
        </w:rPr>
        <w:footnoteRef/>
      </w:r>
      <w:r w:rsidRPr="00550638">
        <w:rPr>
          <w:rFonts w:cs="Arial"/>
          <w:sz w:val="18"/>
          <w:szCs w:val="18"/>
        </w:rPr>
        <w:t xml:space="preserve"> Previa firma del acuerdo de confidencialidad, para las bases Tipo B firma del convenio de Desagregación.</w:t>
      </w:r>
    </w:p>
  </w:footnote>
  <w:footnote w:id="6">
    <w:p w14:paraId="33CFF313" w14:textId="64D563BF" w:rsidR="007164DF" w:rsidRPr="008F3C1F" w:rsidRDefault="007164DF" w:rsidP="008D2A4C">
      <w:pPr>
        <w:pStyle w:val="Textonotapie"/>
        <w:jc w:val="both"/>
        <w:rPr>
          <w:rFonts w:cs="Arial"/>
          <w:sz w:val="18"/>
          <w:szCs w:val="18"/>
        </w:rPr>
      </w:pPr>
      <w:r w:rsidRPr="008D2A4C">
        <w:rPr>
          <w:rStyle w:val="Refdenotaalpie"/>
          <w:rFonts w:cs="Arial"/>
          <w:sz w:val="18"/>
          <w:szCs w:val="18"/>
        </w:rPr>
        <w:footnoteRef/>
      </w:r>
      <w:r w:rsidRPr="008D2A4C">
        <w:rPr>
          <w:rFonts w:cs="Arial"/>
          <w:sz w:val="18"/>
          <w:szCs w:val="18"/>
        </w:rPr>
        <w:t xml:space="preserve"> </w:t>
      </w:r>
      <w:r w:rsidRPr="00550638">
        <w:rPr>
          <w:rFonts w:cs="Arial"/>
          <w:sz w:val="18"/>
          <w:szCs w:val="18"/>
          <w:lang w:val="es-MX"/>
        </w:rPr>
        <w:t>De acuerdo al Plan Técnico Fundamental de Numeración, el CS que desee aportar sus propias locuciones, podrá hacerlo siempre que no suponga un cost</w:t>
      </w:r>
      <w:r>
        <w:rPr>
          <w:rFonts w:cs="Arial"/>
          <w:sz w:val="18"/>
          <w:szCs w:val="18"/>
          <w:lang w:val="es-MX"/>
        </w:rPr>
        <w:t>o</w:t>
      </w:r>
      <w:r w:rsidRPr="00550638">
        <w:rPr>
          <w:rFonts w:cs="Arial"/>
          <w:sz w:val="18"/>
          <w:szCs w:val="18"/>
          <w:lang w:val="es-MX"/>
        </w:rPr>
        <w:t xml:space="preserve"> adicional para Telmex y estos se hagan a su cargo bajo el procedimiento de trabajo especial.</w:t>
      </w:r>
    </w:p>
  </w:footnote>
  <w:footnote w:id="7">
    <w:p w14:paraId="33CFF314" w14:textId="77777777" w:rsidR="007164DF" w:rsidRPr="00550638" w:rsidRDefault="007164DF" w:rsidP="00060B2E">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w:t>
      </w:r>
      <w:r w:rsidRPr="00550638">
        <w:rPr>
          <w:rFonts w:cs="Arial"/>
          <w:sz w:val="18"/>
          <w:szCs w:val="18"/>
          <w:lang w:val="es-MX"/>
        </w:rPr>
        <w:t>Es decir, sin que el cliente escuche referencia alguna a Telmex, sus servicios o cualquier otra que implique promoción de la marca o servicios que este ofrezca.</w:t>
      </w:r>
    </w:p>
  </w:footnote>
  <w:footnote w:id="8">
    <w:p w14:paraId="33CFF315" w14:textId="77777777" w:rsidR="007164DF" w:rsidRPr="00550638" w:rsidRDefault="007164DF" w:rsidP="008D2A4C">
      <w:pPr>
        <w:spacing w:line="360" w:lineRule="auto"/>
        <w:contextualSpacing/>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Requiere</w:t>
      </w:r>
      <w:r w:rsidRPr="00550638">
        <w:rPr>
          <w:rFonts w:cs="Arial"/>
          <w:sz w:val="18"/>
          <w:szCs w:val="18"/>
          <w:lang w:val="es-MX"/>
        </w:rPr>
        <w:t xml:space="preserve"> el uso de un aparato telefónico con </w:t>
      </w:r>
      <w:r w:rsidRPr="00550638">
        <w:rPr>
          <w:rFonts w:cs="Arial"/>
          <w:i/>
          <w:sz w:val="18"/>
          <w:szCs w:val="18"/>
          <w:lang w:val="es-MX"/>
        </w:rPr>
        <w:t>display</w:t>
      </w:r>
      <w:r w:rsidRPr="00550638">
        <w:rPr>
          <w:rFonts w:cs="Arial"/>
          <w:sz w:val="18"/>
          <w:szCs w:val="18"/>
          <w:lang w:val="es-MX"/>
        </w:rPr>
        <w:t>.</w:t>
      </w:r>
    </w:p>
  </w:footnote>
  <w:footnote w:id="9">
    <w:p w14:paraId="33CFF316" w14:textId="77777777" w:rsidR="007164DF" w:rsidRPr="008D2A4C" w:rsidRDefault="007164DF" w:rsidP="008D2A4C">
      <w:pPr>
        <w:pStyle w:val="Textonotapie"/>
        <w:jc w:val="both"/>
        <w:rPr>
          <w:rFonts w:cs="Arial"/>
          <w:sz w:val="18"/>
          <w:szCs w:val="18"/>
        </w:rPr>
      </w:pPr>
      <w:r w:rsidRPr="008D2A4C">
        <w:rPr>
          <w:rStyle w:val="Refdenotaalpie"/>
          <w:rFonts w:cs="Arial"/>
          <w:sz w:val="18"/>
          <w:szCs w:val="18"/>
        </w:rPr>
        <w:footnoteRef/>
      </w:r>
      <w:r w:rsidRPr="008D2A4C">
        <w:rPr>
          <w:rFonts w:cs="Arial"/>
          <w:sz w:val="18"/>
          <w:szCs w:val="18"/>
        </w:rPr>
        <w:t xml:space="preserve"> El CS podrá solicitar para usuarios comerciales la asignación de una IP fija, en las mismas condiciones en que Telmex la provee para sus usuarios.</w:t>
      </w:r>
    </w:p>
  </w:footnote>
  <w:footnote w:id="10">
    <w:p w14:paraId="33CFF317" w14:textId="596B888F" w:rsidR="007164DF" w:rsidRPr="00550638" w:rsidRDefault="007164DF" w:rsidP="00060B2E">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Si el CS l</w:t>
      </w:r>
      <w:r w:rsidRPr="00550638">
        <w:rPr>
          <w:rFonts w:cs="Arial"/>
          <w:sz w:val="18"/>
          <w:szCs w:val="18"/>
        </w:rPr>
        <w:t>o solicita, Telmex proporcionará las modalidades del Protocolo de Internet en sus versiones 4 y 6 (IPv4, IPv6) para los servicios SRI y SRP.</w:t>
      </w:r>
    </w:p>
  </w:footnote>
  <w:footnote w:id="11">
    <w:p w14:paraId="363CB69E" w14:textId="63CD79E9" w:rsidR="007164DF" w:rsidRPr="00182075" w:rsidRDefault="007164DF" w:rsidP="008D2A4C">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w:t>
      </w:r>
      <w:bookmarkStart w:id="287" w:name="_Hlk516485787"/>
      <w:r w:rsidRPr="008D2A4C">
        <w:rPr>
          <w:rFonts w:cs="Arial"/>
          <w:sz w:val="18"/>
          <w:szCs w:val="18"/>
          <w:lang w:val="es-MX"/>
        </w:rPr>
        <w:t xml:space="preserve">Las dos primeras visitas de la mensajería se realizarán al domicilio señalado en la solicitud; de no haber sido exitosa la entrega, la tercera visita se realizará a un domicilio alternativo </w:t>
      </w:r>
      <w:r w:rsidRPr="00550638">
        <w:rPr>
          <w:rFonts w:cs="Arial"/>
          <w:sz w:val="18"/>
          <w:szCs w:val="18"/>
          <w:lang w:val="es-MX"/>
        </w:rPr>
        <w:t xml:space="preserve">definido por el CS dentro de la misma ciudad, en caso de no haber sido recibido el módem por no contar con un domicilio alterno de entrega, </w:t>
      </w:r>
      <w:r w:rsidRPr="008F3C1F">
        <w:rPr>
          <w:rFonts w:cs="Arial"/>
          <w:sz w:val="18"/>
          <w:szCs w:val="18"/>
          <w:lang w:val="es-MX"/>
        </w:rPr>
        <w:t>se cancelará la orden de servicio por no contarse con todos los elementos necesarios para la instalación/habilitación del servicio</w:t>
      </w:r>
      <w:r w:rsidRPr="00182075">
        <w:rPr>
          <w:rFonts w:cs="Arial"/>
          <w:sz w:val="18"/>
          <w:szCs w:val="18"/>
          <w:lang w:val="es-MX"/>
        </w:rPr>
        <w:t xml:space="preserve">. </w:t>
      </w:r>
    </w:p>
    <w:bookmarkEnd w:id="287"/>
  </w:footnote>
  <w:footnote w:id="12">
    <w:p w14:paraId="56DED23D" w14:textId="2065C8F3" w:rsidR="007164DF" w:rsidRPr="008D2A4C" w:rsidRDefault="007164DF" w:rsidP="00060B2E">
      <w:pPr>
        <w:pStyle w:val="Textonotapie"/>
        <w:jc w:val="both"/>
        <w:rPr>
          <w:sz w:val="18"/>
          <w:szCs w:val="18"/>
          <w:lang w:val="es-MX"/>
        </w:rPr>
      </w:pPr>
      <w:r w:rsidRPr="008D2A4C">
        <w:rPr>
          <w:rStyle w:val="Refdenotaalpie"/>
          <w:sz w:val="18"/>
          <w:szCs w:val="18"/>
        </w:rPr>
        <w:footnoteRef/>
      </w:r>
      <w:r w:rsidRPr="008D2A4C">
        <w:rPr>
          <w:sz w:val="18"/>
          <w:szCs w:val="18"/>
        </w:rPr>
        <w:t xml:space="preserve"> </w:t>
      </w:r>
      <w:r w:rsidRPr="008D2A4C">
        <w:rPr>
          <w:rFonts w:cs="Arial"/>
          <w:sz w:val="18"/>
          <w:szCs w:val="18"/>
        </w:rPr>
        <w:t>Así como aplican las condiciones comerciales de la empresa de mensajería de que se trate</w:t>
      </w:r>
    </w:p>
  </w:footnote>
  <w:footnote w:id="13">
    <w:p w14:paraId="2DEE7A86" w14:textId="77777777" w:rsidR="007164DF" w:rsidRPr="008D2A4C" w:rsidRDefault="007164DF" w:rsidP="008F3C1F">
      <w:pPr>
        <w:pStyle w:val="Textonotapie"/>
        <w:jc w:val="both"/>
        <w:rPr>
          <w:sz w:val="18"/>
          <w:szCs w:val="18"/>
          <w:lang w:val="es-MX"/>
        </w:rPr>
      </w:pPr>
      <w:r>
        <w:rPr>
          <w:rStyle w:val="Refdenotaalpie"/>
        </w:rPr>
        <w:footnoteRef/>
      </w:r>
      <w:r>
        <w:t xml:space="preserve"> </w:t>
      </w:r>
      <w:r w:rsidRPr="008D2A4C">
        <w:rPr>
          <w:rFonts w:cs="Arial"/>
          <w:sz w:val="18"/>
          <w:szCs w:val="18"/>
        </w:rPr>
        <w:t>Si el módem será recogido en Tienda Telmex, será necesario que el usuario al momento de recoger el módem proporcione el folio de la orden de servicio, el módem debe recogerse a más tardar 5 días hábiles posteriores a la aceptación de la solicitud del servicio, ya que de lo contrario se entenderá que el servicio no es de interés del CS y la solicitud se cancelará por no contar con todos los elementos necesarios para la instalación/habilitación del servicio.</w:t>
      </w:r>
    </w:p>
    <w:p w14:paraId="3C62AD71" w14:textId="38C663C6" w:rsidR="007164DF" w:rsidRPr="00060B2E" w:rsidRDefault="007164DF">
      <w:pPr>
        <w:pStyle w:val="Textonotapie"/>
        <w:rPr>
          <w:lang w:val="es-MX"/>
        </w:rPr>
      </w:pPr>
    </w:p>
  </w:footnote>
  <w:footnote w:id="14">
    <w:p w14:paraId="33CFF31A" w14:textId="7D5F3B47" w:rsidR="007164DF" w:rsidRPr="008D2A4C" w:rsidRDefault="007164DF" w:rsidP="008D2A4C">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w:t>
      </w:r>
      <w:r w:rsidRPr="008D2A4C">
        <w:rPr>
          <w:rFonts w:cs="Arial"/>
          <w:sz w:val="18"/>
          <w:szCs w:val="18"/>
          <w:lang w:val="es-MX"/>
        </w:rPr>
        <w:t xml:space="preserve">En el caso de que un grupo de CS desee adquirir el lote mínimo deberán designar un responsable encargado de concertar con Telmex la adquisición del lote mínimo, así como los puntos de distribución donde recogerá o recibirá los Módem y las ONTs. </w:t>
      </w:r>
    </w:p>
  </w:footnote>
  <w:footnote w:id="15">
    <w:p w14:paraId="33CFF31B" w14:textId="77777777" w:rsidR="007164DF" w:rsidRPr="008D2A4C" w:rsidRDefault="007164DF" w:rsidP="00060B2E">
      <w:pPr>
        <w:pStyle w:val="Textonotapie"/>
        <w:jc w:val="both"/>
        <w:rPr>
          <w:rFonts w:cs="Arial"/>
          <w:sz w:val="18"/>
          <w:szCs w:val="18"/>
        </w:rPr>
      </w:pPr>
      <w:r w:rsidRPr="008D2A4C">
        <w:rPr>
          <w:rStyle w:val="Refdenotaalpie"/>
          <w:rFonts w:cs="Arial"/>
          <w:sz w:val="18"/>
          <w:szCs w:val="18"/>
        </w:rPr>
        <w:footnoteRef/>
      </w:r>
      <w:r w:rsidRPr="008D2A4C">
        <w:rPr>
          <w:rFonts w:cs="Arial"/>
          <w:sz w:val="18"/>
          <w:szCs w:val="18"/>
        </w:rPr>
        <w:t xml:space="preserve"> Dependiendo del proveedor y la cantidad solicitada, este tiempo mínimo puede variar.</w:t>
      </w:r>
    </w:p>
  </w:footnote>
  <w:footnote w:id="16">
    <w:p w14:paraId="50ED54B0" w14:textId="1FC996AB"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rFonts w:cs="Arial"/>
          <w:sz w:val="18"/>
          <w:szCs w:val="18"/>
        </w:rPr>
        <w:t xml:space="preserve"> </w:t>
      </w:r>
      <w:r w:rsidRPr="00060B2E">
        <w:rPr>
          <w:rFonts w:cs="Arial"/>
          <w:sz w:val="18"/>
          <w:szCs w:val="18"/>
          <w:lang w:val="es-MX"/>
        </w:rPr>
        <w:t>El CS deberá proporcionar un número de contacto para responder dudas sobre la ubicación de los domicilios.</w:t>
      </w:r>
    </w:p>
  </w:footnote>
  <w:footnote w:id="17">
    <w:p w14:paraId="67877F96" w14:textId="3C734467"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sz w:val="18"/>
          <w:szCs w:val="18"/>
        </w:rPr>
        <w:t xml:space="preserve"> En los servicios existentes es factible que cuando se solicite la cancelación por parte del CS; ya se hubiera ejecutado la desagregación, por lo que en dichos casos deberá solicitarse la baja del servicio.</w:t>
      </w:r>
    </w:p>
  </w:footnote>
  <w:footnote w:id="18">
    <w:p w14:paraId="33CFF31E" w14:textId="4F26A886" w:rsidR="007164DF" w:rsidRPr="008D2A4C" w:rsidRDefault="007164DF" w:rsidP="00060B2E">
      <w:pPr>
        <w:pStyle w:val="Textonotapie"/>
        <w:jc w:val="both"/>
        <w:rPr>
          <w:sz w:val="18"/>
          <w:szCs w:val="18"/>
        </w:rPr>
      </w:pPr>
      <w:r w:rsidRPr="00060B2E">
        <w:rPr>
          <w:rStyle w:val="Refdenotaalpie"/>
          <w:sz w:val="18"/>
          <w:szCs w:val="18"/>
        </w:rPr>
        <w:footnoteRef/>
      </w:r>
      <w:r w:rsidRPr="008D2A4C">
        <w:rPr>
          <w:sz w:val="18"/>
          <w:szCs w:val="18"/>
        </w:rPr>
        <w:t xml:space="preserve"> </w:t>
      </w:r>
      <w:bookmarkStart w:id="367" w:name="_Hlk517363909"/>
      <w:r w:rsidRPr="008D2A4C">
        <w:rPr>
          <w:sz w:val="18"/>
          <w:szCs w:val="18"/>
        </w:rPr>
        <w:t>Las mediciones de pruebas de entrega remotas solo son factibles cuando existen las condiciones técnico-operativas necesarias para poder llevarlas a cabo.</w:t>
      </w:r>
      <w:bookmarkEnd w:id="367"/>
      <w:r w:rsidRPr="008D2A4C">
        <w:rPr>
          <w:sz w:val="18"/>
          <w:szCs w:val="18"/>
        </w:rPr>
        <w:t xml:space="preserve"> </w:t>
      </w:r>
      <w:r w:rsidRPr="008D2A4C">
        <w:rPr>
          <w:rFonts w:cs="Arial"/>
          <w:sz w:val="18"/>
          <w:szCs w:val="18"/>
          <w:lang w:val="es-ES"/>
        </w:rPr>
        <w:t>Cuando no sea factible realizar la prueba remota se utilizará el valor teórico de distancia obtenido en la construcción de red.</w:t>
      </w:r>
    </w:p>
  </w:footnote>
  <w:footnote w:id="19">
    <w:p w14:paraId="237C9877" w14:textId="77777777" w:rsidR="007164DF" w:rsidRPr="00060B2E" w:rsidRDefault="007164DF" w:rsidP="008D2A4C">
      <w:pPr>
        <w:pStyle w:val="Textonotapie"/>
        <w:jc w:val="both"/>
        <w:rPr>
          <w:sz w:val="18"/>
          <w:szCs w:val="18"/>
          <w:lang w:val="es-MX"/>
        </w:rPr>
      </w:pPr>
      <w:r w:rsidRPr="00060B2E">
        <w:rPr>
          <w:rStyle w:val="Refdenotaalpie"/>
          <w:sz w:val="18"/>
          <w:szCs w:val="18"/>
        </w:rPr>
        <w:footnoteRef/>
      </w:r>
      <w:r w:rsidRPr="00060B2E">
        <w:rPr>
          <w:sz w:val="18"/>
          <w:szCs w:val="18"/>
        </w:rPr>
        <w:t xml:space="preserve"> En los servicios existentes es factible que cuando se solicite la cancelación por parte del CS; ya se hubiera ejecutado la desagregación, por lo que en dichos casos deberá solicitarse la baja del servicio.</w:t>
      </w:r>
    </w:p>
  </w:footnote>
  <w:footnote w:id="20">
    <w:p w14:paraId="33CFF31F" w14:textId="77777777" w:rsidR="007164DF" w:rsidRPr="00060B2E" w:rsidRDefault="007164DF" w:rsidP="008D2A4C">
      <w:pPr>
        <w:contextualSpacing/>
        <w:jc w:val="both"/>
        <w:rPr>
          <w:rFonts w:cs="Arial"/>
          <w:sz w:val="18"/>
          <w:szCs w:val="18"/>
        </w:rPr>
      </w:pPr>
      <w:r w:rsidRPr="00060B2E">
        <w:rPr>
          <w:rStyle w:val="Refdenotaalpie"/>
          <w:rFonts w:cs="Arial"/>
          <w:sz w:val="18"/>
          <w:szCs w:val="18"/>
        </w:rPr>
        <w:footnoteRef/>
      </w:r>
      <w:r w:rsidRPr="00060B2E">
        <w:rPr>
          <w:rFonts w:cs="Arial"/>
          <w:sz w:val="18"/>
          <w:szCs w:val="18"/>
        </w:rPr>
        <w:t xml:space="preserve"> Si TELMEX comercializara otro tipo de calidades diferentes deberá incorporarla en la Oferta de Referencia y ponerla a disposición de los CS como mínimo con una antelación de seis meses a su comercialización.</w:t>
      </w:r>
    </w:p>
  </w:footnote>
  <w:footnote w:id="21">
    <w:p w14:paraId="33CFF320" w14:textId="77777777" w:rsidR="007164DF" w:rsidRPr="00060B2E" w:rsidRDefault="007164DF" w:rsidP="00550638">
      <w:pPr>
        <w:pStyle w:val="Textonotapie"/>
        <w:jc w:val="both"/>
        <w:rPr>
          <w:rFonts w:cs="Arial"/>
          <w:sz w:val="18"/>
          <w:szCs w:val="18"/>
        </w:rPr>
      </w:pPr>
      <w:r w:rsidRPr="00060B2E">
        <w:rPr>
          <w:rStyle w:val="Refdenotaalpie"/>
          <w:rFonts w:cs="Arial"/>
          <w:sz w:val="18"/>
          <w:szCs w:val="18"/>
        </w:rPr>
        <w:footnoteRef/>
      </w:r>
      <w:r w:rsidRPr="00060B2E">
        <w:rPr>
          <w:rStyle w:val="Refdenotaalpie"/>
          <w:rFonts w:cs="Arial"/>
          <w:sz w:val="18"/>
          <w:szCs w:val="18"/>
        </w:rPr>
        <w:t xml:space="preserve"> </w:t>
      </w:r>
      <w:r w:rsidRPr="00060B2E">
        <w:rPr>
          <w:rFonts w:cs="Arial"/>
          <w:sz w:val="18"/>
          <w:szCs w:val="18"/>
        </w:rPr>
        <w:t>El servicio de tráfico Multicast se proporcionará cuando lo soporte la Red de Telmex y ofrezca servicios que utilicen esta funcionalidad o cuando el o los CS que lo requiera(n) asuma (n) la totalidad de los costos incurridos o asociados a las adecuaciones en la red para la habilitación del mismo, a partir de lo cual dicho servicio será puesto a disposición del resto de los Concesionarios.</w:t>
      </w:r>
    </w:p>
  </w:footnote>
  <w:footnote w:id="22">
    <w:p w14:paraId="2E225F2F" w14:textId="60BA2ADD" w:rsidR="007164DF" w:rsidRPr="00060B2E" w:rsidRDefault="007164DF" w:rsidP="00060B2E">
      <w:pPr>
        <w:pStyle w:val="Textonotapie"/>
        <w:jc w:val="both"/>
        <w:rPr>
          <w:rFonts w:cs="Arial"/>
          <w:sz w:val="18"/>
          <w:szCs w:val="18"/>
          <w:lang w:val="es-MX"/>
        </w:rPr>
      </w:pPr>
      <w:r w:rsidRPr="00060B2E">
        <w:rPr>
          <w:rStyle w:val="Refdenotaalpie"/>
          <w:rFonts w:cs="Arial"/>
          <w:sz w:val="18"/>
          <w:szCs w:val="18"/>
        </w:rPr>
        <w:footnoteRef/>
      </w:r>
      <w:r w:rsidRPr="00060B2E">
        <w:rPr>
          <w:rFonts w:cs="Arial"/>
          <w:sz w:val="18"/>
          <w:szCs w:val="18"/>
        </w:rPr>
        <w:t xml:space="preserve"> </w:t>
      </w:r>
      <w:r w:rsidRPr="00060B2E">
        <w:rPr>
          <w:rFonts w:cs="Arial"/>
          <w:sz w:val="18"/>
          <w:szCs w:val="18"/>
          <w:lang w:val="es-MX"/>
        </w:rPr>
        <w:t>Para que el Usuario Final pueda hacer uso de su derecho de portar su número telefónico se deberá prever la obtención del NIP con antelación a la realización del puente, así como que este no caduque, de acuerdo a las Reglas de Portabilidad vigentes.</w:t>
      </w:r>
    </w:p>
  </w:footnote>
  <w:footnote w:id="23">
    <w:p w14:paraId="2549D942" w14:textId="5ECEBA54" w:rsidR="007164DF" w:rsidRPr="00060B2E" w:rsidRDefault="007164DF" w:rsidP="00060B2E">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w:t>
      </w:r>
      <w:r w:rsidRPr="008D2A4C">
        <w:rPr>
          <w:rFonts w:cs="Arial"/>
          <w:sz w:val="18"/>
          <w:szCs w:val="18"/>
        </w:rPr>
        <w:t>En el caso de ONTs para usuarios nuevos, es necesario que las mismas sean entregadas por el técnico al momento de la instalación del servicio. Es requisito técnico que las ONTs co</w:t>
      </w:r>
      <w:r w:rsidRPr="00550638">
        <w:rPr>
          <w:rFonts w:cs="Arial"/>
          <w:sz w:val="18"/>
          <w:szCs w:val="18"/>
        </w:rPr>
        <w:t>rrespondan al mismo comercializador (marca o proveedor) que las OLTs, debido que las ONTs no son interoperables entre distintos proveedores.</w:t>
      </w:r>
    </w:p>
  </w:footnote>
  <w:footnote w:id="24">
    <w:p w14:paraId="1E987645" w14:textId="2632059F" w:rsidR="007164DF" w:rsidRPr="00060B2E" w:rsidRDefault="007164DF" w:rsidP="00060B2E">
      <w:pPr>
        <w:pStyle w:val="Textonotapie"/>
        <w:jc w:val="both"/>
        <w:rPr>
          <w:rFonts w:cs="Arial"/>
          <w:sz w:val="18"/>
          <w:szCs w:val="18"/>
          <w:lang w:val="es-MX"/>
        </w:rPr>
      </w:pPr>
      <w:r w:rsidRPr="00060B2E">
        <w:rPr>
          <w:rStyle w:val="Refdenotaalpie"/>
          <w:rFonts w:cs="Arial"/>
          <w:sz w:val="18"/>
          <w:szCs w:val="18"/>
        </w:rPr>
        <w:footnoteRef/>
      </w:r>
      <w:r w:rsidRPr="00060B2E">
        <w:rPr>
          <w:rFonts w:cs="Arial"/>
          <w:sz w:val="18"/>
          <w:szCs w:val="18"/>
        </w:rPr>
        <w:t xml:space="preserve"> </w:t>
      </w:r>
      <w:r w:rsidRPr="00060B2E">
        <w:rPr>
          <w:rFonts w:cs="Arial"/>
          <w:sz w:val="18"/>
          <w:szCs w:val="18"/>
          <w:lang w:val="es-MX"/>
        </w:rPr>
        <w:t xml:space="preserve">Las dos primeras visitas de la mensajería se realizarán al domicilio señalado en la solicitud; de no haber sido exitosa la entrega, la tercera visita se realizará a un domicilio alternativo definido por el CS dentro de la misma ciudad, en caso de no haber sido recibido el módem por no contar con un domicilio alterno de entrega, se cancelará la orden de servicio por no contarse con todos los elementos necesarios para la instalación/habilitación del servicio. </w:t>
      </w:r>
    </w:p>
  </w:footnote>
  <w:footnote w:id="25">
    <w:p w14:paraId="555DF055" w14:textId="5FB6CF76" w:rsidR="007164DF" w:rsidRPr="00060B2E" w:rsidRDefault="007164DF" w:rsidP="00060B2E">
      <w:pPr>
        <w:pStyle w:val="Textonotapie"/>
        <w:jc w:val="both"/>
        <w:rPr>
          <w:rFonts w:cs="Arial"/>
          <w:sz w:val="18"/>
          <w:szCs w:val="18"/>
          <w:lang w:val="es-MX"/>
        </w:rPr>
      </w:pPr>
      <w:r w:rsidRPr="00060B2E">
        <w:rPr>
          <w:rStyle w:val="Refdenotaalpie"/>
          <w:rFonts w:cs="Arial"/>
          <w:sz w:val="18"/>
          <w:szCs w:val="18"/>
        </w:rPr>
        <w:footnoteRef/>
      </w:r>
      <w:r w:rsidRPr="00060B2E">
        <w:rPr>
          <w:rFonts w:cs="Arial"/>
          <w:sz w:val="18"/>
          <w:szCs w:val="18"/>
        </w:rPr>
        <w:t xml:space="preserve"> </w:t>
      </w:r>
      <w:r w:rsidRPr="008D2A4C">
        <w:rPr>
          <w:rFonts w:cs="Arial"/>
          <w:sz w:val="18"/>
          <w:szCs w:val="18"/>
        </w:rPr>
        <w:t>Así como aplican las condiciones comerciales de la empresa de mensajería de que se trate</w:t>
      </w:r>
    </w:p>
  </w:footnote>
  <w:footnote w:id="26">
    <w:p w14:paraId="33CFF326" w14:textId="413A7640" w:rsidR="007164DF" w:rsidRPr="004B2183" w:rsidRDefault="007164DF" w:rsidP="008D2A4C">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w:t>
      </w:r>
      <w:r w:rsidRPr="00550638">
        <w:rPr>
          <w:rFonts w:cs="Arial"/>
          <w:sz w:val="18"/>
          <w:szCs w:val="18"/>
          <w:lang w:val="es-MX"/>
        </w:rPr>
        <w:t>En el caso de que un grupo de CS desee adquirir el lote mínimo deberán designar un responsable encargado de concertar con Telmex la adquisición del lote mínimo,</w:t>
      </w:r>
      <w:r w:rsidRPr="008F3C1F">
        <w:rPr>
          <w:rFonts w:cs="Arial"/>
          <w:sz w:val="18"/>
          <w:szCs w:val="18"/>
          <w:lang w:val="es-MX"/>
        </w:rPr>
        <w:t xml:space="preserve"> así como los puntos de distribución donde recogerá o recibirá los </w:t>
      </w:r>
      <w:r w:rsidRPr="004B2183">
        <w:rPr>
          <w:rFonts w:cs="Arial"/>
          <w:sz w:val="18"/>
          <w:szCs w:val="18"/>
          <w:lang w:val="es-MX"/>
        </w:rPr>
        <w:t xml:space="preserve">módems y las ONTs. </w:t>
      </w:r>
    </w:p>
  </w:footnote>
  <w:footnote w:id="27">
    <w:p w14:paraId="33CFF327" w14:textId="77777777" w:rsidR="007164DF" w:rsidRPr="00550638" w:rsidRDefault="007164DF" w:rsidP="008D2A4C">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w:t>
      </w:r>
      <w:r w:rsidRPr="00550638">
        <w:rPr>
          <w:rFonts w:cs="Arial"/>
          <w:sz w:val="18"/>
          <w:szCs w:val="18"/>
          <w:lang w:val="es-MX"/>
        </w:rPr>
        <w:t>El día de entrega no excederá los 10 días hábiles desde la validación de la solicitud.</w:t>
      </w:r>
    </w:p>
  </w:footnote>
  <w:footnote w:id="28">
    <w:p w14:paraId="33CFF328" w14:textId="77777777" w:rsidR="007164DF" w:rsidRPr="00550638" w:rsidRDefault="007164DF" w:rsidP="00060B2E">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lang w:val="es-MX"/>
        </w:rPr>
        <w:t xml:space="preserve"> Este plazo de prev</w:t>
      </w:r>
      <w:r w:rsidRPr="00550638">
        <w:rPr>
          <w:rFonts w:cs="Arial"/>
          <w:sz w:val="18"/>
          <w:szCs w:val="18"/>
          <w:lang w:val="es-MX"/>
        </w:rPr>
        <w:t>ención sólo se permitirá una vez.</w:t>
      </w:r>
    </w:p>
  </w:footnote>
  <w:footnote w:id="29">
    <w:p w14:paraId="3B1E899D" w14:textId="77777777"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sz w:val="18"/>
          <w:szCs w:val="18"/>
        </w:rPr>
        <w:t xml:space="preserve"> </w:t>
      </w:r>
      <w:r w:rsidRPr="00060B2E">
        <w:rPr>
          <w:sz w:val="18"/>
          <w:szCs w:val="18"/>
          <w:lang w:val="es-MX"/>
        </w:rPr>
        <w:t>En caso de que el CS desee utilizar esta alternativa en módems/ONT que no se encuentren homologados con la red de Telmex, deberá solicitar el servicio de interoperabilidad.</w:t>
      </w:r>
    </w:p>
  </w:footnote>
  <w:footnote w:id="30">
    <w:p w14:paraId="16B1483C" w14:textId="37D8D837"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sz w:val="18"/>
          <w:szCs w:val="18"/>
        </w:rPr>
        <w:t xml:space="preserve"> </w:t>
      </w:r>
      <w:r w:rsidRPr="00060B2E">
        <w:rPr>
          <w:sz w:val="18"/>
          <w:szCs w:val="18"/>
          <w:lang w:val="es-MX"/>
        </w:rPr>
        <w:t xml:space="preserve">Es importante mencionar que en el caso de </w:t>
      </w:r>
      <w:r w:rsidRPr="008D2A4C">
        <w:rPr>
          <w:sz w:val="18"/>
          <w:szCs w:val="18"/>
          <w:lang w:val="es-MX"/>
        </w:rPr>
        <w:t>módems/</w:t>
      </w:r>
      <w:r w:rsidRPr="00550638">
        <w:rPr>
          <w:sz w:val="18"/>
          <w:szCs w:val="18"/>
          <w:lang w:val="es-MX"/>
        </w:rPr>
        <w:t>ONT</w:t>
      </w:r>
      <w:r w:rsidRPr="00060B2E">
        <w:rPr>
          <w:sz w:val="18"/>
          <w:szCs w:val="18"/>
          <w:lang w:val="es-MX"/>
        </w:rPr>
        <w:t xml:space="preserve"> homologad</w:t>
      </w:r>
      <w:r w:rsidRPr="008D2A4C">
        <w:rPr>
          <w:sz w:val="18"/>
          <w:szCs w:val="18"/>
          <w:lang w:val="es-MX"/>
        </w:rPr>
        <w:t>a</w:t>
      </w:r>
      <w:r w:rsidRPr="00060B2E">
        <w:rPr>
          <w:sz w:val="18"/>
          <w:szCs w:val="18"/>
          <w:lang w:val="es-MX"/>
        </w:rPr>
        <w:t xml:space="preserve">s por Telmex y que son adquiridos directamente por los </w:t>
      </w:r>
      <w:r w:rsidRPr="008D2A4C">
        <w:rPr>
          <w:sz w:val="18"/>
          <w:szCs w:val="18"/>
          <w:lang w:val="es-MX"/>
        </w:rPr>
        <w:t>CS</w:t>
      </w:r>
      <w:r w:rsidRPr="00060B2E">
        <w:rPr>
          <w:sz w:val="18"/>
          <w:szCs w:val="18"/>
          <w:lang w:val="es-MX"/>
        </w:rPr>
        <w:t xml:space="preserve"> hacia los proveedores/fabricantes, es necesario que el </w:t>
      </w:r>
      <w:r w:rsidRPr="008D2A4C">
        <w:rPr>
          <w:sz w:val="18"/>
          <w:szCs w:val="18"/>
          <w:lang w:val="es-MX"/>
        </w:rPr>
        <w:t>CS</w:t>
      </w:r>
      <w:r w:rsidRPr="00060B2E">
        <w:rPr>
          <w:sz w:val="18"/>
          <w:szCs w:val="18"/>
          <w:lang w:val="es-MX"/>
        </w:rPr>
        <w:t xml:space="preserve"> entregue el número de serie de los </w:t>
      </w:r>
      <w:r w:rsidRPr="008D2A4C">
        <w:rPr>
          <w:sz w:val="18"/>
          <w:szCs w:val="18"/>
          <w:lang w:val="es-MX"/>
        </w:rPr>
        <w:t xml:space="preserve">módems/ONT </w:t>
      </w:r>
      <w:r w:rsidRPr="00060B2E">
        <w:rPr>
          <w:sz w:val="18"/>
          <w:szCs w:val="18"/>
          <w:lang w:val="es-MX"/>
        </w:rPr>
        <w:t xml:space="preserve">para que </w:t>
      </w:r>
      <w:r w:rsidRPr="008D2A4C">
        <w:rPr>
          <w:sz w:val="18"/>
          <w:szCs w:val="18"/>
          <w:lang w:val="es-MX"/>
        </w:rPr>
        <w:t>é</w:t>
      </w:r>
      <w:r w:rsidRPr="00060B2E">
        <w:rPr>
          <w:sz w:val="18"/>
          <w:szCs w:val="18"/>
          <w:lang w:val="es-MX"/>
        </w:rPr>
        <w:t xml:space="preserve">stos sean abanderados e identificados en </w:t>
      </w:r>
      <w:r w:rsidRPr="008D2A4C">
        <w:rPr>
          <w:sz w:val="18"/>
          <w:szCs w:val="18"/>
          <w:lang w:val="es-MX"/>
        </w:rPr>
        <w:t xml:space="preserve">los </w:t>
      </w:r>
      <w:r w:rsidRPr="00550638">
        <w:rPr>
          <w:sz w:val="18"/>
          <w:szCs w:val="18"/>
          <w:lang w:val="es-MX"/>
        </w:rPr>
        <w:t>s</w:t>
      </w:r>
      <w:r w:rsidRPr="00060B2E">
        <w:rPr>
          <w:sz w:val="18"/>
          <w:szCs w:val="18"/>
          <w:lang w:val="es-MX"/>
        </w:rPr>
        <w:t>istema</w:t>
      </w:r>
      <w:r w:rsidRPr="008D2A4C">
        <w:rPr>
          <w:sz w:val="18"/>
          <w:szCs w:val="18"/>
          <w:lang w:val="es-MX"/>
        </w:rPr>
        <w:t xml:space="preserve">s de </w:t>
      </w:r>
      <w:r w:rsidRPr="00060B2E">
        <w:rPr>
          <w:sz w:val="18"/>
          <w:szCs w:val="18"/>
          <w:lang w:val="es-MX"/>
        </w:rPr>
        <w:t xml:space="preserve">Telmex, con el fin de que cuando existan nuevas versiones de </w:t>
      </w:r>
      <w:r w:rsidRPr="008D2A4C">
        <w:rPr>
          <w:sz w:val="18"/>
          <w:szCs w:val="18"/>
          <w:lang w:val="es-MX"/>
        </w:rPr>
        <w:t>software</w:t>
      </w:r>
      <w:r w:rsidRPr="00060B2E">
        <w:rPr>
          <w:sz w:val="18"/>
          <w:szCs w:val="18"/>
          <w:lang w:val="es-MX"/>
        </w:rPr>
        <w:t xml:space="preserve"> que contengan correcciones o mejoras a las versiones actuales, sean </w:t>
      </w:r>
      <w:r w:rsidRPr="008D2A4C">
        <w:rPr>
          <w:sz w:val="18"/>
          <w:szCs w:val="18"/>
          <w:lang w:val="es-MX"/>
        </w:rPr>
        <w:t>informados</w:t>
      </w:r>
      <w:r w:rsidRPr="00060B2E">
        <w:rPr>
          <w:sz w:val="18"/>
          <w:szCs w:val="18"/>
          <w:lang w:val="es-MX"/>
        </w:rPr>
        <w:t xml:space="preserve"> los </w:t>
      </w:r>
      <w:r w:rsidRPr="008D2A4C">
        <w:rPr>
          <w:sz w:val="18"/>
          <w:szCs w:val="18"/>
          <w:lang w:val="es-MX"/>
        </w:rPr>
        <w:t>CS</w:t>
      </w:r>
      <w:r w:rsidRPr="00060B2E">
        <w:rPr>
          <w:sz w:val="18"/>
          <w:szCs w:val="18"/>
          <w:lang w:val="es-MX"/>
        </w:rPr>
        <w:t xml:space="preserve">, que existe una nueva </w:t>
      </w:r>
      <w:r w:rsidRPr="008D2A4C">
        <w:rPr>
          <w:sz w:val="18"/>
          <w:szCs w:val="18"/>
          <w:lang w:val="es-MX"/>
        </w:rPr>
        <w:t>actualización</w:t>
      </w:r>
      <w:r w:rsidRPr="00060B2E">
        <w:rPr>
          <w:sz w:val="18"/>
          <w:szCs w:val="18"/>
          <w:lang w:val="es-MX"/>
        </w:rPr>
        <w:t xml:space="preserve"> y sea acordado un plan de actualización con ellos; </w:t>
      </w:r>
      <w:r w:rsidRPr="008D2A4C">
        <w:rPr>
          <w:sz w:val="18"/>
          <w:szCs w:val="18"/>
          <w:lang w:val="es-MX"/>
        </w:rPr>
        <w:t>e</w:t>
      </w:r>
      <w:r w:rsidRPr="00060B2E">
        <w:rPr>
          <w:sz w:val="18"/>
          <w:szCs w:val="18"/>
          <w:lang w:val="es-MX"/>
        </w:rPr>
        <w:t xml:space="preserve">sta </w:t>
      </w:r>
      <w:r w:rsidRPr="008D2A4C">
        <w:rPr>
          <w:sz w:val="18"/>
          <w:szCs w:val="18"/>
          <w:lang w:val="es-MX"/>
        </w:rPr>
        <w:t>actualización</w:t>
      </w:r>
      <w:r w:rsidRPr="00060B2E">
        <w:rPr>
          <w:sz w:val="18"/>
          <w:szCs w:val="18"/>
          <w:lang w:val="es-MX"/>
        </w:rPr>
        <w:t xml:space="preserve"> de </w:t>
      </w:r>
      <w:r w:rsidRPr="008D2A4C">
        <w:rPr>
          <w:sz w:val="18"/>
          <w:szCs w:val="18"/>
          <w:lang w:val="es-MX"/>
        </w:rPr>
        <w:t>software</w:t>
      </w:r>
      <w:r w:rsidRPr="00060B2E">
        <w:rPr>
          <w:sz w:val="18"/>
          <w:szCs w:val="18"/>
          <w:lang w:val="es-MX"/>
        </w:rPr>
        <w:t xml:space="preserve"> se podrá realizar </w:t>
      </w:r>
      <w:r w:rsidRPr="008D2A4C">
        <w:rPr>
          <w:sz w:val="18"/>
          <w:szCs w:val="18"/>
          <w:lang w:val="es-MX"/>
        </w:rPr>
        <w:t>vía remot</w:t>
      </w:r>
      <w:r w:rsidRPr="00550638">
        <w:rPr>
          <w:sz w:val="18"/>
          <w:szCs w:val="18"/>
          <w:lang w:val="es-MX"/>
        </w:rPr>
        <w:t xml:space="preserve">a </w:t>
      </w:r>
      <w:r w:rsidRPr="00060B2E">
        <w:rPr>
          <w:sz w:val="18"/>
          <w:szCs w:val="18"/>
          <w:lang w:val="es-MX"/>
        </w:rPr>
        <w:t xml:space="preserve">desde </w:t>
      </w:r>
      <w:r w:rsidRPr="008D2A4C">
        <w:rPr>
          <w:sz w:val="18"/>
          <w:szCs w:val="18"/>
          <w:lang w:val="es-MX"/>
        </w:rPr>
        <w:t>los sistemas Telmex</w:t>
      </w:r>
      <w:r w:rsidRPr="00060B2E">
        <w:rPr>
          <w:sz w:val="18"/>
          <w:szCs w:val="18"/>
        </w:rPr>
        <w:t xml:space="preserve"> </w:t>
      </w:r>
      <w:r w:rsidRPr="00060B2E">
        <w:rPr>
          <w:sz w:val="18"/>
          <w:szCs w:val="18"/>
          <w:lang w:val="es-MX"/>
        </w:rPr>
        <w:t xml:space="preserve">hacia los modelos de </w:t>
      </w:r>
      <w:r w:rsidRPr="008D2A4C">
        <w:rPr>
          <w:sz w:val="18"/>
          <w:szCs w:val="18"/>
          <w:lang w:val="es-MX"/>
        </w:rPr>
        <w:t>módem/</w:t>
      </w:r>
      <w:r w:rsidRPr="00550638">
        <w:rPr>
          <w:sz w:val="18"/>
          <w:szCs w:val="18"/>
          <w:lang w:val="es-MX"/>
        </w:rPr>
        <w:t>ONT</w:t>
      </w:r>
      <w:r w:rsidRPr="00060B2E">
        <w:rPr>
          <w:sz w:val="18"/>
          <w:szCs w:val="18"/>
          <w:lang w:val="es-MX"/>
        </w:rPr>
        <w:t xml:space="preserve"> del </w:t>
      </w:r>
      <w:r w:rsidRPr="008D2A4C">
        <w:rPr>
          <w:sz w:val="18"/>
          <w:szCs w:val="18"/>
          <w:lang w:val="es-MX"/>
        </w:rPr>
        <w:t>CS</w:t>
      </w:r>
      <w:r w:rsidRPr="00060B2E">
        <w:rPr>
          <w:sz w:val="18"/>
          <w:szCs w:val="18"/>
          <w:lang w:val="es-MX"/>
        </w:rPr>
        <w:t xml:space="preserve"> correspondientes, siempre y cuando sus </w:t>
      </w:r>
      <w:r w:rsidRPr="008D2A4C">
        <w:rPr>
          <w:sz w:val="18"/>
          <w:szCs w:val="18"/>
          <w:lang w:val="es-MX"/>
        </w:rPr>
        <w:t xml:space="preserve">módems/ONT </w:t>
      </w:r>
      <w:r w:rsidRPr="00060B2E">
        <w:rPr>
          <w:sz w:val="18"/>
          <w:szCs w:val="18"/>
          <w:lang w:val="es-MX"/>
        </w:rPr>
        <w:t>est</w:t>
      </w:r>
      <w:r w:rsidRPr="008D2A4C">
        <w:rPr>
          <w:sz w:val="18"/>
          <w:szCs w:val="18"/>
          <w:lang w:val="es-MX"/>
        </w:rPr>
        <w:t>é</w:t>
      </w:r>
      <w:r w:rsidRPr="00060B2E">
        <w:rPr>
          <w:sz w:val="18"/>
          <w:szCs w:val="18"/>
          <w:lang w:val="es-MX"/>
        </w:rPr>
        <w:t>n gestionados/alcanzables desd</w:t>
      </w:r>
      <w:r w:rsidRPr="008D2A4C">
        <w:rPr>
          <w:sz w:val="18"/>
          <w:szCs w:val="18"/>
          <w:lang w:val="es-MX"/>
        </w:rPr>
        <w:t xml:space="preserve">e los </w:t>
      </w:r>
      <w:r w:rsidRPr="00550638">
        <w:rPr>
          <w:sz w:val="18"/>
          <w:szCs w:val="18"/>
          <w:lang w:val="es-MX"/>
        </w:rPr>
        <w:t>sistemas Telmex</w:t>
      </w:r>
      <w:r w:rsidRPr="00060B2E">
        <w:rPr>
          <w:sz w:val="18"/>
          <w:szCs w:val="18"/>
          <w:lang w:val="es-MX"/>
        </w:rPr>
        <w:t>.</w:t>
      </w:r>
    </w:p>
  </w:footnote>
  <w:footnote w:id="31">
    <w:p w14:paraId="49F1DF78" w14:textId="6A63751C"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sz w:val="18"/>
          <w:szCs w:val="18"/>
        </w:rPr>
        <w:t xml:space="preserve"> En este caso de que el módem/ONT sea reestablecido por el CS o su cliente final, no se contabilizará como una falla atribuible a Telmex.</w:t>
      </w:r>
    </w:p>
  </w:footnote>
  <w:footnote w:id="32">
    <w:p w14:paraId="03E0EFA3" w14:textId="77777777"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rFonts w:cs="Arial"/>
          <w:sz w:val="18"/>
          <w:szCs w:val="18"/>
        </w:rPr>
        <w:t xml:space="preserve"> </w:t>
      </w:r>
      <w:r w:rsidRPr="00060B2E">
        <w:rPr>
          <w:rFonts w:cs="Arial"/>
          <w:sz w:val="18"/>
          <w:szCs w:val="18"/>
          <w:lang w:val="es-MX"/>
        </w:rPr>
        <w:t>El CS deberá proporcionar un número de contacto para responder dudas sobre la ubicación de los domicilios.</w:t>
      </w:r>
    </w:p>
  </w:footnote>
  <w:footnote w:id="33">
    <w:p w14:paraId="113C0900" w14:textId="77777777" w:rsidR="007164DF" w:rsidRPr="00060B2E" w:rsidRDefault="007164DF" w:rsidP="008D2A4C">
      <w:pPr>
        <w:pStyle w:val="Textonotapie"/>
        <w:jc w:val="both"/>
        <w:rPr>
          <w:sz w:val="18"/>
          <w:szCs w:val="18"/>
          <w:lang w:val="es-MX"/>
        </w:rPr>
      </w:pPr>
      <w:r w:rsidRPr="00060B2E">
        <w:rPr>
          <w:rStyle w:val="Refdenotaalpie"/>
          <w:sz w:val="18"/>
          <w:szCs w:val="18"/>
        </w:rPr>
        <w:footnoteRef/>
      </w:r>
      <w:r w:rsidRPr="00060B2E">
        <w:rPr>
          <w:sz w:val="18"/>
          <w:szCs w:val="18"/>
        </w:rPr>
        <w:t xml:space="preserve"> En los servicios existentes es factible que cuando se solicite la cancelación por parte del CS; ya se hubiera ejecutado la desagregación, por lo que en dichos casos deberá solicitarse la baja del servicio.</w:t>
      </w:r>
    </w:p>
  </w:footnote>
  <w:footnote w:id="34">
    <w:p w14:paraId="01F295D9" w14:textId="77777777" w:rsidR="007164DF" w:rsidRPr="008D2A4C" w:rsidRDefault="007164DF" w:rsidP="00060B2E">
      <w:pPr>
        <w:pStyle w:val="Textonotapie"/>
        <w:jc w:val="both"/>
        <w:rPr>
          <w:sz w:val="18"/>
          <w:szCs w:val="18"/>
        </w:rPr>
      </w:pPr>
      <w:r w:rsidRPr="008D2A4C">
        <w:rPr>
          <w:rStyle w:val="Refdenotaalpie"/>
          <w:sz w:val="18"/>
          <w:szCs w:val="18"/>
        </w:rPr>
        <w:footnoteRef/>
      </w:r>
      <w:r w:rsidRPr="008D2A4C">
        <w:rPr>
          <w:sz w:val="18"/>
          <w:szCs w:val="18"/>
        </w:rPr>
        <w:t xml:space="preserve"> </w:t>
      </w:r>
      <w:r w:rsidRPr="008F3C1F">
        <w:rPr>
          <w:sz w:val="18"/>
          <w:szCs w:val="18"/>
        </w:rPr>
        <w:t>L</w:t>
      </w:r>
      <w:r w:rsidRPr="004B2183">
        <w:rPr>
          <w:sz w:val="18"/>
          <w:szCs w:val="18"/>
        </w:rPr>
        <w:t>as mediciones de pruebas de entrega remotas solo son factibles cuando existen las condiciones técnico-operativas necesarias para poder llevarlas a cabo.</w:t>
      </w:r>
      <w:r w:rsidRPr="008D2A4C">
        <w:rPr>
          <w:sz w:val="18"/>
          <w:szCs w:val="18"/>
        </w:rPr>
        <w:t xml:space="preserve"> </w:t>
      </w:r>
      <w:r w:rsidRPr="008D2A4C">
        <w:rPr>
          <w:rFonts w:cs="Arial"/>
          <w:sz w:val="18"/>
          <w:szCs w:val="18"/>
          <w:lang w:val="es-ES"/>
        </w:rPr>
        <w:t>Cuando no sea factible realizar la prueba remota se utilizará el valor teórico de distancia obtenido en la construcción de red.</w:t>
      </w:r>
    </w:p>
  </w:footnote>
  <w:footnote w:id="35">
    <w:p w14:paraId="33CFF32A" w14:textId="77777777" w:rsidR="007164DF" w:rsidRPr="00182075" w:rsidRDefault="007164DF" w:rsidP="00060B2E">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Figura con fines exclusivamente ilustrativos del funcionamiento del servicio.</w:t>
      </w:r>
    </w:p>
  </w:footnote>
  <w:footnote w:id="36">
    <w:p w14:paraId="33CFF32B" w14:textId="77777777" w:rsidR="007164DF" w:rsidRPr="00060B2E" w:rsidRDefault="007164DF" w:rsidP="008D2A4C">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dependiendo de los tiempos de cada servicio, prevaleciendo el de mayor plazo o bien el solicitado al final.</w:t>
      </w:r>
    </w:p>
  </w:footnote>
  <w:footnote w:id="37">
    <w:p w14:paraId="33CFF32C" w14:textId="77777777" w:rsidR="007164DF" w:rsidRPr="00060B2E" w:rsidRDefault="007164DF" w:rsidP="00060B2E">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El tiempo que el CS tendrá para indicar si acepta la cotización, no contabilizará para los plazos de entrega de Telmex.</w:t>
      </w:r>
    </w:p>
  </w:footnote>
  <w:footnote w:id="38">
    <w:p w14:paraId="33CFF32D" w14:textId="77777777" w:rsidR="007164DF" w:rsidRPr="00060B2E" w:rsidRDefault="007164DF" w:rsidP="008D2A4C">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Si el CS acudió a la realización de pruebas y éstas no fueron satisfactorias se realizarán las adecuaciones correspondientes hasta que el servicio esté habilitado conforme a las pruebas.</w:t>
      </w:r>
    </w:p>
  </w:footnote>
  <w:footnote w:id="39">
    <w:p w14:paraId="33CFF32E" w14:textId="77777777" w:rsidR="007164DF" w:rsidRPr="00060B2E" w:rsidRDefault="007164DF" w:rsidP="00060B2E">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El procedimiento de Ampliación/Eliminación de NCAI por SCyD, aplica para el mismo nivel de agregación.</w:t>
      </w:r>
    </w:p>
  </w:footnote>
  <w:footnote w:id="40">
    <w:p w14:paraId="33CFF32F" w14:textId="77777777" w:rsidR="007164DF" w:rsidRPr="00060B2E" w:rsidRDefault="007164DF" w:rsidP="008D2A4C">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Si el CS acudió a la realización de pruebas y éstas no fueron satisfactorias se realizarán las adecuaciones correspondientes hasta que el servicio esté habilitado conforme a las pruebas.</w:t>
      </w:r>
    </w:p>
  </w:footnote>
  <w:footnote w:id="41">
    <w:p w14:paraId="33CFF330" w14:textId="77777777" w:rsidR="007164DF" w:rsidRPr="00060B2E" w:rsidRDefault="007164DF" w:rsidP="00060B2E">
      <w:pPr>
        <w:pStyle w:val="Textonotapie"/>
        <w:jc w:val="both"/>
        <w:rPr>
          <w:sz w:val="18"/>
          <w:szCs w:val="18"/>
        </w:rPr>
      </w:pPr>
      <w:r w:rsidRPr="00060B2E">
        <w:rPr>
          <w:rStyle w:val="Refdenotaalpie"/>
          <w:sz w:val="18"/>
          <w:szCs w:val="18"/>
        </w:rPr>
        <w:footnoteRef/>
      </w:r>
      <w:r w:rsidRPr="00060B2E">
        <w:rPr>
          <w:sz w:val="18"/>
          <w:szCs w:val="18"/>
        </w:rPr>
        <w:t xml:space="preserve"> En el caso de los servicios sobre cobre la factibilidad técnica también considerará verificar que se cumpla con el PGE. </w:t>
      </w:r>
    </w:p>
  </w:footnote>
  <w:footnote w:id="42">
    <w:p w14:paraId="33CFF331" w14:textId="55580F93" w:rsidR="007164DF" w:rsidRPr="000A0B11" w:rsidRDefault="008F20E5" w:rsidP="008F20E5">
      <w:pPr>
        <w:pStyle w:val="Textonotapie"/>
        <w:tabs>
          <w:tab w:val="left" w:pos="469"/>
        </w:tabs>
        <w:rPr>
          <w:sz w:val="18"/>
          <w:szCs w:val="18"/>
        </w:rPr>
      </w:pPr>
      <w:r>
        <w:rPr>
          <w:sz w:val="18"/>
          <w:szCs w:val="18"/>
        </w:rPr>
        <w:tab/>
      </w:r>
      <w:bookmarkStart w:id="591" w:name="_GoBack"/>
    </w:p>
    <w:bookmarkEnd w:id="591"/>
  </w:footnote>
  <w:footnote w:id="43">
    <w:p w14:paraId="1E00ACC5" w14:textId="77777777" w:rsidR="007164DF" w:rsidRPr="00060B2E" w:rsidRDefault="007164DF" w:rsidP="00060B2E">
      <w:pPr>
        <w:pStyle w:val="Textonotapie"/>
        <w:jc w:val="both"/>
        <w:rPr>
          <w:sz w:val="18"/>
          <w:szCs w:val="18"/>
          <w:lang w:val="es-MX"/>
        </w:rPr>
      </w:pPr>
      <w:r w:rsidRPr="00060B2E">
        <w:rPr>
          <w:rStyle w:val="Refdenotaalpie"/>
          <w:sz w:val="18"/>
          <w:szCs w:val="18"/>
        </w:rPr>
        <w:footnoteRef/>
      </w:r>
      <w:r w:rsidRPr="00060B2E">
        <w:rPr>
          <w:rFonts w:cs="Arial"/>
          <w:sz w:val="18"/>
          <w:szCs w:val="18"/>
        </w:rPr>
        <w:t xml:space="preserve"> </w:t>
      </w:r>
      <w:r w:rsidRPr="00060B2E">
        <w:rPr>
          <w:rFonts w:cs="Arial"/>
          <w:sz w:val="18"/>
          <w:szCs w:val="18"/>
          <w:lang w:val="es-MX"/>
        </w:rPr>
        <w:t>El CS deberá proporcionar un número de contacto para responder dudas sobre la ubicación de los domicilios.</w:t>
      </w:r>
    </w:p>
  </w:footnote>
  <w:footnote w:id="44">
    <w:p w14:paraId="33CFF332" w14:textId="6103A04F" w:rsidR="007164DF" w:rsidRPr="00060B2E" w:rsidRDefault="007164DF" w:rsidP="00060B2E">
      <w:pPr>
        <w:pStyle w:val="Textonotapie"/>
        <w:jc w:val="both"/>
        <w:rPr>
          <w:rFonts w:cs="Arial"/>
          <w:sz w:val="18"/>
          <w:szCs w:val="18"/>
          <w:lang w:val="es-MX"/>
        </w:rPr>
      </w:pPr>
      <w:r w:rsidRPr="00060B2E">
        <w:rPr>
          <w:rStyle w:val="Refdenotaalpie"/>
          <w:rFonts w:cs="Arial"/>
          <w:sz w:val="18"/>
          <w:szCs w:val="18"/>
        </w:rPr>
        <w:footnoteRef/>
      </w:r>
      <w:r w:rsidRPr="00060B2E">
        <w:rPr>
          <w:rFonts w:cs="Arial"/>
          <w:sz w:val="18"/>
          <w:szCs w:val="18"/>
        </w:rPr>
        <w:t xml:space="preserve"> </w:t>
      </w:r>
      <w:r w:rsidRPr="00060B2E">
        <w:rPr>
          <w:rFonts w:cs="Arial"/>
          <w:sz w:val="18"/>
          <w:szCs w:val="18"/>
          <w:lang w:val="es-MX"/>
        </w:rPr>
        <w:t>Para que el Usuario Final pueda hacer uso de su derecho de portar su número telefónico se deberá prever la obtención del NIP con antelación a la realización del puente, así como que este no caduque de acuerdo a las Reglas de Portabilidad vigentes.</w:t>
      </w:r>
    </w:p>
  </w:footnote>
  <w:footnote w:id="45">
    <w:p w14:paraId="3431E710" w14:textId="77777777" w:rsidR="007164DF" w:rsidRPr="00060B2E" w:rsidRDefault="007164DF" w:rsidP="008D2A4C">
      <w:pPr>
        <w:pStyle w:val="Textonotapie"/>
        <w:jc w:val="both"/>
        <w:rPr>
          <w:sz w:val="18"/>
          <w:szCs w:val="18"/>
          <w:lang w:val="es-MX"/>
        </w:rPr>
      </w:pPr>
      <w:r w:rsidRPr="00060B2E">
        <w:rPr>
          <w:rStyle w:val="Refdenotaalpie"/>
          <w:sz w:val="18"/>
          <w:szCs w:val="18"/>
        </w:rPr>
        <w:footnoteRef/>
      </w:r>
      <w:r w:rsidRPr="00060B2E">
        <w:rPr>
          <w:sz w:val="18"/>
          <w:szCs w:val="18"/>
        </w:rPr>
        <w:t xml:space="preserve"> En los servicios existentes es factible que cuando se solicite la cancelación por parte del CS; ya se hubiera ejecutado la desagregación, por lo que en dichos casos deberá solicitarse la baja del servicio.</w:t>
      </w:r>
    </w:p>
  </w:footnote>
  <w:footnote w:id="46">
    <w:p w14:paraId="39297E4B" w14:textId="77777777" w:rsidR="007164DF" w:rsidRPr="008D2A4C" w:rsidRDefault="007164DF" w:rsidP="00060B2E">
      <w:pPr>
        <w:pStyle w:val="Textonotapie"/>
        <w:jc w:val="both"/>
        <w:rPr>
          <w:sz w:val="18"/>
          <w:szCs w:val="18"/>
        </w:rPr>
      </w:pPr>
      <w:r w:rsidRPr="008D2A4C">
        <w:rPr>
          <w:rStyle w:val="Refdenotaalpie"/>
          <w:sz w:val="18"/>
          <w:szCs w:val="18"/>
        </w:rPr>
        <w:footnoteRef/>
      </w:r>
      <w:r w:rsidRPr="008D2A4C">
        <w:rPr>
          <w:sz w:val="18"/>
          <w:szCs w:val="18"/>
        </w:rPr>
        <w:t xml:space="preserve"> </w:t>
      </w:r>
      <w:r w:rsidRPr="00182075">
        <w:rPr>
          <w:sz w:val="18"/>
          <w:szCs w:val="18"/>
        </w:rPr>
        <w:t>L</w:t>
      </w:r>
      <w:r w:rsidRPr="004B2183">
        <w:rPr>
          <w:sz w:val="18"/>
          <w:szCs w:val="18"/>
        </w:rPr>
        <w:t>as mediciones de pruebas de entrega remotas solo son factibles cuando existen las condiciones técnico-operativas necesarias para poder llevarlas a cabo.</w:t>
      </w:r>
      <w:r w:rsidRPr="008D2A4C">
        <w:rPr>
          <w:sz w:val="18"/>
          <w:szCs w:val="18"/>
        </w:rPr>
        <w:t xml:space="preserve"> </w:t>
      </w:r>
      <w:r w:rsidRPr="008D2A4C">
        <w:rPr>
          <w:rFonts w:cs="Arial"/>
          <w:sz w:val="18"/>
          <w:szCs w:val="18"/>
          <w:lang w:val="es-ES"/>
        </w:rPr>
        <w:t>Cuando no sea factible realizar la prueba remota se utilizará el valor teórico de distancia obtenido en la construcción de red.</w:t>
      </w:r>
    </w:p>
  </w:footnote>
  <w:footnote w:id="47">
    <w:p w14:paraId="33CFF334" w14:textId="77777777" w:rsidR="007164DF" w:rsidRPr="00060B2E" w:rsidRDefault="007164DF" w:rsidP="00060B2E">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que el CS tendrá para indicar si acepta la cotización, no contabilizará para los plazos de entrega de Telmex.</w:t>
      </w:r>
    </w:p>
  </w:footnote>
  <w:footnote w:id="48">
    <w:p w14:paraId="33CFF335" w14:textId="77777777" w:rsidR="007164DF" w:rsidRPr="00060B2E" w:rsidRDefault="007164DF" w:rsidP="008D2A4C">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relativo a la tramitación de permisos para la construcción del Anexo de Caja no contabilizará para los plazos de entrega de Telmex.</w:t>
      </w:r>
    </w:p>
  </w:footnote>
  <w:footnote w:id="49">
    <w:p w14:paraId="33CFF336" w14:textId="77777777" w:rsidR="007164DF" w:rsidRPr="00060B2E" w:rsidRDefault="007164DF" w:rsidP="00060B2E">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que el CS tendrá para indicar si acepta la cotización, no contabilizará para los plazos de entrega de Telmex.</w:t>
      </w:r>
    </w:p>
  </w:footnote>
  <w:footnote w:id="50">
    <w:p w14:paraId="33CFF337" w14:textId="77777777" w:rsidR="007164DF" w:rsidRPr="00060B2E" w:rsidRDefault="007164DF" w:rsidP="008D2A4C">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relativo a la tramitación de permisos para la construcción del Anexo de Caja no contabilizará para los plazos de entrega de Telmex.</w:t>
      </w:r>
    </w:p>
  </w:footnote>
  <w:footnote w:id="51">
    <w:p w14:paraId="33CFF338" w14:textId="77777777" w:rsidR="007164DF" w:rsidRPr="00060B2E" w:rsidRDefault="007164DF" w:rsidP="00060B2E">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que el CS tendrá para indicar si acepta la cotización, no contabilizará para los plazos de entrega de Telmex.</w:t>
      </w:r>
    </w:p>
  </w:footnote>
  <w:footnote w:id="52">
    <w:p w14:paraId="33CFF339" w14:textId="77777777" w:rsidR="007164DF" w:rsidRPr="00060B2E" w:rsidRDefault="007164DF" w:rsidP="008D2A4C">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relativo a la tramitación de permisos para la construcción del Anexo de Caja no contabilizará para los plazos de entrega de Telmex.</w:t>
      </w:r>
    </w:p>
  </w:footnote>
  <w:footnote w:id="53">
    <w:p w14:paraId="33CFF33A" w14:textId="77777777" w:rsidR="007164DF" w:rsidRPr="00060B2E" w:rsidRDefault="007164DF" w:rsidP="00060B2E">
      <w:pPr>
        <w:pStyle w:val="Textonotapie"/>
        <w:jc w:val="both"/>
        <w:rPr>
          <w:sz w:val="18"/>
          <w:szCs w:val="18"/>
        </w:rPr>
      </w:pPr>
      <w:r w:rsidRPr="00060B2E">
        <w:rPr>
          <w:rStyle w:val="Refdenotaalpie"/>
          <w:sz w:val="18"/>
          <w:szCs w:val="18"/>
        </w:rPr>
        <w:footnoteRef/>
      </w:r>
      <w:r w:rsidRPr="00060B2E">
        <w:rPr>
          <w:sz w:val="18"/>
          <w:szCs w:val="18"/>
        </w:rPr>
        <w:t xml:space="preserve"> </w:t>
      </w:r>
      <w:r w:rsidRPr="00060B2E">
        <w:rPr>
          <w:sz w:val="18"/>
          <w:szCs w:val="18"/>
          <w:lang w:val="es-MX"/>
        </w:rPr>
        <w:t>El tiempo que el CS tendrá para indicar si acepta la cotización, no contabilizará para los plazos de entrega de Telmex.</w:t>
      </w:r>
    </w:p>
  </w:footnote>
  <w:footnote w:id="54">
    <w:p w14:paraId="33CFF33B" w14:textId="77777777" w:rsidR="007164DF" w:rsidRPr="004B2183" w:rsidRDefault="007164DF" w:rsidP="00060B2E">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Estos podrán ser reubicados en caso de qu</w:t>
      </w:r>
      <w:r w:rsidRPr="00182075">
        <w:rPr>
          <w:rFonts w:cs="Arial"/>
          <w:sz w:val="18"/>
          <w:szCs w:val="18"/>
        </w:rPr>
        <w:t>e exista saturación de espacios.</w:t>
      </w:r>
    </w:p>
  </w:footnote>
  <w:footnote w:id="55">
    <w:p w14:paraId="33CFF33C" w14:textId="77777777" w:rsidR="007164DF" w:rsidRPr="00182075" w:rsidRDefault="007164DF" w:rsidP="00060B2E">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Los BTUs están asociados a una mayor disipación térmica.</w:t>
      </w:r>
    </w:p>
  </w:footnote>
  <w:footnote w:id="56">
    <w:p w14:paraId="33CFF33D" w14:textId="77777777" w:rsidR="007164DF" w:rsidRPr="00060B2E" w:rsidRDefault="007164DF" w:rsidP="00060B2E">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El tiempo que el CS tendrá para indicar si acepta la cotización, no contabilizará para los plazos de entrega de Telmex.</w:t>
      </w:r>
    </w:p>
  </w:footnote>
  <w:footnote w:id="57">
    <w:p w14:paraId="33CFF33E" w14:textId="77777777" w:rsidR="007164DF" w:rsidRPr="00060B2E" w:rsidRDefault="007164DF" w:rsidP="00060B2E">
      <w:pPr>
        <w:pStyle w:val="Textonotapie"/>
        <w:jc w:val="both"/>
        <w:rPr>
          <w:rFonts w:cs="Arial"/>
          <w:sz w:val="18"/>
          <w:szCs w:val="18"/>
          <w:lang w:val="es-MX"/>
        </w:rPr>
      </w:pPr>
      <w:r w:rsidRPr="00060B2E">
        <w:rPr>
          <w:rFonts w:cs="Arial"/>
          <w:sz w:val="18"/>
          <w:szCs w:val="18"/>
          <w:lang w:val="es-MX"/>
        </w:rPr>
        <w:footnoteRef/>
      </w:r>
      <w:r w:rsidRPr="00060B2E">
        <w:rPr>
          <w:rFonts w:cs="Arial"/>
          <w:sz w:val="18"/>
          <w:szCs w:val="18"/>
          <w:lang w:val="es-MX"/>
        </w:rPr>
        <w:t xml:space="preserve"> El tiempo relativo a la tramitación de permisos para la construcción de la Coubicación no contabilizará para los plazos de entrega de Telmex</w:t>
      </w:r>
    </w:p>
  </w:footnote>
  <w:footnote w:id="58">
    <w:p w14:paraId="33CFF33F" w14:textId="77777777" w:rsidR="007164DF" w:rsidRPr="00060B2E" w:rsidRDefault="007164DF" w:rsidP="008D2A4C">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w:t>
      </w:r>
      <w:r w:rsidRPr="00060B2E">
        <w:rPr>
          <w:rFonts w:cs="Arial"/>
          <w:sz w:val="18"/>
          <w:szCs w:val="18"/>
          <w:lang w:val="es-MX"/>
        </w:rPr>
        <w:t>El tiempo que el CS tendrá para indicar si acepta la cotización, no contabilizará para los plazos de entrega de Telmex.</w:t>
      </w:r>
    </w:p>
  </w:footnote>
  <w:footnote w:id="59">
    <w:p w14:paraId="33CFF340" w14:textId="77777777" w:rsidR="007164DF" w:rsidRPr="00060B2E" w:rsidRDefault="007164DF" w:rsidP="00060B2E">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El tiempo que el CS tendrá para indicar si acepta la cotización, no contabilizará para los plazos de entrega de Telmex.</w:t>
      </w:r>
    </w:p>
  </w:footnote>
  <w:footnote w:id="60">
    <w:p w14:paraId="33CFF341" w14:textId="77777777" w:rsidR="007164DF" w:rsidRPr="00060B2E" w:rsidRDefault="007164DF" w:rsidP="008D2A4C">
      <w:pPr>
        <w:pStyle w:val="Textonotapie"/>
        <w:jc w:val="both"/>
        <w:rPr>
          <w:rFonts w:cs="Arial"/>
          <w:sz w:val="18"/>
          <w:szCs w:val="18"/>
        </w:rPr>
      </w:pPr>
      <w:r w:rsidRPr="00060B2E">
        <w:rPr>
          <w:rStyle w:val="Refdenotaalpie"/>
          <w:rFonts w:cs="Arial"/>
          <w:sz w:val="18"/>
          <w:szCs w:val="18"/>
        </w:rPr>
        <w:footnoteRef/>
      </w:r>
      <w:r w:rsidRPr="00060B2E">
        <w:rPr>
          <w:rFonts w:cs="Arial"/>
          <w:sz w:val="18"/>
          <w:szCs w:val="18"/>
        </w:rPr>
        <w:t xml:space="preserve"> </w:t>
      </w:r>
      <w:r w:rsidRPr="00060B2E">
        <w:rPr>
          <w:rFonts w:cs="Arial"/>
          <w:sz w:val="18"/>
          <w:szCs w:val="18"/>
          <w:lang w:val="es-MX"/>
        </w:rPr>
        <w:t>El tiempo relativo a la tramitación de permisos para la construcción de la Coubicación no contabilizará para los plazos de entrega de Telmex.</w:t>
      </w:r>
    </w:p>
  </w:footnote>
  <w:footnote w:id="61">
    <w:p w14:paraId="33CFF342" w14:textId="77777777" w:rsidR="007164DF" w:rsidRPr="008D2A4C" w:rsidRDefault="007164DF" w:rsidP="008D2A4C">
      <w:pPr>
        <w:pStyle w:val="Textonotapie"/>
        <w:jc w:val="both"/>
        <w:rPr>
          <w:rFonts w:cs="Arial"/>
          <w:sz w:val="18"/>
          <w:szCs w:val="18"/>
          <w:lang w:val="es-MX"/>
        </w:rPr>
      </w:pPr>
      <w:r w:rsidRPr="008D2A4C">
        <w:rPr>
          <w:rStyle w:val="Refdenotaalpie"/>
          <w:rFonts w:cs="Arial"/>
          <w:sz w:val="18"/>
          <w:szCs w:val="18"/>
        </w:rPr>
        <w:footnoteRef/>
      </w:r>
      <w:r w:rsidRPr="008D2A4C">
        <w:rPr>
          <w:rFonts w:cs="Arial"/>
          <w:sz w:val="18"/>
          <w:szCs w:val="18"/>
        </w:rPr>
        <w:t xml:space="preserve"> </w:t>
      </w:r>
      <w:r w:rsidRPr="008D2A4C">
        <w:rPr>
          <w:rFonts w:cs="Arial"/>
          <w:sz w:val="18"/>
          <w:szCs w:val="18"/>
          <w:lang w:val="es-MX"/>
        </w:rPr>
        <w:t>Los tiempos de retras</w:t>
      </w:r>
      <w:r w:rsidRPr="00182075">
        <w:rPr>
          <w:rFonts w:cs="Arial"/>
          <w:sz w:val="18"/>
          <w:szCs w:val="18"/>
          <w:lang w:val="es-MX"/>
        </w:rPr>
        <w:t>o atribuibles al CS o a p</w:t>
      </w:r>
      <w:r w:rsidRPr="004B2183">
        <w:rPr>
          <w:rFonts w:cs="Arial"/>
          <w:sz w:val="18"/>
          <w:szCs w:val="18"/>
          <w:lang w:val="es-MX"/>
        </w:rPr>
        <w:t>roveedores de equipo requerido para el trabajo especial, no contabilizarán para los plazos de entrega.</w:t>
      </w:r>
    </w:p>
  </w:footnote>
  <w:footnote w:id="62">
    <w:p w14:paraId="33CFF343" w14:textId="77777777" w:rsidR="007164DF" w:rsidRPr="00182075" w:rsidRDefault="007164DF" w:rsidP="008D2A4C">
      <w:pPr>
        <w:pStyle w:val="Textonotapie"/>
        <w:jc w:val="both"/>
        <w:rPr>
          <w:rFonts w:cs="Arial"/>
          <w:sz w:val="18"/>
          <w:szCs w:val="18"/>
        </w:rPr>
      </w:pPr>
      <w:r w:rsidRPr="008D2A4C">
        <w:rPr>
          <w:rStyle w:val="Refdenotaalpie"/>
          <w:rFonts w:cs="Arial"/>
          <w:sz w:val="18"/>
          <w:szCs w:val="18"/>
        </w:rPr>
        <w:footnoteRef/>
      </w:r>
      <w:r w:rsidRPr="008D2A4C">
        <w:rPr>
          <w:rFonts w:cs="Arial"/>
          <w:sz w:val="18"/>
          <w:szCs w:val="18"/>
        </w:rPr>
        <w:t xml:space="preserve"> Apegarse a las recomendaciones de la norma técnica de Telmex proporcionará los mismos parámetros de servicio que brinda Telmex a sus usuarios, así como la menor degradación del servicio.</w:t>
      </w:r>
    </w:p>
  </w:footnote>
  <w:footnote w:id="63">
    <w:p w14:paraId="33CFF344" w14:textId="77777777" w:rsidR="007164DF" w:rsidRPr="004B2183" w:rsidRDefault="007164DF" w:rsidP="008D2A4C">
      <w:pPr>
        <w:pStyle w:val="Textonotapie"/>
        <w:jc w:val="both"/>
        <w:rPr>
          <w:rFonts w:cs="Arial"/>
          <w:sz w:val="18"/>
          <w:szCs w:val="18"/>
        </w:rPr>
      </w:pPr>
      <w:r w:rsidRPr="008D2A4C">
        <w:rPr>
          <w:rStyle w:val="Refdenotaalpie"/>
          <w:rFonts w:cs="Arial"/>
          <w:sz w:val="18"/>
          <w:szCs w:val="18"/>
        </w:rPr>
        <w:footnoteRef/>
      </w:r>
      <w:r w:rsidRPr="008D2A4C">
        <w:rPr>
          <w:rFonts w:cs="Arial"/>
          <w:sz w:val="18"/>
          <w:szCs w:val="18"/>
        </w:rPr>
        <w:t xml:space="preserve"> Cuando el cableado interior sea solicitado junto con los servicios de desagregación, el tiempo correspondiente a la instalación del cableado interior en el domicilio del usuario se contabilizará dentro de los plazos de</w:t>
      </w:r>
      <w:r w:rsidRPr="00182075">
        <w:rPr>
          <w:rFonts w:cs="Arial"/>
          <w:sz w:val="18"/>
          <w:szCs w:val="18"/>
        </w:rPr>
        <w:t xml:space="preserve"> entrega de cada uno de los servicios de desagregación.</w:t>
      </w:r>
    </w:p>
  </w:footnote>
  <w:footnote w:id="64">
    <w:p w14:paraId="33CFF345" w14:textId="77777777" w:rsidR="007164DF" w:rsidRPr="002645F6" w:rsidRDefault="007164DF" w:rsidP="00182075">
      <w:pPr>
        <w:pStyle w:val="Textonotapie"/>
        <w:jc w:val="both"/>
        <w:rPr>
          <w:rFonts w:ascii="Arial" w:hAnsi="Arial" w:cs="Arial"/>
          <w:sz w:val="16"/>
          <w:szCs w:val="16"/>
          <w:lang w:val="es-MX"/>
        </w:rPr>
      </w:pPr>
      <w:r w:rsidRPr="008D2A4C">
        <w:rPr>
          <w:rStyle w:val="Refdenotaalpie"/>
          <w:rFonts w:cs="Arial"/>
          <w:sz w:val="18"/>
          <w:szCs w:val="18"/>
        </w:rPr>
        <w:footnoteRef/>
      </w:r>
      <w:r w:rsidRPr="008D2A4C">
        <w:rPr>
          <w:rFonts w:cs="Arial"/>
          <w:sz w:val="18"/>
          <w:szCs w:val="18"/>
        </w:rPr>
        <w:t xml:space="preserve"> El cableado adicional para la conexión del tercer aparato básico o posterior se considera como un cableado adicional que se cobrará al 50% del cableado original, de conformidad con la tarifa registr</w:t>
      </w:r>
      <w:r w:rsidRPr="00182075">
        <w:rPr>
          <w:rFonts w:cs="Arial"/>
          <w:sz w:val="18"/>
          <w:szCs w:val="18"/>
        </w:rPr>
        <w:t>ada.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F2FC" w14:textId="77777777" w:rsidR="007164DF" w:rsidRDefault="007164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F2FD" w14:textId="77777777" w:rsidR="007164DF" w:rsidRDefault="007164DF" w:rsidP="00C82861">
    <w:pPr>
      <w:pStyle w:val="Encabezado"/>
      <w:rPr>
        <w:rFonts w:ascii="ITC Avant Garde" w:hAnsi="ITC Avant Garde"/>
        <w:b/>
        <w:sz w:val="22"/>
        <w:szCs w:val="22"/>
        <w:lang w:val="es-MX"/>
      </w:rPr>
    </w:pPr>
  </w:p>
  <w:p w14:paraId="33CFF2FE" w14:textId="77777777" w:rsidR="007164DF" w:rsidRDefault="007164DF" w:rsidP="00C82861">
    <w:pPr>
      <w:pStyle w:val="Encabezado"/>
      <w:rPr>
        <w:rFonts w:ascii="ITC Avant Garde" w:hAnsi="ITC Avant Garde"/>
        <w:b/>
        <w:sz w:val="22"/>
        <w:szCs w:val="22"/>
        <w:lang w:val="es-MX"/>
      </w:rPr>
    </w:pPr>
  </w:p>
  <w:p w14:paraId="33CFF2FF" w14:textId="77777777" w:rsidR="007164DF" w:rsidRDefault="007164DF" w:rsidP="00C82861">
    <w:pPr>
      <w:pStyle w:val="Encabezado"/>
      <w:rPr>
        <w:rFonts w:ascii="ITC Avant Garde" w:hAnsi="ITC Avant Garde"/>
        <w:b/>
        <w:sz w:val="22"/>
        <w:szCs w:val="22"/>
        <w:lang w:val="es-MX"/>
      </w:rPr>
    </w:pPr>
  </w:p>
  <w:p w14:paraId="33CFF300" w14:textId="77777777" w:rsidR="007164DF" w:rsidRDefault="007164DF" w:rsidP="00C82861">
    <w:pPr>
      <w:pStyle w:val="Encabezado"/>
      <w:rPr>
        <w:rFonts w:ascii="ITC Avant Garde" w:hAnsi="ITC Avant Garde"/>
        <w:b/>
        <w:sz w:val="22"/>
        <w:szCs w:val="22"/>
        <w:lang w:val="es-MX"/>
      </w:rPr>
    </w:pPr>
    <w:r w:rsidRPr="00787BAC">
      <w:rPr>
        <w:rFonts w:ascii="ITC Avant Garde" w:hAnsi="ITC Avant Garde"/>
        <w:b/>
        <w:sz w:val="22"/>
        <w:szCs w:val="22"/>
        <w:lang w:val="es-MX"/>
      </w:rPr>
      <w:t>Oferta de Referencia para la Desagregación del Bucle Local</w:t>
    </w:r>
  </w:p>
  <w:p w14:paraId="33CFF301" w14:textId="77777777" w:rsidR="007164DF" w:rsidRPr="00787BAC" w:rsidRDefault="007164DF" w:rsidP="00C82861">
    <w:pPr>
      <w:pStyle w:val="Encabezado"/>
      <w:rPr>
        <w:rFonts w:ascii="ITC Avant Garde" w:hAnsi="ITC Avant Garde"/>
        <w:b/>
        <w:sz w:val="22"/>
        <w:szCs w:val="22"/>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F302" w14:textId="77777777" w:rsidR="007164DF" w:rsidRDefault="007164D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8979" w14:textId="77777777" w:rsidR="007164DF" w:rsidRDefault="00AA13B3">
    <w:pPr>
      <w:pStyle w:val="Encabezado"/>
    </w:pPr>
    <w:r>
      <w:rPr>
        <w:noProof/>
        <w:lang w:eastAsia="es-MX"/>
      </w:rPr>
      <w:pict w14:anchorId="6290E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12pt;height:11in;z-index:-251656192;mso-position-horizontal:center;mso-position-horizontal-relative:margin;mso-position-vertical:center;mso-position-vertical-relative:margin" o:allowincell="f">
          <v:imagedata r:id="rId1" o:title="hoja membretada s dir-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AA44C" w14:textId="77777777" w:rsidR="007164DF" w:rsidRDefault="007164DF" w:rsidP="00A90ABE">
    <w:pPr>
      <w:pStyle w:val="Encabezado"/>
      <w:tabs>
        <w:tab w:val="left" w:pos="773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8363E" w14:textId="77777777" w:rsidR="007164DF" w:rsidRDefault="00AA13B3">
    <w:pPr>
      <w:pStyle w:val="Encabezado"/>
    </w:pPr>
    <w:r>
      <w:rPr>
        <w:noProof/>
        <w:lang w:eastAsia="es-MX"/>
      </w:rPr>
      <w:pict w14:anchorId="6B16C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612pt;height:11in;z-index:-251657216;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8"/>
    <w:lvl w:ilvl="0">
      <w:start w:val="1"/>
      <w:numFmt w:val="decimal"/>
      <w:lvlText w:val="6.12.%1"/>
      <w:lvlJc w:val="left"/>
      <w:pPr>
        <w:tabs>
          <w:tab w:val="num" w:pos="1080"/>
        </w:tabs>
      </w:pPr>
      <w:rPr>
        <w:rFonts w:cs="Times New Roman"/>
        <w:sz w:val="20"/>
      </w:rPr>
    </w:lvl>
  </w:abstractNum>
  <w:abstractNum w:abstractNumId="1" w15:restartNumberingAfterBreak="0">
    <w:nsid w:val="02701E99"/>
    <w:multiLevelType w:val="hybridMultilevel"/>
    <w:tmpl w:val="FD68051E"/>
    <w:lvl w:ilvl="0" w:tplc="7AEE5F96">
      <w:start w:val="1"/>
      <w:numFmt w:val="decimal"/>
      <w:lvlText w:val="%1)"/>
      <w:lvlJc w:val="left"/>
      <w:pPr>
        <w:ind w:left="720" w:hanging="360"/>
      </w:pPr>
      <w:rPr>
        <w:rFonts w:ascii="Calibri" w:eastAsia="Times New Roman" w:hAnsi="Calibri" w:cs="Arial"/>
      </w:rPr>
    </w:lvl>
    <w:lvl w:ilvl="1" w:tplc="080A0011">
      <w:start w:val="1"/>
      <w:numFmt w:val="decimal"/>
      <w:lvlText w:val="%2)"/>
      <w:lvlJc w:val="left"/>
      <w:pPr>
        <w:ind w:left="1211" w:hanging="360"/>
      </w:pPr>
      <w:rPr>
        <w:rFonts w:hint="default"/>
      </w:rPr>
    </w:lvl>
    <w:lvl w:ilvl="2" w:tplc="080A0005">
      <w:start w:val="1"/>
      <w:numFmt w:val="bullet"/>
      <w:lvlText w:val=""/>
      <w:lvlJc w:val="left"/>
      <w:pPr>
        <w:ind w:left="2160" w:hanging="360"/>
      </w:pPr>
      <w:rPr>
        <w:rFonts w:ascii="Wingdings" w:hAnsi="Wingdings" w:hint="default"/>
      </w:rPr>
    </w:lvl>
    <w:lvl w:ilvl="3" w:tplc="DCB21CBA">
      <w:start w:val="1"/>
      <w:numFmt w:val="decimal"/>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D0836"/>
    <w:multiLevelType w:val="hybridMultilevel"/>
    <w:tmpl w:val="7682E7F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51814F9"/>
    <w:multiLevelType w:val="hybridMultilevel"/>
    <w:tmpl w:val="A0BA7F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356244"/>
    <w:multiLevelType w:val="hybridMultilevel"/>
    <w:tmpl w:val="15FA6E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71B4626"/>
    <w:multiLevelType w:val="hybridMultilevel"/>
    <w:tmpl w:val="AD5C3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7D6520"/>
    <w:multiLevelType w:val="hybridMultilevel"/>
    <w:tmpl w:val="55D42DE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07FA3869"/>
    <w:multiLevelType w:val="hybridMultilevel"/>
    <w:tmpl w:val="F0A6A880"/>
    <w:lvl w:ilvl="0" w:tplc="A8DA20F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1258F1"/>
    <w:multiLevelType w:val="hybridMultilevel"/>
    <w:tmpl w:val="A4480EB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8431C23"/>
    <w:multiLevelType w:val="hybridMultilevel"/>
    <w:tmpl w:val="26EEF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11"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0EB2036B"/>
    <w:multiLevelType w:val="hybridMultilevel"/>
    <w:tmpl w:val="A7446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E472D3"/>
    <w:multiLevelType w:val="hybridMultilevel"/>
    <w:tmpl w:val="92348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F282787"/>
    <w:multiLevelType w:val="hybridMultilevel"/>
    <w:tmpl w:val="31D8AE4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F492718"/>
    <w:multiLevelType w:val="hybridMultilevel"/>
    <w:tmpl w:val="6AC8ED92"/>
    <w:lvl w:ilvl="0" w:tplc="0C0A0011">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0F706FCA"/>
    <w:multiLevelType w:val="multilevel"/>
    <w:tmpl w:val="1B8C0C12"/>
    <w:styleLink w:val="Estilo1"/>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0F8D3F65"/>
    <w:multiLevelType w:val="hybridMultilevel"/>
    <w:tmpl w:val="DBDC318C"/>
    <w:lvl w:ilvl="0" w:tplc="A7505762">
      <w:start w:val="3"/>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FA27EE3"/>
    <w:multiLevelType w:val="hybridMultilevel"/>
    <w:tmpl w:val="612AFD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FC24671"/>
    <w:multiLevelType w:val="hybridMultilevel"/>
    <w:tmpl w:val="48A09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134D1465"/>
    <w:multiLevelType w:val="hybridMultilevel"/>
    <w:tmpl w:val="140EC78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14FC3EDB"/>
    <w:multiLevelType w:val="hybridMultilevel"/>
    <w:tmpl w:val="4B648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5883210"/>
    <w:multiLevelType w:val="hybridMultilevel"/>
    <w:tmpl w:val="8EA4C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5B87B6B"/>
    <w:multiLevelType w:val="hybridMultilevel"/>
    <w:tmpl w:val="025CE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6501DFA"/>
    <w:multiLevelType w:val="hybridMultilevel"/>
    <w:tmpl w:val="2D80EC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6DB0097"/>
    <w:multiLevelType w:val="hybridMultilevel"/>
    <w:tmpl w:val="9872D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6EC12F0"/>
    <w:multiLevelType w:val="hybridMultilevel"/>
    <w:tmpl w:val="96AEF7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7136075"/>
    <w:multiLevelType w:val="hybridMultilevel"/>
    <w:tmpl w:val="62444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1">
      <w:start w:val="1"/>
      <w:numFmt w:val="bullet"/>
      <w:lvlText w:val=""/>
      <w:lvlJc w:val="left"/>
      <w:pPr>
        <w:ind w:left="3600" w:hanging="360"/>
      </w:pPr>
      <w:rPr>
        <w:rFonts w:ascii="Symbol" w:hAnsi="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7BD55E9"/>
    <w:multiLevelType w:val="hybridMultilevel"/>
    <w:tmpl w:val="360493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17BF4130"/>
    <w:multiLevelType w:val="hybridMultilevel"/>
    <w:tmpl w:val="FB6E3B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8F10539"/>
    <w:multiLevelType w:val="hybridMultilevel"/>
    <w:tmpl w:val="0622A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93365B8"/>
    <w:multiLevelType w:val="hybridMultilevel"/>
    <w:tmpl w:val="1110F4CC"/>
    <w:lvl w:ilvl="0" w:tplc="0C4C4500">
      <w:start w:val="1"/>
      <w:numFmt w:val="bullet"/>
      <w:lvlText w:val=""/>
      <w:lvlJc w:val="left"/>
      <w:pPr>
        <w:ind w:left="720" w:hanging="360"/>
      </w:pPr>
      <w:rPr>
        <w:rFonts w:ascii="Symbol" w:hAnsi="Symbol" w:hint="default"/>
      </w:rPr>
    </w:lvl>
    <w:lvl w:ilvl="1" w:tplc="7862B772">
      <w:start w:val="1"/>
      <w:numFmt w:val="bullet"/>
      <w:lvlText w:val="o"/>
      <w:lvlJc w:val="left"/>
      <w:pPr>
        <w:ind w:left="1440" w:hanging="360"/>
      </w:pPr>
      <w:rPr>
        <w:rFonts w:ascii="Courier New" w:hAnsi="Courier New" w:cs="Courier New" w:hint="default"/>
      </w:rPr>
    </w:lvl>
    <w:lvl w:ilvl="2" w:tplc="254AF964" w:tentative="1">
      <w:start w:val="1"/>
      <w:numFmt w:val="bullet"/>
      <w:lvlText w:val=""/>
      <w:lvlJc w:val="left"/>
      <w:pPr>
        <w:ind w:left="2160" w:hanging="360"/>
      </w:pPr>
      <w:rPr>
        <w:rFonts w:ascii="Wingdings" w:hAnsi="Wingdings" w:hint="default"/>
      </w:rPr>
    </w:lvl>
    <w:lvl w:ilvl="3" w:tplc="18C224A4" w:tentative="1">
      <w:start w:val="1"/>
      <w:numFmt w:val="bullet"/>
      <w:lvlText w:val=""/>
      <w:lvlJc w:val="left"/>
      <w:pPr>
        <w:ind w:left="2880" w:hanging="360"/>
      </w:pPr>
      <w:rPr>
        <w:rFonts w:ascii="Symbol" w:hAnsi="Symbol" w:hint="default"/>
      </w:rPr>
    </w:lvl>
    <w:lvl w:ilvl="4" w:tplc="051AEEF8" w:tentative="1">
      <w:start w:val="1"/>
      <w:numFmt w:val="bullet"/>
      <w:lvlText w:val="o"/>
      <w:lvlJc w:val="left"/>
      <w:pPr>
        <w:ind w:left="3600" w:hanging="360"/>
      </w:pPr>
      <w:rPr>
        <w:rFonts w:ascii="Courier New" w:hAnsi="Courier New" w:cs="Courier New" w:hint="default"/>
      </w:rPr>
    </w:lvl>
    <w:lvl w:ilvl="5" w:tplc="3AC4D0E0" w:tentative="1">
      <w:start w:val="1"/>
      <w:numFmt w:val="bullet"/>
      <w:lvlText w:val=""/>
      <w:lvlJc w:val="left"/>
      <w:pPr>
        <w:ind w:left="4320" w:hanging="360"/>
      </w:pPr>
      <w:rPr>
        <w:rFonts w:ascii="Wingdings" w:hAnsi="Wingdings" w:hint="default"/>
      </w:rPr>
    </w:lvl>
    <w:lvl w:ilvl="6" w:tplc="9CE81BC0" w:tentative="1">
      <w:start w:val="1"/>
      <w:numFmt w:val="bullet"/>
      <w:lvlText w:val=""/>
      <w:lvlJc w:val="left"/>
      <w:pPr>
        <w:ind w:left="5040" w:hanging="360"/>
      </w:pPr>
      <w:rPr>
        <w:rFonts w:ascii="Symbol" w:hAnsi="Symbol" w:hint="default"/>
      </w:rPr>
    </w:lvl>
    <w:lvl w:ilvl="7" w:tplc="D8720AD0" w:tentative="1">
      <w:start w:val="1"/>
      <w:numFmt w:val="bullet"/>
      <w:lvlText w:val="o"/>
      <w:lvlJc w:val="left"/>
      <w:pPr>
        <w:ind w:left="5760" w:hanging="360"/>
      </w:pPr>
      <w:rPr>
        <w:rFonts w:ascii="Courier New" w:hAnsi="Courier New" w:cs="Courier New" w:hint="default"/>
      </w:rPr>
    </w:lvl>
    <w:lvl w:ilvl="8" w:tplc="35B027F0" w:tentative="1">
      <w:start w:val="1"/>
      <w:numFmt w:val="bullet"/>
      <w:lvlText w:val=""/>
      <w:lvlJc w:val="left"/>
      <w:pPr>
        <w:ind w:left="6480" w:hanging="360"/>
      </w:pPr>
      <w:rPr>
        <w:rFonts w:ascii="Wingdings" w:hAnsi="Wingdings" w:hint="default"/>
      </w:rPr>
    </w:lvl>
  </w:abstractNum>
  <w:abstractNum w:abstractNumId="34" w15:restartNumberingAfterBreak="0">
    <w:nsid w:val="19714CEC"/>
    <w:multiLevelType w:val="hybridMultilevel"/>
    <w:tmpl w:val="96AEF7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ADA5A17"/>
    <w:multiLevelType w:val="hybridMultilevel"/>
    <w:tmpl w:val="F830E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C385855"/>
    <w:multiLevelType w:val="hybridMultilevel"/>
    <w:tmpl w:val="14484F48"/>
    <w:lvl w:ilvl="0" w:tplc="0C0A0019">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7" w15:restartNumberingAfterBreak="0">
    <w:nsid w:val="1CE419D1"/>
    <w:multiLevelType w:val="hybridMultilevel"/>
    <w:tmpl w:val="F544C378"/>
    <w:lvl w:ilvl="0" w:tplc="080A0001">
      <w:numFmt w:val="bullet"/>
      <w:lvlText w:val="-"/>
      <w:lvlJc w:val="left"/>
      <w:pPr>
        <w:ind w:left="720" w:hanging="360"/>
      </w:pPr>
      <w:rPr>
        <w:rFonts w:ascii="Comic Sans MS" w:eastAsia="Times New Roman" w:hAnsi="Comic Sans M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8" w15:restartNumberingAfterBreak="0">
    <w:nsid w:val="1F000960"/>
    <w:multiLevelType w:val="hybridMultilevel"/>
    <w:tmpl w:val="BA5AA50E"/>
    <w:lvl w:ilvl="0" w:tplc="0C0A001B">
      <w:start w:val="1"/>
      <w:numFmt w:val="decimal"/>
      <w:lvlText w:val="%1)"/>
      <w:lvlJc w:val="left"/>
      <w:pPr>
        <w:ind w:left="720" w:hanging="360"/>
      </w:pPr>
      <w:rPr>
        <w:rFonts w:ascii="Calibri" w:eastAsia="Times New Roman" w:hAnsi="Calibri" w:cs="Arial"/>
      </w:rPr>
    </w:lvl>
    <w:lvl w:ilvl="1" w:tplc="080A0019">
      <w:start w:val="1"/>
      <w:numFmt w:val="bullet"/>
      <w:lvlText w:val="o"/>
      <w:lvlJc w:val="left"/>
      <w:pPr>
        <w:ind w:left="1211"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19">
      <w:numFmt w:val="bullet"/>
      <w:lvlText w:val="•"/>
      <w:lvlJc w:val="left"/>
      <w:pPr>
        <w:ind w:left="3600" w:hanging="360"/>
      </w:pPr>
      <w:rPr>
        <w:rFonts w:ascii="ITC Avant Garde" w:eastAsia="Calibri" w:hAnsi="ITC Avant Garde" w:cs="Calibri"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9" w15:restartNumberingAfterBreak="0">
    <w:nsid w:val="1FC04109"/>
    <w:multiLevelType w:val="hybridMultilevel"/>
    <w:tmpl w:val="55061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0464D52"/>
    <w:multiLevelType w:val="hybridMultilevel"/>
    <w:tmpl w:val="9E745318"/>
    <w:lvl w:ilvl="0" w:tplc="080A0001">
      <w:start w:val="1"/>
      <w:numFmt w:val="decimal"/>
      <w:lvlText w:val="%1)"/>
      <w:lvlJc w:val="left"/>
      <w:pPr>
        <w:ind w:left="720" w:hanging="36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1"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2" w15:restartNumberingAfterBreak="0">
    <w:nsid w:val="21E62536"/>
    <w:multiLevelType w:val="hybridMultilevel"/>
    <w:tmpl w:val="D9264078"/>
    <w:lvl w:ilvl="0" w:tplc="080A0001">
      <w:start w:val="1"/>
      <w:numFmt w:val="decimal"/>
      <w:lvlText w:val="%1)"/>
      <w:lvlJc w:val="left"/>
      <w:pPr>
        <w:ind w:left="4330" w:hanging="360"/>
      </w:pPr>
      <w:rPr>
        <w:b w:val="0"/>
      </w:rPr>
    </w:lvl>
    <w:lvl w:ilvl="1" w:tplc="080A0003" w:tentative="1">
      <w:start w:val="1"/>
      <w:numFmt w:val="lowerLetter"/>
      <w:lvlText w:val="%2."/>
      <w:lvlJc w:val="left"/>
      <w:pPr>
        <w:ind w:left="5050" w:hanging="360"/>
      </w:pPr>
    </w:lvl>
    <w:lvl w:ilvl="2" w:tplc="080A0005" w:tentative="1">
      <w:start w:val="1"/>
      <w:numFmt w:val="lowerRoman"/>
      <w:lvlText w:val="%3."/>
      <w:lvlJc w:val="right"/>
      <w:pPr>
        <w:ind w:left="5770" w:hanging="180"/>
      </w:pPr>
    </w:lvl>
    <w:lvl w:ilvl="3" w:tplc="080A0001" w:tentative="1">
      <w:start w:val="1"/>
      <w:numFmt w:val="decimal"/>
      <w:lvlText w:val="%4."/>
      <w:lvlJc w:val="left"/>
      <w:pPr>
        <w:ind w:left="6490" w:hanging="360"/>
      </w:pPr>
    </w:lvl>
    <w:lvl w:ilvl="4" w:tplc="080A0003" w:tentative="1">
      <w:start w:val="1"/>
      <w:numFmt w:val="lowerLetter"/>
      <w:lvlText w:val="%5."/>
      <w:lvlJc w:val="left"/>
      <w:pPr>
        <w:ind w:left="7210" w:hanging="360"/>
      </w:pPr>
    </w:lvl>
    <w:lvl w:ilvl="5" w:tplc="080A0005" w:tentative="1">
      <w:start w:val="1"/>
      <w:numFmt w:val="lowerRoman"/>
      <w:lvlText w:val="%6."/>
      <w:lvlJc w:val="right"/>
      <w:pPr>
        <w:ind w:left="7930" w:hanging="180"/>
      </w:pPr>
    </w:lvl>
    <w:lvl w:ilvl="6" w:tplc="080A0001" w:tentative="1">
      <w:start w:val="1"/>
      <w:numFmt w:val="decimal"/>
      <w:lvlText w:val="%7."/>
      <w:lvlJc w:val="left"/>
      <w:pPr>
        <w:ind w:left="8650" w:hanging="360"/>
      </w:pPr>
    </w:lvl>
    <w:lvl w:ilvl="7" w:tplc="080A0003" w:tentative="1">
      <w:start w:val="1"/>
      <w:numFmt w:val="lowerLetter"/>
      <w:lvlText w:val="%8."/>
      <w:lvlJc w:val="left"/>
      <w:pPr>
        <w:ind w:left="9370" w:hanging="360"/>
      </w:pPr>
    </w:lvl>
    <w:lvl w:ilvl="8" w:tplc="080A0005" w:tentative="1">
      <w:start w:val="1"/>
      <w:numFmt w:val="lowerRoman"/>
      <w:lvlText w:val="%9."/>
      <w:lvlJc w:val="right"/>
      <w:pPr>
        <w:ind w:left="10090" w:hanging="180"/>
      </w:pPr>
    </w:lvl>
  </w:abstractNum>
  <w:abstractNum w:abstractNumId="43" w15:restartNumberingAfterBreak="0">
    <w:nsid w:val="23D255A4"/>
    <w:multiLevelType w:val="hybridMultilevel"/>
    <w:tmpl w:val="59766128"/>
    <w:lvl w:ilvl="0" w:tplc="080A0001">
      <w:start w:val="1"/>
      <w:numFmt w:val="decimal"/>
      <w:lvlText w:val="%1)"/>
      <w:lvlJc w:val="left"/>
      <w:pPr>
        <w:ind w:left="1080" w:hanging="360"/>
      </w:pPr>
      <w:rPr>
        <w:rFonts w:hint="default"/>
      </w:rPr>
    </w:lvl>
    <w:lvl w:ilvl="1" w:tplc="080A0003">
      <w:start w:val="1"/>
      <w:numFmt w:val="lowerLetter"/>
      <w:lvlText w:val="%2."/>
      <w:lvlJc w:val="left"/>
      <w:pPr>
        <w:ind w:left="1800" w:hanging="360"/>
      </w:pPr>
    </w:lvl>
    <w:lvl w:ilvl="2" w:tplc="080A0005">
      <w:start w:val="1"/>
      <w:numFmt w:val="lowerRoman"/>
      <w:lvlText w:val="%3."/>
      <w:lvlJc w:val="right"/>
      <w:pPr>
        <w:ind w:left="2520" w:hanging="180"/>
      </w:pPr>
    </w:lvl>
    <w:lvl w:ilvl="3" w:tplc="080A0001" w:tentative="1">
      <w:start w:val="1"/>
      <w:numFmt w:val="decimal"/>
      <w:lvlText w:val="%4."/>
      <w:lvlJc w:val="left"/>
      <w:pPr>
        <w:ind w:left="3240" w:hanging="360"/>
      </w:pPr>
    </w:lvl>
    <w:lvl w:ilvl="4" w:tplc="080A0003" w:tentative="1">
      <w:start w:val="1"/>
      <w:numFmt w:val="lowerLetter"/>
      <w:lvlText w:val="%5."/>
      <w:lvlJc w:val="left"/>
      <w:pPr>
        <w:ind w:left="3960" w:hanging="360"/>
      </w:pPr>
    </w:lvl>
    <w:lvl w:ilvl="5" w:tplc="080A0005" w:tentative="1">
      <w:start w:val="1"/>
      <w:numFmt w:val="lowerRoman"/>
      <w:lvlText w:val="%6."/>
      <w:lvlJc w:val="right"/>
      <w:pPr>
        <w:ind w:left="4680" w:hanging="180"/>
      </w:pPr>
    </w:lvl>
    <w:lvl w:ilvl="6" w:tplc="080A0001" w:tentative="1">
      <w:start w:val="1"/>
      <w:numFmt w:val="decimal"/>
      <w:lvlText w:val="%7."/>
      <w:lvlJc w:val="left"/>
      <w:pPr>
        <w:ind w:left="5400" w:hanging="360"/>
      </w:pPr>
    </w:lvl>
    <w:lvl w:ilvl="7" w:tplc="080A0003" w:tentative="1">
      <w:start w:val="1"/>
      <w:numFmt w:val="lowerLetter"/>
      <w:lvlText w:val="%8."/>
      <w:lvlJc w:val="left"/>
      <w:pPr>
        <w:ind w:left="6120" w:hanging="360"/>
      </w:pPr>
    </w:lvl>
    <w:lvl w:ilvl="8" w:tplc="080A0005" w:tentative="1">
      <w:start w:val="1"/>
      <w:numFmt w:val="lowerRoman"/>
      <w:lvlText w:val="%9."/>
      <w:lvlJc w:val="right"/>
      <w:pPr>
        <w:ind w:left="6840" w:hanging="180"/>
      </w:pPr>
    </w:lvl>
  </w:abstractNum>
  <w:abstractNum w:abstractNumId="44" w15:restartNumberingAfterBreak="0">
    <w:nsid w:val="264303A9"/>
    <w:multiLevelType w:val="hybridMultilevel"/>
    <w:tmpl w:val="54468F94"/>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5" w15:restartNumberingAfterBreak="0">
    <w:nsid w:val="26B06CCB"/>
    <w:multiLevelType w:val="hybridMultilevel"/>
    <w:tmpl w:val="F9C0DC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6" w15:restartNumberingAfterBreak="0">
    <w:nsid w:val="271B7B15"/>
    <w:multiLevelType w:val="hybridMultilevel"/>
    <w:tmpl w:val="33546A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7C564A2"/>
    <w:multiLevelType w:val="hybridMultilevel"/>
    <w:tmpl w:val="E72077F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15:restartNumberingAfterBreak="0">
    <w:nsid w:val="287B2D7B"/>
    <w:multiLevelType w:val="hybridMultilevel"/>
    <w:tmpl w:val="F2344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B2C66C4"/>
    <w:multiLevelType w:val="hybridMultilevel"/>
    <w:tmpl w:val="72EC3A9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B580342"/>
    <w:multiLevelType w:val="hybridMultilevel"/>
    <w:tmpl w:val="77CA0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B62799F"/>
    <w:multiLevelType w:val="hybridMultilevel"/>
    <w:tmpl w:val="0DF2803A"/>
    <w:lvl w:ilvl="0" w:tplc="0C0A0001">
      <w:start w:val="1"/>
      <w:numFmt w:val="decimal"/>
      <w:lvlText w:val="%1)"/>
      <w:lvlJc w:val="left"/>
      <w:pPr>
        <w:ind w:left="720" w:hanging="360"/>
      </w:pPr>
      <w:rPr>
        <w:rFonts w:hint="default"/>
        <w:sz w:val="22"/>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2" w15:restartNumberingAfterBreak="0">
    <w:nsid w:val="2B7E339D"/>
    <w:multiLevelType w:val="hybridMultilevel"/>
    <w:tmpl w:val="BD06308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C8B09EF"/>
    <w:multiLevelType w:val="multilevel"/>
    <w:tmpl w:val="E5B63796"/>
    <w:lvl w:ilvl="0">
      <w:start w:val="3"/>
      <w:numFmt w:val="decimal"/>
      <w:lvlText w:val="%1."/>
      <w:lvlJc w:val="left"/>
      <w:pPr>
        <w:ind w:left="360" w:hanging="360"/>
      </w:pPr>
      <w:rPr>
        <w:rFonts w:cs="Times New Roman" w:hint="default"/>
      </w:rPr>
    </w:lvl>
    <w:lvl w:ilvl="1">
      <w:start w:val="1"/>
      <w:numFmt w:val="decimal"/>
      <w:pStyle w:val="DIDSUBCAP"/>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4" w15:restartNumberingAfterBreak="0">
    <w:nsid w:val="2CD92CC4"/>
    <w:multiLevelType w:val="hybridMultilevel"/>
    <w:tmpl w:val="26A4D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D0C72CC"/>
    <w:multiLevelType w:val="hybridMultilevel"/>
    <w:tmpl w:val="38FC9D6A"/>
    <w:lvl w:ilvl="0" w:tplc="080A0001">
      <w:start w:val="1"/>
      <w:numFmt w:val="decimal"/>
      <w:lvlText w:val="%1)"/>
      <w:lvlJc w:val="left"/>
      <w:pPr>
        <w:ind w:left="720" w:hanging="360"/>
      </w:pPr>
      <w:rPr>
        <w:rFonts w:cs="Times New Roman"/>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56" w15:restartNumberingAfterBreak="0">
    <w:nsid w:val="2E702811"/>
    <w:multiLevelType w:val="hybridMultilevel"/>
    <w:tmpl w:val="98E4ED1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2EE82A5A"/>
    <w:multiLevelType w:val="hybridMultilevel"/>
    <w:tmpl w:val="141A8E3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2F2F6637"/>
    <w:multiLevelType w:val="hybridMultilevel"/>
    <w:tmpl w:val="913ADF4C"/>
    <w:lvl w:ilvl="0" w:tplc="0C0A0019">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FC9708E"/>
    <w:multiLevelType w:val="hybridMultilevel"/>
    <w:tmpl w:val="6B16B58C"/>
    <w:lvl w:ilvl="0" w:tplc="0C0A0011">
      <w:start w:val="1"/>
      <w:numFmt w:val="decimal"/>
      <w:lvlText w:val="%1."/>
      <w:lvlJc w:val="left"/>
      <w:pPr>
        <w:ind w:left="720" w:hanging="360"/>
      </w:pPr>
    </w:lvl>
    <w:lvl w:ilvl="1" w:tplc="080A0001"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1E6207BA"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FE34E42"/>
    <w:multiLevelType w:val="multilevel"/>
    <w:tmpl w:val="16CC17E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30707A4D"/>
    <w:multiLevelType w:val="hybridMultilevel"/>
    <w:tmpl w:val="618473C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0E9123C"/>
    <w:multiLevelType w:val="hybridMultilevel"/>
    <w:tmpl w:val="1CB6DA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0FD1A2D"/>
    <w:multiLevelType w:val="hybridMultilevel"/>
    <w:tmpl w:val="0FEE7812"/>
    <w:lvl w:ilvl="0" w:tplc="7AEE5F96">
      <w:start w:val="1"/>
      <w:numFmt w:val="decimal"/>
      <w:lvlText w:val="%1."/>
      <w:lvlJc w:val="left"/>
      <w:pPr>
        <w:ind w:left="720" w:hanging="360"/>
      </w:pPr>
    </w:lvl>
    <w:lvl w:ilvl="1" w:tplc="080A0003">
      <w:start w:val="1"/>
      <w:numFmt w:val="lowerLetter"/>
      <w:lvlText w:val="%2."/>
      <w:lvlJc w:val="left"/>
      <w:pPr>
        <w:ind w:left="1440" w:hanging="360"/>
      </w:pPr>
    </w:lvl>
    <w:lvl w:ilvl="2" w:tplc="080A0005">
      <w:start w:val="1"/>
      <w:numFmt w:val="lowerRoman"/>
      <w:lvlText w:val="%3."/>
      <w:lvlJc w:val="right"/>
      <w:pPr>
        <w:ind w:left="2160" w:hanging="180"/>
      </w:pPr>
    </w:lvl>
    <w:lvl w:ilvl="3" w:tplc="DCB21CBA"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64" w15:restartNumberingAfterBreak="0">
    <w:nsid w:val="333F3F4C"/>
    <w:multiLevelType w:val="hybridMultilevel"/>
    <w:tmpl w:val="08F2A2B8"/>
    <w:lvl w:ilvl="0" w:tplc="0C0A0011">
      <w:start w:val="1"/>
      <w:numFmt w:val="decimal"/>
      <w:lvlText w:val="%1)"/>
      <w:lvlJc w:val="left"/>
      <w:pPr>
        <w:ind w:left="720" w:hanging="360"/>
      </w:pPr>
      <w:rPr>
        <w:rFonts w:ascii="ITC Avant Garde" w:eastAsia="Times New Roman" w:hAnsi="ITC Avant Garde" w:cs="Arial" w:hint="default"/>
      </w:rPr>
    </w:lvl>
    <w:lvl w:ilvl="1" w:tplc="0C0A0019">
      <w:start w:val="1"/>
      <w:numFmt w:val="lowerLetter"/>
      <w:lvlText w:val="%2."/>
      <w:lvlJc w:val="left"/>
      <w:pPr>
        <w:ind w:left="1070" w:hanging="360"/>
      </w:pPr>
      <w:rPr>
        <w:rFonts w:hint="default"/>
      </w:rPr>
    </w:lvl>
    <w:lvl w:ilvl="2" w:tplc="0C0A001B">
      <w:start w:val="1"/>
      <w:numFmt w:val="bullet"/>
      <w:lvlText w:val=""/>
      <w:lvlJc w:val="left"/>
      <w:pPr>
        <w:ind w:left="2160" w:hanging="360"/>
      </w:pPr>
      <w:rPr>
        <w:rFonts w:ascii="Wingdings" w:hAnsi="Wingdings" w:hint="default"/>
      </w:rPr>
    </w:lvl>
    <w:lvl w:ilvl="3" w:tplc="0C0A000F">
      <w:start w:val="1"/>
      <w:numFmt w:val="decimal"/>
      <w:lvlText w:val="%4)"/>
      <w:lvlJc w:val="left"/>
      <w:pPr>
        <w:ind w:left="2880" w:hanging="360"/>
      </w:pPr>
      <w:rPr>
        <w:rFonts w:hint="default"/>
      </w:rPr>
    </w:lvl>
    <w:lvl w:ilvl="4" w:tplc="59BE3012"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5" w15:restartNumberingAfterBreak="0">
    <w:nsid w:val="33B56632"/>
    <w:multiLevelType w:val="hybridMultilevel"/>
    <w:tmpl w:val="AD6EFC78"/>
    <w:lvl w:ilvl="0" w:tplc="0C0A0001">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15:restartNumberingAfterBreak="0">
    <w:nsid w:val="33E51B3B"/>
    <w:multiLevelType w:val="multilevel"/>
    <w:tmpl w:val="CB7E3D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43937F0"/>
    <w:multiLevelType w:val="multilevel"/>
    <w:tmpl w:val="A8E4A918"/>
    <w:lvl w:ilvl="0">
      <w:start w:val="1"/>
      <w:numFmt w:val="decimal"/>
      <w:lvlText w:val="%1."/>
      <w:lvlJc w:val="left"/>
      <w:pPr>
        <w:ind w:left="720" w:hanging="360"/>
      </w:pPr>
      <w:rPr>
        <w:rFonts w:hint="default"/>
      </w:rPr>
    </w:lvl>
    <w:lvl w:ilvl="1">
      <w:start w:val="3"/>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3471069D"/>
    <w:multiLevelType w:val="hybridMultilevel"/>
    <w:tmpl w:val="F0A22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34E6128B"/>
    <w:multiLevelType w:val="multilevel"/>
    <w:tmpl w:val="E5B63796"/>
    <w:styleLink w:val="Estilo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0" w15:restartNumberingAfterBreak="0">
    <w:nsid w:val="35A70F62"/>
    <w:multiLevelType w:val="hybridMultilevel"/>
    <w:tmpl w:val="C2608E6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1" w15:restartNumberingAfterBreak="0">
    <w:nsid w:val="35B21A2C"/>
    <w:multiLevelType w:val="hybridMultilevel"/>
    <w:tmpl w:val="96AE0D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3640064C"/>
    <w:multiLevelType w:val="hybridMultilevel"/>
    <w:tmpl w:val="7084D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36DE3469"/>
    <w:multiLevelType w:val="hybridMultilevel"/>
    <w:tmpl w:val="ACA02A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6F21D59"/>
    <w:multiLevelType w:val="hybridMultilevel"/>
    <w:tmpl w:val="FCAE50F8"/>
    <w:lvl w:ilvl="0" w:tplc="CBB80530">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7BF4C21"/>
    <w:multiLevelType w:val="hybridMultilevel"/>
    <w:tmpl w:val="A5E84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37CD0344"/>
    <w:multiLevelType w:val="hybridMultilevel"/>
    <w:tmpl w:val="0A688AF8"/>
    <w:lvl w:ilvl="0" w:tplc="D98EBD7A">
      <w:start w:val="1"/>
      <w:numFmt w:val="decimal"/>
      <w:lvlText w:val="1.%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87521E4"/>
    <w:multiLevelType w:val="hybridMultilevel"/>
    <w:tmpl w:val="55CC0CE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3896170D"/>
    <w:multiLevelType w:val="hybridMultilevel"/>
    <w:tmpl w:val="16341D14"/>
    <w:lvl w:ilvl="0" w:tplc="0C0A0019">
      <w:start w:val="1"/>
      <w:numFmt w:val="bullet"/>
      <w:pStyle w:val="NormalBulletLevel2"/>
      <w:lvlText w:val=""/>
      <w:lvlJc w:val="left"/>
      <w:pPr>
        <w:tabs>
          <w:tab w:val="num" w:pos="9000"/>
        </w:tabs>
        <w:ind w:left="9000" w:hanging="360"/>
      </w:pPr>
      <w:rPr>
        <w:rFonts w:ascii="Symbol" w:hAnsi="Symbol" w:hint="default"/>
        <w:color w:val="auto"/>
      </w:rPr>
    </w:lvl>
    <w:lvl w:ilvl="1" w:tplc="080A0019">
      <w:start w:val="1"/>
      <w:numFmt w:val="bullet"/>
      <w:lvlText w:val="o"/>
      <w:lvlJc w:val="left"/>
      <w:pPr>
        <w:tabs>
          <w:tab w:val="num" w:pos="5400"/>
        </w:tabs>
        <w:ind w:left="5400" w:hanging="360"/>
      </w:pPr>
      <w:rPr>
        <w:rFonts w:ascii="Courier New" w:hAnsi="Courier New" w:hint="default"/>
      </w:rPr>
    </w:lvl>
    <w:lvl w:ilvl="2" w:tplc="080A001B" w:tentative="1">
      <w:start w:val="1"/>
      <w:numFmt w:val="bullet"/>
      <w:lvlText w:val=""/>
      <w:lvlJc w:val="left"/>
      <w:pPr>
        <w:tabs>
          <w:tab w:val="num" w:pos="6120"/>
        </w:tabs>
        <w:ind w:left="6120" w:hanging="360"/>
      </w:pPr>
      <w:rPr>
        <w:rFonts w:ascii="Wingdings" w:hAnsi="Wingdings" w:hint="default"/>
      </w:rPr>
    </w:lvl>
    <w:lvl w:ilvl="3" w:tplc="080A000F" w:tentative="1">
      <w:start w:val="1"/>
      <w:numFmt w:val="bullet"/>
      <w:lvlText w:val=""/>
      <w:lvlJc w:val="left"/>
      <w:pPr>
        <w:tabs>
          <w:tab w:val="num" w:pos="6840"/>
        </w:tabs>
        <w:ind w:left="6840" w:hanging="360"/>
      </w:pPr>
      <w:rPr>
        <w:rFonts w:ascii="Symbol" w:hAnsi="Symbol" w:hint="default"/>
      </w:rPr>
    </w:lvl>
    <w:lvl w:ilvl="4" w:tplc="080A0019" w:tentative="1">
      <w:start w:val="1"/>
      <w:numFmt w:val="bullet"/>
      <w:lvlText w:val="o"/>
      <w:lvlJc w:val="left"/>
      <w:pPr>
        <w:tabs>
          <w:tab w:val="num" w:pos="7560"/>
        </w:tabs>
        <w:ind w:left="7560" w:hanging="360"/>
      </w:pPr>
      <w:rPr>
        <w:rFonts w:ascii="Courier New" w:hAnsi="Courier New" w:hint="default"/>
      </w:rPr>
    </w:lvl>
    <w:lvl w:ilvl="5" w:tplc="080A001B" w:tentative="1">
      <w:start w:val="1"/>
      <w:numFmt w:val="bullet"/>
      <w:lvlText w:val=""/>
      <w:lvlJc w:val="left"/>
      <w:pPr>
        <w:tabs>
          <w:tab w:val="num" w:pos="8280"/>
        </w:tabs>
        <w:ind w:left="8280" w:hanging="360"/>
      </w:pPr>
      <w:rPr>
        <w:rFonts w:ascii="Wingdings" w:hAnsi="Wingdings" w:hint="default"/>
      </w:rPr>
    </w:lvl>
    <w:lvl w:ilvl="6" w:tplc="080A000F" w:tentative="1">
      <w:start w:val="1"/>
      <w:numFmt w:val="bullet"/>
      <w:lvlText w:val=""/>
      <w:lvlJc w:val="left"/>
      <w:pPr>
        <w:tabs>
          <w:tab w:val="num" w:pos="9000"/>
        </w:tabs>
        <w:ind w:left="9000" w:hanging="360"/>
      </w:pPr>
      <w:rPr>
        <w:rFonts w:ascii="Symbol" w:hAnsi="Symbol" w:hint="default"/>
      </w:rPr>
    </w:lvl>
    <w:lvl w:ilvl="7" w:tplc="080A0019" w:tentative="1">
      <w:start w:val="1"/>
      <w:numFmt w:val="bullet"/>
      <w:lvlText w:val="o"/>
      <w:lvlJc w:val="left"/>
      <w:pPr>
        <w:tabs>
          <w:tab w:val="num" w:pos="9720"/>
        </w:tabs>
        <w:ind w:left="9720" w:hanging="360"/>
      </w:pPr>
      <w:rPr>
        <w:rFonts w:ascii="Courier New" w:hAnsi="Courier New" w:hint="default"/>
      </w:rPr>
    </w:lvl>
    <w:lvl w:ilvl="8" w:tplc="080A001B" w:tentative="1">
      <w:start w:val="1"/>
      <w:numFmt w:val="bullet"/>
      <w:lvlText w:val=""/>
      <w:lvlJc w:val="left"/>
      <w:pPr>
        <w:tabs>
          <w:tab w:val="num" w:pos="10440"/>
        </w:tabs>
        <w:ind w:left="10440" w:hanging="360"/>
      </w:pPr>
      <w:rPr>
        <w:rFonts w:ascii="Wingdings" w:hAnsi="Wingdings" w:hint="default"/>
      </w:rPr>
    </w:lvl>
  </w:abstractNum>
  <w:abstractNum w:abstractNumId="79" w15:restartNumberingAfterBreak="0">
    <w:nsid w:val="38F60607"/>
    <w:multiLevelType w:val="hybridMultilevel"/>
    <w:tmpl w:val="C5FAC05E"/>
    <w:lvl w:ilvl="0" w:tplc="FD066438">
      <w:start w:val="45"/>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9D42707"/>
    <w:multiLevelType w:val="hybridMultilevel"/>
    <w:tmpl w:val="F5209768"/>
    <w:lvl w:ilvl="0" w:tplc="466E3D80">
      <w:start w:val="1"/>
      <w:numFmt w:val="bullet"/>
      <w:lvlText w:val="o"/>
      <w:lvlJc w:val="left"/>
      <w:pPr>
        <w:ind w:left="1440" w:hanging="360"/>
      </w:pPr>
      <w:rPr>
        <w:rFonts w:ascii="Courier New" w:hAnsi="Courier New" w:cs="Courier New" w:hint="default"/>
      </w:rPr>
    </w:lvl>
    <w:lvl w:ilvl="1" w:tplc="0C0A0019" w:tentative="1">
      <w:start w:val="1"/>
      <w:numFmt w:val="bullet"/>
      <w:lvlText w:val="o"/>
      <w:lvlJc w:val="left"/>
      <w:pPr>
        <w:ind w:left="2160" w:hanging="360"/>
      </w:pPr>
      <w:rPr>
        <w:rFonts w:ascii="Courier New" w:hAnsi="Courier New" w:cs="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cs="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cs="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81" w15:restartNumberingAfterBreak="0">
    <w:nsid w:val="3A5D4558"/>
    <w:multiLevelType w:val="hybridMultilevel"/>
    <w:tmpl w:val="71D8DCF0"/>
    <w:lvl w:ilvl="0" w:tplc="080A0011">
      <w:start w:val="1"/>
      <w:numFmt w:val="decimal"/>
      <w:pStyle w:val="Titulo3"/>
      <w:lvlText w:val="5.5.%1."/>
      <w:lvlJc w:val="left"/>
      <w:pPr>
        <w:tabs>
          <w:tab w:val="num" w:pos="1440"/>
        </w:tabs>
        <w:ind w:left="1440" w:hanging="36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3AF2085A"/>
    <w:multiLevelType w:val="hybridMultilevel"/>
    <w:tmpl w:val="2E861590"/>
    <w:lvl w:ilvl="0" w:tplc="0C0A0001">
      <w:start w:val="1"/>
      <w:numFmt w:val="decimal"/>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83" w15:restartNumberingAfterBreak="0">
    <w:nsid w:val="3B7256CB"/>
    <w:multiLevelType w:val="hybridMultilevel"/>
    <w:tmpl w:val="E96451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C845917"/>
    <w:multiLevelType w:val="hybridMultilevel"/>
    <w:tmpl w:val="46AA5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CD50A3A"/>
    <w:multiLevelType w:val="hybridMultilevel"/>
    <w:tmpl w:val="02C23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E3A074F"/>
    <w:multiLevelType w:val="hybridMultilevel"/>
    <w:tmpl w:val="9196BFE4"/>
    <w:lvl w:ilvl="0" w:tplc="080A000D">
      <w:start w:val="1"/>
      <w:numFmt w:val="bullet"/>
      <w:lvlText w:val=""/>
      <w:lvlJc w:val="left"/>
      <w:pPr>
        <w:ind w:left="360" w:hanging="360"/>
      </w:pPr>
      <w:rPr>
        <w:rFonts w:ascii="Wingdings" w:hAnsi="Wingdings" w:hint="default"/>
      </w:rPr>
    </w:lvl>
    <w:lvl w:ilvl="1" w:tplc="080A0001">
      <w:start w:val="1"/>
      <w:numFmt w:val="bullet"/>
      <w:lvlText w:val=""/>
      <w:lvlJc w:val="left"/>
      <w:pPr>
        <w:ind w:left="1080" w:hanging="360"/>
      </w:pPr>
      <w:rPr>
        <w:rFonts w:ascii="Symbol" w:hAnsi="Symbol"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3F402CF1"/>
    <w:multiLevelType w:val="hybridMultilevel"/>
    <w:tmpl w:val="B8529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3F572B7D"/>
    <w:multiLevelType w:val="hybridMultilevel"/>
    <w:tmpl w:val="F5F439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03D2248"/>
    <w:multiLevelType w:val="hybridMultilevel"/>
    <w:tmpl w:val="B1569BC0"/>
    <w:lvl w:ilvl="0" w:tplc="ED44DDA6">
      <w:start w:val="1"/>
      <w:numFmt w:val="lowerLetter"/>
      <w:lvlText w:val="%1)"/>
      <w:lvlJc w:val="left"/>
      <w:pPr>
        <w:ind w:left="720" w:hanging="360"/>
      </w:pPr>
      <w:rPr>
        <w:rFonts w:hint="default"/>
        <w:spacing w:val="0"/>
        <w:kern w:val="16"/>
        <w:position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10D4D80"/>
    <w:multiLevelType w:val="hybridMultilevel"/>
    <w:tmpl w:val="CC52DD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15F1D5A"/>
    <w:multiLevelType w:val="hybridMultilevel"/>
    <w:tmpl w:val="B106D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1A935AA"/>
    <w:multiLevelType w:val="hybridMultilevel"/>
    <w:tmpl w:val="009EF814"/>
    <w:lvl w:ilvl="0" w:tplc="080A0001">
      <w:numFmt w:val="bullet"/>
      <w:lvlText w:val="-"/>
      <w:lvlJc w:val="left"/>
      <w:pPr>
        <w:ind w:left="1080" w:hanging="360"/>
      </w:pPr>
      <w:rPr>
        <w:rFonts w:ascii="Arial" w:eastAsia="Times New Roman" w:hAnsi="Aria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3" w15:restartNumberingAfterBreak="0">
    <w:nsid w:val="425C0717"/>
    <w:multiLevelType w:val="hybridMultilevel"/>
    <w:tmpl w:val="42669B22"/>
    <w:lvl w:ilvl="0" w:tplc="FFFFFFFF">
      <w:start w:val="1"/>
      <w:numFmt w:val="bullet"/>
      <w:pStyle w:val="NormalBulletChar"/>
      <w:lvlText w:val=""/>
      <w:lvlJc w:val="left"/>
      <w:pPr>
        <w:tabs>
          <w:tab w:val="num" w:pos="360"/>
        </w:tabs>
        <w:ind w:left="360" w:hanging="360"/>
      </w:pPr>
      <w:rPr>
        <w:rFonts w:ascii="Symbol" w:hAnsi="Symbol" w:hint="default"/>
        <w:color w:val="0000FF"/>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1C3393"/>
    <w:multiLevelType w:val="hybridMultilevel"/>
    <w:tmpl w:val="8A4878B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95" w15:restartNumberingAfterBreak="0">
    <w:nsid w:val="448151E6"/>
    <w:multiLevelType w:val="hybridMultilevel"/>
    <w:tmpl w:val="41CCADF0"/>
    <w:lvl w:ilvl="0" w:tplc="080A0011">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6" w15:restartNumberingAfterBreak="0">
    <w:nsid w:val="462F4350"/>
    <w:multiLevelType w:val="hybridMultilevel"/>
    <w:tmpl w:val="36FCB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66007B5"/>
    <w:multiLevelType w:val="multilevel"/>
    <w:tmpl w:val="FDA6629C"/>
    <w:styleLink w:val="Estilo3"/>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8" w15:restartNumberingAfterBreak="0">
    <w:nsid w:val="46D4736F"/>
    <w:multiLevelType w:val="hybridMultilevel"/>
    <w:tmpl w:val="CDA4905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9" w15:restartNumberingAfterBreak="0">
    <w:nsid w:val="478B62CA"/>
    <w:multiLevelType w:val="hybridMultilevel"/>
    <w:tmpl w:val="3C481B1A"/>
    <w:lvl w:ilvl="0" w:tplc="080A0001">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080A0003">
      <w:start w:val="1"/>
      <w:numFmt w:val="bullet"/>
      <w:lvlText w:val=""/>
      <w:lvlJc w:val="left"/>
      <w:pPr>
        <w:tabs>
          <w:tab w:val="num" w:pos="1440"/>
        </w:tabs>
        <w:ind w:left="1440" w:hanging="360"/>
      </w:pPr>
      <w:rPr>
        <w:rFonts w:ascii="Symbol" w:hAnsi="Symbol" w:hint="default"/>
        <w:sz w:val="24"/>
      </w:rPr>
    </w:lvl>
    <w:lvl w:ilvl="2" w:tplc="080A0005" w:tentative="1">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00" w15:restartNumberingAfterBreak="0">
    <w:nsid w:val="47B359A3"/>
    <w:multiLevelType w:val="hybridMultilevel"/>
    <w:tmpl w:val="1E18F444"/>
    <w:lvl w:ilvl="0" w:tplc="FD066438">
      <w:start w:val="45"/>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7F37B51"/>
    <w:multiLevelType w:val="hybridMultilevel"/>
    <w:tmpl w:val="28B06D7E"/>
    <w:lvl w:ilvl="0" w:tplc="E7DA4434">
      <w:start w:val="1"/>
      <w:numFmt w:val="bullet"/>
      <w:lvlText w:val="­"/>
      <w:lvlJc w:val="left"/>
      <w:pPr>
        <w:ind w:left="1068" w:hanging="360"/>
      </w:pPr>
      <w:rPr>
        <w:rFonts w:ascii="Calibri" w:hAnsi="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2" w15:restartNumberingAfterBreak="0">
    <w:nsid w:val="48786332"/>
    <w:multiLevelType w:val="hybridMultilevel"/>
    <w:tmpl w:val="153C0C3E"/>
    <w:lvl w:ilvl="0" w:tplc="080A0017">
      <w:start w:val="1"/>
      <w:numFmt w:val="decimal"/>
      <w:pStyle w:val="Continuarlista"/>
      <w:lvlText w:val="4.2.%1."/>
      <w:lvlJc w:val="left"/>
      <w:pPr>
        <w:tabs>
          <w:tab w:val="num" w:pos="1440"/>
        </w:tabs>
        <w:ind w:left="1440" w:hanging="360"/>
      </w:pPr>
      <w:rPr>
        <w:rFonts w:cs="Times New Roman" w:hint="default"/>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48CF63B5"/>
    <w:multiLevelType w:val="hybridMultilevel"/>
    <w:tmpl w:val="B39C00E6"/>
    <w:lvl w:ilvl="0" w:tplc="0C0A0001">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4" w15:restartNumberingAfterBreak="0">
    <w:nsid w:val="499A6E06"/>
    <w:multiLevelType w:val="hybridMultilevel"/>
    <w:tmpl w:val="597ED030"/>
    <w:lvl w:ilvl="0" w:tplc="080A0001">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5"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06" w15:restartNumberingAfterBreak="0">
    <w:nsid w:val="4A485E2F"/>
    <w:multiLevelType w:val="hybridMultilevel"/>
    <w:tmpl w:val="EE76C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4A4E4F19"/>
    <w:multiLevelType w:val="hybridMultilevel"/>
    <w:tmpl w:val="F244CDD4"/>
    <w:lvl w:ilvl="0" w:tplc="080A0001">
      <w:start w:val="1"/>
      <w:numFmt w:val="decimal"/>
      <w:pStyle w:val="Titulo3-0"/>
      <w:lvlText w:val="6.2.%1."/>
      <w:lvlJc w:val="left"/>
      <w:pPr>
        <w:tabs>
          <w:tab w:val="num" w:pos="1440"/>
        </w:tabs>
        <w:ind w:left="144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B4673F1"/>
    <w:multiLevelType w:val="hybridMultilevel"/>
    <w:tmpl w:val="75B07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4C7616C3"/>
    <w:multiLevelType w:val="hybridMultilevel"/>
    <w:tmpl w:val="D6EEE10E"/>
    <w:lvl w:ilvl="0" w:tplc="080A0011">
      <w:start w:val="1"/>
      <w:numFmt w:val="bullet"/>
      <w:lvlText w:val="o"/>
      <w:lvlJc w:val="left"/>
      <w:pPr>
        <w:ind w:left="1440" w:hanging="360"/>
      </w:pPr>
      <w:rPr>
        <w:rFonts w:ascii="Courier New" w:hAnsi="Courier New" w:cs="Courier New" w:hint="default"/>
      </w:rPr>
    </w:lvl>
    <w:lvl w:ilvl="1" w:tplc="080A0019" w:tentative="1">
      <w:start w:val="1"/>
      <w:numFmt w:val="bullet"/>
      <w:lvlText w:val="o"/>
      <w:lvlJc w:val="left"/>
      <w:pPr>
        <w:ind w:left="2160" w:hanging="360"/>
      </w:pPr>
      <w:rPr>
        <w:rFonts w:ascii="Courier New" w:hAnsi="Courier New" w:cs="Courier New" w:hint="default"/>
      </w:rPr>
    </w:lvl>
    <w:lvl w:ilvl="2" w:tplc="080A001B" w:tentative="1">
      <w:start w:val="1"/>
      <w:numFmt w:val="bullet"/>
      <w:lvlText w:val=""/>
      <w:lvlJc w:val="left"/>
      <w:pPr>
        <w:ind w:left="2880" w:hanging="360"/>
      </w:pPr>
      <w:rPr>
        <w:rFonts w:ascii="Wingdings" w:hAnsi="Wingdings" w:hint="default"/>
      </w:rPr>
    </w:lvl>
    <w:lvl w:ilvl="3" w:tplc="080A000F" w:tentative="1">
      <w:start w:val="1"/>
      <w:numFmt w:val="bullet"/>
      <w:lvlText w:val=""/>
      <w:lvlJc w:val="left"/>
      <w:pPr>
        <w:ind w:left="3600" w:hanging="360"/>
      </w:pPr>
      <w:rPr>
        <w:rFonts w:ascii="Symbol" w:hAnsi="Symbol" w:hint="default"/>
      </w:rPr>
    </w:lvl>
    <w:lvl w:ilvl="4" w:tplc="080A0019" w:tentative="1">
      <w:start w:val="1"/>
      <w:numFmt w:val="bullet"/>
      <w:lvlText w:val="o"/>
      <w:lvlJc w:val="left"/>
      <w:pPr>
        <w:ind w:left="4320" w:hanging="360"/>
      </w:pPr>
      <w:rPr>
        <w:rFonts w:ascii="Courier New" w:hAnsi="Courier New" w:cs="Courier New" w:hint="default"/>
      </w:rPr>
    </w:lvl>
    <w:lvl w:ilvl="5" w:tplc="080A001B" w:tentative="1">
      <w:start w:val="1"/>
      <w:numFmt w:val="bullet"/>
      <w:lvlText w:val=""/>
      <w:lvlJc w:val="left"/>
      <w:pPr>
        <w:ind w:left="5040" w:hanging="360"/>
      </w:pPr>
      <w:rPr>
        <w:rFonts w:ascii="Wingdings" w:hAnsi="Wingdings" w:hint="default"/>
      </w:rPr>
    </w:lvl>
    <w:lvl w:ilvl="6" w:tplc="080A000F" w:tentative="1">
      <w:start w:val="1"/>
      <w:numFmt w:val="bullet"/>
      <w:lvlText w:val=""/>
      <w:lvlJc w:val="left"/>
      <w:pPr>
        <w:ind w:left="5760" w:hanging="360"/>
      </w:pPr>
      <w:rPr>
        <w:rFonts w:ascii="Symbol" w:hAnsi="Symbol" w:hint="default"/>
      </w:rPr>
    </w:lvl>
    <w:lvl w:ilvl="7" w:tplc="080A0019" w:tentative="1">
      <w:start w:val="1"/>
      <w:numFmt w:val="bullet"/>
      <w:lvlText w:val="o"/>
      <w:lvlJc w:val="left"/>
      <w:pPr>
        <w:ind w:left="6480" w:hanging="360"/>
      </w:pPr>
      <w:rPr>
        <w:rFonts w:ascii="Courier New" w:hAnsi="Courier New" w:cs="Courier New" w:hint="default"/>
      </w:rPr>
    </w:lvl>
    <w:lvl w:ilvl="8" w:tplc="080A001B" w:tentative="1">
      <w:start w:val="1"/>
      <w:numFmt w:val="bullet"/>
      <w:lvlText w:val=""/>
      <w:lvlJc w:val="left"/>
      <w:pPr>
        <w:ind w:left="7200" w:hanging="360"/>
      </w:pPr>
      <w:rPr>
        <w:rFonts w:ascii="Wingdings" w:hAnsi="Wingdings" w:hint="default"/>
      </w:rPr>
    </w:lvl>
  </w:abstractNum>
  <w:abstractNum w:abstractNumId="110" w15:restartNumberingAfterBreak="0">
    <w:nsid w:val="4C8543F1"/>
    <w:multiLevelType w:val="hybridMultilevel"/>
    <w:tmpl w:val="6E202AF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1" w15:restartNumberingAfterBreak="0">
    <w:nsid w:val="4CB15F87"/>
    <w:multiLevelType w:val="hybridMultilevel"/>
    <w:tmpl w:val="0C789548"/>
    <w:lvl w:ilvl="0" w:tplc="080A0003">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4DC708FA"/>
    <w:multiLevelType w:val="hybridMultilevel"/>
    <w:tmpl w:val="2A5A2B42"/>
    <w:lvl w:ilvl="0" w:tplc="080A0001">
      <w:start w:val="1"/>
      <w:numFmt w:val="decimal"/>
      <w:lvlText w:val="%1."/>
      <w:lvlJc w:val="left"/>
      <w:pPr>
        <w:tabs>
          <w:tab w:val="num" w:pos="720"/>
        </w:tabs>
        <w:ind w:left="720" w:hanging="360"/>
      </w:p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113" w15:restartNumberingAfterBreak="0">
    <w:nsid w:val="4DEF141A"/>
    <w:multiLevelType w:val="hybridMultilevel"/>
    <w:tmpl w:val="E0FA8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E125E11"/>
    <w:multiLevelType w:val="hybridMultilevel"/>
    <w:tmpl w:val="F84286AC"/>
    <w:lvl w:ilvl="0" w:tplc="2DA0DE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DCB21CBA"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4ECA622C"/>
    <w:multiLevelType w:val="hybridMultilevel"/>
    <w:tmpl w:val="2EE21750"/>
    <w:lvl w:ilvl="0" w:tplc="080A0001">
      <w:start w:val="1"/>
      <w:numFmt w:val="decimal"/>
      <w:lvlText w:val="%1)"/>
      <w:lvlJc w:val="left"/>
      <w:pPr>
        <w:ind w:left="720" w:hanging="360"/>
      </w:pPr>
      <w:rPr>
        <w:rFonts w:hint="default"/>
      </w:rPr>
    </w:lvl>
    <w:lvl w:ilvl="1" w:tplc="080A0003">
      <w:start w:val="1"/>
      <w:numFmt w:val="lowerLetter"/>
      <w:lvlText w:val="%2."/>
      <w:lvlJc w:val="left"/>
      <w:pPr>
        <w:ind w:left="1440" w:hanging="360"/>
      </w:pPr>
    </w:lvl>
    <w:lvl w:ilvl="2" w:tplc="080A0005">
      <w:start w:val="2"/>
      <w:numFmt w:val="lowerLetter"/>
      <w:lvlText w:val="%3)"/>
      <w:lvlJc w:val="left"/>
      <w:pPr>
        <w:ind w:left="2340" w:hanging="360"/>
      </w:pPr>
      <w:rPr>
        <w:rFonts w:hint="default"/>
      </w:r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6" w15:restartNumberingAfterBreak="0">
    <w:nsid w:val="4EF12723"/>
    <w:multiLevelType w:val="hybridMultilevel"/>
    <w:tmpl w:val="443E70A8"/>
    <w:lvl w:ilvl="0" w:tplc="080A0001">
      <w:start w:val="1"/>
      <w:numFmt w:val="decimal"/>
      <w:pStyle w:val="Titulo30"/>
      <w:lvlText w:val="5.%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17" w15:restartNumberingAfterBreak="0">
    <w:nsid w:val="4F0656CE"/>
    <w:multiLevelType w:val="hybridMultilevel"/>
    <w:tmpl w:val="BD0AB25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8" w15:restartNumberingAfterBreak="0">
    <w:nsid w:val="4FCE6095"/>
    <w:multiLevelType w:val="hybridMultilevel"/>
    <w:tmpl w:val="10CA6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50690EEE"/>
    <w:multiLevelType w:val="hybridMultilevel"/>
    <w:tmpl w:val="E7FE8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50A3459E"/>
    <w:multiLevelType w:val="hybridMultilevel"/>
    <w:tmpl w:val="B18E3A26"/>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1" w15:restartNumberingAfterBreak="0">
    <w:nsid w:val="510D174B"/>
    <w:multiLevelType w:val="hybridMultilevel"/>
    <w:tmpl w:val="913ADF4C"/>
    <w:lvl w:ilvl="0" w:tplc="3D2AFCE0">
      <w:start w:val="1"/>
      <w:numFmt w:val="decimal"/>
      <w:lvlText w:val="%1)"/>
      <w:lvlJc w:val="left"/>
      <w:pPr>
        <w:ind w:left="720"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2" w15:restartNumberingAfterBreak="0">
    <w:nsid w:val="52BC4A35"/>
    <w:multiLevelType w:val="hybridMultilevel"/>
    <w:tmpl w:val="3D08E6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3" w15:restartNumberingAfterBreak="0">
    <w:nsid w:val="53023AC7"/>
    <w:multiLevelType w:val="hybridMultilevel"/>
    <w:tmpl w:val="7EEE0E9A"/>
    <w:lvl w:ilvl="0" w:tplc="080A0001">
      <w:start w:val="1"/>
      <w:numFmt w:val="decimal"/>
      <w:pStyle w:val="Titulo31"/>
      <w:lvlText w:val="6.%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24" w15:restartNumberingAfterBreak="0">
    <w:nsid w:val="537E4330"/>
    <w:multiLevelType w:val="hybridMultilevel"/>
    <w:tmpl w:val="8A52EA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4103FA3"/>
    <w:multiLevelType w:val="hybridMultilevel"/>
    <w:tmpl w:val="B2B8C278"/>
    <w:lvl w:ilvl="0" w:tplc="080A000D">
      <w:start w:val="1"/>
      <w:numFmt w:val="bullet"/>
      <w:lvlText w:val=""/>
      <w:lvlJc w:val="left"/>
      <w:pPr>
        <w:ind w:left="360" w:hanging="360"/>
      </w:pPr>
      <w:rPr>
        <w:rFonts w:ascii="Wingdings" w:hAnsi="Wingdings"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6" w15:restartNumberingAfterBreak="0">
    <w:nsid w:val="54E64F23"/>
    <w:multiLevelType w:val="hybridMultilevel"/>
    <w:tmpl w:val="78FCFECE"/>
    <w:lvl w:ilvl="0" w:tplc="080A0001">
      <w:start w:val="1"/>
      <w:numFmt w:val="bullet"/>
      <w:lvlText w:val=""/>
      <w:lvlJc w:val="left"/>
      <w:pPr>
        <w:ind w:left="720" w:hanging="360"/>
      </w:pPr>
      <w:rPr>
        <w:rFonts w:ascii="Symbol" w:hAnsi="Symbol"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7" w15:restartNumberingAfterBreak="0">
    <w:nsid w:val="54F75755"/>
    <w:multiLevelType w:val="hybridMultilevel"/>
    <w:tmpl w:val="761684FE"/>
    <w:lvl w:ilvl="0" w:tplc="08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8" w15:restartNumberingAfterBreak="0">
    <w:nsid w:val="55A97474"/>
    <w:multiLevelType w:val="hybridMultilevel"/>
    <w:tmpl w:val="032631E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56275D85"/>
    <w:multiLevelType w:val="hybridMultilevel"/>
    <w:tmpl w:val="38FC9D6A"/>
    <w:lvl w:ilvl="0" w:tplc="080A0001">
      <w:start w:val="1"/>
      <w:numFmt w:val="decimal"/>
      <w:lvlText w:val="%1)"/>
      <w:lvlJc w:val="left"/>
      <w:pPr>
        <w:ind w:left="720" w:hanging="360"/>
      </w:pPr>
      <w:rPr>
        <w:rFonts w:cs="Times New Roman"/>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30" w15:restartNumberingAfterBreak="0">
    <w:nsid w:val="565C5E5B"/>
    <w:multiLevelType w:val="hybridMultilevel"/>
    <w:tmpl w:val="403C895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1" w15:restartNumberingAfterBreak="0">
    <w:nsid w:val="567870C3"/>
    <w:multiLevelType w:val="hybridMultilevel"/>
    <w:tmpl w:val="0FEE7812"/>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570C25EE"/>
    <w:multiLevelType w:val="hybridMultilevel"/>
    <w:tmpl w:val="841EF52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8A15D2B"/>
    <w:multiLevelType w:val="hybridMultilevel"/>
    <w:tmpl w:val="FCD8A4B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4" w15:restartNumberingAfterBreak="0">
    <w:nsid w:val="591963AE"/>
    <w:multiLevelType w:val="hybridMultilevel"/>
    <w:tmpl w:val="237C9184"/>
    <w:lvl w:ilvl="0" w:tplc="080A0001">
      <w:start w:val="1"/>
      <w:numFmt w:val="lowerLetter"/>
      <w:lvlText w:val="%1."/>
      <w:lvlJc w:val="left"/>
      <w:pPr>
        <w:ind w:left="2136" w:hanging="360"/>
      </w:pPr>
    </w:lvl>
    <w:lvl w:ilvl="1" w:tplc="080A0003">
      <w:start w:val="1"/>
      <w:numFmt w:val="lowerLetter"/>
      <w:lvlText w:val="%2."/>
      <w:lvlJc w:val="left"/>
      <w:pPr>
        <w:ind w:left="2856" w:hanging="360"/>
      </w:pPr>
    </w:lvl>
    <w:lvl w:ilvl="2" w:tplc="080A0005">
      <w:start w:val="1"/>
      <w:numFmt w:val="lowerLetter"/>
      <w:lvlText w:val="%3)"/>
      <w:lvlJc w:val="left"/>
      <w:pPr>
        <w:ind w:left="3756" w:hanging="360"/>
      </w:pPr>
      <w:rPr>
        <w:rFonts w:hint="default"/>
      </w:rPr>
    </w:lvl>
    <w:lvl w:ilvl="3" w:tplc="080A0001" w:tentative="1">
      <w:start w:val="1"/>
      <w:numFmt w:val="decimal"/>
      <w:lvlText w:val="%4."/>
      <w:lvlJc w:val="left"/>
      <w:pPr>
        <w:ind w:left="4296" w:hanging="360"/>
      </w:pPr>
    </w:lvl>
    <w:lvl w:ilvl="4" w:tplc="080A0003" w:tentative="1">
      <w:start w:val="1"/>
      <w:numFmt w:val="lowerLetter"/>
      <w:lvlText w:val="%5."/>
      <w:lvlJc w:val="left"/>
      <w:pPr>
        <w:ind w:left="5016" w:hanging="360"/>
      </w:pPr>
    </w:lvl>
    <w:lvl w:ilvl="5" w:tplc="080A0005" w:tentative="1">
      <w:start w:val="1"/>
      <w:numFmt w:val="lowerRoman"/>
      <w:lvlText w:val="%6."/>
      <w:lvlJc w:val="right"/>
      <w:pPr>
        <w:ind w:left="5736" w:hanging="180"/>
      </w:pPr>
    </w:lvl>
    <w:lvl w:ilvl="6" w:tplc="080A0001" w:tentative="1">
      <w:start w:val="1"/>
      <w:numFmt w:val="decimal"/>
      <w:lvlText w:val="%7."/>
      <w:lvlJc w:val="left"/>
      <w:pPr>
        <w:ind w:left="6456" w:hanging="360"/>
      </w:pPr>
    </w:lvl>
    <w:lvl w:ilvl="7" w:tplc="080A0003" w:tentative="1">
      <w:start w:val="1"/>
      <w:numFmt w:val="lowerLetter"/>
      <w:lvlText w:val="%8."/>
      <w:lvlJc w:val="left"/>
      <w:pPr>
        <w:ind w:left="7176" w:hanging="360"/>
      </w:pPr>
    </w:lvl>
    <w:lvl w:ilvl="8" w:tplc="080A0005" w:tentative="1">
      <w:start w:val="1"/>
      <w:numFmt w:val="lowerRoman"/>
      <w:lvlText w:val="%9."/>
      <w:lvlJc w:val="right"/>
      <w:pPr>
        <w:ind w:left="7896" w:hanging="180"/>
      </w:pPr>
    </w:lvl>
  </w:abstractNum>
  <w:abstractNum w:abstractNumId="135" w15:restartNumberingAfterBreak="0">
    <w:nsid w:val="59892E30"/>
    <w:multiLevelType w:val="hybridMultilevel"/>
    <w:tmpl w:val="546C3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A082E4E"/>
    <w:multiLevelType w:val="hybridMultilevel"/>
    <w:tmpl w:val="2774F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5BD71752"/>
    <w:multiLevelType w:val="hybridMultilevel"/>
    <w:tmpl w:val="C1845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5D4B4AD1"/>
    <w:multiLevelType w:val="hybridMultilevel"/>
    <w:tmpl w:val="D7EC2AC6"/>
    <w:lvl w:ilvl="0" w:tplc="080A0019">
      <w:start w:val="1"/>
      <w:numFmt w:val="bullet"/>
      <w:lvlText w:val=""/>
      <w:lvlJc w:val="left"/>
      <w:pPr>
        <w:ind w:left="720" w:hanging="360"/>
      </w:pPr>
      <w:rPr>
        <w:rFonts w:ascii="Symbol" w:hAnsi="Symbol" w:hint="default"/>
      </w:rPr>
    </w:lvl>
    <w:lvl w:ilvl="1" w:tplc="080A001B"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39" w15:restartNumberingAfterBreak="0">
    <w:nsid w:val="5D792E43"/>
    <w:multiLevelType w:val="hybridMultilevel"/>
    <w:tmpl w:val="1D7A1E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604915BB"/>
    <w:multiLevelType w:val="hybridMultilevel"/>
    <w:tmpl w:val="C20273B6"/>
    <w:lvl w:ilvl="0" w:tplc="080A0001">
      <w:start w:val="1"/>
      <w:numFmt w:val="bullet"/>
      <w:lvlText w:val=""/>
      <w:lvlJc w:val="left"/>
      <w:pPr>
        <w:ind w:left="1069" w:hanging="360"/>
      </w:pPr>
      <w:rPr>
        <w:rFonts w:ascii="Symbol" w:hAnsi="Symbol" w:hint="default"/>
      </w:rPr>
    </w:lvl>
    <w:lvl w:ilvl="1" w:tplc="080A0001">
      <w:start w:val="1"/>
      <w:numFmt w:val="bullet"/>
      <w:lvlText w:val=""/>
      <w:lvlJc w:val="left"/>
      <w:pPr>
        <w:ind w:left="1789" w:hanging="360"/>
      </w:pPr>
      <w:rPr>
        <w:rFonts w:ascii="Symbol" w:hAnsi="Symbol"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1" w15:restartNumberingAfterBreak="0">
    <w:nsid w:val="60F44EA2"/>
    <w:multiLevelType w:val="hybridMultilevel"/>
    <w:tmpl w:val="CB18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61793817"/>
    <w:multiLevelType w:val="hybridMultilevel"/>
    <w:tmpl w:val="1E8425A8"/>
    <w:lvl w:ilvl="0" w:tplc="080A0015">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43" w15:restartNumberingAfterBreak="0">
    <w:nsid w:val="61EB3917"/>
    <w:multiLevelType w:val="hybridMultilevel"/>
    <w:tmpl w:val="F96EBC2E"/>
    <w:lvl w:ilvl="0" w:tplc="080A0011">
      <w:start w:val="1"/>
      <w:numFmt w:val="decimal"/>
      <w:lvlText w:val="%1)"/>
      <w:lvlJc w:val="left"/>
      <w:pPr>
        <w:ind w:left="720" w:hanging="360"/>
      </w:pPr>
    </w:lvl>
    <w:lvl w:ilvl="1" w:tplc="E4FC337C">
      <w:start w:val="2"/>
      <w:numFmt w:val="bullet"/>
      <w:lvlText w:val="•"/>
      <w:lvlJc w:val="left"/>
      <w:pPr>
        <w:ind w:left="1770" w:hanging="690"/>
      </w:pPr>
      <w:rPr>
        <w:rFonts w:ascii="ITC Avant Garde" w:eastAsia="Times New Roman" w:hAnsi="ITC Avant Gard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62720B3B"/>
    <w:multiLevelType w:val="hybridMultilevel"/>
    <w:tmpl w:val="2E886D0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5" w15:restartNumberingAfterBreak="0">
    <w:nsid w:val="63B01EAD"/>
    <w:multiLevelType w:val="multilevel"/>
    <w:tmpl w:val="59D255E8"/>
    <w:lvl w:ilvl="0">
      <w:start w:val="1"/>
      <w:numFmt w:val="decimal"/>
      <w:pStyle w:val="1TitPrin"/>
      <w:lvlText w:val="%1."/>
      <w:lvlJc w:val="left"/>
      <w:pPr>
        <w:ind w:left="360" w:hanging="360"/>
      </w:pPr>
      <w:rPr>
        <w:rFonts w:hint="default"/>
      </w:rPr>
    </w:lvl>
    <w:lvl w:ilvl="1">
      <w:start w:val="1"/>
      <w:numFmt w:val="decimal"/>
      <w:isLgl/>
      <w:lvlText w:val="%1.%2"/>
      <w:lvlJc w:val="left"/>
      <w:pPr>
        <w:ind w:left="404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146" w15:restartNumberingAfterBreak="0">
    <w:nsid w:val="642402C1"/>
    <w:multiLevelType w:val="hybridMultilevel"/>
    <w:tmpl w:val="F6409A54"/>
    <w:lvl w:ilvl="0" w:tplc="0C0A0011">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7" w15:restartNumberingAfterBreak="0">
    <w:nsid w:val="64723201"/>
    <w:multiLevelType w:val="hybridMultilevel"/>
    <w:tmpl w:val="F9943336"/>
    <w:lvl w:ilvl="0" w:tplc="BFF0D60A">
      <w:numFmt w:val="bullet"/>
      <w:lvlText w:val="-"/>
      <w:lvlJc w:val="left"/>
      <w:pPr>
        <w:ind w:left="1068" w:hanging="360"/>
      </w:pPr>
      <w:rPr>
        <w:rFonts w:ascii="Comic Sans MS" w:eastAsia="Times New Roman" w:hAnsi="Comic Sans M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8" w15:restartNumberingAfterBreak="0">
    <w:nsid w:val="64E43EA3"/>
    <w:multiLevelType w:val="hybridMultilevel"/>
    <w:tmpl w:val="240E9C5A"/>
    <w:lvl w:ilvl="0" w:tplc="080A0019">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80A001B">
      <w:start w:val="1"/>
      <w:numFmt w:val="bullet"/>
      <w:lvlText w:val=""/>
      <w:lvlJc w:val="left"/>
      <w:pPr>
        <w:tabs>
          <w:tab w:val="num" w:pos="1646"/>
        </w:tabs>
        <w:ind w:left="1646" w:hanging="360"/>
      </w:pPr>
      <w:rPr>
        <w:rFonts w:ascii="Symbol" w:hAnsi="Symbol" w:hint="default"/>
        <w:b/>
        <w:i w:val="0"/>
        <w:sz w:val="20"/>
      </w:rPr>
    </w:lvl>
    <w:lvl w:ilvl="2" w:tplc="080A001B">
      <w:numFmt w:val="bullet"/>
      <w:lvlText w:val="-"/>
      <w:lvlJc w:val="left"/>
      <w:pPr>
        <w:tabs>
          <w:tab w:val="num" w:pos="2891"/>
        </w:tabs>
        <w:ind w:left="2891" w:hanging="705"/>
      </w:pPr>
      <w:rPr>
        <w:rFonts w:ascii="Arial" w:eastAsia="Times New Roman" w:hAnsi="Arial" w:hint="default"/>
      </w:rPr>
    </w:lvl>
    <w:lvl w:ilvl="3" w:tplc="080A000F">
      <w:start w:val="16"/>
      <w:numFmt w:val="upperLetter"/>
      <w:lvlText w:val="%4-"/>
      <w:lvlJc w:val="left"/>
      <w:pPr>
        <w:tabs>
          <w:tab w:val="num" w:pos="3161"/>
        </w:tabs>
        <w:ind w:left="3161" w:hanging="435"/>
      </w:pPr>
      <w:rPr>
        <w:rFonts w:cs="Times New Roman" w:hint="default"/>
        <w:b w:val="0"/>
      </w:rPr>
    </w:lvl>
    <w:lvl w:ilvl="4" w:tplc="080A0019" w:tentative="1">
      <w:start w:val="1"/>
      <w:numFmt w:val="lowerLetter"/>
      <w:lvlText w:val="%5."/>
      <w:lvlJc w:val="left"/>
      <w:pPr>
        <w:tabs>
          <w:tab w:val="num" w:pos="3806"/>
        </w:tabs>
        <w:ind w:left="3806" w:hanging="360"/>
      </w:pPr>
      <w:rPr>
        <w:rFonts w:cs="Times New Roman"/>
      </w:rPr>
    </w:lvl>
    <w:lvl w:ilvl="5" w:tplc="080A001B" w:tentative="1">
      <w:start w:val="1"/>
      <w:numFmt w:val="lowerRoman"/>
      <w:lvlText w:val="%6."/>
      <w:lvlJc w:val="right"/>
      <w:pPr>
        <w:tabs>
          <w:tab w:val="num" w:pos="4526"/>
        </w:tabs>
        <w:ind w:left="4526" w:hanging="180"/>
      </w:pPr>
      <w:rPr>
        <w:rFonts w:cs="Times New Roman"/>
      </w:rPr>
    </w:lvl>
    <w:lvl w:ilvl="6" w:tplc="080A000F" w:tentative="1">
      <w:start w:val="1"/>
      <w:numFmt w:val="decimal"/>
      <w:lvlText w:val="%7."/>
      <w:lvlJc w:val="left"/>
      <w:pPr>
        <w:tabs>
          <w:tab w:val="num" w:pos="5246"/>
        </w:tabs>
        <w:ind w:left="5246" w:hanging="360"/>
      </w:pPr>
      <w:rPr>
        <w:rFonts w:cs="Times New Roman"/>
      </w:rPr>
    </w:lvl>
    <w:lvl w:ilvl="7" w:tplc="080A0019" w:tentative="1">
      <w:start w:val="1"/>
      <w:numFmt w:val="lowerLetter"/>
      <w:lvlText w:val="%8."/>
      <w:lvlJc w:val="left"/>
      <w:pPr>
        <w:tabs>
          <w:tab w:val="num" w:pos="5966"/>
        </w:tabs>
        <w:ind w:left="5966" w:hanging="360"/>
      </w:pPr>
      <w:rPr>
        <w:rFonts w:cs="Times New Roman"/>
      </w:rPr>
    </w:lvl>
    <w:lvl w:ilvl="8" w:tplc="080A001B" w:tentative="1">
      <w:start w:val="1"/>
      <w:numFmt w:val="lowerRoman"/>
      <w:lvlText w:val="%9."/>
      <w:lvlJc w:val="right"/>
      <w:pPr>
        <w:tabs>
          <w:tab w:val="num" w:pos="6686"/>
        </w:tabs>
        <w:ind w:left="6686" w:hanging="180"/>
      </w:pPr>
      <w:rPr>
        <w:rFonts w:cs="Times New Roman"/>
      </w:rPr>
    </w:lvl>
  </w:abstractNum>
  <w:abstractNum w:abstractNumId="149" w15:restartNumberingAfterBreak="0">
    <w:nsid w:val="66910E11"/>
    <w:multiLevelType w:val="hybridMultilevel"/>
    <w:tmpl w:val="9DCE68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66FE6B1B"/>
    <w:multiLevelType w:val="hybridMultilevel"/>
    <w:tmpl w:val="71A418B6"/>
    <w:lvl w:ilvl="0" w:tplc="080A0001">
      <w:start w:val="1"/>
      <w:numFmt w:val="decimal"/>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51" w15:restartNumberingAfterBreak="0">
    <w:nsid w:val="670E5CBF"/>
    <w:multiLevelType w:val="hybridMultilevel"/>
    <w:tmpl w:val="A15A6E4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2" w15:restartNumberingAfterBreak="0">
    <w:nsid w:val="671565A5"/>
    <w:multiLevelType w:val="hybridMultilevel"/>
    <w:tmpl w:val="6C9657A0"/>
    <w:lvl w:ilvl="0" w:tplc="1820CFB0">
      <w:start w:val="2"/>
      <w:numFmt w:val="bullet"/>
      <w:lvlText w:val="-"/>
      <w:lvlJc w:val="left"/>
      <w:pPr>
        <w:ind w:left="1429" w:hanging="360"/>
      </w:pPr>
      <w:rPr>
        <w:rFonts w:ascii="ITC Avant Garde" w:eastAsia="Calibri" w:hAnsi="ITC Avant Garde"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3" w15:restartNumberingAfterBreak="0">
    <w:nsid w:val="67FC05C2"/>
    <w:multiLevelType w:val="hybridMultilevel"/>
    <w:tmpl w:val="30FCA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681528D3"/>
    <w:multiLevelType w:val="hybridMultilevel"/>
    <w:tmpl w:val="C2F6D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Wingdings" w:hAnsi="Wingdings" w:hint="default"/>
        <w:color w:val="800000"/>
        <w:sz w:val="16"/>
      </w:rPr>
    </w:lvl>
  </w:abstractNum>
  <w:abstractNum w:abstractNumId="156" w15:restartNumberingAfterBreak="0">
    <w:nsid w:val="693A277B"/>
    <w:multiLevelType w:val="hybridMultilevel"/>
    <w:tmpl w:val="C25A72CC"/>
    <w:lvl w:ilvl="0" w:tplc="4AE0FD4E">
      <w:start w:val="1"/>
      <w:numFmt w:val="bullet"/>
      <w:lvlText w:val="o"/>
      <w:lvlJc w:val="left"/>
      <w:pPr>
        <w:ind w:left="1440" w:hanging="360"/>
      </w:pPr>
      <w:rPr>
        <w:rFonts w:ascii="Courier New" w:hAnsi="Courier New" w:cs="Courier New" w:hint="default"/>
      </w:rPr>
    </w:lvl>
    <w:lvl w:ilvl="1" w:tplc="66B83922" w:tentative="1">
      <w:start w:val="1"/>
      <w:numFmt w:val="bullet"/>
      <w:lvlText w:val="o"/>
      <w:lvlJc w:val="left"/>
      <w:pPr>
        <w:ind w:left="2160" w:hanging="360"/>
      </w:pPr>
      <w:rPr>
        <w:rFonts w:ascii="Courier New" w:hAnsi="Courier New" w:cs="Courier New" w:hint="default"/>
      </w:rPr>
    </w:lvl>
    <w:lvl w:ilvl="2" w:tplc="452611E8" w:tentative="1">
      <w:start w:val="1"/>
      <w:numFmt w:val="bullet"/>
      <w:lvlText w:val=""/>
      <w:lvlJc w:val="left"/>
      <w:pPr>
        <w:ind w:left="2880" w:hanging="360"/>
      </w:pPr>
      <w:rPr>
        <w:rFonts w:ascii="Wingdings" w:hAnsi="Wingdings" w:hint="default"/>
      </w:rPr>
    </w:lvl>
    <w:lvl w:ilvl="3" w:tplc="3CECBB60" w:tentative="1">
      <w:start w:val="1"/>
      <w:numFmt w:val="bullet"/>
      <w:lvlText w:val=""/>
      <w:lvlJc w:val="left"/>
      <w:pPr>
        <w:ind w:left="3600" w:hanging="360"/>
      </w:pPr>
      <w:rPr>
        <w:rFonts w:ascii="Symbol" w:hAnsi="Symbol" w:hint="default"/>
      </w:rPr>
    </w:lvl>
    <w:lvl w:ilvl="4" w:tplc="C9E87D64" w:tentative="1">
      <w:start w:val="1"/>
      <w:numFmt w:val="bullet"/>
      <w:lvlText w:val="o"/>
      <w:lvlJc w:val="left"/>
      <w:pPr>
        <w:ind w:left="4320" w:hanging="360"/>
      </w:pPr>
      <w:rPr>
        <w:rFonts w:ascii="Courier New" w:hAnsi="Courier New" w:cs="Courier New" w:hint="default"/>
      </w:rPr>
    </w:lvl>
    <w:lvl w:ilvl="5" w:tplc="D354E8BE" w:tentative="1">
      <w:start w:val="1"/>
      <w:numFmt w:val="bullet"/>
      <w:lvlText w:val=""/>
      <w:lvlJc w:val="left"/>
      <w:pPr>
        <w:ind w:left="5040" w:hanging="360"/>
      </w:pPr>
      <w:rPr>
        <w:rFonts w:ascii="Wingdings" w:hAnsi="Wingdings" w:hint="default"/>
      </w:rPr>
    </w:lvl>
    <w:lvl w:ilvl="6" w:tplc="858CBE58" w:tentative="1">
      <w:start w:val="1"/>
      <w:numFmt w:val="bullet"/>
      <w:lvlText w:val=""/>
      <w:lvlJc w:val="left"/>
      <w:pPr>
        <w:ind w:left="5760" w:hanging="360"/>
      </w:pPr>
      <w:rPr>
        <w:rFonts w:ascii="Symbol" w:hAnsi="Symbol" w:hint="default"/>
      </w:rPr>
    </w:lvl>
    <w:lvl w:ilvl="7" w:tplc="DE040214" w:tentative="1">
      <w:start w:val="1"/>
      <w:numFmt w:val="bullet"/>
      <w:lvlText w:val="o"/>
      <w:lvlJc w:val="left"/>
      <w:pPr>
        <w:ind w:left="6480" w:hanging="360"/>
      </w:pPr>
      <w:rPr>
        <w:rFonts w:ascii="Courier New" w:hAnsi="Courier New" w:cs="Courier New" w:hint="default"/>
      </w:rPr>
    </w:lvl>
    <w:lvl w:ilvl="8" w:tplc="10BE8972" w:tentative="1">
      <w:start w:val="1"/>
      <w:numFmt w:val="bullet"/>
      <w:lvlText w:val=""/>
      <w:lvlJc w:val="left"/>
      <w:pPr>
        <w:ind w:left="7200" w:hanging="360"/>
      </w:pPr>
      <w:rPr>
        <w:rFonts w:ascii="Wingdings" w:hAnsi="Wingdings" w:hint="default"/>
      </w:rPr>
    </w:lvl>
  </w:abstractNum>
  <w:abstractNum w:abstractNumId="157" w15:restartNumberingAfterBreak="0">
    <w:nsid w:val="6BE87207"/>
    <w:multiLevelType w:val="hybridMultilevel"/>
    <w:tmpl w:val="A20E7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15:restartNumberingAfterBreak="0">
    <w:nsid w:val="6C3B56EC"/>
    <w:multiLevelType w:val="hybridMultilevel"/>
    <w:tmpl w:val="BB92814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9" w15:restartNumberingAfterBreak="0">
    <w:nsid w:val="6D866D5F"/>
    <w:multiLevelType w:val="hybridMultilevel"/>
    <w:tmpl w:val="4F0286C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0" w15:restartNumberingAfterBreak="0">
    <w:nsid w:val="6DA6438C"/>
    <w:multiLevelType w:val="hybridMultilevel"/>
    <w:tmpl w:val="7CD6A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15:restartNumberingAfterBreak="0">
    <w:nsid w:val="708F5AFE"/>
    <w:multiLevelType w:val="hybridMultilevel"/>
    <w:tmpl w:val="08783696"/>
    <w:lvl w:ilvl="0" w:tplc="3876648C">
      <w:start w:val="1"/>
      <w:numFmt w:val="bullet"/>
      <w:lvlText w:val="o"/>
      <w:lvlJc w:val="left"/>
      <w:pPr>
        <w:ind w:left="1440" w:hanging="360"/>
      </w:pPr>
      <w:rPr>
        <w:rFonts w:ascii="Courier New" w:hAnsi="Courier New" w:cs="Courier New" w:hint="default"/>
      </w:rPr>
    </w:lvl>
    <w:lvl w:ilvl="1" w:tplc="DC122232" w:tentative="1">
      <w:start w:val="1"/>
      <w:numFmt w:val="bullet"/>
      <w:lvlText w:val="o"/>
      <w:lvlJc w:val="left"/>
      <w:pPr>
        <w:ind w:left="2160" w:hanging="360"/>
      </w:pPr>
      <w:rPr>
        <w:rFonts w:ascii="Courier New" w:hAnsi="Courier New" w:cs="Courier New" w:hint="default"/>
      </w:rPr>
    </w:lvl>
    <w:lvl w:ilvl="2" w:tplc="52F4E614" w:tentative="1">
      <w:start w:val="1"/>
      <w:numFmt w:val="bullet"/>
      <w:lvlText w:val=""/>
      <w:lvlJc w:val="left"/>
      <w:pPr>
        <w:ind w:left="2880" w:hanging="360"/>
      </w:pPr>
      <w:rPr>
        <w:rFonts w:ascii="Wingdings" w:hAnsi="Wingdings" w:hint="default"/>
      </w:rPr>
    </w:lvl>
    <w:lvl w:ilvl="3" w:tplc="22AC808C" w:tentative="1">
      <w:start w:val="1"/>
      <w:numFmt w:val="bullet"/>
      <w:lvlText w:val=""/>
      <w:lvlJc w:val="left"/>
      <w:pPr>
        <w:ind w:left="3600" w:hanging="360"/>
      </w:pPr>
      <w:rPr>
        <w:rFonts w:ascii="Symbol" w:hAnsi="Symbol" w:hint="default"/>
      </w:rPr>
    </w:lvl>
    <w:lvl w:ilvl="4" w:tplc="24368430" w:tentative="1">
      <w:start w:val="1"/>
      <w:numFmt w:val="bullet"/>
      <w:lvlText w:val="o"/>
      <w:lvlJc w:val="left"/>
      <w:pPr>
        <w:ind w:left="4320" w:hanging="360"/>
      </w:pPr>
      <w:rPr>
        <w:rFonts w:ascii="Courier New" w:hAnsi="Courier New" w:cs="Courier New" w:hint="default"/>
      </w:rPr>
    </w:lvl>
    <w:lvl w:ilvl="5" w:tplc="C186EC48" w:tentative="1">
      <w:start w:val="1"/>
      <w:numFmt w:val="bullet"/>
      <w:lvlText w:val=""/>
      <w:lvlJc w:val="left"/>
      <w:pPr>
        <w:ind w:left="5040" w:hanging="360"/>
      </w:pPr>
      <w:rPr>
        <w:rFonts w:ascii="Wingdings" w:hAnsi="Wingdings" w:hint="default"/>
      </w:rPr>
    </w:lvl>
    <w:lvl w:ilvl="6" w:tplc="3818829C" w:tentative="1">
      <w:start w:val="1"/>
      <w:numFmt w:val="bullet"/>
      <w:lvlText w:val=""/>
      <w:lvlJc w:val="left"/>
      <w:pPr>
        <w:ind w:left="5760" w:hanging="360"/>
      </w:pPr>
      <w:rPr>
        <w:rFonts w:ascii="Symbol" w:hAnsi="Symbol" w:hint="default"/>
      </w:rPr>
    </w:lvl>
    <w:lvl w:ilvl="7" w:tplc="0444133A" w:tentative="1">
      <w:start w:val="1"/>
      <w:numFmt w:val="bullet"/>
      <w:lvlText w:val="o"/>
      <w:lvlJc w:val="left"/>
      <w:pPr>
        <w:ind w:left="6480" w:hanging="360"/>
      </w:pPr>
      <w:rPr>
        <w:rFonts w:ascii="Courier New" w:hAnsi="Courier New" w:cs="Courier New" w:hint="default"/>
      </w:rPr>
    </w:lvl>
    <w:lvl w:ilvl="8" w:tplc="15C8FED6" w:tentative="1">
      <w:start w:val="1"/>
      <w:numFmt w:val="bullet"/>
      <w:lvlText w:val=""/>
      <w:lvlJc w:val="left"/>
      <w:pPr>
        <w:ind w:left="7200" w:hanging="360"/>
      </w:pPr>
      <w:rPr>
        <w:rFonts w:ascii="Wingdings" w:hAnsi="Wingdings" w:hint="default"/>
      </w:rPr>
    </w:lvl>
  </w:abstractNum>
  <w:abstractNum w:abstractNumId="162" w15:restartNumberingAfterBreak="0">
    <w:nsid w:val="70E00015"/>
    <w:multiLevelType w:val="hybridMultilevel"/>
    <w:tmpl w:val="838E73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717600A1"/>
    <w:multiLevelType w:val="hybridMultilevel"/>
    <w:tmpl w:val="031CA604"/>
    <w:lvl w:ilvl="0" w:tplc="080A0001">
      <w:start w:val="1"/>
      <w:numFmt w:val="decimal"/>
      <w:pStyle w:val="Titulo3--"/>
      <w:lvlText w:val="7.%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64" w15:restartNumberingAfterBreak="0">
    <w:nsid w:val="71B56E0B"/>
    <w:multiLevelType w:val="hybridMultilevel"/>
    <w:tmpl w:val="D91C9AA6"/>
    <w:lvl w:ilvl="0" w:tplc="EA8EE024">
      <w:start w:val="1"/>
      <w:numFmt w:val="decimal"/>
      <w:lvlText w:val="%1)"/>
      <w:lvlJc w:val="left"/>
      <w:pPr>
        <w:ind w:left="720" w:hanging="360"/>
      </w:pPr>
      <w:rPr>
        <w:rFonts w:hint="default"/>
      </w:rPr>
    </w:lvl>
    <w:lvl w:ilvl="1" w:tplc="EA4C0350">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65" w15:restartNumberingAfterBreak="0">
    <w:nsid w:val="71C84DA2"/>
    <w:multiLevelType w:val="hybridMultilevel"/>
    <w:tmpl w:val="1576C6D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6" w15:restartNumberingAfterBreak="0">
    <w:nsid w:val="71CC7744"/>
    <w:multiLevelType w:val="hybridMultilevel"/>
    <w:tmpl w:val="5936FC1E"/>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7" w15:restartNumberingAfterBreak="0">
    <w:nsid w:val="72416B96"/>
    <w:multiLevelType w:val="hybridMultilevel"/>
    <w:tmpl w:val="422275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2627B3B"/>
    <w:multiLevelType w:val="hybridMultilevel"/>
    <w:tmpl w:val="D95E7D08"/>
    <w:lvl w:ilvl="0" w:tplc="940E4A7E">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69" w15:restartNumberingAfterBreak="0">
    <w:nsid w:val="746C21E1"/>
    <w:multiLevelType w:val="hybridMultilevel"/>
    <w:tmpl w:val="B62A1502"/>
    <w:lvl w:ilvl="0" w:tplc="080A0001">
      <w:start w:val="1"/>
      <w:numFmt w:val="lowerLetter"/>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70" w15:restartNumberingAfterBreak="0">
    <w:nsid w:val="758C3A75"/>
    <w:multiLevelType w:val="hybridMultilevel"/>
    <w:tmpl w:val="C2388EE4"/>
    <w:lvl w:ilvl="0" w:tplc="080A000D">
      <w:start w:val="1"/>
      <w:numFmt w:val="bullet"/>
      <w:lvlText w:val=""/>
      <w:lvlJc w:val="left"/>
      <w:pPr>
        <w:ind w:left="394" w:hanging="360"/>
      </w:pPr>
      <w:rPr>
        <w:rFonts w:ascii="Wingdings" w:hAnsi="Wingdings"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71" w15:restartNumberingAfterBreak="0">
    <w:nsid w:val="75934A75"/>
    <w:multiLevelType w:val="hybridMultilevel"/>
    <w:tmpl w:val="4460743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2" w15:restartNumberingAfterBreak="0">
    <w:nsid w:val="76DD3B50"/>
    <w:multiLevelType w:val="multilevel"/>
    <w:tmpl w:val="B9BE2D34"/>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pStyle w:val="SUBSUBCAP"/>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3" w15:restartNumberingAfterBreak="0">
    <w:nsid w:val="76F0333F"/>
    <w:multiLevelType w:val="hybridMultilevel"/>
    <w:tmpl w:val="F97CAC2E"/>
    <w:lvl w:ilvl="0" w:tplc="3230A2F6">
      <w:numFmt w:val="bullet"/>
      <w:lvlText w:val="•"/>
      <w:lvlJc w:val="left"/>
      <w:pPr>
        <w:ind w:left="1065" w:hanging="705"/>
      </w:pPr>
      <w:rPr>
        <w:rFonts w:ascii="ITC Avant Garde" w:eastAsia="Times New Roman" w:hAnsi="ITC Avant Garde" w:cs="Times New Roman" w:hint="default"/>
      </w:rPr>
    </w:lvl>
    <w:lvl w:ilvl="1" w:tplc="2A405B5C" w:tentative="1">
      <w:start w:val="1"/>
      <w:numFmt w:val="bullet"/>
      <w:lvlText w:val="o"/>
      <w:lvlJc w:val="left"/>
      <w:pPr>
        <w:ind w:left="1440" w:hanging="360"/>
      </w:pPr>
      <w:rPr>
        <w:rFonts w:ascii="Courier New" w:hAnsi="Courier New" w:cs="Courier New" w:hint="default"/>
      </w:rPr>
    </w:lvl>
    <w:lvl w:ilvl="2" w:tplc="5DE0E656" w:tentative="1">
      <w:start w:val="1"/>
      <w:numFmt w:val="bullet"/>
      <w:lvlText w:val=""/>
      <w:lvlJc w:val="left"/>
      <w:pPr>
        <w:ind w:left="2160" w:hanging="360"/>
      </w:pPr>
      <w:rPr>
        <w:rFonts w:ascii="Wingdings" w:hAnsi="Wingdings" w:hint="default"/>
      </w:rPr>
    </w:lvl>
    <w:lvl w:ilvl="3" w:tplc="36F2606C" w:tentative="1">
      <w:start w:val="1"/>
      <w:numFmt w:val="bullet"/>
      <w:lvlText w:val=""/>
      <w:lvlJc w:val="left"/>
      <w:pPr>
        <w:ind w:left="2880" w:hanging="360"/>
      </w:pPr>
      <w:rPr>
        <w:rFonts w:ascii="Symbol" w:hAnsi="Symbol" w:hint="default"/>
      </w:rPr>
    </w:lvl>
    <w:lvl w:ilvl="4" w:tplc="AC10538C" w:tentative="1">
      <w:start w:val="1"/>
      <w:numFmt w:val="bullet"/>
      <w:lvlText w:val="o"/>
      <w:lvlJc w:val="left"/>
      <w:pPr>
        <w:ind w:left="3600" w:hanging="360"/>
      </w:pPr>
      <w:rPr>
        <w:rFonts w:ascii="Courier New" w:hAnsi="Courier New" w:cs="Courier New" w:hint="default"/>
      </w:rPr>
    </w:lvl>
    <w:lvl w:ilvl="5" w:tplc="941804F6" w:tentative="1">
      <w:start w:val="1"/>
      <w:numFmt w:val="bullet"/>
      <w:lvlText w:val=""/>
      <w:lvlJc w:val="left"/>
      <w:pPr>
        <w:ind w:left="4320" w:hanging="360"/>
      </w:pPr>
      <w:rPr>
        <w:rFonts w:ascii="Wingdings" w:hAnsi="Wingdings" w:hint="default"/>
      </w:rPr>
    </w:lvl>
    <w:lvl w:ilvl="6" w:tplc="A8C662A0" w:tentative="1">
      <w:start w:val="1"/>
      <w:numFmt w:val="bullet"/>
      <w:lvlText w:val=""/>
      <w:lvlJc w:val="left"/>
      <w:pPr>
        <w:ind w:left="5040" w:hanging="360"/>
      </w:pPr>
      <w:rPr>
        <w:rFonts w:ascii="Symbol" w:hAnsi="Symbol" w:hint="default"/>
      </w:rPr>
    </w:lvl>
    <w:lvl w:ilvl="7" w:tplc="1F26574C" w:tentative="1">
      <w:start w:val="1"/>
      <w:numFmt w:val="bullet"/>
      <w:lvlText w:val="o"/>
      <w:lvlJc w:val="left"/>
      <w:pPr>
        <w:ind w:left="5760" w:hanging="360"/>
      </w:pPr>
      <w:rPr>
        <w:rFonts w:ascii="Courier New" w:hAnsi="Courier New" w:cs="Courier New" w:hint="default"/>
      </w:rPr>
    </w:lvl>
    <w:lvl w:ilvl="8" w:tplc="5E88F290" w:tentative="1">
      <w:start w:val="1"/>
      <w:numFmt w:val="bullet"/>
      <w:lvlText w:val=""/>
      <w:lvlJc w:val="left"/>
      <w:pPr>
        <w:ind w:left="6480" w:hanging="360"/>
      </w:pPr>
      <w:rPr>
        <w:rFonts w:ascii="Wingdings" w:hAnsi="Wingdings" w:hint="default"/>
      </w:rPr>
    </w:lvl>
  </w:abstractNum>
  <w:abstractNum w:abstractNumId="174" w15:restartNumberingAfterBreak="0">
    <w:nsid w:val="77925EBB"/>
    <w:multiLevelType w:val="hybridMultilevel"/>
    <w:tmpl w:val="96C6B18C"/>
    <w:lvl w:ilvl="0" w:tplc="2D7EAC6A">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080A0003">
      <w:start w:val="1"/>
      <w:numFmt w:val="decimal"/>
      <w:lvlText w:val="%2)"/>
      <w:lvlJc w:val="left"/>
      <w:pPr>
        <w:tabs>
          <w:tab w:val="num" w:pos="1440"/>
        </w:tabs>
        <w:ind w:left="1440" w:hanging="360"/>
      </w:pPr>
      <w:rPr>
        <w:rFonts w:cs="Times New Roman" w:hint="default"/>
      </w:rPr>
    </w:lvl>
    <w:lvl w:ilvl="2" w:tplc="080A0005">
      <w:start w:val="1"/>
      <w:numFmt w:val="lowerLetter"/>
      <w:lvlText w:val="%3)"/>
      <w:lvlJc w:val="left"/>
      <w:pPr>
        <w:tabs>
          <w:tab w:val="num" w:pos="2340"/>
        </w:tabs>
        <w:ind w:left="2340" w:hanging="360"/>
      </w:pPr>
      <w:rPr>
        <w:rFonts w:cs="Times New Roman" w:hint="default"/>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75" w15:restartNumberingAfterBreak="0">
    <w:nsid w:val="78BE6631"/>
    <w:multiLevelType w:val="hybridMultilevel"/>
    <w:tmpl w:val="D91C9AA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59BE3012"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79E21D65"/>
    <w:multiLevelType w:val="hybridMultilevel"/>
    <w:tmpl w:val="AE94F47C"/>
    <w:lvl w:ilvl="0" w:tplc="080A0017">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77" w15:restartNumberingAfterBreak="0">
    <w:nsid w:val="7ABE2649"/>
    <w:multiLevelType w:val="hybridMultilevel"/>
    <w:tmpl w:val="E70E9CB4"/>
    <w:lvl w:ilvl="0" w:tplc="080A0003">
      <w:start w:val="1"/>
      <w:numFmt w:val="bullet"/>
      <w:lvlText w:val="o"/>
      <w:lvlJc w:val="left"/>
      <w:pPr>
        <w:ind w:left="1776" w:hanging="360"/>
      </w:pPr>
      <w:rPr>
        <w:rFonts w:ascii="Courier New" w:hAnsi="Courier New" w:cs="Courier New"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78" w15:restartNumberingAfterBreak="0">
    <w:nsid w:val="7B5D78C0"/>
    <w:multiLevelType w:val="hybridMultilevel"/>
    <w:tmpl w:val="689A7D1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9" w15:restartNumberingAfterBreak="0">
    <w:nsid w:val="7C272B89"/>
    <w:multiLevelType w:val="hybridMultilevel"/>
    <w:tmpl w:val="A24EFA7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0" w15:restartNumberingAfterBreak="0">
    <w:nsid w:val="7C7D228E"/>
    <w:multiLevelType w:val="hybridMultilevel"/>
    <w:tmpl w:val="D9508A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15:restartNumberingAfterBreak="0">
    <w:nsid w:val="7C8E3691"/>
    <w:multiLevelType w:val="hybridMultilevel"/>
    <w:tmpl w:val="0AE2E356"/>
    <w:lvl w:ilvl="0" w:tplc="080A0011">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82" w15:restartNumberingAfterBreak="0">
    <w:nsid w:val="7E8B7576"/>
    <w:multiLevelType w:val="hybridMultilevel"/>
    <w:tmpl w:val="C6648CB4"/>
    <w:lvl w:ilvl="0" w:tplc="5E9E6B50">
      <w:start w:val="1"/>
      <w:numFmt w:val="bullet"/>
      <w:lvlText w:val=""/>
      <w:lvlJc w:val="left"/>
      <w:pPr>
        <w:tabs>
          <w:tab w:val="num" w:pos="1068"/>
        </w:tabs>
        <w:ind w:left="1068" w:hanging="360"/>
      </w:pPr>
      <w:rPr>
        <w:rFonts w:ascii="Symbol" w:hAnsi="Symbol" w:hint="default"/>
      </w:rPr>
    </w:lvl>
    <w:lvl w:ilvl="1" w:tplc="515CA7F4" w:tentative="1">
      <w:start w:val="1"/>
      <w:numFmt w:val="bullet"/>
      <w:lvlText w:val="o"/>
      <w:lvlJc w:val="left"/>
      <w:pPr>
        <w:tabs>
          <w:tab w:val="num" w:pos="1788"/>
        </w:tabs>
        <w:ind w:left="1788" w:hanging="360"/>
      </w:pPr>
      <w:rPr>
        <w:rFonts w:ascii="Courier New" w:hAnsi="Courier New" w:cs="Courier New" w:hint="default"/>
      </w:rPr>
    </w:lvl>
    <w:lvl w:ilvl="2" w:tplc="EF5413F2" w:tentative="1">
      <w:start w:val="1"/>
      <w:numFmt w:val="bullet"/>
      <w:lvlText w:val=""/>
      <w:lvlJc w:val="left"/>
      <w:pPr>
        <w:tabs>
          <w:tab w:val="num" w:pos="2508"/>
        </w:tabs>
        <w:ind w:left="2508" w:hanging="360"/>
      </w:pPr>
      <w:rPr>
        <w:rFonts w:ascii="Wingdings" w:hAnsi="Wingdings" w:hint="default"/>
      </w:rPr>
    </w:lvl>
    <w:lvl w:ilvl="3" w:tplc="6A522518" w:tentative="1">
      <w:start w:val="1"/>
      <w:numFmt w:val="bullet"/>
      <w:lvlText w:val=""/>
      <w:lvlJc w:val="left"/>
      <w:pPr>
        <w:tabs>
          <w:tab w:val="num" w:pos="3228"/>
        </w:tabs>
        <w:ind w:left="3228" w:hanging="360"/>
      </w:pPr>
      <w:rPr>
        <w:rFonts w:ascii="Symbol" w:hAnsi="Symbol" w:hint="default"/>
      </w:rPr>
    </w:lvl>
    <w:lvl w:ilvl="4" w:tplc="4C221A7A" w:tentative="1">
      <w:start w:val="1"/>
      <w:numFmt w:val="bullet"/>
      <w:lvlText w:val="o"/>
      <w:lvlJc w:val="left"/>
      <w:pPr>
        <w:tabs>
          <w:tab w:val="num" w:pos="3948"/>
        </w:tabs>
        <w:ind w:left="3948" w:hanging="360"/>
      </w:pPr>
      <w:rPr>
        <w:rFonts w:ascii="Courier New" w:hAnsi="Courier New" w:cs="Courier New" w:hint="default"/>
      </w:rPr>
    </w:lvl>
    <w:lvl w:ilvl="5" w:tplc="F928FDDE" w:tentative="1">
      <w:start w:val="1"/>
      <w:numFmt w:val="bullet"/>
      <w:lvlText w:val=""/>
      <w:lvlJc w:val="left"/>
      <w:pPr>
        <w:tabs>
          <w:tab w:val="num" w:pos="4668"/>
        </w:tabs>
        <w:ind w:left="4668" w:hanging="360"/>
      </w:pPr>
      <w:rPr>
        <w:rFonts w:ascii="Wingdings" w:hAnsi="Wingdings" w:hint="default"/>
      </w:rPr>
    </w:lvl>
    <w:lvl w:ilvl="6" w:tplc="DB0CFACE" w:tentative="1">
      <w:start w:val="1"/>
      <w:numFmt w:val="bullet"/>
      <w:lvlText w:val=""/>
      <w:lvlJc w:val="left"/>
      <w:pPr>
        <w:tabs>
          <w:tab w:val="num" w:pos="5388"/>
        </w:tabs>
        <w:ind w:left="5388" w:hanging="360"/>
      </w:pPr>
      <w:rPr>
        <w:rFonts w:ascii="Symbol" w:hAnsi="Symbol" w:hint="default"/>
      </w:rPr>
    </w:lvl>
    <w:lvl w:ilvl="7" w:tplc="4A46C04E" w:tentative="1">
      <w:start w:val="1"/>
      <w:numFmt w:val="bullet"/>
      <w:lvlText w:val="o"/>
      <w:lvlJc w:val="left"/>
      <w:pPr>
        <w:tabs>
          <w:tab w:val="num" w:pos="6108"/>
        </w:tabs>
        <w:ind w:left="6108" w:hanging="360"/>
      </w:pPr>
      <w:rPr>
        <w:rFonts w:ascii="Courier New" w:hAnsi="Courier New" w:cs="Courier New" w:hint="default"/>
      </w:rPr>
    </w:lvl>
    <w:lvl w:ilvl="8" w:tplc="22C07B98" w:tentative="1">
      <w:start w:val="1"/>
      <w:numFmt w:val="bullet"/>
      <w:lvlText w:val=""/>
      <w:lvlJc w:val="left"/>
      <w:pPr>
        <w:tabs>
          <w:tab w:val="num" w:pos="6828"/>
        </w:tabs>
        <w:ind w:left="6828" w:hanging="360"/>
      </w:pPr>
      <w:rPr>
        <w:rFonts w:ascii="Wingdings" w:hAnsi="Wingdings" w:hint="default"/>
      </w:rPr>
    </w:lvl>
  </w:abstractNum>
  <w:abstractNum w:abstractNumId="183" w15:restartNumberingAfterBreak="0">
    <w:nsid w:val="7ED92387"/>
    <w:multiLevelType w:val="multilevel"/>
    <w:tmpl w:val="E4148DBE"/>
    <w:lvl w:ilvl="0">
      <w:start w:val="1"/>
      <w:numFmt w:val="decimal"/>
      <w:lvlText w:val="%1."/>
      <w:lvlJc w:val="left"/>
      <w:pPr>
        <w:ind w:left="720" w:hanging="360"/>
      </w:pPr>
      <w:rPr>
        <w:rFonts w:hint="default"/>
      </w:rPr>
    </w:lvl>
    <w:lvl w:ilvl="1">
      <w:start w:val="2"/>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4" w15:restartNumberingAfterBreak="0">
    <w:nsid w:val="7EE1554A"/>
    <w:multiLevelType w:val="hybridMultilevel"/>
    <w:tmpl w:val="8470377E"/>
    <w:lvl w:ilvl="0" w:tplc="1DF0D18C">
      <w:start w:val="1"/>
      <w:numFmt w:val="decimal"/>
      <w:lvlText w:val="%1."/>
      <w:lvlJc w:val="left"/>
      <w:pPr>
        <w:ind w:left="720" w:hanging="360"/>
      </w:pPr>
      <w:rPr>
        <w:rFonts w:hint="default"/>
      </w:rPr>
    </w:lvl>
    <w:lvl w:ilvl="1" w:tplc="88BC3110">
      <w:start w:val="1"/>
      <w:numFmt w:val="decimal"/>
      <w:lvlText w:val="%2."/>
      <w:lvlJc w:val="left"/>
      <w:pPr>
        <w:tabs>
          <w:tab w:val="num" w:pos="1440"/>
        </w:tabs>
        <w:ind w:left="1440" w:hanging="360"/>
      </w:pPr>
    </w:lvl>
    <w:lvl w:ilvl="2" w:tplc="85B6F64C">
      <w:start w:val="1"/>
      <w:numFmt w:val="decimal"/>
      <w:lvlText w:val="%3."/>
      <w:lvlJc w:val="left"/>
      <w:pPr>
        <w:tabs>
          <w:tab w:val="num" w:pos="2160"/>
        </w:tabs>
        <w:ind w:left="2160" w:hanging="360"/>
      </w:pPr>
    </w:lvl>
    <w:lvl w:ilvl="3" w:tplc="77D23BAC">
      <w:start w:val="1"/>
      <w:numFmt w:val="decimal"/>
      <w:lvlText w:val="%4."/>
      <w:lvlJc w:val="left"/>
      <w:pPr>
        <w:tabs>
          <w:tab w:val="num" w:pos="2880"/>
        </w:tabs>
        <w:ind w:left="2880" w:hanging="360"/>
      </w:pPr>
    </w:lvl>
    <w:lvl w:ilvl="4" w:tplc="9CC0209C">
      <w:start w:val="1"/>
      <w:numFmt w:val="decimal"/>
      <w:lvlText w:val="%5."/>
      <w:lvlJc w:val="left"/>
      <w:pPr>
        <w:tabs>
          <w:tab w:val="num" w:pos="3600"/>
        </w:tabs>
        <w:ind w:left="3600" w:hanging="360"/>
      </w:pPr>
    </w:lvl>
    <w:lvl w:ilvl="5" w:tplc="89D65C38">
      <w:start w:val="1"/>
      <w:numFmt w:val="decimal"/>
      <w:lvlText w:val="%6."/>
      <w:lvlJc w:val="left"/>
      <w:pPr>
        <w:tabs>
          <w:tab w:val="num" w:pos="4320"/>
        </w:tabs>
        <w:ind w:left="4320" w:hanging="360"/>
      </w:pPr>
    </w:lvl>
    <w:lvl w:ilvl="6" w:tplc="39D89D82">
      <w:start w:val="1"/>
      <w:numFmt w:val="decimal"/>
      <w:lvlText w:val="%7."/>
      <w:lvlJc w:val="left"/>
      <w:pPr>
        <w:tabs>
          <w:tab w:val="num" w:pos="5040"/>
        </w:tabs>
        <w:ind w:left="5040" w:hanging="360"/>
      </w:pPr>
    </w:lvl>
    <w:lvl w:ilvl="7" w:tplc="F5E29608">
      <w:start w:val="1"/>
      <w:numFmt w:val="decimal"/>
      <w:lvlText w:val="%8."/>
      <w:lvlJc w:val="left"/>
      <w:pPr>
        <w:tabs>
          <w:tab w:val="num" w:pos="5760"/>
        </w:tabs>
        <w:ind w:left="5760" w:hanging="360"/>
      </w:pPr>
    </w:lvl>
    <w:lvl w:ilvl="8" w:tplc="600620F4">
      <w:start w:val="1"/>
      <w:numFmt w:val="decimal"/>
      <w:lvlText w:val="%9."/>
      <w:lvlJc w:val="left"/>
      <w:pPr>
        <w:tabs>
          <w:tab w:val="num" w:pos="6480"/>
        </w:tabs>
        <w:ind w:left="6480" w:hanging="360"/>
      </w:pPr>
    </w:lvl>
  </w:abstractNum>
  <w:abstractNum w:abstractNumId="185" w15:restartNumberingAfterBreak="0">
    <w:nsid w:val="7F275919"/>
    <w:multiLevelType w:val="hybridMultilevel"/>
    <w:tmpl w:val="C4E8AE00"/>
    <w:lvl w:ilvl="0" w:tplc="080A000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8"/>
  </w:num>
  <w:num w:numId="2">
    <w:abstractNumId w:val="93"/>
  </w:num>
  <w:num w:numId="3">
    <w:abstractNumId w:val="148"/>
  </w:num>
  <w:num w:numId="4">
    <w:abstractNumId w:val="10"/>
  </w:num>
  <w:num w:numId="5">
    <w:abstractNumId w:val="174"/>
  </w:num>
  <w:num w:numId="6">
    <w:abstractNumId w:val="71"/>
  </w:num>
  <w:num w:numId="7">
    <w:abstractNumId w:val="163"/>
  </w:num>
  <w:num w:numId="8">
    <w:abstractNumId w:val="116"/>
  </w:num>
  <w:num w:numId="9">
    <w:abstractNumId w:val="123"/>
  </w:num>
  <w:num w:numId="10">
    <w:abstractNumId w:val="102"/>
  </w:num>
  <w:num w:numId="11">
    <w:abstractNumId w:val="105"/>
  </w:num>
  <w:num w:numId="12">
    <w:abstractNumId w:val="12"/>
  </w:num>
  <w:num w:numId="13">
    <w:abstractNumId w:val="81"/>
  </w:num>
  <w:num w:numId="14">
    <w:abstractNumId w:val="11"/>
  </w:num>
  <w:num w:numId="15">
    <w:abstractNumId w:val="107"/>
  </w:num>
  <w:num w:numId="16">
    <w:abstractNumId w:val="21"/>
  </w:num>
  <w:num w:numId="17">
    <w:abstractNumId w:val="155"/>
  </w:num>
  <w:num w:numId="18">
    <w:abstractNumId w:val="99"/>
  </w:num>
  <w:num w:numId="19">
    <w:abstractNumId w:val="41"/>
  </w:num>
  <w:num w:numId="20">
    <w:abstractNumId w:val="172"/>
  </w:num>
  <w:num w:numId="21">
    <w:abstractNumId w:val="17"/>
  </w:num>
  <w:num w:numId="22">
    <w:abstractNumId w:val="53"/>
  </w:num>
  <w:num w:numId="23">
    <w:abstractNumId w:val="69"/>
  </w:num>
  <w:num w:numId="24">
    <w:abstractNumId w:val="97"/>
  </w:num>
  <w:num w:numId="25">
    <w:abstractNumId w:val="37"/>
  </w:num>
  <w:num w:numId="26">
    <w:abstractNumId w:val="42"/>
  </w:num>
  <w:num w:numId="27">
    <w:abstractNumId w:val="63"/>
  </w:num>
  <w:num w:numId="28">
    <w:abstractNumId w:val="139"/>
  </w:num>
  <w:num w:numId="29">
    <w:abstractNumId w:val="182"/>
  </w:num>
  <w:num w:numId="30">
    <w:abstractNumId w:val="19"/>
  </w:num>
  <w:num w:numId="31">
    <w:abstractNumId w:val="164"/>
  </w:num>
  <w:num w:numId="32">
    <w:abstractNumId w:val="175"/>
  </w:num>
  <w:num w:numId="33">
    <w:abstractNumId w:val="112"/>
  </w:num>
  <w:num w:numId="34">
    <w:abstractNumId w:val="64"/>
  </w:num>
  <w:num w:numId="35">
    <w:abstractNumId w:val="169"/>
  </w:num>
  <w:num w:numId="36">
    <w:abstractNumId w:val="38"/>
  </w:num>
  <w:num w:numId="37">
    <w:abstractNumId w:val="131"/>
  </w:num>
  <w:num w:numId="38">
    <w:abstractNumId w:val="60"/>
  </w:num>
  <w:num w:numId="39">
    <w:abstractNumId w:val="95"/>
  </w:num>
  <w:num w:numId="40">
    <w:abstractNumId w:val="183"/>
  </w:num>
  <w:num w:numId="41">
    <w:abstractNumId w:val="51"/>
  </w:num>
  <w:num w:numId="42">
    <w:abstractNumId w:val="58"/>
  </w:num>
  <w:num w:numId="43">
    <w:abstractNumId w:val="121"/>
  </w:num>
  <w:num w:numId="44">
    <w:abstractNumId w:val="129"/>
  </w:num>
  <w:num w:numId="45">
    <w:abstractNumId w:val="40"/>
  </w:num>
  <w:num w:numId="46">
    <w:abstractNumId w:val="18"/>
  </w:num>
  <w:num w:numId="47">
    <w:abstractNumId w:val="142"/>
  </w:num>
  <w:num w:numId="48">
    <w:abstractNumId w:val="138"/>
  </w:num>
  <w:num w:numId="49">
    <w:abstractNumId w:val="39"/>
  </w:num>
  <w:num w:numId="50">
    <w:abstractNumId w:val="176"/>
  </w:num>
  <w:num w:numId="51">
    <w:abstractNumId w:val="87"/>
  </w:num>
  <w:num w:numId="52">
    <w:abstractNumId w:val="36"/>
  </w:num>
  <w:num w:numId="53">
    <w:abstractNumId w:val="67"/>
  </w:num>
  <w:num w:numId="54">
    <w:abstractNumId w:val="74"/>
  </w:num>
  <w:num w:numId="55">
    <w:abstractNumId w:val="168"/>
  </w:num>
  <w:num w:numId="56">
    <w:abstractNumId w:val="43"/>
  </w:num>
  <w:num w:numId="57">
    <w:abstractNumId w:val="92"/>
  </w:num>
  <w:num w:numId="58">
    <w:abstractNumId w:val="126"/>
  </w:num>
  <w:num w:numId="59">
    <w:abstractNumId w:val="26"/>
  </w:num>
  <w:num w:numId="60">
    <w:abstractNumId w:val="103"/>
  </w:num>
  <w:num w:numId="6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9"/>
  </w:num>
  <w:num w:numId="6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2"/>
  </w:num>
  <w:num w:numId="66">
    <w:abstractNumId w:val="91"/>
  </w:num>
  <w:num w:numId="67">
    <w:abstractNumId w:val="33"/>
  </w:num>
  <w:num w:numId="68">
    <w:abstractNumId w:val="134"/>
  </w:num>
  <w:num w:numId="69">
    <w:abstractNumId w:val="114"/>
  </w:num>
  <w:num w:numId="70">
    <w:abstractNumId w:val="150"/>
  </w:num>
  <w:num w:numId="71">
    <w:abstractNumId w:val="181"/>
  </w:num>
  <w:num w:numId="72">
    <w:abstractNumId w:val="185"/>
  </w:num>
  <w:num w:numId="73">
    <w:abstractNumId w:val="111"/>
  </w:num>
  <w:num w:numId="74">
    <w:abstractNumId w:val="59"/>
  </w:num>
  <w:num w:numId="75">
    <w:abstractNumId w:val="13"/>
  </w:num>
  <w:num w:numId="76">
    <w:abstractNumId w:val="29"/>
  </w:num>
  <w:num w:numId="77">
    <w:abstractNumId w:val="173"/>
  </w:num>
  <w:num w:numId="78">
    <w:abstractNumId w:val="23"/>
  </w:num>
  <w:num w:numId="79">
    <w:abstractNumId w:val="6"/>
  </w:num>
  <w:num w:numId="80">
    <w:abstractNumId w:val="8"/>
  </w:num>
  <w:num w:numId="81">
    <w:abstractNumId w:val="156"/>
  </w:num>
  <w:num w:numId="82">
    <w:abstractNumId w:val="104"/>
  </w:num>
  <w:num w:numId="83">
    <w:abstractNumId w:val="80"/>
  </w:num>
  <w:num w:numId="84">
    <w:abstractNumId w:val="161"/>
  </w:num>
  <w:num w:numId="85">
    <w:abstractNumId w:val="65"/>
  </w:num>
  <w:num w:numId="86">
    <w:abstractNumId w:val="109"/>
  </w:num>
  <w:num w:numId="87">
    <w:abstractNumId w:val="2"/>
  </w:num>
  <w:num w:numId="88">
    <w:abstractNumId w:val="154"/>
  </w:num>
  <w:num w:numId="89">
    <w:abstractNumId w:val="133"/>
  </w:num>
  <w:num w:numId="90">
    <w:abstractNumId w:val="73"/>
  </w:num>
  <w:num w:numId="91">
    <w:abstractNumId w:val="113"/>
  </w:num>
  <w:num w:numId="92">
    <w:abstractNumId w:val="54"/>
  </w:num>
  <w:num w:numId="93">
    <w:abstractNumId w:val="52"/>
  </w:num>
  <w:num w:numId="94">
    <w:abstractNumId w:val="100"/>
  </w:num>
  <w:num w:numId="95">
    <w:abstractNumId w:val="88"/>
  </w:num>
  <w:num w:numId="96">
    <w:abstractNumId w:val="89"/>
  </w:num>
  <w:num w:numId="97">
    <w:abstractNumId w:val="20"/>
  </w:num>
  <w:num w:numId="98">
    <w:abstractNumId w:val="79"/>
  </w:num>
  <w:num w:numId="99">
    <w:abstractNumId w:val="62"/>
  </w:num>
  <w:num w:numId="100">
    <w:abstractNumId w:val="15"/>
  </w:num>
  <w:num w:numId="101">
    <w:abstractNumId w:val="84"/>
  </w:num>
  <w:num w:numId="102">
    <w:abstractNumId w:val="128"/>
  </w:num>
  <w:num w:numId="103">
    <w:abstractNumId w:val="83"/>
  </w:num>
  <w:num w:numId="104">
    <w:abstractNumId w:val="3"/>
  </w:num>
  <w:num w:numId="105">
    <w:abstractNumId w:val="149"/>
  </w:num>
  <w:num w:numId="106">
    <w:abstractNumId w:val="101"/>
  </w:num>
  <w:num w:numId="107">
    <w:abstractNumId w:val="151"/>
  </w:num>
  <w:num w:numId="108">
    <w:abstractNumId w:val="108"/>
  </w:num>
  <w:num w:numId="109">
    <w:abstractNumId w:val="48"/>
  </w:num>
  <w:num w:numId="110">
    <w:abstractNumId w:val="28"/>
  </w:num>
  <w:num w:numId="111">
    <w:abstractNumId w:val="132"/>
  </w:num>
  <w:num w:numId="112">
    <w:abstractNumId w:val="14"/>
  </w:num>
  <w:num w:numId="113">
    <w:abstractNumId w:val="34"/>
  </w:num>
  <w:num w:numId="114">
    <w:abstractNumId w:val="125"/>
  </w:num>
  <w:num w:numId="115">
    <w:abstractNumId w:val="165"/>
  </w:num>
  <w:num w:numId="116">
    <w:abstractNumId w:val="86"/>
  </w:num>
  <w:num w:numId="117">
    <w:abstractNumId w:val="56"/>
  </w:num>
  <w:num w:numId="118">
    <w:abstractNumId w:val="180"/>
  </w:num>
  <w:num w:numId="119">
    <w:abstractNumId w:val="178"/>
  </w:num>
  <w:num w:numId="120">
    <w:abstractNumId w:val="119"/>
  </w:num>
  <w:num w:numId="121">
    <w:abstractNumId w:val="57"/>
  </w:num>
  <w:num w:numId="122">
    <w:abstractNumId w:val="170"/>
  </w:num>
  <w:num w:numId="123">
    <w:abstractNumId w:val="110"/>
  </w:num>
  <w:num w:numId="124">
    <w:abstractNumId w:val="31"/>
  </w:num>
  <w:num w:numId="125">
    <w:abstractNumId w:val="160"/>
  </w:num>
  <w:num w:numId="126">
    <w:abstractNumId w:val="171"/>
  </w:num>
  <w:num w:numId="127">
    <w:abstractNumId w:val="147"/>
  </w:num>
  <w:num w:numId="128">
    <w:abstractNumId w:val="46"/>
  </w:num>
  <w:num w:numId="129">
    <w:abstractNumId w:val="166"/>
  </w:num>
  <w:num w:numId="130">
    <w:abstractNumId w:val="32"/>
  </w:num>
  <w:num w:numId="131">
    <w:abstractNumId w:val="117"/>
  </w:num>
  <w:num w:numId="132">
    <w:abstractNumId w:val="4"/>
  </w:num>
  <w:num w:numId="133">
    <w:abstractNumId w:val="159"/>
  </w:num>
  <w:num w:numId="134">
    <w:abstractNumId w:val="47"/>
  </w:num>
  <w:num w:numId="135">
    <w:abstractNumId w:val="70"/>
  </w:num>
  <w:num w:numId="136">
    <w:abstractNumId w:val="45"/>
  </w:num>
  <w:num w:numId="137">
    <w:abstractNumId w:val="157"/>
  </w:num>
  <w:num w:numId="138">
    <w:abstractNumId w:val="24"/>
  </w:num>
  <w:num w:numId="139">
    <w:abstractNumId w:val="27"/>
  </w:num>
  <w:num w:numId="140">
    <w:abstractNumId w:val="68"/>
  </w:num>
  <w:num w:numId="141">
    <w:abstractNumId w:val="25"/>
  </w:num>
  <w:num w:numId="142">
    <w:abstractNumId w:val="85"/>
  </w:num>
  <w:num w:numId="143">
    <w:abstractNumId w:val="145"/>
  </w:num>
  <w:num w:numId="144">
    <w:abstractNumId w:val="76"/>
  </w:num>
  <w:num w:numId="145">
    <w:abstractNumId w:val="122"/>
  </w:num>
  <w:num w:numId="146">
    <w:abstractNumId w:val="22"/>
  </w:num>
  <w:num w:numId="147">
    <w:abstractNumId w:val="167"/>
  </w:num>
  <w:num w:numId="148">
    <w:abstractNumId w:val="143"/>
  </w:num>
  <w:num w:numId="149">
    <w:abstractNumId w:val="7"/>
  </w:num>
  <w:num w:numId="150">
    <w:abstractNumId w:val="144"/>
  </w:num>
  <w:num w:numId="151">
    <w:abstractNumId w:val="118"/>
  </w:num>
  <w:num w:numId="152">
    <w:abstractNumId w:val="153"/>
  </w:num>
  <w:num w:numId="153">
    <w:abstractNumId w:val="61"/>
  </w:num>
  <w:num w:numId="154">
    <w:abstractNumId w:val="177"/>
  </w:num>
  <w:num w:numId="155">
    <w:abstractNumId w:val="49"/>
  </w:num>
  <w:num w:numId="156">
    <w:abstractNumId w:val="162"/>
  </w:num>
  <w:num w:numId="157">
    <w:abstractNumId w:val="179"/>
  </w:num>
  <w:num w:numId="158">
    <w:abstractNumId w:val="184"/>
  </w:num>
  <w:num w:numId="159">
    <w:abstractNumId w:val="146"/>
  </w:num>
  <w:num w:numId="160">
    <w:abstractNumId w:val="66"/>
  </w:num>
  <w:num w:numId="161">
    <w:abstractNumId w:val="16"/>
  </w:num>
  <w:num w:numId="162">
    <w:abstractNumId w:val="145"/>
  </w:num>
  <w:num w:numId="163">
    <w:abstractNumId w:val="55"/>
  </w:num>
  <w:num w:numId="164">
    <w:abstractNumId w:val="94"/>
  </w:num>
  <w:num w:numId="165">
    <w:abstractNumId w:val="5"/>
  </w:num>
  <w:num w:numId="166">
    <w:abstractNumId w:val="77"/>
  </w:num>
  <w:num w:numId="167">
    <w:abstractNumId w:val="135"/>
  </w:num>
  <w:num w:numId="168">
    <w:abstractNumId w:val="137"/>
  </w:num>
  <w:num w:numId="169">
    <w:abstractNumId w:val="72"/>
  </w:num>
  <w:num w:numId="170">
    <w:abstractNumId w:val="158"/>
  </w:num>
  <w:num w:numId="171">
    <w:abstractNumId w:val="120"/>
  </w:num>
  <w:num w:numId="172">
    <w:abstractNumId w:val="127"/>
  </w:num>
  <w:num w:numId="173">
    <w:abstractNumId w:val="98"/>
  </w:num>
  <w:num w:numId="174">
    <w:abstractNumId w:val="44"/>
  </w:num>
  <w:num w:numId="175">
    <w:abstractNumId w:val="50"/>
  </w:num>
  <w:num w:numId="176">
    <w:abstractNumId w:val="35"/>
  </w:num>
  <w:num w:numId="177">
    <w:abstractNumId w:val="30"/>
  </w:num>
  <w:num w:numId="178">
    <w:abstractNumId w:val="140"/>
  </w:num>
  <w:num w:numId="179">
    <w:abstractNumId w:val="75"/>
  </w:num>
  <w:num w:numId="180">
    <w:abstractNumId w:val="106"/>
  </w:num>
  <w:num w:numId="181">
    <w:abstractNumId w:val="141"/>
  </w:num>
  <w:num w:numId="182">
    <w:abstractNumId w:val="136"/>
  </w:num>
  <w:num w:numId="183">
    <w:abstractNumId w:val="96"/>
  </w:num>
  <w:num w:numId="184">
    <w:abstractNumId w:val="152"/>
  </w:num>
  <w:num w:numId="185">
    <w:abstractNumId w:val="90"/>
  </w:num>
  <w:num w:numId="18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4"/>
  </w:num>
  <w:num w:numId="188">
    <w:abstractNumId w:val="130"/>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DFB"/>
    <w:rsid w:val="00000343"/>
    <w:rsid w:val="000003C9"/>
    <w:rsid w:val="000009AA"/>
    <w:rsid w:val="000012E4"/>
    <w:rsid w:val="00001347"/>
    <w:rsid w:val="00001899"/>
    <w:rsid w:val="0000190D"/>
    <w:rsid w:val="00001B5C"/>
    <w:rsid w:val="00001DD3"/>
    <w:rsid w:val="00001E61"/>
    <w:rsid w:val="00002544"/>
    <w:rsid w:val="00002C33"/>
    <w:rsid w:val="00002E3A"/>
    <w:rsid w:val="00002F7F"/>
    <w:rsid w:val="000034CE"/>
    <w:rsid w:val="0000385B"/>
    <w:rsid w:val="000038C6"/>
    <w:rsid w:val="00003A56"/>
    <w:rsid w:val="00003B66"/>
    <w:rsid w:val="00003FD1"/>
    <w:rsid w:val="000044D8"/>
    <w:rsid w:val="0000454C"/>
    <w:rsid w:val="000046B8"/>
    <w:rsid w:val="000047A9"/>
    <w:rsid w:val="00004B87"/>
    <w:rsid w:val="000053A9"/>
    <w:rsid w:val="000054D8"/>
    <w:rsid w:val="000055EE"/>
    <w:rsid w:val="00005745"/>
    <w:rsid w:val="00005AEC"/>
    <w:rsid w:val="00005B00"/>
    <w:rsid w:val="00005DCF"/>
    <w:rsid w:val="00005EBD"/>
    <w:rsid w:val="00005FFF"/>
    <w:rsid w:val="00006066"/>
    <w:rsid w:val="00006209"/>
    <w:rsid w:val="0000630D"/>
    <w:rsid w:val="00006315"/>
    <w:rsid w:val="000065DD"/>
    <w:rsid w:val="000068C4"/>
    <w:rsid w:val="00007288"/>
    <w:rsid w:val="000073C4"/>
    <w:rsid w:val="00007674"/>
    <w:rsid w:val="00007823"/>
    <w:rsid w:val="00007875"/>
    <w:rsid w:val="000078A6"/>
    <w:rsid w:val="000078F7"/>
    <w:rsid w:val="00007A53"/>
    <w:rsid w:val="00007C32"/>
    <w:rsid w:val="00010093"/>
    <w:rsid w:val="0001011D"/>
    <w:rsid w:val="00010211"/>
    <w:rsid w:val="00010505"/>
    <w:rsid w:val="00010556"/>
    <w:rsid w:val="000106B2"/>
    <w:rsid w:val="00010F72"/>
    <w:rsid w:val="00011150"/>
    <w:rsid w:val="0001151F"/>
    <w:rsid w:val="00011627"/>
    <w:rsid w:val="0001163A"/>
    <w:rsid w:val="00011A1B"/>
    <w:rsid w:val="00012655"/>
    <w:rsid w:val="00012B9E"/>
    <w:rsid w:val="00012BCF"/>
    <w:rsid w:val="00012DF0"/>
    <w:rsid w:val="000133C1"/>
    <w:rsid w:val="00013849"/>
    <w:rsid w:val="000142D9"/>
    <w:rsid w:val="00014EB1"/>
    <w:rsid w:val="0001549B"/>
    <w:rsid w:val="00016019"/>
    <w:rsid w:val="000164B1"/>
    <w:rsid w:val="000169CF"/>
    <w:rsid w:val="00016A54"/>
    <w:rsid w:val="00016CEB"/>
    <w:rsid w:val="00016D23"/>
    <w:rsid w:val="00016E51"/>
    <w:rsid w:val="00016F8C"/>
    <w:rsid w:val="0001710A"/>
    <w:rsid w:val="0001712E"/>
    <w:rsid w:val="000173A4"/>
    <w:rsid w:val="00017712"/>
    <w:rsid w:val="000178E6"/>
    <w:rsid w:val="000179C6"/>
    <w:rsid w:val="00020019"/>
    <w:rsid w:val="0002031B"/>
    <w:rsid w:val="000204BA"/>
    <w:rsid w:val="0002058C"/>
    <w:rsid w:val="0002074F"/>
    <w:rsid w:val="00020816"/>
    <w:rsid w:val="00020F08"/>
    <w:rsid w:val="0002121C"/>
    <w:rsid w:val="00021555"/>
    <w:rsid w:val="000215AA"/>
    <w:rsid w:val="000216C1"/>
    <w:rsid w:val="000217FD"/>
    <w:rsid w:val="000220B9"/>
    <w:rsid w:val="000221DF"/>
    <w:rsid w:val="0002238C"/>
    <w:rsid w:val="000227BC"/>
    <w:rsid w:val="00022D43"/>
    <w:rsid w:val="00022DB2"/>
    <w:rsid w:val="00023387"/>
    <w:rsid w:val="000236E3"/>
    <w:rsid w:val="000237A4"/>
    <w:rsid w:val="0002411B"/>
    <w:rsid w:val="00024189"/>
    <w:rsid w:val="0002440C"/>
    <w:rsid w:val="000245FD"/>
    <w:rsid w:val="000248E3"/>
    <w:rsid w:val="00024A96"/>
    <w:rsid w:val="00024B49"/>
    <w:rsid w:val="00024C44"/>
    <w:rsid w:val="00024CD6"/>
    <w:rsid w:val="00024F23"/>
    <w:rsid w:val="00025040"/>
    <w:rsid w:val="0002509A"/>
    <w:rsid w:val="0002524B"/>
    <w:rsid w:val="000252AB"/>
    <w:rsid w:val="000253D3"/>
    <w:rsid w:val="0002541B"/>
    <w:rsid w:val="00025647"/>
    <w:rsid w:val="00025C92"/>
    <w:rsid w:val="00025DB6"/>
    <w:rsid w:val="00025E4E"/>
    <w:rsid w:val="000260E8"/>
    <w:rsid w:val="00026572"/>
    <w:rsid w:val="00026848"/>
    <w:rsid w:val="00026A43"/>
    <w:rsid w:val="00026AC1"/>
    <w:rsid w:val="00026C38"/>
    <w:rsid w:val="00027076"/>
    <w:rsid w:val="00027111"/>
    <w:rsid w:val="0002718B"/>
    <w:rsid w:val="000271CD"/>
    <w:rsid w:val="000271EA"/>
    <w:rsid w:val="000272ED"/>
    <w:rsid w:val="0002741C"/>
    <w:rsid w:val="00027D7C"/>
    <w:rsid w:val="00027F32"/>
    <w:rsid w:val="00030270"/>
    <w:rsid w:val="0003038A"/>
    <w:rsid w:val="000304D0"/>
    <w:rsid w:val="000305D8"/>
    <w:rsid w:val="00030DA4"/>
    <w:rsid w:val="00030EE8"/>
    <w:rsid w:val="0003113B"/>
    <w:rsid w:val="000312C2"/>
    <w:rsid w:val="000312D9"/>
    <w:rsid w:val="000319AB"/>
    <w:rsid w:val="00031A54"/>
    <w:rsid w:val="00031E97"/>
    <w:rsid w:val="00031F98"/>
    <w:rsid w:val="00032267"/>
    <w:rsid w:val="000322EC"/>
    <w:rsid w:val="0003234A"/>
    <w:rsid w:val="00032583"/>
    <w:rsid w:val="000327B1"/>
    <w:rsid w:val="00032A7F"/>
    <w:rsid w:val="00032BCC"/>
    <w:rsid w:val="000330AF"/>
    <w:rsid w:val="00033219"/>
    <w:rsid w:val="0003322B"/>
    <w:rsid w:val="00033AC0"/>
    <w:rsid w:val="000343C0"/>
    <w:rsid w:val="00034753"/>
    <w:rsid w:val="0003475D"/>
    <w:rsid w:val="00034881"/>
    <w:rsid w:val="00034A29"/>
    <w:rsid w:val="0003526E"/>
    <w:rsid w:val="00035449"/>
    <w:rsid w:val="000359AF"/>
    <w:rsid w:val="00035CD0"/>
    <w:rsid w:val="00035DDD"/>
    <w:rsid w:val="00035E50"/>
    <w:rsid w:val="00035EA1"/>
    <w:rsid w:val="00035F4F"/>
    <w:rsid w:val="00036030"/>
    <w:rsid w:val="000360CD"/>
    <w:rsid w:val="00036441"/>
    <w:rsid w:val="00036658"/>
    <w:rsid w:val="000366A2"/>
    <w:rsid w:val="00036B2C"/>
    <w:rsid w:val="00036B4A"/>
    <w:rsid w:val="00036B70"/>
    <w:rsid w:val="00036D59"/>
    <w:rsid w:val="00036DD0"/>
    <w:rsid w:val="00036EC3"/>
    <w:rsid w:val="00036FA4"/>
    <w:rsid w:val="0003730A"/>
    <w:rsid w:val="00037840"/>
    <w:rsid w:val="00037CBE"/>
    <w:rsid w:val="00037D46"/>
    <w:rsid w:val="00037E21"/>
    <w:rsid w:val="00037E42"/>
    <w:rsid w:val="000406D1"/>
    <w:rsid w:val="000406FB"/>
    <w:rsid w:val="00040B8A"/>
    <w:rsid w:val="00040EEC"/>
    <w:rsid w:val="00041117"/>
    <w:rsid w:val="00041198"/>
    <w:rsid w:val="0004137E"/>
    <w:rsid w:val="0004176F"/>
    <w:rsid w:val="000418D8"/>
    <w:rsid w:val="00041B00"/>
    <w:rsid w:val="00041F74"/>
    <w:rsid w:val="00042466"/>
    <w:rsid w:val="000424B8"/>
    <w:rsid w:val="00042665"/>
    <w:rsid w:val="0004290A"/>
    <w:rsid w:val="00042C68"/>
    <w:rsid w:val="00043166"/>
    <w:rsid w:val="000434CE"/>
    <w:rsid w:val="000436C5"/>
    <w:rsid w:val="000436D8"/>
    <w:rsid w:val="0004377A"/>
    <w:rsid w:val="0004398E"/>
    <w:rsid w:val="00043C4C"/>
    <w:rsid w:val="00043E50"/>
    <w:rsid w:val="00043E90"/>
    <w:rsid w:val="00043F5E"/>
    <w:rsid w:val="00044439"/>
    <w:rsid w:val="0004461C"/>
    <w:rsid w:val="0004463E"/>
    <w:rsid w:val="000447C6"/>
    <w:rsid w:val="00044BE0"/>
    <w:rsid w:val="00044D4E"/>
    <w:rsid w:val="00044ED4"/>
    <w:rsid w:val="00045470"/>
    <w:rsid w:val="000457D3"/>
    <w:rsid w:val="000458D8"/>
    <w:rsid w:val="00045EC7"/>
    <w:rsid w:val="00045F0D"/>
    <w:rsid w:val="000464C2"/>
    <w:rsid w:val="0004666C"/>
    <w:rsid w:val="00046B33"/>
    <w:rsid w:val="00046B9D"/>
    <w:rsid w:val="00046C05"/>
    <w:rsid w:val="00046F53"/>
    <w:rsid w:val="0004734F"/>
    <w:rsid w:val="000476C0"/>
    <w:rsid w:val="000476E1"/>
    <w:rsid w:val="000478D2"/>
    <w:rsid w:val="00047927"/>
    <w:rsid w:val="000479E4"/>
    <w:rsid w:val="00047A3D"/>
    <w:rsid w:val="00047D42"/>
    <w:rsid w:val="00047ECE"/>
    <w:rsid w:val="00047FAD"/>
    <w:rsid w:val="000505CC"/>
    <w:rsid w:val="00050763"/>
    <w:rsid w:val="00050795"/>
    <w:rsid w:val="000507B4"/>
    <w:rsid w:val="000509FC"/>
    <w:rsid w:val="00050D0F"/>
    <w:rsid w:val="00050DA5"/>
    <w:rsid w:val="00050E6D"/>
    <w:rsid w:val="0005169F"/>
    <w:rsid w:val="000518C3"/>
    <w:rsid w:val="00051A1A"/>
    <w:rsid w:val="00051AAC"/>
    <w:rsid w:val="00051BDA"/>
    <w:rsid w:val="00051D77"/>
    <w:rsid w:val="00051D82"/>
    <w:rsid w:val="0005200C"/>
    <w:rsid w:val="000520A4"/>
    <w:rsid w:val="000520A8"/>
    <w:rsid w:val="00052527"/>
    <w:rsid w:val="00052C5B"/>
    <w:rsid w:val="00052D68"/>
    <w:rsid w:val="00052DD7"/>
    <w:rsid w:val="00052DF3"/>
    <w:rsid w:val="00053588"/>
    <w:rsid w:val="000535DD"/>
    <w:rsid w:val="00053784"/>
    <w:rsid w:val="000539CF"/>
    <w:rsid w:val="00053B2F"/>
    <w:rsid w:val="000540AE"/>
    <w:rsid w:val="0005418B"/>
    <w:rsid w:val="000541AC"/>
    <w:rsid w:val="00054297"/>
    <w:rsid w:val="0005494B"/>
    <w:rsid w:val="00054DB1"/>
    <w:rsid w:val="00054EA5"/>
    <w:rsid w:val="00054ED0"/>
    <w:rsid w:val="0005502E"/>
    <w:rsid w:val="0005548C"/>
    <w:rsid w:val="000557F5"/>
    <w:rsid w:val="0005586A"/>
    <w:rsid w:val="00055A6C"/>
    <w:rsid w:val="00055DD1"/>
    <w:rsid w:val="00055F11"/>
    <w:rsid w:val="00055F8A"/>
    <w:rsid w:val="00055FB9"/>
    <w:rsid w:val="000561E1"/>
    <w:rsid w:val="000565CA"/>
    <w:rsid w:val="00056621"/>
    <w:rsid w:val="000566D3"/>
    <w:rsid w:val="0005679D"/>
    <w:rsid w:val="00056FED"/>
    <w:rsid w:val="00057032"/>
    <w:rsid w:val="0005711D"/>
    <w:rsid w:val="00057189"/>
    <w:rsid w:val="000572B4"/>
    <w:rsid w:val="0005776E"/>
    <w:rsid w:val="0005786A"/>
    <w:rsid w:val="00057983"/>
    <w:rsid w:val="00057B75"/>
    <w:rsid w:val="00057D73"/>
    <w:rsid w:val="000600ED"/>
    <w:rsid w:val="00060219"/>
    <w:rsid w:val="000606C5"/>
    <w:rsid w:val="0006074E"/>
    <w:rsid w:val="000608AF"/>
    <w:rsid w:val="000609E3"/>
    <w:rsid w:val="00060AE1"/>
    <w:rsid w:val="00060B2E"/>
    <w:rsid w:val="00060BEC"/>
    <w:rsid w:val="00060F27"/>
    <w:rsid w:val="000612EA"/>
    <w:rsid w:val="00061304"/>
    <w:rsid w:val="0006133C"/>
    <w:rsid w:val="000618F6"/>
    <w:rsid w:val="00061BA3"/>
    <w:rsid w:val="00061CFA"/>
    <w:rsid w:val="0006208B"/>
    <w:rsid w:val="0006214C"/>
    <w:rsid w:val="000626B4"/>
    <w:rsid w:val="00062B21"/>
    <w:rsid w:val="00062BBE"/>
    <w:rsid w:val="00063163"/>
    <w:rsid w:val="00063237"/>
    <w:rsid w:val="000635EB"/>
    <w:rsid w:val="00063791"/>
    <w:rsid w:val="0006379B"/>
    <w:rsid w:val="0006384B"/>
    <w:rsid w:val="00063CA6"/>
    <w:rsid w:val="000640D0"/>
    <w:rsid w:val="000643D1"/>
    <w:rsid w:val="00064458"/>
    <w:rsid w:val="0006495F"/>
    <w:rsid w:val="000649F7"/>
    <w:rsid w:val="00064BA1"/>
    <w:rsid w:val="000651DB"/>
    <w:rsid w:val="00065295"/>
    <w:rsid w:val="000652C6"/>
    <w:rsid w:val="000652EF"/>
    <w:rsid w:val="00065762"/>
    <w:rsid w:val="000657B0"/>
    <w:rsid w:val="0006580F"/>
    <w:rsid w:val="000658E1"/>
    <w:rsid w:val="00065A98"/>
    <w:rsid w:val="00065CD6"/>
    <w:rsid w:val="000661F6"/>
    <w:rsid w:val="000664A5"/>
    <w:rsid w:val="00066664"/>
    <w:rsid w:val="000667F9"/>
    <w:rsid w:val="00066A2A"/>
    <w:rsid w:val="00066BE8"/>
    <w:rsid w:val="00066C60"/>
    <w:rsid w:val="000675C3"/>
    <w:rsid w:val="00067833"/>
    <w:rsid w:val="00067A08"/>
    <w:rsid w:val="00067ADB"/>
    <w:rsid w:val="00067B7D"/>
    <w:rsid w:val="00067C65"/>
    <w:rsid w:val="00067F5C"/>
    <w:rsid w:val="0007042B"/>
    <w:rsid w:val="00070533"/>
    <w:rsid w:val="000705FE"/>
    <w:rsid w:val="000707C2"/>
    <w:rsid w:val="00070836"/>
    <w:rsid w:val="00070A67"/>
    <w:rsid w:val="00070EAB"/>
    <w:rsid w:val="00070FCB"/>
    <w:rsid w:val="000711B0"/>
    <w:rsid w:val="00071CEA"/>
    <w:rsid w:val="000723DD"/>
    <w:rsid w:val="0007245D"/>
    <w:rsid w:val="000724FD"/>
    <w:rsid w:val="00072748"/>
    <w:rsid w:val="00072A5C"/>
    <w:rsid w:val="00072A5F"/>
    <w:rsid w:val="000732C2"/>
    <w:rsid w:val="0007335C"/>
    <w:rsid w:val="0007342A"/>
    <w:rsid w:val="00073D0C"/>
    <w:rsid w:val="000744F2"/>
    <w:rsid w:val="00074C15"/>
    <w:rsid w:val="000751D2"/>
    <w:rsid w:val="00075365"/>
    <w:rsid w:val="00075367"/>
    <w:rsid w:val="00075459"/>
    <w:rsid w:val="00075466"/>
    <w:rsid w:val="00075597"/>
    <w:rsid w:val="000755D7"/>
    <w:rsid w:val="000757E6"/>
    <w:rsid w:val="00075D3F"/>
    <w:rsid w:val="00075EB3"/>
    <w:rsid w:val="00076929"/>
    <w:rsid w:val="000769C4"/>
    <w:rsid w:val="000769D6"/>
    <w:rsid w:val="00076ACF"/>
    <w:rsid w:val="00076CFC"/>
    <w:rsid w:val="00077144"/>
    <w:rsid w:val="000771ED"/>
    <w:rsid w:val="00077386"/>
    <w:rsid w:val="0007748E"/>
    <w:rsid w:val="000774C9"/>
    <w:rsid w:val="0007795D"/>
    <w:rsid w:val="00077CF4"/>
    <w:rsid w:val="0008013F"/>
    <w:rsid w:val="000804CF"/>
    <w:rsid w:val="00080936"/>
    <w:rsid w:val="00080986"/>
    <w:rsid w:val="000809E0"/>
    <w:rsid w:val="00080B04"/>
    <w:rsid w:val="00080B2B"/>
    <w:rsid w:val="00080E2F"/>
    <w:rsid w:val="00080E73"/>
    <w:rsid w:val="00080F65"/>
    <w:rsid w:val="00081404"/>
    <w:rsid w:val="000817A7"/>
    <w:rsid w:val="00081C87"/>
    <w:rsid w:val="00081DF3"/>
    <w:rsid w:val="00081FDB"/>
    <w:rsid w:val="000822D4"/>
    <w:rsid w:val="00082420"/>
    <w:rsid w:val="000825F2"/>
    <w:rsid w:val="000826AB"/>
    <w:rsid w:val="000828A7"/>
    <w:rsid w:val="00082926"/>
    <w:rsid w:val="00082C78"/>
    <w:rsid w:val="00082D52"/>
    <w:rsid w:val="00082DD5"/>
    <w:rsid w:val="00083176"/>
    <w:rsid w:val="00083302"/>
    <w:rsid w:val="00083987"/>
    <w:rsid w:val="00083A88"/>
    <w:rsid w:val="00083C32"/>
    <w:rsid w:val="00083C7A"/>
    <w:rsid w:val="00083FEB"/>
    <w:rsid w:val="0008405E"/>
    <w:rsid w:val="00084083"/>
    <w:rsid w:val="00084C82"/>
    <w:rsid w:val="00084CD5"/>
    <w:rsid w:val="00084FAB"/>
    <w:rsid w:val="00085095"/>
    <w:rsid w:val="000856F3"/>
    <w:rsid w:val="000857B5"/>
    <w:rsid w:val="000857CF"/>
    <w:rsid w:val="000857F0"/>
    <w:rsid w:val="00085C06"/>
    <w:rsid w:val="00085D54"/>
    <w:rsid w:val="00085E9C"/>
    <w:rsid w:val="00085ED8"/>
    <w:rsid w:val="00085F9A"/>
    <w:rsid w:val="0008624B"/>
    <w:rsid w:val="00086261"/>
    <w:rsid w:val="00086692"/>
    <w:rsid w:val="000866E3"/>
    <w:rsid w:val="000866F5"/>
    <w:rsid w:val="0008671D"/>
    <w:rsid w:val="00086821"/>
    <w:rsid w:val="000869DA"/>
    <w:rsid w:val="00086B74"/>
    <w:rsid w:val="00086D52"/>
    <w:rsid w:val="00086EC9"/>
    <w:rsid w:val="000870D0"/>
    <w:rsid w:val="000871CA"/>
    <w:rsid w:val="00087300"/>
    <w:rsid w:val="00087C23"/>
    <w:rsid w:val="0009052A"/>
    <w:rsid w:val="000906E5"/>
    <w:rsid w:val="00090884"/>
    <w:rsid w:val="00090A0B"/>
    <w:rsid w:val="00090D55"/>
    <w:rsid w:val="00090F0B"/>
    <w:rsid w:val="00090F50"/>
    <w:rsid w:val="00091123"/>
    <w:rsid w:val="000913C7"/>
    <w:rsid w:val="00091488"/>
    <w:rsid w:val="000915CF"/>
    <w:rsid w:val="00091645"/>
    <w:rsid w:val="0009196B"/>
    <w:rsid w:val="000919EF"/>
    <w:rsid w:val="00091AA7"/>
    <w:rsid w:val="00091D29"/>
    <w:rsid w:val="00091D5B"/>
    <w:rsid w:val="00091EF4"/>
    <w:rsid w:val="00091FBC"/>
    <w:rsid w:val="00092142"/>
    <w:rsid w:val="00092156"/>
    <w:rsid w:val="00092330"/>
    <w:rsid w:val="0009238A"/>
    <w:rsid w:val="00092793"/>
    <w:rsid w:val="000928D7"/>
    <w:rsid w:val="000929CE"/>
    <w:rsid w:val="00092E4B"/>
    <w:rsid w:val="0009307F"/>
    <w:rsid w:val="00093121"/>
    <w:rsid w:val="0009325E"/>
    <w:rsid w:val="00093481"/>
    <w:rsid w:val="00093D39"/>
    <w:rsid w:val="00093D8E"/>
    <w:rsid w:val="00093E50"/>
    <w:rsid w:val="000940FA"/>
    <w:rsid w:val="00094533"/>
    <w:rsid w:val="0009465E"/>
    <w:rsid w:val="00094679"/>
    <w:rsid w:val="0009472F"/>
    <w:rsid w:val="00094853"/>
    <w:rsid w:val="000948DE"/>
    <w:rsid w:val="00094B79"/>
    <w:rsid w:val="00094D6D"/>
    <w:rsid w:val="00094E0C"/>
    <w:rsid w:val="000950AE"/>
    <w:rsid w:val="000953C1"/>
    <w:rsid w:val="00095459"/>
    <w:rsid w:val="00095514"/>
    <w:rsid w:val="000956CF"/>
    <w:rsid w:val="00095877"/>
    <w:rsid w:val="000958FB"/>
    <w:rsid w:val="00095BE4"/>
    <w:rsid w:val="00095DBA"/>
    <w:rsid w:val="0009604F"/>
    <w:rsid w:val="00096434"/>
    <w:rsid w:val="00096633"/>
    <w:rsid w:val="00096648"/>
    <w:rsid w:val="00096656"/>
    <w:rsid w:val="0009683F"/>
    <w:rsid w:val="00096A58"/>
    <w:rsid w:val="00096DD2"/>
    <w:rsid w:val="00097622"/>
    <w:rsid w:val="000977C3"/>
    <w:rsid w:val="00097828"/>
    <w:rsid w:val="00097C74"/>
    <w:rsid w:val="000A01A2"/>
    <w:rsid w:val="000A0528"/>
    <w:rsid w:val="000A07CD"/>
    <w:rsid w:val="000A0965"/>
    <w:rsid w:val="000A0A18"/>
    <w:rsid w:val="000A0AD0"/>
    <w:rsid w:val="000A0B11"/>
    <w:rsid w:val="000A0D35"/>
    <w:rsid w:val="000A0D3E"/>
    <w:rsid w:val="000A0EAE"/>
    <w:rsid w:val="000A10D1"/>
    <w:rsid w:val="000A12ED"/>
    <w:rsid w:val="000A12FB"/>
    <w:rsid w:val="000A1612"/>
    <w:rsid w:val="000A19AF"/>
    <w:rsid w:val="000A1E31"/>
    <w:rsid w:val="000A2319"/>
    <w:rsid w:val="000A23B1"/>
    <w:rsid w:val="000A24C6"/>
    <w:rsid w:val="000A25F0"/>
    <w:rsid w:val="000A2629"/>
    <w:rsid w:val="000A2738"/>
    <w:rsid w:val="000A2896"/>
    <w:rsid w:val="000A2A1D"/>
    <w:rsid w:val="000A2CD9"/>
    <w:rsid w:val="000A2D32"/>
    <w:rsid w:val="000A2D4E"/>
    <w:rsid w:val="000A2E4D"/>
    <w:rsid w:val="000A30CD"/>
    <w:rsid w:val="000A30F6"/>
    <w:rsid w:val="000A31DD"/>
    <w:rsid w:val="000A354A"/>
    <w:rsid w:val="000A3704"/>
    <w:rsid w:val="000A3717"/>
    <w:rsid w:val="000A3CA3"/>
    <w:rsid w:val="000A40E9"/>
    <w:rsid w:val="000A4190"/>
    <w:rsid w:val="000A42DD"/>
    <w:rsid w:val="000A47A2"/>
    <w:rsid w:val="000A4916"/>
    <w:rsid w:val="000A491F"/>
    <w:rsid w:val="000A4941"/>
    <w:rsid w:val="000A4BC8"/>
    <w:rsid w:val="000A4DB8"/>
    <w:rsid w:val="000A501E"/>
    <w:rsid w:val="000A53CC"/>
    <w:rsid w:val="000A55E3"/>
    <w:rsid w:val="000A57D9"/>
    <w:rsid w:val="000A5DD5"/>
    <w:rsid w:val="000A5F52"/>
    <w:rsid w:val="000A60AE"/>
    <w:rsid w:val="000A63A0"/>
    <w:rsid w:val="000A640C"/>
    <w:rsid w:val="000A6471"/>
    <w:rsid w:val="000A64D3"/>
    <w:rsid w:val="000A66C1"/>
    <w:rsid w:val="000A6910"/>
    <w:rsid w:val="000A6ADA"/>
    <w:rsid w:val="000A70FA"/>
    <w:rsid w:val="000A72CE"/>
    <w:rsid w:val="000A741E"/>
    <w:rsid w:val="000A742F"/>
    <w:rsid w:val="000A7537"/>
    <w:rsid w:val="000A7708"/>
    <w:rsid w:val="000A77E9"/>
    <w:rsid w:val="000A7C4E"/>
    <w:rsid w:val="000A7FBB"/>
    <w:rsid w:val="000B002B"/>
    <w:rsid w:val="000B0550"/>
    <w:rsid w:val="000B0566"/>
    <w:rsid w:val="000B064D"/>
    <w:rsid w:val="000B08D0"/>
    <w:rsid w:val="000B0C22"/>
    <w:rsid w:val="000B0D3E"/>
    <w:rsid w:val="000B1185"/>
    <w:rsid w:val="000B11F1"/>
    <w:rsid w:val="000B1284"/>
    <w:rsid w:val="000B1307"/>
    <w:rsid w:val="000B146C"/>
    <w:rsid w:val="000B1688"/>
    <w:rsid w:val="000B19F0"/>
    <w:rsid w:val="000B2269"/>
    <w:rsid w:val="000B23AA"/>
    <w:rsid w:val="000B23AB"/>
    <w:rsid w:val="000B24D8"/>
    <w:rsid w:val="000B2746"/>
    <w:rsid w:val="000B293F"/>
    <w:rsid w:val="000B2988"/>
    <w:rsid w:val="000B29EB"/>
    <w:rsid w:val="000B2A45"/>
    <w:rsid w:val="000B2DA1"/>
    <w:rsid w:val="000B2E0E"/>
    <w:rsid w:val="000B2F26"/>
    <w:rsid w:val="000B34A3"/>
    <w:rsid w:val="000B34FE"/>
    <w:rsid w:val="000B381A"/>
    <w:rsid w:val="000B4243"/>
    <w:rsid w:val="000B425A"/>
    <w:rsid w:val="000B43BF"/>
    <w:rsid w:val="000B4727"/>
    <w:rsid w:val="000B4860"/>
    <w:rsid w:val="000B4927"/>
    <w:rsid w:val="000B4932"/>
    <w:rsid w:val="000B49D6"/>
    <w:rsid w:val="000B4CBC"/>
    <w:rsid w:val="000B4E66"/>
    <w:rsid w:val="000B4F48"/>
    <w:rsid w:val="000B5024"/>
    <w:rsid w:val="000B548A"/>
    <w:rsid w:val="000B54C3"/>
    <w:rsid w:val="000B62BB"/>
    <w:rsid w:val="000B676A"/>
    <w:rsid w:val="000B6824"/>
    <w:rsid w:val="000B6F91"/>
    <w:rsid w:val="000B6FC1"/>
    <w:rsid w:val="000B7174"/>
    <w:rsid w:val="000B7191"/>
    <w:rsid w:val="000B7311"/>
    <w:rsid w:val="000B78A6"/>
    <w:rsid w:val="000B7A3B"/>
    <w:rsid w:val="000B7AD7"/>
    <w:rsid w:val="000B7B1A"/>
    <w:rsid w:val="000B7CF2"/>
    <w:rsid w:val="000B7CF4"/>
    <w:rsid w:val="000B7D41"/>
    <w:rsid w:val="000C02A7"/>
    <w:rsid w:val="000C0457"/>
    <w:rsid w:val="000C04D5"/>
    <w:rsid w:val="000C0985"/>
    <w:rsid w:val="000C09D9"/>
    <w:rsid w:val="000C0A45"/>
    <w:rsid w:val="000C0A62"/>
    <w:rsid w:val="000C0C1A"/>
    <w:rsid w:val="000C12B8"/>
    <w:rsid w:val="000C12D4"/>
    <w:rsid w:val="000C1655"/>
    <w:rsid w:val="000C1777"/>
    <w:rsid w:val="000C1791"/>
    <w:rsid w:val="000C18AC"/>
    <w:rsid w:val="000C19A0"/>
    <w:rsid w:val="000C1A46"/>
    <w:rsid w:val="000C1FDA"/>
    <w:rsid w:val="000C20CC"/>
    <w:rsid w:val="000C2167"/>
    <w:rsid w:val="000C23F8"/>
    <w:rsid w:val="000C241C"/>
    <w:rsid w:val="000C242D"/>
    <w:rsid w:val="000C2517"/>
    <w:rsid w:val="000C25A1"/>
    <w:rsid w:val="000C2B01"/>
    <w:rsid w:val="000C3054"/>
    <w:rsid w:val="000C3102"/>
    <w:rsid w:val="000C31E3"/>
    <w:rsid w:val="000C31E5"/>
    <w:rsid w:val="000C3504"/>
    <w:rsid w:val="000C3589"/>
    <w:rsid w:val="000C365C"/>
    <w:rsid w:val="000C3B1B"/>
    <w:rsid w:val="000C3B39"/>
    <w:rsid w:val="000C3C57"/>
    <w:rsid w:val="000C3D15"/>
    <w:rsid w:val="000C3E3C"/>
    <w:rsid w:val="000C435F"/>
    <w:rsid w:val="000C444F"/>
    <w:rsid w:val="000C4921"/>
    <w:rsid w:val="000C4BD8"/>
    <w:rsid w:val="000C4D2F"/>
    <w:rsid w:val="000C504B"/>
    <w:rsid w:val="000C5377"/>
    <w:rsid w:val="000C5520"/>
    <w:rsid w:val="000C56F3"/>
    <w:rsid w:val="000C5C11"/>
    <w:rsid w:val="000C6258"/>
    <w:rsid w:val="000C6264"/>
    <w:rsid w:val="000C6362"/>
    <w:rsid w:val="000C67F8"/>
    <w:rsid w:val="000C6841"/>
    <w:rsid w:val="000C6B32"/>
    <w:rsid w:val="000C6CBD"/>
    <w:rsid w:val="000C6E4E"/>
    <w:rsid w:val="000C6E9C"/>
    <w:rsid w:val="000C6EBE"/>
    <w:rsid w:val="000C6F28"/>
    <w:rsid w:val="000C6FA8"/>
    <w:rsid w:val="000C71DF"/>
    <w:rsid w:val="000C71F9"/>
    <w:rsid w:val="000C743F"/>
    <w:rsid w:val="000C7825"/>
    <w:rsid w:val="000C7863"/>
    <w:rsid w:val="000C7A83"/>
    <w:rsid w:val="000C7C67"/>
    <w:rsid w:val="000C7DE8"/>
    <w:rsid w:val="000C7E17"/>
    <w:rsid w:val="000C7E8E"/>
    <w:rsid w:val="000D007E"/>
    <w:rsid w:val="000D00D5"/>
    <w:rsid w:val="000D038F"/>
    <w:rsid w:val="000D052C"/>
    <w:rsid w:val="000D0795"/>
    <w:rsid w:val="000D07C7"/>
    <w:rsid w:val="000D0C78"/>
    <w:rsid w:val="000D0D37"/>
    <w:rsid w:val="000D0E4E"/>
    <w:rsid w:val="000D0F75"/>
    <w:rsid w:val="000D101B"/>
    <w:rsid w:val="000D1270"/>
    <w:rsid w:val="000D15BB"/>
    <w:rsid w:val="000D16BD"/>
    <w:rsid w:val="000D1BCD"/>
    <w:rsid w:val="000D1FEA"/>
    <w:rsid w:val="000D228A"/>
    <w:rsid w:val="000D252C"/>
    <w:rsid w:val="000D263D"/>
    <w:rsid w:val="000D2838"/>
    <w:rsid w:val="000D28AE"/>
    <w:rsid w:val="000D2ABD"/>
    <w:rsid w:val="000D2E28"/>
    <w:rsid w:val="000D2E2C"/>
    <w:rsid w:val="000D2EB1"/>
    <w:rsid w:val="000D31D2"/>
    <w:rsid w:val="000D36C8"/>
    <w:rsid w:val="000D3906"/>
    <w:rsid w:val="000D390F"/>
    <w:rsid w:val="000D3983"/>
    <w:rsid w:val="000D3B3C"/>
    <w:rsid w:val="000D3BA8"/>
    <w:rsid w:val="000D3BD4"/>
    <w:rsid w:val="000D3D20"/>
    <w:rsid w:val="000D3D58"/>
    <w:rsid w:val="000D3E69"/>
    <w:rsid w:val="000D4120"/>
    <w:rsid w:val="000D41E3"/>
    <w:rsid w:val="000D41FA"/>
    <w:rsid w:val="000D4212"/>
    <w:rsid w:val="000D4308"/>
    <w:rsid w:val="000D4338"/>
    <w:rsid w:val="000D44A5"/>
    <w:rsid w:val="000D44B9"/>
    <w:rsid w:val="000D466E"/>
    <w:rsid w:val="000D4826"/>
    <w:rsid w:val="000D4D2B"/>
    <w:rsid w:val="000D50F5"/>
    <w:rsid w:val="000D5643"/>
    <w:rsid w:val="000D585A"/>
    <w:rsid w:val="000D5B14"/>
    <w:rsid w:val="000D5DFB"/>
    <w:rsid w:val="000D6104"/>
    <w:rsid w:val="000D6328"/>
    <w:rsid w:val="000D63E4"/>
    <w:rsid w:val="000D6470"/>
    <w:rsid w:val="000D6517"/>
    <w:rsid w:val="000D65D6"/>
    <w:rsid w:val="000D6709"/>
    <w:rsid w:val="000D6CC2"/>
    <w:rsid w:val="000D6CC7"/>
    <w:rsid w:val="000D6F2C"/>
    <w:rsid w:val="000D7084"/>
    <w:rsid w:val="000D7372"/>
    <w:rsid w:val="000D741C"/>
    <w:rsid w:val="000D771D"/>
    <w:rsid w:val="000D7EA5"/>
    <w:rsid w:val="000E03D6"/>
    <w:rsid w:val="000E05DA"/>
    <w:rsid w:val="000E060F"/>
    <w:rsid w:val="000E08CC"/>
    <w:rsid w:val="000E0D10"/>
    <w:rsid w:val="000E1293"/>
    <w:rsid w:val="000E137A"/>
    <w:rsid w:val="000E17DD"/>
    <w:rsid w:val="000E1BC5"/>
    <w:rsid w:val="000E1DC3"/>
    <w:rsid w:val="000E21C9"/>
    <w:rsid w:val="000E25F8"/>
    <w:rsid w:val="000E26FF"/>
    <w:rsid w:val="000E28DA"/>
    <w:rsid w:val="000E2921"/>
    <w:rsid w:val="000E2C66"/>
    <w:rsid w:val="000E3053"/>
    <w:rsid w:val="000E3055"/>
    <w:rsid w:val="000E3276"/>
    <w:rsid w:val="000E366B"/>
    <w:rsid w:val="000E392C"/>
    <w:rsid w:val="000E3F02"/>
    <w:rsid w:val="000E4470"/>
    <w:rsid w:val="000E449E"/>
    <w:rsid w:val="000E44C6"/>
    <w:rsid w:val="000E485B"/>
    <w:rsid w:val="000E4A54"/>
    <w:rsid w:val="000E4D9B"/>
    <w:rsid w:val="000E4F38"/>
    <w:rsid w:val="000E51C6"/>
    <w:rsid w:val="000E53B1"/>
    <w:rsid w:val="000E55BF"/>
    <w:rsid w:val="000E55D0"/>
    <w:rsid w:val="000E5930"/>
    <w:rsid w:val="000E5B1E"/>
    <w:rsid w:val="000E61DE"/>
    <w:rsid w:val="000E6521"/>
    <w:rsid w:val="000E66C8"/>
    <w:rsid w:val="000E6860"/>
    <w:rsid w:val="000E6A8D"/>
    <w:rsid w:val="000E6E34"/>
    <w:rsid w:val="000E702A"/>
    <w:rsid w:val="000E7202"/>
    <w:rsid w:val="000E73B2"/>
    <w:rsid w:val="000E75E5"/>
    <w:rsid w:val="000E7600"/>
    <w:rsid w:val="000E7831"/>
    <w:rsid w:val="000E7D6E"/>
    <w:rsid w:val="000E7DE0"/>
    <w:rsid w:val="000E7EF3"/>
    <w:rsid w:val="000E7F96"/>
    <w:rsid w:val="000F0230"/>
    <w:rsid w:val="000F0309"/>
    <w:rsid w:val="000F0480"/>
    <w:rsid w:val="000F060F"/>
    <w:rsid w:val="000F07D7"/>
    <w:rsid w:val="000F09E6"/>
    <w:rsid w:val="000F0A5B"/>
    <w:rsid w:val="000F0B9B"/>
    <w:rsid w:val="000F0BAD"/>
    <w:rsid w:val="000F0C1B"/>
    <w:rsid w:val="000F0D24"/>
    <w:rsid w:val="000F0F21"/>
    <w:rsid w:val="000F0FEA"/>
    <w:rsid w:val="000F100C"/>
    <w:rsid w:val="000F10C1"/>
    <w:rsid w:val="000F1446"/>
    <w:rsid w:val="000F18A7"/>
    <w:rsid w:val="000F194F"/>
    <w:rsid w:val="000F1BBE"/>
    <w:rsid w:val="000F23F1"/>
    <w:rsid w:val="000F2515"/>
    <w:rsid w:val="000F2563"/>
    <w:rsid w:val="000F2789"/>
    <w:rsid w:val="000F2992"/>
    <w:rsid w:val="000F29C1"/>
    <w:rsid w:val="000F2A43"/>
    <w:rsid w:val="000F301D"/>
    <w:rsid w:val="000F36DB"/>
    <w:rsid w:val="000F36EB"/>
    <w:rsid w:val="000F3B5A"/>
    <w:rsid w:val="000F4008"/>
    <w:rsid w:val="000F46AF"/>
    <w:rsid w:val="000F4737"/>
    <w:rsid w:val="000F474C"/>
    <w:rsid w:val="000F48DD"/>
    <w:rsid w:val="000F4AA5"/>
    <w:rsid w:val="000F4C3A"/>
    <w:rsid w:val="000F4E1E"/>
    <w:rsid w:val="000F4FC6"/>
    <w:rsid w:val="000F5299"/>
    <w:rsid w:val="000F5496"/>
    <w:rsid w:val="000F54B4"/>
    <w:rsid w:val="000F56D4"/>
    <w:rsid w:val="000F5EB9"/>
    <w:rsid w:val="000F6035"/>
    <w:rsid w:val="000F6254"/>
    <w:rsid w:val="000F6503"/>
    <w:rsid w:val="000F663E"/>
    <w:rsid w:val="000F6891"/>
    <w:rsid w:val="000F6A7A"/>
    <w:rsid w:val="000F6FB4"/>
    <w:rsid w:val="000F6FBD"/>
    <w:rsid w:val="000F717C"/>
    <w:rsid w:val="000F7467"/>
    <w:rsid w:val="000F74B5"/>
    <w:rsid w:val="000F7602"/>
    <w:rsid w:val="000F7B1F"/>
    <w:rsid w:val="000F7C56"/>
    <w:rsid w:val="000F7DDE"/>
    <w:rsid w:val="000F7F8E"/>
    <w:rsid w:val="00100119"/>
    <w:rsid w:val="00100145"/>
    <w:rsid w:val="001003D2"/>
    <w:rsid w:val="00100445"/>
    <w:rsid w:val="001007A0"/>
    <w:rsid w:val="00100889"/>
    <w:rsid w:val="001009AB"/>
    <w:rsid w:val="00100A79"/>
    <w:rsid w:val="00100AE0"/>
    <w:rsid w:val="00100C17"/>
    <w:rsid w:val="00101026"/>
    <w:rsid w:val="00101124"/>
    <w:rsid w:val="00101531"/>
    <w:rsid w:val="00101FA8"/>
    <w:rsid w:val="0010231D"/>
    <w:rsid w:val="00102366"/>
    <w:rsid w:val="00102E0B"/>
    <w:rsid w:val="00102EDF"/>
    <w:rsid w:val="001031C1"/>
    <w:rsid w:val="00103253"/>
    <w:rsid w:val="001033A4"/>
    <w:rsid w:val="001033A9"/>
    <w:rsid w:val="001035FF"/>
    <w:rsid w:val="001036A8"/>
    <w:rsid w:val="001036D8"/>
    <w:rsid w:val="00103741"/>
    <w:rsid w:val="001039A0"/>
    <w:rsid w:val="00103AC7"/>
    <w:rsid w:val="00103B0F"/>
    <w:rsid w:val="00103D43"/>
    <w:rsid w:val="00103EF8"/>
    <w:rsid w:val="0010416B"/>
    <w:rsid w:val="001042CC"/>
    <w:rsid w:val="00104588"/>
    <w:rsid w:val="00104B1B"/>
    <w:rsid w:val="00104C20"/>
    <w:rsid w:val="00104D42"/>
    <w:rsid w:val="00104E5D"/>
    <w:rsid w:val="00104FE0"/>
    <w:rsid w:val="001051C5"/>
    <w:rsid w:val="00105402"/>
    <w:rsid w:val="0010544B"/>
    <w:rsid w:val="00105497"/>
    <w:rsid w:val="0010569F"/>
    <w:rsid w:val="001059A8"/>
    <w:rsid w:val="00105B39"/>
    <w:rsid w:val="00105C5E"/>
    <w:rsid w:val="00105E50"/>
    <w:rsid w:val="00105F74"/>
    <w:rsid w:val="00105F87"/>
    <w:rsid w:val="00105FD9"/>
    <w:rsid w:val="001060B5"/>
    <w:rsid w:val="001060F0"/>
    <w:rsid w:val="001064BD"/>
    <w:rsid w:val="001064F1"/>
    <w:rsid w:val="001066C1"/>
    <w:rsid w:val="00106A3F"/>
    <w:rsid w:val="00106B9C"/>
    <w:rsid w:val="00107688"/>
    <w:rsid w:val="00107AD0"/>
    <w:rsid w:val="00107B5A"/>
    <w:rsid w:val="00107D5C"/>
    <w:rsid w:val="00107F51"/>
    <w:rsid w:val="001102B3"/>
    <w:rsid w:val="001102CA"/>
    <w:rsid w:val="00110462"/>
    <w:rsid w:val="001106CF"/>
    <w:rsid w:val="00110BCE"/>
    <w:rsid w:val="00110C5E"/>
    <w:rsid w:val="00110C71"/>
    <w:rsid w:val="00111383"/>
    <w:rsid w:val="001113B5"/>
    <w:rsid w:val="001114F8"/>
    <w:rsid w:val="001117C4"/>
    <w:rsid w:val="00111B4B"/>
    <w:rsid w:val="0011214C"/>
    <w:rsid w:val="0011224F"/>
    <w:rsid w:val="00112267"/>
    <w:rsid w:val="00112492"/>
    <w:rsid w:val="001124F5"/>
    <w:rsid w:val="00112639"/>
    <w:rsid w:val="0011288B"/>
    <w:rsid w:val="00113B3E"/>
    <w:rsid w:val="00113EF4"/>
    <w:rsid w:val="00113F84"/>
    <w:rsid w:val="00114091"/>
    <w:rsid w:val="00114148"/>
    <w:rsid w:val="001142CC"/>
    <w:rsid w:val="00114605"/>
    <w:rsid w:val="00114815"/>
    <w:rsid w:val="00114CB8"/>
    <w:rsid w:val="00114DD2"/>
    <w:rsid w:val="0011527F"/>
    <w:rsid w:val="0011575D"/>
    <w:rsid w:val="00115C04"/>
    <w:rsid w:val="00115E6A"/>
    <w:rsid w:val="00115E7D"/>
    <w:rsid w:val="00116081"/>
    <w:rsid w:val="0011680B"/>
    <w:rsid w:val="00116811"/>
    <w:rsid w:val="00116D82"/>
    <w:rsid w:val="0011700E"/>
    <w:rsid w:val="0011740D"/>
    <w:rsid w:val="001177BA"/>
    <w:rsid w:val="001178C9"/>
    <w:rsid w:val="00117CBD"/>
    <w:rsid w:val="001200AC"/>
    <w:rsid w:val="00120200"/>
    <w:rsid w:val="0012059F"/>
    <w:rsid w:val="00120AA4"/>
    <w:rsid w:val="00120E5B"/>
    <w:rsid w:val="00121490"/>
    <w:rsid w:val="001214C6"/>
    <w:rsid w:val="001215E0"/>
    <w:rsid w:val="001216C4"/>
    <w:rsid w:val="001216E6"/>
    <w:rsid w:val="00121857"/>
    <w:rsid w:val="00121B49"/>
    <w:rsid w:val="00121DBB"/>
    <w:rsid w:val="00121F16"/>
    <w:rsid w:val="00122173"/>
    <w:rsid w:val="0012219B"/>
    <w:rsid w:val="0012220D"/>
    <w:rsid w:val="001228EB"/>
    <w:rsid w:val="00122AFC"/>
    <w:rsid w:val="00122B70"/>
    <w:rsid w:val="00122DC7"/>
    <w:rsid w:val="00123620"/>
    <w:rsid w:val="0012379B"/>
    <w:rsid w:val="00123C9D"/>
    <w:rsid w:val="00123CF9"/>
    <w:rsid w:val="00123F0D"/>
    <w:rsid w:val="001240E7"/>
    <w:rsid w:val="00124489"/>
    <w:rsid w:val="00124600"/>
    <w:rsid w:val="00124617"/>
    <w:rsid w:val="00124633"/>
    <w:rsid w:val="00124708"/>
    <w:rsid w:val="00124B51"/>
    <w:rsid w:val="00124C09"/>
    <w:rsid w:val="00125237"/>
    <w:rsid w:val="00125444"/>
    <w:rsid w:val="00125534"/>
    <w:rsid w:val="001255D9"/>
    <w:rsid w:val="00125A55"/>
    <w:rsid w:val="00125DC1"/>
    <w:rsid w:val="00125E91"/>
    <w:rsid w:val="00125FDE"/>
    <w:rsid w:val="00125FF8"/>
    <w:rsid w:val="001260A8"/>
    <w:rsid w:val="001260B0"/>
    <w:rsid w:val="00126290"/>
    <w:rsid w:val="0012635B"/>
    <w:rsid w:val="00126376"/>
    <w:rsid w:val="00126733"/>
    <w:rsid w:val="001267EA"/>
    <w:rsid w:val="00126CE4"/>
    <w:rsid w:val="001270D9"/>
    <w:rsid w:val="001270FD"/>
    <w:rsid w:val="00127522"/>
    <w:rsid w:val="00127C17"/>
    <w:rsid w:val="001301F5"/>
    <w:rsid w:val="001302A7"/>
    <w:rsid w:val="001303F4"/>
    <w:rsid w:val="00130CAC"/>
    <w:rsid w:val="00130D56"/>
    <w:rsid w:val="00130F87"/>
    <w:rsid w:val="0013112E"/>
    <w:rsid w:val="00131228"/>
    <w:rsid w:val="001313F2"/>
    <w:rsid w:val="001315B5"/>
    <w:rsid w:val="001318ED"/>
    <w:rsid w:val="00131B1D"/>
    <w:rsid w:val="00131D20"/>
    <w:rsid w:val="001320ED"/>
    <w:rsid w:val="00132113"/>
    <w:rsid w:val="00132314"/>
    <w:rsid w:val="001324BB"/>
    <w:rsid w:val="001326F5"/>
    <w:rsid w:val="001328D9"/>
    <w:rsid w:val="00132AF0"/>
    <w:rsid w:val="00132BD5"/>
    <w:rsid w:val="00132C1E"/>
    <w:rsid w:val="00132E55"/>
    <w:rsid w:val="00132FD5"/>
    <w:rsid w:val="00133032"/>
    <w:rsid w:val="001330B7"/>
    <w:rsid w:val="001331F1"/>
    <w:rsid w:val="001333D3"/>
    <w:rsid w:val="00133564"/>
    <w:rsid w:val="00133800"/>
    <w:rsid w:val="001339B7"/>
    <w:rsid w:val="00133D46"/>
    <w:rsid w:val="00133EA0"/>
    <w:rsid w:val="00133FEF"/>
    <w:rsid w:val="00134666"/>
    <w:rsid w:val="0013466C"/>
    <w:rsid w:val="001346F6"/>
    <w:rsid w:val="0013475F"/>
    <w:rsid w:val="00134B4D"/>
    <w:rsid w:val="00134C68"/>
    <w:rsid w:val="00135134"/>
    <w:rsid w:val="001354C6"/>
    <w:rsid w:val="00135509"/>
    <w:rsid w:val="00135540"/>
    <w:rsid w:val="001356B1"/>
    <w:rsid w:val="001357E1"/>
    <w:rsid w:val="0013590D"/>
    <w:rsid w:val="00135BB6"/>
    <w:rsid w:val="00136187"/>
    <w:rsid w:val="00136404"/>
    <w:rsid w:val="0013654F"/>
    <w:rsid w:val="00136919"/>
    <w:rsid w:val="00136957"/>
    <w:rsid w:val="00136988"/>
    <w:rsid w:val="00136B83"/>
    <w:rsid w:val="0013734C"/>
    <w:rsid w:val="001373D2"/>
    <w:rsid w:val="0013748B"/>
    <w:rsid w:val="00137B88"/>
    <w:rsid w:val="00137BCA"/>
    <w:rsid w:val="00137BE6"/>
    <w:rsid w:val="00137C49"/>
    <w:rsid w:val="00140161"/>
    <w:rsid w:val="001401CF"/>
    <w:rsid w:val="001401E4"/>
    <w:rsid w:val="0014040B"/>
    <w:rsid w:val="00140543"/>
    <w:rsid w:val="001408FB"/>
    <w:rsid w:val="00140DD3"/>
    <w:rsid w:val="001410BD"/>
    <w:rsid w:val="0014166B"/>
    <w:rsid w:val="001417AE"/>
    <w:rsid w:val="00141900"/>
    <w:rsid w:val="00141A19"/>
    <w:rsid w:val="00141DAE"/>
    <w:rsid w:val="001424AB"/>
    <w:rsid w:val="00142AE2"/>
    <w:rsid w:val="00142B5B"/>
    <w:rsid w:val="00142BFB"/>
    <w:rsid w:val="00142C18"/>
    <w:rsid w:val="001431E9"/>
    <w:rsid w:val="0014367D"/>
    <w:rsid w:val="001437CA"/>
    <w:rsid w:val="001438E6"/>
    <w:rsid w:val="001439A6"/>
    <w:rsid w:val="00143AB3"/>
    <w:rsid w:val="00143CD3"/>
    <w:rsid w:val="00143D77"/>
    <w:rsid w:val="00143E93"/>
    <w:rsid w:val="00143EA1"/>
    <w:rsid w:val="001441C1"/>
    <w:rsid w:val="001442A1"/>
    <w:rsid w:val="00144592"/>
    <w:rsid w:val="00144672"/>
    <w:rsid w:val="001446EA"/>
    <w:rsid w:val="001448DE"/>
    <w:rsid w:val="00144BA9"/>
    <w:rsid w:val="00144D7B"/>
    <w:rsid w:val="001453D1"/>
    <w:rsid w:val="001455FD"/>
    <w:rsid w:val="001457DE"/>
    <w:rsid w:val="00145925"/>
    <w:rsid w:val="001459EC"/>
    <w:rsid w:val="00145AE9"/>
    <w:rsid w:val="00145CAB"/>
    <w:rsid w:val="00145E1E"/>
    <w:rsid w:val="00145EDB"/>
    <w:rsid w:val="00145EFE"/>
    <w:rsid w:val="00146086"/>
    <w:rsid w:val="001460A6"/>
    <w:rsid w:val="00146222"/>
    <w:rsid w:val="00146227"/>
    <w:rsid w:val="001464B2"/>
    <w:rsid w:val="00146DBE"/>
    <w:rsid w:val="00146E08"/>
    <w:rsid w:val="00146ED0"/>
    <w:rsid w:val="00147078"/>
    <w:rsid w:val="001470EE"/>
    <w:rsid w:val="001471EA"/>
    <w:rsid w:val="001473D5"/>
    <w:rsid w:val="00147639"/>
    <w:rsid w:val="0014780A"/>
    <w:rsid w:val="00147824"/>
    <w:rsid w:val="00147ACD"/>
    <w:rsid w:val="00150354"/>
    <w:rsid w:val="001508D6"/>
    <w:rsid w:val="001508D8"/>
    <w:rsid w:val="0015096C"/>
    <w:rsid w:val="00150E3F"/>
    <w:rsid w:val="00150E42"/>
    <w:rsid w:val="00151015"/>
    <w:rsid w:val="00151056"/>
    <w:rsid w:val="00151305"/>
    <w:rsid w:val="00151341"/>
    <w:rsid w:val="00151364"/>
    <w:rsid w:val="00151585"/>
    <w:rsid w:val="001516AD"/>
    <w:rsid w:val="0015192E"/>
    <w:rsid w:val="00151A2D"/>
    <w:rsid w:val="00151B90"/>
    <w:rsid w:val="00151B95"/>
    <w:rsid w:val="00151B9B"/>
    <w:rsid w:val="00151C64"/>
    <w:rsid w:val="00152495"/>
    <w:rsid w:val="00152905"/>
    <w:rsid w:val="00152ED9"/>
    <w:rsid w:val="00152F6B"/>
    <w:rsid w:val="00153420"/>
    <w:rsid w:val="00153600"/>
    <w:rsid w:val="001536B9"/>
    <w:rsid w:val="001537D7"/>
    <w:rsid w:val="00153A7B"/>
    <w:rsid w:val="00153DDF"/>
    <w:rsid w:val="001542A9"/>
    <w:rsid w:val="0015439B"/>
    <w:rsid w:val="00154573"/>
    <w:rsid w:val="001546FB"/>
    <w:rsid w:val="00154BCC"/>
    <w:rsid w:val="0015578C"/>
    <w:rsid w:val="0015595F"/>
    <w:rsid w:val="00155CAF"/>
    <w:rsid w:val="00155E60"/>
    <w:rsid w:val="00155FAA"/>
    <w:rsid w:val="001560C6"/>
    <w:rsid w:val="001560D6"/>
    <w:rsid w:val="00156381"/>
    <w:rsid w:val="00156A89"/>
    <w:rsid w:val="00156CEA"/>
    <w:rsid w:val="00156D90"/>
    <w:rsid w:val="00156D9F"/>
    <w:rsid w:val="00157392"/>
    <w:rsid w:val="001577A2"/>
    <w:rsid w:val="00157C07"/>
    <w:rsid w:val="00157C2D"/>
    <w:rsid w:val="00157DC9"/>
    <w:rsid w:val="00157E26"/>
    <w:rsid w:val="00157E94"/>
    <w:rsid w:val="00157F87"/>
    <w:rsid w:val="00157FB7"/>
    <w:rsid w:val="00160120"/>
    <w:rsid w:val="001603BA"/>
    <w:rsid w:val="00160508"/>
    <w:rsid w:val="001606B7"/>
    <w:rsid w:val="0016077D"/>
    <w:rsid w:val="00161385"/>
    <w:rsid w:val="001613C6"/>
    <w:rsid w:val="001617DA"/>
    <w:rsid w:val="00161A23"/>
    <w:rsid w:val="00161AB2"/>
    <w:rsid w:val="00161B3B"/>
    <w:rsid w:val="00162017"/>
    <w:rsid w:val="00162807"/>
    <w:rsid w:val="00162BEC"/>
    <w:rsid w:val="00162DF5"/>
    <w:rsid w:val="00163356"/>
    <w:rsid w:val="00163388"/>
    <w:rsid w:val="001634BE"/>
    <w:rsid w:val="00163674"/>
    <w:rsid w:val="00163BB0"/>
    <w:rsid w:val="00163DFB"/>
    <w:rsid w:val="001642A1"/>
    <w:rsid w:val="001643EB"/>
    <w:rsid w:val="001644AB"/>
    <w:rsid w:val="001645B0"/>
    <w:rsid w:val="001645DF"/>
    <w:rsid w:val="0016469E"/>
    <w:rsid w:val="001647B8"/>
    <w:rsid w:val="00164A1C"/>
    <w:rsid w:val="00164B89"/>
    <w:rsid w:val="00164C7B"/>
    <w:rsid w:val="001652F7"/>
    <w:rsid w:val="001660E7"/>
    <w:rsid w:val="00166166"/>
    <w:rsid w:val="001661A9"/>
    <w:rsid w:val="0016645F"/>
    <w:rsid w:val="001664FD"/>
    <w:rsid w:val="0016662A"/>
    <w:rsid w:val="00166E18"/>
    <w:rsid w:val="00167039"/>
    <w:rsid w:val="001670EB"/>
    <w:rsid w:val="001674DC"/>
    <w:rsid w:val="00167B62"/>
    <w:rsid w:val="00167F8A"/>
    <w:rsid w:val="001701F2"/>
    <w:rsid w:val="0017034B"/>
    <w:rsid w:val="001703BF"/>
    <w:rsid w:val="00170613"/>
    <w:rsid w:val="001707DF"/>
    <w:rsid w:val="00170B33"/>
    <w:rsid w:val="00170BD8"/>
    <w:rsid w:val="001710DD"/>
    <w:rsid w:val="0017111E"/>
    <w:rsid w:val="001712D6"/>
    <w:rsid w:val="0017185A"/>
    <w:rsid w:val="0017189A"/>
    <w:rsid w:val="00171961"/>
    <w:rsid w:val="00171B37"/>
    <w:rsid w:val="00171B8B"/>
    <w:rsid w:val="00171C37"/>
    <w:rsid w:val="00171CCE"/>
    <w:rsid w:val="00171CDD"/>
    <w:rsid w:val="00171D6B"/>
    <w:rsid w:val="00171DF7"/>
    <w:rsid w:val="001725B4"/>
    <w:rsid w:val="001725EC"/>
    <w:rsid w:val="00172605"/>
    <w:rsid w:val="00172DFB"/>
    <w:rsid w:val="0017302F"/>
    <w:rsid w:val="00173512"/>
    <w:rsid w:val="001735A6"/>
    <w:rsid w:val="001735C0"/>
    <w:rsid w:val="001736DF"/>
    <w:rsid w:val="00173B81"/>
    <w:rsid w:val="0017400A"/>
    <w:rsid w:val="0017408C"/>
    <w:rsid w:val="001746A3"/>
    <w:rsid w:val="00174727"/>
    <w:rsid w:val="00174841"/>
    <w:rsid w:val="00174D56"/>
    <w:rsid w:val="00174F09"/>
    <w:rsid w:val="001750AB"/>
    <w:rsid w:val="001754D1"/>
    <w:rsid w:val="00175577"/>
    <w:rsid w:val="0017562A"/>
    <w:rsid w:val="00175710"/>
    <w:rsid w:val="0017576E"/>
    <w:rsid w:val="00175B26"/>
    <w:rsid w:val="00175B5B"/>
    <w:rsid w:val="00175DF6"/>
    <w:rsid w:val="00175ED0"/>
    <w:rsid w:val="00175FB1"/>
    <w:rsid w:val="00176198"/>
    <w:rsid w:val="001763B9"/>
    <w:rsid w:val="00176572"/>
    <w:rsid w:val="00176720"/>
    <w:rsid w:val="00176B7D"/>
    <w:rsid w:val="00176BFE"/>
    <w:rsid w:val="00176C2F"/>
    <w:rsid w:val="00176D34"/>
    <w:rsid w:val="00176D9F"/>
    <w:rsid w:val="00176F31"/>
    <w:rsid w:val="00177655"/>
    <w:rsid w:val="00177999"/>
    <w:rsid w:val="001779C7"/>
    <w:rsid w:val="00177B17"/>
    <w:rsid w:val="00177BCA"/>
    <w:rsid w:val="00177BE7"/>
    <w:rsid w:val="00177D2B"/>
    <w:rsid w:val="00177F19"/>
    <w:rsid w:val="00177F26"/>
    <w:rsid w:val="00180306"/>
    <w:rsid w:val="0018052B"/>
    <w:rsid w:val="001806FA"/>
    <w:rsid w:val="00180A73"/>
    <w:rsid w:val="00180BD0"/>
    <w:rsid w:val="001811FC"/>
    <w:rsid w:val="00181643"/>
    <w:rsid w:val="00181884"/>
    <w:rsid w:val="00181CCE"/>
    <w:rsid w:val="00181DCC"/>
    <w:rsid w:val="00181F69"/>
    <w:rsid w:val="00181FB8"/>
    <w:rsid w:val="00182075"/>
    <w:rsid w:val="0018215B"/>
    <w:rsid w:val="00182336"/>
    <w:rsid w:val="00182348"/>
    <w:rsid w:val="00182574"/>
    <w:rsid w:val="001827F4"/>
    <w:rsid w:val="00182A31"/>
    <w:rsid w:val="00182CEC"/>
    <w:rsid w:val="00182E77"/>
    <w:rsid w:val="001830C4"/>
    <w:rsid w:val="0018333B"/>
    <w:rsid w:val="00183622"/>
    <w:rsid w:val="00183E3F"/>
    <w:rsid w:val="00183EB5"/>
    <w:rsid w:val="0018408B"/>
    <w:rsid w:val="001840B0"/>
    <w:rsid w:val="00184149"/>
    <w:rsid w:val="001842C2"/>
    <w:rsid w:val="00184475"/>
    <w:rsid w:val="0018456F"/>
    <w:rsid w:val="0018474C"/>
    <w:rsid w:val="001847E4"/>
    <w:rsid w:val="001848D3"/>
    <w:rsid w:val="00184AA6"/>
    <w:rsid w:val="00184C1C"/>
    <w:rsid w:val="00184C90"/>
    <w:rsid w:val="00184E96"/>
    <w:rsid w:val="00184EC3"/>
    <w:rsid w:val="0018541D"/>
    <w:rsid w:val="0018542C"/>
    <w:rsid w:val="001854B5"/>
    <w:rsid w:val="00185854"/>
    <w:rsid w:val="00185BC6"/>
    <w:rsid w:val="00185FEC"/>
    <w:rsid w:val="0018620A"/>
    <w:rsid w:val="001864C8"/>
    <w:rsid w:val="001867D1"/>
    <w:rsid w:val="001868B9"/>
    <w:rsid w:val="00186ACC"/>
    <w:rsid w:val="00186D22"/>
    <w:rsid w:val="001870B6"/>
    <w:rsid w:val="001870C1"/>
    <w:rsid w:val="00187383"/>
    <w:rsid w:val="00187676"/>
    <w:rsid w:val="001877DE"/>
    <w:rsid w:val="0018786E"/>
    <w:rsid w:val="00187916"/>
    <w:rsid w:val="00187A8D"/>
    <w:rsid w:val="00187AF8"/>
    <w:rsid w:val="00187D57"/>
    <w:rsid w:val="00187E47"/>
    <w:rsid w:val="00187FE5"/>
    <w:rsid w:val="0019067D"/>
    <w:rsid w:val="0019085D"/>
    <w:rsid w:val="001908A0"/>
    <w:rsid w:val="00190B68"/>
    <w:rsid w:val="00190C62"/>
    <w:rsid w:val="00190E1D"/>
    <w:rsid w:val="00190F16"/>
    <w:rsid w:val="00190F54"/>
    <w:rsid w:val="00191126"/>
    <w:rsid w:val="001911CF"/>
    <w:rsid w:val="001912DC"/>
    <w:rsid w:val="00191349"/>
    <w:rsid w:val="001914F5"/>
    <w:rsid w:val="00191571"/>
    <w:rsid w:val="001916C4"/>
    <w:rsid w:val="0019176F"/>
    <w:rsid w:val="00192432"/>
    <w:rsid w:val="001926E3"/>
    <w:rsid w:val="001928DB"/>
    <w:rsid w:val="00192A46"/>
    <w:rsid w:val="00192A73"/>
    <w:rsid w:val="00192C95"/>
    <w:rsid w:val="00192CB2"/>
    <w:rsid w:val="00192FF4"/>
    <w:rsid w:val="0019316B"/>
    <w:rsid w:val="0019331C"/>
    <w:rsid w:val="0019346E"/>
    <w:rsid w:val="00193622"/>
    <w:rsid w:val="00193975"/>
    <w:rsid w:val="00193A63"/>
    <w:rsid w:val="00193BBA"/>
    <w:rsid w:val="00193DD3"/>
    <w:rsid w:val="00194136"/>
    <w:rsid w:val="001942E9"/>
    <w:rsid w:val="00194342"/>
    <w:rsid w:val="00194566"/>
    <w:rsid w:val="0019474F"/>
    <w:rsid w:val="0019493B"/>
    <w:rsid w:val="00194949"/>
    <w:rsid w:val="00194D61"/>
    <w:rsid w:val="00194E59"/>
    <w:rsid w:val="00194F48"/>
    <w:rsid w:val="00195518"/>
    <w:rsid w:val="0019571D"/>
    <w:rsid w:val="00196309"/>
    <w:rsid w:val="00196625"/>
    <w:rsid w:val="00196A2E"/>
    <w:rsid w:val="00196B29"/>
    <w:rsid w:val="00196FE8"/>
    <w:rsid w:val="00197211"/>
    <w:rsid w:val="0019739B"/>
    <w:rsid w:val="00197838"/>
    <w:rsid w:val="00197E96"/>
    <w:rsid w:val="001A022D"/>
    <w:rsid w:val="001A03B7"/>
    <w:rsid w:val="001A0532"/>
    <w:rsid w:val="001A0A4D"/>
    <w:rsid w:val="001A0BAE"/>
    <w:rsid w:val="001A0D02"/>
    <w:rsid w:val="001A13D0"/>
    <w:rsid w:val="001A155A"/>
    <w:rsid w:val="001A1640"/>
    <w:rsid w:val="001A16E9"/>
    <w:rsid w:val="001A17B1"/>
    <w:rsid w:val="001A184A"/>
    <w:rsid w:val="001A198C"/>
    <w:rsid w:val="001A1BB4"/>
    <w:rsid w:val="001A1C19"/>
    <w:rsid w:val="001A21B5"/>
    <w:rsid w:val="001A236E"/>
    <w:rsid w:val="001A273D"/>
    <w:rsid w:val="001A286B"/>
    <w:rsid w:val="001A2971"/>
    <w:rsid w:val="001A2A57"/>
    <w:rsid w:val="001A2AFE"/>
    <w:rsid w:val="001A2CF0"/>
    <w:rsid w:val="001A30E7"/>
    <w:rsid w:val="001A324E"/>
    <w:rsid w:val="001A3250"/>
    <w:rsid w:val="001A333C"/>
    <w:rsid w:val="001A3444"/>
    <w:rsid w:val="001A36EE"/>
    <w:rsid w:val="001A38C6"/>
    <w:rsid w:val="001A39F0"/>
    <w:rsid w:val="001A3BD7"/>
    <w:rsid w:val="001A3F5B"/>
    <w:rsid w:val="001A435B"/>
    <w:rsid w:val="001A46A5"/>
    <w:rsid w:val="001A46BD"/>
    <w:rsid w:val="001A46D4"/>
    <w:rsid w:val="001A488A"/>
    <w:rsid w:val="001A489A"/>
    <w:rsid w:val="001A4C1E"/>
    <w:rsid w:val="001A4C64"/>
    <w:rsid w:val="001A5170"/>
    <w:rsid w:val="001A5171"/>
    <w:rsid w:val="001A53AC"/>
    <w:rsid w:val="001A5614"/>
    <w:rsid w:val="001A57DF"/>
    <w:rsid w:val="001A5D44"/>
    <w:rsid w:val="001A5EA2"/>
    <w:rsid w:val="001A5F65"/>
    <w:rsid w:val="001A619C"/>
    <w:rsid w:val="001A62E4"/>
    <w:rsid w:val="001A66B3"/>
    <w:rsid w:val="001A6A31"/>
    <w:rsid w:val="001A6C97"/>
    <w:rsid w:val="001A7187"/>
    <w:rsid w:val="001A7298"/>
    <w:rsid w:val="001A73FC"/>
    <w:rsid w:val="001A76C8"/>
    <w:rsid w:val="001B0693"/>
    <w:rsid w:val="001B073F"/>
    <w:rsid w:val="001B07DC"/>
    <w:rsid w:val="001B0BD5"/>
    <w:rsid w:val="001B0D1F"/>
    <w:rsid w:val="001B0FB1"/>
    <w:rsid w:val="001B10B5"/>
    <w:rsid w:val="001B1162"/>
    <w:rsid w:val="001B120E"/>
    <w:rsid w:val="001B166E"/>
    <w:rsid w:val="001B16C0"/>
    <w:rsid w:val="001B18BE"/>
    <w:rsid w:val="001B245A"/>
    <w:rsid w:val="001B2499"/>
    <w:rsid w:val="001B2519"/>
    <w:rsid w:val="001B2E46"/>
    <w:rsid w:val="001B310C"/>
    <w:rsid w:val="001B3147"/>
    <w:rsid w:val="001B32D0"/>
    <w:rsid w:val="001B37DD"/>
    <w:rsid w:val="001B387C"/>
    <w:rsid w:val="001B391C"/>
    <w:rsid w:val="001B39B6"/>
    <w:rsid w:val="001B3A88"/>
    <w:rsid w:val="001B3AC9"/>
    <w:rsid w:val="001B3FB9"/>
    <w:rsid w:val="001B46DE"/>
    <w:rsid w:val="001B49F8"/>
    <w:rsid w:val="001B4BBA"/>
    <w:rsid w:val="001B4BBF"/>
    <w:rsid w:val="001B4E64"/>
    <w:rsid w:val="001B4EA6"/>
    <w:rsid w:val="001B4EEF"/>
    <w:rsid w:val="001B50A1"/>
    <w:rsid w:val="001B51E7"/>
    <w:rsid w:val="001B5361"/>
    <w:rsid w:val="001B54BA"/>
    <w:rsid w:val="001B5B63"/>
    <w:rsid w:val="001B6382"/>
    <w:rsid w:val="001B663D"/>
    <w:rsid w:val="001B6740"/>
    <w:rsid w:val="001B697D"/>
    <w:rsid w:val="001B6B84"/>
    <w:rsid w:val="001B6D86"/>
    <w:rsid w:val="001B6D99"/>
    <w:rsid w:val="001B6DAA"/>
    <w:rsid w:val="001B6F1C"/>
    <w:rsid w:val="001B711E"/>
    <w:rsid w:val="001B728B"/>
    <w:rsid w:val="001B7440"/>
    <w:rsid w:val="001B75F5"/>
    <w:rsid w:val="001B7BB4"/>
    <w:rsid w:val="001B7C43"/>
    <w:rsid w:val="001B7E51"/>
    <w:rsid w:val="001B7F31"/>
    <w:rsid w:val="001C00B9"/>
    <w:rsid w:val="001C0B1A"/>
    <w:rsid w:val="001C0CBC"/>
    <w:rsid w:val="001C0F0F"/>
    <w:rsid w:val="001C1191"/>
    <w:rsid w:val="001C145C"/>
    <w:rsid w:val="001C173C"/>
    <w:rsid w:val="001C1AEA"/>
    <w:rsid w:val="001C2039"/>
    <w:rsid w:val="001C227C"/>
    <w:rsid w:val="001C2400"/>
    <w:rsid w:val="001C24C0"/>
    <w:rsid w:val="001C2588"/>
    <w:rsid w:val="001C2A8F"/>
    <w:rsid w:val="001C2B33"/>
    <w:rsid w:val="001C2D90"/>
    <w:rsid w:val="001C2EA0"/>
    <w:rsid w:val="001C3202"/>
    <w:rsid w:val="001C3250"/>
    <w:rsid w:val="001C358D"/>
    <w:rsid w:val="001C3602"/>
    <w:rsid w:val="001C39CF"/>
    <w:rsid w:val="001C3A08"/>
    <w:rsid w:val="001C3AF6"/>
    <w:rsid w:val="001C3CA2"/>
    <w:rsid w:val="001C3D84"/>
    <w:rsid w:val="001C3FF6"/>
    <w:rsid w:val="001C40D2"/>
    <w:rsid w:val="001C4107"/>
    <w:rsid w:val="001C45BD"/>
    <w:rsid w:val="001C46E6"/>
    <w:rsid w:val="001C47F7"/>
    <w:rsid w:val="001C48BC"/>
    <w:rsid w:val="001C4906"/>
    <w:rsid w:val="001C4940"/>
    <w:rsid w:val="001C4F77"/>
    <w:rsid w:val="001C504D"/>
    <w:rsid w:val="001C53E6"/>
    <w:rsid w:val="001C543E"/>
    <w:rsid w:val="001C549B"/>
    <w:rsid w:val="001C5941"/>
    <w:rsid w:val="001C5A6D"/>
    <w:rsid w:val="001C5BC7"/>
    <w:rsid w:val="001C5FA5"/>
    <w:rsid w:val="001C6002"/>
    <w:rsid w:val="001C6041"/>
    <w:rsid w:val="001C6238"/>
    <w:rsid w:val="001C6461"/>
    <w:rsid w:val="001C67D2"/>
    <w:rsid w:val="001C67FA"/>
    <w:rsid w:val="001C6822"/>
    <w:rsid w:val="001C6877"/>
    <w:rsid w:val="001C689A"/>
    <w:rsid w:val="001C6A32"/>
    <w:rsid w:val="001C6A53"/>
    <w:rsid w:val="001C73E5"/>
    <w:rsid w:val="001C75D8"/>
    <w:rsid w:val="001C77BE"/>
    <w:rsid w:val="001C79D3"/>
    <w:rsid w:val="001C7A1A"/>
    <w:rsid w:val="001C7B85"/>
    <w:rsid w:val="001C7C7B"/>
    <w:rsid w:val="001C7D59"/>
    <w:rsid w:val="001D0227"/>
    <w:rsid w:val="001D0230"/>
    <w:rsid w:val="001D027B"/>
    <w:rsid w:val="001D0370"/>
    <w:rsid w:val="001D0540"/>
    <w:rsid w:val="001D0711"/>
    <w:rsid w:val="001D0719"/>
    <w:rsid w:val="001D08D9"/>
    <w:rsid w:val="001D0B42"/>
    <w:rsid w:val="001D0B6C"/>
    <w:rsid w:val="001D0CD2"/>
    <w:rsid w:val="001D0D50"/>
    <w:rsid w:val="001D1038"/>
    <w:rsid w:val="001D10FC"/>
    <w:rsid w:val="001D1189"/>
    <w:rsid w:val="001D11E7"/>
    <w:rsid w:val="001D12C0"/>
    <w:rsid w:val="001D12FD"/>
    <w:rsid w:val="001D130E"/>
    <w:rsid w:val="001D1321"/>
    <w:rsid w:val="001D15D5"/>
    <w:rsid w:val="001D1AD5"/>
    <w:rsid w:val="001D1BC0"/>
    <w:rsid w:val="001D1BC9"/>
    <w:rsid w:val="001D1F61"/>
    <w:rsid w:val="001D2078"/>
    <w:rsid w:val="001D217D"/>
    <w:rsid w:val="001D25F7"/>
    <w:rsid w:val="001D28B4"/>
    <w:rsid w:val="001D28C1"/>
    <w:rsid w:val="001D2C30"/>
    <w:rsid w:val="001D333C"/>
    <w:rsid w:val="001D3349"/>
    <w:rsid w:val="001D34C0"/>
    <w:rsid w:val="001D351F"/>
    <w:rsid w:val="001D3635"/>
    <w:rsid w:val="001D38E9"/>
    <w:rsid w:val="001D3922"/>
    <w:rsid w:val="001D3CFC"/>
    <w:rsid w:val="001D3F46"/>
    <w:rsid w:val="001D417D"/>
    <w:rsid w:val="001D444E"/>
    <w:rsid w:val="001D4515"/>
    <w:rsid w:val="001D45CC"/>
    <w:rsid w:val="001D4600"/>
    <w:rsid w:val="001D4B5F"/>
    <w:rsid w:val="001D4DF4"/>
    <w:rsid w:val="001D4E78"/>
    <w:rsid w:val="001D50C4"/>
    <w:rsid w:val="001D5496"/>
    <w:rsid w:val="001D55B0"/>
    <w:rsid w:val="001D5795"/>
    <w:rsid w:val="001D5929"/>
    <w:rsid w:val="001D5A9A"/>
    <w:rsid w:val="001D5D00"/>
    <w:rsid w:val="001D5DE3"/>
    <w:rsid w:val="001D64BC"/>
    <w:rsid w:val="001D6563"/>
    <w:rsid w:val="001D6B52"/>
    <w:rsid w:val="001D6C4A"/>
    <w:rsid w:val="001D6DE0"/>
    <w:rsid w:val="001D7139"/>
    <w:rsid w:val="001D7511"/>
    <w:rsid w:val="001D756B"/>
    <w:rsid w:val="001D75E5"/>
    <w:rsid w:val="001D769A"/>
    <w:rsid w:val="001D7A9A"/>
    <w:rsid w:val="001D7AC4"/>
    <w:rsid w:val="001D7D3B"/>
    <w:rsid w:val="001D7DD5"/>
    <w:rsid w:val="001D7E9C"/>
    <w:rsid w:val="001D7EA0"/>
    <w:rsid w:val="001E00FB"/>
    <w:rsid w:val="001E0280"/>
    <w:rsid w:val="001E0328"/>
    <w:rsid w:val="001E05FB"/>
    <w:rsid w:val="001E0645"/>
    <w:rsid w:val="001E0687"/>
    <w:rsid w:val="001E0793"/>
    <w:rsid w:val="001E0CDD"/>
    <w:rsid w:val="001E112D"/>
    <w:rsid w:val="001E1363"/>
    <w:rsid w:val="001E13CB"/>
    <w:rsid w:val="001E1602"/>
    <w:rsid w:val="001E1623"/>
    <w:rsid w:val="001E1851"/>
    <w:rsid w:val="001E1A20"/>
    <w:rsid w:val="001E1A53"/>
    <w:rsid w:val="001E1C0F"/>
    <w:rsid w:val="001E2316"/>
    <w:rsid w:val="001E2320"/>
    <w:rsid w:val="001E2546"/>
    <w:rsid w:val="001E27C2"/>
    <w:rsid w:val="001E2F5B"/>
    <w:rsid w:val="001E309F"/>
    <w:rsid w:val="001E3194"/>
    <w:rsid w:val="001E330D"/>
    <w:rsid w:val="001E34D6"/>
    <w:rsid w:val="001E3518"/>
    <w:rsid w:val="001E35CD"/>
    <w:rsid w:val="001E3A38"/>
    <w:rsid w:val="001E3BD5"/>
    <w:rsid w:val="001E3CC2"/>
    <w:rsid w:val="001E3FD3"/>
    <w:rsid w:val="001E4157"/>
    <w:rsid w:val="001E4254"/>
    <w:rsid w:val="001E42A2"/>
    <w:rsid w:val="001E44AD"/>
    <w:rsid w:val="001E4BB6"/>
    <w:rsid w:val="001E4DD9"/>
    <w:rsid w:val="001E4F64"/>
    <w:rsid w:val="001E5116"/>
    <w:rsid w:val="001E530C"/>
    <w:rsid w:val="001E56BF"/>
    <w:rsid w:val="001E5BB6"/>
    <w:rsid w:val="001E5CB3"/>
    <w:rsid w:val="001E5E84"/>
    <w:rsid w:val="001E62D9"/>
    <w:rsid w:val="001E62DF"/>
    <w:rsid w:val="001E6336"/>
    <w:rsid w:val="001E6506"/>
    <w:rsid w:val="001E6543"/>
    <w:rsid w:val="001E6D44"/>
    <w:rsid w:val="001E766D"/>
    <w:rsid w:val="001E7874"/>
    <w:rsid w:val="001E7A33"/>
    <w:rsid w:val="001E7B0C"/>
    <w:rsid w:val="001E7C5E"/>
    <w:rsid w:val="001E7D80"/>
    <w:rsid w:val="001E7EED"/>
    <w:rsid w:val="001E7F32"/>
    <w:rsid w:val="001F02F3"/>
    <w:rsid w:val="001F06A1"/>
    <w:rsid w:val="001F0960"/>
    <w:rsid w:val="001F0BA4"/>
    <w:rsid w:val="001F0BDB"/>
    <w:rsid w:val="001F0BEB"/>
    <w:rsid w:val="001F0D9D"/>
    <w:rsid w:val="001F0DA0"/>
    <w:rsid w:val="001F1039"/>
    <w:rsid w:val="001F1171"/>
    <w:rsid w:val="001F12B0"/>
    <w:rsid w:val="001F195A"/>
    <w:rsid w:val="001F1C99"/>
    <w:rsid w:val="001F2188"/>
    <w:rsid w:val="001F2357"/>
    <w:rsid w:val="001F29C3"/>
    <w:rsid w:val="001F3539"/>
    <w:rsid w:val="001F3609"/>
    <w:rsid w:val="001F3761"/>
    <w:rsid w:val="001F38CD"/>
    <w:rsid w:val="001F397A"/>
    <w:rsid w:val="001F3B83"/>
    <w:rsid w:val="001F3BE8"/>
    <w:rsid w:val="001F3C0F"/>
    <w:rsid w:val="001F3D11"/>
    <w:rsid w:val="001F3E4A"/>
    <w:rsid w:val="001F407D"/>
    <w:rsid w:val="001F43F5"/>
    <w:rsid w:val="001F4A69"/>
    <w:rsid w:val="001F5500"/>
    <w:rsid w:val="001F55AB"/>
    <w:rsid w:val="001F57AE"/>
    <w:rsid w:val="001F58FC"/>
    <w:rsid w:val="001F5AD0"/>
    <w:rsid w:val="001F5C49"/>
    <w:rsid w:val="001F5C9B"/>
    <w:rsid w:val="001F5E3F"/>
    <w:rsid w:val="001F62A0"/>
    <w:rsid w:val="001F690D"/>
    <w:rsid w:val="001F69B2"/>
    <w:rsid w:val="001F69BD"/>
    <w:rsid w:val="001F6C85"/>
    <w:rsid w:val="001F6D20"/>
    <w:rsid w:val="001F6DB6"/>
    <w:rsid w:val="001F6EA4"/>
    <w:rsid w:val="001F71CC"/>
    <w:rsid w:val="001F72B4"/>
    <w:rsid w:val="001F7709"/>
    <w:rsid w:val="001F78CB"/>
    <w:rsid w:val="001F793F"/>
    <w:rsid w:val="001F7A80"/>
    <w:rsid w:val="001F7F0D"/>
    <w:rsid w:val="002005A6"/>
    <w:rsid w:val="00200890"/>
    <w:rsid w:val="002008E2"/>
    <w:rsid w:val="0020096C"/>
    <w:rsid w:val="00200B4B"/>
    <w:rsid w:val="00200C70"/>
    <w:rsid w:val="00200CFA"/>
    <w:rsid w:val="00200F29"/>
    <w:rsid w:val="00200F76"/>
    <w:rsid w:val="00200F7D"/>
    <w:rsid w:val="002011C2"/>
    <w:rsid w:val="00201234"/>
    <w:rsid w:val="00201A95"/>
    <w:rsid w:val="00201B33"/>
    <w:rsid w:val="00201BE7"/>
    <w:rsid w:val="00201BE8"/>
    <w:rsid w:val="00201E6D"/>
    <w:rsid w:val="002020D5"/>
    <w:rsid w:val="0020216A"/>
    <w:rsid w:val="00202528"/>
    <w:rsid w:val="002026AC"/>
    <w:rsid w:val="00202865"/>
    <w:rsid w:val="00202B9E"/>
    <w:rsid w:val="00202D98"/>
    <w:rsid w:val="00203410"/>
    <w:rsid w:val="002036DA"/>
    <w:rsid w:val="0020400D"/>
    <w:rsid w:val="0020410D"/>
    <w:rsid w:val="00204304"/>
    <w:rsid w:val="00204413"/>
    <w:rsid w:val="00204B74"/>
    <w:rsid w:val="00205483"/>
    <w:rsid w:val="0020566E"/>
    <w:rsid w:val="00205BDF"/>
    <w:rsid w:val="00205DFA"/>
    <w:rsid w:val="002061E4"/>
    <w:rsid w:val="00206229"/>
    <w:rsid w:val="002062E4"/>
    <w:rsid w:val="00206701"/>
    <w:rsid w:val="00207012"/>
    <w:rsid w:val="00207131"/>
    <w:rsid w:val="0020753B"/>
    <w:rsid w:val="00207550"/>
    <w:rsid w:val="002078C3"/>
    <w:rsid w:val="00207C5C"/>
    <w:rsid w:val="00207C81"/>
    <w:rsid w:val="00207CD0"/>
    <w:rsid w:val="00207EE6"/>
    <w:rsid w:val="00210001"/>
    <w:rsid w:val="00210269"/>
    <w:rsid w:val="002103DC"/>
    <w:rsid w:val="0021066D"/>
    <w:rsid w:val="00210768"/>
    <w:rsid w:val="00210F51"/>
    <w:rsid w:val="00210FB6"/>
    <w:rsid w:val="002111D2"/>
    <w:rsid w:val="00211474"/>
    <w:rsid w:val="00211702"/>
    <w:rsid w:val="0021180E"/>
    <w:rsid w:val="00211932"/>
    <w:rsid w:val="00211D3B"/>
    <w:rsid w:val="002122C2"/>
    <w:rsid w:val="00212335"/>
    <w:rsid w:val="002123CD"/>
    <w:rsid w:val="0021254A"/>
    <w:rsid w:val="0021257F"/>
    <w:rsid w:val="0021271D"/>
    <w:rsid w:val="0021281A"/>
    <w:rsid w:val="0021293B"/>
    <w:rsid w:val="002129C5"/>
    <w:rsid w:val="002129E6"/>
    <w:rsid w:val="00212AE3"/>
    <w:rsid w:val="00212BA1"/>
    <w:rsid w:val="00212D55"/>
    <w:rsid w:val="00212E53"/>
    <w:rsid w:val="00213152"/>
    <w:rsid w:val="00213569"/>
    <w:rsid w:val="002142BF"/>
    <w:rsid w:val="00214495"/>
    <w:rsid w:val="0021453B"/>
    <w:rsid w:val="00214603"/>
    <w:rsid w:val="00214780"/>
    <w:rsid w:val="00214881"/>
    <w:rsid w:val="00214902"/>
    <w:rsid w:val="00214B3A"/>
    <w:rsid w:val="00215025"/>
    <w:rsid w:val="00215B26"/>
    <w:rsid w:val="00215F4E"/>
    <w:rsid w:val="00215FFE"/>
    <w:rsid w:val="002161EE"/>
    <w:rsid w:val="00216252"/>
    <w:rsid w:val="002162B0"/>
    <w:rsid w:val="00216418"/>
    <w:rsid w:val="002166B7"/>
    <w:rsid w:val="002166E2"/>
    <w:rsid w:val="00216B07"/>
    <w:rsid w:val="00216B6A"/>
    <w:rsid w:val="0021703F"/>
    <w:rsid w:val="00217803"/>
    <w:rsid w:val="002178E7"/>
    <w:rsid w:val="00217950"/>
    <w:rsid w:val="00217D2D"/>
    <w:rsid w:val="00217E38"/>
    <w:rsid w:val="0022027D"/>
    <w:rsid w:val="0022046C"/>
    <w:rsid w:val="002207A4"/>
    <w:rsid w:val="00220B7B"/>
    <w:rsid w:val="00220D97"/>
    <w:rsid w:val="0022100B"/>
    <w:rsid w:val="0022102A"/>
    <w:rsid w:val="00221288"/>
    <w:rsid w:val="0022174E"/>
    <w:rsid w:val="00221A89"/>
    <w:rsid w:val="00221DB5"/>
    <w:rsid w:val="00221F24"/>
    <w:rsid w:val="002223F1"/>
    <w:rsid w:val="0022252D"/>
    <w:rsid w:val="0022273E"/>
    <w:rsid w:val="00222805"/>
    <w:rsid w:val="00222821"/>
    <w:rsid w:val="00222910"/>
    <w:rsid w:val="002229FE"/>
    <w:rsid w:val="00222A17"/>
    <w:rsid w:val="00222A86"/>
    <w:rsid w:val="00222BD7"/>
    <w:rsid w:val="00222D07"/>
    <w:rsid w:val="00222DE5"/>
    <w:rsid w:val="002230F4"/>
    <w:rsid w:val="0022320E"/>
    <w:rsid w:val="00223322"/>
    <w:rsid w:val="00223B87"/>
    <w:rsid w:val="00223E8F"/>
    <w:rsid w:val="00223FC3"/>
    <w:rsid w:val="002243B4"/>
    <w:rsid w:val="002243E4"/>
    <w:rsid w:val="00224472"/>
    <w:rsid w:val="0022454E"/>
    <w:rsid w:val="00224D84"/>
    <w:rsid w:val="00224FD4"/>
    <w:rsid w:val="002250F7"/>
    <w:rsid w:val="0022548C"/>
    <w:rsid w:val="00225527"/>
    <w:rsid w:val="002255E7"/>
    <w:rsid w:val="002258BF"/>
    <w:rsid w:val="00225C3A"/>
    <w:rsid w:val="00226738"/>
    <w:rsid w:val="00226934"/>
    <w:rsid w:val="00226972"/>
    <w:rsid w:val="00226C08"/>
    <w:rsid w:val="00226CB6"/>
    <w:rsid w:val="00226E86"/>
    <w:rsid w:val="002271DF"/>
    <w:rsid w:val="002272C8"/>
    <w:rsid w:val="0022774C"/>
    <w:rsid w:val="00227AEB"/>
    <w:rsid w:val="00227B5E"/>
    <w:rsid w:val="00227DA3"/>
    <w:rsid w:val="0023002B"/>
    <w:rsid w:val="00230476"/>
    <w:rsid w:val="0023056C"/>
    <w:rsid w:val="0023082D"/>
    <w:rsid w:val="00230A5A"/>
    <w:rsid w:val="00230DA5"/>
    <w:rsid w:val="002310CA"/>
    <w:rsid w:val="0023125F"/>
    <w:rsid w:val="002312AD"/>
    <w:rsid w:val="0023142C"/>
    <w:rsid w:val="0023167B"/>
    <w:rsid w:val="002316BF"/>
    <w:rsid w:val="0023187C"/>
    <w:rsid w:val="002319D4"/>
    <w:rsid w:val="00231B00"/>
    <w:rsid w:val="00231EDA"/>
    <w:rsid w:val="00231F9E"/>
    <w:rsid w:val="002330B3"/>
    <w:rsid w:val="002331D7"/>
    <w:rsid w:val="002335B3"/>
    <w:rsid w:val="00233674"/>
    <w:rsid w:val="00233741"/>
    <w:rsid w:val="00233926"/>
    <w:rsid w:val="00233E10"/>
    <w:rsid w:val="00233FD7"/>
    <w:rsid w:val="00234278"/>
    <w:rsid w:val="002345B6"/>
    <w:rsid w:val="002348F9"/>
    <w:rsid w:val="00234947"/>
    <w:rsid w:val="00234A5F"/>
    <w:rsid w:val="00234BA3"/>
    <w:rsid w:val="00234D43"/>
    <w:rsid w:val="0023511D"/>
    <w:rsid w:val="002351BB"/>
    <w:rsid w:val="0023520B"/>
    <w:rsid w:val="00235218"/>
    <w:rsid w:val="0023587D"/>
    <w:rsid w:val="00235899"/>
    <w:rsid w:val="00235C7A"/>
    <w:rsid w:val="00235CA8"/>
    <w:rsid w:val="00235E57"/>
    <w:rsid w:val="0023636E"/>
    <w:rsid w:val="00236479"/>
    <w:rsid w:val="0023685E"/>
    <w:rsid w:val="00236C7D"/>
    <w:rsid w:val="00236D27"/>
    <w:rsid w:val="002375C5"/>
    <w:rsid w:val="002375EF"/>
    <w:rsid w:val="0023782C"/>
    <w:rsid w:val="00237A9E"/>
    <w:rsid w:val="00237AEA"/>
    <w:rsid w:val="00237CF5"/>
    <w:rsid w:val="00237D4A"/>
    <w:rsid w:val="00237E63"/>
    <w:rsid w:val="00237F1A"/>
    <w:rsid w:val="0024009B"/>
    <w:rsid w:val="00240155"/>
    <w:rsid w:val="00240235"/>
    <w:rsid w:val="002402DF"/>
    <w:rsid w:val="00240860"/>
    <w:rsid w:val="00240866"/>
    <w:rsid w:val="00240933"/>
    <w:rsid w:val="00240A02"/>
    <w:rsid w:val="00240F98"/>
    <w:rsid w:val="00241096"/>
    <w:rsid w:val="00241126"/>
    <w:rsid w:val="002414B3"/>
    <w:rsid w:val="002417E1"/>
    <w:rsid w:val="002417FE"/>
    <w:rsid w:val="0024186E"/>
    <w:rsid w:val="00241DBF"/>
    <w:rsid w:val="0024209A"/>
    <w:rsid w:val="0024251D"/>
    <w:rsid w:val="00242559"/>
    <w:rsid w:val="00242B6B"/>
    <w:rsid w:val="00242F58"/>
    <w:rsid w:val="0024300D"/>
    <w:rsid w:val="00243102"/>
    <w:rsid w:val="0024321F"/>
    <w:rsid w:val="0024364C"/>
    <w:rsid w:val="002437BF"/>
    <w:rsid w:val="002438A8"/>
    <w:rsid w:val="00243A2E"/>
    <w:rsid w:val="00243BB7"/>
    <w:rsid w:val="00243EC5"/>
    <w:rsid w:val="00243F09"/>
    <w:rsid w:val="00244605"/>
    <w:rsid w:val="002448A4"/>
    <w:rsid w:val="00244C80"/>
    <w:rsid w:val="00244D76"/>
    <w:rsid w:val="00244E14"/>
    <w:rsid w:val="00244F90"/>
    <w:rsid w:val="002450D3"/>
    <w:rsid w:val="002451E9"/>
    <w:rsid w:val="002452D4"/>
    <w:rsid w:val="00245871"/>
    <w:rsid w:val="00246267"/>
    <w:rsid w:val="002467C1"/>
    <w:rsid w:val="0024682E"/>
    <w:rsid w:val="002468DC"/>
    <w:rsid w:val="002468E5"/>
    <w:rsid w:val="002469F0"/>
    <w:rsid w:val="00247041"/>
    <w:rsid w:val="00247284"/>
    <w:rsid w:val="0024789C"/>
    <w:rsid w:val="00247B54"/>
    <w:rsid w:val="00247BAF"/>
    <w:rsid w:val="00247FCC"/>
    <w:rsid w:val="00250133"/>
    <w:rsid w:val="002501D6"/>
    <w:rsid w:val="00250275"/>
    <w:rsid w:val="0025035F"/>
    <w:rsid w:val="0025042F"/>
    <w:rsid w:val="00250797"/>
    <w:rsid w:val="00250B10"/>
    <w:rsid w:val="00250B78"/>
    <w:rsid w:val="00250BD0"/>
    <w:rsid w:val="00250CED"/>
    <w:rsid w:val="00250D42"/>
    <w:rsid w:val="00250E31"/>
    <w:rsid w:val="00250EDE"/>
    <w:rsid w:val="00251122"/>
    <w:rsid w:val="002517C9"/>
    <w:rsid w:val="002518F3"/>
    <w:rsid w:val="00251A3F"/>
    <w:rsid w:val="00251BBF"/>
    <w:rsid w:val="00251D03"/>
    <w:rsid w:val="00251D1D"/>
    <w:rsid w:val="00252447"/>
    <w:rsid w:val="00252A1F"/>
    <w:rsid w:val="00252E5D"/>
    <w:rsid w:val="00253B0F"/>
    <w:rsid w:val="00253DE0"/>
    <w:rsid w:val="0025416D"/>
    <w:rsid w:val="002543A5"/>
    <w:rsid w:val="00254414"/>
    <w:rsid w:val="00254571"/>
    <w:rsid w:val="002545C4"/>
    <w:rsid w:val="0025497C"/>
    <w:rsid w:val="00254C4E"/>
    <w:rsid w:val="00254D53"/>
    <w:rsid w:val="00254DB1"/>
    <w:rsid w:val="00254E0F"/>
    <w:rsid w:val="00254E9C"/>
    <w:rsid w:val="00254EE5"/>
    <w:rsid w:val="0025511A"/>
    <w:rsid w:val="00255573"/>
    <w:rsid w:val="0025564A"/>
    <w:rsid w:val="00255767"/>
    <w:rsid w:val="002558C6"/>
    <w:rsid w:val="00255AA4"/>
    <w:rsid w:val="00255F15"/>
    <w:rsid w:val="00256148"/>
    <w:rsid w:val="002561FA"/>
    <w:rsid w:val="0025667F"/>
    <w:rsid w:val="00256739"/>
    <w:rsid w:val="00256C8C"/>
    <w:rsid w:val="00257098"/>
    <w:rsid w:val="002573CD"/>
    <w:rsid w:val="00257B21"/>
    <w:rsid w:val="0026007D"/>
    <w:rsid w:val="00260194"/>
    <w:rsid w:val="00260257"/>
    <w:rsid w:val="00260365"/>
    <w:rsid w:val="002608D4"/>
    <w:rsid w:val="00260A73"/>
    <w:rsid w:val="00260A9E"/>
    <w:rsid w:val="00260B21"/>
    <w:rsid w:val="00260ED6"/>
    <w:rsid w:val="002610E8"/>
    <w:rsid w:val="00261A17"/>
    <w:rsid w:val="00261D1A"/>
    <w:rsid w:val="00261E5F"/>
    <w:rsid w:val="00262081"/>
    <w:rsid w:val="0026231C"/>
    <w:rsid w:val="002624C6"/>
    <w:rsid w:val="00262989"/>
    <w:rsid w:val="00262B2D"/>
    <w:rsid w:val="00262F20"/>
    <w:rsid w:val="00262FDD"/>
    <w:rsid w:val="002630E4"/>
    <w:rsid w:val="00263226"/>
    <w:rsid w:val="002637D2"/>
    <w:rsid w:val="00263913"/>
    <w:rsid w:val="00263954"/>
    <w:rsid w:val="00264123"/>
    <w:rsid w:val="002641F5"/>
    <w:rsid w:val="00264201"/>
    <w:rsid w:val="00264243"/>
    <w:rsid w:val="00264396"/>
    <w:rsid w:val="002645F6"/>
    <w:rsid w:val="00264730"/>
    <w:rsid w:val="00264864"/>
    <w:rsid w:val="00264AB3"/>
    <w:rsid w:val="00264D6A"/>
    <w:rsid w:val="00264DCD"/>
    <w:rsid w:val="00265089"/>
    <w:rsid w:val="0026522C"/>
    <w:rsid w:val="00265487"/>
    <w:rsid w:val="00265575"/>
    <w:rsid w:val="00265AA3"/>
    <w:rsid w:val="00265B8B"/>
    <w:rsid w:val="00265CD8"/>
    <w:rsid w:val="00265E3B"/>
    <w:rsid w:val="00265E98"/>
    <w:rsid w:val="00265EF3"/>
    <w:rsid w:val="002663DC"/>
    <w:rsid w:val="00266674"/>
    <w:rsid w:val="00266785"/>
    <w:rsid w:val="002668DE"/>
    <w:rsid w:val="00266B26"/>
    <w:rsid w:val="00266B63"/>
    <w:rsid w:val="00266BD5"/>
    <w:rsid w:val="00266C24"/>
    <w:rsid w:val="00266CA6"/>
    <w:rsid w:val="00266CAF"/>
    <w:rsid w:val="00266DE7"/>
    <w:rsid w:val="002670ED"/>
    <w:rsid w:val="002675AC"/>
    <w:rsid w:val="0026795E"/>
    <w:rsid w:val="00267C54"/>
    <w:rsid w:val="00267FBC"/>
    <w:rsid w:val="0027000F"/>
    <w:rsid w:val="00270177"/>
    <w:rsid w:val="00270367"/>
    <w:rsid w:val="002707D2"/>
    <w:rsid w:val="0027083A"/>
    <w:rsid w:val="00270AEA"/>
    <w:rsid w:val="00270B30"/>
    <w:rsid w:val="0027133B"/>
    <w:rsid w:val="002714EC"/>
    <w:rsid w:val="002715B0"/>
    <w:rsid w:val="0027160B"/>
    <w:rsid w:val="002718DF"/>
    <w:rsid w:val="00271BFC"/>
    <w:rsid w:val="00271D19"/>
    <w:rsid w:val="00271D3E"/>
    <w:rsid w:val="00272380"/>
    <w:rsid w:val="002723C1"/>
    <w:rsid w:val="00272565"/>
    <w:rsid w:val="002725CF"/>
    <w:rsid w:val="0027286E"/>
    <w:rsid w:val="00272870"/>
    <w:rsid w:val="00272B27"/>
    <w:rsid w:val="00272D25"/>
    <w:rsid w:val="00273268"/>
    <w:rsid w:val="0027331C"/>
    <w:rsid w:val="002734F3"/>
    <w:rsid w:val="00273942"/>
    <w:rsid w:val="00273CAE"/>
    <w:rsid w:val="00273D0A"/>
    <w:rsid w:val="00273E24"/>
    <w:rsid w:val="00273F1B"/>
    <w:rsid w:val="00273F89"/>
    <w:rsid w:val="00273FBC"/>
    <w:rsid w:val="00274292"/>
    <w:rsid w:val="00274432"/>
    <w:rsid w:val="00274449"/>
    <w:rsid w:val="00274558"/>
    <w:rsid w:val="002745EF"/>
    <w:rsid w:val="002745FE"/>
    <w:rsid w:val="002747F5"/>
    <w:rsid w:val="00274A0A"/>
    <w:rsid w:val="00274E48"/>
    <w:rsid w:val="00274FCD"/>
    <w:rsid w:val="00275845"/>
    <w:rsid w:val="00275D42"/>
    <w:rsid w:val="00276287"/>
    <w:rsid w:val="0027638E"/>
    <w:rsid w:val="002764CF"/>
    <w:rsid w:val="00276DB7"/>
    <w:rsid w:val="002772BC"/>
    <w:rsid w:val="0027733A"/>
    <w:rsid w:val="00277791"/>
    <w:rsid w:val="0027792F"/>
    <w:rsid w:val="00277AAF"/>
    <w:rsid w:val="00277D3D"/>
    <w:rsid w:val="00277F42"/>
    <w:rsid w:val="00280919"/>
    <w:rsid w:val="00280953"/>
    <w:rsid w:val="00280985"/>
    <w:rsid w:val="00280991"/>
    <w:rsid w:val="00280A4C"/>
    <w:rsid w:val="00280C49"/>
    <w:rsid w:val="00280C7F"/>
    <w:rsid w:val="00280EBE"/>
    <w:rsid w:val="0028101F"/>
    <w:rsid w:val="00281035"/>
    <w:rsid w:val="0028110C"/>
    <w:rsid w:val="0028149E"/>
    <w:rsid w:val="00281819"/>
    <w:rsid w:val="00281BDD"/>
    <w:rsid w:val="00282AF3"/>
    <w:rsid w:val="00282E8C"/>
    <w:rsid w:val="002830BF"/>
    <w:rsid w:val="002831C3"/>
    <w:rsid w:val="002832DF"/>
    <w:rsid w:val="00283313"/>
    <w:rsid w:val="0028342E"/>
    <w:rsid w:val="00283430"/>
    <w:rsid w:val="002836E3"/>
    <w:rsid w:val="002837A3"/>
    <w:rsid w:val="002839F8"/>
    <w:rsid w:val="00283BDF"/>
    <w:rsid w:val="00283C8F"/>
    <w:rsid w:val="00283EF1"/>
    <w:rsid w:val="00284124"/>
    <w:rsid w:val="002846E0"/>
    <w:rsid w:val="002848C7"/>
    <w:rsid w:val="00284ACD"/>
    <w:rsid w:val="00284BE7"/>
    <w:rsid w:val="00284C2F"/>
    <w:rsid w:val="00284C34"/>
    <w:rsid w:val="00285635"/>
    <w:rsid w:val="00285660"/>
    <w:rsid w:val="002858CD"/>
    <w:rsid w:val="002859BC"/>
    <w:rsid w:val="00285AAF"/>
    <w:rsid w:val="00285AFB"/>
    <w:rsid w:val="00285B14"/>
    <w:rsid w:val="00285D7C"/>
    <w:rsid w:val="00285D94"/>
    <w:rsid w:val="00286305"/>
    <w:rsid w:val="0028690F"/>
    <w:rsid w:val="002869A1"/>
    <w:rsid w:val="00286A9F"/>
    <w:rsid w:val="00286E3F"/>
    <w:rsid w:val="00286F1D"/>
    <w:rsid w:val="00287100"/>
    <w:rsid w:val="002875CE"/>
    <w:rsid w:val="00287618"/>
    <w:rsid w:val="00287659"/>
    <w:rsid w:val="00287667"/>
    <w:rsid w:val="0028770E"/>
    <w:rsid w:val="00287ABD"/>
    <w:rsid w:val="00287E26"/>
    <w:rsid w:val="00290254"/>
    <w:rsid w:val="0029039E"/>
    <w:rsid w:val="00290464"/>
    <w:rsid w:val="0029048D"/>
    <w:rsid w:val="00290604"/>
    <w:rsid w:val="00290932"/>
    <w:rsid w:val="00290A13"/>
    <w:rsid w:val="00290AFD"/>
    <w:rsid w:val="00290F4B"/>
    <w:rsid w:val="00290FF4"/>
    <w:rsid w:val="00291236"/>
    <w:rsid w:val="00291543"/>
    <w:rsid w:val="002915EB"/>
    <w:rsid w:val="002917CC"/>
    <w:rsid w:val="002917F4"/>
    <w:rsid w:val="00291A0C"/>
    <w:rsid w:val="00291A2E"/>
    <w:rsid w:val="00291B98"/>
    <w:rsid w:val="00291BD6"/>
    <w:rsid w:val="00291F04"/>
    <w:rsid w:val="00292193"/>
    <w:rsid w:val="0029238F"/>
    <w:rsid w:val="002923A1"/>
    <w:rsid w:val="002927D0"/>
    <w:rsid w:val="00292A27"/>
    <w:rsid w:val="00292D15"/>
    <w:rsid w:val="00292E47"/>
    <w:rsid w:val="00292EBB"/>
    <w:rsid w:val="00292EC2"/>
    <w:rsid w:val="002931F5"/>
    <w:rsid w:val="00293266"/>
    <w:rsid w:val="002933B4"/>
    <w:rsid w:val="002935C5"/>
    <w:rsid w:val="00293750"/>
    <w:rsid w:val="002937F8"/>
    <w:rsid w:val="0029407D"/>
    <w:rsid w:val="00294865"/>
    <w:rsid w:val="00294A5F"/>
    <w:rsid w:val="00294D86"/>
    <w:rsid w:val="002951E6"/>
    <w:rsid w:val="00295254"/>
    <w:rsid w:val="002953FA"/>
    <w:rsid w:val="00295460"/>
    <w:rsid w:val="002956C5"/>
    <w:rsid w:val="00296065"/>
    <w:rsid w:val="00296479"/>
    <w:rsid w:val="00296740"/>
    <w:rsid w:val="002967AD"/>
    <w:rsid w:val="002967E0"/>
    <w:rsid w:val="00296964"/>
    <w:rsid w:val="0029697F"/>
    <w:rsid w:val="00296C0C"/>
    <w:rsid w:val="00296D73"/>
    <w:rsid w:val="00296E98"/>
    <w:rsid w:val="00297095"/>
    <w:rsid w:val="0029740D"/>
    <w:rsid w:val="00297501"/>
    <w:rsid w:val="002975B9"/>
    <w:rsid w:val="00297EE8"/>
    <w:rsid w:val="00297FB2"/>
    <w:rsid w:val="002A034F"/>
    <w:rsid w:val="002A03F2"/>
    <w:rsid w:val="002A06F2"/>
    <w:rsid w:val="002A07FB"/>
    <w:rsid w:val="002A0AA0"/>
    <w:rsid w:val="002A0DAB"/>
    <w:rsid w:val="002A0F2B"/>
    <w:rsid w:val="002A1033"/>
    <w:rsid w:val="002A106F"/>
    <w:rsid w:val="002A11B3"/>
    <w:rsid w:val="002A133C"/>
    <w:rsid w:val="002A1595"/>
    <w:rsid w:val="002A1669"/>
    <w:rsid w:val="002A1830"/>
    <w:rsid w:val="002A187F"/>
    <w:rsid w:val="002A1887"/>
    <w:rsid w:val="002A27EA"/>
    <w:rsid w:val="002A2B00"/>
    <w:rsid w:val="002A373E"/>
    <w:rsid w:val="002A375F"/>
    <w:rsid w:val="002A3A3F"/>
    <w:rsid w:val="002A3C3D"/>
    <w:rsid w:val="002A3FF4"/>
    <w:rsid w:val="002A409A"/>
    <w:rsid w:val="002A40B9"/>
    <w:rsid w:val="002A4100"/>
    <w:rsid w:val="002A43D7"/>
    <w:rsid w:val="002A5348"/>
    <w:rsid w:val="002A56FA"/>
    <w:rsid w:val="002A575A"/>
    <w:rsid w:val="002A578C"/>
    <w:rsid w:val="002A5867"/>
    <w:rsid w:val="002A5B00"/>
    <w:rsid w:val="002A5D72"/>
    <w:rsid w:val="002A5D95"/>
    <w:rsid w:val="002A6361"/>
    <w:rsid w:val="002A65DC"/>
    <w:rsid w:val="002A6693"/>
    <w:rsid w:val="002A6960"/>
    <w:rsid w:val="002A6A96"/>
    <w:rsid w:val="002A6B54"/>
    <w:rsid w:val="002A6C7A"/>
    <w:rsid w:val="002A6D36"/>
    <w:rsid w:val="002A74CD"/>
    <w:rsid w:val="002A74DD"/>
    <w:rsid w:val="002A750D"/>
    <w:rsid w:val="002A7D59"/>
    <w:rsid w:val="002A7E55"/>
    <w:rsid w:val="002A7FA0"/>
    <w:rsid w:val="002A7FAF"/>
    <w:rsid w:val="002B095D"/>
    <w:rsid w:val="002B09B2"/>
    <w:rsid w:val="002B0E40"/>
    <w:rsid w:val="002B0E98"/>
    <w:rsid w:val="002B1002"/>
    <w:rsid w:val="002B1096"/>
    <w:rsid w:val="002B14CC"/>
    <w:rsid w:val="002B1529"/>
    <w:rsid w:val="002B1639"/>
    <w:rsid w:val="002B1CAD"/>
    <w:rsid w:val="002B1D5F"/>
    <w:rsid w:val="002B25B0"/>
    <w:rsid w:val="002B2892"/>
    <w:rsid w:val="002B2978"/>
    <w:rsid w:val="002B2B9D"/>
    <w:rsid w:val="002B2D6D"/>
    <w:rsid w:val="002B2D6E"/>
    <w:rsid w:val="002B2E4C"/>
    <w:rsid w:val="002B31F5"/>
    <w:rsid w:val="002B3496"/>
    <w:rsid w:val="002B3643"/>
    <w:rsid w:val="002B3744"/>
    <w:rsid w:val="002B3EFF"/>
    <w:rsid w:val="002B3F8D"/>
    <w:rsid w:val="002B432E"/>
    <w:rsid w:val="002B494A"/>
    <w:rsid w:val="002B497D"/>
    <w:rsid w:val="002B5069"/>
    <w:rsid w:val="002B5450"/>
    <w:rsid w:val="002B5573"/>
    <w:rsid w:val="002B55EB"/>
    <w:rsid w:val="002B55F5"/>
    <w:rsid w:val="002B564F"/>
    <w:rsid w:val="002B58E6"/>
    <w:rsid w:val="002B5B54"/>
    <w:rsid w:val="002B5F58"/>
    <w:rsid w:val="002B5FE7"/>
    <w:rsid w:val="002B6138"/>
    <w:rsid w:val="002B6230"/>
    <w:rsid w:val="002B6509"/>
    <w:rsid w:val="002B66BA"/>
    <w:rsid w:val="002B6B49"/>
    <w:rsid w:val="002B6FF7"/>
    <w:rsid w:val="002B71BE"/>
    <w:rsid w:val="002B7663"/>
    <w:rsid w:val="002B76F9"/>
    <w:rsid w:val="002B77A7"/>
    <w:rsid w:val="002B7930"/>
    <w:rsid w:val="002B79BD"/>
    <w:rsid w:val="002C01C4"/>
    <w:rsid w:val="002C024D"/>
    <w:rsid w:val="002C070B"/>
    <w:rsid w:val="002C084E"/>
    <w:rsid w:val="002C0A6F"/>
    <w:rsid w:val="002C0A91"/>
    <w:rsid w:val="002C0B9A"/>
    <w:rsid w:val="002C0C8C"/>
    <w:rsid w:val="002C10C4"/>
    <w:rsid w:val="002C126D"/>
    <w:rsid w:val="002C13EC"/>
    <w:rsid w:val="002C1431"/>
    <w:rsid w:val="002C179F"/>
    <w:rsid w:val="002C1A96"/>
    <w:rsid w:val="002C1DFF"/>
    <w:rsid w:val="002C1E4B"/>
    <w:rsid w:val="002C2932"/>
    <w:rsid w:val="002C29A1"/>
    <w:rsid w:val="002C2D1B"/>
    <w:rsid w:val="002C312D"/>
    <w:rsid w:val="002C32FA"/>
    <w:rsid w:val="002C3304"/>
    <w:rsid w:val="002C341F"/>
    <w:rsid w:val="002C37BB"/>
    <w:rsid w:val="002C37CE"/>
    <w:rsid w:val="002C39E3"/>
    <w:rsid w:val="002C3A63"/>
    <w:rsid w:val="002C3AC2"/>
    <w:rsid w:val="002C3C44"/>
    <w:rsid w:val="002C3FA0"/>
    <w:rsid w:val="002C4224"/>
    <w:rsid w:val="002C43A9"/>
    <w:rsid w:val="002C469A"/>
    <w:rsid w:val="002C47A0"/>
    <w:rsid w:val="002C48F5"/>
    <w:rsid w:val="002C4C53"/>
    <w:rsid w:val="002C4C87"/>
    <w:rsid w:val="002C5022"/>
    <w:rsid w:val="002C543C"/>
    <w:rsid w:val="002C54AC"/>
    <w:rsid w:val="002C58F0"/>
    <w:rsid w:val="002C5923"/>
    <w:rsid w:val="002C5AC9"/>
    <w:rsid w:val="002C6105"/>
    <w:rsid w:val="002C6291"/>
    <w:rsid w:val="002C62E8"/>
    <w:rsid w:val="002C62EE"/>
    <w:rsid w:val="002C649F"/>
    <w:rsid w:val="002C64CD"/>
    <w:rsid w:val="002C64D4"/>
    <w:rsid w:val="002C65A5"/>
    <w:rsid w:val="002C6ED7"/>
    <w:rsid w:val="002C6FCF"/>
    <w:rsid w:val="002C7039"/>
    <w:rsid w:val="002C708D"/>
    <w:rsid w:val="002C70F2"/>
    <w:rsid w:val="002C73D0"/>
    <w:rsid w:val="002C77F9"/>
    <w:rsid w:val="002C78C6"/>
    <w:rsid w:val="002C792D"/>
    <w:rsid w:val="002C7B82"/>
    <w:rsid w:val="002C7BB1"/>
    <w:rsid w:val="002C7DC8"/>
    <w:rsid w:val="002C7FCF"/>
    <w:rsid w:val="002D02C8"/>
    <w:rsid w:val="002D041B"/>
    <w:rsid w:val="002D0556"/>
    <w:rsid w:val="002D0751"/>
    <w:rsid w:val="002D07E8"/>
    <w:rsid w:val="002D0F22"/>
    <w:rsid w:val="002D11AE"/>
    <w:rsid w:val="002D1323"/>
    <w:rsid w:val="002D18DE"/>
    <w:rsid w:val="002D194E"/>
    <w:rsid w:val="002D19A4"/>
    <w:rsid w:val="002D19D3"/>
    <w:rsid w:val="002D1A0A"/>
    <w:rsid w:val="002D1F27"/>
    <w:rsid w:val="002D1F33"/>
    <w:rsid w:val="002D21F0"/>
    <w:rsid w:val="002D2222"/>
    <w:rsid w:val="002D2323"/>
    <w:rsid w:val="002D2889"/>
    <w:rsid w:val="002D29F5"/>
    <w:rsid w:val="002D2A14"/>
    <w:rsid w:val="002D2D45"/>
    <w:rsid w:val="002D2D90"/>
    <w:rsid w:val="002D30D5"/>
    <w:rsid w:val="002D31AD"/>
    <w:rsid w:val="002D335C"/>
    <w:rsid w:val="002D3909"/>
    <w:rsid w:val="002D3F20"/>
    <w:rsid w:val="002D3FD8"/>
    <w:rsid w:val="002D444D"/>
    <w:rsid w:val="002D47D7"/>
    <w:rsid w:val="002D4A98"/>
    <w:rsid w:val="002D4BC6"/>
    <w:rsid w:val="002D4CB8"/>
    <w:rsid w:val="002D4FF0"/>
    <w:rsid w:val="002D5125"/>
    <w:rsid w:val="002D540B"/>
    <w:rsid w:val="002D5ADA"/>
    <w:rsid w:val="002D5B8C"/>
    <w:rsid w:val="002D5D9B"/>
    <w:rsid w:val="002D5FC1"/>
    <w:rsid w:val="002D60A7"/>
    <w:rsid w:val="002D6548"/>
    <w:rsid w:val="002D7249"/>
    <w:rsid w:val="002D72BA"/>
    <w:rsid w:val="002D730A"/>
    <w:rsid w:val="002D7567"/>
    <w:rsid w:val="002D7C6D"/>
    <w:rsid w:val="002D7F02"/>
    <w:rsid w:val="002D7FF9"/>
    <w:rsid w:val="002E0235"/>
    <w:rsid w:val="002E0952"/>
    <w:rsid w:val="002E09D9"/>
    <w:rsid w:val="002E0F72"/>
    <w:rsid w:val="002E1192"/>
    <w:rsid w:val="002E144D"/>
    <w:rsid w:val="002E1472"/>
    <w:rsid w:val="002E1500"/>
    <w:rsid w:val="002E156F"/>
    <w:rsid w:val="002E1686"/>
    <w:rsid w:val="002E1A8B"/>
    <w:rsid w:val="002E1D35"/>
    <w:rsid w:val="002E1FBB"/>
    <w:rsid w:val="002E2013"/>
    <w:rsid w:val="002E207B"/>
    <w:rsid w:val="002E2123"/>
    <w:rsid w:val="002E21B2"/>
    <w:rsid w:val="002E2273"/>
    <w:rsid w:val="002E22F1"/>
    <w:rsid w:val="002E24D4"/>
    <w:rsid w:val="002E26EB"/>
    <w:rsid w:val="002E2817"/>
    <w:rsid w:val="002E28C9"/>
    <w:rsid w:val="002E2978"/>
    <w:rsid w:val="002E2AE4"/>
    <w:rsid w:val="002E2BEE"/>
    <w:rsid w:val="002E2CC8"/>
    <w:rsid w:val="002E36CB"/>
    <w:rsid w:val="002E380F"/>
    <w:rsid w:val="002E3967"/>
    <w:rsid w:val="002E3C1D"/>
    <w:rsid w:val="002E4018"/>
    <w:rsid w:val="002E459F"/>
    <w:rsid w:val="002E474F"/>
    <w:rsid w:val="002E4D4B"/>
    <w:rsid w:val="002E4F9E"/>
    <w:rsid w:val="002E5254"/>
    <w:rsid w:val="002E52B7"/>
    <w:rsid w:val="002E56EF"/>
    <w:rsid w:val="002E588B"/>
    <w:rsid w:val="002E5C57"/>
    <w:rsid w:val="002E5CCA"/>
    <w:rsid w:val="002E5FB1"/>
    <w:rsid w:val="002E6172"/>
    <w:rsid w:val="002E6255"/>
    <w:rsid w:val="002E6299"/>
    <w:rsid w:val="002E6B39"/>
    <w:rsid w:val="002E703E"/>
    <w:rsid w:val="002E72AC"/>
    <w:rsid w:val="002E77E3"/>
    <w:rsid w:val="002E7855"/>
    <w:rsid w:val="002E7A84"/>
    <w:rsid w:val="002E7CEC"/>
    <w:rsid w:val="002E7DE7"/>
    <w:rsid w:val="002F025C"/>
    <w:rsid w:val="002F0345"/>
    <w:rsid w:val="002F06E3"/>
    <w:rsid w:val="002F0E44"/>
    <w:rsid w:val="002F0F29"/>
    <w:rsid w:val="002F1169"/>
    <w:rsid w:val="002F11BF"/>
    <w:rsid w:val="002F11DB"/>
    <w:rsid w:val="002F1506"/>
    <w:rsid w:val="002F162F"/>
    <w:rsid w:val="002F17E8"/>
    <w:rsid w:val="002F18D3"/>
    <w:rsid w:val="002F1A62"/>
    <w:rsid w:val="002F1A9B"/>
    <w:rsid w:val="002F1C21"/>
    <w:rsid w:val="002F1C3F"/>
    <w:rsid w:val="002F1C40"/>
    <w:rsid w:val="002F2151"/>
    <w:rsid w:val="002F2779"/>
    <w:rsid w:val="002F28D2"/>
    <w:rsid w:val="002F28D8"/>
    <w:rsid w:val="002F2AAD"/>
    <w:rsid w:val="002F2B41"/>
    <w:rsid w:val="002F2E1A"/>
    <w:rsid w:val="002F2E63"/>
    <w:rsid w:val="002F2EB4"/>
    <w:rsid w:val="002F3137"/>
    <w:rsid w:val="002F31D1"/>
    <w:rsid w:val="002F3214"/>
    <w:rsid w:val="002F32CA"/>
    <w:rsid w:val="002F338E"/>
    <w:rsid w:val="002F33B4"/>
    <w:rsid w:val="002F3600"/>
    <w:rsid w:val="002F38F4"/>
    <w:rsid w:val="002F3EDE"/>
    <w:rsid w:val="002F3F6A"/>
    <w:rsid w:val="002F3FEB"/>
    <w:rsid w:val="002F429A"/>
    <w:rsid w:val="002F4328"/>
    <w:rsid w:val="002F434A"/>
    <w:rsid w:val="002F458B"/>
    <w:rsid w:val="002F45D8"/>
    <w:rsid w:val="002F46D3"/>
    <w:rsid w:val="002F5268"/>
    <w:rsid w:val="002F54A4"/>
    <w:rsid w:val="002F5504"/>
    <w:rsid w:val="002F56D1"/>
    <w:rsid w:val="002F5AB7"/>
    <w:rsid w:val="002F619F"/>
    <w:rsid w:val="002F61B4"/>
    <w:rsid w:val="002F61C0"/>
    <w:rsid w:val="002F624A"/>
    <w:rsid w:val="002F6355"/>
    <w:rsid w:val="002F63F8"/>
    <w:rsid w:val="002F65D3"/>
    <w:rsid w:val="002F664F"/>
    <w:rsid w:val="002F6671"/>
    <w:rsid w:val="002F66B8"/>
    <w:rsid w:val="002F696B"/>
    <w:rsid w:val="002F6B39"/>
    <w:rsid w:val="002F6C01"/>
    <w:rsid w:val="002F6C89"/>
    <w:rsid w:val="002F6C8F"/>
    <w:rsid w:val="002F6EC9"/>
    <w:rsid w:val="002F7245"/>
    <w:rsid w:val="002F73C1"/>
    <w:rsid w:val="002F7752"/>
    <w:rsid w:val="002F788D"/>
    <w:rsid w:val="002F78F9"/>
    <w:rsid w:val="002F7AD2"/>
    <w:rsid w:val="002F7EFD"/>
    <w:rsid w:val="003001A3"/>
    <w:rsid w:val="0030054F"/>
    <w:rsid w:val="00300690"/>
    <w:rsid w:val="003008F9"/>
    <w:rsid w:val="00300FC0"/>
    <w:rsid w:val="00301196"/>
    <w:rsid w:val="00301228"/>
    <w:rsid w:val="0030133E"/>
    <w:rsid w:val="003013D2"/>
    <w:rsid w:val="00301FCB"/>
    <w:rsid w:val="00302633"/>
    <w:rsid w:val="00302667"/>
    <w:rsid w:val="00302728"/>
    <w:rsid w:val="00302BFC"/>
    <w:rsid w:val="00302D82"/>
    <w:rsid w:val="003032C5"/>
    <w:rsid w:val="003033A6"/>
    <w:rsid w:val="00303417"/>
    <w:rsid w:val="00303694"/>
    <w:rsid w:val="00303757"/>
    <w:rsid w:val="00303CCB"/>
    <w:rsid w:val="00303E9C"/>
    <w:rsid w:val="00304017"/>
    <w:rsid w:val="00304072"/>
    <w:rsid w:val="0030429C"/>
    <w:rsid w:val="00304354"/>
    <w:rsid w:val="00304426"/>
    <w:rsid w:val="0030449F"/>
    <w:rsid w:val="00304B08"/>
    <w:rsid w:val="00304B27"/>
    <w:rsid w:val="00304BE3"/>
    <w:rsid w:val="00304F2C"/>
    <w:rsid w:val="00304FAB"/>
    <w:rsid w:val="0030517A"/>
    <w:rsid w:val="00305290"/>
    <w:rsid w:val="003052B4"/>
    <w:rsid w:val="003053F0"/>
    <w:rsid w:val="00305517"/>
    <w:rsid w:val="003057F4"/>
    <w:rsid w:val="00305B69"/>
    <w:rsid w:val="00305C44"/>
    <w:rsid w:val="00305CC0"/>
    <w:rsid w:val="00305E7F"/>
    <w:rsid w:val="00305EF1"/>
    <w:rsid w:val="0030619F"/>
    <w:rsid w:val="003062EE"/>
    <w:rsid w:val="00306483"/>
    <w:rsid w:val="0030649F"/>
    <w:rsid w:val="00306967"/>
    <w:rsid w:val="003069A3"/>
    <w:rsid w:val="00306BCF"/>
    <w:rsid w:val="00306D6E"/>
    <w:rsid w:val="00307055"/>
    <w:rsid w:val="00307183"/>
    <w:rsid w:val="00307400"/>
    <w:rsid w:val="00307777"/>
    <w:rsid w:val="003079A7"/>
    <w:rsid w:val="00307CD5"/>
    <w:rsid w:val="00307CE5"/>
    <w:rsid w:val="00310137"/>
    <w:rsid w:val="00310268"/>
    <w:rsid w:val="0031045D"/>
    <w:rsid w:val="0031049D"/>
    <w:rsid w:val="0031068E"/>
    <w:rsid w:val="003106A7"/>
    <w:rsid w:val="00310817"/>
    <w:rsid w:val="00310928"/>
    <w:rsid w:val="00310B35"/>
    <w:rsid w:val="00310D10"/>
    <w:rsid w:val="00310F07"/>
    <w:rsid w:val="0031101B"/>
    <w:rsid w:val="00311139"/>
    <w:rsid w:val="003111CA"/>
    <w:rsid w:val="0031124E"/>
    <w:rsid w:val="003112A5"/>
    <w:rsid w:val="00311486"/>
    <w:rsid w:val="0031178F"/>
    <w:rsid w:val="00311E34"/>
    <w:rsid w:val="00311E52"/>
    <w:rsid w:val="00311FAB"/>
    <w:rsid w:val="00312089"/>
    <w:rsid w:val="003121B1"/>
    <w:rsid w:val="003125E2"/>
    <w:rsid w:val="00312C39"/>
    <w:rsid w:val="00312CCC"/>
    <w:rsid w:val="00313031"/>
    <w:rsid w:val="0031305E"/>
    <w:rsid w:val="003133E8"/>
    <w:rsid w:val="003137B0"/>
    <w:rsid w:val="003138FF"/>
    <w:rsid w:val="00313D49"/>
    <w:rsid w:val="0031402D"/>
    <w:rsid w:val="0031417D"/>
    <w:rsid w:val="003142A4"/>
    <w:rsid w:val="003149B2"/>
    <w:rsid w:val="00314B16"/>
    <w:rsid w:val="00314F11"/>
    <w:rsid w:val="003150A6"/>
    <w:rsid w:val="00315345"/>
    <w:rsid w:val="003155BA"/>
    <w:rsid w:val="00315B4D"/>
    <w:rsid w:val="00315BB7"/>
    <w:rsid w:val="00315C30"/>
    <w:rsid w:val="00315FB5"/>
    <w:rsid w:val="0031649D"/>
    <w:rsid w:val="00316589"/>
    <w:rsid w:val="003167CB"/>
    <w:rsid w:val="00316866"/>
    <w:rsid w:val="00316A8A"/>
    <w:rsid w:val="00316AA4"/>
    <w:rsid w:val="00316CAF"/>
    <w:rsid w:val="00316D3D"/>
    <w:rsid w:val="00316E29"/>
    <w:rsid w:val="003170E5"/>
    <w:rsid w:val="003172A3"/>
    <w:rsid w:val="003177D0"/>
    <w:rsid w:val="00317C95"/>
    <w:rsid w:val="00317D86"/>
    <w:rsid w:val="00317EFF"/>
    <w:rsid w:val="00317F07"/>
    <w:rsid w:val="003201B1"/>
    <w:rsid w:val="00320568"/>
    <w:rsid w:val="00320A15"/>
    <w:rsid w:val="00320D2D"/>
    <w:rsid w:val="00320DAD"/>
    <w:rsid w:val="00320E7B"/>
    <w:rsid w:val="003212A5"/>
    <w:rsid w:val="003212C9"/>
    <w:rsid w:val="0032137C"/>
    <w:rsid w:val="00321973"/>
    <w:rsid w:val="00321ACA"/>
    <w:rsid w:val="00321BD1"/>
    <w:rsid w:val="00321E5B"/>
    <w:rsid w:val="00321F44"/>
    <w:rsid w:val="00321F6A"/>
    <w:rsid w:val="00322581"/>
    <w:rsid w:val="003227C2"/>
    <w:rsid w:val="003228DA"/>
    <w:rsid w:val="00322A0B"/>
    <w:rsid w:val="00322AA7"/>
    <w:rsid w:val="00322B86"/>
    <w:rsid w:val="00322D93"/>
    <w:rsid w:val="00322DA9"/>
    <w:rsid w:val="0032303E"/>
    <w:rsid w:val="00323170"/>
    <w:rsid w:val="0032348C"/>
    <w:rsid w:val="003234E3"/>
    <w:rsid w:val="00323C11"/>
    <w:rsid w:val="00323EA9"/>
    <w:rsid w:val="003247DD"/>
    <w:rsid w:val="0032492E"/>
    <w:rsid w:val="00324B09"/>
    <w:rsid w:val="00324B2A"/>
    <w:rsid w:val="00324C73"/>
    <w:rsid w:val="00324D36"/>
    <w:rsid w:val="00324DCF"/>
    <w:rsid w:val="00324EEE"/>
    <w:rsid w:val="0032500F"/>
    <w:rsid w:val="003251F2"/>
    <w:rsid w:val="003253CC"/>
    <w:rsid w:val="00325BAB"/>
    <w:rsid w:val="003261C9"/>
    <w:rsid w:val="00326841"/>
    <w:rsid w:val="00326B1C"/>
    <w:rsid w:val="003277D8"/>
    <w:rsid w:val="00327CDE"/>
    <w:rsid w:val="00327E94"/>
    <w:rsid w:val="00327EE3"/>
    <w:rsid w:val="003303DE"/>
    <w:rsid w:val="00330493"/>
    <w:rsid w:val="00330512"/>
    <w:rsid w:val="0033063C"/>
    <w:rsid w:val="0033075A"/>
    <w:rsid w:val="00330C04"/>
    <w:rsid w:val="00330C3C"/>
    <w:rsid w:val="00330CAE"/>
    <w:rsid w:val="00330F34"/>
    <w:rsid w:val="003310EE"/>
    <w:rsid w:val="00331332"/>
    <w:rsid w:val="003314F8"/>
    <w:rsid w:val="00331750"/>
    <w:rsid w:val="003319FE"/>
    <w:rsid w:val="00331A1E"/>
    <w:rsid w:val="00331BE6"/>
    <w:rsid w:val="00331C21"/>
    <w:rsid w:val="00331C34"/>
    <w:rsid w:val="00331E1F"/>
    <w:rsid w:val="00332210"/>
    <w:rsid w:val="003322D5"/>
    <w:rsid w:val="003322ED"/>
    <w:rsid w:val="0033237F"/>
    <w:rsid w:val="003323C2"/>
    <w:rsid w:val="003325F8"/>
    <w:rsid w:val="00332916"/>
    <w:rsid w:val="00332A82"/>
    <w:rsid w:val="0033328F"/>
    <w:rsid w:val="003336FA"/>
    <w:rsid w:val="00333BC7"/>
    <w:rsid w:val="003347C7"/>
    <w:rsid w:val="00334867"/>
    <w:rsid w:val="00334B48"/>
    <w:rsid w:val="00334C1F"/>
    <w:rsid w:val="00334D38"/>
    <w:rsid w:val="00335255"/>
    <w:rsid w:val="0033532F"/>
    <w:rsid w:val="0033555C"/>
    <w:rsid w:val="0033579F"/>
    <w:rsid w:val="00335A31"/>
    <w:rsid w:val="0033611B"/>
    <w:rsid w:val="00336141"/>
    <w:rsid w:val="00336145"/>
    <w:rsid w:val="0033662F"/>
    <w:rsid w:val="00336751"/>
    <w:rsid w:val="0033698E"/>
    <w:rsid w:val="003369D7"/>
    <w:rsid w:val="00336BF4"/>
    <w:rsid w:val="00336C14"/>
    <w:rsid w:val="00336D64"/>
    <w:rsid w:val="0033739D"/>
    <w:rsid w:val="003379A4"/>
    <w:rsid w:val="00340125"/>
    <w:rsid w:val="0034024E"/>
    <w:rsid w:val="00340417"/>
    <w:rsid w:val="0034052B"/>
    <w:rsid w:val="003405F4"/>
    <w:rsid w:val="00340815"/>
    <w:rsid w:val="00340AE1"/>
    <w:rsid w:val="00340B66"/>
    <w:rsid w:val="00340E6D"/>
    <w:rsid w:val="00340F1D"/>
    <w:rsid w:val="00341268"/>
    <w:rsid w:val="00341288"/>
    <w:rsid w:val="0034154E"/>
    <w:rsid w:val="003416E2"/>
    <w:rsid w:val="00341985"/>
    <w:rsid w:val="00341ABD"/>
    <w:rsid w:val="00341B74"/>
    <w:rsid w:val="00341F6D"/>
    <w:rsid w:val="00341FC6"/>
    <w:rsid w:val="003422A7"/>
    <w:rsid w:val="00342400"/>
    <w:rsid w:val="003426F3"/>
    <w:rsid w:val="0034296C"/>
    <w:rsid w:val="003429D3"/>
    <w:rsid w:val="00342BF2"/>
    <w:rsid w:val="00342CDA"/>
    <w:rsid w:val="00342E2C"/>
    <w:rsid w:val="00343206"/>
    <w:rsid w:val="003434BD"/>
    <w:rsid w:val="003438C1"/>
    <w:rsid w:val="00343ACE"/>
    <w:rsid w:val="00343C9B"/>
    <w:rsid w:val="00344297"/>
    <w:rsid w:val="00344573"/>
    <w:rsid w:val="0034460D"/>
    <w:rsid w:val="0034462C"/>
    <w:rsid w:val="003446DB"/>
    <w:rsid w:val="00344735"/>
    <w:rsid w:val="00344C61"/>
    <w:rsid w:val="00344DCF"/>
    <w:rsid w:val="0034517B"/>
    <w:rsid w:val="003452A9"/>
    <w:rsid w:val="003457A6"/>
    <w:rsid w:val="00345840"/>
    <w:rsid w:val="00345A2B"/>
    <w:rsid w:val="00345AD2"/>
    <w:rsid w:val="00345B39"/>
    <w:rsid w:val="00345CC1"/>
    <w:rsid w:val="00345D06"/>
    <w:rsid w:val="00346661"/>
    <w:rsid w:val="003468EA"/>
    <w:rsid w:val="00346B76"/>
    <w:rsid w:val="00346B85"/>
    <w:rsid w:val="00346C32"/>
    <w:rsid w:val="00346CB4"/>
    <w:rsid w:val="00346FF7"/>
    <w:rsid w:val="0034720E"/>
    <w:rsid w:val="0034730C"/>
    <w:rsid w:val="0034739A"/>
    <w:rsid w:val="00347429"/>
    <w:rsid w:val="0034746A"/>
    <w:rsid w:val="00347648"/>
    <w:rsid w:val="003476FF"/>
    <w:rsid w:val="003477EF"/>
    <w:rsid w:val="00347809"/>
    <w:rsid w:val="00347880"/>
    <w:rsid w:val="00347ACB"/>
    <w:rsid w:val="00347B1F"/>
    <w:rsid w:val="00347F21"/>
    <w:rsid w:val="0035003F"/>
    <w:rsid w:val="00350129"/>
    <w:rsid w:val="003503BB"/>
    <w:rsid w:val="0035043B"/>
    <w:rsid w:val="003508CD"/>
    <w:rsid w:val="00350953"/>
    <w:rsid w:val="00350C02"/>
    <w:rsid w:val="00350E58"/>
    <w:rsid w:val="00350E9E"/>
    <w:rsid w:val="00351927"/>
    <w:rsid w:val="00351A3D"/>
    <w:rsid w:val="00351AA8"/>
    <w:rsid w:val="00351AE9"/>
    <w:rsid w:val="00351B75"/>
    <w:rsid w:val="003521B2"/>
    <w:rsid w:val="003521EE"/>
    <w:rsid w:val="0035236C"/>
    <w:rsid w:val="00352383"/>
    <w:rsid w:val="003524CC"/>
    <w:rsid w:val="0035261C"/>
    <w:rsid w:val="003526B4"/>
    <w:rsid w:val="003526B8"/>
    <w:rsid w:val="00352AE2"/>
    <w:rsid w:val="00352C08"/>
    <w:rsid w:val="00352E48"/>
    <w:rsid w:val="00352ED1"/>
    <w:rsid w:val="00353390"/>
    <w:rsid w:val="003534F9"/>
    <w:rsid w:val="0035358C"/>
    <w:rsid w:val="003537C6"/>
    <w:rsid w:val="00353A20"/>
    <w:rsid w:val="00353BE8"/>
    <w:rsid w:val="00353DB6"/>
    <w:rsid w:val="00354231"/>
    <w:rsid w:val="00354342"/>
    <w:rsid w:val="0035448B"/>
    <w:rsid w:val="003545A8"/>
    <w:rsid w:val="003547C7"/>
    <w:rsid w:val="00354C7C"/>
    <w:rsid w:val="00354D85"/>
    <w:rsid w:val="00354F90"/>
    <w:rsid w:val="003552D6"/>
    <w:rsid w:val="0035574E"/>
    <w:rsid w:val="00355871"/>
    <w:rsid w:val="003558A8"/>
    <w:rsid w:val="00355A9B"/>
    <w:rsid w:val="00355CAD"/>
    <w:rsid w:val="00355CF0"/>
    <w:rsid w:val="00355D46"/>
    <w:rsid w:val="00355D95"/>
    <w:rsid w:val="00356085"/>
    <w:rsid w:val="0035655D"/>
    <w:rsid w:val="0035674F"/>
    <w:rsid w:val="00357592"/>
    <w:rsid w:val="00357657"/>
    <w:rsid w:val="00357A4C"/>
    <w:rsid w:val="00357AF5"/>
    <w:rsid w:val="00357F1B"/>
    <w:rsid w:val="00357F38"/>
    <w:rsid w:val="0036019E"/>
    <w:rsid w:val="00360265"/>
    <w:rsid w:val="003603FB"/>
    <w:rsid w:val="00360A52"/>
    <w:rsid w:val="00360ABB"/>
    <w:rsid w:val="00360DE4"/>
    <w:rsid w:val="00361227"/>
    <w:rsid w:val="003615B8"/>
    <w:rsid w:val="003619A8"/>
    <w:rsid w:val="00361CD5"/>
    <w:rsid w:val="00361D7B"/>
    <w:rsid w:val="00362163"/>
    <w:rsid w:val="00362334"/>
    <w:rsid w:val="003627F1"/>
    <w:rsid w:val="0036280C"/>
    <w:rsid w:val="00362DB6"/>
    <w:rsid w:val="00362E4C"/>
    <w:rsid w:val="00363175"/>
    <w:rsid w:val="00363882"/>
    <w:rsid w:val="0036392E"/>
    <w:rsid w:val="00363B22"/>
    <w:rsid w:val="00363D2A"/>
    <w:rsid w:val="00363EB5"/>
    <w:rsid w:val="0036427B"/>
    <w:rsid w:val="003647B4"/>
    <w:rsid w:val="00364C23"/>
    <w:rsid w:val="00364D98"/>
    <w:rsid w:val="00364E37"/>
    <w:rsid w:val="00365156"/>
    <w:rsid w:val="003657D8"/>
    <w:rsid w:val="00365C1F"/>
    <w:rsid w:val="00366393"/>
    <w:rsid w:val="0036639E"/>
    <w:rsid w:val="00366405"/>
    <w:rsid w:val="003664B1"/>
    <w:rsid w:val="00366562"/>
    <w:rsid w:val="00366616"/>
    <w:rsid w:val="00366745"/>
    <w:rsid w:val="00366B23"/>
    <w:rsid w:val="00366CEE"/>
    <w:rsid w:val="00366D50"/>
    <w:rsid w:val="003672B0"/>
    <w:rsid w:val="0036761E"/>
    <w:rsid w:val="003676F4"/>
    <w:rsid w:val="0036785F"/>
    <w:rsid w:val="0036791B"/>
    <w:rsid w:val="00367B95"/>
    <w:rsid w:val="00367C09"/>
    <w:rsid w:val="00367C3C"/>
    <w:rsid w:val="0037034A"/>
    <w:rsid w:val="0037035B"/>
    <w:rsid w:val="0037057D"/>
    <w:rsid w:val="00370683"/>
    <w:rsid w:val="003708BE"/>
    <w:rsid w:val="00370AAB"/>
    <w:rsid w:val="00370C17"/>
    <w:rsid w:val="00370E33"/>
    <w:rsid w:val="00370E58"/>
    <w:rsid w:val="003712DA"/>
    <w:rsid w:val="00371341"/>
    <w:rsid w:val="0037138D"/>
    <w:rsid w:val="003714B3"/>
    <w:rsid w:val="0037150E"/>
    <w:rsid w:val="003715E2"/>
    <w:rsid w:val="003716AA"/>
    <w:rsid w:val="00371B1D"/>
    <w:rsid w:val="00371D6C"/>
    <w:rsid w:val="00372C02"/>
    <w:rsid w:val="00373417"/>
    <w:rsid w:val="00373458"/>
    <w:rsid w:val="003734EE"/>
    <w:rsid w:val="003739A0"/>
    <w:rsid w:val="00373BF2"/>
    <w:rsid w:val="00373BF8"/>
    <w:rsid w:val="0037404D"/>
    <w:rsid w:val="003741EF"/>
    <w:rsid w:val="00374558"/>
    <w:rsid w:val="00374A1D"/>
    <w:rsid w:val="00374AA5"/>
    <w:rsid w:val="00374D31"/>
    <w:rsid w:val="00374F16"/>
    <w:rsid w:val="00374FB5"/>
    <w:rsid w:val="003751A6"/>
    <w:rsid w:val="00375328"/>
    <w:rsid w:val="0037536B"/>
    <w:rsid w:val="00375767"/>
    <w:rsid w:val="003757A4"/>
    <w:rsid w:val="0037581A"/>
    <w:rsid w:val="003759B7"/>
    <w:rsid w:val="003759C1"/>
    <w:rsid w:val="00375AFB"/>
    <w:rsid w:val="00375B20"/>
    <w:rsid w:val="00375CC6"/>
    <w:rsid w:val="00375F14"/>
    <w:rsid w:val="00375F39"/>
    <w:rsid w:val="0037603C"/>
    <w:rsid w:val="00376174"/>
    <w:rsid w:val="003761CC"/>
    <w:rsid w:val="0037631B"/>
    <w:rsid w:val="003764FE"/>
    <w:rsid w:val="003767E7"/>
    <w:rsid w:val="0037690F"/>
    <w:rsid w:val="0037691B"/>
    <w:rsid w:val="0037703A"/>
    <w:rsid w:val="0037708D"/>
    <w:rsid w:val="003773E0"/>
    <w:rsid w:val="00377455"/>
    <w:rsid w:val="0037755D"/>
    <w:rsid w:val="003776AE"/>
    <w:rsid w:val="00377767"/>
    <w:rsid w:val="00377D1E"/>
    <w:rsid w:val="00377F4B"/>
    <w:rsid w:val="00380012"/>
    <w:rsid w:val="003801B7"/>
    <w:rsid w:val="0038029A"/>
    <w:rsid w:val="003804BC"/>
    <w:rsid w:val="00380524"/>
    <w:rsid w:val="00380727"/>
    <w:rsid w:val="00380772"/>
    <w:rsid w:val="003807A7"/>
    <w:rsid w:val="003807C5"/>
    <w:rsid w:val="003809E3"/>
    <w:rsid w:val="00380BA6"/>
    <w:rsid w:val="00380D33"/>
    <w:rsid w:val="00380D7E"/>
    <w:rsid w:val="003810FC"/>
    <w:rsid w:val="00381540"/>
    <w:rsid w:val="00381C0C"/>
    <w:rsid w:val="00381C28"/>
    <w:rsid w:val="00382410"/>
    <w:rsid w:val="0038289E"/>
    <w:rsid w:val="00382AA4"/>
    <w:rsid w:val="00382AB3"/>
    <w:rsid w:val="00382C7E"/>
    <w:rsid w:val="00382CE3"/>
    <w:rsid w:val="00382D5E"/>
    <w:rsid w:val="003834DE"/>
    <w:rsid w:val="0038371B"/>
    <w:rsid w:val="0038384F"/>
    <w:rsid w:val="00383A7D"/>
    <w:rsid w:val="00383E73"/>
    <w:rsid w:val="0038426A"/>
    <w:rsid w:val="00384271"/>
    <w:rsid w:val="00384366"/>
    <w:rsid w:val="003843BF"/>
    <w:rsid w:val="00384576"/>
    <w:rsid w:val="003845D1"/>
    <w:rsid w:val="0038474D"/>
    <w:rsid w:val="003849A1"/>
    <w:rsid w:val="00384B83"/>
    <w:rsid w:val="00384E13"/>
    <w:rsid w:val="00384EBB"/>
    <w:rsid w:val="00384F82"/>
    <w:rsid w:val="0038524F"/>
    <w:rsid w:val="003852AD"/>
    <w:rsid w:val="00385303"/>
    <w:rsid w:val="0038549F"/>
    <w:rsid w:val="003856EB"/>
    <w:rsid w:val="00385711"/>
    <w:rsid w:val="00385937"/>
    <w:rsid w:val="00385ADC"/>
    <w:rsid w:val="00385E37"/>
    <w:rsid w:val="00385E67"/>
    <w:rsid w:val="003863F0"/>
    <w:rsid w:val="0038653B"/>
    <w:rsid w:val="0038676F"/>
    <w:rsid w:val="0038680A"/>
    <w:rsid w:val="00386996"/>
    <w:rsid w:val="00386C4E"/>
    <w:rsid w:val="00386EC4"/>
    <w:rsid w:val="00386F2B"/>
    <w:rsid w:val="00386F86"/>
    <w:rsid w:val="00387038"/>
    <w:rsid w:val="0038716B"/>
    <w:rsid w:val="003874F7"/>
    <w:rsid w:val="00387541"/>
    <w:rsid w:val="00387783"/>
    <w:rsid w:val="00387854"/>
    <w:rsid w:val="00387FDE"/>
    <w:rsid w:val="00390623"/>
    <w:rsid w:val="0039066C"/>
    <w:rsid w:val="003906CD"/>
    <w:rsid w:val="00390892"/>
    <w:rsid w:val="003908DF"/>
    <w:rsid w:val="003909F2"/>
    <w:rsid w:val="00390EEE"/>
    <w:rsid w:val="003911A5"/>
    <w:rsid w:val="0039144D"/>
    <w:rsid w:val="00391649"/>
    <w:rsid w:val="00391B05"/>
    <w:rsid w:val="00391BC0"/>
    <w:rsid w:val="00391C6F"/>
    <w:rsid w:val="00392319"/>
    <w:rsid w:val="0039264D"/>
    <w:rsid w:val="00392762"/>
    <w:rsid w:val="0039287E"/>
    <w:rsid w:val="003929D2"/>
    <w:rsid w:val="00392DBB"/>
    <w:rsid w:val="00392EB4"/>
    <w:rsid w:val="00393091"/>
    <w:rsid w:val="003931EE"/>
    <w:rsid w:val="00393314"/>
    <w:rsid w:val="00393730"/>
    <w:rsid w:val="00393F39"/>
    <w:rsid w:val="00394823"/>
    <w:rsid w:val="0039483C"/>
    <w:rsid w:val="00394900"/>
    <w:rsid w:val="00394A75"/>
    <w:rsid w:val="0039585B"/>
    <w:rsid w:val="00395C37"/>
    <w:rsid w:val="00395CCB"/>
    <w:rsid w:val="00396176"/>
    <w:rsid w:val="0039621B"/>
    <w:rsid w:val="00396229"/>
    <w:rsid w:val="00396495"/>
    <w:rsid w:val="00396B78"/>
    <w:rsid w:val="00396DED"/>
    <w:rsid w:val="00396F4D"/>
    <w:rsid w:val="00396F96"/>
    <w:rsid w:val="00397072"/>
    <w:rsid w:val="00397663"/>
    <w:rsid w:val="00397BCA"/>
    <w:rsid w:val="00397F98"/>
    <w:rsid w:val="00397FB3"/>
    <w:rsid w:val="003A01F6"/>
    <w:rsid w:val="003A04F4"/>
    <w:rsid w:val="003A05A6"/>
    <w:rsid w:val="003A0A16"/>
    <w:rsid w:val="003A1644"/>
    <w:rsid w:val="003A1713"/>
    <w:rsid w:val="003A1941"/>
    <w:rsid w:val="003A1C06"/>
    <w:rsid w:val="003A1C62"/>
    <w:rsid w:val="003A1E87"/>
    <w:rsid w:val="003A215C"/>
    <w:rsid w:val="003A23C1"/>
    <w:rsid w:val="003A25B3"/>
    <w:rsid w:val="003A2629"/>
    <w:rsid w:val="003A2724"/>
    <w:rsid w:val="003A2727"/>
    <w:rsid w:val="003A29EB"/>
    <w:rsid w:val="003A2CCB"/>
    <w:rsid w:val="003A2FB1"/>
    <w:rsid w:val="003A3158"/>
    <w:rsid w:val="003A3328"/>
    <w:rsid w:val="003A3362"/>
    <w:rsid w:val="003A3623"/>
    <w:rsid w:val="003A3949"/>
    <w:rsid w:val="003A3CA0"/>
    <w:rsid w:val="003A4CD5"/>
    <w:rsid w:val="003A4F76"/>
    <w:rsid w:val="003A51F0"/>
    <w:rsid w:val="003A548D"/>
    <w:rsid w:val="003A57FE"/>
    <w:rsid w:val="003A59E0"/>
    <w:rsid w:val="003A5B1F"/>
    <w:rsid w:val="003A5D0E"/>
    <w:rsid w:val="003A6238"/>
    <w:rsid w:val="003A6AA7"/>
    <w:rsid w:val="003A6C0F"/>
    <w:rsid w:val="003A6D4A"/>
    <w:rsid w:val="003A6D67"/>
    <w:rsid w:val="003A6D6C"/>
    <w:rsid w:val="003A6FBA"/>
    <w:rsid w:val="003A7148"/>
    <w:rsid w:val="003A72F2"/>
    <w:rsid w:val="003A7343"/>
    <w:rsid w:val="003A7512"/>
    <w:rsid w:val="003A772B"/>
    <w:rsid w:val="003A7883"/>
    <w:rsid w:val="003A7AB7"/>
    <w:rsid w:val="003A7CF0"/>
    <w:rsid w:val="003A7E7D"/>
    <w:rsid w:val="003A7EAD"/>
    <w:rsid w:val="003B0170"/>
    <w:rsid w:val="003B06F3"/>
    <w:rsid w:val="003B09D4"/>
    <w:rsid w:val="003B0BF0"/>
    <w:rsid w:val="003B0E35"/>
    <w:rsid w:val="003B12F3"/>
    <w:rsid w:val="003B134F"/>
    <w:rsid w:val="003B1358"/>
    <w:rsid w:val="003B149E"/>
    <w:rsid w:val="003B1561"/>
    <w:rsid w:val="003B17DE"/>
    <w:rsid w:val="003B1957"/>
    <w:rsid w:val="003B198F"/>
    <w:rsid w:val="003B1BDC"/>
    <w:rsid w:val="003B214E"/>
    <w:rsid w:val="003B2150"/>
    <w:rsid w:val="003B2239"/>
    <w:rsid w:val="003B23A8"/>
    <w:rsid w:val="003B24B6"/>
    <w:rsid w:val="003B2FAE"/>
    <w:rsid w:val="003B3016"/>
    <w:rsid w:val="003B30BF"/>
    <w:rsid w:val="003B31BB"/>
    <w:rsid w:val="003B323C"/>
    <w:rsid w:val="003B3F65"/>
    <w:rsid w:val="003B40AD"/>
    <w:rsid w:val="003B42D4"/>
    <w:rsid w:val="003B43A8"/>
    <w:rsid w:val="003B4A5F"/>
    <w:rsid w:val="003B4A96"/>
    <w:rsid w:val="003B4F23"/>
    <w:rsid w:val="003B525B"/>
    <w:rsid w:val="003B54A7"/>
    <w:rsid w:val="003B5652"/>
    <w:rsid w:val="003B6062"/>
    <w:rsid w:val="003B626D"/>
    <w:rsid w:val="003B6840"/>
    <w:rsid w:val="003B68B9"/>
    <w:rsid w:val="003B6D70"/>
    <w:rsid w:val="003B6FD6"/>
    <w:rsid w:val="003B701B"/>
    <w:rsid w:val="003B7631"/>
    <w:rsid w:val="003B770B"/>
    <w:rsid w:val="003B7B41"/>
    <w:rsid w:val="003B7EA7"/>
    <w:rsid w:val="003C05AA"/>
    <w:rsid w:val="003C05D9"/>
    <w:rsid w:val="003C0755"/>
    <w:rsid w:val="003C0A59"/>
    <w:rsid w:val="003C0BA5"/>
    <w:rsid w:val="003C0EF1"/>
    <w:rsid w:val="003C0EF6"/>
    <w:rsid w:val="003C1292"/>
    <w:rsid w:val="003C1B1E"/>
    <w:rsid w:val="003C1B72"/>
    <w:rsid w:val="003C1F67"/>
    <w:rsid w:val="003C1F86"/>
    <w:rsid w:val="003C2205"/>
    <w:rsid w:val="003C241F"/>
    <w:rsid w:val="003C26D4"/>
    <w:rsid w:val="003C2711"/>
    <w:rsid w:val="003C297B"/>
    <w:rsid w:val="003C2FC9"/>
    <w:rsid w:val="003C3118"/>
    <w:rsid w:val="003C3777"/>
    <w:rsid w:val="003C3A00"/>
    <w:rsid w:val="003C3A38"/>
    <w:rsid w:val="003C3E6F"/>
    <w:rsid w:val="003C3EF7"/>
    <w:rsid w:val="003C40C8"/>
    <w:rsid w:val="003C4157"/>
    <w:rsid w:val="003C4176"/>
    <w:rsid w:val="003C41A6"/>
    <w:rsid w:val="003C45C8"/>
    <w:rsid w:val="003C4BC1"/>
    <w:rsid w:val="003C4C82"/>
    <w:rsid w:val="003C5036"/>
    <w:rsid w:val="003C50F8"/>
    <w:rsid w:val="003C53A9"/>
    <w:rsid w:val="003C5460"/>
    <w:rsid w:val="003C54CC"/>
    <w:rsid w:val="003C5681"/>
    <w:rsid w:val="003C60EC"/>
    <w:rsid w:val="003C62AE"/>
    <w:rsid w:val="003C6305"/>
    <w:rsid w:val="003C636F"/>
    <w:rsid w:val="003C66E0"/>
    <w:rsid w:val="003C6AE3"/>
    <w:rsid w:val="003C6B91"/>
    <w:rsid w:val="003C6F59"/>
    <w:rsid w:val="003C743B"/>
    <w:rsid w:val="003C772F"/>
    <w:rsid w:val="003C77CF"/>
    <w:rsid w:val="003C79E1"/>
    <w:rsid w:val="003C7C6C"/>
    <w:rsid w:val="003C7D58"/>
    <w:rsid w:val="003D0121"/>
    <w:rsid w:val="003D023E"/>
    <w:rsid w:val="003D04F9"/>
    <w:rsid w:val="003D06D0"/>
    <w:rsid w:val="003D10DE"/>
    <w:rsid w:val="003D159A"/>
    <w:rsid w:val="003D1DEB"/>
    <w:rsid w:val="003D24C2"/>
    <w:rsid w:val="003D2761"/>
    <w:rsid w:val="003D283F"/>
    <w:rsid w:val="003D29CF"/>
    <w:rsid w:val="003D2C30"/>
    <w:rsid w:val="003D2CAD"/>
    <w:rsid w:val="003D2DF5"/>
    <w:rsid w:val="003D2F90"/>
    <w:rsid w:val="003D3457"/>
    <w:rsid w:val="003D35D7"/>
    <w:rsid w:val="003D3601"/>
    <w:rsid w:val="003D368B"/>
    <w:rsid w:val="003D377E"/>
    <w:rsid w:val="003D3CDA"/>
    <w:rsid w:val="003D3D20"/>
    <w:rsid w:val="003D3FC5"/>
    <w:rsid w:val="003D4079"/>
    <w:rsid w:val="003D4188"/>
    <w:rsid w:val="003D420C"/>
    <w:rsid w:val="003D434E"/>
    <w:rsid w:val="003D4386"/>
    <w:rsid w:val="003D4C30"/>
    <w:rsid w:val="003D4DF8"/>
    <w:rsid w:val="003D5150"/>
    <w:rsid w:val="003D550E"/>
    <w:rsid w:val="003D5A30"/>
    <w:rsid w:val="003D5A35"/>
    <w:rsid w:val="003D5B24"/>
    <w:rsid w:val="003D5C30"/>
    <w:rsid w:val="003D5CA9"/>
    <w:rsid w:val="003D5E1C"/>
    <w:rsid w:val="003D5FDC"/>
    <w:rsid w:val="003D60A8"/>
    <w:rsid w:val="003D6177"/>
    <w:rsid w:val="003D6292"/>
    <w:rsid w:val="003D63A7"/>
    <w:rsid w:val="003D63EB"/>
    <w:rsid w:val="003D64EE"/>
    <w:rsid w:val="003D65E4"/>
    <w:rsid w:val="003D6691"/>
    <w:rsid w:val="003D6734"/>
    <w:rsid w:val="003D6B92"/>
    <w:rsid w:val="003D6C32"/>
    <w:rsid w:val="003D7007"/>
    <w:rsid w:val="003D71AF"/>
    <w:rsid w:val="003D74B4"/>
    <w:rsid w:val="003D771A"/>
    <w:rsid w:val="003D7813"/>
    <w:rsid w:val="003D7A94"/>
    <w:rsid w:val="003D7EB5"/>
    <w:rsid w:val="003E011C"/>
    <w:rsid w:val="003E0125"/>
    <w:rsid w:val="003E017E"/>
    <w:rsid w:val="003E0267"/>
    <w:rsid w:val="003E0349"/>
    <w:rsid w:val="003E0497"/>
    <w:rsid w:val="003E080C"/>
    <w:rsid w:val="003E0F31"/>
    <w:rsid w:val="003E0F8B"/>
    <w:rsid w:val="003E13AD"/>
    <w:rsid w:val="003E13E6"/>
    <w:rsid w:val="003E172C"/>
    <w:rsid w:val="003E1812"/>
    <w:rsid w:val="003E24D1"/>
    <w:rsid w:val="003E2ED3"/>
    <w:rsid w:val="003E355D"/>
    <w:rsid w:val="003E3C00"/>
    <w:rsid w:val="003E3FD0"/>
    <w:rsid w:val="003E4229"/>
    <w:rsid w:val="003E452D"/>
    <w:rsid w:val="003E463B"/>
    <w:rsid w:val="003E469D"/>
    <w:rsid w:val="003E475D"/>
    <w:rsid w:val="003E48F9"/>
    <w:rsid w:val="003E4BA4"/>
    <w:rsid w:val="003E4D7C"/>
    <w:rsid w:val="003E51BE"/>
    <w:rsid w:val="003E5618"/>
    <w:rsid w:val="003E5791"/>
    <w:rsid w:val="003E5807"/>
    <w:rsid w:val="003E58E7"/>
    <w:rsid w:val="003E5BB7"/>
    <w:rsid w:val="003E5BD9"/>
    <w:rsid w:val="003E5C17"/>
    <w:rsid w:val="003E5E1A"/>
    <w:rsid w:val="003E6002"/>
    <w:rsid w:val="003E6069"/>
    <w:rsid w:val="003E6467"/>
    <w:rsid w:val="003E64E9"/>
    <w:rsid w:val="003E6886"/>
    <w:rsid w:val="003E6A27"/>
    <w:rsid w:val="003E6AF0"/>
    <w:rsid w:val="003E6B28"/>
    <w:rsid w:val="003E6BBD"/>
    <w:rsid w:val="003E72B4"/>
    <w:rsid w:val="003E75DB"/>
    <w:rsid w:val="003E77DB"/>
    <w:rsid w:val="003E7C2D"/>
    <w:rsid w:val="003F0051"/>
    <w:rsid w:val="003F01D8"/>
    <w:rsid w:val="003F0364"/>
    <w:rsid w:val="003F0579"/>
    <w:rsid w:val="003F06DE"/>
    <w:rsid w:val="003F075A"/>
    <w:rsid w:val="003F0AA8"/>
    <w:rsid w:val="003F0E71"/>
    <w:rsid w:val="003F1354"/>
    <w:rsid w:val="003F13FE"/>
    <w:rsid w:val="003F16A5"/>
    <w:rsid w:val="003F1D60"/>
    <w:rsid w:val="003F1E7D"/>
    <w:rsid w:val="003F1F4A"/>
    <w:rsid w:val="003F2145"/>
    <w:rsid w:val="003F2298"/>
    <w:rsid w:val="003F2321"/>
    <w:rsid w:val="003F2395"/>
    <w:rsid w:val="003F2683"/>
    <w:rsid w:val="003F26C6"/>
    <w:rsid w:val="003F2E19"/>
    <w:rsid w:val="003F3313"/>
    <w:rsid w:val="003F3333"/>
    <w:rsid w:val="003F33A5"/>
    <w:rsid w:val="003F3434"/>
    <w:rsid w:val="003F3868"/>
    <w:rsid w:val="003F41DD"/>
    <w:rsid w:val="003F4270"/>
    <w:rsid w:val="003F4287"/>
    <w:rsid w:val="003F4624"/>
    <w:rsid w:val="003F4AF0"/>
    <w:rsid w:val="003F4CC1"/>
    <w:rsid w:val="003F4D50"/>
    <w:rsid w:val="003F4FA0"/>
    <w:rsid w:val="003F508B"/>
    <w:rsid w:val="003F5187"/>
    <w:rsid w:val="003F5389"/>
    <w:rsid w:val="003F54A5"/>
    <w:rsid w:val="003F5595"/>
    <w:rsid w:val="003F5829"/>
    <w:rsid w:val="003F5B04"/>
    <w:rsid w:val="003F5D3E"/>
    <w:rsid w:val="003F62B3"/>
    <w:rsid w:val="003F6638"/>
    <w:rsid w:val="003F66B4"/>
    <w:rsid w:val="003F679F"/>
    <w:rsid w:val="003F6E63"/>
    <w:rsid w:val="003F72C3"/>
    <w:rsid w:val="003F7AB8"/>
    <w:rsid w:val="003F7C55"/>
    <w:rsid w:val="003F7E71"/>
    <w:rsid w:val="003F7EE1"/>
    <w:rsid w:val="00400178"/>
    <w:rsid w:val="004003DF"/>
    <w:rsid w:val="00400544"/>
    <w:rsid w:val="004005EB"/>
    <w:rsid w:val="00400690"/>
    <w:rsid w:val="004007B1"/>
    <w:rsid w:val="00400964"/>
    <w:rsid w:val="00400D2B"/>
    <w:rsid w:val="00400E8E"/>
    <w:rsid w:val="00400F4F"/>
    <w:rsid w:val="00401562"/>
    <w:rsid w:val="0040157F"/>
    <w:rsid w:val="004016FB"/>
    <w:rsid w:val="004017F1"/>
    <w:rsid w:val="00401B4D"/>
    <w:rsid w:val="00401DAC"/>
    <w:rsid w:val="0040208B"/>
    <w:rsid w:val="00402097"/>
    <w:rsid w:val="004020F3"/>
    <w:rsid w:val="00402245"/>
    <w:rsid w:val="00402467"/>
    <w:rsid w:val="004025BA"/>
    <w:rsid w:val="0040263C"/>
    <w:rsid w:val="004032CE"/>
    <w:rsid w:val="004033AD"/>
    <w:rsid w:val="0040352E"/>
    <w:rsid w:val="0040375A"/>
    <w:rsid w:val="00403D01"/>
    <w:rsid w:val="00403D06"/>
    <w:rsid w:val="00403D10"/>
    <w:rsid w:val="00403DE7"/>
    <w:rsid w:val="004042A3"/>
    <w:rsid w:val="004048DB"/>
    <w:rsid w:val="00404945"/>
    <w:rsid w:val="00404BC4"/>
    <w:rsid w:val="0040510F"/>
    <w:rsid w:val="004053A0"/>
    <w:rsid w:val="004054C2"/>
    <w:rsid w:val="004055FB"/>
    <w:rsid w:val="0040582A"/>
    <w:rsid w:val="00405B6D"/>
    <w:rsid w:val="00405BDA"/>
    <w:rsid w:val="00405CBA"/>
    <w:rsid w:val="00406022"/>
    <w:rsid w:val="0040628D"/>
    <w:rsid w:val="0040649A"/>
    <w:rsid w:val="004064C0"/>
    <w:rsid w:val="00406520"/>
    <w:rsid w:val="0040690A"/>
    <w:rsid w:val="00406C29"/>
    <w:rsid w:val="00406CE1"/>
    <w:rsid w:val="00407113"/>
    <w:rsid w:val="00407552"/>
    <w:rsid w:val="004079CD"/>
    <w:rsid w:val="00407CA3"/>
    <w:rsid w:val="0041047C"/>
    <w:rsid w:val="00410ACE"/>
    <w:rsid w:val="00410E90"/>
    <w:rsid w:val="0041152A"/>
    <w:rsid w:val="00411636"/>
    <w:rsid w:val="004118FC"/>
    <w:rsid w:val="00412062"/>
    <w:rsid w:val="00412065"/>
    <w:rsid w:val="00412118"/>
    <w:rsid w:val="0041232A"/>
    <w:rsid w:val="00412551"/>
    <w:rsid w:val="00412648"/>
    <w:rsid w:val="004127E8"/>
    <w:rsid w:val="0041280B"/>
    <w:rsid w:val="004129D1"/>
    <w:rsid w:val="00413012"/>
    <w:rsid w:val="0041304A"/>
    <w:rsid w:val="00413389"/>
    <w:rsid w:val="00413423"/>
    <w:rsid w:val="0041344E"/>
    <w:rsid w:val="004135B8"/>
    <w:rsid w:val="0041381F"/>
    <w:rsid w:val="00413A9C"/>
    <w:rsid w:val="0041423C"/>
    <w:rsid w:val="004145D5"/>
    <w:rsid w:val="004145FF"/>
    <w:rsid w:val="004147DB"/>
    <w:rsid w:val="004148A3"/>
    <w:rsid w:val="00414B67"/>
    <w:rsid w:val="00414F4B"/>
    <w:rsid w:val="0041504B"/>
    <w:rsid w:val="00415267"/>
    <w:rsid w:val="00415317"/>
    <w:rsid w:val="0041562F"/>
    <w:rsid w:val="00415782"/>
    <w:rsid w:val="004158B4"/>
    <w:rsid w:val="00415982"/>
    <w:rsid w:val="00415B06"/>
    <w:rsid w:val="00415B25"/>
    <w:rsid w:val="004160BA"/>
    <w:rsid w:val="004162CC"/>
    <w:rsid w:val="00416631"/>
    <w:rsid w:val="004167EB"/>
    <w:rsid w:val="00416A8E"/>
    <w:rsid w:val="00416D19"/>
    <w:rsid w:val="00416DEC"/>
    <w:rsid w:val="00416FFF"/>
    <w:rsid w:val="0041717B"/>
    <w:rsid w:val="0041735C"/>
    <w:rsid w:val="00417898"/>
    <w:rsid w:val="00417D11"/>
    <w:rsid w:val="00417D9C"/>
    <w:rsid w:val="00420071"/>
    <w:rsid w:val="00420213"/>
    <w:rsid w:val="00420834"/>
    <w:rsid w:val="00420ABD"/>
    <w:rsid w:val="00420CC7"/>
    <w:rsid w:val="00420FF4"/>
    <w:rsid w:val="00421159"/>
    <w:rsid w:val="004211BB"/>
    <w:rsid w:val="0042147B"/>
    <w:rsid w:val="00421910"/>
    <w:rsid w:val="0042197B"/>
    <w:rsid w:val="00421F12"/>
    <w:rsid w:val="0042216D"/>
    <w:rsid w:val="004221DF"/>
    <w:rsid w:val="0042228E"/>
    <w:rsid w:val="0042276B"/>
    <w:rsid w:val="004227DA"/>
    <w:rsid w:val="004228EE"/>
    <w:rsid w:val="00422CA2"/>
    <w:rsid w:val="00422D8A"/>
    <w:rsid w:val="004230DB"/>
    <w:rsid w:val="0042384C"/>
    <w:rsid w:val="00423889"/>
    <w:rsid w:val="00423890"/>
    <w:rsid w:val="004238CE"/>
    <w:rsid w:val="00423A04"/>
    <w:rsid w:val="00423C4B"/>
    <w:rsid w:val="00424554"/>
    <w:rsid w:val="004246C7"/>
    <w:rsid w:val="00424711"/>
    <w:rsid w:val="00424955"/>
    <w:rsid w:val="00424999"/>
    <w:rsid w:val="00424A1B"/>
    <w:rsid w:val="00424A38"/>
    <w:rsid w:val="00424D7F"/>
    <w:rsid w:val="00424F8D"/>
    <w:rsid w:val="004250C7"/>
    <w:rsid w:val="0042522C"/>
    <w:rsid w:val="00425469"/>
    <w:rsid w:val="0042576D"/>
    <w:rsid w:val="00425B5A"/>
    <w:rsid w:val="00425CDD"/>
    <w:rsid w:val="00425DB4"/>
    <w:rsid w:val="004263A4"/>
    <w:rsid w:val="004263DA"/>
    <w:rsid w:val="0042645D"/>
    <w:rsid w:val="00426618"/>
    <w:rsid w:val="00426C54"/>
    <w:rsid w:val="00426C8A"/>
    <w:rsid w:val="00426E54"/>
    <w:rsid w:val="00426ED8"/>
    <w:rsid w:val="0042723D"/>
    <w:rsid w:val="00427537"/>
    <w:rsid w:val="00427642"/>
    <w:rsid w:val="004276D9"/>
    <w:rsid w:val="00427736"/>
    <w:rsid w:val="00427818"/>
    <w:rsid w:val="004278D7"/>
    <w:rsid w:val="0042794E"/>
    <w:rsid w:val="00430051"/>
    <w:rsid w:val="004300BF"/>
    <w:rsid w:val="004300CC"/>
    <w:rsid w:val="00430254"/>
    <w:rsid w:val="00430282"/>
    <w:rsid w:val="00430D3D"/>
    <w:rsid w:val="00430F89"/>
    <w:rsid w:val="004315F4"/>
    <w:rsid w:val="004319FA"/>
    <w:rsid w:val="00431B4B"/>
    <w:rsid w:val="00431C42"/>
    <w:rsid w:val="00431CB0"/>
    <w:rsid w:val="00431E43"/>
    <w:rsid w:val="0043212D"/>
    <w:rsid w:val="004322C4"/>
    <w:rsid w:val="0043247F"/>
    <w:rsid w:val="004327D1"/>
    <w:rsid w:val="00432992"/>
    <w:rsid w:val="00432EA2"/>
    <w:rsid w:val="00432F4D"/>
    <w:rsid w:val="00433184"/>
    <w:rsid w:val="0043338C"/>
    <w:rsid w:val="0043348A"/>
    <w:rsid w:val="004339D3"/>
    <w:rsid w:val="00433C33"/>
    <w:rsid w:val="00433F36"/>
    <w:rsid w:val="0043429A"/>
    <w:rsid w:val="004342F1"/>
    <w:rsid w:val="004349B0"/>
    <w:rsid w:val="00434C48"/>
    <w:rsid w:val="00434E9D"/>
    <w:rsid w:val="00435122"/>
    <w:rsid w:val="00435258"/>
    <w:rsid w:val="004353B9"/>
    <w:rsid w:val="004354AF"/>
    <w:rsid w:val="00435AE6"/>
    <w:rsid w:val="00435D3B"/>
    <w:rsid w:val="00435E0C"/>
    <w:rsid w:val="00435F21"/>
    <w:rsid w:val="004360AC"/>
    <w:rsid w:val="00436312"/>
    <w:rsid w:val="004363B3"/>
    <w:rsid w:val="004364CD"/>
    <w:rsid w:val="00436582"/>
    <w:rsid w:val="004369D1"/>
    <w:rsid w:val="00436B07"/>
    <w:rsid w:val="00436D2C"/>
    <w:rsid w:val="00437257"/>
    <w:rsid w:val="00437407"/>
    <w:rsid w:val="004375F4"/>
    <w:rsid w:val="00437636"/>
    <w:rsid w:val="00437772"/>
    <w:rsid w:val="00437D29"/>
    <w:rsid w:val="00437EA3"/>
    <w:rsid w:val="00440014"/>
    <w:rsid w:val="0044009A"/>
    <w:rsid w:val="0044028E"/>
    <w:rsid w:val="00440359"/>
    <w:rsid w:val="00440430"/>
    <w:rsid w:val="00440441"/>
    <w:rsid w:val="004408DA"/>
    <w:rsid w:val="004409F3"/>
    <w:rsid w:val="00440B90"/>
    <w:rsid w:val="004414F3"/>
    <w:rsid w:val="00441AAE"/>
    <w:rsid w:val="00441ADB"/>
    <w:rsid w:val="00441C76"/>
    <w:rsid w:val="004420A9"/>
    <w:rsid w:val="00442324"/>
    <w:rsid w:val="0044238A"/>
    <w:rsid w:val="00442544"/>
    <w:rsid w:val="0044282C"/>
    <w:rsid w:val="00442838"/>
    <w:rsid w:val="004429C9"/>
    <w:rsid w:val="00442A7F"/>
    <w:rsid w:val="00443051"/>
    <w:rsid w:val="00443421"/>
    <w:rsid w:val="00443A75"/>
    <w:rsid w:val="00443DB9"/>
    <w:rsid w:val="00444370"/>
    <w:rsid w:val="004445C0"/>
    <w:rsid w:val="00444832"/>
    <w:rsid w:val="004449C9"/>
    <w:rsid w:val="00444F3A"/>
    <w:rsid w:val="004459DC"/>
    <w:rsid w:val="00445C6D"/>
    <w:rsid w:val="00445CBC"/>
    <w:rsid w:val="00445EDF"/>
    <w:rsid w:val="00445EF3"/>
    <w:rsid w:val="004461A2"/>
    <w:rsid w:val="00446402"/>
    <w:rsid w:val="004464E2"/>
    <w:rsid w:val="0044655F"/>
    <w:rsid w:val="00446788"/>
    <w:rsid w:val="004469F7"/>
    <w:rsid w:val="00446A2F"/>
    <w:rsid w:val="00446A3F"/>
    <w:rsid w:val="00446B96"/>
    <w:rsid w:val="00446BDC"/>
    <w:rsid w:val="00446BFC"/>
    <w:rsid w:val="00446F4E"/>
    <w:rsid w:val="0044732D"/>
    <w:rsid w:val="00447B5D"/>
    <w:rsid w:val="00447EA5"/>
    <w:rsid w:val="00450298"/>
    <w:rsid w:val="004502C4"/>
    <w:rsid w:val="004502D0"/>
    <w:rsid w:val="004506B1"/>
    <w:rsid w:val="00450A52"/>
    <w:rsid w:val="0045108D"/>
    <w:rsid w:val="00451220"/>
    <w:rsid w:val="0045141B"/>
    <w:rsid w:val="004514D7"/>
    <w:rsid w:val="0045188F"/>
    <w:rsid w:val="00451DFE"/>
    <w:rsid w:val="00451E22"/>
    <w:rsid w:val="00452402"/>
    <w:rsid w:val="004525D0"/>
    <w:rsid w:val="004525FB"/>
    <w:rsid w:val="00452833"/>
    <w:rsid w:val="00452D19"/>
    <w:rsid w:val="00452F9E"/>
    <w:rsid w:val="004531F1"/>
    <w:rsid w:val="00453335"/>
    <w:rsid w:val="0045350E"/>
    <w:rsid w:val="0045392B"/>
    <w:rsid w:val="00453B19"/>
    <w:rsid w:val="00453E72"/>
    <w:rsid w:val="00453F69"/>
    <w:rsid w:val="00454839"/>
    <w:rsid w:val="0045564C"/>
    <w:rsid w:val="004556C4"/>
    <w:rsid w:val="00455860"/>
    <w:rsid w:val="0045593C"/>
    <w:rsid w:val="00455BB5"/>
    <w:rsid w:val="00455C1A"/>
    <w:rsid w:val="00455D5B"/>
    <w:rsid w:val="00455D6A"/>
    <w:rsid w:val="00455E6E"/>
    <w:rsid w:val="00456430"/>
    <w:rsid w:val="004565E2"/>
    <w:rsid w:val="004567A6"/>
    <w:rsid w:val="004567CD"/>
    <w:rsid w:val="004568F4"/>
    <w:rsid w:val="00456AF4"/>
    <w:rsid w:val="00456E4C"/>
    <w:rsid w:val="00456ECB"/>
    <w:rsid w:val="00457102"/>
    <w:rsid w:val="004574D3"/>
    <w:rsid w:val="004577D3"/>
    <w:rsid w:val="004579F6"/>
    <w:rsid w:val="00457EF0"/>
    <w:rsid w:val="00457F5E"/>
    <w:rsid w:val="00460449"/>
    <w:rsid w:val="004608EA"/>
    <w:rsid w:val="0046097A"/>
    <w:rsid w:val="00460A55"/>
    <w:rsid w:val="00460B92"/>
    <w:rsid w:val="00461240"/>
    <w:rsid w:val="00461285"/>
    <w:rsid w:val="00461303"/>
    <w:rsid w:val="004614A2"/>
    <w:rsid w:val="00461564"/>
    <w:rsid w:val="00461645"/>
    <w:rsid w:val="004617AC"/>
    <w:rsid w:val="00461AC9"/>
    <w:rsid w:val="00461BD4"/>
    <w:rsid w:val="00461DD3"/>
    <w:rsid w:val="00462300"/>
    <w:rsid w:val="00462587"/>
    <w:rsid w:val="00462633"/>
    <w:rsid w:val="00462E35"/>
    <w:rsid w:val="0046339D"/>
    <w:rsid w:val="004636E4"/>
    <w:rsid w:val="00463760"/>
    <w:rsid w:val="004637C2"/>
    <w:rsid w:val="00463D0D"/>
    <w:rsid w:val="0046407B"/>
    <w:rsid w:val="00464225"/>
    <w:rsid w:val="0046430D"/>
    <w:rsid w:val="00464554"/>
    <w:rsid w:val="004649FA"/>
    <w:rsid w:val="00464CEC"/>
    <w:rsid w:val="00464E7D"/>
    <w:rsid w:val="00465159"/>
    <w:rsid w:val="004654A3"/>
    <w:rsid w:val="00465510"/>
    <w:rsid w:val="004657D7"/>
    <w:rsid w:val="00465A15"/>
    <w:rsid w:val="00465AF5"/>
    <w:rsid w:val="00465DBB"/>
    <w:rsid w:val="00465EFC"/>
    <w:rsid w:val="004662A9"/>
    <w:rsid w:val="0046652D"/>
    <w:rsid w:val="004666AB"/>
    <w:rsid w:val="00466B59"/>
    <w:rsid w:val="00466BCF"/>
    <w:rsid w:val="00466C43"/>
    <w:rsid w:val="00466E55"/>
    <w:rsid w:val="00466F16"/>
    <w:rsid w:val="00467252"/>
    <w:rsid w:val="00467684"/>
    <w:rsid w:val="00467911"/>
    <w:rsid w:val="00467B27"/>
    <w:rsid w:val="004700C3"/>
    <w:rsid w:val="00470250"/>
    <w:rsid w:val="00470461"/>
    <w:rsid w:val="00470665"/>
    <w:rsid w:val="004706DF"/>
    <w:rsid w:val="00470920"/>
    <w:rsid w:val="00470994"/>
    <w:rsid w:val="004711C0"/>
    <w:rsid w:val="004714CD"/>
    <w:rsid w:val="00471645"/>
    <w:rsid w:val="004717BC"/>
    <w:rsid w:val="00471829"/>
    <w:rsid w:val="0047188E"/>
    <w:rsid w:val="00471A2E"/>
    <w:rsid w:val="00471FD5"/>
    <w:rsid w:val="004720B8"/>
    <w:rsid w:val="00472266"/>
    <w:rsid w:val="0047240E"/>
    <w:rsid w:val="00472BA6"/>
    <w:rsid w:val="00472EEB"/>
    <w:rsid w:val="00473142"/>
    <w:rsid w:val="0047332C"/>
    <w:rsid w:val="00473359"/>
    <w:rsid w:val="004739B7"/>
    <w:rsid w:val="004739D4"/>
    <w:rsid w:val="00473A4B"/>
    <w:rsid w:val="00473BB6"/>
    <w:rsid w:val="00473C8A"/>
    <w:rsid w:val="00473D16"/>
    <w:rsid w:val="00473ED0"/>
    <w:rsid w:val="004740DC"/>
    <w:rsid w:val="0047419F"/>
    <w:rsid w:val="004741A7"/>
    <w:rsid w:val="004742EA"/>
    <w:rsid w:val="004742EE"/>
    <w:rsid w:val="00474336"/>
    <w:rsid w:val="0047465F"/>
    <w:rsid w:val="004749A2"/>
    <w:rsid w:val="004749ED"/>
    <w:rsid w:val="00474A32"/>
    <w:rsid w:val="00474D74"/>
    <w:rsid w:val="00474D77"/>
    <w:rsid w:val="00474EAF"/>
    <w:rsid w:val="00475196"/>
    <w:rsid w:val="004751B0"/>
    <w:rsid w:val="00475947"/>
    <w:rsid w:val="00475983"/>
    <w:rsid w:val="00475A56"/>
    <w:rsid w:val="00475A88"/>
    <w:rsid w:val="00475BFE"/>
    <w:rsid w:val="00475FCF"/>
    <w:rsid w:val="004760DF"/>
    <w:rsid w:val="004767CA"/>
    <w:rsid w:val="00476AAC"/>
    <w:rsid w:val="00476C47"/>
    <w:rsid w:val="00476EFD"/>
    <w:rsid w:val="00476F38"/>
    <w:rsid w:val="004771CD"/>
    <w:rsid w:val="00477431"/>
    <w:rsid w:val="0047767E"/>
    <w:rsid w:val="0047779C"/>
    <w:rsid w:val="00477943"/>
    <w:rsid w:val="00477EFD"/>
    <w:rsid w:val="004803B1"/>
    <w:rsid w:val="004804B5"/>
    <w:rsid w:val="004805E1"/>
    <w:rsid w:val="00480774"/>
    <w:rsid w:val="0048092F"/>
    <w:rsid w:val="00480AC2"/>
    <w:rsid w:val="00481211"/>
    <w:rsid w:val="00481F4B"/>
    <w:rsid w:val="00482075"/>
    <w:rsid w:val="004824B4"/>
    <w:rsid w:val="004825E0"/>
    <w:rsid w:val="004826DC"/>
    <w:rsid w:val="00482726"/>
    <w:rsid w:val="004829FA"/>
    <w:rsid w:val="00482CE2"/>
    <w:rsid w:val="00482DF8"/>
    <w:rsid w:val="00482EFF"/>
    <w:rsid w:val="00483116"/>
    <w:rsid w:val="004831DD"/>
    <w:rsid w:val="004835A0"/>
    <w:rsid w:val="004835F5"/>
    <w:rsid w:val="00483798"/>
    <w:rsid w:val="00483827"/>
    <w:rsid w:val="00483AEE"/>
    <w:rsid w:val="00483C41"/>
    <w:rsid w:val="00483C61"/>
    <w:rsid w:val="00483CCE"/>
    <w:rsid w:val="00483F2D"/>
    <w:rsid w:val="00484098"/>
    <w:rsid w:val="004843FD"/>
    <w:rsid w:val="00484BE8"/>
    <w:rsid w:val="00484D33"/>
    <w:rsid w:val="00484F27"/>
    <w:rsid w:val="004855D4"/>
    <w:rsid w:val="00485F5C"/>
    <w:rsid w:val="004860B1"/>
    <w:rsid w:val="00486761"/>
    <w:rsid w:val="00486EF8"/>
    <w:rsid w:val="00487207"/>
    <w:rsid w:val="004872E9"/>
    <w:rsid w:val="00487375"/>
    <w:rsid w:val="004873C7"/>
    <w:rsid w:val="00487537"/>
    <w:rsid w:val="00487765"/>
    <w:rsid w:val="00487AFB"/>
    <w:rsid w:val="00487CE6"/>
    <w:rsid w:val="00487E61"/>
    <w:rsid w:val="00487F1E"/>
    <w:rsid w:val="00487FB6"/>
    <w:rsid w:val="0049052F"/>
    <w:rsid w:val="00490868"/>
    <w:rsid w:val="00490A71"/>
    <w:rsid w:val="00490BE0"/>
    <w:rsid w:val="00490D8D"/>
    <w:rsid w:val="004912E6"/>
    <w:rsid w:val="004918DB"/>
    <w:rsid w:val="00491DAA"/>
    <w:rsid w:val="004921AE"/>
    <w:rsid w:val="0049262F"/>
    <w:rsid w:val="004928C6"/>
    <w:rsid w:val="0049299F"/>
    <w:rsid w:val="004929D1"/>
    <w:rsid w:val="004929F3"/>
    <w:rsid w:val="004929F9"/>
    <w:rsid w:val="00492ADE"/>
    <w:rsid w:val="00492BDE"/>
    <w:rsid w:val="00492E22"/>
    <w:rsid w:val="00492FB5"/>
    <w:rsid w:val="0049364E"/>
    <w:rsid w:val="00493B30"/>
    <w:rsid w:val="00493B51"/>
    <w:rsid w:val="00493CA1"/>
    <w:rsid w:val="00493E14"/>
    <w:rsid w:val="0049439A"/>
    <w:rsid w:val="00494918"/>
    <w:rsid w:val="00494B17"/>
    <w:rsid w:val="004951E9"/>
    <w:rsid w:val="004952B8"/>
    <w:rsid w:val="00495381"/>
    <w:rsid w:val="004954BE"/>
    <w:rsid w:val="0049573A"/>
    <w:rsid w:val="0049579E"/>
    <w:rsid w:val="00495870"/>
    <w:rsid w:val="0049591F"/>
    <w:rsid w:val="004959CD"/>
    <w:rsid w:val="00495AB1"/>
    <w:rsid w:val="00495B17"/>
    <w:rsid w:val="00495BDF"/>
    <w:rsid w:val="00495D90"/>
    <w:rsid w:val="00495F5B"/>
    <w:rsid w:val="0049603B"/>
    <w:rsid w:val="00496130"/>
    <w:rsid w:val="004964CF"/>
    <w:rsid w:val="00496506"/>
    <w:rsid w:val="0049669F"/>
    <w:rsid w:val="004967FD"/>
    <w:rsid w:val="00496B09"/>
    <w:rsid w:val="00496C1A"/>
    <w:rsid w:val="00496D42"/>
    <w:rsid w:val="00497601"/>
    <w:rsid w:val="004976D0"/>
    <w:rsid w:val="004976F6"/>
    <w:rsid w:val="0049778A"/>
    <w:rsid w:val="004977F8"/>
    <w:rsid w:val="004978A9"/>
    <w:rsid w:val="00497A27"/>
    <w:rsid w:val="00497ACA"/>
    <w:rsid w:val="00497C45"/>
    <w:rsid w:val="00497F1A"/>
    <w:rsid w:val="004A0099"/>
    <w:rsid w:val="004A0447"/>
    <w:rsid w:val="004A04EF"/>
    <w:rsid w:val="004A061C"/>
    <w:rsid w:val="004A0949"/>
    <w:rsid w:val="004A0950"/>
    <w:rsid w:val="004A0C62"/>
    <w:rsid w:val="004A11F3"/>
    <w:rsid w:val="004A19C6"/>
    <w:rsid w:val="004A1C5E"/>
    <w:rsid w:val="004A1E21"/>
    <w:rsid w:val="004A2534"/>
    <w:rsid w:val="004A25A6"/>
    <w:rsid w:val="004A27F9"/>
    <w:rsid w:val="004A282A"/>
    <w:rsid w:val="004A29F3"/>
    <w:rsid w:val="004A3612"/>
    <w:rsid w:val="004A36BE"/>
    <w:rsid w:val="004A36E4"/>
    <w:rsid w:val="004A386A"/>
    <w:rsid w:val="004A38EB"/>
    <w:rsid w:val="004A3926"/>
    <w:rsid w:val="004A39E2"/>
    <w:rsid w:val="004A3A99"/>
    <w:rsid w:val="004A3C95"/>
    <w:rsid w:val="004A3C9C"/>
    <w:rsid w:val="004A3FAB"/>
    <w:rsid w:val="004A426E"/>
    <w:rsid w:val="004A4360"/>
    <w:rsid w:val="004A4F68"/>
    <w:rsid w:val="004A581F"/>
    <w:rsid w:val="004A5CE6"/>
    <w:rsid w:val="004A6302"/>
    <w:rsid w:val="004A652D"/>
    <w:rsid w:val="004A68A8"/>
    <w:rsid w:val="004A6AFB"/>
    <w:rsid w:val="004A6FB5"/>
    <w:rsid w:val="004A6FFA"/>
    <w:rsid w:val="004A73B5"/>
    <w:rsid w:val="004A7516"/>
    <w:rsid w:val="004A7C9B"/>
    <w:rsid w:val="004A7F0B"/>
    <w:rsid w:val="004B01E1"/>
    <w:rsid w:val="004B0292"/>
    <w:rsid w:val="004B03E8"/>
    <w:rsid w:val="004B0550"/>
    <w:rsid w:val="004B06CD"/>
    <w:rsid w:val="004B077F"/>
    <w:rsid w:val="004B099C"/>
    <w:rsid w:val="004B0BE8"/>
    <w:rsid w:val="004B0DBB"/>
    <w:rsid w:val="004B0DBD"/>
    <w:rsid w:val="004B10FC"/>
    <w:rsid w:val="004B1332"/>
    <w:rsid w:val="004B1573"/>
    <w:rsid w:val="004B16BD"/>
    <w:rsid w:val="004B1AEF"/>
    <w:rsid w:val="004B1D09"/>
    <w:rsid w:val="004B1D85"/>
    <w:rsid w:val="004B20E0"/>
    <w:rsid w:val="004B2183"/>
    <w:rsid w:val="004B21AE"/>
    <w:rsid w:val="004B237E"/>
    <w:rsid w:val="004B2386"/>
    <w:rsid w:val="004B2664"/>
    <w:rsid w:val="004B2720"/>
    <w:rsid w:val="004B28D7"/>
    <w:rsid w:val="004B2AB3"/>
    <w:rsid w:val="004B2C28"/>
    <w:rsid w:val="004B2C51"/>
    <w:rsid w:val="004B2D98"/>
    <w:rsid w:val="004B3298"/>
    <w:rsid w:val="004B331C"/>
    <w:rsid w:val="004B3457"/>
    <w:rsid w:val="004B3531"/>
    <w:rsid w:val="004B3565"/>
    <w:rsid w:val="004B35E4"/>
    <w:rsid w:val="004B3920"/>
    <w:rsid w:val="004B3AF9"/>
    <w:rsid w:val="004B3F22"/>
    <w:rsid w:val="004B419C"/>
    <w:rsid w:val="004B4329"/>
    <w:rsid w:val="004B4344"/>
    <w:rsid w:val="004B43CD"/>
    <w:rsid w:val="004B43FB"/>
    <w:rsid w:val="004B4501"/>
    <w:rsid w:val="004B4567"/>
    <w:rsid w:val="004B48E6"/>
    <w:rsid w:val="004B4B7A"/>
    <w:rsid w:val="004B4BEF"/>
    <w:rsid w:val="004B4C13"/>
    <w:rsid w:val="004B4C98"/>
    <w:rsid w:val="004B4EFF"/>
    <w:rsid w:val="004B50C3"/>
    <w:rsid w:val="004B5397"/>
    <w:rsid w:val="004B54B5"/>
    <w:rsid w:val="004B5508"/>
    <w:rsid w:val="004B62DC"/>
    <w:rsid w:val="004B6426"/>
    <w:rsid w:val="004B67FF"/>
    <w:rsid w:val="004B6897"/>
    <w:rsid w:val="004B6B07"/>
    <w:rsid w:val="004B6C85"/>
    <w:rsid w:val="004B6E1D"/>
    <w:rsid w:val="004B7413"/>
    <w:rsid w:val="004B77F2"/>
    <w:rsid w:val="004B7D66"/>
    <w:rsid w:val="004B7E6B"/>
    <w:rsid w:val="004C0009"/>
    <w:rsid w:val="004C016B"/>
    <w:rsid w:val="004C0790"/>
    <w:rsid w:val="004C079C"/>
    <w:rsid w:val="004C0916"/>
    <w:rsid w:val="004C0A54"/>
    <w:rsid w:val="004C0FDF"/>
    <w:rsid w:val="004C10D1"/>
    <w:rsid w:val="004C12C0"/>
    <w:rsid w:val="004C15E0"/>
    <w:rsid w:val="004C1DD1"/>
    <w:rsid w:val="004C2747"/>
    <w:rsid w:val="004C2F54"/>
    <w:rsid w:val="004C301F"/>
    <w:rsid w:val="004C3176"/>
    <w:rsid w:val="004C33E1"/>
    <w:rsid w:val="004C34CE"/>
    <w:rsid w:val="004C39E1"/>
    <w:rsid w:val="004C3B98"/>
    <w:rsid w:val="004C3CE3"/>
    <w:rsid w:val="004C3D88"/>
    <w:rsid w:val="004C3F58"/>
    <w:rsid w:val="004C41E8"/>
    <w:rsid w:val="004C44D2"/>
    <w:rsid w:val="004C485D"/>
    <w:rsid w:val="004C4989"/>
    <w:rsid w:val="004C4DC9"/>
    <w:rsid w:val="004C4EAF"/>
    <w:rsid w:val="004C4EF5"/>
    <w:rsid w:val="004C52D1"/>
    <w:rsid w:val="004C5AD1"/>
    <w:rsid w:val="004C5BA1"/>
    <w:rsid w:val="004C5DE3"/>
    <w:rsid w:val="004C5F63"/>
    <w:rsid w:val="004C63F2"/>
    <w:rsid w:val="004C6498"/>
    <w:rsid w:val="004C67F6"/>
    <w:rsid w:val="004C6B33"/>
    <w:rsid w:val="004C6C54"/>
    <w:rsid w:val="004C6C56"/>
    <w:rsid w:val="004C6CAD"/>
    <w:rsid w:val="004C7457"/>
    <w:rsid w:val="004C7661"/>
    <w:rsid w:val="004C77EA"/>
    <w:rsid w:val="004C7CDC"/>
    <w:rsid w:val="004C7DE7"/>
    <w:rsid w:val="004D0344"/>
    <w:rsid w:val="004D044A"/>
    <w:rsid w:val="004D062B"/>
    <w:rsid w:val="004D08EC"/>
    <w:rsid w:val="004D0C12"/>
    <w:rsid w:val="004D0E0A"/>
    <w:rsid w:val="004D1091"/>
    <w:rsid w:val="004D132E"/>
    <w:rsid w:val="004D1642"/>
    <w:rsid w:val="004D16FD"/>
    <w:rsid w:val="004D1840"/>
    <w:rsid w:val="004D1898"/>
    <w:rsid w:val="004D1AA9"/>
    <w:rsid w:val="004D1C4A"/>
    <w:rsid w:val="004D2060"/>
    <w:rsid w:val="004D2327"/>
    <w:rsid w:val="004D2621"/>
    <w:rsid w:val="004D29C3"/>
    <w:rsid w:val="004D2A7E"/>
    <w:rsid w:val="004D2AB7"/>
    <w:rsid w:val="004D2C88"/>
    <w:rsid w:val="004D2F9B"/>
    <w:rsid w:val="004D32DA"/>
    <w:rsid w:val="004D33BB"/>
    <w:rsid w:val="004D355D"/>
    <w:rsid w:val="004D378A"/>
    <w:rsid w:val="004D3A14"/>
    <w:rsid w:val="004D3CDB"/>
    <w:rsid w:val="004D3D2F"/>
    <w:rsid w:val="004D3F30"/>
    <w:rsid w:val="004D440B"/>
    <w:rsid w:val="004D4527"/>
    <w:rsid w:val="004D46B3"/>
    <w:rsid w:val="004D52F4"/>
    <w:rsid w:val="004D55CE"/>
    <w:rsid w:val="004D575D"/>
    <w:rsid w:val="004D57C2"/>
    <w:rsid w:val="004D5BF0"/>
    <w:rsid w:val="004D5DF8"/>
    <w:rsid w:val="004D5FA6"/>
    <w:rsid w:val="004D613F"/>
    <w:rsid w:val="004D6183"/>
    <w:rsid w:val="004D6232"/>
    <w:rsid w:val="004D65F2"/>
    <w:rsid w:val="004D676B"/>
    <w:rsid w:val="004D6901"/>
    <w:rsid w:val="004D6AE4"/>
    <w:rsid w:val="004D6DF7"/>
    <w:rsid w:val="004D6F21"/>
    <w:rsid w:val="004D7004"/>
    <w:rsid w:val="004D7296"/>
    <w:rsid w:val="004D7347"/>
    <w:rsid w:val="004D780C"/>
    <w:rsid w:val="004D797F"/>
    <w:rsid w:val="004D7C64"/>
    <w:rsid w:val="004D7CA1"/>
    <w:rsid w:val="004E0230"/>
    <w:rsid w:val="004E0301"/>
    <w:rsid w:val="004E0400"/>
    <w:rsid w:val="004E06DE"/>
    <w:rsid w:val="004E0749"/>
    <w:rsid w:val="004E08E1"/>
    <w:rsid w:val="004E0CDD"/>
    <w:rsid w:val="004E0F19"/>
    <w:rsid w:val="004E0F62"/>
    <w:rsid w:val="004E103D"/>
    <w:rsid w:val="004E1362"/>
    <w:rsid w:val="004E19B7"/>
    <w:rsid w:val="004E1A17"/>
    <w:rsid w:val="004E1A82"/>
    <w:rsid w:val="004E1C91"/>
    <w:rsid w:val="004E2196"/>
    <w:rsid w:val="004E2527"/>
    <w:rsid w:val="004E2890"/>
    <w:rsid w:val="004E28A6"/>
    <w:rsid w:val="004E2DE9"/>
    <w:rsid w:val="004E2FC1"/>
    <w:rsid w:val="004E347A"/>
    <w:rsid w:val="004E362C"/>
    <w:rsid w:val="004E3A29"/>
    <w:rsid w:val="004E3AA2"/>
    <w:rsid w:val="004E4140"/>
    <w:rsid w:val="004E4236"/>
    <w:rsid w:val="004E42AF"/>
    <w:rsid w:val="004E4392"/>
    <w:rsid w:val="004E4658"/>
    <w:rsid w:val="004E49C4"/>
    <w:rsid w:val="004E4E81"/>
    <w:rsid w:val="004E528D"/>
    <w:rsid w:val="004E546D"/>
    <w:rsid w:val="004E5503"/>
    <w:rsid w:val="004E56BF"/>
    <w:rsid w:val="004E5B35"/>
    <w:rsid w:val="004E5C4B"/>
    <w:rsid w:val="004E5E96"/>
    <w:rsid w:val="004E61B9"/>
    <w:rsid w:val="004E67CB"/>
    <w:rsid w:val="004E68E0"/>
    <w:rsid w:val="004E6A47"/>
    <w:rsid w:val="004E6B9A"/>
    <w:rsid w:val="004E6BE1"/>
    <w:rsid w:val="004E6FF2"/>
    <w:rsid w:val="004E7095"/>
    <w:rsid w:val="004E7145"/>
    <w:rsid w:val="004E7236"/>
    <w:rsid w:val="004E7304"/>
    <w:rsid w:val="004E75C5"/>
    <w:rsid w:val="004E75F3"/>
    <w:rsid w:val="004E78E0"/>
    <w:rsid w:val="004E7E56"/>
    <w:rsid w:val="004E7E87"/>
    <w:rsid w:val="004F0013"/>
    <w:rsid w:val="004F0144"/>
    <w:rsid w:val="004F020C"/>
    <w:rsid w:val="004F02E0"/>
    <w:rsid w:val="004F031D"/>
    <w:rsid w:val="004F0467"/>
    <w:rsid w:val="004F069C"/>
    <w:rsid w:val="004F07E4"/>
    <w:rsid w:val="004F0930"/>
    <w:rsid w:val="004F0D15"/>
    <w:rsid w:val="004F0ED6"/>
    <w:rsid w:val="004F0EDA"/>
    <w:rsid w:val="004F0F8B"/>
    <w:rsid w:val="004F11A4"/>
    <w:rsid w:val="004F1363"/>
    <w:rsid w:val="004F14E0"/>
    <w:rsid w:val="004F1A82"/>
    <w:rsid w:val="004F2055"/>
    <w:rsid w:val="004F2146"/>
    <w:rsid w:val="004F269A"/>
    <w:rsid w:val="004F2781"/>
    <w:rsid w:val="004F27CB"/>
    <w:rsid w:val="004F2BC7"/>
    <w:rsid w:val="004F2D0A"/>
    <w:rsid w:val="004F2F12"/>
    <w:rsid w:val="004F3005"/>
    <w:rsid w:val="004F3177"/>
    <w:rsid w:val="004F3206"/>
    <w:rsid w:val="004F341D"/>
    <w:rsid w:val="004F3484"/>
    <w:rsid w:val="004F3571"/>
    <w:rsid w:val="004F375A"/>
    <w:rsid w:val="004F3934"/>
    <w:rsid w:val="004F3939"/>
    <w:rsid w:val="004F3C77"/>
    <w:rsid w:val="004F3DA2"/>
    <w:rsid w:val="004F3F6A"/>
    <w:rsid w:val="004F417C"/>
    <w:rsid w:val="004F41F2"/>
    <w:rsid w:val="004F43AF"/>
    <w:rsid w:val="004F4492"/>
    <w:rsid w:val="004F4552"/>
    <w:rsid w:val="004F4C9A"/>
    <w:rsid w:val="004F4D21"/>
    <w:rsid w:val="004F4F2E"/>
    <w:rsid w:val="004F4FF7"/>
    <w:rsid w:val="004F5722"/>
    <w:rsid w:val="004F5792"/>
    <w:rsid w:val="004F5A50"/>
    <w:rsid w:val="004F5CB1"/>
    <w:rsid w:val="004F5CCA"/>
    <w:rsid w:val="004F5CCF"/>
    <w:rsid w:val="004F600D"/>
    <w:rsid w:val="004F605A"/>
    <w:rsid w:val="004F6165"/>
    <w:rsid w:val="004F639A"/>
    <w:rsid w:val="004F661D"/>
    <w:rsid w:val="004F6986"/>
    <w:rsid w:val="004F7908"/>
    <w:rsid w:val="004F7B77"/>
    <w:rsid w:val="004F7BD0"/>
    <w:rsid w:val="004F7C89"/>
    <w:rsid w:val="004F7D77"/>
    <w:rsid w:val="004F7DB2"/>
    <w:rsid w:val="004F7F66"/>
    <w:rsid w:val="005003DC"/>
    <w:rsid w:val="0050061B"/>
    <w:rsid w:val="005006F3"/>
    <w:rsid w:val="0050082C"/>
    <w:rsid w:val="00500CD0"/>
    <w:rsid w:val="00500E85"/>
    <w:rsid w:val="005019A5"/>
    <w:rsid w:val="005019B2"/>
    <w:rsid w:val="005019D2"/>
    <w:rsid w:val="00501A63"/>
    <w:rsid w:val="00501B1B"/>
    <w:rsid w:val="00501BB0"/>
    <w:rsid w:val="00501C25"/>
    <w:rsid w:val="00501D98"/>
    <w:rsid w:val="00501E72"/>
    <w:rsid w:val="0050212A"/>
    <w:rsid w:val="0050225D"/>
    <w:rsid w:val="00502404"/>
    <w:rsid w:val="005027B1"/>
    <w:rsid w:val="00502A67"/>
    <w:rsid w:val="00502AA3"/>
    <w:rsid w:val="00502B73"/>
    <w:rsid w:val="00502C10"/>
    <w:rsid w:val="00502F57"/>
    <w:rsid w:val="00502FE3"/>
    <w:rsid w:val="00502FF6"/>
    <w:rsid w:val="005037BD"/>
    <w:rsid w:val="0050382E"/>
    <w:rsid w:val="005038E9"/>
    <w:rsid w:val="00503C85"/>
    <w:rsid w:val="00503E31"/>
    <w:rsid w:val="00503FEA"/>
    <w:rsid w:val="00504000"/>
    <w:rsid w:val="005046EA"/>
    <w:rsid w:val="0050479A"/>
    <w:rsid w:val="00504A66"/>
    <w:rsid w:val="00504B65"/>
    <w:rsid w:val="00504D6C"/>
    <w:rsid w:val="005051B1"/>
    <w:rsid w:val="00505286"/>
    <w:rsid w:val="005053D2"/>
    <w:rsid w:val="00505553"/>
    <w:rsid w:val="0050564B"/>
    <w:rsid w:val="005057E1"/>
    <w:rsid w:val="00505ADB"/>
    <w:rsid w:val="00505DAF"/>
    <w:rsid w:val="00506173"/>
    <w:rsid w:val="005062E4"/>
    <w:rsid w:val="005065EF"/>
    <w:rsid w:val="0050693C"/>
    <w:rsid w:val="00506BA5"/>
    <w:rsid w:val="00506CEF"/>
    <w:rsid w:val="00506DA2"/>
    <w:rsid w:val="00506EB8"/>
    <w:rsid w:val="00507028"/>
    <w:rsid w:val="0050732B"/>
    <w:rsid w:val="0050752B"/>
    <w:rsid w:val="00507860"/>
    <w:rsid w:val="00507A2B"/>
    <w:rsid w:val="00507A8D"/>
    <w:rsid w:val="00507D3D"/>
    <w:rsid w:val="00507D72"/>
    <w:rsid w:val="00507FF4"/>
    <w:rsid w:val="0051037C"/>
    <w:rsid w:val="005103D9"/>
    <w:rsid w:val="005105E4"/>
    <w:rsid w:val="0051098A"/>
    <w:rsid w:val="00510BB4"/>
    <w:rsid w:val="00510CE5"/>
    <w:rsid w:val="00510EE6"/>
    <w:rsid w:val="00510EF8"/>
    <w:rsid w:val="005110E8"/>
    <w:rsid w:val="0051165A"/>
    <w:rsid w:val="0051197C"/>
    <w:rsid w:val="00511BA5"/>
    <w:rsid w:val="00511DA6"/>
    <w:rsid w:val="00511F90"/>
    <w:rsid w:val="00512056"/>
    <w:rsid w:val="005121F7"/>
    <w:rsid w:val="00512211"/>
    <w:rsid w:val="005125AB"/>
    <w:rsid w:val="0051284B"/>
    <w:rsid w:val="00512BDE"/>
    <w:rsid w:val="00512CCA"/>
    <w:rsid w:val="00512CDE"/>
    <w:rsid w:val="00512DEE"/>
    <w:rsid w:val="005130C6"/>
    <w:rsid w:val="00513BD4"/>
    <w:rsid w:val="00513D39"/>
    <w:rsid w:val="005142FE"/>
    <w:rsid w:val="0051434D"/>
    <w:rsid w:val="005145DA"/>
    <w:rsid w:val="005148A1"/>
    <w:rsid w:val="00514996"/>
    <w:rsid w:val="005149BF"/>
    <w:rsid w:val="005149F7"/>
    <w:rsid w:val="00514AF7"/>
    <w:rsid w:val="005150A3"/>
    <w:rsid w:val="00515192"/>
    <w:rsid w:val="005156E6"/>
    <w:rsid w:val="00515B30"/>
    <w:rsid w:val="00515D09"/>
    <w:rsid w:val="005162ED"/>
    <w:rsid w:val="0051649C"/>
    <w:rsid w:val="0051650D"/>
    <w:rsid w:val="005166FD"/>
    <w:rsid w:val="00516AB4"/>
    <w:rsid w:val="00516BAF"/>
    <w:rsid w:val="00516FC7"/>
    <w:rsid w:val="00517460"/>
    <w:rsid w:val="005174A3"/>
    <w:rsid w:val="005179A3"/>
    <w:rsid w:val="00517B3E"/>
    <w:rsid w:val="00517C05"/>
    <w:rsid w:val="00517C1D"/>
    <w:rsid w:val="00517CE6"/>
    <w:rsid w:val="00517D6E"/>
    <w:rsid w:val="00517DB4"/>
    <w:rsid w:val="0052000B"/>
    <w:rsid w:val="005201C2"/>
    <w:rsid w:val="00520256"/>
    <w:rsid w:val="005203A0"/>
    <w:rsid w:val="0052083A"/>
    <w:rsid w:val="00520BA7"/>
    <w:rsid w:val="0052126E"/>
    <w:rsid w:val="005216E4"/>
    <w:rsid w:val="00521AEB"/>
    <w:rsid w:val="00521FED"/>
    <w:rsid w:val="005227FA"/>
    <w:rsid w:val="0052282A"/>
    <w:rsid w:val="00522A55"/>
    <w:rsid w:val="00522C0E"/>
    <w:rsid w:val="00522C8A"/>
    <w:rsid w:val="00523056"/>
    <w:rsid w:val="0052316B"/>
    <w:rsid w:val="00523411"/>
    <w:rsid w:val="005236B5"/>
    <w:rsid w:val="00523F15"/>
    <w:rsid w:val="0052411C"/>
    <w:rsid w:val="005243E2"/>
    <w:rsid w:val="00524498"/>
    <w:rsid w:val="00524505"/>
    <w:rsid w:val="005245A8"/>
    <w:rsid w:val="0052487D"/>
    <w:rsid w:val="005248DC"/>
    <w:rsid w:val="00524AA3"/>
    <w:rsid w:val="00524D45"/>
    <w:rsid w:val="00525037"/>
    <w:rsid w:val="005251C2"/>
    <w:rsid w:val="00525259"/>
    <w:rsid w:val="005252A1"/>
    <w:rsid w:val="00525A34"/>
    <w:rsid w:val="00525BD3"/>
    <w:rsid w:val="00526AD8"/>
    <w:rsid w:val="00526BB2"/>
    <w:rsid w:val="00526E16"/>
    <w:rsid w:val="00526FB6"/>
    <w:rsid w:val="00527425"/>
    <w:rsid w:val="00527786"/>
    <w:rsid w:val="00527CB3"/>
    <w:rsid w:val="00527DA8"/>
    <w:rsid w:val="00527E13"/>
    <w:rsid w:val="00530599"/>
    <w:rsid w:val="0053070F"/>
    <w:rsid w:val="00530A32"/>
    <w:rsid w:val="00530ABE"/>
    <w:rsid w:val="00530B59"/>
    <w:rsid w:val="00530BA6"/>
    <w:rsid w:val="00530C19"/>
    <w:rsid w:val="00530CB2"/>
    <w:rsid w:val="00530F15"/>
    <w:rsid w:val="00531697"/>
    <w:rsid w:val="005318C2"/>
    <w:rsid w:val="005319A5"/>
    <w:rsid w:val="00531A50"/>
    <w:rsid w:val="00531A60"/>
    <w:rsid w:val="00531F0A"/>
    <w:rsid w:val="00532291"/>
    <w:rsid w:val="00532914"/>
    <w:rsid w:val="00532C0F"/>
    <w:rsid w:val="00532DA8"/>
    <w:rsid w:val="00532DC2"/>
    <w:rsid w:val="00532EF8"/>
    <w:rsid w:val="005330B7"/>
    <w:rsid w:val="005331D2"/>
    <w:rsid w:val="0053324B"/>
    <w:rsid w:val="00533964"/>
    <w:rsid w:val="00533A68"/>
    <w:rsid w:val="00533B60"/>
    <w:rsid w:val="00533B94"/>
    <w:rsid w:val="00534346"/>
    <w:rsid w:val="005343C8"/>
    <w:rsid w:val="00534641"/>
    <w:rsid w:val="00534727"/>
    <w:rsid w:val="0053478A"/>
    <w:rsid w:val="0053483E"/>
    <w:rsid w:val="00534914"/>
    <w:rsid w:val="00534B78"/>
    <w:rsid w:val="00534E7E"/>
    <w:rsid w:val="00535250"/>
    <w:rsid w:val="005353FF"/>
    <w:rsid w:val="00536B3F"/>
    <w:rsid w:val="00536C31"/>
    <w:rsid w:val="00537028"/>
    <w:rsid w:val="0053705F"/>
    <w:rsid w:val="005371AF"/>
    <w:rsid w:val="00537235"/>
    <w:rsid w:val="0053725F"/>
    <w:rsid w:val="00537590"/>
    <w:rsid w:val="0053790D"/>
    <w:rsid w:val="005379B8"/>
    <w:rsid w:val="00537B83"/>
    <w:rsid w:val="00537BE5"/>
    <w:rsid w:val="00537D83"/>
    <w:rsid w:val="00540109"/>
    <w:rsid w:val="005409BA"/>
    <w:rsid w:val="00540D13"/>
    <w:rsid w:val="00540D87"/>
    <w:rsid w:val="00540F8C"/>
    <w:rsid w:val="00540FB7"/>
    <w:rsid w:val="0054123F"/>
    <w:rsid w:val="0054128C"/>
    <w:rsid w:val="005417F6"/>
    <w:rsid w:val="00541882"/>
    <w:rsid w:val="00541B07"/>
    <w:rsid w:val="00541EAD"/>
    <w:rsid w:val="005422EF"/>
    <w:rsid w:val="00542817"/>
    <w:rsid w:val="00542AB4"/>
    <w:rsid w:val="00542B7E"/>
    <w:rsid w:val="00542C3C"/>
    <w:rsid w:val="00542D62"/>
    <w:rsid w:val="005432BD"/>
    <w:rsid w:val="00543327"/>
    <w:rsid w:val="005435FE"/>
    <w:rsid w:val="00543683"/>
    <w:rsid w:val="00543ADC"/>
    <w:rsid w:val="00543B7F"/>
    <w:rsid w:val="00543C46"/>
    <w:rsid w:val="00543F04"/>
    <w:rsid w:val="00543F0B"/>
    <w:rsid w:val="005441AF"/>
    <w:rsid w:val="005441E3"/>
    <w:rsid w:val="005442CA"/>
    <w:rsid w:val="0054430E"/>
    <w:rsid w:val="00544562"/>
    <w:rsid w:val="005447B9"/>
    <w:rsid w:val="00544871"/>
    <w:rsid w:val="00544D91"/>
    <w:rsid w:val="00544FA5"/>
    <w:rsid w:val="005450EF"/>
    <w:rsid w:val="0054519F"/>
    <w:rsid w:val="00545518"/>
    <w:rsid w:val="00545D78"/>
    <w:rsid w:val="00545F8E"/>
    <w:rsid w:val="00545FB8"/>
    <w:rsid w:val="00546056"/>
    <w:rsid w:val="005460F1"/>
    <w:rsid w:val="005461E2"/>
    <w:rsid w:val="0054636C"/>
    <w:rsid w:val="005464E8"/>
    <w:rsid w:val="0054674A"/>
    <w:rsid w:val="00546998"/>
    <w:rsid w:val="00546D30"/>
    <w:rsid w:val="00546EB7"/>
    <w:rsid w:val="00546F7D"/>
    <w:rsid w:val="00546F9F"/>
    <w:rsid w:val="0054703F"/>
    <w:rsid w:val="005473D3"/>
    <w:rsid w:val="005475C4"/>
    <w:rsid w:val="005477C3"/>
    <w:rsid w:val="005479C0"/>
    <w:rsid w:val="00547E57"/>
    <w:rsid w:val="00550055"/>
    <w:rsid w:val="005500A2"/>
    <w:rsid w:val="005500D2"/>
    <w:rsid w:val="00550122"/>
    <w:rsid w:val="005501CB"/>
    <w:rsid w:val="005505C5"/>
    <w:rsid w:val="00550638"/>
    <w:rsid w:val="00550876"/>
    <w:rsid w:val="00550B87"/>
    <w:rsid w:val="00550BE1"/>
    <w:rsid w:val="005514B1"/>
    <w:rsid w:val="0055151D"/>
    <w:rsid w:val="00551CBA"/>
    <w:rsid w:val="00552883"/>
    <w:rsid w:val="00552D72"/>
    <w:rsid w:val="00552FE7"/>
    <w:rsid w:val="00553032"/>
    <w:rsid w:val="00553264"/>
    <w:rsid w:val="00553357"/>
    <w:rsid w:val="00553374"/>
    <w:rsid w:val="005537C5"/>
    <w:rsid w:val="00553868"/>
    <w:rsid w:val="00553885"/>
    <w:rsid w:val="00554633"/>
    <w:rsid w:val="00554A52"/>
    <w:rsid w:val="00554CF9"/>
    <w:rsid w:val="00555323"/>
    <w:rsid w:val="00555369"/>
    <w:rsid w:val="00555525"/>
    <w:rsid w:val="005557F4"/>
    <w:rsid w:val="00555AC4"/>
    <w:rsid w:val="00555B25"/>
    <w:rsid w:val="00555BE8"/>
    <w:rsid w:val="00555DB3"/>
    <w:rsid w:val="00555FA6"/>
    <w:rsid w:val="00556314"/>
    <w:rsid w:val="00556413"/>
    <w:rsid w:val="0055664B"/>
    <w:rsid w:val="005568F3"/>
    <w:rsid w:val="00556943"/>
    <w:rsid w:val="0055694B"/>
    <w:rsid w:val="00556A86"/>
    <w:rsid w:val="00556B29"/>
    <w:rsid w:val="00557028"/>
    <w:rsid w:val="005570AC"/>
    <w:rsid w:val="00557137"/>
    <w:rsid w:val="005571F9"/>
    <w:rsid w:val="005575B9"/>
    <w:rsid w:val="0055775F"/>
    <w:rsid w:val="00557775"/>
    <w:rsid w:val="005578B0"/>
    <w:rsid w:val="005578EA"/>
    <w:rsid w:val="005579D8"/>
    <w:rsid w:val="0056002E"/>
    <w:rsid w:val="005600BC"/>
    <w:rsid w:val="00560421"/>
    <w:rsid w:val="0056043F"/>
    <w:rsid w:val="00560CDF"/>
    <w:rsid w:val="00560F33"/>
    <w:rsid w:val="005610BA"/>
    <w:rsid w:val="005614D2"/>
    <w:rsid w:val="00561B0E"/>
    <w:rsid w:val="00561B25"/>
    <w:rsid w:val="00561F8B"/>
    <w:rsid w:val="00562199"/>
    <w:rsid w:val="00562266"/>
    <w:rsid w:val="005622DA"/>
    <w:rsid w:val="00562353"/>
    <w:rsid w:val="00562411"/>
    <w:rsid w:val="00562A25"/>
    <w:rsid w:val="00562C60"/>
    <w:rsid w:val="00562C66"/>
    <w:rsid w:val="005630F4"/>
    <w:rsid w:val="00563104"/>
    <w:rsid w:val="0056324F"/>
    <w:rsid w:val="00563451"/>
    <w:rsid w:val="00563460"/>
    <w:rsid w:val="00563509"/>
    <w:rsid w:val="00563696"/>
    <w:rsid w:val="005639EE"/>
    <w:rsid w:val="00563C3C"/>
    <w:rsid w:val="00563D0E"/>
    <w:rsid w:val="0056405C"/>
    <w:rsid w:val="005643F9"/>
    <w:rsid w:val="0056442C"/>
    <w:rsid w:val="005645E8"/>
    <w:rsid w:val="005647FF"/>
    <w:rsid w:val="0056482E"/>
    <w:rsid w:val="00564B8C"/>
    <w:rsid w:val="0056504A"/>
    <w:rsid w:val="005650CB"/>
    <w:rsid w:val="005654D8"/>
    <w:rsid w:val="005654F5"/>
    <w:rsid w:val="00565653"/>
    <w:rsid w:val="00565AFF"/>
    <w:rsid w:val="00565D2D"/>
    <w:rsid w:val="0056673E"/>
    <w:rsid w:val="005668B1"/>
    <w:rsid w:val="00566A50"/>
    <w:rsid w:val="00566B31"/>
    <w:rsid w:val="00566BE5"/>
    <w:rsid w:val="00566C20"/>
    <w:rsid w:val="00566C6D"/>
    <w:rsid w:val="00566CEE"/>
    <w:rsid w:val="00566D37"/>
    <w:rsid w:val="00566D52"/>
    <w:rsid w:val="00566F85"/>
    <w:rsid w:val="005670D1"/>
    <w:rsid w:val="0056714F"/>
    <w:rsid w:val="005671DB"/>
    <w:rsid w:val="00567248"/>
    <w:rsid w:val="00567DEF"/>
    <w:rsid w:val="00570118"/>
    <w:rsid w:val="00570123"/>
    <w:rsid w:val="005701DF"/>
    <w:rsid w:val="00570379"/>
    <w:rsid w:val="005709CA"/>
    <w:rsid w:val="00570C1E"/>
    <w:rsid w:val="00570EF1"/>
    <w:rsid w:val="00570F48"/>
    <w:rsid w:val="0057102F"/>
    <w:rsid w:val="0057104D"/>
    <w:rsid w:val="00571310"/>
    <w:rsid w:val="00571328"/>
    <w:rsid w:val="00571411"/>
    <w:rsid w:val="005715A1"/>
    <w:rsid w:val="005715B4"/>
    <w:rsid w:val="005716A0"/>
    <w:rsid w:val="005717DD"/>
    <w:rsid w:val="005718BD"/>
    <w:rsid w:val="005718FD"/>
    <w:rsid w:val="005719AF"/>
    <w:rsid w:val="00572036"/>
    <w:rsid w:val="00572086"/>
    <w:rsid w:val="0057255F"/>
    <w:rsid w:val="005726C3"/>
    <w:rsid w:val="00572C58"/>
    <w:rsid w:val="00572D27"/>
    <w:rsid w:val="00572D5A"/>
    <w:rsid w:val="005730D8"/>
    <w:rsid w:val="00573645"/>
    <w:rsid w:val="00573777"/>
    <w:rsid w:val="005738E1"/>
    <w:rsid w:val="00573952"/>
    <w:rsid w:val="005739BA"/>
    <w:rsid w:val="00573CEB"/>
    <w:rsid w:val="00573D72"/>
    <w:rsid w:val="00573EE4"/>
    <w:rsid w:val="0057405C"/>
    <w:rsid w:val="00574174"/>
    <w:rsid w:val="005743A2"/>
    <w:rsid w:val="00574470"/>
    <w:rsid w:val="005748A9"/>
    <w:rsid w:val="00574AB7"/>
    <w:rsid w:val="00574AB8"/>
    <w:rsid w:val="00574BF9"/>
    <w:rsid w:val="00574DC9"/>
    <w:rsid w:val="005750F3"/>
    <w:rsid w:val="005757EC"/>
    <w:rsid w:val="005757FC"/>
    <w:rsid w:val="00575945"/>
    <w:rsid w:val="00575A0C"/>
    <w:rsid w:val="00575BF4"/>
    <w:rsid w:val="00575F5B"/>
    <w:rsid w:val="00575F92"/>
    <w:rsid w:val="00576431"/>
    <w:rsid w:val="0057689B"/>
    <w:rsid w:val="00576BC5"/>
    <w:rsid w:val="00576BD2"/>
    <w:rsid w:val="00576E34"/>
    <w:rsid w:val="00576FF3"/>
    <w:rsid w:val="0057702A"/>
    <w:rsid w:val="00577074"/>
    <w:rsid w:val="0057709C"/>
    <w:rsid w:val="00577225"/>
    <w:rsid w:val="00577296"/>
    <w:rsid w:val="005772B0"/>
    <w:rsid w:val="005773F4"/>
    <w:rsid w:val="00577498"/>
    <w:rsid w:val="005774B6"/>
    <w:rsid w:val="00577869"/>
    <w:rsid w:val="005807B5"/>
    <w:rsid w:val="00580B3C"/>
    <w:rsid w:val="00580BF9"/>
    <w:rsid w:val="00580E13"/>
    <w:rsid w:val="00580F2A"/>
    <w:rsid w:val="00580FBB"/>
    <w:rsid w:val="00580FD5"/>
    <w:rsid w:val="00581429"/>
    <w:rsid w:val="005816E9"/>
    <w:rsid w:val="00582300"/>
    <w:rsid w:val="005824D7"/>
    <w:rsid w:val="005827EA"/>
    <w:rsid w:val="0058293B"/>
    <w:rsid w:val="00582AB6"/>
    <w:rsid w:val="00582C22"/>
    <w:rsid w:val="00582D0C"/>
    <w:rsid w:val="0058314A"/>
    <w:rsid w:val="00583604"/>
    <w:rsid w:val="00583901"/>
    <w:rsid w:val="00583939"/>
    <w:rsid w:val="00583CF8"/>
    <w:rsid w:val="00583DEA"/>
    <w:rsid w:val="00584085"/>
    <w:rsid w:val="00584138"/>
    <w:rsid w:val="00584200"/>
    <w:rsid w:val="00584638"/>
    <w:rsid w:val="00584708"/>
    <w:rsid w:val="00584855"/>
    <w:rsid w:val="00584984"/>
    <w:rsid w:val="00584A4E"/>
    <w:rsid w:val="00584AF4"/>
    <w:rsid w:val="00584F71"/>
    <w:rsid w:val="00585053"/>
    <w:rsid w:val="005851D9"/>
    <w:rsid w:val="00585A42"/>
    <w:rsid w:val="00585FC4"/>
    <w:rsid w:val="00586A81"/>
    <w:rsid w:val="00586B55"/>
    <w:rsid w:val="00586C34"/>
    <w:rsid w:val="00586CA8"/>
    <w:rsid w:val="00586CC7"/>
    <w:rsid w:val="00586D60"/>
    <w:rsid w:val="00587169"/>
    <w:rsid w:val="00587543"/>
    <w:rsid w:val="00587B25"/>
    <w:rsid w:val="00587BC7"/>
    <w:rsid w:val="00587C31"/>
    <w:rsid w:val="00587C82"/>
    <w:rsid w:val="00587FA2"/>
    <w:rsid w:val="00590177"/>
    <w:rsid w:val="00590459"/>
    <w:rsid w:val="005906C2"/>
    <w:rsid w:val="0059073F"/>
    <w:rsid w:val="005908D7"/>
    <w:rsid w:val="00590DD0"/>
    <w:rsid w:val="00590E5E"/>
    <w:rsid w:val="005911AE"/>
    <w:rsid w:val="00591389"/>
    <w:rsid w:val="00591409"/>
    <w:rsid w:val="0059198A"/>
    <w:rsid w:val="00591B58"/>
    <w:rsid w:val="00591CAD"/>
    <w:rsid w:val="00591F9E"/>
    <w:rsid w:val="005923B4"/>
    <w:rsid w:val="005927DA"/>
    <w:rsid w:val="0059283D"/>
    <w:rsid w:val="00592A3B"/>
    <w:rsid w:val="00592E1D"/>
    <w:rsid w:val="005932A0"/>
    <w:rsid w:val="00593439"/>
    <w:rsid w:val="005936EA"/>
    <w:rsid w:val="0059385D"/>
    <w:rsid w:val="00593AB5"/>
    <w:rsid w:val="005942BC"/>
    <w:rsid w:val="005943EC"/>
    <w:rsid w:val="005943F1"/>
    <w:rsid w:val="00594549"/>
    <w:rsid w:val="0059466B"/>
    <w:rsid w:val="005946C1"/>
    <w:rsid w:val="0059478D"/>
    <w:rsid w:val="00594A0A"/>
    <w:rsid w:val="00594E45"/>
    <w:rsid w:val="0059542A"/>
    <w:rsid w:val="005955A1"/>
    <w:rsid w:val="005955C4"/>
    <w:rsid w:val="0059561E"/>
    <w:rsid w:val="00595D81"/>
    <w:rsid w:val="005961EF"/>
    <w:rsid w:val="00596214"/>
    <w:rsid w:val="005963F8"/>
    <w:rsid w:val="00596530"/>
    <w:rsid w:val="00596975"/>
    <w:rsid w:val="00596D8E"/>
    <w:rsid w:val="00596DB8"/>
    <w:rsid w:val="00597461"/>
    <w:rsid w:val="0059754C"/>
    <w:rsid w:val="00597CC7"/>
    <w:rsid w:val="00597D1B"/>
    <w:rsid w:val="005A02AC"/>
    <w:rsid w:val="005A0686"/>
    <w:rsid w:val="005A084C"/>
    <w:rsid w:val="005A0AAB"/>
    <w:rsid w:val="005A0E63"/>
    <w:rsid w:val="005A14EC"/>
    <w:rsid w:val="005A1741"/>
    <w:rsid w:val="005A183E"/>
    <w:rsid w:val="005A1BBC"/>
    <w:rsid w:val="005A1C21"/>
    <w:rsid w:val="005A1FB3"/>
    <w:rsid w:val="005A20E7"/>
    <w:rsid w:val="005A23AB"/>
    <w:rsid w:val="005A2501"/>
    <w:rsid w:val="005A2834"/>
    <w:rsid w:val="005A2841"/>
    <w:rsid w:val="005A284D"/>
    <w:rsid w:val="005A2D24"/>
    <w:rsid w:val="005A2F4D"/>
    <w:rsid w:val="005A2FA4"/>
    <w:rsid w:val="005A337C"/>
    <w:rsid w:val="005A3668"/>
    <w:rsid w:val="005A3C62"/>
    <w:rsid w:val="005A3EC5"/>
    <w:rsid w:val="005A4306"/>
    <w:rsid w:val="005A4359"/>
    <w:rsid w:val="005A4379"/>
    <w:rsid w:val="005A43F3"/>
    <w:rsid w:val="005A4D4C"/>
    <w:rsid w:val="005A4DBC"/>
    <w:rsid w:val="005A4E61"/>
    <w:rsid w:val="005A503F"/>
    <w:rsid w:val="005A51BB"/>
    <w:rsid w:val="005A53D9"/>
    <w:rsid w:val="005A5636"/>
    <w:rsid w:val="005A585A"/>
    <w:rsid w:val="005A59EC"/>
    <w:rsid w:val="005A5B81"/>
    <w:rsid w:val="005A5DF0"/>
    <w:rsid w:val="005A5E13"/>
    <w:rsid w:val="005A60EB"/>
    <w:rsid w:val="005A6111"/>
    <w:rsid w:val="005A618F"/>
    <w:rsid w:val="005A6337"/>
    <w:rsid w:val="005A659C"/>
    <w:rsid w:val="005A66A8"/>
    <w:rsid w:val="005A6855"/>
    <w:rsid w:val="005A6859"/>
    <w:rsid w:val="005A6B31"/>
    <w:rsid w:val="005A6D03"/>
    <w:rsid w:val="005A6D52"/>
    <w:rsid w:val="005A6E84"/>
    <w:rsid w:val="005A6F78"/>
    <w:rsid w:val="005A720E"/>
    <w:rsid w:val="005A758E"/>
    <w:rsid w:val="005A759A"/>
    <w:rsid w:val="005A77A8"/>
    <w:rsid w:val="005A7953"/>
    <w:rsid w:val="005A7AA2"/>
    <w:rsid w:val="005A7D71"/>
    <w:rsid w:val="005B0213"/>
    <w:rsid w:val="005B04EC"/>
    <w:rsid w:val="005B0876"/>
    <w:rsid w:val="005B08E8"/>
    <w:rsid w:val="005B090A"/>
    <w:rsid w:val="005B0962"/>
    <w:rsid w:val="005B0995"/>
    <w:rsid w:val="005B0C4F"/>
    <w:rsid w:val="005B1094"/>
    <w:rsid w:val="005B1973"/>
    <w:rsid w:val="005B1988"/>
    <w:rsid w:val="005B1DDC"/>
    <w:rsid w:val="005B205C"/>
    <w:rsid w:val="005B2229"/>
    <w:rsid w:val="005B2335"/>
    <w:rsid w:val="005B24BE"/>
    <w:rsid w:val="005B2B79"/>
    <w:rsid w:val="005B2C88"/>
    <w:rsid w:val="005B2EC9"/>
    <w:rsid w:val="005B3114"/>
    <w:rsid w:val="005B33A9"/>
    <w:rsid w:val="005B35F7"/>
    <w:rsid w:val="005B46F6"/>
    <w:rsid w:val="005B479A"/>
    <w:rsid w:val="005B49D2"/>
    <w:rsid w:val="005B4AC4"/>
    <w:rsid w:val="005B4AF7"/>
    <w:rsid w:val="005B4BE9"/>
    <w:rsid w:val="005B4D3B"/>
    <w:rsid w:val="005B4F15"/>
    <w:rsid w:val="005B4FD0"/>
    <w:rsid w:val="005B5023"/>
    <w:rsid w:val="005B52EE"/>
    <w:rsid w:val="005B5469"/>
    <w:rsid w:val="005B5563"/>
    <w:rsid w:val="005B5734"/>
    <w:rsid w:val="005B5882"/>
    <w:rsid w:val="005B59B2"/>
    <w:rsid w:val="005B5ACB"/>
    <w:rsid w:val="005B5E72"/>
    <w:rsid w:val="005B60BD"/>
    <w:rsid w:val="005B62D4"/>
    <w:rsid w:val="005B631B"/>
    <w:rsid w:val="005B657B"/>
    <w:rsid w:val="005B658E"/>
    <w:rsid w:val="005B65FC"/>
    <w:rsid w:val="005B6969"/>
    <w:rsid w:val="005B7373"/>
    <w:rsid w:val="005B746A"/>
    <w:rsid w:val="005B75AF"/>
    <w:rsid w:val="005B7657"/>
    <w:rsid w:val="005B7C65"/>
    <w:rsid w:val="005C006B"/>
    <w:rsid w:val="005C01E9"/>
    <w:rsid w:val="005C04A6"/>
    <w:rsid w:val="005C0614"/>
    <w:rsid w:val="005C0625"/>
    <w:rsid w:val="005C07D5"/>
    <w:rsid w:val="005C0909"/>
    <w:rsid w:val="005C0971"/>
    <w:rsid w:val="005C0ACE"/>
    <w:rsid w:val="005C0BD4"/>
    <w:rsid w:val="005C0E17"/>
    <w:rsid w:val="005C0E47"/>
    <w:rsid w:val="005C164C"/>
    <w:rsid w:val="005C1C8E"/>
    <w:rsid w:val="005C1EEC"/>
    <w:rsid w:val="005C2045"/>
    <w:rsid w:val="005C21E3"/>
    <w:rsid w:val="005C2991"/>
    <w:rsid w:val="005C2AE7"/>
    <w:rsid w:val="005C2B63"/>
    <w:rsid w:val="005C2F02"/>
    <w:rsid w:val="005C32F0"/>
    <w:rsid w:val="005C37E2"/>
    <w:rsid w:val="005C3B46"/>
    <w:rsid w:val="005C3E0F"/>
    <w:rsid w:val="005C409A"/>
    <w:rsid w:val="005C4126"/>
    <w:rsid w:val="005C462B"/>
    <w:rsid w:val="005C4889"/>
    <w:rsid w:val="005C4E76"/>
    <w:rsid w:val="005C540C"/>
    <w:rsid w:val="005C5898"/>
    <w:rsid w:val="005C5B7E"/>
    <w:rsid w:val="005C61CA"/>
    <w:rsid w:val="005C624A"/>
    <w:rsid w:val="005C6313"/>
    <w:rsid w:val="005C6560"/>
    <w:rsid w:val="005C6678"/>
    <w:rsid w:val="005C6985"/>
    <w:rsid w:val="005C6BB7"/>
    <w:rsid w:val="005C6BBD"/>
    <w:rsid w:val="005C6C5B"/>
    <w:rsid w:val="005C6F82"/>
    <w:rsid w:val="005C70ED"/>
    <w:rsid w:val="005C7573"/>
    <w:rsid w:val="005C782C"/>
    <w:rsid w:val="005C78ED"/>
    <w:rsid w:val="005C7C0F"/>
    <w:rsid w:val="005C7DBC"/>
    <w:rsid w:val="005D0725"/>
    <w:rsid w:val="005D077D"/>
    <w:rsid w:val="005D0C73"/>
    <w:rsid w:val="005D0F6E"/>
    <w:rsid w:val="005D1056"/>
    <w:rsid w:val="005D106E"/>
    <w:rsid w:val="005D1635"/>
    <w:rsid w:val="005D195E"/>
    <w:rsid w:val="005D1A73"/>
    <w:rsid w:val="005D1D49"/>
    <w:rsid w:val="005D21C5"/>
    <w:rsid w:val="005D2324"/>
    <w:rsid w:val="005D23D2"/>
    <w:rsid w:val="005D23E9"/>
    <w:rsid w:val="005D2BA9"/>
    <w:rsid w:val="005D2C9E"/>
    <w:rsid w:val="005D2CFC"/>
    <w:rsid w:val="005D2D9A"/>
    <w:rsid w:val="005D30A6"/>
    <w:rsid w:val="005D30C8"/>
    <w:rsid w:val="005D3101"/>
    <w:rsid w:val="005D3924"/>
    <w:rsid w:val="005D3C75"/>
    <w:rsid w:val="005D3C9C"/>
    <w:rsid w:val="005D4000"/>
    <w:rsid w:val="005D4059"/>
    <w:rsid w:val="005D4134"/>
    <w:rsid w:val="005D41C0"/>
    <w:rsid w:val="005D42D1"/>
    <w:rsid w:val="005D42D6"/>
    <w:rsid w:val="005D4951"/>
    <w:rsid w:val="005D49E8"/>
    <w:rsid w:val="005D52FB"/>
    <w:rsid w:val="005D5521"/>
    <w:rsid w:val="005D5AF2"/>
    <w:rsid w:val="005D5CD6"/>
    <w:rsid w:val="005D5EED"/>
    <w:rsid w:val="005D6013"/>
    <w:rsid w:val="005D6185"/>
    <w:rsid w:val="005D6428"/>
    <w:rsid w:val="005D6443"/>
    <w:rsid w:val="005D64EC"/>
    <w:rsid w:val="005D652F"/>
    <w:rsid w:val="005D658A"/>
    <w:rsid w:val="005D69FF"/>
    <w:rsid w:val="005D6DB5"/>
    <w:rsid w:val="005D6E59"/>
    <w:rsid w:val="005D6FA5"/>
    <w:rsid w:val="005D705F"/>
    <w:rsid w:val="005D7076"/>
    <w:rsid w:val="005D72F5"/>
    <w:rsid w:val="005D752F"/>
    <w:rsid w:val="005D7999"/>
    <w:rsid w:val="005D7A8B"/>
    <w:rsid w:val="005D7F79"/>
    <w:rsid w:val="005D7FE1"/>
    <w:rsid w:val="005E0156"/>
    <w:rsid w:val="005E01F2"/>
    <w:rsid w:val="005E03D6"/>
    <w:rsid w:val="005E067D"/>
    <w:rsid w:val="005E0921"/>
    <w:rsid w:val="005E0AA6"/>
    <w:rsid w:val="005E0F50"/>
    <w:rsid w:val="005E167C"/>
    <w:rsid w:val="005E17B6"/>
    <w:rsid w:val="005E18BA"/>
    <w:rsid w:val="005E1A77"/>
    <w:rsid w:val="005E1F57"/>
    <w:rsid w:val="005E2623"/>
    <w:rsid w:val="005E26FB"/>
    <w:rsid w:val="005E2A64"/>
    <w:rsid w:val="005E2BCA"/>
    <w:rsid w:val="005E2D41"/>
    <w:rsid w:val="005E3159"/>
    <w:rsid w:val="005E370F"/>
    <w:rsid w:val="005E3BDD"/>
    <w:rsid w:val="005E3F31"/>
    <w:rsid w:val="005E41D8"/>
    <w:rsid w:val="005E4376"/>
    <w:rsid w:val="005E45E5"/>
    <w:rsid w:val="005E4709"/>
    <w:rsid w:val="005E471C"/>
    <w:rsid w:val="005E4C1B"/>
    <w:rsid w:val="005E4C99"/>
    <w:rsid w:val="005E4FE0"/>
    <w:rsid w:val="005E55B6"/>
    <w:rsid w:val="005E5676"/>
    <w:rsid w:val="005E5958"/>
    <w:rsid w:val="005E5AF5"/>
    <w:rsid w:val="005E5F49"/>
    <w:rsid w:val="005E5FCD"/>
    <w:rsid w:val="005E60CE"/>
    <w:rsid w:val="005E6229"/>
    <w:rsid w:val="005E6425"/>
    <w:rsid w:val="005E67CE"/>
    <w:rsid w:val="005E6EA8"/>
    <w:rsid w:val="005E705B"/>
    <w:rsid w:val="005E7224"/>
    <w:rsid w:val="005E7A91"/>
    <w:rsid w:val="005E7C6E"/>
    <w:rsid w:val="005E7D41"/>
    <w:rsid w:val="005F0604"/>
    <w:rsid w:val="005F0BA4"/>
    <w:rsid w:val="005F0D2D"/>
    <w:rsid w:val="005F0E59"/>
    <w:rsid w:val="005F12E2"/>
    <w:rsid w:val="005F1D0F"/>
    <w:rsid w:val="005F249A"/>
    <w:rsid w:val="005F25A8"/>
    <w:rsid w:val="005F27FE"/>
    <w:rsid w:val="005F289E"/>
    <w:rsid w:val="005F2D97"/>
    <w:rsid w:val="005F3434"/>
    <w:rsid w:val="005F38BA"/>
    <w:rsid w:val="005F3962"/>
    <w:rsid w:val="005F3EBD"/>
    <w:rsid w:val="005F3F66"/>
    <w:rsid w:val="005F46D2"/>
    <w:rsid w:val="005F4DDB"/>
    <w:rsid w:val="005F4E89"/>
    <w:rsid w:val="005F4FC6"/>
    <w:rsid w:val="005F5364"/>
    <w:rsid w:val="005F53AD"/>
    <w:rsid w:val="005F5526"/>
    <w:rsid w:val="005F55D0"/>
    <w:rsid w:val="005F5C58"/>
    <w:rsid w:val="005F5F00"/>
    <w:rsid w:val="005F5F43"/>
    <w:rsid w:val="005F680B"/>
    <w:rsid w:val="005F7353"/>
    <w:rsid w:val="005F7761"/>
    <w:rsid w:val="005F7F72"/>
    <w:rsid w:val="006000E5"/>
    <w:rsid w:val="0060015A"/>
    <w:rsid w:val="006005C6"/>
    <w:rsid w:val="00600686"/>
    <w:rsid w:val="006011EB"/>
    <w:rsid w:val="0060125F"/>
    <w:rsid w:val="0060157D"/>
    <w:rsid w:val="00601BA1"/>
    <w:rsid w:val="00601F52"/>
    <w:rsid w:val="006020C2"/>
    <w:rsid w:val="006023FD"/>
    <w:rsid w:val="00602620"/>
    <w:rsid w:val="006026BF"/>
    <w:rsid w:val="006026D7"/>
    <w:rsid w:val="00602744"/>
    <w:rsid w:val="00602767"/>
    <w:rsid w:val="00602862"/>
    <w:rsid w:val="0060322B"/>
    <w:rsid w:val="006033EB"/>
    <w:rsid w:val="00603477"/>
    <w:rsid w:val="00603676"/>
    <w:rsid w:val="00603697"/>
    <w:rsid w:val="006039E7"/>
    <w:rsid w:val="006039F8"/>
    <w:rsid w:val="00603B35"/>
    <w:rsid w:val="00603DEF"/>
    <w:rsid w:val="006041B3"/>
    <w:rsid w:val="006045A9"/>
    <w:rsid w:val="006049C2"/>
    <w:rsid w:val="00604B7A"/>
    <w:rsid w:val="00604D8C"/>
    <w:rsid w:val="006052E1"/>
    <w:rsid w:val="006056C1"/>
    <w:rsid w:val="00605763"/>
    <w:rsid w:val="00605F54"/>
    <w:rsid w:val="00605F6C"/>
    <w:rsid w:val="00606037"/>
    <w:rsid w:val="006062F6"/>
    <w:rsid w:val="006065F0"/>
    <w:rsid w:val="0060699B"/>
    <w:rsid w:val="00606D1E"/>
    <w:rsid w:val="00606DDB"/>
    <w:rsid w:val="0060701F"/>
    <w:rsid w:val="006073BB"/>
    <w:rsid w:val="00607511"/>
    <w:rsid w:val="006075A1"/>
    <w:rsid w:val="00607603"/>
    <w:rsid w:val="006076B1"/>
    <w:rsid w:val="00607CEC"/>
    <w:rsid w:val="00607DC3"/>
    <w:rsid w:val="00607DEE"/>
    <w:rsid w:val="00607F72"/>
    <w:rsid w:val="0061000B"/>
    <w:rsid w:val="0061074E"/>
    <w:rsid w:val="006107D0"/>
    <w:rsid w:val="00610899"/>
    <w:rsid w:val="0061089E"/>
    <w:rsid w:val="00610AB3"/>
    <w:rsid w:val="00610E44"/>
    <w:rsid w:val="00610E6F"/>
    <w:rsid w:val="00610F74"/>
    <w:rsid w:val="0061107D"/>
    <w:rsid w:val="006110B4"/>
    <w:rsid w:val="00611283"/>
    <w:rsid w:val="006114C7"/>
    <w:rsid w:val="00611550"/>
    <w:rsid w:val="006115C7"/>
    <w:rsid w:val="00611732"/>
    <w:rsid w:val="00611920"/>
    <w:rsid w:val="00611C36"/>
    <w:rsid w:val="00611F4D"/>
    <w:rsid w:val="00611FAC"/>
    <w:rsid w:val="0061245A"/>
    <w:rsid w:val="0061248D"/>
    <w:rsid w:val="006125C2"/>
    <w:rsid w:val="006125C3"/>
    <w:rsid w:val="00612722"/>
    <w:rsid w:val="006127CC"/>
    <w:rsid w:val="00612BF0"/>
    <w:rsid w:val="00612E0E"/>
    <w:rsid w:val="0061334C"/>
    <w:rsid w:val="006133F9"/>
    <w:rsid w:val="00613431"/>
    <w:rsid w:val="00613AFB"/>
    <w:rsid w:val="00613BAE"/>
    <w:rsid w:val="00613CD5"/>
    <w:rsid w:val="00613E88"/>
    <w:rsid w:val="006140BD"/>
    <w:rsid w:val="00614241"/>
    <w:rsid w:val="00614461"/>
    <w:rsid w:val="006145AA"/>
    <w:rsid w:val="006148C5"/>
    <w:rsid w:val="00614A87"/>
    <w:rsid w:val="00614C77"/>
    <w:rsid w:val="00614D39"/>
    <w:rsid w:val="00614EC0"/>
    <w:rsid w:val="00614F66"/>
    <w:rsid w:val="00615094"/>
    <w:rsid w:val="00615434"/>
    <w:rsid w:val="00615603"/>
    <w:rsid w:val="006158C3"/>
    <w:rsid w:val="00615935"/>
    <w:rsid w:val="00615DEE"/>
    <w:rsid w:val="00615DF4"/>
    <w:rsid w:val="00615F9F"/>
    <w:rsid w:val="00615FC0"/>
    <w:rsid w:val="00616138"/>
    <w:rsid w:val="00616783"/>
    <w:rsid w:val="00616A1F"/>
    <w:rsid w:val="00616AD2"/>
    <w:rsid w:val="00616B5A"/>
    <w:rsid w:val="00616CD9"/>
    <w:rsid w:val="00617443"/>
    <w:rsid w:val="0061750F"/>
    <w:rsid w:val="00617625"/>
    <w:rsid w:val="006177D1"/>
    <w:rsid w:val="006179B2"/>
    <w:rsid w:val="00617B45"/>
    <w:rsid w:val="00617D17"/>
    <w:rsid w:val="00617DAD"/>
    <w:rsid w:val="00617F95"/>
    <w:rsid w:val="00620061"/>
    <w:rsid w:val="006201BD"/>
    <w:rsid w:val="006204BB"/>
    <w:rsid w:val="00620610"/>
    <w:rsid w:val="00620621"/>
    <w:rsid w:val="006208BC"/>
    <w:rsid w:val="006208E4"/>
    <w:rsid w:val="00620B70"/>
    <w:rsid w:val="00620E69"/>
    <w:rsid w:val="00621084"/>
    <w:rsid w:val="00621711"/>
    <w:rsid w:val="00621FED"/>
    <w:rsid w:val="00622050"/>
    <w:rsid w:val="00622498"/>
    <w:rsid w:val="0062255C"/>
    <w:rsid w:val="006225DB"/>
    <w:rsid w:val="00622616"/>
    <w:rsid w:val="00622880"/>
    <w:rsid w:val="0062298C"/>
    <w:rsid w:val="00622C5C"/>
    <w:rsid w:val="00622FB0"/>
    <w:rsid w:val="0062303F"/>
    <w:rsid w:val="0062317E"/>
    <w:rsid w:val="0062349E"/>
    <w:rsid w:val="006234A3"/>
    <w:rsid w:val="00623677"/>
    <w:rsid w:val="0062369B"/>
    <w:rsid w:val="006236E1"/>
    <w:rsid w:val="006236E4"/>
    <w:rsid w:val="00623A72"/>
    <w:rsid w:val="00623E03"/>
    <w:rsid w:val="00623E7C"/>
    <w:rsid w:val="0062430C"/>
    <w:rsid w:val="006246CC"/>
    <w:rsid w:val="006249D4"/>
    <w:rsid w:val="00624A71"/>
    <w:rsid w:val="00624B43"/>
    <w:rsid w:val="006254DF"/>
    <w:rsid w:val="0062551A"/>
    <w:rsid w:val="00625900"/>
    <w:rsid w:val="006259A9"/>
    <w:rsid w:val="00625C4C"/>
    <w:rsid w:val="00625CA6"/>
    <w:rsid w:val="00625CAE"/>
    <w:rsid w:val="00626131"/>
    <w:rsid w:val="00626191"/>
    <w:rsid w:val="006262B2"/>
    <w:rsid w:val="0062647F"/>
    <w:rsid w:val="00626604"/>
    <w:rsid w:val="00626641"/>
    <w:rsid w:val="006266DF"/>
    <w:rsid w:val="00626782"/>
    <w:rsid w:val="0062685B"/>
    <w:rsid w:val="00626913"/>
    <w:rsid w:val="00626C0C"/>
    <w:rsid w:val="00626CC2"/>
    <w:rsid w:val="00627073"/>
    <w:rsid w:val="00627442"/>
    <w:rsid w:val="006275BD"/>
    <w:rsid w:val="00627925"/>
    <w:rsid w:val="0062797A"/>
    <w:rsid w:val="00627F44"/>
    <w:rsid w:val="006300D0"/>
    <w:rsid w:val="0063017A"/>
    <w:rsid w:val="0063038D"/>
    <w:rsid w:val="006304EA"/>
    <w:rsid w:val="00630566"/>
    <w:rsid w:val="006305CD"/>
    <w:rsid w:val="006308C6"/>
    <w:rsid w:val="00630BDC"/>
    <w:rsid w:val="00630D3F"/>
    <w:rsid w:val="00630FA7"/>
    <w:rsid w:val="00630FD5"/>
    <w:rsid w:val="0063130C"/>
    <w:rsid w:val="00631322"/>
    <w:rsid w:val="00631555"/>
    <w:rsid w:val="00631562"/>
    <w:rsid w:val="00631732"/>
    <w:rsid w:val="00631A75"/>
    <w:rsid w:val="00631AED"/>
    <w:rsid w:val="00631C5E"/>
    <w:rsid w:val="0063224B"/>
    <w:rsid w:val="0063265B"/>
    <w:rsid w:val="00632780"/>
    <w:rsid w:val="00632B2C"/>
    <w:rsid w:val="006330B3"/>
    <w:rsid w:val="0063332F"/>
    <w:rsid w:val="00633397"/>
    <w:rsid w:val="006337C8"/>
    <w:rsid w:val="006337CC"/>
    <w:rsid w:val="00633A6F"/>
    <w:rsid w:val="00633AAB"/>
    <w:rsid w:val="00633BD8"/>
    <w:rsid w:val="00633F03"/>
    <w:rsid w:val="006341D8"/>
    <w:rsid w:val="006347E9"/>
    <w:rsid w:val="00634959"/>
    <w:rsid w:val="00634A12"/>
    <w:rsid w:val="00634E30"/>
    <w:rsid w:val="00634E57"/>
    <w:rsid w:val="0063521B"/>
    <w:rsid w:val="006352EF"/>
    <w:rsid w:val="006354A8"/>
    <w:rsid w:val="006357B7"/>
    <w:rsid w:val="006359B8"/>
    <w:rsid w:val="00635F81"/>
    <w:rsid w:val="006367DC"/>
    <w:rsid w:val="00636B3B"/>
    <w:rsid w:val="00636B7F"/>
    <w:rsid w:val="00636BEB"/>
    <w:rsid w:val="00636D9C"/>
    <w:rsid w:val="00636DA2"/>
    <w:rsid w:val="00636F27"/>
    <w:rsid w:val="00637389"/>
    <w:rsid w:val="006375C9"/>
    <w:rsid w:val="006377EF"/>
    <w:rsid w:val="006379C5"/>
    <w:rsid w:val="00637BA6"/>
    <w:rsid w:val="00637CD7"/>
    <w:rsid w:val="00637DE4"/>
    <w:rsid w:val="00637E9C"/>
    <w:rsid w:val="006402F8"/>
    <w:rsid w:val="0064070D"/>
    <w:rsid w:val="006409F9"/>
    <w:rsid w:val="00640EE2"/>
    <w:rsid w:val="00640F89"/>
    <w:rsid w:val="0064122C"/>
    <w:rsid w:val="00641328"/>
    <w:rsid w:val="006417F8"/>
    <w:rsid w:val="00641818"/>
    <w:rsid w:val="006419F5"/>
    <w:rsid w:val="00641C6E"/>
    <w:rsid w:val="00641E9E"/>
    <w:rsid w:val="0064212F"/>
    <w:rsid w:val="00642148"/>
    <w:rsid w:val="006421F7"/>
    <w:rsid w:val="00642446"/>
    <w:rsid w:val="00642605"/>
    <w:rsid w:val="00642632"/>
    <w:rsid w:val="00642746"/>
    <w:rsid w:val="00642881"/>
    <w:rsid w:val="00642A79"/>
    <w:rsid w:val="00642C0B"/>
    <w:rsid w:val="00642D0C"/>
    <w:rsid w:val="00642DA5"/>
    <w:rsid w:val="006430A0"/>
    <w:rsid w:val="00643266"/>
    <w:rsid w:val="00643304"/>
    <w:rsid w:val="0064350B"/>
    <w:rsid w:val="0064382F"/>
    <w:rsid w:val="00643A77"/>
    <w:rsid w:val="00643C62"/>
    <w:rsid w:val="00643EAB"/>
    <w:rsid w:val="006447B2"/>
    <w:rsid w:val="006448F8"/>
    <w:rsid w:val="00644B07"/>
    <w:rsid w:val="00644B3B"/>
    <w:rsid w:val="00644F52"/>
    <w:rsid w:val="0064500B"/>
    <w:rsid w:val="006452EF"/>
    <w:rsid w:val="006454E0"/>
    <w:rsid w:val="006454F0"/>
    <w:rsid w:val="0064557C"/>
    <w:rsid w:val="006455FD"/>
    <w:rsid w:val="006459DF"/>
    <w:rsid w:val="00645B9E"/>
    <w:rsid w:val="00645E46"/>
    <w:rsid w:val="00645EE1"/>
    <w:rsid w:val="006463C4"/>
    <w:rsid w:val="00646647"/>
    <w:rsid w:val="00646708"/>
    <w:rsid w:val="00646800"/>
    <w:rsid w:val="006469AB"/>
    <w:rsid w:val="00646ADD"/>
    <w:rsid w:val="0064703D"/>
    <w:rsid w:val="00647199"/>
    <w:rsid w:val="00647389"/>
    <w:rsid w:val="006473FD"/>
    <w:rsid w:val="0064750B"/>
    <w:rsid w:val="00647840"/>
    <w:rsid w:val="0064794D"/>
    <w:rsid w:val="00647A13"/>
    <w:rsid w:val="00647B6D"/>
    <w:rsid w:val="00647BB3"/>
    <w:rsid w:val="00647CFF"/>
    <w:rsid w:val="00647F14"/>
    <w:rsid w:val="00647F2A"/>
    <w:rsid w:val="00647F43"/>
    <w:rsid w:val="0065046C"/>
    <w:rsid w:val="00650508"/>
    <w:rsid w:val="006505C2"/>
    <w:rsid w:val="006507ED"/>
    <w:rsid w:val="00650801"/>
    <w:rsid w:val="0065093A"/>
    <w:rsid w:val="00650CA8"/>
    <w:rsid w:val="0065101E"/>
    <w:rsid w:val="00651093"/>
    <w:rsid w:val="006511E6"/>
    <w:rsid w:val="00651555"/>
    <w:rsid w:val="0065155A"/>
    <w:rsid w:val="006517DE"/>
    <w:rsid w:val="00651C34"/>
    <w:rsid w:val="00651CAB"/>
    <w:rsid w:val="00651F67"/>
    <w:rsid w:val="0065228B"/>
    <w:rsid w:val="006522A6"/>
    <w:rsid w:val="0065277E"/>
    <w:rsid w:val="00652CA1"/>
    <w:rsid w:val="00652DA1"/>
    <w:rsid w:val="006530A8"/>
    <w:rsid w:val="00653312"/>
    <w:rsid w:val="0065338F"/>
    <w:rsid w:val="006533AE"/>
    <w:rsid w:val="0065350B"/>
    <w:rsid w:val="00653B12"/>
    <w:rsid w:val="00653C4B"/>
    <w:rsid w:val="00654046"/>
    <w:rsid w:val="006542EF"/>
    <w:rsid w:val="00654666"/>
    <w:rsid w:val="00654B28"/>
    <w:rsid w:val="00654D29"/>
    <w:rsid w:val="00654D4A"/>
    <w:rsid w:val="00654DF9"/>
    <w:rsid w:val="00654F2C"/>
    <w:rsid w:val="00655109"/>
    <w:rsid w:val="00655324"/>
    <w:rsid w:val="00655466"/>
    <w:rsid w:val="00655560"/>
    <w:rsid w:val="006557B9"/>
    <w:rsid w:val="006558E7"/>
    <w:rsid w:val="00655A03"/>
    <w:rsid w:val="00655ABC"/>
    <w:rsid w:val="00655EAD"/>
    <w:rsid w:val="006561FB"/>
    <w:rsid w:val="00656506"/>
    <w:rsid w:val="00656986"/>
    <w:rsid w:val="00656BAE"/>
    <w:rsid w:val="00656C04"/>
    <w:rsid w:val="00656C34"/>
    <w:rsid w:val="00656C60"/>
    <w:rsid w:val="00656CB0"/>
    <w:rsid w:val="00656DC3"/>
    <w:rsid w:val="00656E21"/>
    <w:rsid w:val="006573D3"/>
    <w:rsid w:val="00657763"/>
    <w:rsid w:val="00657C69"/>
    <w:rsid w:val="00657E28"/>
    <w:rsid w:val="006604DB"/>
    <w:rsid w:val="00660A7C"/>
    <w:rsid w:val="00660BEB"/>
    <w:rsid w:val="00660C42"/>
    <w:rsid w:val="00660EE3"/>
    <w:rsid w:val="00660FD5"/>
    <w:rsid w:val="0066177D"/>
    <w:rsid w:val="00661920"/>
    <w:rsid w:val="006619D5"/>
    <w:rsid w:val="00661AAE"/>
    <w:rsid w:val="00661DE5"/>
    <w:rsid w:val="00662547"/>
    <w:rsid w:val="00662CDC"/>
    <w:rsid w:val="00662EFC"/>
    <w:rsid w:val="00663175"/>
    <w:rsid w:val="00663181"/>
    <w:rsid w:val="006632C2"/>
    <w:rsid w:val="00663339"/>
    <w:rsid w:val="0066346A"/>
    <w:rsid w:val="00663506"/>
    <w:rsid w:val="006638AF"/>
    <w:rsid w:val="00663BC1"/>
    <w:rsid w:val="00663F65"/>
    <w:rsid w:val="0066402B"/>
    <w:rsid w:val="0066448B"/>
    <w:rsid w:val="006645DA"/>
    <w:rsid w:val="00664862"/>
    <w:rsid w:val="00664B81"/>
    <w:rsid w:val="00664BA8"/>
    <w:rsid w:val="00664D44"/>
    <w:rsid w:val="00665340"/>
    <w:rsid w:val="00665548"/>
    <w:rsid w:val="006655D9"/>
    <w:rsid w:val="006658D6"/>
    <w:rsid w:val="006658DC"/>
    <w:rsid w:val="006658F4"/>
    <w:rsid w:val="00665A0C"/>
    <w:rsid w:val="00665D2A"/>
    <w:rsid w:val="0066605F"/>
    <w:rsid w:val="00666427"/>
    <w:rsid w:val="00666710"/>
    <w:rsid w:val="00666844"/>
    <w:rsid w:val="00666882"/>
    <w:rsid w:val="006668B3"/>
    <w:rsid w:val="00666A16"/>
    <w:rsid w:val="00666A9F"/>
    <w:rsid w:val="00666F8A"/>
    <w:rsid w:val="00667289"/>
    <w:rsid w:val="006673AA"/>
    <w:rsid w:val="006673BB"/>
    <w:rsid w:val="0066740E"/>
    <w:rsid w:val="0066768A"/>
    <w:rsid w:val="006676EE"/>
    <w:rsid w:val="00667A94"/>
    <w:rsid w:val="00667ABE"/>
    <w:rsid w:val="00667B58"/>
    <w:rsid w:val="00667BBE"/>
    <w:rsid w:val="00667C79"/>
    <w:rsid w:val="00667DC0"/>
    <w:rsid w:val="00670482"/>
    <w:rsid w:val="006705E5"/>
    <w:rsid w:val="006705ED"/>
    <w:rsid w:val="00670912"/>
    <w:rsid w:val="00670BC1"/>
    <w:rsid w:val="00670FDB"/>
    <w:rsid w:val="0067118B"/>
    <w:rsid w:val="006711D2"/>
    <w:rsid w:val="0067123E"/>
    <w:rsid w:val="006712EB"/>
    <w:rsid w:val="00671357"/>
    <w:rsid w:val="00671625"/>
    <w:rsid w:val="00671876"/>
    <w:rsid w:val="00671B42"/>
    <w:rsid w:val="00671C0E"/>
    <w:rsid w:val="00671C45"/>
    <w:rsid w:val="00671CA3"/>
    <w:rsid w:val="00671DEA"/>
    <w:rsid w:val="00672007"/>
    <w:rsid w:val="00672124"/>
    <w:rsid w:val="0067228F"/>
    <w:rsid w:val="006724C7"/>
    <w:rsid w:val="00672702"/>
    <w:rsid w:val="00672971"/>
    <w:rsid w:val="0067349F"/>
    <w:rsid w:val="006737F8"/>
    <w:rsid w:val="00673972"/>
    <w:rsid w:val="00673B7B"/>
    <w:rsid w:val="00673EE4"/>
    <w:rsid w:val="006743EE"/>
    <w:rsid w:val="0067446A"/>
    <w:rsid w:val="006744BD"/>
    <w:rsid w:val="00674585"/>
    <w:rsid w:val="00674766"/>
    <w:rsid w:val="00674BB0"/>
    <w:rsid w:val="00674D21"/>
    <w:rsid w:val="00674DB1"/>
    <w:rsid w:val="006752B3"/>
    <w:rsid w:val="0067565C"/>
    <w:rsid w:val="00675824"/>
    <w:rsid w:val="00675A42"/>
    <w:rsid w:val="00675DD8"/>
    <w:rsid w:val="00675F38"/>
    <w:rsid w:val="00675FD0"/>
    <w:rsid w:val="0067621D"/>
    <w:rsid w:val="006762B6"/>
    <w:rsid w:val="006765A9"/>
    <w:rsid w:val="00676728"/>
    <w:rsid w:val="00676753"/>
    <w:rsid w:val="006767CB"/>
    <w:rsid w:val="00676A21"/>
    <w:rsid w:val="00676A31"/>
    <w:rsid w:val="00676AA3"/>
    <w:rsid w:val="00676D5F"/>
    <w:rsid w:val="00676E74"/>
    <w:rsid w:val="0067736F"/>
    <w:rsid w:val="0067765C"/>
    <w:rsid w:val="0067768B"/>
    <w:rsid w:val="00677870"/>
    <w:rsid w:val="00677A6D"/>
    <w:rsid w:val="006802F7"/>
    <w:rsid w:val="00680380"/>
    <w:rsid w:val="006803B9"/>
    <w:rsid w:val="0068041C"/>
    <w:rsid w:val="00680494"/>
    <w:rsid w:val="00680496"/>
    <w:rsid w:val="006806A8"/>
    <w:rsid w:val="006807CB"/>
    <w:rsid w:val="00680912"/>
    <w:rsid w:val="0068095A"/>
    <w:rsid w:val="0068107F"/>
    <w:rsid w:val="0068162B"/>
    <w:rsid w:val="0068174A"/>
    <w:rsid w:val="006818CA"/>
    <w:rsid w:val="00681921"/>
    <w:rsid w:val="00681943"/>
    <w:rsid w:val="00681B3D"/>
    <w:rsid w:val="00681C5A"/>
    <w:rsid w:val="00681EE4"/>
    <w:rsid w:val="00681F24"/>
    <w:rsid w:val="00682005"/>
    <w:rsid w:val="00682304"/>
    <w:rsid w:val="00682D8B"/>
    <w:rsid w:val="00683050"/>
    <w:rsid w:val="006832B8"/>
    <w:rsid w:val="0068362F"/>
    <w:rsid w:val="0068389F"/>
    <w:rsid w:val="006838CE"/>
    <w:rsid w:val="00684056"/>
    <w:rsid w:val="00684181"/>
    <w:rsid w:val="00684523"/>
    <w:rsid w:val="006849F0"/>
    <w:rsid w:val="00684AAB"/>
    <w:rsid w:val="00684BAD"/>
    <w:rsid w:val="00684BEB"/>
    <w:rsid w:val="00684EE9"/>
    <w:rsid w:val="006852BB"/>
    <w:rsid w:val="0068547B"/>
    <w:rsid w:val="00685934"/>
    <w:rsid w:val="00685DAA"/>
    <w:rsid w:val="00686344"/>
    <w:rsid w:val="00686759"/>
    <w:rsid w:val="006869F6"/>
    <w:rsid w:val="00687A93"/>
    <w:rsid w:val="00687C80"/>
    <w:rsid w:val="00687C97"/>
    <w:rsid w:val="0069013A"/>
    <w:rsid w:val="0069023F"/>
    <w:rsid w:val="00690AFE"/>
    <w:rsid w:val="00690ECF"/>
    <w:rsid w:val="00690F61"/>
    <w:rsid w:val="0069125A"/>
    <w:rsid w:val="0069131B"/>
    <w:rsid w:val="00691350"/>
    <w:rsid w:val="00691545"/>
    <w:rsid w:val="00691646"/>
    <w:rsid w:val="00691651"/>
    <w:rsid w:val="00691933"/>
    <w:rsid w:val="00691B02"/>
    <w:rsid w:val="00691E66"/>
    <w:rsid w:val="0069236D"/>
    <w:rsid w:val="006923E6"/>
    <w:rsid w:val="006926DA"/>
    <w:rsid w:val="00692A13"/>
    <w:rsid w:val="00693051"/>
    <w:rsid w:val="0069311F"/>
    <w:rsid w:val="00693134"/>
    <w:rsid w:val="006936E8"/>
    <w:rsid w:val="0069386C"/>
    <w:rsid w:val="006938FB"/>
    <w:rsid w:val="00693F3E"/>
    <w:rsid w:val="006943F7"/>
    <w:rsid w:val="006946D4"/>
    <w:rsid w:val="006947B9"/>
    <w:rsid w:val="00694862"/>
    <w:rsid w:val="006948E1"/>
    <w:rsid w:val="00694914"/>
    <w:rsid w:val="00694997"/>
    <w:rsid w:val="00694C72"/>
    <w:rsid w:val="00694D31"/>
    <w:rsid w:val="0069518B"/>
    <w:rsid w:val="006952E8"/>
    <w:rsid w:val="00695351"/>
    <w:rsid w:val="006955BA"/>
    <w:rsid w:val="006957D5"/>
    <w:rsid w:val="00695B67"/>
    <w:rsid w:val="00695BB6"/>
    <w:rsid w:val="00695BEC"/>
    <w:rsid w:val="00695E40"/>
    <w:rsid w:val="00695FBA"/>
    <w:rsid w:val="006960B3"/>
    <w:rsid w:val="00696311"/>
    <w:rsid w:val="00696886"/>
    <w:rsid w:val="0069702C"/>
    <w:rsid w:val="00697125"/>
    <w:rsid w:val="0069727F"/>
    <w:rsid w:val="006972A1"/>
    <w:rsid w:val="006972EC"/>
    <w:rsid w:val="00697326"/>
    <w:rsid w:val="00697378"/>
    <w:rsid w:val="00697453"/>
    <w:rsid w:val="00697A02"/>
    <w:rsid w:val="00697D1C"/>
    <w:rsid w:val="00697DE9"/>
    <w:rsid w:val="006A02B4"/>
    <w:rsid w:val="006A0449"/>
    <w:rsid w:val="006A046A"/>
    <w:rsid w:val="006A048D"/>
    <w:rsid w:val="006A074E"/>
    <w:rsid w:val="006A078B"/>
    <w:rsid w:val="006A095B"/>
    <w:rsid w:val="006A0A73"/>
    <w:rsid w:val="006A0AE0"/>
    <w:rsid w:val="006A0BA2"/>
    <w:rsid w:val="006A0ECB"/>
    <w:rsid w:val="006A11D7"/>
    <w:rsid w:val="006A1393"/>
    <w:rsid w:val="006A14E2"/>
    <w:rsid w:val="006A1728"/>
    <w:rsid w:val="006A197B"/>
    <w:rsid w:val="006A1C17"/>
    <w:rsid w:val="006A1C8B"/>
    <w:rsid w:val="006A1DB5"/>
    <w:rsid w:val="006A1E0C"/>
    <w:rsid w:val="006A1EE0"/>
    <w:rsid w:val="006A2320"/>
    <w:rsid w:val="006A23C4"/>
    <w:rsid w:val="006A266D"/>
    <w:rsid w:val="006A27C0"/>
    <w:rsid w:val="006A281D"/>
    <w:rsid w:val="006A2845"/>
    <w:rsid w:val="006A29C9"/>
    <w:rsid w:val="006A2E2F"/>
    <w:rsid w:val="006A30B4"/>
    <w:rsid w:val="006A3156"/>
    <w:rsid w:val="006A35F1"/>
    <w:rsid w:val="006A3649"/>
    <w:rsid w:val="006A3AED"/>
    <w:rsid w:val="006A3B3E"/>
    <w:rsid w:val="006A3D05"/>
    <w:rsid w:val="006A3EB7"/>
    <w:rsid w:val="006A42CA"/>
    <w:rsid w:val="006A43A3"/>
    <w:rsid w:val="006A451C"/>
    <w:rsid w:val="006A4594"/>
    <w:rsid w:val="006A46E6"/>
    <w:rsid w:val="006A4724"/>
    <w:rsid w:val="006A47D4"/>
    <w:rsid w:val="006A4CA1"/>
    <w:rsid w:val="006A508D"/>
    <w:rsid w:val="006A5194"/>
    <w:rsid w:val="006A522B"/>
    <w:rsid w:val="006A5239"/>
    <w:rsid w:val="006A53CD"/>
    <w:rsid w:val="006A5E5D"/>
    <w:rsid w:val="006A5E6E"/>
    <w:rsid w:val="006A61F9"/>
    <w:rsid w:val="006A63D5"/>
    <w:rsid w:val="006A6865"/>
    <w:rsid w:val="006A6965"/>
    <w:rsid w:val="006A69B2"/>
    <w:rsid w:val="006A6BFF"/>
    <w:rsid w:val="006A6C03"/>
    <w:rsid w:val="006A7037"/>
    <w:rsid w:val="006A7077"/>
    <w:rsid w:val="006A7616"/>
    <w:rsid w:val="006A79B2"/>
    <w:rsid w:val="006A79D8"/>
    <w:rsid w:val="006A79E8"/>
    <w:rsid w:val="006A7AE9"/>
    <w:rsid w:val="006A7C4A"/>
    <w:rsid w:val="006A7D6D"/>
    <w:rsid w:val="006B005D"/>
    <w:rsid w:val="006B01F2"/>
    <w:rsid w:val="006B02E7"/>
    <w:rsid w:val="006B09C3"/>
    <w:rsid w:val="006B0BA3"/>
    <w:rsid w:val="006B0C71"/>
    <w:rsid w:val="006B0EA9"/>
    <w:rsid w:val="006B104B"/>
    <w:rsid w:val="006B1225"/>
    <w:rsid w:val="006B168F"/>
    <w:rsid w:val="006B19EB"/>
    <w:rsid w:val="006B1A2E"/>
    <w:rsid w:val="006B1AC9"/>
    <w:rsid w:val="006B1B53"/>
    <w:rsid w:val="006B1D60"/>
    <w:rsid w:val="006B1D98"/>
    <w:rsid w:val="006B1EDB"/>
    <w:rsid w:val="006B1F4B"/>
    <w:rsid w:val="006B2189"/>
    <w:rsid w:val="006B2202"/>
    <w:rsid w:val="006B2367"/>
    <w:rsid w:val="006B243C"/>
    <w:rsid w:val="006B2498"/>
    <w:rsid w:val="006B24C2"/>
    <w:rsid w:val="006B2665"/>
    <w:rsid w:val="006B28D7"/>
    <w:rsid w:val="006B292A"/>
    <w:rsid w:val="006B2C3D"/>
    <w:rsid w:val="006B2C8F"/>
    <w:rsid w:val="006B2F3D"/>
    <w:rsid w:val="006B37F1"/>
    <w:rsid w:val="006B37FD"/>
    <w:rsid w:val="006B3895"/>
    <w:rsid w:val="006B3964"/>
    <w:rsid w:val="006B4183"/>
    <w:rsid w:val="006B4656"/>
    <w:rsid w:val="006B48B4"/>
    <w:rsid w:val="006B4BB1"/>
    <w:rsid w:val="006B5263"/>
    <w:rsid w:val="006B54C4"/>
    <w:rsid w:val="006B591E"/>
    <w:rsid w:val="006B5A50"/>
    <w:rsid w:val="006B5CEE"/>
    <w:rsid w:val="006B5DF9"/>
    <w:rsid w:val="006B6152"/>
    <w:rsid w:val="006B62D2"/>
    <w:rsid w:val="006B65F0"/>
    <w:rsid w:val="006B666A"/>
    <w:rsid w:val="006B7626"/>
    <w:rsid w:val="006B7640"/>
    <w:rsid w:val="006B79A6"/>
    <w:rsid w:val="006B7A8A"/>
    <w:rsid w:val="006B7F37"/>
    <w:rsid w:val="006C015D"/>
    <w:rsid w:val="006C0470"/>
    <w:rsid w:val="006C06AF"/>
    <w:rsid w:val="006C075D"/>
    <w:rsid w:val="006C0B13"/>
    <w:rsid w:val="006C0B40"/>
    <w:rsid w:val="006C103A"/>
    <w:rsid w:val="006C11A2"/>
    <w:rsid w:val="006C1667"/>
    <w:rsid w:val="006C19A2"/>
    <w:rsid w:val="006C1C38"/>
    <w:rsid w:val="006C1C9A"/>
    <w:rsid w:val="006C1D98"/>
    <w:rsid w:val="006C1E44"/>
    <w:rsid w:val="006C1E5C"/>
    <w:rsid w:val="006C2115"/>
    <w:rsid w:val="006C212C"/>
    <w:rsid w:val="006C21D8"/>
    <w:rsid w:val="006C23AB"/>
    <w:rsid w:val="006C259E"/>
    <w:rsid w:val="006C26F9"/>
    <w:rsid w:val="006C2744"/>
    <w:rsid w:val="006C296D"/>
    <w:rsid w:val="006C2AC2"/>
    <w:rsid w:val="006C2CC4"/>
    <w:rsid w:val="006C32BA"/>
    <w:rsid w:val="006C33FE"/>
    <w:rsid w:val="006C349D"/>
    <w:rsid w:val="006C3920"/>
    <w:rsid w:val="006C3A81"/>
    <w:rsid w:val="006C3BAF"/>
    <w:rsid w:val="006C3F62"/>
    <w:rsid w:val="006C4020"/>
    <w:rsid w:val="006C421A"/>
    <w:rsid w:val="006C45E9"/>
    <w:rsid w:val="006C469E"/>
    <w:rsid w:val="006C4C10"/>
    <w:rsid w:val="006C4DD6"/>
    <w:rsid w:val="006C4ED8"/>
    <w:rsid w:val="006C4FC1"/>
    <w:rsid w:val="006C4FEB"/>
    <w:rsid w:val="006C50F1"/>
    <w:rsid w:val="006C5246"/>
    <w:rsid w:val="006C5271"/>
    <w:rsid w:val="006C5321"/>
    <w:rsid w:val="006C53EA"/>
    <w:rsid w:val="006C541F"/>
    <w:rsid w:val="006C546C"/>
    <w:rsid w:val="006C54D0"/>
    <w:rsid w:val="006C5A8B"/>
    <w:rsid w:val="006C5D64"/>
    <w:rsid w:val="006C5F04"/>
    <w:rsid w:val="006C6132"/>
    <w:rsid w:val="006C62A7"/>
    <w:rsid w:val="006C668B"/>
    <w:rsid w:val="006C69BF"/>
    <w:rsid w:val="006C6A76"/>
    <w:rsid w:val="006C6B4A"/>
    <w:rsid w:val="006C6C79"/>
    <w:rsid w:val="006C6CC4"/>
    <w:rsid w:val="006C6EBE"/>
    <w:rsid w:val="006C6F64"/>
    <w:rsid w:val="006C70E0"/>
    <w:rsid w:val="006C7350"/>
    <w:rsid w:val="006C7760"/>
    <w:rsid w:val="006C79D2"/>
    <w:rsid w:val="006C79E0"/>
    <w:rsid w:val="006C7D43"/>
    <w:rsid w:val="006C7D53"/>
    <w:rsid w:val="006C7E38"/>
    <w:rsid w:val="006C7E96"/>
    <w:rsid w:val="006C7FD0"/>
    <w:rsid w:val="006C7FDF"/>
    <w:rsid w:val="006D0012"/>
    <w:rsid w:val="006D0438"/>
    <w:rsid w:val="006D06CD"/>
    <w:rsid w:val="006D06E5"/>
    <w:rsid w:val="006D073E"/>
    <w:rsid w:val="006D0816"/>
    <w:rsid w:val="006D099D"/>
    <w:rsid w:val="006D09CD"/>
    <w:rsid w:val="006D0AE5"/>
    <w:rsid w:val="006D0B27"/>
    <w:rsid w:val="006D0D4E"/>
    <w:rsid w:val="006D12E4"/>
    <w:rsid w:val="006D13D5"/>
    <w:rsid w:val="006D1925"/>
    <w:rsid w:val="006D1BB5"/>
    <w:rsid w:val="006D208B"/>
    <w:rsid w:val="006D25A8"/>
    <w:rsid w:val="006D277C"/>
    <w:rsid w:val="006D27C0"/>
    <w:rsid w:val="006D27DA"/>
    <w:rsid w:val="006D29FA"/>
    <w:rsid w:val="006D2A1B"/>
    <w:rsid w:val="006D2A3B"/>
    <w:rsid w:val="006D2C2B"/>
    <w:rsid w:val="006D2C45"/>
    <w:rsid w:val="006D2CCB"/>
    <w:rsid w:val="006D325F"/>
    <w:rsid w:val="006D335A"/>
    <w:rsid w:val="006D3687"/>
    <w:rsid w:val="006D36B4"/>
    <w:rsid w:val="006D387A"/>
    <w:rsid w:val="006D3A02"/>
    <w:rsid w:val="006D3AD7"/>
    <w:rsid w:val="006D3AF8"/>
    <w:rsid w:val="006D3C93"/>
    <w:rsid w:val="006D3DF0"/>
    <w:rsid w:val="006D4084"/>
    <w:rsid w:val="006D4129"/>
    <w:rsid w:val="006D4411"/>
    <w:rsid w:val="006D45E1"/>
    <w:rsid w:val="006D4608"/>
    <w:rsid w:val="006D46EF"/>
    <w:rsid w:val="006D47D4"/>
    <w:rsid w:val="006D48FA"/>
    <w:rsid w:val="006D49B8"/>
    <w:rsid w:val="006D4E36"/>
    <w:rsid w:val="006D5039"/>
    <w:rsid w:val="006D5246"/>
    <w:rsid w:val="006D5482"/>
    <w:rsid w:val="006D5504"/>
    <w:rsid w:val="006D553D"/>
    <w:rsid w:val="006D55DE"/>
    <w:rsid w:val="006D5A9C"/>
    <w:rsid w:val="006D5C9A"/>
    <w:rsid w:val="006D5EEB"/>
    <w:rsid w:val="006D5F7A"/>
    <w:rsid w:val="006D6334"/>
    <w:rsid w:val="006D63BE"/>
    <w:rsid w:val="006D660E"/>
    <w:rsid w:val="006D6A10"/>
    <w:rsid w:val="006D6F11"/>
    <w:rsid w:val="006D780D"/>
    <w:rsid w:val="006D7C27"/>
    <w:rsid w:val="006D7E1A"/>
    <w:rsid w:val="006D7E44"/>
    <w:rsid w:val="006D7EFF"/>
    <w:rsid w:val="006E04A9"/>
    <w:rsid w:val="006E0551"/>
    <w:rsid w:val="006E072C"/>
    <w:rsid w:val="006E090E"/>
    <w:rsid w:val="006E0E08"/>
    <w:rsid w:val="006E0E60"/>
    <w:rsid w:val="006E0FD0"/>
    <w:rsid w:val="006E1129"/>
    <w:rsid w:val="006E16AF"/>
    <w:rsid w:val="006E18D9"/>
    <w:rsid w:val="006E1E77"/>
    <w:rsid w:val="006E24EA"/>
    <w:rsid w:val="006E288A"/>
    <w:rsid w:val="006E2910"/>
    <w:rsid w:val="006E2B7F"/>
    <w:rsid w:val="006E2BAC"/>
    <w:rsid w:val="006E2C22"/>
    <w:rsid w:val="006E2CB1"/>
    <w:rsid w:val="006E2DEB"/>
    <w:rsid w:val="006E2E0E"/>
    <w:rsid w:val="006E3052"/>
    <w:rsid w:val="006E3189"/>
    <w:rsid w:val="006E33DA"/>
    <w:rsid w:val="006E35FF"/>
    <w:rsid w:val="006E36DA"/>
    <w:rsid w:val="006E3911"/>
    <w:rsid w:val="006E3C9B"/>
    <w:rsid w:val="006E3D3A"/>
    <w:rsid w:val="006E3D91"/>
    <w:rsid w:val="006E4064"/>
    <w:rsid w:val="006E407C"/>
    <w:rsid w:val="006E44CB"/>
    <w:rsid w:val="006E44E2"/>
    <w:rsid w:val="006E46E4"/>
    <w:rsid w:val="006E4838"/>
    <w:rsid w:val="006E4BC5"/>
    <w:rsid w:val="006E4C17"/>
    <w:rsid w:val="006E5357"/>
    <w:rsid w:val="006E5404"/>
    <w:rsid w:val="006E5579"/>
    <w:rsid w:val="006E5684"/>
    <w:rsid w:val="006E5770"/>
    <w:rsid w:val="006E58B1"/>
    <w:rsid w:val="006E5C1D"/>
    <w:rsid w:val="006E5F36"/>
    <w:rsid w:val="006E612C"/>
    <w:rsid w:val="006E61C2"/>
    <w:rsid w:val="006E6258"/>
    <w:rsid w:val="006E6367"/>
    <w:rsid w:val="006E6709"/>
    <w:rsid w:val="006E6726"/>
    <w:rsid w:val="006E67B2"/>
    <w:rsid w:val="006E691F"/>
    <w:rsid w:val="006E6BE9"/>
    <w:rsid w:val="006E6E49"/>
    <w:rsid w:val="006E6F43"/>
    <w:rsid w:val="006E710B"/>
    <w:rsid w:val="006E71C2"/>
    <w:rsid w:val="006E7295"/>
    <w:rsid w:val="006E7BF9"/>
    <w:rsid w:val="006F015F"/>
    <w:rsid w:val="006F08E4"/>
    <w:rsid w:val="006F08E6"/>
    <w:rsid w:val="006F10A7"/>
    <w:rsid w:val="006F1263"/>
    <w:rsid w:val="006F14CE"/>
    <w:rsid w:val="006F1707"/>
    <w:rsid w:val="006F17A3"/>
    <w:rsid w:val="006F1804"/>
    <w:rsid w:val="006F1B63"/>
    <w:rsid w:val="006F1D62"/>
    <w:rsid w:val="006F1E38"/>
    <w:rsid w:val="006F209D"/>
    <w:rsid w:val="006F22C4"/>
    <w:rsid w:val="006F2DD2"/>
    <w:rsid w:val="006F2E14"/>
    <w:rsid w:val="006F2E45"/>
    <w:rsid w:val="006F30EE"/>
    <w:rsid w:val="006F342C"/>
    <w:rsid w:val="006F37F8"/>
    <w:rsid w:val="006F3FC6"/>
    <w:rsid w:val="006F3FC7"/>
    <w:rsid w:val="006F4253"/>
    <w:rsid w:val="006F456F"/>
    <w:rsid w:val="006F4674"/>
    <w:rsid w:val="006F4903"/>
    <w:rsid w:val="006F4920"/>
    <w:rsid w:val="006F4956"/>
    <w:rsid w:val="006F49B7"/>
    <w:rsid w:val="006F4FA3"/>
    <w:rsid w:val="006F4FB5"/>
    <w:rsid w:val="006F563A"/>
    <w:rsid w:val="006F575F"/>
    <w:rsid w:val="006F57ED"/>
    <w:rsid w:val="006F5B59"/>
    <w:rsid w:val="006F5B6F"/>
    <w:rsid w:val="006F5BFA"/>
    <w:rsid w:val="006F5D52"/>
    <w:rsid w:val="006F6A4D"/>
    <w:rsid w:val="006F6C1E"/>
    <w:rsid w:val="006F6DCB"/>
    <w:rsid w:val="006F721C"/>
    <w:rsid w:val="006F72DF"/>
    <w:rsid w:val="006F749D"/>
    <w:rsid w:val="006F74D6"/>
    <w:rsid w:val="006F78E4"/>
    <w:rsid w:val="006F7A3C"/>
    <w:rsid w:val="006F7D16"/>
    <w:rsid w:val="006F7D67"/>
    <w:rsid w:val="006F7DEA"/>
    <w:rsid w:val="006F7E4D"/>
    <w:rsid w:val="00700036"/>
    <w:rsid w:val="007006D4"/>
    <w:rsid w:val="00700D9B"/>
    <w:rsid w:val="007017E5"/>
    <w:rsid w:val="0070195B"/>
    <w:rsid w:val="00701A19"/>
    <w:rsid w:val="00701AF2"/>
    <w:rsid w:val="00701E33"/>
    <w:rsid w:val="00701E6F"/>
    <w:rsid w:val="0070265F"/>
    <w:rsid w:val="007028D0"/>
    <w:rsid w:val="00702AC9"/>
    <w:rsid w:val="00702E8D"/>
    <w:rsid w:val="00702EA7"/>
    <w:rsid w:val="00703043"/>
    <w:rsid w:val="00703435"/>
    <w:rsid w:val="007034F4"/>
    <w:rsid w:val="007035D8"/>
    <w:rsid w:val="007037EC"/>
    <w:rsid w:val="00703B13"/>
    <w:rsid w:val="00703B28"/>
    <w:rsid w:val="007040E5"/>
    <w:rsid w:val="00704110"/>
    <w:rsid w:val="00704179"/>
    <w:rsid w:val="00704456"/>
    <w:rsid w:val="00704708"/>
    <w:rsid w:val="00704AB1"/>
    <w:rsid w:val="007050E3"/>
    <w:rsid w:val="00705395"/>
    <w:rsid w:val="007055A3"/>
    <w:rsid w:val="00705A55"/>
    <w:rsid w:val="00705A9A"/>
    <w:rsid w:val="00705AC1"/>
    <w:rsid w:val="00705CDA"/>
    <w:rsid w:val="00705DA2"/>
    <w:rsid w:val="00706298"/>
    <w:rsid w:val="007063C5"/>
    <w:rsid w:val="007068BB"/>
    <w:rsid w:val="00706A6A"/>
    <w:rsid w:val="00706F4B"/>
    <w:rsid w:val="00707393"/>
    <w:rsid w:val="00707960"/>
    <w:rsid w:val="00707A26"/>
    <w:rsid w:val="00707A43"/>
    <w:rsid w:val="00707E81"/>
    <w:rsid w:val="0071033B"/>
    <w:rsid w:val="00710428"/>
    <w:rsid w:val="0071057E"/>
    <w:rsid w:val="007108A2"/>
    <w:rsid w:val="00710909"/>
    <w:rsid w:val="007109B1"/>
    <w:rsid w:val="007110FD"/>
    <w:rsid w:val="00711699"/>
    <w:rsid w:val="0071189C"/>
    <w:rsid w:val="00711EEF"/>
    <w:rsid w:val="007121AD"/>
    <w:rsid w:val="0071238D"/>
    <w:rsid w:val="00712663"/>
    <w:rsid w:val="007128BA"/>
    <w:rsid w:val="00712AA4"/>
    <w:rsid w:val="00712BD5"/>
    <w:rsid w:val="00712F35"/>
    <w:rsid w:val="00713548"/>
    <w:rsid w:val="0071394B"/>
    <w:rsid w:val="00713F84"/>
    <w:rsid w:val="00714286"/>
    <w:rsid w:val="007144FD"/>
    <w:rsid w:val="007147E0"/>
    <w:rsid w:val="0071481F"/>
    <w:rsid w:val="0071484D"/>
    <w:rsid w:val="00714C3B"/>
    <w:rsid w:val="00714DEE"/>
    <w:rsid w:val="00714F90"/>
    <w:rsid w:val="007156FE"/>
    <w:rsid w:val="007157DD"/>
    <w:rsid w:val="007157DF"/>
    <w:rsid w:val="007159D2"/>
    <w:rsid w:val="00715E1E"/>
    <w:rsid w:val="00716043"/>
    <w:rsid w:val="007161A9"/>
    <w:rsid w:val="00716210"/>
    <w:rsid w:val="0071624C"/>
    <w:rsid w:val="00716299"/>
    <w:rsid w:val="007164DF"/>
    <w:rsid w:val="00717177"/>
    <w:rsid w:val="007171A2"/>
    <w:rsid w:val="00717419"/>
    <w:rsid w:val="00717598"/>
    <w:rsid w:val="00717AC3"/>
    <w:rsid w:val="00717E27"/>
    <w:rsid w:val="00717E82"/>
    <w:rsid w:val="00717EA7"/>
    <w:rsid w:val="00717F6D"/>
    <w:rsid w:val="00717F84"/>
    <w:rsid w:val="007200C0"/>
    <w:rsid w:val="00720164"/>
    <w:rsid w:val="0072076A"/>
    <w:rsid w:val="00720A1E"/>
    <w:rsid w:val="00720C09"/>
    <w:rsid w:val="00720F8F"/>
    <w:rsid w:val="00721141"/>
    <w:rsid w:val="0072122F"/>
    <w:rsid w:val="00721385"/>
    <w:rsid w:val="00721668"/>
    <w:rsid w:val="00721945"/>
    <w:rsid w:val="00721B32"/>
    <w:rsid w:val="00722202"/>
    <w:rsid w:val="00722B4C"/>
    <w:rsid w:val="00722F5F"/>
    <w:rsid w:val="0072301A"/>
    <w:rsid w:val="007232AB"/>
    <w:rsid w:val="00723411"/>
    <w:rsid w:val="00723558"/>
    <w:rsid w:val="007236E4"/>
    <w:rsid w:val="00723A60"/>
    <w:rsid w:val="00723A65"/>
    <w:rsid w:val="00723B69"/>
    <w:rsid w:val="00723FF4"/>
    <w:rsid w:val="00724106"/>
    <w:rsid w:val="007241B3"/>
    <w:rsid w:val="00724237"/>
    <w:rsid w:val="007244AE"/>
    <w:rsid w:val="0072472B"/>
    <w:rsid w:val="00724894"/>
    <w:rsid w:val="00724B15"/>
    <w:rsid w:val="00724D4A"/>
    <w:rsid w:val="007250B7"/>
    <w:rsid w:val="007254D9"/>
    <w:rsid w:val="00725639"/>
    <w:rsid w:val="007256B2"/>
    <w:rsid w:val="007257D2"/>
    <w:rsid w:val="00725853"/>
    <w:rsid w:val="00725892"/>
    <w:rsid w:val="00725A42"/>
    <w:rsid w:val="0072605B"/>
    <w:rsid w:val="007267DE"/>
    <w:rsid w:val="007267E4"/>
    <w:rsid w:val="00726A56"/>
    <w:rsid w:val="00726AA1"/>
    <w:rsid w:val="00726BF0"/>
    <w:rsid w:val="00726DC4"/>
    <w:rsid w:val="00726F6A"/>
    <w:rsid w:val="0072703A"/>
    <w:rsid w:val="007271E6"/>
    <w:rsid w:val="00727407"/>
    <w:rsid w:val="007274D7"/>
    <w:rsid w:val="0072782A"/>
    <w:rsid w:val="00727983"/>
    <w:rsid w:val="00727E09"/>
    <w:rsid w:val="00730051"/>
    <w:rsid w:val="00730169"/>
    <w:rsid w:val="0073016A"/>
    <w:rsid w:val="0073029F"/>
    <w:rsid w:val="0073034B"/>
    <w:rsid w:val="00730778"/>
    <w:rsid w:val="007308D7"/>
    <w:rsid w:val="00730906"/>
    <w:rsid w:val="00730963"/>
    <w:rsid w:val="00730AB4"/>
    <w:rsid w:val="00730C37"/>
    <w:rsid w:val="00730C4B"/>
    <w:rsid w:val="00731058"/>
    <w:rsid w:val="00731160"/>
    <w:rsid w:val="00731220"/>
    <w:rsid w:val="0073124D"/>
    <w:rsid w:val="007312F5"/>
    <w:rsid w:val="00731596"/>
    <w:rsid w:val="00731B8D"/>
    <w:rsid w:val="00731BFD"/>
    <w:rsid w:val="00731E0F"/>
    <w:rsid w:val="00731F8A"/>
    <w:rsid w:val="00732176"/>
    <w:rsid w:val="00732261"/>
    <w:rsid w:val="00732674"/>
    <w:rsid w:val="00732DA8"/>
    <w:rsid w:val="00732E26"/>
    <w:rsid w:val="007331A0"/>
    <w:rsid w:val="00733222"/>
    <w:rsid w:val="0073328B"/>
    <w:rsid w:val="007338E7"/>
    <w:rsid w:val="00733963"/>
    <w:rsid w:val="00733FD8"/>
    <w:rsid w:val="00734355"/>
    <w:rsid w:val="007348CF"/>
    <w:rsid w:val="00734910"/>
    <w:rsid w:val="00734CA4"/>
    <w:rsid w:val="00734D24"/>
    <w:rsid w:val="00734DA4"/>
    <w:rsid w:val="00735624"/>
    <w:rsid w:val="00735A2C"/>
    <w:rsid w:val="00735DA0"/>
    <w:rsid w:val="00736092"/>
    <w:rsid w:val="00736A80"/>
    <w:rsid w:val="00736C61"/>
    <w:rsid w:val="00736D2C"/>
    <w:rsid w:val="00736FA8"/>
    <w:rsid w:val="00737C83"/>
    <w:rsid w:val="00740013"/>
    <w:rsid w:val="007405F6"/>
    <w:rsid w:val="00740730"/>
    <w:rsid w:val="00740743"/>
    <w:rsid w:val="00740AF1"/>
    <w:rsid w:val="00740BB4"/>
    <w:rsid w:val="0074159E"/>
    <w:rsid w:val="007415B5"/>
    <w:rsid w:val="00741899"/>
    <w:rsid w:val="00741EC5"/>
    <w:rsid w:val="00741F78"/>
    <w:rsid w:val="0074213F"/>
    <w:rsid w:val="007422B1"/>
    <w:rsid w:val="007425CA"/>
    <w:rsid w:val="00742855"/>
    <w:rsid w:val="007428D0"/>
    <w:rsid w:val="00742940"/>
    <w:rsid w:val="00742A7B"/>
    <w:rsid w:val="00742B92"/>
    <w:rsid w:val="00742E50"/>
    <w:rsid w:val="0074321A"/>
    <w:rsid w:val="00743275"/>
    <w:rsid w:val="0074361E"/>
    <w:rsid w:val="0074367B"/>
    <w:rsid w:val="00743822"/>
    <w:rsid w:val="00743A98"/>
    <w:rsid w:val="00743FBE"/>
    <w:rsid w:val="00743FF4"/>
    <w:rsid w:val="007441CF"/>
    <w:rsid w:val="0074425E"/>
    <w:rsid w:val="007442AC"/>
    <w:rsid w:val="00744437"/>
    <w:rsid w:val="007447EA"/>
    <w:rsid w:val="00744C3F"/>
    <w:rsid w:val="00744EEE"/>
    <w:rsid w:val="00745103"/>
    <w:rsid w:val="0074510B"/>
    <w:rsid w:val="00745496"/>
    <w:rsid w:val="007454B5"/>
    <w:rsid w:val="007454CA"/>
    <w:rsid w:val="007456D2"/>
    <w:rsid w:val="007459E9"/>
    <w:rsid w:val="00745BC4"/>
    <w:rsid w:val="00745C73"/>
    <w:rsid w:val="00745C87"/>
    <w:rsid w:val="00745EB7"/>
    <w:rsid w:val="007460D8"/>
    <w:rsid w:val="007461E1"/>
    <w:rsid w:val="00746539"/>
    <w:rsid w:val="00746664"/>
    <w:rsid w:val="0074687A"/>
    <w:rsid w:val="00746943"/>
    <w:rsid w:val="00746C0D"/>
    <w:rsid w:val="007472FB"/>
    <w:rsid w:val="007473DC"/>
    <w:rsid w:val="0074755A"/>
    <w:rsid w:val="0074798F"/>
    <w:rsid w:val="00747B15"/>
    <w:rsid w:val="00747FEF"/>
    <w:rsid w:val="007501A0"/>
    <w:rsid w:val="0075031A"/>
    <w:rsid w:val="00750903"/>
    <w:rsid w:val="00750F0E"/>
    <w:rsid w:val="0075116F"/>
    <w:rsid w:val="007515DB"/>
    <w:rsid w:val="00751766"/>
    <w:rsid w:val="0075188B"/>
    <w:rsid w:val="00751A01"/>
    <w:rsid w:val="00751A9C"/>
    <w:rsid w:val="00751F24"/>
    <w:rsid w:val="00751F97"/>
    <w:rsid w:val="00752145"/>
    <w:rsid w:val="0075220D"/>
    <w:rsid w:val="007522EC"/>
    <w:rsid w:val="00752641"/>
    <w:rsid w:val="00752724"/>
    <w:rsid w:val="00752842"/>
    <w:rsid w:val="00752954"/>
    <w:rsid w:val="00752AFF"/>
    <w:rsid w:val="00752C6C"/>
    <w:rsid w:val="00753544"/>
    <w:rsid w:val="00753568"/>
    <w:rsid w:val="00753A19"/>
    <w:rsid w:val="00753B8A"/>
    <w:rsid w:val="00754190"/>
    <w:rsid w:val="007541EF"/>
    <w:rsid w:val="007542A6"/>
    <w:rsid w:val="00755110"/>
    <w:rsid w:val="0075541A"/>
    <w:rsid w:val="00755548"/>
    <w:rsid w:val="0075562A"/>
    <w:rsid w:val="007558A0"/>
    <w:rsid w:val="007558B4"/>
    <w:rsid w:val="00755DFE"/>
    <w:rsid w:val="00756439"/>
    <w:rsid w:val="007566A6"/>
    <w:rsid w:val="007567C7"/>
    <w:rsid w:val="007568C6"/>
    <w:rsid w:val="00756985"/>
    <w:rsid w:val="00756D83"/>
    <w:rsid w:val="00756EB8"/>
    <w:rsid w:val="007574B4"/>
    <w:rsid w:val="0075778A"/>
    <w:rsid w:val="00757840"/>
    <w:rsid w:val="0075785A"/>
    <w:rsid w:val="00757FE2"/>
    <w:rsid w:val="00760072"/>
    <w:rsid w:val="00760479"/>
    <w:rsid w:val="0076063A"/>
    <w:rsid w:val="007608F1"/>
    <w:rsid w:val="00760B85"/>
    <w:rsid w:val="00760D56"/>
    <w:rsid w:val="00760E87"/>
    <w:rsid w:val="00760F29"/>
    <w:rsid w:val="0076119D"/>
    <w:rsid w:val="00761383"/>
    <w:rsid w:val="007614D9"/>
    <w:rsid w:val="00761734"/>
    <w:rsid w:val="00761B23"/>
    <w:rsid w:val="00761BBC"/>
    <w:rsid w:val="00761DAC"/>
    <w:rsid w:val="00761F6E"/>
    <w:rsid w:val="0076216D"/>
    <w:rsid w:val="00762261"/>
    <w:rsid w:val="00762392"/>
    <w:rsid w:val="00762895"/>
    <w:rsid w:val="00762A12"/>
    <w:rsid w:val="00762D55"/>
    <w:rsid w:val="00762FC2"/>
    <w:rsid w:val="0076305B"/>
    <w:rsid w:val="0076326A"/>
    <w:rsid w:val="007632EB"/>
    <w:rsid w:val="0076332E"/>
    <w:rsid w:val="00763460"/>
    <w:rsid w:val="007636B8"/>
    <w:rsid w:val="00763776"/>
    <w:rsid w:val="007638DB"/>
    <w:rsid w:val="0076391E"/>
    <w:rsid w:val="00763A0F"/>
    <w:rsid w:val="00764128"/>
    <w:rsid w:val="00764132"/>
    <w:rsid w:val="007643D1"/>
    <w:rsid w:val="0076440C"/>
    <w:rsid w:val="007646E7"/>
    <w:rsid w:val="00764CC1"/>
    <w:rsid w:val="007654ED"/>
    <w:rsid w:val="0076570B"/>
    <w:rsid w:val="00765ED9"/>
    <w:rsid w:val="0076622B"/>
    <w:rsid w:val="0076647A"/>
    <w:rsid w:val="00766A4F"/>
    <w:rsid w:val="00766CA3"/>
    <w:rsid w:val="00766D2C"/>
    <w:rsid w:val="007670D4"/>
    <w:rsid w:val="00767CCF"/>
    <w:rsid w:val="007706AF"/>
    <w:rsid w:val="00770814"/>
    <w:rsid w:val="00770A98"/>
    <w:rsid w:val="00770AD9"/>
    <w:rsid w:val="00770D5F"/>
    <w:rsid w:val="00770F6D"/>
    <w:rsid w:val="0077166E"/>
    <w:rsid w:val="0077186C"/>
    <w:rsid w:val="00771DED"/>
    <w:rsid w:val="00772406"/>
    <w:rsid w:val="007727C1"/>
    <w:rsid w:val="00772A31"/>
    <w:rsid w:val="00772A4D"/>
    <w:rsid w:val="00772B1A"/>
    <w:rsid w:val="00772B8B"/>
    <w:rsid w:val="00772CBD"/>
    <w:rsid w:val="00772CE4"/>
    <w:rsid w:val="00772E32"/>
    <w:rsid w:val="00772F27"/>
    <w:rsid w:val="007731AC"/>
    <w:rsid w:val="00773426"/>
    <w:rsid w:val="007734F4"/>
    <w:rsid w:val="00773506"/>
    <w:rsid w:val="007735AB"/>
    <w:rsid w:val="007739D5"/>
    <w:rsid w:val="00773C93"/>
    <w:rsid w:val="00773F0C"/>
    <w:rsid w:val="00773F59"/>
    <w:rsid w:val="00773F99"/>
    <w:rsid w:val="00774106"/>
    <w:rsid w:val="00774480"/>
    <w:rsid w:val="007744E5"/>
    <w:rsid w:val="00774757"/>
    <w:rsid w:val="00774762"/>
    <w:rsid w:val="007748E8"/>
    <w:rsid w:val="00774A14"/>
    <w:rsid w:val="00774C36"/>
    <w:rsid w:val="00774F7F"/>
    <w:rsid w:val="0077510D"/>
    <w:rsid w:val="00775272"/>
    <w:rsid w:val="007752A8"/>
    <w:rsid w:val="00775659"/>
    <w:rsid w:val="00775873"/>
    <w:rsid w:val="00775E50"/>
    <w:rsid w:val="007765D1"/>
    <w:rsid w:val="00776BAF"/>
    <w:rsid w:val="00776C7A"/>
    <w:rsid w:val="00777AC0"/>
    <w:rsid w:val="00777AE8"/>
    <w:rsid w:val="00777F46"/>
    <w:rsid w:val="007802A3"/>
    <w:rsid w:val="00780309"/>
    <w:rsid w:val="0078044C"/>
    <w:rsid w:val="00780580"/>
    <w:rsid w:val="00780716"/>
    <w:rsid w:val="00780952"/>
    <w:rsid w:val="00780953"/>
    <w:rsid w:val="00780F6B"/>
    <w:rsid w:val="0078106C"/>
    <w:rsid w:val="00781191"/>
    <w:rsid w:val="00781605"/>
    <w:rsid w:val="007817C2"/>
    <w:rsid w:val="007817DF"/>
    <w:rsid w:val="00781956"/>
    <w:rsid w:val="00781AC2"/>
    <w:rsid w:val="00782169"/>
    <w:rsid w:val="007825E8"/>
    <w:rsid w:val="00782774"/>
    <w:rsid w:val="007828E9"/>
    <w:rsid w:val="00782AEC"/>
    <w:rsid w:val="00782E1A"/>
    <w:rsid w:val="00782E9C"/>
    <w:rsid w:val="00783068"/>
    <w:rsid w:val="007832A0"/>
    <w:rsid w:val="0078366F"/>
    <w:rsid w:val="00783698"/>
    <w:rsid w:val="00783C3E"/>
    <w:rsid w:val="00783CB1"/>
    <w:rsid w:val="00784012"/>
    <w:rsid w:val="0078404E"/>
    <w:rsid w:val="00784100"/>
    <w:rsid w:val="007844E0"/>
    <w:rsid w:val="0078502E"/>
    <w:rsid w:val="0078511E"/>
    <w:rsid w:val="00785532"/>
    <w:rsid w:val="007855CE"/>
    <w:rsid w:val="007856AF"/>
    <w:rsid w:val="007857BB"/>
    <w:rsid w:val="007858F9"/>
    <w:rsid w:val="00785EBA"/>
    <w:rsid w:val="00786245"/>
    <w:rsid w:val="00786AEB"/>
    <w:rsid w:val="00786CF6"/>
    <w:rsid w:val="00786EAC"/>
    <w:rsid w:val="007870FA"/>
    <w:rsid w:val="00787189"/>
    <w:rsid w:val="007872FA"/>
    <w:rsid w:val="00787385"/>
    <w:rsid w:val="0078751F"/>
    <w:rsid w:val="007877A6"/>
    <w:rsid w:val="007879B0"/>
    <w:rsid w:val="00787BAC"/>
    <w:rsid w:val="00787D4A"/>
    <w:rsid w:val="00787F68"/>
    <w:rsid w:val="0079045F"/>
    <w:rsid w:val="007907E1"/>
    <w:rsid w:val="00790C0B"/>
    <w:rsid w:val="007914DC"/>
    <w:rsid w:val="007915A3"/>
    <w:rsid w:val="0079167E"/>
    <w:rsid w:val="00791A02"/>
    <w:rsid w:val="00791A79"/>
    <w:rsid w:val="00791B3F"/>
    <w:rsid w:val="00791DA7"/>
    <w:rsid w:val="00792526"/>
    <w:rsid w:val="0079261E"/>
    <w:rsid w:val="00792699"/>
    <w:rsid w:val="0079281B"/>
    <w:rsid w:val="007928CB"/>
    <w:rsid w:val="00792A3D"/>
    <w:rsid w:val="00792C78"/>
    <w:rsid w:val="00793025"/>
    <w:rsid w:val="00793030"/>
    <w:rsid w:val="007930AF"/>
    <w:rsid w:val="0079337F"/>
    <w:rsid w:val="0079343D"/>
    <w:rsid w:val="0079345D"/>
    <w:rsid w:val="00793486"/>
    <w:rsid w:val="0079367C"/>
    <w:rsid w:val="00793745"/>
    <w:rsid w:val="0079387C"/>
    <w:rsid w:val="007938B7"/>
    <w:rsid w:val="007939B1"/>
    <w:rsid w:val="00793A7C"/>
    <w:rsid w:val="00793B24"/>
    <w:rsid w:val="00793BA7"/>
    <w:rsid w:val="00794070"/>
    <w:rsid w:val="007940A4"/>
    <w:rsid w:val="007941E5"/>
    <w:rsid w:val="007943C0"/>
    <w:rsid w:val="007944D6"/>
    <w:rsid w:val="00794707"/>
    <w:rsid w:val="00794AD8"/>
    <w:rsid w:val="00794B6D"/>
    <w:rsid w:val="00794E15"/>
    <w:rsid w:val="00794F58"/>
    <w:rsid w:val="007950E5"/>
    <w:rsid w:val="00795105"/>
    <w:rsid w:val="00795300"/>
    <w:rsid w:val="007955E7"/>
    <w:rsid w:val="007956B4"/>
    <w:rsid w:val="00795875"/>
    <w:rsid w:val="00795AF3"/>
    <w:rsid w:val="00796174"/>
    <w:rsid w:val="007962C8"/>
    <w:rsid w:val="007963AF"/>
    <w:rsid w:val="00796DAC"/>
    <w:rsid w:val="00796F19"/>
    <w:rsid w:val="00797029"/>
    <w:rsid w:val="0079742F"/>
    <w:rsid w:val="007974C4"/>
    <w:rsid w:val="0079784E"/>
    <w:rsid w:val="00797DB2"/>
    <w:rsid w:val="00797FEC"/>
    <w:rsid w:val="00797FF5"/>
    <w:rsid w:val="007A02B1"/>
    <w:rsid w:val="007A03F1"/>
    <w:rsid w:val="007A04C1"/>
    <w:rsid w:val="007A063A"/>
    <w:rsid w:val="007A09F1"/>
    <w:rsid w:val="007A0B13"/>
    <w:rsid w:val="007A1351"/>
    <w:rsid w:val="007A1B2A"/>
    <w:rsid w:val="007A2097"/>
    <w:rsid w:val="007A2435"/>
    <w:rsid w:val="007A289C"/>
    <w:rsid w:val="007A291E"/>
    <w:rsid w:val="007A2ADD"/>
    <w:rsid w:val="007A2BA3"/>
    <w:rsid w:val="007A2FF2"/>
    <w:rsid w:val="007A3232"/>
    <w:rsid w:val="007A33C3"/>
    <w:rsid w:val="007A33E1"/>
    <w:rsid w:val="007A34CB"/>
    <w:rsid w:val="007A3D93"/>
    <w:rsid w:val="007A4083"/>
    <w:rsid w:val="007A4331"/>
    <w:rsid w:val="007A4385"/>
    <w:rsid w:val="007A43F4"/>
    <w:rsid w:val="007A44B3"/>
    <w:rsid w:val="007A47EE"/>
    <w:rsid w:val="007A490D"/>
    <w:rsid w:val="007A4EFA"/>
    <w:rsid w:val="007A51DE"/>
    <w:rsid w:val="007A5219"/>
    <w:rsid w:val="007A5313"/>
    <w:rsid w:val="007A57EE"/>
    <w:rsid w:val="007A59DF"/>
    <w:rsid w:val="007A5A5F"/>
    <w:rsid w:val="007A5B4C"/>
    <w:rsid w:val="007A5D29"/>
    <w:rsid w:val="007A5E8B"/>
    <w:rsid w:val="007A60D5"/>
    <w:rsid w:val="007A6360"/>
    <w:rsid w:val="007A69EF"/>
    <w:rsid w:val="007A6AF2"/>
    <w:rsid w:val="007A6B25"/>
    <w:rsid w:val="007A6BBC"/>
    <w:rsid w:val="007A7171"/>
    <w:rsid w:val="007A7518"/>
    <w:rsid w:val="007A7751"/>
    <w:rsid w:val="007A77B4"/>
    <w:rsid w:val="007A788A"/>
    <w:rsid w:val="007A78EB"/>
    <w:rsid w:val="007A7A32"/>
    <w:rsid w:val="007A7A4F"/>
    <w:rsid w:val="007A7A8A"/>
    <w:rsid w:val="007A7C94"/>
    <w:rsid w:val="007A7D64"/>
    <w:rsid w:val="007A7D6F"/>
    <w:rsid w:val="007A7E75"/>
    <w:rsid w:val="007B00D1"/>
    <w:rsid w:val="007B00D8"/>
    <w:rsid w:val="007B05E6"/>
    <w:rsid w:val="007B0AA8"/>
    <w:rsid w:val="007B0DB5"/>
    <w:rsid w:val="007B16EB"/>
    <w:rsid w:val="007B17D5"/>
    <w:rsid w:val="007B1961"/>
    <w:rsid w:val="007B1BB5"/>
    <w:rsid w:val="007B27DF"/>
    <w:rsid w:val="007B2923"/>
    <w:rsid w:val="007B2A82"/>
    <w:rsid w:val="007B2BDF"/>
    <w:rsid w:val="007B2E06"/>
    <w:rsid w:val="007B3492"/>
    <w:rsid w:val="007B35B4"/>
    <w:rsid w:val="007B3605"/>
    <w:rsid w:val="007B373B"/>
    <w:rsid w:val="007B37C0"/>
    <w:rsid w:val="007B395F"/>
    <w:rsid w:val="007B3AF0"/>
    <w:rsid w:val="007B3E66"/>
    <w:rsid w:val="007B3E9B"/>
    <w:rsid w:val="007B40D8"/>
    <w:rsid w:val="007B418E"/>
    <w:rsid w:val="007B445B"/>
    <w:rsid w:val="007B475D"/>
    <w:rsid w:val="007B486D"/>
    <w:rsid w:val="007B48C9"/>
    <w:rsid w:val="007B4C90"/>
    <w:rsid w:val="007B4D19"/>
    <w:rsid w:val="007B5010"/>
    <w:rsid w:val="007B51A4"/>
    <w:rsid w:val="007B51AA"/>
    <w:rsid w:val="007B5267"/>
    <w:rsid w:val="007B5571"/>
    <w:rsid w:val="007B5A97"/>
    <w:rsid w:val="007B5AB2"/>
    <w:rsid w:val="007B5F9F"/>
    <w:rsid w:val="007B62B4"/>
    <w:rsid w:val="007B6550"/>
    <w:rsid w:val="007B6642"/>
    <w:rsid w:val="007B69C0"/>
    <w:rsid w:val="007B6CE1"/>
    <w:rsid w:val="007B6F60"/>
    <w:rsid w:val="007B712B"/>
    <w:rsid w:val="007B7315"/>
    <w:rsid w:val="007B735B"/>
    <w:rsid w:val="007B7376"/>
    <w:rsid w:val="007B7496"/>
    <w:rsid w:val="007B75EC"/>
    <w:rsid w:val="007B793A"/>
    <w:rsid w:val="007B7A21"/>
    <w:rsid w:val="007B7A93"/>
    <w:rsid w:val="007B7B22"/>
    <w:rsid w:val="007B7C93"/>
    <w:rsid w:val="007B7EA6"/>
    <w:rsid w:val="007C018B"/>
    <w:rsid w:val="007C01BE"/>
    <w:rsid w:val="007C02B2"/>
    <w:rsid w:val="007C02C1"/>
    <w:rsid w:val="007C048D"/>
    <w:rsid w:val="007C0575"/>
    <w:rsid w:val="007C08BF"/>
    <w:rsid w:val="007C0A87"/>
    <w:rsid w:val="007C0AB9"/>
    <w:rsid w:val="007C0CFD"/>
    <w:rsid w:val="007C1728"/>
    <w:rsid w:val="007C1CDD"/>
    <w:rsid w:val="007C2031"/>
    <w:rsid w:val="007C21CF"/>
    <w:rsid w:val="007C2905"/>
    <w:rsid w:val="007C292E"/>
    <w:rsid w:val="007C2B39"/>
    <w:rsid w:val="007C2B3A"/>
    <w:rsid w:val="007C2DFA"/>
    <w:rsid w:val="007C2F85"/>
    <w:rsid w:val="007C3827"/>
    <w:rsid w:val="007C3DB0"/>
    <w:rsid w:val="007C4107"/>
    <w:rsid w:val="007C4748"/>
    <w:rsid w:val="007C4872"/>
    <w:rsid w:val="007C4B15"/>
    <w:rsid w:val="007C50E6"/>
    <w:rsid w:val="007C52A7"/>
    <w:rsid w:val="007C546C"/>
    <w:rsid w:val="007C54F9"/>
    <w:rsid w:val="007C5565"/>
    <w:rsid w:val="007C5815"/>
    <w:rsid w:val="007C589C"/>
    <w:rsid w:val="007C5B4C"/>
    <w:rsid w:val="007C5B7A"/>
    <w:rsid w:val="007C5CB8"/>
    <w:rsid w:val="007C5DC1"/>
    <w:rsid w:val="007C64FE"/>
    <w:rsid w:val="007C6563"/>
    <w:rsid w:val="007C693D"/>
    <w:rsid w:val="007C6AC2"/>
    <w:rsid w:val="007C6F77"/>
    <w:rsid w:val="007C6F9C"/>
    <w:rsid w:val="007C6FAE"/>
    <w:rsid w:val="007C70D0"/>
    <w:rsid w:val="007C7375"/>
    <w:rsid w:val="007C7413"/>
    <w:rsid w:val="007C752B"/>
    <w:rsid w:val="007C7A11"/>
    <w:rsid w:val="007C7CD1"/>
    <w:rsid w:val="007D07B7"/>
    <w:rsid w:val="007D0A9B"/>
    <w:rsid w:val="007D0B21"/>
    <w:rsid w:val="007D0DCE"/>
    <w:rsid w:val="007D0FB1"/>
    <w:rsid w:val="007D12DB"/>
    <w:rsid w:val="007D153A"/>
    <w:rsid w:val="007D1661"/>
    <w:rsid w:val="007D169F"/>
    <w:rsid w:val="007D1CCF"/>
    <w:rsid w:val="007D1F34"/>
    <w:rsid w:val="007D1FEB"/>
    <w:rsid w:val="007D20CF"/>
    <w:rsid w:val="007D2173"/>
    <w:rsid w:val="007D2363"/>
    <w:rsid w:val="007D2399"/>
    <w:rsid w:val="007D23BD"/>
    <w:rsid w:val="007D2737"/>
    <w:rsid w:val="007D2B63"/>
    <w:rsid w:val="007D2CAA"/>
    <w:rsid w:val="007D2DCF"/>
    <w:rsid w:val="007D326C"/>
    <w:rsid w:val="007D34EC"/>
    <w:rsid w:val="007D3511"/>
    <w:rsid w:val="007D3982"/>
    <w:rsid w:val="007D3BFC"/>
    <w:rsid w:val="007D3CEF"/>
    <w:rsid w:val="007D430B"/>
    <w:rsid w:val="007D435B"/>
    <w:rsid w:val="007D438A"/>
    <w:rsid w:val="007D4649"/>
    <w:rsid w:val="007D464A"/>
    <w:rsid w:val="007D466B"/>
    <w:rsid w:val="007D46F5"/>
    <w:rsid w:val="007D46FA"/>
    <w:rsid w:val="007D474F"/>
    <w:rsid w:val="007D475B"/>
    <w:rsid w:val="007D4A3C"/>
    <w:rsid w:val="007D4BE1"/>
    <w:rsid w:val="007D5020"/>
    <w:rsid w:val="007D51B8"/>
    <w:rsid w:val="007D526D"/>
    <w:rsid w:val="007D53D7"/>
    <w:rsid w:val="007D58C3"/>
    <w:rsid w:val="007D5D4C"/>
    <w:rsid w:val="007D5F3F"/>
    <w:rsid w:val="007D612E"/>
    <w:rsid w:val="007D6693"/>
    <w:rsid w:val="007D7079"/>
    <w:rsid w:val="007D70F9"/>
    <w:rsid w:val="007D712C"/>
    <w:rsid w:val="007D74E9"/>
    <w:rsid w:val="007D74EB"/>
    <w:rsid w:val="007D7508"/>
    <w:rsid w:val="007D750A"/>
    <w:rsid w:val="007D7542"/>
    <w:rsid w:val="007D754E"/>
    <w:rsid w:val="007D7DBD"/>
    <w:rsid w:val="007D7DDA"/>
    <w:rsid w:val="007D7DE8"/>
    <w:rsid w:val="007E0088"/>
    <w:rsid w:val="007E011D"/>
    <w:rsid w:val="007E01A5"/>
    <w:rsid w:val="007E0CB2"/>
    <w:rsid w:val="007E0F7E"/>
    <w:rsid w:val="007E1370"/>
    <w:rsid w:val="007E156D"/>
    <w:rsid w:val="007E159F"/>
    <w:rsid w:val="007E1A6E"/>
    <w:rsid w:val="007E1CAD"/>
    <w:rsid w:val="007E1DAD"/>
    <w:rsid w:val="007E1F35"/>
    <w:rsid w:val="007E26AB"/>
    <w:rsid w:val="007E27CA"/>
    <w:rsid w:val="007E27F9"/>
    <w:rsid w:val="007E2B47"/>
    <w:rsid w:val="007E3411"/>
    <w:rsid w:val="007E364F"/>
    <w:rsid w:val="007E397F"/>
    <w:rsid w:val="007E3C0C"/>
    <w:rsid w:val="007E3D22"/>
    <w:rsid w:val="007E3FEF"/>
    <w:rsid w:val="007E43C0"/>
    <w:rsid w:val="007E4452"/>
    <w:rsid w:val="007E4593"/>
    <w:rsid w:val="007E45A2"/>
    <w:rsid w:val="007E4693"/>
    <w:rsid w:val="007E48CF"/>
    <w:rsid w:val="007E4D45"/>
    <w:rsid w:val="007E4DF2"/>
    <w:rsid w:val="007E4F6C"/>
    <w:rsid w:val="007E5217"/>
    <w:rsid w:val="007E5333"/>
    <w:rsid w:val="007E54D2"/>
    <w:rsid w:val="007E5955"/>
    <w:rsid w:val="007E5A64"/>
    <w:rsid w:val="007E5BEF"/>
    <w:rsid w:val="007E5C39"/>
    <w:rsid w:val="007E5E90"/>
    <w:rsid w:val="007E681D"/>
    <w:rsid w:val="007E6B56"/>
    <w:rsid w:val="007E6F5A"/>
    <w:rsid w:val="007E7470"/>
    <w:rsid w:val="007E7854"/>
    <w:rsid w:val="007E7A4D"/>
    <w:rsid w:val="007E7EAE"/>
    <w:rsid w:val="007F00B2"/>
    <w:rsid w:val="007F01BA"/>
    <w:rsid w:val="007F01D1"/>
    <w:rsid w:val="007F0256"/>
    <w:rsid w:val="007F03A5"/>
    <w:rsid w:val="007F05A1"/>
    <w:rsid w:val="007F05B9"/>
    <w:rsid w:val="007F074D"/>
    <w:rsid w:val="007F0811"/>
    <w:rsid w:val="007F08EA"/>
    <w:rsid w:val="007F0C9F"/>
    <w:rsid w:val="007F0F0C"/>
    <w:rsid w:val="007F0F89"/>
    <w:rsid w:val="007F1057"/>
    <w:rsid w:val="007F1259"/>
    <w:rsid w:val="007F13BC"/>
    <w:rsid w:val="007F1556"/>
    <w:rsid w:val="007F18EE"/>
    <w:rsid w:val="007F1E9B"/>
    <w:rsid w:val="007F1FA7"/>
    <w:rsid w:val="007F22A9"/>
    <w:rsid w:val="007F2438"/>
    <w:rsid w:val="007F24AF"/>
    <w:rsid w:val="007F254B"/>
    <w:rsid w:val="007F26A0"/>
    <w:rsid w:val="007F28A6"/>
    <w:rsid w:val="007F29DA"/>
    <w:rsid w:val="007F2A22"/>
    <w:rsid w:val="007F2B07"/>
    <w:rsid w:val="007F2B09"/>
    <w:rsid w:val="007F330D"/>
    <w:rsid w:val="007F35D7"/>
    <w:rsid w:val="007F36B5"/>
    <w:rsid w:val="007F3823"/>
    <w:rsid w:val="007F3859"/>
    <w:rsid w:val="007F393A"/>
    <w:rsid w:val="007F3A05"/>
    <w:rsid w:val="007F3C13"/>
    <w:rsid w:val="007F4737"/>
    <w:rsid w:val="007F4857"/>
    <w:rsid w:val="007F4C9C"/>
    <w:rsid w:val="007F54AA"/>
    <w:rsid w:val="007F5895"/>
    <w:rsid w:val="007F5B36"/>
    <w:rsid w:val="007F5D91"/>
    <w:rsid w:val="007F5F95"/>
    <w:rsid w:val="007F6304"/>
    <w:rsid w:val="007F6493"/>
    <w:rsid w:val="007F67EC"/>
    <w:rsid w:val="007F69A0"/>
    <w:rsid w:val="007F6E97"/>
    <w:rsid w:val="007F70CF"/>
    <w:rsid w:val="007F70F2"/>
    <w:rsid w:val="007F7134"/>
    <w:rsid w:val="007F75D9"/>
    <w:rsid w:val="007F76A1"/>
    <w:rsid w:val="007F7894"/>
    <w:rsid w:val="007F7AA1"/>
    <w:rsid w:val="007F7EE5"/>
    <w:rsid w:val="007F7F45"/>
    <w:rsid w:val="0080005C"/>
    <w:rsid w:val="00800351"/>
    <w:rsid w:val="00800576"/>
    <w:rsid w:val="00800A73"/>
    <w:rsid w:val="00800BF6"/>
    <w:rsid w:val="00800F67"/>
    <w:rsid w:val="0080145A"/>
    <w:rsid w:val="008014C7"/>
    <w:rsid w:val="008015D3"/>
    <w:rsid w:val="00801646"/>
    <w:rsid w:val="008017AE"/>
    <w:rsid w:val="0080194F"/>
    <w:rsid w:val="00801A6B"/>
    <w:rsid w:val="008021F2"/>
    <w:rsid w:val="00802300"/>
    <w:rsid w:val="0080241F"/>
    <w:rsid w:val="008026B5"/>
    <w:rsid w:val="0080272C"/>
    <w:rsid w:val="0080281B"/>
    <w:rsid w:val="00802B76"/>
    <w:rsid w:val="00802ED7"/>
    <w:rsid w:val="0080329A"/>
    <w:rsid w:val="00803391"/>
    <w:rsid w:val="00803430"/>
    <w:rsid w:val="00803455"/>
    <w:rsid w:val="00803DCC"/>
    <w:rsid w:val="00803E28"/>
    <w:rsid w:val="00803EAC"/>
    <w:rsid w:val="00803F4F"/>
    <w:rsid w:val="00803F6C"/>
    <w:rsid w:val="00804136"/>
    <w:rsid w:val="00804268"/>
    <w:rsid w:val="00804491"/>
    <w:rsid w:val="008046A4"/>
    <w:rsid w:val="0080499D"/>
    <w:rsid w:val="008049F9"/>
    <w:rsid w:val="00804AF5"/>
    <w:rsid w:val="00804F15"/>
    <w:rsid w:val="00805025"/>
    <w:rsid w:val="008050E0"/>
    <w:rsid w:val="008054C0"/>
    <w:rsid w:val="008057ED"/>
    <w:rsid w:val="00805D92"/>
    <w:rsid w:val="00805EF8"/>
    <w:rsid w:val="008063BD"/>
    <w:rsid w:val="00806790"/>
    <w:rsid w:val="008067B6"/>
    <w:rsid w:val="00806818"/>
    <w:rsid w:val="00806A1F"/>
    <w:rsid w:val="00806ACB"/>
    <w:rsid w:val="00806C52"/>
    <w:rsid w:val="00806D0D"/>
    <w:rsid w:val="00806E88"/>
    <w:rsid w:val="008070FB"/>
    <w:rsid w:val="008072A3"/>
    <w:rsid w:val="00807730"/>
    <w:rsid w:val="00807975"/>
    <w:rsid w:val="00807B5D"/>
    <w:rsid w:val="00807FA9"/>
    <w:rsid w:val="00810F81"/>
    <w:rsid w:val="0081106E"/>
    <w:rsid w:val="008113F9"/>
    <w:rsid w:val="00811738"/>
    <w:rsid w:val="008119E1"/>
    <w:rsid w:val="00811DB2"/>
    <w:rsid w:val="00811F41"/>
    <w:rsid w:val="008120AB"/>
    <w:rsid w:val="00812289"/>
    <w:rsid w:val="008123AA"/>
    <w:rsid w:val="008123DF"/>
    <w:rsid w:val="0081248F"/>
    <w:rsid w:val="00812690"/>
    <w:rsid w:val="008126EE"/>
    <w:rsid w:val="00812789"/>
    <w:rsid w:val="00812A0F"/>
    <w:rsid w:val="00812A76"/>
    <w:rsid w:val="00812BE0"/>
    <w:rsid w:val="00812E45"/>
    <w:rsid w:val="00812F4E"/>
    <w:rsid w:val="00812F78"/>
    <w:rsid w:val="00813146"/>
    <w:rsid w:val="00813353"/>
    <w:rsid w:val="00813614"/>
    <w:rsid w:val="00813775"/>
    <w:rsid w:val="00813A23"/>
    <w:rsid w:val="00813B02"/>
    <w:rsid w:val="00813B0D"/>
    <w:rsid w:val="00813CBE"/>
    <w:rsid w:val="00813D4A"/>
    <w:rsid w:val="00814128"/>
    <w:rsid w:val="0081421A"/>
    <w:rsid w:val="00814399"/>
    <w:rsid w:val="008143F9"/>
    <w:rsid w:val="008144B2"/>
    <w:rsid w:val="00814B6F"/>
    <w:rsid w:val="00814BA3"/>
    <w:rsid w:val="00814F26"/>
    <w:rsid w:val="0081504F"/>
    <w:rsid w:val="008150A5"/>
    <w:rsid w:val="008151BC"/>
    <w:rsid w:val="00815283"/>
    <w:rsid w:val="00815636"/>
    <w:rsid w:val="00815824"/>
    <w:rsid w:val="00815839"/>
    <w:rsid w:val="00815AC5"/>
    <w:rsid w:val="00815B96"/>
    <w:rsid w:val="00815BCA"/>
    <w:rsid w:val="00815CEA"/>
    <w:rsid w:val="00815DE3"/>
    <w:rsid w:val="008161F6"/>
    <w:rsid w:val="00816447"/>
    <w:rsid w:val="0081656B"/>
    <w:rsid w:val="00816A25"/>
    <w:rsid w:val="00816B4C"/>
    <w:rsid w:val="00816BBF"/>
    <w:rsid w:val="00816C3F"/>
    <w:rsid w:val="00816CDA"/>
    <w:rsid w:val="00816F8B"/>
    <w:rsid w:val="00817060"/>
    <w:rsid w:val="0081714B"/>
    <w:rsid w:val="00817317"/>
    <w:rsid w:val="008174C0"/>
    <w:rsid w:val="0081777D"/>
    <w:rsid w:val="00817830"/>
    <w:rsid w:val="00817877"/>
    <w:rsid w:val="008179DD"/>
    <w:rsid w:val="00817A0A"/>
    <w:rsid w:val="00817F11"/>
    <w:rsid w:val="00820251"/>
    <w:rsid w:val="0082041E"/>
    <w:rsid w:val="0082055E"/>
    <w:rsid w:val="00820605"/>
    <w:rsid w:val="00820835"/>
    <w:rsid w:val="00820EC4"/>
    <w:rsid w:val="00820EF0"/>
    <w:rsid w:val="0082104B"/>
    <w:rsid w:val="00821126"/>
    <w:rsid w:val="0082149B"/>
    <w:rsid w:val="00821D44"/>
    <w:rsid w:val="00821E36"/>
    <w:rsid w:val="0082214E"/>
    <w:rsid w:val="0082223E"/>
    <w:rsid w:val="008225D8"/>
    <w:rsid w:val="00822631"/>
    <w:rsid w:val="00822884"/>
    <w:rsid w:val="008228C1"/>
    <w:rsid w:val="00822CD1"/>
    <w:rsid w:val="008232BA"/>
    <w:rsid w:val="00823B0E"/>
    <w:rsid w:val="00823EBD"/>
    <w:rsid w:val="008249FA"/>
    <w:rsid w:val="00824AA3"/>
    <w:rsid w:val="00824B93"/>
    <w:rsid w:val="008250AC"/>
    <w:rsid w:val="00825611"/>
    <w:rsid w:val="008256CA"/>
    <w:rsid w:val="008259AD"/>
    <w:rsid w:val="008259BD"/>
    <w:rsid w:val="00825CB2"/>
    <w:rsid w:val="00825EF2"/>
    <w:rsid w:val="00826025"/>
    <w:rsid w:val="00826280"/>
    <w:rsid w:val="00826623"/>
    <w:rsid w:val="00826A30"/>
    <w:rsid w:val="00826D18"/>
    <w:rsid w:val="008271AD"/>
    <w:rsid w:val="008272EC"/>
    <w:rsid w:val="008276A0"/>
    <w:rsid w:val="008276A3"/>
    <w:rsid w:val="00827868"/>
    <w:rsid w:val="0083013E"/>
    <w:rsid w:val="00830914"/>
    <w:rsid w:val="00830E9E"/>
    <w:rsid w:val="0083123D"/>
    <w:rsid w:val="0083152B"/>
    <w:rsid w:val="008315F5"/>
    <w:rsid w:val="0083194D"/>
    <w:rsid w:val="00831A94"/>
    <w:rsid w:val="00831C49"/>
    <w:rsid w:val="00832001"/>
    <w:rsid w:val="00832110"/>
    <w:rsid w:val="008321A4"/>
    <w:rsid w:val="008323C9"/>
    <w:rsid w:val="00832ADD"/>
    <w:rsid w:val="00832B68"/>
    <w:rsid w:val="00832E65"/>
    <w:rsid w:val="00832EE3"/>
    <w:rsid w:val="00832F95"/>
    <w:rsid w:val="00833106"/>
    <w:rsid w:val="0083318E"/>
    <w:rsid w:val="0083339E"/>
    <w:rsid w:val="00833595"/>
    <w:rsid w:val="00833C6C"/>
    <w:rsid w:val="00833D31"/>
    <w:rsid w:val="00833E1A"/>
    <w:rsid w:val="008345C7"/>
    <w:rsid w:val="00834611"/>
    <w:rsid w:val="008349F4"/>
    <w:rsid w:val="00834BBF"/>
    <w:rsid w:val="00834D09"/>
    <w:rsid w:val="00834EAA"/>
    <w:rsid w:val="00834ED5"/>
    <w:rsid w:val="0083501E"/>
    <w:rsid w:val="008353A6"/>
    <w:rsid w:val="0083574A"/>
    <w:rsid w:val="00835968"/>
    <w:rsid w:val="00835990"/>
    <w:rsid w:val="00835A08"/>
    <w:rsid w:val="00835A42"/>
    <w:rsid w:val="00835B01"/>
    <w:rsid w:val="00835B87"/>
    <w:rsid w:val="00835C57"/>
    <w:rsid w:val="00835C70"/>
    <w:rsid w:val="00835FF8"/>
    <w:rsid w:val="00836333"/>
    <w:rsid w:val="0083640E"/>
    <w:rsid w:val="00836501"/>
    <w:rsid w:val="008368F9"/>
    <w:rsid w:val="008369C1"/>
    <w:rsid w:val="0083765E"/>
    <w:rsid w:val="00837807"/>
    <w:rsid w:val="00837981"/>
    <w:rsid w:val="00837A16"/>
    <w:rsid w:val="00837AF2"/>
    <w:rsid w:val="00837EDE"/>
    <w:rsid w:val="00840596"/>
    <w:rsid w:val="00840A1E"/>
    <w:rsid w:val="00840AB0"/>
    <w:rsid w:val="008411DC"/>
    <w:rsid w:val="00841877"/>
    <w:rsid w:val="00841AAF"/>
    <w:rsid w:val="00841BA7"/>
    <w:rsid w:val="00841C0B"/>
    <w:rsid w:val="00841E3E"/>
    <w:rsid w:val="0084293F"/>
    <w:rsid w:val="00842B85"/>
    <w:rsid w:val="00842C3C"/>
    <w:rsid w:val="00842EBE"/>
    <w:rsid w:val="00842EF4"/>
    <w:rsid w:val="00842F16"/>
    <w:rsid w:val="0084305C"/>
    <w:rsid w:val="0084309F"/>
    <w:rsid w:val="0084313C"/>
    <w:rsid w:val="008433FB"/>
    <w:rsid w:val="00843470"/>
    <w:rsid w:val="0084384C"/>
    <w:rsid w:val="00843A6D"/>
    <w:rsid w:val="0084459B"/>
    <w:rsid w:val="008448FF"/>
    <w:rsid w:val="00844E55"/>
    <w:rsid w:val="00845691"/>
    <w:rsid w:val="00845770"/>
    <w:rsid w:val="008459E1"/>
    <w:rsid w:val="00845A9D"/>
    <w:rsid w:val="0084637E"/>
    <w:rsid w:val="008463C7"/>
    <w:rsid w:val="008469AB"/>
    <w:rsid w:val="00846C84"/>
    <w:rsid w:val="00846E3C"/>
    <w:rsid w:val="0084735B"/>
    <w:rsid w:val="00847517"/>
    <w:rsid w:val="00847A6D"/>
    <w:rsid w:val="00847C8B"/>
    <w:rsid w:val="00847CCE"/>
    <w:rsid w:val="00847FEB"/>
    <w:rsid w:val="00850231"/>
    <w:rsid w:val="0085060D"/>
    <w:rsid w:val="0085082A"/>
    <w:rsid w:val="00850935"/>
    <w:rsid w:val="00850A5B"/>
    <w:rsid w:val="00850BEC"/>
    <w:rsid w:val="00850BF1"/>
    <w:rsid w:val="00850C70"/>
    <w:rsid w:val="00851442"/>
    <w:rsid w:val="00851B4E"/>
    <w:rsid w:val="00851F10"/>
    <w:rsid w:val="0085201D"/>
    <w:rsid w:val="008523C5"/>
    <w:rsid w:val="00852496"/>
    <w:rsid w:val="008525F1"/>
    <w:rsid w:val="00852D51"/>
    <w:rsid w:val="0085321F"/>
    <w:rsid w:val="0085345C"/>
    <w:rsid w:val="00853859"/>
    <w:rsid w:val="00853E23"/>
    <w:rsid w:val="00854094"/>
    <w:rsid w:val="008544BF"/>
    <w:rsid w:val="00854502"/>
    <w:rsid w:val="00854556"/>
    <w:rsid w:val="008545F0"/>
    <w:rsid w:val="00854AAC"/>
    <w:rsid w:val="00854D34"/>
    <w:rsid w:val="00854EA7"/>
    <w:rsid w:val="00855023"/>
    <w:rsid w:val="00855080"/>
    <w:rsid w:val="008554F5"/>
    <w:rsid w:val="00855853"/>
    <w:rsid w:val="008558A8"/>
    <w:rsid w:val="00855F7D"/>
    <w:rsid w:val="00856477"/>
    <w:rsid w:val="008565CB"/>
    <w:rsid w:val="00856993"/>
    <w:rsid w:val="00856CE0"/>
    <w:rsid w:val="00856DD1"/>
    <w:rsid w:val="00856F31"/>
    <w:rsid w:val="008570C6"/>
    <w:rsid w:val="00857508"/>
    <w:rsid w:val="00857624"/>
    <w:rsid w:val="00857AAC"/>
    <w:rsid w:val="00857C97"/>
    <w:rsid w:val="00857EAD"/>
    <w:rsid w:val="00857F12"/>
    <w:rsid w:val="00857FC2"/>
    <w:rsid w:val="008601E7"/>
    <w:rsid w:val="008602D3"/>
    <w:rsid w:val="00860558"/>
    <w:rsid w:val="0086066A"/>
    <w:rsid w:val="008608B4"/>
    <w:rsid w:val="00861203"/>
    <w:rsid w:val="008612C6"/>
    <w:rsid w:val="00861544"/>
    <w:rsid w:val="008615B5"/>
    <w:rsid w:val="00861A06"/>
    <w:rsid w:val="00861BE6"/>
    <w:rsid w:val="00861ED3"/>
    <w:rsid w:val="00861FDF"/>
    <w:rsid w:val="00862010"/>
    <w:rsid w:val="00862544"/>
    <w:rsid w:val="008626BE"/>
    <w:rsid w:val="008627E5"/>
    <w:rsid w:val="0086298E"/>
    <w:rsid w:val="00862B83"/>
    <w:rsid w:val="00862C15"/>
    <w:rsid w:val="00862C26"/>
    <w:rsid w:val="00862CFA"/>
    <w:rsid w:val="00863326"/>
    <w:rsid w:val="0086338C"/>
    <w:rsid w:val="0086350E"/>
    <w:rsid w:val="00863ACC"/>
    <w:rsid w:val="00863AEE"/>
    <w:rsid w:val="00863B66"/>
    <w:rsid w:val="00863BDA"/>
    <w:rsid w:val="00863E29"/>
    <w:rsid w:val="00863EBF"/>
    <w:rsid w:val="00864034"/>
    <w:rsid w:val="00864143"/>
    <w:rsid w:val="008643E1"/>
    <w:rsid w:val="00864494"/>
    <w:rsid w:val="00864513"/>
    <w:rsid w:val="00864521"/>
    <w:rsid w:val="0086487F"/>
    <w:rsid w:val="0086493A"/>
    <w:rsid w:val="00864A64"/>
    <w:rsid w:val="00864B8C"/>
    <w:rsid w:val="00864F20"/>
    <w:rsid w:val="00864F2E"/>
    <w:rsid w:val="00865166"/>
    <w:rsid w:val="00865496"/>
    <w:rsid w:val="00865640"/>
    <w:rsid w:val="00865683"/>
    <w:rsid w:val="00865C31"/>
    <w:rsid w:val="00865F73"/>
    <w:rsid w:val="00866419"/>
    <w:rsid w:val="00866E21"/>
    <w:rsid w:val="00866F5B"/>
    <w:rsid w:val="0086723C"/>
    <w:rsid w:val="008674F0"/>
    <w:rsid w:val="00867885"/>
    <w:rsid w:val="00867905"/>
    <w:rsid w:val="0086797B"/>
    <w:rsid w:val="00867B09"/>
    <w:rsid w:val="00867E91"/>
    <w:rsid w:val="00867FAD"/>
    <w:rsid w:val="00870162"/>
    <w:rsid w:val="0087039D"/>
    <w:rsid w:val="0087124D"/>
    <w:rsid w:val="008714EF"/>
    <w:rsid w:val="00871528"/>
    <w:rsid w:val="008715DB"/>
    <w:rsid w:val="008716D6"/>
    <w:rsid w:val="00871847"/>
    <w:rsid w:val="0087198A"/>
    <w:rsid w:val="00871AE5"/>
    <w:rsid w:val="00871B6A"/>
    <w:rsid w:val="00871C42"/>
    <w:rsid w:val="00871D55"/>
    <w:rsid w:val="00871F5B"/>
    <w:rsid w:val="00872060"/>
    <w:rsid w:val="00872111"/>
    <w:rsid w:val="0087228A"/>
    <w:rsid w:val="00872396"/>
    <w:rsid w:val="00872564"/>
    <w:rsid w:val="0087270F"/>
    <w:rsid w:val="0087275B"/>
    <w:rsid w:val="008727EE"/>
    <w:rsid w:val="00872A66"/>
    <w:rsid w:val="00872C87"/>
    <w:rsid w:val="00872D6D"/>
    <w:rsid w:val="00873301"/>
    <w:rsid w:val="00873468"/>
    <w:rsid w:val="00873864"/>
    <w:rsid w:val="00873A65"/>
    <w:rsid w:val="00873B48"/>
    <w:rsid w:val="00873B6C"/>
    <w:rsid w:val="00873DC9"/>
    <w:rsid w:val="00873ED1"/>
    <w:rsid w:val="00873F80"/>
    <w:rsid w:val="0087400D"/>
    <w:rsid w:val="00874059"/>
    <w:rsid w:val="008748E9"/>
    <w:rsid w:val="00874911"/>
    <w:rsid w:val="00874A06"/>
    <w:rsid w:val="00874EC0"/>
    <w:rsid w:val="00874F18"/>
    <w:rsid w:val="00874FBF"/>
    <w:rsid w:val="00875166"/>
    <w:rsid w:val="00875378"/>
    <w:rsid w:val="00875600"/>
    <w:rsid w:val="008757A6"/>
    <w:rsid w:val="00875EB0"/>
    <w:rsid w:val="008769FD"/>
    <w:rsid w:val="00876BBA"/>
    <w:rsid w:val="00876DB8"/>
    <w:rsid w:val="008771B7"/>
    <w:rsid w:val="00877420"/>
    <w:rsid w:val="008778F1"/>
    <w:rsid w:val="008779DE"/>
    <w:rsid w:val="00877B71"/>
    <w:rsid w:val="00877F1D"/>
    <w:rsid w:val="008802B3"/>
    <w:rsid w:val="00880387"/>
    <w:rsid w:val="00880675"/>
    <w:rsid w:val="008807F8"/>
    <w:rsid w:val="00880CCA"/>
    <w:rsid w:val="00880D75"/>
    <w:rsid w:val="00880EC6"/>
    <w:rsid w:val="00881023"/>
    <w:rsid w:val="00881211"/>
    <w:rsid w:val="008812B0"/>
    <w:rsid w:val="0088134C"/>
    <w:rsid w:val="00881411"/>
    <w:rsid w:val="00881506"/>
    <w:rsid w:val="008817A2"/>
    <w:rsid w:val="00881890"/>
    <w:rsid w:val="00881AB6"/>
    <w:rsid w:val="00881D2E"/>
    <w:rsid w:val="008822D1"/>
    <w:rsid w:val="008823E6"/>
    <w:rsid w:val="0088293B"/>
    <w:rsid w:val="00882954"/>
    <w:rsid w:val="00882A44"/>
    <w:rsid w:val="00882BF7"/>
    <w:rsid w:val="00882F1D"/>
    <w:rsid w:val="00882F70"/>
    <w:rsid w:val="008830C5"/>
    <w:rsid w:val="0088318B"/>
    <w:rsid w:val="008836E0"/>
    <w:rsid w:val="0088379F"/>
    <w:rsid w:val="008838B1"/>
    <w:rsid w:val="008839A7"/>
    <w:rsid w:val="00883C71"/>
    <w:rsid w:val="00884134"/>
    <w:rsid w:val="008841FB"/>
    <w:rsid w:val="00884547"/>
    <w:rsid w:val="008846F2"/>
    <w:rsid w:val="008847F0"/>
    <w:rsid w:val="00884890"/>
    <w:rsid w:val="00884C2F"/>
    <w:rsid w:val="00884FA8"/>
    <w:rsid w:val="008850E4"/>
    <w:rsid w:val="008853E7"/>
    <w:rsid w:val="008853ED"/>
    <w:rsid w:val="00885449"/>
    <w:rsid w:val="008855AB"/>
    <w:rsid w:val="00885BC1"/>
    <w:rsid w:val="00885C00"/>
    <w:rsid w:val="00885C5C"/>
    <w:rsid w:val="00885D4B"/>
    <w:rsid w:val="00885DC9"/>
    <w:rsid w:val="00886136"/>
    <w:rsid w:val="00886198"/>
    <w:rsid w:val="008863E5"/>
    <w:rsid w:val="00886545"/>
    <w:rsid w:val="00886712"/>
    <w:rsid w:val="00886D3C"/>
    <w:rsid w:val="00886E3D"/>
    <w:rsid w:val="00886F20"/>
    <w:rsid w:val="00886F3F"/>
    <w:rsid w:val="00886FA0"/>
    <w:rsid w:val="00887182"/>
    <w:rsid w:val="00887732"/>
    <w:rsid w:val="00890114"/>
    <w:rsid w:val="00890380"/>
    <w:rsid w:val="0089090D"/>
    <w:rsid w:val="00890A7B"/>
    <w:rsid w:val="00890ADA"/>
    <w:rsid w:val="00890F23"/>
    <w:rsid w:val="00890FCA"/>
    <w:rsid w:val="00891094"/>
    <w:rsid w:val="008911DB"/>
    <w:rsid w:val="00891492"/>
    <w:rsid w:val="0089153B"/>
    <w:rsid w:val="008915E9"/>
    <w:rsid w:val="00891839"/>
    <w:rsid w:val="00891889"/>
    <w:rsid w:val="00891896"/>
    <w:rsid w:val="008918BE"/>
    <w:rsid w:val="00891AED"/>
    <w:rsid w:val="00891C52"/>
    <w:rsid w:val="00891D60"/>
    <w:rsid w:val="0089213A"/>
    <w:rsid w:val="00892212"/>
    <w:rsid w:val="00892359"/>
    <w:rsid w:val="00892387"/>
    <w:rsid w:val="00892DEA"/>
    <w:rsid w:val="00892E0D"/>
    <w:rsid w:val="00893140"/>
    <w:rsid w:val="008931AE"/>
    <w:rsid w:val="0089327E"/>
    <w:rsid w:val="00893510"/>
    <w:rsid w:val="00893578"/>
    <w:rsid w:val="00893913"/>
    <w:rsid w:val="00893BE9"/>
    <w:rsid w:val="00893EB3"/>
    <w:rsid w:val="00894149"/>
    <w:rsid w:val="008944EC"/>
    <w:rsid w:val="0089479F"/>
    <w:rsid w:val="0089487F"/>
    <w:rsid w:val="0089490D"/>
    <w:rsid w:val="00894EB3"/>
    <w:rsid w:val="00894F13"/>
    <w:rsid w:val="00894F54"/>
    <w:rsid w:val="008951F3"/>
    <w:rsid w:val="00895219"/>
    <w:rsid w:val="008953E3"/>
    <w:rsid w:val="00895542"/>
    <w:rsid w:val="0089559A"/>
    <w:rsid w:val="00895648"/>
    <w:rsid w:val="0089568D"/>
    <w:rsid w:val="00895E9F"/>
    <w:rsid w:val="00896117"/>
    <w:rsid w:val="00896257"/>
    <w:rsid w:val="0089661C"/>
    <w:rsid w:val="0089694E"/>
    <w:rsid w:val="00896A05"/>
    <w:rsid w:val="00896AB0"/>
    <w:rsid w:val="00896BD1"/>
    <w:rsid w:val="0089745C"/>
    <w:rsid w:val="0089785C"/>
    <w:rsid w:val="0089792A"/>
    <w:rsid w:val="00897A35"/>
    <w:rsid w:val="00897B10"/>
    <w:rsid w:val="00897C1C"/>
    <w:rsid w:val="00897FC2"/>
    <w:rsid w:val="00897FE0"/>
    <w:rsid w:val="008A00C3"/>
    <w:rsid w:val="008A021A"/>
    <w:rsid w:val="008A02DB"/>
    <w:rsid w:val="008A0362"/>
    <w:rsid w:val="008A03DB"/>
    <w:rsid w:val="008A083F"/>
    <w:rsid w:val="008A0943"/>
    <w:rsid w:val="008A0B11"/>
    <w:rsid w:val="008A0D03"/>
    <w:rsid w:val="008A109C"/>
    <w:rsid w:val="008A1227"/>
    <w:rsid w:val="008A177E"/>
    <w:rsid w:val="008A1A31"/>
    <w:rsid w:val="008A1BF2"/>
    <w:rsid w:val="008A1D26"/>
    <w:rsid w:val="008A1E4D"/>
    <w:rsid w:val="008A213A"/>
    <w:rsid w:val="008A21FF"/>
    <w:rsid w:val="008A2207"/>
    <w:rsid w:val="008A2537"/>
    <w:rsid w:val="008A260E"/>
    <w:rsid w:val="008A2D4E"/>
    <w:rsid w:val="008A2DA7"/>
    <w:rsid w:val="008A2E09"/>
    <w:rsid w:val="008A3008"/>
    <w:rsid w:val="008A30B1"/>
    <w:rsid w:val="008A32B0"/>
    <w:rsid w:val="008A3A5E"/>
    <w:rsid w:val="008A3A7C"/>
    <w:rsid w:val="008A3C0D"/>
    <w:rsid w:val="008A3DBE"/>
    <w:rsid w:val="008A3E57"/>
    <w:rsid w:val="008A40B4"/>
    <w:rsid w:val="008A441C"/>
    <w:rsid w:val="008A4700"/>
    <w:rsid w:val="008A4946"/>
    <w:rsid w:val="008A4A15"/>
    <w:rsid w:val="008A5005"/>
    <w:rsid w:val="008A51AD"/>
    <w:rsid w:val="008A520C"/>
    <w:rsid w:val="008A55FC"/>
    <w:rsid w:val="008A59E2"/>
    <w:rsid w:val="008A5CAD"/>
    <w:rsid w:val="008A5D09"/>
    <w:rsid w:val="008A5DE4"/>
    <w:rsid w:val="008A5E8B"/>
    <w:rsid w:val="008A61F7"/>
    <w:rsid w:val="008A6ACA"/>
    <w:rsid w:val="008A6C8C"/>
    <w:rsid w:val="008A6FAA"/>
    <w:rsid w:val="008A737B"/>
    <w:rsid w:val="008A761E"/>
    <w:rsid w:val="008A7948"/>
    <w:rsid w:val="008A7B34"/>
    <w:rsid w:val="008B0096"/>
    <w:rsid w:val="008B023A"/>
    <w:rsid w:val="008B0281"/>
    <w:rsid w:val="008B0307"/>
    <w:rsid w:val="008B04DC"/>
    <w:rsid w:val="008B04EA"/>
    <w:rsid w:val="008B0752"/>
    <w:rsid w:val="008B0A16"/>
    <w:rsid w:val="008B0BF2"/>
    <w:rsid w:val="008B1080"/>
    <w:rsid w:val="008B1091"/>
    <w:rsid w:val="008B1323"/>
    <w:rsid w:val="008B133E"/>
    <w:rsid w:val="008B1626"/>
    <w:rsid w:val="008B18E6"/>
    <w:rsid w:val="008B1BF9"/>
    <w:rsid w:val="008B1FE9"/>
    <w:rsid w:val="008B206A"/>
    <w:rsid w:val="008B2BC8"/>
    <w:rsid w:val="008B2DB5"/>
    <w:rsid w:val="008B2E0C"/>
    <w:rsid w:val="008B2F7D"/>
    <w:rsid w:val="008B2FE7"/>
    <w:rsid w:val="008B367A"/>
    <w:rsid w:val="008B37F2"/>
    <w:rsid w:val="008B387D"/>
    <w:rsid w:val="008B3884"/>
    <w:rsid w:val="008B3A0C"/>
    <w:rsid w:val="008B3A12"/>
    <w:rsid w:val="008B4791"/>
    <w:rsid w:val="008B4831"/>
    <w:rsid w:val="008B4951"/>
    <w:rsid w:val="008B4B2C"/>
    <w:rsid w:val="008B5069"/>
    <w:rsid w:val="008B55D2"/>
    <w:rsid w:val="008B55E5"/>
    <w:rsid w:val="008B576E"/>
    <w:rsid w:val="008B5C73"/>
    <w:rsid w:val="008B602A"/>
    <w:rsid w:val="008B6087"/>
    <w:rsid w:val="008B6347"/>
    <w:rsid w:val="008B678E"/>
    <w:rsid w:val="008B688B"/>
    <w:rsid w:val="008B6D55"/>
    <w:rsid w:val="008B6F16"/>
    <w:rsid w:val="008B76AC"/>
    <w:rsid w:val="008B7811"/>
    <w:rsid w:val="008B7879"/>
    <w:rsid w:val="008B78EB"/>
    <w:rsid w:val="008B7B63"/>
    <w:rsid w:val="008B7B7C"/>
    <w:rsid w:val="008B7C3F"/>
    <w:rsid w:val="008B7D25"/>
    <w:rsid w:val="008C001D"/>
    <w:rsid w:val="008C00CE"/>
    <w:rsid w:val="008C0242"/>
    <w:rsid w:val="008C0385"/>
    <w:rsid w:val="008C0465"/>
    <w:rsid w:val="008C04EF"/>
    <w:rsid w:val="008C0B89"/>
    <w:rsid w:val="008C0EBC"/>
    <w:rsid w:val="008C1586"/>
    <w:rsid w:val="008C17AC"/>
    <w:rsid w:val="008C1B9B"/>
    <w:rsid w:val="008C1C82"/>
    <w:rsid w:val="008C2071"/>
    <w:rsid w:val="008C295B"/>
    <w:rsid w:val="008C2CBB"/>
    <w:rsid w:val="008C31AF"/>
    <w:rsid w:val="008C348E"/>
    <w:rsid w:val="008C387D"/>
    <w:rsid w:val="008C3C05"/>
    <w:rsid w:val="008C3EDF"/>
    <w:rsid w:val="008C4283"/>
    <w:rsid w:val="008C46D5"/>
    <w:rsid w:val="008C4875"/>
    <w:rsid w:val="008C488F"/>
    <w:rsid w:val="008C4C86"/>
    <w:rsid w:val="008C4CC3"/>
    <w:rsid w:val="008C5224"/>
    <w:rsid w:val="008C5288"/>
    <w:rsid w:val="008C52A9"/>
    <w:rsid w:val="008C5363"/>
    <w:rsid w:val="008C545E"/>
    <w:rsid w:val="008C57B8"/>
    <w:rsid w:val="008C58F0"/>
    <w:rsid w:val="008C5A7E"/>
    <w:rsid w:val="008C5B83"/>
    <w:rsid w:val="008C5F69"/>
    <w:rsid w:val="008C64CF"/>
    <w:rsid w:val="008C65CA"/>
    <w:rsid w:val="008C6851"/>
    <w:rsid w:val="008C6DFF"/>
    <w:rsid w:val="008C7080"/>
    <w:rsid w:val="008C71C6"/>
    <w:rsid w:val="008C7486"/>
    <w:rsid w:val="008C74CF"/>
    <w:rsid w:val="008C7878"/>
    <w:rsid w:val="008C79BF"/>
    <w:rsid w:val="008C79F1"/>
    <w:rsid w:val="008C7C14"/>
    <w:rsid w:val="008C7DC8"/>
    <w:rsid w:val="008C7F8C"/>
    <w:rsid w:val="008D0A2E"/>
    <w:rsid w:val="008D1160"/>
    <w:rsid w:val="008D1193"/>
    <w:rsid w:val="008D1DCE"/>
    <w:rsid w:val="008D210F"/>
    <w:rsid w:val="008D21FF"/>
    <w:rsid w:val="008D224E"/>
    <w:rsid w:val="008D25F2"/>
    <w:rsid w:val="008D2A4C"/>
    <w:rsid w:val="008D2B79"/>
    <w:rsid w:val="008D2DB5"/>
    <w:rsid w:val="008D2EFF"/>
    <w:rsid w:val="008D3281"/>
    <w:rsid w:val="008D33E6"/>
    <w:rsid w:val="008D35F3"/>
    <w:rsid w:val="008D3726"/>
    <w:rsid w:val="008D372A"/>
    <w:rsid w:val="008D37B2"/>
    <w:rsid w:val="008D3905"/>
    <w:rsid w:val="008D3F4F"/>
    <w:rsid w:val="008D3FD6"/>
    <w:rsid w:val="008D44A7"/>
    <w:rsid w:val="008D4669"/>
    <w:rsid w:val="008D48E1"/>
    <w:rsid w:val="008D49C6"/>
    <w:rsid w:val="008D4AF4"/>
    <w:rsid w:val="008D4BD0"/>
    <w:rsid w:val="008D4C90"/>
    <w:rsid w:val="008D5195"/>
    <w:rsid w:val="008D5397"/>
    <w:rsid w:val="008D54CC"/>
    <w:rsid w:val="008D5557"/>
    <w:rsid w:val="008D5BE9"/>
    <w:rsid w:val="008D5C89"/>
    <w:rsid w:val="008D60D8"/>
    <w:rsid w:val="008D628D"/>
    <w:rsid w:val="008D62FF"/>
    <w:rsid w:val="008D6416"/>
    <w:rsid w:val="008D6489"/>
    <w:rsid w:val="008D65F0"/>
    <w:rsid w:val="008D6947"/>
    <w:rsid w:val="008D69F0"/>
    <w:rsid w:val="008D6ABA"/>
    <w:rsid w:val="008D750A"/>
    <w:rsid w:val="008D7C32"/>
    <w:rsid w:val="008D7E43"/>
    <w:rsid w:val="008E0064"/>
    <w:rsid w:val="008E0108"/>
    <w:rsid w:val="008E0184"/>
    <w:rsid w:val="008E0198"/>
    <w:rsid w:val="008E05C3"/>
    <w:rsid w:val="008E05F3"/>
    <w:rsid w:val="008E076B"/>
    <w:rsid w:val="008E092D"/>
    <w:rsid w:val="008E0AE6"/>
    <w:rsid w:val="008E0AFC"/>
    <w:rsid w:val="008E0B51"/>
    <w:rsid w:val="008E0DBE"/>
    <w:rsid w:val="008E0EEC"/>
    <w:rsid w:val="008E0FAB"/>
    <w:rsid w:val="008E11E9"/>
    <w:rsid w:val="008E17E2"/>
    <w:rsid w:val="008E1C91"/>
    <w:rsid w:val="008E1E71"/>
    <w:rsid w:val="008E2092"/>
    <w:rsid w:val="008E20CD"/>
    <w:rsid w:val="008E22AF"/>
    <w:rsid w:val="008E22F8"/>
    <w:rsid w:val="008E26A4"/>
    <w:rsid w:val="008E276D"/>
    <w:rsid w:val="008E28CE"/>
    <w:rsid w:val="008E2B17"/>
    <w:rsid w:val="008E323F"/>
    <w:rsid w:val="008E33A1"/>
    <w:rsid w:val="008E3733"/>
    <w:rsid w:val="008E37C9"/>
    <w:rsid w:val="008E3C1D"/>
    <w:rsid w:val="008E3C4F"/>
    <w:rsid w:val="008E3F8E"/>
    <w:rsid w:val="008E4131"/>
    <w:rsid w:val="008E433B"/>
    <w:rsid w:val="008E47A1"/>
    <w:rsid w:val="008E4948"/>
    <w:rsid w:val="008E4D54"/>
    <w:rsid w:val="008E4F73"/>
    <w:rsid w:val="008E4FA7"/>
    <w:rsid w:val="008E567E"/>
    <w:rsid w:val="008E596D"/>
    <w:rsid w:val="008E5A88"/>
    <w:rsid w:val="008E5BB9"/>
    <w:rsid w:val="008E5CA2"/>
    <w:rsid w:val="008E5F71"/>
    <w:rsid w:val="008E6465"/>
    <w:rsid w:val="008E6748"/>
    <w:rsid w:val="008E683B"/>
    <w:rsid w:val="008E68A8"/>
    <w:rsid w:val="008E6AC7"/>
    <w:rsid w:val="008E6B59"/>
    <w:rsid w:val="008E7121"/>
    <w:rsid w:val="008E74D1"/>
    <w:rsid w:val="008E74E6"/>
    <w:rsid w:val="008E778B"/>
    <w:rsid w:val="008E7981"/>
    <w:rsid w:val="008E7A48"/>
    <w:rsid w:val="008E7C16"/>
    <w:rsid w:val="008E7F14"/>
    <w:rsid w:val="008E7FC1"/>
    <w:rsid w:val="008F00D7"/>
    <w:rsid w:val="008F01D7"/>
    <w:rsid w:val="008F0BA2"/>
    <w:rsid w:val="008F0D72"/>
    <w:rsid w:val="008F0E3C"/>
    <w:rsid w:val="008F1360"/>
    <w:rsid w:val="008F146D"/>
    <w:rsid w:val="008F1527"/>
    <w:rsid w:val="008F19DE"/>
    <w:rsid w:val="008F1C05"/>
    <w:rsid w:val="008F1D46"/>
    <w:rsid w:val="008F20E5"/>
    <w:rsid w:val="008F2292"/>
    <w:rsid w:val="008F258F"/>
    <w:rsid w:val="008F2B2B"/>
    <w:rsid w:val="008F2E31"/>
    <w:rsid w:val="008F2FFE"/>
    <w:rsid w:val="008F32E1"/>
    <w:rsid w:val="008F33C8"/>
    <w:rsid w:val="008F35D0"/>
    <w:rsid w:val="008F3916"/>
    <w:rsid w:val="008F39A4"/>
    <w:rsid w:val="008F3ABD"/>
    <w:rsid w:val="008F3C1F"/>
    <w:rsid w:val="008F3E7B"/>
    <w:rsid w:val="008F4125"/>
    <w:rsid w:val="008F4390"/>
    <w:rsid w:val="008F445F"/>
    <w:rsid w:val="008F460C"/>
    <w:rsid w:val="008F4719"/>
    <w:rsid w:val="008F472A"/>
    <w:rsid w:val="008F4BC1"/>
    <w:rsid w:val="008F4CC4"/>
    <w:rsid w:val="008F4E97"/>
    <w:rsid w:val="008F5089"/>
    <w:rsid w:val="008F5336"/>
    <w:rsid w:val="008F53EF"/>
    <w:rsid w:val="008F558C"/>
    <w:rsid w:val="008F55ED"/>
    <w:rsid w:val="008F5967"/>
    <w:rsid w:val="008F5995"/>
    <w:rsid w:val="008F5B61"/>
    <w:rsid w:val="008F5E2F"/>
    <w:rsid w:val="008F6044"/>
    <w:rsid w:val="008F60B1"/>
    <w:rsid w:val="008F61E9"/>
    <w:rsid w:val="008F633B"/>
    <w:rsid w:val="008F63B3"/>
    <w:rsid w:val="008F63F1"/>
    <w:rsid w:val="008F654E"/>
    <w:rsid w:val="008F6700"/>
    <w:rsid w:val="008F67FC"/>
    <w:rsid w:val="008F6A12"/>
    <w:rsid w:val="008F6A44"/>
    <w:rsid w:val="008F7331"/>
    <w:rsid w:val="008F733D"/>
    <w:rsid w:val="008F7418"/>
    <w:rsid w:val="008F754F"/>
    <w:rsid w:val="008F7596"/>
    <w:rsid w:val="008F77BA"/>
    <w:rsid w:val="008F7B64"/>
    <w:rsid w:val="008F7BCF"/>
    <w:rsid w:val="008F7DA8"/>
    <w:rsid w:val="008F7E43"/>
    <w:rsid w:val="008F7FA1"/>
    <w:rsid w:val="008F7FD0"/>
    <w:rsid w:val="009002F0"/>
    <w:rsid w:val="00900346"/>
    <w:rsid w:val="00900743"/>
    <w:rsid w:val="00900A48"/>
    <w:rsid w:val="00900F64"/>
    <w:rsid w:val="00901333"/>
    <w:rsid w:val="00901536"/>
    <w:rsid w:val="0090173E"/>
    <w:rsid w:val="00901AD5"/>
    <w:rsid w:val="00901B40"/>
    <w:rsid w:val="00901C36"/>
    <w:rsid w:val="00901C38"/>
    <w:rsid w:val="00901D5F"/>
    <w:rsid w:val="00902205"/>
    <w:rsid w:val="0090250F"/>
    <w:rsid w:val="00902623"/>
    <w:rsid w:val="00902684"/>
    <w:rsid w:val="00902A0C"/>
    <w:rsid w:val="00902AFA"/>
    <w:rsid w:val="00902B5F"/>
    <w:rsid w:val="00903057"/>
    <w:rsid w:val="00903269"/>
    <w:rsid w:val="0090338F"/>
    <w:rsid w:val="009034CE"/>
    <w:rsid w:val="00903675"/>
    <w:rsid w:val="00903745"/>
    <w:rsid w:val="0090378B"/>
    <w:rsid w:val="00903CC6"/>
    <w:rsid w:val="00903D1A"/>
    <w:rsid w:val="00903D42"/>
    <w:rsid w:val="00903E95"/>
    <w:rsid w:val="00903F98"/>
    <w:rsid w:val="009041FD"/>
    <w:rsid w:val="00904344"/>
    <w:rsid w:val="009047DD"/>
    <w:rsid w:val="00904918"/>
    <w:rsid w:val="00904BF8"/>
    <w:rsid w:val="00904C1B"/>
    <w:rsid w:val="00904CE9"/>
    <w:rsid w:val="009051A9"/>
    <w:rsid w:val="009054B7"/>
    <w:rsid w:val="009055CF"/>
    <w:rsid w:val="009055F5"/>
    <w:rsid w:val="00905778"/>
    <w:rsid w:val="00906231"/>
    <w:rsid w:val="00906273"/>
    <w:rsid w:val="0090661B"/>
    <w:rsid w:val="0090678E"/>
    <w:rsid w:val="00906B85"/>
    <w:rsid w:val="00906CE9"/>
    <w:rsid w:val="00906D6B"/>
    <w:rsid w:val="00907151"/>
    <w:rsid w:val="0090723E"/>
    <w:rsid w:val="0090736A"/>
    <w:rsid w:val="0090747B"/>
    <w:rsid w:val="0090748E"/>
    <w:rsid w:val="0090770F"/>
    <w:rsid w:val="00907897"/>
    <w:rsid w:val="009078D6"/>
    <w:rsid w:val="00907B13"/>
    <w:rsid w:val="00907B53"/>
    <w:rsid w:val="00910165"/>
    <w:rsid w:val="009101F5"/>
    <w:rsid w:val="00910221"/>
    <w:rsid w:val="009103FC"/>
    <w:rsid w:val="00910575"/>
    <w:rsid w:val="00910798"/>
    <w:rsid w:val="00910AD6"/>
    <w:rsid w:val="00910CBC"/>
    <w:rsid w:val="00910E84"/>
    <w:rsid w:val="00911350"/>
    <w:rsid w:val="009119E8"/>
    <w:rsid w:val="00911B61"/>
    <w:rsid w:val="00911C95"/>
    <w:rsid w:val="00911DF5"/>
    <w:rsid w:val="00911EFE"/>
    <w:rsid w:val="00912061"/>
    <w:rsid w:val="009120A3"/>
    <w:rsid w:val="009123EA"/>
    <w:rsid w:val="0091302A"/>
    <w:rsid w:val="0091308A"/>
    <w:rsid w:val="00913248"/>
    <w:rsid w:val="00913329"/>
    <w:rsid w:val="0091346B"/>
    <w:rsid w:val="009134C2"/>
    <w:rsid w:val="00913B84"/>
    <w:rsid w:val="00913B9A"/>
    <w:rsid w:val="00913DDD"/>
    <w:rsid w:val="00914176"/>
    <w:rsid w:val="009142AC"/>
    <w:rsid w:val="009143D4"/>
    <w:rsid w:val="009144B9"/>
    <w:rsid w:val="0091452C"/>
    <w:rsid w:val="0091460F"/>
    <w:rsid w:val="00914796"/>
    <w:rsid w:val="00914806"/>
    <w:rsid w:val="00914E33"/>
    <w:rsid w:val="00915033"/>
    <w:rsid w:val="009150D2"/>
    <w:rsid w:val="00915213"/>
    <w:rsid w:val="00915415"/>
    <w:rsid w:val="009156BC"/>
    <w:rsid w:val="009156E9"/>
    <w:rsid w:val="00915A69"/>
    <w:rsid w:val="00915C2E"/>
    <w:rsid w:val="00915DC7"/>
    <w:rsid w:val="00915EC4"/>
    <w:rsid w:val="00915F1E"/>
    <w:rsid w:val="00916862"/>
    <w:rsid w:val="009168A2"/>
    <w:rsid w:val="00916C20"/>
    <w:rsid w:val="0091726E"/>
    <w:rsid w:val="009173F1"/>
    <w:rsid w:val="00917505"/>
    <w:rsid w:val="0091770C"/>
    <w:rsid w:val="009177A9"/>
    <w:rsid w:val="0091791A"/>
    <w:rsid w:val="00917926"/>
    <w:rsid w:val="00917AEB"/>
    <w:rsid w:val="00917BCB"/>
    <w:rsid w:val="00917BEB"/>
    <w:rsid w:val="00917CE1"/>
    <w:rsid w:val="00917DA8"/>
    <w:rsid w:val="00917ED5"/>
    <w:rsid w:val="00917FE1"/>
    <w:rsid w:val="009203E5"/>
    <w:rsid w:val="0092045B"/>
    <w:rsid w:val="0092054D"/>
    <w:rsid w:val="0092070D"/>
    <w:rsid w:val="00920749"/>
    <w:rsid w:val="00920B20"/>
    <w:rsid w:val="00920B5A"/>
    <w:rsid w:val="0092140C"/>
    <w:rsid w:val="0092155C"/>
    <w:rsid w:val="00921634"/>
    <w:rsid w:val="00921665"/>
    <w:rsid w:val="00921FA5"/>
    <w:rsid w:val="00922271"/>
    <w:rsid w:val="0092236D"/>
    <w:rsid w:val="009224D7"/>
    <w:rsid w:val="0092257C"/>
    <w:rsid w:val="009225C2"/>
    <w:rsid w:val="009227CC"/>
    <w:rsid w:val="009227CD"/>
    <w:rsid w:val="00922829"/>
    <w:rsid w:val="009229E9"/>
    <w:rsid w:val="00922E17"/>
    <w:rsid w:val="0092308C"/>
    <w:rsid w:val="0092322F"/>
    <w:rsid w:val="009234F8"/>
    <w:rsid w:val="009235B3"/>
    <w:rsid w:val="009236D4"/>
    <w:rsid w:val="009238F2"/>
    <w:rsid w:val="0092391E"/>
    <w:rsid w:val="0092397F"/>
    <w:rsid w:val="00923C7F"/>
    <w:rsid w:val="00923D6F"/>
    <w:rsid w:val="00924227"/>
    <w:rsid w:val="00924AE1"/>
    <w:rsid w:val="00924CD9"/>
    <w:rsid w:val="00925030"/>
    <w:rsid w:val="00925261"/>
    <w:rsid w:val="00925472"/>
    <w:rsid w:val="00925689"/>
    <w:rsid w:val="00925695"/>
    <w:rsid w:val="00925AC5"/>
    <w:rsid w:val="00925F74"/>
    <w:rsid w:val="009261CB"/>
    <w:rsid w:val="00926218"/>
    <w:rsid w:val="00926413"/>
    <w:rsid w:val="009264A1"/>
    <w:rsid w:val="0092656C"/>
    <w:rsid w:val="009265A7"/>
    <w:rsid w:val="009266E4"/>
    <w:rsid w:val="0092683A"/>
    <w:rsid w:val="00926A07"/>
    <w:rsid w:val="00926F6C"/>
    <w:rsid w:val="00926F73"/>
    <w:rsid w:val="00926FE8"/>
    <w:rsid w:val="009271CF"/>
    <w:rsid w:val="0092754A"/>
    <w:rsid w:val="009276C2"/>
    <w:rsid w:val="009276DD"/>
    <w:rsid w:val="00927787"/>
    <w:rsid w:val="009277D4"/>
    <w:rsid w:val="00927A32"/>
    <w:rsid w:val="00927A37"/>
    <w:rsid w:val="00927A50"/>
    <w:rsid w:val="00927C57"/>
    <w:rsid w:val="00927D47"/>
    <w:rsid w:val="00930067"/>
    <w:rsid w:val="0093017F"/>
    <w:rsid w:val="00930463"/>
    <w:rsid w:val="0093104A"/>
    <w:rsid w:val="0093176A"/>
    <w:rsid w:val="009317DC"/>
    <w:rsid w:val="00931B2B"/>
    <w:rsid w:val="00931DC4"/>
    <w:rsid w:val="00931E83"/>
    <w:rsid w:val="00931EE4"/>
    <w:rsid w:val="009320DB"/>
    <w:rsid w:val="00932100"/>
    <w:rsid w:val="0093219D"/>
    <w:rsid w:val="00932265"/>
    <w:rsid w:val="009328F7"/>
    <w:rsid w:val="00932C27"/>
    <w:rsid w:val="00932C75"/>
    <w:rsid w:val="009330D6"/>
    <w:rsid w:val="0093335C"/>
    <w:rsid w:val="009334C1"/>
    <w:rsid w:val="00933655"/>
    <w:rsid w:val="00933707"/>
    <w:rsid w:val="009337C9"/>
    <w:rsid w:val="00933F31"/>
    <w:rsid w:val="00933FEA"/>
    <w:rsid w:val="009340FB"/>
    <w:rsid w:val="0093410B"/>
    <w:rsid w:val="0093440F"/>
    <w:rsid w:val="00934445"/>
    <w:rsid w:val="00934770"/>
    <w:rsid w:val="00934BA2"/>
    <w:rsid w:val="00934BCC"/>
    <w:rsid w:val="00934D20"/>
    <w:rsid w:val="00934DEF"/>
    <w:rsid w:val="00934F5D"/>
    <w:rsid w:val="00935260"/>
    <w:rsid w:val="009353CD"/>
    <w:rsid w:val="009356F1"/>
    <w:rsid w:val="00936147"/>
    <w:rsid w:val="00936156"/>
    <w:rsid w:val="00936565"/>
    <w:rsid w:val="00936B66"/>
    <w:rsid w:val="00936C72"/>
    <w:rsid w:val="00936CD9"/>
    <w:rsid w:val="00936DB5"/>
    <w:rsid w:val="00936FB7"/>
    <w:rsid w:val="00937280"/>
    <w:rsid w:val="009372EA"/>
    <w:rsid w:val="00937307"/>
    <w:rsid w:val="009375E3"/>
    <w:rsid w:val="0093767F"/>
    <w:rsid w:val="0093790C"/>
    <w:rsid w:val="009404CB"/>
    <w:rsid w:val="00940629"/>
    <w:rsid w:val="00940B85"/>
    <w:rsid w:val="00940FFB"/>
    <w:rsid w:val="009411F6"/>
    <w:rsid w:val="009411F7"/>
    <w:rsid w:val="009411FF"/>
    <w:rsid w:val="009414DD"/>
    <w:rsid w:val="00941574"/>
    <w:rsid w:val="00941BEF"/>
    <w:rsid w:val="00941E7C"/>
    <w:rsid w:val="0094206C"/>
    <w:rsid w:val="00942191"/>
    <w:rsid w:val="00942263"/>
    <w:rsid w:val="0094259F"/>
    <w:rsid w:val="00942869"/>
    <w:rsid w:val="00942A7C"/>
    <w:rsid w:val="00942B70"/>
    <w:rsid w:val="00942C3A"/>
    <w:rsid w:val="00942C71"/>
    <w:rsid w:val="00943C5C"/>
    <w:rsid w:val="009441A8"/>
    <w:rsid w:val="00944684"/>
    <w:rsid w:val="00944848"/>
    <w:rsid w:val="00944935"/>
    <w:rsid w:val="00944A3B"/>
    <w:rsid w:val="00944B81"/>
    <w:rsid w:val="00944BDB"/>
    <w:rsid w:val="00944E57"/>
    <w:rsid w:val="00944FCE"/>
    <w:rsid w:val="0094517D"/>
    <w:rsid w:val="009451C0"/>
    <w:rsid w:val="00945212"/>
    <w:rsid w:val="00945230"/>
    <w:rsid w:val="00945604"/>
    <w:rsid w:val="009456FB"/>
    <w:rsid w:val="00945A61"/>
    <w:rsid w:val="00945B3F"/>
    <w:rsid w:val="00945CB2"/>
    <w:rsid w:val="00945CC9"/>
    <w:rsid w:val="00945EC3"/>
    <w:rsid w:val="00945F0F"/>
    <w:rsid w:val="0094601A"/>
    <w:rsid w:val="00946775"/>
    <w:rsid w:val="009467F2"/>
    <w:rsid w:val="00946B83"/>
    <w:rsid w:val="00946C5C"/>
    <w:rsid w:val="00946CB3"/>
    <w:rsid w:val="00946D46"/>
    <w:rsid w:val="009472E4"/>
    <w:rsid w:val="00947303"/>
    <w:rsid w:val="009473A4"/>
    <w:rsid w:val="00947C62"/>
    <w:rsid w:val="00947EF2"/>
    <w:rsid w:val="00950A1B"/>
    <w:rsid w:val="00950B27"/>
    <w:rsid w:val="00950C55"/>
    <w:rsid w:val="00950C86"/>
    <w:rsid w:val="00951274"/>
    <w:rsid w:val="009514E1"/>
    <w:rsid w:val="00951771"/>
    <w:rsid w:val="00951860"/>
    <w:rsid w:val="00951DC7"/>
    <w:rsid w:val="00951F11"/>
    <w:rsid w:val="00951FF4"/>
    <w:rsid w:val="009526D7"/>
    <w:rsid w:val="00952983"/>
    <w:rsid w:val="0095299D"/>
    <w:rsid w:val="00952F88"/>
    <w:rsid w:val="009534F9"/>
    <w:rsid w:val="00953501"/>
    <w:rsid w:val="00953805"/>
    <w:rsid w:val="0095393F"/>
    <w:rsid w:val="00953A30"/>
    <w:rsid w:val="00953C0D"/>
    <w:rsid w:val="009541A2"/>
    <w:rsid w:val="00954521"/>
    <w:rsid w:val="00954816"/>
    <w:rsid w:val="00954823"/>
    <w:rsid w:val="00954909"/>
    <w:rsid w:val="00954DA0"/>
    <w:rsid w:val="00954E95"/>
    <w:rsid w:val="0095524F"/>
    <w:rsid w:val="0095570F"/>
    <w:rsid w:val="009557AE"/>
    <w:rsid w:val="009558FA"/>
    <w:rsid w:val="00955963"/>
    <w:rsid w:val="0095597D"/>
    <w:rsid w:val="00955A12"/>
    <w:rsid w:val="00955B11"/>
    <w:rsid w:val="00955FB2"/>
    <w:rsid w:val="00956037"/>
    <w:rsid w:val="009561B1"/>
    <w:rsid w:val="009562CF"/>
    <w:rsid w:val="00956315"/>
    <w:rsid w:val="00956369"/>
    <w:rsid w:val="00956AD2"/>
    <w:rsid w:val="00956B65"/>
    <w:rsid w:val="00956BA8"/>
    <w:rsid w:val="00956EA2"/>
    <w:rsid w:val="00957442"/>
    <w:rsid w:val="0095746B"/>
    <w:rsid w:val="00957AF9"/>
    <w:rsid w:val="00957BCD"/>
    <w:rsid w:val="00957D73"/>
    <w:rsid w:val="00957D99"/>
    <w:rsid w:val="00957F81"/>
    <w:rsid w:val="009603DB"/>
    <w:rsid w:val="00960433"/>
    <w:rsid w:val="00960695"/>
    <w:rsid w:val="00960959"/>
    <w:rsid w:val="00960A9F"/>
    <w:rsid w:val="00960CFB"/>
    <w:rsid w:val="00961061"/>
    <w:rsid w:val="00961110"/>
    <w:rsid w:val="009611A3"/>
    <w:rsid w:val="00961629"/>
    <w:rsid w:val="00961C1A"/>
    <w:rsid w:val="00961E87"/>
    <w:rsid w:val="00962165"/>
    <w:rsid w:val="009623EC"/>
    <w:rsid w:val="00962403"/>
    <w:rsid w:val="009628CB"/>
    <w:rsid w:val="00962F18"/>
    <w:rsid w:val="0096301B"/>
    <w:rsid w:val="00963083"/>
    <w:rsid w:val="0096318C"/>
    <w:rsid w:val="0096337C"/>
    <w:rsid w:val="009633EB"/>
    <w:rsid w:val="00963968"/>
    <w:rsid w:val="00963DDD"/>
    <w:rsid w:val="00963E88"/>
    <w:rsid w:val="009644AC"/>
    <w:rsid w:val="009647A4"/>
    <w:rsid w:val="00964A3F"/>
    <w:rsid w:val="00964B91"/>
    <w:rsid w:val="00964C0D"/>
    <w:rsid w:val="00964C22"/>
    <w:rsid w:val="00964E12"/>
    <w:rsid w:val="0096546C"/>
    <w:rsid w:val="00965827"/>
    <w:rsid w:val="00965993"/>
    <w:rsid w:val="00965A52"/>
    <w:rsid w:val="00965A97"/>
    <w:rsid w:val="00965F9E"/>
    <w:rsid w:val="009661EA"/>
    <w:rsid w:val="00966348"/>
    <w:rsid w:val="009667FF"/>
    <w:rsid w:val="00966BFD"/>
    <w:rsid w:val="00966FEC"/>
    <w:rsid w:val="009672B0"/>
    <w:rsid w:val="00967392"/>
    <w:rsid w:val="0096766B"/>
    <w:rsid w:val="0096783C"/>
    <w:rsid w:val="00967A5A"/>
    <w:rsid w:val="00967D0C"/>
    <w:rsid w:val="00967F3A"/>
    <w:rsid w:val="00970C5E"/>
    <w:rsid w:val="00970E79"/>
    <w:rsid w:val="0097100C"/>
    <w:rsid w:val="00971411"/>
    <w:rsid w:val="009717C7"/>
    <w:rsid w:val="00971B26"/>
    <w:rsid w:val="00971B32"/>
    <w:rsid w:val="00971BD9"/>
    <w:rsid w:val="00971BE4"/>
    <w:rsid w:val="00971D28"/>
    <w:rsid w:val="0097222B"/>
    <w:rsid w:val="0097245E"/>
    <w:rsid w:val="009727C4"/>
    <w:rsid w:val="00972867"/>
    <w:rsid w:val="00972983"/>
    <w:rsid w:val="009729FB"/>
    <w:rsid w:val="00972B1A"/>
    <w:rsid w:val="00972C7F"/>
    <w:rsid w:val="00972D5E"/>
    <w:rsid w:val="00972DC7"/>
    <w:rsid w:val="00972DCC"/>
    <w:rsid w:val="0097351C"/>
    <w:rsid w:val="00973526"/>
    <w:rsid w:val="009737AE"/>
    <w:rsid w:val="009737D0"/>
    <w:rsid w:val="009737EE"/>
    <w:rsid w:val="0097390F"/>
    <w:rsid w:val="00973B44"/>
    <w:rsid w:val="00973CA9"/>
    <w:rsid w:val="00973D43"/>
    <w:rsid w:val="00973DF4"/>
    <w:rsid w:val="00973E2C"/>
    <w:rsid w:val="00973E88"/>
    <w:rsid w:val="00973EC2"/>
    <w:rsid w:val="00973FD9"/>
    <w:rsid w:val="009740A4"/>
    <w:rsid w:val="009744D3"/>
    <w:rsid w:val="00974866"/>
    <w:rsid w:val="00974A69"/>
    <w:rsid w:val="00974B5F"/>
    <w:rsid w:val="00974CDA"/>
    <w:rsid w:val="00974E3F"/>
    <w:rsid w:val="009753C9"/>
    <w:rsid w:val="0097543C"/>
    <w:rsid w:val="009756A5"/>
    <w:rsid w:val="0097589C"/>
    <w:rsid w:val="00975A46"/>
    <w:rsid w:val="00975CAA"/>
    <w:rsid w:val="00975E32"/>
    <w:rsid w:val="009760CB"/>
    <w:rsid w:val="00976438"/>
    <w:rsid w:val="00976459"/>
    <w:rsid w:val="00976495"/>
    <w:rsid w:val="00976ED6"/>
    <w:rsid w:val="00977235"/>
    <w:rsid w:val="0097738D"/>
    <w:rsid w:val="009773A2"/>
    <w:rsid w:val="00977516"/>
    <w:rsid w:val="00977840"/>
    <w:rsid w:val="00977CF9"/>
    <w:rsid w:val="00977EFF"/>
    <w:rsid w:val="00977FC7"/>
    <w:rsid w:val="009805C4"/>
    <w:rsid w:val="009809D3"/>
    <w:rsid w:val="00980A47"/>
    <w:rsid w:val="00980B5D"/>
    <w:rsid w:val="00980B8C"/>
    <w:rsid w:val="00980E38"/>
    <w:rsid w:val="00980F56"/>
    <w:rsid w:val="00981599"/>
    <w:rsid w:val="00982609"/>
    <w:rsid w:val="00982C35"/>
    <w:rsid w:val="00982DC5"/>
    <w:rsid w:val="00983398"/>
    <w:rsid w:val="009836AC"/>
    <w:rsid w:val="009836CA"/>
    <w:rsid w:val="00983875"/>
    <w:rsid w:val="00983995"/>
    <w:rsid w:val="009839EA"/>
    <w:rsid w:val="009847A0"/>
    <w:rsid w:val="009847A1"/>
    <w:rsid w:val="00984931"/>
    <w:rsid w:val="00984B76"/>
    <w:rsid w:val="00984EFE"/>
    <w:rsid w:val="00984F20"/>
    <w:rsid w:val="00985E07"/>
    <w:rsid w:val="00986029"/>
    <w:rsid w:val="009860BD"/>
    <w:rsid w:val="00986368"/>
    <w:rsid w:val="009871D3"/>
    <w:rsid w:val="00987292"/>
    <w:rsid w:val="009872C0"/>
    <w:rsid w:val="009873C1"/>
    <w:rsid w:val="0098773F"/>
    <w:rsid w:val="009877C7"/>
    <w:rsid w:val="00987B7A"/>
    <w:rsid w:val="00987B9C"/>
    <w:rsid w:val="00987DB9"/>
    <w:rsid w:val="00987E2C"/>
    <w:rsid w:val="00987E8A"/>
    <w:rsid w:val="009906D5"/>
    <w:rsid w:val="0099084C"/>
    <w:rsid w:val="00990895"/>
    <w:rsid w:val="00990F6E"/>
    <w:rsid w:val="009914B9"/>
    <w:rsid w:val="00991AF2"/>
    <w:rsid w:val="00991C79"/>
    <w:rsid w:val="00991D16"/>
    <w:rsid w:val="00991EE4"/>
    <w:rsid w:val="009924C3"/>
    <w:rsid w:val="00992609"/>
    <w:rsid w:val="00992952"/>
    <w:rsid w:val="00992F43"/>
    <w:rsid w:val="009931E3"/>
    <w:rsid w:val="00993318"/>
    <w:rsid w:val="009935A7"/>
    <w:rsid w:val="0099383E"/>
    <w:rsid w:val="00993AAB"/>
    <w:rsid w:val="00993BC4"/>
    <w:rsid w:val="00993DA2"/>
    <w:rsid w:val="0099412F"/>
    <w:rsid w:val="00994149"/>
    <w:rsid w:val="009941D9"/>
    <w:rsid w:val="00994328"/>
    <w:rsid w:val="0099448C"/>
    <w:rsid w:val="009946BB"/>
    <w:rsid w:val="009947D4"/>
    <w:rsid w:val="00994910"/>
    <w:rsid w:val="00994B21"/>
    <w:rsid w:val="00994B60"/>
    <w:rsid w:val="00995446"/>
    <w:rsid w:val="00995A4F"/>
    <w:rsid w:val="00995BAD"/>
    <w:rsid w:val="00995EF7"/>
    <w:rsid w:val="00995F74"/>
    <w:rsid w:val="00995FBC"/>
    <w:rsid w:val="0099629B"/>
    <w:rsid w:val="00996519"/>
    <w:rsid w:val="00996622"/>
    <w:rsid w:val="009967D8"/>
    <w:rsid w:val="0099694C"/>
    <w:rsid w:val="00996AB0"/>
    <w:rsid w:val="00996B86"/>
    <w:rsid w:val="00996B87"/>
    <w:rsid w:val="0099712C"/>
    <w:rsid w:val="009972B9"/>
    <w:rsid w:val="00997341"/>
    <w:rsid w:val="00997492"/>
    <w:rsid w:val="0099756D"/>
    <w:rsid w:val="009975E5"/>
    <w:rsid w:val="0099798D"/>
    <w:rsid w:val="00997BD3"/>
    <w:rsid w:val="00997E68"/>
    <w:rsid w:val="009A01D5"/>
    <w:rsid w:val="009A0758"/>
    <w:rsid w:val="009A0AF5"/>
    <w:rsid w:val="009A0CA9"/>
    <w:rsid w:val="009A0D8A"/>
    <w:rsid w:val="009A0F2E"/>
    <w:rsid w:val="009A15EA"/>
    <w:rsid w:val="009A1723"/>
    <w:rsid w:val="009A174D"/>
    <w:rsid w:val="009A1A36"/>
    <w:rsid w:val="009A1CD7"/>
    <w:rsid w:val="009A1DB0"/>
    <w:rsid w:val="009A2418"/>
    <w:rsid w:val="009A26C0"/>
    <w:rsid w:val="009A2AF6"/>
    <w:rsid w:val="009A2D2C"/>
    <w:rsid w:val="009A2D36"/>
    <w:rsid w:val="009A30CB"/>
    <w:rsid w:val="009A3278"/>
    <w:rsid w:val="009A37BF"/>
    <w:rsid w:val="009A37F9"/>
    <w:rsid w:val="009A3E62"/>
    <w:rsid w:val="009A400B"/>
    <w:rsid w:val="009A40FE"/>
    <w:rsid w:val="009A42A2"/>
    <w:rsid w:val="009A4A5F"/>
    <w:rsid w:val="009A4A88"/>
    <w:rsid w:val="009A4BC1"/>
    <w:rsid w:val="009A51B0"/>
    <w:rsid w:val="009A55EC"/>
    <w:rsid w:val="009A5C23"/>
    <w:rsid w:val="009A5E6A"/>
    <w:rsid w:val="009A5F21"/>
    <w:rsid w:val="009A5FF5"/>
    <w:rsid w:val="009A6069"/>
    <w:rsid w:val="009A60C7"/>
    <w:rsid w:val="009A62C7"/>
    <w:rsid w:val="009A6405"/>
    <w:rsid w:val="009A673D"/>
    <w:rsid w:val="009A69E9"/>
    <w:rsid w:val="009A6BBF"/>
    <w:rsid w:val="009A6E20"/>
    <w:rsid w:val="009A6FC4"/>
    <w:rsid w:val="009A73A9"/>
    <w:rsid w:val="009A7A17"/>
    <w:rsid w:val="009A7E4D"/>
    <w:rsid w:val="009B014E"/>
    <w:rsid w:val="009B043B"/>
    <w:rsid w:val="009B0A7A"/>
    <w:rsid w:val="009B0B7F"/>
    <w:rsid w:val="009B0C61"/>
    <w:rsid w:val="009B0CD0"/>
    <w:rsid w:val="009B0E27"/>
    <w:rsid w:val="009B132E"/>
    <w:rsid w:val="009B1BE0"/>
    <w:rsid w:val="009B20C7"/>
    <w:rsid w:val="009B21AE"/>
    <w:rsid w:val="009B2286"/>
    <w:rsid w:val="009B2291"/>
    <w:rsid w:val="009B25EC"/>
    <w:rsid w:val="009B2812"/>
    <w:rsid w:val="009B2A73"/>
    <w:rsid w:val="009B2CF1"/>
    <w:rsid w:val="009B2D55"/>
    <w:rsid w:val="009B2EC7"/>
    <w:rsid w:val="009B2F7B"/>
    <w:rsid w:val="009B32EC"/>
    <w:rsid w:val="009B3452"/>
    <w:rsid w:val="009B34FD"/>
    <w:rsid w:val="009B35C4"/>
    <w:rsid w:val="009B361D"/>
    <w:rsid w:val="009B37FB"/>
    <w:rsid w:val="009B387A"/>
    <w:rsid w:val="009B3C79"/>
    <w:rsid w:val="009B3EE9"/>
    <w:rsid w:val="009B42C1"/>
    <w:rsid w:val="009B47A2"/>
    <w:rsid w:val="009B47F2"/>
    <w:rsid w:val="009B4D21"/>
    <w:rsid w:val="009B4E69"/>
    <w:rsid w:val="009B5056"/>
    <w:rsid w:val="009B5065"/>
    <w:rsid w:val="009B58A2"/>
    <w:rsid w:val="009B5979"/>
    <w:rsid w:val="009B5985"/>
    <w:rsid w:val="009B5C6C"/>
    <w:rsid w:val="009B5FE3"/>
    <w:rsid w:val="009B653A"/>
    <w:rsid w:val="009B6831"/>
    <w:rsid w:val="009B689F"/>
    <w:rsid w:val="009B6E2E"/>
    <w:rsid w:val="009B6F38"/>
    <w:rsid w:val="009B7236"/>
    <w:rsid w:val="009B73DF"/>
    <w:rsid w:val="009B75E4"/>
    <w:rsid w:val="009B77EC"/>
    <w:rsid w:val="009B7C2E"/>
    <w:rsid w:val="009B7D57"/>
    <w:rsid w:val="009B7DE4"/>
    <w:rsid w:val="009C0310"/>
    <w:rsid w:val="009C0920"/>
    <w:rsid w:val="009C0BFC"/>
    <w:rsid w:val="009C0C1F"/>
    <w:rsid w:val="009C0D81"/>
    <w:rsid w:val="009C0E8C"/>
    <w:rsid w:val="009C0EF1"/>
    <w:rsid w:val="009C158A"/>
    <w:rsid w:val="009C1786"/>
    <w:rsid w:val="009C17B7"/>
    <w:rsid w:val="009C1A5B"/>
    <w:rsid w:val="009C1BC4"/>
    <w:rsid w:val="009C1BFA"/>
    <w:rsid w:val="009C1CEC"/>
    <w:rsid w:val="009C1F6A"/>
    <w:rsid w:val="009C2039"/>
    <w:rsid w:val="009C24F6"/>
    <w:rsid w:val="009C26E1"/>
    <w:rsid w:val="009C26EA"/>
    <w:rsid w:val="009C28A4"/>
    <w:rsid w:val="009C28CC"/>
    <w:rsid w:val="009C2CD4"/>
    <w:rsid w:val="009C31F7"/>
    <w:rsid w:val="009C3366"/>
    <w:rsid w:val="009C34EA"/>
    <w:rsid w:val="009C3545"/>
    <w:rsid w:val="009C3915"/>
    <w:rsid w:val="009C3A6F"/>
    <w:rsid w:val="009C3A78"/>
    <w:rsid w:val="009C3B3C"/>
    <w:rsid w:val="009C41E8"/>
    <w:rsid w:val="009C43F6"/>
    <w:rsid w:val="009C4526"/>
    <w:rsid w:val="009C45FC"/>
    <w:rsid w:val="009C48C2"/>
    <w:rsid w:val="009C4AC5"/>
    <w:rsid w:val="009C4BF3"/>
    <w:rsid w:val="009C4C95"/>
    <w:rsid w:val="009C4E33"/>
    <w:rsid w:val="009C50C5"/>
    <w:rsid w:val="009C50FC"/>
    <w:rsid w:val="009C535C"/>
    <w:rsid w:val="009C53E9"/>
    <w:rsid w:val="009C55E1"/>
    <w:rsid w:val="009C5705"/>
    <w:rsid w:val="009C5711"/>
    <w:rsid w:val="009C57C7"/>
    <w:rsid w:val="009C5983"/>
    <w:rsid w:val="009C5E4B"/>
    <w:rsid w:val="009C5F11"/>
    <w:rsid w:val="009C6691"/>
    <w:rsid w:val="009C66A8"/>
    <w:rsid w:val="009C66DB"/>
    <w:rsid w:val="009C67C2"/>
    <w:rsid w:val="009C68BB"/>
    <w:rsid w:val="009C697E"/>
    <w:rsid w:val="009C6BBE"/>
    <w:rsid w:val="009C6C0B"/>
    <w:rsid w:val="009C6F8A"/>
    <w:rsid w:val="009C70C9"/>
    <w:rsid w:val="009C72C9"/>
    <w:rsid w:val="009C74FF"/>
    <w:rsid w:val="009C7514"/>
    <w:rsid w:val="009C7801"/>
    <w:rsid w:val="009C795B"/>
    <w:rsid w:val="009C7F71"/>
    <w:rsid w:val="009D006C"/>
    <w:rsid w:val="009D00C2"/>
    <w:rsid w:val="009D015F"/>
    <w:rsid w:val="009D05D1"/>
    <w:rsid w:val="009D0876"/>
    <w:rsid w:val="009D0933"/>
    <w:rsid w:val="009D0AB1"/>
    <w:rsid w:val="009D0F36"/>
    <w:rsid w:val="009D0F76"/>
    <w:rsid w:val="009D1167"/>
    <w:rsid w:val="009D1AE2"/>
    <w:rsid w:val="009D1B25"/>
    <w:rsid w:val="009D1B6F"/>
    <w:rsid w:val="009D1ED5"/>
    <w:rsid w:val="009D1FC4"/>
    <w:rsid w:val="009D26EF"/>
    <w:rsid w:val="009D2876"/>
    <w:rsid w:val="009D28A2"/>
    <w:rsid w:val="009D2990"/>
    <w:rsid w:val="009D2A1B"/>
    <w:rsid w:val="009D2D12"/>
    <w:rsid w:val="009D2EFF"/>
    <w:rsid w:val="009D3149"/>
    <w:rsid w:val="009D3410"/>
    <w:rsid w:val="009D342E"/>
    <w:rsid w:val="009D376B"/>
    <w:rsid w:val="009D395A"/>
    <w:rsid w:val="009D3A6E"/>
    <w:rsid w:val="009D40E9"/>
    <w:rsid w:val="009D4548"/>
    <w:rsid w:val="009D4911"/>
    <w:rsid w:val="009D5382"/>
    <w:rsid w:val="009D5524"/>
    <w:rsid w:val="009D5558"/>
    <w:rsid w:val="009D5867"/>
    <w:rsid w:val="009D5888"/>
    <w:rsid w:val="009D5D1C"/>
    <w:rsid w:val="009D5D9F"/>
    <w:rsid w:val="009D5DEE"/>
    <w:rsid w:val="009D610C"/>
    <w:rsid w:val="009D6550"/>
    <w:rsid w:val="009D69B7"/>
    <w:rsid w:val="009D6BD1"/>
    <w:rsid w:val="009D74DE"/>
    <w:rsid w:val="009D7791"/>
    <w:rsid w:val="009D7B3F"/>
    <w:rsid w:val="009E011F"/>
    <w:rsid w:val="009E0515"/>
    <w:rsid w:val="009E05F7"/>
    <w:rsid w:val="009E05FD"/>
    <w:rsid w:val="009E0C90"/>
    <w:rsid w:val="009E11EB"/>
    <w:rsid w:val="009E1460"/>
    <w:rsid w:val="009E191A"/>
    <w:rsid w:val="009E1BAB"/>
    <w:rsid w:val="009E1C06"/>
    <w:rsid w:val="009E1C21"/>
    <w:rsid w:val="009E1EED"/>
    <w:rsid w:val="009E1FCC"/>
    <w:rsid w:val="009E228C"/>
    <w:rsid w:val="009E241D"/>
    <w:rsid w:val="009E278A"/>
    <w:rsid w:val="009E27C2"/>
    <w:rsid w:val="009E2D06"/>
    <w:rsid w:val="009E2FDB"/>
    <w:rsid w:val="009E3078"/>
    <w:rsid w:val="009E315E"/>
    <w:rsid w:val="009E320D"/>
    <w:rsid w:val="009E3356"/>
    <w:rsid w:val="009E34EC"/>
    <w:rsid w:val="009E388D"/>
    <w:rsid w:val="009E3ADB"/>
    <w:rsid w:val="009E3B37"/>
    <w:rsid w:val="009E421A"/>
    <w:rsid w:val="009E4501"/>
    <w:rsid w:val="009E4A5D"/>
    <w:rsid w:val="009E4D83"/>
    <w:rsid w:val="009E4E06"/>
    <w:rsid w:val="009E500E"/>
    <w:rsid w:val="009E50E0"/>
    <w:rsid w:val="009E5114"/>
    <w:rsid w:val="009E52C6"/>
    <w:rsid w:val="009E5609"/>
    <w:rsid w:val="009E573A"/>
    <w:rsid w:val="009E5906"/>
    <w:rsid w:val="009E59A6"/>
    <w:rsid w:val="009E5BB1"/>
    <w:rsid w:val="009E638F"/>
    <w:rsid w:val="009E65FB"/>
    <w:rsid w:val="009E6666"/>
    <w:rsid w:val="009E6685"/>
    <w:rsid w:val="009E6A25"/>
    <w:rsid w:val="009E6C4E"/>
    <w:rsid w:val="009E6C7D"/>
    <w:rsid w:val="009E706B"/>
    <w:rsid w:val="009E70A9"/>
    <w:rsid w:val="009E74A8"/>
    <w:rsid w:val="009E75CB"/>
    <w:rsid w:val="009E7693"/>
    <w:rsid w:val="009E76FA"/>
    <w:rsid w:val="009E775E"/>
    <w:rsid w:val="009E784F"/>
    <w:rsid w:val="009E7B6A"/>
    <w:rsid w:val="009E7ED3"/>
    <w:rsid w:val="009F063B"/>
    <w:rsid w:val="009F0749"/>
    <w:rsid w:val="009F078F"/>
    <w:rsid w:val="009F0A67"/>
    <w:rsid w:val="009F0AAE"/>
    <w:rsid w:val="009F0CCF"/>
    <w:rsid w:val="009F0D03"/>
    <w:rsid w:val="009F0E51"/>
    <w:rsid w:val="009F0E73"/>
    <w:rsid w:val="009F0FFA"/>
    <w:rsid w:val="009F1296"/>
    <w:rsid w:val="009F14B7"/>
    <w:rsid w:val="009F1BD9"/>
    <w:rsid w:val="009F1C28"/>
    <w:rsid w:val="009F24F6"/>
    <w:rsid w:val="009F26CF"/>
    <w:rsid w:val="009F2828"/>
    <w:rsid w:val="009F295C"/>
    <w:rsid w:val="009F2B47"/>
    <w:rsid w:val="009F3168"/>
    <w:rsid w:val="009F3296"/>
    <w:rsid w:val="009F3318"/>
    <w:rsid w:val="009F3516"/>
    <w:rsid w:val="009F358D"/>
    <w:rsid w:val="009F3B09"/>
    <w:rsid w:val="009F3BD0"/>
    <w:rsid w:val="009F3CB5"/>
    <w:rsid w:val="009F3CE3"/>
    <w:rsid w:val="009F3F16"/>
    <w:rsid w:val="009F40A3"/>
    <w:rsid w:val="009F4463"/>
    <w:rsid w:val="009F4708"/>
    <w:rsid w:val="009F4A95"/>
    <w:rsid w:val="009F4BDD"/>
    <w:rsid w:val="009F4CA2"/>
    <w:rsid w:val="009F4DE0"/>
    <w:rsid w:val="009F4FA3"/>
    <w:rsid w:val="009F502E"/>
    <w:rsid w:val="009F5097"/>
    <w:rsid w:val="009F5313"/>
    <w:rsid w:val="009F53B5"/>
    <w:rsid w:val="009F55EE"/>
    <w:rsid w:val="009F57F7"/>
    <w:rsid w:val="009F58AF"/>
    <w:rsid w:val="009F5B9E"/>
    <w:rsid w:val="009F61DB"/>
    <w:rsid w:val="009F6323"/>
    <w:rsid w:val="009F63E1"/>
    <w:rsid w:val="009F66FD"/>
    <w:rsid w:val="009F670B"/>
    <w:rsid w:val="009F6790"/>
    <w:rsid w:val="009F6836"/>
    <w:rsid w:val="009F6A02"/>
    <w:rsid w:val="009F6AA9"/>
    <w:rsid w:val="009F6F6C"/>
    <w:rsid w:val="009F7002"/>
    <w:rsid w:val="009F7004"/>
    <w:rsid w:val="009F738D"/>
    <w:rsid w:val="009F7490"/>
    <w:rsid w:val="009F780F"/>
    <w:rsid w:val="009F78DD"/>
    <w:rsid w:val="009F7A8F"/>
    <w:rsid w:val="009F7DA0"/>
    <w:rsid w:val="009F7F35"/>
    <w:rsid w:val="00A000B7"/>
    <w:rsid w:val="00A00225"/>
    <w:rsid w:val="00A007CF"/>
    <w:rsid w:val="00A00873"/>
    <w:rsid w:val="00A008F3"/>
    <w:rsid w:val="00A00978"/>
    <w:rsid w:val="00A00D0B"/>
    <w:rsid w:val="00A00E09"/>
    <w:rsid w:val="00A00F84"/>
    <w:rsid w:val="00A01166"/>
    <w:rsid w:val="00A01168"/>
    <w:rsid w:val="00A0123D"/>
    <w:rsid w:val="00A01594"/>
    <w:rsid w:val="00A01A48"/>
    <w:rsid w:val="00A01B3D"/>
    <w:rsid w:val="00A01BB8"/>
    <w:rsid w:val="00A01C44"/>
    <w:rsid w:val="00A01C52"/>
    <w:rsid w:val="00A01EBA"/>
    <w:rsid w:val="00A02178"/>
    <w:rsid w:val="00A021FD"/>
    <w:rsid w:val="00A023D3"/>
    <w:rsid w:val="00A023F9"/>
    <w:rsid w:val="00A02465"/>
    <w:rsid w:val="00A0298E"/>
    <w:rsid w:val="00A029C0"/>
    <w:rsid w:val="00A02C44"/>
    <w:rsid w:val="00A02D6F"/>
    <w:rsid w:val="00A02E91"/>
    <w:rsid w:val="00A02EC5"/>
    <w:rsid w:val="00A02EEE"/>
    <w:rsid w:val="00A03138"/>
    <w:rsid w:val="00A03417"/>
    <w:rsid w:val="00A03A41"/>
    <w:rsid w:val="00A03EDF"/>
    <w:rsid w:val="00A046FD"/>
    <w:rsid w:val="00A047FF"/>
    <w:rsid w:val="00A049A3"/>
    <w:rsid w:val="00A04ACA"/>
    <w:rsid w:val="00A04B35"/>
    <w:rsid w:val="00A04BCA"/>
    <w:rsid w:val="00A05034"/>
    <w:rsid w:val="00A05172"/>
    <w:rsid w:val="00A05458"/>
    <w:rsid w:val="00A05932"/>
    <w:rsid w:val="00A05C0E"/>
    <w:rsid w:val="00A060D7"/>
    <w:rsid w:val="00A063AC"/>
    <w:rsid w:val="00A06426"/>
    <w:rsid w:val="00A064D3"/>
    <w:rsid w:val="00A06BE0"/>
    <w:rsid w:val="00A06D94"/>
    <w:rsid w:val="00A06DED"/>
    <w:rsid w:val="00A06F66"/>
    <w:rsid w:val="00A07277"/>
    <w:rsid w:val="00A073E7"/>
    <w:rsid w:val="00A078CD"/>
    <w:rsid w:val="00A07913"/>
    <w:rsid w:val="00A1030E"/>
    <w:rsid w:val="00A104FD"/>
    <w:rsid w:val="00A106F9"/>
    <w:rsid w:val="00A10AA7"/>
    <w:rsid w:val="00A10B64"/>
    <w:rsid w:val="00A11254"/>
    <w:rsid w:val="00A112B6"/>
    <w:rsid w:val="00A116E9"/>
    <w:rsid w:val="00A118CA"/>
    <w:rsid w:val="00A1192D"/>
    <w:rsid w:val="00A11A19"/>
    <w:rsid w:val="00A11A95"/>
    <w:rsid w:val="00A11CF0"/>
    <w:rsid w:val="00A11DF0"/>
    <w:rsid w:val="00A11E6C"/>
    <w:rsid w:val="00A11EAC"/>
    <w:rsid w:val="00A1247C"/>
    <w:rsid w:val="00A12491"/>
    <w:rsid w:val="00A126B5"/>
    <w:rsid w:val="00A12FCB"/>
    <w:rsid w:val="00A1306F"/>
    <w:rsid w:val="00A1321B"/>
    <w:rsid w:val="00A1335E"/>
    <w:rsid w:val="00A13426"/>
    <w:rsid w:val="00A1342C"/>
    <w:rsid w:val="00A13680"/>
    <w:rsid w:val="00A13BBA"/>
    <w:rsid w:val="00A13BEA"/>
    <w:rsid w:val="00A14236"/>
    <w:rsid w:val="00A1438F"/>
    <w:rsid w:val="00A145C5"/>
    <w:rsid w:val="00A146EC"/>
    <w:rsid w:val="00A148FA"/>
    <w:rsid w:val="00A14988"/>
    <w:rsid w:val="00A14A44"/>
    <w:rsid w:val="00A14BCA"/>
    <w:rsid w:val="00A14E5D"/>
    <w:rsid w:val="00A1517D"/>
    <w:rsid w:val="00A1535E"/>
    <w:rsid w:val="00A153E3"/>
    <w:rsid w:val="00A155C5"/>
    <w:rsid w:val="00A156B3"/>
    <w:rsid w:val="00A158BF"/>
    <w:rsid w:val="00A15A4A"/>
    <w:rsid w:val="00A15D9E"/>
    <w:rsid w:val="00A15FA0"/>
    <w:rsid w:val="00A1607D"/>
    <w:rsid w:val="00A1629E"/>
    <w:rsid w:val="00A167DA"/>
    <w:rsid w:val="00A167FE"/>
    <w:rsid w:val="00A16C45"/>
    <w:rsid w:val="00A16E3A"/>
    <w:rsid w:val="00A1732F"/>
    <w:rsid w:val="00A175BB"/>
    <w:rsid w:val="00A17781"/>
    <w:rsid w:val="00A1793F"/>
    <w:rsid w:val="00A17CAE"/>
    <w:rsid w:val="00A17FFD"/>
    <w:rsid w:val="00A200E9"/>
    <w:rsid w:val="00A20329"/>
    <w:rsid w:val="00A206D6"/>
    <w:rsid w:val="00A20779"/>
    <w:rsid w:val="00A2087B"/>
    <w:rsid w:val="00A2088C"/>
    <w:rsid w:val="00A209BE"/>
    <w:rsid w:val="00A209E1"/>
    <w:rsid w:val="00A20A1B"/>
    <w:rsid w:val="00A20A88"/>
    <w:rsid w:val="00A20E5E"/>
    <w:rsid w:val="00A2147E"/>
    <w:rsid w:val="00A21706"/>
    <w:rsid w:val="00A21B1E"/>
    <w:rsid w:val="00A21BD9"/>
    <w:rsid w:val="00A21D0F"/>
    <w:rsid w:val="00A21DE6"/>
    <w:rsid w:val="00A22366"/>
    <w:rsid w:val="00A22539"/>
    <w:rsid w:val="00A226C0"/>
    <w:rsid w:val="00A22897"/>
    <w:rsid w:val="00A228AD"/>
    <w:rsid w:val="00A22D53"/>
    <w:rsid w:val="00A23025"/>
    <w:rsid w:val="00A230C5"/>
    <w:rsid w:val="00A234AD"/>
    <w:rsid w:val="00A2355F"/>
    <w:rsid w:val="00A23977"/>
    <w:rsid w:val="00A23B19"/>
    <w:rsid w:val="00A2417C"/>
    <w:rsid w:val="00A24313"/>
    <w:rsid w:val="00A24B89"/>
    <w:rsid w:val="00A24B9E"/>
    <w:rsid w:val="00A24C4E"/>
    <w:rsid w:val="00A257C4"/>
    <w:rsid w:val="00A25B78"/>
    <w:rsid w:val="00A2601D"/>
    <w:rsid w:val="00A2636C"/>
    <w:rsid w:val="00A263CB"/>
    <w:rsid w:val="00A26536"/>
    <w:rsid w:val="00A266BA"/>
    <w:rsid w:val="00A26817"/>
    <w:rsid w:val="00A2690F"/>
    <w:rsid w:val="00A26AA8"/>
    <w:rsid w:val="00A26B23"/>
    <w:rsid w:val="00A26FC3"/>
    <w:rsid w:val="00A27119"/>
    <w:rsid w:val="00A271D1"/>
    <w:rsid w:val="00A27364"/>
    <w:rsid w:val="00A274C9"/>
    <w:rsid w:val="00A276D2"/>
    <w:rsid w:val="00A27B8D"/>
    <w:rsid w:val="00A27C7C"/>
    <w:rsid w:val="00A30518"/>
    <w:rsid w:val="00A30756"/>
    <w:rsid w:val="00A30955"/>
    <w:rsid w:val="00A30BC1"/>
    <w:rsid w:val="00A30BFF"/>
    <w:rsid w:val="00A31081"/>
    <w:rsid w:val="00A310FA"/>
    <w:rsid w:val="00A31266"/>
    <w:rsid w:val="00A3148F"/>
    <w:rsid w:val="00A3163A"/>
    <w:rsid w:val="00A31781"/>
    <w:rsid w:val="00A31898"/>
    <w:rsid w:val="00A319F9"/>
    <w:rsid w:val="00A31AE0"/>
    <w:rsid w:val="00A31E2B"/>
    <w:rsid w:val="00A321D2"/>
    <w:rsid w:val="00A3244A"/>
    <w:rsid w:val="00A325EC"/>
    <w:rsid w:val="00A327D0"/>
    <w:rsid w:val="00A327D5"/>
    <w:rsid w:val="00A32869"/>
    <w:rsid w:val="00A32AE6"/>
    <w:rsid w:val="00A32B75"/>
    <w:rsid w:val="00A32C3B"/>
    <w:rsid w:val="00A32CD9"/>
    <w:rsid w:val="00A32FF3"/>
    <w:rsid w:val="00A33129"/>
    <w:rsid w:val="00A331B8"/>
    <w:rsid w:val="00A3338E"/>
    <w:rsid w:val="00A333C6"/>
    <w:rsid w:val="00A33478"/>
    <w:rsid w:val="00A33569"/>
    <w:rsid w:val="00A3377B"/>
    <w:rsid w:val="00A339F7"/>
    <w:rsid w:val="00A33ED4"/>
    <w:rsid w:val="00A34204"/>
    <w:rsid w:val="00A3430B"/>
    <w:rsid w:val="00A34332"/>
    <w:rsid w:val="00A34BE1"/>
    <w:rsid w:val="00A34D6E"/>
    <w:rsid w:val="00A350CB"/>
    <w:rsid w:val="00A35129"/>
    <w:rsid w:val="00A3517F"/>
    <w:rsid w:val="00A353DD"/>
    <w:rsid w:val="00A3541E"/>
    <w:rsid w:val="00A356CE"/>
    <w:rsid w:val="00A3582D"/>
    <w:rsid w:val="00A358B2"/>
    <w:rsid w:val="00A358DE"/>
    <w:rsid w:val="00A358EA"/>
    <w:rsid w:val="00A35B50"/>
    <w:rsid w:val="00A3645C"/>
    <w:rsid w:val="00A368C9"/>
    <w:rsid w:val="00A369A6"/>
    <w:rsid w:val="00A36DFF"/>
    <w:rsid w:val="00A36E9D"/>
    <w:rsid w:val="00A36F84"/>
    <w:rsid w:val="00A372B4"/>
    <w:rsid w:val="00A373B5"/>
    <w:rsid w:val="00A3740A"/>
    <w:rsid w:val="00A37A0C"/>
    <w:rsid w:val="00A40070"/>
    <w:rsid w:val="00A4016C"/>
    <w:rsid w:val="00A40338"/>
    <w:rsid w:val="00A4075D"/>
    <w:rsid w:val="00A40908"/>
    <w:rsid w:val="00A40ED2"/>
    <w:rsid w:val="00A41007"/>
    <w:rsid w:val="00A4138A"/>
    <w:rsid w:val="00A414DE"/>
    <w:rsid w:val="00A41868"/>
    <w:rsid w:val="00A41C53"/>
    <w:rsid w:val="00A42296"/>
    <w:rsid w:val="00A4229D"/>
    <w:rsid w:val="00A42309"/>
    <w:rsid w:val="00A4270F"/>
    <w:rsid w:val="00A42782"/>
    <w:rsid w:val="00A4293F"/>
    <w:rsid w:val="00A4297A"/>
    <w:rsid w:val="00A42CFD"/>
    <w:rsid w:val="00A42F4E"/>
    <w:rsid w:val="00A43118"/>
    <w:rsid w:val="00A43446"/>
    <w:rsid w:val="00A435D9"/>
    <w:rsid w:val="00A43692"/>
    <w:rsid w:val="00A4375D"/>
    <w:rsid w:val="00A43B87"/>
    <w:rsid w:val="00A43BD3"/>
    <w:rsid w:val="00A43C1F"/>
    <w:rsid w:val="00A43E47"/>
    <w:rsid w:val="00A43E7B"/>
    <w:rsid w:val="00A44281"/>
    <w:rsid w:val="00A442D7"/>
    <w:rsid w:val="00A4452B"/>
    <w:rsid w:val="00A4456E"/>
    <w:rsid w:val="00A4474E"/>
    <w:rsid w:val="00A4477E"/>
    <w:rsid w:val="00A44894"/>
    <w:rsid w:val="00A44A85"/>
    <w:rsid w:val="00A44B67"/>
    <w:rsid w:val="00A4515D"/>
    <w:rsid w:val="00A4559D"/>
    <w:rsid w:val="00A455AA"/>
    <w:rsid w:val="00A455F6"/>
    <w:rsid w:val="00A45680"/>
    <w:rsid w:val="00A45880"/>
    <w:rsid w:val="00A45D96"/>
    <w:rsid w:val="00A45E61"/>
    <w:rsid w:val="00A462B3"/>
    <w:rsid w:val="00A467F4"/>
    <w:rsid w:val="00A46B6D"/>
    <w:rsid w:val="00A46C88"/>
    <w:rsid w:val="00A47041"/>
    <w:rsid w:val="00A4725F"/>
    <w:rsid w:val="00A47669"/>
    <w:rsid w:val="00A47C08"/>
    <w:rsid w:val="00A47C5D"/>
    <w:rsid w:val="00A47CE8"/>
    <w:rsid w:val="00A47F28"/>
    <w:rsid w:val="00A501A5"/>
    <w:rsid w:val="00A50334"/>
    <w:rsid w:val="00A50698"/>
    <w:rsid w:val="00A507FB"/>
    <w:rsid w:val="00A50B98"/>
    <w:rsid w:val="00A50EB3"/>
    <w:rsid w:val="00A51252"/>
    <w:rsid w:val="00A512A3"/>
    <w:rsid w:val="00A51384"/>
    <w:rsid w:val="00A513E4"/>
    <w:rsid w:val="00A5142F"/>
    <w:rsid w:val="00A519A1"/>
    <w:rsid w:val="00A51F29"/>
    <w:rsid w:val="00A51FB9"/>
    <w:rsid w:val="00A521CC"/>
    <w:rsid w:val="00A524E1"/>
    <w:rsid w:val="00A5269D"/>
    <w:rsid w:val="00A52A0A"/>
    <w:rsid w:val="00A52A17"/>
    <w:rsid w:val="00A52BFD"/>
    <w:rsid w:val="00A52D96"/>
    <w:rsid w:val="00A52DA2"/>
    <w:rsid w:val="00A52F0D"/>
    <w:rsid w:val="00A52F46"/>
    <w:rsid w:val="00A53184"/>
    <w:rsid w:val="00A53392"/>
    <w:rsid w:val="00A5386F"/>
    <w:rsid w:val="00A54120"/>
    <w:rsid w:val="00A54165"/>
    <w:rsid w:val="00A542D4"/>
    <w:rsid w:val="00A5437D"/>
    <w:rsid w:val="00A5450C"/>
    <w:rsid w:val="00A5460B"/>
    <w:rsid w:val="00A54751"/>
    <w:rsid w:val="00A5477E"/>
    <w:rsid w:val="00A54AB1"/>
    <w:rsid w:val="00A54D07"/>
    <w:rsid w:val="00A54E71"/>
    <w:rsid w:val="00A55106"/>
    <w:rsid w:val="00A55111"/>
    <w:rsid w:val="00A5524A"/>
    <w:rsid w:val="00A552B0"/>
    <w:rsid w:val="00A5535F"/>
    <w:rsid w:val="00A55434"/>
    <w:rsid w:val="00A5567C"/>
    <w:rsid w:val="00A556F7"/>
    <w:rsid w:val="00A558F9"/>
    <w:rsid w:val="00A55932"/>
    <w:rsid w:val="00A56308"/>
    <w:rsid w:val="00A5635E"/>
    <w:rsid w:val="00A56582"/>
    <w:rsid w:val="00A565DD"/>
    <w:rsid w:val="00A56722"/>
    <w:rsid w:val="00A5673C"/>
    <w:rsid w:val="00A56D2C"/>
    <w:rsid w:val="00A56D7F"/>
    <w:rsid w:val="00A56EE9"/>
    <w:rsid w:val="00A5711B"/>
    <w:rsid w:val="00A574D7"/>
    <w:rsid w:val="00A575EC"/>
    <w:rsid w:val="00A57669"/>
    <w:rsid w:val="00A57892"/>
    <w:rsid w:val="00A57A3A"/>
    <w:rsid w:val="00A57B20"/>
    <w:rsid w:val="00A57B98"/>
    <w:rsid w:val="00A57CAC"/>
    <w:rsid w:val="00A57CF1"/>
    <w:rsid w:val="00A600A9"/>
    <w:rsid w:val="00A60274"/>
    <w:rsid w:val="00A60319"/>
    <w:rsid w:val="00A60460"/>
    <w:rsid w:val="00A6063A"/>
    <w:rsid w:val="00A60800"/>
    <w:rsid w:val="00A60C07"/>
    <w:rsid w:val="00A60CB5"/>
    <w:rsid w:val="00A60DF7"/>
    <w:rsid w:val="00A60E92"/>
    <w:rsid w:val="00A60FA0"/>
    <w:rsid w:val="00A61117"/>
    <w:rsid w:val="00A61413"/>
    <w:rsid w:val="00A61A53"/>
    <w:rsid w:val="00A61B38"/>
    <w:rsid w:val="00A61EB2"/>
    <w:rsid w:val="00A61F28"/>
    <w:rsid w:val="00A621AD"/>
    <w:rsid w:val="00A6264E"/>
    <w:rsid w:val="00A626F7"/>
    <w:rsid w:val="00A62A20"/>
    <w:rsid w:val="00A62C70"/>
    <w:rsid w:val="00A62CE3"/>
    <w:rsid w:val="00A62E14"/>
    <w:rsid w:val="00A62F6A"/>
    <w:rsid w:val="00A63D79"/>
    <w:rsid w:val="00A63E0E"/>
    <w:rsid w:val="00A643EA"/>
    <w:rsid w:val="00A64488"/>
    <w:rsid w:val="00A64573"/>
    <w:rsid w:val="00A646E2"/>
    <w:rsid w:val="00A648D6"/>
    <w:rsid w:val="00A64C2F"/>
    <w:rsid w:val="00A64D91"/>
    <w:rsid w:val="00A651EA"/>
    <w:rsid w:val="00A6534F"/>
    <w:rsid w:val="00A65961"/>
    <w:rsid w:val="00A659D8"/>
    <w:rsid w:val="00A65D3A"/>
    <w:rsid w:val="00A65DF2"/>
    <w:rsid w:val="00A65E8A"/>
    <w:rsid w:val="00A662BE"/>
    <w:rsid w:val="00A66491"/>
    <w:rsid w:val="00A664D1"/>
    <w:rsid w:val="00A665F2"/>
    <w:rsid w:val="00A6682C"/>
    <w:rsid w:val="00A66EFC"/>
    <w:rsid w:val="00A6709C"/>
    <w:rsid w:val="00A67D3B"/>
    <w:rsid w:val="00A70197"/>
    <w:rsid w:val="00A70506"/>
    <w:rsid w:val="00A705CC"/>
    <w:rsid w:val="00A70698"/>
    <w:rsid w:val="00A7072C"/>
    <w:rsid w:val="00A70B31"/>
    <w:rsid w:val="00A70CCC"/>
    <w:rsid w:val="00A70E67"/>
    <w:rsid w:val="00A70F44"/>
    <w:rsid w:val="00A70F56"/>
    <w:rsid w:val="00A71402"/>
    <w:rsid w:val="00A71477"/>
    <w:rsid w:val="00A718F1"/>
    <w:rsid w:val="00A71A43"/>
    <w:rsid w:val="00A71A6D"/>
    <w:rsid w:val="00A71C87"/>
    <w:rsid w:val="00A71F8B"/>
    <w:rsid w:val="00A72156"/>
    <w:rsid w:val="00A721F5"/>
    <w:rsid w:val="00A722A4"/>
    <w:rsid w:val="00A724A1"/>
    <w:rsid w:val="00A726AF"/>
    <w:rsid w:val="00A7291B"/>
    <w:rsid w:val="00A72F4D"/>
    <w:rsid w:val="00A72FF5"/>
    <w:rsid w:val="00A73211"/>
    <w:rsid w:val="00A7354D"/>
    <w:rsid w:val="00A735B4"/>
    <w:rsid w:val="00A73680"/>
    <w:rsid w:val="00A737C6"/>
    <w:rsid w:val="00A73A58"/>
    <w:rsid w:val="00A73C36"/>
    <w:rsid w:val="00A7420A"/>
    <w:rsid w:val="00A742BD"/>
    <w:rsid w:val="00A749C6"/>
    <w:rsid w:val="00A74A46"/>
    <w:rsid w:val="00A74D39"/>
    <w:rsid w:val="00A74EDB"/>
    <w:rsid w:val="00A74F2E"/>
    <w:rsid w:val="00A74FDB"/>
    <w:rsid w:val="00A75085"/>
    <w:rsid w:val="00A750D0"/>
    <w:rsid w:val="00A7571E"/>
    <w:rsid w:val="00A75A82"/>
    <w:rsid w:val="00A75CAF"/>
    <w:rsid w:val="00A761D5"/>
    <w:rsid w:val="00A76571"/>
    <w:rsid w:val="00A7667E"/>
    <w:rsid w:val="00A76C00"/>
    <w:rsid w:val="00A76C6A"/>
    <w:rsid w:val="00A76D1C"/>
    <w:rsid w:val="00A76F87"/>
    <w:rsid w:val="00A77358"/>
    <w:rsid w:val="00A77662"/>
    <w:rsid w:val="00A779A5"/>
    <w:rsid w:val="00A77A2F"/>
    <w:rsid w:val="00A77BBE"/>
    <w:rsid w:val="00A80192"/>
    <w:rsid w:val="00A8020F"/>
    <w:rsid w:val="00A80892"/>
    <w:rsid w:val="00A80BDC"/>
    <w:rsid w:val="00A8101D"/>
    <w:rsid w:val="00A81176"/>
    <w:rsid w:val="00A81671"/>
    <w:rsid w:val="00A81A0B"/>
    <w:rsid w:val="00A81A10"/>
    <w:rsid w:val="00A81CBA"/>
    <w:rsid w:val="00A81D1B"/>
    <w:rsid w:val="00A81DA1"/>
    <w:rsid w:val="00A81DBC"/>
    <w:rsid w:val="00A81E33"/>
    <w:rsid w:val="00A81EF3"/>
    <w:rsid w:val="00A8272E"/>
    <w:rsid w:val="00A82827"/>
    <w:rsid w:val="00A82A32"/>
    <w:rsid w:val="00A82B45"/>
    <w:rsid w:val="00A82CB5"/>
    <w:rsid w:val="00A82F9C"/>
    <w:rsid w:val="00A832D2"/>
    <w:rsid w:val="00A834DD"/>
    <w:rsid w:val="00A8378C"/>
    <w:rsid w:val="00A83C2C"/>
    <w:rsid w:val="00A8454D"/>
    <w:rsid w:val="00A845FB"/>
    <w:rsid w:val="00A84797"/>
    <w:rsid w:val="00A8489C"/>
    <w:rsid w:val="00A84DBA"/>
    <w:rsid w:val="00A850FA"/>
    <w:rsid w:val="00A85159"/>
    <w:rsid w:val="00A856F3"/>
    <w:rsid w:val="00A8614C"/>
    <w:rsid w:val="00A86701"/>
    <w:rsid w:val="00A868EB"/>
    <w:rsid w:val="00A86A0B"/>
    <w:rsid w:val="00A86C32"/>
    <w:rsid w:val="00A86EE7"/>
    <w:rsid w:val="00A86F6D"/>
    <w:rsid w:val="00A872EA"/>
    <w:rsid w:val="00A872F7"/>
    <w:rsid w:val="00A87428"/>
    <w:rsid w:val="00A876F6"/>
    <w:rsid w:val="00A87889"/>
    <w:rsid w:val="00A87A76"/>
    <w:rsid w:val="00A87DE0"/>
    <w:rsid w:val="00A87DF6"/>
    <w:rsid w:val="00A90031"/>
    <w:rsid w:val="00A9065E"/>
    <w:rsid w:val="00A90718"/>
    <w:rsid w:val="00A908A0"/>
    <w:rsid w:val="00A90ABE"/>
    <w:rsid w:val="00A9100D"/>
    <w:rsid w:val="00A912CE"/>
    <w:rsid w:val="00A91367"/>
    <w:rsid w:val="00A91411"/>
    <w:rsid w:val="00A9155B"/>
    <w:rsid w:val="00A915E9"/>
    <w:rsid w:val="00A91822"/>
    <w:rsid w:val="00A91D6B"/>
    <w:rsid w:val="00A91DDB"/>
    <w:rsid w:val="00A91E61"/>
    <w:rsid w:val="00A920D7"/>
    <w:rsid w:val="00A925D4"/>
    <w:rsid w:val="00A9276D"/>
    <w:rsid w:val="00A928F4"/>
    <w:rsid w:val="00A92A6C"/>
    <w:rsid w:val="00A92B15"/>
    <w:rsid w:val="00A92BDC"/>
    <w:rsid w:val="00A92C0D"/>
    <w:rsid w:val="00A92D7E"/>
    <w:rsid w:val="00A92DB3"/>
    <w:rsid w:val="00A92F67"/>
    <w:rsid w:val="00A92FF2"/>
    <w:rsid w:val="00A93478"/>
    <w:rsid w:val="00A935D0"/>
    <w:rsid w:val="00A93636"/>
    <w:rsid w:val="00A93912"/>
    <w:rsid w:val="00A939A0"/>
    <w:rsid w:val="00A93B14"/>
    <w:rsid w:val="00A93EBD"/>
    <w:rsid w:val="00A93EEC"/>
    <w:rsid w:val="00A93F99"/>
    <w:rsid w:val="00A9440C"/>
    <w:rsid w:val="00A944DC"/>
    <w:rsid w:val="00A9450E"/>
    <w:rsid w:val="00A94606"/>
    <w:rsid w:val="00A94617"/>
    <w:rsid w:val="00A9464E"/>
    <w:rsid w:val="00A9482B"/>
    <w:rsid w:val="00A94A2B"/>
    <w:rsid w:val="00A94AC7"/>
    <w:rsid w:val="00A94C39"/>
    <w:rsid w:val="00A94E9D"/>
    <w:rsid w:val="00A95240"/>
    <w:rsid w:val="00A95B8E"/>
    <w:rsid w:val="00A95BA2"/>
    <w:rsid w:val="00A95BCA"/>
    <w:rsid w:val="00A95C0F"/>
    <w:rsid w:val="00A95E97"/>
    <w:rsid w:val="00A966EE"/>
    <w:rsid w:val="00A968D0"/>
    <w:rsid w:val="00A9691F"/>
    <w:rsid w:val="00A96AF9"/>
    <w:rsid w:val="00A96C79"/>
    <w:rsid w:val="00A96FBE"/>
    <w:rsid w:val="00A9718A"/>
    <w:rsid w:val="00A971A8"/>
    <w:rsid w:val="00A972E0"/>
    <w:rsid w:val="00A97B8F"/>
    <w:rsid w:val="00A97C80"/>
    <w:rsid w:val="00A97D24"/>
    <w:rsid w:val="00A97DF3"/>
    <w:rsid w:val="00A97E58"/>
    <w:rsid w:val="00A97E77"/>
    <w:rsid w:val="00A97FA5"/>
    <w:rsid w:val="00AA0087"/>
    <w:rsid w:val="00AA00B0"/>
    <w:rsid w:val="00AA0171"/>
    <w:rsid w:val="00AA03AB"/>
    <w:rsid w:val="00AA04C8"/>
    <w:rsid w:val="00AA08A6"/>
    <w:rsid w:val="00AA0B98"/>
    <w:rsid w:val="00AA0DD6"/>
    <w:rsid w:val="00AA0F97"/>
    <w:rsid w:val="00AA10E9"/>
    <w:rsid w:val="00AA1261"/>
    <w:rsid w:val="00AA1352"/>
    <w:rsid w:val="00AA13B3"/>
    <w:rsid w:val="00AA1438"/>
    <w:rsid w:val="00AA1514"/>
    <w:rsid w:val="00AA19D5"/>
    <w:rsid w:val="00AA19FA"/>
    <w:rsid w:val="00AA1D41"/>
    <w:rsid w:val="00AA2062"/>
    <w:rsid w:val="00AA21B0"/>
    <w:rsid w:val="00AA25E3"/>
    <w:rsid w:val="00AA2A6F"/>
    <w:rsid w:val="00AA2A96"/>
    <w:rsid w:val="00AA2B87"/>
    <w:rsid w:val="00AA2BB4"/>
    <w:rsid w:val="00AA3369"/>
    <w:rsid w:val="00AA38E3"/>
    <w:rsid w:val="00AA3A4C"/>
    <w:rsid w:val="00AA3C5D"/>
    <w:rsid w:val="00AA3D2A"/>
    <w:rsid w:val="00AA4195"/>
    <w:rsid w:val="00AA44B6"/>
    <w:rsid w:val="00AA44D8"/>
    <w:rsid w:val="00AA46B6"/>
    <w:rsid w:val="00AA4824"/>
    <w:rsid w:val="00AA5308"/>
    <w:rsid w:val="00AA55A7"/>
    <w:rsid w:val="00AA57D3"/>
    <w:rsid w:val="00AA5950"/>
    <w:rsid w:val="00AA5A65"/>
    <w:rsid w:val="00AA5D32"/>
    <w:rsid w:val="00AA5EF8"/>
    <w:rsid w:val="00AA6358"/>
    <w:rsid w:val="00AA66B3"/>
    <w:rsid w:val="00AA68F2"/>
    <w:rsid w:val="00AA6CDC"/>
    <w:rsid w:val="00AA6F3A"/>
    <w:rsid w:val="00AA71B3"/>
    <w:rsid w:val="00AA73A3"/>
    <w:rsid w:val="00AA7429"/>
    <w:rsid w:val="00AA7AE1"/>
    <w:rsid w:val="00AB0089"/>
    <w:rsid w:val="00AB0134"/>
    <w:rsid w:val="00AB05A0"/>
    <w:rsid w:val="00AB0BE1"/>
    <w:rsid w:val="00AB0C13"/>
    <w:rsid w:val="00AB0CAD"/>
    <w:rsid w:val="00AB17CA"/>
    <w:rsid w:val="00AB1AAC"/>
    <w:rsid w:val="00AB1B69"/>
    <w:rsid w:val="00AB1D17"/>
    <w:rsid w:val="00AB1F97"/>
    <w:rsid w:val="00AB207B"/>
    <w:rsid w:val="00AB2633"/>
    <w:rsid w:val="00AB26E8"/>
    <w:rsid w:val="00AB26F6"/>
    <w:rsid w:val="00AB28E1"/>
    <w:rsid w:val="00AB2A61"/>
    <w:rsid w:val="00AB2A7E"/>
    <w:rsid w:val="00AB2ABA"/>
    <w:rsid w:val="00AB2D3A"/>
    <w:rsid w:val="00AB2D48"/>
    <w:rsid w:val="00AB30BA"/>
    <w:rsid w:val="00AB37B1"/>
    <w:rsid w:val="00AB39D1"/>
    <w:rsid w:val="00AB3D39"/>
    <w:rsid w:val="00AB3D66"/>
    <w:rsid w:val="00AB3F09"/>
    <w:rsid w:val="00AB3F54"/>
    <w:rsid w:val="00AB410A"/>
    <w:rsid w:val="00AB4377"/>
    <w:rsid w:val="00AB4567"/>
    <w:rsid w:val="00AB45F1"/>
    <w:rsid w:val="00AB48AC"/>
    <w:rsid w:val="00AB4ACE"/>
    <w:rsid w:val="00AB4B2D"/>
    <w:rsid w:val="00AB4B98"/>
    <w:rsid w:val="00AB4C04"/>
    <w:rsid w:val="00AB4C49"/>
    <w:rsid w:val="00AB4E45"/>
    <w:rsid w:val="00AB4F84"/>
    <w:rsid w:val="00AB51B0"/>
    <w:rsid w:val="00AB5480"/>
    <w:rsid w:val="00AB5976"/>
    <w:rsid w:val="00AB5C36"/>
    <w:rsid w:val="00AB6194"/>
    <w:rsid w:val="00AB61CF"/>
    <w:rsid w:val="00AB685B"/>
    <w:rsid w:val="00AB6ADD"/>
    <w:rsid w:val="00AB6B1E"/>
    <w:rsid w:val="00AB6CA8"/>
    <w:rsid w:val="00AB6CD8"/>
    <w:rsid w:val="00AB6D02"/>
    <w:rsid w:val="00AB7021"/>
    <w:rsid w:val="00AB71F4"/>
    <w:rsid w:val="00AB72F1"/>
    <w:rsid w:val="00AB734C"/>
    <w:rsid w:val="00AB7446"/>
    <w:rsid w:val="00AB79B0"/>
    <w:rsid w:val="00AB7DC2"/>
    <w:rsid w:val="00AB7E5D"/>
    <w:rsid w:val="00AB7F1A"/>
    <w:rsid w:val="00AC0063"/>
    <w:rsid w:val="00AC0473"/>
    <w:rsid w:val="00AC0524"/>
    <w:rsid w:val="00AC07A6"/>
    <w:rsid w:val="00AC0AB2"/>
    <w:rsid w:val="00AC0B74"/>
    <w:rsid w:val="00AC0BBE"/>
    <w:rsid w:val="00AC0E16"/>
    <w:rsid w:val="00AC102A"/>
    <w:rsid w:val="00AC1077"/>
    <w:rsid w:val="00AC135C"/>
    <w:rsid w:val="00AC166B"/>
    <w:rsid w:val="00AC1B59"/>
    <w:rsid w:val="00AC1BA0"/>
    <w:rsid w:val="00AC1BA2"/>
    <w:rsid w:val="00AC2D10"/>
    <w:rsid w:val="00AC2F44"/>
    <w:rsid w:val="00AC314B"/>
    <w:rsid w:val="00AC3541"/>
    <w:rsid w:val="00AC3864"/>
    <w:rsid w:val="00AC3934"/>
    <w:rsid w:val="00AC3946"/>
    <w:rsid w:val="00AC3953"/>
    <w:rsid w:val="00AC3CCF"/>
    <w:rsid w:val="00AC415B"/>
    <w:rsid w:val="00AC44E0"/>
    <w:rsid w:val="00AC4737"/>
    <w:rsid w:val="00AC4926"/>
    <w:rsid w:val="00AC4A7F"/>
    <w:rsid w:val="00AC4B3D"/>
    <w:rsid w:val="00AC4CCB"/>
    <w:rsid w:val="00AC50E9"/>
    <w:rsid w:val="00AC51E2"/>
    <w:rsid w:val="00AC53FB"/>
    <w:rsid w:val="00AC54E9"/>
    <w:rsid w:val="00AC5515"/>
    <w:rsid w:val="00AC58A4"/>
    <w:rsid w:val="00AC58B0"/>
    <w:rsid w:val="00AC5ADA"/>
    <w:rsid w:val="00AC5ADD"/>
    <w:rsid w:val="00AC5F71"/>
    <w:rsid w:val="00AC6100"/>
    <w:rsid w:val="00AC6233"/>
    <w:rsid w:val="00AC62BA"/>
    <w:rsid w:val="00AC678B"/>
    <w:rsid w:val="00AC69D3"/>
    <w:rsid w:val="00AC6DD5"/>
    <w:rsid w:val="00AC6EE2"/>
    <w:rsid w:val="00AC7597"/>
    <w:rsid w:val="00AC761E"/>
    <w:rsid w:val="00AC769F"/>
    <w:rsid w:val="00AC798D"/>
    <w:rsid w:val="00AC79BE"/>
    <w:rsid w:val="00AC7BAE"/>
    <w:rsid w:val="00AC7DAE"/>
    <w:rsid w:val="00AC7EFC"/>
    <w:rsid w:val="00AC7F1C"/>
    <w:rsid w:val="00AD0104"/>
    <w:rsid w:val="00AD0385"/>
    <w:rsid w:val="00AD03AF"/>
    <w:rsid w:val="00AD04D1"/>
    <w:rsid w:val="00AD05D0"/>
    <w:rsid w:val="00AD0846"/>
    <w:rsid w:val="00AD0A98"/>
    <w:rsid w:val="00AD0A9C"/>
    <w:rsid w:val="00AD0ED5"/>
    <w:rsid w:val="00AD1285"/>
    <w:rsid w:val="00AD2595"/>
    <w:rsid w:val="00AD2723"/>
    <w:rsid w:val="00AD2A6F"/>
    <w:rsid w:val="00AD2AAD"/>
    <w:rsid w:val="00AD3064"/>
    <w:rsid w:val="00AD30AD"/>
    <w:rsid w:val="00AD3260"/>
    <w:rsid w:val="00AD343D"/>
    <w:rsid w:val="00AD371D"/>
    <w:rsid w:val="00AD383F"/>
    <w:rsid w:val="00AD3D10"/>
    <w:rsid w:val="00AD3EA9"/>
    <w:rsid w:val="00AD3FED"/>
    <w:rsid w:val="00AD40A4"/>
    <w:rsid w:val="00AD4285"/>
    <w:rsid w:val="00AD4544"/>
    <w:rsid w:val="00AD4818"/>
    <w:rsid w:val="00AD4845"/>
    <w:rsid w:val="00AD49C8"/>
    <w:rsid w:val="00AD49EA"/>
    <w:rsid w:val="00AD4A3F"/>
    <w:rsid w:val="00AD4C8B"/>
    <w:rsid w:val="00AD5002"/>
    <w:rsid w:val="00AD502E"/>
    <w:rsid w:val="00AD5370"/>
    <w:rsid w:val="00AD5480"/>
    <w:rsid w:val="00AD5619"/>
    <w:rsid w:val="00AD5932"/>
    <w:rsid w:val="00AD5936"/>
    <w:rsid w:val="00AD5CFF"/>
    <w:rsid w:val="00AD5DB8"/>
    <w:rsid w:val="00AD5F9F"/>
    <w:rsid w:val="00AD60FE"/>
    <w:rsid w:val="00AD6262"/>
    <w:rsid w:val="00AD6274"/>
    <w:rsid w:val="00AD6409"/>
    <w:rsid w:val="00AD648E"/>
    <w:rsid w:val="00AD64F4"/>
    <w:rsid w:val="00AD6A62"/>
    <w:rsid w:val="00AD6BA5"/>
    <w:rsid w:val="00AD6C6C"/>
    <w:rsid w:val="00AD6E1E"/>
    <w:rsid w:val="00AD70C1"/>
    <w:rsid w:val="00AD710B"/>
    <w:rsid w:val="00AD714A"/>
    <w:rsid w:val="00AD75C7"/>
    <w:rsid w:val="00AD7635"/>
    <w:rsid w:val="00AD7B6C"/>
    <w:rsid w:val="00AD7B81"/>
    <w:rsid w:val="00AD7D0F"/>
    <w:rsid w:val="00AD7E4C"/>
    <w:rsid w:val="00AD7EA1"/>
    <w:rsid w:val="00AE02E7"/>
    <w:rsid w:val="00AE092E"/>
    <w:rsid w:val="00AE09F7"/>
    <w:rsid w:val="00AE0C59"/>
    <w:rsid w:val="00AE0EFD"/>
    <w:rsid w:val="00AE12B6"/>
    <w:rsid w:val="00AE12CD"/>
    <w:rsid w:val="00AE17E7"/>
    <w:rsid w:val="00AE1991"/>
    <w:rsid w:val="00AE1AB0"/>
    <w:rsid w:val="00AE2487"/>
    <w:rsid w:val="00AE25F3"/>
    <w:rsid w:val="00AE2638"/>
    <w:rsid w:val="00AE2690"/>
    <w:rsid w:val="00AE2F42"/>
    <w:rsid w:val="00AE3167"/>
    <w:rsid w:val="00AE3170"/>
    <w:rsid w:val="00AE320A"/>
    <w:rsid w:val="00AE3338"/>
    <w:rsid w:val="00AE38ED"/>
    <w:rsid w:val="00AE3B45"/>
    <w:rsid w:val="00AE3F07"/>
    <w:rsid w:val="00AE4028"/>
    <w:rsid w:val="00AE4178"/>
    <w:rsid w:val="00AE41FC"/>
    <w:rsid w:val="00AE422F"/>
    <w:rsid w:val="00AE4304"/>
    <w:rsid w:val="00AE431A"/>
    <w:rsid w:val="00AE4552"/>
    <w:rsid w:val="00AE45D0"/>
    <w:rsid w:val="00AE4A1A"/>
    <w:rsid w:val="00AE4AF9"/>
    <w:rsid w:val="00AE4B40"/>
    <w:rsid w:val="00AE4BE2"/>
    <w:rsid w:val="00AE4DEC"/>
    <w:rsid w:val="00AE5184"/>
    <w:rsid w:val="00AE51DD"/>
    <w:rsid w:val="00AE545C"/>
    <w:rsid w:val="00AE55A7"/>
    <w:rsid w:val="00AE55AE"/>
    <w:rsid w:val="00AE5AE8"/>
    <w:rsid w:val="00AE5D8E"/>
    <w:rsid w:val="00AE5F40"/>
    <w:rsid w:val="00AE5F74"/>
    <w:rsid w:val="00AE65E3"/>
    <w:rsid w:val="00AE67F1"/>
    <w:rsid w:val="00AE68C8"/>
    <w:rsid w:val="00AE6B56"/>
    <w:rsid w:val="00AE6D54"/>
    <w:rsid w:val="00AE6DB0"/>
    <w:rsid w:val="00AE6DB1"/>
    <w:rsid w:val="00AE6F63"/>
    <w:rsid w:val="00AE6FC5"/>
    <w:rsid w:val="00AE70BF"/>
    <w:rsid w:val="00AE72A4"/>
    <w:rsid w:val="00AE72CD"/>
    <w:rsid w:val="00AE76A3"/>
    <w:rsid w:val="00AF011F"/>
    <w:rsid w:val="00AF02C1"/>
    <w:rsid w:val="00AF0526"/>
    <w:rsid w:val="00AF0D46"/>
    <w:rsid w:val="00AF0F3D"/>
    <w:rsid w:val="00AF0FBC"/>
    <w:rsid w:val="00AF123A"/>
    <w:rsid w:val="00AF14D8"/>
    <w:rsid w:val="00AF1870"/>
    <w:rsid w:val="00AF18E2"/>
    <w:rsid w:val="00AF193D"/>
    <w:rsid w:val="00AF1951"/>
    <w:rsid w:val="00AF227F"/>
    <w:rsid w:val="00AF23E9"/>
    <w:rsid w:val="00AF277A"/>
    <w:rsid w:val="00AF279C"/>
    <w:rsid w:val="00AF285B"/>
    <w:rsid w:val="00AF288E"/>
    <w:rsid w:val="00AF295A"/>
    <w:rsid w:val="00AF2A47"/>
    <w:rsid w:val="00AF30C9"/>
    <w:rsid w:val="00AF3372"/>
    <w:rsid w:val="00AF370E"/>
    <w:rsid w:val="00AF3717"/>
    <w:rsid w:val="00AF3720"/>
    <w:rsid w:val="00AF3813"/>
    <w:rsid w:val="00AF407A"/>
    <w:rsid w:val="00AF410D"/>
    <w:rsid w:val="00AF47BE"/>
    <w:rsid w:val="00AF489E"/>
    <w:rsid w:val="00AF4A74"/>
    <w:rsid w:val="00AF54F5"/>
    <w:rsid w:val="00AF5524"/>
    <w:rsid w:val="00AF5527"/>
    <w:rsid w:val="00AF5773"/>
    <w:rsid w:val="00AF59E1"/>
    <w:rsid w:val="00AF5CC4"/>
    <w:rsid w:val="00AF5F21"/>
    <w:rsid w:val="00AF638C"/>
    <w:rsid w:val="00AF6787"/>
    <w:rsid w:val="00AF6C6A"/>
    <w:rsid w:val="00AF6E77"/>
    <w:rsid w:val="00AF7230"/>
    <w:rsid w:val="00AF7476"/>
    <w:rsid w:val="00AF75F1"/>
    <w:rsid w:val="00AF769C"/>
    <w:rsid w:val="00AF771D"/>
    <w:rsid w:val="00AF7BA0"/>
    <w:rsid w:val="00AF7BFB"/>
    <w:rsid w:val="00AF7CEC"/>
    <w:rsid w:val="00AF7E22"/>
    <w:rsid w:val="00B0005F"/>
    <w:rsid w:val="00B009BB"/>
    <w:rsid w:val="00B009CB"/>
    <w:rsid w:val="00B00A92"/>
    <w:rsid w:val="00B00DBF"/>
    <w:rsid w:val="00B010CD"/>
    <w:rsid w:val="00B012F6"/>
    <w:rsid w:val="00B017C5"/>
    <w:rsid w:val="00B01A14"/>
    <w:rsid w:val="00B01B05"/>
    <w:rsid w:val="00B01B59"/>
    <w:rsid w:val="00B01D42"/>
    <w:rsid w:val="00B01DA6"/>
    <w:rsid w:val="00B01F11"/>
    <w:rsid w:val="00B020B3"/>
    <w:rsid w:val="00B0214A"/>
    <w:rsid w:val="00B026B8"/>
    <w:rsid w:val="00B02DA3"/>
    <w:rsid w:val="00B030B9"/>
    <w:rsid w:val="00B03106"/>
    <w:rsid w:val="00B03562"/>
    <w:rsid w:val="00B0364F"/>
    <w:rsid w:val="00B03882"/>
    <w:rsid w:val="00B03F3A"/>
    <w:rsid w:val="00B03FB5"/>
    <w:rsid w:val="00B03FC5"/>
    <w:rsid w:val="00B0461C"/>
    <w:rsid w:val="00B04804"/>
    <w:rsid w:val="00B048DF"/>
    <w:rsid w:val="00B048EF"/>
    <w:rsid w:val="00B0499D"/>
    <w:rsid w:val="00B04A84"/>
    <w:rsid w:val="00B04E96"/>
    <w:rsid w:val="00B05097"/>
    <w:rsid w:val="00B05198"/>
    <w:rsid w:val="00B055C8"/>
    <w:rsid w:val="00B05753"/>
    <w:rsid w:val="00B059C0"/>
    <w:rsid w:val="00B05A0E"/>
    <w:rsid w:val="00B05A89"/>
    <w:rsid w:val="00B05CC0"/>
    <w:rsid w:val="00B05D66"/>
    <w:rsid w:val="00B05EA7"/>
    <w:rsid w:val="00B05FBC"/>
    <w:rsid w:val="00B05FC0"/>
    <w:rsid w:val="00B064AA"/>
    <w:rsid w:val="00B0672B"/>
    <w:rsid w:val="00B067B2"/>
    <w:rsid w:val="00B06912"/>
    <w:rsid w:val="00B06A27"/>
    <w:rsid w:val="00B07171"/>
    <w:rsid w:val="00B07379"/>
    <w:rsid w:val="00B078F4"/>
    <w:rsid w:val="00B07A33"/>
    <w:rsid w:val="00B07ECC"/>
    <w:rsid w:val="00B1085B"/>
    <w:rsid w:val="00B10A49"/>
    <w:rsid w:val="00B1102B"/>
    <w:rsid w:val="00B1114C"/>
    <w:rsid w:val="00B111AF"/>
    <w:rsid w:val="00B116BF"/>
    <w:rsid w:val="00B1177B"/>
    <w:rsid w:val="00B11853"/>
    <w:rsid w:val="00B119D5"/>
    <w:rsid w:val="00B11FC6"/>
    <w:rsid w:val="00B1258D"/>
    <w:rsid w:val="00B12668"/>
    <w:rsid w:val="00B12714"/>
    <w:rsid w:val="00B12B12"/>
    <w:rsid w:val="00B13729"/>
    <w:rsid w:val="00B13D0A"/>
    <w:rsid w:val="00B13F92"/>
    <w:rsid w:val="00B14172"/>
    <w:rsid w:val="00B141F1"/>
    <w:rsid w:val="00B144CE"/>
    <w:rsid w:val="00B14989"/>
    <w:rsid w:val="00B14C61"/>
    <w:rsid w:val="00B153D0"/>
    <w:rsid w:val="00B15730"/>
    <w:rsid w:val="00B15AA3"/>
    <w:rsid w:val="00B15DD2"/>
    <w:rsid w:val="00B15DFD"/>
    <w:rsid w:val="00B15EEC"/>
    <w:rsid w:val="00B15F5C"/>
    <w:rsid w:val="00B1609B"/>
    <w:rsid w:val="00B162EE"/>
    <w:rsid w:val="00B1638F"/>
    <w:rsid w:val="00B165C4"/>
    <w:rsid w:val="00B16AB6"/>
    <w:rsid w:val="00B17092"/>
    <w:rsid w:val="00B1742C"/>
    <w:rsid w:val="00B179F8"/>
    <w:rsid w:val="00B17B2E"/>
    <w:rsid w:val="00B17C10"/>
    <w:rsid w:val="00B17D43"/>
    <w:rsid w:val="00B17F4A"/>
    <w:rsid w:val="00B17FC9"/>
    <w:rsid w:val="00B20299"/>
    <w:rsid w:val="00B202C5"/>
    <w:rsid w:val="00B20388"/>
    <w:rsid w:val="00B20478"/>
    <w:rsid w:val="00B20B76"/>
    <w:rsid w:val="00B20DA8"/>
    <w:rsid w:val="00B20DE0"/>
    <w:rsid w:val="00B20F51"/>
    <w:rsid w:val="00B2115D"/>
    <w:rsid w:val="00B212E8"/>
    <w:rsid w:val="00B217F3"/>
    <w:rsid w:val="00B21D8E"/>
    <w:rsid w:val="00B2201B"/>
    <w:rsid w:val="00B22310"/>
    <w:rsid w:val="00B226FF"/>
    <w:rsid w:val="00B22BA8"/>
    <w:rsid w:val="00B22C03"/>
    <w:rsid w:val="00B22F9E"/>
    <w:rsid w:val="00B23113"/>
    <w:rsid w:val="00B23323"/>
    <w:rsid w:val="00B23AA6"/>
    <w:rsid w:val="00B23CE6"/>
    <w:rsid w:val="00B23D3D"/>
    <w:rsid w:val="00B23DA8"/>
    <w:rsid w:val="00B24087"/>
    <w:rsid w:val="00B24138"/>
    <w:rsid w:val="00B24165"/>
    <w:rsid w:val="00B2448C"/>
    <w:rsid w:val="00B245E8"/>
    <w:rsid w:val="00B247DF"/>
    <w:rsid w:val="00B249EC"/>
    <w:rsid w:val="00B24A25"/>
    <w:rsid w:val="00B24BAF"/>
    <w:rsid w:val="00B24E11"/>
    <w:rsid w:val="00B24F57"/>
    <w:rsid w:val="00B2583C"/>
    <w:rsid w:val="00B25C34"/>
    <w:rsid w:val="00B25CFB"/>
    <w:rsid w:val="00B25E95"/>
    <w:rsid w:val="00B26431"/>
    <w:rsid w:val="00B2649D"/>
    <w:rsid w:val="00B2695B"/>
    <w:rsid w:val="00B269DF"/>
    <w:rsid w:val="00B26CA6"/>
    <w:rsid w:val="00B2719E"/>
    <w:rsid w:val="00B272B1"/>
    <w:rsid w:val="00B273E9"/>
    <w:rsid w:val="00B27714"/>
    <w:rsid w:val="00B27A43"/>
    <w:rsid w:val="00B27A52"/>
    <w:rsid w:val="00B27B75"/>
    <w:rsid w:val="00B27BC1"/>
    <w:rsid w:val="00B27C65"/>
    <w:rsid w:val="00B27E86"/>
    <w:rsid w:val="00B300F5"/>
    <w:rsid w:val="00B300FF"/>
    <w:rsid w:val="00B3010E"/>
    <w:rsid w:val="00B30191"/>
    <w:rsid w:val="00B303D2"/>
    <w:rsid w:val="00B30431"/>
    <w:rsid w:val="00B3066F"/>
    <w:rsid w:val="00B3101F"/>
    <w:rsid w:val="00B3119C"/>
    <w:rsid w:val="00B31211"/>
    <w:rsid w:val="00B313AD"/>
    <w:rsid w:val="00B315A4"/>
    <w:rsid w:val="00B319BB"/>
    <w:rsid w:val="00B31AF1"/>
    <w:rsid w:val="00B31B71"/>
    <w:rsid w:val="00B31CD6"/>
    <w:rsid w:val="00B31EA6"/>
    <w:rsid w:val="00B31F0C"/>
    <w:rsid w:val="00B31F2D"/>
    <w:rsid w:val="00B32039"/>
    <w:rsid w:val="00B320CA"/>
    <w:rsid w:val="00B32147"/>
    <w:rsid w:val="00B3252E"/>
    <w:rsid w:val="00B32559"/>
    <w:rsid w:val="00B3282B"/>
    <w:rsid w:val="00B3288D"/>
    <w:rsid w:val="00B3299E"/>
    <w:rsid w:val="00B32AC5"/>
    <w:rsid w:val="00B32BF1"/>
    <w:rsid w:val="00B32C08"/>
    <w:rsid w:val="00B32C29"/>
    <w:rsid w:val="00B3314D"/>
    <w:rsid w:val="00B33266"/>
    <w:rsid w:val="00B33281"/>
    <w:rsid w:val="00B332F5"/>
    <w:rsid w:val="00B3330D"/>
    <w:rsid w:val="00B3375D"/>
    <w:rsid w:val="00B339B5"/>
    <w:rsid w:val="00B33B26"/>
    <w:rsid w:val="00B33DB3"/>
    <w:rsid w:val="00B340AB"/>
    <w:rsid w:val="00B347F3"/>
    <w:rsid w:val="00B34899"/>
    <w:rsid w:val="00B34E1A"/>
    <w:rsid w:val="00B34F5A"/>
    <w:rsid w:val="00B356B4"/>
    <w:rsid w:val="00B357FE"/>
    <w:rsid w:val="00B35FA7"/>
    <w:rsid w:val="00B35FAB"/>
    <w:rsid w:val="00B36493"/>
    <w:rsid w:val="00B365F7"/>
    <w:rsid w:val="00B365FD"/>
    <w:rsid w:val="00B36665"/>
    <w:rsid w:val="00B3680C"/>
    <w:rsid w:val="00B3688D"/>
    <w:rsid w:val="00B36CD6"/>
    <w:rsid w:val="00B36CE8"/>
    <w:rsid w:val="00B36CEB"/>
    <w:rsid w:val="00B37246"/>
    <w:rsid w:val="00B375FF"/>
    <w:rsid w:val="00B377A1"/>
    <w:rsid w:val="00B37876"/>
    <w:rsid w:val="00B37BC6"/>
    <w:rsid w:val="00B37E33"/>
    <w:rsid w:val="00B4029D"/>
    <w:rsid w:val="00B40451"/>
    <w:rsid w:val="00B40659"/>
    <w:rsid w:val="00B4083B"/>
    <w:rsid w:val="00B40B88"/>
    <w:rsid w:val="00B40C21"/>
    <w:rsid w:val="00B40DA8"/>
    <w:rsid w:val="00B40F8D"/>
    <w:rsid w:val="00B4114E"/>
    <w:rsid w:val="00B412C9"/>
    <w:rsid w:val="00B41409"/>
    <w:rsid w:val="00B41AAC"/>
    <w:rsid w:val="00B41D10"/>
    <w:rsid w:val="00B41E6B"/>
    <w:rsid w:val="00B41E9E"/>
    <w:rsid w:val="00B4205C"/>
    <w:rsid w:val="00B421D6"/>
    <w:rsid w:val="00B4225D"/>
    <w:rsid w:val="00B4226D"/>
    <w:rsid w:val="00B42314"/>
    <w:rsid w:val="00B42F91"/>
    <w:rsid w:val="00B4333D"/>
    <w:rsid w:val="00B4349D"/>
    <w:rsid w:val="00B434AC"/>
    <w:rsid w:val="00B438B5"/>
    <w:rsid w:val="00B43963"/>
    <w:rsid w:val="00B43972"/>
    <w:rsid w:val="00B439DB"/>
    <w:rsid w:val="00B43CB7"/>
    <w:rsid w:val="00B44236"/>
    <w:rsid w:val="00B4434F"/>
    <w:rsid w:val="00B4441B"/>
    <w:rsid w:val="00B44482"/>
    <w:rsid w:val="00B44D60"/>
    <w:rsid w:val="00B44F1C"/>
    <w:rsid w:val="00B44FEA"/>
    <w:rsid w:val="00B44FFC"/>
    <w:rsid w:val="00B4505D"/>
    <w:rsid w:val="00B4516B"/>
    <w:rsid w:val="00B4535C"/>
    <w:rsid w:val="00B456B8"/>
    <w:rsid w:val="00B45CBE"/>
    <w:rsid w:val="00B4603B"/>
    <w:rsid w:val="00B461BB"/>
    <w:rsid w:val="00B461D8"/>
    <w:rsid w:val="00B462F6"/>
    <w:rsid w:val="00B46420"/>
    <w:rsid w:val="00B46673"/>
    <w:rsid w:val="00B46746"/>
    <w:rsid w:val="00B46A43"/>
    <w:rsid w:val="00B46ACE"/>
    <w:rsid w:val="00B46C6A"/>
    <w:rsid w:val="00B47336"/>
    <w:rsid w:val="00B473FF"/>
    <w:rsid w:val="00B47788"/>
    <w:rsid w:val="00B478AD"/>
    <w:rsid w:val="00B4798B"/>
    <w:rsid w:val="00B47A33"/>
    <w:rsid w:val="00B47DE1"/>
    <w:rsid w:val="00B50260"/>
    <w:rsid w:val="00B50532"/>
    <w:rsid w:val="00B506E6"/>
    <w:rsid w:val="00B50D55"/>
    <w:rsid w:val="00B50D76"/>
    <w:rsid w:val="00B51127"/>
    <w:rsid w:val="00B512AA"/>
    <w:rsid w:val="00B515F8"/>
    <w:rsid w:val="00B51702"/>
    <w:rsid w:val="00B51A61"/>
    <w:rsid w:val="00B51AC0"/>
    <w:rsid w:val="00B51D02"/>
    <w:rsid w:val="00B51D7C"/>
    <w:rsid w:val="00B52060"/>
    <w:rsid w:val="00B520F9"/>
    <w:rsid w:val="00B52351"/>
    <w:rsid w:val="00B52369"/>
    <w:rsid w:val="00B5297A"/>
    <w:rsid w:val="00B52A51"/>
    <w:rsid w:val="00B52D81"/>
    <w:rsid w:val="00B53068"/>
    <w:rsid w:val="00B53094"/>
    <w:rsid w:val="00B5334D"/>
    <w:rsid w:val="00B53378"/>
    <w:rsid w:val="00B53591"/>
    <w:rsid w:val="00B53B86"/>
    <w:rsid w:val="00B53E09"/>
    <w:rsid w:val="00B54162"/>
    <w:rsid w:val="00B54180"/>
    <w:rsid w:val="00B54294"/>
    <w:rsid w:val="00B545F6"/>
    <w:rsid w:val="00B546A6"/>
    <w:rsid w:val="00B54700"/>
    <w:rsid w:val="00B54C5D"/>
    <w:rsid w:val="00B554C9"/>
    <w:rsid w:val="00B55560"/>
    <w:rsid w:val="00B567A3"/>
    <w:rsid w:val="00B56B60"/>
    <w:rsid w:val="00B5732F"/>
    <w:rsid w:val="00B57439"/>
    <w:rsid w:val="00B575F1"/>
    <w:rsid w:val="00B578DD"/>
    <w:rsid w:val="00B57BAF"/>
    <w:rsid w:val="00B57C06"/>
    <w:rsid w:val="00B57D26"/>
    <w:rsid w:val="00B57E68"/>
    <w:rsid w:val="00B57EE6"/>
    <w:rsid w:val="00B57FD4"/>
    <w:rsid w:val="00B6054C"/>
    <w:rsid w:val="00B60D41"/>
    <w:rsid w:val="00B60E92"/>
    <w:rsid w:val="00B61010"/>
    <w:rsid w:val="00B610F4"/>
    <w:rsid w:val="00B61260"/>
    <w:rsid w:val="00B616EC"/>
    <w:rsid w:val="00B61810"/>
    <w:rsid w:val="00B61B63"/>
    <w:rsid w:val="00B61C11"/>
    <w:rsid w:val="00B61C88"/>
    <w:rsid w:val="00B61D81"/>
    <w:rsid w:val="00B62173"/>
    <w:rsid w:val="00B622B1"/>
    <w:rsid w:val="00B62420"/>
    <w:rsid w:val="00B625CC"/>
    <w:rsid w:val="00B628FB"/>
    <w:rsid w:val="00B62B9C"/>
    <w:rsid w:val="00B62CAD"/>
    <w:rsid w:val="00B62D4E"/>
    <w:rsid w:val="00B62E85"/>
    <w:rsid w:val="00B62F29"/>
    <w:rsid w:val="00B630ED"/>
    <w:rsid w:val="00B6322B"/>
    <w:rsid w:val="00B6358B"/>
    <w:rsid w:val="00B6371D"/>
    <w:rsid w:val="00B63830"/>
    <w:rsid w:val="00B6394A"/>
    <w:rsid w:val="00B63B4F"/>
    <w:rsid w:val="00B640D0"/>
    <w:rsid w:val="00B641DC"/>
    <w:rsid w:val="00B6468E"/>
    <w:rsid w:val="00B647C0"/>
    <w:rsid w:val="00B64815"/>
    <w:rsid w:val="00B64B45"/>
    <w:rsid w:val="00B64B80"/>
    <w:rsid w:val="00B65581"/>
    <w:rsid w:val="00B655BB"/>
    <w:rsid w:val="00B655CE"/>
    <w:rsid w:val="00B6569F"/>
    <w:rsid w:val="00B65827"/>
    <w:rsid w:val="00B65D6E"/>
    <w:rsid w:val="00B65D7D"/>
    <w:rsid w:val="00B65E19"/>
    <w:rsid w:val="00B65E80"/>
    <w:rsid w:val="00B66335"/>
    <w:rsid w:val="00B665C3"/>
    <w:rsid w:val="00B66622"/>
    <w:rsid w:val="00B669DA"/>
    <w:rsid w:val="00B66A0A"/>
    <w:rsid w:val="00B66D85"/>
    <w:rsid w:val="00B66F6D"/>
    <w:rsid w:val="00B6722F"/>
    <w:rsid w:val="00B672A3"/>
    <w:rsid w:val="00B67325"/>
    <w:rsid w:val="00B67838"/>
    <w:rsid w:val="00B6788E"/>
    <w:rsid w:val="00B67A38"/>
    <w:rsid w:val="00B67FF8"/>
    <w:rsid w:val="00B70076"/>
    <w:rsid w:val="00B700E3"/>
    <w:rsid w:val="00B70177"/>
    <w:rsid w:val="00B70767"/>
    <w:rsid w:val="00B709E1"/>
    <w:rsid w:val="00B70CB8"/>
    <w:rsid w:val="00B70D26"/>
    <w:rsid w:val="00B70F25"/>
    <w:rsid w:val="00B7165C"/>
    <w:rsid w:val="00B716DF"/>
    <w:rsid w:val="00B71732"/>
    <w:rsid w:val="00B71796"/>
    <w:rsid w:val="00B718AF"/>
    <w:rsid w:val="00B71C85"/>
    <w:rsid w:val="00B71F90"/>
    <w:rsid w:val="00B720C6"/>
    <w:rsid w:val="00B724DE"/>
    <w:rsid w:val="00B72564"/>
    <w:rsid w:val="00B72825"/>
    <w:rsid w:val="00B72845"/>
    <w:rsid w:val="00B72CE5"/>
    <w:rsid w:val="00B72DAE"/>
    <w:rsid w:val="00B72DE9"/>
    <w:rsid w:val="00B7358B"/>
    <w:rsid w:val="00B739A0"/>
    <w:rsid w:val="00B73A00"/>
    <w:rsid w:val="00B73AA1"/>
    <w:rsid w:val="00B73B41"/>
    <w:rsid w:val="00B73CBC"/>
    <w:rsid w:val="00B741F0"/>
    <w:rsid w:val="00B7456C"/>
    <w:rsid w:val="00B74699"/>
    <w:rsid w:val="00B7488C"/>
    <w:rsid w:val="00B74EF1"/>
    <w:rsid w:val="00B7503F"/>
    <w:rsid w:val="00B75164"/>
    <w:rsid w:val="00B756FE"/>
    <w:rsid w:val="00B7577E"/>
    <w:rsid w:val="00B75BF0"/>
    <w:rsid w:val="00B75D17"/>
    <w:rsid w:val="00B75EF4"/>
    <w:rsid w:val="00B762AD"/>
    <w:rsid w:val="00B765EC"/>
    <w:rsid w:val="00B765F0"/>
    <w:rsid w:val="00B765FC"/>
    <w:rsid w:val="00B767FB"/>
    <w:rsid w:val="00B76E34"/>
    <w:rsid w:val="00B7716B"/>
    <w:rsid w:val="00B77297"/>
    <w:rsid w:val="00B773DC"/>
    <w:rsid w:val="00B77484"/>
    <w:rsid w:val="00B7794E"/>
    <w:rsid w:val="00B77C9B"/>
    <w:rsid w:val="00B77E93"/>
    <w:rsid w:val="00B800B4"/>
    <w:rsid w:val="00B8037E"/>
    <w:rsid w:val="00B8037F"/>
    <w:rsid w:val="00B803FA"/>
    <w:rsid w:val="00B806FE"/>
    <w:rsid w:val="00B80B21"/>
    <w:rsid w:val="00B80B4F"/>
    <w:rsid w:val="00B80E77"/>
    <w:rsid w:val="00B81790"/>
    <w:rsid w:val="00B81C0C"/>
    <w:rsid w:val="00B81C92"/>
    <w:rsid w:val="00B81FFF"/>
    <w:rsid w:val="00B820D8"/>
    <w:rsid w:val="00B82460"/>
    <w:rsid w:val="00B82736"/>
    <w:rsid w:val="00B828EB"/>
    <w:rsid w:val="00B82B6B"/>
    <w:rsid w:val="00B82BC3"/>
    <w:rsid w:val="00B82C25"/>
    <w:rsid w:val="00B83259"/>
    <w:rsid w:val="00B833F2"/>
    <w:rsid w:val="00B836D8"/>
    <w:rsid w:val="00B83717"/>
    <w:rsid w:val="00B83778"/>
    <w:rsid w:val="00B83952"/>
    <w:rsid w:val="00B83980"/>
    <w:rsid w:val="00B83DB3"/>
    <w:rsid w:val="00B83F7D"/>
    <w:rsid w:val="00B840A7"/>
    <w:rsid w:val="00B84448"/>
    <w:rsid w:val="00B845CD"/>
    <w:rsid w:val="00B84654"/>
    <w:rsid w:val="00B84A0F"/>
    <w:rsid w:val="00B84A68"/>
    <w:rsid w:val="00B84AFF"/>
    <w:rsid w:val="00B84CF5"/>
    <w:rsid w:val="00B84F6A"/>
    <w:rsid w:val="00B85422"/>
    <w:rsid w:val="00B854FE"/>
    <w:rsid w:val="00B863FF"/>
    <w:rsid w:val="00B866B8"/>
    <w:rsid w:val="00B86A60"/>
    <w:rsid w:val="00B86A6A"/>
    <w:rsid w:val="00B86BCB"/>
    <w:rsid w:val="00B86C5D"/>
    <w:rsid w:val="00B86D0A"/>
    <w:rsid w:val="00B86D6F"/>
    <w:rsid w:val="00B86F4A"/>
    <w:rsid w:val="00B873B8"/>
    <w:rsid w:val="00B87620"/>
    <w:rsid w:val="00B87966"/>
    <w:rsid w:val="00B879DD"/>
    <w:rsid w:val="00B87A6B"/>
    <w:rsid w:val="00B87B38"/>
    <w:rsid w:val="00B87D33"/>
    <w:rsid w:val="00B87F8A"/>
    <w:rsid w:val="00B90059"/>
    <w:rsid w:val="00B90257"/>
    <w:rsid w:val="00B904A0"/>
    <w:rsid w:val="00B904C6"/>
    <w:rsid w:val="00B904C8"/>
    <w:rsid w:val="00B90713"/>
    <w:rsid w:val="00B907C9"/>
    <w:rsid w:val="00B90811"/>
    <w:rsid w:val="00B90876"/>
    <w:rsid w:val="00B90A51"/>
    <w:rsid w:val="00B90B02"/>
    <w:rsid w:val="00B90C1B"/>
    <w:rsid w:val="00B90CFD"/>
    <w:rsid w:val="00B90D4C"/>
    <w:rsid w:val="00B912E5"/>
    <w:rsid w:val="00B91516"/>
    <w:rsid w:val="00B91C7C"/>
    <w:rsid w:val="00B91C96"/>
    <w:rsid w:val="00B91E7B"/>
    <w:rsid w:val="00B91F08"/>
    <w:rsid w:val="00B9205D"/>
    <w:rsid w:val="00B920FB"/>
    <w:rsid w:val="00B92638"/>
    <w:rsid w:val="00B9268D"/>
    <w:rsid w:val="00B92878"/>
    <w:rsid w:val="00B92893"/>
    <w:rsid w:val="00B9292E"/>
    <w:rsid w:val="00B92AAB"/>
    <w:rsid w:val="00B92B25"/>
    <w:rsid w:val="00B92E94"/>
    <w:rsid w:val="00B92F78"/>
    <w:rsid w:val="00B93025"/>
    <w:rsid w:val="00B93308"/>
    <w:rsid w:val="00B93EFF"/>
    <w:rsid w:val="00B93FEB"/>
    <w:rsid w:val="00B94274"/>
    <w:rsid w:val="00B949CC"/>
    <w:rsid w:val="00B94E25"/>
    <w:rsid w:val="00B9524A"/>
    <w:rsid w:val="00B95301"/>
    <w:rsid w:val="00B95392"/>
    <w:rsid w:val="00B9583F"/>
    <w:rsid w:val="00B95FDE"/>
    <w:rsid w:val="00B9602F"/>
    <w:rsid w:val="00B9608C"/>
    <w:rsid w:val="00B961C5"/>
    <w:rsid w:val="00B9643F"/>
    <w:rsid w:val="00B9658C"/>
    <w:rsid w:val="00B96A63"/>
    <w:rsid w:val="00B96B41"/>
    <w:rsid w:val="00B96BE6"/>
    <w:rsid w:val="00B96CF7"/>
    <w:rsid w:val="00B96E4D"/>
    <w:rsid w:val="00B9710E"/>
    <w:rsid w:val="00B973B3"/>
    <w:rsid w:val="00B974C7"/>
    <w:rsid w:val="00B97A90"/>
    <w:rsid w:val="00B97BAC"/>
    <w:rsid w:val="00B97DC9"/>
    <w:rsid w:val="00B97F53"/>
    <w:rsid w:val="00B97F83"/>
    <w:rsid w:val="00BA001F"/>
    <w:rsid w:val="00BA0299"/>
    <w:rsid w:val="00BA06ED"/>
    <w:rsid w:val="00BA0800"/>
    <w:rsid w:val="00BA0A07"/>
    <w:rsid w:val="00BA0CD1"/>
    <w:rsid w:val="00BA0D16"/>
    <w:rsid w:val="00BA0D2C"/>
    <w:rsid w:val="00BA0E23"/>
    <w:rsid w:val="00BA0E8D"/>
    <w:rsid w:val="00BA0F38"/>
    <w:rsid w:val="00BA112D"/>
    <w:rsid w:val="00BA11E1"/>
    <w:rsid w:val="00BA130D"/>
    <w:rsid w:val="00BA1389"/>
    <w:rsid w:val="00BA2006"/>
    <w:rsid w:val="00BA20C7"/>
    <w:rsid w:val="00BA217C"/>
    <w:rsid w:val="00BA23CB"/>
    <w:rsid w:val="00BA254F"/>
    <w:rsid w:val="00BA278C"/>
    <w:rsid w:val="00BA2A57"/>
    <w:rsid w:val="00BA2B17"/>
    <w:rsid w:val="00BA2C4E"/>
    <w:rsid w:val="00BA31D8"/>
    <w:rsid w:val="00BA31ED"/>
    <w:rsid w:val="00BA335D"/>
    <w:rsid w:val="00BA3522"/>
    <w:rsid w:val="00BA36A4"/>
    <w:rsid w:val="00BA3890"/>
    <w:rsid w:val="00BA3989"/>
    <w:rsid w:val="00BA3B1E"/>
    <w:rsid w:val="00BA3D5F"/>
    <w:rsid w:val="00BA3EA9"/>
    <w:rsid w:val="00BA40E0"/>
    <w:rsid w:val="00BA42A5"/>
    <w:rsid w:val="00BA446C"/>
    <w:rsid w:val="00BA494A"/>
    <w:rsid w:val="00BA4B81"/>
    <w:rsid w:val="00BA4F14"/>
    <w:rsid w:val="00BA4F45"/>
    <w:rsid w:val="00BA5189"/>
    <w:rsid w:val="00BA5215"/>
    <w:rsid w:val="00BA548C"/>
    <w:rsid w:val="00BA58EC"/>
    <w:rsid w:val="00BA59CD"/>
    <w:rsid w:val="00BA6189"/>
    <w:rsid w:val="00BA620C"/>
    <w:rsid w:val="00BA6ADF"/>
    <w:rsid w:val="00BA6B99"/>
    <w:rsid w:val="00BA6D97"/>
    <w:rsid w:val="00BA6F1F"/>
    <w:rsid w:val="00BA6F71"/>
    <w:rsid w:val="00BA7475"/>
    <w:rsid w:val="00BA79CB"/>
    <w:rsid w:val="00BA7EF4"/>
    <w:rsid w:val="00BB021E"/>
    <w:rsid w:val="00BB065F"/>
    <w:rsid w:val="00BB0B27"/>
    <w:rsid w:val="00BB14AD"/>
    <w:rsid w:val="00BB14FC"/>
    <w:rsid w:val="00BB199E"/>
    <w:rsid w:val="00BB19C5"/>
    <w:rsid w:val="00BB2649"/>
    <w:rsid w:val="00BB29CB"/>
    <w:rsid w:val="00BB2B75"/>
    <w:rsid w:val="00BB2D3E"/>
    <w:rsid w:val="00BB3154"/>
    <w:rsid w:val="00BB327A"/>
    <w:rsid w:val="00BB32C7"/>
    <w:rsid w:val="00BB363C"/>
    <w:rsid w:val="00BB3C64"/>
    <w:rsid w:val="00BB3EA7"/>
    <w:rsid w:val="00BB411E"/>
    <w:rsid w:val="00BB4659"/>
    <w:rsid w:val="00BB4838"/>
    <w:rsid w:val="00BB49C9"/>
    <w:rsid w:val="00BB4BE5"/>
    <w:rsid w:val="00BB4BFA"/>
    <w:rsid w:val="00BB4E3C"/>
    <w:rsid w:val="00BB4E4F"/>
    <w:rsid w:val="00BB5968"/>
    <w:rsid w:val="00BB59EA"/>
    <w:rsid w:val="00BB5B7B"/>
    <w:rsid w:val="00BB5BE6"/>
    <w:rsid w:val="00BB5E7C"/>
    <w:rsid w:val="00BB63C8"/>
    <w:rsid w:val="00BB65B5"/>
    <w:rsid w:val="00BB6787"/>
    <w:rsid w:val="00BB68ED"/>
    <w:rsid w:val="00BB691C"/>
    <w:rsid w:val="00BB6B99"/>
    <w:rsid w:val="00BB71C3"/>
    <w:rsid w:val="00BB74BB"/>
    <w:rsid w:val="00BB74E7"/>
    <w:rsid w:val="00BB7620"/>
    <w:rsid w:val="00BB77A7"/>
    <w:rsid w:val="00BB77B6"/>
    <w:rsid w:val="00BB780B"/>
    <w:rsid w:val="00BB7D0A"/>
    <w:rsid w:val="00BB7DB7"/>
    <w:rsid w:val="00BB7F8C"/>
    <w:rsid w:val="00BC00A3"/>
    <w:rsid w:val="00BC0253"/>
    <w:rsid w:val="00BC0529"/>
    <w:rsid w:val="00BC0668"/>
    <w:rsid w:val="00BC0904"/>
    <w:rsid w:val="00BC0A1B"/>
    <w:rsid w:val="00BC0C20"/>
    <w:rsid w:val="00BC0D1D"/>
    <w:rsid w:val="00BC0FA4"/>
    <w:rsid w:val="00BC100F"/>
    <w:rsid w:val="00BC1053"/>
    <w:rsid w:val="00BC1115"/>
    <w:rsid w:val="00BC1137"/>
    <w:rsid w:val="00BC131A"/>
    <w:rsid w:val="00BC1371"/>
    <w:rsid w:val="00BC18CD"/>
    <w:rsid w:val="00BC1B17"/>
    <w:rsid w:val="00BC1C13"/>
    <w:rsid w:val="00BC1C3F"/>
    <w:rsid w:val="00BC1E2E"/>
    <w:rsid w:val="00BC227C"/>
    <w:rsid w:val="00BC2572"/>
    <w:rsid w:val="00BC260C"/>
    <w:rsid w:val="00BC2837"/>
    <w:rsid w:val="00BC2873"/>
    <w:rsid w:val="00BC2974"/>
    <w:rsid w:val="00BC2A60"/>
    <w:rsid w:val="00BC2A8C"/>
    <w:rsid w:val="00BC2F80"/>
    <w:rsid w:val="00BC30BE"/>
    <w:rsid w:val="00BC38B8"/>
    <w:rsid w:val="00BC3E76"/>
    <w:rsid w:val="00BC3F59"/>
    <w:rsid w:val="00BC5378"/>
    <w:rsid w:val="00BC5602"/>
    <w:rsid w:val="00BC57BB"/>
    <w:rsid w:val="00BC5E96"/>
    <w:rsid w:val="00BC5EC8"/>
    <w:rsid w:val="00BC5F32"/>
    <w:rsid w:val="00BC608A"/>
    <w:rsid w:val="00BC613C"/>
    <w:rsid w:val="00BC644F"/>
    <w:rsid w:val="00BC65B2"/>
    <w:rsid w:val="00BC6B28"/>
    <w:rsid w:val="00BC6E66"/>
    <w:rsid w:val="00BC754F"/>
    <w:rsid w:val="00BC7899"/>
    <w:rsid w:val="00BD0327"/>
    <w:rsid w:val="00BD039D"/>
    <w:rsid w:val="00BD045F"/>
    <w:rsid w:val="00BD076F"/>
    <w:rsid w:val="00BD0A91"/>
    <w:rsid w:val="00BD0B8F"/>
    <w:rsid w:val="00BD108F"/>
    <w:rsid w:val="00BD123A"/>
    <w:rsid w:val="00BD1432"/>
    <w:rsid w:val="00BD15AF"/>
    <w:rsid w:val="00BD1A41"/>
    <w:rsid w:val="00BD1D67"/>
    <w:rsid w:val="00BD1DC1"/>
    <w:rsid w:val="00BD24F1"/>
    <w:rsid w:val="00BD250E"/>
    <w:rsid w:val="00BD2AE2"/>
    <w:rsid w:val="00BD2CEF"/>
    <w:rsid w:val="00BD2E97"/>
    <w:rsid w:val="00BD2F90"/>
    <w:rsid w:val="00BD3023"/>
    <w:rsid w:val="00BD311C"/>
    <w:rsid w:val="00BD315F"/>
    <w:rsid w:val="00BD324D"/>
    <w:rsid w:val="00BD38EA"/>
    <w:rsid w:val="00BD3966"/>
    <w:rsid w:val="00BD39AE"/>
    <w:rsid w:val="00BD3BA3"/>
    <w:rsid w:val="00BD3F9F"/>
    <w:rsid w:val="00BD405F"/>
    <w:rsid w:val="00BD4389"/>
    <w:rsid w:val="00BD43C2"/>
    <w:rsid w:val="00BD4521"/>
    <w:rsid w:val="00BD452F"/>
    <w:rsid w:val="00BD45C7"/>
    <w:rsid w:val="00BD45F3"/>
    <w:rsid w:val="00BD4600"/>
    <w:rsid w:val="00BD46CA"/>
    <w:rsid w:val="00BD4AB5"/>
    <w:rsid w:val="00BD4AB8"/>
    <w:rsid w:val="00BD4D12"/>
    <w:rsid w:val="00BD4DBD"/>
    <w:rsid w:val="00BD4E85"/>
    <w:rsid w:val="00BD50A7"/>
    <w:rsid w:val="00BD516B"/>
    <w:rsid w:val="00BD566F"/>
    <w:rsid w:val="00BD5BB9"/>
    <w:rsid w:val="00BD639E"/>
    <w:rsid w:val="00BD657D"/>
    <w:rsid w:val="00BD67FE"/>
    <w:rsid w:val="00BD692A"/>
    <w:rsid w:val="00BD69BB"/>
    <w:rsid w:val="00BD702E"/>
    <w:rsid w:val="00BD722B"/>
    <w:rsid w:val="00BD7399"/>
    <w:rsid w:val="00BD7782"/>
    <w:rsid w:val="00BD77D7"/>
    <w:rsid w:val="00BD78A4"/>
    <w:rsid w:val="00BD78A5"/>
    <w:rsid w:val="00BD7A71"/>
    <w:rsid w:val="00BD7F6F"/>
    <w:rsid w:val="00BE0304"/>
    <w:rsid w:val="00BE031C"/>
    <w:rsid w:val="00BE0EE7"/>
    <w:rsid w:val="00BE13BC"/>
    <w:rsid w:val="00BE1671"/>
    <w:rsid w:val="00BE1893"/>
    <w:rsid w:val="00BE1A37"/>
    <w:rsid w:val="00BE1A6A"/>
    <w:rsid w:val="00BE20CF"/>
    <w:rsid w:val="00BE217A"/>
    <w:rsid w:val="00BE23B2"/>
    <w:rsid w:val="00BE2554"/>
    <w:rsid w:val="00BE27AF"/>
    <w:rsid w:val="00BE29ED"/>
    <w:rsid w:val="00BE2A3B"/>
    <w:rsid w:val="00BE2B5A"/>
    <w:rsid w:val="00BE2BBD"/>
    <w:rsid w:val="00BE2D2E"/>
    <w:rsid w:val="00BE3093"/>
    <w:rsid w:val="00BE3102"/>
    <w:rsid w:val="00BE32E8"/>
    <w:rsid w:val="00BE350B"/>
    <w:rsid w:val="00BE3530"/>
    <w:rsid w:val="00BE3737"/>
    <w:rsid w:val="00BE37EC"/>
    <w:rsid w:val="00BE3A57"/>
    <w:rsid w:val="00BE40A2"/>
    <w:rsid w:val="00BE4343"/>
    <w:rsid w:val="00BE44CE"/>
    <w:rsid w:val="00BE4728"/>
    <w:rsid w:val="00BE4A53"/>
    <w:rsid w:val="00BE4A5C"/>
    <w:rsid w:val="00BE4EFF"/>
    <w:rsid w:val="00BE5074"/>
    <w:rsid w:val="00BE5163"/>
    <w:rsid w:val="00BE54DC"/>
    <w:rsid w:val="00BE55FD"/>
    <w:rsid w:val="00BE5913"/>
    <w:rsid w:val="00BE5975"/>
    <w:rsid w:val="00BE613D"/>
    <w:rsid w:val="00BE6AED"/>
    <w:rsid w:val="00BE6BCD"/>
    <w:rsid w:val="00BE753B"/>
    <w:rsid w:val="00BE7619"/>
    <w:rsid w:val="00BE76C2"/>
    <w:rsid w:val="00BE76DC"/>
    <w:rsid w:val="00BE78D7"/>
    <w:rsid w:val="00BE78EC"/>
    <w:rsid w:val="00BE7BC5"/>
    <w:rsid w:val="00BE7C44"/>
    <w:rsid w:val="00BE7C98"/>
    <w:rsid w:val="00BE7F35"/>
    <w:rsid w:val="00BE7FA7"/>
    <w:rsid w:val="00BF009F"/>
    <w:rsid w:val="00BF026C"/>
    <w:rsid w:val="00BF02D2"/>
    <w:rsid w:val="00BF0378"/>
    <w:rsid w:val="00BF045A"/>
    <w:rsid w:val="00BF0677"/>
    <w:rsid w:val="00BF07E7"/>
    <w:rsid w:val="00BF0992"/>
    <w:rsid w:val="00BF0A11"/>
    <w:rsid w:val="00BF0A52"/>
    <w:rsid w:val="00BF0B30"/>
    <w:rsid w:val="00BF0BAB"/>
    <w:rsid w:val="00BF0EA8"/>
    <w:rsid w:val="00BF12F5"/>
    <w:rsid w:val="00BF138E"/>
    <w:rsid w:val="00BF15C1"/>
    <w:rsid w:val="00BF1657"/>
    <w:rsid w:val="00BF19DD"/>
    <w:rsid w:val="00BF1A38"/>
    <w:rsid w:val="00BF24A6"/>
    <w:rsid w:val="00BF26CD"/>
    <w:rsid w:val="00BF285F"/>
    <w:rsid w:val="00BF2915"/>
    <w:rsid w:val="00BF2A2A"/>
    <w:rsid w:val="00BF2AEC"/>
    <w:rsid w:val="00BF2F52"/>
    <w:rsid w:val="00BF3050"/>
    <w:rsid w:val="00BF30F8"/>
    <w:rsid w:val="00BF386F"/>
    <w:rsid w:val="00BF3B19"/>
    <w:rsid w:val="00BF3DD4"/>
    <w:rsid w:val="00BF3FD0"/>
    <w:rsid w:val="00BF4014"/>
    <w:rsid w:val="00BF47BA"/>
    <w:rsid w:val="00BF4BCA"/>
    <w:rsid w:val="00BF4EBA"/>
    <w:rsid w:val="00BF4FB4"/>
    <w:rsid w:val="00BF5587"/>
    <w:rsid w:val="00BF5689"/>
    <w:rsid w:val="00BF56DF"/>
    <w:rsid w:val="00BF58F2"/>
    <w:rsid w:val="00BF5CB5"/>
    <w:rsid w:val="00BF5DCD"/>
    <w:rsid w:val="00BF609B"/>
    <w:rsid w:val="00BF60DC"/>
    <w:rsid w:val="00BF6258"/>
    <w:rsid w:val="00BF655C"/>
    <w:rsid w:val="00BF657A"/>
    <w:rsid w:val="00BF66BD"/>
    <w:rsid w:val="00BF685F"/>
    <w:rsid w:val="00BF689D"/>
    <w:rsid w:val="00BF6974"/>
    <w:rsid w:val="00BF6DFE"/>
    <w:rsid w:val="00BF7296"/>
    <w:rsid w:val="00BF7320"/>
    <w:rsid w:val="00BF77FF"/>
    <w:rsid w:val="00BF7987"/>
    <w:rsid w:val="00BF79A5"/>
    <w:rsid w:val="00BF7B88"/>
    <w:rsid w:val="00BF7BAA"/>
    <w:rsid w:val="00BF7D89"/>
    <w:rsid w:val="00C00018"/>
    <w:rsid w:val="00C00333"/>
    <w:rsid w:val="00C00580"/>
    <w:rsid w:val="00C0067C"/>
    <w:rsid w:val="00C00843"/>
    <w:rsid w:val="00C00B20"/>
    <w:rsid w:val="00C00D6D"/>
    <w:rsid w:val="00C00F5A"/>
    <w:rsid w:val="00C01021"/>
    <w:rsid w:val="00C010DD"/>
    <w:rsid w:val="00C0124E"/>
    <w:rsid w:val="00C013D9"/>
    <w:rsid w:val="00C01450"/>
    <w:rsid w:val="00C01BAC"/>
    <w:rsid w:val="00C01BCD"/>
    <w:rsid w:val="00C01C45"/>
    <w:rsid w:val="00C01EC2"/>
    <w:rsid w:val="00C0225A"/>
    <w:rsid w:val="00C028CB"/>
    <w:rsid w:val="00C02C7B"/>
    <w:rsid w:val="00C02CA0"/>
    <w:rsid w:val="00C02F62"/>
    <w:rsid w:val="00C02FCF"/>
    <w:rsid w:val="00C030F1"/>
    <w:rsid w:val="00C03195"/>
    <w:rsid w:val="00C032C9"/>
    <w:rsid w:val="00C0339C"/>
    <w:rsid w:val="00C0352E"/>
    <w:rsid w:val="00C0385C"/>
    <w:rsid w:val="00C03D26"/>
    <w:rsid w:val="00C03D61"/>
    <w:rsid w:val="00C03E2E"/>
    <w:rsid w:val="00C040A5"/>
    <w:rsid w:val="00C04605"/>
    <w:rsid w:val="00C047E5"/>
    <w:rsid w:val="00C04A32"/>
    <w:rsid w:val="00C04D79"/>
    <w:rsid w:val="00C050B6"/>
    <w:rsid w:val="00C050BD"/>
    <w:rsid w:val="00C055F0"/>
    <w:rsid w:val="00C059CD"/>
    <w:rsid w:val="00C05A2B"/>
    <w:rsid w:val="00C063D5"/>
    <w:rsid w:val="00C0656F"/>
    <w:rsid w:val="00C0667B"/>
    <w:rsid w:val="00C06791"/>
    <w:rsid w:val="00C067AE"/>
    <w:rsid w:val="00C06958"/>
    <w:rsid w:val="00C06CAE"/>
    <w:rsid w:val="00C06CF0"/>
    <w:rsid w:val="00C06E37"/>
    <w:rsid w:val="00C0700A"/>
    <w:rsid w:val="00C0754C"/>
    <w:rsid w:val="00C07618"/>
    <w:rsid w:val="00C07AA3"/>
    <w:rsid w:val="00C07C10"/>
    <w:rsid w:val="00C07D9A"/>
    <w:rsid w:val="00C07F04"/>
    <w:rsid w:val="00C07FEA"/>
    <w:rsid w:val="00C101A3"/>
    <w:rsid w:val="00C1027D"/>
    <w:rsid w:val="00C102F5"/>
    <w:rsid w:val="00C10735"/>
    <w:rsid w:val="00C1073A"/>
    <w:rsid w:val="00C1074C"/>
    <w:rsid w:val="00C10755"/>
    <w:rsid w:val="00C10B23"/>
    <w:rsid w:val="00C11340"/>
    <w:rsid w:val="00C1185E"/>
    <w:rsid w:val="00C11876"/>
    <w:rsid w:val="00C119BE"/>
    <w:rsid w:val="00C119E5"/>
    <w:rsid w:val="00C11A68"/>
    <w:rsid w:val="00C12095"/>
    <w:rsid w:val="00C1248D"/>
    <w:rsid w:val="00C12771"/>
    <w:rsid w:val="00C128D6"/>
    <w:rsid w:val="00C12B1B"/>
    <w:rsid w:val="00C12B6D"/>
    <w:rsid w:val="00C12C1E"/>
    <w:rsid w:val="00C132E8"/>
    <w:rsid w:val="00C134CF"/>
    <w:rsid w:val="00C136BD"/>
    <w:rsid w:val="00C136BE"/>
    <w:rsid w:val="00C13823"/>
    <w:rsid w:val="00C13A37"/>
    <w:rsid w:val="00C13AA5"/>
    <w:rsid w:val="00C13BC2"/>
    <w:rsid w:val="00C14104"/>
    <w:rsid w:val="00C141E6"/>
    <w:rsid w:val="00C14558"/>
    <w:rsid w:val="00C1455E"/>
    <w:rsid w:val="00C146D1"/>
    <w:rsid w:val="00C1483E"/>
    <w:rsid w:val="00C14D26"/>
    <w:rsid w:val="00C14E4A"/>
    <w:rsid w:val="00C1511E"/>
    <w:rsid w:val="00C152B2"/>
    <w:rsid w:val="00C1573C"/>
    <w:rsid w:val="00C159E3"/>
    <w:rsid w:val="00C15FEC"/>
    <w:rsid w:val="00C1600D"/>
    <w:rsid w:val="00C16202"/>
    <w:rsid w:val="00C1621F"/>
    <w:rsid w:val="00C1672C"/>
    <w:rsid w:val="00C16734"/>
    <w:rsid w:val="00C169AA"/>
    <w:rsid w:val="00C16A4B"/>
    <w:rsid w:val="00C16D11"/>
    <w:rsid w:val="00C16D4B"/>
    <w:rsid w:val="00C1722D"/>
    <w:rsid w:val="00C17356"/>
    <w:rsid w:val="00C173E5"/>
    <w:rsid w:val="00C174FC"/>
    <w:rsid w:val="00C17646"/>
    <w:rsid w:val="00C177E3"/>
    <w:rsid w:val="00C17847"/>
    <w:rsid w:val="00C17920"/>
    <w:rsid w:val="00C17B6E"/>
    <w:rsid w:val="00C2003A"/>
    <w:rsid w:val="00C203FC"/>
    <w:rsid w:val="00C205FD"/>
    <w:rsid w:val="00C20F21"/>
    <w:rsid w:val="00C2107D"/>
    <w:rsid w:val="00C21086"/>
    <w:rsid w:val="00C211DB"/>
    <w:rsid w:val="00C2153F"/>
    <w:rsid w:val="00C21660"/>
    <w:rsid w:val="00C21B64"/>
    <w:rsid w:val="00C21D14"/>
    <w:rsid w:val="00C21D5E"/>
    <w:rsid w:val="00C221CB"/>
    <w:rsid w:val="00C22278"/>
    <w:rsid w:val="00C224DB"/>
    <w:rsid w:val="00C22627"/>
    <w:rsid w:val="00C22AD6"/>
    <w:rsid w:val="00C22B6D"/>
    <w:rsid w:val="00C22C66"/>
    <w:rsid w:val="00C22C6A"/>
    <w:rsid w:val="00C23241"/>
    <w:rsid w:val="00C232D6"/>
    <w:rsid w:val="00C233CA"/>
    <w:rsid w:val="00C23578"/>
    <w:rsid w:val="00C235B3"/>
    <w:rsid w:val="00C238F0"/>
    <w:rsid w:val="00C23D12"/>
    <w:rsid w:val="00C24611"/>
    <w:rsid w:val="00C2461D"/>
    <w:rsid w:val="00C2471A"/>
    <w:rsid w:val="00C248E3"/>
    <w:rsid w:val="00C24C47"/>
    <w:rsid w:val="00C254F5"/>
    <w:rsid w:val="00C2570B"/>
    <w:rsid w:val="00C257C3"/>
    <w:rsid w:val="00C25AB5"/>
    <w:rsid w:val="00C2616C"/>
    <w:rsid w:val="00C26230"/>
    <w:rsid w:val="00C262E5"/>
    <w:rsid w:val="00C2656B"/>
    <w:rsid w:val="00C268C0"/>
    <w:rsid w:val="00C26BE7"/>
    <w:rsid w:val="00C27250"/>
    <w:rsid w:val="00C272D6"/>
    <w:rsid w:val="00C272D9"/>
    <w:rsid w:val="00C27835"/>
    <w:rsid w:val="00C2791C"/>
    <w:rsid w:val="00C2791E"/>
    <w:rsid w:val="00C27AB8"/>
    <w:rsid w:val="00C27B28"/>
    <w:rsid w:val="00C27D01"/>
    <w:rsid w:val="00C301FF"/>
    <w:rsid w:val="00C30387"/>
    <w:rsid w:val="00C30497"/>
    <w:rsid w:val="00C30ADA"/>
    <w:rsid w:val="00C30BB8"/>
    <w:rsid w:val="00C30BF8"/>
    <w:rsid w:val="00C3102C"/>
    <w:rsid w:val="00C31277"/>
    <w:rsid w:val="00C31415"/>
    <w:rsid w:val="00C314DD"/>
    <w:rsid w:val="00C319AB"/>
    <w:rsid w:val="00C31DB5"/>
    <w:rsid w:val="00C32616"/>
    <w:rsid w:val="00C327C4"/>
    <w:rsid w:val="00C32ABA"/>
    <w:rsid w:val="00C32CC0"/>
    <w:rsid w:val="00C33114"/>
    <w:rsid w:val="00C33197"/>
    <w:rsid w:val="00C334B9"/>
    <w:rsid w:val="00C334D1"/>
    <w:rsid w:val="00C3362C"/>
    <w:rsid w:val="00C3362E"/>
    <w:rsid w:val="00C33BD4"/>
    <w:rsid w:val="00C33FC3"/>
    <w:rsid w:val="00C34210"/>
    <w:rsid w:val="00C346CF"/>
    <w:rsid w:val="00C346EB"/>
    <w:rsid w:val="00C347EE"/>
    <w:rsid w:val="00C3492E"/>
    <w:rsid w:val="00C34933"/>
    <w:rsid w:val="00C34942"/>
    <w:rsid w:val="00C34AB8"/>
    <w:rsid w:val="00C34BA5"/>
    <w:rsid w:val="00C34BE4"/>
    <w:rsid w:val="00C350EF"/>
    <w:rsid w:val="00C35197"/>
    <w:rsid w:val="00C35779"/>
    <w:rsid w:val="00C357D0"/>
    <w:rsid w:val="00C358ED"/>
    <w:rsid w:val="00C3595E"/>
    <w:rsid w:val="00C3625F"/>
    <w:rsid w:val="00C36864"/>
    <w:rsid w:val="00C369FB"/>
    <w:rsid w:val="00C36CA3"/>
    <w:rsid w:val="00C36D45"/>
    <w:rsid w:val="00C36F5D"/>
    <w:rsid w:val="00C36FDE"/>
    <w:rsid w:val="00C37015"/>
    <w:rsid w:val="00C3753D"/>
    <w:rsid w:val="00C377FD"/>
    <w:rsid w:val="00C37803"/>
    <w:rsid w:val="00C37850"/>
    <w:rsid w:val="00C37B55"/>
    <w:rsid w:val="00C37E75"/>
    <w:rsid w:val="00C40054"/>
    <w:rsid w:val="00C400DF"/>
    <w:rsid w:val="00C4061E"/>
    <w:rsid w:val="00C40A99"/>
    <w:rsid w:val="00C40B63"/>
    <w:rsid w:val="00C410AE"/>
    <w:rsid w:val="00C41373"/>
    <w:rsid w:val="00C41819"/>
    <w:rsid w:val="00C41969"/>
    <w:rsid w:val="00C4252F"/>
    <w:rsid w:val="00C425C0"/>
    <w:rsid w:val="00C4285F"/>
    <w:rsid w:val="00C42929"/>
    <w:rsid w:val="00C435EE"/>
    <w:rsid w:val="00C439F5"/>
    <w:rsid w:val="00C44139"/>
    <w:rsid w:val="00C44361"/>
    <w:rsid w:val="00C44376"/>
    <w:rsid w:val="00C4469E"/>
    <w:rsid w:val="00C44A75"/>
    <w:rsid w:val="00C44B33"/>
    <w:rsid w:val="00C44E8C"/>
    <w:rsid w:val="00C44ED5"/>
    <w:rsid w:val="00C45054"/>
    <w:rsid w:val="00C45131"/>
    <w:rsid w:val="00C451FF"/>
    <w:rsid w:val="00C4524A"/>
    <w:rsid w:val="00C45435"/>
    <w:rsid w:val="00C454DC"/>
    <w:rsid w:val="00C4571D"/>
    <w:rsid w:val="00C45D5D"/>
    <w:rsid w:val="00C45DDE"/>
    <w:rsid w:val="00C4610C"/>
    <w:rsid w:val="00C46136"/>
    <w:rsid w:val="00C46309"/>
    <w:rsid w:val="00C46871"/>
    <w:rsid w:val="00C468D4"/>
    <w:rsid w:val="00C4694C"/>
    <w:rsid w:val="00C47057"/>
    <w:rsid w:val="00C47592"/>
    <w:rsid w:val="00C5015A"/>
    <w:rsid w:val="00C505D2"/>
    <w:rsid w:val="00C5069D"/>
    <w:rsid w:val="00C50881"/>
    <w:rsid w:val="00C50B55"/>
    <w:rsid w:val="00C50C36"/>
    <w:rsid w:val="00C50D73"/>
    <w:rsid w:val="00C5105C"/>
    <w:rsid w:val="00C513A9"/>
    <w:rsid w:val="00C513BB"/>
    <w:rsid w:val="00C5161A"/>
    <w:rsid w:val="00C52058"/>
    <w:rsid w:val="00C52080"/>
    <w:rsid w:val="00C521E8"/>
    <w:rsid w:val="00C527FC"/>
    <w:rsid w:val="00C52907"/>
    <w:rsid w:val="00C52F81"/>
    <w:rsid w:val="00C531EE"/>
    <w:rsid w:val="00C532C3"/>
    <w:rsid w:val="00C539CB"/>
    <w:rsid w:val="00C53B6E"/>
    <w:rsid w:val="00C53C5D"/>
    <w:rsid w:val="00C53C62"/>
    <w:rsid w:val="00C54439"/>
    <w:rsid w:val="00C544E6"/>
    <w:rsid w:val="00C54750"/>
    <w:rsid w:val="00C547DE"/>
    <w:rsid w:val="00C5481C"/>
    <w:rsid w:val="00C54D9F"/>
    <w:rsid w:val="00C54DDD"/>
    <w:rsid w:val="00C55046"/>
    <w:rsid w:val="00C550B3"/>
    <w:rsid w:val="00C55276"/>
    <w:rsid w:val="00C552AC"/>
    <w:rsid w:val="00C55324"/>
    <w:rsid w:val="00C5581B"/>
    <w:rsid w:val="00C55831"/>
    <w:rsid w:val="00C55B7A"/>
    <w:rsid w:val="00C55B8A"/>
    <w:rsid w:val="00C55C26"/>
    <w:rsid w:val="00C56551"/>
    <w:rsid w:val="00C56556"/>
    <w:rsid w:val="00C5658C"/>
    <w:rsid w:val="00C565EE"/>
    <w:rsid w:val="00C56813"/>
    <w:rsid w:val="00C5684B"/>
    <w:rsid w:val="00C56E1F"/>
    <w:rsid w:val="00C56E7D"/>
    <w:rsid w:val="00C56E86"/>
    <w:rsid w:val="00C56EBC"/>
    <w:rsid w:val="00C57712"/>
    <w:rsid w:val="00C577C8"/>
    <w:rsid w:val="00C579DA"/>
    <w:rsid w:val="00C603A3"/>
    <w:rsid w:val="00C605E0"/>
    <w:rsid w:val="00C60731"/>
    <w:rsid w:val="00C6082C"/>
    <w:rsid w:val="00C609C4"/>
    <w:rsid w:val="00C609FA"/>
    <w:rsid w:val="00C60BE6"/>
    <w:rsid w:val="00C60C1B"/>
    <w:rsid w:val="00C60DEC"/>
    <w:rsid w:val="00C61196"/>
    <w:rsid w:val="00C6147B"/>
    <w:rsid w:val="00C616B3"/>
    <w:rsid w:val="00C61A00"/>
    <w:rsid w:val="00C61AEC"/>
    <w:rsid w:val="00C61B6C"/>
    <w:rsid w:val="00C61BD6"/>
    <w:rsid w:val="00C61DD4"/>
    <w:rsid w:val="00C61E66"/>
    <w:rsid w:val="00C61E6D"/>
    <w:rsid w:val="00C623B2"/>
    <w:rsid w:val="00C623F5"/>
    <w:rsid w:val="00C6242B"/>
    <w:rsid w:val="00C62498"/>
    <w:rsid w:val="00C624B1"/>
    <w:rsid w:val="00C62538"/>
    <w:rsid w:val="00C6260B"/>
    <w:rsid w:val="00C62627"/>
    <w:rsid w:val="00C628E8"/>
    <w:rsid w:val="00C62D39"/>
    <w:rsid w:val="00C62DE4"/>
    <w:rsid w:val="00C62E83"/>
    <w:rsid w:val="00C63481"/>
    <w:rsid w:val="00C63884"/>
    <w:rsid w:val="00C639AE"/>
    <w:rsid w:val="00C639D2"/>
    <w:rsid w:val="00C63BE1"/>
    <w:rsid w:val="00C63D9A"/>
    <w:rsid w:val="00C63F2F"/>
    <w:rsid w:val="00C640CD"/>
    <w:rsid w:val="00C6437D"/>
    <w:rsid w:val="00C64E97"/>
    <w:rsid w:val="00C65228"/>
    <w:rsid w:val="00C6577E"/>
    <w:rsid w:val="00C657C8"/>
    <w:rsid w:val="00C65C38"/>
    <w:rsid w:val="00C65D01"/>
    <w:rsid w:val="00C65D93"/>
    <w:rsid w:val="00C65E37"/>
    <w:rsid w:val="00C65EDA"/>
    <w:rsid w:val="00C660B5"/>
    <w:rsid w:val="00C661D4"/>
    <w:rsid w:val="00C6691C"/>
    <w:rsid w:val="00C66A48"/>
    <w:rsid w:val="00C66CB0"/>
    <w:rsid w:val="00C66D90"/>
    <w:rsid w:val="00C66DA2"/>
    <w:rsid w:val="00C66EAF"/>
    <w:rsid w:val="00C67264"/>
    <w:rsid w:val="00C67493"/>
    <w:rsid w:val="00C678C7"/>
    <w:rsid w:val="00C679DF"/>
    <w:rsid w:val="00C67ADC"/>
    <w:rsid w:val="00C67C0C"/>
    <w:rsid w:val="00C67C36"/>
    <w:rsid w:val="00C67F22"/>
    <w:rsid w:val="00C70235"/>
    <w:rsid w:val="00C70304"/>
    <w:rsid w:val="00C70B1A"/>
    <w:rsid w:val="00C70D8F"/>
    <w:rsid w:val="00C71256"/>
    <w:rsid w:val="00C718A2"/>
    <w:rsid w:val="00C719D3"/>
    <w:rsid w:val="00C71A15"/>
    <w:rsid w:val="00C71CED"/>
    <w:rsid w:val="00C72016"/>
    <w:rsid w:val="00C721A6"/>
    <w:rsid w:val="00C725DB"/>
    <w:rsid w:val="00C72B4E"/>
    <w:rsid w:val="00C731CA"/>
    <w:rsid w:val="00C731D7"/>
    <w:rsid w:val="00C73263"/>
    <w:rsid w:val="00C73519"/>
    <w:rsid w:val="00C73689"/>
    <w:rsid w:val="00C7395F"/>
    <w:rsid w:val="00C73E1E"/>
    <w:rsid w:val="00C74557"/>
    <w:rsid w:val="00C74896"/>
    <w:rsid w:val="00C74BE9"/>
    <w:rsid w:val="00C74E98"/>
    <w:rsid w:val="00C751BB"/>
    <w:rsid w:val="00C75272"/>
    <w:rsid w:val="00C753AB"/>
    <w:rsid w:val="00C7546D"/>
    <w:rsid w:val="00C7570F"/>
    <w:rsid w:val="00C757DE"/>
    <w:rsid w:val="00C75824"/>
    <w:rsid w:val="00C75902"/>
    <w:rsid w:val="00C759C4"/>
    <w:rsid w:val="00C75AF7"/>
    <w:rsid w:val="00C75AF8"/>
    <w:rsid w:val="00C75C73"/>
    <w:rsid w:val="00C75CA7"/>
    <w:rsid w:val="00C75D5A"/>
    <w:rsid w:val="00C7614D"/>
    <w:rsid w:val="00C76253"/>
    <w:rsid w:val="00C7628D"/>
    <w:rsid w:val="00C766CA"/>
    <w:rsid w:val="00C76EE3"/>
    <w:rsid w:val="00C76FE9"/>
    <w:rsid w:val="00C771E5"/>
    <w:rsid w:val="00C77561"/>
    <w:rsid w:val="00C77FA9"/>
    <w:rsid w:val="00C800B4"/>
    <w:rsid w:val="00C801BF"/>
    <w:rsid w:val="00C8075F"/>
    <w:rsid w:val="00C807B6"/>
    <w:rsid w:val="00C80C67"/>
    <w:rsid w:val="00C81017"/>
    <w:rsid w:val="00C81142"/>
    <w:rsid w:val="00C81598"/>
    <w:rsid w:val="00C819EC"/>
    <w:rsid w:val="00C81A2B"/>
    <w:rsid w:val="00C81C4B"/>
    <w:rsid w:val="00C8200E"/>
    <w:rsid w:val="00C82041"/>
    <w:rsid w:val="00C8233E"/>
    <w:rsid w:val="00C82653"/>
    <w:rsid w:val="00C82861"/>
    <w:rsid w:val="00C82B64"/>
    <w:rsid w:val="00C82C0B"/>
    <w:rsid w:val="00C831EF"/>
    <w:rsid w:val="00C83326"/>
    <w:rsid w:val="00C839AE"/>
    <w:rsid w:val="00C83E7F"/>
    <w:rsid w:val="00C84157"/>
    <w:rsid w:val="00C841AF"/>
    <w:rsid w:val="00C841B1"/>
    <w:rsid w:val="00C841E3"/>
    <w:rsid w:val="00C842F7"/>
    <w:rsid w:val="00C8473D"/>
    <w:rsid w:val="00C8499E"/>
    <w:rsid w:val="00C849A5"/>
    <w:rsid w:val="00C849BA"/>
    <w:rsid w:val="00C84A24"/>
    <w:rsid w:val="00C84BD7"/>
    <w:rsid w:val="00C84E30"/>
    <w:rsid w:val="00C8503A"/>
    <w:rsid w:val="00C850EA"/>
    <w:rsid w:val="00C8547B"/>
    <w:rsid w:val="00C85BE8"/>
    <w:rsid w:val="00C85C45"/>
    <w:rsid w:val="00C85DCC"/>
    <w:rsid w:val="00C85E0C"/>
    <w:rsid w:val="00C8605B"/>
    <w:rsid w:val="00C860AA"/>
    <w:rsid w:val="00C86A9E"/>
    <w:rsid w:val="00C86AB3"/>
    <w:rsid w:val="00C86B91"/>
    <w:rsid w:val="00C86BB6"/>
    <w:rsid w:val="00C86F1F"/>
    <w:rsid w:val="00C86F9A"/>
    <w:rsid w:val="00C87102"/>
    <w:rsid w:val="00C871E4"/>
    <w:rsid w:val="00C8734A"/>
    <w:rsid w:val="00C877D8"/>
    <w:rsid w:val="00C87DAC"/>
    <w:rsid w:val="00C87F15"/>
    <w:rsid w:val="00C90604"/>
    <w:rsid w:val="00C90752"/>
    <w:rsid w:val="00C90773"/>
    <w:rsid w:val="00C9087C"/>
    <w:rsid w:val="00C90DD2"/>
    <w:rsid w:val="00C90EE4"/>
    <w:rsid w:val="00C9102F"/>
    <w:rsid w:val="00C91140"/>
    <w:rsid w:val="00C91163"/>
    <w:rsid w:val="00C91182"/>
    <w:rsid w:val="00C91828"/>
    <w:rsid w:val="00C91AB3"/>
    <w:rsid w:val="00C91E50"/>
    <w:rsid w:val="00C91F6B"/>
    <w:rsid w:val="00C92077"/>
    <w:rsid w:val="00C92728"/>
    <w:rsid w:val="00C92739"/>
    <w:rsid w:val="00C9291F"/>
    <w:rsid w:val="00C92C0A"/>
    <w:rsid w:val="00C93273"/>
    <w:rsid w:val="00C9388A"/>
    <w:rsid w:val="00C9394F"/>
    <w:rsid w:val="00C93BFD"/>
    <w:rsid w:val="00C93CE8"/>
    <w:rsid w:val="00C93F48"/>
    <w:rsid w:val="00C940B0"/>
    <w:rsid w:val="00C94222"/>
    <w:rsid w:val="00C9489B"/>
    <w:rsid w:val="00C94A64"/>
    <w:rsid w:val="00C94B85"/>
    <w:rsid w:val="00C94B87"/>
    <w:rsid w:val="00C94D56"/>
    <w:rsid w:val="00C94DE3"/>
    <w:rsid w:val="00C94EDA"/>
    <w:rsid w:val="00C94FBF"/>
    <w:rsid w:val="00C95333"/>
    <w:rsid w:val="00C953C5"/>
    <w:rsid w:val="00C9667D"/>
    <w:rsid w:val="00C96A7D"/>
    <w:rsid w:val="00C96E9B"/>
    <w:rsid w:val="00C96F71"/>
    <w:rsid w:val="00C97055"/>
    <w:rsid w:val="00C9708D"/>
    <w:rsid w:val="00C97101"/>
    <w:rsid w:val="00C97258"/>
    <w:rsid w:val="00C9736E"/>
    <w:rsid w:val="00C97803"/>
    <w:rsid w:val="00C97B0A"/>
    <w:rsid w:val="00C97DA5"/>
    <w:rsid w:val="00C97DE5"/>
    <w:rsid w:val="00CA01F0"/>
    <w:rsid w:val="00CA026A"/>
    <w:rsid w:val="00CA0389"/>
    <w:rsid w:val="00CA0403"/>
    <w:rsid w:val="00CA063A"/>
    <w:rsid w:val="00CA065F"/>
    <w:rsid w:val="00CA0700"/>
    <w:rsid w:val="00CA0812"/>
    <w:rsid w:val="00CA09AB"/>
    <w:rsid w:val="00CA09E0"/>
    <w:rsid w:val="00CA128D"/>
    <w:rsid w:val="00CA16ED"/>
    <w:rsid w:val="00CA17D5"/>
    <w:rsid w:val="00CA183D"/>
    <w:rsid w:val="00CA1BC7"/>
    <w:rsid w:val="00CA1F76"/>
    <w:rsid w:val="00CA1FD0"/>
    <w:rsid w:val="00CA20D2"/>
    <w:rsid w:val="00CA21E6"/>
    <w:rsid w:val="00CA2238"/>
    <w:rsid w:val="00CA2349"/>
    <w:rsid w:val="00CA2773"/>
    <w:rsid w:val="00CA2B7D"/>
    <w:rsid w:val="00CA2D08"/>
    <w:rsid w:val="00CA308B"/>
    <w:rsid w:val="00CA31EB"/>
    <w:rsid w:val="00CA35E5"/>
    <w:rsid w:val="00CA38EA"/>
    <w:rsid w:val="00CA397E"/>
    <w:rsid w:val="00CA3CE5"/>
    <w:rsid w:val="00CA41B0"/>
    <w:rsid w:val="00CA41B6"/>
    <w:rsid w:val="00CA432B"/>
    <w:rsid w:val="00CA434E"/>
    <w:rsid w:val="00CA4BF6"/>
    <w:rsid w:val="00CA5536"/>
    <w:rsid w:val="00CA5631"/>
    <w:rsid w:val="00CA56BA"/>
    <w:rsid w:val="00CA5804"/>
    <w:rsid w:val="00CA5967"/>
    <w:rsid w:val="00CA5ABB"/>
    <w:rsid w:val="00CA610A"/>
    <w:rsid w:val="00CA6182"/>
    <w:rsid w:val="00CA6209"/>
    <w:rsid w:val="00CA63B0"/>
    <w:rsid w:val="00CA643F"/>
    <w:rsid w:val="00CA65DC"/>
    <w:rsid w:val="00CA669D"/>
    <w:rsid w:val="00CA686A"/>
    <w:rsid w:val="00CA687C"/>
    <w:rsid w:val="00CA68F4"/>
    <w:rsid w:val="00CA6BA9"/>
    <w:rsid w:val="00CA6C8D"/>
    <w:rsid w:val="00CA6F93"/>
    <w:rsid w:val="00CA70AE"/>
    <w:rsid w:val="00CA724E"/>
    <w:rsid w:val="00CA72E1"/>
    <w:rsid w:val="00CA75B4"/>
    <w:rsid w:val="00CA789F"/>
    <w:rsid w:val="00CA7ADA"/>
    <w:rsid w:val="00CA7DC0"/>
    <w:rsid w:val="00CB017C"/>
    <w:rsid w:val="00CB031E"/>
    <w:rsid w:val="00CB05CC"/>
    <w:rsid w:val="00CB08C6"/>
    <w:rsid w:val="00CB08C8"/>
    <w:rsid w:val="00CB0A94"/>
    <w:rsid w:val="00CB0B0A"/>
    <w:rsid w:val="00CB0C83"/>
    <w:rsid w:val="00CB0E7D"/>
    <w:rsid w:val="00CB14F6"/>
    <w:rsid w:val="00CB1B20"/>
    <w:rsid w:val="00CB1C22"/>
    <w:rsid w:val="00CB1E8C"/>
    <w:rsid w:val="00CB229A"/>
    <w:rsid w:val="00CB25CE"/>
    <w:rsid w:val="00CB278B"/>
    <w:rsid w:val="00CB286E"/>
    <w:rsid w:val="00CB287D"/>
    <w:rsid w:val="00CB2905"/>
    <w:rsid w:val="00CB2B4C"/>
    <w:rsid w:val="00CB2D1A"/>
    <w:rsid w:val="00CB2EAF"/>
    <w:rsid w:val="00CB302D"/>
    <w:rsid w:val="00CB30D7"/>
    <w:rsid w:val="00CB368B"/>
    <w:rsid w:val="00CB36A9"/>
    <w:rsid w:val="00CB3768"/>
    <w:rsid w:val="00CB37A4"/>
    <w:rsid w:val="00CB39AB"/>
    <w:rsid w:val="00CB3EA9"/>
    <w:rsid w:val="00CB3EF5"/>
    <w:rsid w:val="00CB4265"/>
    <w:rsid w:val="00CB4709"/>
    <w:rsid w:val="00CB48F4"/>
    <w:rsid w:val="00CB4C8C"/>
    <w:rsid w:val="00CB4CD8"/>
    <w:rsid w:val="00CB5007"/>
    <w:rsid w:val="00CB5136"/>
    <w:rsid w:val="00CB51BC"/>
    <w:rsid w:val="00CB5721"/>
    <w:rsid w:val="00CB57CE"/>
    <w:rsid w:val="00CB588E"/>
    <w:rsid w:val="00CB59FD"/>
    <w:rsid w:val="00CB5B92"/>
    <w:rsid w:val="00CB5EF4"/>
    <w:rsid w:val="00CB62E9"/>
    <w:rsid w:val="00CB6362"/>
    <w:rsid w:val="00CB6791"/>
    <w:rsid w:val="00CB67A7"/>
    <w:rsid w:val="00CB695A"/>
    <w:rsid w:val="00CB6B18"/>
    <w:rsid w:val="00CB6B6F"/>
    <w:rsid w:val="00CB7276"/>
    <w:rsid w:val="00CB72BD"/>
    <w:rsid w:val="00CB73DF"/>
    <w:rsid w:val="00CB78DE"/>
    <w:rsid w:val="00CB7916"/>
    <w:rsid w:val="00CB7D22"/>
    <w:rsid w:val="00CB7D98"/>
    <w:rsid w:val="00CB7DA1"/>
    <w:rsid w:val="00CB7DC0"/>
    <w:rsid w:val="00CB7E8A"/>
    <w:rsid w:val="00CB7FE7"/>
    <w:rsid w:val="00CC0019"/>
    <w:rsid w:val="00CC0184"/>
    <w:rsid w:val="00CC01E2"/>
    <w:rsid w:val="00CC060F"/>
    <w:rsid w:val="00CC0752"/>
    <w:rsid w:val="00CC0839"/>
    <w:rsid w:val="00CC0981"/>
    <w:rsid w:val="00CC0AC0"/>
    <w:rsid w:val="00CC0AED"/>
    <w:rsid w:val="00CC1535"/>
    <w:rsid w:val="00CC16AF"/>
    <w:rsid w:val="00CC1CDB"/>
    <w:rsid w:val="00CC1E96"/>
    <w:rsid w:val="00CC2153"/>
    <w:rsid w:val="00CC219B"/>
    <w:rsid w:val="00CC27E6"/>
    <w:rsid w:val="00CC2856"/>
    <w:rsid w:val="00CC2891"/>
    <w:rsid w:val="00CC2904"/>
    <w:rsid w:val="00CC2AC2"/>
    <w:rsid w:val="00CC2BBE"/>
    <w:rsid w:val="00CC2D1B"/>
    <w:rsid w:val="00CC30EF"/>
    <w:rsid w:val="00CC31B8"/>
    <w:rsid w:val="00CC3404"/>
    <w:rsid w:val="00CC357F"/>
    <w:rsid w:val="00CC36DF"/>
    <w:rsid w:val="00CC38BB"/>
    <w:rsid w:val="00CC3980"/>
    <w:rsid w:val="00CC3AC4"/>
    <w:rsid w:val="00CC3CF9"/>
    <w:rsid w:val="00CC4100"/>
    <w:rsid w:val="00CC4672"/>
    <w:rsid w:val="00CC4958"/>
    <w:rsid w:val="00CC4A02"/>
    <w:rsid w:val="00CC4E79"/>
    <w:rsid w:val="00CC4EA6"/>
    <w:rsid w:val="00CC521B"/>
    <w:rsid w:val="00CC527D"/>
    <w:rsid w:val="00CC5625"/>
    <w:rsid w:val="00CC576F"/>
    <w:rsid w:val="00CC5EED"/>
    <w:rsid w:val="00CC62A7"/>
    <w:rsid w:val="00CC63EA"/>
    <w:rsid w:val="00CC6545"/>
    <w:rsid w:val="00CC6CB3"/>
    <w:rsid w:val="00CC6D1A"/>
    <w:rsid w:val="00CC6EC4"/>
    <w:rsid w:val="00CC6EFF"/>
    <w:rsid w:val="00CC7181"/>
    <w:rsid w:val="00CC7872"/>
    <w:rsid w:val="00CC7A36"/>
    <w:rsid w:val="00CC7B58"/>
    <w:rsid w:val="00CC7EAC"/>
    <w:rsid w:val="00CC7F42"/>
    <w:rsid w:val="00CC7FF2"/>
    <w:rsid w:val="00CD0002"/>
    <w:rsid w:val="00CD0297"/>
    <w:rsid w:val="00CD0304"/>
    <w:rsid w:val="00CD03BB"/>
    <w:rsid w:val="00CD0488"/>
    <w:rsid w:val="00CD0689"/>
    <w:rsid w:val="00CD084E"/>
    <w:rsid w:val="00CD095E"/>
    <w:rsid w:val="00CD0995"/>
    <w:rsid w:val="00CD0D71"/>
    <w:rsid w:val="00CD14EA"/>
    <w:rsid w:val="00CD14FB"/>
    <w:rsid w:val="00CD1AD4"/>
    <w:rsid w:val="00CD1B1F"/>
    <w:rsid w:val="00CD25EC"/>
    <w:rsid w:val="00CD2678"/>
    <w:rsid w:val="00CD2771"/>
    <w:rsid w:val="00CD2A51"/>
    <w:rsid w:val="00CD2A9F"/>
    <w:rsid w:val="00CD2B43"/>
    <w:rsid w:val="00CD2EF0"/>
    <w:rsid w:val="00CD310C"/>
    <w:rsid w:val="00CD319E"/>
    <w:rsid w:val="00CD3296"/>
    <w:rsid w:val="00CD3397"/>
    <w:rsid w:val="00CD34E2"/>
    <w:rsid w:val="00CD3589"/>
    <w:rsid w:val="00CD3676"/>
    <w:rsid w:val="00CD3A34"/>
    <w:rsid w:val="00CD3C49"/>
    <w:rsid w:val="00CD3D5B"/>
    <w:rsid w:val="00CD3F81"/>
    <w:rsid w:val="00CD4255"/>
    <w:rsid w:val="00CD4489"/>
    <w:rsid w:val="00CD4983"/>
    <w:rsid w:val="00CD49C7"/>
    <w:rsid w:val="00CD4D87"/>
    <w:rsid w:val="00CD4DFC"/>
    <w:rsid w:val="00CD5137"/>
    <w:rsid w:val="00CD5172"/>
    <w:rsid w:val="00CD51E4"/>
    <w:rsid w:val="00CD54D4"/>
    <w:rsid w:val="00CD585B"/>
    <w:rsid w:val="00CD5F7A"/>
    <w:rsid w:val="00CD62D4"/>
    <w:rsid w:val="00CD67A9"/>
    <w:rsid w:val="00CD67E8"/>
    <w:rsid w:val="00CD6937"/>
    <w:rsid w:val="00CD6975"/>
    <w:rsid w:val="00CD6D7B"/>
    <w:rsid w:val="00CD6EE9"/>
    <w:rsid w:val="00CD7676"/>
    <w:rsid w:val="00CD7998"/>
    <w:rsid w:val="00CD7B51"/>
    <w:rsid w:val="00CD7F60"/>
    <w:rsid w:val="00CE0013"/>
    <w:rsid w:val="00CE030B"/>
    <w:rsid w:val="00CE0335"/>
    <w:rsid w:val="00CE042C"/>
    <w:rsid w:val="00CE065A"/>
    <w:rsid w:val="00CE08A9"/>
    <w:rsid w:val="00CE093C"/>
    <w:rsid w:val="00CE095F"/>
    <w:rsid w:val="00CE0AC6"/>
    <w:rsid w:val="00CE0B7B"/>
    <w:rsid w:val="00CE0E02"/>
    <w:rsid w:val="00CE0EA2"/>
    <w:rsid w:val="00CE1069"/>
    <w:rsid w:val="00CE1211"/>
    <w:rsid w:val="00CE12E8"/>
    <w:rsid w:val="00CE16D2"/>
    <w:rsid w:val="00CE16F8"/>
    <w:rsid w:val="00CE1C55"/>
    <w:rsid w:val="00CE222B"/>
    <w:rsid w:val="00CE24B4"/>
    <w:rsid w:val="00CE24C1"/>
    <w:rsid w:val="00CE27A4"/>
    <w:rsid w:val="00CE291D"/>
    <w:rsid w:val="00CE2A36"/>
    <w:rsid w:val="00CE2CD1"/>
    <w:rsid w:val="00CE2D4D"/>
    <w:rsid w:val="00CE347C"/>
    <w:rsid w:val="00CE3535"/>
    <w:rsid w:val="00CE3594"/>
    <w:rsid w:val="00CE35D3"/>
    <w:rsid w:val="00CE4022"/>
    <w:rsid w:val="00CE4248"/>
    <w:rsid w:val="00CE45D2"/>
    <w:rsid w:val="00CE4670"/>
    <w:rsid w:val="00CE4673"/>
    <w:rsid w:val="00CE4712"/>
    <w:rsid w:val="00CE49D1"/>
    <w:rsid w:val="00CE4C04"/>
    <w:rsid w:val="00CE4EEE"/>
    <w:rsid w:val="00CE4F23"/>
    <w:rsid w:val="00CE5197"/>
    <w:rsid w:val="00CE51D9"/>
    <w:rsid w:val="00CE5202"/>
    <w:rsid w:val="00CE5334"/>
    <w:rsid w:val="00CE546F"/>
    <w:rsid w:val="00CE55DE"/>
    <w:rsid w:val="00CE55ED"/>
    <w:rsid w:val="00CE57A8"/>
    <w:rsid w:val="00CE5860"/>
    <w:rsid w:val="00CE5921"/>
    <w:rsid w:val="00CE5AD4"/>
    <w:rsid w:val="00CE5B6F"/>
    <w:rsid w:val="00CE5EE2"/>
    <w:rsid w:val="00CE5F2E"/>
    <w:rsid w:val="00CE6625"/>
    <w:rsid w:val="00CE702C"/>
    <w:rsid w:val="00CE779D"/>
    <w:rsid w:val="00CE79F0"/>
    <w:rsid w:val="00CE7B33"/>
    <w:rsid w:val="00CE7BD2"/>
    <w:rsid w:val="00CE7C41"/>
    <w:rsid w:val="00CE7C4A"/>
    <w:rsid w:val="00CE7D84"/>
    <w:rsid w:val="00CE7FF3"/>
    <w:rsid w:val="00CF03DB"/>
    <w:rsid w:val="00CF083F"/>
    <w:rsid w:val="00CF0A52"/>
    <w:rsid w:val="00CF0FB8"/>
    <w:rsid w:val="00CF1363"/>
    <w:rsid w:val="00CF1533"/>
    <w:rsid w:val="00CF1629"/>
    <w:rsid w:val="00CF1D4D"/>
    <w:rsid w:val="00CF22EA"/>
    <w:rsid w:val="00CF233A"/>
    <w:rsid w:val="00CF2FDA"/>
    <w:rsid w:val="00CF2FF6"/>
    <w:rsid w:val="00CF30F5"/>
    <w:rsid w:val="00CF3487"/>
    <w:rsid w:val="00CF39A3"/>
    <w:rsid w:val="00CF3A60"/>
    <w:rsid w:val="00CF3B44"/>
    <w:rsid w:val="00CF3DC7"/>
    <w:rsid w:val="00CF4495"/>
    <w:rsid w:val="00CF4AE7"/>
    <w:rsid w:val="00CF4BEF"/>
    <w:rsid w:val="00CF4E5B"/>
    <w:rsid w:val="00CF4F46"/>
    <w:rsid w:val="00CF5057"/>
    <w:rsid w:val="00CF5075"/>
    <w:rsid w:val="00CF58B7"/>
    <w:rsid w:val="00CF59A1"/>
    <w:rsid w:val="00CF5E6C"/>
    <w:rsid w:val="00CF5F18"/>
    <w:rsid w:val="00CF62D5"/>
    <w:rsid w:val="00CF6372"/>
    <w:rsid w:val="00CF659D"/>
    <w:rsid w:val="00CF66E6"/>
    <w:rsid w:val="00CF6AC9"/>
    <w:rsid w:val="00CF6B3D"/>
    <w:rsid w:val="00CF6DC6"/>
    <w:rsid w:val="00CF74D4"/>
    <w:rsid w:val="00CF7AB2"/>
    <w:rsid w:val="00CF7B21"/>
    <w:rsid w:val="00CF7C9E"/>
    <w:rsid w:val="00CF7DDF"/>
    <w:rsid w:val="00CF7DF4"/>
    <w:rsid w:val="00D004A7"/>
    <w:rsid w:val="00D00939"/>
    <w:rsid w:val="00D00A51"/>
    <w:rsid w:val="00D00FB5"/>
    <w:rsid w:val="00D01098"/>
    <w:rsid w:val="00D011FA"/>
    <w:rsid w:val="00D01289"/>
    <w:rsid w:val="00D01348"/>
    <w:rsid w:val="00D01695"/>
    <w:rsid w:val="00D01878"/>
    <w:rsid w:val="00D01995"/>
    <w:rsid w:val="00D01BDE"/>
    <w:rsid w:val="00D0294F"/>
    <w:rsid w:val="00D02A16"/>
    <w:rsid w:val="00D02E2E"/>
    <w:rsid w:val="00D035A0"/>
    <w:rsid w:val="00D038CD"/>
    <w:rsid w:val="00D03ABC"/>
    <w:rsid w:val="00D03B05"/>
    <w:rsid w:val="00D03C51"/>
    <w:rsid w:val="00D03E62"/>
    <w:rsid w:val="00D03F1B"/>
    <w:rsid w:val="00D04230"/>
    <w:rsid w:val="00D043AD"/>
    <w:rsid w:val="00D04473"/>
    <w:rsid w:val="00D0451B"/>
    <w:rsid w:val="00D045B2"/>
    <w:rsid w:val="00D04609"/>
    <w:rsid w:val="00D04E70"/>
    <w:rsid w:val="00D04FDE"/>
    <w:rsid w:val="00D051E4"/>
    <w:rsid w:val="00D052E5"/>
    <w:rsid w:val="00D056F5"/>
    <w:rsid w:val="00D05890"/>
    <w:rsid w:val="00D058F5"/>
    <w:rsid w:val="00D05932"/>
    <w:rsid w:val="00D05CFE"/>
    <w:rsid w:val="00D064DD"/>
    <w:rsid w:val="00D065CC"/>
    <w:rsid w:val="00D066A8"/>
    <w:rsid w:val="00D0673B"/>
    <w:rsid w:val="00D06AE6"/>
    <w:rsid w:val="00D06B01"/>
    <w:rsid w:val="00D071F7"/>
    <w:rsid w:val="00D07284"/>
    <w:rsid w:val="00D07300"/>
    <w:rsid w:val="00D07550"/>
    <w:rsid w:val="00D075F5"/>
    <w:rsid w:val="00D07808"/>
    <w:rsid w:val="00D078ED"/>
    <w:rsid w:val="00D07AE7"/>
    <w:rsid w:val="00D07AEA"/>
    <w:rsid w:val="00D07AEE"/>
    <w:rsid w:val="00D07B0B"/>
    <w:rsid w:val="00D07DE7"/>
    <w:rsid w:val="00D07F7A"/>
    <w:rsid w:val="00D1023E"/>
    <w:rsid w:val="00D106E2"/>
    <w:rsid w:val="00D10893"/>
    <w:rsid w:val="00D10AFE"/>
    <w:rsid w:val="00D10BA8"/>
    <w:rsid w:val="00D10CC9"/>
    <w:rsid w:val="00D10D2B"/>
    <w:rsid w:val="00D10F83"/>
    <w:rsid w:val="00D10FCB"/>
    <w:rsid w:val="00D117DB"/>
    <w:rsid w:val="00D1180B"/>
    <w:rsid w:val="00D1195D"/>
    <w:rsid w:val="00D11E20"/>
    <w:rsid w:val="00D11E90"/>
    <w:rsid w:val="00D11EC3"/>
    <w:rsid w:val="00D11FC4"/>
    <w:rsid w:val="00D12009"/>
    <w:rsid w:val="00D12284"/>
    <w:rsid w:val="00D122DA"/>
    <w:rsid w:val="00D1231B"/>
    <w:rsid w:val="00D128CD"/>
    <w:rsid w:val="00D129E8"/>
    <w:rsid w:val="00D12B94"/>
    <w:rsid w:val="00D12FD8"/>
    <w:rsid w:val="00D13090"/>
    <w:rsid w:val="00D13373"/>
    <w:rsid w:val="00D1351B"/>
    <w:rsid w:val="00D13797"/>
    <w:rsid w:val="00D137FD"/>
    <w:rsid w:val="00D138B5"/>
    <w:rsid w:val="00D13961"/>
    <w:rsid w:val="00D13E25"/>
    <w:rsid w:val="00D13F7E"/>
    <w:rsid w:val="00D13FE3"/>
    <w:rsid w:val="00D1400B"/>
    <w:rsid w:val="00D14011"/>
    <w:rsid w:val="00D14140"/>
    <w:rsid w:val="00D14389"/>
    <w:rsid w:val="00D143CA"/>
    <w:rsid w:val="00D1458A"/>
    <w:rsid w:val="00D1485D"/>
    <w:rsid w:val="00D14A91"/>
    <w:rsid w:val="00D14C01"/>
    <w:rsid w:val="00D14D1E"/>
    <w:rsid w:val="00D14E6B"/>
    <w:rsid w:val="00D1519F"/>
    <w:rsid w:val="00D152CA"/>
    <w:rsid w:val="00D152E7"/>
    <w:rsid w:val="00D15375"/>
    <w:rsid w:val="00D1545A"/>
    <w:rsid w:val="00D15659"/>
    <w:rsid w:val="00D15739"/>
    <w:rsid w:val="00D158E3"/>
    <w:rsid w:val="00D15AD3"/>
    <w:rsid w:val="00D15B78"/>
    <w:rsid w:val="00D15F2F"/>
    <w:rsid w:val="00D16063"/>
    <w:rsid w:val="00D160A4"/>
    <w:rsid w:val="00D16188"/>
    <w:rsid w:val="00D16413"/>
    <w:rsid w:val="00D16451"/>
    <w:rsid w:val="00D165BB"/>
    <w:rsid w:val="00D167BE"/>
    <w:rsid w:val="00D168EA"/>
    <w:rsid w:val="00D16AC8"/>
    <w:rsid w:val="00D16B8A"/>
    <w:rsid w:val="00D16DFB"/>
    <w:rsid w:val="00D170E1"/>
    <w:rsid w:val="00D17132"/>
    <w:rsid w:val="00D17392"/>
    <w:rsid w:val="00D174AD"/>
    <w:rsid w:val="00D17620"/>
    <w:rsid w:val="00D17AED"/>
    <w:rsid w:val="00D17BE9"/>
    <w:rsid w:val="00D17C7C"/>
    <w:rsid w:val="00D17D36"/>
    <w:rsid w:val="00D17FCC"/>
    <w:rsid w:val="00D20007"/>
    <w:rsid w:val="00D207CC"/>
    <w:rsid w:val="00D20983"/>
    <w:rsid w:val="00D20B1E"/>
    <w:rsid w:val="00D20B49"/>
    <w:rsid w:val="00D20C45"/>
    <w:rsid w:val="00D21499"/>
    <w:rsid w:val="00D2159E"/>
    <w:rsid w:val="00D21E76"/>
    <w:rsid w:val="00D22180"/>
    <w:rsid w:val="00D22357"/>
    <w:rsid w:val="00D2242D"/>
    <w:rsid w:val="00D226AB"/>
    <w:rsid w:val="00D2301C"/>
    <w:rsid w:val="00D23074"/>
    <w:rsid w:val="00D233EC"/>
    <w:rsid w:val="00D23529"/>
    <w:rsid w:val="00D23686"/>
    <w:rsid w:val="00D237DF"/>
    <w:rsid w:val="00D23830"/>
    <w:rsid w:val="00D23880"/>
    <w:rsid w:val="00D238FF"/>
    <w:rsid w:val="00D23BE8"/>
    <w:rsid w:val="00D241E9"/>
    <w:rsid w:val="00D2422E"/>
    <w:rsid w:val="00D24277"/>
    <w:rsid w:val="00D243CE"/>
    <w:rsid w:val="00D245E2"/>
    <w:rsid w:val="00D24CAB"/>
    <w:rsid w:val="00D24CD6"/>
    <w:rsid w:val="00D24D50"/>
    <w:rsid w:val="00D250C2"/>
    <w:rsid w:val="00D25143"/>
    <w:rsid w:val="00D25383"/>
    <w:rsid w:val="00D253D9"/>
    <w:rsid w:val="00D2549D"/>
    <w:rsid w:val="00D25557"/>
    <w:rsid w:val="00D25585"/>
    <w:rsid w:val="00D25706"/>
    <w:rsid w:val="00D259F0"/>
    <w:rsid w:val="00D25AC1"/>
    <w:rsid w:val="00D25EFA"/>
    <w:rsid w:val="00D25FFB"/>
    <w:rsid w:val="00D261CF"/>
    <w:rsid w:val="00D262E3"/>
    <w:rsid w:val="00D2695C"/>
    <w:rsid w:val="00D26983"/>
    <w:rsid w:val="00D26BA1"/>
    <w:rsid w:val="00D26FD1"/>
    <w:rsid w:val="00D270AF"/>
    <w:rsid w:val="00D27228"/>
    <w:rsid w:val="00D27472"/>
    <w:rsid w:val="00D27B7C"/>
    <w:rsid w:val="00D27E34"/>
    <w:rsid w:val="00D27F59"/>
    <w:rsid w:val="00D303A1"/>
    <w:rsid w:val="00D30494"/>
    <w:rsid w:val="00D304AB"/>
    <w:rsid w:val="00D3053F"/>
    <w:rsid w:val="00D305B5"/>
    <w:rsid w:val="00D3064E"/>
    <w:rsid w:val="00D30B92"/>
    <w:rsid w:val="00D30CD5"/>
    <w:rsid w:val="00D311B5"/>
    <w:rsid w:val="00D311D3"/>
    <w:rsid w:val="00D3139D"/>
    <w:rsid w:val="00D3192B"/>
    <w:rsid w:val="00D3194B"/>
    <w:rsid w:val="00D31B69"/>
    <w:rsid w:val="00D31CE3"/>
    <w:rsid w:val="00D31D2D"/>
    <w:rsid w:val="00D3244C"/>
    <w:rsid w:val="00D324A0"/>
    <w:rsid w:val="00D324FF"/>
    <w:rsid w:val="00D32569"/>
    <w:rsid w:val="00D32A78"/>
    <w:rsid w:val="00D32B53"/>
    <w:rsid w:val="00D32BD6"/>
    <w:rsid w:val="00D32EF6"/>
    <w:rsid w:val="00D32FBC"/>
    <w:rsid w:val="00D32FFF"/>
    <w:rsid w:val="00D33CB8"/>
    <w:rsid w:val="00D341D5"/>
    <w:rsid w:val="00D34411"/>
    <w:rsid w:val="00D35A49"/>
    <w:rsid w:val="00D35ED3"/>
    <w:rsid w:val="00D35EE4"/>
    <w:rsid w:val="00D36079"/>
    <w:rsid w:val="00D3618A"/>
    <w:rsid w:val="00D36252"/>
    <w:rsid w:val="00D36344"/>
    <w:rsid w:val="00D36389"/>
    <w:rsid w:val="00D3668E"/>
    <w:rsid w:val="00D366D9"/>
    <w:rsid w:val="00D36865"/>
    <w:rsid w:val="00D3698F"/>
    <w:rsid w:val="00D369E3"/>
    <w:rsid w:val="00D36BB5"/>
    <w:rsid w:val="00D37098"/>
    <w:rsid w:val="00D37128"/>
    <w:rsid w:val="00D37224"/>
    <w:rsid w:val="00D37984"/>
    <w:rsid w:val="00D379C4"/>
    <w:rsid w:val="00D37B5C"/>
    <w:rsid w:val="00D37EBA"/>
    <w:rsid w:val="00D4025F"/>
    <w:rsid w:val="00D4037C"/>
    <w:rsid w:val="00D40563"/>
    <w:rsid w:val="00D40570"/>
    <w:rsid w:val="00D405A2"/>
    <w:rsid w:val="00D405FF"/>
    <w:rsid w:val="00D409BB"/>
    <w:rsid w:val="00D40C51"/>
    <w:rsid w:val="00D40C8D"/>
    <w:rsid w:val="00D40D5C"/>
    <w:rsid w:val="00D40F49"/>
    <w:rsid w:val="00D4103E"/>
    <w:rsid w:val="00D411F4"/>
    <w:rsid w:val="00D415B1"/>
    <w:rsid w:val="00D41624"/>
    <w:rsid w:val="00D41752"/>
    <w:rsid w:val="00D4185A"/>
    <w:rsid w:val="00D418BD"/>
    <w:rsid w:val="00D419F1"/>
    <w:rsid w:val="00D41C8E"/>
    <w:rsid w:val="00D41D0D"/>
    <w:rsid w:val="00D42841"/>
    <w:rsid w:val="00D429D2"/>
    <w:rsid w:val="00D42BFD"/>
    <w:rsid w:val="00D42CEC"/>
    <w:rsid w:val="00D42E34"/>
    <w:rsid w:val="00D431CE"/>
    <w:rsid w:val="00D431F0"/>
    <w:rsid w:val="00D4324C"/>
    <w:rsid w:val="00D433CA"/>
    <w:rsid w:val="00D43448"/>
    <w:rsid w:val="00D435FA"/>
    <w:rsid w:val="00D43618"/>
    <w:rsid w:val="00D436F8"/>
    <w:rsid w:val="00D439D6"/>
    <w:rsid w:val="00D43D02"/>
    <w:rsid w:val="00D43FA9"/>
    <w:rsid w:val="00D43FEA"/>
    <w:rsid w:val="00D444F8"/>
    <w:rsid w:val="00D44663"/>
    <w:rsid w:val="00D44776"/>
    <w:rsid w:val="00D44B53"/>
    <w:rsid w:val="00D45032"/>
    <w:rsid w:val="00D45172"/>
    <w:rsid w:val="00D4592E"/>
    <w:rsid w:val="00D45A75"/>
    <w:rsid w:val="00D45F3B"/>
    <w:rsid w:val="00D460A9"/>
    <w:rsid w:val="00D460C8"/>
    <w:rsid w:val="00D461CA"/>
    <w:rsid w:val="00D461D6"/>
    <w:rsid w:val="00D46366"/>
    <w:rsid w:val="00D46443"/>
    <w:rsid w:val="00D46586"/>
    <w:rsid w:val="00D46633"/>
    <w:rsid w:val="00D46696"/>
    <w:rsid w:val="00D4689C"/>
    <w:rsid w:val="00D46DDB"/>
    <w:rsid w:val="00D46E62"/>
    <w:rsid w:val="00D46F83"/>
    <w:rsid w:val="00D4716B"/>
    <w:rsid w:val="00D4756A"/>
    <w:rsid w:val="00D476FC"/>
    <w:rsid w:val="00D4788C"/>
    <w:rsid w:val="00D479C7"/>
    <w:rsid w:val="00D47B2E"/>
    <w:rsid w:val="00D47D86"/>
    <w:rsid w:val="00D500BF"/>
    <w:rsid w:val="00D503F8"/>
    <w:rsid w:val="00D50660"/>
    <w:rsid w:val="00D5088C"/>
    <w:rsid w:val="00D512F8"/>
    <w:rsid w:val="00D514FD"/>
    <w:rsid w:val="00D51560"/>
    <w:rsid w:val="00D51568"/>
    <w:rsid w:val="00D51AE4"/>
    <w:rsid w:val="00D51D90"/>
    <w:rsid w:val="00D524B7"/>
    <w:rsid w:val="00D52703"/>
    <w:rsid w:val="00D53053"/>
    <w:rsid w:val="00D5323A"/>
    <w:rsid w:val="00D533F3"/>
    <w:rsid w:val="00D534D2"/>
    <w:rsid w:val="00D5352C"/>
    <w:rsid w:val="00D53677"/>
    <w:rsid w:val="00D53980"/>
    <w:rsid w:val="00D53B7C"/>
    <w:rsid w:val="00D5404B"/>
    <w:rsid w:val="00D540BD"/>
    <w:rsid w:val="00D5442A"/>
    <w:rsid w:val="00D5458C"/>
    <w:rsid w:val="00D5463E"/>
    <w:rsid w:val="00D549FF"/>
    <w:rsid w:val="00D54B58"/>
    <w:rsid w:val="00D54B69"/>
    <w:rsid w:val="00D54CA1"/>
    <w:rsid w:val="00D54D90"/>
    <w:rsid w:val="00D54D94"/>
    <w:rsid w:val="00D54F43"/>
    <w:rsid w:val="00D55469"/>
    <w:rsid w:val="00D55585"/>
    <w:rsid w:val="00D558E1"/>
    <w:rsid w:val="00D55A91"/>
    <w:rsid w:val="00D55B25"/>
    <w:rsid w:val="00D56268"/>
    <w:rsid w:val="00D56767"/>
    <w:rsid w:val="00D56B6E"/>
    <w:rsid w:val="00D56DC5"/>
    <w:rsid w:val="00D57040"/>
    <w:rsid w:val="00D573FC"/>
    <w:rsid w:val="00D57546"/>
    <w:rsid w:val="00D57836"/>
    <w:rsid w:val="00D578CD"/>
    <w:rsid w:val="00D5793B"/>
    <w:rsid w:val="00D57AC3"/>
    <w:rsid w:val="00D57CAF"/>
    <w:rsid w:val="00D57DBB"/>
    <w:rsid w:val="00D57EEA"/>
    <w:rsid w:val="00D6038F"/>
    <w:rsid w:val="00D6046A"/>
    <w:rsid w:val="00D60A97"/>
    <w:rsid w:val="00D61343"/>
    <w:rsid w:val="00D6169F"/>
    <w:rsid w:val="00D61B4E"/>
    <w:rsid w:val="00D61D2F"/>
    <w:rsid w:val="00D61DBE"/>
    <w:rsid w:val="00D61E4E"/>
    <w:rsid w:val="00D62253"/>
    <w:rsid w:val="00D62506"/>
    <w:rsid w:val="00D626B7"/>
    <w:rsid w:val="00D626E7"/>
    <w:rsid w:val="00D62A38"/>
    <w:rsid w:val="00D62A9A"/>
    <w:rsid w:val="00D62D3C"/>
    <w:rsid w:val="00D62D90"/>
    <w:rsid w:val="00D62F5B"/>
    <w:rsid w:val="00D62F8E"/>
    <w:rsid w:val="00D63060"/>
    <w:rsid w:val="00D63069"/>
    <w:rsid w:val="00D6310B"/>
    <w:rsid w:val="00D6320B"/>
    <w:rsid w:val="00D632A3"/>
    <w:rsid w:val="00D6346D"/>
    <w:rsid w:val="00D634CF"/>
    <w:rsid w:val="00D63675"/>
    <w:rsid w:val="00D6389D"/>
    <w:rsid w:val="00D63C76"/>
    <w:rsid w:val="00D63D8E"/>
    <w:rsid w:val="00D63F5A"/>
    <w:rsid w:val="00D640DA"/>
    <w:rsid w:val="00D64216"/>
    <w:rsid w:val="00D64431"/>
    <w:rsid w:val="00D6443F"/>
    <w:rsid w:val="00D64445"/>
    <w:rsid w:val="00D64841"/>
    <w:rsid w:val="00D64E23"/>
    <w:rsid w:val="00D65244"/>
    <w:rsid w:val="00D6603D"/>
    <w:rsid w:val="00D66577"/>
    <w:rsid w:val="00D6684D"/>
    <w:rsid w:val="00D669FA"/>
    <w:rsid w:val="00D66C68"/>
    <w:rsid w:val="00D66FE8"/>
    <w:rsid w:val="00D67004"/>
    <w:rsid w:val="00D67530"/>
    <w:rsid w:val="00D67713"/>
    <w:rsid w:val="00D677F3"/>
    <w:rsid w:val="00D67B71"/>
    <w:rsid w:val="00D67CE3"/>
    <w:rsid w:val="00D67EC9"/>
    <w:rsid w:val="00D7049C"/>
    <w:rsid w:val="00D70A4E"/>
    <w:rsid w:val="00D70BEA"/>
    <w:rsid w:val="00D70D78"/>
    <w:rsid w:val="00D7131D"/>
    <w:rsid w:val="00D71439"/>
    <w:rsid w:val="00D71804"/>
    <w:rsid w:val="00D71895"/>
    <w:rsid w:val="00D718D9"/>
    <w:rsid w:val="00D71A14"/>
    <w:rsid w:val="00D71F46"/>
    <w:rsid w:val="00D720AF"/>
    <w:rsid w:val="00D72614"/>
    <w:rsid w:val="00D726F4"/>
    <w:rsid w:val="00D7273F"/>
    <w:rsid w:val="00D72827"/>
    <w:rsid w:val="00D72881"/>
    <w:rsid w:val="00D728C7"/>
    <w:rsid w:val="00D728E5"/>
    <w:rsid w:val="00D7298C"/>
    <w:rsid w:val="00D72C6B"/>
    <w:rsid w:val="00D72CC9"/>
    <w:rsid w:val="00D72F6D"/>
    <w:rsid w:val="00D72F96"/>
    <w:rsid w:val="00D73051"/>
    <w:rsid w:val="00D732D2"/>
    <w:rsid w:val="00D73321"/>
    <w:rsid w:val="00D7359F"/>
    <w:rsid w:val="00D73714"/>
    <w:rsid w:val="00D738FF"/>
    <w:rsid w:val="00D73A04"/>
    <w:rsid w:val="00D73A14"/>
    <w:rsid w:val="00D73C72"/>
    <w:rsid w:val="00D73E61"/>
    <w:rsid w:val="00D73F58"/>
    <w:rsid w:val="00D742E8"/>
    <w:rsid w:val="00D7432A"/>
    <w:rsid w:val="00D743EE"/>
    <w:rsid w:val="00D74576"/>
    <w:rsid w:val="00D747FD"/>
    <w:rsid w:val="00D74816"/>
    <w:rsid w:val="00D748AF"/>
    <w:rsid w:val="00D748D9"/>
    <w:rsid w:val="00D74AA2"/>
    <w:rsid w:val="00D74D1C"/>
    <w:rsid w:val="00D74D95"/>
    <w:rsid w:val="00D74DB6"/>
    <w:rsid w:val="00D74EC6"/>
    <w:rsid w:val="00D74F3F"/>
    <w:rsid w:val="00D74FD5"/>
    <w:rsid w:val="00D754BF"/>
    <w:rsid w:val="00D75691"/>
    <w:rsid w:val="00D758FF"/>
    <w:rsid w:val="00D75FB1"/>
    <w:rsid w:val="00D76819"/>
    <w:rsid w:val="00D76931"/>
    <w:rsid w:val="00D77190"/>
    <w:rsid w:val="00D772A9"/>
    <w:rsid w:val="00D772C6"/>
    <w:rsid w:val="00D774C9"/>
    <w:rsid w:val="00D7779F"/>
    <w:rsid w:val="00D7785B"/>
    <w:rsid w:val="00D77A57"/>
    <w:rsid w:val="00D77A6B"/>
    <w:rsid w:val="00D77C1B"/>
    <w:rsid w:val="00D77DE6"/>
    <w:rsid w:val="00D77EB1"/>
    <w:rsid w:val="00D80282"/>
    <w:rsid w:val="00D8028D"/>
    <w:rsid w:val="00D802BA"/>
    <w:rsid w:val="00D80458"/>
    <w:rsid w:val="00D807D4"/>
    <w:rsid w:val="00D808F8"/>
    <w:rsid w:val="00D80A55"/>
    <w:rsid w:val="00D80CDD"/>
    <w:rsid w:val="00D80E3E"/>
    <w:rsid w:val="00D80F27"/>
    <w:rsid w:val="00D811FA"/>
    <w:rsid w:val="00D8151B"/>
    <w:rsid w:val="00D816F6"/>
    <w:rsid w:val="00D820B2"/>
    <w:rsid w:val="00D820B9"/>
    <w:rsid w:val="00D82742"/>
    <w:rsid w:val="00D82A17"/>
    <w:rsid w:val="00D82B00"/>
    <w:rsid w:val="00D82D9E"/>
    <w:rsid w:val="00D83406"/>
    <w:rsid w:val="00D83501"/>
    <w:rsid w:val="00D837B2"/>
    <w:rsid w:val="00D838BF"/>
    <w:rsid w:val="00D83960"/>
    <w:rsid w:val="00D839CC"/>
    <w:rsid w:val="00D83A07"/>
    <w:rsid w:val="00D83AC6"/>
    <w:rsid w:val="00D83CCE"/>
    <w:rsid w:val="00D84349"/>
    <w:rsid w:val="00D846D7"/>
    <w:rsid w:val="00D8470F"/>
    <w:rsid w:val="00D847CD"/>
    <w:rsid w:val="00D84B0F"/>
    <w:rsid w:val="00D84EC1"/>
    <w:rsid w:val="00D854B2"/>
    <w:rsid w:val="00D8592C"/>
    <w:rsid w:val="00D85939"/>
    <w:rsid w:val="00D85A86"/>
    <w:rsid w:val="00D85BDD"/>
    <w:rsid w:val="00D85D33"/>
    <w:rsid w:val="00D85FB4"/>
    <w:rsid w:val="00D8613B"/>
    <w:rsid w:val="00D8691B"/>
    <w:rsid w:val="00D86D00"/>
    <w:rsid w:val="00D86F72"/>
    <w:rsid w:val="00D87114"/>
    <w:rsid w:val="00D8717D"/>
    <w:rsid w:val="00D874F0"/>
    <w:rsid w:val="00D874F3"/>
    <w:rsid w:val="00D875FF"/>
    <w:rsid w:val="00D87BD6"/>
    <w:rsid w:val="00D87CB2"/>
    <w:rsid w:val="00D87DDC"/>
    <w:rsid w:val="00D87FEC"/>
    <w:rsid w:val="00D9007B"/>
    <w:rsid w:val="00D901BB"/>
    <w:rsid w:val="00D9072D"/>
    <w:rsid w:val="00D908F6"/>
    <w:rsid w:val="00D9091C"/>
    <w:rsid w:val="00D90959"/>
    <w:rsid w:val="00D90C03"/>
    <w:rsid w:val="00D90DCF"/>
    <w:rsid w:val="00D90F7F"/>
    <w:rsid w:val="00D9100B"/>
    <w:rsid w:val="00D91175"/>
    <w:rsid w:val="00D9135A"/>
    <w:rsid w:val="00D91A6F"/>
    <w:rsid w:val="00D91B84"/>
    <w:rsid w:val="00D91C21"/>
    <w:rsid w:val="00D91DAD"/>
    <w:rsid w:val="00D91F04"/>
    <w:rsid w:val="00D91F08"/>
    <w:rsid w:val="00D92218"/>
    <w:rsid w:val="00D922FD"/>
    <w:rsid w:val="00D9259D"/>
    <w:rsid w:val="00D925CD"/>
    <w:rsid w:val="00D9261A"/>
    <w:rsid w:val="00D9285E"/>
    <w:rsid w:val="00D929BE"/>
    <w:rsid w:val="00D92B37"/>
    <w:rsid w:val="00D93350"/>
    <w:rsid w:val="00D9347C"/>
    <w:rsid w:val="00D9355D"/>
    <w:rsid w:val="00D936CA"/>
    <w:rsid w:val="00D9379F"/>
    <w:rsid w:val="00D937EF"/>
    <w:rsid w:val="00D93948"/>
    <w:rsid w:val="00D93979"/>
    <w:rsid w:val="00D93E25"/>
    <w:rsid w:val="00D93EEC"/>
    <w:rsid w:val="00D9438C"/>
    <w:rsid w:val="00D9464E"/>
    <w:rsid w:val="00D9515D"/>
    <w:rsid w:val="00D9566E"/>
    <w:rsid w:val="00D957F8"/>
    <w:rsid w:val="00D95B06"/>
    <w:rsid w:val="00D95EDC"/>
    <w:rsid w:val="00D9614B"/>
    <w:rsid w:val="00D961CB"/>
    <w:rsid w:val="00D962BD"/>
    <w:rsid w:val="00D9643B"/>
    <w:rsid w:val="00D9653C"/>
    <w:rsid w:val="00D965C2"/>
    <w:rsid w:val="00D968C7"/>
    <w:rsid w:val="00D96A4E"/>
    <w:rsid w:val="00D96B33"/>
    <w:rsid w:val="00D96B44"/>
    <w:rsid w:val="00D9727B"/>
    <w:rsid w:val="00D9745E"/>
    <w:rsid w:val="00D97519"/>
    <w:rsid w:val="00D9754A"/>
    <w:rsid w:val="00D9754B"/>
    <w:rsid w:val="00D97B3F"/>
    <w:rsid w:val="00D97F83"/>
    <w:rsid w:val="00DA01B5"/>
    <w:rsid w:val="00DA0388"/>
    <w:rsid w:val="00DA0CF3"/>
    <w:rsid w:val="00DA0E98"/>
    <w:rsid w:val="00DA1053"/>
    <w:rsid w:val="00DA12B6"/>
    <w:rsid w:val="00DA1487"/>
    <w:rsid w:val="00DA15DA"/>
    <w:rsid w:val="00DA1651"/>
    <w:rsid w:val="00DA17D7"/>
    <w:rsid w:val="00DA2057"/>
    <w:rsid w:val="00DA24B7"/>
    <w:rsid w:val="00DA25DB"/>
    <w:rsid w:val="00DA2660"/>
    <w:rsid w:val="00DA2748"/>
    <w:rsid w:val="00DA2D47"/>
    <w:rsid w:val="00DA2E9B"/>
    <w:rsid w:val="00DA3008"/>
    <w:rsid w:val="00DA300F"/>
    <w:rsid w:val="00DA33C4"/>
    <w:rsid w:val="00DA33DC"/>
    <w:rsid w:val="00DA369A"/>
    <w:rsid w:val="00DA3C62"/>
    <w:rsid w:val="00DA3DC1"/>
    <w:rsid w:val="00DA416A"/>
    <w:rsid w:val="00DA41F2"/>
    <w:rsid w:val="00DA4731"/>
    <w:rsid w:val="00DA4797"/>
    <w:rsid w:val="00DA48C7"/>
    <w:rsid w:val="00DA4BE3"/>
    <w:rsid w:val="00DA4D75"/>
    <w:rsid w:val="00DA5706"/>
    <w:rsid w:val="00DA572C"/>
    <w:rsid w:val="00DA59D2"/>
    <w:rsid w:val="00DA5CAD"/>
    <w:rsid w:val="00DA5F84"/>
    <w:rsid w:val="00DA6733"/>
    <w:rsid w:val="00DA6997"/>
    <w:rsid w:val="00DA6BD5"/>
    <w:rsid w:val="00DA6CCF"/>
    <w:rsid w:val="00DA6D9E"/>
    <w:rsid w:val="00DA6FAA"/>
    <w:rsid w:val="00DA728A"/>
    <w:rsid w:val="00DA74C0"/>
    <w:rsid w:val="00DA79F1"/>
    <w:rsid w:val="00DA7B16"/>
    <w:rsid w:val="00DA7D68"/>
    <w:rsid w:val="00DA7D6C"/>
    <w:rsid w:val="00DA7E0A"/>
    <w:rsid w:val="00DA7E8A"/>
    <w:rsid w:val="00DA7E8F"/>
    <w:rsid w:val="00DA7F1A"/>
    <w:rsid w:val="00DB013B"/>
    <w:rsid w:val="00DB057B"/>
    <w:rsid w:val="00DB0605"/>
    <w:rsid w:val="00DB072C"/>
    <w:rsid w:val="00DB0870"/>
    <w:rsid w:val="00DB08E4"/>
    <w:rsid w:val="00DB0B7E"/>
    <w:rsid w:val="00DB0FCE"/>
    <w:rsid w:val="00DB1190"/>
    <w:rsid w:val="00DB11EE"/>
    <w:rsid w:val="00DB1444"/>
    <w:rsid w:val="00DB14AD"/>
    <w:rsid w:val="00DB14E6"/>
    <w:rsid w:val="00DB162A"/>
    <w:rsid w:val="00DB1931"/>
    <w:rsid w:val="00DB19CE"/>
    <w:rsid w:val="00DB1ECB"/>
    <w:rsid w:val="00DB1F81"/>
    <w:rsid w:val="00DB1FDD"/>
    <w:rsid w:val="00DB2403"/>
    <w:rsid w:val="00DB26C5"/>
    <w:rsid w:val="00DB2926"/>
    <w:rsid w:val="00DB2A8A"/>
    <w:rsid w:val="00DB2C40"/>
    <w:rsid w:val="00DB2CF3"/>
    <w:rsid w:val="00DB2FFE"/>
    <w:rsid w:val="00DB31CE"/>
    <w:rsid w:val="00DB321E"/>
    <w:rsid w:val="00DB36EF"/>
    <w:rsid w:val="00DB3703"/>
    <w:rsid w:val="00DB3746"/>
    <w:rsid w:val="00DB3752"/>
    <w:rsid w:val="00DB39DD"/>
    <w:rsid w:val="00DB3AB4"/>
    <w:rsid w:val="00DB3D5D"/>
    <w:rsid w:val="00DB40E9"/>
    <w:rsid w:val="00DB47F1"/>
    <w:rsid w:val="00DB4909"/>
    <w:rsid w:val="00DB4B56"/>
    <w:rsid w:val="00DB4F41"/>
    <w:rsid w:val="00DB51EB"/>
    <w:rsid w:val="00DB5382"/>
    <w:rsid w:val="00DB545B"/>
    <w:rsid w:val="00DB5515"/>
    <w:rsid w:val="00DB567A"/>
    <w:rsid w:val="00DB56AC"/>
    <w:rsid w:val="00DB58EC"/>
    <w:rsid w:val="00DB5914"/>
    <w:rsid w:val="00DB5B60"/>
    <w:rsid w:val="00DB5BD4"/>
    <w:rsid w:val="00DB5D9A"/>
    <w:rsid w:val="00DB601F"/>
    <w:rsid w:val="00DB61BE"/>
    <w:rsid w:val="00DB65DE"/>
    <w:rsid w:val="00DB6990"/>
    <w:rsid w:val="00DB6ACB"/>
    <w:rsid w:val="00DB6F9C"/>
    <w:rsid w:val="00DB7009"/>
    <w:rsid w:val="00DB739C"/>
    <w:rsid w:val="00DB73D7"/>
    <w:rsid w:val="00DB7484"/>
    <w:rsid w:val="00DB754E"/>
    <w:rsid w:val="00DB77B5"/>
    <w:rsid w:val="00DB77E6"/>
    <w:rsid w:val="00DB7878"/>
    <w:rsid w:val="00DB795A"/>
    <w:rsid w:val="00DB7CF0"/>
    <w:rsid w:val="00DC071C"/>
    <w:rsid w:val="00DC0A77"/>
    <w:rsid w:val="00DC0EEC"/>
    <w:rsid w:val="00DC10EB"/>
    <w:rsid w:val="00DC11D8"/>
    <w:rsid w:val="00DC1694"/>
    <w:rsid w:val="00DC17DB"/>
    <w:rsid w:val="00DC1A5C"/>
    <w:rsid w:val="00DC1DE5"/>
    <w:rsid w:val="00DC1FA5"/>
    <w:rsid w:val="00DC2101"/>
    <w:rsid w:val="00DC250C"/>
    <w:rsid w:val="00DC2583"/>
    <w:rsid w:val="00DC2719"/>
    <w:rsid w:val="00DC271A"/>
    <w:rsid w:val="00DC2BF2"/>
    <w:rsid w:val="00DC2E71"/>
    <w:rsid w:val="00DC3061"/>
    <w:rsid w:val="00DC39C8"/>
    <w:rsid w:val="00DC3C8F"/>
    <w:rsid w:val="00DC3D0D"/>
    <w:rsid w:val="00DC3D4F"/>
    <w:rsid w:val="00DC4017"/>
    <w:rsid w:val="00DC4078"/>
    <w:rsid w:val="00DC41DE"/>
    <w:rsid w:val="00DC439B"/>
    <w:rsid w:val="00DC4482"/>
    <w:rsid w:val="00DC4A8F"/>
    <w:rsid w:val="00DC4D01"/>
    <w:rsid w:val="00DC507A"/>
    <w:rsid w:val="00DC512F"/>
    <w:rsid w:val="00DC51D8"/>
    <w:rsid w:val="00DC5B22"/>
    <w:rsid w:val="00DC5B38"/>
    <w:rsid w:val="00DC5CDE"/>
    <w:rsid w:val="00DC5F7C"/>
    <w:rsid w:val="00DC5FF9"/>
    <w:rsid w:val="00DC6435"/>
    <w:rsid w:val="00DC6461"/>
    <w:rsid w:val="00DC6518"/>
    <w:rsid w:val="00DC669F"/>
    <w:rsid w:val="00DC67B0"/>
    <w:rsid w:val="00DC6E9E"/>
    <w:rsid w:val="00DC70F3"/>
    <w:rsid w:val="00DC7645"/>
    <w:rsid w:val="00DC7810"/>
    <w:rsid w:val="00DC783C"/>
    <w:rsid w:val="00DC7943"/>
    <w:rsid w:val="00DC7D2C"/>
    <w:rsid w:val="00DC7D9F"/>
    <w:rsid w:val="00DD00B0"/>
    <w:rsid w:val="00DD022C"/>
    <w:rsid w:val="00DD027A"/>
    <w:rsid w:val="00DD054A"/>
    <w:rsid w:val="00DD080E"/>
    <w:rsid w:val="00DD0A53"/>
    <w:rsid w:val="00DD0A7E"/>
    <w:rsid w:val="00DD0B28"/>
    <w:rsid w:val="00DD0C56"/>
    <w:rsid w:val="00DD0D02"/>
    <w:rsid w:val="00DD0E0C"/>
    <w:rsid w:val="00DD1250"/>
    <w:rsid w:val="00DD15CE"/>
    <w:rsid w:val="00DD16E3"/>
    <w:rsid w:val="00DD18A0"/>
    <w:rsid w:val="00DD1BFE"/>
    <w:rsid w:val="00DD21AA"/>
    <w:rsid w:val="00DD21B0"/>
    <w:rsid w:val="00DD2434"/>
    <w:rsid w:val="00DD2DF8"/>
    <w:rsid w:val="00DD2E0B"/>
    <w:rsid w:val="00DD2F14"/>
    <w:rsid w:val="00DD2F5E"/>
    <w:rsid w:val="00DD2F79"/>
    <w:rsid w:val="00DD3001"/>
    <w:rsid w:val="00DD3167"/>
    <w:rsid w:val="00DD3630"/>
    <w:rsid w:val="00DD3682"/>
    <w:rsid w:val="00DD3960"/>
    <w:rsid w:val="00DD3B6E"/>
    <w:rsid w:val="00DD3C0B"/>
    <w:rsid w:val="00DD3E2D"/>
    <w:rsid w:val="00DD3F0D"/>
    <w:rsid w:val="00DD4194"/>
    <w:rsid w:val="00DD4658"/>
    <w:rsid w:val="00DD466A"/>
    <w:rsid w:val="00DD466B"/>
    <w:rsid w:val="00DD468F"/>
    <w:rsid w:val="00DD4809"/>
    <w:rsid w:val="00DD485D"/>
    <w:rsid w:val="00DD4986"/>
    <w:rsid w:val="00DD4B50"/>
    <w:rsid w:val="00DD4BA9"/>
    <w:rsid w:val="00DD4F31"/>
    <w:rsid w:val="00DD5106"/>
    <w:rsid w:val="00DD52E9"/>
    <w:rsid w:val="00DD5341"/>
    <w:rsid w:val="00DD5946"/>
    <w:rsid w:val="00DD5C0D"/>
    <w:rsid w:val="00DD63F4"/>
    <w:rsid w:val="00DD649A"/>
    <w:rsid w:val="00DD681D"/>
    <w:rsid w:val="00DD6955"/>
    <w:rsid w:val="00DD6B0F"/>
    <w:rsid w:val="00DD6B4C"/>
    <w:rsid w:val="00DD6BD0"/>
    <w:rsid w:val="00DD6DB9"/>
    <w:rsid w:val="00DD6F82"/>
    <w:rsid w:val="00DD6F84"/>
    <w:rsid w:val="00DD70E3"/>
    <w:rsid w:val="00DD78A3"/>
    <w:rsid w:val="00DD7BD4"/>
    <w:rsid w:val="00DD7C52"/>
    <w:rsid w:val="00DD7EF1"/>
    <w:rsid w:val="00DE02B8"/>
    <w:rsid w:val="00DE064B"/>
    <w:rsid w:val="00DE07C3"/>
    <w:rsid w:val="00DE087F"/>
    <w:rsid w:val="00DE097E"/>
    <w:rsid w:val="00DE0BBC"/>
    <w:rsid w:val="00DE0BD2"/>
    <w:rsid w:val="00DE0CC3"/>
    <w:rsid w:val="00DE0D4E"/>
    <w:rsid w:val="00DE11D7"/>
    <w:rsid w:val="00DE143D"/>
    <w:rsid w:val="00DE1918"/>
    <w:rsid w:val="00DE1A7E"/>
    <w:rsid w:val="00DE1BA2"/>
    <w:rsid w:val="00DE1F67"/>
    <w:rsid w:val="00DE207B"/>
    <w:rsid w:val="00DE23FA"/>
    <w:rsid w:val="00DE2503"/>
    <w:rsid w:val="00DE2740"/>
    <w:rsid w:val="00DE2B1F"/>
    <w:rsid w:val="00DE2B6B"/>
    <w:rsid w:val="00DE2C61"/>
    <w:rsid w:val="00DE2D24"/>
    <w:rsid w:val="00DE2F85"/>
    <w:rsid w:val="00DE32FD"/>
    <w:rsid w:val="00DE33ED"/>
    <w:rsid w:val="00DE371D"/>
    <w:rsid w:val="00DE3A36"/>
    <w:rsid w:val="00DE3AEB"/>
    <w:rsid w:val="00DE3AFD"/>
    <w:rsid w:val="00DE3B19"/>
    <w:rsid w:val="00DE3B65"/>
    <w:rsid w:val="00DE3F36"/>
    <w:rsid w:val="00DE40C1"/>
    <w:rsid w:val="00DE4111"/>
    <w:rsid w:val="00DE4303"/>
    <w:rsid w:val="00DE47D2"/>
    <w:rsid w:val="00DE4E90"/>
    <w:rsid w:val="00DE4F33"/>
    <w:rsid w:val="00DE530D"/>
    <w:rsid w:val="00DE56A6"/>
    <w:rsid w:val="00DE57A1"/>
    <w:rsid w:val="00DE6161"/>
    <w:rsid w:val="00DE63A2"/>
    <w:rsid w:val="00DE6504"/>
    <w:rsid w:val="00DE6A1E"/>
    <w:rsid w:val="00DE6A2B"/>
    <w:rsid w:val="00DE6C50"/>
    <w:rsid w:val="00DE6DE2"/>
    <w:rsid w:val="00DE7235"/>
    <w:rsid w:val="00DE7525"/>
    <w:rsid w:val="00DE7621"/>
    <w:rsid w:val="00DF0181"/>
    <w:rsid w:val="00DF0268"/>
    <w:rsid w:val="00DF02A3"/>
    <w:rsid w:val="00DF03C6"/>
    <w:rsid w:val="00DF07CF"/>
    <w:rsid w:val="00DF0D66"/>
    <w:rsid w:val="00DF0F1A"/>
    <w:rsid w:val="00DF1063"/>
    <w:rsid w:val="00DF1184"/>
    <w:rsid w:val="00DF13A5"/>
    <w:rsid w:val="00DF17D7"/>
    <w:rsid w:val="00DF196B"/>
    <w:rsid w:val="00DF1BF8"/>
    <w:rsid w:val="00DF1C4F"/>
    <w:rsid w:val="00DF1FB6"/>
    <w:rsid w:val="00DF2171"/>
    <w:rsid w:val="00DF24BD"/>
    <w:rsid w:val="00DF25DC"/>
    <w:rsid w:val="00DF2631"/>
    <w:rsid w:val="00DF319B"/>
    <w:rsid w:val="00DF3674"/>
    <w:rsid w:val="00DF383F"/>
    <w:rsid w:val="00DF3B6F"/>
    <w:rsid w:val="00DF3E5F"/>
    <w:rsid w:val="00DF45D6"/>
    <w:rsid w:val="00DF48D4"/>
    <w:rsid w:val="00DF4D07"/>
    <w:rsid w:val="00DF4DD8"/>
    <w:rsid w:val="00DF4E8A"/>
    <w:rsid w:val="00DF504E"/>
    <w:rsid w:val="00DF5905"/>
    <w:rsid w:val="00DF5C40"/>
    <w:rsid w:val="00DF6129"/>
    <w:rsid w:val="00DF613E"/>
    <w:rsid w:val="00DF625C"/>
    <w:rsid w:val="00DF6EB3"/>
    <w:rsid w:val="00DF70DD"/>
    <w:rsid w:val="00DF71A6"/>
    <w:rsid w:val="00DF721E"/>
    <w:rsid w:val="00DF723F"/>
    <w:rsid w:val="00DF7466"/>
    <w:rsid w:val="00DF751D"/>
    <w:rsid w:val="00DF7626"/>
    <w:rsid w:val="00DF7778"/>
    <w:rsid w:val="00DF77FE"/>
    <w:rsid w:val="00DF7ACD"/>
    <w:rsid w:val="00DF7B96"/>
    <w:rsid w:val="00E002D9"/>
    <w:rsid w:val="00E00372"/>
    <w:rsid w:val="00E00741"/>
    <w:rsid w:val="00E00949"/>
    <w:rsid w:val="00E00B07"/>
    <w:rsid w:val="00E00CF6"/>
    <w:rsid w:val="00E00E5F"/>
    <w:rsid w:val="00E011BA"/>
    <w:rsid w:val="00E012A2"/>
    <w:rsid w:val="00E01829"/>
    <w:rsid w:val="00E0194D"/>
    <w:rsid w:val="00E01D48"/>
    <w:rsid w:val="00E01FF0"/>
    <w:rsid w:val="00E024FC"/>
    <w:rsid w:val="00E02563"/>
    <w:rsid w:val="00E025CD"/>
    <w:rsid w:val="00E02796"/>
    <w:rsid w:val="00E0291B"/>
    <w:rsid w:val="00E02B4D"/>
    <w:rsid w:val="00E02C47"/>
    <w:rsid w:val="00E02E46"/>
    <w:rsid w:val="00E034AB"/>
    <w:rsid w:val="00E0378F"/>
    <w:rsid w:val="00E03812"/>
    <w:rsid w:val="00E03AF7"/>
    <w:rsid w:val="00E03AF8"/>
    <w:rsid w:val="00E03D16"/>
    <w:rsid w:val="00E03D51"/>
    <w:rsid w:val="00E0405E"/>
    <w:rsid w:val="00E040AB"/>
    <w:rsid w:val="00E04257"/>
    <w:rsid w:val="00E04477"/>
    <w:rsid w:val="00E04804"/>
    <w:rsid w:val="00E04B63"/>
    <w:rsid w:val="00E04C01"/>
    <w:rsid w:val="00E04DE5"/>
    <w:rsid w:val="00E0514A"/>
    <w:rsid w:val="00E054A3"/>
    <w:rsid w:val="00E0583E"/>
    <w:rsid w:val="00E05E9C"/>
    <w:rsid w:val="00E05E9F"/>
    <w:rsid w:val="00E05EBC"/>
    <w:rsid w:val="00E06302"/>
    <w:rsid w:val="00E06C14"/>
    <w:rsid w:val="00E06FE6"/>
    <w:rsid w:val="00E071F8"/>
    <w:rsid w:val="00E07202"/>
    <w:rsid w:val="00E07229"/>
    <w:rsid w:val="00E0731E"/>
    <w:rsid w:val="00E073A2"/>
    <w:rsid w:val="00E074B5"/>
    <w:rsid w:val="00E07918"/>
    <w:rsid w:val="00E07950"/>
    <w:rsid w:val="00E07A8B"/>
    <w:rsid w:val="00E07AA3"/>
    <w:rsid w:val="00E07D87"/>
    <w:rsid w:val="00E07E48"/>
    <w:rsid w:val="00E10100"/>
    <w:rsid w:val="00E102FF"/>
    <w:rsid w:val="00E10C31"/>
    <w:rsid w:val="00E1101F"/>
    <w:rsid w:val="00E11152"/>
    <w:rsid w:val="00E11371"/>
    <w:rsid w:val="00E11DBA"/>
    <w:rsid w:val="00E11EE1"/>
    <w:rsid w:val="00E11FEA"/>
    <w:rsid w:val="00E120B5"/>
    <w:rsid w:val="00E126E7"/>
    <w:rsid w:val="00E127B0"/>
    <w:rsid w:val="00E1285F"/>
    <w:rsid w:val="00E12877"/>
    <w:rsid w:val="00E1289F"/>
    <w:rsid w:val="00E12AA6"/>
    <w:rsid w:val="00E12AC0"/>
    <w:rsid w:val="00E12C30"/>
    <w:rsid w:val="00E12D30"/>
    <w:rsid w:val="00E12DEA"/>
    <w:rsid w:val="00E13183"/>
    <w:rsid w:val="00E1349B"/>
    <w:rsid w:val="00E1376F"/>
    <w:rsid w:val="00E137AB"/>
    <w:rsid w:val="00E13B3F"/>
    <w:rsid w:val="00E13BD4"/>
    <w:rsid w:val="00E13EAA"/>
    <w:rsid w:val="00E1445F"/>
    <w:rsid w:val="00E146A3"/>
    <w:rsid w:val="00E148C2"/>
    <w:rsid w:val="00E14CA2"/>
    <w:rsid w:val="00E14D70"/>
    <w:rsid w:val="00E1514C"/>
    <w:rsid w:val="00E152F1"/>
    <w:rsid w:val="00E153CE"/>
    <w:rsid w:val="00E15A1C"/>
    <w:rsid w:val="00E15E60"/>
    <w:rsid w:val="00E15EF7"/>
    <w:rsid w:val="00E15F18"/>
    <w:rsid w:val="00E15FEF"/>
    <w:rsid w:val="00E1603A"/>
    <w:rsid w:val="00E1642D"/>
    <w:rsid w:val="00E1645C"/>
    <w:rsid w:val="00E164F9"/>
    <w:rsid w:val="00E167CC"/>
    <w:rsid w:val="00E169DE"/>
    <w:rsid w:val="00E16A01"/>
    <w:rsid w:val="00E16C87"/>
    <w:rsid w:val="00E16E45"/>
    <w:rsid w:val="00E16F95"/>
    <w:rsid w:val="00E1742D"/>
    <w:rsid w:val="00E17497"/>
    <w:rsid w:val="00E17AE5"/>
    <w:rsid w:val="00E17B9F"/>
    <w:rsid w:val="00E17CB7"/>
    <w:rsid w:val="00E17DC2"/>
    <w:rsid w:val="00E17FB7"/>
    <w:rsid w:val="00E2008C"/>
    <w:rsid w:val="00E20234"/>
    <w:rsid w:val="00E20268"/>
    <w:rsid w:val="00E205B2"/>
    <w:rsid w:val="00E209B8"/>
    <w:rsid w:val="00E20ADD"/>
    <w:rsid w:val="00E20D11"/>
    <w:rsid w:val="00E2108C"/>
    <w:rsid w:val="00E210ED"/>
    <w:rsid w:val="00E2178C"/>
    <w:rsid w:val="00E21C83"/>
    <w:rsid w:val="00E22003"/>
    <w:rsid w:val="00E2213D"/>
    <w:rsid w:val="00E22320"/>
    <w:rsid w:val="00E223D8"/>
    <w:rsid w:val="00E2264E"/>
    <w:rsid w:val="00E22741"/>
    <w:rsid w:val="00E22C66"/>
    <w:rsid w:val="00E22CCA"/>
    <w:rsid w:val="00E22E73"/>
    <w:rsid w:val="00E2327D"/>
    <w:rsid w:val="00E233B0"/>
    <w:rsid w:val="00E23457"/>
    <w:rsid w:val="00E2345B"/>
    <w:rsid w:val="00E234C0"/>
    <w:rsid w:val="00E237E7"/>
    <w:rsid w:val="00E23DA9"/>
    <w:rsid w:val="00E2414C"/>
    <w:rsid w:val="00E241B5"/>
    <w:rsid w:val="00E241F1"/>
    <w:rsid w:val="00E242F0"/>
    <w:rsid w:val="00E248A6"/>
    <w:rsid w:val="00E24B55"/>
    <w:rsid w:val="00E24B74"/>
    <w:rsid w:val="00E24D18"/>
    <w:rsid w:val="00E24D7E"/>
    <w:rsid w:val="00E24E78"/>
    <w:rsid w:val="00E24F0E"/>
    <w:rsid w:val="00E25239"/>
    <w:rsid w:val="00E2536F"/>
    <w:rsid w:val="00E2548D"/>
    <w:rsid w:val="00E254D8"/>
    <w:rsid w:val="00E254F0"/>
    <w:rsid w:val="00E256A8"/>
    <w:rsid w:val="00E257F2"/>
    <w:rsid w:val="00E25828"/>
    <w:rsid w:val="00E258E7"/>
    <w:rsid w:val="00E25B88"/>
    <w:rsid w:val="00E25F1D"/>
    <w:rsid w:val="00E264A2"/>
    <w:rsid w:val="00E264D7"/>
    <w:rsid w:val="00E2664D"/>
    <w:rsid w:val="00E26714"/>
    <w:rsid w:val="00E26769"/>
    <w:rsid w:val="00E26A26"/>
    <w:rsid w:val="00E26E0B"/>
    <w:rsid w:val="00E26E49"/>
    <w:rsid w:val="00E26F4F"/>
    <w:rsid w:val="00E270E2"/>
    <w:rsid w:val="00E270E3"/>
    <w:rsid w:val="00E27156"/>
    <w:rsid w:val="00E2722A"/>
    <w:rsid w:val="00E2746A"/>
    <w:rsid w:val="00E27583"/>
    <w:rsid w:val="00E27586"/>
    <w:rsid w:val="00E27706"/>
    <w:rsid w:val="00E27B03"/>
    <w:rsid w:val="00E27C00"/>
    <w:rsid w:val="00E27C06"/>
    <w:rsid w:val="00E27C15"/>
    <w:rsid w:val="00E27CDB"/>
    <w:rsid w:val="00E27CE6"/>
    <w:rsid w:val="00E303F4"/>
    <w:rsid w:val="00E3059F"/>
    <w:rsid w:val="00E30758"/>
    <w:rsid w:val="00E30BA8"/>
    <w:rsid w:val="00E311D1"/>
    <w:rsid w:val="00E314D4"/>
    <w:rsid w:val="00E3163B"/>
    <w:rsid w:val="00E316EB"/>
    <w:rsid w:val="00E3179F"/>
    <w:rsid w:val="00E318AD"/>
    <w:rsid w:val="00E31A84"/>
    <w:rsid w:val="00E31C9E"/>
    <w:rsid w:val="00E31CC5"/>
    <w:rsid w:val="00E31D79"/>
    <w:rsid w:val="00E31E24"/>
    <w:rsid w:val="00E320F4"/>
    <w:rsid w:val="00E32A0B"/>
    <w:rsid w:val="00E32BAD"/>
    <w:rsid w:val="00E32CA5"/>
    <w:rsid w:val="00E32D09"/>
    <w:rsid w:val="00E33101"/>
    <w:rsid w:val="00E33224"/>
    <w:rsid w:val="00E33225"/>
    <w:rsid w:val="00E33511"/>
    <w:rsid w:val="00E337A2"/>
    <w:rsid w:val="00E33B29"/>
    <w:rsid w:val="00E33DB6"/>
    <w:rsid w:val="00E3465D"/>
    <w:rsid w:val="00E34B83"/>
    <w:rsid w:val="00E34BE7"/>
    <w:rsid w:val="00E351E8"/>
    <w:rsid w:val="00E354B8"/>
    <w:rsid w:val="00E3558A"/>
    <w:rsid w:val="00E35AD0"/>
    <w:rsid w:val="00E35ADF"/>
    <w:rsid w:val="00E35CA1"/>
    <w:rsid w:val="00E35D6C"/>
    <w:rsid w:val="00E35F5B"/>
    <w:rsid w:val="00E35FD7"/>
    <w:rsid w:val="00E36163"/>
    <w:rsid w:val="00E3633D"/>
    <w:rsid w:val="00E3658A"/>
    <w:rsid w:val="00E36657"/>
    <w:rsid w:val="00E36D1E"/>
    <w:rsid w:val="00E36F60"/>
    <w:rsid w:val="00E37A49"/>
    <w:rsid w:val="00E37F08"/>
    <w:rsid w:val="00E400D8"/>
    <w:rsid w:val="00E40942"/>
    <w:rsid w:val="00E40C95"/>
    <w:rsid w:val="00E40DCE"/>
    <w:rsid w:val="00E40F6A"/>
    <w:rsid w:val="00E4130B"/>
    <w:rsid w:val="00E417AD"/>
    <w:rsid w:val="00E41875"/>
    <w:rsid w:val="00E41B65"/>
    <w:rsid w:val="00E41BA3"/>
    <w:rsid w:val="00E41E83"/>
    <w:rsid w:val="00E41EBF"/>
    <w:rsid w:val="00E42059"/>
    <w:rsid w:val="00E42260"/>
    <w:rsid w:val="00E4267B"/>
    <w:rsid w:val="00E4275D"/>
    <w:rsid w:val="00E42B4C"/>
    <w:rsid w:val="00E42BA4"/>
    <w:rsid w:val="00E4313A"/>
    <w:rsid w:val="00E437B1"/>
    <w:rsid w:val="00E43E19"/>
    <w:rsid w:val="00E43F1F"/>
    <w:rsid w:val="00E44038"/>
    <w:rsid w:val="00E440CE"/>
    <w:rsid w:val="00E441A0"/>
    <w:rsid w:val="00E441A9"/>
    <w:rsid w:val="00E441D9"/>
    <w:rsid w:val="00E44200"/>
    <w:rsid w:val="00E44350"/>
    <w:rsid w:val="00E445F3"/>
    <w:rsid w:val="00E44675"/>
    <w:rsid w:val="00E44B3B"/>
    <w:rsid w:val="00E44C1B"/>
    <w:rsid w:val="00E44C48"/>
    <w:rsid w:val="00E44DE5"/>
    <w:rsid w:val="00E4500F"/>
    <w:rsid w:val="00E45203"/>
    <w:rsid w:val="00E45559"/>
    <w:rsid w:val="00E45618"/>
    <w:rsid w:val="00E456E8"/>
    <w:rsid w:val="00E4590F"/>
    <w:rsid w:val="00E45ED3"/>
    <w:rsid w:val="00E460C3"/>
    <w:rsid w:val="00E460DC"/>
    <w:rsid w:val="00E464B5"/>
    <w:rsid w:val="00E467CF"/>
    <w:rsid w:val="00E468AB"/>
    <w:rsid w:val="00E469A4"/>
    <w:rsid w:val="00E469D1"/>
    <w:rsid w:val="00E46E8F"/>
    <w:rsid w:val="00E46F24"/>
    <w:rsid w:val="00E47068"/>
    <w:rsid w:val="00E476A1"/>
    <w:rsid w:val="00E47914"/>
    <w:rsid w:val="00E47D70"/>
    <w:rsid w:val="00E50306"/>
    <w:rsid w:val="00E509FA"/>
    <w:rsid w:val="00E50A1A"/>
    <w:rsid w:val="00E50F00"/>
    <w:rsid w:val="00E50F3A"/>
    <w:rsid w:val="00E511F8"/>
    <w:rsid w:val="00E512D7"/>
    <w:rsid w:val="00E5157C"/>
    <w:rsid w:val="00E5164E"/>
    <w:rsid w:val="00E516B3"/>
    <w:rsid w:val="00E5190E"/>
    <w:rsid w:val="00E519B5"/>
    <w:rsid w:val="00E51AB7"/>
    <w:rsid w:val="00E51C4F"/>
    <w:rsid w:val="00E52DA9"/>
    <w:rsid w:val="00E530CB"/>
    <w:rsid w:val="00E53185"/>
    <w:rsid w:val="00E5321C"/>
    <w:rsid w:val="00E532D5"/>
    <w:rsid w:val="00E535C2"/>
    <w:rsid w:val="00E53651"/>
    <w:rsid w:val="00E537C8"/>
    <w:rsid w:val="00E53A28"/>
    <w:rsid w:val="00E53AAC"/>
    <w:rsid w:val="00E53CE6"/>
    <w:rsid w:val="00E53DAE"/>
    <w:rsid w:val="00E53F04"/>
    <w:rsid w:val="00E54022"/>
    <w:rsid w:val="00E54293"/>
    <w:rsid w:val="00E5454C"/>
    <w:rsid w:val="00E548BE"/>
    <w:rsid w:val="00E548E5"/>
    <w:rsid w:val="00E549EC"/>
    <w:rsid w:val="00E54A6D"/>
    <w:rsid w:val="00E54B82"/>
    <w:rsid w:val="00E54EF3"/>
    <w:rsid w:val="00E5566B"/>
    <w:rsid w:val="00E55814"/>
    <w:rsid w:val="00E55841"/>
    <w:rsid w:val="00E55902"/>
    <w:rsid w:val="00E55A6D"/>
    <w:rsid w:val="00E55CB4"/>
    <w:rsid w:val="00E55E16"/>
    <w:rsid w:val="00E55F67"/>
    <w:rsid w:val="00E56006"/>
    <w:rsid w:val="00E56024"/>
    <w:rsid w:val="00E560AE"/>
    <w:rsid w:val="00E560F6"/>
    <w:rsid w:val="00E5647B"/>
    <w:rsid w:val="00E56649"/>
    <w:rsid w:val="00E566FA"/>
    <w:rsid w:val="00E567E4"/>
    <w:rsid w:val="00E56C69"/>
    <w:rsid w:val="00E56DC5"/>
    <w:rsid w:val="00E571F0"/>
    <w:rsid w:val="00E573CC"/>
    <w:rsid w:val="00E57566"/>
    <w:rsid w:val="00E57742"/>
    <w:rsid w:val="00E57A3F"/>
    <w:rsid w:val="00E57A80"/>
    <w:rsid w:val="00E57D33"/>
    <w:rsid w:val="00E57ECE"/>
    <w:rsid w:val="00E60048"/>
    <w:rsid w:val="00E60106"/>
    <w:rsid w:val="00E60412"/>
    <w:rsid w:val="00E606C8"/>
    <w:rsid w:val="00E6079D"/>
    <w:rsid w:val="00E60888"/>
    <w:rsid w:val="00E60A47"/>
    <w:rsid w:val="00E60AF1"/>
    <w:rsid w:val="00E60C03"/>
    <w:rsid w:val="00E60EDE"/>
    <w:rsid w:val="00E60F8B"/>
    <w:rsid w:val="00E61048"/>
    <w:rsid w:val="00E610EA"/>
    <w:rsid w:val="00E6138C"/>
    <w:rsid w:val="00E613C3"/>
    <w:rsid w:val="00E614FE"/>
    <w:rsid w:val="00E61532"/>
    <w:rsid w:val="00E616D3"/>
    <w:rsid w:val="00E61E8D"/>
    <w:rsid w:val="00E61EEE"/>
    <w:rsid w:val="00E62091"/>
    <w:rsid w:val="00E621B5"/>
    <w:rsid w:val="00E62505"/>
    <w:rsid w:val="00E625BD"/>
    <w:rsid w:val="00E62644"/>
    <w:rsid w:val="00E62830"/>
    <w:rsid w:val="00E628A9"/>
    <w:rsid w:val="00E62916"/>
    <w:rsid w:val="00E629AF"/>
    <w:rsid w:val="00E62DE9"/>
    <w:rsid w:val="00E62E21"/>
    <w:rsid w:val="00E62F39"/>
    <w:rsid w:val="00E63018"/>
    <w:rsid w:val="00E632BE"/>
    <w:rsid w:val="00E635E6"/>
    <w:rsid w:val="00E63BA7"/>
    <w:rsid w:val="00E63D1C"/>
    <w:rsid w:val="00E63DF1"/>
    <w:rsid w:val="00E63F33"/>
    <w:rsid w:val="00E640E5"/>
    <w:rsid w:val="00E640E9"/>
    <w:rsid w:val="00E64224"/>
    <w:rsid w:val="00E642D4"/>
    <w:rsid w:val="00E642FB"/>
    <w:rsid w:val="00E643B1"/>
    <w:rsid w:val="00E64508"/>
    <w:rsid w:val="00E64526"/>
    <w:rsid w:val="00E646F0"/>
    <w:rsid w:val="00E647A4"/>
    <w:rsid w:val="00E64B70"/>
    <w:rsid w:val="00E64C38"/>
    <w:rsid w:val="00E64D72"/>
    <w:rsid w:val="00E64DA1"/>
    <w:rsid w:val="00E65020"/>
    <w:rsid w:val="00E6559A"/>
    <w:rsid w:val="00E655E1"/>
    <w:rsid w:val="00E656D0"/>
    <w:rsid w:val="00E656EC"/>
    <w:rsid w:val="00E6572E"/>
    <w:rsid w:val="00E657B5"/>
    <w:rsid w:val="00E659BD"/>
    <w:rsid w:val="00E65B06"/>
    <w:rsid w:val="00E65B15"/>
    <w:rsid w:val="00E65E94"/>
    <w:rsid w:val="00E6605F"/>
    <w:rsid w:val="00E66144"/>
    <w:rsid w:val="00E6632F"/>
    <w:rsid w:val="00E664F4"/>
    <w:rsid w:val="00E665C8"/>
    <w:rsid w:val="00E667B6"/>
    <w:rsid w:val="00E66AF9"/>
    <w:rsid w:val="00E66DBC"/>
    <w:rsid w:val="00E66F70"/>
    <w:rsid w:val="00E67081"/>
    <w:rsid w:val="00E6715E"/>
    <w:rsid w:val="00E67285"/>
    <w:rsid w:val="00E674A9"/>
    <w:rsid w:val="00E67802"/>
    <w:rsid w:val="00E678F6"/>
    <w:rsid w:val="00E6794A"/>
    <w:rsid w:val="00E67F53"/>
    <w:rsid w:val="00E700AF"/>
    <w:rsid w:val="00E7019C"/>
    <w:rsid w:val="00E7089D"/>
    <w:rsid w:val="00E70B24"/>
    <w:rsid w:val="00E70C35"/>
    <w:rsid w:val="00E70E5B"/>
    <w:rsid w:val="00E70F54"/>
    <w:rsid w:val="00E70F5C"/>
    <w:rsid w:val="00E7101D"/>
    <w:rsid w:val="00E7114B"/>
    <w:rsid w:val="00E71266"/>
    <w:rsid w:val="00E71418"/>
    <w:rsid w:val="00E715A3"/>
    <w:rsid w:val="00E716E7"/>
    <w:rsid w:val="00E718DB"/>
    <w:rsid w:val="00E71AD1"/>
    <w:rsid w:val="00E71DC9"/>
    <w:rsid w:val="00E71F19"/>
    <w:rsid w:val="00E720AE"/>
    <w:rsid w:val="00E721DE"/>
    <w:rsid w:val="00E72304"/>
    <w:rsid w:val="00E72426"/>
    <w:rsid w:val="00E724B8"/>
    <w:rsid w:val="00E7277A"/>
    <w:rsid w:val="00E72E8A"/>
    <w:rsid w:val="00E72EF4"/>
    <w:rsid w:val="00E72FBE"/>
    <w:rsid w:val="00E73244"/>
    <w:rsid w:val="00E73351"/>
    <w:rsid w:val="00E733CB"/>
    <w:rsid w:val="00E733DF"/>
    <w:rsid w:val="00E73571"/>
    <w:rsid w:val="00E73877"/>
    <w:rsid w:val="00E73D0B"/>
    <w:rsid w:val="00E73EE6"/>
    <w:rsid w:val="00E74125"/>
    <w:rsid w:val="00E741CE"/>
    <w:rsid w:val="00E74A2D"/>
    <w:rsid w:val="00E74CF3"/>
    <w:rsid w:val="00E74E43"/>
    <w:rsid w:val="00E74EFB"/>
    <w:rsid w:val="00E74FC4"/>
    <w:rsid w:val="00E75654"/>
    <w:rsid w:val="00E75906"/>
    <w:rsid w:val="00E75C1A"/>
    <w:rsid w:val="00E75F7B"/>
    <w:rsid w:val="00E7620E"/>
    <w:rsid w:val="00E76217"/>
    <w:rsid w:val="00E763C3"/>
    <w:rsid w:val="00E765B8"/>
    <w:rsid w:val="00E7666F"/>
    <w:rsid w:val="00E7696E"/>
    <w:rsid w:val="00E76BEC"/>
    <w:rsid w:val="00E76D1D"/>
    <w:rsid w:val="00E7713B"/>
    <w:rsid w:val="00E77228"/>
    <w:rsid w:val="00E77A1E"/>
    <w:rsid w:val="00E77C93"/>
    <w:rsid w:val="00E80874"/>
    <w:rsid w:val="00E80BF7"/>
    <w:rsid w:val="00E813EB"/>
    <w:rsid w:val="00E8199F"/>
    <w:rsid w:val="00E81C08"/>
    <w:rsid w:val="00E81D2D"/>
    <w:rsid w:val="00E820F0"/>
    <w:rsid w:val="00E821EF"/>
    <w:rsid w:val="00E8220D"/>
    <w:rsid w:val="00E822DA"/>
    <w:rsid w:val="00E823E8"/>
    <w:rsid w:val="00E828A0"/>
    <w:rsid w:val="00E82988"/>
    <w:rsid w:val="00E82DAA"/>
    <w:rsid w:val="00E83599"/>
    <w:rsid w:val="00E835F0"/>
    <w:rsid w:val="00E83829"/>
    <w:rsid w:val="00E839BF"/>
    <w:rsid w:val="00E83D4A"/>
    <w:rsid w:val="00E83D51"/>
    <w:rsid w:val="00E83D61"/>
    <w:rsid w:val="00E84086"/>
    <w:rsid w:val="00E840DC"/>
    <w:rsid w:val="00E84295"/>
    <w:rsid w:val="00E842A4"/>
    <w:rsid w:val="00E84361"/>
    <w:rsid w:val="00E845C8"/>
    <w:rsid w:val="00E8484E"/>
    <w:rsid w:val="00E84966"/>
    <w:rsid w:val="00E84C65"/>
    <w:rsid w:val="00E84DAA"/>
    <w:rsid w:val="00E84FA7"/>
    <w:rsid w:val="00E85318"/>
    <w:rsid w:val="00E854B9"/>
    <w:rsid w:val="00E85530"/>
    <w:rsid w:val="00E8594D"/>
    <w:rsid w:val="00E85A44"/>
    <w:rsid w:val="00E85E1B"/>
    <w:rsid w:val="00E86441"/>
    <w:rsid w:val="00E86458"/>
    <w:rsid w:val="00E86963"/>
    <w:rsid w:val="00E869DC"/>
    <w:rsid w:val="00E86E75"/>
    <w:rsid w:val="00E86F62"/>
    <w:rsid w:val="00E87127"/>
    <w:rsid w:val="00E8717E"/>
    <w:rsid w:val="00E87373"/>
    <w:rsid w:val="00E873B8"/>
    <w:rsid w:val="00E8779A"/>
    <w:rsid w:val="00E87F41"/>
    <w:rsid w:val="00E87FA0"/>
    <w:rsid w:val="00E902A7"/>
    <w:rsid w:val="00E906A3"/>
    <w:rsid w:val="00E90717"/>
    <w:rsid w:val="00E9094A"/>
    <w:rsid w:val="00E90C1A"/>
    <w:rsid w:val="00E91028"/>
    <w:rsid w:val="00E9148A"/>
    <w:rsid w:val="00E9155A"/>
    <w:rsid w:val="00E91893"/>
    <w:rsid w:val="00E91B29"/>
    <w:rsid w:val="00E92059"/>
    <w:rsid w:val="00E920B2"/>
    <w:rsid w:val="00E925AE"/>
    <w:rsid w:val="00E92655"/>
    <w:rsid w:val="00E928DA"/>
    <w:rsid w:val="00E92CA4"/>
    <w:rsid w:val="00E92FE1"/>
    <w:rsid w:val="00E93045"/>
    <w:rsid w:val="00E936E8"/>
    <w:rsid w:val="00E93A3E"/>
    <w:rsid w:val="00E93EBF"/>
    <w:rsid w:val="00E94092"/>
    <w:rsid w:val="00E9440D"/>
    <w:rsid w:val="00E94770"/>
    <w:rsid w:val="00E94BE5"/>
    <w:rsid w:val="00E94D0F"/>
    <w:rsid w:val="00E94D6D"/>
    <w:rsid w:val="00E94EC4"/>
    <w:rsid w:val="00E94F8A"/>
    <w:rsid w:val="00E94FB2"/>
    <w:rsid w:val="00E95213"/>
    <w:rsid w:val="00E9530C"/>
    <w:rsid w:val="00E9539B"/>
    <w:rsid w:val="00E95505"/>
    <w:rsid w:val="00E95AEC"/>
    <w:rsid w:val="00E95BFC"/>
    <w:rsid w:val="00E95C4B"/>
    <w:rsid w:val="00E95D08"/>
    <w:rsid w:val="00E95D12"/>
    <w:rsid w:val="00E95D29"/>
    <w:rsid w:val="00E95D6D"/>
    <w:rsid w:val="00E96023"/>
    <w:rsid w:val="00E9650F"/>
    <w:rsid w:val="00E9690B"/>
    <w:rsid w:val="00E9696C"/>
    <w:rsid w:val="00E96BDC"/>
    <w:rsid w:val="00E96DEB"/>
    <w:rsid w:val="00E97486"/>
    <w:rsid w:val="00EA0125"/>
    <w:rsid w:val="00EA0525"/>
    <w:rsid w:val="00EA0579"/>
    <w:rsid w:val="00EA0671"/>
    <w:rsid w:val="00EA0BA1"/>
    <w:rsid w:val="00EA107A"/>
    <w:rsid w:val="00EA1633"/>
    <w:rsid w:val="00EA182A"/>
    <w:rsid w:val="00EA1872"/>
    <w:rsid w:val="00EA1A77"/>
    <w:rsid w:val="00EA1B1D"/>
    <w:rsid w:val="00EA1C3E"/>
    <w:rsid w:val="00EA1F8D"/>
    <w:rsid w:val="00EA215C"/>
    <w:rsid w:val="00EA223D"/>
    <w:rsid w:val="00EA238A"/>
    <w:rsid w:val="00EA268F"/>
    <w:rsid w:val="00EA2C6B"/>
    <w:rsid w:val="00EA2DA2"/>
    <w:rsid w:val="00EA2DBA"/>
    <w:rsid w:val="00EA2F97"/>
    <w:rsid w:val="00EA3303"/>
    <w:rsid w:val="00EA3A82"/>
    <w:rsid w:val="00EA3C89"/>
    <w:rsid w:val="00EA3F5F"/>
    <w:rsid w:val="00EA4106"/>
    <w:rsid w:val="00EA426F"/>
    <w:rsid w:val="00EA44D5"/>
    <w:rsid w:val="00EA4653"/>
    <w:rsid w:val="00EA48A7"/>
    <w:rsid w:val="00EA4E7A"/>
    <w:rsid w:val="00EA4F02"/>
    <w:rsid w:val="00EA59A5"/>
    <w:rsid w:val="00EA5B4D"/>
    <w:rsid w:val="00EA5C17"/>
    <w:rsid w:val="00EA5DA9"/>
    <w:rsid w:val="00EA61BD"/>
    <w:rsid w:val="00EA68F3"/>
    <w:rsid w:val="00EA6AA0"/>
    <w:rsid w:val="00EA6C31"/>
    <w:rsid w:val="00EA6F89"/>
    <w:rsid w:val="00EA706E"/>
    <w:rsid w:val="00EA71A1"/>
    <w:rsid w:val="00EA732B"/>
    <w:rsid w:val="00EA7644"/>
    <w:rsid w:val="00EA76F6"/>
    <w:rsid w:val="00EA777E"/>
    <w:rsid w:val="00EA782D"/>
    <w:rsid w:val="00EA7950"/>
    <w:rsid w:val="00EA7D64"/>
    <w:rsid w:val="00EA7FE6"/>
    <w:rsid w:val="00EB0658"/>
    <w:rsid w:val="00EB0C8B"/>
    <w:rsid w:val="00EB0EE0"/>
    <w:rsid w:val="00EB12AB"/>
    <w:rsid w:val="00EB1360"/>
    <w:rsid w:val="00EB13EF"/>
    <w:rsid w:val="00EB1454"/>
    <w:rsid w:val="00EB1669"/>
    <w:rsid w:val="00EB17F6"/>
    <w:rsid w:val="00EB1803"/>
    <w:rsid w:val="00EB193D"/>
    <w:rsid w:val="00EB1C4D"/>
    <w:rsid w:val="00EB239D"/>
    <w:rsid w:val="00EB2945"/>
    <w:rsid w:val="00EB2952"/>
    <w:rsid w:val="00EB2A19"/>
    <w:rsid w:val="00EB2AF6"/>
    <w:rsid w:val="00EB2CB4"/>
    <w:rsid w:val="00EB2D9D"/>
    <w:rsid w:val="00EB2F92"/>
    <w:rsid w:val="00EB3329"/>
    <w:rsid w:val="00EB343C"/>
    <w:rsid w:val="00EB34D5"/>
    <w:rsid w:val="00EB3597"/>
    <w:rsid w:val="00EB3605"/>
    <w:rsid w:val="00EB36AD"/>
    <w:rsid w:val="00EB36B4"/>
    <w:rsid w:val="00EB3820"/>
    <w:rsid w:val="00EB3893"/>
    <w:rsid w:val="00EB3AE9"/>
    <w:rsid w:val="00EB3C04"/>
    <w:rsid w:val="00EB3F48"/>
    <w:rsid w:val="00EB404B"/>
    <w:rsid w:val="00EB4791"/>
    <w:rsid w:val="00EB4F32"/>
    <w:rsid w:val="00EB4F94"/>
    <w:rsid w:val="00EB57F5"/>
    <w:rsid w:val="00EB5CE6"/>
    <w:rsid w:val="00EB5D32"/>
    <w:rsid w:val="00EB5DB2"/>
    <w:rsid w:val="00EB5E72"/>
    <w:rsid w:val="00EB62A5"/>
    <w:rsid w:val="00EB66AE"/>
    <w:rsid w:val="00EB6ECB"/>
    <w:rsid w:val="00EB700F"/>
    <w:rsid w:val="00EB70E8"/>
    <w:rsid w:val="00EB7359"/>
    <w:rsid w:val="00EB7388"/>
    <w:rsid w:val="00EB73C6"/>
    <w:rsid w:val="00EB778F"/>
    <w:rsid w:val="00EB7940"/>
    <w:rsid w:val="00EB7954"/>
    <w:rsid w:val="00EB7BE1"/>
    <w:rsid w:val="00EB7E38"/>
    <w:rsid w:val="00EB7F66"/>
    <w:rsid w:val="00EC04BB"/>
    <w:rsid w:val="00EC053A"/>
    <w:rsid w:val="00EC0839"/>
    <w:rsid w:val="00EC08C7"/>
    <w:rsid w:val="00EC0B07"/>
    <w:rsid w:val="00EC0D77"/>
    <w:rsid w:val="00EC1718"/>
    <w:rsid w:val="00EC1874"/>
    <w:rsid w:val="00EC1AE1"/>
    <w:rsid w:val="00EC1AF2"/>
    <w:rsid w:val="00EC1C6C"/>
    <w:rsid w:val="00EC1C76"/>
    <w:rsid w:val="00EC2004"/>
    <w:rsid w:val="00EC281C"/>
    <w:rsid w:val="00EC2B4A"/>
    <w:rsid w:val="00EC35F3"/>
    <w:rsid w:val="00EC368D"/>
    <w:rsid w:val="00EC39EE"/>
    <w:rsid w:val="00EC3CFE"/>
    <w:rsid w:val="00EC3D3F"/>
    <w:rsid w:val="00EC3E57"/>
    <w:rsid w:val="00EC438A"/>
    <w:rsid w:val="00EC47AA"/>
    <w:rsid w:val="00EC4AF9"/>
    <w:rsid w:val="00EC4F50"/>
    <w:rsid w:val="00EC504E"/>
    <w:rsid w:val="00EC5133"/>
    <w:rsid w:val="00EC5277"/>
    <w:rsid w:val="00EC5495"/>
    <w:rsid w:val="00EC56BD"/>
    <w:rsid w:val="00EC5F4A"/>
    <w:rsid w:val="00EC5F65"/>
    <w:rsid w:val="00EC62B6"/>
    <w:rsid w:val="00EC62D3"/>
    <w:rsid w:val="00EC680A"/>
    <w:rsid w:val="00EC6B21"/>
    <w:rsid w:val="00EC6DD2"/>
    <w:rsid w:val="00EC6EF1"/>
    <w:rsid w:val="00EC72C1"/>
    <w:rsid w:val="00EC740A"/>
    <w:rsid w:val="00EC7525"/>
    <w:rsid w:val="00EC75F1"/>
    <w:rsid w:val="00EC7826"/>
    <w:rsid w:val="00EC7A31"/>
    <w:rsid w:val="00EC7CD8"/>
    <w:rsid w:val="00EC7DE4"/>
    <w:rsid w:val="00EC7F64"/>
    <w:rsid w:val="00ED0423"/>
    <w:rsid w:val="00ED0A03"/>
    <w:rsid w:val="00ED0A0E"/>
    <w:rsid w:val="00ED0AD8"/>
    <w:rsid w:val="00ED0F29"/>
    <w:rsid w:val="00ED0FAB"/>
    <w:rsid w:val="00ED118E"/>
    <w:rsid w:val="00ED1234"/>
    <w:rsid w:val="00ED13A6"/>
    <w:rsid w:val="00ED1531"/>
    <w:rsid w:val="00ED1947"/>
    <w:rsid w:val="00ED1B4C"/>
    <w:rsid w:val="00ED1C74"/>
    <w:rsid w:val="00ED20B0"/>
    <w:rsid w:val="00ED210C"/>
    <w:rsid w:val="00ED2233"/>
    <w:rsid w:val="00ED225B"/>
    <w:rsid w:val="00ED2425"/>
    <w:rsid w:val="00ED245E"/>
    <w:rsid w:val="00ED2823"/>
    <w:rsid w:val="00ED2957"/>
    <w:rsid w:val="00ED312A"/>
    <w:rsid w:val="00ED315D"/>
    <w:rsid w:val="00ED3238"/>
    <w:rsid w:val="00ED3539"/>
    <w:rsid w:val="00ED39A8"/>
    <w:rsid w:val="00ED39EB"/>
    <w:rsid w:val="00ED3A76"/>
    <w:rsid w:val="00ED3BE2"/>
    <w:rsid w:val="00ED3C61"/>
    <w:rsid w:val="00ED3F91"/>
    <w:rsid w:val="00ED44DF"/>
    <w:rsid w:val="00ED4699"/>
    <w:rsid w:val="00ED481B"/>
    <w:rsid w:val="00ED483D"/>
    <w:rsid w:val="00ED4C87"/>
    <w:rsid w:val="00ED5357"/>
    <w:rsid w:val="00ED5452"/>
    <w:rsid w:val="00ED5AE2"/>
    <w:rsid w:val="00ED5B49"/>
    <w:rsid w:val="00ED5DD9"/>
    <w:rsid w:val="00ED611F"/>
    <w:rsid w:val="00ED61C2"/>
    <w:rsid w:val="00ED6283"/>
    <w:rsid w:val="00ED69CB"/>
    <w:rsid w:val="00ED6B9D"/>
    <w:rsid w:val="00ED6C36"/>
    <w:rsid w:val="00ED6DBF"/>
    <w:rsid w:val="00ED6E9C"/>
    <w:rsid w:val="00ED71FD"/>
    <w:rsid w:val="00ED7342"/>
    <w:rsid w:val="00ED73AE"/>
    <w:rsid w:val="00ED74D3"/>
    <w:rsid w:val="00ED7603"/>
    <w:rsid w:val="00ED7C93"/>
    <w:rsid w:val="00ED7DE0"/>
    <w:rsid w:val="00EE05A3"/>
    <w:rsid w:val="00EE0778"/>
    <w:rsid w:val="00EE07D2"/>
    <w:rsid w:val="00EE0C72"/>
    <w:rsid w:val="00EE0C9A"/>
    <w:rsid w:val="00EE0F2A"/>
    <w:rsid w:val="00EE0FA8"/>
    <w:rsid w:val="00EE107E"/>
    <w:rsid w:val="00EE16D7"/>
    <w:rsid w:val="00EE1ACE"/>
    <w:rsid w:val="00EE1C63"/>
    <w:rsid w:val="00EE1F87"/>
    <w:rsid w:val="00EE2755"/>
    <w:rsid w:val="00EE2A6D"/>
    <w:rsid w:val="00EE2A77"/>
    <w:rsid w:val="00EE2B91"/>
    <w:rsid w:val="00EE2DB9"/>
    <w:rsid w:val="00EE2FA3"/>
    <w:rsid w:val="00EE32C2"/>
    <w:rsid w:val="00EE3448"/>
    <w:rsid w:val="00EE3708"/>
    <w:rsid w:val="00EE3771"/>
    <w:rsid w:val="00EE3826"/>
    <w:rsid w:val="00EE3898"/>
    <w:rsid w:val="00EE3CCE"/>
    <w:rsid w:val="00EE42CD"/>
    <w:rsid w:val="00EE462C"/>
    <w:rsid w:val="00EE46A6"/>
    <w:rsid w:val="00EE47D3"/>
    <w:rsid w:val="00EE4B49"/>
    <w:rsid w:val="00EE4E7A"/>
    <w:rsid w:val="00EE4F76"/>
    <w:rsid w:val="00EE4FD0"/>
    <w:rsid w:val="00EE5290"/>
    <w:rsid w:val="00EE53E9"/>
    <w:rsid w:val="00EE5685"/>
    <w:rsid w:val="00EE5847"/>
    <w:rsid w:val="00EE5CC8"/>
    <w:rsid w:val="00EE5CF9"/>
    <w:rsid w:val="00EE686C"/>
    <w:rsid w:val="00EE68FD"/>
    <w:rsid w:val="00EE69BC"/>
    <w:rsid w:val="00EE6B85"/>
    <w:rsid w:val="00EE6C32"/>
    <w:rsid w:val="00EE6C8E"/>
    <w:rsid w:val="00EE6E4F"/>
    <w:rsid w:val="00EE756A"/>
    <w:rsid w:val="00EE79D4"/>
    <w:rsid w:val="00EE7ABD"/>
    <w:rsid w:val="00EE7B74"/>
    <w:rsid w:val="00EE7BB2"/>
    <w:rsid w:val="00EE7BBC"/>
    <w:rsid w:val="00EE7D59"/>
    <w:rsid w:val="00EF00DD"/>
    <w:rsid w:val="00EF02C5"/>
    <w:rsid w:val="00EF036D"/>
    <w:rsid w:val="00EF0399"/>
    <w:rsid w:val="00EF03FF"/>
    <w:rsid w:val="00EF06BD"/>
    <w:rsid w:val="00EF0818"/>
    <w:rsid w:val="00EF0890"/>
    <w:rsid w:val="00EF08A5"/>
    <w:rsid w:val="00EF0B04"/>
    <w:rsid w:val="00EF0D86"/>
    <w:rsid w:val="00EF1048"/>
    <w:rsid w:val="00EF12BA"/>
    <w:rsid w:val="00EF185F"/>
    <w:rsid w:val="00EF1865"/>
    <w:rsid w:val="00EF198D"/>
    <w:rsid w:val="00EF1A27"/>
    <w:rsid w:val="00EF1E73"/>
    <w:rsid w:val="00EF1ED4"/>
    <w:rsid w:val="00EF1F68"/>
    <w:rsid w:val="00EF1FBB"/>
    <w:rsid w:val="00EF20BB"/>
    <w:rsid w:val="00EF20FC"/>
    <w:rsid w:val="00EF22D3"/>
    <w:rsid w:val="00EF271B"/>
    <w:rsid w:val="00EF2E3E"/>
    <w:rsid w:val="00EF2F8A"/>
    <w:rsid w:val="00EF32DA"/>
    <w:rsid w:val="00EF331F"/>
    <w:rsid w:val="00EF3571"/>
    <w:rsid w:val="00EF3711"/>
    <w:rsid w:val="00EF39DA"/>
    <w:rsid w:val="00EF3A01"/>
    <w:rsid w:val="00EF3B23"/>
    <w:rsid w:val="00EF3BE0"/>
    <w:rsid w:val="00EF3D23"/>
    <w:rsid w:val="00EF3DC2"/>
    <w:rsid w:val="00EF3E87"/>
    <w:rsid w:val="00EF4206"/>
    <w:rsid w:val="00EF42A5"/>
    <w:rsid w:val="00EF42C0"/>
    <w:rsid w:val="00EF4669"/>
    <w:rsid w:val="00EF49A5"/>
    <w:rsid w:val="00EF49EC"/>
    <w:rsid w:val="00EF4CDC"/>
    <w:rsid w:val="00EF4F28"/>
    <w:rsid w:val="00EF50DD"/>
    <w:rsid w:val="00EF53BE"/>
    <w:rsid w:val="00EF5452"/>
    <w:rsid w:val="00EF580F"/>
    <w:rsid w:val="00EF58EF"/>
    <w:rsid w:val="00EF5969"/>
    <w:rsid w:val="00EF5F82"/>
    <w:rsid w:val="00EF6206"/>
    <w:rsid w:val="00EF6222"/>
    <w:rsid w:val="00EF64E8"/>
    <w:rsid w:val="00EF64FA"/>
    <w:rsid w:val="00EF6760"/>
    <w:rsid w:val="00EF6901"/>
    <w:rsid w:val="00EF6D16"/>
    <w:rsid w:val="00EF6D60"/>
    <w:rsid w:val="00EF6FAE"/>
    <w:rsid w:val="00EF7142"/>
    <w:rsid w:val="00EF75EC"/>
    <w:rsid w:val="00EF7774"/>
    <w:rsid w:val="00EF7814"/>
    <w:rsid w:val="00EF78CE"/>
    <w:rsid w:val="00EF7934"/>
    <w:rsid w:val="00EF7AAE"/>
    <w:rsid w:val="00EF7ACA"/>
    <w:rsid w:val="00EF7DD3"/>
    <w:rsid w:val="00F00051"/>
    <w:rsid w:val="00F000CD"/>
    <w:rsid w:val="00F0037C"/>
    <w:rsid w:val="00F00932"/>
    <w:rsid w:val="00F00C0F"/>
    <w:rsid w:val="00F00F60"/>
    <w:rsid w:val="00F00F76"/>
    <w:rsid w:val="00F015B3"/>
    <w:rsid w:val="00F018D9"/>
    <w:rsid w:val="00F01903"/>
    <w:rsid w:val="00F01B80"/>
    <w:rsid w:val="00F01BFE"/>
    <w:rsid w:val="00F01C7B"/>
    <w:rsid w:val="00F01E1E"/>
    <w:rsid w:val="00F01EF8"/>
    <w:rsid w:val="00F01FE4"/>
    <w:rsid w:val="00F024A4"/>
    <w:rsid w:val="00F025B6"/>
    <w:rsid w:val="00F025CA"/>
    <w:rsid w:val="00F026B3"/>
    <w:rsid w:val="00F02E1F"/>
    <w:rsid w:val="00F0320B"/>
    <w:rsid w:val="00F03577"/>
    <w:rsid w:val="00F03608"/>
    <w:rsid w:val="00F03706"/>
    <w:rsid w:val="00F0393F"/>
    <w:rsid w:val="00F03B0F"/>
    <w:rsid w:val="00F03D73"/>
    <w:rsid w:val="00F03E09"/>
    <w:rsid w:val="00F041ED"/>
    <w:rsid w:val="00F04255"/>
    <w:rsid w:val="00F0437D"/>
    <w:rsid w:val="00F043B9"/>
    <w:rsid w:val="00F049FD"/>
    <w:rsid w:val="00F04AB8"/>
    <w:rsid w:val="00F04C11"/>
    <w:rsid w:val="00F04CF5"/>
    <w:rsid w:val="00F04E45"/>
    <w:rsid w:val="00F05109"/>
    <w:rsid w:val="00F05181"/>
    <w:rsid w:val="00F05330"/>
    <w:rsid w:val="00F05B6E"/>
    <w:rsid w:val="00F05D5C"/>
    <w:rsid w:val="00F05F77"/>
    <w:rsid w:val="00F05FC9"/>
    <w:rsid w:val="00F06064"/>
    <w:rsid w:val="00F0617B"/>
    <w:rsid w:val="00F063E4"/>
    <w:rsid w:val="00F0644A"/>
    <w:rsid w:val="00F0649C"/>
    <w:rsid w:val="00F06543"/>
    <w:rsid w:val="00F0673E"/>
    <w:rsid w:val="00F067A5"/>
    <w:rsid w:val="00F06917"/>
    <w:rsid w:val="00F06D4F"/>
    <w:rsid w:val="00F06ED3"/>
    <w:rsid w:val="00F0701F"/>
    <w:rsid w:val="00F070BE"/>
    <w:rsid w:val="00F071C5"/>
    <w:rsid w:val="00F074CE"/>
    <w:rsid w:val="00F07638"/>
    <w:rsid w:val="00F07760"/>
    <w:rsid w:val="00F07B00"/>
    <w:rsid w:val="00F07D23"/>
    <w:rsid w:val="00F07D61"/>
    <w:rsid w:val="00F07FD9"/>
    <w:rsid w:val="00F07FE2"/>
    <w:rsid w:val="00F10070"/>
    <w:rsid w:val="00F1018B"/>
    <w:rsid w:val="00F104AE"/>
    <w:rsid w:val="00F10B9C"/>
    <w:rsid w:val="00F11272"/>
    <w:rsid w:val="00F11302"/>
    <w:rsid w:val="00F1164C"/>
    <w:rsid w:val="00F116A8"/>
    <w:rsid w:val="00F11731"/>
    <w:rsid w:val="00F118A3"/>
    <w:rsid w:val="00F118EB"/>
    <w:rsid w:val="00F119AB"/>
    <w:rsid w:val="00F11AD3"/>
    <w:rsid w:val="00F11B4D"/>
    <w:rsid w:val="00F1217C"/>
    <w:rsid w:val="00F12538"/>
    <w:rsid w:val="00F12580"/>
    <w:rsid w:val="00F126AB"/>
    <w:rsid w:val="00F126E1"/>
    <w:rsid w:val="00F12B84"/>
    <w:rsid w:val="00F12F35"/>
    <w:rsid w:val="00F1328C"/>
    <w:rsid w:val="00F13347"/>
    <w:rsid w:val="00F133B8"/>
    <w:rsid w:val="00F13543"/>
    <w:rsid w:val="00F13634"/>
    <w:rsid w:val="00F13731"/>
    <w:rsid w:val="00F138D9"/>
    <w:rsid w:val="00F13C4B"/>
    <w:rsid w:val="00F13D2C"/>
    <w:rsid w:val="00F14385"/>
    <w:rsid w:val="00F146F2"/>
    <w:rsid w:val="00F14C10"/>
    <w:rsid w:val="00F14E1B"/>
    <w:rsid w:val="00F14E1C"/>
    <w:rsid w:val="00F153F7"/>
    <w:rsid w:val="00F154EC"/>
    <w:rsid w:val="00F1553F"/>
    <w:rsid w:val="00F1562A"/>
    <w:rsid w:val="00F157CA"/>
    <w:rsid w:val="00F15BCF"/>
    <w:rsid w:val="00F15E39"/>
    <w:rsid w:val="00F15E7E"/>
    <w:rsid w:val="00F1613B"/>
    <w:rsid w:val="00F16186"/>
    <w:rsid w:val="00F164E0"/>
    <w:rsid w:val="00F165A2"/>
    <w:rsid w:val="00F168A4"/>
    <w:rsid w:val="00F16991"/>
    <w:rsid w:val="00F169A4"/>
    <w:rsid w:val="00F16D0B"/>
    <w:rsid w:val="00F17433"/>
    <w:rsid w:val="00F17532"/>
    <w:rsid w:val="00F1790D"/>
    <w:rsid w:val="00F17CD0"/>
    <w:rsid w:val="00F17D52"/>
    <w:rsid w:val="00F17E8C"/>
    <w:rsid w:val="00F205BA"/>
    <w:rsid w:val="00F207C2"/>
    <w:rsid w:val="00F20A83"/>
    <w:rsid w:val="00F20CF1"/>
    <w:rsid w:val="00F2110E"/>
    <w:rsid w:val="00F2116F"/>
    <w:rsid w:val="00F21402"/>
    <w:rsid w:val="00F2169A"/>
    <w:rsid w:val="00F216E5"/>
    <w:rsid w:val="00F217E6"/>
    <w:rsid w:val="00F21893"/>
    <w:rsid w:val="00F218C0"/>
    <w:rsid w:val="00F219C4"/>
    <w:rsid w:val="00F21C20"/>
    <w:rsid w:val="00F21E33"/>
    <w:rsid w:val="00F2234D"/>
    <w:rsid w:val="00F224BC"/>
    <w:rsid w:val="00F227BB"/>
    <w:rsid w:val="00F22C89"/>
    <w:rsid w:val="00F233B7"/>
    <w:rsid w:val="00F23663"/>
    <w:rsid w:val="00F237EC"/>
    <w:rsid w:val="00F239A5"/>
    <w:rsid w:val="00F24130"/>
    <w:rsid w:val="00F24654"/>
    <w:rsid w:val="00F24B14"/>
    <w:rsid w:val="00F24CFF"/>
    <w:rsid w:val="00F24F24"/>
    <w:rsid w:val="00F25ADD"/>
    <w:rsid w:val="00F25F05"/>
    <w:rsid w:val="00F25F08"/>
    <w:rsid w:val="00F26183"/>
    <w:rsid w:val="00F262EB"/>
    <w:rsid w:val="00F26522"/>
    <w:rsid w:val="00F2655A"/>
    <w:rsid w:val="00F265FA"/>
    <w:rsid w:val="00F268F9"/>
    <w:rsid w:val="00F26924"/>
    <w:rsid w:val="00F26B64"/>
    <w:rsid w:val="00F26DC5"/>
    <w:rsid w:val="00F26E25"/>
    <w:rsid w:val="00F26F3E"/>
    <w:rsid w:val="00F26FCC"/>
    <w:rsid w:val="00F27187"/>
    <w:rsid w:val="00F272CB"/>
    <w:rsid w:val="00F2735A"/>
    <w:rsid w:val="00F273EF"/>
    <w:rsid w:val="00F276BA"/>
    <w:rsid w:val="00F27BD7"/>
    <w:rsid w:val="00F27D7E"/>
    <w:rsid w:val="00F27E64"/>
    <w:rsid w:val="00F300D9"/>
    <w:rsid w:val="00F303AD"/>
    <w:rsid w:val="00F30485"/>
    <w:rsid w:val="00F30B37"/>
    <w:rsid w:val="00F30CAF"/>
    <w:rsid w:val="00F30D91"/>
    <w:rsid w:val="00F310F1"/>
    <w:rsid w:val="00F312FD"/>
    <w:rsid w:val="00F31746"/>
    <w:rsid w:val="00F3176A"/>
    <w:rsid w:val="00F317F0"/>
    <w:rsid w:val="00F318A6"/>
    <w:rsid w:val="00F319B8"/>
    <w:rsid w:val="00F31AC5"/>
    <w:rsid w:val="00F31C25"/>
    <w:rsid w:val="00F320DD"/>
    <w:rsid w:val="00F3232A"/>
    <w:rsid w:val="00F32559"/>
    <w:rsid w:val="00F32B39"/>
    <w:rsid w:val="00F32E6D"/>
    <w:rsid w:val="00F32ED8"/>
    <w:rsid w:val="00F33122"/>
    <w:rsid w:val="00F33158"/>
    <w:rsid w:val="00F3355A"/>
    <w:rsid w:val="00F3361A"/>
    <w:rsid w:val="00F34074"/>
    <w:rsid w:val="00F34125"/>
    <w:rsid w:val="00F34298"/>
    <w:rsid w:val="00F345CA"/>
    <w:rsid w:val="00F34604"/>
    <w:rsid w:val="00F34765"/>
    <w:rsid w:val="00F34841"/>
    <w:rsid w:val="00F34D80"/>
    <w:rsid w:val="00F3530C"/>
    <w:rsid w:val="00F354C0"/>
    <w:rsid w:val="00F3599A"/>
    <w:rsid w:val="00F35B0A"/>
    <w:rsid w:val="00F35DC2"/>
    <w:rsid w:val="00F36842"/>
    <w:rsid w:val="00F36C6A"/>
    <w:rsid w:val="00F36FCE"/>
    <w:rsid w:val="00F37423"/>
    <w:rsid w:val="00F3749C"/>
    <w:rsid w:val="00F379D9"/>
    <w:rsid w:val="00F37A17"/>
    <w:rsid w:val="00F37A3B"/>
    <w:rsid w:val="00F37C5D"/>
    <w:rsid w:val="00F37DEC"/>
    <w:rsid w:val="00F40114"/>
    <w:rsid w:val="00F40394"/>
    <w:rsid w:val="00F405D9"/>
    <w:rsid w:val="00F405DC"/>
    <w:rsid w:val="00F407DC"/>
    <w:rsid w:val="00F40BAB"/>
    <w:rsid w:val="00F40C8A"/>
    <w:rsid w:val="00F40CA8"/>
    <w:rsid w:val="00F411F9"/>
    <w:rsid w:val="00F41201"/>
    <w:rsid w:val="00F41582"/>
    <w:rsid w:val="00F41597"/>
    <w:rsid w:val="00F416B1"/>
    <w:rsid w:val="00F41A0E"/>
    <w:rsid w:val="00F41EB7"/>
    <w:rsid w:val="00F4279F"/>
    <w:rsid w:val="00F42C0B"/>
    <w:rsid w:val="00F430E5"/>
    <w:rsid w:val="00F433E9"/>
    <w:rsid w:val="00F43493"/>
    <w:rsid w:val="00F438B2"/>
    <w:rsid w:val="00F43C84"/>
    <w:rsid w:val="00F43D5C"/>
    <w:rsid w:val="00F43D72"/>
    <w:rsid w:val="00F43EEC"/>
    <w:rsid w:val="00F43F55"/>
    <w:rsid w:val="00F4430E"/>
    <w:rsid w:val="00F4436B"/>
    <w:rsid w:val="00F44405"/>
    <w:rsid w:val="00F447F6"/>
    <w:rsid w:val="00F44B29"/>
    <w:rsid w:val="00F44C6D"/>
    <w:rsid w:val="00F44FBE"/>
    <w:rsid w:val="00F45002"/>
    <w:rsid w:val="00F451DC"/>
    <w:rsid w:val="00F45238"/>
    <w:rsid w:val="00F45391"/>
    <w:rsid w:val="00F4562F"/>
    <w:rsid w:val="00F45730"/>
    <w:rsid w:val="00F45C05"/>
    <w:rsid w:val="00F465D3"/>
    <w:rsid w:val="00F46AE0"/>
    <w:rsid w:val="00F473F0"/>
    <w:rsid w:val="00F4754D"/>
    <w:rsid w:val="00F47A6C"/>
    <w:rsid w:val="00F47C06"/>
    <w:rsid w:val="00F47F69"/>
    <w:rsid w:val="00F50321"/>
    <w:rsid w:val="00F503C1"/>
    <w:rsid w:val="00F50518"/>
    <w:rsid w:val="00F5069B"/>
    <w:rsid w:val="00F507CC"/>
    <w:rsid w:val="00F50B3D"/>
    <w:rsid w:val="00F51505"/>
    <w:rsid w:val="00F5159E"/>
    <w:rsid w:val="00F51B07"/>
    <w:rsid w:val="00F51C39"/>
    <w:rsid w:val="00F51D19"/>
    <w:rsid w:val="00F51DE7"/>
    <w:rsid w:val="00F52047"/>
    <w:rsid w:val="00F5224C"/>
    <w:rsid w:val="00F524F0"/>
    <w:rsid w:val="00F52709"/>
    <w:rsid w:val="00F52879"/>
    <w:rsid w:val="00F52D77"/>
    <w:rsid w:val="00F53020"/>
    <w:rsid w:val="00F53442"/>
    <w:rsid w:val="00F535BE"/>
    <w:rsid w:val="00F536E3"/>
    <w:rsid w:val="00F54056"/>
    <w:rsid w:val="00F54367"/>
    <w:rsid w:val="00F54421"/>
    <w:rsid w:val="00F544A5"/>
    <w:rsid w:val="00F545C2"/>
    <w:rsid w:val="00F54A0D"/>
    <w:rsid w:val="00F54D8C"/>
    <w:rsid w:val="00F5508C"/>
    <w:rsid w:val="00F551A5"/>
    <w:rsid w:val="00F55251"/>
    <w:rsid w:val="00F553F3"/>
    <w:rsid w:val="00F55799"/>
    <w:rsid w:val="00F55A7C"/>
    <w:rsid w:val="00F55B2E"/>
    <w:rsid w:val="00F55E66"/>
    <w:rsid w:val="00F56918"/>
    <w:rsid w:val="00F56A29"/>
    <w:rsid w:val="00F56D28"/>
    <w:rsid w:val="00F5715A"/>
    <w:rsid w:val="00F57711"/>
    <w:rsid w:val="00F579E9"/>
    <w:rsid w:val="00F57C9D"/>
    <w:rsid w:val="00F57D63"/>
    <w:rsid w:val="00F57D72"/>
    <w:rsid w:val="00F60052"/>
    <w:rsid w:val="00F6021A"/>
    <w:rsid w:val="00F6040A"/>
    <w:rsid w:val="00F60415"/>
    <w:rsid w:val="00F604B0"/>
    <w:rsid w:val="00F60601"/>
    <w:rsid w:val="00F606CD"/>
    <w:rsid w:val="00F60A53"/>
    <w:rsid w:val="00F60B75"/>
    <w:rsid w:val="00F60FB9"/>
    <w:rsid w:val="00F611F3"/>
    <w:rsid w:val="00F614AD"/>
    <w:rsid w:val="00F61E0C"/>
    <w:rsid w:val="00F61EC8"/>
    <w:rsid w:val="00F61F47"/>
    <w:rsid w:val="00F61FDC"/>
    <w:rsid w:val="00F62734"/>
    <w:rsid w:val="00F629EC"/>
    <w:rsid w:val="00F62C60"/>
    <w:rsid w:val="00F62E77"/>
    <w:rsid w:val="00F632AF"/>
    <w:rsid w:val="00F63402"/>
    <w:rsid w:val="00F63469"/>
    <w:rsid w:val="00F634D2"/>
    <w:rsid w:val="00F63750"/>
    <w:rsid w:val="00F63797"/>
    <w:rsid w:val="00F63A53"/>
    <w:rsid w:val="00F63EE9"/>
    <w:rsid w:val="00F64443"/>
    <w:rsid w:val="00F64472"/>
    <w:rsid w:val="00F644F3"/>
    <w:rsid w:val="00F645F0"/>
    <w:rsid w:val="00F6513F"/>
    <w:rsid w:val="00F6524D"/>
    <w:rsid w:val="00F6532A"/>
    <w:rsid w:val="00F65582"/>
    <w:rsid w:val="00F65693"/>
    <w:rsid w:val="00F65CE5"/>
    <w:rsid w:val="00F6617C"/>
    <w:rsid w:val="00F6629F"/>
    <w:rsid w:val="00F662DB"/>
    <w:rsid w:val="00F66468"/>
    <w:rsid w:val="00F664AF"/>
    <w:rsid w:val="00F6655E"/>
    <w:rsid w:val="00F665C5"/>
    <w:rsid w:val="00F666CF"/>
    <w:rsid w:val="00F66711"/>
    <w:rsid w:val="00F66760"/>
    <w:rsid w:val="00F66CDB"/>
    <w:rsid w:val="00F6714B"/>
    <w:rsid w:val="00F67205"/>
    <w:rsid w:val="00F67390"/>
    <w:rsid w:val="00F67548"/>
    <w:rsid w:val="00F67A09"/>
    <w:rsid w:val="00F67D06"/>
    <w:rsid w:val="00F67D67"/>
    <w:rsid w:val="00F67F68"/>
    <w:rsid w:val="00F70110"/>
    <w:rsid w:val="00F703A5"/>
    <w:rsid w:val="00F703DA"/>
    <w:rsid w:val="00F706D3"/>
    <w:rsid w:val="00F70B4E"/>
    <w:rsid w:val="00F70EF7"/>
    <w:rsid w:val="00F7119D"/>
    <w:rsid w:val="00F7143C"/>
    <w:rsid w:val="00F71A5F"/>
    <w:rsid w:val="00F71B4A"/>
    <w:rsid w:val="00F71E78"/>
    <w:rsid w:val="00F71FCA"/>
    <w:rsid w:val="00F71FCB"/>
    <w:rsid w:val="00F72025"/>
    <w:rsid w:val="00F720F5"/>
    <w:rsid w:val="00F72162"/>
    <w:rsid w:val="00F7260D"/>
    <w:rsid w:val="00F72699"/>
    <w:rsid w:val="00F7269C"/>
    <w:rsid w:val="00F7295F"/>
    <w:rsid w:val="00F72C51"/>
    <w:rsid w:val="00F72E08"/>
    <w:rsid w:val="00F72F2B"/>
    <w:rsid w:val="00F72FBC"/>
    <w:rsid w:val="00F73413"/>
    <w:rsid w:val="00F7357B"/>
    <w:rsid w:val="00F73726"/>
    <w:rsid w:val="00F739BD"/>
    <w:rsid w:val="00F73AD0"/>
    <w:rsid w:val="00F73D6F"/>
    <w:rsid w:val="00F73D7B"/>
    <w:rsid w:val="00F74131"/>
    <w:rsid w:val="00F74396"/>
    <w:rsid w:val="00F74747"/>
    <w:rsid w:val="00F74BB4"/>
    <w:rsid w:val="00F7535D"/>
    <w:rsid w:val="00F753AE"/>
    <w:rsid w:val="00F75438"/>
    <w:rsid w:val="00F7553C"/>
    <w:rsid w:val="00F7560C"/>
    <w:rsid w:val="00F75748"/>
    <w:rsid w:val="00F757DD"/>
    <w:rsid w:val="00F757EC"/>
    <w:rsid w:val="00F75A22"/>
    <w:rsid w:val="00F75E4A"/>
    <w:rsid w:val="00F75EDD"/>
    <w:rsid w:val="00F75FB8"/>
    <w:rsid w:val="00F76424"/>
    <w:rsid w:val="00F76461"/>
    <w:rsid w:val="00F765B5"/>
    <w:rsid w:val="00F767EB"/>
    <w:rsid w:val="00F76959"/>
    <w:rsid w:val="00F76C3F"/>
    <w:rsid w:val="00F7775A"/>
    <w:rsid w:val="00F7775B"/>
    <w:rsid w:val="00F777E5"/>
    <w:rsid w:val="00F779B5"/>
    <w:rsid w:val="00F77AC6"/>
    <w:rsid w:val="00F77C80"/>
    <w:rsid w:val="00F77D4E"/>
    <w:rsid w:val="00F77E32"/>
    <w:rsid w:val="00F801E9"/>
    <w:rsid w:val="00F80283"/>
    <w:rsid w:val="00F804A9"/>
    <w:rsid w:val="00F808A3"/>
    <w:rsid w:val="00F808ED"/>
    <w:rsid w:val="00F809D5"/>
    <w:rsid w:val="00F80A2D"/>
    <w:rsid w:val="00F8132F"/>
    <w:rsid w:val="00F81506"/>
    <w:rsid w:val="00F81625"/>
    <w:rsid w:val="00F817FA"/>
    <w:rsid w:val="00F81DDD"/>
    <w:rsid w:val="00F82022"/>
    <w:rsid w:val="00F821E1"/>
    <w:rsid w:val="00F824A2"/>
    <w:rsid w:val="00F8287D"/>
    <w:rsid w:val="00F829A3"/>
    <w:rsid w:val="00F829B9"/>
    <w:rsid w:val="00F82B2B"/>
    <w:rsid w:val="00F82F0C"/>
    <w:rsid w:val="00F8334B"/>
    <w:rsid w:val="00F834D6"/>
    <w:rsid w:val="00F83725"/>
    <w:rsid w:val="00F83938"/>
    <w:rsid w:val="00F83FB0"/>
    <w:rsid w:val="00F84101"/>
    <w:rsid w:val="00F8425D"/>
    <w:rsid w:val="00F84264"/>
    <w:rsid w:val="00F84AA2"/>
    <w:rsid w:val="00F85025"/>
    <w:rsid w:val="00F85220"/>
    <w:rsid w:val="00F85256"/>
    <w:rsid w:val="00F8554D"/>
    <w:rsid w:val="00F857F1"/>
    <w:rsid w:val="00F85C9B"/>
    <w:rsid w:val="00F85DD0"/>
    <w:rsid w:val="00F85F5A"/>
    <w:rsid w:val="00F8607C"/>
    <w:rsid w:val="00F86117"/>
    <w:rsid w:val="00F8655F"/>
    <w:rsid w:val="00F865C7"/>
    <w:rsid w:val="00F86811"/>
    <w:rsid w:val="00F868F4"/>
    <w:rsid w:val="00F86A6C"/>
    <w:rsid w:val="00F86B65"/>
    <w:rsid w:val="00F8730B"/>
    <w:rsid w:val="00F87511"/>
    <w:rsid w:val="00F87554"/>
    <w:rsid w:val="00F87769"/>
    <w:rsid w:val="00F878A2"/>
    <w:rsid w:val="00F879D0"/>
    <w:rsid w:val="00F87A9C"/>
    <w:rsid w:val="00F87AFB"/>
    <w:rsid w:val="00F87C05"/>
    <w:rsid w:val="00F87C7B"/>
    <w:rsid w:val="00F87E4D"/>
    <w:rsid w:val="00F87F22"/>
    <w:rsid w:val="00F9003A"/>
    <w:rsid w:val="00F90524"/>
    <w:rsid w:val="00F90680"/>
    <w:rsid w:val="00F907CA"/>
    <w:rsid w:val="00F90CD1"/>
    <w:rsid w:val="00F90CEC"/>
    <w:rsid w:val="00F90F8F"/>
    <w:rsid w:val="00F9124D"/>
    <w:rsid w:val="00F9128A"/>
    <w:rsid w:val="00F91340"/>
    <w:rsid w:val="00F914DD"/>
    <w:rsid w:val="00F915F8"/>
    <w:rsid w:val="00F91722"/>
    <w:rsid w:val="00F91840"/>
    <w:rsid w:val="00F91C81"/>
    <w:rsid w:val="00F91DAE"/>
    <w:rsid w:val="00F91DC1"/>
    <w:rsid w:val="00F925DB"/>
    <w:rsid w:val="00F9269E"/>
    <w:rsid w:val="00F92771"/>
    <w:rsid w:val="00F92EB5"/>
    <w:rsid w:val="00F93051"/>
    <w:rsid w:val="00F9346B"/>
    <w:rsid w:val="00F93685"/>
    <w:rsid w:val="00F937A4"/>
    <w:rsid w:val="00F9389F"/>
    <w:rsid w:val="00F939AF"/>
    <w:rsid w:val="00F93BEF"/>
    <w:rsid w:val="00F94636"/>
    <w:rsid w:val="00F9485C"/>
    <w:rsid w:val="00F94946"/>
    <w:rsid w:val="00F94C9E"/>
    <w:rsid w:val="00F94F8E"/>
    <w:rsid w:val="00F950AA"/>
    <w:rsid w:val="00F95144"/>
    <w:rsid w:val="00F95246"/>
    <w:rsid w:val="00F95418"/>
    <w:rsid w:val="00F955C6"/>
    <w:rsid w:val="00F95711"/>
    <w:rsid w:val="00F95920"/>
    <w:rsid w:val="00F95924"/>
    <w:rsid w:val="00F95A04"/>
    <w:rsid w:val="00F95AB0"/>
    <w:rsid w:val="00F95E0D"/>
    <w:rsid w:val="00F96057"/>
    <w:rsid w:val="00F961F0"/>
    <w:rsid w:val="00F96640"/>
    <w:rsid w:val="00F966D4"/>
    <w:rsid w:val="00F96CB6"/>
    <w:rsid w:val="00F97032"/>
    <w:rsid w:val="00F975DE"/>
    <w:rsid w:val="00F97B4C"/>
    <w:rsid w:val="00F97C9D"/>
    <w:rsid w:val="00F97DB3"/>
    <w:rsid w:val="00F97EB4"/>
    <w:rsid w:val="00F97F3D"/>
    <w:rsid w:val="00FA0415"/>
    <w:rsid w:val="00FA05F0"/>
    <w:rsid w:val="00FA0E47"/>
    <w:rsid w:val="00FA0FA4"/>
    <w:rsid w:val="00FA129F"/>
    <w:rsid w:val="00FA12F7"/>
    <w:rsid w:val="00FA15A3"/>
    <w:rsid w:val="00FA187D"/>
    <w:rsid w:val="00FA1AB8"/>
    <w:rsid w:val="00FA1C46"/>
    <w:rsid w:val="00FA1EC8"/>
    <w:rsid w:val="00FA278A"/>
    <w:rsid w:val="00FA2861"/>
    <w:rsid w:val="00FA294A"/>
    <w:rsid w:val="00FA2B3D"/>
    <w:rsid w:val="00FA2B8A"/>
    <w:rsid w:val="00FA2CB6"/>
    <w:rsid w:val="00FA2CD5"/>
    <w:rsid w:val="00FA30FF"/>
    <w:rsid w:val="00FA31C6"/>
    <w:rsid w:val="00FA34B6"/>
    <w:rsid w:val="00FA354C"/>
    <w:rsid w:val="00FA39D5"/>
    <w:rsid w:val="00FA3A0A"/>
    <w:rsid w:val="00FA3D76"/>
    <w:rsid w:val="00FA46B3"/>
    <w:rsid w:val="00FA47D5"/>
    <w:rsid w:val="00FA47E0"/>
    <w:rsid w:val="00FA488B"/>
    <w:rsid w:val="00FA48D7"/>
    <w:rsid w:val="00FA4D72"/>
    <w:rsid w:val="00FA4D8B"/>
    <w:rsid w:val="00FA4EE5"/>
    <w:rsid w:val="00FA4F52"/>
    <w:rsid w:val="00FA506A"/>
    <w:rsid w:val="00FA5219"/>
    <w:rsid w:val="00FA5F07"/>
    <w:rsid w:val="00FA616B"/>
    <w:rsid w:val="00FA6204"/>
    <w:rsid w:val="00FA668D"/>
    <w:rsid w:val="00FA66C3"/>
    <w:rsid w:val="00FA68B5"/>
    <w:rsid w:val="00FA69E8"/>
    <w:rsid w:val="00FA6B77"/>
    <w:rsid w:val="00FA7074"/>
    <w:rsid w:val="00FA76CF"/>
    <w:rsid w:val="00FA76D5"/>
    <w:rsid w:val="00FA7B0A"/>
    <w:rsid w:val="00FA7B9C"/>
    <w:rsid w:val="00FA7BE4"/>
    <w:rsid w:val="00FA7EA6"/>
    <w:rsid w:val="00FA7F9F"/>
    <w:rsid w:val="00FB01A8"/>
    <w:rsid w:val="00FB01DC"/>
    <w:rsid w:val="00FB0388"/>
    <w:rsid w:val="00FB0A85"/>
    <w:rsid w:val="00FB0A93"/>
    <w:rsid w:val="00FB1391"/>
    <w:rsid w:val="00FB13CA"/>
    <w:rsid w:val="00FB166A"/>
    <w:rsid w:val="00FB1778"/>
    <w:rsid w:val="00FB1BBB"/>
    <w:rsid w:val="00FB1E22"/>
    <w:rsid w:val="00FB1E30"/>
    <w:rsid w:val="00FB1F81"/>
    <w:rsid w:val="00FB1FDE"/>
    <w:rsid w:val="00FB21A9"/>
    <w:rsid w:val="00FB2525"/>
    <w:rsid w:val="00FB2693"/>
    <w:rsid w:val="00FB274E"/>
    <w:rsid w:val="00FB27BA"/>
    <w:rsid w:val="00FB27BE"/>
    <w:rsid w:val="00FB2D13"/>
    <w:rsid w:val="00FB2F0F"/>
    <w:rsid w:val="00FB30ED"/>
    <w:rsid w:val="00FB326B"/>
    <w:rsid w:val="00FB3494"/>
    <w:rsid w:val="00FB3577"/>
    <w:rsid w:val="00FB3822"/>
    <w:rsid w:val="00FB395A"/>
    <w:rsid w:val="00FB3A8F"/>
    <w:rsid w:val="00FB3B73"/>
    <w:rsid w:val="00FB3B9D"/>
    <w:rsid w:val="00FB3EA2"/>
    <w:rsid w:val="00FB3EF8"/>
    <w:rsid w:val="00FB3F76"/>
    <w:rsid w:val="00FB438E"/>
    <w:rsid w:val="00FB4432"/>
    <w:rsid w:val="00FB446B"/>
    <w:rsid w:val="00FB4770"/>
    <w:rsid w:val="00FB4E73"/>
    <w:rsid w:val="00FB512F"/>
    <w:rsid w:val="00FB52AC"/>
    <w:rsid w:val="00FB5329"/>
    <w:rsid w:val="00FB5518"/>
    <w:rsid w:val="00FB557B"/>
    <w:rsid w:val="00FB561F"/>
    <w:rsid w:val="00FB5FFF"/>
    <w:rsid w:val="00FB6460"/>
    <w:rsid w:val="00FB6939"/>
    <w:rsid w:val="00FB6A29"/>
    <w:rsid w:val="00FB6DDA"/>
    <w:rsid w:val="00FB718F"/>
    <w:rsid w:val="00FB7278"/>
    <w:rsid w:val="00FB72FC"/>
    <w:rsid w:val="00FB76AA"/>
    <w:rsid w:val="00FB7852"/>
    <w:rsid w:val="00FB7B2D"/>
    <w:rsid w:val="00FB7D32"/>
    <w:rsid w:val="00FB7EF5"/>
    <w:rsid w:val="00FC018C"/>
    <w:rsid w:val="00FC0B4F"/>
    <w:rsid w:val="00FC0B6D"/>
    <w:rsid w:val="00FC0BFD"/>
    <w:rsid w:val="00FC0DB4"/>
    <w:rsid w:val="00FC1235"/>
    <w:rsid w:val="00FC125B"/>
    <w:rsid w:val="00FC1401"/>
    <w:rsid w:val="00FC15EC"/>
    <w:rsid w:val="00FC1A17"/>
    <w:rsid w:val="00FC1BAE"/>
    <w:rsid w:val="00FC1D03"/>
    <w:rsid w:val="00FC2AA0"/>
    <w:rsid w:val="00FC2B7A"/>
    <w:rsid w:val="00FC2D15"/>
    <w:rsid w:val="00FC2E3F"/>
    <w:rsid w:val="00FC302F"/>
    <w:rsid w:val="00FC310B"/>
    <w:rsid w:val="00FC3381"/>
    <w:rsid w:val="00FC33CE"/>
    <w:rsid w:val="00FC3488"/>
    <w:rsid w:val="00FC3633"/>
    <w:rsid w:val="00FC3678"/>
    <w:rsid w:val="00FC3918"/>
    <w:rsid w:val="00FC3B7E"/>
    <w:rsid w:val="00FC3CE6"/>
    <w:rsid w:val="00FC3D2E"/>
    <w:rsid w:val="00FC3D53"/>
    <w:rsid w:val="00FC3DC4"/>
    <w:rsid w:val="00FC3F87"/>
    <w:rsid w:val="00FC400C"/>
    <w:rsid w:val="00FC420B"/>
    <w:rsid w:val="00FC422F"/>
    <w:rsid w:val="00FC42EF"/>
    <w:rsid w:val="00FC46F1"/>
    <w:rsid w:val="00FC47E0"/>
    <w:rsid w:val="00FC4AB9"/>
    <w:rsid w:val="00FC4E90"/>
    <w:rsid w:val="00FC4F68"/>
    <w:rsid w:val="00FC5068"/>
    <w:rsid w:val="00FC5205"/>
    <w:rsid w:val="00FC524C"/>
    <w:rsid w:val="00FC52AA"/>
    <w:rsid w:val="00FC537F"/>
    <w:rsid w:val="00FC5470"/>
    <w:rsid w:val="00FC5551"/>
    <w:rsid w:val="00FC5D86"/>
    <w:rsid w:val="00FC5EDE"/>
    <w:rsid w:val="00FC60D0"/>
    <w:rsid w:val="00FC6B25"/>
    <w:rsid w:val="00FC6F57"/>
    <w:rsid w:val="00FC6FCB"/>
    <w:rsid w:val="00FC76A7"/>
    <w:rsid w:val="00FC76E7"/>
    <w:rsid w:val="00FC771A"/>
    <w:rsid w:val="00FC7721"/>
    <w:rsid w:val="00FD0011"/>
    <w:rsid w:val="00FD016F"/>
    <w:rsid w:val="00FD0200"/>
    <w:rsid w:val="00FD0701"/>
    <w:rsid w:val="00FD083B"/>
    <w:rsid w:val="00FD08FB"/>
    <w:rsid w:val="00FD0B11"/>
    <w:rsid w:val="00FD0B8E"/>
    <w:rsid w:val="00FD0DCA"/>
    <w:rsid w:val="00FD0FFE"/>
    <w:rsid w:val="00FD103F"/>
    <w:rsid w:val="00FD126D"/>
    <w:rsid w:val="00FD1389"/>
    <w:rsid w:val="00FD14EE"/>
    <w:rsid w:val="00FD1591"/>
    <w:rsid w:val="00FD1651"/>
    <w:rsid w:val="00FD16CC"/>
    <w:rsid w:val="00FD1726"/>
    <w:rsid w:val="00FD1940"/>
    <w:rsid w:val="00FD1A84"/>
    <w:rsid w:val="00FD1EB0"/>
    <w:rsid w:val="00FD1F5A"/>
    <w:rsid w:val="00FD1FB7"/>
    <w:rsid w:val="00FD20C3"/>
    <w:rsid w:val="00FD21C3"/>
    <w:rsid w:val="00FD22BF"/>
    <w:rsid w:val="00FD277B"/>
    <w:rsid w:val="00FD2C58"/>
    <w:rsid w:val="00FD2FCD"/>
    <w:rsid w:val="00FD3513"/>
    <w:rsid w:val="00FD3A95"/>
    <w:rsid w:val="00FD3D9A"/>
    <w:rsid w:val="00FD3FF4"/>
    <w:rsid w:val="00FD413C"/>
    <w:rsid w:val="00FD419A"/>
    <w:rsid w:val="00FD4781"/>
    <w:rsid w:val="00FD4AC1"/>
    <w:rsid w:val="00FD4B2B"/>
    <w:rsid w:val="00FD50A1"/>
    <w:rsid w:val="00FD5952"/>
    <w:rsid w:val="00FD5A66"/>
    <w:rsid w:val="00FD5B12"/>
    <w:rsid w:val="00FD5BD9"/>
    <w:rsid w:val="00FD5C91"/>
    <w:rsid w:val="00FD5FE8"/>
    <w:rsid w:val="00FD6158"/>
    <w:rsid w:val="00FD6378"/>
    <w:rsid w:val="00FD6405"/>
    <w:rsid w:val="00FD64CD"/>
    <w:rsid w:val="00FD64EF"/>
    <w:rsid w:val="00FD6936"/>
    <w:rsid w:val="00FD6995"/>
    <w:rsid w:val="00FD6AEC"/>
    <w:rsid w:val="00FD6B8B"/>
    <w:rsid w:val="00FD6E02"/>
    <w:rsid w:val="00FD6F27"/>
    <w:rsid w:val="00FD7360"/>
    <w:rsid w:val="00FD739D"/>
    <w:rsid w:val="00FD74B4"/>
    <w:rsid w:val="00FD74C1"/>
    <w:rsid w:val="00FD760B"/>
    <w:rsid w:val="00FD7A3F"/>
    <w:rsid w:val="00FE046E"/>
    <w:rsid w:val="00FE04E6"/>
    <w:rsid w:val="00FE090C"/>
    <w:rsid w:val="00FE0AF7"/>
    <w:rsid w:val="00FE0C4F"/>
    <w:rsid w:val="00FE0FCC"/>
    <w:rsid w:val="00FE11BF"/>
    <w:rsid w:val="00FE194D"/>
    <w:rsid w:val="00FE1BE9"/>
    <w:rsid w:val="00FE1ED3"/>
    <w:rsid w:val="00FE1FCD"/>
    <w:rsid w:val="00FE214A"/>
    <w:rsid w:val="00FE23EA"/>
    <w:rsid w:val="00FE289B"/>
    <w:rsid w:val="00FE2EFC"/>
    <w:rsid w:val="00FE30CB"/>
    <w:rsid w:val="00FE3657"/>
    <w:rsid w:val="00FE3C4C"/>
    <w:rsid w:val="00FE3EB7"/>
    <w:rsid w:val="00FE405D"/>
    <w:rsid w:val="00FE4060"/>
    <w:rsid w:val="00FE44A1"/>
    <w:rsid w:val="00FE496A"/>
    <w:rsid w:val="00FE4DB5"/>
    <w:rsid w:val="00FE500F"/>
    <w:rsid w:val="00FE5253"/>
    <w:rsid w:val="00FE52B3"/>
    <w:rsid w:val="00FE5714"/>
    <w:rsid w:val="00FE5951"/>
    <w:rsid w:val="00FE599E"/>
    <w:rsid w:val="00FE5CA1"/>
    <w:rsid w:val="00FE5DC4"/>
    <w:rsid w:val="00FE5EC1"/>
    <w:rsid w:val="00FE5F7F"/>
    <w:rsid w:val="00FE5FDF"/>
    <w:rsid w:val="00FE6152"/>
    <w:rsid w:val="00FE68AB"/>
    <w:rsid w:val="00FE69FF"/>
    <w:rsid w:val="00FE6E04"/>
    <w:rsid w:val="00FE6FF5"/>
    <w:rsid w:val="00FE703E"/>
    <w:rsid w:val="00FE74E5"/>
    <w:rsid w:val="00FE7739"/>
    <w:rsid w:val="00FE7751"/>
    <w:rsid w:val="00FE786B"/>
    <w:rsid w:val="00FE7873"/>
    <w:rsid w:val="00FE78D7"/>
    <w:rsid w:val="00FE7FB0"/>
    <w:rsid w:val="00FF0189"/>
    <w:rsid w:val="00FF0472"/>
    <w:rsid w:val="00FF07A5"/>
    <w:rsid w:val="00FF09A3"/>
    <w:rsid w:val="00FF0EA1"/>
    <w:rsid w:val="00FF1047"/>
    <w:rsid w:val="00FF1205"/>
    <w:rsid w:val="00FF1911"/>
    <w:rsid w:val="00FF1939"/>
    <w:rsid w:val="00FF1A1E"/>
    <w:rsid w:val="00FF1C72"/>
    <w:rsid w:val="00FF1EFF"/>
    <w:rsid w:val="00FF20FC"/>
    <w:rsid w:val="00FF23BB"/>
    <w:rsid w:val="00FF25E6"/>
    <w:rsid w:val="00FF27CD"/>
    <w:rsid w:val="00FF2A89"/>
    <w:rsid w:val="00FF2B85"/>
    <w:rsid w:val="00FF34DE"/>
    <w:rsid w:val="00FF355E"/>
    <w:rsid w:val="00FF3590"/>
    <w:rsid w:val="00FF3866"/>
    <w:rsid w:val="00FF3870"/>
    <w:rsid w:val="00FF3930"/>
    <w:rsid w:val="00FF3977"/>
    <w:rsid w:val="00FF398E"/>
    <w:rsid w:val="00FF3ED6"/>
    <w:rsid w:val="00FF43CC"/>
    <w:rsid w:val="00FF4405"/>
    <w:rsid w:val="00FF4831"/>
    <w:rsid w:val="00FF4CBD"/>
    <w:rsid w:val="00FF4CE9"/>
    <w:rsid w:val="00FF540E"/>
    <w:rsid w:val="00FF545A"/>
    <w:rsid w:val="00FF54C8"/>
    <w:rsid w:val="00FF559A"/>
    <w:rsid w:val="00FF57D0"/>
    <w:rsid w:val="00FF5841"/>
    <w:rsid w:val="00FF5BEA"/>
    <w:rsid w:val="00FF62C2"/>
    <w:rsid w:val="00FF6417"/>
    <w:rsid w:val="00FF6551"/>
    <w:rsid w:val="00FF666A"/>
    <w:rsid w:val="00FF699B"/>
    <w:rsid w:val="00FF69D9"/>
    <w:rsid w:val="00FF6A09"/>
    <w:rsid w:val="00FF6FC4"/>
    <w:rsid w:val="00FF7102"/>
    <w:rsid w:val="00FF71E1"/>
    <w:rsid w:val="00FF73CA"/>
    <w:rsid w:val="00FF7467"/>
    <w:rsid w:val="00FF780C"/>
    <w:rsid w:val="00FF78AD"/>
    <w:rsid w:val="00FF78B4"/>
    <w:rsid w:val="00FF79D8"/>
    <w:rsid w:val="00FF79FF"/>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ocId w14:val="33CFE3F5"/>
  <w15:docId w15:val="{FB5813FB-CBB9-45DD-B6D6-C2EC39F65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898"/>
    <w:rPr>
      <w:rFonts w:asciiTheme="minorHAnsi" w:hAnsiTheme="minorHAnsi"/>
      <w:lang w:val="es-ES_tradnl"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R1"/>
    <w:basedOn w:val="Normal"/>
    <w:next w:val="Normal"/>
    <w:link w:val="Ttulo1Car"/>
    <w:autoRedefine/>
    <w:uiPriority w:val="9"/>
    <w:qFormat/>
    <w:rsid w:val="00E674A9"/>
    <w:pPr>
      <w:keepNext/>
      <w:tabs>
        <w:tab w:val="left" w:pos="284"/>
      </w:tabs>
      <w:spacing w:before="120" w:after="200" w:line="276" w:lineRule="auto"/>
      <w:jc w:val="both"/>
      <w:outlineLvl w:val="0"/>
    </w:pPr>
    <w:rPr>
      <w:rFonts w:ascii="ITC Avant Garde" w:hAnsi="ITC Avant Garde"/>
      <w:b/>
      <w:sz w:val="22"/>
      <w:szCs w:val="22"/>
      <w:lang w:val="es-MX"/>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R"/>
    <w:basedOn w:val="Normal"/>
    <w:next w:val="Normal"/>
    <w:link w:val="Ttulo2Car"/>
    <w:uiPriority w:val="9"/>
    <w:qFormat/>
    <w:rsid w:val="00FB3B9D"/>
    <w:pPr>
      <w:keepNext/>
      <w:spacing w:after="200" w:line="276" w:lineRule="auto"/>
      <w:ind w:left="720" w:hanging="360"/>
      <w:jc w:val="both"/>
      <w:outlineLvl w:val="1"/>
    </w:pPr>
    <w:rPr>
      <w:rFonts w:ascii="ITC Avant Garde" w:hAnsi="ITC Avant Garde" w:cs="Arial"/>
      <w:b/>
      <w:bCs/>
      <w:sz w:val="22"/>
      <w:szCs w:val="22"/>
      <w:lang w:val="es-MX" w:eastAsia="en-U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Normal"/>
    <w:next w:val="Normal"/>
    <w:link w:val="Ttulo3Car"/>
    <w:uiPriority w:val="9"/>
    <w:qFormat/>
    <w:rsid w:val="00537590"/>
    <w:pPr>
      <w:keepNext/>
      <w:spacing w:before="240" w:after="60"/>
      <w:outlineLvl w:val="2"/>
    </w:pPr>
    <w:rPr>
      <w:b/>
      <w:i/>
      <w:lang w:val="es-MX"/>
    </w:rPr>
  </w:style>
  <w:style w:type="paragraph" w:styleId="Ttulo4">
    <w:name w:val="heading 4"/>
    <w:aliases w:val="h:4,h4,heading 4 + Indent: Left 0.5 in,a.,Map Title,ITT t4,PA Micro Section,I4,4,l4,heading,heading4,Title4,Header 4,H4-Heading 4,H4,le4,heading 4 + Indent: Left 0.25 in,1.1.1.1,T4,l4+toc4,Normal4,E4,Heading Four,C Head,Heading 4.,Numbered List"/>
    <w:basedOn w:val="Normal"/>
    <w:next w:val="Normal"/>
    <w:link w:val="Ttulo4Car"/>
    <w:uiPriority w:val="9"/>
    <w:qFormat/>
    <w:rsid w:val="00537590"/>
    <w:pPr>
      <w:keepNext/>
      <w:spacing w:before="240" w:after="60"/>
      <w:jc w:val="both"/>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heading53"/>
    <w:basedOn w:val="Normal"/>
    <w:next w:val="Normal"/>
    <w:link w:val="Ttulo5Car"/>
    <w:uiPriority w:val="9"/>
    <w:qFormat/>
    <w:rsid w:val="00537590"/>
    <w:pPr>
      <w:spacing w:before="240" w:after="60"/>
      <w:jc w:val="both"/>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H"/>
    <w:basedOn w:val="Normal"/>
    <w:next w:val="Normal"/>
    <w:link w:val="Ttulo6Car"/>
    <w:uiPriority w:val="9"/>
    <w:qFormat/>
    <w:rsid w:val="00537590"/>
    <w:pPr>
      <w:spacing w:before="240" w:after="60"/>
      <w:jc w:val="both"/>
      <w:outlineLvl w:val="5"/>
    </w:pPr>
    <w:rPr>
      <w:i/>
      <w:sz w:val="22"/>
    </w:rPr>
  </w:style>
  <w:style w:type="paragraph" w:styleId="Ttulo7">
    <w:name w:val="heading 7"/>
    <w:aliases w:val="ITT t7,PA Appendix Major,letter list,7,req3,Header 7,Objective,ExhibitTitle,st,h7,Appendix3,lettered list"/>
    <w:basedOn w:val="Normal"/>
    <w:next w:val="Normal"/>
    <w:link w:val="Ttulo7Car"/>
    <w:uiPriority w:val="9"/>
    <w:qFormat/>
    <w:rsid w:val="00537590"/>
    <w:pPr>
      <w:spacing w:before="240" w:after="60"/>
      <w:jc w:val="both"/>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Annex Cha"/>
    <w:basedOn w:val="Normal"/>
    <w:next w:val="Normal"/>
    <w:link w:val="Ttulo8Car"/>
    <w:uiPriority w:val="9"/>
    <w:qFormat/>
    <w:rsid w:val="00537590"/>
    <w:pPr>
      <w:spacing w:before="240" w:after="60"/>
      <w:jc w:val="both"/>
      <w:outlineLvl w:val="7"/>
    </w:pPr>
    <w:rPr>
      <w:i/>
    </w:rPr>
  </w:style>
  <w:style w:type="paragraph" w:styleId="Ttulo9">
    <w:name w:val="heading 9"/>
    <w:aliases w:val="ITT t9,progress,App Heading,Titre 10,9,rb,req bullet,req1,Cond'l Reqt.,TableTitle,tt,h9,Appendix2,Appendix21,table title"/>
    <w:basedOn w:val="Normal"/>
    <w:next w:val="Normal"/>
    <w:link w:val="Ttulo9Car"/>
    <w:uiPriority w:val="9"/>
    <w:qFormat/>
    <w:rsid w:val="00537590"/>
    <w:pPr>
      <w:spacing w:before="240" w:after="60"/>
      <w:jc w:val="both"/>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uiPriority w:val="9"/>
    <w:locked/>
    <w:rsid w:val="00E674A9"/>
    <w:rPr>
      <w:rFonts w:ascii="ITC Avant Garde" w:hAnsi="ITC Avant Garde"/>
      <w:b/>
      <w:sz w:val="22"/>
      <w:szCs w:val="22"/>
      <w:lang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R Car"/>
    <w:basedOn w:val="Fuentedeprrafopredeter"/>
    <w:link w:val="Ttulo2"/>
    <w:uiPriority w:val="9"/>
    <w:locked/>
    <w:rsid w:val="00FB3B9D"/>
    <w:rPr>
      <w:rFonts w:ascii="ITC Avant Garde" w:hAnsi="ITC Avant Garde" w:cs="Arial"/>
      <w:b/>
      <w:bCs/>
      <w:sz w:val="22"/>
      <w:szCs w:val="22"/>
      <w:lang w:eastAsia="en-U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
    <w:locked/>
    <w:rsid w:val="00537590"/>
    <w:rPr>
      <w:b/>
      <w:i/>
      <w:lang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
    <w:locked/>
    <w:rsid w:val="00537590"/>
    <w:rPr>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BB1133"/>
    <w:rPr>
      <w:rFonts w:ascii="Calibri" w:eastAsia="Times New Roman" w:hAnsi="Calibri" w:cs="Times New Roman"/>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BB1133"/>
    <w:rPr>
      <w:rFonts w:ascii="Calibri" w:eastAsia="Times New Roman" w:hAnsi="Calibri" w:cs="Times New Roman"/>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
    <w:locked/>
    <w:rsid w:val="00537590"/>
    <w:rPr>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Annex Cha Car"/>
    <w:basedOn w:val="Fuentedeprrafopredeter"/>
    <w:link w:val="Ttulo8"/>
    <w:uiPriority w:val="9"/>
    <w:locked/>
    <w:rsid w:val="00537590"/>
    <w:rPr>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
    <w:locked/>
    <w:rsid w:val="00537590"/>
    <w:rPr>
      <w:b/>
      <w:i/>
      <w:sz w:val="18"/>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basedOn w:val="Fuentedeprrafopredeter"/>
    <w:uiPriority w:val="99"/>
    <w:semiHidden/>
    <w:locked/>
    <w:rsid w:val="00AC4926"/>
    <w:rPr>
      <w:rFonts w:ascii="Calibri" w:hAnsi="Calibri" w:cs="Times New Roman"/>
      <w:b/>
      <w:bCs/>
      <w:i/>
      <w:iCs/>
      <w:sz w:val="26"/>
      <w:szCs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a"/>
    <w:basedOn w:val="Fuentedeprrafopredeter"/>
    <w:uiPriority w:val="99"/>
    <w:semiHidden/>
    <w:locked/>
    <w:rsid w:val="00AC4926"/>
    <w:rPr>
      <w:rFonts w:ascii="Calibri" w:hAnsi="Calibri" w:cs="Times New Roman"/>
      <w:b/>
      <w:bCs/>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basedOn w:val="Fuentedeprrafopredeter"/>
    <w:uiPriority w:val="99"/>
    <w:semiHidden/>
    <w:locked/>
    <w:rsid w:val="00236D27"/>
    <w:rPr>
      <w:rFonts w:ascii="Calibri" w:hAnsi="Calibri" w:cs="Times New Roman"/>
      <w:b/>
      <w:bCs/>
      <w:i/>
      <w:iCs/>
      <w:sz w:val="26"/>
      <w:szCs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
    <w:basedOn w:val="Fuentedeprrafopredeter"/>
    <w:uiPriority w:val="99"/>
    <w:semiHidden/>
    <w:locked/>
    <w:rsid w:val="00236D27"/>
    <w:rPr>
      <w:rFonts w:ascii="Calibri" w:hAnsi="Calibri" w:cs="Times New Roman"/>
      <w:b/>
      <w:bCs/>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basedOn w:val="Fuentedeprrafopredeter"/>
    <w:link w:val="Ttulo5"/>
    <w:uiPriority w:val="9"/>
    <w:locked/>
    <w:rsid w:val="00537590"/>
    <w:rPr>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basedOn w:val="Fuentedeprrafopredeter"/>
    <w:link w:val="Ttulo6"/>
    <w:uiPriority w:val="9"/>
    <w:locked/>
    <w:rsid w:val="00537590"/>
    <w:rPr>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537590"/>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after="120"/>
      <w:jc w:val="both"/>
    </w:pPr>
    <w:rPr>
      <w:b/>
      <w:bCs/>
      <w:sz w:val="20"/>
    </w:rPr>
  </w:style>
  <w:style w:type="paragraph" w:styleId="Piedepgina">
    <w:name w:val="footer"/>
    <w:basedOn w:val="Normal"/>
    <w:link w:val="PiedepginaCar"/>
    <w:uiPriority w:val="99"/>
    <w:rsid w:val="00537590"/>
    <w:pPr>
      <w:tabs>
        <w:tab w:val="center" w:pos="4252"/>
        <w:tab w:val="right" w:pos="8504"/>
      </w:tabs>
    </w:pPr>
  </w:style>
  <w:style w:type="character" w:customStyle="1" w:styleId="PiedepginaCar">
    <w:name w:val="Pie de página Car"/>
    <w:basedOn w:val="Fuentedeprrafopredeter"/>
    <w:link w:val="Piedepgina"/>
    <w:uiPriority w:val="99"/>
    <w:locked/>
    <w:rsid w:val="00537590"/>
    <w:rPr>
      <w:rFonts w:ascii="Arial" w:hAnsi="Arial" w:cs="Times New Roman"/>
      <w:lang w:val="es-ES_tradnl"/>
    </w:rPr>
  </w:style>
  <w:style w:type="paragraph" w:customStyle="1" w:styleId="claveesp">
    <w:name w:val="clave esp"/>
    <w:basedOn w:val="Normal"/>
    <w:uiPriority w:val="99"/>
    <w:rsid w:val="00537590"/>
    <w:pPr>
      <w:tabs>
        <w:tab w:val="center" w:pos="4252"/>
        <w:tab w:val="right" w:pos="8504"/>
        <w:tab w:val="left" w:pos="9498"/>
      </w:tabs>
      <w:ind w:right="67"/>
      <w:jc w:val="right"/>
    </w:pPr>
    <w:rPr>
      <w:rFonts w:ascii="Courier New" w:hAnsi="Courier New"/>
    </w:rPr>
  </w:style>
  <w:style w:type="paragraph" w:customStyle="1" w:styleId="pieizq">
    <w:name w:val="pie izq"/>
    <w:basedOn w:val="Normal"/>
    <w:uiPriority w:val="99"/>
    <w:rsid w:val="00537590"/>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537590"/>
    <w:pPr>
      <w:tabs>
        <w:tab w:val="center" w:pos="4252"/>
        <w:tab w:val="right" w:pos="8504"/>
        <w:tab w:val="left" w:pos="9498"/>
      </w:tabs>
      <w:ind w:left="4252" w:right="-115" w:hanging="4252"/>
      <w:jc w:val="right"/>
    </w:pPr>
    <w:rPr>
      <w:rFonts w:ascii="Courier New" w:hAnsi="Courier New"/>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uiPriority w:val="99"/>
    <w:rsid w:val="00537590"/>
    <w:pPr>
      <w:jc w:val="center"/>
    </w:pPr>
    <w:rPr>
      <w:b/>
      <w:bCs/>
      <w:sz w:val="40"/>
      <w:lang w:val="es-MX"/>
    </w:r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5A720E"/>
    <w:rPr>
      <w:rFonts w:cs="Times New Roman"/>
      <w:sz w:val="24"/>
      <w:szCs w:val="24"/>
      <w:lang w:val="es-MX"/>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basedOn w:val="Fuentedeprrafopredeter"/>
    <w:link w:val="Textoindependiente"/>
    <w:uiPriority w:val="99"/>
    <w:locked/>
    <w:rsid w:val="00537590"/>
    <w:rPr>
      <w:rFonts w:ascii="Arial" w:hAnsi="Arial" w:cs="Times New Roman"/>
      <w:lang w:val="es-ES_tradnl"/>
    </w:rPr>
  </w:style>
  <w:style w:type="paragraph" w:styleId="Textocomentario">
    <w:name w:val="annotation text"/>
    <w:basedOn w:val="Normal"/>
    <w:link w:val="TextocomentarioCar"/>
    <w:uiPriority w:val="99"/>
    <w:rsid w:val="00537590"/>
    <w:pPr>
      <w:tabs>
        <w:tab w:val="left" w:pos="794"/>
        <w:tab w:val="left" w:pos="1191"/>
        <w:tab w:val="left" w:pos="1588"/>
        <w:tab w:val="left" w:pos="1985"/>
      </w:tabs>
      <w:spacing w:before="136"/>
      <w:jc w:val="both"/>
    </w:pPr>
  </w:style>
  <w:style w:type="character" w:customStyle="1" w:styleId="TextocomentarioCar">
    <w:name w:val="Texto comentario Car"/>
    <w:basedOn w:val="Fuentedeprrafopredeter"/>
    <w:link w:val="Textocomentario"/>
    <w:uiPriority w:val="99"/>
    <w:qFormat/>
    <w:locked/>
    <w:rsid w:val="00537590"/>
    <w:rPr>
      <w:rFonts w:ascii="Arial" w:hAnsi="Arial" w:cs="Times New Roman"/>
      <w:lang w:val="es-ES_tradnl"/>
    </w:rPr>
  </w:style>
  <w:style w:type="paragraph" w:customStyle="1" w:styleId="ITUparnumrot">
    <w:name w:val="ITU par. numéroté"/>
    <w:basedOn w:val="Normal"/>
    <w:uiPriority w:val="99"/>
    <w:rsid w:val="00537590"/>
    <w:pPr>
      <w:keepLines/>
      <w:tabs>
        <w:tab w:val="left" w:pos="624"/>
        <w:tab w:val="left" w:pos="964"/>
      </w:tabs>
      <w:spacing w:before="120"/>
      <w:jc w:val="both"/>
    </w:pPr>
    <w:rPr>
      <w:rFonts w:ascii="Times New Roman" w:hAnsi="Times New Roman"/>
      <w:lang w:eastAsia="en-US"/>
    </w:rPr>
  </w:style>
  <w:style w:type="character" w:customStyle="1" w:styleId="Typewriter">
    <w:name w:val="Typewriter"/>
    <w:uiPriority w:val="99"/>
    <w:rsid w:val="00537590"/>
    <w:rPr>
      <w:rFonts w:ascii="Courier New" w:hAnsi="Courier New"/>
      <w:sz w:val="20"/>
    </w:rPr>
  </w:style>
  <w:style w:type="paragraph" w:customStyle="1" w:styleId="Normalaftertitle">
    <w:name w:val="Normal after title"/>
    <w:basedOn w:val="Normal"/>
    <w:uiPriority w:val="99"/>
    <w:rsid w:val="00537590"/>
    <w:pPr>
      <w:tabs>
        <w:tab w:val="left" w:pos="794"/>
        <w:tab w:val="left" w:pos="1191"/>
        <w:tab w:val="left" w:pos="1588"/>
        <w:tab w:val="left" w:pos="1985"/>
      </w:tabs>
      <w:spacing w:before="480"/>
      <w:jc w:val="both"/>
    </w:pPr>
    <w:rPr>
      <w:lang w:val="es-MX"/>
    </w:rPr>
  </w:style>
  <w:style w:type="paragraph" w:styleId="TDC1">
    <w:name w:val="toc 1"/>
    <w:basedOn w:val="Normal"/>
    <w:next w:val="Normal"/>
    <w:autoRedefine/>
    <w:uiPriority w:val="39"/>
    <w:rsid w:val="00787BAC"/>
    <w:pPr>
      <w:tabs>
        <w:tab w:val="left" w:pos="567"/>
        <w:tab w:val="right" w:leader="dot" w:pos="8789"/>
      </w:tabs>
      <w:spacing w:before="120" w:after="120"/>
    </w:pPr>
    <w:rPr>
      <w:rFonts w:ascii="ITC Avant Garde" w:hAnsi="ITC Avant Garde" w:cs="Arial"/>
      <w:bCs/>
      <w:caps/>
      <w:noProof/>
      <w:sz w:val="18"/>
      <w:szCs w:val="18"/>
    </w:rPr>
  </w:style>
  <w:style w:type="paragraph" w:styleId="TDC2">
    <w:name w:val="toc 2"/>
    <w:basedOn w:val="Normal"/>
    <w:next w:val="Normal"/>
    <w:autoRedefine/>
    <w:uiPriority w:val="39"/>
    <w:rsid w:val="00E16A01"/>
    <w:pPr>
      <w:tabs>
        <w:tab w:val="left" w:pos="800"/>
        <w:tab w:val="right" w:leader="dot" w:pos="8789"/>
      </w:tabs>
      <w:ind w:left="200"/>
    </w:pPr>
    <w:rPr>
      <w:rFonts w:cs="Arial"/>
      <w:b/>
      <w:smallCaps/>
      <w:noProof/>
      <w:sz w:val="22"/>
    </w:rPr>
  </w:style>
  <w:style w:type="paragraph" w:styleId="TDC3">
    <w:name w:val="toc 3"/>
    <w:basedOn w:val="Normal"/>
    <w:next w:val="Normal"/>
    <w:autoRedefine/>
    <w:uiPriority w:val="39"/>
    <w:rsid w:val="00530CB2"/>
    <w:pPr>
      <w:tabs>
        <w:tab w:val="left" w:pos="1200"/>
        <w:tab w:val="right" w:leader="dot" w:pos="8789"/>
      </w:tabs>
      <w:ind w:left="400"/>
    </w:pPr>
    <w:rPr>
      <w:rFonts w:cs="Arial"/>
      <w:b/>
      <w:i/>
      <w:iCs/>
      <w:noProof/>
      <w:sz w:val="22"/>
      <w:szCs w:val="22"/>
    </w:rPr>
  </w:style>
  <w:style w:type="paragraph" w:styleId="TDC4">
    <w:name w:val="toc 4"/>
    <w:basedOn w:val="Normal"/>
    <w:next w:val="Normal"/>
    <w:autoRedefine/>
    <w:uiPriority w:val="39"/>
    <w:rsid w:val="007C752B"/>
    <w:pPr>
      <w:tabs>
        <w:tab w:val="left" w:pos="1400"/>
        <w:tab w:val="right" w:leader="dot" w:pos="9771"/>
      </w:tabs>
      <w:ind w:left="600"/>
    </w:pPr>
    <w:rPr>
      <w:rFonts w:cs="Arial"/>
      <w:i/>
      <w:noProof/>
    </w:rPr>
  </w:style>
  <w:style w:type="paragraph" w:styleId="TDC5">
    <w:name w:val="toc 5"/>
    <w:basedOn w:val="Normal"/>
    <w:next w:val="Normal"/>
    <w:autoRedefine/>
    <w:uiPriority w:val="39"/>
    <w:rsid w:val="00537590"/>
    <w:pPr>
      <w:ind w:left="800"/>
    </w:pPr>
    <w:rPr>
      <w:rFonts w:ascii="Times New Roman" w:hAnsi="Times New Roman"/>
      <w:sz w:val="18"/>
      <w:szCs w:val="18"/>
    </w:rPr>
  </w:style>
  <w:style w:type="paragraph" w:styleId="TDC6">
    <w:name w:val="toc 6"/>
    <w:basedOn w:val="Normal"/>
    <w:next w:val="Normal"/>
    <w:autoRedefine/>
    <w:uiPriority w:val="39"/>
    <w:rsid w:val="00537590"/>
    <w:pPr>
      <w:ind w:left="1000"/>
    </w:pPr>
    <w:rPr>
      <w:rFonts w:ascii="Times New Roman" w:hAnsi="Times New Roman"/>
      <w:sz w:val="18"/>
      <w:szCs w:val="18"/>
    </w:rPr>
  </w:style>
  <w:style w:type="paragraph" w:styleId="TDC7">
    <w:name w:val="toc 7"/>
    <w:basedOn w:val="Normal"/>
    <w:next w:val="Normal"/>
    <w:autoRedefine/>
    <w:uiPriority w:val="39"/>
    <w:rsid w:val="00537590"/>
    <w:pPr>
      <w:ind w:left="1200"/>
    </w:pPr>
    <w:rPr>
      <w:rFonts w:ascii="Times New Roman" w:hAnsi="Times New Roman"/>
      <w:sz w:val="18"/>
      <w:szCs w:val="18"/>
    </w:rPr>
  </w:style>
  <w:style w:type="paragraph" w:styleId="TDC8">
    <w:name w:val="toc 8"/>
    <w:basedOn w:val="Normal"/>
    <w:next w:val="Normal"/>
    <w:autoRedefine/>
    <w:uiPriority w:val="39"/>
    <w:rsid w:val="00537590"/>
    <w:pPr>
      <w:ind w:left="1400"/>
    </w:pPr>
    <w:rPr>
      <w:rFonts w:ascii="Times New Roman" w:hAnsi="Times New Roman"/>
      <w:sz w:val="18"/>
      <w:szCs w:val="18"/>
    </w:rPr>
  </w:style>
  <w:style w:type="paragraph" w:styleId="TDC9">
    <w:name w:val="toc 9"/>
    <w:basedOn w:val="Normal"/>
    <w:next w:val="Normal"/>
    <w:autoRedefine/>
    <w:uiPriority w:val="39"/>
    <w:rsid w:val="00537590"/>
    <w:pPr>
      <w:ind w:left="1600"/>
    </w:pPr>
    <w:rPr>
      <w:rFonts w:ascii="Times New Roman" w:hAnsi="Times New Roman"/>
      <w:sz w:val="18"/>
      <w:szCs w:val="18"/>
    </w:rPr>
  </w:style>
  <w:style w:type="character" w:styleId="Hipervnculo">
    <w:name w:val="Hyperlink"/>
    <w:basedOn w:val="Fuentedeprrafopredeter"/>
    <w:uiPriority w:val="99"/>
    <w:rsid w:val="00537590"/>
    <w:rPr>
      <w:rFonts w:cs="Times New Roman"/>
      <w:color w:val="0000FF"/>
      <w:u w:val="single"/>
    </w:rPr>
  </w:style>
  <w:style w:type="paragraph" w:styleId="HTMLconformatoprevio">
    <w:name w:val="HTML Preformatted"/>
    <w:basedOn w:val="Normal"/>
    <w:link w:val="HTMLconformatoprevioCar"/>
    <w:uiPriority w:val="99"/>
    <w:rsid w:val="00537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Courier New"/>
      <w:lang w:val="es-ES"/>
    </w:rPr>
  </w:style>
  <w:style w:type="character" w:customStyle="1" w:styleId="HTMLconformatoprevioCar">
    <w:name w:val="HTML con formato previo Car"/>
    <w:basedOn w:val="Fuentedeprrafopredeter"/>
    <w:link w:val="HTMLconformatoprevio"/>
    <w:uiPriority w:val="99"/>
    <w:semiHidden/>
    <w:locked/>
    <w:rsid w:val="00537590"/>
    <w:rPr>
      <w:rFonts w:ascii="Courier New" w:hAnsi="Courier New" w:cs="Courier New"/>
      <w:lang w:val="es-ES_tradnl"/>
    </w:rPr>
  </w:style>
  <w:style w:type="paragraph" w:styleId="Sangradetextonormal">
    <w:name w:val="Body Text Indent"/>
    <w:basedOn w:val="Normal"/>
    <w:link w:val="SangradetextonormalCar"/>
    <w:uiPriority w:val="99"/>
    <w:rsid w:val="00537590"/>
    <w:pPr>
      <w:ind w:left="360"/>
    </w:pPr>
    <w:rPr>
      <w:rFonts w:cs="Arial"/>
    </w:rPr>
  </w:style>
  <w:style w:type="character" w:customStyle="1" w:styleId="SangradetextonormalCar">
    <w:name w:val="Sangría de texto normal Car"/>
    <w:basedOn w:val="Fuentedeprrafopredeter"/>
    <w:link w:val="Sangradetextonormal"/>
    <w:uiPriority w:val="99"/>
    <w:locked/>
    <w:rsid w:val="00537590"/>
    <w:rPr>
      <w:rFonts w:ascii="Arial" w:hAnsi="Arial" w:cs="Times New Roman"/>
      <w:lang w:val="es-ES_tradnl"/>
    </w:rPr>
  </w:style>
  <w:style w:type="paragraph" w:styleId="Sangra2detindependiente">
    <w:name w:val="Body Text Indent 2"/>
    <w:basedOn w:val="Normal"/>
    <w:link w:val="Sangra2detindependienteCar"/>
    <w:uiPriority w:val="99"/>
    <w:rsid w:val="00537590"/>
    <w:pPr>
      <w:ind w:left="360"/>
      <w:jc w:val="both"/>
    </w:pPr>
  </w:style>
  <w:style w:type="character" w:customStyle="1" w:styleId="Sangra2detindependienteCar">
    <w:name w:val="Sangría 2 de t. independiente Car"/>
    <w:basedOn w:val="Fuentedeprrafopredeter"/>
    <w:link w:val="Sangra2detindependiente"/>
    <w:uiPriority w:val="99"/>
    <w:semiHidden/>
    <w:locked/>
    <w:rsid w:val="00537590"/>
    <w:rPr>
      <w:rFonts w:ascii="Arial" w:hAnsi="Arial" w:cs="Times New Roman"/>
      <w:lang w:val="es-ES_tradnl"/>
    </w:rPr>
  </w:style>
  <w:style w:type="paragraph" w:styleId="Textodebloque">
    <w:name w:val="Block Text"/>
    <w:basedOn w:val="Normal"/>
    <w:uiPriority w:val="99"/>
    <w:rsid w:val="00537590"/>
    <w:pPr>
      <w:ind w:left="567" w:right="-1"/>
      <w:jc w:val="both"/>
    </w:pPr>
    <w:rPr>
      <w:rFonts w:cs="Arial"/>
    </w:rPr>
  </w:style>
  <w:style w:type="character" w:styleId="Nmerodepgina">
    <w:name w:val="page number"/>
    <w:basedOn w:val="Fuentedeprrafopredeter"/>
    <w:uiPriority w:val="99"/>
    <w:rsid w:val="00537590"/>
    <w:rPr>
      <w:rFonts w:cs="Times New Roman"/>
    </w:rPr>
  </w:style>
  <w:style w:type="paragraph" w:customStyle="1" w:styleId="enumlev1">
    <w:name w:val="enumlev1"/>
    <w:basedOn w:val="Normal"/>
    <w:uiPriority w:val="99"/>
    <w:rsid w:val="00537590"/>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5375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jc w:val="both"/>
    </w:pPr>
  </w:style>
  <w:style w:type="paragraph" w:customStyle="1" w:styleId="TableHead">
    <w:name w:val="Table_Head"/>
    <w:basedOn w:val="TableText"/>
    <w:uiPriority w:val="99"/>
    <w:rsid w:val="00537590"/>
    <w:pPr>
      <w:spacing w:before="113" w:after="113"/>
      <w:jc w:val="center"/>
    </w:pPr>
  </w:style>
  <w:style w:type="character" w:styleId="Hipervnculovisitado">
    <w:name w:val="FollowedHyperlink"/>
    <w:basedOn w:val="Fuentedeprrafopredeter"/>
    <w:uiPriority w:val="99"/>
    <w:rsid w:val="00537590"/>
    <w:rPr>
      <w:rFonts w:cs="Times New Roman"/>
      <w:color w:val="800080"/>
      <w:u w:val="single"/>
    </w:rPr>
  </w:style>
  <w:style w:type="paragraph" w:customStyle="1" w:styleId="Rec">
    <w:name w:val="Rec_#"/>
    <w:basedOn w:val="Normal"/>
    <w:next w:val="Normal"/>
    <w:uiPriority w:val="99"/>
    <w:rsid w:val="00537590"/>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uiPriority w:val="99"/>
    <w:rsid w:val="00537590"/>
    <w:pPr>
      <w:jc w:val="both"/>
    </w:pPr>
    <w:rPr>
      <w:color w:val="FF0000"/>
      <w:lang w:val="es-MX"/>
    </w:rPr>
  </w:style>
  <w:style w:type="character" w:customStyle="1" w:styleId="Textoindependiente2Car">
    <w:name w:val="Texto independiente 2 Car"/>
    <w:basedOn w:val="Fuentedeprrafopredeter"/>
    <w:link w:val="Textoindependiente2"/>
    <w:uiPriority w:val="99"/>
    <w:semiHidden/>
    <w:locked/>
    <w:rsid w:val="00537590"/>
    <w:rPr>
      <w:rFonts w:ascii="Arial" w:hAnsi="Arial" w:cs="Times New Roman"/>
      <w:lang w:val="es-ES_tradnl"/>
    </w:rPr>
  </w:style>
  <w:style w:type="paragraph" w:styleId="Textosinformato">
    <w:name w:val="Plain Text"/>
    <w:basedOn w:val="Normal"/>
    <w:link w:val="TextosinformatoCar"/>
    <w:uiPriority w:val="99"/>
    <w:rsid w:val="00537590"/>
    <w:rPr>
      <w:rFonts w:ascii="Courier New" w:hAnsi="Courier New"/>
      <w:lang w:val="es-MX"/>
    </w:rPr>
  </w:style>
  <w:style w:type="character" w:customStyle="1" w:styleId="TextosinformatoCar">
    <w:name w:val="Texto sin formato Car"/>
    <w:basedOn w:val="Fuentedeprrafopredeter"/>
    <w:link w:val="Textosinformato"/>
    <w:uiPriority w:val="99"/>
    <w:semiHidden/>
    <w:locked/>
    <w:rsid w:val="00537590"/>
    <w:rPr>
      <w:rFonts w:ascii="Courier New" w:hAnsi="Courier New" w:cs="Courier New"/>
      <w:lang w:val="es-ES_tradnl"/>
    </w:rPr>
  </w:style>
  <w:style w:type="paragraph" w:styleId="Textoindependiente3">
    <w:name w:val="Body Text 3"/>
    <w:basedOn w:val="Normal"/>
    <w:link w:val="Textoindependiente3Car"/>
    <w:uiPriority w:val="99"/>
    <w:rsid w:val="00537590"/>
    <w:pPr>
      <w:jc w:val="both"/>
    </w:pPr>
    <w:rPr>
      <w:color w:val="FF0000"/>
    </w:rPr>
  </w:style>
  <w:style w:type="character" w:customStyle="1" w:styleId="Textoindependiente3Car">
    <w:name w:val="Texto independiente 3 Car"/>
    <w:basedOn w:val="Fuentedeprrafopredeter"/>
    <w:link w:val="Textoindependiente3"/>
    <w:uiPriority w:val="99"/>
    <w:locked/>
    <w:rsid w:val="00537590"/>
    <w:rPr>
      <w:rFonts w:ascii="Arial" w:hAnsi="Arial" w:cs="Times New Roman"/>
      <w:sz w:val="16"/>
      <w:szCs w:val="16"/>
      <w:lang w:val="es-ES_tradnl"/>
    </w:rPr>
  </w:style>
  <w:style w:type="paragraph" w:customStyle="1" w:styleId="RecTitle">
    <w:name w:val="Rec_Title"/>
    <w:basedOn w:val="Rec"/>
    <w:next w:val="Normal"/>
    <w:uiPriority w:val="99"/>
    <w:rsid w:val="00537590"/>
    <w:pPr>
      <w:spacing w:before="180"/>
    </w:pPr>
    <w:rPr>
      <w:b/>
    </w:rPr>
  </w:style>
  <w:style w:type="paragraph" w:styleId="Sangra3detindependiente">
    <w:name w:val="Body Text Indent 3"/>
    <w:basedOn w:val="Normal"/>
    <w:link w:val="Sangra3detindependienteCar"/>
    <w:uiPriority w:val="99"/>
    <w:rsid w:val="00537590"/>
    <w:pPr>
      <w:ind w:left="708"/>
      <w:jc w:val="both"/>
    </w:pPr>
  </w:style>
  <w:style w:type="character" w:customStyle="1" w:styleId="Sangra3detindependienteCar">
    <w:name w:val="Sangría 3 de t. independiente Car"/>
    <w:basedOn w:val="Fuentedeprrafopredeter"/>
    <w:link w:val="Sangra3detindependiente"/>
    <w:uiPriority w:val="99"/>
    <w:semiHidden/>
    <w:locked/>
    <w:rsid w:val="00537590"/>
    <w:rPr>
      <w:rFonts w:ascii="Arial" w:hAnsi="Arial" w:cs="Times New Roman"/>
      <w:sz w:val="16"/>
      <w:szCs w:val="16"/>
      <w:lang w:val="es-ES_tradnl"/>
    </w:rPr>
  </w:style>
  <w:style w:type="character" w:styleId="Refdecomentario">
    <w:name w:val="annotation reference"/>
    <w:basedOn w:val="Fuentedeprrafopredeter"/>
    <w:uiPriority w:val="99"/>
    <w:rsid w:val="00537590"/>
    <w:rPr>
      <w:rFonts w:cs="Times New Roman"/>
      <w:sz w:val="16"/>
    </w:rPr>
  </w:style>
  <w:style w:type="character" w:styleId="AcrnimoHTML">
    <w:name w:val="HTML Acronym"/>
    <w:basedOn w:val="Fuentedeprrafopredeter"/>
    <w:uiPriority w:val="99"/>
    <w:rsid w:val="00537590"/>
    <w:rPr>
      <w:rFonts w:cs="Times New Roman"/>
    </w:rPr>
  </w:style>
  <w:style w:type="paragraph" w:customStyle="1" w:styleId="NormalBulletLevel2">
    <w:name w:val="Normal Bullet Level 2"/>
    <w:basedOn w:val="Normal"/>
    <w:next w:val="Normal"/>
    <w:uiPriority w:val="99"/>
    <w:rsid w:val="00537590"/>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537590"/>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537590"/>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537590"/>
    <w:pPr>
      <w:tabs>
        <w:tab w:val="num" w:pos="0"/>
      </w:tabs>
      <w:ind w:hanging="792"/>
      <w:jc w:val="left"/>
    </w:pPr>
    <w:rPr>
      <w:lang w:val="en-US"/>
    </w:rPr>
  </w:style>
  <w:style w:type="paragraph" w:customStyle="1" w:styleId="AppendixHeading3">
    <w:name w:val="Appendix Heading 3"/>
    <w:basedOn w:val="AppendixHeading2"/>
    <w:uiPriority w:val="99"/>
    <w:rsid w:val="00537590"/>
    <w:pPr>
      <w:tabs>
        <w:tab w:val="clear" w:pos="0"/>
        <w:tab w:val="num" w:pos="864"/>
        <w:tab w:val="num" w:pos="2880"/>
      </w:tabs>
      <w:ind w:left="864" w:hanging="360"/>
    </w:pPr>
    <w:rPr>
      <w:sz w:val="20"/>
    </w:rPr>
  </w:style>
  <w:style w:type="paragraph" w:customStyle="1" w:styleId="TableHeading">
    <w:name w:val="Table Heading"/>
    <w:basedOn w:val="Normal"/>
    <w:autoRedefine/>
    <w:uiPriority w:val="99"/>
    <w:rsid w:val="00537590"/>
    <w:pPr>
      <w:keepNext/>
      <w:spacing w:before="40" w:after="40"/>
    </w:pPr>
    <w:rPr>
      <w:rFonts w:cs="Arial"/>
      <w:b/>
      <w:bCs/>
      <w:sz w:val="18"/>
      <w:lang w:val="en-US" w:eastAsia="en-US"/>
    </w:rPr>
  </w:style>
  <w:style w:type="paragraph" w:styleId="Listaconvietas">
    <w:name w:val="List Bullet"/>
    <w:basedOn w:val="Normal"/>
    <w:autoRedefine/>
    <w:uiPriority w:val="99"/>
    <w:rsid w:val="00537590"/>
    <w:pPr>
      <w:tabs>
        <w:tab w:val="num" w:pos="360"/>
      </w:tabs>
      <w:ind w:left="360" w:hanging="360"/>
    </w:pPr>
    <w:rPr>
      <w:rFonts w:ascii="Times New Roman" w:hAnsi="Times New Roman"/>
    </w:rPr>
  </w:style>
  <w:style w:type="paragraph" w:styleId="Descripcin">
    <w:name w:val="caption"/>
    <w:aliases w:val="TF,cap"/>
    <w:basedOn w:val="Normal"/>
    <w:next w:val="Normal"/>
    <w:uiPriority w:val="99"/>
    <w:qFormat/>
    <w:rsid w:val="00537590"/>
    <w:pPr>
      <w:keepNext/>
      <w:spacing w:before="120" w:after="120"/>
    </w:pPr>
    <w:rPr>
      <w:b/>
      <w:bCs/>
      <w:lang w:val="en-US" w:eastAsia="en-US"/>
    </w:rPr>
  </w:style>
  <w:style w:type="paragraph" w:styleId="Asuntodelcomentario">
    <w:name w:val="annotation subject"/>
    <w:basedOn w:val="Textocomentario"/>
    <w:next w:val="Textocomentario"/>
    <w:link w:val="AsuntodelcomentarioCar"/>
    <w:uiPriority w:val="99"/>
    <w:rsid w:val="00537590"/>
    <w:pPr>
      <w:tabs>
        <w:tab w:val="clear" w:pos="794"/>
        <w:tab w:val="clear" w:pos="1191"/>
        <w:tab w:val="clear" w:pos="1588"/>
        <w:tab w:val="clear" w:pos="1985"/>
      </w:tabs>
      <w:spacing w:before="0"/>
      <w:jc w:val="left"/>
    </w:pPr>
    <w:rPr>
      <w:b/>
      <w:bCs/>
    </w:rPr>
  </w:style>
  <w:style w:type="character" w:customStyle="1" w:styleId="AsuntodelcomentarioCar">
    <w:name w:val="Asunto del comentario Car"/>
    <w:basedOn w:val="TextocomentarioCar"/>
    <w:link w:val="Asuntodelcomentario"/>
    <w:uiPriority w:val="99"/>
    <w:locked/>
    <w:rsid w:val="00537590"/>
    <w:rPr>
      <w:rFonts w:ascii="Arial" w:hAnsi="Arial" w:cs="Times New Roman"/>
      <w:b/>
      <w:bCs/>
      <w:lang w:val="es-ES_tradnl"/>
    </w:rPr>
  </w:style>
  <w:style w:type="paragraph" w:styleId="Textodeglobo">
    <w:name w:val="Balloon Text"/>
    <w:basedOn w:val="Normal"/>
    <w:link w:val="TextodegloboCar"/>
    <w:uiPriority w:val="99"/>
    <w:rsid w:val="00537590"/>
    <w:rPr>
      <w:rFonts w:ascii="Tahoma" w:hAnsi="Tahoma" w:cs="Tahoma"/>
      <w:sz w:val="16"/>
      <w:szCs w:val="16"/>
    </w:rPr>
  </w:style>
  <w:style w:type="character" w:customStyle="1" w:styleId="TextodegloboCar">
    <w:name w:val="Texto de globo Car"/>
    <w:basedOn w:val="Fuentedeprrafopredeter"/>
    <w:link w:val="Textodeglobo"/>
    <w:uiPriority w:val="99"/>
    <w:locked/>
    <w:rsid w:val="00537590"/>
    <w:rPr>
      <w:rFonts w:ascii="Tahoma" w:hAnsi="Tahoma" w:cs="Tahoma"/>
      <w:sz w:val="16"/>
      <w:szCs w:val="16"/>
      <w:lang w:val="es-ES_tradnl"/>
    </w:rPr>
  </w:style>
  <w:style w:type="paragraph" w:customStyle="1" w:styleId="headingi">
    <w:name w:val="heading_i"/>
    <w:basedOn w:val="Ttulo3"/>
    <w:next w:val="Normal"/>
    <w:uiPriority w:val="99"/>
    <w:rsid w:val="00537590"/>
    <w:pPr>
      <w:keepLines/>
      <w:tabs>
        <w:tab w:val="left" w:pos="794"/>
        <w:tab w:val="left" w:pos="2127"/>
        <w:tab w:val="left" w:pos="2410"/>
        <w:tab w:val="left" w:pos="2921"/>
        <w:tab w:val="left" w:pos="3261"/>
      </w:tabs>
      <w:overflowPunct w:val="0"/>
      <w:autoSpaceDE w:val="0"/>
      <w:autoSpaceDN w:val="0"/>
      <w:adjustRightInd w:val="0"/>
      <w:spacing w:before="160" w:after="0"/>
      <w:textAlignment w:val="baseline"/>
      <w:outlineLvl w:val="9"/>
    </w:pPr>
    <w:rPr>
      <w:iCs/>
      <w:color w:val="000000"/>
      <w:lang w:val="es-ES"/>
    </w:rPr>
  </w:style>
  <w:style w:type="paragraph" w:customStyle="1" w:styleId="TH">
    <w:name w:val="TH"/>
    <w:basedOn w:val="Normal"/>
    <w:uiPriority w:val="99"/>
    <w:rsid w:val="00537590"/>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uiPriority w:val="39"/>
    <w:rsid w:val="00A95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rFonts w:asciiTheme="minorHAnsi" w:hAnsiTheme="minorHAnsi"/>
      <w:b/>
      <w:bCs/>
      <w:sz w:val="20"/>
      <w:lang w:val="es-ES_tradnl"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jc w:val="both"/>
    </w:pPr>
    <w:rPr>
      <w:lang w:val="es-MX" w:eastAsia="en-US"/>
    </w:rPr>
  </w:style>
  <w:style w:type="character" w:customStyle="1" w:styleId="st1">
    <w:name w:val="st1"/>
    <w:basedOn w:val="Fuentedeprrafopredeter"/>
    <w:uiPriority w:val="99"/>
    <w:rsid w:val="00857C97"/>
    <w:rPr>
      <w:rFonts w:cs="Times New Roman"/>
    </w:rPr>
  </w:style>
  <w:style w:type="paragraph" w:customStyle="1" w:styleId="ARequeridoR">
    <w:name w:val="A Requerido (R)"/>
    <w:basedOn w:val="Normal"/>
    <w:next w:val="Normal"/>
    <w:uiPriority w:val="99"/>
    <w:rsid w:val="00BF609B"/>
    <w:pPr>
      <w:keepLines/>
      <w:numPr>
        <w:numId w:val="5"/>
      </w:numPr>
      <w:tabs>
        <w:tab w:val="left" w:pos="794"/>
        <w:tab w:val="left" w:pos="1191"/>
        <w:tab w:val="left" w:pos="1588"/>
        <w:tab w:val="left" w:pos="1985"/>
      </w:tabs>
      <w:spacing w:before="136"/>
      <w:jc w:val="both"/>
    </w:pPr>
    <w:rPr>
      <w:lang w:val="es-MX" w:eastAsia="en-US"/>
    </w:rPr>
  </w:style>
  <w:style w:type="paragraph" w:styleId="Ttulo">
    <w:name w:val="Title"/>
    <w:basedOn w:val="Normal"/>
    <w:link w:val="TtuloCar"/>
    <w:uiPriority w:val="99"/>
    <w:qFormat/>
    <w:rsid w:val="009C4526"/>
    <w:pPr>
      <w:spacing w:before="240" w:after="60"/>
      <w:jc w:val="center"/>
      <w:outlineLvl w:val="0"/>
    </w:pPr>
    <w:rPr>
      <w:b/>
      <w:kern w:val="28"/>
      <w:sz w:val="32"/>
    </w:rPr>
  </w:style>
  <w:style w:type="character" w:customStyle="1" w:styleId="TtuloCar">
    <w:name w:val="Título Car"/>
    <w:basedOn w:val="Fuentedeprrafopredeter"/>
    <w:link w:val="Ttulo"/>
    <w:uiPriority w:val="99"/>
    <w:locked/>
    <w:rsid w:val="00537590"/>
    <w:rPr>
      <w:rFonts w:ascii="Cambria" w:hAnsi="Cambria" w:cs="Times New Roman"/>
      <w:b/>
      <w:bCs/>
      <w:kern w:val="28"/>
      <w:sz w:val="32"/>
      <w:szCs w:val="32"/>
      <w:lang w:val="es-ES_tradnl"/>
    </w:rPr>
  </w:style>
  <w:style w:type="paragraph" w:customStyle="1" w:styleId="Arial14Bold">
    <w:name w:val="Arial14Bold"/>
    <w:basedOn w:val="Normal"/>
    <w:uiPriority w:val="99"/>
    <w:rsid w:val="009C4526"/>
    <w:pPr>
      <w:jc w:val="both"/>
    </w:pPr>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jc w:val="both"/>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after="12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jc w:val="both"/>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lang w:val="en-US"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uiPriority w:val="99"/>
    <w:semiHidden/>
    <w:rsid w:val="009C4526"/>
    <w:pPr>
      <w:shd w:val="clear" w:color="auto" w:fill="000080"/>
    </w:pPr>
    <w:rPr>
      <w:rFonts w:ascii="Tahoma" w:hAnsi="Tahoma"/>
      <w:lang w:val="es-ES"/>
    </w:rPr>
  </w:style>
  <w:style w:type="character" w:customStyle="1" w:styleId="MapadeldocumentoCar">
    <w:name w:val="Mapa del documento Car"/>
    <w:basedOn w:val="Fuentedeprrafopredeter"/>
    <w:link w:val="Mapadeldocumento"/>
    <w:uiPriority w:val="99"/>
    <w:semiHidden/>
    <w:locked/>
    <w:rsid w:val="00537590"/>
    <w:rPr>
      <w:rFonts w:ascii="Tahoma" w:hAnsi="Tahoma" w:cs="Tahoma"/>
      <w:sz w:val="16"/>
      <w:szCs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basedOn w:val="Fuentedeprrafopredeter"/>
    <w:uiPriority w:val="99"/>
    <w:qFormat/>
    <w:rsid w:val="009C4526"/>
    <w:rPr>
      <w:rFonts w:cs="Times New Roman"/>
      <w:b/>
      <w:bCs/>
    </w:rPr>
  </w:style>
  <w:style w:type="character" w:customStyle="1" w:styleId="a1">
    <w:name w:val="a1"/>
    <w:basedOn w:val="Fuentedeprrafopredeter"/>
    <w:uiPriority w:val="99"/>
    <w:rsid w:val="009C4526"/>
    <w:rPr>
      <w:rFonts w:cs="Times New Roman"/>
      <w:bdr w:val="none" w:sz="0" w:space="0" w:color="auto" w:frame="1"/>
    </w:rPr>
  </w:style>
  <w:style w:type="character" w:customStyle="1" w:styleId="l15">
    <w:name w:val="l15"/>
    <w:basedOn w:val="Fuentedeprrafopredeter"/>
    <w:uiPriority w:val="99"/>
    <w:rsid w:val="009C4526"/>
    <w:rPr>
      <w:rFonts w:cs="Times New Roman"/>
      <w:bdr w:val="none" w:sz="0" w:space="0" w:color="auto" w:frame="1"/>
    </w:rPr>
  </w:style>
  <w:style w:type="character" w:customStyle="1" w:styleId="l82">
    <w:name w:val="l82"/>
    <w:basedOn w:val="Fuentedeprrafopredeter"/>
    <w:uiPriority w:val="99"/>
    <w:rsid w:val="009C4526"/>
    <w:rPr>
      <w:rFonts w:cs="Times New Roman"/>
      <w:bdr w:val="none" w:sz="0" w:space="0" w:color="auto" w:frame="1"/>
    </w:rPr>
  </w:style>
  <w:style w:type="character" w:customStyle="1" w:styleId="l62">
    <w:name w:val="l62"/>
    <w:basedOn w:val="Fuentedeprrafopredeter"/>
    <w:uiPriority w:val="99"/>
    <w:rsid w:val="009C4526"/>
    <w:rPr>
      <w:rFonts w:cs="Times New Roman"/>
      <w:bdr w:val="none" w:sz="0" w:space="0" w:color="auto" w:frame="1"/>
    </w:rPr>
  </w:style>
  <w:style w:type="character" w:customStyle="1" w:styleId="l122">
    <w:name w:val="l122"/>
    <w:basedOn w:val="Fuentedeprrafopredeter"/>
    <w:uiPriority w:val="99"/>
    <w:rsid w:val="009C4526"/>
    <w:rPr>
      <w:rFonts w:cs="Times New Roman"/>
      <w:bdr w:val="none" w:sz="0" w:space="0" w:color="auto" w:frame="1"/>
    </w:rPr>
  </w:style>
  <w:style w:type="character" w:customStyle="1" w:styleId="l102">
    <w:name w:val="l102"/>
    <w:basedOn w:val="Fuentedeprrafopredeter"/>
    <w:uiPriority w:val="99"/>
    <w:rsid w:val="009C4526"/>
    <w:rPr>
      <w:rFonts w:cs="Times New Roman"/>
      <w:bdr w:val="none" w:sz="0" w:space="0" w:color="auto" w:frame="1"/>
    </w:rPr>
  </w:style>
  <w:style w:type="character" w:customStyle="1" w:styleId="l72">
    <w:name w:val="l72"/>
    <w:basedOn w:val="Fuentedeprrafopredeter"/>
    <w:uiPriority w:val="99"/>
    <w:rsid w:val="009C4526"/>
    <w:rPr>
      <w:rFonts w:cs="Times New Roman"/>
      <w:bdr w:val="none" w:sz="0" w:space="0" w:color="auto" w:frame="1"/>
    </w:rPr>
  </w:style>
  <w:style w:type="character" w:customStyle="1" w:styleId="l92">
    <w:name w:val="l92"/>
    <w:basedOn w:val="Fuentedeprrafopredeter"/>
    <w:uiPriority w:val="99"/>
    <w:rsid w:val="009C4526"/>
    <w:rPr>
      <w:rFonts w:cs="Times New Roman"/>
      <w:bdr w:val="none" w:sz="0" w:space="0" w:color="auto" w:frame="1"/>
    </w:rPr>
  </w:style>
  <w:style w:type="character" w:customStyle="1" w:styleId="caps2">
    <w:name w:val="caps2"/>
    <w:basedOn w:val="Fuentedeprrafopredeter"/>
    <w:uiPriority w:val="99"/>
    <w:rsid w:val="009C4526"/>
    <w:rPr>
      <w:rFonts w:cs="Times New Roman"/>
    </w:rPr>
  </w:style>
  <w:style w:type="paragraph" w:styleId="Prrafodelista">
    <w:name w:val="List Paragraph"/>
    <w:aliases w:val="prueba1,List Paragraph"/>
    <w:basedOn w:val="Normal"/>
    <w:link w:val="PrrafodelistaCar"/>
    <w:qFormat/>
    <w:rsid w:val="00A16E3A"/>
    <w:pPr>
      <w:ind w:left="708"/>
    </w:pPr>
  </w:style>
  <w:style w:type="paragraph" w:customStyle="1" w:styleId="DIDCAP">
    <w:name w:val="DID CAP"/>
    <w:basedOn w:val="Normal"/>
    <w:link w:val="DIDCAPCar"/>
    <w:rsid w:val="002558C6"/>
    <w:pPr>
      <w:jc w:val="both"/>
    </w:pPr>
    <w:rPr>
      <w:b/>
      <w:sz w:val="32"/>
    </w:rPr>
  </w:style>
  <w:style w:type="character" w:customStyle="1" w:styleId="DIDCAPCar">
    <w:name w:val="DID CAP Car"/>
    <w:basedOn w:val="Fuentedeprrafopredeter"/>
    <w:link w:val="DIDCAP"/>
    <w:locked/>
    <w:rsid w:val="002558C6"/>
    <w:rPr>
      <w:rFonts w:ascii="Arial" w:hAnsi="Arial" w:cs="Times New Roman"/>
      <w:b/>
      <w:sz w:val="32"/>
      <w:lang w:bidi="ar-SA"/>
    </w:rPr>
  </w:style>
  <w:style w:type="paragraph" w:customStyle="1" w:styleId="Texto1">
    <w:name w:val="Texto 1"/>
    <w:basedOn w:val="Normal"/>
    <w:uiPriority w:val="99"/>
    <w:rsid w:val="002558C6"/>
    <w:pPr>
      <w:ind w:left="352"/>
      <w:jc w:val="both"/>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basedOn w:val="Fuentedeprrafopredeter"/>
    <w:uiPriority w:val="99"/>
    <w:semiHidden/>
    <w:rsid w:val="005A720E"/>
    <w:rPr>
      <w:rFonts w:ascii="Calibri" w:hAnsi="Calibri" w:cs="Times New Roman"/>
      <w:b/>
      <w:bCs/>
      <w:i/>
      <w:iCs/>
      <w:sz w:val="26"/>
      <w:szCs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basedOn w:val="Fuentedeprrafopredeter"/>
    <w:uiPriority w:val="99"/>
    <w:locked/>
    <w:rsid w:val="005A720E"/>
    <w:rPr>
      <w:rFonts w:ascii="Arial" w:hAnsi="Arial" w:cs="Times New Roman"/>
      <w:b/>
      <w:sz w:val="20"/>
      <w:szCs w:val="20"/>
      <w:lang w:val="es-MX" w:eastAsia="es-ES"/>
    </w:rPr>
  </w:style>
  <w:style w:type="character" w:customStyle="1" w:styleId="ttCar">
    <w:name w:val="tt Car"/>
    <w:aliases w:val="h9 Car,Appendix2 Car,Appendix21 Car,table title Car Car"/>
    <w:basedOn w:val="Fuentedeprrafopredeter"/>
    <w:uiPriority w:val="99"/>
    <w:locked/>
    <w:rsid w:val="005A720E"/>
    <w:rPr>
      <w:rFonts w:ascii="Arial" w:hAnsi="Arial" w:cs="Times New Roman"/>
      <w:b/>
      <w:i/>
      <w:sz w:val="20"/>
      <w:szCs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basedOn w:val="Fuentedeprrafopredeter"/>
    <w:uiPriority w:val="99"/>
    <w:semiHidden/>
    <w:locked/>
    <w:rsid w:val="005A720E"/>
    <w:rPr>
      <w:rFonts w:ascii="Calibri" w:hAnsi="Calibri" w:cs="Times New Roman"/>
      <w:b/>
      <w:bCs/>
      <w:i/>
      <w:iCs/>
      <w:sz w:val="26"/>
      <w:szCs w:val="26"/>
      <w:lang w:val="es-MX"/>
    </w:rPr>
  </w:style>
  <w:style w:type="paragraph" w:customStyle="1" w:styleId="Cabeceraypie">
    <w:name w:val="Cabecera y pie"/>
    <w:uiPriority w:val="99"/>
    <w:rsid w:val="005A720E"/>
    <w:pPr>
      <w:tabs>
        <w:tab w:val="right" w:pos="9632"/>
      </w:tabs>
    </w:pPr>
    <w:rPr>
      <w:rFonts w:ascii="Helvetica" w:hAnsi="Helvetica"/>
      <w:color w:val="000000"/>
      <w:lang w:val="es-ES_tradnl"/>
    </w:rPr>
  </w:style>
  <w:style w:type="paragraph" w:customStyle="1" w:styleId="Formatolibre">
    <w:name w:val="Formato libre"/>
    <w:rsid w:val="005A720E"/>
    <w:rPr>
      <w:rFonts w:ascii="Helvetica" w:hAnsi="Helvetica"/>
      <w:color w:val="000000"/>
      <w:lang w:val="es-ES_tradnl"/>
    </w:rPr>
  </w:style>
  <w:style w:type="paragraph" w:customStyle="1" w:styleId="Encabezamiento2">
    <w:name w:val="Encabezamiento 2"/>
    <w:next w:val="Cuerpo"/>
    <w:uiPriority w:val="99"/>
    <w:rsid w:val="005A720E"/>
    <w:pPr>
      <w:keepNext/>
      <w:outlineLvl w:val="1"/>
    </w:pPr>
    <w:rPr>
      <w:rFonts w:ascii="Helvetica" w:hAnsi="Helvetica"/>
      <w:b/>
      <w:color w:val="000000"/>
      <w:lang w:val="es-ES_tradnl"/>
    </w:rPr>
  </w:style>
  <w:style w:type="paragraph" w:customStyle="1" w:styleId="Cuerpo">
    <w:name w:val="Cuerpo"/>
    <w:uiPriority w:val="99"/>
    <w:rsid w:val="005A720E"/>
    <w:rPr>
      <w:rFonts w:ascii="Helvetica" w:hAnsi="Helvetica"/>
      <w:color w:val="000000"/>
      <w:lang w:val="es-ES_tradnl"/>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rsid w:val="005A720E"/>
    <w:rPr>
      <w:color w:val="000000"/>
      <w:lang w:val="es-ES" w:eastAsia="es-ES"/>
    </w:rPr>
  </w:style>
  <w:style w:type="paragraph" w:customStyle="1" w:styleId="Text">
    <w:name w:val="Text"/>
    <w:aliases w:val="t"/>
    <w:basedOn w:val="Normal"/>
    <w:uiPriority w:val="99"/>
    <w:rsid w:val="005A720E"/>
    <w:pPr>
      <w:widowControl w:val="0"/>
      <w:spacing w:before="60" w:after="60" w:line="360" w:lineRule="auto"/>
      <w:jc w:val="both"/>
    </w:pPr>
    <w:rPr>
      <w:sz w:val="22"/>
      <w:lang w:val="en-US" w:eastAsia="de-DE"/>
    </w:rPr>
  </w:style>
  <w:style w:type="paragraph" w:styleId="Firmadecorreoelectrnico">
    <w:name w:val="E-mail Signature"/>
    <w:basedOn w:val="Normal"/>
    <w:link w:val="FirmadecorreoelectrnicoCar"/>
    <w:uiPriority w:val="99"/>
    <w:rsid w:val="005A720E"/>
    <w:pPr>
      <w:jc w:val="both"/>
    </w:pPr>
    <w:rPr>
      <w:lang w:val="es-MX"/>
    </w:rPr>
  </w:style>
  <w:style w:type="character" w:customStyle="1" w:styleId="FirmadecorreoelectrnicoCar">
    <w:name w:val="Firma de correo electrónico Car"/>
    <w:basedOn w:val="Fuentedeprrafopredeter"/>
    <w:link w:val="Firmadecorreoelectrnico"/>
    <w:uiPriority w:val="99"/>
    <w:semiHidden/>
    <w:locked/>
    <w:rsid w:val="00236D27"/>
    <w:rPr>
      <w:rFonts w:ascii="Arial" w:hAnsi="Arial" w:cs="Times New Roman"/>
      <w:sz w:val="20"/>
      <w:szCs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jc w:val="both"/>
    </w:pPr>
    <w:rPr>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suppressAutoHyphens/>
      <w:jc w:val="both"/>
    </w:pPr>
    <w:rPr>
      <w:rFonts w:cs="Arial Unicode MS"/>
      <w:lang w:val="es-MX" w:eastAsia="ar-SA"/>
    </w:rPr>
  </w:style>
  <w:style w:type="paragraph" w:customStyle="1" w:styleId="font5">
    <w:name w:val="font5"/>
    <w:basedOn w:val="Normal"/>
    <w:uiPriority w:val="99"/>
    <w:rsid w:val="005A720E"/>
    <w:pPr>
      <w:spacing w:before="100" w:after="100"/>
    </w:pPr>
    <w:rPr>
      <w:rFonts w:ascii="Tahoma" w:hAnsi="Tahoma"/>
      <w:sz w:val="18"/>
      <w:lang w:val="es-MX"/>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10"/>
      </w:numPr>
      <w:tabs>
        <w:tab w:val="clear" w:pos="1440"/>
        <w:tab w:val="num" w:pos="708"/>
      </w:tabs>
      <w:spacing w:after="120"/>
      <w:ind w:left="708" w:hanging="708"/>
      <w:jc w:val="both"/>
    </w:pPr>
    <w:rPr>
      <w:lang w:val="es-MX"/>
    </w:rPr>
  </w:style>
  <w:style w:type="paragraph" w:customStyle="1" w:styleId="Titulo30">
    <w:name w:val="Titulo 3"/>
    <w:basedOn w:val="Ttulo3"/>
    <w:next w:val="Normal"/>
    <w:uiPriority w:val="99"/>
    <w:rsid w:val="005A720E"/>
    <w:pPr>
      <w:keepNext w:val="0"/>
      <w:numPr>
        <w:numId w:val="8"/>
      </w:numPr>
      <w:tabs>
        <w:tab w:val="clear" w:pos="853"/>
        <w:tab w:val="num" w:pos="993"/>
      </w:tabs>
      <w:spacing w:before="0" w:after="0"/>
      <w:ind w:left="851" w:hanging="567"/>
    </w:pPr>
    <w:rPr>
      <w:rFonts w:cs="Arial"/>
      <w:b w:val="0"/>
      <w:i w:val="0"/>
      <w:sz w:val="22"/>
      <w:szCs w:val="22"/>
    </w:rPr>
  </w:style>
  <w:style w:type="paragraph" w:customStyle="1" w:styleId="Titulo20">
    <w:name w:val="Titulo 2"/>
    <w:basedOn w:val="Ttulo2"/>
    <w:next w:val="Normal"/>
    <w:uiPriority w:val="99"/>
    <w:rsid w:val="005A720E"/>
    <w:pPr>
      <w:keepNext w:val="0"/>
      <w:numPr>
        <w:numId w:val="11"/>
      </w:numPr>
      <w:tabs>
        <w:tab w:val="clear" w:pos="720"/>
        <w:tab w:val="num" w:pos="567"/>
        <w:tab w:val="num" w:pos="853"/>
      </w:tabs>
      <w:spacing w:after="0"/>
      <w:ind w:left="567" w:hanging="567"/>
      <w:jc w:val="left"/>
    </w:pPr>
    <w:rPr>
      <w:b w:val="0"/>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2"/>
      </w:numPr>
      <w:tabs>
        <w:tab w:val="num" w:pos="993"/>
      </w:tabs>
    </w:pPr>
    <w:rPr>
      <w:bCs/>
    </w:rPr>
  </w:style>
  <w:style w:type="paragraph" w:customStyle="1" w:styleId="Titulo3">
    <w:name w:val="Titulo 3 ++"/>
    <w:basedOn w:val="Titulo30"/>
    <w:next w:val="Normal"/>
    <w:uiPriority w:val="99"/>
    <w:rsid w:val="005A720E"/>
    <w:pPr>
      <w:numPr>
        <w:numId w:val="13"/>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9"/>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4"/>
      </w:numPr>
      <w:tabs>
        <w:tab w:val="num" w:pos="853"/>
      </w:tabs>
      <w:spacing w:after="0"/>
      <w:ind w:left="700" w:hanging="340"/>
      <w:jc w:val="left"/>
    </w:pPr>
    <w:rPr>
      <w:b w:val="0"/>
    </w:rPr>
  </w:style>
  <w:style w:type="paragraph" w:customStyle="1" w:styleId="Titulo3-0">
    <w:name w:val="Titulo 3 +-"/>
    <w:basedOn w:val="Titulo32"/>
    <w:next w:val="Normal"/>
    <w:uiPriority w:val="99"/>
    <w:rsid w:val="005A720E"/>
    <w:pPr>
      <w:numPr>
        <w:numId w:val="15"/>
      </w:numPr>
      <w:tabs>
        <w:tab w:val="num" w:pos="993"/>
      </w:tabs>
      <w:ind w:left="851" w:hanging="567"/>
    </w:pPr>
    <w:rPr>
      <w:b w:val="0"/>
    </w:rPr>
  </w:style>
  <w:style w:type="paragraph" w:customStyle="1" w:styleId="Titulo3-">
    <w:name w:val="Titulo 3 +-+"/>
    <w:basedOn w:val="Titulo3-0"/>
    <w:next w:val="Normal"/>
    <w:uiPriority w:val="99"/>
    <w:rsid w:val="005A720E"/>
    <w:pPr>
      <w:numPr>
        <w:numId w:val="16"/>
      </w:numPr>
      <w:tabs>
        <w:tab w:val="num" w:pos="450"/>
      </w:tabs>
    </w:pPr>
    <w:rPr>
      <w:b/>
    </w:rPr>
  </w:style>
  <w:style w:type="paragraph" w:customStyle="1" w:styleId="Titulo3--">
    <w:name w:val="Titulo 3 +--"/>
    <w:basedOn w:val="Titulo3-"/>
    <w:next w:val="Normal"/>
    <w:uiPriority w:val="99"/>
    <w:rsid w:val="005A720E"/>
    <w:pPr>
      <w:numPr>
        <w:numId w:val="7"/>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1440"/>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jc w:val="both"/>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jc w:val="both"/>
      <w:textAlignment w:val="baseline"/>
    </w:pPr>
    <w:rPr>
      <w:rFonts w:cs="Arial"/>
      <w:lang w:val="es-MX"/>
    </w:rPr>
  </w:style>
  <w:style w:type="paragraph" w:styleId="Subttulo">
    <w:name w:val="Subtitle"/>
    <w:basedOn w:val="Normal"/>
    <w:link w:val="SubttuloCar"/>
    <w:uiPriority w:val="99"/>
    <w:qFormat/>
    <w:rsid w:val="005A720E"/>
    <w:pPr>
      <w:jc w:val="both"/>
    </w:pPr>
    <w:rPr>
      <w:b/>
      <w:lang w:val="es-MX"/>
    </w:rPr>
  </w:style>
  <w:style w:type="character" w:customStyle="1" w:styleId="SubttuloCar">
    <w:name w:val="Subtítulo Car"/>
    <w:basedOn w:val="Fuentedeprrafopredeter"/>
    <w:link w:val="Subttulo"/>
    <w:uiPriority w:val="99"/>
    <w:locked/>
    <w:rsid w:val="00236D27"/>
    <w:rPr>
      <w:rFonts w:ascii="Cambria" w:hAnsi="Cambria" w:cs="Times New Roman"/>
      <w:sz w:val="24"/>
      <w:szCs w:val="24"/>
      <w:lang w:val="es-ES_tradnl" w:eastAsia="es-ES"/>
    </w:rPr>
  </w:style>
  <w:style w:type="paragraph" w:customStyle="1" w:styleId="Listabcdoubleline">
    <w:name w:val="List abc double line"/>
    <w:uiPriority w:val="99"/>
    <w:rsid w:val="005A720E"/>
    <w:pPr>
      <w:spacing w:before="220"/>
      <w:ind w:left="2921" w:hanging="369"/>
    </w:pPr>
    <w:rPr>
      <w:sz w:val="22"/>
      <w:lang w:val="en-US" w:eastAsia="en-US"/>
    </w:rPr>
  </w:style>
  <w:style w:type="paragraph" w:customStyle="1" w:styleId="SP249902">
    <w:name w:val="SP249902"/>
    <w:basedOn w:val="Default"/>
    <w:next w:val="Default"/>
    <w:uiPriority w:val="99"/>
    <w:rsid w:val="005A720E"/>
    <w:pPr>
      <w:autoSpaceDE w:val="0"/>
      <w:autoSpaceDN w:val="0"/>
      <w:adjustRightInd w:val="0"/>
    </w:pPr>
    <w:rPr>
      <w:color w:val="auto"/>
      <w:sz w:val="20"/>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rPr>
  </w:style>
  <w:style w:type="character" w:customStyle="1" w:styleId="SC176133">
    <w:name w:val="SC176133"/>
    <w:uiPriority w:val="99"/>
    <w:rsid w:val="005A720E"/>
    <w:rPr>
      <w:rFonts w:ascii="Times New Roman" w:hAnsi="Times New Roman"/>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rPr>
  </w:style>
  <w:style w:type="paragraph" w:customStyle="1" w:styleId="Heading">
    <w:name w:val="Heading"/>
    <w:next w:val="Textoindependiente"/>
    <w:uiPriority w:val="99"/>
    <w:rsid w:val="005A720E"/>
    <w:pPr>
      <w:spacing w:before="240"/>
      <w:ind w:left="2552"/>
    </w:pPr>
    <w:rPr>
      <w:b/>
      <w:sz w:val="22"/>
      <w:u w:val="single"/>
      <w:lang w:val="en-GB" w:eastAsia="en-US"/>
    </w:rPr>
  </w:style>
  <w:style w:type="paragraph" w:customStyle="1" w:styleId="Listabcsingleline">
    <w:name w:val="List abc single line"/>
    <w:uiPriority w:val="99"/>
    <w:rsid w:val="005A720E"/>
    <w:pPr>
      <w:ind w:left="720" w:hanging="360"/>
    </w:pPr>
    <w:rPr>
      <w:sz w:val="22"/>
      <w:lang w:val="en-US" w:eastAsia="en-US"/>
    </w:rPr>
  </w:style>
  <w:style w:type="paragraph" w:customStyle="1" w:styleId="Listabcsinglelinewide">
    <w:name w:val="List abc single line (wide)"/>
    <w:uiPriority w:val="99"/>
    <w:rsid w:val="005A720E"/>
    <w:pPr>
      <w:ind w:left="720" w:hanging="360"/>
    </w:pPr>
    <w:rPr>
      <w:sz w:val="22"/>
      <w:lang w:val="en-US" w:eastAsia="en-US" w:bidi="ar-DZ"/>
    </w:rPr>
  </w:style>
  <w:style w:type="paragraph" w:customStyle="1" w:styleId="Listnumbersinglelinewide">
    <w:name w:val="List number single line (wide)"/>
    <w:uiPriority w:val="99"/>
    <w:rsid w:val="005A720E"/>
    <w:pPr>
      <w:ind w:left="720" w:hanging="360"/>
    </w:pPr>
    <w:rPr>
      <w:sz w:val="22"/>
      <w:lang w:val="en-US" w:eastAsia="en-US"/>
    </w:rPr>
  </w:style>
  <w:style w:type="paragraph" w:customStyle="1" w:styleId="Listabcdoublelinewide">
    <w:name w:val="List abc double line (wide)"/>
    <w:uiPriority w:val="99"/>
    <w:rsid w:val="005A720E"/>
    <w:pPr>
      <w:spacing w:before="220"/>
      <w:ind w:left="720" w:hanging="360"/>
    </w:pPr>
    <w:rPr>
      <w:sz w:val="22"/>
      <w:lang w:val="en-US" w:eastAsia="en-US"/>
    </w:rPr>
  </w:style>
  <w:style w:type="paragraph" w:customStyle="1" w:styleId="ListBulletwide">
    <w:name w:val="List Bullet (wide)"/>
    <w:uiPriority w:val="99"/>
    <w:rsid w:val="005A720E"/>
    <w:pPr>
      <w:ind w:left="360" w:hanging="360"/>
    </w:pPr>
    <w:rPr>
      <w:sz w:val="22"/>
      <w:lang w:val="en-US" w:eastAsia="en-US"/>
    </w:rPr>
  </w:style>
  <w:style w:type="paragraph" w:customStyle="1" w:styleId="TableStyle">
    <w:name w:val="TableStyle"/>
    <w:uiPriority w:val="99"/>
    <w:rsid w:val="005A720E"/>
    <w:pPr>
      <w:ind w:left="85"/>
    </w:pPr>
    <w:rPr>
      <w:noProof/>
      <w:sz w:val="22"/>
      <w:lang w:val="en-US" w:eastAsia="en-US"/>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uppressAutoHyphens/>
      <w:spacing w:before="60"/>
      <w:ind w:left="425"/>
      <w:jc w:val="left"/>
    </w:pPr>
    <w:rPr>
      <w:b w:val="0"/>
      <w:bCs w:val="0"/>
      <w:sz w:val="20"/>
    </w:r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uppressAutoHyphen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uppressAutoHyphen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uppressAutoHyphen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Courier New" w:hAnsi="Courier New"/>
      <w:lang w:val="sv-SE" w:eastAsia="en-US"/>
    </w:rPr>
  </w:style>
  <w:style w:type="paragraph" w:customStyle="1" w:styleId="Brdutanindrag">
    <w:name w:val="Bröd utan indrag"/>
    <w:basedOn w:val="Normal"/>
    <w:uiPriority w:val="99"/>
    <w:rsid w:val="005A720E"/>
    <w:pPr>
      <w:spacing w:line="260" w:lineRule="exact"/>
    </w:pPr>
    <w:rPr>
      <w:rFonts w:ascii="Courier New" w:hAnsi="Courier New"/>
      <w:kern w:val="18"/>
      <w:lang w:val="en-US" w:eastAsia="en-US"/>
    </w:rPr>
  </w:style>
  <w:style w:type="paragraph" w:customStyle="1" w:styleId="TableHeader">
    <w:name w:val="Table Header"/>
    <w:basedOn w:val="Normal"/>
    <w:autoRedefine/>
    <w:uiPriority w:val="99"/>
    <w:rsid w:val="005A720E"/>
    <w:pPr>
      <w:keepNext/>
      <w:spacing w:before="40" w:after="80"/>
      <w:jc w:val="both"/>
    </w:pPr>
    <w:rPr>
      <w:rFonts w:cs="Arial"/>
      <w:bCs/>
      <w:szCs w:val="30"/>
      <w:lang w:val="es-MX" w:eastAsia="en-US"/>
    </w:rPr>
  </w:style>
  <w:style w:type="paragraph" w:customStyle="1" w:styleId="Fig">
    <w:name w:val="Fig"/>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136"/>
      <w:jc w:val="center"/>
      <w:textAlignment w:val="baseline"/>
    </w:pPr>
    <w:rPr>
      <w:rFonts w:ascii="Times New Roman" w:hAnsi="Times New Roman"/>
      <w:lang w:val="en-US"/>
    </w:rPr>
  </w:style>
  <w:style w:type="paragraph" w:customStyle="1" w:styleId="Figure">
    <w:name w:val="Figure"/>
    <w:basedOn w:val="Normal"/>
    <w:autoRedefine/>
    <w:uiPriority w:val="99"/>
    <w:rsid w:val="005A720E"/>
    <w:pPr>
      <w:numPr>
        <w:numId w:val="17"/>
      </w:numPr>
      <w:tabs>
        <w:tab w:val="clear" w:pos="936"/>
      </w:tabs>
      <w:spacing w:before="40" w:after="200" w:line="288" w:lineRule="auto"/>
      <w:ind w:left="0" w:firstLine="0"/>
      <w:jc w:val="center"/>
    </w:pPr>
    <w:rPr>
      <w:rFonts w:cs="Arial"/>
      <w:b/>
      <w:bCs/>
      <w:szCs w:val="30"/>
      <w:lang w:val="es-MX" w:eastAsia="en-US"/>
    </w:rPr>
  </w:style>
  <w:style w:type="paragraph" w:customStyle="1" w:styleId="Bullets1">
    <w:name w:val="Bullets 1"/>
    <w:basedOn w:val="Normal"/>
    <w:uiPriority w:val="99"/>
    <w:rsid w:val="005A720E"/>
    <w:pPr>
      <w:tabs>
        <w:tab w:val="left" w:pos="1021"/>
      </w:tabs>
      <w:spacing w:after="20"/>
      <w:ind w:left="1080" w:hanging="360"/>
      <w:jc w:val="both"/>
    </w:pPr>
    <w:rPr>
      <w:lang w:val="es-MX"/>
    </w:rPr>
  </w:style>
  <w:style w:type="paragraph" w:customStyle="1" w:styleId="Listavistosa-nfasis11">
    <w:name w:val="Lista vistosa - Énfasis 11"/>
    <w:basedOn w:val="Normal"/>
    <w:uiPriority w:val="99"/>
    <w:rsid w:val="005A720E"/>
    <w:pPr>
      <w:ind w:left="708"/>
      <w:jc w:val="both"/>
    </w:pPr>
    <w:rPr>
      <w:lang w:val="es-MX"/>
    </w:rPr>
  </w:style>
  <w:style w:type="paragraph" w:customStyle="1" w:styleId="Texto2">
    <w:name w:val="Texto 2"/>
    <w:basedOn w:val="Normal"/>
    <w:uiPriority w:val="99"/>
    <w:rsid w:val="005A720E"/>
    <w:pPr>
      <w:ind w:left="454"/>
      <w:jc w:val="both"/>
    </w:pPr>
    <w:rPr>
      <w:lang w:val="es-MX"/>
    </w:rPr>
  </w:style>
  <w:style w:type="paragraph" w:customStyle="1" w:styleId="FIGURAS">
    <w:name w:val="FIGURAS"/>
    <w:basedOn w:val="Normal"/>
    <w:link w:val="FIGURASCar"/>
    <w:uiPriority w:val="99"/>
    <w:rsid w:val="005A720E"/>
    <w:pPr>
      <w:numPr>
        <w:numId w:val="18"/>
      </w:numPr>
      <w:ind w:left="0" w:firstLine="0"/>
      <w:jc w:val="center"/>
    </w:pPr>
    <w:rPr>
      <w:sz w:val="20"/>
      <w:lang w:val="es-ES"/>
    </w:rPr>
  </w:style>
  <w:style w:type="character" w:customStyle="1" w:styleId="FIGURASCar">
    <w:name w:val="FIGURAS Car"/>
    <w:link w:val="FIGURAS"/>
    <w:uiPriority w:val="99"/>
    <w:locked/>
    <w:rsid w:val="005A720E"/>
    <w:rPr>
      <w:rFonts w:asciiTheme="minorHAnsi" w:hAnsiTheme="minorHAnsi"/>
      <w:sz w:val="20"/>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pPr>
      <w:jc w:val="both"/>
    </w:pPr>
    <w:rPr>
      <w:b/>
      <w:sz w:val="32"/>
      <w:lang w:val="es-MX"/>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contextualSpacing/>
      <w:jc w:val="both"/>
    </w:pPr>
    <w:rPr>
      <w:lang w:val="es-MX"/>
    </w:rPr>
  </w:style>
  <w:style w:type="paragraph" w:customStyle="1" w:styleId="Listavistosa-nfasis12">
    <w:name w:val="Lista vistosa - Énfasis 12"/>
    <w:basedOn w:val="Normal"/>
    <w:uiPriority w:val="99"/>
    <w:rsid w:val="005A720E"/>
    <w:pPr>
      <w:ind w:left="708"/>
      <w:jc w:val="both"/>
    </w:pPr>
    <w:rPr>
      <w:lang w:val="es-MX"/>
    </w:rPr>
  </w:style>
  <w:style w:type="paragraph" w:styleId="ndice2">
    <w:name w:val="index 2"/>
    <w:basedOn w:val="Normal"/>
    <w:next w:val="Normal"/>
    <w:autoRedefine/>
    <w:uiPriority w:val="99"/>
    <w:rsid w:val="005A720E"/>
    <w:pPr>
      <w:ind w:left="480" w:hanging="240"/>
    </w:pPr>
    <w:rPr>
      <w:rFonts w:ascii="Calibri" w:hAnsi="Calibri"/>
      <w:lang w:val="es-MX"/>
    </w:rPr>
  </w:style>
  <w:style w:type="paragraph" w:customStyle="1" w:styleId="TITULOTELMEXSUBCAPITULOS">
    <w:name w:val="TITULO TELMEX SUBCAPITULOS"/>
    <w:basedOn w:val="Normal"/>
    <w:link w:val="TITULOTELMEXSUBCAPITULOSCar"/>
    <w:uiPriority w:val="99"/>
    <w:rsid w:val="005A720E"/>
    <w:pPr>
      <w:jc w:val="both"/>
    </w:pPr>
    <w:rPr>
      <w:b/>
      <w:sz w:val="32"/>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basedOn w:val="FIGURASCar"/>
    <w:link w:val="FIGURA"/>
    <w:uiPriority w:val="99"/>
    <w:locked/>
    <w:rsid w:val="005A720E"/>
    <w:rPr>
      <w:rFonts w:asciiTheme="minorHAnsi" w:hAnsiTheme="minorHAnsi"/>
      <w:sz w:val="20"/>
      <w:lang w:val="es-ES" w:eastAsia="es-ES"/>
    </w:rPr>
  </w:style>
  <w:style w:type="character" w:customStyle="1" w:styleId="FIGURACarCar">
    <w:name w:val="FIGURA Car Car"/>
    <w:basedOn w:val="FIGURASCar"/>
    <w:uiPriority w:val="99"/>
    <w:rsid w:val="005A720E"/>
    <w:rPr>
      <w:rFonts w:ascii="Arial" w:hAnsi="Arial" w:cs="Times New Roman"/>
      <w:sz w:val="20"/>
      <w:szCs w:val="20"/>
      <w:lang w:val="es-ES" w:eastAsia="es-ES" w:bidi="ar-SA"/>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numPr>
        <w:ilvl w:val="2"/>
        <w:numId w:val="20"/>
      </w:numPr>
      <w:outlineLvl w:val="0"/>
    </w:pPr>
    <w:rPr>
      <w:sz w:val="20"/>
      <w:lang w:val="es-ES"/>
    </w:rPr>
  </w:style>
  <w:style w:type="character" w:customStyle="1" w:styleId="SUBSUBCAPCar">
    <w:name w:val="SUBSUBCAP Car"/>
    <w:link w:val="SUBSUBCAP"/>
    <w:uiPriority w:val="99"/>
    <w:locked/>
    <w:rsid w:val="005A720E"/>
    <w:rPr>
      <w:rFonts w:asciiTheme="minorHAnsi" w:hAnsiTheme="minorHAnsi"/>
      <w:b/>
      <w:sz w:val="20"/>
      <w:lang w:val="es-ES" w:eastAsia="es-ES"/>
    </w:rPr>
  </w:style>
  <w:style w:type="paragraph" w:customStyle="1" w:styleId="OPCIONES">
    <w:name w:val="OPCIONES"/>
    <w:basedOn w:val="Normal"/>
    <w:link w:val="OPCIONESCar"/>
    <w:uiPriority w:val="99"/>
    <w:rsid w:val="005A720E"/>
    <w:pPr>
      <w:ind w:left="720" w:hanging="360"/>
      <w:jc w:val="both"/>
    </w:p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9"/>
      </w:numPr>
    </w:pPr>
  </w:style>
  <w:style w:type="character" w:customStyle="1" w:styleId="SUBCAP4Car">
    <w:name w:val="SUBCAP4 Car"/>
    <w:link w:val="SUBCAP4"/>
    <w:uiPriority w:val="99"/>
    <w:locked/>
    <w:rsid w:val="005A720E"/>
    <w:rPr>
      <w:rFonts w:asciiTheme="minorHAnsi" w:hAnsiTheme="minorHAnsi"/>
      <w:b/>
      <w:sz w:val="20"/>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basedOn w:val="OPCIONESCar"/>
    <w:link w:val="OPCIONES2"/>
    <w:uiPriority w:val="99"/>
    <w:locked/>
    <w:rsid w:val="005A720E"/>
    <w:rPr>
      <w:rFonts w:ascii="Arial" w:hAnsi="Arial" w:cs="Times New Roman"/>
      <w:sz w:val="24"/>
      <w:lang w:eastAsia="es-ES" w:bidi="ar-SA"/>
    </w:rPr>
  </w:style>
  <w:style w:type="paragraph" w:customStyle="1" w:styleId="TITULOTELMEXCar">
    <w:name w:val="TITULO TELMEX Car"/>
    <w:basedOn w:val="Normal"/>
    <w:link w:val="TITULOTELMEXCarCar"/>
    <w:uiPriority w:val="99"/>
    <w:rsid w:val="005A720E"/>
    <w:pPr>
      <w:jc w:val="both"/>
    </w:pPr>
    <w:rPr>
      <w:b/>
      <w:sz w:val="32"/>
      <w:lang w:val="es-MX"/>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basedOn w:val="Fuentedeprrafopredeter"/>
    <w:uiPriority w:val="99"/>
    <w:rsid w:val="005A720E"/>
    <w:rPr>
      <w:rFonts w:cs="Times New Roman"/>
    </w:rPr>
  </w:style>
  <w:style w:type="paragraph" w:customStyle="1" w:styleId="TITULOTELMEX">
    <w:name w:val="TITULO TELMEX"/>
    <w:basedOn w:val="Normal"/>
    <w:uiPriority w:val="99"/>
    <w:rsid w:val="005A720E"/>
    <w:pPr>
      <w:ind w:left="426" w:hanging="426"/>
      <w:jc w:val="both"/>
    </w:pPr>
    <w:rPr>
      <w:b/>
      <w:sz w:val="32"/>
      <w:lang w:val="es-MX"/>
    </w:rPr>
  </w:style>
  <w:style w:type="character" w:customStyle="1" w:styleId="corchete-llamada1">
    <w:name w:val="corchete-llamada1"/>
    <w:uiPriority w:val="99"/>
    <w:rsid w:val="005A720E"/>
    <w:rPr>
      <w:vanish/>
    </w:rPr>
  </w:style>
  <w:style w:type="character" w:customStyle="1" w:styleId="mw-headline">
    <w:name w:val="mw-headline"/>
    <w:basedOn w:val="Fuentedeprrafopredeter"/>
    <w:uiPriority w:val="99"/>
    <w:rsid w:val="005A720E"/>
    <w:rPr>
      <w:rFonts w:cs="Times New Roman"/>
    </w:rPr>
  </w:style>
  <w:style w:type="paragraph" w:styleId="ndice3">
    <w:name w:val="index 3"/>
    <w:basedOn w:val="Normal"/>
    <w:next w:val="Normal"/>
    <w:autoRedefine/>
    <w:uiPriority w:val="99"/>
    <w:semiHidden/>
    <w:rsid w:val="005A720E"/>
    <w:pPr>
      <w:ind w:left="720" w:hanging="240"/>
    </w:pPr>
    <w:rPr>
      <w:rFonts w:ascii="Calibri" w:hAnsi="Calibri"/>
      <w:lang w:val="es-MX"/>
    </w:rPr>
  </w:style>
  <w:style w:type="paragraph" w:styleId="ndice4">
    <w:name w:val="index 4"/>
    <w:basedOn w:val="Normal"/>
    <w:next w:val="Normal"/>
    <w:autoRedefine/>
    <w:uiPriority w:val="99"/>
    <w:semiHidden/>
    <w:rsid w:val="005A720E"/>
    <w:pPr>
      <w:ind w:left="960" w:hanging="240"/>
    </w:pPr>
    <w:rPr>
      <w:rFonts w:ascii="Calibri" w:hAnsi="Calibri"/>
      <w:lang w:val="es-MX"/>
    </w:rPr>
  </w:style>
  <w:style w:type="paragraph" w:styleId="ndice5">
    <w:name w:val="index 5"/>
    <w:basedOn w:val="Normal"/>
    <w:next w:val="Normal"/>
    <w:autoRedefine/>
    <w:uiPriority w:val="99"/>
    <w:semiHidden/>
    <w:rsid w:val="005A720E"/>
    <w:pPr>
      <w:ind w:left="1200" w:hanging="240"/>
    </w:pPr>
    <w:rPr>
      <w:rFonts w:ascii="Calibri" w:hAnsi="Calibri"/>
      <w:lang w:val="es-MX"/>
    </w:rPr>
  </w:style>
  <w:style w:type="paragraph" w:styleId="ndice6">
    <w:name w:val="index 6"/>
    <w:basedOn w:val="Normal"/>
    <w:next w:val="Normal"/>
    <w:autoRedefine/>
    <w:uiPriority w:val="99"/>
    <w:semiHidden/>
    <w:rsid w:val="005A720E"/>
    <w:pPr>
      <w:ind w:left="1440" w:hanging="240"/>
    </w:pPr>
    <w:rPr>
      <w:rFonts w:ascii="Calibri" w:hAnsi="Calibri"/>
      <w:lang w:val="es-MX"/>
    </w:rPr>
  </w:style>
  <w:style w:type="paragraph" w:styleId="ndice7">
    <w:name w:val="index 7"/>
    <w:basedOn w:val="Normal"/>
    <w:next w:val="Normal"/>
    <w:autoRedefine/>
    <w:uiPriority w:val="99"/>
    <w:semiHidden/>
    <w:rsid w:val="005A720E"/>
    <w:pPr>
      <w:ind w:left="1680" w:hanging="240"/>
    </w:pPr>
    <w:rPr>
      <w:rFonts w:ascii="Calibri" w:hAnsi="Calibri"/>
      <w:lang w:val="es-MX"/>
    </w:rPr>
  </w:style>
  <w:style w:type="paragraph" w:styleId="ndice8">
    <w:name w:val="index 8"/>
    <w:basedOn w:val="Normal"/>
    <w:next w:val="Normal"/>
    <w:autoRedefine/>
    <w:uiPriority w:val="99"/>
    <w:semiHidden/>
    <w:rsid w:val="005A720E"/>
    <w:pPr>
      <w:ind w:left="1920" w:hanging="240"/>
    </w:pPr>
    <w:rPr>
      <w:rFonts w:ascii="Calibri" w:hAnsi="Calibri"/>
      <w:lang w:val="es-MX"/>
    </w:rPr>
  </w:style>
  <w:style w:type="paragraph" w:styleId="ndice9">
    <w:name w:val="index 9"/>
    <w:basedOn w:val="Normal"/>
    <w:next w:val="Normal"/>
    <w:autoRedefine/>
    <w:uiPriority w:val="99"/>
    <w:semiHidden/>
    <w:rsid w:val="005A720E"/>
    <w:pPr>
      <w:ind w:left="2160" w:hanging="240"/>
    </w:pPr>
    <w:rPr>
      <w:rFonts w:ascii="Calibri" w:hAnsi="Calibri"/>
      <w:lang w:val="es-MX"/>
    </w:rPr>
  </w:style>
  <w:style w:type="paragraph" w:styleId="Ttulodendice">
    <w:name w:val="index heading"/>
    <w:basedOn w:val="Normal"/>
    <w:next w:val="ndice1"/>
    <w:uiPriority w:val="99"/>
    <w:semiHidden/>
    <w:rsid w:val="005A720E"/>
    <w:pPr>
      <w:spacing w:before="120" w:after="120"/>
    </w:pPr>
    <w:rPr>
      <w:rFonts w:ascii="Calibri" w:hAnsi="Calibri"/>
      <w:b/>
      <w:bCs/>
      <w:i/>
      <w:iCs/>
      <w:lang w:val="es-MX"/>
    </w:rPr>
  </w:style>
  <w:style w:type="paragraph" w:customStyle="1" w:styleId="Sinespaciado1">
    <w:name w:val="Sin espaciado1"/>
    <w:uiPriority w:val="99"/>
    <w:rsid w:val="005A720E"/>
    <w:rPr>
      <w:sz w:val="22"/>
      <w:szCs w:val="22"/>
      <w:lang w:val="es-ES" w:eastAsia="en-U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qFormat/>
    <w:rsid w:val="005A720E"/>
    <w:pPr>
      <w:ind w:left="708"/>
      <w:jc w:val="both"/>
    </w:pPr>
    <w:rPr>
      <w:lang w:val="es-MX"/>
    </w:r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numPr>
        <w:ilvl w:val="1"/>
        <w:numId w:val="22"/>
      </w:numPr>
    </w:pPr>
    <w:rPr>
      <w:sz w:val="28"/>
      <w:lang w:val="es-ES"/>
    </w:rPr>
  </w:style>
  <w:style w:type="character" w:customStyle="1" w:styleId="DIDSUBCAPCar">
    <w:name w:val="DID SUBCAP Car"/>
    <w:link w:val="DIDSUBCAP"/>
    <w:uiPriority w:val="99"/>
    <w:locked/>
    <w:rsid w:val="005A720E"/>
    <w:rPr>
      <w:rFonts w:asciiTheme="minorHAnsi" w:hAnsiTheme="minorHAnsi"/>
      <w:b/>
      <w:sz w:val="28"/>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after="0"/>
      <w:outlineLvl w:val="9"/>
    </w:pPr>
    <w:rPr>
      <w:rFonts w:ascii="Cambria" w:hAnsi="Cambria"/>
      <w:bCs/>
      <w:color w:val="365F91"/>
      <w:szCs w:val="28"/>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rPr>
  </w:style>
  <w:style w:type="table" w:customStyle="1" w:styleId="Tablaconcuadrcula1">
    <w:name w:val="Tabla con cuadrícula1"/>
    <w:uiPriority w:val="99"/>
    <w:locked/>
    <w:rsid w:val="005A720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5A720E"/>
    <w:pPr>
      <w:spacing w:before="0" w:after="0"/>
      <w:ind w:left="284"/>
      <w:jc w:val="left"/>
      <w:outlineLvl w:val="9"/>
    </w:pPr>
    <w:rPr>
      <w:kern w:val="0"/>
      <w:sz w:val="20"/>
      <w:lang w:val="es-MX"/>
    </w:rPr>
  </w:style>
  <w:style w:type="paragraph" w:styleId="TtuloTDC">
    <w:name w:val="TOC Heading"/>
    <w:basedOn w:val="Ttulo1"/>
    <w:next w:val="Normal"/>
    <w:uiPriority w:val="99"/>
    <w:qFormat/>
    <w:rsid w:val="005A720E"/>
    <w:pPr>
      <w:keepLines/>
      <w:spacing w:before="480" w:after="0"/>
      <w:outlineLvl w:val="9"/>
    </w:pPr>
    <w:rPr>
      <w:rFonts w:ascii="Cambria" w:hAnsi="Cambria"/>
      <w:bCs/>
      <w:color w:val="365F91"/>
      <w:szCs w:val="28"/>
      <w:lang w:eastAsia="en-US"/>
    </w:rPr>
  </w:style>
  <w:style w:type="paragraph" w:styleId="Revisin">
    <w:name w:val="Revision"/>
    <w:hidden/>
    <w:uiPriority w:val="99"/>
    <w:semiHidden/>
    <w:rsid w:val="00213152"/>
    <w:rPr>
      <w:lang w:val="es-ES_tradnl" w:eastAsia="es-ES"/>
    </w:rPr>
  </w:style>
  <w:style w:type="numbering" w:customStyle="1" w:styleId="Estilo1">
    <w:name w:val="Estilo1"/>
    <w:rsid w:val="00BB1133"/>
    <w:pPr>
      <w:numPr>
        <w:numId w:val="21"/>
      </w:numPr>
    </w:pPr>
  </w:style>
  <w:style w:type="numbering" w:customStyle="1" w:styleId="Estilo2">
    <w:name w:val="Estilo2"/>
    <w:rsid w:val="00BB1133"/>
    <w:pPr>
      <w:numPr>
        <w:numId w:val="23"/>
      </w:numPr>
    </w:pPr>
  </w:style>
  <w:style w:type="numbering" w:customStyle="1" w:styleId="Estilo3">
    <w:name w:val="Estilo3"/>
    <w:rsid w:val="00BB1133"/>
    <w:pPr>
      <w:numPr>
        <w:numId w:val="24"/>
      </w:numPr>
    </w:pPr>
  </w:style>
  <w:style w:type="character" w:styleId="nfasis">
    <w:name w:val="Emphasis"/>
    <w:aliases w:val="Título 4 (1.1.1)"/>
    <w:basedOn w:val="Fuentedeprrafopredeter"/>
    <w:qFormat/>
    <w:rsid w:val="00D23830"/>
    <w:rPr>
      <w:i/>
      <w:i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locked/>
    <w:rsid w:val="00EC6B21"/>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EC6B21"/>
    <w:rPr>
      <w:rFonts w:ascii="Arial" w:hAnsi="Arial"/>
      <w:lang w:val="es-ES_tradnl" w:eastAsia="es-ES"/>
    </w:rPr>
  </w:style>
  <w:style w:type="character" w:styleId="Refdenotaalpie">
    <w:name w:val="footnote reference"/>
    <w:aliases w:val="Ref,de nota al pie,(NECG) Footnote Reference,o,fr,Style 3,Appel note de bas de p,Style 12,Style 124,Ref. de nota al pie 2,Style 6,Footnote Reference Superscript"/>
    <w:basedOn w:val="Fuentedeprrafopredeter"/>
    <w:uiPriority w:val="99"/>
    <w:unhideWhenUsed/>
    <w:locked/>
    <w:rsid w:val="00EC6B21"/>
    <w:rPr>
      <w:vertAlign w:val="superscript"/>
    </w:rPr>
  </w:style>
  <w:style w:type="paragraph" w:styleId="Textonotaalfinal">
    <w:name w:val="endnote text"/>
    <w:basedOn w:val="Normal"/>
    <w:link w:val="TextonotaalfinalCar"/>
    <w:uiPriority w:val="99"/>
    <w:semiHidden/>
    <w:unhideWhenUsed/>
    <w:locked/>
    <w:rsid w:val="001C2A8F"/>
    <w:rPr>
      <w:sz w:val="20"/>
      <w:szCs w:val="20"/>
    </w:rPr>
  </w:style>
  <w:style w:type="character" w:customStyle="1" w:styleId="TextonotaalfinalCar">
    <w:name w:val="Texto nota al final Car"/>
    <w:basedOn w:val="Fuentedeprrafopredeter"/>
    <w:link w:val="Textonotaalfinal"/>
    <w:uiPriority w:val="99"/>
    <w:semiHidden/>
    <w:rsid w:val="001C2A8F"/>
    <w:rPr>
      <w:rFonts w:asciiTheme="minorHAnsi" w:hAnsiTheme="minorHAnsi"/>
      <w:sz w:val="20"/>
      <w:szCs w:val="20"/>
      <w:lang w:val="es-ES_tradnl" w:eastAsia="es-ES"/>
    </w:rPr>
  </w:style>
  <w:style w:type="character" w:styleId="Refdenotaalfinal">
    <w:name w:val="endnote reference"/>
    <w:basedOn w:val="Fuentedeprrafopredeter"/>
    <w:uiPriority w:val="99"/>
    <w:semiHidden/>
    <w:unhideWhenUsed/>
    <w:locked/>
    <w:rsid w:val="001C2A8F"/>
    <w:rPr>
      <w:vertAlign w:val="superscript"/>
    </w:rPr>
  </w:style>
  <w:style w:type="paragraph" w:customStyle="1" w:styleId="Texto">
    <w:name w:val="Texto"/>
    <w:basedOn w:val="Normal"/>
    <w:link w:val="TextoCar"/>
    <w:uiPriority w:val="99"/>
    <w:rsid w:val="00175577"/>
    <w:pPr>
      <w:spacing w:after="101" w:line="216" w:lineRule="exact"/>
      <w:ind w:firstLine="288"/>
      <w:jc w:val="both"/>
    </w:pPr>
    <w:rPr>
      <w:rFonts w:ascii="Arial" w:hAnsi="Arial"/>
      <w:sz w:val="18"/>
      <w:szCs w:val="20"/>
      <w:lang w:val="es-ES"/>
    </w:rPr>
  </w:style>
  <w:style w:type="character" w:customStyle="1" w:styleId="TextoCar">
    <w:name w:val="Texto Car"/>
    <w:link w:val="Texto"/>
    <w:uiPriority w:val="99"/>
    <w:locked/>
    <w:rsid w:val="00175577"/>
    <w:rPr>
      <w:sz w:val="18"/>
      <w:szCs w:val="20"/>
      <w:lang w:val="es-ES" w:eastAsia="es-ES"/>
    </w:rPr>
  </w:style>
  <w:style w:type="table" w:styleId="Cuadrculamedia2-nfasis1">
    <w:name w:val="Medium Grid 2 Accent 1"/>
    <w:basedOn w:val="Tablanormal"/>
    <w:uiPriority w:val="68"/>
    <w:rsid w:val="008E5F7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rrafodelista4">
    <w:name w:val="Párrafo de lista4"/>
    <w:basedOn w:val="Normal"/>
    <w:rsid w:val="005E7C6E"/>
    <w:pPr>
      <w:spacing w:line="360" w:lineRule="auto"/>
      <w:ind w:left="708"/>
    </w:pPr>
    <w:rPr>
      <w:rFonts w:ascii="Arial" w:hAnsi="Arial"/>
      <w:sz w:val="20"/>
      <w:szCs w:val="20"/>
    </w:rPr>
  </w:style>
  <w:style w:type="paragraph" w:styleId="Sinespaciado">
    <w:name w:val="No Spacing"/>
    <w:uiPriority w:val="1"/>
    <w:qFormat/>
    <w:rsid w:val="00A05932"/>
    <w:rPr>
      <w:rFonts w:asciiTheme="minorHAnsi" w:hAnsiTheme="minorHAnsi"/>
      <w:lang w:val="es-ES_tradnl" w:eastAsia="es-ES"/>
    </w:rPr>
  </w:style>
  <w:style w:type="paragraph" w:customStyle="1" w:styleId="Prrafodelista2">
    <w:name w:val="Párrafo de lista2"/>
    <w:basedOn w:val="Normal"/>
    <w:uiPriority w:val="34"/>
    <w:rsid w:val="000D585A"/>
    <w:pPr>
      <w:ind w:left="708"/>
    </w:pPr>
    <w:rPr>
      <w:rFonts w:ascii="Calibri" w:eastAsiaTheme="minorHAnsi" w:hAnsi="Calibri"/>
      <w:lang w:val="es-MX" w:eastAsia="es-MX"/>
    </w:rPr>
  </w:style>
  <w:style w:type="paragraph" w:customStyle="1" w:styleId="Prrafodelista3">
    <w:name w:val="Párrafo de lista3"/>
    <w:basedOn w:val="Normal"/>
    <w:uiPriority w:val="34"/>
    <w:qFormat/>
    <w:rsid w:val="00FC3CE6"/>
    <w:pPr>
      <w:ind w:left="708"/>
    </w:pPr>
    <w:rPr>
      <w:rFonts w:ascii="Calibri" w:hAnsi="Calibri"/>
    </w:rPr>
  </w:style>
  <w:style w:type="character" w:customStyle="1" w:styleId="Cuerpodeltexto">
    <w:name w:val="Cuerpo del texto"/>
    <w:basedOn w:val="Fuentedeprrafopredeter"/>
    <w:uiPriority w:val="99"/>
    <w:rsid w:val="00610E6F"/>
    <w:rPr>
      <w:rFonts w:ascii="Arial" w:eastAsia="Times New Roman" w:hAnsi="Arial" w:cs="Arial"/>
      <w:color w:val="000000"/>
      <w:spacing w:val="0"/>
      <w:w w:val="100"/>
      <w:position w:val="0"/>
      <w:sz w:val="23"/>
      <w:szCs w:val="23"/>
      <w:u w:val="none"/>
      <w:lang w:val="es-ES"/>
    </w:rPr>
  </w:style>
  <w:style w:type="paragraph" w:customStyle="1" w:styleId="IFTnormal">
    <w:name w:val="IFT normal"/>
    <w:basedOn w:val="Normal"/>
    <w:link w:val="IFTnormalCar"/>
    <w:qFormat/>
    <w:rsid w:val="001C173C"/>
    <w:pPr>
      <w:spacing w:after="200" w:line="276" w:lineRule="auto"/>
      <w:jc w:val="both"/>
    </w:pPr>
    <w:rPr>
      <w:rFonts w:ascii="ITC Avant Garde" w:eastAsia="Calibri" w:hAnsi="ITC Avant Garde" w:cs="Calibri"/>
      <w:bCs/>
      <w:sz w:val="22"/>
      <w:szCs w:val="22"/>
      <w:lang w:val="es-MX" w:eastAsia="en-US"/>
    </w:rPr>
  </w:style>
  <w:style w:type="character" w:customStyle="1" w:styleId="IFTnormalCar">
    <w:name w:val="IFT normal Car"/>
    <w:basedOn w:val="Fuentedeprrafopredeter"/>
    <w:link w:val="IFTnormal"/>
    <w:qFormat/>
    <w:rsid w:val="001C173C"/>
    <w:rPr>
      <w:rFonts w:ascii="ITC Avant Garde" w:eastAsia="Calibri" w:hAnsi="ITC Avant Garde" w:cs="Calibri"/>
      <w:bCs/>
      <w:sz w:val="22"/>
      <w:szCs w:val="22"/>
      <w:lang w:eastAsia="en-US"/>
    </w:rPr>
  </w:style>
  <w:style w:type="character" w:customStyle="1" w:styleId="PrrafodelistaCar">
    <w:name w:val="Párrafo de lista Car"/>
    <w:aliases w:val="prueba1 Car,List Paragraph Car"/>
    <w:link w:val="Prrafodelista"/>
    <w:uiPriority w:val="34"/>
    <w:qFormat/>
    <w:rsid w:val="008F00D7"/>
    <w:rPr>
      <w:rFonts w:asciiTheme="minorHAnsi" w:hAnsiTheme="minorHAnsi"/>
      <w:lang w:val="es-ES_tradnl" w:eastAsia="es-ES"/>
    </w:rPr>
  </w:style>
  <w:style w:type="table" w:customStyle="1" w:styleId="TableNormal">
    <w:name w:val="Table Normal"/>
    <w:uiPriority w:val="2"/>
    <w:semiHidden/>
    <w:unhideWhenUsed/>
    <w:qFormat/>
    <w:rsid w:val="009C50F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50FC"/>
    <w:pPr>
      <w:widowControl w:val="0"/>
    </w:pPr>
    <w:rPr>
      <w:rFonts w:eastAsiaTheme="minorHAnsi" w:cstheme="minorBidi"/>
      <w:sz w:val="22"/>
      <w:szCs w:val="22"/>
      <w:lang w:val="en-US" w:eastAsia="en-US"/>
    </w:rPr>
  </w:style>
  <w:style w:type="paragraph" w:customStyle="1" w:styleId="3TitTer">
    <w:name w:val="3TitTer"/>
    <w:basedOn w:val="Normal"/>
    <w:link w:val="3TitTerCar"/>
    <w:autoRedefine/>
    <w:qFormat/>
    <w:rsid w:val="00394A75"/>
    <w:pPr>
      <w:spacing w:after="200" w:line="276" w:lineRule="auto"/>
      <w:ind w:left="504" w:hanging="504"/>
      <w:outlineLvl w:val="1"/>
    </w:pPr>
    <w:rPr>
      <w:rFonts w:ascii="ITC Avant Garde" w:eastAsia="Calibri" w:hAnsi="ITC Avant Garde"/>
      <w:b/>
      <w:sz w:val="22"/>
      <w:szCs w:val="22"/>
      <w:lang w:val="es-MX" w:eastAsia="en-US"/>
    </w:rPr>
  </w:style>
  <w:style w:type="character" w:customStyle="1" w:styleId="3TitTerCar">
    <w:name w:val="3TitTer Car"/>
    <w:basedOn w:val="Fuentedeprrafopredeter"/>
    <w:link w:val="3TitTer"/>
    <w:rsid w:val="00394A75"/>
    <w:rPr>
      <w:rFonts w:ascii="ITC Avant Garde" w:eastAsia="Calibri" w:hAnsi="ITC Avant Garde"/>
      <w:b/>
      <w:sz w:val="22"/>
      <w:szCs w:val="22"/>
      <w:lang w:eastAsia="en-US"/>
    </w:rPr>
  </w:style>
  <w:style w:type="paragraph" w:customStyle="1" w:styleId="CitaIFT">
    <w:name w:val="Cita IFT"/>
    <w:basedOn w:val="Normal"/>
    <w:link w:val="CitaIFTCar"/>
    <w:qFormat/>
    <w:rsid w:val="002F3F6A"/>
    <w:pPr>
      <w:adjustRightInd w:val="0"/>
      <w:spacing w:after="200" w:line="276" w:lineRule="auto"/>
      <w:ind w:left="851" w:right="760"/>
      <w:jc w:val="both"/>
    </w:pPr>
    <w:rPr>
      <w:rFonts w:ascii="ITC Avant Garde" w:hAnsi="ITC Avant Garde" w:cs="Arial"/>
      <w:bCs/>
      <w:i/>
      <w:color w:val="000000"/>
      <w:sz w:val="18"/>
      <w:szCs w:val="18"/>
    </w:rPr>
  </w:style>
  <w:style w:type="character" w:customStyle="1" w:styleId="CitaIFTCar">
    <w:name w:val="Cita IFT Car"/>
    <w:link w:val="CitaIFT"/>
    <w:qFormat/>
    <w:rsid w:val="002F3F6A"/>
    <w:rPr>
      <w:rFonts w:ascii="ITC Avant Garde" w:hAnsi="ITC Avant Garde" w:cs="Arial"/>
      <w:bCs/>
      <w:i/>
      <w:color w:val="000000"/>
      <w:sz w:val="18"/>
      <w:szCs w:val="18"/>
      <w:lang w:val="es-ES_tradnl" w:eastAsia="es-ES"/>
    </w:rPr>
  </w:style>
  <w:style w:type="paragraph" w:customStyle="1" w:styleId="CondicionesFinales">
    <w:name w:val="CondicionesFinales"/>
    <w:basedOn w:val="CitaIFT"/>
    <w:qFormat/>
    <w:rsid w:val="002A5D72"/>
    <w:rPr>
      <w:i w:val="0"/>
      <w:sz w:val="22"/>
      <w:szCs w:val="22"/>
    </w:rPr>
  </w:style>
  <w:style w:type="paragraph" w:customStyle="1" w:styleId="Citaift0">
    <w:name w:val="Cita ift"/>
    <w:basedOn w:val="Normal"/>
    <w:link w:val="CitaiftCar0"/>
    <w:qFormat/>
    <w:rsid w:val="00D341D5"/>
    <w:pPr>
      <w:adjustRightInd w:val="0"/>
      <w:spacing w:after="200" w:line="276" w:lineRule="auto"/>
      <w:ind w:left="851" w:right="760"/>
      <w:jc w:val="both"/>
    </w:pPr>
    <w:rPr>
      <w:rFonts w:ascii="ITC Avant Garde" w:hAnsi="ITC Avant Garde" w:cs="Arial"/>
      <w:i/>
      <w:color w:val="000000"/>
      <w:sz w:val="18"/>
      <w:szCs w:val="18"/>
      <w:lang w:val="es-MX"/>
    </w:rPr>
  </w:style>
  <w:style w:type="character" w:customStyle="1" w:styleId="CitaiftCar0">
    <w:name w:val="Cita ift Car"/>
    <w:link w:val="Citaift0"/>
    <w:rsid w:val="00D341D5"/>
    <w:rPr>
      <w:rFonts w:ascii="ITC Avant Garde" w:hAnsi="ITC Avant Garde" w:cs="Arial"/>
      <w:i/>
      <w:color w:val="000000"/>
      <w:sz w:val="18"/>
      <w:szCs w:val="18"/>
      <w:lang w:eastAsia="es-ES"/>
    </w:rPr>
  </w:style>
  <w:style w:type="paragraph" w:customStyle="1" w:styleId="Notaalpiedepagina">
    <w:name w:val="Nota al pie de pagina"/>
    <w:basedOn w:val="Textonotapie"/>
    <w:link w:val="NotaalpiedepaginaCar"/>
    <w:qFormat/>
    <w:rsid w:val="004740DC"/>
    <w:rPr>
      <w:sz w:val="18"/>
      <w:szCs w:val="18"/>
    </w:rPr>
  </w:style>
  <w:style w:type="character" w:customStyle="1" w:styleId="NotaalpiedepaginaCar">
    <w:name w:val="Nota al pie de pagina Car"/>
    <w:basedOn w:val="TextonotapieCar"/>
    <w:link w:val="Notaalpiedepagina"/>
    <w:rsid w:val="004740DC"/>
    <w:rPr>
      <w:rFonts w:asciiTheme="minorHAnsi" w:hAnsiTheme="minorHAnsi"/>
      <w:sz w:val="18"/>
      <w:szCs w:val="18"/>
      <w:lang w:val="es-ES_tradnl" w:eastAsia="es-ES"/>
    </w:rPr>
  </w:style>
  <w:style w:type="table" w:customStyle="1" w:styleId="Tabladecuadrcula4-nfasis11">
    <w:name w:val="Tabla de cuadrícula 4 - Énfasis 11"/>
    <w:basedOn w:val="Tablanormal"/>
    <w:uiPriority w:val="49"/>
    <w:rsid w:val="00193A6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0">
    <w:name w:val="Tabla de cuadrícula 4 - Énfasis 11"/>
    <w:basedOn w:val="Tablanormal"/>
    <w:next w:val="Tabladecuadrcula4-nfasis11"/>
    <w:uiPriority w:val="49"/>
    <w:rsid w:val="008D35F3"/>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TitPrin">
    <w:name w:val="1TitPrin"/>
    <w:basedOn w:val="Ttulo1"/>
    <w:link w:val="1TitPrinCar"/>
    <w:autoRedefine/>
    <w:qFormat/>
    <w:rsid w:val="00B50532"/>
    <w:pPr>
      <w:keepNext w:val="0"/>
      <w:numPr>
        <w:numId w:val="143"/>
      </w:numPr>
      <w:tabs>
        <w:tab w:val="clear" w:pos="284"/>
      </w:tabs>
      <w:spacing w:before="0"/>
    </w:pPr>
    <w:rPr>
      <w:rFonts w:eastAsia="Calibri" w:cs="Arial"/>
      <w:color w:val="000000"/>
      <w:lang w:val="es-ES"/>
    </w:rPr>
  </w:style>
  <w:style w:type="character" w:customStyle="1" w:styleId="1TitPrinCar">
    <w:name w:val="1TitPrin Car"/>
    <w:link w:val="1TitPrin"/>
    <w:rsid w:val="00B50532"/>
    <w:rPr>
      <w:rFonts w:ascii="ITC Avant Garde" w:eastAsia="Calibri" w:hAnsi="ITC Avant Garde" w:cs="Arial"/>
      <w:b/>
      <w:color w:val="000000"/>
      <w:sz w:val="22"/>
      <w:szCs w:val="22"/>
      <w:lang w:val="es-ES" w:eastAsia="es-ES"/>
    </w:rPr>
  </w:style>
  <w:style w:type="table" w:customStyle="1" w:styleId="Tablaconcuadrcula2">
    <w:name w:val="Tabla con cuadrícula2"/>
    <w:basedOn w:val="Tablanormal"/>
    <w:next w:val="Tablaconcuadrcula"/>
    <w:uiPriority w:val="39"/>
    <w:rsid w:val="00171CD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7D430B"/>
    <w:rPr>
      <w:rFonts w:ascii="Calibri" w:eastAsia="MS Mincho" w:hAnsi="Calibri"/>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uentedeprrafopredeter"/>
    <w:uiPriority w:val="99"/>
    <w:semiHidden/>
    <w:unhideWhenUsed/>
    <w:rsid w:val="00113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2938">
      <w:bodyDiv w:val="1"/>
      <w:marLeft w:val="0"/>
      <w:marRight w:val="0"/>
      <w:marTop w:val="0"/>
      <w:marBottom w:val="0"/>
      <w:divBdr>
        <w:top w:val="none" w:sz="0" w:space="0" w:color="auto"/>
        <w:left w:val="none" w:sz="0" w:space="0" w:color="auto"/>
        <w:bottom w:val="none" w:sz="0" w:space="0" w:color="auto"/>
        <w:right w:val="none" w:sz="0" w:space="0" w:color="auto"/>
      </w:divBdr>
    </w:div>
    <w:div w:id="34281796">
      <w:bodyDiv w:val="1"/>
      <w:marLeft w:val="0"/>
      <w:marRight w:val="0"/>
      <w:marTop w:val="0"/>
      <w:marBottom w:val="0"/>
      <w:divBdr>
        <w:top w:val="none" w:sz="0" w:space="0" w:color="auto"/>
        <w:left w:val="none" w:sz="0" w:space="0" w:color="auto"/>
        <w:bottom w:val="none" w:sz="0" w:space="0" w:color="auto"/>
        <w:right w:val="none" w:sz="0" w:space="0" w:color="auto"/>
      </w:divBdr>
    </w:div>
    <w:div w:id="60644060">
      <w:bodyDiv w:val="1"/>
      <w:marLeft w:val="0"/>
      <w:marRight w:val="0"/>
      <w:marTop w:val="0"/>
      <w:marBottom w:val="0"/>
      <w:divBdr>
        <w:top w:val="none" w:sz="0" w:space="0" w:color="auto"/>
        <w:left w:val="none" w:sz="0" w:space="0" w:color="auto"/>
        <w:bottom w:val="none" w:sz="0" w:space="0" w:color="auto"/>
        <w:right w:val="none" w:sz="0" w:space="0" w:color="auto"/>
      </w:divBdr>
    </w:div>
    <w:div w:id="72776900">
      <w:bodyDiv w:val="1"/>
      <w:marLeft w:val="0"/>
      <w:marRight w:val="0"/>
      <w:marTop w:val="0"/>
      <w:marBottom w:val="0"/>
      <w:divBdr>
        <w:top w:val="none" w:sz="0" w:space="0" w:color="auto"/>
        <w:left w:val="none" w:sz="0" w:space="0" w:color="auto"/>
        <w:bottom w:val="none" w:sz="0" w:space="0" w:color="auto"/>
        <w:right w:val="none" w:sz="0" w:space="0" w:color="auto"/>
      </w:divBdr>
    </w:div>
    <w:div w:id="86197412">
      <w:bodyDiv w:val="1"/>
      <w:marLeft w:val="0"/>
      <w:marRight w:val="0"/>
      <w:marTop w:val="0"/>
      <w:marBottom w:val="0"/>
      <w:divBdr>
        <w:top w:val="none" w:sz="0" w:space="0" w:color="auto"/>
        <w:left w:val="none" w:sz="0" w:space="0" w:color="auto"/>
        <w:bottom w:val="none" w:sz="0" w:space="0" w:color="auto"/>
        <w:right w:val="none" w:sz="0" w:space="0" w:color="auto"/>
      </w:divBdr>
    </w:div>
    <w:div w:id="109473446">
      <w:bodyDiv w:val="1"/>
      <w:marLeft w:val="0"/>
      <w:marRight w:val="0"/>
      <w:marTop w:val="0"/>
      <w:marBottom w:val="0"/>
      <w:divBdr>
        <w:top w:val="none" w:sz="0" w:space="0" w:color="auto"/>
        <w:left w:val="none" w:sz="0" w:space="0" w:color="auto"/>
        <w:bottom w:val="none" w:sz="0" w:space="0" w:color="auto"/>
        <w:right w:val="none" w:sz="0" w:space="0" w:color="auto"/>
      </w:divBdr>
    </w:div>
    <w:div w:id="109513322">
      <w:bodyDiv w:val="1"/>
      <w:marLeft w:val="0"/>
      <w:marRight w:val="0"/>
      <w:marTop w:val="0"/>
      <w:marBottom w:val="0"/>
      <w:divBdr>
        <w:top w:val="none" w:sz="0" w:space="0" w:color="auto"/>
        <w:left w:val="none" w:sz="0" w:space="0" w:color="auto"/>
        <w:bottom w:val="none" w:sz="0" w:space="0" w:color="auto"/>
        <w:right w:val="none" w:sz="0" w:space="0" w:color="auto"/>
      </w:divBdr>
    </w:div>
    <w:div w:id="133106399">
      <w:bodyDiv w:val="1"/>
      <w:marLeft w:val="0"/>
      <w:marRight w:val="0"/>
      <w:marTop w:val="0"/>
      <w:marBottom w:val="0"/>
      <w:divBdr>
        <w:top w:val="none" w:sz="0" w:space="0" w:color="auto"/>
        <w:left w:val="none" w:sz="0" w:space="0" w:color="auto"/>
        <w:bottom w:val="none" w:sz="0" w:space="0" w:color="auto"/>
        <w:right w:val="none" w:sz="0" w:space="0" w:color="auto"/>
      </w:divBdr>
    </w:div>
    <w:div w:id="141314838">
      <w:bodyDiv w:val="1"/>
      <w:marLeft w:val="0"/>
      <w:marRight w:val="0"/>
      <w:marTop w:val="0"/>
      <w:marBottom w:val="0"/>
      <w:divBdr>
        <w:top w:val="none" w:sz="0" w:space="0" w:color="auto"/>
        <w:left w:val="none" w:sz="0" w:space="0" w:color="auto"/>
        <w:bottom w:val="none" w:sz="0" w:space="0" w:color="auto"/>
        <w:right w:val="none" w:sz="0" w:space="0" w:color="auto"/>
      </w:divBdr>
    </w:div>
    <w:div w:id="188296677">
      <w:bodyDiv w:val="1"/>
      <w:marLeft w:val="0"/>
      <w:marRight w:val="0"/>
      <w:marTop w:val="0"/>
      <w:marBottom w:val="0"/>
      <w:divBdr>
        <w:top w:val="none" w:sz="0" w:space="0" w:color="auto"/>
        <w:left w:val="none" w:sz="0" w:space="0" w:color="auto"/>
        <w:bottom w:val="none" w:sz="0" w:space="0" w:color="auto"/>
        <w:right w:val="none" w:sz="0" w:space="0" w:color="auto"/>
      </w:divBdr>
    </w:div>
    <w:div w:id="208995788">
      <w:bodyDiv w:val="1"/>
      <w:marLeft w:val="0"/>
      <w:marRight w:val="0"/>
      <w:marTop w:val="0"/>
      <w:marBottom w:val="0"/>
      <w:divBdr>
        <w:top w:val="none" w:sz="0" w:space="0" w:color="auto"/>
        <w:left w:val="none" w:sz="0" w:space="0" w:color="auto"/>
        <w:bottom w:val="none" w:sz="0" w:space="0" w:color="auto"/>
        <w:right w:val="none" w:sz="0" w:space="0" w:color="auto"/>
      </w:divBdr>
    </w:div>
    <w:div w:id="212810152">
      <w:bodyDiv w:val="1"/>
      <w:marLeft w:val="0"/>
      <w:marRight w:val="0"/>
      <w:marTop w:val="0"/>
      <w:marBottom w:val="0"/>
      <w:divBdr>
        <w:top w:val="none" w:sz="0" w:space="0" w:color="auto"/>
        <w:left w:val="none" w:sz="0" w:space="0" w:color="auto"/>
        <w:bottom w:val="none" w:sz="0" w:space="0" w:color="auto"/>
        <w:right w:val="none" w:sz="0" w:space="0" w:color="auto"/>
      </w:divBdr>
    </w:div>
    <w:div w:id="236979245">
      <w:bodyDiv w:val="1"/>
      <w:marLeft w:val="0"/>
      <w:marRight w:val="0"/>
      <w:marTop w:val="0"/>
      <w:marBottom w:val="0"/>
      <w:divBdr>
        <w:top w:val="none" w:sz="0" w:space="0" w:color="auto"/>
        <w:left w:val="none" w:sz="0" w:space="0" w:color="auto"/>
        <w:bottom w:val="none" w:sz="0" w:space="0" w:color="auto"/>
        <w:right w:val="none" w:sz="0" w:space="0" w:color="auto"/>
      </w:divBdr>
    </w:div>
    <w:div w:id="243876635">
      <w:bodyDiv w:val="1"/>
      <w:marLeft w:val="0"/>
      <w:marRight w:val="0"/>
      <w:marTop w:val="0"/>
      <w:marBottom w:val="0"/>
      <w:divBdr>
        <w:top w:val="none" w:sz="0" w:space="0" w:color="auto"/>
        <w:left w:val="none" w:sz="0" w:space="0" w:color="auto"/>
        <w:bottom w:val="none" w:sz="0" w:space="0" w:color="auto"/>
        <w:right w:val="none" w:sz="0" w:space="0" w:color="auto"/>
      </w:divBdr>
    </w:div>
    <w:div w:id="274336892">
      <w:bodyDiv w:val="1"/>
      <w:marLeft w:val="0"/>
      <w:marRight w:val="0"/>
      <w:marTop w:val="0"/>
      <w:marBottom w:val="0"/>
      <w:divBdr>
        <w:top w:val="none" w:sz="0" w:space="0" w:color="auto"/>
        <w:left w:val="none" w:sz="0" w:space="0" w:color="auto"/>
        <w:bottom w:val="none" w:sz="0" w:space="0" w:color="auto"/>
        <w:right w:val="none" w:sz="0" w:space="0" w:color="auto"/>
      </w:divBdr>
    </w:div>
    <w:div w:id="275333888">
      <w:bodyDiv w:val="1"/>
      <w:marLeft w:val="0"/>
      <w:marRight w:val="0"/>
      <w:marTop w:val="0"/>
      <w:marBottom w:val="0"/>
      <w:divBdr>
        <w:top w:val="none" w:sz="0" w:space="0" w:color="auto"/>
        <w:left w:val="none" w:sz="0" w:space="0" w:color="auto"/>
        <w:bottom w:val="none" w:sz="0" w:space="0" w:color="auto"/>
        <w:right w:val="none" w:sz="0" w:space="0" w:color="auto"/>
      </w:divBdr>
    </w:div>
    <w:div w:id="279264136">
      <w:bodyDiv w:val="1"/>
      <w:marLeft w:val="0"/>
      <w:marRight w:val="0"/>
      <w:marTop w:val="0"/>
      <w:marBottom w:val="0"/>
      <w:divBdr>
        <w:top w:val="none" w:sz="0" w:space="0" w:color="auto"/>
        <w:left w:val="none" w:sz="0" w:space="0" w:color="auto"/>
        <w:bottom w:val="none" w:sz="0" w:space="0" w:color="auto"/>
        <w:right w:val="none" w:sz="0" w:space="0" w:color="auto"/>
      </w:divBdr>
    </w:div>
    <w:div w:id="367220161">
      <w:bodyDiv w:val="1"/>
      <w:marLeft w:val="0"/>
      <w:marRight w:val="0"/>
      <w:marTop w:val="0"/>
      <w:marBottom w:val="0"/>
      <w:divBdr>
        <w:top w:val="none" w:sz="0" w:space="0" w:color="auto"/>
        <w:left w:val="none" w:sz="0" w:space="0" w:color="auto"/>
        <w:bottom w:val="none" w:sz="0" w:space="0" w:color="auto"/>
        <w:right w:val="none" w:sz="0" w:space="0" w:color="auto"/>
      </w:divBdr>
    </w:div>
    <w:div w:id="373311671">
      <w:bodyDiv w:val="1"/>
      <w:marLeft w:val="0"/>
      <w:marRight w:val="0"/>
      <w:marTop w:val="0"/>
      <w:marBottom w:val="0"/>
      <w:divBdr>
        <w:top w:val="none" w:sz="0" w:space="0" w:color="auto"/>
        <w:left w:val="none" w:sz="0" w:space="0" w:color="auto"/>
        <w:bottom w:val="none" w:sz="0" w:space="0" w:color="auto"/>
        <w:right w:val="none" w:sz="0" w:space="0" w:color="auto"/>
      </w:divBdr>
    </w:div>
    <w:div w:id="375742992">
      <w:bodyDiv w:val="1"/>
      <w:marLeft w:val="0"/>
      <w:marRight w:val="0"/>
      <w:marTop w:val="0"/>
      <w:marBottom w:val="0"/>
      <w:divBdr>
        <w:top w:val="none" w:sz="0" w:space="0" w:color="auto"/>
        <w:left w:val="none" w:sz="0" w:space="0" w:color="auto"/>
        <w:bottom w:val="none" w:sz="0" w:space="0" w:color="auto"/>
        <w:right w:val="none" w:sz="0" w:space="0" w:color="auto"/>
      </w:divBdr>
    </w:div>
    <w:div w:id="381176081">
      <w:bodyDiv w:val="1"/>
      <w:marLeft w:val="0"/>
      <w:marRight w:val="0"/>
      <w:marTop w:val="0"/>
      <w:marBottom w:val="0"/>
      <w:divBdr>
        <w:top w:val="none" w:sz="0" w:space="0" w:color="auto"/>
        <w:left w:val="none" w:sz="0" w:space="0" w:color="auto"/>
        <w:bottom w:val="none" w:sz="0" w:space="0" w:color="auto"/>
        <w:right w:val="none" w:sz="0" w:space="0" w:color="auto"/>
      </w:divBdr>
    </w:div>
    <w:div w:id="392461293">
      <w:bodyDiv w:val="1"/>
      <w:marLeft w:val="0"/>
      <w:marRight w:val="0"/>
      <w:marTop w:val="0"/>
      <w:marBottom w:val="0"/>
      <w:divBdr>
        <w:top w:val="none" w:sz="0" w:space="0" w:color="auto"/>
        <w:left w:val="none" w:sz="0" w:space="0" w:color="auto"/>
        <w:bottom w:val="none" w:sz="0" w:space="0" w:color="auto"/>
        <w:right w:val="none" w:sz="0" w:space="0" w:color="auto"/>
      </w:divBdr>
    </w:div>
    <w:div w:id="392697729">
      <w:bodyDiv w:val="1"/>
      <w:marLeft w:val="0"/>
      <w:marRight w:val="0"/>
      <w:marTop w:val="0"/>
      <w:marBottom w:val="0"/>
      <w:divBdr>
        <w:top w:val="none" w:sz="0" w:space="0" w:color="auto"/>
        <w:left w:val="none" w:sz="0" w:space="0" w:color="auto"/>
        <w:bottom w:val="none" w:sz="0" w:space="0" w:color="auto"/>
        <w:right w:val="none" w:sz="0" w:space="0" w:color="auto"/>
      </w:divBdr>
    </w:div>
    <w:div w:id="400713090">
      <w:bodyDiv w:val="1"/>
      <w:marLeft w:val="0"/>
      <w:marRight w:val="0"/>
      <w:marTop w:val="0"/>
      <w:marBottom w:val="0"/>
      <w:divBdr>
        <w:top w:val="none" w:sz="0" w:space="0" w:color="auto"/>
        <w:left w:val="none" w:sz="0" w:space="0" w:color="auto"/>
        <w:bottom w:val="none" w:sz="0" w:space="0" w:color="auto"/>
        <w:right w:val="none" w:sz="0" w:space="0" w:color="auto"/>
      </w:divBdr>
    </w:div>
    <w:div w:id="409350964">
      <w:bodyDiv w:val="1"/>
      <w:marLeft w:val="0"/>
      <w:marRight w:val="0"/>
      <w:marTop w:val="0"/>
      <w:marBottom w:val="0"/>
      <w:divBdr>
        <w:top w:val="none" w:sz="0" w:space="0" w:color="auto"/>
        <w:left w:val="none" w:sz="0" w:space="0" w:color="auto"/>
        <w:bottom w:val="none" w:sz="0" w:space="0" w:color="auto"/>
        <w:right w:val="none" w:sz="0" w:space="0" w:color="auto"/>
      </w:divBdr>
    </w:div>
    <w:div w:id="416707452">
      <w:bodyDiv w:val="1"/>
      <w:marLeft w:val="0"/>
      <w:marRight w:val="0"/>
      <w:marTop w:val="0"/>
      <w:marBottom w:val="0"/>
      <w:divBdr>
        <w:top w:val="none" w:sz="0" w:space="0" w:color="auto"/>
        <w:left w:val="none" w:sz="0" w:space="0" w:color="auto"/>
        <w:bottom w:val="none" w:sz="0" w:space="0" w:color="auto"/>
        <w:right w:val="none" w:sz="0" w:space="0" w:color="auto"/>
      </w:divBdr>
    </w:div>
    <w:div w:id="430199759">
      <w:bodyDiv w:val="1"/>
      <w:marLeft w:val="0"/>
      <w:marRight w:val="0"/>
      <w:marTop w:val="0"/>
      <w:marBottom w:val="0"/>
      <w:divBdr>
        <w:top w:val="none" w:sz="0" w:space="0" w:color="auto"/>
        <w:left w:val="none" w:sz="0" w:space="0" w:color="auto"/>
        <w:bottom w:val="none" w:sz="0" w:space="0" w:color="auto"/>
        <w:right w:val="none" w:sz="0" w:space="0" w:color="auto"/>
      </w:divBdr>
    </w:div>
    <w:div w:id="450785661">
      <w:bodyDiv w:val="1"/>
      <w:marLeft w:val="0"/>
      <w:marRight w:val="0"/>
      <w:marTop w:val="0"/>
      <w:marBottom w:val="0"/>
      <w:divBdr>
        <w:top w:val="none" w:sz="0" w:space="0" w:color="auto"/>
        <w:left w:val="none" w:sz="0" w:space="0" w:color="auto"/>
        <w:bottom w:val="none" w:sz="0" w:space="0" w:color="auto"/>
        <w:right w:val="none" w:sz="0" w:space="0" w:color="auto"/>
      </w:divBdr>
    </w:div>
    <w:div w:id="456489495">
      <w:bodyDiv w:val="1"/>
      <w:marLeft w:val="0"/>
      <w:marRight w:val="0"/>
      <w:marTop w:val="0"/>
      <w:marBottom w:val="0"/>
      <w:divBdr>
        <w:top w:val="none" w:sz="0" w:space="0" w:color="auto"/>
        <w:left w:val="none" w:sz="0" w:space="0" w:color="auto"/>
        <w:bottom w:val="none" w:sz="0" w:space="0" w:color="auto"/>
        <w:right w:val="none" w:sz="0" w:space="0" w:color="auto"/>
      </w:divBdr>
    </w:div>
    <w:div w:id="457258271">
      <w:bodyDiv w:val="1"/>
      <w:marLeft w:val="0"/>
      <w:marRight w:val="0"/>
      <w:marTop w:val="0"/>
      <w:marBottom w:val="0"/>
      <w:divBdr>
        <w:top w:val="none" w:sz="0" w:space="0" w:color="auto"/>
        <w:left w:val="none" w:sz="0" w:space="0" w:color="auto"/>
        <w:bottom w:val="none" w:sz="0" w:space="0" w:color="auto"/>
        <w:right w:val="none" w:sz="0" w:space="0" w:color="auto"/>
      </w:divBdr>
    </w:div>
    <w:div w:id="469132545">
      <w:bodyDiv w:val="1"/>
      <w:marLeft w:val="0"/>
      <w:marRight w:val="0"/>
      <w:marTop w:val="0"/>
      <w:marBottom w:val="0"/>
      <w:divBdr>
        <w:top w:val="none" w:sz="0" w:space="0" w:color="auto"/>
        <w:left w:val="none" w:sz="0" w:space="0" w:color="auto"/>
        <w:bottom w:val="none" w:sz="0" w:space="0" w:color="auto"/>
        <w:right w:val="none" w:sz="0" w:space="0" w:color="auto"/>
      </w:divBdr>
      <w:divsChild>
        <w:div w:id="186188210">
          <w:marLeft w:val="0"/>
          <w:marRight w:val="0"/>
          <w:marTop w:val="0"/>
          <w:marBottom w:val="0"/>
          <w:divBdr>
            <w:top w:val="none" w:sz="0" w:space="0" w:color="auto"/>
            <w:left w:val="none" w:sz="0" w:space="0" w:color="auto"/>
            <w:bottom w:val="none" w:sz="0" w:space="0" w:color="auto"/>
            <w:right w:val="none" w:sz="0" w:space="0" w:color="auto"/>
          </w:divBdr>
          <w:divsChild>
            <w:div w:id="9367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4587">
      <w:bodyDiv w:val="1"/>
      <w:marLeft w:val="0"/>
      <w:marRight w:val="0"/>
      <w:marTop w:val="0"/>
      <w:marBottom w:val="0"/>
      <w:divBdr>
        <w:top w:val="none" w:sz="0" w:space="0" w:color="auto"/>
        <w:left w:val="none" w:sz="0" w:space="0" w:color="auto"/>
        <w:bottom w:val="none" w:sz="0" w:space="0" w:color="auto"/>
        <w:right w:val="none" w:sz="0" w:space="0" w:color="auto"/>
      </w:divBdr>
    </w:div>
    <w:div w:id="482743231">
      <w:bodyDiv w:val="1"/>
      <w:marLeft w:val="0"/>
      <w:marRight w:val="0"/>
      <w:marTop w:val="0"/>
      <w:marBottom w:val="0"/>
      <w:divBdr>
        <w:top w:val="none" w:sz="0" w:space="0" w:color="auto"/>
        <w:left w:val="none" w:sz="0" w:space="0" w:color="auto"/>
        <w:bottom w:val="none" w:sz="0" w:space="0" w:color="auto"/>
        <w:right w:val="none" w:sz="0" w:space="0" w:color="auto"/>
      </w:divBdr>
    </w:div>
    <w:div w:id="491990426">
      <w:bodyDiv w:val="1"/>
      <w:marLeft w:val="0"/>
      <w:marRight w:val="0"/>
      <w:marTop w:val="0"/>
      <w:marBottom w:val="0"/>
      <w:divBdr>
        <w:top w:val="none" w:sz="0" w:space="0" w:color="auto"/>
        <w:left w:val="none" w:sz="0" w:space="0" w:color="auto"/>
        <w:bottom w:val="none" w:sz="0" w:space="0" w:color="auto"/>
        <w:right w:val="none" w:sz="0" w:space="0" w:color="auto"/>
      </w:divBdr>
    </w:div>
    <w:div w:id="555824655">
      <w:bodyDiv w:val="1"/>
      <w:marLeft w:val="0"/>
      <w:marRight w:val="0"/>
      <w:marTop w:val="0"/>
      <w:marBottom w:val="0"/>
      <w:divBdr>
        <w:top w:val="none" w:sz="0" w:space="0" w:color="auto"/>
        <w:left w:val="none" w:sz="0" w:space="0" w:color="auto"/>
        <w:bottom w:val="none" w:sz="0" w:space="0" w:color="auto"/>
        <w:right w:val="none" w:sz="0" w:space="0" w:color="auto"/>
      </w:divBdr>
    </w:div>
    <w:div w:id="575700671">
      <w:bodyDiv w:val="1"/>
      <w:marLeft w:val="0"/>
      <w:marRight w:val="0"/>
      <w:marTop w:val="0"/>
      <w:marBottom w:val="0"/>
      <w:divBdr>
        <w:top w:val="none" w:sz="0" w:space="0" w:color="auto"/>
        <w:left w:val="none" w:sz="0" w:space="0" w:color="auto"/>
        <w:bottom w:val="none" w:sz="0" w:space="0" w:color="auto"/>
        <w:right w:val="none" w:sz="0" w:space="0" w:color="auto"/>
      </w:divBdr>
      <w:divsChild>
        <w:div w:id="1591038098">
          <w:marLeft w:val="547"/>
          <w:marRight w:val="0"/>
          <w:marTop w:val="0"/>
          <w:marBottom w:val="0"/>
          <w:divBdr>
            <w:top w:val="none" w:sz="0" w:space="0" w:color="auto"/>
            <w:left w:val="none" w:sz="0" w:space="0" w:color="auto"/>
            <w:bottom w:val="none" w:sz="0" w:space="0" w:color="auto"/>
            <w:right w:val="none" w:sz="0" w:space="0" w:color="auto"/>
          </w:divBdr>
        </w:div>
      </w:divsChild>
    </w:div>
    <w:div w:id="580141278">
      <w:bodyDiv w:val="1"/>
      <w:marLeft w:val="0"/>
      <w:marRight w:val="0"/>
      <w:marTop w:val="0"/>
      <w:marBottom w:val="0"/>
      <w:divBdr>
        <w:top w:val="none" w:sz="0" w:space="0" w:color="auto"/>
        <w:left w:val="none" w:sz="0" w:space="0" w:color="auto"/>
        <w:bottom w:val="none" w:sz="0" w:space="0" w:color="auto"/>
        <w:right w:val="none" w:sz="0" w:space="0" w:color="auto"/>
      </w:divBdr>
    </w:div>
    <w:div w:id="584145883">
      <w:bodyDiv w:val="1"/>
      <w:marLeft w:val="0"/>
      <w:marRight w:val="0"/>
      <w:marTop w:val="0"/>
      <w:marBottom w:val="0"/>
      <w:divBdr>
        <w:top w:val="none" w:sz="0" w:space="0" w:color="auto"/>
        <w:left w:val="none" w:sz="0" w:space="0" w:color="auto"/>
        <w:bottom w:val="none" w:sz="0" w:space="0" w:color="auto"/>
        <w:right w:val="none" w:sz="0" w:space="0" w:color="auto"/>
      </w:divBdr>
    </w:div>
    <w:div w:id="595745919">
      <w:bodyDiv w:val="1"/>
      <w:marLeft w:val="0"/>
      <w:marRight w:val="0"/>
      <w:marTop w:val="0"/>
      <w:marBottom w:val="0"/>
      <w:divBdr>
        <w:top w:val="none" w:sz="0" w:space="0" w:color="auto"/>
        <w:left w:val="none" w:sz="0" w:space="0" w:color="auto"/>
        <w:bottom w:val="none" w:sz="0" w:space="0" w:color="auto"/>
        <w:right w:val="none" w:sz="0" w:space="0" w:color="auto"/>
      </w:divBdr>
    </w:div>
    <w:div w:id="604921902">
      <w:bodyDiv w:val="1"/>
      <w:marLeft w:val="0"/>
      <w:marRight w:val="0"/>
      <w:marTop w:val="0"/>
      <w:marBottom w:val="0"/>
      <w:divBdr>
        <w:top w:val="none" w:sz="0" w:space="0" w:color="auto"/>
        <w:left w:val="none" w:sz="0" w:space="0" w:color="auto"/>
        <w:bottom w:val="none" w:sz="0" w:space="0" w:color="auto"/>
        <w:right w:val="none" w:sz="0" w:space="0" w:color="auto"/>
      </w:divBdr>
    </w:div>
    <w:div w:id="611936074">
      <w:bodyDiv w:val="1"/>
      <w:marLeft w:val="0"/>
      <w:marRight w:val="0"/>
      <w:marTop w:val="0"/>
      <w:marBottom w:val="0"/>
      <w:divBdr>
        <w:top w:val="none" w:sz="0" w:space="0" w:color="auto"/>
        <w:left w:val="none" w:sz="0" w:space="0" w:color="auto"/>
        <w:bottom w:val="none" w:sz="0" w:space="0" w:color="auto"/>
        <w:right w:val="none" w:sz="0" w:space="0" w:color="auto"/>
      </w:divBdr>
    </w:div>
    <w:div w:id="635766797">
      <w:bodyDiv w:val="1"/>
      <w:marLeft w:val="0"/>
      <w:marRight w:val="0"/>
      <w:marTop w:val="0"/>
      <w:marBottom w:val="0"/>
      <w:divBdr>
        <w:top w:val="none" w:sz="0" w:space="0" w:color="auto"/>
        <w:left w:val="none" w:sz="0" w:space="0" w:color="auto"/>
        <w:bottom w:val="none" w:sz="0" w:space="0" w:color="auto"/>
        <w:right w:val="none" w:sz="0" w:space="0" w:color="auto"/>
      </w:divBdr>
    </w:div>
    <w:div w:id="653947186">
      <w:bodyDiv w:val="1"/>
      <w:marLeft w:val="0"/>
      <w:marRight w:val="0"/>
      <w:marTop w:val="0"/>
      <w:marBottom w:val="0"/>
      <w:divBdr>
        <w:top w:val="none" w:sz="0" w:space="0" w:color="auto"/>
        <w:left w:val="none" w:sz="0" w:space="0" w:color="auto"/>
        <w:bottom w:val="none" w:sz="0" w:space="0" w:color="auto"/>
        <w:right w:val="none" w:sz="0" w:space="0" w:color="auto"/>
      </w:divBdr>
    </w:div>
    <w:div w:id="685180360">
      <w:bodyDiv w:val="1"/>
      <w:marLeft w:val="0"/>
      <w:marRight w:val="0"/>
      <w:marTop w:val="0"/>
      <w:marBottom w:val="0"/>
      <w:divBdr>
        <w:top w:val="none" w:sz="0" w:space="0" w:color="auto"/>
        <w:left w:val="none" w:sz="0" w:space="0" w:color="auto"/>
        <w:bottom w:val="none" w:sz="0" w:space="0" w:color="auto"/>
        <w:right w:val="none" w:sz="0" w:space="0" w:color="auto"/>
      </w:divBdr>
    </w:div>
    <w:div w:id="714237973">
      <w:bodyDiv w:val="1"/>
      <w:marLeft w:val="0"/>
      <w:marRight w:val="0"/>
      <w:marTop w:val="0"/>
      <w:marBottom w:val="0"/>
      <w:divBdr>
        <w:top w:val="none" w:sz="0" w:space="0" w:color="auto"/>
        <w:left w:val="none" w:sz="0" w:space="0" w:color="auto"/>
        <w:bottom w:val="none" w:sz="0" w:space="0" w:color="auto"/>
        <w:right w:val="none" w:sz="0" w:space="0" w:color="auto"/>
      </w:divBdr>
    </w:div>
    <w:div w:id="734816807">
      <w:bodyDiv w:val="1"/>
      <w:marLeft w:val="0"/>
      <w:marRight w:val="0"/>
      <w:marTop w:val="0"/>
      <w:marBottom w:val="0"/>
      <w:divBdr>
        <w:top w:val="none" w:sz="0" w:space="0" w:color="auto"/>
        <w:left w:val="none" w:sz="0" w:space="0" w:color="auto"/>
        <w:bottom w:val="none" w:sz="0" w:space="0" w:color="auto"/>
        <w:right w:val="none" w:sz="0" w:space="0" w:color="auto"/>
      </w:divBdr>
    </w:div>
    <w:div w:id="741492771">
      <w:bodyDiv w:val="1"/>
      <w:marLeft w:val="0"/>
      <w:marRight w:val="0"/>
      <w:marTop w:val="0"/>
      <w:marBottom w:val="0"/>
      <w:divBdr>
        <w:top w:val="none" w:sz="0" w:space="0" w:color="auto"/>
        <w:left w:val="none" w:sz="0" w:space="0" w:color="auto"/>
        <w:bottom w:val="none" w:sz="0" w:space="0" w:color="auto"/>
        <w:right w:val="none" w:sz="0" w:space="0" w:color="auto"/>
      </w:divBdr>
    </w:div>
    <w:div w:id="777530130">
      <w:bodyDiv w:val="1"/>
      <w:marLeft w:val="0"/>
      <w:marRight w:val="0"/>
      <w:marTop w:val="0"/>
      <w:marBottom w:val="0"/>
      <w:divBdr>
        <w:top w:val="none" w:sz="0" w:space="0" w:color="auto"/>
        <w:left w:val="none" w:sz="0" w:space="0" w:color="auto"/>
        <w:bottom w:val="none" w:sz="0" w:space="0" w:color="auto"/>
        <w:right w:val="none" w:sz="0" w:space="0" w:color="auto"/>
      </w:divBdr>
    </w:div>
    <w:div w:id="786509900">
      <w:bodyDiv w:val="1"/>
      <w:marLeft w:val="0"/>
      <w:marRight w:val="0"/>
      <w:marTop w:val="0"/>
      <w:marBottom w:val="0"/>
      <w:divBdr>
        <w:top w:val="none" w:sz="0" w:space="0" w:color="auto"/>
        <w:left w:val="none" w:sz="0" w:space="0" w:color="auto"/>
        <w:bottom w:val="none" w:sz="0" w:space="0" w:color="auto"/>
        <w:right w:val="none" w:sz="0" w:space="0" w:color="auto"/>
      </w:divBdr>
    </w:div>
    <w:div w:id="819809312">
      <w:bodyDiv w:val="1"/>
      <w:marLeft w:val="0"/>
      <w:marRight w:val="0"/>
      <w:marTop w:val="0"/>
      <w:marBottom w:val="0"/>
      <w:divBdr>
        <w:top w:val="none" w:sz="0" w:space="0" w:color="auto"/>
        <w:left w:val="none" w:sz="0" w:space="0" w:color="auto"/>
        <w:bottom w:val="none" w:sz="0" w:space="0" w:color="auto"/>
        <w:right w:val="none" w:sz="0" w:space="0" w:color="auto"/>
      </w:divBdr>
    </w:div>
    <w:div w:id="828516751">
      <w:bodyDiv w:val="1"/>
      <w:marLeft w:val="0"/>
      <w:marRight w:val="0"/>
      <w:marTop w:val="0"/>
      <w:marBottom w:val="0"/>
      <w:divBdr>
        <w:top w:val="none" w:sz="0" w:space="0" w:color="auto"/>
        <w:left w:val="none" w:sz="0" w:space="0" w:color="auto"/>
        <w:bottom w:val="none" w:sz="0" w:space="0" w:color="auto"/>
        <w:right w:val="none" w:sz="0" w:space="0" w:color="auto"/>
      </w:divBdr>
    </w:div>
    <w:div w:id="859273283">
      <w:bodyDiv w:val="1"/>
      <w:marLeft w:val="0"/>
      <w:marRight w:val="0"/>
      <w:marTop w:val="0"/>
      <w:marBottom w:val="0"/>
      <w:divBdr>
        <w:top w:val="none" w:sz="0" w:space="0" w:color="auto"/>
        <w:left w:val="none" w:sz="0" w:space="0" w:color="auto"/>
        <w:bottom w:val="none" w:sz="0" w:space="0" w:color="auto"/>
        <w:right w:val="none" w:sz="0" w:space="0" w:color="auto"/>
      </w:divBdr>
    </w:div>
    <w:div w:id="863638012">
      <w:bodyDiv w:val="1"/>
      <w:marLeft w:val="0"/>
      <w:marRight w:val="0"/>
      <w:marTop w:val="0"/>
      <w:marBottom w:val="0"/>
      <w:divBdr>
        <w:top w:val="none" w:sz="0" w:space="0" w:color="auto"/>
        <w:left w:val="none" w:sz="0" w:space="0" w:color="auto"/>
        <w:bottom w:val="none" w:sz="0" w:space="0" w:color="auto"/>
        <w:right w:val="none" w:sz="0" w:space="0" w:color="auto"/>
      </w:divBdr>
    </w:div>
    <w:div w:id="908033159">
      <w:bodyDiv w:val="1"/>
      <w:marLeft w:val="0"/>
      <w:marRight w:val="0"/>
      <w:marTop w:val="0"/>
      <w:marBottom w:val="0"/>
      <w:divBdr>
        <w:top w:val="none" w:sz="0" w:space="0" w:color="auto"/>
        <w:left w:val="none" w:sz="0" w:space="0" w:color="auto"/>
        <w:bottom w:val="none" w:sz="0" w:space="0" w:color="auto"/>
        <w:right w:val="none" w:sz="0" w:space="0" w:color="auto"/>
      </w:divBdr>
    </w:div>
    <w:div w:id="935862332">
      <w:bodyDiv w:val="1"/>
      <w:marLeft w:val="0"/>
      <w:marRight w:val="0"/>
      <w:marTop w:val="0"/>
      <w:marBottom w:val="0"/>
      <w:divBdr>
        <w:top w:val="none" w:sz="0" w:space="0" w:color="auto"/>
        <w:left w:val="none" w:sz="0" w:space="0" w:color="auto"/>
        <w:bottom w:val="none" w:sz="0" w:space="0" w:color="auto"/>
        <w:right w:val="none" w:sz="0" w:space="0" w:color="auto"/>
      </w:divBdr>
    </w:div>
    <w:div w:id="952396788">
      <w:bodyDiv w:val="1"/>
      <w:marLeft w:val="0"/>
      <w:marRight w:val="0"/>
      <w:marTop w:val="0"/>
      <w:marBottom w:val="0"/>
      <w:divBdr>
        <w:top w:val="none" w:sz="0" w:space="0" w:color="auto"/>
        <w:left w:val="none" w:sz="0" w:space="0" w:color="auto"/>
        <w:bottom w:val="none" w:sz="0" w:space="0" w:color="auto"/>
        <w:right w:val="none" w:sz="0" w:space="0" w:color="auto"/>
      </w:divBdr>
    </w:div>
    <w:div w:id="952633129">
      <w:bodyDiv w:val="1"/>
      <w:marLeft w:val="0"/>
      <w:marRight w:val="0"/>
      <w:marTop w:val="0"/>
      <w:marBottom w:val="0"/>
      <w:divBdr>
        <w:top w:val="none" w:sz="0" w:space="0" w:color="auto"/>
        <w:left w:val="none" w:sz="0" w:space="0" w:color="auto"/>
        <w:bottom w:val="none" w:sz="0" w:space="0" w:color="auto"/>
        <w:right w:val="none" w:sz="0" w:space="0" w:color="auto"/>
      </w:divBdr>
    </w:div>
    <w:div w:id="952907746">
      <w:bodyDiv w:val="1"/>
      <w:marLeft w:val="0"/>
      <w:marRight w:val="0"/>
      <w:marTop w:val="0"/>
      <w:marBottom w:val="0"/>
      <w:divBdr>
        <w:top w:val="none" w:sz="0" w:space="0" w:color="auto"/>
        <w:left w:val="none" w:sz="0" w:space="0" w:color="auto"/>
        <w:bottom w:val="none" w:sz="0" w:space="0" w:color="auto"/>
        <w:right w:val="none" w:sz="0" w:space="0" w:color="auto"/>
      </w:divBdr>
    </w:div>
    <w:div w:id="955481953">
      <w:bodyDiv w:val="1"/>
      <w:marLeft w:val="0"/>
      <w:marRight w:val="0"/>
      <w:marTop w:val="0"/>
      <w:marBottom w:val="0"/>
      <w:divBdr>
        <w:top w:val="none" w:sz="0" w:space="0" w:color="auto"/>
        <w:left w:val="none" w:sz="0" w:space="0" w:color="auto"/>
        <w:bottom w:val="none" w:sz="0" w:space="0" w:color="auto"/>
        <w:right w:val="none" w:sz="0" w:space="0" w:color="auto"/>
      </w:divBdr>
    </w:div>
    <w:div w:id="969436802">
      <w:bodyDiv w:val="1"/>
      <w:marLeft w:val="0"/>
      <w:marRight w:val="0"/>
      <w:marTop w:val="0"/>
      <w:marBottom w:val="0"/>
      <w:divBdr>
        <w:top w:val="none" w:sz="0" w:space="0" w:color="auto"/>
        <w:left w:val="none" w:sz="0" w:space="0" w:color="auto"/>
        <w:bottom w:val="none" w:sz="0" w:space="0" w:color="auto"/>
        <w:right w:val="none" w:sz="0" w:space="0" w:color="auto"/>
      </w:divBdr>
    </w:div>
    <w:div w:id="976179208">
      <w:bodyDiv w:val="1"/>
      <w:marLeft w:val="0"/>
      <w:marRight w:val="0"/>
      <w:marTop w:val="0"/>
      <w:marBottom w:val="0"/>
      <w:divBdr>
        <w:top w:val="none" w:sz="0" w:space="0" w:color="auto"/>
        <w:left w:val="none" w:sz="0" w:space="0" w:color="auto"/>
        <w:bottom w:val="none" w:sz="0" w:space="0" w:color="auto"/>
        <w:right w:val="none" w:sz="0" w:space="0" w:color="auto"/>
      </w:divBdr>
    </w:div>
    <w:div w:id="987711196">
      <w:bodyDiv w:val="1"/>
      <w:marLeft w:val="0"/>
      <w:marRight w:val="0"/>
      <w:marTop w:val="0"/>
      <w:marBottom w:val="0"/>
      <w:divBdr>
        <w:top w:val="none" w:sz="0" w:space="0" w:color="auto"/>
        <w:left w:val="none" w:sz="0" w:space="0" w:color="auto"/>
        <w:bottom w:val="none" w:sz="0" w:space="0" w:color="auto"/>
        <w:right w:val="none" w:sz="0" w:space="0" w:color="auto"/>
      </w:divBdr>
    </w:div>
    <w:div w:id="1013261528">
      <w:bodyDiv w:val="1"/>
      <w:marLeft w:val="0"/>
      <w:marRight w:val="0"/>
      <w:marTop w:val="0"/>
      <w:marBottom w:val="0"/>
      <w:divBdr>
        <w:top w:val="none" w:sz="0" w:space="0" w:color="auto"/>
        <w:left w:val="none" w:sz="0" w:space="0" w:color="auto"/>
        <w:bottom w:val="none" w:sz="0" w:space="0" w:color="auto"/>
        <w:right w:val="none" w:sz="0" w:space="0" w:color="auto"/>
      </w:divBdr>
    </w:div>
    <w:div w:id="1014384236">
      <w:bodyDiv w:val="1"/>
      <w:marLeft w:val="0"/>
      <w:marRight w:val="0"/>
      <w:marTop w:val="0"/>
      <w:marBottom w:val="0"/>
      <w:divBdr>
        <w:top w:val="none" w:sz="0" w:space="0" w:color="auto"/>
        <w:left w:val="none" w:sz="0" w:space="0" w:color="auto"/>
        <w:bottom w:val="none" w:sz="0" w:space="0" w:color="auto"/>
        <w:right w:val="none" w:sz="0" w:space="0" w:color="auto"/>
      </w:divBdr>
    </w:div>
    <w:div w:id="1022046971">
      <w:bodyDiv w:val="1"/>
      <w:marLeft w:val="0"/>
      <w:marRight w:val="0"/>
      <w:marTop w:val="0"/>
      <w:marBottom w:val="0"/>
      <w:divBdr>
        <w:top w:val="none" w:sz="0" w:space="0" w:color="auto"/>
        <w:left w:val="none" w:sz="0" w:space="0" w:color="auto"/>
        <w:bottom w:val="none" w:sz="0" w:space="0" w:color="auto"/>
        <w:right w:val="none" w:sz="0" w:space="0" w:color="auto"/>
      </w:divBdr>
    </w:div>
    <w:div w:id="1026322943">
      <w:bodyDiv w:val="1"/>
      <w:marLeft w:val="0"/>
      <w:marRight w:val="0"/>
      <w:marTop w:val="0"/>
      <w:marBottom w:val="0"/>
      <w:divBdr>
        <w:top w:val="none" w:sz="0" w:space="0" w:color="auto"/>
        <w:left w:val="none" w:sz="0" w:space="0" w:color="auto"/>
        <w:bottom w:val="none" w:sz="0" w:space="0" w:color="auto"/>
        <w:right w:val="none" w:sz="0" w:space="0" w:color="auto"/>
      </w:divBdr>
    </w:div>
    <w:div w:id="1044257185">
      <w:bodyDiv w:val="1"/>
      <w:marLeft w:val="0"/>
      <w:marRight w:val="0"/>
      <w:marTop w:val="0"/>
      <w:marBottom w:val="0"/>
      <w:divBdr>
        <w:top w:val="none" w:sz="0" w:space="0" w:color="auto"/>
        <w:left w:val="none" w:sz="0" w:space="0" w:color="auto"/>
        <w:bottom w:val="none" w:sz="0" w:space="0" w:color="auto"/>
        <w:right w:val="none" w:sz="0" w:space="0" w:color="auto"/>
      </w:divBdr>
    </w:div>
    <w:div w:id="1097213976">
      <w:bodyDiv w:val="1"/>
      <w:marLeft w:val="0"/>
      <w:marRight w:val="0"/>
      <w:marTop w:val="0"/>
      <w:marBottom w:val="0"/>
      <w:divBdr>
        <w:top w:val="none" w:sz="0" w:space="0" w:color="auto"/>
        <w:left w:val="none" w:sz="0" w:space="0" w:color="auto"/>
        <w:bottom w:val="none" w:sz="0" w:space="0" w:color="auto"/>
        <w:right w:val="none" w:sz="0" w:space="0" w:color="auto"/>
      </w:divBdr>
    </w:div>
    <w:div w:id="1110051714">
      <w:bodyDiv w:val="1"/>
      <w:marLeft w:val="0"/>
      <w:marRight w:val="0"/>
      <w:marTop w:val="0"/>
      <w:marBottom w:val="0"/>
      <w:divBdr>
        <w:top w:val="none" w:sz="0" w:space="0" w:color="auto"/>
        <w:left w:val="none" w:sz="0" w:space="0" w:color="auto"/>
        <w:bottom w:val="none" w:sz="0" w:space="0" w:color="auto"/>
        <w:right w:val="none" w:sz="0" w:space="0" w:color="auto"/>
      </w:divBdr>
    </w:div>
    <w:div w:id="1122962910">
      <w:bodyDiv w:val="1"/>
      <w:marLeft w:val="0"/>
      <w:marRight w:val="0"/>
      <w:marTop w:val="0"/>
      <w:marBottom w:val="0"/>
      <w:divBdr>
        <w:top w:val="none" w:sz="0" w:space="0" w:color="auto"/>
        <w:left w:val="none" w:sz="0" w:space="0" w:color="auto"/>
        <w:bottom w:val="none" w:sz="0" w:space="0" w:color="auto"/>
        <w:right w:val="none" w:sz="0" w:space="0" w:color="auto"/>
      </w:divBdr>
    </w:div>
    <w:div w:id="1134561197">
      <w:bodyDiv w:val="1"/>
      <w:marLeft w:val="0"/>
      <w:marRight w:val="0"/>
      <w:marTop w:val="0"/>
      <w:marBottom w:val="0"/>
      <w:divBdr>
        <w:top w:val="none" w:sz="0" w:space="0" w:color="auto"/>
        <w:left w:val="none" w:sz="0" w:space="0" w:color="auto"/>
        <w:bottom w:val="none" w:sz="0" w:space="0" w:color="auto"/>
        <w:right w:val="none" w:sz="0" w:space="0" w:color="auto"/>
      </w:divBdr>
    </w:div>
    <w:div w:id="1135103252">
      <w:bodyDiv w:val="1"/>
      <w:marLeft w:val="0"/>
      <w:marRight w:val="0"/>
      <w:marTop w:val="0"/>
      <w:marBottom w:val="0"/>
      <w:divBdr>
        <w:top w:val="none" w:sz="0" w:space="0" w:color="auto"/>
        <w:left w:val="none" w:sz="0" w:space="0" w:color="auto"/>
        <w:bottom w:val="none" w:sz="0" w:space="0" w:color="auto"/>
        <w:right w:val="none" w:sz="0" w:space="0" w:color="auto"/>
      </w:divBdr>
    </w:div>
    <w:div w:id="1136336914">
      <w:bodyDiv w:val="1"/>
      <w:marLeft w:val="0"/>
      <w:marRight w:val="0"/>
      <w:marTop w:val="0"/>
      <w:marBottom w:val="0"/>
      <w:divBdr>
        <w:top w:val="none" w:sz="0" w:space="0" w:color="auto"/>
        <w:left w:val="none" w:sz="0" w:space="0" w:color="auto"/>
        <w:bottom w:val="none" w:sz="0" w:space="0" w:color="auto"/>
        <w:right w:val="none" w:sz="0" w:space="0" w:color="auto"/>
      </w:divBdr>
    </w:div>
    <w:div w:id="1149251436">
      <w:bodyDiv w:val="1"/>
      <w:marLeft w:val="0"/>
      <w:marRight w:val="0"/>
      <w:marTop w:val="0"/>
      <w:marBottom w:val="0"/>
      <w:divBdr>
        <w:top w:val="none" w:sz="0" w:space="0" w:color="auto"/>
        <w:left w:val="none" w:sz="0" w:space="0" w:color="auto"/>
        <w:bottom w:val="none" w:sz="0" w:space="0" w:color="auto"/>
        <w:right w:val="none" w:sz="0" w:space="0" w:color="auto"/>
      </w:divBdr>
    </w:div>
    <w:div w:id="1164660676">
      <w:bodyDiv w:val="1"/>
      <w:marLeft w:val="0"/>
      <w:marRight w:val="0"/>
      <w:marTop w:val="0"/>
      <w:marBottom w:val="0"/>
      <w:divBdr>
        <w:top w:val="none" w:sz="0" w:space="0" w:color="auto"/>
        <w:left w:val="none" w:sz="0" w:space="0" w:color="auto"/>
        <w:bottom w:val="none" w:sz="0" w:space="0" w:color="auto"/>
        <w:right w:val="none" w:sz="0" w:space="0" w:color="auto"/>
      </w:divBdr>
    </w:div>
    <w:div w:id="1165629626">
      <w:bodyDiv w:val="1"/>
      <w:marLeft w:val="0"/>
      <w:marRight w:val="0"/>
      <w:marTop w:val="0"/>
      <w:marBottom w:val="0"/>
      <w:divBdr>
        <w:top w:val="none" w:sz="0" w:space="0" w:color="auto"/>
        <w:left w:val="none" w:sz="0" w:space="0" w:color="auto"/>
        <w:bottom w:val="none" w:sz="0" w:space="0" w:color="auto"/>
        <w:right w:val="none" w:sz="0" w:space="0" w:color="auto"/>
      </w:divBdr>
    </w:div>
    <w:div w:id="1196622370">
      <w:bodyDiv w:val="1"/>
      <w:marLeft w:val="0"/>
      <w:marRight w:val="0"/>
      <w:marTop w:val="0"/>
      <w:marBottom w:val="0"/>
      <w:divBdr>
        <w:top w:val="none" w:sz="0" w:space="0" w:color="auto"/>
        <w:left w:val="none" w:sz="0" w:space="0" w:color="auto"/>
        <w:bottom w:val="none" w:sz="0" w:space="0" w:color="auto"/>
        <w:right w:val="none" w:sz="0" w:space="0" w:color="auto"/>
      </w:divBdr>
    </w:div>
    <w:div w:id="1215774772">
      <w:bodyDiv w:val="1"/>
      <w:marLeft w:val="0"/>
      <w:marRight w:val="0"/>
      <w:marTop w:val="0"/>
      <w:marBottom w:val="0"/>
      <w:divBdr>
        <w:top w:val="none" w:sz="0" w:space="0" w:color="auto"/>
        <w:left w:val="none" w:sz="0" w:space="0" w:color="auto"/>
        <w:bottom w:val="none" w:sz="0" w:space="0" w:color="auto"/>
        <w:right w:val="none" w:sz="0" w:space="0" w:color="auto"/>
      </w:divBdr>
    </w:div>
    <w:div w:id="1284651842">
      <w:bodyDiv w:val="1"/>
      <w:marLeft w:val="0"/>
      <w:marRight w:val="0"/>
      <w:marTop w:val="0"/>
      <w:marBottom w:val="0"/>
      <w:divBdr>
        <w:top w:val="none" w:sz="0" w:space="0" w:color="auto"/>
        <w:left w:val="none" w:sz="0" w:space="0" w:color="auto"/>
        <w:bottom w:val="none" w:sz="0" w:space="0" w:color="auto"/>
        <w:right w:val="none" w:sz="0" w:space="0" w:color="auto"/>
      </w:divBdr>
    </w:div>
    <w:div w:id="1307005676">
      <w:bodyDiv w:val="1"/>
      <w:marLeft w:val="0"/>
      <w:marRight w:val="0"/>
      <w:marTop w:val="0"/>
      <w:marBottom w:val="0"/>
      <w:divBdr>
        <w:top w:val="none" w:sz="0" w:space="0" w:color="auto"/>
        <w:left w:val="none" w:sz="0" w:space="0" w:color="auto"/>
        <w:bottom w:val="none" w:sz="0" w:space="0" w:color="auto"/>
        <w:right w:val="none" w:sz="0" w:space="0" w:color="auto"/>
      </w:divBdr>
    </w:div>
    <w:div w:id="1320844187">
      <w:bodyDiv w:val="1"/>
      <w:marLeft w:val="0"/>
      <w:marRight w:val="0"/>
      <w:marTop w:val="0"/>
      <w:marBottom w:val="0"/>
      <w:divBdr>
        <w:top w:val="none" w:sz="0" w:space="0" w:color="auto"/>
        <w:left w:val="none" w:sz="0" w:space="0" w:color="auto"/>
        <w:bottom w:val="none" w:sz="0" w:space="0" w:color="auto"/>
        <w:right w:val="none" w:sz="0" w:space="0" w:color="auto"/>
      </w:divBdr>
    </w:div>
    <w:div w:id="1335261536">
      <w:bodyDiv w:val="1"/>
      <w:marLeft w:val="0"/>
      <w:marRight w:val="0"/>
      <w:marTop w:val="0"/>
      <w:marBottom w:val="0"/>
      <w:divBdr>
        <w:top w:val="none" w:sz="0" w:space="0" w:color="auto"/>
        <w:left w:val="none" w:sz="0" w:space="0" w:color="auto"/>
        <w:bottom w:val="none" w:sz="0" w:space="0" w:color="auto"/>
        <w:right w:val="none" w:sz="0" w:space="0" w:color="auto"/>
      </w:divBdr>
    </w:div>
    <w:div w:id="1350525227">
      <w:bodyDiv w:val="1"/>
      <w:marLeft w:val="0"/>
      <w:marRight w:val="0"/>
      <w:marTop w:val="0"/>
      <w:marBottom w:val="0"/>
      <w:divBdr>
        <w:top w:val="none" w:sz="0" w:space="0" w:color="auto"/>
        <w:left w:val="none" w:sz="0" w:space="0" w:color="auto"/>
        <w:bottom w:val="none" w:sz="0" w:space="0" w:color="auto"/>
        <w:right w:val="none" w:sz="0" w:space="0" w:color="auto"/>
      </w:divBdr>
    </w:div>
    <w:div w:id="1351493179">
      <w:bodyDiv w:val="1"/>
      <w:marLeft w:val="0"/>
      <w:marRight w:val="0"/>
      <w:marTop w:val="0"/>
      <w:marBottom w:val="0"/>
      <w:divBdr>
        <w:top w:val="none" w:sz="0" w:space="0" w:color="auto"/>
        <w:left w:val="none" w:sz="0" w:space="0" w:color="auto"/>
        <w:bottom w:val="none" w:sz="0" w:space="0" w:color="auto"/>
        <w:right w:val="none" w:sz="0" w:space="0" w:color="auto"/>
      </w:divBdr>
    </w:div>
    <w:div w:id="1382630987">
      <w:bodyDiv w:val="1"/>
      <w:marLeft w:val="0"/>
      <w:marRight w:val="0"/>
      <w:marTop w:val="0"/>
      <w:marBottom w:val="0"/>
      <w:divBdr>
        <w:top w:val="none" w:sz="0" w:space="0" w:color="auto"/>
        <w:left w:val="none" w:sz="0" w:space="0" w:color="auto"/>
        <w:bottom w:val="none" w:sz="0" w:space="0" w:color="auto"/>
        <w:right w:val="none" w:sz="0" w:space="0" w:color="auto"/>
      </w:divBdr>
    </w:div>
    <w:div w:id="1389955485">
      <w:bodyDiv w:val="1"/>
      <w:marLeft w:val="0"/>
      <w:marRight w:val="0"/>
      <w:marTop w:val="0"/>
      <w:marBottom w:val="0"/>
      <w:divBdr>
        <w:top w:val="none" w:sz="0" w:space="0" w:color="auto"/>
        <w:left w:val="none" w:sz="0" w:space="0" w:color="auto"/>
        <w:bottom w:val="none" w:sz="0" w:space="0" w:color="auto"/>
        <w:right w:val="none" w:sz="0" w:space="0" w:color="auto"/>
      </w:divBdr>
    </w:div>
    <w:div w:id="1393583567">
      <w:bodyDiv w:val="1"/>
      <w:marLeft w:val="0"/>
      <w:marRight w:val="0"/>
      <w:marTop w:val="0"/>
      <w:marBottom w:val="0"/>
      <w:divBdr>
        <w:top w:val="none" w:sz="0" w:space="0" w:color="auto"/>
        <w:left w:val="none" w:sz="0" w:space="0" w:color="auto"/>
        <w:bottom w:val="none" w:sz="0" w:space="0" w:color="auto"/>
        <w:right w:val="none" w:sz="0" w:space="0" w:color="auto"/>
      </w:divBdr>
    </w:div>
    <w:div w:id="1421482906">
      <w:bodyDiv w:val="1"/>
      <w:marLeft w:val="0"/>
      <w:marRight w:val="0"/>
      <w:marTop w:val="0"/>
      <w:marBottom w:val="0"/>
      <w:divBdr>
        <w:top w:val="none" w:sz="0" w:space="0" w:color="auto"/>
        <w:left w:val="none" w:sz="0" w:space="0" w:color="auto"/>
        <w:bottom w:val="none" w:sz="0" w:space="0" w:color="auto"/>
        <w:right w:val="none" w:sz="0" w:space="0" w:color="auto"/>
      </w:divBdr>
    </w:div>
    <w:div w:id="1422488534">
      <w:bodyDiv w:val="1"/>
      <w:marLeft w:val="0"/>
      <w:marRight w:val="0"/>
      <w:marTop w:val="0"/>
      <w:marBottom w:val="0"/>
      <w:divBdr>
        <w:top w:val="none" w:sz="0" w:space="0" w:color="auto"/>
        <w:left w:val="none" w:sz="0" w:space="0" w:color="auto"/>
        <w:bottom w:val="none" w:sz="0" w:space="0" w:color="auto"/>
        <w:right w:val="none" w:sz="0" w:space="0" w:color="auto"/>
      </w:divBdr>
    </w:div>
    <w:div w:id="1424957389">
      <w:bodyDiv w:val="1"/>
      <w:marLeft w:val="0"/>
      <w:marRight w:val="0"/>
      <w:marTop w:val="0"/>
      <w:marBottom w:val="0"/>
      <w:divBdr>
        <w:top w:val="none" w:sz="0" w:space="0" w:color="auto"/>
        <w:left w:val="none" w:sz="0" w:space="0" w:color="auto"/>
        <w:bottom w:val="none" w:sz="0" w:space="0" w:color="auto"/>
        <w:right w:val="none" w:sz="0" w:space="0" w:color="auto"/>
      </w:divBdr>
    </w:div>
    <w:div w:id="1425568466">
      <w:bodyDiv w:val="1"/>
      <w:marLeft w:val="0"/>
      <w:marRight w:val="0"/>
      <w:marTop w:val="0"/>
      <w:marBottom w:val="0"/>
      <w:divBdr>
        <w:top w:val="none" w:sz="0" w:space="0" w:color="auto"/>
        <w:left w:val="none" w:sz="0" w:space="0" w:color="auto"/>
        <w:bottom w:val="none" w:sz="0" w:space="0" w:color="auto"/>
        <w:right w:val="none" w:sz="0" w:space="0" w:color="auto"/>
      </w:divBdr>
    </w:div>
    <w:div w:id="1428427827">
      <w:bodyDiv w:val="1"/>
      <w:marLeft w:val="0"/>
      <w:marRight w:val="0"/>
      <w:marTop w:val="0"/>
      <w:marBottom w:val="0"/>
      <w:divBdr>
        <w:top w:val="none" w:sz="0" w:space="0" w:color="auto"/>
        <w:left w:val="none" w:sz="0" w:space="0" w:color="auto"/>
        <w:bottom w:val="none" w:sz="0" w:space="0" w:color="auto"/>
        <w:right w:val="none" w:sz="0" w:space="0" w:color="auto"/>
      </w:divBdr>
    </w:div>
    <w:div w:id="1447308402">
      <w:bodyDiv w:val="1"/>
      <w:marLeft w:val="0"/>
      <w:marRight w:val="0"/>
      <w:marTop w:val="0"/>
      <w:marBottom w:val="0"/>
      <w:divBdr>
        <w:top w:val="none" w:sz="0" w:space="0" w:color="auto"/>
        <w:left w:val="none" w:sz="0" w:space="0" w:color="auto"/>
        <w:bottom w:val="none" w:sz="0" w:space="0" w:color="auto"/>
        <w:right w:val="none" w:sz="0" w:space="0" w:color="auto"/>
      </w:divBdr>
    </w:div>
    <w:div w:id="1462502539">
      <w:bodyDiv w:val="1"/>
      <w:marLeft w:val="0"/>
      <w:marRight w:val="0"/>
      <w:marTop w:val="0"/>
      <w:marBottom w:val="0"/>
      <w:divBdr>
        <w:top w:val="none" w:sz="0" w:space="0" w:color="auto"/>
        <w:left w:val="none" w:sz="0" w:space="0" w:color="auto"/>
        <w:bottom w:val="none" w:sz="0" w:space="0" w:color="auto"/>
        <w:right w:val="none" w:sz="0" w:space="0" w:color="auto"/>
      </w:divBdr>
    </w:div>
    <w:div w:id="1472092810">
      <w:bodyDiv w:val="1"/>
      <w:marLeft w:val="0"/>
      <w:marRight w:val="0"/>
      <w:marTop w:val="0"/>
      <w:marBottom w:val="0"/>
      <w:divBdr>
        <w:top w:val="none" w:sz="0" w:space="0" w:color="auto"/>
        <w:left w:val="none" w:sz="0" w:space="0" w:color="auto"/>
        <w:bottom w:val="none" w:sz="0" w:space="0" w:color="auto"/>
        <w:right w:val="none" w:sz="0" w:space="0" w:color="auto"/>
      </w:divBdr>
    </w:div>
    <w:div w:id="1492720344">
      <w:bodyDiv w:val="1"/>
      <w:marLeft w:val="0"/>
      <w:marRight w:val="0"/>
      <w:marTop w:val="0"/>
      <w:marBottom w:val="0"/>
      <w:divBdr>
        <w:top w:val="none" w:sz="0" w:space="0" w:color="auto"/>
        <w:left w:val="none" w:sz="0" w:space="0" w:color="auto"/>
        <w:bottom w:val="none" w:sz="0" w:space="0" w:color="auto"/>
        <w:right w:val="none" w:sz="0" w:space="0" w:color="auto"/>
      </w:divBdr>
    </w:div>
    <w:div w:id="1505780798">
      <w:bodyDiv w:val="1"/>
      <w:marLeft w:val="0"/>
      <w:marRight w:val="0"/>
      <w:marTop w:val="0"/>
      <w:marBottom w:val="0"/>
      <w:divBdr>
        <w:top w:val="none" w:sz="0" w:space="0" w:color="auto"/>
        <w:left w:val="none" w:sz="0" w:space="0" w:color="auto"/>
        <w:bottom w:val="none" w:sz="0" w:space="0" w:color="auto"/>
        <w:right w:val="none" w:sz="0" w:space="0" w:color="auto"/>
      </w:divBdr>
    </w:div>
    <w:div w:id="1512451815">
      <w:bodyDiv w:val="1"/>
      <w:marLeft w:val="0"/>
      <w:marRight w:val="0"/>
      <w:marTop w:val="0"/>
      <w:marBottom w:val="0"/>
      <w:divBdr>
        <w:top w:val="none" w:sz="0" w:space="0" w:color="auto"/>
        <w:left w:val="none" w:sz="0" w:space="0" w:color="auto"/>
        <w:bottom w:val="none" w:sz="0" w:space="0" w:color="auto"/>
        <w:right w:val="none" w:sz="0" w:space="0" w:color="auto"/>
      </w:divBdr>
    </w:div>
    <w:div w:id="1517112446">
      <w:bodyDiv w:val="1"/>
      <w:marLeft w:val="0"/>
      <w:marRight w:val="0"/>
      <w:marTop w:val="0"/>
      <w:marBottom w:val="0"/>
      <w:divBdr>
        <w:top w:val="none" w:sz="0" w:space="0" w:color="auto"/>
        <w:left w:val="none" w:sz="0" w:space="0" w:color="auto"/>
        <w:bottom w:val="none" w:sz="0" w:space="0" w:color="auto"/>
        <w:right w:val="none" w:sz="0" w:space="0" w:color="auto"/>
      </w:divBdr>
      <w:divsChild>
        <w:div w:id="1925260750">
          <w:marLeft w:val="0"/>
          <w:marRight w:val="0"/>
          <w:marTop w:val="0"/>
          <w:marBottom w:val="0"/>
          <w:divBdr>
            <w:top w:val="none" w:sz="0" w:space="0" w:color="auto"/>
            <w:left w:val="none" w:sz="0" w:space="0" w:color="auto"/>
            <w:bottom w:val="none" w:sz="0" w:space="0" w:color="auto"/>
            <w:right w:val="none" w:sz="0" w:space="0" w:color="auto"/>
          </w:divBdr>
          <w:divsChild>
            <w:div w:id="820460985">
              <w:marLeft w:val="0"/>
              <w:marRight w:val="0"/>
              <w:marTop w:val="0"/>
              <w:marBottom w:val="0"/>
              <w:divBdr>
                <w:top w:val="none" w:sz="0" w:space="0" w:color="auto"/>
                <w:left w:val="none" w:sz="0" w:space="0" w:color="auto"/>
                <w:bottom w:val="none" w:sz="0" w:space="0" w:color="auto"/>
                <w:right w:val="none" w:sz="0" w:space="0" w:color="auto"/>
              </w:divBdr>
            </w:div>
            <w:div w:id="1547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99447">
      <w:bodyDiv w:val="1"/>
      <w:marLeft w:val="0"/>
      <w:marRight w:val="0"/>
      <w:marTop w:val="0"/>
      <w:marBottom w:val="0"/>
      <w:divBdr>
        <w:top w:val="none" w:sz="0" w:space="0" w:color="auto"/>
        <w:left w:val="none" w:sz="0" w:space="0" w:color="auto"/>
        <w:bottom w:val="none" w:sz="0" w:space="0" w:color="auto"/>
        <w:right w:val="none" w:sz="0" w:space="0" w:color="auto"/>
      </w:divBdr>
    </w:div>
    <w:div w:id="1595480443">
      <w:bodyDiv w:val="1"/>
      <w:marLeft w:val="0"/>
      <w:marRight w:val="0"/>
      <w:marTop w:val="0"/>
      <w:marBottom w:val="0"/>
      <w:divBdr>
        <w:top w:val="none" w:sz="0" w:space="0" w:color="auto"/>
        <w:left w:val="none" w:sz="0" w:space="0" w:color="auto"/>
        <w:bottom w:val="none" w:sz="0" w:space="0" w:color="auto"/>
        <w:right w:val="none" w:sz="0" w:space="0" w:color="auto"/>
      </w:divBdr>
    </w:div>
    <w:div w:id="1603224530">
      <w:bodyDiv w:val="1"/>
      <w:marLeft w:val="0"/>
      <w:marRight w:val="0"/>
      <w:marTop w:val="0"/>
      <w:marBottom w:val="0"/>
      <w:divBdr>
        <w:top w:val="none" w:sz="0" w:space="0" w:color="auto"/>
        <w:left w:val="none" w:sz="0" w:space="0" w:color="auto"/>
        <w:bottom w:val="none" w:sz="0" w:space="0" w:color="auto"/>
        <w:right w:val="none" w:sz="0" w:space="0" w:color="auto"/>
      </w:divBdr>
    </w:div>
    <w:div w:id="1612126749">
      <w:bodyDiv w:val="1"/>
      <w:marLeft w:val="0"/>
      <w:marRight w:val="0"/>
      <w:marTop w:val="0"/>
      <w:marBottom w:val="0"/>
      <w:divBdr>
        <w:top w:val="none" w:sz="0" w:space="0" w:color="auto"/>
        <w:left w:val="none" w:sz="0" w:space="0" w:color="auto"/>
        <w:bottom w:val="none" w:sz="0" w:space="0" w:color="auto"/>
        <w:right w:val="none" w:sz="0" w:space="0" w:color="auto"/>
      </w:divBdr>
    </w:div>
    <w:div w:id="1644115412">
      <w:bodyDiv w:val="1"/>
      <w:marLeft w:val="0"/>
      <w:marRight w:val="0"/>
      <w:marTop w:val="0"/>
      <w:marBottom w:val="0"/>
      <w:divBdr>
        <w:top w:val="none" w:sz="0" w:space="0" w:color="auto"/>
        <w:left w:val="none" w:sz="0" w:space="0" w:color="auto"/>
        <w:bottom w:val="none" w:sz="0" w:space="0" w:color="auto"/>
        <w:right w:val="none" w:sz="0" w:space="0" w:color="auto"/>
      </w:divBdr>
    </w:div>
    <w:div w:id="1657806260">
      <w:bodyDiv w:val="1"/>
      <w:marLeft w:val="0"/>
      <w:marRight w:val="0"/>
      <w:marTop w:val="0"/>
      <w:marBottom w:val="0"/>
      <w:divBdr>
        <w:top w:val="none" w:sz="0" w:space="0" w:color="auto"/>
        <w:left w:val="none" w:sz="0" w:space="0" w:color="auto"/>
        <w:bottom w:val="none" w:sz="0" w:space="0" w:color="auto"/>
        <w:right w:val="none" w:sz="0" w:space="0" w:color="auto"/>
      </w:divBdr>
    </w:div>
    <w:div w:id="1669287752">
      <w:bodyDiv w:val="1"/>
      <w:marLeft w:val="0"/>
      <w:marRight w:val="0"/>
      <w:marTop w:val="0"/>
      <w:marBottom w:val="0"/>
      <w:divBdr>
        <w:top w:val="none" w:sz="0" w:space="0" w:color="auto"/>
        <w:left w:val="none" w:sz="0" w:space="0" w:color="auto"/>
        <w:bottom w:val="none" w:sz="0" w:space="0" w:color="auto"/>
        <w:right w:val="none" w:sz="0" w:space="0" w:color="auto"/>
      </w:divBdr>
    </w:div>
    <w:div w:id="1672684618">
      <w:bodyDiv w:val="1"/>
      <w:marLeft w:val="0"/>
      <w:marRight w:val="0"/>
      <w:marTop w:val="0"/>
      <w:marBottom w:val="0"/>
      <w:divBdr>
        <w:top w:val="none" w:sz="0" w:space="0" w:color="auto"/>
        <w:left w:val="none" w:sz="0" w:space="0" w:color="auto"/>
        <w:bottom w:val="none" w:sz="0" w:space="0" w:color="auto"/>
        <w:right w:val="none" w:sz="0" w:space="0" w:color="auto"/>
      </w:divBdr>
    </w:div>
    <w:div w:id="1680961029">
      <w:bodyDiv w:val="1"/>
      <w:marLeft w:val="0"/>
      <w:marRight w:val="0"/>
      <w:marTop w:val="0"/>
      <w:marBottom w:val="0"/>
      <w:divBdr>
        <w:top w:val="none" w:sz="0" w:space="0" w:color="auto"/>
        <w:left w:val="none" w:sz="0" w:space="0" w:color="auto"/>
        <w:bottom w:val="none" w:sz="0" w:space="0" w:color="auto"/>
        <w:right w:val="none" w:sz="0" w:space="0" w:color="auto"/>
      </w:divBdr>
    </w:div>
    <w:div w:id="1685014509">
      <w:bodyDiv w:val="1"/>
      <w:marLeft w:val="0"/>
      <w:marRight w:val="0"/>
      <w:marTop w:val="0"/>
      <w:marBottom w:val="0"/>
      <w:divBdr>
        <w:top w:val="none" w:sz="0" w:space="0" w:color="auto"/>
        <w:left w:val="none" w:sz="0" w:space="0" w:color="auto"/>
        <w:bottom w:val="none" w:sz="0" w:space="0" w:color="auto"/>
        <w:right w:val="none" w:sz="0" w:space="0" w:color="auto"/>
      </w:divBdr>
      <w:divsChild>
        <w:div w:id="1153135940">
          <w:marLeft w:val="547"/>
          <w:marRight w:val="0"/>
          <w:marTop w:val="0"/>
          <w:marBottom w:val="0"/>
          <w:divBdr>
            <w:top w:val="none" w:sz="0" w:space="0" w:color="auto"/>
            <w:left w:val="none" w:sz="0" w:space="0" w:color="auto"/>
            <w:bottom w:val="none" w:sz="0" w:space="0" w:color="auto"/>
            <w:right w:val="none" w:sz="0" w:space="0" w:color="auto"/>
          </w:divBdr>
        </w:div>
      </w:divsChild>
    </w:div>
    <w:div w:id="1692338338">
      <w:bodyDiv w:val="1"/>
      <w:marLeft w:val="0"/>
      <w:marRight w:val="0"/>
      <w:marTop w:val="0"/>
      <w:marBottom w:val="0"/>
      <w:divBdr>
        <w:top w:val="none" w:sz="0" w:space="0" w:color="auto"/>
        <w:left w:val="none" w:sz="0" w:space="0" w:color="auto"/>
        <w:bottom w:val="none" w:sz="0" w:space="0" w:color="auto"/>
        <w:right w:val="none" w:sz="0" w:space="0" w:color="auto"/>
      </w:divBdr>
    </w:div>
    <w:div w:id="1713192869">
      <w:bodyDiv w:val="1"/>
      <w:marLeft w:val="0"/>
      <w:marRight w:val="0"/>
      <w:marTop w:val="0"/>
      <w:marBottom w:val="0"/>
      <w:divBdr>
        <w:top w:val="none" w:sz="0" w:space="0" w:color="auto"/>
        <w:left w:val="none" w:sz="0" w:space="0" w:color="auto"/>
        <w:bottom w:val="none" w:sz="0" w:space="0" w:color="auto"/>
        <w:right w:val="none" w:sz="0" w:space="0" w:color="auto"/>
      </w:divBdr>
    </w:div>
    <w:div w:id="1721592672">
      <w:bodyDiv w:val="1"/>
      <w:marLeft w:val="0"/>
      <w:marRight w:val="0"/>
      <w:marTop w:val="0"/>
      <w:marBottom w:val="0"/>
      <w:divBdr>
        <w:top w:val="none" w:sz="0" w:space="0" w:color="auto"/>
        <w:left w:val="none" w:sz="0" w:space="0" w:color="auto"/>
        <w:bottom w:val="none" w:sz="0" w:space="0" w:color="auto"/>
        <w:right w:val="none" w:sz="0" w:space="0" w:color="auto"/>
      </w:divBdr>
    </w:div>
    <w:div w:id="1736472962">
      <w:bodyDiv w:val="1"/>
      <w:marLeft w:val="0"/>
      <w:marRight w:val="0"/>
      <w:marTop w:val="0"/>
      <w:marBottom w:val="0"/>
      <w:divBdr>
        <w:top w:val="none" w:sz="0" w:space="0" w:color="auto"/>
        <w:left w:val="none" w:sz="0" w:space="0" w:color="auto"/>
        <w:bottom w:val="none" w:sz="0" w:space="0" w:color="auto"/>
        <w:right w:val="none" w:sz="0" w:space="0" w:color="auto"/>
      </w:divBdr>
    </w:div>
    <w:div w:id="1757172257">
      <w:bodyDiv w:val="1"/>
      <w:marLeft w:val="0"/>
      <w:marRight w:val="0"/>
      <w:marTop w:val="0"/>
      <w:marBottom w:val="0"/>
      <w:divBdr>
        <w:top w:val="none" w:sz="0" w:space="0" w:color="auto"/>
        <w:left w:val="none" w:sz="0" w:space="0" w:color="auto"/>
        <w:bottom w:val="none" w:sz="0" w:space="0" w:color="auto"/>
        <w:right w:val="none" w:sz="0" w:space="0" w:color="auto"/>
      </w:divBdr>
    </w:div>
    <w:div w:id="1808666335">
      <w:bodyDiv w:val="1"/>
      <w:marLeft w:val="0"/>
      <w:marRight w:val="0"/>
      <w:marTop w:val="0"/>
      <w:marBottom w:val="0"/>
      <w:divBdr>
        <w:top w:val="none" w:sz="0" w:space="0" w:color="auto"/>
        <w:left w:val="none" w:sz="0" w:space="0" w:color="auto"/>
        <w:bottom w:val="none" w:sz="0" w:space="0" w:color="auto"/>
        <w:right w:val="none" w:sz="0" w:space="0" w:color="auto"/>
      </w:divBdr>
    </w:div>
    <w:div w:id="1849128015">
      <w:bodyDiv w:val="1"/>
      <w:marLeft w:val="0"/>
      <w:marRight w:val="0"/>
      <w:marTop w:val="0"/>
      <w:marBottom w:val="0"/>
      <w:divBdr>
        <w:top w:val="none" w:sz="0" w:space="0" w:color="auto"/>
        <w:left w:val="none" w:sz="0" w:space="0" w:color="auto"/>
        <w:bottom w:val="none" w:sz="0" w:space="0" w:color="auto"/>
        <w:right w:val="none" w:sz="0" w:space="0" w:color="auto"/>
      </w:divBdr>
    </w:div>
    <w:div w:id="1850216367">
      <w:bodyDiv w:val="1"/>
      <w:marLeft w:val="0"/>
      <w:marRight w:val="0"/>
      <w:marTop w:val="0"/>
      <w:marBottom w:val="0"/>
      <w:divBdr>
        <w:top w:val="none" w:sz="0" w:space="0" w:color="auto"/>
        <w:left w:val="none" w:sz="0" w:space="0" w:color="auto"/>
        <w:bottom w:val="none" w:sz="0" w:space="0" w:color="auto"/>
        <w:right w:val="none" w:sz="0" w:space="0" w:color="auto"/>
      </w:divBdr>
    </w:div>
    <w:div w:id="1857842466">
      <w:bodyDiv w:val="1"/>
      <w:marLeft w:val="0"/>
      <w:marRight w:val="0"/>
      <w:marTop w:val="0"/>
      <w:marBottom w:val="0"/>
      <w:divBdr>
        <w:top w:val="none" w:sz="0" w:space="0" w:color="auto"/>
        <w:left w:val="none" w:sz="0" w:space="0" w:color="auto"/>
        <w:bottom w:val="none" w:sz="0" w:space="0" w:color="auto"/>
        <w:right w:val="none" w:sz="0" w:space="0" w:color="auto"/>
      </w:divBdr>
    </w:div>
    <w:div w:id="1904246019">
      <w:bodyDiv w:val="1"/>
      <w:marLeft w:val="0"/>
      <w:marRight w:val="0"/>
      <w:marTop w:val="0"/>
      <w:marBottom w:val="0"/>
      <w:divBdr>
        <w:top w:val="none" w:sz="0" w:space="0" w:color="auto"/>
        <w:left w:val="none" w:sz="0" w:space="0" w:color="auto"/>
        <w:bottom w:val="none" w:sz="0" w:space="0" w:color="auto"/>
        <w:right w:val="none" w:sz="0" w:space="0" w:color="auto"/>
      </w:divBdr>
    </w:div>
    <w:div w:id="1914578958">
      <w:marLeft w:val="0"/>
      <w:marRight w:val="0"/>
      <w:marTop w:val="0"/>
      <w:marBottom w:val="0"/>
      <w:divBdr>
        <w:top w:val="none" w:sz="0" w:space="0" w:color="auto"/>
        <w:left w:val="none" w:sz="0" w:space="0" w:color="auto"/>
        <w:bottom w:val="none" w:sz="0" w:space="0" w:color="auto"/>
        <w:right w:val="none" w:sz="0" w:space="0" w:color="auto"/>
      </w:divBdr>
    </w:div>
    <w:div w:id="1914578959">
      <w:marLeft w:val="0"/>
      <w:marRight w:val="0"/>
      <w:marTop w:val="0"/>
      <w:marBottom w:val="0"/>
      <w:divBdr>
        <w:top w:val="none" w:sz="0" w:space="0" w:color="auto"/>
        <w:left w:val="none" w:sz="0" w:space="0" w:color="auto"/>
        <w:bottom w:val="none" w:sz="0" w:space="0" w:color="auto"/>
        <w:right w:val="none" w:sz="0" w:space="0" w:color="auto"/>
      </w:divBdr>
      <w:divsChild>
        <w:div w:id="1914578983">
          <w:marLeft w:val="0"/>
          <w:marRight w:val="0"/>
          <w:marTop w:val="0"/>
          <w:marBottom w:val="0"/>
          <w:divBdr>
            <w:top w:val="none" w:sz="0" w:space="0" w:color="auto"/>
            <w:left w:val="none" w:sz="0" w:space="0" w:color="auto"/>
            <w:bottom w:val="none" w:sz="0" w:space="0" w:color="auto"/>
            <w:right w:val="none" w:sz="0" w:space="0" w:color="auto"/>
          </w:divBdr>
          <w:divsChild>
            <w:div w:id="1914578974">
              <w:marLeft w:val="0"/>
              <w:marRight w:val="0"/>
              <w:marTop w:val="0"/>
              <w:marBottom w:val="0"/>
              <w:divBdr>
                <w:top w:val="none" w:sz="0" w:space="0" w:color="auto"/>
                <w:left w:val="none" w:sz="0" w:space="0" w:color="auto"/>
                <w:bottom w:val="none" w:sz="0" w:space="0" w:color="auto"/>
                <w:right w:val="none" w:sz="0" w:space="0" w:color="auto"/>
              </w:divBdr>
              <w:divsChild>
                <w:div w:id="1914578968">
                  <w:marLeft w:val="0"/>
                  <w:marRight w:val="0"/>
                  <w:marTop w:val="0"/>
                  <w:marBottom w:val="0"/>
                  <w:divBdr>
                    <w:top w:val="none" w:sz="0" w:space="0" w:color="auto"/>
                    <w:left w:val="none" w:sz="0" w:space="0" w:color="auto"/>
                    <w:bottom w:val="none" w:sz="0" w:space="0" w:color="auto"/>
                    <w:right w:val="none" w:sz="0" w:space="0" w:color="auto"/>
                  </w:divBdr>
                  <w:divsChild>
                    <w:div w:id="1914578960">
                      <w:marLeft w:val="0"/>
                      <w:marRight w:val="0"/>
                      <w:marTop w:val="0"/>
                      <w:marBottom w:val="0"/>
                      <w:divBdr>
                        <w:top w:val="none" w:sz="0" w:space="0" w:color="auto"/>
                        <w:left w:val="none" w:sz="0" w:space="0" w:color="auto"/>
                        <w:bottom w:val="none" w:sz="0" w:space="0" w:color="auto"/>
                        <w:right w:val="none" w:sz="0" w:space="0" w:color="auto"/>
                      </w:divBdr>
                      <w:divsChild>
                        <w:div w:id="1914578971">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78963">
      <w:marLeft w:val="0"/>
      <w:marRight w:val="0"/>
      <w:marTop w:val="0"/>
      <w:marBottom w:val="0"/>
      <w:divBdr>
        <w:top w:val="none" w:sz="0" w:space="0" w:color="auto"/>
        <w:left w:val="none" w:sz="0" w:space="0" w:color="auto"/>
        <w:bottom w:val="none" w:sz="0" w:space="0" w:color="auto"/>
        <w:right w:val="none" w:sz="0" w:space="0" w:color="auto"/>
      </w:divBdr>
    </w:div>
    <w:div w:id="1914578975">
      <w:marLeft w:val="0"/>
      <w:marRight w:val="0"/>
      <w:marTop w:val="0"/>
      <w:marBottom w:val="0"/>
      <w:divBdr>
        <w:top w:val="none" w:sz="0" w:space="0" w:color="auto"/>
        <w:left w:val="none" w:sz="0" w:space="0" w:color="auto"/>
        <w:bottom w:val="none" w:sz="0" w:space="0" w:color="auto"/>
        <w:right w:val="none" w:sz="0" w:space="0" w:color="auto"/>
      </w:divBdr>
    </w:div>
    <w:div w:id="1914578980">
      <w:marLeft w:val="0"/>
      <w:marRight w:val="0"/>
      <w:marTop w:val="0"/>
      <w:marBottom w:val="0"/>
      <w:divBdr>
        <w:top w:val="none" w:sz="0" w:space="0" w:color="auto"/>
        <w:left w:val="none" w:sz="0" w:space="0" w:color="auto"/>
        <w:bottom w:val="none" w:sz="0" w:space="0" w:color="auto"/>
        <w:right w:val="none" w:sz="0" w:space="0" w:color="auto"/>
      </w:divBdr>
      <w:divsChild>
        <w:div w:id="1914578969">
          <w:marLeft w:val="0"/>
          <w:marRight w:val="0"/>
          <w:marTop w:val="0"/>
          <w:marBottom w:val="0"/>
          <w:divBdr>
            <w:top w:val="none" w:sz="0" w:space="0" w:color="auto"/>
            <w:left w:val="none" w:sz="0" w:space="0" w:color="auto"/>
            <w:bottom w:val="none" w:sz="0" w:space="0" w:color="auto"/>
            <w:right w:val="none" w:sz="0" w:space="0" w:color="auto"/>
          </w:divBdr>
          <w:divsChild>
            <w:div w:id="1914578976">
              <w:marLeft w:val="0"/>
              <w:marRight w:val="0"/>
              <w:marTop w:val="0"/>
              <w:marBottom w:val="0"/>
              <w:divBdr>
                <w:top w:val="none" w:sz="0" w:space="0" w:color="auto"/>
                <w:left w:val="none" w:sz="0" w:space="0" w:color="auto"/>
                <w:bottom w:val="none" w:sz="0" w:space="0" w:color="auto"/>
                <w:right w:val="none" w:sz="0" w:space="0" w:color="auto"/>
              </w:divBdr>
              <w:divsChild>
                <w:div w:id="1914578987">
                  <w:marLeft w:val="0"/>
                  <w:marRight w:val="0"/>
                  <w:marTop w:val="0"/>
                  <w:marBottom w:val="0"/>
                  <w:divBdr>
                    <w:top w:val="none" w:sz="0" w:space="0" w:color="auto"/>
                    <w:left w:val="none" w:sz="0" w:space="0" w:color="auto"/>
                    <w:bottom w:val="none" w:sz="0" w:space="0" w:color="auto"/>
                    <w:right w:val="none" w:sz="0" w:space="0" w:color="auto"/>
                  </w:divBdr>
                  <w:divsChild>
                    <w:div w:id="1914578982">
                      <w:marLeft w:val="0"/>
                      <w:marRight w:val="0"/>
                      <w:marTop w:val="0"/>
                      <w:marBottom w:val="0"/>
                      <w:divBdr>
                        <w:top w:val="none" w:sz="0" w:space="0" w:color="auto"/>
                        <w:left w:val="none" w:sz="0" w:space="0" w:color="auto"/>
                        <w:bottom w:val="none" w:sz="0" w:space="0" w:color="auto"/>
                        <w:right w:val="none" w:sz="0" w:space="0" w:color="auto"/>
                      </w:divBdr>
                      <w:divsChild>
                        <w:div w:id="1914578981">
                          <w:marLeft w:val="0"/>
                          <w:marRight w:val="0"/>
                          <w:marTop w:val="0"/>
                          <w:marBottom w:val="0"/>
                          <w:divBdr>
                            <w:top w:val="none" w:sz="0" w:space="0" w:color="auto"/>
                            <w:left w:val="none" w:sz="0" w:space="0" w:color="auto"/>
                            <w:bottom w:val="none" w:sz="0" w:space="0" w:color="auto"/>
                            <w:right w:val="none" w:sz="0" w:space="0" w:color="auto"/>
                          </w:divBdr>
                          <w:divsChild>
                            <w:div w:id="1914578967">
                              <w:marLeft w:val="0"/>
                              <w:marRight w:val="0"/>
                              <w:marTop w:val="0"/>
                              <w:marBottom w:val="0"/>
                              <w:divBdr>
                                <w:top w:val="none" w:sz="0" w:space="0" w:color="auto"/>
                                <w:left w:val="none" w:sz="0" w:space="0" w:color="auto"/>
                                <w:bottom w:val="none" w:sz="0" w:space="0" w:color="auto"/>
                                <w:right w:val="none" w:sz="0" w:space="0" w:color="auto"/>
                              </w:divBdr>
                              <w:divsChild>
                                <w:div w:id="1914578973">
                                  <w:marLeft w:val="0"/>
                                  <w:marRight w:val="0"/>
                                  <w:marTop w:val="0"/>
                                  <w:marBottom w:val="0"/>
                                  <w:divBdr>
                                    <w:top w:val="none" w:sz="0" w:space="0" w:color="auto"/>
                                    <w:left w:val="none" w:sz="0" w:space="0" w:color="auto"/>
                                    <w:bottom w:val="none" w:sz="0" w:space="0" w:color="auto"/>
                                    <w:right w:val="none" w:sz="0" w:space="0" w:color="auto"/>
                                  </w:divBdr>
                                  <w:divsChild>
                                    <w:div w:id="1914578985">
                                      <w:marLeft w:val="0"/>
                                      <w:marRight w:val="0"/>
                                      <w:marTop w:val="0"/>
                                      <w:marBottom w:val="0"/>
                                      <w:divBdr>
                                        <w:top w:val="none" w:sz="0" w:space="0" w:color="auto"/>
                                        <w:left w:val="none" w:sz="0" w:space="0" w:color="auto"/>
                                        <w:bottom w:val="none" w:sz="0" w:space="0" w:color="auto"/>
                                        <w:right w:val="none" w:sz="0" w:space="0" w:color="auto"/>
                                      </w:divBdr>
                                      <w:divsChild>
                                        <w:div w:id="1914578961">
                                          <w:marLeft w:val="0"/>
                                          <w:marRight w:val="0"/>
                                          <w:marTop w:val="0"/>
                                          <w:marBottom w:val="0"/>
                                          <w:divBdr>
                                            <w:top w:val="none" w:sz="0" w:space="0" w:color="auto"/>
                                            <w:left w:val="none" w:sz="0" w:space="0" w:color="auto"/>
                                            <w:bottom w:val="none" w:sz="0" w:space="0" w:color="auto"/>
                                            <w:right w:val="none" w:sz="0" w:space="0" w:color="auto"/>
                                          </w:divBdr>
                                          <w:divsChild>
                                            <w:div w:id="1914578965">
                                              <w:marLeft w:val="0"/>
                                              <w:marRight w:val="0"/>
                                              <w:marTop w:val="0"/>
                                              <w:marBottom w:val="0"/>
                                              <w:divBdr>
                                                <w:top w:val="none" w:sz="0" w:space="0" w:color="auto"/>
                                                <w:left w:val="none" w:sz="0" w:space="0" w:color="auto"/>
                                                <w:bottom w:val="none" w:sz="0" w:space="0" w:color="auto"/>
                                                <w:right w:val="none" w:sz="0" w:space="0" w:color="auto"/>
                                              </w:divBdr>
                                              <w:divsChild>
                                                <w:div w:id="1914578962">
                                                  <w:marLeft w:val="0"/>
                                                  <w:marRight w:val="0"/>
                                                  <w:marTop w:val="0"/>
                                                  <w:marBottom w:val="0"/>
                                                  <w:divBdr>
                                                    <w:top w:val="none" w:sz="0" w:space="0" w:color="auto"/>
                                                    <w:left w:val="none" w:sz="0" w:space="0" w:color="auto"/>
                                                    <w:bottom w:val="none" w:sz="0" w:space="0" w:color="auto"/>
                                                    <w:right w:val="none" w:sz="0" w:space="0" w:color="auto"/>
                                                  </w:divBdr>
                                                  <w:divsChild>
                                                    <w:div w:id="1914578978">
                                                      <w:marLeft w:val="0"/>
                                                      <w:marRight w:val="0"/>
                                                      <w:marTop w:val="0"/>
                                                      <w:marBottom w:val="0"/>
                                                      <w:divBdr>
                                                        <w:top w:val="none" w:sz="0" w:space="0" w:color="auto"/>
                                                        <w:left w:val="none" w:sz="0" w:space="0" w:color="auto"/>
                                                        <w:bottom w:val="none" w:sz="0" w:space="0" w:color="auto"/>
                                                        <w:right w:val="none" w:sz="0" w:space="0" w:color="auto"/>
                                                      </w:divBdr>
                                                      <w:divsChild>
                                                        <w:div w:id="1914578979">
                                                          <w:marLeft w:val="0"/>
                                                          <w:marRight w:val="0"/>
                                                          <w:marTop w:val="0"/>
                                                          <w:marBottom w:val="0"/>
                                                          <w:divBdr>
                                                            <w:top w:val="none" w:sz="0" w:space="0" w:color="auto"/>
                                                            <w:left w:val="none" w:sz="0" w:space="0" w:color="auto"/>
                                                            <w:bottom w:val="none" w:sz="0" w:space="0" w:color="auto"/>
                                                            <w:right w:val="none" w:sz="0" w:space="0" w:color="auto"/>
                                                          </w:divBdr>
                                                          <w:divsChild>
                                                            <w:div w:id="1914578972">
                                                              <w:marLeft w:val="0"/>
                                                              <w:marRight w:val="0"/>
                                                              <w:marTop w:val="0"/>
                                                              <w:marBottom w:val="0"/>
                                                              <w:divBdr>
                                                                <w:top w:val="none" w:sz="0" w:space="0" w:color="auto"/>
                                                                <w:left w:val="none" w:sz="0" w:space="0" w:color="auto"/>
                                                                <w:bottom w:val="none" w:sz="0" w:space="0" w:color="auto"/>
                                                                <w:right w:val="none" w:sz="0" w:space="0" w:color="auto"/>
                                                              </w:divBdr>
                                                              <w:divsChild>
                                                                <w:div w:id="1914578986">
                                                                  <w:marLeft w:val="0"/>
                                                                  <w:marRight w:val="0"/>
                                                                  <w:marTop w:val="225"/>
                                                                  <w:marBottom w:val="300"/>
                                                                  <w:divBdr>
                                                                    <w:top w:val="none" w:sz="0" w:space="0" w:color="auto"/>
                                                                    <w:left w:val="none" w:sz="0" w:space="0" w:color="auto"/>
                                                                    <w:bottom w:val="none" w:sz="0" w:space="0" w:color="auto"/>
                                                                    <w:right w:val="none" w:sz="0" w:space="0" w:color="auto"/>
                                                                  </w:divBdr>
                                                                  <w:divsChild>
                                                                    <w:div w:id="1914578977">
                                                                      <w:marLeft w:val="0"/>
                                                                      <w:marRight w:val="0"/>
                                                                      <w:marTop w:val="0"/>
                                                                      <w:marBottom w:val="0"/>
                                                                      <w:divBdr>
                                                                        <w:top w:val="none" w:sz="0" w:space="0" w:color="auto"/>
                                                                        <w:left w:val="none" w:sz="0" w:space="0" w:color="auto"/>
                                                                        <w:bottom w:val="none" w:sz="0" w:space="0" w:color="auto"/>
                                                                        <w:right w:val="none" w:sz="0" w:space="0" w:color="auto"/>
                                                                      </w:divBdr>
                                                                      <w:divsChild>
                                                                        <w:div w:id="1914578964">
                                                                          <w:marLeft w:val="0"/>
                                                                          <w:marRight w:val="0"/>
                                                                          <w:marTop w:val="0"/>
                                                                          <w:marBottom w:val="0"/>
                                                                          <w:divBdr>
                                                                            <w:top w:val="none" w:sz="0" w:space="0" w:color="auto"/>
                                                                            <w:left w:val="none" w:sz="0" w:space="0" w:color="auto"/>
                                                                            <w:bottom w:val="single" w:sz="6" w:space="23" w:color="DBDBDB"/>
                                                                            <w:right w:val="none" w:sz="0" w:space="0" w:color="auto"/>
                                                                          </w:divBdr>
                                                                          <w:divsChild>
                                                                            <w:div w:id="1914578966">
                                                                              <w:marLeft w:val="0"/>
                                                                              <w:marRight w:val="0"/>
                                                                              <w:marTop w:val="0"/>
                                                                              <w:marBottom w:val="0"/>
                                                                              <w:divBdr>
                                                                                <w:top w:val="none" w:sz="0" w:space="0" w:color="auto"/>
                                                                                <w:left w:val="none" w:sz="0" w:space="0" w:color="auto"/>
                                                                                <w:bottom w:val="none" w:sz="0" w:space="0" w:color="auto"/>
                                                                                <w:right w:val="none" w:sz="0" w:space="0" w:color="auto"/>
                                                                              </w:divBdr>
                                                                              <w:divsChild>
                                                                                <w:div w:id="19145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578984">
      <w:marLeft w:val="0"/>
      <w:marRight w:val="0"/>
      <w:marTop w:val="0"/>
      <w:marBottom w:val="0"/>
      <w:divBdr>
        <w:top w:val="none" w:sz="0" w:space="0" w:color="auto"/>
        <w:left w:val="none" w:sz="0" w:space="0" w:color="auto"/>
        <w:bottom w:val="none" w:sz="0" w:space="0" w:color="auto"/>
        <w:right w:val="none" w:sz="0" w:space="0" w:color="auto"/>
      </w:divBdr>
    </w:div>
    <w:div w:id="1914578989">
      <w:marLeft w:val="0"/>
      <w:marRight w:val="0"/>
      <w:marTop w:val="0"/>
      <w:marBottom w:val="0"/>
      <w:divBdr>
        <w:top w:val="none" w:sz="0" w:space="0" w:color="auto"/>
        <w:left w:val="none" w:sz="0" w:space="0" w:color="auto"/>
        <w:bottom w:val="none" w:sz="0" w:space="0" w:color="auto"/>
        <w:right w:val="none" w:sz="0" w:space="0" w:color="auto"/>
      </w:divBdr>
    </w:div>
    <w:div w:id="1914578990">
      <w:marLeft w:val="0"/>
      <w:marRight w:val="0"/>
      <w:marTop w:val="0"/>
      <w:marBottom w:val="0"/>
      <w:divBdr>
        <w:top w:val="none" w:sz="0" w:space="0" w:color="auto"/>
        <w:left w:val="none" w:sz="0" w:space="0" w:color="auto"/>
        <w:bottom w:val="none" w:sz="0" w:space="0" w:color="auto"/>
        <w:right w:val="none" w:sz="0" w:space="0" w:color="auto"/>
      </w:divBdr>
    </w:div>
    <w:div w:id="1914578991">
      <w:marLeft w:val="0"/>
      <w:marRight w:val="0"/>
      <w:marTop w:val="0"/>
      <w:marBottom w:val="0"/>
      <w:divBdr>
        <w:top w:val="none" w:sz="0" w:space="0" w:color="auto"/>
        <w:left w:val="none" w:sz="0" w:space="0" w:color="auto"/>
        <w:bottom w:val="none" w:sz="0" w:space="0" w:color="auto"/>
        <w:right w:val="none" w:sz="0" w:space="0" w:color="auto"/>
      </w:divBdr>
    </w:div>
    <w:div w:id="1914578992">
      <w:marLeft w:val="0"/>
      <w:marRight w:val="0"/>
      <w:marTop w:val="0"/>
      <w:marBottom w:val="0"/>
      <w:divBdr>
        <w:top w:val="none" w:sz="0" w:space="0" w:color="auto"/>
        <w:left w:val="none" w:sz="0" w:space="0" w:color="auto"/>
        <w:bottom w:val="none" w:sz="0" w:space="0" w:color="auto"/>
        <w:right w:val="none" w:sz="0" w:space="0" w:color="auto"/>
      </w:divBdr>
    </w:div>
    <w:div w:id="1914578993">
      <w:marLeft w:val="0"/>
      <w:marRight w:val="0"/>
      <w:marTop w:val="0"/>
      <w:marBottom w:val="0"/>
      <w:divBdr>
        <w:top w:val="none" w:sz="0" w:space="0" w:color="auto"/>
        <w:left w:val="none" w:sz="0" w:space="0" w:color="auto"/>
        <w:bottom w:val="none" w:sz="0" w:space="0" w:color="auto"/>
        <w:right w:val="none" w:sz="0" w:space="0" w:color="auto"/>
      </w:divBdr>
      <w:divsChild>
        <w:div w:id="1914578988">
          <w:marLeft w:val="0"/>
          <w:marRight w:val="0"/>
          <w:marTop w:val="0"/>
          <w:marBottom w:val="0"/>
          <w:divBdr>
            <w:top w:val="none" w:sz="0" w:space="0" w:color="auto"/>
            <w:left w:val="none" w:sz="0" w:space="0" w:color="auto"/>
            <w:bottom w:val="none" w:sz="0" w:space="0" w:color="auto"/>
            <w:right w:val="none" w:sz="0" w:space="0" w:color="auto"/>
          </w:divBdr>
        </w:div>
      </w:divsChild>
    </w:div>
    <w:div w:id="1914578994">
      <w:marLeft w:val="0"/>
      <w:marRight w:val="0"/>
      <w:marTop w:val="0"/>
      <w:marBottom w:val="0"/>
      <w:divBdr>
        <w:top w:val="none" w:sz="0" w:space="0" w:color="auto"/>
        <w:left w:val="none" w:sz="0" w:space="0" w:color="auto"/>
        <w:bottom w:val="none" w:sz="0" w:space="0" w:color="auto"/>
        <w:right w:val="none" w:sz="0" w:space="0" w:color="auto"/>
      </w:divBdr>
    </w:div>
    <w:div w:id="1914578995">
      <w:marLeft w:val="0"/>
      <w:marRight w:val="0"/>
      <w:marTop w:val="0"/>
      <w:marBottom w:val="0"/>
      <w:divBdr>
        <w:top w:val="none" w:sz="0" w:space="0" w:color="auto"/>
        <w:left w:val="none" w:sz="0" w:space="0" w:color="auto"/>
        <w:bottom w:val="none" w:sz="0" w:space="0" w:color="auto"/>
        <w:right w:val="none" w:sz="0" w:space="0" w:color="auto"/>
      </w:divBdr>
    </w:div>
    <w:div w:id="1914578996">
      <w:marLeft w:val="0"/>
      <w:marRight w:val="0"/>
      <w:marTop w:val="0"/>
      <w:marBottom w:val="0"/>
      <w:divBdr>
        <w:top w:val="none" w:sz="0" w:space="0" w:color="auto"/>
        <w:left w:val="none" w:sz="0" w:space="0" w:color="auto"/>
        <w:bottom w:val="none" w:sz="0" w:space="0" w:color="auto"/>
        <w:right w:val="none" w:sz="0" w:space="0" w:color="auto"/>
      </w:divBdr>
    </w:div>
    <w:div w:id="1914578997">
      <w:marLeft w:val="0"/>
      <w:marRight w:val="0"/>
      <w:marTop w:val="0"/>
      <w:marBottom w:val="0"/>
      <w:divBdr>
        <w:top w:val="none" w:sz="0" w:space="0" w:color="auto"/>
        <w:left w:val="none" w:sz="0" w:space="0" w:color="auto"/>
        <w:bottom w:val="none" w:sz="0" w:space="0" w:color="auto"/>
        <w:right w:val="none" w:sz="0" w:space="0" w:color="auto"/>
      </w:divBdr>
    </w:div>
    <w:div w:id="1961909536">
      <w:bodyDiv w:val="1"/>
      <w:marLeft w:val="0"/>
      <w:marRight w:val="0"/>
      <w:marTop w:val="0"/>
      <w:marBottom w:val="0"/>
      <w:divBdr>
        <w:top w:val="none" w:sz="0" w:space="0" w:color="auto"/>
        <w:left w:val="none" w:sz="0" w:space="0" w:color="auto"/>
        <w:bottom w:val="none" w:sz="0" w:space="0" w:color="auto"/>
        <w:right w:val="none" w:sz="0" w:space="0" w:color="auto"/>
      </w:divBdr>
    </w:div>
    <w:div w:id="1963727126">
      <w:bodyDiv w:val="1"/>
      <w:marLeft w:val="0"/>
      <w:marRight w:val="0"/>
      <w:marTop w:val="0"/>
      <w:marBottom w:val="0"/>
      <w:divBdr>
        <w:top w:val="none" w:sz="0" w:space="0" w:color="auto"/>
        <w:left w:val="none" w:sz="0" w:space="0" w:color="auto"/>
        <w:bottom w:val="none" w:sz="0" w:space="0" w:color="auto"/>
        <w:right w:val="none" w:sz="0" w:space="0" w:color="auto"/>
      </w:divBdr>
    </w:div>
    <w:div w:id="1970546888">
      <w:bodyDiv w:val="1"/>
      <w:marLeft w:val="0"/>
      <w:marRight w:val="0"/>
      <w:marTop w:val="0"/>
      <w:marBottom w:val="0"/>
      <w:divBdr>
        <w:top w:val="none" w:sz="0" w:space="0" w:color="auto"/>
        <w:left w:val="none" w:sz="0" w:space="0" w:color="auto"/>
        <w:bottom w:val="none" w:sz="0" w:space="0" w:color="auto"/>
        <w:right w:val="none" w:sz="0" w:space="0" w:color="auto"/>
      </w:divBdr>
    </w:div>
    <w:div w:id="1976905323">
      <w:bodyDiv w:val="1"/>
      <w:marLeft w:val="0"/>
      <w:marRight w:val="0"/>
      <w:marTop w:val="0"/>
      <w:marBottom w:val="0"/>
      <w:divBdr>
        <w:top w:val="none" w:sz="0" w:space="0" w:color="auto"/>
        <w:left w:val="none" w:sz="0" w:space="0" w:color="auto"/>
        <w:bottom w:val="none" w:sz="0" w:space="0" w:color="auto"/>
        <w:right w:val="none" w:sz="0" w:space="0" w:color="auto"/>
      </w:divBdr>
    </w:div>
    <w:div w:id="1977486312">
      <w:bodyDiv w:val="1"/>
      <w:marLeft w:val="0"/>
      <w:marRight w:val="0"/>
      <w:marTop w:val="0"/>
      <w:marBottom w:val="0"/>
      <w:divBdr>
        <w:top w:val="none" w:sz="0" w:space="0" w:color="auto"/>
        <w:left w:val="none" w:sz="0" w:space="0" w:color="auto"/>
        <w:bottom w:val="none" w:sz="0" w:space="0" w:color="auto"/>
        <w:right w:val="none" w:sz="0" w:space="0" w:color="auto"/>
      </w:divBdr>
    </w:div>
    <w:div w:id="1984499407">
      <w:bodyDiv w:val="1"/>
      <w:marLeft w:val="0"/>
      <w:marRight w:val="0"/>
      <w:marTop w:val="0"/>
      <w:marBottom w:val="0"/>
      <w:divBdr>
        <w:top w:val="none" w:sz="0" w:space="0" w:color="auto"/>
        <w:left w:val="none" w:sz="0" w:space="0" w:color="auto"/>
        <w:bottom w:val="none" w:sz="0" w:space="0" w:color="auto"/>
        <w:right w:val="none" w:sz="0" w:space="0" w:color="auto"/>
      </w:divBdr>
    </w:div>
    <w:div w:id="1987003096">
      <w:bodyDiv w:val="1"/>
      <w:marLeft w:val="0"/>
      <w:marRight w:val="0"/>
      <w:marTop w:val="0"/>
      <w:marBottom w:val="0"/>
      <w:divBdr>
        <w:top w:val="none" w:sz="0" w:space="0" w:color="auto"/>
        <w:left w:val="none" w:sz="0" w:space="0" w:color="auto"/>
        <w:bottom w:val="none" w:sz="0" w:space="0" w:color="auto"/>
        <w:right w:val="none" w:sz="0" w:space="0" w:color="auto"/>
      </w:divBdr>
    </w:div>
    <w:div w:id="1993173054">
      <w:bodyDiv w:val="1"/>
      <w:marLeft w:val="0"/>
      <w:marRight w:val="0"/>
      <w:marTop w:val="0"/>
      <w:marBottom w:val="0"/>
      <w:divBdr>
        <w:top w:val="none" w:sz="0" w:space="0" w:color="auto"/>
        <w:left w:val="none" w:sz="0" w:space="0" w:color="auto"/>
        <w:bottom w:val="none" w:sz="0" w:space="0" w:color="auto"/>
        <w:right w:val="none" w:sz="0" w:space="0" w:color="auto"/>
      </w:divBdr>
    </w:div>
    <w:div w:id="2015180777">
      <w:bodyDiv w:val="1"/>
      <w:marLeft w:val="0"/>
      <w:marRight w:val="0"/>
      <w:marTop w:val="0"/>
      <w:marBottom w:val="0"/>
      <w:divBdr>
        <w:top w:val="none" w:sz="0" w:space="0" w:color="auto"/>
        <w:left w:val="none" w:sz="0" w:space="0" w:color="auto"/>
        <w:bottom w:val="none" w:sz="0" w:space="0" w:color="auto"/>
        <w:right w:val="none" w:sz="0" w:space="0" w:color="auto"/>
      </w:divBdr>
    </w:div>
    <w:div w:id="2047901626">
      <w:bodyDiv w:val="1"/>
      <w:marLeft w:val="0"/>
      <w:marRight w:val="0"/>
      <w:marTop w:val="0"/>
      <w:marBottom w:val="0"/>
      <w:divBdr>
        <w:top w:val="none" w:sz="0" w:space="0" w:color="auto"/>
        <w:left w:val="none" w:sz="0" w:space="0" w:color="auto"/>
        <w:bottom w:val="none" w:sz="0" w:space="0" w:color="auto"/>
        <w:right w:val="none" w:sz="0" w:space="0" w:color="auto"/>
      </w:divBdr>
    </w:div>
    <w:div w:id="2057267797">
      <w:bodyDiv w:val="1"/>
      <w:marLeft w:val="0"/>
      <w:marRight w:val="0"/>
      <w:marTop w:val="0"/>
      <w:marBottom w:val="0"/>
      <w:divBdr>
        <w:top w:val="none" w:sz="0" w:space="0" w:color="auto"/>
        <w:left w:val="none" w:sz="0" w:space="0" w:color="auto"/>
        <w:bottom w:val="none" w:sz="0" w:space="0" w:color="auto"/>
        <w:right w:val="none" w:sz="0" w:space="0" w:color="auto"/>
      </w:divBdr>
    </w:div>
    <w:div w:id="2065713068">
      <w:bodyDiv w:val="1"/>
      <w:marLeft w:val="0"/>
      <w:marRight w:val="0"/>
      <w:marTop w:val="0"/>
      <w:marBottom w:val="0"/>
      <w:divBdr>
        <w:top w:val="none" w:sz="0" w:space="0" w:color="auto"/>
        <w:left w:val="none" w:sz="0" w:space="0" w:color="auto"/>
        <w:bottom w:val="none" w:sz="0" w:space="0" w:color="auto"/>
        <w:right w:val="none" w:sz="0" w:space="0" w:color="auto"/>
      </w:divBdr>
    </w:div>
    <w:div w:id="2073766650">
      <w:bodyDiv w:val="1"/>
      <w:marLeft w:val="0"/>
      <w:marRight w:val="0"/>
      <w:marTop w:val="0"/>
      <w:marBottom w:val="0"/>
      <w:divBdr>
        <w:top w:val="none" w:sz="0" w:space="0" w:color="auto"/>
        <w:left w:val="none" w:sz="0" w:space="0" w:color="auto"/>
        <w:bottom w:val="none" w:sz="0" w:space="0" w:color="auto"/>
        <w:right w:val="none" w:sz="0" w:space="0" w:color="auto"/>
      </w:divBdr>
    </w:div>
    <w:div w:id="2075660227">
      <w:bodyDiv w:val="1"/>
      <w:marLeft w:val="0"/>
      <w:marRight w:val="0"/>
      <w:marTop w:val="0"/>
      <w:marBottom w:val="0"/>
      <w:divBdr>
        <w:top w:val="none" w:sz="0" w:space="0" w:color="auto"/>
        <w:left w:val="none" w:sz="0" w:space="0" w:color="auto"/>
        <w:bottom w:val="none" w:sz="0" w:space="0" w:color="auto"/>
        <w:right w:val="none" w:sz="0" w:space="0" w:color="auto"/>
      </w:divBdr>
    </w:div>
    <w:div w:id="2096320890">
      <w:bodyDiv w:val="1"/>
      <w:marLeft w:val="0"/>
      <w:marRight w:val="0"/>
      <w:marTop w:val="0"/>
      <w:marBottom w:val="0"/>
      <w:divBdr>
        <w:top w:val="none" w:sz="0" w:space="0" w:color="auto"/>
        <w:left w:val="none" w:sz="0" w:space="0" w:color="auto"/>
        <w:bottom w:val="none" w:sz="0" w:space="0" w:color="auto"/>
        <w:right w:val="none" w:sz="0" w:space="0" w:color="auto"/>
      </w:divBdr>
    </w:div>
    <w:div w:id="2102526847">
      <w:bodyDiv w:val="1"/>
      <w:marLeft w:val="0"/>
      <w:marRight w:val="0"/>
      <w:marTop w:val="0"/>
      <w:marBottom w:val="0"/>
      <w:divBdr>
        <w:top w:val="none" w:sz="0" w:space="0" w:color="auto"/>
        <w:left w:val="none" w:sz="0" w:space="0" w:color="auto"/>
        <w:bottom w:val="none" w:sz="0" w:space="0" w:color="auto"/>
        <w:right w:val="none" w:sz="0" w:space="0" w:color="auto"/>
      </w:divBdr>
    </w:div>
    <w:div w:id="2125036802">
      <w:bodyDiv w:val="1"/>
      <w:marLeft w:val="0"/>
      <w:marRight w:val="0"/>
      <w:marTop w:val="0"/>
      <w:marBottom w:val="0"/>
      <w:divBdr>
        <w:top w:val="none" w:sz="0" w:space="0" w:color="auto"/>
        <w:left w:val="none" w:sz="0" w:space="0" w:color="auto"/>
        <w:bottom w:val="none" w:sz="0" w:space="0" w:color="auto"/>
        <w:right w:val="none" w:sz="0" w:space="0" w:color="auto"/>
      </w:divBdr>
    </w:div>
    <w:div w:id="2137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telmex.com/" TargetMode="External"/><Relationship Id="rId26" Type="http://schemas.openxmlformats.org/officeDocument/2006/relationships/image" Target="cid:image001.png@01D3FCFB.D1885500" TargetMode="External"/><Relationship Id="rId39" Type="http://schemas.openxmlformats.org/officeDocument/2006/relationships/header" Target="header4.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telme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mailto:seg@telmex.com" TargetMode="External"/><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OPERDES@telmex.com"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2.xml"/><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2.png"/><Relationship Id="rId52"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FF2BB-8BFA-4503-B516-AE09B1D2177C}">
  <ds:schemaRefs>
    <ds:schemaRef ds:uri="http://schemas.microsoft.com/sharepoint/v3/contenttype/forms"/>
  </ds:schemaRefs>
</ds:datastoreItem>
</file>

<file path=customXml/itemProps2.xml><?xml version="1.0" encoding="utf-8"?>
<ds:datastoreItem xmlns:ds="http://schemas.openxmlformats.org/officeDocument/2006/customXml" ds:itemID="{45DC65C2-6770-478A-8EAA-21B278C3D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3FE14D-E5E4-4A5E-BA94-A4B1876A25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B92FDC-E92B-4524-AAEB-7F0A77C3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231</Pages>
  <Words>65507</Words>
  <Characters>360290</Characters>
  <Application>Microsoft Office Word</Application>
  <DocSecurity>0</DocSecurity>
  <Lines>3002</Lines>
  <Paragraphs>849</Paragraphs>
  <ScaleCrop>false</ScaleCrop>
  <HeadingPairs>
    <vt:vector size="2" baseType="variant">
      <vt:variant>
        <vt:lpstr>Título</vt:lpstr>
      </vt:variant>
      <vt:variant>
        <vt:i4>1</vt:i4>
      </vt:variant>
    </vt:vector>
  </HeadingPairs>
  <TitlesOfParts>
    <vt:vector size="1" baseType="lpstr">
      <vt:lpstr>OREDA 2017-2018</vt:lpstr>
    </vt:vector>
  </TitlesOfParts>
  <Manager>J.M. Acevedo</Manager>
  <Company>Teléfonos de México S.A.</Company>
  <LinksUpToDate>false</LinksUpToDate>
  <CharactersWithSpaces>424948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OREDA 2017-2018</dc:title>
  <dc:subject/>
  <dc:creator>Telmex/Priscila González Moreno</dc:creator>
  <cp:keywords/>
  <dc:description/>
  <cp:lastModifiedBy>Rogelio Castaneda Camacho</cp:lastModifiedBy>
  <cp:revision>12</cp:revision>
  <cp:lastPrinted>2016-10-31T18:50:00Z</cp:lastPrinted>
  <dcterms:created xsi:type="dcterms:W3CDTF">2018-06-28T01:07:00Z</dcterms:created>
  <dcterms:modified xsi:type="dcterms:W3CDTF">2018-07-09T17:34:00Z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