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9C8B1" w14:textId="2595FC6E" w:rsidR="004A17FD" w:rsidRDefault="00105789" w:rsidP="00FF796F">
      <w:pPr>
        <w:pStyle w:val="IFTnormal"/>
        <w:rPr>
          <w:b/>
        </w:rPr>
      </w:pPr>
      <w:r>
        <w:rPr>
          <w:b/>
        </w:rPr>
        <w:t>INFORME DE CONSIDERACIONES SOBRE</w:t>
      </w:r>
      <w:r w:rsidR="004A17FD" w:rsidRPr="00BA7D14">
        <w:rPr>
          <w:b/>
        </w:rPr>
        <w:t xml:space="preserve"> LAS MANIFESTACIONES, OPINIONES, COMENTARIOS Y PROPUESTAS PRESENTADAS DURANTE LA </w:t>
      </w:r>
      <w:r w:rsidR="00E36C7B">
        <w:rPr>
          <w:b/>
        </w:rPr>
        <w:t>CONSULTA PÚBLICA</w:t>
      </w:r>
      <w:r w:rsidR="00177955">
        <w:rPr>
          <w:b/>
        </w:rPr>
        <w:t xml:space="preserve"> </w:t>
      </w:r>
      <w:r w:rsidR="00626C7E">
        <w:rPr>
          <w:b/>
        </w:rPr>
        <w:t xml:space="preserve">SOBRE LA </w:t>
      </w:r>
      <w:r w:rsidRPr="00B912FF">
        <w:rPr>
          <w:b/>
          <w:i/>
        </w:rPr>
        <w:t>“</w:t>
      </w:r>
      <w:r w:rsidR="00626C7E" w:rsidRPr="00B912FF">
        <w:rPr>
          <w:b/>
          <w:i/>
        </w:rPr>
        <w:t>OFERTA DE REFERENCIA DE DESAGREGACIÓN EFECTIVA DE LA RED LOCAL DEL AGENTE ECONÓMICO PREPONDERANTE</w:t>
      </w:r>
      <w:r w:rsidR="00B912FF" w:rsidRPr="00B912FF">
        <w:rPr>
          <w:b/>
          <w:i/>
        </w:rPr>
        <w:t>, APLICABLE DEL 1 DE ENERO DE 2019 AL 31 DE DICIEMBRE DE 2019”</w:t>
      </w:r>
      <w:r w:rsidR="00177955" w:rsidRPr="00B912FF">
        <w:rPr>
          <w:b/>
          <w:i/>
        </w:rPr>
        <w:t>.</w:t>
      </w:r>
    </w:p>
    <w:p w14:paraId="13D8F9ED" w14:textId="77777777" w:rsidR="008313F8" w:rsidRDefault="000C4CAD" w:rsidP="00B903DF">
      <w:pPr>
        <w:pStyle w:val="IFTnormal"/>
      </w:pPr>
      <w:r w:rsidRPr="000C4CAD">
        <w:rPr>
          <w:b/>
        </w:rPr>
        <w:t xml:space="preserve">Fecha de </w:t>
      </w:r>
      <w:r w:rsidRPr="00CE791D">
        <w:rPr>
          <w:b/>
        </w:rPr>
        <w:t>elaboración</w:t>
      </w:r>
      <w:r w:rsidR="00286D31" w:rsidRPr="00CE791D">
        <w:rPr>
          <w:b/>
        </w:rPr>
        <w:t>:</w:t>
      </w:r>
      <w:r w:rsidR="00655182" w:rsidRPr="00CE791D">
        <w:t xml:space="preserve"> </w:t>
      </w:r>
    </w:p>
    <w:p w14:paraId="381C3350" w14:textId="77777777" w:rsidR="00B912FF" w:rsidRPr="003F46A9" w:rsidRDefault="00B912FF" w:rsidP="00B912FF">
      <w:pPr>
        <w:pStyle w:val="IFTnormal"/>
      </w:pPr>
      <w:r>
        <w:rPr>
          <w:rFonts w:eastAsiaTheme="majorEastAsia" w:cstheme="majorBidi"/>
          <w:lang w:val="es-ES"/>
        </w:rPr>
        <w:t>20 de noviembre de 2018</w:t>
      </w:r>
    </w:p>
    <w:p w14:paraId="5C60E8C1" w14:textId="77777777" w:rsidR="008313F8" w:rsidRDefault="006B7412" w:rsidP="00B903DF">
      <w:pPr>
        <w:pStyle w:val="IFTnormal"/>
        <w:rPr>
          <w:b/>
        </w:rPr>
      </w:pPr>
      <w:r w:rsidRPr="006B7412">
        <w:rPr>
          <w:b/>
        </w:rPr>
        <w:t xml:space="preserve">Título o denominación de la </w:t>
      </w:r>
      <w:r w:rsidR="0003476F">
        <w:rPr>
          <w:b/>
        </w:rPr>
        <w:t>Consulta Pública</w:t>
      </w:r>
      <w:r w:rsidR="00655182">
        <w:rPr>
          <w:b/>
        </w:rPr>
        <w:t xml:space="preserve">: </w:t>
      </w:r>
    </w:p>
    <w:p w14:paraId="1232B14C" w14:textId="77777777" w:rsidR="008313F8" w:rsidRPr="008F17B2" w:rsidRDefault="008313F8" w:rsidP="008313F8">
      <w:pPr>
        <w:jc w:val="both"/>
        <w:rPr>
          <w:rFonts w:ascii="ITC Avant Garde" w:eastAsiaTheme="majorEastAsia" w:hAnsi="ITC Avant Garde" w:cstheme="majorBidi"/>
          <w:i/>
          <w:lang w:val="es-ES"/>
        </w:rPr>
      </w:pPr>
      <w:r w:rsidRPr="008F17B2">
        <w:rPr>
          <w:rFonts w:ascii="ITC Avant Garde" w:eastAsiaTheme="majorEastAsia" w:hAnsi="ITC Avant Garde" w:cstheme="majorBidi"/>
          <w:i/>
          <w:lang w:val="es-ES"/>
        </w:rPr>
        <w:t>“Propuestas de Ofertas de Referencia para la prestación de los Servici</w:t>
      </w:r>
      <w:bookmarkStart w:id="0" w:name="_GoBack"/>
      <w:bookmarkEnd w:id="0"/>
      <w:r w:rsidRPr="008F17B2">
        <w:rPr>
          <w:rFonts w:ascii="ITC Avant Garde" w:eastAsiaTheme="majorEastAsia" w:hAnsi="ITC Avant Garde" w:cstheme="majorBidi"/>
          <w:i/>
          <w:lang w:val="es-ES"/>
        </w:rPr>
        <w:t>os Mayoristas de Usuario Visitante; de Comercialización o Reventa de Servicios; del Servicio de Acceso y Uso Compartido de Infraestructura, y de Arrendamiento de Enlaces Dedicados presentadas por el Agente Económico Preponderante en el sector de las telecomunicaciones”</w:t>
      </w:r>
    </w:p>
    <w:p w14:paraId="22A7F802" w14:textId="77777777" w:rsidR="00B912FF" w:rsidRDefault="00B903DF" w:rsidP="00B903DF">
      <w:pPr>
        <w:pStyle w:val="IFTnormal"/>
        <w:rPr>
          <w:b/>
        </w:rPr>
      </w:pPr>
      <w:r w:rsidRPr="00B903DF">
        <w:rPr>
          <w:b/>
        </w:rPr>
        <w:t xml:space="preserve">Descripción de la </w:t>
      </w:r>
      <w:r w:rsidR="0003476F">
        <w:rPr>
          <w:b/>
        </w:rPr>
        <w:t>Consulta Pública</w:t>
      </w:r>
      <w:r w:rsidR="00655182">
        <w:rPr>
          <w:b/>
        </w:rPr>
        <w:t xml:space="preserve">: </w:t>
      </w:r>
    </w:p>
    <w:p w14:paraId="7C789772" w14:textId="22B7BF8C" w:rsidR="00B903DF" w:rsidRPr="007C1058" w:rsidRDefault="00B903DF" w:rsidP="00B903DF">
      <w:pPr>
        <w:pStyle w:val="IFTnormal"/>
      </w:pPr>
      <w:r w:rsidRPr="007C1058">
        <w:t xml:space="preserve">El </w:t>
      </w:r>
      <w:r w:rsidR="006B7412" w:rsidRPr="007C1058">
        <w:t>Instituto Federal de Telecomunicaciones (en lo sucesivo, “Instituto”)</w:t>
      </w:r>
      <w:r w:rsidR="00931087">
        <w:t xml:space="preserve"> en el período de Consulta P</w:t>
      </w:r>
      <w:r w:rsidR="00931087" w:rsidRPr="00931087">
        <w:t>ública</w:t>
      </w:r>
      <w:r w:rsidR="00931087">
        <w:t>,</w:t>
      </w:r>
      <w:r w:rsidR="00931087" w:rsidRPr="00931087">
        <w:t xml:space="preserve"> </w:t>
      </w:r>
      <w:r w:rsidR="00931087">
        <w:t>que fue d</w:t>
      </w:r>
      <w:r w:rsidR="00931087" w:rsidRPr="00931087">
        <w:t>el 12 de julio al 10 de agosto de 2018</w:t>
      </w:r>
      <w:r w:rsidR="00931087">
        <w:t>,</w:t>
      </w:r>
      <w:r w:rsidR="006B7412" w:rsidRPr="007C1058">
        <w:t xml:space="preserve"> </w:t>
      </w:r>
      <w:r w:rsidRPr="007C1058">
        <w:t xml:space="preserve">recibió los comentarios, opiniones y aportaciones que se tuvieron con relación al contenido de la </w:t>
      </w:r>
      <w:r w:rsidR="00636125">
        <w:t xml:space="preserve">propuesta de </w:t>
      </w:r>
      <w:r w:rsidRPr="007C1058">
        <w:t>Oferta de Referencia</w:t>
      </w:r>
      <w:r w:rsidR="00636125">
        <w:t xml:space="preserve"> </w:t>
      </w:r>
      <w:r w:rsidR="00636125" w:rsidRPr="007C1058">
        <w:t>de Desagregación Efectiva de la Red Local del Agente Económico Preponderante</w:t>
      </w:r>
      <w:r w:rsidR="00655182">
        <w:t xml:space="preserve"> </w:t>
      </w:r>
      <w:r w:rsidR="00B912FF" w:rsidRPr="00E449F8">
        <w:t>presentada por Teléfonos de México, S.A.B. de C.V. y Teléfonos del Noroeste, S.A. de C.V</w:t>
      </w:r>
      <w:r w:rsidR="00B912FF">
        <w:t>.</w:t>
      </w:r>
      <w:r w:rsidR="00B912FF" w:rsidRPr="00E449F8">
        <w:t xml:space="preserve"> </w:t>
      </w:r>
      <w:r w:rsidR="00655182">
        <w:t>(la “Propuesta”)</w:t>
      </w:r>
      <w:r w:rsidRPr="007C1058">
        <w:t>, a través de la dirección de correo electrónico</w:t>
      </w:r>
      <w:r w:rsidR="00E67AA9">
        <w:t>,</w:t>
      </w:r>
      <w:r w:rsidRPr="007C1058">
        <w:t xml:space="preserve"> ofertas.referencia@ift.org.mx, </w:t>
      </w:r>
      <w:r w:rsidR="00E67AA9">
        <w:t>y/o</w:t>
      </w:r>
      <w:r w:rsidRPr="007C1058">
        <w:t xml:space="preserve"> </w:t>
      </w:r>
      <w:r w:rsidR="00E67AA9">
        <w:t>a través de</w:t>
      </w:r>
      <w:r w:rsidRPr="007C1058">
        <w:t xml:space="preserve"> la Oficialía de Partes Común del Instituto ubicada en Insurgentes Sur 1143, colonia Nochebuena, Delegación Benito Juárez, C.P. 03720, Ciudad de México, de lunes a jueves de las 9:00 a las 18:30 horas y los viernes de las 9:00 a las 15:00 horas.</w:t>
      </w:r>
    </w:p>
    <w:p w14:paraId="3956DC9C" w14:textId="0DD7ED96" w:rsidR="00B903DF" w:rsidRPr="007C1058" w:rsidRDefault="00B903DF" w:rsidP="00B903DF">
      <w:pPr>
        <w:pStyle w:val="IFTnormal"/>
      </w:pPr>
      <w:r w:rsidRPr="007C1058">
        <w:t xml:space="preserve">El Instituto puso a disposición de todos los interesados en participar en el proceso consultivo el “Formato para participar en la Consulta Pública”, a efecto de que el mismo </w:t>
      </w:r>
      <w:r w:rsidR="00722691">
        <w:t>fuera</w:t>
      </w:r>
      <w:r w:rsidRPr="007C1058">
        <w:t xml:space="preserve"> contestado y remitido al Instituto conforme a lo señalado en el párrafo que precede.</w:t>
      </w:r>
    </w:p>
    <w:p w14:paraId="545A3199" w14:textId="7C2A5A89" w:rsidR="00B903DF" w:rsidRPr="007C1058" w:rsidRDefault="00B903DF" w:rsidP="00B903DF">
      <w:pPr>
        <w:pStyle w:val="IFTnormal"/>
      </w:pPr>
      <w:r w:rsidRPr="007C1058">
        <w:t xml:space="preserve">La información que los interesados le </w:t>
      </w:r>
      <w:r w:rsidR="00931087">
        <w:t>hicieron</w:t>
      </w:r>
      <w:r w:rsidR="00931087" w:rsidRPr="007C1058">
        <w:t xml:space="preserve"> </w:t>
      </w:r>
      <w:r w:rsidRPr="007C1058">
        <w:t xml:space="preserve">llegar al Instituto </w:t>
      </w:r>
      <w:r w:rsidR="00705DD5">
        <w:t>-</w:t>
      </w:r>
      <w:r w:rsidRPr="007C1058">
        <w:t>de acuerdo a los plazos y términos descritos en esta mecánica- con relación al proceso consultivo no tendr</w:t>
      </w:r>
      <w:r w:rsidR="00931087">
        <w:t>ía</w:t>
      </w:r>
      <w:r w:rsidRPr="007C1058">
        <w:t xml:space="preserve"> carácter vinculante, sin perjuicio de que el Instituto pueda ponderarla en un documento que refleje los resultados de dicha consulta, el cual se hará público en el apartado de la página de la </w:t>
      </w:r>
      <w:r w:rsidR="0003476F">
        <w:t>Consulta Pública</w:t>
      </w:r>
      <w:r w:rsidRPr="007C1058">
        <w:t>.</w:t>
      </w:r>
    </w:p>
    <w:p w14:paraId="232DAE20" w14:textId="72C58953" w:rsidR="00B903DF" w:rsidRPr="007C1058" w:rsidRDefault="00B903DF" w:rsidP="00B903DF">
      <w:pPr>
        <w:pStyle w:val="IFTnormal"/>
      </w:pPr>
      <w:r w:rsidRPr="007C1058">
        <w:t xml:space="preserve">Para cualquier duda, comentario o inquietud sobre el proceso consultivo, el Instituto puso a disposición de todos los interesados, los siguientes puntos de contacto: Sonia Lizde Ortiz Ángeles, Directora de Compartición de Infraestructura, correo </w:t>
      </w:r>
      <w:r w:rsidRPr="007C1058">
        <w:lastRenderedPageBreak/>
        <w:t xml:space="preserve">electrónico: sonia.ortiz@ift.org.mx o bien, a través del número telefónico (55) 5015 4000, extensión 4443 y </w:t>
      </w:r>
      <w:r w:rsidR="0003476F">
        <w:t xml:space="preserve">a </w:t>
      </w:r>
      <w:r w:rsidRPr="007C1058">
        <w:t>Carlos Rodríguez Chavarría, Subdirector de Modelos de Prestación de Servicios de Compartición 2, correo electrónico: carlos.rodriguez@ift.org.mx o bien, a través del número telefónico (55) 5015 4000, extensión 4689, quiénes estuvieron disponibles en los mismos horarios de atención que la Oficialía de Partes Común del Instituto.</w:t>
      </w:r>
    </w:p>
    <w:p w14:paraId="186D967A" w14:textId="03DC1A2C" w:rsidR="00B903DF" w:rsidRDefault="00B903DF" w:rsidP="00FF796F">
      <w:pPr>
        <w:pStyle w:val="IFTnormal"/>
        <w:rPr>
          <w:b/>
        </w:rPr>
      </w:pPr>
      <w:r w:rsidRPr="007C1058">
        <w:t xml:space="preserve">Con el propósito de asegurar una mayor accesibilidad e inclusión en sus procesos de </w:t>
      </w:r>
      <w:r w:rsidR="00705DD5">
        <w:t>Consulta P</w:t>
      </w:r>
      <w:r w:rsidRPr="007C1058">
        <w:t>ública, el Instituto puso a disposición de todos los interesados los documentos e información materia del proceso consultivo, en distintos formatos (v.gr. archivos .</w:t>
      </w:r>
      <w:proofErr w:type="spellStart"/>
      <w:r w:rsidRPr="007C1058">
        <w:t>docx</w:t>
      </w:r>
      <w:proofErr w:type="spellEnd"/>
      <w:r w:rsidRPr="007C1058">
        <w:t xml:space="preserve"> y .</w:t>
      </w:r>
      <w:proofErr w:type="spellStart"/>
      <w:r w:rsidRPr="007C1058">
        <w:t>pdf</w:t>
      </w:r>
      <w:proofErr w:type="spellEnd"/>
      <w:r w:rsidRPr="007C1058">
        <w:t>) a efecto de facilitar su manejo, lectura y decodificación a voz. En el caso, de que hubiera existido cualquier discrepancia sobre la accesibilidad del presente apartado, podía contactarse a través del siguiente número telefónico 01 (800) 2000120, o bien en las siguientes direcciones de correo electrónico atencion@ift.org.mx o jose.hernandez@ift.org.mx, para que, en un plazo no mayor a las 72 horas de recibida su petición, se les hiciera llegar el documento e información correspondiente en formato accesible.</w:t>
      </w:r>
    </w:p>
    <w:p w14:paraId="5379DA8E" w14:textId="586A73C9" w:rsidR="00B903DF" w:rsidRPr="007C1058" w:rsidRDefault="00FE165D" w:rsidP="00FE165D">
      <w:pPr>
        <w:pStyle w:val="IFTnormal"/>
      </w:pPr>
      <w:r w:rsidRPr="007C1058">
        <w:t xml:space="preserve">Los </w:t>
      </w:r>
      <w:r w:rsidR="004D17FA">
        <w:rPr>
          <w:b/>
        </w:rPr>
        <w:t>O</w:t>
      </w:r>
      <w:r w:rsidRPr="004D17FA">
        <w:rPr>
          <w:b/>
        </w:rPr>
        <w:t>bjetivos principales</w:t>
      </w:r>
      <w:r w:rsidRPr="007C1058">
        <w:t xml:space="preserve"> de la </w:t>
      </w:r>
      <w:r w:rsidR="0003476F">
        <w:t>Consulta Pública</w:t>
      </w:r>
      <w:r w:rsidR="006B7412" w:rsidRPr="007C1058">
        <w:t xml:space="preserve"> consistieron</w:t>
      </w:r>
      <w:r w:rsidRPr="007C1058">
        <w:t xml:space="preserve"> en: i) contar con mayores elementos para determinar las condiciones bajo las cuales se deberá aprobar la Oferta de Referencia; ii) favorecer la transparencia y participación ciudadana con el fin de recibir los comentarios y opiniones de regulados, cámaras, usuarios y audiencias sobre la Oferta de Referencia; y iii) establecer las bases para aprobar o modificar la misma.</w:t>
      </w:r>
    </w:p>
    <w:p w14:paraId="42992999" w14:textId="571A3486" w:rsidR="006B7412" w:rsidRPr="004D17FA" w:rsidRDefault="006B7412" w:rsidP="004D17FA">
      <w:pPr>
        <w:pStyle w:val="IFTnormal"/>
      </w:pPr>
      <w:r w:rsidRPr="006B7412">
        <w:rPr>
          <w:b/>
        </w:rPr>
        <w:t>Unidades y/o Coordinacione</w:t>
      </w:r>
      <w:r w:rsidR="0003476F">
        <w:rPr>
          <w:b/>
        </w:rPr>
        <w:t>s Generales responsables de la Consulta P</w:t>
      </w:r>
      <w:r w:rsidRPr="006B7412">
        <w:rPr>
          <w:b/>
        </w:rPr>
        <w:t>ública</w:t>
      </w:r>
      <w:r w:rsidR="002E5CD2">
        <w:rPr>
          <w:b/>
        </w:rPr>
        <w:t xml:space="preserve">: </w:t>
      </w:r>
      <w:r w:rsidR="004D17FA" w:rsidRPr="004D17FA">
        <w:t>Unidad de Política Regulatoria</w:t>
      </w:r>
      <w:r w:rsidR="001C42D4">
        <w:t>.</w:t>
      </w:r>
    </w:p>
    <w:p w14:paraId="1B4814B1" w14:textId="77777777" w:rsidR="008313F8" w:rsidRDefault="00971574" w:rsidP="00971574">
      <w:pPr>
        <w:pStyle w:val="IFTnormal"/>
        <w:rPr>
          <w:b/>
        </w:rPr>
      </w:pPr>
      <w:r w:rsidRPr="00971574">
        <w:rPr>
          <w:b/>
        </w:rPr>
        <w:t xml:space="preserve">Descripción de los participantes en la </w:t>
      </w:r>
      <w:r w:rsidR="0003476F">
        <w:rPr>
          <w:b/>
        </w:rPr>
        <w:t>Consulta Pública</w:t>
      </w:r>
      <w:r w:rsidR="002E5CD2">
        <w:rPr>
          <w:b/>
        </w:rPr>
        <w:t xml:space="preserve">: </w:t>
      </w:r>
    </w:p>
    <w:p w14:paraId="63BD107F" w14:textId="5CF0C1CF" w:rsidR="00971574" w:rsidRDefault="00971574" w:rsidP="00971574">
      <w:pPr>
        <w:pStyle w:val="IFTnormal"/>
      </w:pPr>
      <w:r>
        <w:t xml:space="preserve">Durante el plazo de duración de la Consulta Pública de mérito se recibieron </w:t>
      </w:r>
      <w:r w:rsidR="00845947" w:rsidRPr="00845947">
        <w:t xml:space="preserve">comentarios, opiniones y aportaciones con relación al contenido de la </w:t>
      </w:r>
      <w:r w:rsidR="0096095E">
        <w:t>Propuesta</w:t>
      </w:r>
      <w:r w:rsidR="00845947" w:rsidRPr="00845947">
        <w:t xml:space="preserve"> </w:t>
      </w:r>
      <w:r>
        <w:t>de los interesados o grupo de interesados</w:t>
      </w:r>
      <w:r w:rsidR="00845947">
        <w:t xml:space="preserve"> siguientes</w:t>
      </w:r>
      <w:r>
        <w:t>:</w:t>
      </w:r>
    </w:p>
    <w:p w14:paraId="672EB340" w14:textId="489515B7" w:rsidR="00971574" w:rsidRDefault="00971574" w:rsidP="00971574">
      <w:pPr>
        <w:pStyle w:val="IFTnormal"/>
        <w:numPr>
          <w:ilvl w:val="0"/>
          <w:numId w:val="1"/>
        </w:numPr>
      </w:pPr>
      <w:r>
        <w:t xml:space="preserve">AXTEL, S.A.B. de C.V. </w:t>
      </w:r>
      <w:r w:rsidRPr="00927051">
        <w:t>(</w:t>
      </w:r>
      <w:r>
        <w:t>“AXTEL</w:t>
      </w:r>
      <w:r w:rsidRPr="00927051">
        <w:t>”)</w:t>
      </w:r>
      <w:r>
        <w:t>;</w:t>
      </w:r>
    </w:p>
    <w:p w14:paraId="059F81AF" w14:textId="5759282B" w:rsidR="00971574" w:rsidRDefault="00645AD8" w:rsidP="00971574">
      <w:pPr>
        <w:pStyle w:val="IFTnormal"/>
        <w:numPr>
          <w:ilvl w:val="0"/>
          <w:numId w:val="1"/>
        </w:numPr>
      </w:pPr>
      <w:r w:rsidRPr="007009CE">
        <w:t>CÁMARA NACIONAL DE LA INDUSTRIA ELECTRÓNICA, DE TELECOMUNICACIONES Y TECNOLOGÍAS DE LA INFORMACIÓN</w:t>
      </w:r>
      <w:r>
        <w:t xml:space="preserve"> </w:t>
      </w:r>
      <w:r w:rsidR="00971574">
        <w:t>(“CANIETI”);</w:t>
      </w:r>
    </w:p>
    <w:p w14:paraId="533ECB79" w14:textId="13FFD507" w:rsidR="00971574" w:rsidRDefault="00971574" w:rsidP="00971574">
      <w:pPr>
        <w:pStyle w:val="IFTnormal"/>
        <w:numPr>
          <w:ilvl w:val="0"/>
          <w:numId w:val="1"/>
        </w:numPr>
      </w:pPr>
      <w:r>
        <w:t>CORPORACIÓN DE RADIO Y TELEVISIÓN DEL NORTE DE MÉX</w:t>
      </w:r>
      <w:r w:rsidR="001C05F3">
        <w:t>I</w:t>
      </w:r>
      <w:r>
        <w:t xml:space="preserve">CO, S. DE R.L. DE C.V. y </w:t>
      </w:r>
      <w:r w:rsidRPr="00C06397">
        <w:t>CORPORACIÓN NOVAVISIÓN, S. DE R.L. DE C.V.</w:t>
      </w:r>
    </w:p>
    <w:p w14:paraId="2B10C3F0" w14:textId="77777777" w:rsidR="00971574" w:rsidRDefault="00971574" w:rsidP="00971574">
      <w:pPr>
        <w:pStyle w:val="IFTnormal"/>
        <w:numPr>
          <w:ilvl w:val="0"/>
          <w:numId w:val="1"/>
        </w:numPr>
      </w:pPr>
      <w:r w:rsidRPr="00CC331F">
        <w:t xml:space="preserve">BESTPHONE, S.A. DE C.V., OPERBES, S.A. DE C.V., CABLEVISIÓN, S.A. DE C.V., CABLE Y COMUNICACIÓN DE CAMPECHE, S.A. DE C.V., CABLEMÁS </w:t>
      </w:r>
      <w:r w:rsidRPr="00CC331F">
        <w:lastRenderedPageBreak/>
        <w:t>TELECOMUNICACIONES, S.A. DE C.V., CABLEVISIÓN RED, S.A. DE C.V., TELE AZTECA, S.A. DE C.V., TELEVISIÓN INTERNACIONAL, S.A. DE C.V., MÉXICO RED DE TELECOMUNICACIONES, S. DE R.L. DE C.V. Y TV CABLE DE ORIENTE S.A. DE C.V.,</w:t>
      </w:r>
      <w:r w:rsidRPr="007009CE">
        <w:t xml:space="preserve"> </w:t>
      </w:r>
      <w:r>
        <w:t>(conjuntamente “GRUPO TELEVISA”);</w:t>
      </w:r>
      <w:r w:rsidRPr="007009CE">
        <w:t xml:space="preserve"> </w:t>
      </w:r>
    </w:p>
    <w:p w14:paraId="3D39A601" w14:textId="53E1EF0A" w:rsidR="00971574" w:rsidRDefault="00645AD8" w:rsidP="00971574">
      <w:pPr>
        <w:pStyle w:val="IFTnormal"/>
        <w:numPr>
          <w:ilvl w:val="0"/>
          <w:numId w:val="1"/>
        </w:numPr>
      </w:pPr>
      <w:r w:rsidRPr="00CC331F">
        <w:t>MEGA CABLE, S.A. DE C.V.</w:t>
      </w:r>
      <w:r>
        <w:t xml:space="preserve"> </w:t>
      </w:r>
      <w:r w:rsidR="00971574">
        <w:t>(</w:t>
      </w:r>
      <w:r w:rsidR="001C05F3">
        <w:t>“</w:t>
      </w:r>
      <w:r w:rsidR="00971574">
        <w:t>MEGACABLE</w:t>
      </w:r>
      <w:r w:rsidR="001C05F3">
        <w:t>”</w:t>
      </w:r>
      <w:r w:rsidR="00971574">
        <w:t>);</w:t>
      </w:r>
    </w:p>
    <w:p w14:paraId="67A249B4" w14:textId="31710DF7" w:rsidR="00971574" w:rsidRDefault="00645AD8" w:rsidP="00971574">
      <w:pPr>
        <w:pStyle w:val="IFTnormal"/>
        <w:numPr>
          <w:ilvl w:val="0"/>
          <w:numId w:val="1"/>
        </w:numPr>
      </w:pPr>
      <w:r w:rsidRPr="00CC331F">
        <w:t>ORGANISMO PROMOTOR DE INVERSIONES EN TELECOMUNICACIONES</w:t>
      </w:r>
      <w:r w:rsidR="00971574">
        <w:t xml:space="preserve"> (“PROMTEL”);</w:t>
      </w:r>
    </w:p>
    <w:p w14:paraId="57F27A52" w14:textId="669D39B0" w:rsidR="00971574" w:rsidRDefault="00645AD8" w:rsidP="00971574">
      <w:pPr>
        <w:pStyle w:val="IFTnormal"/>
        <w:numPr>
          <w:ilvl w:val="0"/>
          <w:numId w:val="1"/>
        </w:numPr>
      </w:pPr>
      <w:r w:rsidRPr="005C3046">
        <w:t>PEGASO PCS, S.A. DE C.V.</w:t>
      </w:r>
      <w:r>
        <w:t xml:space="preserve"> </w:t>
      </w:r>
      <w:r w:rsidR="00971574">
        <w:t>(“TELEFÓNICA”);</w:t>
      </w:r>
    </w:p>
    <w:p w14:paraId="2349C8B2" w14:textId="471095B9" w:rsidR="004A17FD" w:rsidRDefault="001F57B7" w:rsidP="00FF796F">
      <w:pPr>
        <w:pStyle w:val="IFTnormal"/>
      </w:pPr>
      <w:r w:rsidRPr="001F57B7">
        <w:rPr>
          <w:b/>
        </w:rPr>
        <w:t>Las respuestas o posicionamientos por parte del Instituto</w:t>
      </w:r>
      <w:r w:rsidR="00806D89">
        <w:rPr>
          <w:b/>
        </w:rPr>
        <w:t xml:space="preserve">: </w:t>
      </w:r>
      <w:r w:rsidR="004A17FD">
        <w:t>Con relación a las manifestaciones, opiniones, comentarios y propuestas</w:t>
      </w:r>
      <w:r w:rsidR="00DB0509">
        <w:t xml:space="preserve"> concretas recibidas hasta el 10 de agosto de 201</w:t>
      </w:r>
      <w:r w:rsidR="00362F4D">
        <w:t>8</w:t>
      </w:r>
      <w:r w:rsidR="004A17FD">
        <w:t xml:space="preserve">, de acuerdo </w:t>
      </w:r>
      <w:r w:rsidR="00B549E7">
        <w:t xml:space="preserve">con la </w:t>
      </w:r>
      <w:r w:rsidR="00626C7E">
        <w:t xml:space="preserve">Consulta Pública sobre la </w:t>
      </w:r>
      <w:r w:rsidR="00D96CC4">
        <w:t>P</w:t>
      </w:r>
      <w:r w:rsidR="0004098F">
        <w:t>ropuesta</w:t>
      </w:r>
      <w:r w:rsidR="004A17FD">
        <w:t xml:space="preserve">, se informa que el Instituto agrupó </w:t>
      </w:r>
      <w:r w:rsidR="00DB0509">
        <w:t xml:space="preserve">la información </w:t>
      </w:r>
      <w:r w:rsidR="004A17FD">
        <w:t>conforme a los temas de dich</w:t>
      </w:r>
      <w:r w:rsidR="00867C5D">
        <w:t xml:space="preserve">a Propuesta </w:t>
      </w:r>
      <w:r w:rsidR="004A17FD">
        <w:t>para su m</w:t>
      </w:r>
      <w:r w:rsidR="00A7780A">
        <w:t>ejor identificación. Así mismo también,</w:t>
      </w:r>
      <w:r w:rsidR="004A17FD">
        <w:t xml:space="preserve"> se </w:t>
      </w:r>
      <w:r w:rsidR="00A7780A">
        <w:t>indica</w:t>
      </w:r>
      <w:r w:rsidR="004A17FD">
        <w:t xml:space="preserve"> que todas las opiniones y pronunciamientos recibidos, se encuentran disponibles para su consulta en la página de internet </w:t>
      </w:r>
      <w:r w:rsidR="002E5CD2">
        <w:rPr>
          <w:rStyle w:val="Refdenotaalpie"/>
        </w:rPr>
        <w:footnoteReference w:id="2"/>
      </w:r>
      <w:r w:rsidR="004A17FD">
        <w:t>del Instituto.</w:t>
      </w:r>
    </w:p>
    <w:p w14:paraId="333FAC6C" w14:textId="26EE99A8" w:rsidR="00D96CC4" w:rsidRDefault="004A17FD" w:rsidP="00174617">
      <w:pPr>
        <w:pStyle w:val="IFTnormal"/>
      </w:pPr>
      <w:r>
        <w:t>Lo contenido en la</w:t>
      </w:r>
      <w:r w:rsidR="00E44804">
        <w:t>s</w:t>
      </w:r>
      <w:r>
        <w:t xml:space="preserve"> presentes Respuestas Generales atiende únicamente lo relacionado con las </w:t>
      </w:r>
      <w:r w:rsidR="00017D74" w:rsidRPr="00017D74">
        <w:t xml:space="preserve">manifestaciones, opiniones, comentarios y propuestas </w:t>
      </w:r>
      <w:r>
        <w:t xml:space="preserve">realizadas en la </w:t>
      </w:r>
      <w:r w:rsidR="00E36C7B">
        <w:t>Consulta Pública</w:t>
      </w:r>
      <w:r>
        <w:t xml:space="preserve"> a los temas presentados en </w:t>
      </w:r>
      <w:r w:rsidR="00867C5D">
        <w:t xml:space="preserve">la </w:t>
      </w:r>
      <w:r w:rsidR="00286D31">
        <w:t>Propuesta</w:t>
      </w:r>
      <w:r>
        <w:t>.</w:t>
      </w:r>
    </w:p>
    <w:p w14:paraId="2349C8C2" w14:textId="77777777" w:rsidR="00066213" w:rsidRPr="00F514DD" w:rsidRDefault="00066213" w:rsidP="00EE6A8A">
      <w:pPr>
        <w:pStyle w:val="1TitPrin"/>
      </w:pPr>
      <w:r w:rsidRPr="00F514DD">
        <w:t>OPINIONES GENERALES.</w:t>
      </w:r>
    </w:p>
    <w:p w14:paraId="6E2FE0A7" w14:textId="3D3CE792" w:rsidR="007114D5" w:rsidRDefault="007114D5" w:rsidP="00EF3BF3">
      <w:pPr>
        <w:pStyle w:val="IFTnormal"/>
      </w:pPr>
      <w:r>
        <w:t xml:space="preserve">En la </w:t>
      </w:r>
      <w:r w:rsidR="00E36C7B">
        <w:t>Consulta Pública</w:t>
      </w:r>
      <w:r>
        <w:t xml:space="preserve"> se recibieron</w:t>
      </w:r>
      <w:r w:rsidR="00066213" w:rsidRPr="00AD6528">
        <w:t xml:space="preserve"> c</w:t>
      </w:r>
      <w:r w:rsidR="00745475">
        <w:t>omentarios generales</w:t>
      </w:r>
      <w:r w:rsidR="00066213" w:rsidRPr="00AD6528">
        <w:t xml:space="preserve"> sobre el proceso de revisión y actualización de la </w:t>
      </w:r>
      <w:r w:rsidR="00D96CC4">
        <w:t xml:space="preserve">Propuesta y de la </w:t>
      </w:r>
      <w:r w:rsidR="00D96CC4" w:rsidRPr="00D96CC4">
        <w:t>Oferta de Referencia</w:t>
      </w:r>
      <w:r w:rsidR="00B354BA">
        <w:t xml:space="preserve"> aprobada por </w:t>
      </w:r>
      <w:r w:rsidR="00D96CC4" w:rsidRPr="00D96CC4">
        <w:t xml:space="preserve">el Pleno del Instituto en su </w:t>
      </w:r>
      <w:r w:rsidR="00D5034B">
        <w:t>VII</w:t>
      </w:r>
      <w:r w:rsidR="00D96CC4" w:rsidRPr="00D96CC4">
        <w:t xml:space="preserve"> Sesión Extraordinaria</w:t>
      </w:r>
      <w:r w:rsidR="00D5034B">
        <w:t>, celebrada el 11 de diciembre de 2018,</w:t>
      </w:r>
      <w:r w:rsidR="00D96CC4" w:rsidRPr="00D96CC4">
        <w:t xml:space="preserve"> mediante Acuerdo </w:t>
      </w:r>
      <w:r w:rsidR="00D96CC4" w:rsidRPr="00500BE9">
        <w:t>P/IFT/EXT/</w:t>
      </w:r>
      <w:r w:rsidR="00D5034B">
        <w:t>111218/25</w:t>
      </w:r>
      <w:r w:rsidR="00500BE9">
        <w:t xml:space="preserve">, </w:t>
      </w:r>
      <w:r w:rsidR="00D96CC4" w:rsidRPr="00D96CC4">
        <w:t xml:space="preserve"> “RESOLUCIÓN MEDIANTE LA CUAL EL PLENO DEL INSTITUTO FEDERAL DE TELECOMUNICACIONES MODIFICA Y AUTORIZA AL AGENTE ECONÓMICO PREPONDERANTE LOS TÉRMINOS Y CONDICIONES DE LA OFERTA DE REFERENCIA DE DESAGREGACIÓN EFECTIVA DE LA RED LOCAL DEL AGENTE ECONÓMICO PREPONDERANTE PRESENTADA POR TELÉFONOS DE MÉXICO, S.A.B. DE C. V.”, (en lo sucesivo,  </w:t>
      </w:r>
      <w:r w:rsidR="00B354BA">
        <w:t>“Oferta de Referencia Vigente</w:t>
      </w:r>
      <w:r w:rsidR="00500BE9">
        <w:t>”).</w:t>
      </w:r>
    </w:p>
    <w:p w14:paraId="37F24B79" w14:textId="535D1E86" w:rsidR="005D3AA3" w:rsidRDefault="007114D5" w:rsidP="00EF3BF3">
      <w:pPr>
        <w:pStyle w:val="IFTnormal"/>
      </w:pPr>
      <w:r w:rsidRPr="00EF3BF3">
        <w:t>Al respecto el Instituto</w:t>
      </w:r>
      <w:r w:rsidR="007217D5" w:rsidRPr="00EF3BF3">
        <w:t xml:space="preserve"> </w:t>
      </w:r>
      <w:r w:rsidR="00867C5D" w:rsidRPr="00EF3BF3">
        <w:t>señala</w:t>
      </w:r>
      <w:r w:rsidR="00066213" w:rsidRPr="00EF3BF3">
        <w:t xml:space="preserve"> que </w:t>
      </w:r>
      <w:r w:rsidRPr="00EF3BF3">
        <w:t xml:space="preserve">cualquier adecuación a este </w:t>
      </w:r>
      <w:r w:rsidR="00066213" w:rsidRPr="00EF3BF3">
        <w:t xml:space="preserve">proceso </w:t>
      </w:r>
      <w:r w:rsidR="00500BE9">
        <w:t>de revisión</w:t>
      </w:r>
      <w:r w:rsidR="00066213" w:rsidRPr="00EF3BF3">
        <w:t xml:space="preserve"> </w:t>
      </w:r>
      <w:r w:rsidRPr="00EF3BF3">
        <w:t xml:space="preserve">requeriría un cambio </w:t>
      </w:r>
      <w:r w:rsidR="000274B9" w:rsidRPr="00EF3BF3">
        <w:t>en las Medidas de Desagregación</w:t>
      </w:r>
      <w:r w:rsidR="00500BE9">
        <w:t>,</w:t>
      </w:r>
      <w:r w:rsidR="000274B9" w:rsidRPr="00EF3BF3">
        <w:t xml:space="preserve"> que </w:t>
      </w:r>
      <w:r w:rsidR="001A365C" w:rsidRPr="00EF3BF3">
        <w:t xml:space="preserve">a su vez </w:t>
      </w:r>
      <w:r w:rsidR="000274B9" w:rsidRPr="00EF3BF3">
        <w:t>sigue</w:t>
      </w:r>
      <w:r w:rsidRPr="00EF3BF3">
        <w:t xml:space="preserve"> las disposiciones legales contenidas</w:t>
      </w:r>
      <w:r w:rsidR="007217D5" w:rsidRPr="00EF3BF3">
        <w:t xml:space="preserve"> en el </w:t>
      </w:r>
      <w:r w:rsidR="00066213" w:rsidRPr="00EF3BF3">
        <w:t>art 269</w:t>
      </w:r>
      <w:r w:rsidRPr="00EF3BF3">
        <w:t xml:space="preserve"> fracción </w:t>
      </w:r>
      <w:r w:rsidR="00066213" w:rsidRPr="00EF3BF3">
        <w:t>II</w:t>
      </w:r>
      <w:r w:rsidR="007217D5" w:rsidRPr="00EF3BF3">
        <w:t>I</w:t>
      </w:r>
      <w:r w:rsidR="00D62388" w:rsidRPr="00EF3BF3">
        <w:t>,</w:t>
      </w:r>
      <w:r w:rsidRPr="00EF3BF3">
        <w:t xml:space="preserve"> de la LFTR</w:t>
      </w:r>
      <w:r w:rsidR="009302C6">
        <w:rPr>
          <w:rStyle w:val="Refdenotaalpie"/>
        </w:rPr>
        <w:footnoteReference w:id="3"/>
      </w:r>
      <w:r w:rsidR="007217D5" w:rsidRPr="00EF3BF3">
        <w:t xml:space="preserve"> donde</w:t>
      </w:r>
      <w:r w:rsidR="00066213" w:rsidRPr="00EF3BF3">
        <w:t xml:space="preserve"> se fija el calendario</w:t>
      </w:r>
      <w:r w:rsidR="001A365C" w:rsidRPr="00EF3BF3">
        <w:t>,</w:t>
      </w:r>
      <w:r w:rsidR="00066213" w:rsidRPr="00EF3BF3">
        <w:t xml:space="preserve"> </w:t>
      </w:r>
      <w:r w:rsidR="001A365C" w:rsidRPr="00EF3BF3">
        <w:t xml:space="preserve">procedimiento </w:t>
      </w:r>
      <w:r w:rsidR="00066213" w:rsidRPr="00EF3BF3">
        <w:t xml:space="preserve">de aprobación y vigencia de la </w:t>
      </w:r>
      <w:r w:rsidR="00937B3E">
        <w:t>Oferta de Referencia</w:t>
      </w:r>
      <w:r w:rsidR="00D62388" w:rsidRPr="00EF3BF3">
        <w:t>.</w:t>
      </w:r>
      <w:r w:rsidR="000E0D28">
        <w:t xml:space="preserve"> </w:t>
      </w:r>
    </w:p>
    <w:p w14:paraId="0C595F1A" w14:textId="65CA0D52" w:rsidR="00B30378" w:rsidRDefault="000E0D28" w:rsidP="00EF3BF3">
      <w:pPr>
        <w:pStyle w:val="IFTnormal"/>
      </w:pPr>
      <w:r w:rsidRPr="00CE511B">
        <w:lastRenderedPageBreak/>
        <w:t>Para efectos de</w:t>
      </w:r>
      <w:r>
        <w:t>l presente Informe</w:t>
      </w:r>
      <w:r w:rsidRPr="00CE511B">
        <w:t xml:space="preserve">, se le denominará de manera </w:t>
      </w:r>
      <w:r w:rsidR="00B30378">
        <w:t>general</w:t>
      </w:r>
      <w:r w:rsidRPr="00CE511B">
        <w:t xml:space="preserve"> “</w:t>
      </w:r>
      <w:r w:rsidR="00B30378">
        <w:t>Oferta de Referencia</w:t>
      </w:r>
      <w:r w:rsidRPr="00CE511B">
        <w:t>”</w:t>
      </w:r>
      <w:r w:rsidR="00B30378">
        <w:t xml:space="preserve"> a la mención conforme a las Medidas de Desagregación y a la </w:t>
      </w:r>
      <w:r w:rsidR="00500BE9">
        <w:t>aprobada por</w:t>
      </w:r>
      <w:r w:rsidR="00B30378">
        <w:t xml:space="preserve"> el Pleno del Instituto.</w:t>
      </w:r>
    </w:p>
    <w:p w14:paraId="75AB77AE" w14:textId="77777777" w:rsidR="00B30378" w:rsidRDefault="00B30378" w:rsidP="00EF3BF3">
      <w:pPr>
        <w:pStyle w:val="IFTnormal"/>
      </w:pPr>
    </w:p>
    <w:p w14:paraId="641BE491" w14:textId="56F1EE5D" w:rsidR="00F514DD" w:rsidRPr="00500BE9" w:rsidRDefault="00A512EE" w:rsidP="00EF3BF3">
      <w:pPr>
        <w:pStyle w:val="IFTnormal"/>
        <w:rPr>
          <w:u w:val="single"/>
        </w:rPr>
      </w:pPr>
      <w:r w:rsidRPr="00500BE9">
        <w:rPr>
          <w:u w:val="single"/>
        </w:rPr>
        <w:t>PRINCIPIO DE EQUIVALENCIA DE INSUMOS Y SEPARACIÓN FUNCIONAL.</w:t>
      </w:r>
    </w:p>
    <w:p w14:paraId="39268A59" w14:textId="1552122E" w:rsidR="00452511" w:rsidRPr="00EF3BF3" w:rsidRDefault="00D5034B" w:rsidP="00EF3BF3">
      <w:pPr>
        <w:pStyle w:val="IFTnormal"/>
      </w:pPr>
      <w:r>
        <w:t>S</w:t>
      </w:r>
      <w:r w:rsidR="00C0204D" w:rsidRPr="00EF3BF3">
        <w:t>e recibieron comentarios</w:t>
      </w:r>
      <w:r w:rsidR="000274B9" w:rsidRPr="00EF3BF3">
        <w:t xml:space="preserve"> e</w:t>
      </w:r>
      <w:r w:rsidR="00745475" w:rsidRPr="00EF3BF3">
        <w:t>n relación con la</w:t>
      </w:r>
      <w:r w:rsidR="00066213" w:rsidRPr="00EF3BF3">
        <w:t xml:space="preserve"> aplicación de</w:t>
      </w:r>
      <w:r w:rsidR="000274B9" w:rsidRPr="00EF3BF3">
        <w:t>l principio de equivalencia de i</w:t>
      </w:r>
      <w:r w:rsidR="00452511" w:rsidRPr="00EF3BF3">
        <w:t>nsumos</w:t>
      </w:r>
      <w:r w:rsidR="00F2426A" w:rsidRPr="00EF3BF3">
        <w:t>, así como</w:t>
      </w:r>
      <w:r w:rsidR="00066213" w:rsidRPr="00EF3BF3">
        <w:t xml:space="preserve"> </w:t>
      </w:r>
      <w:r w:rsidR="00452511" w:rsidRPr="00EF3BF3">
        <w:t>r</w:t>
      </w:r>
      <w:r w:rsidR="000274B9" w:rsidRPr="00EF3BF3">
        <w:t>especto a</w:t>
      </w:r>
      <w:r w:rsidR="00F2426A" w:rsidRPr="00EF3BF3">
        <w:t>l seguimiento de</w:t>
      </w:r>
      <w:r w:rsidR="000274B9" w:rsidRPr="00EF3BF3">
        <w:t xml:space="preserve"> otras experiencias de separación funcional </w:t>
      </w:r>
      <w:r w:rsidR="00F2426A" w:rsidRPr="00EF3BF3">
        <w:t>a nivel internacional.</w:t>
      </w:r>
    </w:p>
    <w:p w14:paraId="001F4792" w14:textId="553D87EB" w:rsidR="00452511" w:rsidRPr="00EF3BF3" w:rsidRDefault="00F2426A" w:rsidP="00EF3BF3">
      <w:pPr>
        <w:pStyle w:val="IFTnormal"/>
      </w:pPr>
      <w:r w:rsidRPr="00EF3BF3">
        <w:t xml:space="preserve">Al respecto el Instituto comprende que </w:t>
      </w:r>
      <w:r w:rsidR="00DC3EFA" w:rsidRPr="00EF3BF3">
        <w:t xml:space="preserve">la aplicación </w:t>
      </w:r>
      <w:r w:rsidR="00C0204D" w:rsidRPr="00EF3BF3">
        <w:t>del</w:t>
      </w:r>
      <w:r w:rsidR="00066213" w:rsidRPr="00EF3BF3">
        <w:t xml:space="preserve"> principio </w:t>
      </w:r>
      <w:r w:rsidRPr="00EF3BF3">
        <w:t>de equivalencia de insumos</w:t>
      </w:r>
      <w:r w:rsidR="00066213" w:rsidRPr="00EF3BF3">
        <w:t xml:space="preserve"> </w:t>
      </w:r>
      <w:r w:rsidR="00C0204D" w:rsidRPr="00EF3BF3">
        <w:t xml:space="preserve">y la instrumentación de </w:t>
      </w:r>
      <w:r w:rsidR="00066213" w:rsidRPr="00EF3BF3">
        <w:t xml:space="preserve">una </w:t>
      </w:r>
      <w:r w:rsidR="00C0204D" w:rsidRPr="00EF3BF3">
        <w:t xml:space="preserve">separación funcional </w:t>
      </w:r>
      <w:r w:rsidR="001A365C" w:rsidRPr="00EF3BF3">
        <w:t>promueve una mayor</w:t>
      </w:r>
      <w:r w:rsidR="00066213" w:rsidRPr="00EF3BF3">
        <w:t xml:space="preserve"> </w:t>
      </w:r>
      <w:r w:rsidR="001B2932" w:rsidRPr="00EF3BF3">
        <w:t>competencia.</w:t>
      </w:r>
      <w:r w:rsidR="00066213" w:rsidRPr="00EF3BF3">
        <w:t xml:space="preserve"> </w:t>
      </w:r>
      <w:r w:rsidR="001B2932" w:rsidRPr="00EF3BF3">
        <w:t>A</w:t>
      </w:r>
      <w:r w:rsidR="000D0C45" w:rsidRPr="00EF3BF3">
        <w:t>simismo</w:t>
      </w:r>
      <w:r w:rsidR="00066213" w:rsidRPr="00EF3BF3">
        <w:t xml:space="preserve">, </w:t>
      </w:r>
      <w:r w:rsidRPr="00EF3BF3">
        <w:t>se</w:t>
      </w:r>
      <w:r w:rsidR="00066213" w:rsidRPr="00EF3BF3">
        <w:t xml:space="preserve"> debe</w:t>
      </w:r>
      <w:r w:rsidRPr="00EF3BF3">
        <w:t>n</w:t>
      </w:r>
      <w:r w:rsidR="00066213" w:rsidRPr="00EF3BF3">
        <w:t xml:space="preserve"> </w:t>
      </w:r>
      <w:r w:rsidRPr="00EF3BF3">
        <w:t>analizar y</w:t>
      </w:r>
      <w:r w:rsidR="00066213" w:rsidRPr="00EF3BF3">
        <w:t xml:space="preserve"> aprovechar la experiencia de otros países, </w:t>
      </w:r>
      <w:r w:rsidR="0034049B" w:rsidRPr="00EF3BF3">
        <w:t>y reconocer</w:t>
      </w:r>
      <w:r w:rsidR="00066213" w:rsidRPr="00EF3BF3">
        <w:t xml:space="preserve"> que muchas de las medidas necesarias para implementar </w:t>
      </w:r>
      <w:r w:rsidR="0034049B" w:rsidRPr="00EF3BF3">
        <w:t xml:space="preserve">dichos </w:t>
      </w:r>
      <w:r w:rsidR="000D0C45" w:rsidRPr="00EF3BF3">
        <w:t>principios</w:t>
      </w:r>
      <w:r w:rsidR="00066213" w:rsidRPr="00EF3BF3">
        <w:t xml:space="preserve"> requieren </w:t>
      </w:r>
      <w:r w:rsidRPr="00EF3BF3">
        <w:t>el</w:t>
      </w:r>
      <w:r w:rsidR="00066213" w:rsidRPr="00EF3BF3">
        <w:t xml:space="preserve"> desarrollo de herramientas de regulación compleja</w:t>
      </w:r>
      <w:r w:rsidRPr="00EF3BF3">
        <w:t xml:space="preserve"> que podrían</w:t>
      </w:r>
      <w:r w:rsidR="00452511" w:rsidRPr="00EF3BF3">
        <w:t xml:space="preserve"> requerir cambios normativos y</w:t>
      </w:r>
      <w:r w:rsidR="001B2932" w:rsidRPr="00EF3BF3">
        <w:t xml:space="preserve"> organizativos</w:t>
      </w:r>
      <w:r w:rsidR="0034049B" w:rsidRPr="00EF3BF3">
        <w:t xml:space="preserve"> fuera del alcance y propósito de </w:t>
      </w:r>
      <w:r w:rsidR="00BB3B74">
        <w:t>la Oferta de Referencia</w:t>
      </w:r>
      <w:r w:rsidR="00AE51EE" w:rsidRPr="00EF3BF3">
        <w:t>.</w:t>
      </w:r>
    </w:p>
    <w:p w14:paraId="2251D922" w14:textId="720C2270" w:rsidR="00F514DD" w:rsidRPr="00500BE9" w:rsidRDefault="00190DD5" w:rsidP="00174617">
      <w:pPr>
        <w:pStyle w:val="IFTnormal"/>
        <w:rPr>
          <w:u w:val="single"/>
        </w:rPr>
      </w:pPr>
      <w:r w:rsidRPr="00500BE9">
        <w:rPr>
          <w:u w:val="single"/>
        </w:rPr>
        <w:t>DESAGREGACIÓN DE FIBRA ÓPTICA.</w:t>
      </w:r>
    </w:p>
    <w:p w14:paraId="247A91A2" w14:textId="412DBC04" w:rsidR="0021519C" w:rsidRPr="00EF3BF3" w:rsidRDefault="00F514DD" w:rsidP="00EF3BF3">
      <w:pPr>
        <w:pStyle w:val="IFTnormal"/>
      </w:pPr>
      <w:r w:rsidRPr="00EF3BF3">
        <w:t>En relación co</w:t>
      </w:r>
      <w:r w:rsidR="00953A16" w:rsidRPr="00EF3BF3">
        <w:t>n los comentarios recibidos</w:t>
      </w:r>
      <w:r w:rsidRPr="00EF3BF3">
        <w:t xml:space="preserve"> sobre el uso de fibra </w:t>
      </w:r>
      <w:r w:rsidR="000748BC" w:rsidRPr="00EF3BF3">
        <w:t xml:space="preserve">óptica </w:t>
      </w:r>
      <w:r w:rsidRPr="00EF3BF3">
        <w:t>desagregada</w:t>
      </w:r>
      <w:r w:rsidR="00DF0488">
        <w:t>,</w:t>
      </w:r>
      <w:r w:rsidRPr="00EF3BF3">
        <w:t xml:space="preserve"> </w:t>
      </w:r>
      <w:r w:rsidR="00953A16" w:rsidRPr="00EF3BF3">
        <w:t xml:space="preserve">se refieren </w:t>
      </w:r>
      <w:r w:rsidR="001C7550">
        <w:t xml:space="preserve">a que </w:t>
      </w:r>
      <w:r w:rsidR="00D33BDA">
        <w:t>el S</w:t>
      </w:r>
      <w:r w:rsidR="00DF0488">
        <w:t>ervicio</w:t>
      </w:r>
      <w:r w:rsidR="00D33BDA" w:rsidRPr="00D33BDA">
        <w:t xml:space="preserve"> de Desagregación Total de Fibra Óptica</w:t>
      </w:r>
      <w:r w:rsidR="00DF0488">
        <w:t xml:space="preserve"> </w:t>
      </w:r>
      <w:r w:rsidR="001C7550">
        <w:t xml:space="preserve">se </w:t>
      </w:r>
      <w:r w:rsidR="00DF0488">
        <w:t>vuelva a</w:t>
      </w:r>
      <w:r w:rsidR="001C7550" w:rsidRPr="001C7550">
        <w:t xml:space="preserve"> incluir </w:t>
      </w:r>
      <w:r w:rsidR="00DF0488">
        <w:t xml:space="preserve">debido a que el AEP lo eliminó de </w:t>
      </w:r>
      <w:r w:rsidR="002C699C">
        <w:t>la Propuesta</w:t>
      </w:r>
      <w:r w:rsidR="001C7550" w:rsidRPr="001C7550">
        <w:t xml:space="preserve">. </w:t>
      </w:r>
      <w:r w:rsidR="00636635">
        <w:t>Al respecto e</w:t>
      </w:r>
      <w:r w:rsidR="001C7550" w:rsidRPr="001C7550">
        <w:t xml:space="preserve">l </w:t>
      </w:r>
      <w:r w:rsidR="00636635">
        <w:t>Instituto</w:t>
      </w:r>
      <w:r w:rsidR="001C7550" w:rsidRPr="001C7550">
        <w:t xml:space="preserve"> necesita asegurarse </w:t>
      </w:r>
      <w:r w:rsidR="00D33BDA">
        <w:t xml:space="preserve">de que el titular de la red de acceso de fibra óptica </w:t>
      </w:r>
      <w:r w:rsidR="001C7550" w:rsidRPr="001C7550">
        <w:t xml:space="preserve">proporcione los servicios desagregados sobre </w:t>
      </w:r>
      <w:r w:rsidR="00D33BDA">
        <w:t>la misma</w:t>
      </w:r>
      <w:r w:rsidR="001C7550" w:rsidRPr="001C7550">
        <w:t xml:space="preserve">, cuando sea técnicamente factible. </w:t>
      </w:r>
      <w:r w:rsidR="00B34763">
        <w:t>E</w:t>
      </w:r>
      <w:r w:rsidR="001C7550" w:rsidRPr="001C7550">
        <w:t>l A</w:t>
      </w:r>
      <w:r w:rsidR="00B354BA">
        <w:t xml:space="preserve">gente </w:t>
      </w:r>
      <w:r w:rsidR="001C7550" w:rsidRPr="001C7550">
        <w:t>E</w:t>
      </w:r>
      <w:r w:rsidR="00B354BA">
        <w:t xml:space="preserve">conómico </w:t>
      </w:r>
      <w:r w:rsidR="001C7550" w:rsidRPr="001C7550">
        <w:t>P</w:t>
      </w:r>
      <w:r w:rsidR="00B354BA">
        <w:t>reponderante (en lo sucesivo, “AEP”)</w:t>
      </w:r>
      <w:r w:rsidR="001C7550" w:rsidRPr="001C7550">
        <w:t xml:space="preserve"> posee una red de fibra </w:t>
      </w:r>
      <w:r w:rsidR="00B34763">
        <w:t>óptica que puede configurarse con topologías</w:t>
      </w:r>
      <w:r w:rsidR="001C7550" w:rsidRPr="001C7550">
        <w:t xml:space="preserve"> P</w:t>
      </w:r>
      <w:r w:rsidR="00D33BDA">
        <w:t xml:space="preserve">unto a Punto </w:t>
      </w:r>
      <w:r w:rsidR="00D33BDA">
        <w:rPr>
          <w:i/>
        </w:rPr>
        <w:t>(</w:t>
      </w:r>
      <w:r w:rsidR="00D33BDA" w:rsidRPr="00D33BDA">
        <w:rPr>
          <w:i/>
        </w:rPr>
        <w:t>P</w:t>
      </w:r>
      <w:r w:rsidR="009C5E23">
        <w:rPr>
          <w:i/>
        </w:rPr>
        <w:t>2</w:t>
      </w:r>
      <w:r w:rsidR="001C7550" w:rsidRPr="00D33BDA">
        <w:rPr>
          <w:i/>
        </w:rPr>
        <w:t>P</w:t>
      </w:r>
      <w:r w:rsidR="009C5E23">
        <w:rPr>
          <w:i/>
        </w:rPr>
        <w:t>),</w:t>
      </w:r>
      <w:r w:rsidR="008C2132" w:rsidRPr="008C2132">
        <w:t xml:space="preserve"> </w:t>
      </w:r>
      <w:r w:rsidR="008C2132" w:rsidRPr="001C7550">
        <w:t>principalmente para dar servicio al sector empresarial</w:t>
      </w:r>
      <w:r w:rsidR="00D33BDA">
        <w:t>, además de</w:t>
      </w:r>
      <w:r w:rsidR="008C2132">
        <w:t xml:space="preserve"> </w:t>
      </w:r>
      <w:r w:rsidR="009C5E23">
        <w:t>configurarse también</w:t>
      </w:r>
      <w:r w:rsidR="008C2132">
        <w:t xml:space="preserve"> con un</w:t>
      </w:r>
      <w:r w:rsidR="008D27C1">
        <w:t>a</w:t>
      </w:r>
      <w:r w:rsidR="008C2132">
        <w:t xml:space="preserve"> red Punto Multipunto</w:t>
      </w:r>
      <w:r w:rsidR="00D33BDA">
        <w:t xml:space="preserve"> </w:t>
      </w:r>
      <w:r w:rsidR="009C5E23">
        <w:t xml:space="preserve">(P2MP), con tecnologías </w:t>
      </w:r>
      <w:r w:rsidR="00D33BDA" w:rsidRPr="008D27C1">
        <w:rPr>
          <w:i/>
        </w:rPr>
        <w:t>GPON</w:t>
      </w:r>
      <w:r w:rsidR="009C5E23">
        <w:rPr>
          <w:rStyle w:val="Refdenotaalpie"/>
        </w:rPr>
        <w:t xml:space="preserve"> </w:t>
      </w:r>
      <w:r w:rsidR="009C5E23">
        <w:rPr>
          <w:rStyle w:val="Refdenotaalpie"/>
        </w:rPr>
        <w:footnoteReference w:id="4"/>
      </w:r>
      <w:r w:rsidR="008D27C1">
        <w:rPr>
          <w:i/>
        </w:rPr>
        <w:t xml:space="preserve"> </w:t>
      </w:r>
      <w:r w:rsidR="008D27C1">
        <w:t>por sus siglas en inglés</w:t>
      </w:r>
      <w:r w:rsidR="00663568">
        <w:t xml:space="preserve"> para atender mercados masivos o residenciales</w:t>
      </w:r>
      <w:r w:rsidR="001C7550" w:rsidRPr="001C7550">
        <w:t>.</w:t>
      </w:r>
    </w:p>
    <w:p w14:paraId="67349F51" w14:textId="030A1266" w:rsidR="00953A16" w:rsidRPr="00EF3BF3" w:rsidRDefault="006A0049" w:rsidP="00EF3BF3">
      <w:pPr>
        <w:pStyle w:val="IFTnormal"/>
      </w:pPr>
      <w:r w:rsidRPr="00EF3BF3">
        <w:t>Al respecto de las opiniones recibidas p</w:t>
      </w:r>
      <w:r w:rsidR="00F514DD" w:rsidRPr="00EF3BF3">
        <w:t>or lo que se ref</w:t>
      </w:r>
      <w:r w:rsidRPr="00EF3BF3">
        <w:t>iere al suministro de f</w:t>
      </w:r>
      <w:r w:rsidR="00F514DD" w:rsidRPr="00EF3BF3">
        <w:t>ibra oscura en el marco de la desagregación de la red de acceso de fibra óptica de</w:t>
      </w:r>
      <w:r w:rsidR="00B354BA">
        <w:t>l</w:t>
      </w:r>
      <w:r w:rsidR="00F514DD" w:rsidRPr="00EF3BF3">
        <w:t xml:space="preserve"> </w:t>
      </w:r>
      <w:r w:rsidR="00B354BA">
        <w:t>AEP</w:t>
      </w:r>
      <w:r w:rsidRPr="00EF3BF3">
        <w:t>, e</w:t>
      </w:r>
      <w:r w:rsidR="00636635">
        <w:t>ste</w:t>
      </w:r>
      <w:r w:rsidRPr="00EF3BF3">
        <w:t xml:space="preserve"> Instituto </w:t>
      </w:r>
      <w:r w:rsidR="00F514DD" w:rsidRPr="00EF3BF3">
        <w:t>considera</w:t>
      </w:r>
      <w:r w:rsidR="00636635">
        <w:t>rá</w:t>
      </w:r>
      <w:r w:rsidRPr="00EF3BF3">
        <w:t xml:space="preserve"> la revisión de </w:t>
      </w:r>
      <w:r w:rsidR="00F514DD" w:rsidRPr="00EF3BF3">
        <w:t>las</w:t>
      </w:r>
      <w:r w:rsidR="00F514DD" w:rsidRPr="00EF3BF3" w:rsidDel="001A365C">
        <w:t xml:space="preserve"> </w:t>
      </w:r>
      <w:r w:rsidR="00F514DD" w:rsidRPr="00EF3BF3">
        <w:t xml:space="preserve">posibles </w:t>
      </w:r>
      <w:r w:rsidR="001A365C" w:rsidRPr="00EF3BF3">
        <w:t xml:space="preserve">opciones </w:t>
      </w:r>
      <w:r w:rsidR="00F514DD" w:rsidRPr="00EF3BF3">
        <w:t>según disponibilidad</w:t>
      </w:r>
      <w:r w:rsidRPr="00EF3BF3">
        <w:t xml:space="preserve"> y factibilidad técnica</w:t>
      </w:r>
      <w:r w:rsidR="00F514DD" w:rsidRPr="00EF3BF3">
        <w:t xml:space="preserve"> de la red y </w:t>
      </w:r>
      <w:r w:rsidRPr="00EF3BF3">
        <w:t>el alcance del servicio. En principio y conforme a las Medidas de Desagregación se comprende que su aplicación debe ser agnóstica al medio</w:t>
      </w:r>
      <w:r w:rsidR="00AB0019" w:rsidRPr="00EF3BF3">
        <w:t>.</w:t>
      </w:r>
    </w:p>
    <w:p w14:paraId="6B6E3BC0" w14:textId="47663367" w:rsidR="008D27C1" w:rsidRDefault="00636635" w:rsidP="00EF3BF3">
      <w:pPr>
        <w:pStyle w:val="IFTnormal"/>
      </w:pPr>
      <w:r>
        <w:t>Es de</w:t>
      </w:r>
      <w:r w:rsidR="00953A16" w:rsidRPr="00EF3BF3">
        <w:t xml:space="preserve"> rec</w:t>
      </w:r>
      <w:r>
        <w:t>o</w:t>
      </w:r>
      <w:r w:rsidR="00953A16" w:rsidRPr="00EF3BF3">
        <w:t>rda</w:t>
      </w:r>
      <w:r>
        <w:t>r</w:t>
      </w:r>
      <w:r w:rsidR="00953A16" w:rsidRPr="00EF3BF3">
        <w:t xml:space="preserve"> que </w:t>
      </w:r>
      <w:r w:rsidR="00D22607" w:rsidRPr="00EF3BF3">
        <w:t>la aplicación</w:t>
      </w:r>
      <w:r w:rsidR="00953A16" w:rsidRPr="00EF3BF3">
        <w:t xml:space="preserve"> materia de los servicios de la </w:t>
      </w:r>
      <w:r>
        <w:t>Oferta de Referencia</w:t>
      </w:r>
      <w:r w:rsidR="00953A16" w:rsidRPr="00EF3BF3">
        <w:t xml:space="preserve"> </w:t>
      </w:r>
      <w:r w:rsidR="00D22607" w:rsidRPr="00EF3BF3">
        <w:t xml:space="preserve">son empleados </w:t>
      </w:r>
      <w:r w:rsidR="00953A16" w:rsidRPr="00EF3BF3">
        <w:t xml:space="preserve">en la medida en la que el emplazamiento estuviera asociado a un </w:t>
      </w:r>
      <w:r w:rsidR="000A6E95" w:rsidRPr="00EF3BF3">
        <w:lastRenderedPageBreak/>
        <w:t>número</w:t>
      </w:r>
      <w:r w:rsidR="00953A16" w:rsidRPr="00EF3BF3">
        <w:t xml:space="preserve"> local o domicilio dentro del área de cobertura de la red de acceso de </w:t>
      </w:r>
      <w:r w:rsidR="001A365C" w:rsidRPr="00EF3BF3">
        <w:t xml:space="preserve">fibra </w:t>
      </w:r>
      <w:r w:rsidR="000748BC" w:rsidRPr="00EF3BF3">
        <w:t>óptica</w:t>
      </w:r>
      <w:r w:rsidR="00BB4197">
        <w:t>,</w:t>
      </w:r>
      <w:r w:rsidR="001A365C" w:rsidRPr="00EF3BF3">
        <w:t xml:space="preserve"> </w:t>
      </w:r>
      <w:r w:rsidR="00953A16" w:rsidRPr="00EF3BF3">
        <w:t xml:space="preserve">y que hubiera recursos de </w:t>
      </w:r>
      <w:r w:rsidR="000748BC" w:rsidRPr="00EF3BF3">
        <w:t xml:space="preserve">fibra óptica </w:t>
      </w:r>
      <w:r w:rsidR="00B30378">
        <w:t>con capacidad de ser desagregados</w:t>
      </w:r>
      <w:r w:rsidR="00953A16" w:rsidRPr="00EF3BF3">
        <w:t xml:space="preserve"> mediante configuración de un acceso óptico punto a punto dentro del área de cobertura de la red </w:t>
      </w:r>
      <w:r w:rsidR="008D27C1">
        <w:t>d</w:t>
      </w:r>
      <w:r w:rsidR="00953A16" w:rsidRPr="00EF3BF3">
        <w:t>el AEP</w:t>
      </w:r>
      <w:r>
        <w:t>, esto</w:t>
      </w:r>
      <w:r w:rsidR="00953A16" w:rsidRPr="00EF3BF3">
        <w:t xml:space="preserve"> </w:t>
      </w:r>
      <w:r w:rsidR="000748BC" w:rsidRPr="00EF3BF3">
        <w:t xml:space="preserve">de la misma forma </w:t>
      </w:r>
      <w:r w:rsidR="00953A16" w:rsidRPr="00EF3BF3">
        <w:t>que el AEP utiliza para sus propios servicios de enlaces</w:t>
      </w:r>
      <w:r w:rsidR="00663568">
        <w:t>.</w:t>
      </w:r>
    </w:p>
    <w:p w14:paraId="2ED69B10" w14:textId="23CC3086" w:rsidR="00953A16" w:rsidRPr="00EF3BF3" w:rsidRDefault="00953A16" w:rsidP="00EF3BF3">
      <w:pPr>
        <w:pStyle w:val="IFTnormal"/>
      </w:pPr>
      <w:r w:rsidRPr="00EF3BF3">
        <w:t xml:space="preserve">Respecto al comentario sobre la utilización de </w:t>
      </w:r>
      <w:r w:rsidR="000748BC" w:rsidRPr="00EF3BF3">
        <w:t>fibra óptica</w:t>
      </w:r>
      <w:r w:rsidRPr="00EF3BF3">
        <w:t xml:space="preserve"> en la O</w:t>
      </w:r>
      <w:r w:rsidR="00636635">
        <w:t xml:space="preserve">ferta de </w:t>
      </w:r>
      <w:r w:rsidRPr="00EF3BF3">
        <w:t>R</w:t>
      </w:r>
      <w:r w:rsidR="00636635">
        <w:t xml:space="preserve">eferencia de </w:t>
      </w:r>
      <w:r w:rsidRPr="00EF3BF3">
        <w:t>C</w:t>
      </w:r>
      <w:r w:rsidR="00636635">
        <w:t xml:space="preserve">ompartición de </w:t>
      </w:r>
      <w:r w:rsidRPr="00EF3BF3">
        <w:t>I</w:t>
      </w:r>
      <w:r w:rsidR="00636635">
        <w:t>nfraestructura</w:t>
      </w:r>
      <w:r w:rsidRPr="00EF3BF3">
        <w:t xml:space="preserve">, se reitera que ese tratamiento esta fuera del alcance del análisis de la </w:t>
      </w:r>
      <w:r w:rsidR="00636635">
        <w:t>Propuesta</w:t>
      </w:r>
      <w:r w:rsidRPr="00EF3BF3">
        <w:t>.</w:t>
      </w:r>
    </w:p>
    <w:p w14:paraId="07D377B6" w14:textId="53A27FBD" w:rsidR="008B4F0E" w:rsidRPr="00A3720B" w:rsidRDefault="00190DD5" w:rsidP="00EE6A8A">
      <w:pPr>
        <w:pStyle w:val="1TitPrin"/>
      </w:pPr>
      <w:r w:rsidRPr="00A3720B">
        <w:t>PRERREQUISITOS</w:t>
      </w:r>
    </w:p>
    <w:p w14:paraId="31810BAF" w14:textId="4866FAB8" w:rsidR="00A04C82" w:rsidRDefault="000E0D28" w:rsidP="00A04C82">
      <w:pPr>
        <w:pStyle w:val="IFTnormal"/>
      </w:pPr>
      <w:r>
        <w:t xml:space="preserve">En relación </w:t>
      </w:r>
      <w:r w:rsidR="006E77AF">
        <w:t xml:space="preserve">a </w:t>
      </w:r>
      <w:r>
        <w:t>la sección “Prerrequisitos” de la Propuesta</w:t>
      </w:r>
      <w:r w:rsidR="006E77AF">
        <w:t>,</w:t>
      </w:r>
      <w:r>
        <w:t xml:space="preserve"> los participantes de la Consulta Pública propusieron </w:t>
      </w:r>
      <w:r w:rsidR="00FA7E92">
        <w:t>un plazo de</w:t>
      </w:r>
      <w:r w:rsidR="008B4F0E" w:rsidRPr="003640BD">
        <w:t xml:space="preserve"> </w:t>
      </w:r>
      <w:r w:rsidR="00A04C82">
        <w:t>15 (quince) días háb</w:t>
      </w:r>
      <w:r w:rsidR="00A6754A">
        <w:t>iles para la firma del convenio,</w:t>
      </w:r>
      <w:r w:rsidR="00A04C82">
        <w:t xml:space="preserve"> </w:t>
      </w:r>
      <w:r w:rsidR="00FA7E92">
        <w:t xml:space="preserve">que son </w:t>
      </w:r>
      <w:r w:rsidR="006E77AF">
        <w:t xml:space="preserve">los días </w:t>
      </w:r>
      <w:r w:rsidR="007F21A0">
        <w:t xml:space="preserve">que </w:t>
      </w:r>
      <w:r w:rsidR="006B564A">
        <w:t>se considere</w:t>
      </w:r>
      <w:r w:rsidR="00A04C82">
        <w:t>n hábiles para las partes en términos de la Ley Federal del Trabajo y de la Ley Federal de Procedimiento Administrativo</w:t>
      </w:r>
      <w:r w:rsidR="00FA7E92">
        <w:t>,</w:t>
      </w:r>
      <w:r w:rsidR="00A04C82">
        <w:t xml:space="preserve"> y que no se interrumpan los días hábiles por el calendario de suspensión de labores del Instituto.</w:t>
      </w:r>
      <w:r w:rsidR="006B564A">
        <w:t xml:space="preserve"> También se </w:t>
      </w:r>
      <w:r w:rsidR="0063105B">
        <w:t>planteó</w:t>
      </w:r>
      <w:r w:rsidR="00A04C82">
        <w:t xml:space="preserve"> que se especifique que todos los tra</w:t>
      </w:r>
      <w:r w:rsidR="00D015D9">
        <w:t>mites e interacciones entre los Concesionarios Solicitantes (en lo sucesivo, “</w:t>
      </w:r>
      <w:r w:rsidR="00A04C82">
        <w:t>CS</w:t>
      </w:r>
      <w:r w:rsidR="00D015D9">
        <w:t>”)</w:t>
      </w:r>
      <w:r w:rsidR="00A04C82">
        <w:t xml:space="preserve"> y el AEP se tengan que realizar a través del S</w:t>
      </w:r>
      <w:r w:rsidR="0063105B">
        <w:t xml:space="preserve">istema </w:t>
      </w:r>
      <w:r w:rsidR="00A04C82">
        <w:t>E</w:t>
      </w:r>
      <w:r w:rsidR="0063105B">
        <w:t xml:space="preserve">lectrónico de </w:t>
      </w:r>
      <w:r w:rsidR="00A04C82">
        <w:t>G</w:t>
      </w:r>
      <w:r w:rsidR="0063105B">
        <w:t>estión (en adelante “SEG”)</w:t>
      </w:r>
      <w:r w:rsidR="00A04C82">
        <w:t>.</w:t>
      </w:r>
    </w:p>
    <w:p w14:paraId="63B71D11" w14:textId="75641B04" w:rsidR="00897CD9" w:rsidRPr="00AB1BB3" w:rsidRDefault="008B4F0E" w:rsidP="000264E8">
      <w:pPr>
        <w:pStyle w:val="IFTnormal"/>
      </w:pPr>
      <w:r w:rsidRPr="00AB1BB3">
        <w:t>El Instituto considera que el principio</w:t>
      </w:r>
      <w:r w:rsidR="00122E34" w:rsidRPr="00AB1BB3">
        <w:t xml:space="preserve"> para</w:t>
      </w:r>
      <w:r w:rsidR="0063105B">
        <w:t xml:space="preserve"> el conteo de días hábiles d</w:t>
      </w:r>
      <w:r w:rsidR="006D7FDF" w:rsidRPr="00AB1BB3">
        <w:t>ebe</w:t>
      </w:r>
      <w:r w:rsidR="0063105B">
        <w:t xml:space="preserve"> regirse por los días hábiles propuestos por el Pleno del Instituto.</w:t>
      </w:r>
      <w:r w:rsidR="008B6BE5">
        <w:t xml:space="preserve"> </w:t>
      </w:r>
      <w:r w:rsidR="0063105B">
        <w:t xml:space="preserve">Respecto a los trámites e interacciones entre el CS y el AEP </w:t>
      </w:r>
      <w:r w:rsidR="000E0D28">
        <w:t xml:space="preserve">a través del SEG </w:t>
      </w:r>
      <w:r w:rsidR="0063105B">
        <w:t>es de señalar por este Instituto</w:t>
      </w:r>
      <w:r w:rsidR="000E0D28">
        <w:t xml:space="preserve"> </w:t>
      </w:r>
      <w:r w:rsidR="008B6BE5">
        <w:t xml:space="preserve">que </w:t>
      </w:r>
      <w:r w:rsidR="000E0D28">
        <w:t>analizará lo planteado ya</w:t>
      </w:r>
      <w:r w:rsidR="0063105B">
        <w:t xml:space="preserve"> que la </w:t>
      </w:r>
      <w:r w:rsidR="008B6BE5">
        <w:t>Oferta de Referencia</w:t>
      </w:r>
      <w:r w:rsidR="000E0D28">
        <w:t xml:space="preserve"> debe</w:t>
      </w:r>
      <w:r w:rsidR="0063105B">
        <w:t xml:space="preserve"> </w:t>
      </w:r>
      <w:r w:rsidR="0063105B" w:rsidRPr="0063105B">
        <w:t>contempla</w:t>
      </w:r>
      <w:r w:rsidR="000E0D28">
        <w:t>r</w:t>
      </w:r>
      <w:r w:rsidR="0063105B" w:rsidRPr="0063105B">
        <w:t xml:space="preserve"> los trám</w:t>
      </w:r>
      <w:r w:rsidR="0063105B">
        <w:t>ites e interacciones necesarias y que</w:t>
      </w:r>
      <w:r w:rsidR="0063105B" w:rsidRPr="0063105B">
        <w:t xml:space="preserve"> en caso de que se busquen nuevas me</w:t>
      </w:r>
      <w:r w:rsidR="00BE522F">
        <w:t>joras deben contemplarse en el c</w:t>
      </w:r>
      <w:r w:rsidR="0063105B" w:rsidRPr="0063105B">
        <w:t>omité del SEG.</w:t>
      </w:r>
    </w:p>
    <w:p w14:paraId="4F89455D" w14:textId="27B76B1F" w:rsidR="00897CD9" w:rsidRPr="003640BD" w:rsidRDefault="00190DD5" w:rsidP="00EE6A8A">
      <w:pPr>
        <w:pStyle w:val="1TitPrin"/>
      </w:pPr>
      <w:r>
        <w:t>P</w:t>
      </w:r>
      <w:r w:rsidRPr="003640BD">
        <w:t>RONÓSTICO DE SERVICIO</w:t>
      </w:r>
    </w:p>
    <w:p w14:paraId="4CBA8932" w14:textId="74FA97A0" w:rsidR="00FE509A" w:rsidRDefault="00A9082C" w:rsidP="000264E8">
      <w:pPr>
        <w:pStyle w:val="IFTnormal"/>
        <w:rPr>
          <w:color w:val="00B050"/>
        </w:rPr>
      </w:pPr>
      <w:r w:rsidRPr="003640BD">
        <w:t xml:space="preserve">Partiendo de la </w:t>
      </w:r>
      <w:r w:rsidR="00E36C7B">
        <w:t>Consulta Pública</w:t>
      </w:r>
      <w:r w:rsidRPr="003640BD">
        <w:t xml:space="preserve"> realizada, los participantes </w:t>
      </w:r>
      <w:r w:rsidR="00560935">
        <w:t>propusieron</w:t>
      </w:r>
      <w:r w:rsidR="00560935" w:rsidRPr="003640BD">
        <w:t xml:space="preserve"> </w:t>
      </w:r>
      <w:r w:rsidRPr="003640BD">
        <w:t>eliminar la</w:t>
      </w:r>
      <w:r w:rsidR="00541A2A">
        <w:t>s</w:t>
      </w:r>
      <w:r w:rsidRPr="003640BD">
        <w:t xml:space="preserve"> </w:t>
      </w:r>
      <w:r w:rsidR="00541A2A">
        <w:t>limitaciones asociadas a los pronósticos.</w:t>
      </w:r>
    </w:p>
    <w:p w14:paraId="4F8BDAE7" w14:textId="77EE288A" w:rsidR="00A9082C" w:rsidRPr="00AB1BB3" w:rsidRDefault="00FE509A" w:rsidP="000264E8">
      <w:pPr>
        <w:pStyle w:val="IFTnormal"/>
      </w:pPr>
      <w:r w:rsidRPr="00AB1BB3">
        <w:t>E</w:t>
      </w:r>
      <w:r w:rsidR="00A9082C" w:rsidRPr="00AB1BB3">
        <w:t>l Instituto considera</w:t>
      </w:r>
      <w:r w:rsidR="005B29F4">
        <w:t xml:space="preserve"> que</w:t>
      </w:r>
      <w:r w:rsidR="00A9082C" w:rsidRPr="00AB1BB3">
        <w:t xml:space="preserve"> los pronósticos</w:t>
      </w:r>
      <w:r w:rsidRPr="00AB1BB3">
        <w:t xml:space="preserve"> tienen relevancia en la habilitación de servicios que requier</w:t>
      </w:r>
      <w:r w:rsidR="00540DB1" w:rsidRPr="00AB1BB3">
        <w:t xml:space="preserve">an la provisión de recursos </w:t>
      </w:r>
      <w:r w:rsidR="000F55FA" w:rsidRPr="00AB1BB3">
        <w:t>o elementos sujetos a</w:t>
      </w:r>
      <w:r w:rsidR="00540DB1" w:rsidRPr="00AB1BB3">
        <w:t xml:space="preserve"> programación de </w:t>
      </w:r>
      <w:r w:rsidR="000F55FA" w:rsidRPr="00AB1BB3">
        <w:t xml:space="preserve">suministro o para </w:t>
      </w:r>
      <w:r w:rsidR="00540DB1" w:rsidRPr="00AB1BB3">
        <w:t>actividades fuera de</w:t>
      </w:r>
      <w:r w:rsidR="000F55FA" w:rsidRPr="00AB1BB3">
        <w:t>l alcance de la operación normal de los servicios</w:t>
      </w:r>
      <w:r w:rsidR="004C16F7">
        <w:t>,</w:t>
      </w:r>
      <w:r w:rsidR="00540DB1" w:rsidRPr="00AB1BB3">
        <w:t xml:space="preserve"> </w:t>
      </w:r>
      <w:r w:rsidR="000F55FA" w:rsidRPr="00AB1BB3">
        <w:t>como pueden ser nuevos equipos en las centrales u obras civiles para adecuaciones en planta interna y externa.</w:t>
      </w:r>
      <w:r w:rsidR="000748BC">
        <w:t xml:space="preserve"> </w:t>
      </w:r>
      <w:r w:rsidR="000F55FA" w:rsidRPr="00AB1BB3">
        <w:t>Conceptualmente los servicios de desagregación que podrían presentar estas situaciones son los de desagregación de los bucles y sub-bucles locales en sus modalidades totales o compartidas</w:t>
      </w:r>
      <w:r w:rsidR="00D33418" w:rsidRPr="00AB1BB3">
        <w:t xml:space="preserve">. </w:t>
      </w:r>
    </w:p>
    <w:p w14:paraId="5E17D5F2" w14:textId="06962149" w:rsidR="00A9082C" w:rsidRPr="00A65BA6" w:rsidRDefault="00190DD5" w:rsidP="00EE6A8A">
      <w:pPr>
        <w:pStyle w:val="1TitPrin"/>
      </w:pPr>
      <w:r w:rsidRPr="00A65BA6">
        <w:t>ACOMETIDA DEL USUARIO FINAL</w:t>
      </w:r>
    </w:p>
    <w:p w14:paraId="42A6FB11" w14:textId="7FDF624F" w:rsidR="00323604" w:rsidRDefault="003640BD" w:rsidP="000264E8">
      <w:pPr>
        <w:pStyle w:val="IFTnormal"/>
      </w:pPr>
      <w:r w:rsidRPr="003640BD">
        <w:lastRenderedPageBreak/>
        <w:t xml:space="preserve">En la </w:t>
      </w:r>
      <w:r w:rsidR="00E36C7B">
        <w:t>Consulta Pública</w:t>
      </w:r>
      <w:r w:rsidRPr="003640BD">
        <w:t xml:space="preserve"> los participantes sugi</w:t>
      </w:r>
      <w:r w:rsidR="00323604">
        <w:t>rieron</w:t>
      </w:r>
      <w:r w:rsidRPr="003640BD">
        <w:t xml:space="preserve"> </w:t>
      </w:r>
      <w:r w:rsidR="00323604">
        <w:t>c</w:t>
      </w:r>
      <w:r w:rsidR="00323604" w:rsidRPr="00323604">
        <w:t>ategorizar las situaciones en las cuales el cambio de acometida sí debe correr a cargo del CS y no del AEP, dado que, en algunos casos, el cambio de acometida podría atribuirse a falta de mantenimiento</w:t>
      </w:r>
      <w:r w:rsidR="00CA08AA">
        <w:t xml:space="preserve"> por parte del AEP,</w:t>
      </w:r>
      <w:r w:rsidR="00323604" w:rsidRPr="00323604">
        <w:t xml:space="preserve"> </w:t>
      </w:r>
      <w:r w:rsidR="00CA08AA">
        <w:t>e</w:t>
      </w:r>
      <w:r w:rsidR="00323604" w:rsidRPr="00323604">
        <w:t xml:space="preserve">n cuyo caso, el costo debería ser absorbido por </w:t>
      </w:r>
      <w:r w:rsidR="00CA08AA">
        <w:t>este</w:t>
      </w:r>
      <w:r w:rsidR="00323604" w:rsidRPr="00323604">
        <w:t>.</w:t>
      </w:r>
    </w:p>
    <w:p w14:paraId="36CE2381" w14:textId="0A9D2D07" w:rsidR="00323604" w:rsidRDefault="00323604" w:rsidP="000264E8">
      <w:pPr>
        <w:pStyle w:val="IFTnormal"/>
      </w:pPr>
      <w:r>
        <w:t xml:space="preserve">Por otro lado, </w:t>
      </w:r>
      <w:r w:rsidR="00CA08AA">
        <w:t>sugirieron</w:t>
      </w:r>
      <w:r>
        <w:t xml:space="preserve"> considerar</w:t>
      </w:r>
      <w:r w:rsidRPr="00323604">
        <w:t xml:space="preserve"> que la imposición de penalidades por desplazamiento infructuoso debe aplicar también al AEP en caso de que este haga desplazar al equipo del CS por una visita en falso, ya sea al domicilio del usuario final o a cualquier otra instalación.</w:t>
      </w:r>
    </w:p>
    <w:p w14:paraId="14C5AD49" w14:textId="287E4DF7" w:rsidR="00590C9D" w:rsidRPr="00AB1BB3" w:rsidRDefault="00EC1A60" w:rsidP="000264E8">
      <w:pPr>
        <w:pStyle w:val="IFTnormal"/>
      </w:pPr>
      <w:r w:rsidRPr="00AB1BB3">
        <w:t>E</w:t>
      </w:r>
      <w:r w:rsidR="003640BD" w:rsidRPr="00AB1BB3">
        <w:t>l Instituto considera que el cobro</w:t>
      </w:r>
      <w:r w:rsidRPr="00AB1BB3">
        <w:t xml:space="preserve"> o no</w:t>
      </w:r>
      <w:r w:rsidR="003640BD" w:rsidRPr="00AB1BB3">
        <w:t xml:space="preserve"> por la acometida está relacionado con </w:t>
      </w:r>
      <w:r w:rsidRPr="00AB1BB3">
        <w:t xml:space="preserve">el mismo tratamiento que aplica </w:t>
      </w:r>
      <w:r w:rsidR="000748BC">
        <w:t xml:space="preserve">el AEP </w:t>
      </w:r>
      <w:r w:rsidRPr="00AB1BB3">
        <w:t>en su operaci</w:t>
      </w:r>
      <w:r w:rsidR="00590C9D" w:rsidRPr="00AB1BB3">
        <w:t>ón lo cual deberá estar sujeto a una revisión y análisis para definir los posibles escenarios que tenga su aprovisionamiento.</w:t>
      </w:r>
    </w:p>
    <w:p w14:paraId="4153B04A" w14:textId="73454AFD" w:rsidR="003640BD" w:rsidRPr="00AB1BB3" w:rsidRDefault="00590C9D" w:rsidP="000264E8">
      <w:pPr>
        <w:pStyle w:val="IFTnormal"/>
      </w:pPr>
      <w:r w:rsidRPr="00AB1BB3">
        <w:t>Respecto a</w:t>
      </w:r>
      <w:r w:rsidR="003640BD" w:rsidRPr="00AB1BB3">
        <w:t xml:space="preserve"> la penalización</w:t>
      </w:r>
      <w:r w:rsidR="00785866">
        <w:t>,</w:t>
      </w:r>
      <w:r w:rsidRPr="00AB1BB3">
        <w:t xml:space="preserve"> se reconoce que</w:t>
      </w:r>
      <w:r w:rsidR="003640BD" w:rsidRPr="00AB1BB3">
        <w:t xml:space="preserve"> p</w:t>
      </w:r>
      <w:r w:rsidRPr="00AB1BB3">
        <w:t>resentan</w:t>
      </w:r>
      <w:r w:rsidR="003640BD" w:rsidRPr="00AB1BB3">
        <w:t xml:space="preserve"> diversos tipos de problemas en términos de competencia; además, una visita en falso genera un cost</w:t>
      </w:r>
      <w:r w:rsidR="000748BC">
        <w:t>o</w:t>
      </w:r>
      <w:r w:rsidR="003640BD" w:rsidRPr="00AB1BB3">
        <w:t xml:space="preserve"> para el AEP, y en principio</w:t>
      </w:r>
      <w:r w:rsidRPr="00AB1BB3">
        <w:t xml:space="preserve"> también</w:t>
      </w:r>
      <w:r w:rsidR="003640BD" w:rsidRPr="00AB1BB3">
        <w:t xml:space="preserve"> para el CS más un cost</w:t>
      </w:r>
      <w:r w:rsidR="000748BC">
        <w:t>o</w:t>
      </w:r>
      <w:r w:rsidR="003640BD" w:rsidRPr="00AB1BB3">
        <w:t xml:space="preserve"> comercial añadido por mala imagen ante su cliente. Por lo tanto y sobre la base de un </w:t>
      </w:r>
      <w:r w:rsidR="00331193" w:rsidRPr="00AB1BB3">
        <w:t>análisis</w:t>
      </w:r>
      <w:r w:rsidR="003640BD" w:rsidRPr="00AB1BB3">
        <w:t xml:space="preserve"> de la forma de calcular las penas convencionales asociadas a los actos concretos y no a fórmulas estadísticas, se </w:t>
      </w:r>
      <w:r w:rsidR="00331193" w:rsidRPr="00AB1BB3">
        <w:t>podrían</w:t>
      </w:r>
      <w:r w:rsidR="003640BD" w:rsidRPr="00AB1BB3">
        <w:t xml:space="preserve"> establecer valores más altos de penalización al AEP que al CS en virtud del mayor daño causado. </w:t>
      </w:r>
      <w:r w:rsidR="00785866">
        <w:t>Así mismo d</w:t>
      </w:r>
      <w:r w:rsidR="003640BD" w:rsidRPr="00AB1BB3">
        <w:t>ebe</w:t>
      </w:r>
      <w:r w:rsidR="00B45D11" w:rsidRPr="00AB1BB3">
        <w:t xml:space="preserve"> considerarse </w:t>
      </w:r>
      <w:r w:rsidR="00785866">
        <w:t xml:space="preserve">el análisis a </w:t>
      </w:r>
      <w:r w:rsidR="00B45D11" w:rsidRPr="00AB1BB3">
        <w:t>la</w:t>
      </w:r>
      <w:r w:rsidR="003640BD" w:rsidRPr="00AB1BB3">
        <w:t xml:space="preserve"> modifica</w:t>
      </w:r>
      <w:r w:rsidR="00B45D11" w:rsidRPr="00AB1BB3">
        <w:t>ción</w:t>
      </w:r>
      <w:r w:rsidR="003640BD" w:rsidRPr="00AB1BB3">
        <w:t xml:space="preserve"> los procedimientos relacionados con acciones conjuntas incluyendo proceso de coordinación, </w:t>
      </w:r>
      <w:r w:rsidRPr="00AB1BB3">
        <w:t>programación</w:t>
      </w:r>
      <w:r w:rsidR="003640BD" w:rsidRPr="00AB1BB3">
        <w:t xml:space="preserve"> y aviso</w:t>
      </w:r>
      <w:r w:rsidRPr="00AB1BB3">
        <w:t>s</w:t>
      </w:r>
      <w:r w:rsidR="003640BD" w:rsidRPr="00AB1BB3">
        <w:t>, para disminuir los casos de visitas en falso.</w:t>
      </w:r>
    </w:p>
    <w:p w14:paraId="38C58F06" w14:textId="7D93138E" w:rsidR="001247C3" w:rsidRPr="000264E8" w:rsidRDefault="00190DD5" w:rsidP="00EE6A8A">
      <w:pPr>
        <w:pStyle w:val="1TitPrin"/>
      </w:pPr>
      <w:r w:rsidRPr="000264E8">
        <w:t>RECURSOS DE RED ASOCIADOS A LOS SERVICIOS</w:t>
      </w:r>
    </w:p>
    <w:p w14:paraId="46BEE3A1" w14:textId="11E1E1EF" w:rsidR="00683748" w:rsidRDefault="00683748" w:rsidP="000264E8">
      <w:pPr>
        <w:pStyle w:val="IFTnormal"/>
      </w:pPr>
      <w:r w:rsidRPr="0032730E">
        <w:t xml:space="preserve">Como resultado de la </w:t>
      </w:r>
      <w:r>
        <w:t>Consulta Pública</w:t>
      </w:r>
      <w:r w:rsidRPr="0032730E">
        <w:t xml:space="preserve">, el Instituto recibió comentarios en el sentido </w:t>
      </w:r>
      <w:r>
        <w:t>de</w:t>
      </w:r>
      <w:r w:rsidRPr="00683748">
        <w:t xml:space="preserve"> que el AEP no </w:t>
      </w:r>
      <w:r>
        <w:t>debe</w:t>
      </w:r>
      <w:r w:rsidRPr="00683748">
        <w:t xml:space="preserve"> ampararse en</w:t>
      </w:r>
      <w:r w:rsidR="006C0F09">
        <w:t xml:space="preserve"> la falta de facilidades. Aclararon los participantes </w:t>
      </w:r>
      <w:r w:rsidR="00586A55">
        <w:t>en la misma</w:t>
      </w:r>
      <w:r w:rsidR="006C0F09">
        <w:t xml:space="preserve"> </w:t>
      </w:r>
      <w:r w:rsidR="00FA7E92">
        <w:t>consulta</w:t>
      </w:r>
      <w:r w:rsidR="006C0F09">
        <w:t xml:space="preserve"> </w:t>
      </w:r>
      <w:r w:rsidR="0082748D">
        <w:t>qué</w:t>
      </w:r>
      <w:r w:rsidRPr="00683748">
        <w:t xml:space="preserve"> </w:t>
      </w:r>
      <w:r w:rsidR="006C0F09">
        <w:t>s</w:t>
      </w:r>
      <w:r w:rsidRPr="00683748">
        <w:t>i el AEP argumenta falta de facilidades, deberá el AEP sufragar los costos para solventarlo y, si acaso, bajo este supuesto, añadir un plazo adicional de adecuación de las facilidades objeto de ampliación. Sólo si el CS o los CS no concretan la solicitud de acceso y el AEP no utiliza la infraestructura ampliada dentro de, por ejemplo, el siguiente año para auto-provisión de sus propios servicios, el AEP podrá trasladar los costos de la ampliación a los CS que llevaron a cabo la solicitud que finalmente no fue concretada.</w:t>
      </w:r>
    </w:p>
    <w:p w14:paraId="18438FBA" w14:textId="3F3076F5" w:rsidR="00683748" w:rsidRDefault="00683748" w:rsidP="00683748">
      <w:pPr>
        <w:pStyle w:val="IFTnormal"/>
      </w:pPr>
      <w:r>
        <w:t>Adicionalmente</w:t>
      </w:r>
      <w:r w:rsidR="00AA211C">
        <w:t>,</w:t>
      </w:r>
      <w:r>
        <w:t xml:space="preserve"> se indicó en la Consulta Pública que el cuerpo de la Oferta</w:t>
      </w:r>
      <w:r w:rsidR="0082748D">
        <w:t xml:space="preserve"> de Referencia</w:t>
      </w:r>
      <w:r>
        <w:t xml:space="preserve"> debe incluir nuevamente el procedimiento que obliga a que el AEP </w:t>
      </w:r>
      <w:r w:rsidR="0012300B">
        <w:t xml:space="preserve">debe </w:t>
      </w:r>
      <w:r>
        <w:t>indica</w:t>
      </w:r>
      <w:r w:rsidR="0012300B">
        <w:t>r</w:t>
      </w:r>
      <w:r>
        <w:t xml:space="preserve"> a los CS, junto con la etiqueta del sistema, la justificación de los elementos de red ausentes que no permitieron brindar el servicio. </w:t>
      </w:r>
    </w:p>
    <w:p w14:paraId="446F8A5A" w14:textId="38E37F24" w:rsidR="00683748" w:rsidRDefault="00683748" w:rsidP="00683748">
      <w:pPr>
        <w:pStyle w:val="IFTnormal"/>
      </w:pPr>
      <w:r>
        <w:lastRenderedPageBreak/>
        <w:t>También se expuso en la Consulta Pública que se defina claramente “plazo de tiempo razonable”, “costos elevados” y “escalamiento normal de los servicios por crecimiento de la demanda”.</w:t>
      </w:r>
    </w:p>
    <w:p w14:paraId="288EBF76" w14:textId="6ADD21A9" w:rsidR="00D7491B" w:rsidRDefault="006361D8" w:rsidP="000264E8">
      <w:pPr>
        <w:pStyle w:val="IFTnormal"/>
      </w:pPr>
      <w:r w:rsidRPr="00AB1BB3">
        <w:t>El Instituto considera que cualquier caso de rechazo por motivo de no factibilidad</w:t>
      </w:r>
      <w:r w:rsidR="00CD7296">
        <w:t xml:space="preserve"> o facilidades</w:t>
      </w:r>
      <w:r w:rsidRPr="00AB1BB3">
        <w:t xml:space="preserve"> debe ser muy concreto, objetivo y responder realmente a una casuística que provocaría el rechazo en la propia operación del AEP, ya que otra causa sería discriminatoria y plantearía una ba</w:t>
      </w:r>
      <w:r w:rsidR="00511E53">
        <w:t>rrera a la competencia. D</w:t>
      </w:r>
      <w:r w:rsidRPr="00AB1BB3">
        <w:t>ado que se trata de rechazos por falta de recursos de red, no es admisible que se conviertan en excepciones a dificultades administrativas que son siempre transitorias y tienen cabidas en los procedimientos.</w:t>
      </w:r>
      <w:r w:rsidR="009E0CD4" w:rsidRPr="00AB1BB3">
        <w:t xml:space="preserve"> </w:t>
      </w:r>
      <w:r w:rsidR="0082748D">
        <w:t>Por lo anterior, este Instituto encuentra procedente realizar un análisis exhaustivo a la sección de R</w:t>
      </w:r>
      <w:r w:rsidR="0082748D" w:rsidRPr="0082748D">
        <w:t>ecursos de red asociados a los servicios</w:t>
      </w:r>
      <w:r w:rsidR="0082748D">
        <w:t>.</w:t>
      </w:r>
    </w:p>
    <w:p w14:paraId="2CF65B69" w14:textId="64970590" w:rsidR="00D7491B" w:rsidRDefault="00D7491B" w:rsidP="000264E8">
      <w:pPr>
        <w:pStyle w:val="IFTnormal"/>
      </w:pPr>
      <w:r>
        <w:t xml:space="preserve">Respecto a los comentarios sobre </w:t>
      </w:r>
      <w:r w:rsidR="00C43665">
        <w:t xml:space="preserve">la </w:t>
      </w:r>
      <w:r w:rsidR="00CD7296">
        <w:t xml:space="preserve">falta recursos de red </w:t>
      </w:r>
      <w:r w:rsidR="00C43665">
        <w:t xml:space="preserve">se </w:t>
      </w:r>
      <w:r w:rsidR="00CD7296">
        <w:t>indicará a los CS, junto con la etiqueta del sistema, la justificación, el Instituto encuentra</w:t>
      </w:r>
      <w:r w:rsidR="000855EE">
        <w:t xml:space="preserve"> procedente</w:t>
      </w:r>
      <w:r w:rsidR="00CD7296">
        <w:t xml:space="preserve"> </w:t>
      </w:r>
      <w:r w:rsidR="000855EE">
        <w:t xml:space="preserve">que al menos se </w:t>
      </w:r>
      <w:r w:rsidR="00CD7296">
        <w:t>retom</w:t>
      </w:r>
      <w:r w:rsidR="000855EE">
        <w:t>e</w:t>
      </w:r>
      <w:r w:rsidR="00CD7296">
        <w:t xml:space="preserve"> lo establecido en la Oferta de Referencia Vigente ya que es necesario dotar de claridad y certidumbre a los CS y al propio Instituto la</w:t>
      </w:r>
      <w:r w:rsidR="006F796F">
        <w:t>s</w:t>
      </w:r>
      <w:r w:rsidR="00CD7296">
        <w:t xml:space="preserve"> ca</w:t>
      </w:r>
      <w:r w:rsidR="00C43665">
        <w:t>u</w:t>
      </w:r>
      <w:r w:rsidR="00CD7296">
        <w:t>sas de la posible denegación del servicio</w:t>
      </w:r>
      <w:r w:rsidR="0046463A">
        <w:t>.</w:t>
      </w:r>
    </w:p>
    <w:p w14:paraId="08CC4E8C" w14:textId="1E1D66C4" w:rsidR="00F01331" w:rsidRDefault="00104EE2" w:rsidP="000264E8">
      <w:pPr>
        <w:pStyle w:val="IFTnormal"/>
      </w:pPr>
      <w:r w:rsidRPr="00AB1BB3">
        <w:t xml:space="preserve">En atención a la </w:t>
      </w:r>
      <w:r w:rsidR="00CD7296">
        <w:t>definición clara de “plazo de tiempo razonable”, “costos elevados” y “escalamiento normal de los servicios por crecimiento de la demanda”</w:t>
      </w:r>
      <w:r w:rsidR="00BF5519" w:rsidRPr="00AB1BB3">
        <w:t>, es procedente su observancia</w:t>
      </w:r>
      <w:r w:rsidR="00E111DE">
        <w:t xml:space="preserve"> por lo que </w:t>
      </w:r>
      <w:r w:rsidR="00F01331" w:rsidRPr="00AB1BB3">
        <w:t>se analizar</w:t>
      </w:r>
      <w:r w:rsidR="00E111DE">
        <w:t xml:space="preserve">á y </w:t>
      </w:r>
      <w:r w:rsidR="00E111DE" w:rsidRPr="00E111DE">
        <w:t>evaluar</w:t>
      </w:r>
      <w:r w:rsidR="00E111DE">
        <w:t>á</w:t>
      </w:r>
      <w:r w:rsidR="00E111DE" w:rsidRPr="00E111DE">
        <w:t xml:space="preserve"> su impacto en el fomento a la competencia o a la aportación de condiciones que mejoren la prestación de los servicios. </w:t>
      </w:r>
      <w:r w:rsidR="00F01331" w:rsidRPr="00AB1BB3">
        <w:t xml:space="preserve"> </w:t>
      </w:r>
    </w:p>
    <w:p w14:paraId="5D908828" w14:textId="6F7C0932" w:rsidR="00BA1D32" w:rsidRDefault="00190DD5" w:rsidP="00EE6A8A">
      <w:pPr>
        <w:pStyle w:val="1TitPrin"/>
      </w:pPr>
      <w:r>
        <w:t>CAUSALES DE SUSPENSIÓN TEMPORAL EN LA INSTALACIÓN D</w:t>
      </w:r>
      <w:r w:rsidRPr="00BA1D32">
        <w:t>E SERVICIOS</w:t>
      </w:r>
    </w:p>
    <w:p w14:paraId="3E506FC1" w14:textId="7AE8579F" w:rsidR="00BA1D32" w:rsidRDefault="00BA1D32" w:rsidP="00174617">
      <w:pPr>
        <w:pStyle w:val="IFTnormal"/>
      </w:pPr>
      <w:r>
        <w:t xml:space="preserve">En la </w:t>
      </w:r>
      <w:r w:rsidRPr="00BA1D32">
        <w:t xml:space="preserve">Consulta Pública los participantes </w:t>
      </w:r>
      <w:r w:rsidR="009946E1">
        <w:t>solicitaron</w:t>
      </w:r>
      <w:r w:rsidRPr="00BA1D32">
        <w:t xml:space="preserve"> que se incorpore nuevamente la obligación de que el AEP deba reportar en el SEG cualquier novedad y/o actividad relacionada con la suspensión temporal de líneas. </w:t>
      </w:r>
      <w:r w:rsidR="009B29BB">
        <w:t>Los participantes aclararon qué d</w:t>
      </w:r>
      <w:r w:rsidRPr="00BA1D32">
        <w:t>e esta manera, los CS tendrán la información necesaria para la gestión de sus propios clientes y cuidar la relación comercial con los mismos.</w:t>
      </w:r>
      <w:r w:rsidR="00911822">
        <w:t xml:space="preserve"> Adicionalmente sugirieron que el SEG </w:t>
      </w:r>
      <w:r w:rsidR="00911822" w:rsidRPr="00911822">
        <w:t>deberá contar con la capacidad de proporcionar el motivo o razón que un servic</w:t>
      </w:r>
      <w:r w:rsidR="001145CD">
        <w:t>io cuente con "Orden Abierta"</w:t>
      </w:r>
      <w:r w:rsidR="00911822" w:rsidRPr="00911822">
        <w:t>.</w:t>
      </w:r>
    </w:p>
    <w:p w14:paraId="7244E06E" w14:textId="542C0E6F" w:rsidR="00933C54" w:rsidRPr="00060C21" w:rsidRDefault="00060C21" w:rsidP="00174617">
      <w:pPr>
        <w:pStyle w:val="IFTnormal"/>
      </w:pPr>
      <w:r>
        <w:t>Respecto</w:t>
      </w:r>
      <w:r w:rsidR="00933C54">
        <w:t xml:space="preserve"> a los comentarios del</w:t>
      </w:r>
      <w:r w:rsidRPr="00060C21">
        <w:t xml:space="preserve"> SEG </w:t>
      </w:r>
      <w:r w:rsidR="00933C54">
        <w:t>e</w:t>
      </w:r>
      <w:r w:rsidR="009B29BB">
        <w:t>ste</w:t>
      </w:r>
      <w:r w:rsidR="00933C54">
        <w:t xml:space="preserve"> Instituto considera procedente analizar</w:t>
      </w:r>
      <w:r w:rsidR="009B29BB">
        <w:t>las, considerando</w:t>
      </w:r>
      <w:r w:rsidR="00933C54">
        <w:t xml:space="preserve"> que el sistema contenga al menos las condiciones de la Oferta de Referencia Vigente, sin menos cabo de que se puedan realizar mejoras que ayuden a la eficiencia de la provisión de los servicios. Sin embargo, cuestiones que </w:t>
      </w:r>
      <w:r w:rsidR="009B29BB">
        <w:t>impliques</w:t>
      </w:r>
      <w:r w:rsidR="00933C54" w:rsidRPr="0063105B">
        <w:t xml:space="preserve"> nuevas mejoras </w:t>
      </w:r>
      <w:r w:rsidR="00933C54">
        <w:t xml:space="preserve">en el SEG estas </w:t>
      </w:r>
      <w:r w:rsidR="00933C54" w:rsidRPr="0063105B">
        <w:t>deben contemplarse en el Comité del SEG.</w:t>
      </w:r>
    </w:p>
    <w:p w14:paraId="559C9320" w14:textId="735FD7B0" w:rsidR="00477C07" w:rsidRDefault="00190DD5" w:rsidP="00EE6A8A">
      <w:pPr>
        <w:pStyle w:val="1TitPrin"/>
      </w:pPr>
      <w:r>
        <w:t>PROCEDIMIENTO PARA VERIFICACIÓN DE LA VOLUNTAD DEL SUSCRIPTOR</w:t>
      </w:r>
    </w:p>
    <w:p w14:paraId="1F140A0B" w14:textId="26E70C2C" w:rsidR="001219AF" w:rsidRDefault="00477C07" w:rsidP="001219AF">
      <w:pPr>
        <w:pStyle w:val="IFTnormal"/>
      </w:pPr>
      <w:r w:rsidRPr="009648DA">
        <w:lastRenderedPageBreak/>
        <w:t xml:space="preserve">En la </w:t>
      </w:r>
      <w:r w:rsidR="00E36C7B">
        <w:t>Consulta Pública</w:t>
      </w:r>
      <w:r w:rsidRPr="009648DA">
        <w:t xml:space="preserve"> los participantes </w:t>
      </w:r>
      <w:r w:rsidR="001219AF">
        <w:t>sugirieron eliminar la firma autógrafa para los formatos de solicitud de voluntad del suscriptor para todos los servicios de la Oferta</w:t>
      </w:r>
      <w:r w:rsidR="00302F5C">
        <w:t xml:space="preserve"> de Referencia</w:t>
      </w:r>
      <w:r w:rsidR="001219AF">
        <w:t xml:space="preserve"> e implementar</w:t>
      </w:r>
      <w:r w:rsidR="00302F5C">
        <w:t xml:space="preserve"> el consentimiento verbal </w:t>
      </w:r>
      <w:r w:rsidR="001219AF">
        <w:t xml:space="preserve">o en </w:t>
      </w:r>
      <w:r w:rsidR="00302F5C">
        <w:t>su defecto un mecanismo digital</w:t>
      </w:r>
      <w:r w:rsidR="001219AF">
        <w:t>. Adicionalmente</w:t>
      </w:r>
      <w:r w:rsidR="00302F5C">
        <w:t>,</w:t>
      </w:r>
      <w:r w:rsidR="001219AF">
        <w:t xml:space="preserve"> indicaron que e</w:t>
      </w:r>
      <w:r w:rsidR="001219AF" w:rsidRPr="001219AF">
        <w:t>s nec</w:t>
      </w:r>
      <w:r w:rsidR="001219AF">
        <w:t>esario incluir los procesos de p</w:t>
      </w:r>
      <w:r w:rsidR="001219AF" w:rsidRPr="001219AF">
        <w:t xml:space="preserve">ortabilidad de CS a CS utilizando servicios de </w:t>
      </w:r>
      <w:r w:rsidR="001219AF">
        <w:t>r</w:t>
      </w:r>
      <w:r w:rsidR="001219AF" w:rsidRPr="001219AF">
        <w:t>eventa.</w:t>
      </w:r>
    </w:p>
    <w:p w14:paraId="0544621A" w14:textId="087CB4B5" w:rsidR="00C32A36" w:rsidRPr="00AB1BB3" w:rsidRDefault="00170FA2" w:rsidP="000264E8">
      <w:pPr>
        <w:pStyle w:val="IFTnormal"/>
      </w:pPr>
      <w:r>
        <w:t>R</w:t>
      </w:r>
      <w:r w:rsidR="00185A20">
        <w:t>especto a</w:t>
      </w:r>
      <w:r w:rsidR="00912D43">
        <w:t>l</w:t>
      </w:r>
      <w:r w:rsidR="00CF36E9" w:rsidRPr="00AB1BB3">
        <w:t xml:space="preserve"> tratamiento </w:t>
      </w:r>
      <w:r w:rsidR="00E01839">
        <w:t xml:space="preserve">y proceso </w:t>
      </w:r>
      <w:r w:rsidR="00CF36E9" w:rsidRPr="00AB1BB3">
        <w:t>a la verificación de la voluntad</w:t>
      </w:r>
      <w:r w:rsidR="00E01839">
        <w:t xml:space="preserve"> del suscriptor, este Instituto considera</w:t>
      </w:r>
      <w:r>
        <w:t>rá</w:t>
      </w:r>
      <w:r w:rsidR="00E01839">
        <w:t xml:space="preserve"> su análisis</w:t>
      </w:r>
      <w:r>
        <w:t>,</w:t>
      </w:r>
      <w:r w:rsidR="00E01839">
        <w:t xml:space="preserve"> ya que dicho proceso</w:t>
      </w:r>
      <w:r w:rsidR="00CF36E9" w:rsidRPr="00AB1BB3">
        <w:t xml:space="preserve"> debe ser </w:t>
      </w:r>
      <w:r w:rsidR="00F87552" w:rsidRPr="00AB1BB3">
        <w:t>ágil y</w:t>
      </w:r>
      <w:r w:rsidR="00276D55" w:rsidRPr="00AB1BB3">
        <w:t xml:space="preserve"> lo menos complicado posible</w:t>
      </w:r>
      <w:r w:rsidR="00B33346" w:rsidRPr="00AB1BB3">
        <w:t>,</w:t>
      </w:r>
      <w:r w:rsidR="005D6D5C" w:rsidRPr="00AB1BB3">
        <w:t xml:space="preserve"> pero asegurando que cumple su objetivo. Se revisarán las propuestas </w:t>
      </w:r>
      <w:r>
        <w:t xml:space="preserve">de </w:t>
      </w:r>
      <w:r w:rsidR="005D6D5C" w:rsidRPr="00AB1BB3">
        <w:t xml:space="preserve">métodos alternos y opciones de resguardo de la información </w:t>
      </w:r>
      <w:r w:rsidR="00004376" w:rsidRPr="00AB1BB3">
        <w:t>para afectar de forma mínima los procesos y los plazos que deban cumplirse.</w:t>
      </w:r>
      <w:r w:rsidR="00DC4B50">
        <w:t xml:space="preserve"> </w:t>
      </w:r>
    </w:p>
    <w:p w14:paraId="1B4E82AC" w14:textId="6B2D0EED" w:rsidR="00665636" w:rsidRPr="00AB1BB3" w:rsidRDefault="00434FAE" w:rsidP="000264E8">
      <w:pPr>
        <w:pStyle w:val="IFTnormal"/>
      </w:pPr>
      <w:r>
        <w:t xml:space="preserve">Es </w:t>
      </w:r>
      <w:r w:rsidR="00E4097F">
        <w:t>importante hacer</w:t>
      </w:r>
      <w:r>
        <w:t xml:space="preserve"> notar</w:t>
      </w:r>
      <w:r w:rsidR="00C9390D" w:rsidRPr="00AB1BB3">
        <w:t xml:space="preserve"> </w:t>
      </w:r>
      <w:r w:rsidR="00170FA2">
        <w:t xml:space="preserve">por este Instituto </w:t>
      </w:r>
      <w:r w:rsidR="00665636" w:rsidRPr="00AB1BB3">
        <w:t>qu</w:t>
      </w:r>
      <w:r w:rsidR="00170FA2">
        <w:t>é</w:t>
      </w:r>
      <w:r w:rsidR="00665636" w:rsidRPr="00AB1BB3">
        <w:t xml:space="preserve"> en caso</w:t>
      </w:r>
      <w:r w:rsidR="001219AF">
        <w:t>s de portabilidad de CS a CS</w:t>
      </w:r>
      <w:r w:rsidR="001F4780">
        <w:t>, se entiende como la desagregación de un servicio de un CS a otro CS, para lo cual se revisará que dicho escenario se encuentre contemplado en la Oferta de Referencia, ya que este es un escenario válido y posible.</w:t>
      </w:r>
      <w:r w:rsidR="00665636" w:rsidRPr="00AB1BB3">
        <w:t xml:space="preserve"> </w:t>
      </w:r>
    </w:p>
    <w:p w14:paraId="78747D8A" w14:textId="6FC36DBC" w:rsidR="00477C07" w:rsidRPr="0032730E" w:rsidRDefault="00190DD5" w:rsidP="00EE6A8A">
      <w:pPr>
        <w:pStyle w:val="1TitPrin"/>
      </w:pPr>
      <w:r>
        <w:t>PROCEDIMIENTO DE CALIFICACIÓN DEL BUCLE DE COBRE</w:t>
      </w:r>
    </w:p>
    <w:p w14:paraId="6BC6F722" w14:textId="4D57CED5" w:rsidR="00F639B7" w:rsidRDefault="00477C07" w:rsidP="00F639B7">
      <w:pPr>
        <w:pStyle w:val="IFTnormal"/>
      </w:pPr>
      <w:r w:rsidRPr="009648DA">
        <w:t xml:space="preserve">Como resultado de la </w:t>
      </w:r>
      <w:r w:rsidR="00E36C7B">
        <w:t>Consulta Pública</w:t>
      </w:r>
      <w:r w:rsidRPr="009648DA">
        <w:t>, el Instituto recibió comentarios en el sentido de</w:t>
      </w:r>
      <w:r w:rsidR="00F639B7">
        <w:t xml:space="preserve"> que teniendo en cuenta que no existen razones que hagan necesario el límite de ocupación se sugirió la eliminación de umbrales de ocupación o en su defecto, el umbral debería ser elevado por lo menos hasta el 90-95%.</w:t>
      </w:r>
    </w:p>
    <w:p w14:paraId="37D925A8" w14:textId="53F1845C" w:rsidR="00F639B7" w:rsidRDefault="00F639B7" w:rsidP="00F639B7">
      <w:pPr>
        <w:pStyle w:val="IFTnormal"/>
      </w:pPr>
      <w:r>
        <w:t>Adicionalmente se sugirió considerar que la Oferta</w:t>
      </w:r>
      <w:r w:rsidR="00D46F5F">
        <w:t xml:space="preserve"> de Referencia</w:t>
      </w:r>
      <w:r>
        <w:t xml:space="preserve"> debe exigir que la información publicada en el SEG sobre los bucles incluya una caracterización individual de cada bucle, determinando la calidad y la longitud de cada bucle en concreto, en vez de los valores promedios utilizados actualmente.</w:t>
      </w:r>
    </w:p>
    <w:p w14:paraId="2AC733BF" w14:textId="7CCE7624" w:rsidR="00A4010D" w:rsidRPr="00AB1BB3" w:rsidRDefault="00A4010D" w:rsidP="000264E8">
      <w:pPr>
        <w:pStyle w:val="IFTnormal"/>
      </w:pPr>
      <w:r w:rsidRPr="00AB1BB3">
        <w:t>E</w:t>
      </w:r>
      <w:r w:rsidR="00F639B7">
        <w:t>s necesario aclara</w:t>
      </w:r>
      <w:r w:rsidR="00D46F5F">
        <w:t>r</w:t>
      </w:r>
      <w:r w:rsidR="00F639B7">
        <w:t xml:space="preserve"> por este</w:t>
      </w:r>
      <w:r w:rsidRPr="00AB1BB3">
        <w:t xml:space="preserve"> Instituto </w:t>
      </w:r>
      <w:r w:rsidR="00F639B7">
        <w:t xml:space="preserve">que los umbrales de ocupación establecidos en la </w:t>
      </w:r>
      <w:r w:rsidR="00D46F5F">
        <w:t xml:space="preserve">Propuesta </w:t>
      </w:r>
      <w:r w:rsidR="00F639B7">
        <w:t xml:space="preserve">obedecen a las cuestiones técnicas de normativa y estándares de operación de las tecnologías utilizadas, las cuales se encuentran establecidas en el Plan de Gestión del Espectro de la misma </w:t>
      </w:r>
      <w:r w:rsidR="00D46F5F">
        <w:t>Propuesta</w:t>
      </w:r>
      <w:r w:rsidR="00F639B7">
        <w:t xml:space="preserve">. </w:t>
      </w:r>
    </w:p>
    <w:p w14:paraId="03BD7721" w14:textId="2F33422E" w:rsidR="005E6263" w:rsidRDefault="008534AF" w:rsidP="000264E8">
      <w:pPr>
        <w:pStyle w:val="IFTnormal"/>
      </w:pPr>
      <w:r w:rsidRPr="00AB1BB3">
        <w:t xml:space="preserve">Por otra parte, </w:t>
      </w:r>
      <w:r w:rsidR="00F639B7">
        <w:t>respecto a la información publicada en el SEG este</w:t>
      </w:r>
      <w:r w:rsidR="00A22746">
        <w:t xml:space="preserve"> Instituto encuentra procedente analizar la propuesta ya que </w:t>
      </w:r>
      <w:r w:rsidR="00A22746" w:rsidRPr="00A22746">
        <w:t xml:space="preserve">es importante que los CS puedan disponer de la información de las bases de datos con la misma disponibilidad </w:t>
      </w:r>
      <w:r w:rsidR="00D46F5F">
        <w:t xml:space="preserve">y detalle </w:t>
      </w:r>
      <w:r w:rsidR="00A22746" w:rsidRPr="00A22746">
        <w:t>que el</w:t>
      </w:r>
      <w:r w:rsidR="00A22746">
        <w:t xml:space="preserve"> AEP lo hace en su propia operación.</w:t>
      </w:r>
    </w:p>
    <w:p w14:paraId="3F868746" w14:textId="0C06746F" w:rsidR="001C0483" w:rsidRDefault="00190DD5" w:rsidP="00EE6A8A">
      <w:pPr>
        <w:pStyle w:val="1TitPrin"/>
      </w:pPr>
      <w:r>
        <w:t>SOLICITUDES MASIVAS</w:t>
      </w:r>
    </w:p>
    <w:p w14:paraId="3A3EB4BB" w14:textId="2A477FEF" w:rsidR="001219AF" w:rsidRDefault="00040142" w:rsidP="001219AF">
      <w:pPr>
        <w:pStyle w:val="IFTnormal"/>
      </w:pPr>
      <w:r w:rsidRPr="00DA44B6">
        <w:t xml:space="preserve">En la </w:t>
      </w:r>
      <w:r>
        <w:t>Consulta Pública</w:t>
      </w:r>
      <w:r w:rsidRPr="00DA44B6">
        <w:t xml:space="preserve"> los participantes </w:t>
      </w:r>
      <w:r>
        <w:t xml:space="preserve">solicitaron </w:t>
      </w:r>
      <w:r w:rsidR="001219AF">
        <w:t xml:space="preserve">se vuelva a incluir el texto </w:t>
      </w:r>
      <w:r w:rsidR="004D4735">
        <w:t xml:space="preserve">de las solicitudes masivas establecido en la Oferta de Referencia Vigente, el cual fue </w:t>
      </w:r>
      <w:r w:rsidR="001219AF">
        <w:t>eliminado por el AEP</w:t>
      </w:r>
      <w:r w:rsidR="004D4735">
        <w:t xml:space="preserve"> en la Propuesta. Los participantes </w:t>
      </w:r>
      <w:r>
        <w:t>consideran</w:t>
      </w:r>
      <w:r w:rsidRPr="00040142">
        <w:t xml:space="preserve"> que no debe de </w:t>
      </w:r>
      <w:r w:rsidRPr="00040142">
        <w:lastRenderedPageBreak/>
        <w:t>existir un límite para las solicitudes de alta masivas, ni deben ser tratadas como un trabajo especial que implique algún costo adicional para el CS.</w:t>
      </w:r>
    </w:p>
    <w:p w14:paraId="5D00C331" w14:textId="6DD9BE85" w:rsidR="00DA44B6" w:rsidRPr="00AB1BB3" w:rsidRDefault="00BF5519" w:rsidP="000264E8">
      <w:pPr>
        <w:pStyle w:val="IFTnormal"/>
      </w:pPr>
      <w:r w:rsidRPr="00AB1BB3">
        <w:t>El Instituto considera que el tratamiento masivo de las solicitudes</w:t>
      </w:r>
      <w:r w:rsidR="0099344E" w:rsidRPr="00AB1BB3">
        <w:t xml:space="preserve"> es una opción que </w:t>
      </w:r>
      <w:r w:rsidR="00A55186" w:rsidRPr="00AB1BB3">
        <w:t>debe contemplarse en la Oferta</w:t>
      </w:r>
      <w:r w:rsidR="00030979">
        <w:t xml:space="preserve"> de Referencia</w:t>
      </w:r>
      <w:r w:rsidR="00A55186" w:rsidRPr="00AB1BB3">
        <w:t xml:space="preserve">, en el sentido de que es un esquema </w:t>
      </w:r>
      <w:r w:rsidR="00030979">
        <w:t>de</w:t>
      </w:r>
      <w:r w:rsidR="00A55186" w:rsidRPr="00AB1BB3">
        <w:t xml:space="preserve"> práctica común en</w:t>
      </w:r>
      <w:r w:rsidR="00D47BDC" w:rsidRPr="00AB1BB3">
        <w:t xml:space="preserve"> la contratación de servicios que</w:t>
      </w:r>
      <w:r w:rsidR="00A55186" w:rsidRPr="00AB1BB3">
        <w:t xml:space="preserve"> </w:t>
      </w:r>
      <w:r w:rsidRPr="00AB1BB3">
        <w:t>beneficia tanto a los CS como al AEP</w:t>
      </w:r>
      <w:r w:rsidR="00A55186" w:rsidRPr="00AB1BB3">
        <w:t>.</w:t>
      </w:r>
      <w:r w:rsidR="00CB3ECC">
        <w:t xml:space="preserve"> S</w:t>
      </w:r>
      <w:r w:rsidR="00A55186" w:rsidRPr="00AB1BB3">
        <w:t xml:space="preserve">e considera que </w:t>
      </w:r>
      <w:r w:rsidRPr="00AB1BB3">
        <w:t>un tratamiento masivo</w:t>
      </w:r>
      <w:r w:rsidR="00A55186" w:rsidRPr="00AB1BB3">
        <w:t xml:space="preserve"> debería</w:t>
      </w:r>
      <w:r w:rsidRPr="00AB1BB3">
        <w:t xml:space="preserve"> facilita</w:t>
      </w:r>
      <w:r w:rsidR="00A55186" w:rsidRPr="00AB1BB3">
        <w:t>r</w:t>
      </w:r>
      <w:r w:rsidRPr="00AB1BB3">
        <w:t xml:space="preserve"> la mecanización de los procesos, reduce costos y mejora los plazos facilitando </w:t>
      </w:r>
      <w:r w:rsidR="00D47BDC" w:rsidRPr="00AB1BB3">
        <w:t>la prestación de los servicios de telecomunicaciones.</w:t>
      </w:r>
      <w:r w:rsidR="00FA4CF9">
        <w:t xml:space="preserve"> </w:t>
      </w:r>
      <w:r w:rsidRPr="00AB1BB3">
        <w:t xml:space="preserve">En ese sentido en </w:t>
      </w:r>
      <w:r w:rsidR="00DB614A">
        <w:t xml:space="preserve">la </w:t>
      </w:r>
      <w:r w:rsidRPr="00AB1BB3">
        <w:t xml:space="preserve">aplicación del principio de no </w:t>
      </w:r>
      <w:r w:rsidR="00DB614A" w:rsidRPr="00AB1BB3">
        <w:t>discriminación,</w:t>
      </w:r>
      <w:r w:rsidRPr="00AB1BB3">
        <w:t xml:space="preserve"> </w:t>
      </w:r>
      <w:r w:rsidR="00DB614A">
        <w:t xml:space="preserve">así </w:t>
      </w:r>
      <w:r w:rsidRPr="00AB1BB3">
        <w:t xml:space="preserve">como por la racionalidad es de considerarse la </w:t>
      </w:r>
      <w:r w:rsidR="00040142">
        <w:t>restitución</w:t>
      </w:r>
      <w:r w:rsidR="00040142" w:rsidRPr="00AB1BB3">
        <w:t xml:space="preserve"> </w:t>
      </w:r>
      <w:r w:rsidRPr="00AB1BB3">
        <w:t>de</w:t>
      </w:r>
      <w:r w:rsidR="00040142">
        <w:t>l</w:t>
      </w:r>
      <w:r w:rsidRPr="00AB1BB3">
        <w:t xml:space="preserve"> tratamiento</w:t>
      </w:r>
      <w:r w:rsidR="00040142">
        <w:t xml:space="preserve"> a las</w:t>
      </w:r>
      <w:r w:rsidRPr="00AB1BB3">
        <w:t xml:space="preserve"> solicitudes masivas</w:t>
      </w:r>
      <w:r w:rsidR="00D47BDC">
        <w:t xml:space="preserve"> en la Oferta</w:t>
      </w:r>
      <w:r w:rsidR="00030979">
        <w:t xml:space="preserve"> de Referencia</w:t>
      </w:r>
      <w:r w:rsidR="00D47BDC">
        <w:t>.</w:t>
      </w:r>
      <w:r w:rsidRPr="00AB1BB3">
        <w:t xml:space="preserve"> </w:t>
      </w:r>
    </w:p>
    <w:p w14:paraId="6BB933F6" w14:textId="3B7A8797" w:rsidR="001C0483" w:rsidRDefault="00190DD5" w:rsidP="00EE6A8A">
      <w:pPr>
        <w:pStyle w:val="1TitPrin"/>
      </w:pPr>
      <w:r>
        <w:t>CONDICIONES GENERALES PARA LA PRESTACIÓN DE LOS SERVICIOS</w:t>
      </w:r>
    </w:p>
    <w:p w14:paraId="30BF5AC7" w14:textId="6E8225D3" w:rsidR="00207E97" w:rsidRDefault="001C0483" w:rsidP="000264E8">
      <w:pPr>
        <w:pStyle w:val="IFTnormal"/>
      </w:pPr>
      <w:r w:rsidRPr="00BD1DDD">
        <w:t xml:space="preserve">Como resultado de la </w:t>
      </w:r>
      <w:r w:rsidR="00E36C7B">
        <w:t>Consulta Pública</w:t>
      </w:r>
      <w:r w:rsidRPr="00BD1DDD">
        <w:t xml:space="preserve">, el Instituto recibió comentarios en el sentido de </w:t>
      </w:r>
      <w:r w:rsidR="00207E97" w:rsidRPr="00207E97">
        <w:t xml:space="preserve">que se </w:t>
      </w:r>
      <w:r w:rsidR="00C233BD">
        <w:t>restituya</w:t>
      </w:r>
      <w:r w:rsidR="00207E97" w:rsidRPr="00207E97">
        <w:t xml:space="preserve"> la obligación</w:t>
      </w:r>
      <w:r w:rsidR="00C233BD">
        <w:t xml:space="preserve"> establecida en la Oferta de Referencia Vigente</w:t>
      </w:r>
      <w:r w:rsidR="00207E97" w:rsidRPr="00207E97">
        <w:t xml:space="preserve"> de proporcionar pruebas fehacientes, tanto por parte del AEP como los CS, que justifiquen las causas de la incidencia o daño a la co</w:t>
      </w:r>
      <w:r w:rsidR="00C233BD">
        <w:t>ntraparte</w:t>
      </w:r>
      <w:r w:rsidR="00207E97" w:rsidRPr="00207E97">
        <w:t xml:space="preserve">. </w:t>
      </w:r>
    </w:p>
    <w:p w14:paraId="6B1E226F" w14:textId="11F2025F" w:rsidR="003B6FBA" w:rsidRPr="00AB1BB3" w:rsidRDefault="00751B50" w:rsidP="00207E97">
      <w:pPr>
        <w:pStyle w:val="IFTnormal"/>
      </w:pPr>
      <w:r w:rsidRPr="00AB1BB3">
        <w:t xml:space="preserve">El Instituto considera </w:t>
      </w:r>
      <w:r w:rsidR="00B879EF" w:rsidRPr="00AB1BB3">
        <w:t>procedente</w:t>
      </w:r>
      <w:r w:rsidR="004E14E2" w:rsidRPr="00AB1BB3">
        <w:t xml:space="preserve"> analizar la </w:t>
      </w:r>
      <w:r w:rsidR="00207E97">
        <w:t>restitución de lo</w:t>
      </w:r>
      <w:r w:rsidR="00EE0BC8">
        <w:t xml:space="preserve"> </w:t>
      </w:r>
      <w:r w:rsidRPr="00AB1BB3">
        <w:t xml:space="preserve">referente </w:t>
      </w:r>
      <w:r w:rsidR="00C233BD">
        <w:t xml:space="preserve">a </w:t>
      </w:r>
      <w:r w:rsidR="00207E97" w:rsidRPr="00207E97">
        <w:t>la obligación de proporcionar pruebas fehacientes, tanto por parte del AEP como los CS, que justifiquen las causas de la incidencia o daño a la contraparte</w:t>
      </w:r>
      <w:r w:rsidR="00207E97">
        <w:t>.</w:t>
      </w:r>
    </w:p>
    <w:p w14:paraId="317E25BA" w14:textId="03ACCEAF" w:rsidR="001C0483" w:rsidRPr="00A3720B" w:rsidRDefault="00190DD5" w:rsidP="00EE6A8A">
      <w:pPr>
        <w:pStyle w:val="1TitPrin"/>
      </w:pPr>
      <w:r w:rsidRPr="00A3720B">
        <w:t>INICIO DE LA PRESTACIÓN DE LOS SERVICIOS</w:t>
      </w:r>
    </w:p>
    <w:p w14:paraId="38EE43C7" w14:textId="3EAD42F6" w:rsidR="009D3E6E" w:rsidRDefault="001C0483" w:rsidP="009D3E6E">
      <w:pPr>
        <w:pStyle w:val="IFTnormal"/>
      </w:pPr>
      <w:r w:rsidRPr="00BB1967">
        <w:t xml:space="preserve">En la </w:t>
      </w:r>
      <w:r w:rsidR="00E36C7B">
        <w:t>Consulta Pública</w:t>
      </w:r>
      <w:r w:rsidRPr="00BB1967">
        <w:t xml:space="preserve"> los participantes plantea</w:t>
      </w:r>
      <w:r w:rsidR="009D3E6E">
        <w:t>ron</w:t>
      </w:r>
      <w:r w:rsidRPr="00BB1967">
        <w:t xml:space="preserve"> incorporar </w:t>
      </w:r>
      <w:r w:rsidR="009D3E6E">
        <w:t>los municipios conurbados de las siguientes zonas metropolitanas: Valle de México, Guadalajara, Monterrey, Puebla-Tlaxcala, Valle de Toluca, León, La Laguna, Querétaro, San Luis Potosí, Mérida, Aguascalientes, Cuernavaca, Acapulco, Tampico, Chihuahua, Morelia, Saltillo, Veracruz, Villahermosa, Reynosa - Río Bravo, Tuxtla Gutiérrez, Cancún, Xalapa, Celaya, Heroica Matamoros, Ciudad Juárez, Coatzacoalcos, Hermosillo, La Paz y Nuevo Laredo. Adicionalmente indicaron que se incluyan las zonas metropolitanas y los municipios conurbados de las siguientes ciudades no incluidas en la oferta: Tijuana, Oaxaca, Poza Rica de Hidalgo, Pachuca de Soto, Tlaxcala-Apizaco, Cuautla de Morelos, Tepic, Torreón-Lerdo, Puerto Vallarta, Playa del Carmen, Campeche, Ciudad del Carmen, Los Mochis, Culiacán, Mazatlán, Ciudad Victoria y Mexicali.</w:t>
      </w:r>
    </w:p>
    <w:p w14:paraId="788AE8E2" w14:textId="6DEE460B" w:rsidR="009D3E6E" w:rsidRDefault="009D3E6E" w:rsidP="009D3E6E">
      <w:pPr>
        <w:pStyle w:val="IFTnormal"/>
      </w:pPr>
      <w:r>
        <w:t xml:space="preserve">Adicionalmente, sugirieron que el Instituto considere en la Oferta </w:t>
      </w:r>
      <w:r w:rsidR="00697668">
        <w:t xml:space="preserve">de Referencia </w:t>
      </w:r>
      <w:r>
        <w:t>que el AEP debe comunicar a los CS la programación de la apertura de una nueva central.</w:t>
      </w:r>
    </w:p>
    <w:p w14:paraId="2C99F15B" w14:textId="152EDADE" w:rsidR="00075A7C" w:rsidRPr="00AB1BB3" w:rsidRDefault="0090357D" w:rsidP="000264E8">
      <w:pPr>
        <w:pStyle w:val="IFTnormal"/>
      </w:pPr>
      <w:r w:rsidRPr="00AB1BB3">
        <w:t>E</w:t>
      </w:r>
      <w:r w:rsidR="00D70BDA" w:rsidRPr="00AB1BB3">
        <w:t>l Instituto</w:t>
      </w:r>
      <w:r w:rsidR="009D7867" w:rsidRPr="00AB1BB3">
        <w:t xml:space="preserve"> observa</w:t>
      </w:r>
      <w:r w:rsidR="00D70BDA" w:rsidRPr="00AB1BB3">
        <w:t xml:space="preserve"> </w:t>
      </w:r>
      <w:r w:rsidR="008F4478">
        <w:t>conveniente analizar los planteamientos indicados en la Consulta Pública</w:t>
      </w:r>
      <w:r w:rsidR="00697668">
        <w:t xml:space="preserve"> respecto a</w:t>
      </w:r>
      <w:r w:rsidR="00546005">
        <w:t xml:space="preserve"> la incorporación de nuevas zonas y municipios</w:t>
      </w:r>
      <w:r w:rsidR="008F4478">
        <w:t xml:space="preserve">. Es de </w:t>
      </w:r>
      <w:r w:rsidR="008F4478">
        <w:lastRenderedPageBreak/>
        <w:t>aclarar que e</w:t>
      </w:r>
      <w:r w:rsidR="0067081B" w:rsidRPr="00AB1BB3">
        <w:t>l AEP realiz</w:t>
      </w:r>
      <w:r w:rsidR="00546005">
        <w:t>ó la</w:t>
      </w:r>
      <w:r w:rsidR="0067081B" w:rsidRPr="00AB1BB3">
        <w:t xml:space="preserve"> adecuaci</w:t>
      </w:r>
      <w:r w:rsidR="00546005">
        <w:t>ón para la prestación de los servicios de desagregación</w:t>
      </w:r>
      <w:r w:rsidR="0067081B" w:rsidRPr="00AB1BB3">
        <w:t xml:space="preserve"> en </w:t>
      </w:r>
      <w:r w:rsidR="00546005">
        <w:t>un</w:t>
      </w:r>
      <w:r w:rsidR="00F903EB" w:rsidRPr="00AB1BB3">
        <w:t xml:space="preserve"> </w:t>
      </w:r>
      <w:r w:rsidR="0067081B" w:rsidRPr="00AB1BB3">
        <w:t>listado de ciudades iniciales</w:t>
      </w:r>
      <w:r w:rsidR="00075A7C" w:rsidRPr="00AB1BB3">
        <w:t xml:space="preserve"> </w:t>
      </w:r>
      <w:r w:rsidR="008F4478">
        <w:t>y posterior</w:t>
      </w:r>
      <w:r w:rsidR="00546005">
        <w:t>mente</w:t>
      </w:r>
      <w:r w:rsidR="008F4478">
        <w:t xml:space="preserve"> se ampliar</w:t>
      </w:r>
      <w:r w:rsidR="00546005">
        <w:t>ía</w:t>
      </w:r>
      <w:r w:rsidR="008F4478">
        <w:t xml:space="preserve"> al resto de ciudades</w:t>
      </w:r>
      <w:r w:rsidR="00075A7C" w:rsidRPr="00AB1BB3">
        <w:t xml:space="preserve"> para </w:t>
      </w:r>
      <w:r w:rsidR="00546005">
        <w:t>aumentar</w:t>
      </w:r>
      <w:r w:rsidR="00546005" w:rsidRPr="00AB1BB3">
        <w:t xml:space="preserve"> </w:t>
      </w:r>
      <w:r w:rsidR="00075A7C" w:rsidRPr="00AB1BB3">
        <w:t>las coberturas y alcances de los servicios</w:t>
      </w:r>
      <w:r w:rsidR="007D1140">
        <w:t xml:space="preserve"> en función</w:t>
      </w:r>
      <w:r w:rsidR="00075A7C" w:rsidRPr="00AB1BB3">
        <w:t xml:space="preserve">. De igual forma se </w:t>
      </w:r>
      <w:r w:rsidR="00F903EB">
        <w:t>valorará</w:t>
      </w:r>
      <w:r w:rsidR="00F903EB" w:rsidRPr="00AB1BB3">
        <w:t xml:space="preserve"> </w:t>
      </w:r>
      <w:r w:rsidR="00075A7C" w:rsidRPr="00AB1BB3">
        <w:t xml:space="preserve">la </w:t>
      </w:r>
      <w:r w:rsidR="005B0ABF">
        <w:t xml:space="preserve">actividad en la cual </w:t>
      </w:r>
      <w:r w:rsidR="00075A7C" w:rsidRPr="00AB1BB3">
        <w:t xml:space="preserve">el AEP </w:t>
      </w:r>
      <w:r w:rsidR="008F4478">
        <w:t>comunique la apertura de una nueva central</w:t>
      </w:r>
      <w:r w:rsidR="00075A7C" w:rsidRPr="00AB1BB3">
        <w:t>.</w:t>
      </w:r>
    </w:p>
    <w:p w14:paraId="13BECBB9" w14:textId="3499921B" w:rsidR="001C0483" w:rsidRPr="00A3720B" w:rsidRDefault="00190DD5" w:rsidP="00EE6A8A">
      <w:pPr>
        <w:pStyle w:val="1TitPrin"/>
      </w:pPr>
      <w:r w:rsidRPr="00A3720B">
        <w:t xml:space="preserve">INFORMACIÓN </w:t>
      </w:r>
      <w:r>
        <w:t>R</w:t>
      </w:r>
      <w:r w:rsidRPr="00A3720B">
        <w:t xml:space="preserve">ELACIONADA CON LOS </w:t>
      </w:r>
      <w:r>
        <w:t>S</w:t>
      </w:r>
      <w:r w:rsidRPr="00A3720B">
        <w:t>ERVICIOS</w:t>
      </w:r>
    </w:p>
    <w:p w14:paraId="23F12B1B" w14:textId="4FD7877B" w:rsidR="00B86E2B" w:rsidRDefault="001C0483" w:rsidP="000264E8">
      <w:pPr>
        <w:pStyle w:val="IFTnormal"/>
      </w:pPr>
      <w:r w:rsidRPr="00F47F9A">
        <w:t xml:space="preserve">Como resultado de la </w:t>
      </w:r>
      <w:r w:rsidR="00E36C7B">
        <w:t>Consulta Pública</w:t>
      </w:r>
      <w:r w:rsidRPr="00F47F9A">
        <w:t xml:space="preserve">, el Instituto recibió comentarios en el sentido de </w:t>
      </w:r>
      <w:r w:rsidR="00B86E2B">
        <w:t>que l</w:t>
      </w:r>
      <w:r w:rsidR="00B86E2B" w:rsidRPr="00B86E2B">
        <w:t>a información de tipo “b”</w:t>
      </w:r>
      <w:r w:rsidR="00185A20">
        <w:t xml:space="preserve"> de las bases de datos,</w:t>
      </w:r>
      <w:r w:rsidR="00B86E2B" w:rsidRPr="00B86E2B">
        <w:t xml:space="preserve"> debe ponerse a disposición </w:t>
      </w:r>
      <w:r w:rsidR="00B86E2B">
        <w:t>en igualdad de condiciones</w:t>
      </w:r>
      <w:r w:rsidR="00185A20">
        <w:t>,</w:t>
      </w:r>
      <w:r w:rsidR="00B86E2B">
        <w:t xml:space="preserve"> incluyendo el AEP</w:t>
      </w:r>
      <w:r w:rsidR="00B86E2B" w:rsidRPr="00B86E2B">
        <w:t xml:space="preserve"> y, por ende, debería poder ser actualizada diariamente. Las bases de datos deben incluir la fecha y hora de la última actualización cuando sean consultadas.</w:t>
      </w:r>
    </w:p>
    <w:p w14:paraId="49440674" w14:textId="64D97232" w:rsidR="00B86E2B" w:rsidRDefault="00000FFC" w:rsidP="00B86E2B">
      <w:pPr>
        <w:pStyle w:val="IFTnormal"/>
      </w:pPr>
      <w:r>
        <w:t>Además</w:t>
      </w:r>
      <w:r w:rsidR="00062DC1">
        <w:t xml:space="preserve">, los participantes </w:t>
      </w:r>
      <w:r w:rsidR="00684111">
        <w:t xml:space="preserve">sugirieron que </w:t>
      </w:r>
      <w:r w:rsidR="00B86E2B">
        <w:t xml:space="preserve">se </w:t>
      </w:r>
      <w:r>
        <w:t>pueda</w:t>
      </w:r>
      <w:r w:rsidR="000F1C1B">
        <w:t>n</w:t>
      </w:r>
      <w:r>
        <w:t xml:space="preserve"> </w:t>
      </w:r>
      <w:r w:rsidR="000F1C1B">
        <w:t xml:space="preserve">ser solicitados </w:t>
      </w:r>
      <w:r w:rsidR="00B86E2B">
        <w:t xml:space="preserve">los usuarios </w:t>
      </w:r>
      <w:r w:rsidR="00684111">
        <w:t xml:space="preserve">para la consulta de información </w:t>
      </w:r>
      <w:r w:rsidR="00B86E2B">
        <w:t>vía SEG a través de un usua</w:t>
      </w:r>
      <w:r w:rsidR="00684111">
        <w:t>rio administrador, así mismo</w:t>
      </w:r>
      <w:r w:rsidR="006733F6">
        <w:t>,</w:t>
      </w:r>
      <w:r w:rsidR="00684111">
        <w:t xml:space="preserve"> </w:t>
      </w:r>
      <w:r w:rsidR="00B86E2B">
        <w:t>definir los tiempos de respuesta para nuevas solicitudes</w:t>
      </w:r>
      <w:r w:rsidR="00684111">
        <w:t>.</w:t>
      </w:r>
    </w:p>
    <w:p w14:paraId="6D6AF77D" w14:textId="68A1CDC0" w:rsidR="000E40C6" w:rsidRDefault="000E40C6" w:rsidP="000264E8">
      <w:pPr>
        <w:pStyle w:val="IFTnormal"/>
      </w:pPr>
      <w:r w:rsidRPr="00AB1BB3">
        <w:t>A juicio del Instituto</w:t>
      </w:r>
      <w:r w:rsidR="006733F6">
        <w:t>,</w:t>
      </w:r>
      <w:r w:rsidRPr="00AB1BB3">
        <w:t xml:space="preserve"> </w:t>
      </w:r>
      <w:r w:rsidR="00075A7C" w:rsidRPr="00AB1BB3">
        <w:t>y en seguimiento al cumplimiento de diversas Medidas</w:t>
      </w:r>
      <w:r w:rsidR="006733F6">
        <w:t xml:space="preserve"> de Desagregación,</w:t>
      </w:r>
      <w:r w:rsidR="00075A7C" w:rsidRPr="00AB1BB3">
        <w:t xml:space="preserve"> </w:t>
      </w:r>
      <w:r w:rsidRPr="00AB1BB3">
        <w:t>e</w:t>
      </w:r>
      <w:r w:rsidR="00075A7C" w:rsidRPr="00AB1BB3">
        <w:t>s importante que los CS</w:t>
      </w:r>
      <w:r w:rsidRPr="00AB1BB3">
        <w:t xml:space="preserve"> puedan disponer de la información de las bases de datos con la misma disponibilidad que el AEP, por lo que se considera </w:t>
      </w:r>
      <w:r w:rsidR="00075A7C" w:rsidRPr="00AB1BB3">
        <w:t xml:space="preserve">procedente </w:t>
      </w:r>
      <w:r w:rsidR="00684111">
        <w:t>analizar la disposición de la información presentada por el AEP.</w:t>
      </w:r>
      <w:r w:rsidR="00684111" w:rsidRPr="00AB1BB3">
        <w:t xml:space="preserve"> </w:t>
      </w:r>
    </w:p>
    <w:p w14:paraId="02AC9A75" w14:textId="6D829DC7" w:rsidR="00487E93" w:rsidRPr="00AB1BB3" w:rsidRDefault="00684111" w:rsidP="000264E8">
      <w:pPr>
        <w:pStyle w:val="IFTnormal"/>
      </w:pPr>
      <w:r>
        <w:t>Respecto a las solicitudes de usuarios, este Instituto</w:t>
      </w:r>
      <w:r w:rsidR="00340DB7">
        <w:t xml:space="preserve"> considera</w:t>
      </w:r>
      <w:r>
        <w:t xml:space="preserve"> que </w:t>
      </w:r>
      <w:r w:rsidR="00340DB7">
        <w:t xml:space="preserve">la propuesta podría implicar un desarrollo adicional por parte del AEP por lo que para </w:t>
      </w:r>
      <w:r>
        <w:t xml:space="preserve">nuevas funcionalidades </w:t>
      </w:r>
      <w:r w:rsidR="00340DB7">
        <w:t xml:space="preserve">del SEG </w:t>
      </w:r>
      <w:r>
        <w:t>debe</w:t>
      </w:r>
      <w:r w:rsidR="00896F2B">
        <w:t>rían</w:t>
      </w:r>
      <w:r>
        <w:t xml:space="preserve"> </w:t>
      </w:r>
      <w:r w:rsidR="00340DB7">
        <w:t>analizarse</w:t>
      </w:r>
      <w:r>
        <w:t xml:space="preserve"> </w:t>
      </w:r>
      <w:r w:rsidR="00340DB7">
        <w:t xml:space="preserve">en </w:t>
      </w:r>
      <w:r>
        <w:t>el Comité del SEG.</w:t>
      </w:r>
      <w:r w:rsidR="000E1623" w:rsidRPr="00AB1BB3">
        <w:t xml:space="preserve"> </w:t>
      </w:r>
    </w:p>
    <w:p w14:paraId="76D005D6" w14:textId="725B158E" w:rsidR="00190DD5" w:rsidRDefault="00190DD5" w:rsidP="00190DD5">
      <w:pPr>
        <w:pStyle w:val="1TitPrin"/>
      </w:pPr>
      <w:r w:rsidRPr="00FA5612">
        <w:t>PROCEDIMIENTO DE ACCESO A LA INFORMACIÓN DE FORMA PRESENCIAL</w:t>
      </w:r>
    </w:p>
    <w:p w14:paraId="25784F4D" w14:textId="39756737" w:rsidR="00122D18" w:rsidRPr="00190DD5" w:rsidRDefault="007A1384" w:rsidP="00174617">
      <w:pPr>
        <w:pStyle w:val="IFTnormal"/>
      </w:pPr>
      <w:r w:rsidRPr="00190DD5">
        <w:t xml:space="preserve">Como resultado de la Consulta Pública, el Instituto recibió comentarios indicando que se establezca en el procedimiento acceso a la información de manera presencial en las instalaciones del AEP, </w:t>
      </w:r>
      <w:r w:rsidR="00F71369" w:rsidRPr="00190DD5">
        <w:t xml:space="preserve">que el personal del CS que requiera </w:t>
      </w:r>
      <w:r w:rsidRPr="00190DD5">
        <w:t>y que hayan sido debidamente acreditadas obtengan dicho acceso por el tiempo que el CS lo requiera y que este especificada en la carta membretada que presentará el CS.</w:t>
      </w:r>
    </w:p>
    <w:p w14:paraId="62403847" w14:textId="18A282FF" w:rsidR="001C253E" w:rsidRPr="00176439" w:rsidRDefault="00A11E09" w:rsidP="00174617">
      <w:pPr>
        <w:pStyle w:val="IFTnormal"/>
      </w:pPr>
      <w:r w:rsidRPr="0078327E">
        <w:t>El Instituto considera qué</w:t>
      </w:r>
      <w:r w:rsidR="00122D18" w:rsidRPr="0078327E">
        <w:t xml:space="preserve"> debido a la sensibilidad de la información, no es posible contemplar realizar los cambios propuestos por el CS, además, contar con un día hábil es el plazo razonable necesarios para validar al solici</w:t>
      </w:r>
      <w:r w:rsidR="00122D18" w:rsidRPr="00176439">
        <w:t xml:space="preserve">tante y preparar la información por parte del AEP. </w:t>
      </w:r>
    </w:p>
    <w:p w14:paraId="03C8211D" w14:textId="5F1E33BB" w:rsidR="00A11E09" w:rsidRPr="00FA5612" w:rsidRDefault="00190DD5">
      <w:pPr>
        <w:pStyle w:val="1TitPrin"/>
      </w:pPr>
      <w:r w:rsidRPr="00EE6A8A">
        <w:t>PROCEDIMIENTO DE ACCESO AL SISTEMA ELECTRÓNICO DE GESTIÓN A</w:t>
      </w:r>
      <w:r w:rsidRPr="00FA5612">
        <w:t xml:space="preserve"> TRAVÉS DE LA RED PRIVADA VIRTUAL (VPN) </w:t>
      </w:r>
    </w:p>
    <w:p w14:paraId="41918E2D" w14:textId="0ABD4507" w:rsidR="00A11E09" w:rsidRDefault="00A11E09" w:rsidP="00174617">
      <w:pPr>
        <w:pStyle w:val="IFTnormal"/>
      </w:pPr>
      <w:r w:rsidRPr="00F47F9A">
        <w:lastRenderedPageBreak/>
        <w:t xml:space="preserve">Como resultado de la </w:t>
      </w:r>
      <w:r>
        <w:t>Consulta Pública</w:t>
      </w:r>
      <w:r w:rsidRPr="00F47F9A">
        <w:t xml:space="preserve">, el Instituto recibió comentarios </w:t>
      </w:r>
      <w:r>
        <w:t>indicando que</w:t>
      </w:r>
      <w:r w:rsidRPr="00A11E09">
        <w:t xml:space="preserve"> </w:t>
      </w:r>
      <w:r>
        <w:t>e</w:t>
      </w:r>
      <w:r w:rsidRPr="00A11E09">
        <w:t xml:space="preserve">s necesario definir el </w:t>
      </w:r>
      <w:r w:rsidR="00576EA8">
        <w:t>n</w:t>
      </w:r>
      <w:r w:rsidRPr="00A11E09">
        <w:t xml:space="preserve">úmero de </w:t>
      </w:r>
      <w:proofErr w:type="spellStart"/>
      <w:r w:rsidRPr="00A11E09">
        <w:t>VPNs</w:t>
      </w:r>
      <w:proofErr w:type="spellEnd"/>
      <w:r w:rsidRPr="00A11E09">
        <w:t xml:space="preserve"> que podrá solicitar un CS. Se solicita al AEP un mínimo de 5 </w:t>
      </w:r>
      <w:r w:rsidR="00FA5612">
        <w:t xml:space="preserve">accesos vía </w:t>
      </w:r>
      <w:r w:rsidRPr="00A11E09">
        <w:t xml:space="preserve">VPN por cada CS. </w:t>
      </w:r>
    </w:p>
    <w:p w14:paraId="5033DB3E" w14:textId="770642CE" w:rsidR="00827724" w:rsidRPr="00ED1A3F" w:rsidRDefault="00A11E09" w:rsidP="00174617">
      <w:pPr>
        <w:pStyle w:val="IFTnormal"/>
      </w:pPr>
      <w:r>
        <w:t>Es de aclarar por este Instituto que la Oferta</w:t>
      </w:r>
      <w:r w:rsidR="00393502">
        <w:t xml:space="preserve"> de Referencia</w:t>
      </w:r>
      <w:r>
        <w:t>, r</w:t>
      </w:r>
      <w:r w:rsidRPr="00A11E09">
        <w:t>especto a</w:t>
      </w:r>
      <w:r>
        <w:t>l</w:t>
      </w:r>
      <w:r w:rsidRPr="00A11E09">
        <w:t xml:space="preserve"> </w:t>
      </w:r>
      <w:r>
        <w:t>acceso al SEG a través de</w:t>
      </w:r>
      <w:r w:rsidRPr="00A11E09">
        <w:t xml:space="preserve"> VPN no </w:t>
      </w:r>
      <w:r>
        <w:t>se establece un</w:t>
      </w:r>
      <w:r w:rsidRPr="00A11E09">
        <w:t xml:space="preserve"> límite</w:t>
      </w:r>
      <w:r>
        <w:t xml:space="preserve"> de accesos</w:t>
      </w:r>
      <w:r w:rsidRPr="00A11E09">
        <w:t>,</w:t>
      </w:r>
      <w:r>
        <w:t xml:space="preserve"> por lo que</w:t>
      </w:r>
      <w:r w:rsidRPr="00A11E09">
        <w:t xml:space="preserve"> CS pueden solicitar los accesos que requieran</w:t>
      </w:r>
      <w:r>
        <w:t>.</w:t>
      </w:r>
    </w:p>
    <w:p w14:paraId="546CAAFF" w14:textId="759630C4" w:rsidR="00FE02A8" w:rsidRDefault="00190DD5">
      <w:pPr>
        <w:pStyle w:val="1TitPrin"/>
      </w:pPr>
      <w:r w:rsidRPr="002D79A9">
        <w:t>SERVICIO DE REVENTA DE LÍNEA TELEFÓNICA</w:t>
      </w:r>
    </w:p>
    <w:p w14:paraId="2E4BAC85" w14:textId="52C6560D" w:rsidR="00417ECB" w:rsidRDefault="0016616B" w:rsidP="000264E8">
      <w:pPr>
        <w:pStyle w:val="IFTnormal"/>
      </w:pPr>
      <w:r w:rsidRPr="000264E8">
        <w:t xml:space="preserve">Los participantes de la </w:t>
      </w:r>
      <w:r w:rsidR="00E36C7B" w:rsidRPr="000264E8">
        <w:t>Consulta Pública</w:t>
      </w:r>
      <w:r w:rsidRPr="000264E8">
        <w:t xml:space="preserve"> en relación al Servicio de Reventa de Línea Telefónica </w:t>
      </w:r>
      <w:r w:rsidR="00B12D96">
        <w:t>indicaron que se debe incluir</w:t>
      </w:r>
      <w:r w:rsidR="00B1762E">
        <w:t xml:space="preserve"> </w:t>
      </w:r>
      <w:r w:rsidR="00B12D96" w:rsidRPr="00B12D96">
        <w:t>procedimientos para cambio de producto o modalidad de desagregación en Reventa</w:t>
      </w:r>
      <w:r w:rsidR="00B12D96">
        <w:t xml:space="preserve"> </w:t>
      </w:r>
      <w:r w:rsidR="00B12D96" w:rsidRPr="00B12D96">
        <w:t>(de SRPI a SRL o SRI)</w:t>
      </w:r>
      <w:r w:rsidR="0025011E">
        <w:t>, y p</w:t>
      </w:r>
      <w:r w:rsidR="0025011E" w:rsidRPr="0025011E">
        <w:t xml:space="preserve">ermitir mayor flexibilidad al CS para </w:t>
      </w:r>
      <w:r w:rsidR="00D858AF">
        <w:t xml:space="preserve">hacer </w:t>
      </w:r>
      <w:r w:rsidR="0025011E">
        <w:t>la combinación</w:t>
      </w:r>
      <w:r w:rsidR="0025011E" w:rsidRPr="0025011E">
        <w:t xml:space="preserve"> de servicios individuales que mejor se ajusten a </w:t>
      </w:r>
      <w:r w:rsidR="0025011E">
        <w:t>las</w:t>
      </w:r>
      <w:r w:rsidR="0025011E" w:rsidRPr="0025011E">
        <w:t xml:space="preserve"> necesidades comerciales</w:t>
      </w:r>
      <w:r w:rsidR="0025011E">
        <w:t xml:space="preserve"> del CS</w:t>
      </w:r>
      <w:r w:rsidR="00B12D96">
        <w:t>. También sugirieron la inclusión de domicilios nuevos no registrados en las bases del SEG. Adicional</w:t>
      </w:r>
      <w:r w:rsidR="00C01E33">
        <w:t>mente</w:t>
      </w:r>
      <w:r w:rsidR="00B12D96">
        <w:t xml:space="preserve"> indican que la Oferta</w:t>
      </w:r>
      <w:r w:rsidR="00185A20">
        <w:t xml:space="preserve"> de Referencia</w:t>
      </w:r>
      <w:r w:rsidR="00B12D96">
        <w:t xml:space="preserve"> debe permitir la recuperación de </w:t>
      </w:r>
      <w:r w:rsidR="00B12D96" w:rsidRPr="00B12D96">
        <w:t>números telefónicos que han sido cancelados.</w:t>
      </w:r>
    </w:p>
    <w:p w14:paraId="281937AA" w14:textId="44C223FC" w:rsidR="00B56E61" w:rsidRDefault="00417ECB" w:rsidP="000264E8">
      <w:pPr>
        <w:pStyle w:val="IFTnormal"/>
      </w:pPr>
      <w:r>
        <w:t>Por otro lado</w:t>
      </w:r>
      <w:r w:rsidR="00B56E61">
        <w:t>,</w:t>
      </w:r>
      <w:r>
        <w:t xml:space="preserve"> solicitaron la inclusión </w:t>
      </w:r>
      <w:r w:rsidRPr="00417ECB">
        <w:t xml:space="preserve">de </w:t>
      </w:r>
      <w:r>
        <w:t xml:space="preserve">un </w:t>
      </w:r>
      <w:r w:rsidRPr="00417ECB">
        <w:t>procedimiento para portabilidad en Servicios de Reventa Nueva y Existente entre CS</w:t>
      </w:r>
      <w:r w:rsidR="0031112D">
        <w:t>, esto es</w:t>
      </w:r>
      <w:r w:rsidR="0015094D">
        <w:t>,</w:t>
      </w:r>
      <w:r w:rsidR="0031112D">
        <w:t xml:space="preserve"> de</w:t>
      </w:r>
      <w:r>
        <w:t xml:space="preserve"> un CS a otro</w:t>
      </w:r>
      <w:r w:rsidR="0031112D">
        <w:t xml:space="preserve"> CS</w:t>
      </w:r>
      <w:r w:rsidR="00BC50A1">
        <w:t xml:space="preserve">, </w:t>
      </w:r>
      <w:r w:rsidR="00492534">
        <w:t xml:space="preserve">estos tienen la particularidad que sus </w:t>
      </w:r>
      <w:r w:rsidRPr="00417ECB">
        <w:t xml:space="preserve">ubicaciones </w:t>
      </w:r>
      <w:r w:rsidR="00492534">
        <w:t xml:space="preserve">son, </w:t>
      </w:r>
      <w:r w:rsidRPr="00417ECB">
        <w:t xml:space="preserve">donde el AEP no ha prestado </w:t>
      </w:r>
      <w:r w:rsidR="00492534">
        <w:t xml:space="preserve">sus </w:t>
      </w:r>
      <w:r w:rsidRPr="00417ECB">
        <w:t>servicios</w:t>
      </w:r>
      <w:r>
        <w:t>.</w:t>
      </w:r>
      <w:r w:rsidR="00B56E61">
        <w:t xml:space="preserve"> También solicitan la inclusión de un procedimiento </w:t>
      </w:r>
      <w:r w:rsidR="00B56E61" w:rsidRPr="00B56E61">
        <w:t>para migraciones con titulares finados</w:t>
      </w:r>
      <w:r w:rsidR="00B56E61">
        <w:t xml:space="preserve"> (</w:t>
      </w:r>
      <w:r w:rsidR="00B56E61" w:rsidRPr="00B56E61">
        <w:t>titular que falleció o se encuentra legalmente incapacitado para realizar trámites administrativos</w:t>
      </w:r>
      <w:r w:rsidR="00B56E61">
        <w:t xml:space="preserve">). Adicionalmente solicitaron la inclusión de un </w:t>
      </w:r>
      <w:r w:rsidR="00B56E61" w:rsidRPr="00B56E61">
        <w:t>procedimiento para consultar en el SEG tr</w:t>
      </w:r>
      <w:r w:rsidR="00B56E61">
        <w:t xml:space="preserve">ámites administrativos abiertos, </w:t>
      </w:r>
      <w:r w:rsidR="00B56E61" w:rsidRPr="00B56E61">
        <w:t>todos los movimientos rea</w:t>
      </w:r>
      <w:r w:rsidR="00B56E61">
        <w:t xml:space="preserve">lizados al teléfono de servicio y un procedimiento </w:t>
      </w:r>
      <w:r w:rsidR="00B56E61" w:rsidRPr="00B56E61">
        <w:t>de seguimiento pa</w:t>
      </w:r>
      <w:r w:rsidR="00B56E61">
        <w:t>ra casos en estado de excepción.</w:t>
      </w:r>
    </w:p>
    <w:p w14:paraId="3206F3BF" w14:textId="21F628B3" w:rsidR="00FB158A" w:rsidRPr="000264E8" w:rsidRDefault="00FB158A" w:rsidP="000264E8">
      <w:pPr>
        <w:pStyle w:val="IFTnormal"/>
      </w:pPr>
      <w:r w:rsidRPr="000264E8">
        <w:t>El I</w:t>
      </w:r>
      <w:r w:rsidR="00E20D69" w:rsidRPr="000264E8">
        <w:t>nstituto examinará l</w:t>
      </w:r>
      <w:r w:rsidR="005606B7">
        <w:t>o</w:t>
      </w:r>
      <w:r w:rsidR="00E20D69" w:rsidRPr="000264E8">
        <w:t xml:space="preserve"> </w:t>
      </w:r>
      <w:r w:rsidR="00365874">
        <w:t>indicado por</w:t>
      </w:r>
      <w:r w:rsidR="005606B7">
        <w:t xml:space="preserve"> los </w:t>
      </w:r>
      <w:r w:rsidR="00365874">
        <w:t>participantes</w:t>
      </w:r>
      <w:r w:rsidR="005606B7">
        <w:t xml:space="preserve"> respecto al procedimiento para la migración o cambio de servicios de desagregación, así mismo se analizará la propuesta de incluir en los procedimientos la inclusión del registro de nuevos domicilios. Adicionalmente, el Instituto evaluará la inclusión de la recuperación</w:t>
      </w:r>
      <w:r w:rsidR="005606B7" w:rsidRPr="005606B7">
        <w:t xml:space="preserve"> </w:t>
      </w:r>
      <w:r w:rsidR="005606B7">
        <w:t xml:space="preserve">de </w:t>
      </w:r>
      <w:r w:rsidR="005606B7" w:rsidRPr="005606B7">
        <w:t>número</w:t>
      </w:r>
      <w:r w:rsidR="005606B7">
        <w:t>s</w:t>
      </w:r>
      <w:r w:rsidR="005606B7" w:rsidRPr="005606B7">
        <w:t xml:space="preserve"> dado de baja</w:t>
      </w:r>
      <w:r w:rsidR="005606B7">
        <w:t>,</w:t>
      </w:r>
      <w:r w:rsidR="005606B7" w:rsidRPr="005606B7">
        <w:t xml:space="preserve"> </w:t>
      </w:r>
      <w:r w:rsidR="005606B7">
        <w:t>esto conforme a código de prácticas c</w:t>
      </w:r>
      <w:r w:rsidR="005606B7" w:rsidRPr="005606B7">
        <w:t>omerciales de</w:t>
      </w:r>
      <w:r w:rsidR="005606B7">
        <w:t>l AEP.</w:t>
      </w:r>
    </w:p>
    <w:p w14:paraId="5A3DE4B0" w14:textId="014EBEBF" w:rsidR="00FD6532" w:rsidRPr="000264E8" w:rsidRDefault="00CD2735" w:rsidP="000264E8">
      <w:pPr>
        <w:pStyle w:val="IFTnormal"/>
      </w:pPr>
      <w:r>
        <w:t xml:space="preserve">Respecto a </w:t>
      </w:r>
      <w:r w:rsidRPr="00CD2735">
        <w:t xml:space="preserve">la inclusión de un procedimiento para portabilidad </w:t>
      </w:r>
      <w:r>
        <w:t>de un CS a otro CS</w:t>
      </w:r>
      <w:r w:rsidRPr="000264E8">
        <w:t xml:space="preserve"> </w:t>
      </w:r>
      <w:r w:rsidR="00FB158A" w:rsidRPr="000264E8">
        <w:t>e</w:t>
      </w:r>
      <w:r>
        <w:t xml:space="preserve">ste </w:t>
      </w:r>
      <w:r w:rsidR="00FB158A" w:rsidRPr="000264E8">
        <w:t>Instituto considera</w:t>
      </w:r>
      <w:r>
        <w:t xml:space="preserve"> improcedente </w:t>
      </w:r>
      <w:r w:rsidRPr="00CD2735">
        <w:t>establ</w:t>
      </w:r>
      <w:r>
        <w:t xml:space="preserve">ecer procesos </w:t>
      </w:r>
      <w:r w:rsidR="00DE0079">
        <w:t>en la Oferta</w:t>
      </w:r>
      <w:r w:rsidR="0015094D">
        <w:t xml:space="preserve"> de Referencia</w:t>
      </w:r>
      <w:r w:rsidR="00DE0079">
        <w:t xml:space="preserve"> </w:t>
      </w:r>
      <w:r>
        <w:t>q</w:t>
      </w:r>
      <w:r w:rsidRPr="00EB1682">
        <w:t xml:space="preserve">ue </w:t>
      </w:r>
      <w:r w:rsidR="00492534" w:rsidRPr="00EB1682">
        <w:t xml:space="preserve">no </w:t>
      </w:r>
      <w:r w:rsidRPr="00EB1682">
        <w:t>pertenece</w:t>
      </w:r>
      <w:r>
        <w:t xml:space="preserve">n </w:t>
      </w:r>
      <w:r w:rsidR="00EB1682">
        <w:t>exclusivamente a la relación entre un CS determinado y el AEP</w:t>
      </w:r>
      <w:r>
        <w:t>.</w:t>
      </w:r>
      <w:r w:rsidR="00161A55">
        <w:t xml:space="preserve"> </w:t>
      </w:r>
      <w:r w:rsidR="00EB1682">
        <w:t>De igual forma l</w:t>
      </w:r>
      <w:r w:rsidR="00161A55">
        <w:t xml:space="preserve">a inclusión de un procedimiento </w:t>
      </w:r>
      <w:r w:rsidR="00161A55" w:rsidRPr="00B56E61">
        <w:t>para migraciones con titulares finados</w:t>
      </w:r>
      <w:r w:rsidR="00EB1682">
        <w:t>,</w:t>
      </w:r>
      <w:r w:rsidR="00161A55">
        <w:t xml:space="preserve"> este Instituto considera que esta petición se encuentra fuera del alcance de la Oferta</w:t>
      </w:r>
      <w:r w:rsidR="00393502">
        <w:t xml:space="preserve"> de Referencia</w:t>
      </w:r>
      <w:r w:rsidR="00161A55">
        <w:t>.</w:t>
      </w:r>
    </w:p>
    <w:p w14:paraId="0BAC2CA9" w14:textId="5157B065" w:rsidR="00F776E6" w:rsidRDefault="00190DD5" w:rsidP="00EE6A8A">
      <w:pPr>
        <w:pStyle w:val="1TitPrin"/>
      </w:pPr>
      <w:r w:rsidRPr="002D79A9">
        <w:t xml:space="preserve">SERVICIOS DE REVENTA DE </w:t>
      </w:r>
      <w:r>
        <w:t>INTERNET</w:t>
      </w:r>
    </w:p>
    <w:p w14:paraId="02140C1C" w14:textId="6C37691E" w:rsidR="00365874" w:rsidRPr="00365874" w:rsidRDefault="00F776E6" w:rsidP="00365874">
      <w:pPr>
        <w:pStyle w:val="IFTnormal"/>
      </w:pPr>
      <w:r w:rsidRPr="002D79A9">
        <w:lastRenderedPageBreak/>
        <w:t>De los</w:t>
      </w:r>
      <w:r w:rsidR="005B1EF1" w:rsidRPr="002D79A9">
        <w:t xml:space="preserve"> comentarios</w:t>
      </w:r>
      <w:r w:rsidRPr="002D79A9">
        <w:t xml:space="preserve"> </w:t>
      </w:r>
      <w:r w:rsidR="005B1EF1" w:rsidRPr="002D79A9">
        <w:t>vertidos</w:t>
      </w:r>
      <w:r w:rsidRPr="002D79A9">
        <w:t xml:space="preserve"> </w:t>
      </w:r>
      <w:r w:rsidR="005B1EF1" w:rsidRPr="002D79A9">
        <w:t>en</w:t>
      </w:r>
      <w:r w:rsidRPr="002D79A9">
        <w:t xml:space="preserve"> la </w:t>
      </w:r>
      <w:r w:rsidR="00E36C7B" w:rsidRPr="002D79A9">
        <w:t>Consulta Pública</w:t>
      </w:r>
      <w:r w:rsidR="00C25C38" w:rsidRPr="002D79A9">
        <w:t>,</w:t>
      </w:r>
      <w:r w:rsidRPr="002D79A9">
        <w:t xml:space="preserve"> los particip</w:t>
      </w:r>
      <w:r w:rsidR="005B1EF1" w:rsidRPr="002D79A9">
        <w:t>antes</w:t>
      </w:r>
      <w:r w:rsidRPr="002D79A9">
        <w:t xml:space="preserve"> opinaron </w:t>
      </w:r>
      <w:r w:rsidR="00365874">
        <w:t xml:space="preserve">que no es necesaria la entrega de pronósticos para la provisión del </w:t>
      </w:r>
      <w:r w:rsidR="000F21F2">
        <w:t>módem</w:t>
      </w:r>
      <w:r w:rsidR="00524F5F">
        <w:t>. También opinaron que en la P</w:t>
      </w:r>
      <w:r w:rsidR="00365874">
        <w:t xml:space="preserve">ropuesta se eliminó la posibilidad de entrega de </w:t>
      </w:r>
      <w:r w:rsidR="000730C5">
        <w:t>módem</w:t>
      </w:r>
      <w:r w:rsidR="00365874">
        <w:t xml:space="preserve"> en tienda. Adicionalmente, los participantes indicaron que no se cuenta con los precios entrega de equipo por </w:t>
      </w:r>
      <w:r w:rsidR="00DB1BCF">
        <w:t xml:space="preserve">un </w:t>
      </w:r>
      <w:r w:rsidR="00365874">
        <w:t>t</w:t>
      </w:r>
      <w:r w:rsidR="00365874" w:rsidRPr="00365874">
        <w:t>écnico</w:t>
      </w:r>
      <w:r w:rsidR="0078327E">
        <w:t>.</w:t>
      </w:r>
      <w:r w:rsidR="00365874">
        <w:t xml:space="preserve"> </w:t>
      </w:r>
    </w:p>
    <w:p w14:paraId="52BB47AE" w14:textId="4E62760B" w:rsidR="00365874" w:rsidRDefault="0078327E" w:rsidP="000264E8">
      <w:pPr>
        <w:pStyle w:val="IFTnormal"/>
      </w:pPr>
      <w:r>
        <w:t xml:space="preserve">Por otro lado, los participantes indicaron que la </w:t>
      </w:r>
      <w:r w:rsidR="00B66CA7">
        <w:t>Propuesta</w:t>
      </w:r>
      <w:r>
        <w:t xml:space="preserve"> y el SEG no brindan p</w:t>
      </w:r>
      <w:r w:rsidRPr="0078327E">
        <w:t xml:space="preserve">rocedimientos y posibilidad de proporcionar </w:t>
      </w:r>
      <w:r w:rsidR="002F1700">
        <w:t>WIFI</w:t>
      </w:r>
      <w:r>
        <w:t xml:space="preserve"> móvil </w:t>
      </w:r>
      <w:r w:rsidRPr="0078327E">
        <w:t xml:space="preserve">y lo referente a usuarios y contraseñas para el </w:t>
      </w:r>
      <w:r>
        <w:t>usuario final</w:t>
      </w:r>
      <w:r w:rsidRPr="0078327E">
        <w:t>.</w:t>
      </w:r>
      <w:r>
        <w:t xml:space="preserve"> Así mismo</w:t>
      </w:r>
      <w:r w:rsidR="004E1901">
        <w:t>,</w:t>
      </w:r>
      <w:r>
        <w:t xml:space="preserve"> indicaron que no se contempla la </w:t>
      </w:r>
      <w:r w:rsidRPr="0078327E">
        <w:t>reu</w:t>
      </w:r>
      <w:r>
        <w:t>bicación de los servicios del usuario fina</w:t>
      </w:r>
      <w:r w:rsidR="00C91C5B">
        <w:t>l como es el</w:t>
      </w:r>
      <w:r w:rsidRPr="0078327E">
        <w:t xml:space="preserve"> “Cableado Interior”</w:t>
      </w:r>
      <w:r>
        <w:t xml:space="preserve">. </w:t>
      </w:r>
      <w:proofErr w:type="gramStart"/>
      <w:r w:rsidR="00C91C5B">
        <w:t>Además</w:t>
      </w:r>
      <w:proofErr w:type="gramEnd"/>
      <w:r>
        <w:t xml:space="preserve"> indicaron que </w:t>
      </w:r>
      <w:r w:rsidRPr="0078327E">
        <w:t xml:space="preserve">no </w:t>
      </w:r>
      <w:r>
        <w:t>está considera</w:t>
      </w:r>
      <w:r w:rsidRPr="0078327E">
        <w:t>do que</w:t>
      </w:r>
      <w:r>
        <w:t xml:space="preserve"> el CS tenga la posibilidad de solicitar una “m</w:t>
      </w:r>
      <w:r w:rsidRPr="0078327E">
        <w:t>igración entre servicios”</w:t>
      </w:r>
      <w:r>
        <w:t>.</w:t>
      </w:r>
    </w:p>
    <w:p w14:paraId="5A0090A9" w14:textId="2F4C8D1E" w:rsidR="00854C88" w:rsidRDefault="00495CE5" w:rsidP="000264E8">
      <w:pPr>
        <w:pStyle w:val="IFTnormal"/>
      </w:pPr>
      <w:r w:rsidRPr="002D79A9">
        <w:t>El Instituto considera</w:t>
      </w:r>
      <w:r w:rsidR="00222336" w:rsidRPr="002D79A9">
        <w:t xml:space="preserve"> que </w:t>
      </w:r>
      <w:r w:rsidRPr="002D79A9">
        <w:t xml:space="preserve">todos los </w:t>
      </w:r>
      <w:r w:rsidR="00222336" w:rsidRPr="002D79A9">
        <w:t xml:space="preserve">CS deben </w:t>
      </w:r>
      <w:r w:rsidR="00854C88" w:rsidRPr="002D79A9">
        <w:t>contar con</w:t>
      </w:r>
      <w:r w:rsidR="00222336" w:rsidRPr="002D79A9">
        <w:t xml:space="preserve"> las herramientas necesarias para poder competir con el AEP</w:t>
      </w:r>
      <w:r w:rsidR="00854C88" w:rsidRPr="002D79A9">
        <w:t>, p</w:t>
      </w:r>
      <w:r w:rsidR="00222336" w:rsidRPr="002D79A9">
        <w:t xml:space="preserve">or lo que </w:t>
      </w:r>
      <w:r w:rsidRPr="002D79A9">
        <w:t>es</w:t>
      </w:r>
      <w:r w:rsidR="00EF3F6D" w:rsidRPr="002D79A9">
        <w:t xml:space="preserve"> </w:t>
      </w:r>
      <w:r w:rsidR="00854C88" w:rsidRPr="002D79A9">
        <w:t>razonable realizar un análisis para</w:t>
      </w:r>
      <w:r w:rsidR="00EF3F6D" w:rsidRPr="002D79A9">
        <w:t xml:space="preserve"> </w:t>
      </w:r>
      <w:r w:rsidR="00BB136E" w:rsidRPr="002D79A9">
        <w:t>determinar si en</w:t>
      </w:r>
      <w:r w:rsidR="00EF3F6D" w:rsidRPr="002D79A9">
        <w:t xml:space="preserve"> la </w:t>
      </w:r>
      <w:r w:rsidR="00D415FC">
        <w:t>Oferta de Referencia</w:t>
      </w:r>
      <w:r w:rsidR="00EF3F6D" w:rsidRPr="002D79A9">
        <w:t xml:space="preserve"> </w:t>
      </w:r>
      <w:r w:rsidR="00BB136E" w:rsidRPr="002D79A9">
        <w:t xml:space="preserve">es procedente </w:t>
      </w:r>
      <w:r w:rsidR="00EF3F6D" w:rsidRPr="002D79A9">
        <w:t>consider</w:t>
      </w:r>
      <w:r w:rsidR="00BB136E" w:rsidRPr="002D79A9">
        <w:t>ar</w:t>
      </w:r>
      <w:r w:rsidR="00222336" w:rsidRPr="002D79A9">
        <w:t xml:space="preserve"> lo concerniente a </w:t>
      </w:r>
      <w:r w:rsidR="0078327E">
        <w:t xml:space="preserve">la entrega de pronósticos, y </w:t>
      </w:r>
      <w:r w:rsidR="002F1700">
        <w:t xml:space="preserve">recuperar </w:t>
      </w:r>
      <w:r w:rsidR="0078327E">
        <w:t xml:space="preserve">la entrega de </w:t>
      </w:r>
      <w:r w:rsidR="000730C5">
        <w:t>módem</w:t>
      </w:r>
      <w:r w:rsidR="0078327E">
        <w:t xml:space="preserve"> en tienda. Lo anterior considerando que la </w:t>
      </w:r>
      <w:r w:rsidR="00393502">
        <w:t>Propuesta</w:t>
      </w:r>
      <w:r w:rsidR="0078327E">
        <w:t xml:space="preserve"> </w:t>
      </w:r>
      <w:r w:rsidR="0078327E" w:rsidRPr="0077517D">
        <w:rPr>
          <w:lang w:val="es-ES"/>
        </w:rPr>
        <w:t xml:space="preserve">deberá reflejar, al menos, condiciones equivalentes a </w:t>
      </w:r>
      <w:r w:rsidR="00D415FC">
        <w:rPr>
          <w:lang w:val="es-ES"/>
        </w:rPr>
        <w:t>las de la Oferta de Referencia V</w:t>
      </w:r>
      <w:r w:rsidR="0078327E" w:rsidRPr="0077517D">
        <w:rPr>
          <w:lang w:val="es-ES"/>
        </w:rPr>
        <w:t>igente.</w:t>
      </w:r>
    </w:p>
    <w:p w14:paraId="31800757" w14:textId="71DCB70B" w:rsidR="00EB0B90" w:rsidRDefault="00495CE5" w:rsidP="000264E8">
      <w:pPr>
        <w:pStyle w:val="IFTnormal"/>
      </w:pPr>
      <w:r w:rsidRPr="002D79A9">
        <w:t xml:space="preserve">En cuanto a </w:t>
      </w:r>
      <w:r w:rsidR="00854C88" w:rsidRPr="002D79A9">
        <w:t>l</w:t>
      </w:r>
      <w:r w:rsidR="006A3997" w:rsidRPr="002D79A9">
        <w:t>os procedimientos de</w:t>
      </w:r>
      <w:r w:rsidRPr="002D79A9">
        <w:t xml:space="preserve"> </w:t>
      </w:r>
      <w:r w:rsidR="008B1796" w:rsidRPr="008B1796">
        <w:t xml:space="preserve">proporcionar </w:t>
      </w:r>
      <w:r w:rsidR="002F1700">
        <w:t>WIFI</w:t>
      </w:r>
      <w:r w:rsidR="008B1796" w:rsidRPr="008B1796">
        <w:t xml:space="preserve"> móvil y lo referente a usuarios y contraseñas para el usuario final</w:t>
      </w:r>
      <w:r w:rsidR="005E79BD">
        <w:t>,</w:t>
      </w:r>
      <w:r w:rsidR="004E1901">
        <w:t xml:space="preserve"> la </w:t>
      </w:r>
      <w:r w:rsidR="004E1901" w:rsidRPr="0078327E">
        <w:t>reu</w:t>
      </w:r>
      <w:r w:rsidR="004E1901">
        <w:t>bicación de los servicios del usuario fina</w:t>
      </w:r>
      <w:r w:rsidR="005E79BD">
        <w:t>l</w:t>
      </w:r>
      <w:r w:rsidR="004E1901" w:rsidRPr="0078327E">
        <w:t xml:space="preserve"> “Cableado Interior”</w:t>
      </w:r>
      <w:r w:rsidR="005E79BD">
        <w:t xml:space="preserve"> y migración </w:t>
      </w:r>
      <w:r w:rsidR="00AB7331">
        <w:t>entre</w:t>
      </w:r>
      <w:r w:rsidR="005E79BD">
        <w:t xml:space="preserve"> servicios</w:t>
      </w:r>
      <w:r w:rsidR="002F1700">
        <w:t>,</w:t>
      </w:r>
      <w:r w:rsidR="00222336" w:rsidRPr="002D79A9">
        <w:t xml:space="preserve"> </w:t>
      </w:r>
      <w:r w:rsidR="006A3997" w:rsidRPr="002D79A9">
        <w:t>el Instituto considera</w:t>
      </w:r>
      <w:r w:rsidR="008B1796">
        <w:t>ra analizarlo</w:t>
      </w:r>
      <w:r w:rsidR="005E79BD">
        <w:t>s</w:t>
      </w:r>
      <w:r w:rsidR="008B1796">
        <w:t xml:space="preserve"> ya </w:t>
      </w:r>
      <w:r w:rsidR="006A3997" w:rsidRPr="002D79A9">
        <w:t>que</w:t>
      </w:r>
      <w:r w:rsidR="008B1796">
        <w:t xml:space="preserve"> es de recordar que</w:t>
      </w:r>
      <w:r w:rsidR="006A3997" w:rsidRPr="002D79A9">
        <w:t xml:space="preserve"> </w:t>
      </w:r>
      <w:r w:rsidR="00F1160C" w:rsidRPr="002D79A9">
        <w:t xml:space="preserve">los CS deberían poder realizar estas </w:t>
      </w:r>
      <w:r w:rsidR="00EF3F6D" w:rsidRPr="002D79A9">
        <w:t>actividades en c</w:t>
      </w:r>
      <w:r w:rsidR="00EB23B6">
        <w:t xml:space="preserve">ondiciones equivalentes </w:t>
      </w:r>
      <w:r w:rsidR="002F1700">
        <w:t>a las que realiza el</w:t>
      </w:r>
      <w:r w:rsidR="00EB23B6">
        <w:t xml:space="preserve"> AEP</w:t>
      </w:r>
      <w:r w:rsidR="002F1700">
        <w:t xml:space="preserve"> en sus propias operaciones</w:t>
      </w:r>
      <w:r w:rsidR="00EB23B6">
        <w:t>.</w:t>
      </w:r>
    </w:p>
    <w:p w14:paraId="1F70F553" w14:textId="2E9B9C1B" w:rsidR="00EB0B90" w:rsidRDefault="00190DD5" w:rsidP="00174617">
      <w:pPr>
        <w:pStyle w:val="1TitPrin"/>
      </w:pPr>
      <w:r w:rsidRPr="00EB0B90">
        <w:t xml:space="preserve">MOLÉCULAS </w:t>
      </w:r>
      <w:r>
        <w:t>D</w:t>
      </w:r>
      <w:r w:rsidRPr="00EB0B90">
        <w:t xml:space="preserve">E INCREMENTO </w:t>
      </w:r>
      <w:r>
        <w:t>D</w:t>
      </w:r>
      <w:r w:rsidRPr="00EB0B90">
        <w:t>E VELOCIDAD</w:t>
      </w:r>
    </w:p>
    <w:p w14:paraId="339D327B" w14:textId="3434F2CC" w:rsidR="00EB0B90" w:rsidRDefault="00EB0B90" w:rsidP="000264E8">
      <w:pPr>
        <w:pStyle w:val="IFTnormal"/>
      </w:pPr>
      <w:r w:rsidRPr="002D79A9">
        <w:t>Los participantes de la Consulta Pública</w:t>
      </w:r>
      <w:r>
        <w:t xml:space="preserve"> opinaron que </w:t>
      </w:r>
      <w:r w:rsidR="00AF39F7">
        <w:t xml:space="preserve">se </w:t>
      </w:r>
      <w:r>
        <w:t>desarrolle con</w:t>
      </w:r>
      <w:r w:rsidRPr="00EB0B90">
        <w:t xml:space="preserve"> mayor detalle sobre este punto</w:t>
      </w:r>
      <w:r w:rsidR="00AF39F7">
        <w:t xml:space="preserve"> ya que no queda claro su funcionamiento. Aclararon que</w:t>
      </w:r>
      <w:r w:rsidRPr="00EB0B90">
        <w:t xml:space="preserve"> el AEP </w:t>
      </w:r>
      <w:r w:rsidR="00AF39F7">
        <w:t>hizo la inclusión sin una detallada descripción</w:t>
      </w:r>
      <w:r w:rsidRPr="00EB0B90">
        <w:t xml:space="preserve"> y no es posible dimensionar el impacto que tendrían estos incrementos de velocidad sobre los niveles tarifarios y los márgenes de los servicios </w:t>
      </w:r>
      <w:r>
        <w:t>de reventa de paquetes</w:t>
      </w:r>
      <w:r w:rsidRPr="00EB0B90">
        <w:t>.</w:t>
      </w:r>
    </w:p>
    <w:p w14:paraId="3C867B0C" w14:textId="336A497B" w:rsidR="00F1160C" w:rsidRPr="00AB1BB3" w:rsidRDefault="00A648A1" w:rsidP="00AB1BB3">
      <w:pPr>
        <w:pStyle w:val="IFTnormal"/>
        <w:rPr>
          <w:color w:val="auto"/>
        </w:rPr>
      </w:pPr>
      <w:r w:rsidRPr="000264E8">
        <w:t>El Instituto examinará l</w:t>
      </w:r>
      <w:r>
        <w:t>o</w:t>
      </w:r>
      <w:r w:rsidRPr="000264E8">
        <w:t xml:space="preserve"> </w:t>
      </w:r>
      <w:r>
        <w:t>indicado por los participantes</w:t>
      </w:r>
      <w:r w:rsidR="002E20A6">
        <w:t>,</w:t>
      </w:r>
      <w:r>
        <w:t xml:space="preserve"> considerando</w:t>
      </w:r>
      <w:r w:rsidRPr="00A648A1">
        <w:t xml:space="preserve"> armonizar el contenido en cuanto a las modalidades disponibles por parte del AEP al m</w:t>
      </w:r>
      <w:r w:rsidR="00DC4632">
        <w:t>omento de realizar la P</w:t>
      </w:r>
      <w:r>
        <w:t>ropuesta</w:t>
      </w:r>
      <w:r w:rsidR="002F1700">
        <w:t xml:space="preserve"> asegurando que se apliquen las mismas condiciones de la provisión de servicios</w:t>
      </w:r>
      <w:r w:rsidRPr="00A648A1">
        <w:t>.</w:t>
      </w:r>
    </w:p>
    <w:p w14:paraId="443606D4" w14:textId="616D65D5" w:rsidR="00FE02A8" w:rsidRDefault="00190DD5" w:rsidP="00EE6A8A">
      <w:pPr>
        <w:pStyle w:val="1TitPrin"/>
      </w:pPr>
      <w:r w:rsidRPr="002D79A9">
        <w:t>VENTA DE MÓDEM, ONT Y TELÉFONOS PARA REVENTA</w:t>
      </w:r>
    </w:p>
    <w:p w14:paraId="3DB33FAA" w14:textId="17AAFCEA" w:rsidR="00B53D45" w:rsidRDefault="007D24D1" w:rsidP="00AB1BB3">
      <w:pPr>
        <w:pStyle w:val="IFTnormal"/>
      </w:pPr>
      <w:r w:rsidRPr="002D79A9">
        <w:t xml:space="preserve">Respecto al </w:t>
      </w:r>
      <w:r w:rsidR="002F6DDB" w:rsidRPr="002D79A9">
        <w:t>apartado de venta de módem</w:t>
      </w:r>
      <w:r w:rsidR="000A4169">
        <w:t xml:space="preserve"> y</w:t>
      </w:r>
      <w:r w:rsidR="002F6DDB" w:rsidRPr="002D79A9">
        <w:t xml:space="preserve"> ONT para </w:t>
      </w:r>
      <w:r w:rsidR="000A4169">
        <w:t>el servicio de</w:t>
      </w:r>
      <w:r w:rsidR="004254DF">
        <w:t xml:space="preserve"> r</w:t>
      </w:r>
      <w:r w:rsidR="002F6DDB" w:rsidRPr="002D79A9">
        <w:t xml:space="preserve">eventa, los participantes de la </w:t>
      </w:r>
      <w:r w:rsidR="00E36C7B" w:rsidRPr="002D79A9">
        <w:t>Consulta Pública</w:t>
      </w:r>
      <w:r w:rsidR="002F6DDB" w:rsidRPr="002D79A9">
        <w:t xml:space="preserve"> </w:t>
      </w:r>
      <w:r w:rsidR="000A4169">
        <w:t xml:space="preserve">solicitaron homologar las </w:t>
      </w:r>
      <w:r w:rsidR="000A4169" w:rsidRPr="000A4169">
        <w:t xml:space="preserve">condiciones de </w:t>
      </w:r>
      <w:r w:rsidR="000A4169">
        <w:t>la venta de módem</w:t>
      </w:r>
      <w:r w:rsidR="000A4169" w:rsidRPr="000A4169">
        <w:t xml:space="preserve"> de</w:t>
      </w:r>
      <w:r w:rsidR="004254DF">
        <w:t>scrito en el servicio de r</w:t>
      </w:r>
      <w:r w:rsidR="000A4169" w:rsidRPr="000A4169">
        <w:t>eve</w:t>
      </w:r>
      <w:r w:rsidR="000A4169">
        <w:t>n</w:t>
      </w:r>
      <w:r w:rsidR="000A4169" w:rsidRPr="000A4169">
        <w:t xml:space="preserve">ta </w:t>
      </w:r>
      <w:r w:rsidR="000A4169">
        <w:t xml:space="preserve">con la descripción de la venta </w:t>
      </w:r>
      <w:r w:rsidR="000A4169">
        <w:lastRenderedPageBreak/>
        <w:t xml:space="preserve">del </w:t>
      </w:r>
      <w:r w:rsidR="000730C5">
        <w:t>módem</w:t>
      </w:r>
      <w:r w:rsidR="000A4169">
        <w:t xml:space="preserve"> </w:t>
      </w:r>
      <w:r w:rsidR="000A4169" w:rsidRPr="000A4169">
        <w:t>de</w:t>
      </w:r>
      <w:r w:rsidR="000A4169">
        <w:t>l</w:t>
      </w:r>
      <w:r w:rsidR="000A4169" w:rsidRPr="000A4169">
        <w:t xml:space="preserve"> S</w:t>
      </w:r>
      <w:r w:rsidR="004254DF">
        <w:t>ervicio de Acceso Indirecto al Bucle (en adelante, “S</w:t>
      </w:r>
      <w:r w:rsidR="000A4169" w:rsidRPr="000A4169">
        <w:t>AIB</w:t>
      </w:r>
      <w:r w:rsidR="004254DF">
        <w:t>”)</w:t>
      </w:r>
      <w:r w:rsidR="000A4169" w:rsidRPr="000A4169">
        <w:t>.</w:t>
      </w:r>
      <w:r w:rsidR="000A4169" w:rsidRPr="002D79A9">
        <w:t xml:space="preserve"> </w:t>
      </w:r>
      <w:r w:rsidR="000A4169">
        <w:t>Adicionalmente, aclararon que la homologación de módem</w:t>
      </w:r>
      <w:r w:rsidR="000A4169" w:rsidRPr="000A4169">
        <w:t xml:space="preserve"> </w:t>
      </w:r>
      <w:proofErr w:type="spellStart"/>
      <w:r w:rsidR="000A4169" w:rsidRPr="000A4169">
        <w:t>xDSL</w:t>
      </w:r>
      <w:proofErr w:type="spellEnd"/>
      <w:r w:rsidR="000A4169" w:rsidRPr="000A4169">
        <w:t xml:space="preserve"> está documentad</w:t>
      </w:r>
      <w:r w:rsidR="000A4169">
        <w:t>a y clara, mas no así la de ONT</w:t>
      </w:r>
      <w:r w:rsidR="000A4169" w:rsidRPr="000A4169">
        <w:t>.</w:t>
      </w:r>
      <w:r w:rsidR="002B2529">
        <w:t xml:space="preserve"> </w:t>
      </w:r>
    </w:p>
    <w:p w14:paraId="6BD143D7" w14:textId="788F65C8" w:rsidR="00DA3572" w:rsidRDefault="002B2529" w:rsidP="00AB1BB3">
      <w:pPr>
        <w:pStyle w:val="IFTnormal"/>
      </w:pPr>
      <w:r w:rsidRPr="002D79A9">
        <w:t>P</w:t>
      </w:r>
      <w:r w:rsidR="00E13E61" w:rsidRPr="002D79A9">
        <w:t>or otro lado</w:t>
      </w:r>
      <w:r w:rsidR="00B53D45" w:rsidRPr="002D79A9">
        <w:t>,</w:t>
      </w:r>
      <w:r w:rsidR="00E13E61" w:rsidRPr="002D79A9">
        <w:t xml:space="preserve"> los participantes solicita</w:t>
      </w:r>
      <w:r w:rsidR="00DA3572">
        <w:t>ron</w:t>
      </w:r>
      <w:r w:rsidR="00E13E61" w:rsidRPr="002D79A9">
        <w:t xml:space="preserve"> </w:t>
      </w:r>
      <w:r w:rsidR="00831682" w:rsidRPr="002D79A9">
        <w:t xml:space="preserve">que </w:t>
      </w:r>
      <w:r w:rsidR="00DA3572">
        <w:t xml:space="preserve">no se condicione a pronostico </w:t>
      </w:r>
      <w:r w:rsidR="00DA3572" w:rsidRPr="00DA3572">
        <w:t>la venta de módems/</w:t>
      </w:r>
      <w:proofErr w:type="spellStart"/>
      <w:r w:rsidR="00DA3572" w:rsidRPr="00DA3572">
        <w:t>ONTs</w:t>
      </w:r>
      <w:proofErr w:type="spellEnd"/>
      <w:r w:rsidR="00DA3572" w:rsidRPr="00DA3572">
        <w:t xml:space="preserve"> a los CS atado a un lote mínimo de 15,000 unidades</w:t>
      </w:r>
      <w:r w:rsidR="00DA3572">
        <w:t>. Aclararon que</w:t>
      </w:r>
      <w:r w:rsidR="00DA3572" w:rsidRPr="00DA3572">
        <w:t xml:space="preserve"> </w:t>
      </w:r>
      <w:r w:rsidR="00DA3572">
        <w:t>e</w:t>
      </w:r>
      <w:r w:rsidR="00DA3572" w:rsidRPr="00DA3572">
        <w:t>xigir un lote mínimo de estas características carece de sentido y disminuye la competitividad de los operadores de menor escala.</w:t>
      </w:r>
    </w:p>
    <w:p w14:paraId="3C5FA76B" w14:textId="747F32CF" w:rsidR="00C45154" w:rsidRDefault="00DA3572" w:rsidP="00AB1BB3">
      <w:pPr>
        <w:pStyle w:val="IFTnormal"/>
      </w:pPr>
      <w:r>
        <w:t xml:space="preserve">También indicaron que debe </w:t>
      </w:r>
      <w:r w:rsidR="00126AD3">
        <w:t>establecerse</w:t>
      </w:r>
      <w:r>
        <w:t xml:space="preserve"> la posibilidad de solicitud</w:t>
      </w:r>
      <w:r w:rsidRPr="00DA3572">
        <w:t xml:space="preserve"> de servicio e</w:t>
      </w:r>
      <w:r>
        <w:t>l aparato telefónico y que este sea</w:t>
      </w:r>
      <w:r w:rsidR="00DB0B3E">
        <w:t xml:space="preserve"> entregado</w:t>
      </w:r>
      <w:r w:rsidRPr="00DA3572">
        <w:t xml:space="preserve"> a los usuario</w:t>
      </w:r>
      <w:r>
        <w:t>s directamente en su domicilio.</w:t>
      </w:r>
    </w:p>
    <w:p w14:paraId="0DB7D937" w14:textId="59234C29" w:rsidR="002F6DDB" w:rsidRDefault="00045EDB" w:rsidP="00AB1BB3">
      <w:pPr>
        <w:pStyle w:val="IFTnormal"/>
      </w:pPr>
      <w:r>
        <w:t>L</w:t>
      </w:r>
      <w:r w:rsidR="00D84C77" w:rsidRPr="002D79A9">
        <w:t xml:space="preserve">os participantes de la </w:t>
      </w:r>
      <w:r w:rsidR="00E36C7B" w:rsidRPr="002D79A9">
        <w:t>Consulta Pública</w:t>
      </w:r>
      <w:r w:rsidR="00D84C77" w:rsidRPr="002D79A9">
        <w:t xml:space="preserve"> solicita</w:t>
      </w:r>
      <w:r>
        <w:t>ron</w:t>
      </w:r>
      <w:r w:rsidR="00D84C77" w:rsidRPr="002D79A9">
        <w:t xml:space="preserve"> </w:t>
      </w:r>
      <w:r w:rsidR="00DB0B3E">
        <w:t xml:space="preserve">se considere </w:t>
      </w:r>
      <w:r w:rsidR="00DB0B3E" w:rsidRPr="00DB0B3E">
        <w:t>en el procedimiento de reemplazo y garantía de los módems/</w:t>
      </w:r>
      <w:proofErr w:type="spellStart"/>
      <w:r w:rsidR="00DB0B3E" w:rsidRPr="00DB0B3E">
        <w:t>ONTs</w:t>
      </w:r>
      <w:proofErr w:type="spellEnd"/>
      <w:r w:rsidR="00DB0B3E">
        <w:t>, el envío por</w:t>
      </w:r>
      <w:r w:rsidR="00DB0B3E" w:rsidRPr="00DB0B3E">
        <w:t xml:space="preserve"> mensajería pueda tener un seguimiento por </w:t>
      </w:r>
      <w:r w:rsidR="00DB0B3E">
        <w:t>parte del Concesionario</w:t>
      </w:r>
      <w:r w:rsidR="00DB0B3E" w:rsidRPr="00DB0B3E">
        <w:t>.</w:t>
      </w:r>
    </w:p>
    <w:p w14:paraId="3EE58097" w14:textId="694E22D0" w:rsidR="00DB0B3E" w:rsidRDefault="006312C7" w:rsidP="00DB0B3E">
      <w:pPr>
        <w:pStyle w:val="IFTnormal"/>
      </w:pPr>
      <w:r w:rsidRPr="002D79A9">
        <w:t>En relación a</w:t>
      </w:r>
      <w:r w:rsidR="00804D19">
        <w:t xml:space="preserve"> homologar las </w:t>
      </w:r>
      <w:r w:rsidR="00804D19" w:rsidRPr="000A4169">
        <w:t xml:space="preserve">condiciones de </w:t>
      </w:r>
      <w:r w:rsidR="00804D19">
        <w:t>la venta de módem</w:t>
      </w:r>
      <w:r w:rsidR="00804D19" w:rsidRPr="000A4169">
        <w:t xml:space="preserve"> de</w:t>
      </w:r>
      <w:r w:rsidR="00852504">
        <w:t>scrito en el servicio de r</w:t>
      </w:r>
      <w:r w:rsidR="00804D19" w:rsidRPr="000A4169">
        <w:t>eve</w:t>
      </w:r>
      <w:r w:rsidR="00804D19">
        <w:t>n</w:t>
      </w:r>
      <w:r w:rsidR="00804D19" w:rsidRPr="000A4169">
        <w:t xml:space="preserve">ta </w:t>
      </w:r>
      <w:r w:rsidR="00804D19">
        <w:t xml:space="preserve">con la descripción de la venta del </w:t>
      </w:r>
      <w:r w:rsidR="000730C5">
        <w:t>módem</w:t>
      </w:r>
      <w:r w:rsidR="00804D19">
        <w:t xml:space="preserve"> </w:t>
      </w:r>
      <w:r w:rsidR="00804D19" w:rsidRPr="000A4169">
        <w:t>de</w:t>
      </w:r>
      <w:r w:rsidR="00804D19">
        <w:t>l</w:t>
      </w:r>
      <w:r w:rsidR="00804D19" w:rsidRPr="000A4169">
        <w:t xml:space="preserve"> SAIB</w:t>
      </w:r>
      <w:r w:rsidRPr="002D79A9">
        <w:t xml:space="preserve">, </w:t>
      </w:r>
      <w:r w:rsidR="00852504">
        <w:t>este</w:t>
      </w:r>
      <w:r w:rsidRPr="002D79A9">
        <w:t xml:space="preserve"> Instituto considera </w:t>
      </w:r>
      <w:r w:rsidR="00852504">
        <w:t xml:space="preserve">que </w:t>
      </w:r>
      <w:r w:rsidR="00804D19">
        <w:t>n</w:t>
      </w:r>
      <w:r w:rsidR="00DB0B3E">
        <w:t>o es factible</w:t>
      </w:r>
      <w:r w:rsidR="00804D19">
        <w:t xml:space="preserve"> homologar totalmente las condiciones descritas en cada servicio</w:t>
      </w:r>
      <w:r w:rsidR="00DB0B3E">
        <w:t xml:space="preserve"> ya que</w:t>
      </w:r>
      <w:r w:rsidR="00804D19">
        <w:t xml:space="preserve"> tienen tratamientos diferentes, por ejemplo,</w:t>
      </w:r>
      <w:r w:rsidR="00DB0B3E">
        <w:t xml:space="preserve"> </w:t>
      </w:r>
      <w:r w:rsidR="00804D19">
        <w:t>e</w:t>
      </w:r>
      <w:r w:rsidR="00DB0B3E">
        <w:t xml:space="preserve">n </w:t>
      </w:r>
      <w:r w:rsidR="00804D19">
        <w:t xml:space="preserve">el </w:t>
      </w:r>
      <w:r w:rsidR="00DB0B3E">
        <w:t xml:space="preserve">SAIB no existe </w:t>
      </w:r>
      <w:r w:rsidR="00804D19">
        <w:t xml:space="preserve">el escenario de </w:t>
      </w:r>
      <w:r w:rsidR="000730C5">
        <w:t>módem</w:t>
      </w:r>
      <w:r w:rsidR="00DB0B3E">
        <w:t xml:space="preserve"> existente.</w:t>
      </w:r>
    </w:p>
    <w:p w14:paraId="56928A53" w14:textId="5C2FDAAC" w:rsidR="00EB0DB2" w:rsidRPr="002D79A9" w:rsidRDefault="00F6563D" w:rsidP="00126AD3">
      <w:pPr>
        <w:pStyle w:val="IFTnormal"/>
      </w:pPr>
      <w:r>
        <w:t xml:space="preserve">Respecto a la condicionante de pronósticos, este Instituto considera procedente </w:t>
      </w:r>
      <w:r w:rsidR="001246C7">
        <w:t xml:space="preserve">analizar dicha condición observando que no afecte la competencia y que se respeten las condicione mínimas establecidas en la Oferta </w:t>
      </w:r>
      <w:r w:rsidR="00852504">
        <w:t>de Referencia V</w:t>
      </w:r>
      <w:r w:rsidR="001246C7">
        <w:t>igente.</w:t>
      </w:r>
      <w:r w:rsidR="00126AD3">
        <w:t xml:space="preserve"> </w:t>
      </w:r>
    </w:p>
    <w:p w14:paraId="15D9369E" w14:textId="26858678" w:rsidR="00105E3B" w:rsidRPr="00AB1BB3" w:rsidRDefault="00126AD3" w:rsidP="00AB1BB3">
      <w:pPr>
        <w:pStyle w:val="IFTnormal"/>
        <w:rPr>
          <w:color w:val="auto"/>
        </w:rPr>
      </w:pPr>
      <w:r>
        <w:rPr>
          <w:color w:val="auto"/>
        </w:rPr>
        <w:t>En relación a la entrega de aparato telefónico, l</w:t>
      </w:r>
      <w:r w:rsidR="00EB0DB2" w:rsidRPr="002D79A9">
        <w:rPr>
          <w:color w:val="auto"/>
        </w:rPr>
        <w:t>a logística y alcance de la provisión de los equipos por parte del AEP</w:t>
      </w:r>
      <w:r w:rsidR="004A1EAD">
        <w:rPr>
          <w:color w:val="auto"/>
        </w:rPr>
        <w:t xml:space="preserve">, este Instituto considera que en principio la Oferta de Referencia debe ser lo más eficiente </w:t>
      </w:r>
      <w:r w:rsidR="00EB0DB2" w:rsidRPr="002D79A9">
        <w:rPr>
          <w:color w:val="auto"/>
        </w:rPr>
        <w:t xml:space="preserve">para asegurar una equivalencia en trato como si fuera </w:t>
      </w:r>
      <w:r w:rsidR="004A1EAD">
        <w:rPr>
          <w:color w:val="auto"/>
        </w:rPr>
        <w:t>la</w:t>
      </w:r>
      <w:r w:rsidR="00EB0DB2" w:rsidRPr="002D79A9">
        <w:rPr>
          <w:color w:val="auto"/>
        </w:rPr>
        <w:t xml:space="preserve"> propia operación</w:t>
      </w:r>
      <w:r w:rsidR="004A1EAD">
        <w:rPr>
          <w:color w:val="auto"/>
        </w:rPr>
        <w:t xml:space="preserve"> del AEP</w:t>
      </w:r>
      <w:r w:rsidR="00EB0DB2" w:rsidRPr="002D79A9">
        <w:rPr>
          <w:color w:val="auto"/>
        </w:rPr>
        <w:t xml:space="preserve">, por lo que se </w:t>
      </w:r>
      <w:r w:rsidR="00CF70F0" w:rsidRPr="002D79A9">
        <w:rPr>
          <w:color w:val="auto"/>
        </w:rPr>
        <w:t>analizará</w:t>
      </w:r>
      <w:r w:rsidR="00EB0DB2" w:rsidRPr="002D79A9">
        <w:rPr>
          <w:color w:val="auto"/>
        </w:rPr>
        <w:t xml:space="preserve">n las diversas condiciones </w:t>
      </w:r>
      <w:r w:rsidR="005020B3" w:rsidRPr="002D79A9">
        <w:rPr>
          <w:color w:val="auto"/>
        </w:rPr>
        <w:t>que abarquen todos los aspectos, incluyendo cuestiones de soporte</w:t>
      </w:r>
      <w:r w:rsidR="00622563" w:rsidRPr="002D79A9">
        <w:rPr>
          <w:color w:val="auto"/>
        </w:rPr>
        <w:t xml:space="preserve"> y de mantenimiento de los dispositivos</w:t>
      </w:r>
      <w:r w:rsidR="005020B3" w:rsidRPr="002D79A9">
        <w:rPr>
          <w:color w:val="auto"/>
        </w:rPr>
        <w:t xml:space="preserve">, </w:t>
      </w:r>
      <w:r w:rsidR="00EB0DB2" w:rsidRPr="002D79A9">
        <w:rPr>
          <w:color w:val="auto"/>
        </w:rPr>
        <w:t>que deben integrarse a la Oferta</w:t>
      </w:r>
      <w:r w:rsidR="00445E02">
        <w:rPr>
          <w:color w:val="auto"/>
        </w:rPr>
        <w:t xml:space="preserve"> de Refe</w:t>
      </w:r>
      <w:r w:rsidR="004A1EAD">
        <w:rPr>
          <w:color w:val="auto"/>
        </w:rPr>
        <w:t>rencia</w:t>
      </w:r>
      <w:r w:rsidR="00EB0DB2" w:rsidRPr="002D79A9">
        <w:rPr>
          <w:color w:val="auto"/>
        </w:rPr>
        <w:t xml:space="preserve"> </w:t>
      </w:r>
      <w:r w:rsidR="005020B3" w:rsidRPr="002D79A9">
        <w:rPr>
          <w:color w:val="auto"/>
        </w:rPr>
        <w:t>para lograr este objetivo.</w:t>
      </w:r>
    </w:p>
    <w:p w14:paraId="577A5C2C" w14:textId="0BDA4877" w:rsidR="004135EF" w:rsidRPr="00AB1BB3" w:rsidRDefault="00033F2C" w:rsidP="00A55769">
      <w:pPr>
        <w:pStyle w:val="IFTnormal"/>
        <w:rPr>
          <w:color w:val="auto"/>
        </w:rPr>
      </w:pPr>
      <w:r w:rsidRPr="002D79A9">
        <w:rPr>
          <w:color w:val="auto"/>
        </w:rPr>
        <w:t>Asimismo, el Instituto considera procedente analizar lo pertinente al número mínimo de dispositivos que el CS debe adquirir, lo anterior con la finalidad de evitar posibles condiciones que puedan inhibir la competencia, así como la correcta y eficiente prestación de los servicios.</w:t>
      </w:r>
    </w:p>
    <w:p w14:paraId="73883254" w14:textId="249E6168" w:rsidR="00FE02A8" w:rsidRDefault="00190DD5" w:rsidP="00EE6A8A">
      <w:pPr>
        <w:pStyle w:val="1TitPrin"/>
      </w:pPr>
      <w:r>
        <w:t>PROCEDIMIENTOS DE CONTRATACIÓN, MODIFICACIÓN Y BAJA DE LOS SERVICIOS DE REVENTA</w:t>
      </w:r>
    </w:p>
    <w:p w14:paraId="349B94D3" w14:textId="1B5C17A3" w:rsidR="00DB0C70" w:rsidRDefault="00D644CF" w:rsidP="00AB1BB3">
      <w:pPr>
        <w:pStyle w:val="IFTnormal"/>
        <w:tabs>
          <w:tab w:val="left" w:pos="2130"/>
        </w:tabs>
      </w:pPr>
      <w:r>
        <w:lastRenderedPageBreak/>
        <w:t xml:space="preserve">Los </w:t>
      </w:r>
      <w:r w:rsidR="003969B2">
        <w:t xml:space="preserve">participantes de la </w:t>
      </w:r>
      <w:r w:rsidR="00E36C7B">
        <w:t>Consulta Pública</w:t>
      </w:r>
      <w:r w:rsidR="003969B2">
        <w:t xml:space="preserve"> opinaron </w:t>
      </w:r>
      <w:r w:rsidR="00DB0C70">
        <w:t xml:space="preserve">respecto al procedimiento de la verificación de la voluntad del suscriptor que este es engorroso y costoso. Aclararon que para llevarlo a cabo deben incurrir en gastos para poder obtener la firma autógrafa </w:t>
      </w:r>
      <w:r w:rsidR="00176439">
        <w:t xml:space="preserve">en </w:t>
      </w:r>
      <w:r w:rsidR="00176439" w:rsidRPr="00176439">
        <w:t>el formato físico de verificación de la voluntad del suscriptor</w:t>
      </w:r>
      <w:r w:rsidR="00DB0C70">
        <w:t>.</w:t>
      </w:r>
    </w:p>
    <w:p w14:paraId="37038462" w14:textId="1C595FAC" w:rsidR="00176439" w:rsidRDefault="00176439" w:rsidP="00AB1BB3">
      <w:pPr>
        <w:pStyle w:val="IFTnormal"/>
        <w:tabs>
          <w:tab w:val="left" w:pos="2130"/>
        </w:tabs>
      </w:pPr>
      <w:r>
        <w:t>También opinaron que se debería considerar la penalización</w:t>
      </w:r>
      <w:r w:rsidRPr="00176439">
        <w:t xml:space="preserve"> sobre el AEP bajo un potencial escenario donde este haga movilizar las cuadrillas del CS y el proceso culmine en una visita en falso.</w:t>
      </w:r>
      <w:r>
        <w:t xml:space="preserve"> Adicionalmente indicaron que se debe mantener la obligación al AEP de que debe contactar al CS antes y después de iniciado el proceso de habilitación.</w:t>
      </w:r>
    </w:p>
    <w:p w14:paraId="05CBB6A7" w14:textId="692DEDCB" w:rsidR="001C638E" w:rsidRDefault="004D16AE" w:rsidP="007A1A53">
      <w:pPr>
        <w:pStyle w:val="IFTnormal"/>
        <w:tabs>
          <w:tab w:val="left" w:pos="2130"/>
        </w:tabs>
      </w:pPr>
      <w:r>
        <w:t xml:space="preserve">Los participantes también solicitaron que se debe establecer </w:t>
      </w:r>
      <w:r w:rsidRPr="004D16AE">
        <w:t xml:space="preserve">un mecanismo de control para que el AEP cumpla con </w:t>
      </w:r>
      <w:r>
        <w:t xml:space="preserve">el </w:t>
      </w:r>
      <w:r w:rsidRPr="004D16AE">
        <w:t>horario para que el técnico del AEP acuda al domicilio del usuario a realizar la instalación del servicio.</w:t>
      </w:r>
      <w:r w:rsidR="004C0B95" w:rsidRPr="004C0B95">
        <w:t xml:space="preserve"> </w:t>
      </w:r>
      <w:r w:rsidR="004C0B95">
        <w:t>También solicitaron que se incluyera un apartado que determine que no se contabilicen las reprogramaciones de las visitas cau</w:t>
      </w:r>
      <w:r w:rsidR="004426DD">
        <w:t>sadas por el AEP dentro de las tres</w:t>
      </w:r>
      <w:r w:rsidR="004C0B95">
        <w:t xml:space="preserve"> oportunidades que especifica la </w:t>
      </w:r>
      <w:r w:rsidR="00393502">
        <w:t>Propuesta</w:t>
      </w:r>
      <w:r w:rsidR="004C0B95">
        <w:t xml:space="preserve">. </w:t>
      </w:r>
      <w:r w:rsidR="004426DD">
        <w:t>E</w:t>
      </w:r>
      <w:r w:rsidR="004C0B95">
        <w:t xml:space="preserve">stas reprogramaciones atribuibles al AEP deberán ser consideradas para los indicadores de calidad en la provisión de los servicios y, potencialmente, penalizadas para no afectar la relación comercial del CS con el </w:t>
      </w:r>
      <w:r w:rsidR="004426DD">
        <w:t>usuario</w:t>
      </w:r>
      <w:r w:rsidR="004C0B95">
        <w:t xml:space="preserve">. </w:t>
      </w:r>
    </w:p>
    <w:p w14:paraId="52B668DA" w14:textId="28C4D7DF" w:rsidR="007A1A53" w:rsidRDefault="001C638E" w:rsidP="007A1A53">
      <w:pPr>
        <w:pStyle w:val="IFTnormal"/>
        <w:tabs>
          <w:tab w:val="left" w:pos="2130"/>
        </w:tabs>
      </w:pPr>
      <w:r>
        <w:t xml:space="preserve">Adicionalmente, </w:t>
      </w:r>
      <w:r w:rsidR="007A1A53">
        <w:t xml:space="preserve">solicitaron que se reincorpore </w:t>
      </w:r>
      <w:r w:rsidR="007A1A53" w:rsidRPr="00245692">
        <w:t xml:space="preserve">la posibilidad de </w:t>
      </w:r>
      <w:r w:rsidR="007A1A53">
        <w:t>realizar la agenda de citas</w:t>
      </w:r>
      <w:r w:rsidR="007A1A53" w:rsidRPr="00245692">
        <w:t xml:space="preserve"> para el cambio de velocidad.</w:t>
      </w:r>
      <w:r w:rsidR="007A1A53" w:rsidRPr="006E206C">
        <w:t xml:space="preserve"> </w:t>
      </w:r>
      <w:r w:rsidR="007A1A53">
        <w:t>Así mismo, que se mantengan las citas con horarios establecidos y se incluyan dentro de la Oferta</w:t>
      </w:r>
      <w:r>
        <w:t xml:space="preserve"> de Referencia</w:t>
      </w:r>
      <w:r w:rsidR="007A1A53">
        <w:t xml:space="preserve"> y sus Anexos indicadores de gestión, calidad y penalizaciones cuando el equipo técnico del AEP no se presente dentro del tiempo de tolerancia de 30 minutos y que las citas se realicen en horarios establecidos. </w:t>
      </w:r>
    </w:p>
    <w:p w14:paraId="151906A9" w14:textId="3CB9EC30" w:rsidR="008F637A" w:rsidRDefault="00C36384" w:rsidP="008F637A">
      <w:pPr>
        <w:pStyle w:val="IFTnormal"/>
        <w:tabs>
          <w:tab w:val="left" w:pos="2130"/>
        </w:tabs>
      </w:pPr>
      <w:r>
        <w:t xml:space="preserve">Por otro lado, los participantes </w:t>
      </w:r>
      <w:r w:rsidR="00C52E09">
        <w:t>también</w:t>
      </w:r>
      <w:r w:rsidR="00462CC4">
        <w:t xml:space="preserve"> solicitaron</w:t>
      </w:r>
      <w:r w:rsidR="00C52E09">
        <w:t xml:space="preserve"> </w:t>
      </w:r>
      <w:r w:rsidR="004D16AE">
        <w:t>la eliminación de los métodos de contacto alterno al SEG. Aclararon que l</w:t>
      </w:r>
      <w:r w:rsidR="004D16AE" w:rsidRPr="004D16AE">
        <w:t xml:space="preserve">a utilización de métodos alternos es ineficiente y afecta el </w:t>
      </w:r>
      <w:r w:rsidR="00104841">
        <w:t>correcto flujo de la operación.</w:t>
      </w:r>
      <w:r w:rsidR="000A0C88">
        <w:t xml:space="preserve"> Puntualizaron que</w:t>
      </w:r>
      <w:r w:rsidR="00462CC4">
        <w:t xml:space="preserve"> los procesos de reprogramación deben ser tramitados y registrados en el SEG para garantizar un trato igualitario, transparente y no discriminatorio con los CS. </w:t>
      </w:r>
      <w:r w:rsidR="000A0C88">
        <w:t>Sin embargo, indicaron la salvedad de que e</w:t>
      </w:r>
      <w:r w:rsidR="00462CC4">
        <w:t xml:space="preserve">n caso de falla </w:t>
      </w:r>
      <w:r w:rsidR="000A0C88">
        <w:t xml:space="preserve">del SEG </w:t>
      </w:r>
      <w:r w:rsidR="00462CC4">
        <w:t>se podrán utilizar canales alternos para luego ser ingresados en el sistema y mantener un control de los servicios.</w:t>
      </w:r>
      <w:r w:rsidR="00483449">
        <w:t xml:space="preserve"> Adicionalmente sugirieron la inclusión de la cancelación de solicitudes a través del SEG, ya que </w:t>
      </w:r>
      <w:r w:rsidR="000A0C88">
        <w:t xml:space="preserve">las cancelaciones </w:t>
      </w:r>
      <w:r w:rsidR="00483449">
        <w:t>solo está</w:t>
      </w:r>
      <w:r w:rsidR="000A0C88">
        <w:t>n permitidas</w:t>
      </w:r>
      <w:r w:rsidR="00483449">
        <w:t xml:space="preserve"> vía telefónica.</w:t>
      </w:r>
      <w:r w:rsidR="008F637A">
        <w:t xml:space="preserve"> Sobre este mismo tema de cancelaciones, los participantes de la Consulta Pública indicaron que l</w:t>
      </w:r>
      <w:r w:rsidR="008F637A" w:rsidRPr="001D7F96">
        <w:rPr>
          <w:lang w:val="es-CO"/>
        </w:rPr>
        <w:t xml:space="preserve">a cancelación </w:t>
      </w:r>
      <w:r w:rsidR="008F637A">
        <w:rPr>
          <w:lang w:val="es-CO"/>
        </w:rPr>
        <w:t>de solicitudes con</w:t>
      </w:r>
      <w:r w:rsidR="008F637A" w:rsidRPr="001D7F96">
        <w:rPr>
          <w:lang w:val="es-CO"/>
        </w:rPr>
        <w:t xml:space="preserve"> folio</w:t>
      </w:r>
      <w:r w:rsidR="008F637A">
        <w:rPr>
          <w:lang w:val="es-CO"/>
        </w:rPr>
        <w:t xml:space="preserve"> solo</w:t>
      </w:r>
      <w:r w:rsidR="008F637A" w:rsidRPr="001D7F96">
        <w:rPr>
          <w:lang w:val="es-CO"/>
        </w:rPr>
        <w:t xml:space="preserve"> debe ser realizada </w:t>
      </w:r>
      <w:r w:rsidR="008F637A">
        <w:rPr>
          <w:lang w:val="es-CO"/>
        </w:rPr>
        <w:t xml:space="preserve">por </w:t>
      </w:r>
      <w:r w:rsidR="008F637A" w:rsidRPr="001D7F96">
        <w:rPr>
          <w:lang w:val="es-CO"/>
        </w:rPr>
        <w:t>el CS que solicitó el servicio</w:t>
      </w:r>
      <w:r w:rsidR="008F637A">
        <w:rPr>
          <w:lang w:val="es-CO"/>
        </w:rPr>
        <w:t xml:space="preserve">, aclararon que el AEP </w:t>
      </w:r>
      <w:r w:rsidR="008F637A" w:rsidRPr="00667220">
        <w:rPr>
          <w:lang w:val="es-CO"/>
        </w:rPr>
        <w:t xml:space="preserve">no </w:t>
      </w:r>
      <w:r w:rsidR="008F637A">
        <w:rPr>
          <w:lang w:val="es-CO"/>
        </w:rPr>
        <w:t>debe tenar</w:t>
      </w:r>
      <w:r w:rsidR="008F637A" w:rsidRPr="00667220">
        <w:rPr>
          <w:lang w:val="es-CO"/>
        </w:rPr>
        <w:t xml:space="preserve"> la potestad de cancelar f</w:t>
      </w:r>
      <w:r w:rsidR="008F637A">
        <w:rPr>
          <w:lang w:val="es-CO"/>
        </w:rPr>
        <w:t>olios por causas atribuibles a é</w:t>
      </w:r>
      <w:r w:rsidR="008F637A" w:rsidRPr="00667220">
        <w:rPr>
          <w:lang w:val="es-CO"/>
        </w:rPr>
        <w:t>l mismo.</w:t>
      </w:r>
    </w:p>
    <w:p w14:paraId="761D05E5" w14:textId="5A0E93E1" w:rsidR="00547AFB" w:rsidRDefault="00547AFB" w:rsidP="00C720EE">
      <w:pPr>
        <w:pStyle w:val="IFTnormal"/>
        <w:tabs>
          <w:tab w:val="left" w:pos="2130"/>
        </w:tabs>
      </w:pPr>
      <w:r>
        <w:lastRenderedPageBreak/>
        <w:t>Los participantes también comentaron respecto a la i</w:t>
      </w:r>
      <w:r w:rsidRPr="00547AFB">
        <w:t>nformación en las solicitudes de servicio y verificación de los perfiles solicitados</w:t>
      </w:r>
      <w:r>
        <w:t>, que l</w:t>
      </w:r>
      <w:r w:rsidRPr="00547AFB">
        <w:t>as bases de datos del AEP deben</w:t>
      </w:r>
      <w:r w:rsidR="005E35E6">
        <w:t xml:space="preserve"> reflejar siempre la realidad, </w:t>
      </w:r>
      <w:r w:rsidRPr="00547AFB">
        <w:t>estar actualizadas</w:t>
      </w:r>
      <w:r w:rsidR="005E35E6">
        <w:t xml:space="preserve"> y</w:t>
      </w:r>
      <w:r w:rsidRPr="00547AFB">
        <w:t xml:space="preserve"> ser coherentes unas con otras</w:t>
      </w:r>
      <w:r>
        <w:t>.</w:t>
      </w:r>
      <w:r w:rsidR="00FC3E4D">
        <w:t xml:space="preserve"> Por lo anterior</w:t>
      </w:r>
      <w:r w:rsidR="005E35E6">
        <w:t>,</w:t>
      </w:r>
      <w:r w:rsidR="00FC3E4D">
        <w:t xml:space="preserve"> solicitaron </w:t>
      </w:r>
      <w:r w:rsidR="000A0C88">
        <w:t>que</w:t>
      </w:r>
      <w:r w:rsidR="00FC3E4D">
        <w:t xml:space="preserve"> </w:t>
      </w:r>
      <w:r w:rsidR="00FC3E4D" w:rsidRPr="00FC3E4D">
        <w:t>en caso de que el perfil solicitado no sea factible, el CS pueda decidir utilizar la velocidad disponible para esa solicitud sin tener que volver a comenzar el proceso. Asimismo, solicit</w:t>
      </w:r>
      <w:r w:rsidR="00FC3E4D">
        <w:t>aron</w:t>
      </w:r>
      <w:r w:rsidR="00FC3E4D" w:rsidRPr="00FC3E4D">
        <w:t xml:space="preserve"> que todos los perfiles ofrecidos por el AEP de forma individual o en paquetes estén registrados de forma individual para que puedan ser contratados.</w:t>
      </w:r>
    </w:p>
    <w:p w14:paraId="13DC8F4F" w14:textId="6779983E" w:rsidR="004C0B95" w:rsidRDefault="0020697A" w:rsidP="004C0B95">
      <w:pPr>
        <w:pStyle w:val="IFTnormal"/>
        <w:tabs>
          <w:tab w:val="left" w:pos="2130"/>
        </w:tabs>
      </w:pPr>
      <w:r>
        <w:t>Por último, los participantes indicaron respecto</w:t>
      </w:r>
      <w:r w:rsidR="005A102F">
        <w:t xml:space="preserve"> al procedimiento de suspensión y r</w:t>
      </w:r>
      <w:r w:rsidR="00C26840" w:rsidRPr="00C26840">
        <w:t xml:space="preserve">eactivación </w:t>
      </w:r>
      <w:r w:rsidR="005A102F" w:rsidRPr="005A102F">
        <w:rPr>
          <w:lang w:val="es-CO"/>
        </w:rPr>
        <w:t>que este tipo de procedimientos tengan penas convencionales</w:t>
      </w:r>
      <w:r w:rsidR="005A102F">
        <w:rPr>
          <w:lang w:val="es-CO"/>
        </w:rPr>
        <w:t xml:space="preserve"> asociadas al desempeño del AEP.</w:t>
      </w:r>
      <w:r w:rsidR="008639EA">
        <w:rPr>
          <w:lang w:val="es-CO"/>
        </w:rPr>
        <w:t xml:space="preserve"> También s</w:t>
      </w:r>
      <w:r w:rsidR="008639EA" w:rsidRPr="008639EA">
        <w:rPr>
          <w:lang w:val="es-CO"/>
        </w:rPr>
        <w:t>olicita</w:t>
      </w:r>
      <w:r w:rsidR="008639EA">
        <w:rPr>
          <w:lang w:val="es-CO"/>
        </w:rPr>
        <w:t>ron</w:t>
      </w:r>
      <w:r w:rsidR="008639EA" w:rsidRPr="008639EA">
        <w:rPr>
          <w:lang w:val="es-CO"/>
        </w:rPr>
        <w:t xml:space="preserve"> que se elimine cualquier referencia al esquema de rentas mensuales completas</w:t>
      </w:r>
    </w:p>
    <w:p w14:paraId="0722FC77" w14:textId="7667A9D5" w:rsidR="004E541B" w:rsidRDefault="004E541B" w:rsidP="004E541B">
      <w:pPr>
        <w:pStyle w:val="IFTnormal"/>
        <w:tabs>
          <w:tab w:val="left" w:pos="2130"/>
        </w:tabs>
      </w:pPr>
      <w:r>
        <w:t xml:space="preserve">El </w:t>
      </w:r>
      <w:r w:rsidR="006A0ADA">
        <w:t xml:space="preserve">Instituto </w:t>
      </w:r>
      <w:r>
        <w:t>reconoce que la Oferta</w:t>
      </w:r>
      <w:r w:rsidR="00BC69A5">
        <w:t xml:space="preserve"> de Re</w:t>
      </w:r>
      <w:r w:rsidR="001F0AE6">
        <w:t>ferencia</w:t>
      </w:r>
      <w:r>
        <w:t xml:space="preserve"> debe asegurar la correcta y eficiente contratación de los servicios, por lo que</w:t>
      </w:r>
      <w:r w:rsidRPr="004E541B">
        <w:t xml:space="preserve"> </w:t>
      </w:r>
      <w:r>
        <w:t xml:space="preserve">lo referente al procedimiento de la verificación de la voluntad del suscriptor para la contratación de los servicios debe seguir dicho principio. </w:t>
      </w:r>
      <w:r w:rsidR="00A01EFC">
        <w:t>Partiendo de las manifestaciones de los participantes de la Consulta Pública</w:t>
      </w:r>
      <w:r>
        <w:t xml:space="preserve"> </w:t>
      </w:r>
      <w:r w:rsidR="00A01EFC">
        <w:t>este</w:t>
      </w:r>
      <w:r>
        <w:t xml:space="preserve"> Instituto considera procedente analizar el procedimiento de la verificación de la voluntad del suscriptor </w:t>
      </w:r>
      <w:r w:rsidR="003F624C">
        <w:t xml:space="preserve">para buscar nuevas alternativas que ayuden a </w:t>
      </w:r>
      <w:r w:rsidR="00BC44BF">
        <w:t>su eficiencia</w:t>
      </w:r>
      <w:r>
        <w:t xml:space="preserve"> y cumpla su cometido.</w:t>
      </w:r>
    </w:p>
    <w:p w14:paraId="4DA387ED" w14:textId="04AB7924" w:rsidR="00386C7E" w:rsidRDefault="00A97976" w:rsidP="004E541B">
      <w:pPr>
        <w:pStyle w:val="IFTnormal"/>
        <w:tabs>
          <w:tab w:val="left" w:pos="2130"/>
        </w:tabs>
      </w:pPr>
      <w:r>
        <w:t xml:space="preserve">Respecto a los comentarios de la solicitud de </w:t>
      </w:r>
      <w:r w:rsidR="007E6679" w:rsidRPr="004D16AE">
        <w:t>mecanismo de control</w:t>
      </w:r>
      <w:r w:rsidR="007E6679">
        <w:t xml:space="preserve"> </w:t>
      </w:r>
      <w:r w:rsidR="007E6679" w:rsidRPr="004D16AE">
        <w:t xml:space="preserve">para que el AEP cumpla con </w:t>
      </w:r>
      <w:r w:rsidR="007E6679">
        <w:t xml:space="preserve">los </w:t>
      </w:r>
      <w:r w:rsidR="007E6679" w:rsidRPr="004D16AE">
        <w:t>horario</w:t>
      </w:r>
      <w:r w:rsidR="007E6679">
        <w:t>s</w:t>
      </w:r>
      <w:r>
        <w:t>,</w:t>
      </w:r>
      <w:r w:rsidR="007E6679">
        <w:t xml:space="preserve"> este Instituto encuentra conveniente analizar mejoras para el cumplimiento, </w:t>
      </w:r>
      <w:r>
        <w:t>sin dejar de lado que dicho análisis se realizará</w:t>
      </w:r>
      <w:r w:rsidR="007E6679">
        <w:t xml:space="preserve"> considerando </w:t>
      </w:r>
      <w:r>
        <w:t>la</w:t>
      </w:r>
      <w:r w:rsidR="001F0AE6">
        <w:t>s propias operaciones</w:t>
      </w:r>
      <w:r>
        <w:t xml:space="preserve"> del AEP. Del mismo modo se analizará la</w:t>
      </w:r>
      <w:r w:rsidR="007A1A53">
        <w:t xml:space="preserve"> referente a las citas buscando la mayor eficiencia y claridad de las partes (AEP y CS).</w:t>
      </w:r>
    </w:p>
    <w:p w14:paraId="60F3D521" w14:textId="5524A963" w:rsidR="003555B8" w:rsidRDefault="005E35E6" w:rsidP="004E541B">
      <w:pPr>
        <w:pStyle w:val="IFTnormal"/>
        <w:tabs>
          <w:tab w:val="left" w:pos="2130"/>
        </w:tabs>
      </w:pPr>
      <w:r>
        <w:t>Referente</w:t>
      </w:r>
      <w:r w:rsidR="003555B8">
        <w:t xml:space="preserve"> a las solicitudes de los participantes del Consulta Pública relacionados con el SEG, </w:t>
      </w:r>
      <w:r w:rsidR="003555B8" w:rsidRPr="00C3081F">
        <w:rPr>
          <w:color w:val="auto"/>
        </w:rPr>
        <w:t xml:space="preserve">el Instituto revisará los procedimientos </w:t>
      </w:r>
      <w:r w:rsidR="003555B8">
        <w:rPr>
          <w:color w:val="auto"/>
        </w:rPr>
        <w:t xml:space="preserve">y alcances de este </w:t>
      </w:r>
      <w:r w:rsidR="003555B8" w:rsidRPr="00C3081F">
        <w:rPr>
          <w:color w:val="auto"/>
        </w:rPr>
        <w:t>considerando el objetivo de evitar a los CS retrasos, incumplimientos, reprogramaciones, visitas fallidas encareciendo el servicio y afectación de la calidad</w:t>
      </w:r>
      <w:r w:rsidR="003555B8">
        <w:rPr>
          <w:color w:val="auto"/>
        </w:rPr>
        <w:t xml:space="preserve"> de los servicios</w:t>
      </w:r>
      <w:r w:rsidR="003555B8" w:rsidRPr="00C3081F">
        <w:rPr>
          <w:color w:val="auto"/>
        </w:rPr>
        <w:t>.</w:t>
      </w:r>
    </w:p>
    <w:p w14:paraId="0CE1D108" w14:textId="257928A6" w:rsidR="005E35E6" w:rsidRDefault="005E35E6" w:rsidP="004E541B">
      <w:pPr>
        <w:pStyle w:val="IFTnormal"/>
        <w:tabs>
          <w:tab w:val="left" w:pos="2130"/>
        </w:tabs>
        <w:rPr>
          <w:color w:val="auto"/>
        </w:rPr>
      </w:pPr>
      <w:r>
        <w:rPr>
          <w:color w:val="auto"/>
        </w:rPr>
        <w:t xml:space="preserve">Por otra parte, de la información proporcionada por el AEP en las bases de datos para la contratación de los servicios, </w:t>
      </w:r>
      <w:r w:rsidRPr="005E35E6">
        <w:rPr>
          <w:color w:val="auto"/>
        </w:rPr>
        <w:t xml:space="preserve">a consideración de este Instituto el CS </w:t>
      </w:r>
      <w:r>
        <w:rPr>
          <w:color w:val="auto"/>
        </w:rPr>
        <w:t>debe contar</w:t>
      </w:r>
      <w:r w:rsidRPr="005E35E6">
        <w:rPr>
          <w:color w:val="auto"/>
        </w:rPr>
        <w:t xml:space="preserve"> con los elementos necesario para conocer la disponibilidad de los elementos de red de</w:t>
      </w:r>
      <w:r>
        <w:rPr>
          <w:color w:val="auto"/>
        </w:rPr>
        <w:t>l</w:t>
      </w:r>
      <w:r w:rsidRPr="005E35E6">
        <w:rPr>
          <w:color w:val="auto"/>
        </w:rPr>
        <w:t xml:space="preserve"> </w:t>
      </w:r>
      <w:r>
        <w:rPr>
          <w:color w:val="auto"/>
        </w:rPr>
        <w:t>AEP</w:t>
      </w:r>
      <w:r w:rsidRPr="005E35E6">
        <w:rPr>
          <w:color w:val="auto"/>
        </w:rPr>
        <w:t xml:space="preserve"> para la contratación de los servicios de desagregación</w:t>
      </w:r>
      <w:r>
        <w:rPr>
          <w:color w:val="auto"/>
        </w:rPr>
        <w:t>, tomando como base por lo menos las mismas condiciones que el AEP utiliza para su propia operaci</w:t>
      </w:r>
      <w:r w:rsidR="002B4592">
        <w:rPr>
          <w:color w:val="auto"/>
        </w:rPr>
        <w:t xml:space="preserve">ón incluido la forma en que ofrece sus servicios, ya sea en paquete o </w:t>
      </w:r>
      <w:r w:rsidR="002A777D">
        <w:rPr>
          <w:color w:val="auto"/>
        </w:rPr>
        <w:t xml:space="preserve">en servicios </w:t>
      </w:r>
      <w:r w:rsidR="002B4592">
        <w:rPr>
          <w:color w:val="auto"/>
        </w:rPr>
        <w:t>individuales.</w:t>
      </w:r>
      <w:r w:rsidR="00147471">
        <w:rPr>
          <w:color w:val="auto"/>
        </w:rPr>
        <w:t xml:space="preserve"> Por lo anterior este Instituto ve conveniente analizar la eficiencia de la información proporcionada por el AEP en las bases de datos.</w:t>
      </w:r>
      <w:r>
        <w:rPr>
          <w:color w:val="auto"/>
        </w:rPr>
        <w:t xml:space="preserve"> </w:t>
      </w:r>
    </w:p>
    <w:p w14:paraId="730D8175" w14:textId="002BD28B" w:rsidR="00386C7E" w:rsidRDefault="00DA039E" w:rsidP="004E541B">
      <w:pPr>
        <w:pStyle w:val="IFTnormal"/>
        <w:tabs>
          <w:tab w:val="left" w:pos="2130"/>
        </w:tabs>
        <w:rPr>
          <w:color w:val="auto"/>
        </w:rPr>
      </w:pPr>
      <w:r>
        <w:rPr>
          <w:color w:val="auto"/>
        </w:rPr>
        <w:lastRenderedPageBreak/>
        <w:t>Respecto</w:t>
      </w:r>
      <w:r w:rsidR="00C6646C">
        <w:rPr>
          <w:color w:val="auto"/>
        </w:rPr>
        <w:t xml:space="preserve"> a </w:t>
      </w:r>
      <w:r w:rsidR="00C6646C">
        <w:t>procedimiento de suspensión, r</w:t>
      </w:r>
      <w:r w:rsidR="00C6646C" w:rsidRPr="00C26840">
        <w:t>eactivación</w:t>
      </w:r>
      <w:r w:rsidR="00C6646C">
        <w:t xml:space="preserve"> y el cobro de rentas mensuales, </w:t>
      </w:r>
      <w:r w:rsidR="00386C7E" w:rsidRPr="00C3081F">
        <w:rPr>
          <w:color w:val="auto"/>
        </w:rPr>
        <w:t xml:space="preserve">el Instituto revisará los procedimientos considerando los comentarios enviados con el objetivo de evitar a los CS retrasos, incumplimientos, reprogramaciones, visitas fallidas </w:t>
      </w:r>
      <w:r w:rsidR="003966D7">
        <w:rPr>
          <w:color w:val="auto"/>
        </w:rPr>
        <w:t>que encarezcan</w:t>
      </w:r>
      <w:r w:rsidR="00386C7E" w:rsidRPr="00C3081F">
        <w:rPr>
          <w:color w:val="auto"/>
        </w:rPr>
        <w:t xml:space="preserve"> el servicio y </w:t>
      </w:r>
      <w:r w:rsidR="003966D7">
        <w:rPr>
          <w:color w:val="auto"/>
        </w:rPr>
        <w:t>afecten</w:t>
      </w:r>
      <w:r w:rsidR="00386C7E" w:rsidRPr="00C3081F">
        <w:rPr>
          <w:color w:val="auto"/>
        </w:rPr>
        <w:t xml:space="preserve"> la calidad</w:t>
      </w:r>
      <w:r w:rsidR="003966D7">
        <w:rPr>
          <w:color w:val="auto"/>
        </w:rPr>
        <w:t xml:space="preserve"> del servicio</w:t>
      </w:r>
      <w:r w:rsidR="00C6646C">
        <w:rPr>
          <w:color w:val="auto"/>
        </w:rPr>
        <w:t>.</w:t>
      </w:r>
    </w:p>
    <w:p w14:paraId="6929DC82" w14:textId="5D942671" w:rsidR="00DA039E" w:rsidRDefault="00DA039E" w:rsidP="004E541B">
      <w:pPr>
        <w:pStyle w:val="IFTnormal"/>
        <w:tabs>
          <w:tab w:val="left" w:pos="2130"/>
        </w:tabs>
        <w:rPr>
          <w:color w:val="auto"/>
        </w:rPr>
      </w:pPr>
      <w:r>
        <w:t>Finalmente, debido a que los procedimientos son transversales</w:t>
      </w:r>
      <w:r w:rsidRPr="00745344">
        <w:t xml:space="preserve"> </w:t>
      </w:r>
      <w:r>
        <w:t xml:space="preserve">a todos los servicios </w:t>
      </w:r>
      <w:r w:rsidR="003B7593">
        <w:t>de desagregación de la Oferta</w:t>
      </w:r>
      <w:r w:rsidR="004E0F96">
        <w:t xml:space="preserve"> de Referencia</w:t>
      </w:r>
      <w:r>
        <w:t xml:space="preserve">, es decir, tienen </w:t>
      </w:r>
      <w:r w:rsidR="004E0F96">
        <w:t xml:space="preserve">generalmente </w:t>
      </w:r>
      <w:r>
        <w:t>la misma estructura exceptuando algunas particularidades,</w:t>
      </w:r>
      <w:r w:rsidR="002A777D">
        <w:t xml:space="preserve"> el Instituto </w:t>
      </w:r>
      <w:r>
        <w:t>realizar</w:t>
      </w:r>
      <w:r w:rsidR="003B7593">
        <w:t>á</w:t>
      </w:r>
      <w:r>
        <w:t xml:space="preserve"> un único análisis y discusión acerca de los cambios aplicables y que serán replicables a los demás procedimientos de los distintos servicios que conforman la Oferta</w:t>
      </w:r>
      <w:r w:rsidR="004E0F96">
        <w:t xml:space="preserve"> de Referencia</w:t>
      </w:r>
      <w:r>
        <w:t>.</w:t>
      </w:r>
    </w:p>
    <w:p w14:paraId="64743BC4" w14:textId="2708722E" w:rsidR="00A35D69" w:rsidRPr="00C3081F" w:rsidRDefault="00A35D69" w:rsidP="00A55769">
      <w:pPr>
        <w:pStyle w:val="IFTnormal"/>
        <w:rPr>
          <w:color w:val="auto"/>
        </w:rPr>
      </w:pPr>
    </w:p>
    <w:p w14:paraId="2AE69D13" w14:textId="005E8F22" w:rsidR="00FE02A8" w:rsidRDefault="00190DD5" w:rsidP="00EE6A8A">
      <w:pPr>
        <w:pStyle w:val="1TitPrin"/>
      </w:pPr>
      <w:r w:rsidRPr="002D79A9">
        <w:t>PARÁMETROS E INDICADORES DE CALIDAD PARA LOS SERVICIOS DE REVENTA</w:t>
      </w:r>
    </w:p>
    <w:p w14:paraId="77CEDE76" w14:textId="4AEB9917" w:rsidR="000F6836" w:rsidRDefault="00CD631D">
      <w:pPr>
        <w:pStyle w:val="IFTnormal"/>
        <w:rPr>
          <w:lang w:val="es-CO"/>
        </w:rPr>
      </w:pPr>
      <w:r w:rsidRPr="002D79A9">
        <w:rPr>
          <w:color w:val="auto"/>
        </w:rPr>
        <w:t xml:space="preserve">Los participantes de la </w:t>
      </w:r>
      <w:r w:rsidR="00E36C7B" w:rsidRPr="002D79A9">
        <w:rPr>
          <w:color w:val="auto"/>
        </w:rPr>
        <w:t>Consulta Pública</w:t>
      </w:r>
      <w:r w:rsidRPr="002D79A9">
        <w:rPr>
          <w:color w:val="auto"/>
        </w:rPr>
        <w:t xml:space="preserve"> </w:t>
      </w:r>
      <w:r w:rsidR="000F6836">
        <w:rPr>
          <w:color w:val="auto"/>
        </w:rPr>
        <w:t>indicaron que se debe</w:t>
      </w:r>
      <w:r w:rsidR="00884B73" w:rsidRPr="002D79A9">
        <w:rPr>
          <w:color w:val="auto"/>
        </w:rPr>
        <w:t xml:space="preserve"> </w:t>
      </w:r>
      <w:r w:rsidR="000F6836">
        <w:rPr>
          <w:lang w:val="es-CO"/>
        </w:rPr>
        <w:t>considerar</w:t>
      </w:r>
      <w:r w:rsidR="000F6836" w:rsidRPr="001D7F96">
        <w:rPr>
          <w:lang w:val="es-CO"/>
        </w:rPr>
        <w:t xml:space="preserve"> que los parámetros e indicadores de calidad deben aplicarse de forma igual</w:t>
      </w:r>
      <w:r w:rsidR="000F6836" w:rsidRPr="000F6836">
        <w:rPr>
          <w:lang w:val="es-CO"/>
        </w:rPr>
        <w:t xml:space="preserve"> o mejores para los CS que los propios que experimenta el AEP para tareas análogas.</w:t>
      </w:r>
      <w:r w:rsidR="000F6836" w:rsidRPr="001D7F96">
        <w:rPr>
          <w:lang w:val="es-CO"/>
        </w:rPr>
        <w:t xml:space="preserve"> </w:t>
      </w:r>
      <w:r w:rsidR="000F6836">
        <w:rPr>
          <w:lang w:val="es-CO"/>
        </w:rPr>
        <w:t>Así mismo</w:t>
      </w:r>
      <w:r w:rsidR="008F33A8">
        <w:rPr>
          <w:lang w:val="es-CO"/>
        </w:rPr>
        <w:t>,</w:t>
      </w:r>
      <w:r w:rsidR="000F6836">
        <w:rPr>
          <w:lang w:val="es-CO"/>
        </w:rPr>
        <w:t xml:space="preserve"> indicaron que </w:t>
      </w:r>
      <w:r w:rsidR="000F6836" w:rsidRPr="001D7F96">
        <w:rPr>
          <w:lang w:val="es-CO"/>
        </w:rPr>
        <w:t xml:space="preserve">se debe incluir en la </w:t>
      </w:r>
      <w:r w:rsidR="000F6836">
        <w:rPr>
          <w:lang w:val="es-CO"/>
        </w:rPr>
        <w:t>Oferta</w:t>
      </w:r>
      <w:r w:rsidR="000F6836" w:rsidRPr="001D7F96">
        <w:rPr>
          <w:lang w:val="es-CO"/>
        </w:rPr>
        <w:t xml:space="preserve"> </w:t>
      </w:r>
      <w:r w:rsidR="008F33A8">
        <w:rPr>
          <w:lang w:val="es-CO"/>
        </w:rPr>
        <w:t xml:space="preserve">de Referencia </w:t>
      </w:r>
      <w:r w:rsidR="000F6836" w:rsidRPr="001D7F96">
        <w:rPr>
          <w:lang w:val="es-CO"/>
        </w:rPr>
        <w:t>que las penalizaciones asociadas a incumplimientos en los parámetros e indicadores de calidad para los servicios de reventa deben ser efectivas a partir del primer día de retraso.</w:t>
      </w:r>
    </w:p>
    <w:p w14:paraId="71A59922" w14:textId="2F9E08FF" w:rsidR="00DE777D" w:rsidRDefault="000F6836" w:rsidP="00BF702C">
      <w:pPr>
        <w:pStyle w:val="IFTnormal"/>
        <w:rPr>
          <w:color w:val="auto"/>
        </w:rPr>
      </w:pPr>
      <w:r>
        <w:rPr>
          <w:lang w:val="es-CO"/>
        </w:rPr>
        <w:t xml:space="preserve">Por otro lado, los participantes de la Consulta Pública solicitaron que se </w:t>
      </w:r>
      <w:r w:rsidRPr="000F6836">
        <w:rPr>
          <w:lang w:val="es-CO"/>
        </w:rPr>
        <w:t>establezcan tiempos</w:t>
      </w:r>
      <w:r>
        <w:rPr>
          <w:lang w:val="es-CO"/>
        </w:rPr>
        <w:t xml:space="preserve"> máximos para levantar la falla, así como restablecer los parámetros de reparación de fallas de la Oferta </w:t>
      </w:r>
      <w:r w:rsidR="008F33A8">
        <w:rPr>
          <w:lang w:val="es-CO"/>
        </w:rPr>
        <w:t>de Referencia V</w:t>
      </w:r>
      <w:r>
        <w:rPr>
          <w:lang w:val="es-CO"/>
        </w:rPr>
        <w:t>igente.</w:t>
      </w:r>
    </w:p>
    <w:p w14:paraId="5EF55EDF" w14:textId="44D4690C" w:rsidR="00A35D69" w:rsidRDefault="00CD00AA" w:rsidP="00BF702C">
      <w:pPr>
        <w:pStyle w:val="IFTnormal"/>
        <w:rPr>
          <w:color w:val="auto"/>
        </w:rPr>
      </w:pPr>
      <w:r w:rsidRPr="002D79A9">
        <w:rPr>
          <w:color w:val="auto"/>
        </w:rPr>
        <w:t xml:space="preserve">Al respecto, el Instituto considera que </w:t>
      </w:r>
      <w:r w:rsidR="00213236">
        <w:rPr>
          <w:color w:val="auto"/>
        </w:rPr>
        <w:t xml:space="preserve">los </w:t>
      </w:r>
      <w:r w:rsidR="00940802" w:rsidRPr="001D7F96">
        <w:rPr>
          <w:lang w:val="es-CO"/>
        </w:rPr>
        <w:t xml:space="preserve">parámetros e indicadores de calidad </w:t>
      </w:r>
      <w:r w:rsidRPr="002D79A9">
        <w:rPr>
          <w:color w:val="auto"/>
        </w:rPr>
        <w:t xml:space="preserve">deben ser suficientes para asegurar una equivalencia </w:t>
      </w:r>
      <w:r w:rsidR="00C63D98" w:rsidRPr="002D79A9">
        <w:rPr>
          <w:color w:val="auto"/>
        </w:rPr>
        <w:t>a los que utilice el AEP en su operación, con la finalidad de asegurar el correcto funcionamiento del servicio</w:t>
      </w:r>
      <w:r w:rsidR="00C63D98">
        <w:rPr>
          <w:color w:val="auto"/>
        </w:rPr>
        <w:t xml:space="preserve">, </w:t>
      </w:r>
      <w:r w:rsidR="00C63D98" w:rsidRPr="002D79A9">
        <w:rPr>
          <w:color w:val="auto"/>
        </w:rPr>
        <w:t>por lo cual el In</w:t>
      </w:r>
      <w:r w:rsidR="008542E1" w:rsidRPr="002D79A9">
        <w:rPr>
          <w:color w:val="auto"/>
        </w:rPr>
        <w:t>stituto analizará su</w:t>
      </w:r>
      <w:r w:rsidR="00C63D98" w:rsidRPr="002D79A9">
        <w:rPr>
          <w:color w:val="auto"/>
        </w:rPr>
        <w:t xml:space="preserve"> modificación o reincorporación a la Oferta de Referencia.</w:t>
      </w:r>
    </w:p>
    <w:p w14:paraId="2D32F48F" w14:textId="3D4A91F6" w:rsidR="00FE02A8" w:rsidRDefault="00190DD5" w:rsidP="00EE6A8A">
      <w:pPr>
        <w:pStyle w:val="1TitPrin"/>
      </w:pPr>
      <w:r w:rsidRPr="002D79A9">
        <w:t>PROPUESTA DE MEJORA DE PARÁMETROS DE CALIDAD</w:t>
      </w:r>
    </w:p>
    <w:p w14:paraId="5739BF1B" w14:textId="198C3060" w:rsidR="001B7938" w:rsidRDefault="003158C9" w:rsidP="00AB1BB3">
      <w:pPr>
        <w:pStyle w:val="IFTnormal"/>
      </w:pPr>
      <w:r w:rsidRPr="002D79A9">
        <w:t xml:space="preserve">Como resultado de la </w:t>
      </w:r>
      <w:r w:rsidR="00E36C7B" w:rsidRPr="002D79A9">
        <w:t>Consulta Pública</w:t>
      </w:r>
      <w:r w:rsidRPr="002D79A9">
        <w:t xml:space="preserve"> realizada, los participantes</w:t>
      </w:r>
      <w:r w:rsidR="001B7938">
        <w:t xml:space="preserve"> indicaron </w:t>
      </w:r>
      <w:r w:rsidR="001B7938" w:rsidRPr="001B7938">
        <w:t>que las topologías de conexión por fibra óptica no deberían limitarse a GPON</w:t>
      </w:r>
      <w:r w:rsidR="001B7938">
        <w:t xml:space="preserve"> y s</w:t>
      </w:r>
      <w:r w:rsidR="001B7938" w:rsidRPr="001B7938">
        <w:t xml:space="preserve">e debería incluir las topologías </w:t>
      </w:r>
      <w:r w:rsidR="001B7938">
        <w:t>punto a punto (</w:t>
      </w:r>
      <w:r w:rsidR="001B7938" w:rsidRPr="001B7938">
        <w:t>P2P</w:t>
      </w:r>
      <w:r w:rsidR="001B7938">
        <w:t>)</w:t>
      </w:r>
      <w:r w:rsidR="001B7938" w:rsidRPr="001B7938">
        <w:t>, las cuales sí se pueden desagregar físicamente.</w:t>
      </w:r>
      <w:r w:rsidR="00C16CD1">
        <w:t xml:space="preserve"> Adicionalmente </w:t>
      </w:r>
      <w:r w:rsidR="00C16CD1">
        <w:rPr>
          <w:lang w:val="es-CO"/>
        </w:rPr>
        <w:t>solicitaron</w:t>
      </w:r>
      <w:r w:rsidR="00C16CD1" w:rsidRPr="001D7F96">
        <w:rPr>
          <w:lang w:val="es-CO"/>
        </w:rPr>
        <w:t xml:space="preserve"> que se vuelvan a incluir los parámetros de puesta en operación, como figuran en la </w:t>
      </w:r>
      <w:r w:rsidR="00C16CD1">
        <w:rPr>
          <w:lang w:val="es-CO"/>
        </w:rPr>
        <w:t xml:space="preserve">Oferta </w:t>
      </w:r>
      <w:r w:rsidR="00A264C3">
        <w:rPr>
          <w:lang w:val="es-CO"/>
        </w:rPr>
        <w:t>de Referencia V</w:t>
      </w:r>
      <w:r w:rsidR="00C16CD1">
        <w:rPr>
          <w:lang w:val="es-CO"/>
        </w:rPr>
        <w:t>igente.</w:t>
      </w:r>
    </w:p>
    <w:p w14:paraId="20F9B138" w14:textId="496AC499" w:rsidR="00F71233" w:rsidRDefault="000A7B6F" w:rsidP="00AB1BB3">
      <w:pPr>
        <w:pStyle w:val="IFTnormal"/>
        <w:rPr>
          <w:color w:val="auto"/>
        </w:rPr>
      </w:pPr>
      <w:r w:rsidRPr="002D79A9">
        <w:rPr>
          <w:color w:val="auto"/>
        </w:rPr>
        <w:lastRenderedPageBreak/>
        <w:t>En opinión del Instituto, las propuestas present</w:t>
      </w:r>
      <w:r w:rsidR="009D5C85" w:rsidRPr="002D79A9">
        <w:rPr>
          <w:color w:val="auto"/>
        </w:rPr>
        <w:t>adas conllevan beneficios</w:t>
      </w:r>
      <w:r w:rsidRPr="002D79A9">
        <w:rPr>
          <w:color w:val="auto"/>
        </w:rPr>
        <w:t xml:space="preserve"> para la mejora de la Oferta de Referencia, por ta</w:t>
      </w:r>
      <w:r w:rsidR="009D5C85" w:rsidRPr="002D79A9">
        <w:rPr>
          <w:color w:val="auto"/>
        </w:rPr>
        <w:t>nto</w:t>
      </w:r>
      <w:r w:rsidR="009841E8" w:rsidRPr="002D79A9">
        <w:rPr>
          <w:color w:val="auto"/>
        </w:rPr>
        <w:t>,</w:t>
      </w:r>
      <w:r w:rsidR="009D5C85" w:rsidRPr="002D79A9">
        <w:rPr>
          <w:color w:val="auto"/>
        </w:rPr>
        <w:t xml:space="preserve"> el Instituto analizará </w:t>
      </w:r>
      <w:r w:rsidR="00F71233">
        <w:rPr>
          <w:color w:val="auto"/>
        </w:rPr>
        <w:t xml:space="preserve">la reintegración de la desagregación física del bucle de fibra en su topología punto a punto. </w:t>
      </w:r>
    </w:p>
    <w:p w14:paraId="736028AE" w14:textId="222F0F3A" w:rsidR="009D5C85" w:rsidRPr="009D5C85" w:rsidRDefault="00F71233" w:rsidP="00AB1BB3">
      <w:pPr>
        <w:pStyle w:val="IFTnormal"/>
        <w:rPr>
          <w:color w:val="auto"/>
        </w:rPr>
      </w:pPr>
      <w:r>
        <w:rPr>
          <w:color w:val="auto"/>
        </w:rPr>
        <w:t>Por otro lado, es de recordar por este Instituto que conforme a las Medidas de Desagregación l</w:t>
      </w:r>
      <w:r w:rsidRPr="00F71233">
        <w:rPr>
          <w:color w:val="auto"/>
        </w:rPr>
        <w:t xml:space="preserve">a propuesta que presente el </w:t>
      </w:r>
      <w:r>
        <w:rPr>
          <w:color w:val="auto"/>
        </w:rPr>
        <w:t>AEP</w:t>
      </w:r>
      <w:r w:rsidRPr="00F71233">
        <w:rPr>
          <w:color w:val="auto"/>
        </w:rPr>
        <w:t xml:space="preserve"> deberá reflejar, al menos, condiciones equivalentes a las de la Oferta </w:t>
      </w:r>
      <w:r w:rsidR="007503F1">
        <w:rPr>
          <w:color w:val="auto"/>
        </w:rPr>
        <w:t>de Referencia V</w:t>
      </w:r>
      <w:r>
        <w:rPr>
          <w:color w:val="auto"/>
        </w:rPr>
        <w:t>igente, por lo tanto</w:t>
      </w:r>
      <w:r w:rsidR="007503F1">
        <w:rPr>
          <w:color w:val="auto"/>
        </w:rPr>
        <w:t>, el Instituto analizará que la P</w:t>
      </w:r>
      <w:r>
        <w:rPr>
          <w:color w:val="auto"/>
        </w:rPr>
        <w:t xml:space="preserve">ropuesta contemple cuando menos los </w:t>
      </w:r>
      <w:r w:rsidR="007503F1">
        <w:rPr>
          <w:color w:val="auto"/>
        </w:rPr>
        <w:t>parámetros</w:t>
      </w:r>
      <w:r w:rsidR="00B64C91">
        <w:rPr>
          <w:color w:val="auto"/>
        </w:rPr>
        <w:t xml:space="preserve"> calidad</w:t>
      </w:r>
      <w:r w:rsidR="007503F1">
        <w:rPr>
          <w:color w:val="auto"/>
        </w:rPr>
        <w:t xml:space="preserve"> establecidos en la vigente</w:t>
      </w:r>
      <w:r w:rsidR="00B64C91">
        <w:rPr>
          <w:color w:val="auto"/>
        </w:rPr>
        <w:t>.</w:t>
      </w:r>
      <w:r>
        <w:rPr>
          <w:color w:val="auto"/>
        </w:rPr>
        <w:t xml:space="preserve"> </w:t>
      </w:r>
    </w:p>
    <w:p w14:paraId="73D3AD9F" w14:textId="276E5522" w:rsidR="00FE02A8" w:rsidRDefault="00190DD5" w:rsidP="00EE6A8A">
      <w:pPr>
        <w:pStyle w:val="1TitPrin"/>
      </w:pPr>
      <w:r>
        <w:t>PROCEDIMIENTO PARA LA REALIZACIÓN DE PRUEBAS DE ENTREGA DE LOS SERVICIOS DE REVENTA</w:t>
      </w:r>
    </w:p>
    <w:p w14:paraId="2EC36638" w14:textId="1712F184" w:rsidR="00AC7C64" w:rsidRDefault="005D7176" w:rsidP="00AC7C64">
      <w:pPr>
        <w:pStyle w:val="IFTnormal"/>
      </w:pPr>
      <w:r>
        <w:t xml:space="preserve">Los participantes de la </w:t>
      </w:r>
      <w:r w:rsidR="00E36C7B">
        <w:t>Consulta Pública</w:t>
      </w:r>
      <w:r>
        <w:t xml:space="preserve"> señalan que el AEP </w:t>
      </w:r>
      <w:r w:rsidR="00A35D69" w:rsidRPr="00AB1BB3">
        <w:t>ha eliminado</w:t>
      </w:r>
      <w:r w:rsidR="00CB73F8">
        <w:t>, con respecto a la Oferta de Referencia Vigente,</w:t>
      </w:r>
      <w:r>
        <w:t xml:space="preserve"> </w:t>
      </w:r>
      <w:r w:rsidR="00A35D69" w:rsidRPr="00AB1BB3">
        <w:t>parte del texto relativo a la metodología para la realización de pruebas de entr</w:t>
      </w:r>
      <w:r w:rsidR="00AC7C64">
        <w:t>ega de los servicios</w:t>
      </w:r>
      <w:r w:rsidR="002F44F4">
        <w:t>.</w:t>
      </w:r>
    </w:p>
    <w:p w14:paraId="07C261A8" w14:textId="6A380B0B" w:rsidR="00A35D69" w:rsidRDefault="00AC7C64" w:rsidP="00AC7C64">
      <w:pPr>
        <w:pStyle w:val="IFTnormal"/>
        <w:rPr>
          <w:color w:val="auto"/>
        </w:rPr>
      </w:pPr>
      <w:r w:rsidRPr="00E36C7B">
        <w:rPr>
          <w:color w:val="auto"/>
        </w:rPr>
        <w:t>El Instituto considera</w:t>
      </w:r>
      <w:r w:rsidR="00E36C7B" w:rsidRPr="00E36C7B">
        <w:rPr>
          <w:color w:val="auto"/>
        </w:rPr>
        <w:t xml:space="preserve"> que </w:t>
      </w:r>
      <w:r w:rsidR="002038CD">
        <w:rPr>
          <w:color w:val="auto"/>
        </w:rPr>
        <w:t>es</w:t>
      </w:r>
      <w:r w:rsidR="00A35D69" w:rsidRPr="00E36C7B">
        <w:rPr>
          <w:color w:val="auto"/>
        </w:rPr>
        <w:t xml:space="preserve"> razonable la propuesta de los </w:t>
      </w:r>
      <w:r w:rsidRPr="00E36C7B">
        <w:rPr>
          <w:color w:val="auto"/>
        </w:rPr>
        <w:t>participantes</w:t>
      </w:r>
      <w:r w:rsidR="00A35D69" w:rsidRPr="00E36C7B">
        <w:rPr>
          <w:color w:val="auto"/>
        </w:rPr>
        <w:t xml:space="preserve"> por lo que </w:t>
      </w:r>
      <w:r w:rsidR="002038CD">
        <w:rPr>
          <w:color w:val="auto"/>
        </w:rPr>
        <w:t>analizarán y valorarán las secciones modificadas concernientes a la</w:t>
      </w:r>
      <w:r w:rsidR="002C2F77">
        <w:rPr>
          <w:color w:val="auto"/>
        </w:rPr>
        <w:t>s</w:t>
      </w:r>
      <w:r w:rsidR="002038CD">
        <w:rPr>
          <w:color w:val="auto"/>
        </w:rPr>
        <w:t xml:space="preserve"> pruebas de entrega</w:t>
      </w:r>
      <w:r w:rsidR="00F21E15">
        <w:rPr>
          <w:color w:val="auto"/>
        </w:rPr>
        <w:t xml:space="preserve"> en este servicio y en los que se presentará una situación similar</w:t>
      </w:r>
      <w:r w:rsidR="00E36C7B" w:rsidRPr="00E36C7B">
        <w:rPr>
          <w:color w:val="auto"/>
        </w:rPr>
        <w:t>.</w:t>
      </w:r>
      <w:r w:rsidR="003A138E" w:rsidRPr="003A138E">
        <w:t xml:space="preserve"> </w:t>
      </w:r>
    </w:p>
    <w:p w14:paraId="66802DBC" w14:textId="1CA2E5D5" w:rsidR="00AB4095" w:rsidRDefault="00190DD5" w:rsidP="00174617">
      <w:pPr>
        <w:pStyle w:val="1TitPrin"/>
      </w:pPr>
      <w:r>
        <w:t>SERVICIO DE REVENTA MAYORISTA D</w:t>
      </w:r>
      <w:r w:rsidRPr="00AB4095">
        <w:t>E LÍNEA TELEFÓNICA (SRMLT)</w:t>
      </w:r>
    </w:p>
    <w:p w14:paraId="65918138" w14:textId="7BBB05CE" w:rsidR="00AB4095" w:rsidRDefault="006506D1" w:rsidP="00AC7C64">
      <w:pPr>
        <w:pStyle w:val="IFTnormal"/>
        <w:rPr>
          <w:color w:val="auto"/>
        </w:rPr>
      </w:pPr>
      <w:r>
        <w:rPr>
          <w:lang w:val="es-CO"/>
        </w:rPr>
        <w:t xml:space="preserve">Los participantes de la Consulta Pública </w:t>
      </w:r>
      <w:r w:rsidRPr="001D7F96">
        <w:rPr>
          <w:lang w:val="es-CO"/>
        </w:rPr>
        <w:t>solicita</w:t>
      </w:r>
      <w:r>
        <w:rPr>
          <w:lang w:val="es-CO"/>
        </w:rPr>
        <w:t>ron</w:t>
      </w:r>
      <w:r w:rsidRPr="001D7F96">
        <w:rPr>
          <w:lang w:val="es-CO"/>
        </w:rPr>
        <w:t xml:space="preserve"> que </w:t>
      </w:r>
      <w:r w:rsidR="003A138E">
        <w:rPr>
          <w:lang w:val="es-CO"/>
        </w:rPr>
        <w:t>se pueda prestar el SRMLT</w:t>
      </w:r>
      <w:r w:rsidRPr="001D7F96">
        <w:rPr>
          <w:lang w:val="es-CO"/>
        </w:rPr>
        <w:t xml:space="preserve"> cuando un usuario tenga conectividad tanto a través de cobre como de fibra óptica</w:t>
      </w:r>
      <w:r w:rsidR="003A138E">
        <w:rPr>
          <w:lang w:val="es-CO"/>
        </w:rPr>
        <w:t xml:space="preserve"> (SAIB)</w:t>
      </w:r>
      <w:r w:rsidRPr="001D7F96">
        <w:rPr>
          <w:lang w:val="es-CO"/>
        </w:rPr>
        <w:t>.</w:t>
      </w:r>
      <w:r w:rsidR="003A138E">
        <w:rPr>
          <w:lang w:val="es-CO"/>
        </w:rPr>
        <w:t xml:space="preserve"> </w:t>
      </w:r>
      <w:r w:rsidR="003A138E">
        <w:t xml:space="preserve">Así mismo sugirieron que se </w:t>
      </w:r>
      <w:r w:rsidR="003A138E">
        <w:rPr>
          <w:color w:val="auto"/>
        </w:rPr>
        <w:t>incluyera</w:t>
      </w:r>
      <w:r w:rsidR="003A138E" w:rsidRPr="003A138E">
        <w:rPr>
          <w:color w:val="auto"/>
        </w:rPr>
        <w:t xml:space="preserve"> la posibilidad de </w:t>
      </w:r>
      <w:r w:rsidR="006067AC">
        <w:rPr>
          <w:color w:val="auto"/>
        </w:rPr>
        <w:t xml:space="preserve">vincular servicios tipo </w:t>
      </w:r>
      <w:proofErr w:type="spellStart"/>
      <w:r w:rsidR="006067AC">
        <w:rPr>
          <w:color w:val="auto"/>
        </w:rPr>
        <w:t>c</w:t>
      </w:r>
      <w:r w:rsidR="003A138E">
        <w:rPr>
          <w:color w:val="auto"/>
        </w:rPr>
        <w:t>entrex</w:t>
      </w:r>
      <w:proofErr w:type="spellEnd"/>
      <w:r w:rsidR="003A138E">
        <w:rPr>
          <w:color w:val="auto"/>
        </w:rPr>
        <w:t>.</w:t>
      </w:r>
    </w:p>
    <w:p w14:paraId="37FBA5E8" w14:textId="4E686986" w:rsidR="00A35D69" w:rsidRPr="0043775A" w:rsidRDefault="00FC0EA1" w:rsidP="00DE1638">
      <w:pPr>
        <w:pStyle w:val="IFTnormal"/>
      </w:pPr>
      <w:r>
        <w:rPr>
          <w:color w:val="auto"/>
        </w:rPr>
        <w:t xml:space="preserve">El Instituto considera que el SRMLT debe contener por lo menos las condiciones y alcance </w:t>
      </w:r>
      <w:r w:rsidR="0080760F">
        <w:rPr>
          <w:color w:val="auto"/>
        </w:rPr>
        <w:t>establecidos en el acuerdo P/IFT/081117683</w:t>
      </w:r>
      <w:r w:rsidR="0080760F" w:rsidRPr="00190E9F">
        <w:rPr>
          <w:color w:val="auto"/>
        </w:rPr>
        <w:t xml:space="preserve"> </w:t>
      </w:r>
      <w:r w:rsidR="0080760F">
        <w:rPr>
          <w:color w:val="auto"/>
        </w:rPr>
        <w:t xml:space="preserve">con el que se </w:t>
      </w:r>
      <w:r w:rsidR="0080760F" w:rsidRPr="00190E9F">
        <w:rPr>
          <w:color w:val="auto"/>
        </w:rPr>
        <w:t xml:space="preserve">aprobó la </w:t>
      </w:r>
      <w:r w:rsidR="0080760F" w:rsidRPr="00190E9F">
        <w:rPr>
          <w:i/>
          <w:color w:val="auto"/>
        </w:rPr>
        <w:t>“</w:t>
      </w:r>
      <w:r w:rsidR="0080760F">
        <w:rPr>
          <w:i/>
          <w:color w:val="auto"/>
        </w:rPr>
        <w:t>RESOLUCIÓN MEDIANTE LA CUAL EL PLENO DEL INSTITUTO FEDERAL DE TELECOMUNICACIONES FORMALIZA Y RESUELVE EN DEFINITIVA EL SERVICIO DE REVENTA MAYORISTA DE LÍNEA TELEFÓNICA DE LA OFERTA DE REFERENCIA DE LA DESAGREGACIÓN EFECTIVA DE LA RED LOCAL DEL AGENTE ECONÓMICO PREPONDERANTE</w:t>
      </w:r>
      <w:r w:rsidR="0080760F">
        <w:t>”</w:t>
      </w:r>
      <w:r>
        <w:rPr>
          <w:color w:val="auto"/>
        </w:rPr>
        <w:t xml:space="preserve">, por lo que el Instituto analizará </w:t>
      </w:r>
      <w:r w:rsidR="00391A73">
        <w:rPr>
          <w:color w:val="auto"/>
        </w:rPr>
        <w:t>que dicho</w:t>
      </w:r>
      <w:r w:rsidR="00751574">
        <w:rPr>
          <w:color w:val="auto"/>
        </w:rPr>
        <w:t xml:space="preserve"> servicio</w:t>
      </w:r>
      <w:r w:rsidR="00391A73">
        <w:rPr>
          <w:color w:val="auto"/>
        </w:rPr>
        <w:t xml:space="preserve"> cumpla cuando menos con lo establecido</w:t>
      </w:r>
      <w:r w:rsidR="00D20940">
        <w:rPr>
          <w:color w:val="auto"/>
        </w:rPr>
        <w:t xml:space="preserve"> </w:t>
      </w:r>
      <w:r w:rsidR="00A45840">
        <w:rPr>
          <w:color w:val="auto"/>
        </w:rPr>
        <w:t>en dicha resolución</w:t>
      </w:r>
      <w:r w:rsidR="00391A73">
        <w:rPr>
          <w:color w:val="auto"/>
        </w:rPr>
        <w:t>.</w:t>
      </w:r>
      <w:r w:rsidR="0080760F">
        <w:rPr>
          <w:color w:val="auto"/>
        </w:rPr>
        <w:t xml:space="preserve"> </w:t>
      </w:r>
    </w:p>
    <w:p w14:paraId="10AA8B89" w14:textId="11705DEF" w:rsidR="009E5B94" w:rsidRDefault="000E7693" w:rsidP="00EE6A8A">
      <w:pPr>
        <w:pStyle w:val="1TitPrin"/>
      </w:pPr>
      <w:r>
        <w:t>SERVICIO DE ACCESO INDIRECTO AL BUCLE</w:t>
      </w:r>
    </w:p>
    <w:p w14:paraId="26A5B8ED" w14:textId="4B8D72C9" w:rsidR="008462A1" w:rsidRDefault="00666AE2" w:rsidP="00104075">
      <w:pPr>
        <w:pStyle w:val="IFTnormal"/>
      </w:pPr>
      <w:r w:rsidRPr="008A5A8E">
        <w:t xml:space="preserve">Como resultado de la </w:t>
      </w:r>
      <w:r w:rsidR="00E36C7B" w:rsidRPr="008A5A8E">
        <w:t>Consulta Pública</w:t>
      </w:r>
      <w:r w:rsidRPr="008A5A8E">
        <w:t xml:space="preserve">, el Instituto recibió comentarios en el sentido de </w:t>
      </w:r>
      <w:r w:rsidR="00DC7CB9" w:rsidRPr="008A5A8E">
        <w:t xml:space="preserve">que </w:t>
      </w:r>
      <w:r w:rsidR="009A21DA" w:rsidRPr="008A5A8E">
        <w:t>lo</w:t>
      </w:r>
      <w:r w:rsidR="00A32873" w:rsidRPr="008A5A8E">
        <w:t xml:space="preserve">s servicios de </w:t>
      </w:r>
      <w:r w:rsidR="00104075">
        <w:t>SAIB</w:t>
      </w:r>
      <w:r w:rsidR="00A32873" w:rsidRPr="008A5A8E">
        <w:t xml:space="preserve"> y </w:t>
      </w:r>
      <w:r w:rsidR="00104075">
        <w:t>Servicio de Concentración y distribución (</w:t>
      </w:r>
      <w:r w:rsidR="005C6C19">
        <w:t>en lo sucesivo, “</w:t>
      </w:r>
      <w:proofErr w:type="spellStart"/>
      <w:r w:rsidR="00A32873" w:rsidRPr="008A5A8E">
        <w:t>SCyD</w:t>
      </w:r>
      <w:proofErr w:type="spellEnd"/>
      <w:r w:rsidR="005C6C19">
        <w:t>”</w:t>
      </w:r>
      <w:r w:rsidR="00104075">
        <w:t xml:space="preserve">) </w:t>
      </w:r>
      <w:r w:rsidR="00104075" w:rsidRPr="00104075">
        <w:t>deberían ser tratados como un mismo servicio</w:t>
      </w:r>
      <w:r w:rsidR="00A32873" w:rsidRPr="008A5A8E">
        <w:t xml:space="preserve"> </w:t>
      </w:r>
      <w:r w:rsidR="00104075" w:rsidRPr="00104075">
        <w:t xml:space="preserve">por tanto </w:t>
      </w:r>
      <w:r w:rsidR="00104075">
        <w:t>deben ser vinculantes</w:t>
      </w:r>
      <w:r w:rsidR="00104075" w:rsidRPr="00104075">
        <w:t xml:space="preserve"> en cuanto al tratamiento de las solicitudes, provisión, plazos de provisión, calidad, indicadores de desempeño</w:t>
      </w:r>
      <w:r w:rsidR="00104075">
        <w:t>,</w:t>
      </w:r>
      <w:r w:rsidR="00104075" w:rsidRPr="00104075">
        <w:t xml:space="preserve"> </w:t>
      </w:r>
      <w:r w:rsidR="00104075">
        <w:t>etc.</w:t>
      </w:r>
      <w:r w:rsidR="00EC0A84" w:rsidRPr="008A5A8E">
        <w:t xml:space="preserve"> </w:t>
      </w:r>
      <w:r w:rsidR="009A21DA" w:rsidRPr="008A5A8E">
        <w:t xml:space="preserve">Además, los participantes </w:t>
      </w:r>
      <w:r w:rsidR="009A21DA" w:rsidRPr="008A5A8E">
        <w:lastRenderedPageBreak/>
        <w:t>solicitan que</w:t>
      </w:r>
      <w:r w:rsidR="00DC7CB9" w:rsidRPr="008A5A8E">
        <w:t xml:space="preserve"> se establezcan </w:t>
      </w:r>
      <w:r w:rsidR="00104075">
        <w:t>una mayor granularidad de</w:t>
      </w:r>
      <w:r w:rsidR="00DC7CB9" w:rsidRPr="008A5A8E">
        <w:t xml:space="preserve"> perfiles de velocidad </w:t>
      </w:r>
      <w:r w:rsidR="00F93D89">
        <w:t>de i</w:t>
      </w:r>
      <w:r w:rsidR="008C73D8" w:rsidRPr="008A5A8E">
        <w:t>nternet</w:t>
      </w:r>
      <w:r w:rsidR="00F93D89">
        <w:t>,</w:t>
      </w:r>
      <w:r w:rsidR="008C73D8" w:rsidRPr="008A5A8E">
        <w:t xml:space="preserve"> </w:t>
      </w:r>
      <w:r w:rsidR="00104075">
        <w:t xml:space="preserve">aunque no las </w:t>
      </w:r>
      <w:r w:rsidR="00DC7CB9" w:rsidRPr="008A5A8E">
        <w:t>comercia</w:t>
      </w:r>
      <w:r w:rsidR="00104075">
        <w:t>lice</w:t>
      </w:r>
      <w:r w:rsidR="00DC7CB9" w:rsidRPr="008A5A8E">
        <w:t xml:space="preserve"> el AEP para sus clientes finales</w:t>
      </w:r>
      <w:r w:rsidR="00324991">
        <w:t>.</w:t>
      </w:r>
      <w:r w:rsidR="002531FA">
        <w:t xml:space="preserve"> Así mismo, indicaron que el SAIB sobre tecnología de fibra óptica debería permitir </w:t>
      </w:r>
      <w:r w:rsidR="002531FA" w:rsidRPr="002531FA">
        <w:t xml:space="preserve">la introducción de nuevos servicios como </w:t>
      </w:r>
      <w:proofErr w:type="spellStart"/>
      <w:r w:rsidR="002531FA" w:rsidRPr="002531FA">
        <w:t>VoIP</w:t>
      </w:r>
      <w:proofErr w:type="spellEnd"/>
      <w:r w:rsidR="002531FA" w:rsidRPr="002531FA">
        <w:t>, IPTV, etc.</w:t>
      </w:r>
      <w:r w:rsidR="00F20F91">
        <w:t xml:space="preserve"> </w:t>
      </w:r>
      <w:r w:rsidR="00F20F91" w:rsidRPr="00F20F91">
        <w:t xml:space="preserve">Adicionalmente </w:t>
      </w:r>
      <w:r w:rsidR="00F20F91">
        <w:t>requirieron</w:t>
      </w:r>
      <w:r w:rsidR="00F20F91" w:rsidRPr="00F20F91">
        <w:t xml:space="preserve"> </w:t>
      </w:r>
      <w:r w:rsidR="00F20F91">
        <w:t>que debe</w:t>
      </w:r>
      <w:r w:rsidR="00F20F91" w:rsidRPr="00F20F91">
        <w:t xml:space="preserve"> ser ofrecido como servicio mayorista</w:t>
      </w:r>
      <w:r w:rsidR="00F20F91">
        <w:t>,</w:t>
      </w:r>
      <w:r w:rsidR="00F20F91" w:rsidRPr="00F20F91">
        <w:t xml:space="preserve"> con 3 o 6 meses de antelación</w:t>
      </w:r>
      <w:r w:rsidR="00F20F91">
        <w:t xml:space="preserve">, </w:t>
      </w:r>
      <w:r w:rsidR="00F20F91" w:rsidRPr="00F20F91">
        <w:t xml:space="preserve">cualquier nuevo servicio o introducción de tecnología </w:t>
      </w:r>
      <w:r w:rsidR="00F20F91">
        <w:t xml:space="preserve">por parte del AEP. </w:t>
      </w:r>
    </w:p>
    <w:p w14:paraId="37730315" w14:textId="2E372E0A" w:rsidR="007E6068" w:rsidRDefault="007E6068" w:rsidP="00104075">
      <w:pPr>
        <w:pStyle w:val="IFTnormal"/>
      </w:pPr>
      <w:r>
        <w:t>Por otro lado, los participantes indicaron que se debe considerar</w:t>
      </w:r>
      <w:r w:rsidRPr="007E6068">
        <w:t xml:space="preserve"> mediciones de calidad a los servicios SAIB ofrecidos con tecnología</w:t>
      </w:r>
      <w:r>
        <w:t xml:space="preserve"> GPON</w:t>
      </w:r>
      <w:r w:rsidRPr="007E6068">
        <w:t>.</w:t>
      </w:r>
      <w:r w:rsidR="00AF560B">
        <w:t xml:space="preserve"> Adicionalmente </w:t>
      </w:r>
      <w:r w:rsidR="009E05D2">
        <w:t xml:space="preserve">requirieron que se establezca un proceso de portabilidad </w:t>
      </w:r>
      <w:r w:rsidR="00C04B9B">
        <w:t xml:space="preserve">numérica </w:t>
      </w:r>
      <w:r w:rsidR="009E05D2">
        <w:t>cuando los usuario</w:t>
      </w:r>
      <w:r w:rsidR="00C04B9B">
        <w:t>s</w:t>
      </w:r>
      <w:r w:rsidR="009E05D2">
        <w:t xml:space="preserve"> del SAIB lo soliciten.</w:t>
      </w:r>
    </w:p>
    <w:p w14:paraId="5155ADB6" w14:textId="6C08355B" w:rsidR="00A8677C" w:rsidRPr="008A5A8E" w:rsidRDefault="00A8677C" w:rsidP="008A5A8E">
      <w:pPr>
        <w:pStyle w:val="IFTnormal"/>
      </w:pPr>
      <w:r w:rsidRPr="008A5A8E">
        <w:t>El Instituto considera que en cuanto a la</w:t>
      </w:r>
      <w:r w:rsidR="0051277D" w:rsidRPr="008A5A8E">
        <w:t xml:space="preserve"> integración del SAIB y el </w:t>
      </w:r>
      <w:proofErr w:type="spellStart"/>
      <w:r w:rsidR="0051277D" w:rsidRPr="008A5A8E">
        <w:t>SCyD</w:t>
      </w:r>
      <w:proofErr w:type="spellEnd"/>
      <w:r w:rsidR="0051277D" w:rsidRPr="008A5A8E">
        <w:t xml:space="preserve"> se deben realizar revisiones técnicas y comparativas de servicios </w:t>
      </w:r>
      <w:r w:rsidR="00BB61EB" w:rsidRPr="008A5A8E">
        <w:t xml:space="preserve">de entrega de tráfico </w:t>
      </w:r>
      <w:r w:rsidR="0051277D" w:rsidRPr="008A5A8E">
        <w:t xml:space="preserve">similares o relacionados </w:t>
      </w:r>
      <w:r w:rsidR="00BB61EB" w:rsidRPr="008A5A8E">
        <w:t>(L2WAP)</w:t>
      </w:r>
      <w:r w:rsidR="00BB61EB" w:rsidRPr="00F93D89">
        <w:rPr>
          <w:rStyle w:val="Refdenotaalpie"/>
          <w:sz w:val="16"/>
          <w:vertAlign w:val="baseline"/>
        </w:rPr>
        <w:footnoteReference w:id="5"/>
      </w:r>
      <w:r w:rsidR="0051277D" w:rsidRPr="008A5A8E">
        <w:t xml:space="preserve"> a nivel internacional a efectos de evaluar su viabilidad. Dicha</w:t>
      </w:r>
      <w:r w:rsidRPr="008A5A8E">
        <w:t xml:space="preserve"> propuesta podría </w:t>
      </w:r>
      <w:r w:rsidR="0051277D" w:rsidRPr="008A5A8E">
        <w:t>encontrarse</w:t>
      </w:r>
      <w:r w:rsidRPr="008A5A8E">
        <w:t xml:space="preserve"> factible </w:t>
      </w:r>
      <w:r w:rsidR="0051277D" w:rsidRPr="008A5A8E">
        <w:t>para</w:t>
      </w:r>
      <w:r w:rsidRPr="008A5A8E">
        <w:t xml:space="preserve"> </w:t>
      </w:r>
      <w:r w:rsidR="006619F5" w:rsidRPr="008A5A8E">
        <w:t>lograr</w:t>
      </w:r>
      <w:r w:rsidR="00A32873" w:rsidRPr="008A5A8E">
        <w:t xml:space="preserve"> ganancias en la eficiencia de la prestación del servicio por los efectos </w:t>
      </w:r>
      <w:r w:rsidR="006619F5" w:rsidRPr="008A5A8E">
        <w:t>de simplificación</w:t>
      </w:r>
      <w:r w:rsidR="00A32873" w:rsidRPr="008A5A8E">
        <w:t xml:space="preserve"> sobre los procedimientos</w:t>
      </w:r>
      <w:r w:rsidRPr="008A5A8E">
        <w:t xml:space="preserve">, </w:t>
      </w:r>
      <w:r w:rsidR="006619F5" w:rsidRPr="008A5A8E">
        <w:t xml:space="preserve">el </w:t>
      </w:r>
      <w:r w:rsidR="00A32873" w:rsidRPr="008A5A8E">
        <w:t xml:space="preserve">cumplimiento de </w:t>
      </w:r>
      <w:r w:rsidRPr="008A5A8E">
        <w:t>parámetros de ca</w:t>
      </w:r>
      <w:r w:rsidR="00A32873" w:rsidRPr="008A5A8E">
        <w:t xml:space="preserve">lidad y poder considerar un esquema </w:t>
      </w:r>
      <w:r w:rsidR="006619F5" w:rsidRPr="008A5A8E">
        <w:t>unificado</w:t>
      </w:r>
      <w:r w:rsidR="00A32873" w:rsidRPr="008A5A8E">
        <w:t xml:space="preserve"> del servicio.</w:t>
      </w:r>
      <w:r w:rsidR="00385F59" w:rsidRPr="008A5A8E">
        <w:t xml:space="preserve"> Respecto a los perfiles y velocidades que deba ofrecer el SAIB</w:t>
      </w:r>
      <w:r w:rsidR="00BB61EB" w:rsidRPr="008A5A8E">
        <w:t xml:space="preserve"> y </w:t>
      </w:r>
      <w:r w:rsidR="00385F59" w:rsidRPr="008A5A8E">
        <w:t xml:space="preserve">a efectos de asegurar la </w:t>
      </w:r>
      <w:r w:rsidR="00BB61EB" w:rsidRPr="008A5A8E">
        <w:t>igualdad de condiciones y prevenir</w:t>
      </w:r>
      <w:r w:rsidR="00385F59" w:rsidRPr="008A5A8E">
        <w:t xml:space="preserve"> cualquier tratamiento discriminatorio </w:t>
      </w:r>
      <w:r w:rsidR="00BB61EB" w:rsidRPr="008A5A8E">
        <w:t>hacia</w:t>
      </w:r>
      <w:r w:rsidR="00CF58A2" w:rsidRPr="008A5A8E">
        <w:t xml:space="preserve"> los CS</w:t>
      </w:r>
      <w:r w:rsidR="00D3572B">
        <w:t>, es importante que la O</w:t>
      </w:r>
      <w:r w:rsidR="00BB61EB" w:rsidRPr="008A5A8E">
        <w:t>ferta</w:t>
      </w:r>
      <w:r w:rsidR="00D3572B">
        <w:t xml:space="preserve"> de Referencia</w:t>
      </w:r>
      <w:r w:rsidR="00BB61EB" w:rsidRPr="008A5A8E">
        <w:t xml:space="preserve"> contemple </w:t>
      </w:r>
      <w:r w:rsidR="00C04B9B">
        <w:t xml:space="preserve">al menos </w:t>
      </w:r>
      <w:r w:rsidR="00BB61EB" w:rsidRPr="008A5A8E">
        <w:t>los mismos perfiles de velocidad que provee el AEP</w:t>
      </w:r>
      <w:r w:rsidR="00CF58A2" w:rsidRPr="008A5A8E">
        <w:t>.</w:t>
      </w:r>
    </w:p>
    <w:p w14:paraId="5139B6C6" w14:textId="43AF3593" w:rsidR="002E4068" w:rsidRPr="008A5A8E" w:rsidRDefault="00D3572B" w:rsidP="008A5A8E">
      <w:pPr>
        <w:pStyle w:val="IFTnormal"/>
      </w:pPr>
      <w:r>
        <w:t xml:space="preserve">Por otro lado, </w:t>
      </w:r>
      <w:r w:rsidR="001D5275" w:rsidRPr="008A5A8E">
        <w:t>e</w:t>
      </w:r>
      <w:r>
        <w:t>ste</w:t>
      </w:r>
      <w:r w:rsidR="001D5275" w:rsidRPr="008A5A8E">
        <w:t xml:space="preserve"> Instituto </w:t>
      </w:r>
      <w:r w:rsidR="002E4068" w:rsidRPr="008A5A8E">
        <w:t xml:space="preserve">considera </w:t>
      </w:r>
      <w:r w:rsidR="00B01DB7" w:rsidRPr="008A5A8E">
        <w:t>que</w:t>
      </w:r>
      <w:r w:rsidR="002E4068" w:rsidRPr="008A5A8E">
        <w:t xml:space="preserve"> la Oferta</w:t>
      </w:r>
      <w:r>
        <w:t xml:space="preserve"> de Referencia</w:t>
      </w:r>
      <w:r w:rsidR="002E4068" w:rsidRPr="008A5A8E">
        <w:t xml:space="preserve"> debe contemplar </w:t>
      </w:r>
      <w:r>
        <w:t xml:space="preserve">al menos </w:t>
      </w:r>
      <w:r w:rsidR="002E4068" w:rsidRPr="008A5A8E">
        <w:t xml:space="preserve">las </w:t>
      </w:r>
      <w:r w:rsidRPr="008A5A8E">
        <w:t xml:space="preserve">tecnologías de acceso </w:t>
      </w:r>
      <w:r w:rsidR="002E4068" w:rsidRPr="008A5A8E">
        <w:t xml:space="preserve">utilizadas </w:t>
      </w:r>
      <w:r>
        <w:t xml:space="preserve">por </w:t>
      </w:r>
      <w:r w:rsidR="002E4068" w:rsidRPr="008A5A8E">
        <w:t xml:space="preserve">el AEP, y que algunas por sus características </w:t>
      </w:r>
      <w:r w:rsidR="00C239B9" w:rsidRPr="008A5A8E">
        <w:t>podría</w:t>
      </w:r>
      <w:r w:rsidR="002E4068" w:rsidRPr="008A5A8E">
        <w:t xml:space="preserve">n prevenir el </w:t>
      </w:r>
      <w:r w:rsidR="00B01DB7" w:rsidRPr="008A5A8E">
        <w:t>acce</w:t>
      </w:r>
      <w:r w:rsidR="002E4068" w:rsidRPr="008A5A8E">
        <w:t>der a los usuarios con todas las prestaciones que requiere el servicio</w:t>
      </w:r>
      <w:r w:rsidR="006567C3" w:rsidRPr="008A5A8E">
        <w:t>,</w:t>
      </w:r>
      <w:r w:rsidR="002E4068" w:rsidRPr="008A5A8E">
        <w:t xml:space="preserve"> y podrían calificarse de obsoletas o no aptas para habilitarse con SAIB.</w:t>
      </w:r>
      <w:r w:rsidR="006567C3" w:rsidRPr="008A5A8E">
        <w:t xml:space="preserve"> Una consideración similar aplicaría para la determinación de la factibilidad técnica de la provisión de los se</w:t>
      </w:r>
      <w:r w:rsidR="00BA3418">
        <w:t>rvicios de voz mediante el SAIB por lo que</w:t>
      </w:r>
      <w:r w:rsidR="006567C3" w:rsidRPr="008A5A8E">
        <w:t xml:space="preserve"> </w:t>
      </w:r>
      <w:r w:rsidR="00BA3418">
        <w:t>u</w:t>
      </w:r>
      <w:r w:rsidR="006567C3" w:rsidRPr="008A5A8E">
        <w:t>n análisis e</w:t>
      </w:r>
      <w:r w:rsidR="00BA3418">
        <w:t>specífico permitiría</w:t>
      </w:r>
      <w:r w:rsidR="006567C3" w:rsidRPr="008A5A8E">
        <w:t xml:space="preserve"> resolver bajo que medios (cobre o fibra)</w:t>
      </w:r>
      <w:r w:rsidR="00BA3418">
        <w:t xml:space="preserve"> o</w:t>
      </w:r>
      <w:r w:rsidR="006567C3" w:rsidRPr="008A5A8E">
        <w:t xml:space="preserve"> condiciones se podrá proveer </w:t>
      </w:r>
      <w:r w:rsidR="00BA3418">
        <w:t>los servicios</w:t>
      </w:r>
      <w:r w:rsidR="006567C3" w:rsidRPr="008A5A8E">
        <w:t xml:space="preserve"> que garantice</w:t>
      </w:r>
      <w:r w:rsidR="00BA3418">
        <w:t>n</w:t>
      </w:r>
      <w:r w:rsidR="006567C3" w:rsidRPr="008A5A8E">
        <w:t xml:space="preserve"> sus requerimientos de calidad. Ahora bien, sobre las condicionantes que podría establecer la configuración de la red FTTH del AEP a la prestación de cualquier servicio que pretenda ofrecer el CS, cabe señalar que el SAIB obedece a las </w:t>
      </w:r>
      <w:r w:rsidR="00DF630A" w:rsidRPr="008A5A8E">
        <w:t xml:space="preserve">características de un servicio que depende del uso de diversos elementos de la red existente y que se encuentra en operación. Estas y otras consideraciones deben tomarse en cuenta para establecer el alcance del SAIB en la Oferta </w:t>
      </w:r>
      <w:r w:rsidR="00BA3418">
        <w:t xml:space="preserve">de Referencia </w:t>
      </w:r>
      <w:r w:rsidR="00DF630A" w:rsidRPr="008A5A8E">
        <w:t>y de esta forma permitir su utilización sin ocasionar afectaciones a los usuarios existentes del AEP.</w:t>
      </w:r>
      <w:r w:rsidR="006567C3" w:rsidRPr="008A5A8E">
        <w:t xml:space="preserve"> </w:t>
      </w:r>
    </w:p>
    <w:p w14:paraId="04F818C7" w14:textId="2AE864C2" w:rsidR="00DF630A" w:rsidRPr="008A5A8E" w:rsidRDefault="007B2AAC" w:rsidP="008A5A8E">
      <w:pPr>
        <w:pStyle w:val="IFTnormal"/>
      </w:pPr>
      <w:r w:rsidRPr="008A5A8E">
        <w:t xml:space="preserve">Respecto a la </w:t>
      </w:r>
      <w:r w:rsidR="00DF630A" w:rsidRPr="008A5A8E">
        <w:t xml:space="preserve">necesidad de la caracterización bucles de fibra óptica para establecer la calidad o capacidad de transmisión, el Instituto revisará las </w:t>
      </w:r>
      <w:r w:rsidR="00DF630A" w:rsidRPr="008A5A8E">
        <w:lastRenderedPageBreak/>
        <w:t xml:space="preserve">referencias disponibles que permitan </w:t>
      </w:r>
      <w:r w:rsidR="00947E52" w:rsidRPr="008A5A8E">
        <w:t xml:space="preserve">resolver si es factible su incorporación o no a las especificaciones de la </w:t>
      </w:r>
      <w:r w:rsidR="00BA3418">
        <w:t>Oferta de Referencia</w:t>
      </w:r>
      <w:r w:rsidR="00947E52" w:rsidRPr="008A5A8E">
        <w:t xml:space="preserve">. Lo anterior bajo la premisa de que su aplicación sea </w:t>
      </w:r>
      <w:r w:rsidR="00BA3418">
        <w:t xml:space="preserve">por lo menos </w:t>
      </w:r>
      <w:r w:rsidR="00947E52" w:rsidRPr="008A5A8E">
        <w:t>consistente con las prácticas y operaciones del AEP.</w:t>
      </w:r>
    </w:p>
    <w:p w14:paraId="7A171D2D" w14:textId="63595967" w:rsidR="007B2AAC" w:rsidRDefault="00AB4266" w:rsidP="008A5A8E">
      <w:pPr>
        <w:pStyle w:val="IFTnormal"/>
      </w:pPr>
      <w:r w:rsidRPr="008A5A8E">
        <w:t xml:space="preserve">La consideración de la notificación o aviso con un tiempo razonable de antelación ante la introducción de un nuevo servicio, tecnología o cambio relevante es un comentario que debe contemplarse de alguna forma en la Oferta </w:t>
      </w:r>
      <w:r w:rsidR="000C3ED9">
        <w:t xml:space="preserve">de Referencia </w:t>
      </w:r>
      <w:r w:rsidRPr="008A5A8E">
        <w:t xml:space="preserve">a efectos de facilitar su adopción, y en su caso planeación por parte de los CS interesados. El Instituto </w:t>
      </w:r>
      <w:r w:rsidR="008D345E" w:rsidRPr="008A5A8E">
        <w:t>evaluará</w:t>
      </w:r>
      <w:r w:rsidRPr="008A5A8E">
        <w:t xml:space="preserve"> y en su caso establecerá bajo cuales condiciones se incorpora este aviso en la Oferta</w:t>
      </w:r>
      <w:r w:rsidR="000C3ED9">
        <w:t xml:space="preserve"> de Referencia</w:t>
      </w:r>
      <w:r w:rsidRPr="008A5A8E">
        <w:t>.</w:t>
      </w:r>
    </w:p>
    <w:p w14:paraId="6337E4BC" w14:textId="1A8769E4" w:rsidR="00C04B9B" w:rsidRPr="008A5A8E" w:rsidRDefault="00C04B9B" w:rsidP="008A5A8E">
      <w:pPr>
        <w:pStyle w:val="IFTnormal"/>
      </w:pPr>
      <w:r>
        <w:t>Por último, lo referente a permitir la portabilidad numérica</w:t>
      </w:r>
      <w:r w:rsidR="00505730">
        <w:t>,</w:t>
      </w:r>
      <w:r>
        <w:t xml:space="preserve"> es de recordar </w:t>
      </w:r>
      <w:r w:rsidR="00333403">
        <w:t xml:space="preserve">por este Instituto </w:t>
      </w:r>
      <w:r>
        <w:t>que tanto el AEP y el CS deben apegarse a los procesos establecidos en</w:t>
      </w:r>
      <w:r w:rsidR="00333403">
        <w:t xml:space="preserve"> la regulación de portabilidad</w:t>
      </w:r>
      <w:r>
        <w:t xml:space="preserve"> </w:t>
      </w:r>
      <w:r w:rsidR="00333403">
        <w:t>y que la Oferta</w:t>
      </w:r>
      <w:r w:rsidR="00C764FB">
        <w:t xml:space="preserve"> de Referencia</w:t>
      </w:r>
      <w:r w:rsidR="00333403">
        <w:t xml:space="preserve"> no tiene el alcance de sugerir modificaciones o procesos en la regulación de portabilidad numérica.</w:t>
      </w:r>
    </w:p>
    <w:p w14:paraId="1A14770B" w14:textId="115FE78F" w:rsidR="001C356A" w:rsidRPr="001C356A" w:rsidRDefault="000E7693" w:rsidP="00EE6A8A">
      <w:pPr>
        <w:pStyle w:val="1TitPrin"/>
      </w:pPr>
      <w:r>
        <w:t>MÓDEM DEL USUARIO FINAL PARA SAIB</w:t>
      </w:r>
    </w:p>
    <w:p w14:paraId="0BC715AE" w14:textId="4E9488F3" w:rsidR="00C12E40" w:rsidRDefault="001C356A" w:rsidP="00C12E40">
      <w:pPr>
        <w:pStyle w:val="IFTnormal"/>
        <w:rPr>
          <w:lang w:val="es-ES"/>
        </w:rPr>
      </w:pPr>
      <w:r w:rsidRPr="001C356A">
        <w:t>Como resultado de la Consulta Pública, el Instituto recibió comentarios en el sentido de</w:t>
      </w:r>
      <w:r>
        <w:rPr>
          <w:lang w:val="es-ES"/>
        </w:rPr>
        <w:t xml:space="preserve"> </w:t>
      </w:r>
      <w:r w:rsidR="00391DEC" w:rsidRPr="00391DEC">
        <w:rPr>
          <w:lang w:val="es-ES"/>
        </w:rPr>
        <w:t xml:space="preserve">que el SEG </w:t>
      </w:r>
      <w:r w:rsidR="00FA50C9">
        <w:rPr>
          <w:lang w:val="es-ES"/>
        </w:rPr>
        <w:t>se pue</w:t>
      </w:r>
      <w:r w:rsidR="006361D0">
        <w:rPr>
          <w:lang w:val="es-ES"/>
        </w:rPr>
        <w:t>da proporcionar la guía de envío</w:t>
      </w:r>
      <w:r w:rsidR="00FA50C9">
        <w:rPr>
          <w:lang w:val="es-ES"/>
        </w:rPr>
        <w:t xml:space="preserve">, </w:t>
      </w:r>
      <w:r w:rsidR="006361D0">
        <w:rPr>
          <w:lang w:val="es-ES"/>
        </w:rPr>
        <w:t xml:space="preserve">se </w:t>
      </w:r>
      <w:r w:rsidR="00391DEC" w:rsidRPr="00391DEC">
        <w:rPr>
          <w:lang w:val="es-ES"/>
        </w:rPr>
        <w:t xml:space="preserve">indique las visitas realizadas por mensajería y </w:t>
      </w:r>
      <w:r w:rsidR="00FA50C9">
        <w:rPr>
          <w:lang w:val="es-ES"/>
        </w:rPr>
        <w:t xml:space="preserve">pueda el CS observar el seguimiento del </w:t>
      </w:r>
      <w:r w:rsidR="00C80350">
        <w:rPr>
          <w:lang w:val="es-ES"/>
        </w:rPr>
        <w:t>envío</w:t>
      </w:r>
      <w:r w:rsidR="00391DEC" w:rsidRPr="00391DEC">
        <w:rPr>
          <w:lang w:val="es-ES"/>
        </w:rPr>
        <w:t>.</w:t>
      </w:r>
      <w:r w:rsidR="00AE4A16">
        <w:rPr>
          <w:lang w:val="es-ES"/>
        </w:rPr>
        <w:t xml:space="preserve"> Adicionalmente</w:t>
      </w:r>
      <w:r w:rsidR="006361D0">
        <w:rPr>
          <w:lang w:val="es-ES"/>
        </w:rPr>
        <w:t>,</w:t>
      </w:r>
      <w:r w:rsidR="00AE4A16">
        <w:rPr>
          <w:lang w:val="es-ES"/>
        </w:rPr>
        <w:t xml:space="preserve"> se solicitó </w:t>
      </w:r>
      <w:r w:rsidR="00AE4A16" w:rsidRPr="00AE4A16">
        <w:rPr>
          <w:lang w:val="es-ES"/>
        </w:rPr>
        <w:t xml:space="preserve">se elimine la </w:t>
      </w:r>
      <w:r w:rsidR="00AE4A16">
        <w:rPr>
          <w:lang w:val="es-ES"/>
        </w:rPr>
        <w:t>opción de entrega a través de tienda c</w:t>
      </w:r>
      <w:r w:rsidR="00AE4A16" w:rsidRPr="00AE4A16">
        <w:rPr>
          <w:lang w:val="es-ES"/>
        </w:rPr>
        <w:t>omercial</w:t>
      </w:r>
      <w:r w:rsidR="00AE4A16">
        <w:rPr>
          <w:lang w:val="es-ES"/>
        </w:rPr>
        <w:t xml:space="preserve"> por motivos de reemplazo</w:t>
      </w:r>
      <w:r w:rsidR="00AE4A16" w:rsidRPr="00AE4A16">
        <w:rPr>
          <w:lang w:val="es-ES"/>
        </w:rPr>
        <w:t>.</w:t>
      </w:r>
      <w:r w:rsidR="006729CE">
        <w:rPr>
          <w:lang w:val="es-ES"/>
        </w:rPr>
        <w:t xml:space="preserve"> </w:t>
      </w:r>
    </w:p>
    <w:p w14:paraId="2076DB0E" w14:textId="7726325F" w:rsidR="00391DEC" w:rsidRDefault="00C12E40" w:rsidP="00C12E40">
      <w:pPr>
        <w:pStyle w:val="IFTnormal"/>
        <w:rPr>
          <w:lang w:val="es-ES"/>
        </w:rPr>
      </w:pPr>
      <w:r>
        <w:rPr>
          <w:lang w:val="es-ES"/>
        </w:rPr>
        <w:t xml:space="preserve">Por otra parte, </w:t>
      </w:r>
      <w:r w:rsidR="006361D0">
        <w:rPr>
          <w:lang w:val="es-ES"/>
        </w:rPr>
        <w:t xml:space="preserve">los participantes de la </w:t>
      </w:r>
      <w:r w:rsidR="006361D0" w:rsidRPr="001C356A">
        <w:t>Consulta Pública</w:t>
      </w:r>
      <w:r w:rsidR="006361D0">
        <w:rPr>
          <w:lang w:val="es-ES"/>
        </w:rPr>
        <w:t xml:space="preserve"> </w:t>
      </w:r>
      <w:r>
        <w:rPr>
          <w:lang w:val="es-ES"/>
        </w:rPr>
        <w:t>solicitaron que se elimine la condición de entrega de pronósticos para la compra de módems.</w:t>
      </w:r>
    </w:p>
    <w:p w14:paraId="1F0F0FDA" w14:textId="2C399B2E" w:rsidR="006729CE" w:rsidRDefault="001423A2" w:rsidP="0085145E">
      <w:pPr>
        <w:pStyle w:val="IFTnormal"/>
        <w:rPr>
          <w:lang w:val="es-ES"/>
        </w:rPr>
      </w:pPr>
      <w:r>
        <w:rPr>
          <w:lang w:val="es-ES"/>
        </w:rPr>
        <w:t xml:space="preserve">También se </w:t>
      </w:r>
      <w:r w:rsidR="00833E57">
        <w:rPr>
          <w:lang w:val="es-ES"/>
        </w:rPr>
        <w:t>solicitó</w:t>
      </w:r>
      <w:r>
        <w:rPr>
          <w:lang w:val="es-ES"/>
        </w:rPr>
        <w:t xml:space="preserve"> que exista la posibilidad de que el CS pueda configurar los módems con sus credenciales para que pueda ser considerado como autoconfiguración y que se elimine la opción de que el AEP realice la configuración del </w:t>
      </w:r>
      <w:r w:rsidR="00220884">
        <w:rPr>
          <w:lang w:val="es-ES"/>
        </w:rPr>
        <w:t>módem,</w:t>
      </w:r>
      <w:r w:rsidR="00F90061" w:rsidRPr="00F90061">
        <w:t xml:space="preserve"> </w:t>
      </w:r>
      <w:r w:rsidR="00F90061">
        <w:t xml:space="preserve">así como </w:t>
      </w:r>
      <w:r w:rsidR="00F90061" w:rsidRPr="00F90061">
        <w:rPr>
          <w:lang w:val="es-ES"/>
        </w:rPr>
        <w:t>para usuarios nuevos</w:t>
      </w:r>
      <w:r w:rsidR="00F90061">
        <w:rPr>
          <w:lang w:val="es-ES"/>
        </w:rPr>
        <w:t>,</w:t>
      </w:r>
      <w:r w:rsidR="00F90061" w:rsidRPr="00F90061">
        <w:rPr>
          <w:lang w:val="es-ES"/>
        </w:rPr>
        <w:t xml:space="preserve"> el ONT no tenga que ser entregado por un técnico del AEP</w:t>
      </w:r>
      <w:r>
        <w:rPr>
          <w:lang w:val="es-ES"/>
        </w:rPr>
        <w:t xml:space="preserve">. </w:t>
      </w:r>
      <w:r w:rsidR="00AA4AFC">
        <w:rPr>
          <w:lang w:val="es-ES"/>
        </w:rPr>
        <w:t xml:space="preserve">Complementando, solicitaron </w:t>
      </w:r>
      <w:r w:rsidR="00AA4AFC" w:rsidRPr="00AA4AFC">
        <w:rPr>
          <w:lang w:val="es-ES"/>
        </w:rPr>
        <w:t xml:space="preserve">que se incluyan los procedimientos </w:t>
      </w:r>
      <w:r w:rsidR="00AA4AFC">
        <w:rPr>
          <w:lang w:val="es-ES"/>
        </w:rPr>
        <w:t xml:space="preserve">para </w:t>
      </w:r>
      <w:r w:rsidR="00AA4AFC" w:rsidRPr="00AA4AFC">
        <w:rPr>
          <w:lang w:val="es-ES"/>
        </w:rPr>
        <w:t xml:space="preserve">poder realizar las configuraciones </w:t>
      </w:r>
      <w:r w:rsidR="00AA4AFC">
        <w:rPr>
          <w:lang w:val="es-ES"/>
        </w:rPr>
        <w:t xml:space="preserve">a los ONT y módems blancos </w:t>
      </w:r>
      <w:r w:rsidR="00AA4AFC" w:rsidRPr="00AA4AFC">
        <w:rPr>
          <w:lang w:val="es-ES"/>
        </w:rPr>
        <w:t xml:space="preserve">pertinentes para servicios nuevos o existentes sin tener que contar con la mediación del AEP. Estos procedimientos deben incluir unos </w:t>
      </w:r>
      <w:proofErr w:type="spellStart"/>
      <w:r w:rsidR="00AA4AFC" w:rsidRPr="00AA4AFC">
        <w:rPr>
          <w:lang w:val="es-ES"/>
        </w:rPr>
        <w:t>SLAs</w:t>
      </w:r>
      <w:proofErr w:type="spellEnd"/>
      <w:r w:rsidR="00AA4AFC" w:rsidRPr="00AA4AFC">
        <w:rPr>
          <w:lang w:val="es-ES"/>
        </w:rPr>
        <w:t xml:space="preserve"> coherentes.</w:t>
      </w:r>
    </w:p>
    <w:p w14:paraId="5A219C53" w14:textId="3B205A38" w:rsidR="0024091D" w:rsidRDefault="0024091D" w:rsidP="0085145E">
      <w:pPr>
        <w:pStyle w:val="IFTnormal"/>
        <w:rPr>
          <w:lang w:val="es-ES"/>
        </w:rPr>
      </w:pPr>
      <w:r>
        <w:rPr>
          <w:lang w:val="es-ES"/>
        </w:rPr>
        <w:t xml:space="preserve">Los participantes también indicaron que se debe </w:t>
      </w:r>
      <w:r>
        <w:rPr>
          <w:lang w:val="es-CO"/>
        </w:rPr>
        <w:t>establecer</w:t>
      </w:r>
      <w:r w:rsidRPr="001D7F96">
        <w:rPr>
          <w:lang w:val="es-CO"/>
        </w:rPr>
        <w:t xml:space="preserve"> una periodicidad para la actualización de la información, registrando la fecha de actualización y dejando constancia con respecto a cambios o no en la información.</w:t>
      </w:r>
      <w:r w:rsidR="001E1439">
        <w:rPr>
          <w:lang w:val="es-CO"/>
        </w:rPr>
        <w:t xml:space="preserve"> Adicionalmente sugirieron agregar</w:t>
      </w:r>
      <w:r w:rsidR="00C764FB">
        <w:rPr>
          <w:lang w:val="es-CO"/>
        </w:rPr>
        <w:t xml:space="preserve"> una</w:t>
      </w:r>
      <w:r w:rsidR="001E1439">
        <w:rPr>
          <w:lang w:val="es-CO"/>
        </w:rPr>
        <w:t xml:space="preserve"> redacción </w:t>
      </w:r>
      <w:r w:rsidR="00C764FB">
        <w:rPr>
          <w:lang w:val="es-CO"/>
        </w:rPr>
        <w:t xml:space="preserve">que indicara </w:t>
      </w:r>
      <w:r w:rsidR="00C764FB" w:rsidRPr="00C764FB">
        <w:rPr>
          <w:lang w:val="es-CO"/>
        </w:rPr>
        <w:t>que l</w:t>
      </w:r>
      <w:r w:rsidR="001E1439" w:rsidRPr="00C764FB">
        <w:rPr>
          <w:lang w:val="es-CO"/>
        </w:rPr>
        <w:t xml:space="preserve">as modificaciones que introduzca el AEP en su red </w:t>
      </w:r>
      <w:r w:rsidR="00C764FB" w:rsidRPr="00C764FB">
        <w:rPr>
          <w:lang w:val="es-CO"/>
        </w:rPr>
        <w:t>deben garantizar</w:t>
      </w:r>
      <w:r w:rsidR="001E1439" w:rsidRPr="00C764FB">
        <w:rPr>
          <w:lang w:val="es-CO"/>
        </w:rPr>
        <w:t xml:space="preserve"> la compatibilidad con los equipos de los CS</w:t>
      </w:r>
      <w:r w:rsidR="00C764FB" w:rsidRPr="00C764FB">
        <w:rPr>
          <w:lang w:val="es-CO"/>
        </w:rPr>
        <w:t xml:space="preserve"> y que dichas modificaciones </w:t>
      </w:r>
      <w:r w:rsidR="001E1439" w:rsidRPr="00C764FB">
        <w:rPr>
          <w:lang w:val="es-CO"/>
        </w:rPr>
        <w:t>debe</w:t>
      </w:r>
      <w:r w:rsidR="00C764FB" w:rsidRPr="00C764FB">
        <w:rPr>
          <w:lang w:val="es-CO"/>
        </w:rPr>
        <w:t>n</w:t>
      </w:r>
      <w:r w:rsidR="001E1439" w:rsidRPr="00C764FB">
        <w:rPr>
          <w:lang w:val="es-CO"/>
        </w:rPr>
        <w:t xml:space="preserve"> ser notificado a</w:t>
      </w:r>
      <w:r w:rsidR="00C764FB" w:rsidRPr="00C764FB">
        <w:rPr>
          <w:lang w:val="es-CO"/>
        </w:rPr>
        <w:t xml:space="preserve"> </w:t>
      </w:r>
      <w:r w:rsidR="001E1439" w:rsidRPr="00C764FB">
        <w:rPr>
          <w:lang w:val="es-CO"/>
        </w:rPr>
        <w:t>l</w:t>
      </w:r>
      <w:r w:rsidR="00C764FB" w:rsidRPr="00C764FB">
        <w:rPr>
          <w:lang w:val="es-CO"/>
        </w:rPr>
        <w:t>os</w:t>
      </w:r>
      <w:r w:rsidR="001E1439" w:rsidRPr="00C764FB">
        <w:rPr>
          <w:lang w:val="es-CO"/>
        </w:rPr>
        <w:t xml:space="preserve"> CS con 9</w:t>
      </w:r>
      <w:r w:rsidR="00C764FB" w:rsidRPr="00C764FB">
        <w:rPr>
          <w:lang w:val="es-CO"/>
        </w:rPr>
        <w:t>0 días naturales de antelación.</w:t>
      </w:r>
    </w:p>
    <w:p w14:paraId="0598ED20" w14:textId="723562D2" w:rsidR="00E00ECF" w:rsidRDefault="003A2977" w:rsidP="0085145E">
      <w:pPr>
        <w:pStyle w:val="IFTnormal"/>
      </w:pPr>
      <w:r>
        <w:rPr>
          <w:lang w:val="es-ES"/>
        </w:rPr>
        <w:lastRenderedPageBreak/>
        <w:t xml:space="preserve">Respecto al seguimiento de entrega del </w:t>
      </w:r>
      <w:r w:rsidR="000730C5">
        <w:rPr>
          <w:lang w:val="es-ES"/>
        </w:rPr>
        <w:t>módem</w:t>
      </w:r>
      <w:r>
        <w:rPr>
          <w:lang w:val="es-ES"/>
        </w:rPr>
        <w:t xml:space="preserve"> y su seguimiento a través del SEG por número de guía, e</w:t>
      </w:r>
      <w:r w:rsidR="00E00ECF">
        <w:t>l Instituto</w:t>
      </w:r>
      <w:r>
        <w:t xml:space="preserve"> analizará dicha consideración, ya que esto ayudaría a</w:t>
      </w:r>
      <w:r w:rsidR="00E00ECF">
        <w:t xml:space="preserve"> que se pueda tener control de la entrega del equipo.</w:t>
      </w:r>
      <w:r>
        <w:t xml:space="preserve"> Respecto a las entregas de equipos en tienda, es de recordar que la oferta debe de considerar por lo menos las operaciones con las que el AEP cuenta.</w:t>
      </w:r>
    </w:p>
    <w:p w14:paraId="1B8B6FF0" w14:textId="0C04BE23" w:rsidR="00C12E40" w:rsidRDefault="00C764FB" w:rsidP="00C12E40">
      <w:pPr>
        <w:pStyle w:val="IFTnormal"/>
      </w:pPr>
      <w:r>
        <w:t>Por otro lado, e</w:t>
      </w:r>
      <w:r w:rsidR="00C12E40">
        <w:t>s de recordar por este</w:t>
      </w:r>
      <w:r w:rsidR="00C12E40" w:rsidRPr="00F95D12">
        <w:t xml:space="preserve"> Instituto </w:t>
      </w:r>
      <w:r w:rsidR="00C12E40">
        <w:t>que la Oferta</w:t>
      </w:r>
      <w:r>
        <w:t xml:space="preserve"> de Referencia </w:t>
      </w:r>
      <w:r w:rsidR="00C12E40">
        <w:t xml:space="preserve">debe </w:t>
      </w:r>
      <w:r w:rsidR="00C12E40" w:rsidRPr="00F95D12">
        <w:t>garantiza</w:t>
      </w:r>
      <w:r w:rsidR="00C12E40">
        <w:t>r</w:t>
      </w:r>
      <w:r w:rsidR="00C12E40" w:rsidRPr="00F95D12">
        <w:t xml:space="preserve"> que no se apliquen condiciones discriminatorias y/o abusivas en la prestación de los servicios, además de homologar los términos y condiciones que el AEP aplica a sus propias operaciones, sin condicionar o sujetar su provisión mediante pronósticos u otras condiciones distintas a las que contempla la Oferta de Referencia Vigente.</w:t>
      </w:r>
      <w:r>
        <w:t xml:space="preserve"> Por lo anterior, este Instituto analizará que las condiciones establecidas en la Propuesta del AEP garantice por los menos estos dichos criterios. </w:t>
      </w:r>
    </w:p>
    <w:p w14:paraId="535196AE" w14:textId="4760FD43" w:rsidR="00833E57" w:rsidRDefault="00833E57" w:rsidP="0085145E">
      <w:pPr>
        <w:pStyle w:val="IFTnormal"/>
      </w:pPr>
      <w:r>
        <w:t xml:space="preserve">Respecto al resto de las solicitudes e indicaciones por parte de los participantes de la Consulta Pública </w:t>
      </w:r>
      <w:r w:rsidR="00102475">
        <w:t>referente</w:t>
      </w:r>
      <w:r>
        <w:t xml:space="preserve"> al </w:t>
      </w:r>
      <w:r w:rsidR="000730C5">
        <w:t>módem</w:t>
      </w:r>
      <w:r>
        <w:t xml:space="preserve"> y ONT, </w:t>
      </w:r>
      <w:r w:rsidR="00102475">
        <w:t>este</w:t>
      </w:r>
      <w:r>
        <w:t xml:space="preserve"> </w:t>
      </w:r>
      <w:r w:rsidRPr="002C6471">
        <w:t>Instituto considera</w:t>
      </w:r>
      <w:r>
        <w:t xml:space="preserve">ra su análisis con base en que </w:t>
      </w:r>
      <w:r w:rsidR="00263AAE">
        <w:t>se debe</w:t>
      </w:r>
      <w:r>
        <w:t xml:space="preserve"> </w:t>
      </w:r>
      <w:r w:rsidR="00263AAE">
        <w:t xml:space="preserve">dotar de mayor claridad a la Oferta de Referencia </w:t>
      </w:r>
      <w:r w:rsidRPr="002C6471">
        <w:t>y no generar ambigüedades y falta de certeza</w:t>
      </w:r>
      <w:r>
        <w:t xml:space="preserve">, por lo que se deben </w:t>
      </w:r>
      <w:r w:rsidR="00263AAE">
        <w:t xml:space="preserve">considerar </w:t>
      </w:r>
      <w:r>
        <w:t xml:space="preserve">establecer un listado de los dispositivos que el AEP emplea en sus propias operaciones y que, por consiguiente, el CS </w:t>
      </w:r>
      <w:r w:rsidR="006361D0">
        <w:t>debería poder</w:t>
      </w:r>
      <w:r>
        <w:t xml:space="preserve"> adquirir los dispositivos</w:t>
      </w:r>
      <w:r w:rsidR="006361D0">
        <w:t xml:space="preserve"> con la certeza de que</w:t>
      </w:r>
      <w:r>
        <w:t xml:space="preserve"> serán compatibles con la red de telecomunicaciones del AEP. Adicionalmente, y con la finalidad de complementar el listado de equipos de los cuales el CS tendrá la seguridad que son compatibles con los equipos de acceso, el AEP debería añadir el listado de los equipos que han pasado por un procedimiento de interoperabilidad, en dos secciones, los que se han dictaminado como compatibles y los que se han detectado que no son interoperables con los equipos de acceso.</w:t>
      </w:r>
    </w:p>
    <w:p w14:paraId="468D78E4" w14:textId="53F49755" w:rsidR="00C26183" w:rsidRPr="0085145E" w:rsidRDefault="005665E2" w:rsidP="0085145E">
      <w:pPr>
        <w:pStyle w:val="IFTnormal"/>
      </w:pPr>
      <w:r w:rsidRPr="0085145E">
        <w:t xml:space="preserve">Asimismo, se deberá examinar las posibilidades de que los CS adquieran equipos de acceso con proveedores alternos, siguiendo especificaciones </w:t>
      </w:r>
      <w:r w:rsidR="00D53CFB" w:rsidRPr="0085145E">
        <w:t>y estándares</w:t>
      </w:r>
      <w:r w:rsidRPr="0085145E">
        <w:t xml:space="preserve"> para lograr interoperabilidad con la red del AEP. </w:t>
      </w:r>
      <w:r w:rsidR="00A32F96">
        <w:t>Por tal motivo,</w:t>
      </w:r>
      <w:r w:rsidRPr="0085145E">
        <w:t xml:space="preserve"> se </w:t>
      </w:r>
      <w:r w:rsidR="00BC69A5">
        <w:t>contemplará el análisis</w:t>
      </w:r>
      <w:r w:rsidR="00CA2A04" w:rsidRPr="0085145E">
        <w:t xml:space="preserve"> </w:t>
      </w:r>
      <w:r w:rsidR="00BC69A5">
        <w:t>d</w:t>
      </w:r>
      <w:r w:rsidR="00CA2A04" w:rsidRPr="0085145E">
        <w:t>el procedimiento de</w:t>
      </w:r>
      <w:r w:rsidR="0037611D" w:rsidRPr="0085145E">
        <w:t xml:space="preserve"> interoperabilidad, </w:t>
      </w:r>
      <w:r w:rsidR="00CA2A04" w:rsidRPr="0085145E">
        <w:t xml:space="preserve">con el fin de </w:t>
      </w:r>
      <w:r w:rsidR="006361D0">
        <w:t>evitar</w:t>
      </w:r>
      <w:r w:rsidR="006361D0" w:rsidRPr="0085145E">
        <w:t xml:space="preserve"> </w:t>
      </w:r>
      <w:r w:rsidR="00BC69A5">
        <w:t xml:space="preserve">posibles </w:t>
      </w:r>
      <w:r w:rsidR="00CA2A04" w:rsidRPr="0085145E">
        <w:t xml:space="preserve">condiciones que inhiban la </w:t>
      </w:r>
      <w:r w:rsidR="0037611D" w:rsidRPr="0085145E">
        <w:t xml:space="preserve">competencia en la prestación del servicio </w:t>
      </w:r>
      <w:r w:rsidR="00A06D9F">
        <w:t>por parte del AEP</w:t>
      </w:r>
      <w:r w:rsidR="001315D4">
        <w:t xml:space="preserve"> y se genere toda la información y reportes necesarios.</w:t>
      </w:r>
    </w:p>
    <w:p w14:paraId="7319AD8F" w14:textId="0E6E1C9C" w:rsidR="0037611D" w:rsidRDefault="00C8021F" w:rsidP="00EE6A8A">
      <w:pPr>
        <w:pStyle w:val="1TitPrin"/>
      </w:pPr>
      <w:r>
        <w:t>PROCEDIMIENTOS DE CONTRATACIÓN, MODIFICACIÓN Y BAJA</w:t>
      </w:r>
    </w:p>
    <w:p w14:paraId="51C0BAC6" w14:textId="167B0E3D" w:rsidR="00017F8E" w:rsidRDefault="00017F8E" w:rsidP="0020299B">
      <w:pPr>
        <w:pStyle w:val="IFTnormal"/>
      </w:pPr>
      <w:r w:rsidRPr="00F60861">
        <w:t xml:space="preserve">Como resultado de la </w:t>
      </w:r>
      <w:r w:rsidR="00E36C7B">
        <w:t>Consulta Pública</w:t>
      </w:r>
      <w:r w:rsidRPr="00F60861">
        <w:t>, el Instituto recibió comentarios en el sentido de mantener los mismos días de validación y plazos de entrega del servi</w:t>
      </w:r>
      <w:r w:rsidR="00B723F1">
        <w:t>cio</w:t>
      </w:r>
      <w:r w:rsidRPr="00F60861">
        <w:t xml:space="preserve"> de </w:t>
      </w:r>
      <w:r w:rsidR="005E1669">
        <w:t>acuerdo a la</w:t>
      </w:r>
      <w:r w:rsidRPr="00F60861">
        <w:t xml:space="preserve"> Oferta</w:t>
      </w:r>
      <w:r w:rsidR="0078436D">
        <w:t xml:space="preserve"> de Referencia V</w:t>
      </w:r>
      <w:r w:rsidRPr="00F60861">
        <w:t>igente</w:t>
      </w:r>
      <w:r w:rsidR="00B723F1">
        <w:t xml:space="preserve"> y en cuanto</w:t>
      </w:r>
      <w:r w:rsidR="005E1669">
        <w:t xml:space="preserve"> a las solicitudes se sugier</w:t>
      </w:r>
      <w:r w:rsidR="00B723F1">
        <w:t>e indicar que dichos</w:t>
      </w:r>
      <w:r w:rsidR="005E1669">
        <w:t xml:space="preserve"> formatos</w:t>
      </w:r>
      <w:r w:rsidR="00B723F1">
        <w:t xml:space="preserve"> se llenen de forma suficiente para otorgar el servicio</w:t>
      </w:r>
      <w:r w:rsidRPr="00F60861">
        <w:t>.</w:t>
      </w:r>
      <w:r w:rsidR="00EE1A18" w:rsidRPr="00F60861">
        <w:t xml:space="preserve"> </w:t>
      </w:r>
      <w:r w:rsidR="009B65D4">
        <w:t>En el mismo sentido se solicita mantener tiempos</w:t>
      </w:r>
      <w:r w:rsidR="000D68C9">
        <w:t xml:space="preserve"> (por ejemplo 24 horas)</w:t>
      </w:r>
      <w:r w:rsidR="009B65D4">
        <w:t xml:space="preserve"> para la habilitación del servicio en e</w:t>
      </w:r>
      <w:r w:rsidR="005E1669">
        <w:t>l procedimiento de contratación.</w:t>
      </w:r>
      <w:r w:rsidR="0004602F">
        <w:t xml:space="preserve"> También solicitaron </w:t>
      </w:r>
      <w:r w:rsidR="0004602F" w:rsidRPr="0004602F">
        <w:lastRenderedPageBreak/>
        <w:t>que se mantengan las citas con horarios establecidos y se incluyan dentro de la Oferta</w:t>
      </w:r>
      <w:r w:rsidR="00E32908">
        <w:t xml:space="preserve"> de Referencia y sus a</w:t>
      </w:r>
      <w:r w:rsidR="0004602F" w:rsidRPr="0004602F">
        <w:t>nexos indicadores de gestión, indicadores de calidad y penalizaciones claras cuando el equipo técnico del AEP no se presente dentro del tiempo de tolerancia</w:t>
      </w:r>
      <w:r w:rsidR="0004602F">
        <w:t>.</w:t>
      </w:r>
    </w:p>
    <w:p w14:paraId="5B7BE7E3" w14:textId="34D4C295" w:rsidR="00AB3B31" w:rsidRPr="00F60861" w:rsidRDefault="00E642A5" w:rsidP="004A591D">
      <w:pPr>
        <w:pStyle w:val="IFTnormal"/>
      </w:pPr>
      <w:r>
        <w:t xml:space="preserve">Por otra parte, los participantes </w:t>
      </w:r>
      <w:r w:rsidR="009F40D8">
        <w:t>propusieron, al igual que en procedimiento de contratación, m</w:t>
      </w:r>
      <w:r w:rsidR="00E32908">
        <w:t>odificación y baja del servicio</w:t>
      </w:r>
      <w:r w:rsidR="009F40D8">
        <w:t xml:space="preserve"> de </w:t>
      </w:r>
      <w:r w:rsidR="00E32908">
        <w:t>r</w:t>
      </w:r>
      <w:r w:rsidR="009F40D8">
        <w:t xml:space="preserve">eventa, que </w:t>
      </w:r>
      <w:r w:rsidR="009F40D8" w:rsidRPr="001D7F96">
        <w:rPr>
          <w:lang w:val="es-CO"/>
        </w:rPr>
        <w:t>no se contabilicen las reprogramaciones de las visitas causadas por el AEP</w:t>
      </w:r>
      <w:r w:rsidR="009F40D8">
        <w:rPr>
          <w:lang w:val="es-CO"/>
        </w:rPr>
        <w:t>, penalizaciones</w:t>
      </w:r>
      <w:r w:rsidR="009F40D8" w:rsidRPr="001D7F96">
        <w:rPr>
          <w:lang w:val="es-CO"/>
        </w:rPr>
        <w:t xml:space="preserve"> por desplazamiento infructuoso debe aplicar también al AEP en caso de que este haga desplazar al equipo del CS por una visita en falso</w:t>
      </w:r>
      <w:r w:rsidR="00A865C4">
        <w:rPr>
          <w:lang w:val="es-CO"/>
        </w:rPr>
        <w:t xml:space="preserve">. En este mismo sentido los participantes solicitaron modificaciones que también se ven reflejadas en los </w:t>
      </w:r>
      <w:r w:rsidR="00A865C4">
        <w:t>procedimiento</w:t>
      </w:r>
      <w:r w:rsidR="00CB671F">
        <w:t>s</w:t>
      </w:r>
      <w:r w:rsidR="00A865C4">
        <w:t xml:space="preserve"> de contratación, modifi</w:t>
      </w:r>
      <w:r w:rsidR="00E32908">
        <w:t>cación y baja del servicio de r</w:t>
      </w:r>
      <w:r w:rsidR="00A865C4">
        <w:t>eventa.</w:t>
      </w:r>
    </w:p>
    <w:p w14:paraId="2E191270" w14:textId="315E5037" w:rsidR="00116E55" w:rsidRPr="00B03A7D" w:rsidRDefault="005012E0" w:rsidP="00116E55">
      <w:pPr>
        <w:pStyle w:val="IFTnormal"/>
        <w:rPr>
          <w:color w:val="00B050"/>
        </w:rPr>
      </w:pPr>
      <w:r w:rsidRPr="00B03A7D">
        <w:t>El Instit</w:t>
      </w:r>
      <w:r w:rsidR="00D81F81">
        <w:t xml:space="preserve">uto considera procedente realizar </w:t>
      </w:r>
      <w:r w:rsidR="0020299B">
        <w:t xml:space="preserve">revisiones a </w:t>
      </w:r>
      <w:r w:rsidRPr="00B03A7D">
        <w:t>la redacción d</w:t>
      </w:r>
      <w:r w:rsidR="00D81F81">
        <w:t xml:space="preserve">e la </w:t>
      </w:r>
      <w:r w:rsidR="00B01CF6">
        <w:t>Propuesta</w:t>
      </w:r>
      <w:r w:rsidR="00D81F81">
        <w:t xml:space="preserve"> </w:t>
      </w:r>
      <w:r w:rsidRPr="00B03A7D">
        <w:t>en los procedimientos de contratación, modificación y baja del</w:t>
      </w:r>
      <w:r w:rsidR="00FA4CF9">
        <w:t xml:space="preserve"> </w:t>
      </w:r>
      <w:r w:rsidRPr="00B03A7D">
        <w:t>SAIB</w:t>
      </w:r>
      <w:r w:rsidR="00D81F81">
        <w:t xml:space="preserve">, a fin de </w:t>
      </w:r>
      <w:r w:rsidR="003A562A" w:rsidRPr="00B03A7D">
        <w:t>examinar detalladamente los pr</w:t>
      </w:r>
      <w:r w:rsidR="0020299B">
        <w:t>ocedimientos para evitar cobros</w:t>
      </w:r>
      <w:r w:rsidR="003A562A" w:rsidRPr="00B03A7D">
        <w:t xml:space="preserve"> inne</w:t>
      </w:r>
      <w:r w:rsidR="0020299B">
        <w:t xml:space="preserve">cesarios, acciones redundantes, tiempos perdidos, </w:t>
      </w:r>
      <w:r w:rsidR="00253310">
        <w:t>revisiones no procedentes, etc.</w:t>
      </w:r>
      <w:r w:rsidR="004A591D">
        <w:t xml:space="preserve"> También este Instituto reconoce que debido a que los procedimientos son transversales</w:t>
      </w:r>
      <w:r w:rsidR="004A591D" w:rsidRPr="00745344">
        <w:t xml:space="preserve"> </w:t>
      </w:r>
      <w:r w:rsidR="004A591D">
        <w:t>a todos los servicios de desagregación de la Oferta</w:t>
      </w:r>
      <w:r w:rsidR="00B01CF6">
        <w:t xml:space="preserve"> de Referencia</w:t>
      </w:r>
      <w:r w:rsidR="004A591D">
        <w:t>, es decir, tienen la misma estructura exceptuando algunas particularidades, el Instit</w:t>
      </w:r>
      <w:r w:rsidR="00220884">
        <w:t>uto estima conveniente la realización de</w:t>
      </w:r>
      <w:r w:rsidR="004A591D">
        <w:t xml:space="preserve"> un único análisis y discusión acerca de los cambios aplicables y que serán replicables a los demás procedimientos de los distintos servicios que conforman la Oferta</w:t>
      </w:r>
      <w:r w:rsidR="00231EA4">
        <w:t xml:space="preserve"> de Referencia</w:t>
      </w:r>
      <w:r w:rsidR="004A591D">
        <w:t>.</w:t>
      </w:r>
    </w:p>
    <w:p w14:paraId="582E2771" w14:textId="14B715A3" w:rsidR="00B45C46" w:rsidRDefault="00C8021F" w:rsidP="00EE6A8A">
      <w:pPr>
        <w:pStyle w:val="1TitPrin"/>
      </w:pPr>
      <w:r>
        <w:t>PARÁMETROS E INDICADORES DE CALIDAD</w:t>
      </w:r>
    </w:p>
    <w:p w14:paraId="50D74C4D" w14:textId="7E996AED" w:rsidR="00FB6DB7" w:rsidRPr="00253310" w:rsidRDefault="00FB6DB7" w:rsidP="00253310">
      <w:pPr>
        <w:pStyle w:val="IFTnormal"/>
      </w:pPr>
      <w:r w:rsidRPr="00253310">
        <w:t xml:space="preserve">Como resultado de la </w:t>
      </w:r>
      <w:r w:rsidR="00E36C7B" w:rsidRPr="00253310">
        <w:t>Consulta Pública</w:t>
      </w:r>
      <w:r w:rsidRPr="00253310">
        <w:t xml:space="preserve">, el Instituto recibió comentarios </w:t>
      </w:r>
      <w:r w:rsidR="001139C7">
        <w:t xml:space="preserve">en que los </w:t>
      </w:r>
      <w:r w:rsidR="003A408D">
        <w:t>participantes solicitaron</w:t>
      </w:r>
      <w:r w:rsidR="001139C7">
        <w:t xml:space="preserve"> </w:t>
      </w:r>
      <w:r w:rsidR="001139C7" w:rsidRPr="001139C7">
        <w:t xml:space="preserve">que el cumplimiento de plazos </w:t>
      </w:r>
      <w:r w:rsidR="000360C9">
        <w:t>y</w:t>
      </w:r>
      <w:r w:rsidR="003A408D">
        <w:t xml:space="preserve"> parámetros de calidad </w:t>
      </w:r>
      <w:r w:rsidR="001139C7" w:rsidRPr="001139C7">
        <w:t>sea</w:t>
      </w:r>
      <w:r w:rsidR="003A408D">
        <w:t>n</w:t>
      </w:r>
      <w:r w:rsidR="001139C7" w:rsidRPr="001139C7">
        <w:t xml:space="preserve"> exigido</w:t>
      </w:r>
      <w:r w:rsidR="003A408D">
        <w:t>s</w:t>
      </w:r>
      <w:r w:rsidR="001139C7" w:rsidRPr="001139C7">
        <w:t xml:space="preserve"> para el 100% de las solicitudes, y se definan penalidades incrementales en caso de incumplimientos</w:t>
      </w:r>
      <w:r w:rsidR="003A408D">
        <w:t xml:space="preserve"> por parte del AEP</w:t>
      </w:r>
      <w:r w:rsidR="001139C7" w:rsidRPr="001139C7">
        <w:t>.</w:t>
      </w:r>
      <w:r w:rsidR="00005F47">
        <w:t xml:space="preserve"> Adicionalmente solicitaron que </w:t>
      </w:r>
      <w:r w:rsidR="00005F47" w:rsidRPr="00005F47">
        <w:t xml:space="preserve">se restablezcan los indicadores de reparación de fallas de la </w:t>
      </w:r>
      <w:r w:rsidR="00005F47">
        <w:t>Oferta</w:t>
      </w:r>
      <w:r w:rsidR="00005F47" w:rsidRPr="00005F47">
        <w:t xml:space="preserve"> </w:t>
      </w:r>
      <w:r w:rsidR="00C57B79">
        <w:t>de Referencia V</w:t>
      </w:r>
      <w:r w:rsidR="00005F47" w:rsidRPr="00005F47">
        <w:t>igente.</w:t>
      </w:r>
    </w:p>
    <w:p w14:paraId="7DDC0F53" w14:textId="1F811ADA" w:rsidR="00B45C46" w:rsidRPr="00253310" w:rsidRDefault="00DC4B5B" w:rsidP="00253310">
      <w:pPr>
        <w:pStyle w:val="IFTnormal"/>
      </w:pPr>
      <w:r w:rsidRPr="00253310">
        <w:t xml:space="preserve">A juicio del Instituto, los parámetros e indicadores deben mejorar con el tiempo en lugar de </w:t>
      </w:r>
      <w:r w:rsidR="006853F8">
        <w:t>deteriorarse</w:t>
      </w:r>
      <w:r w:rsidRPr="00253310">
        <w:t xml:space="preserve"> y los objetivos deben hacerse más exigentes en respuesta a la </w:t>
      </w:r>
      <w:r w:rsidR="00005F47">
        <w:t>mejora de la Oferta</w:t>
      </w:r>
      <w:r w:rsidR="00B95302">
        <w:t xml:space="preserve"> de Referencia</w:t>
      </w:r>
      <w:r w:rsidR="00005F47">
        <w:t xml:space="preserve"> </w:t>
      </w:r>
      <w:r w:rsidR="00B95302">
        <w:t>V</w:t>
      </w:r>
      <w:r w:rsidR="00005F47">
        <w:t>igente</w:t>
      </w:r>
      <w:r w:rsidR="00B95302">
        <w:t xml:space="preserve">, por lo que este Instituto </w:t>
      </w:r>
      <w:r w:rsidRPr="007549F1">
        <w:rPr>
          <w:color w:val="auto"/>
        </w:rPr>
        <w:t xml:space="preserve">considera aceptable que para la revisión y redacción de la Oferta </w:t>
      </w:r>
      <w:r w:rsidR="00B95302">
        <w:rPr>
          <w:color w:val="auto"/>
        </w:rPr>
        <w:t xml:space="preserve">de Referencia </w:t>
      </w:r>
      <w:r w:rsidRPr="007549F1">
        <w:rPr>
          <w:color w:val="auto"/>
        </w:rPr>
        <w:t>se analice el mantener o mejorar en lo posible los objetivos de la Oferta</w:t>
      </w:r>
      <w:r w:rsidR="00B95302">
        <w:rPr>
          <w:color w:val="auto"/>
        </w:rPr>
        <w:t xml:space="preserve"> de Referencia V</w:t>
      </w:r>
      <w:r w:rsidRPr="007549F1">
        <w:rPr>
          <w:color w:val="auto"/>
        </w:rPr>
        <w:t>igente.</w:t>
      </w:r>
    </w:p>
    <w:p w14:paraId="0FA07C94" w14:textId="2DDF732A" w:rsidR="00B45C46" w:rsidRDefault="00B02A68" w:rsidP="00EE6A8A">
      <w:pPr>
        <w:pStyle w:val="1TitPrin"/>
      </w:pPr>
      <w:r>
        <w:t>PROCEDIMIENTO DE PRUEBAS DE ENTREGA</w:t>
      </w:r>
    </w:p>
    <w:p w14:paraId="3EC5ED87" w14:textId="2672A581" w:rsidR="0066492F" w:rsidRDefault="00A46890" w:rsidP="0066492F">
      <w:pPr>
        <w:pStyle w:val="IFTnormal"/>
      </w:pPr>
      <w:r w:rsidRPr="00892AED">
        <w:lastRenderedPageBreak/>
        <w:t xml:space="preserve">Como resultado de la </w:t>
      </w:r>
      <w:r w:rsidR="00E36C7B" w:rsidRPr="00892AED">
        <w:t>Consulta Pública</w:t>
      </w:r>
      <w:r w:rsidRPr="00892AED">
        <w:t xml:space="preserve">, el Instituto recibió comentarios en el sentido de </w:t>
      </w:r>
      <w:r w:rsidR="0066492F">
        <w:t>que se revise todas las referencias a otras secciones y haga los ajustes correspondientes para que el documento sea coherente.</w:t>
      </w:r>
    </w:p>
    <w:p w14:paraId="015704C0" w14:textId="1B0F2BEC" w:rsidR="0066492F" w:rsidRDefault="0066492F" w:rsidP="0066492F">
      <w:pPr>
        <w:pStyle w:val="IFTnormal"/>
      </w:pPr>
      <w:r>
        <w:t xml:space="preserve">Por otro lado, se solicitó que los procedimientos de pruebas de entrega sean claras y concisas en todos los casos cuando se haga referencia a condiciones que se deban cumplir para realizar las pruebas de manera adecuada. </w:t>
      </w:r>
    </w:p>
    <w:p w14:paraId="658A2D75" w14:textId="3C859240" w:rsidR="009F29F5" w:rsidRPr="00AB72C3" w:rsidRDefault="00277EE5" w:rsidP="00AB72C3">
      <w:pPr>
        <w:pStyle w:val="IFTnormal"/>
      </w:pPr>
      <w:r w:rsidRPr="00AB72C3">
        <w:t xml:space="preserve">El Instituto considera </w:t>
      </w:r>
      <w:r w:rsidR="009F29F5" w:rsidRPr="00AB72C3">
        <w:t xml:space="preserve">que es </w:t>
      </w:r>
      <w:r w:rsidR="005627C1" w:rsidRPr="00AB72C3">
        <w:t>procedente</w:t>
      </w:r>
      <w:r w:rsidR="009F29F5" w:rsidRPr="00AB72C3">
        <w:t xml:space="preserve"> realizar un análisis de </w:t>
      </w:r>
      <w:r w:rsidR="00D80418">
        <w:t>las pruebas de entrega</w:t>
      </w:r>
      <w:r w:rsidR="005627C1" w:rsidRPr="00AB72C3">
        <w:t xml:space="preserve">. </w:t>
      </w:r>
      <w:r w:rsidR="009F29F5" w:rsidRPr="00AB72C3">
        <w:t xml:space="preserve">Por otra parte, a juicio del Instituto </w:t>
      </w:r>
      <w:r w:rsidR="00D80418">
        <w:t>se considera</w:t>
      </w:r>
      <w:r w:rsidR="009F29F5" w:rsidRPr="00AB72C3">
        <w:t xml:space="preserve"> necesario establecer parámetros mínimos de referencia para que se puedan realizar pruebas de entrega, con el fin de verificar el buen funcionamiento </w:t>
      </w:r>
      <w:r w:rsidR="00D80418">
        <w:t>del servicio</w:t>
      </w:r>
      <w:r w:rsidR="009F29F5" w:rsidRPr="00AB72C3">
        <w:t>, lo anterior para eliminar en lo más posible limitaciones que puedan inhibir la competencia en la prestación del servicio.</w:t>
      </w:r>
    </w:p>
    <w:p w14:paraId="293C8D4F" w14:textId="5FCFE932" w:rsidR="000E23B0" w:rsidRDefault="008E33F3" w:rsidP="00EE6A8A">
      <w:pPr>
        <w:pStyle w:val="1TitPrin"/>
      </w:pPr>
      <w:r>
        <w:t>SERVICIO DE CONCENTRACIÓN Y DISTRIBUCIÓN</w:t>
      </w:r>
    </w:p>
    <w:p w14:paraId="2C562D01" w14:textId="085D99DC" w:rsidR="002D4EF6" w:rsidRDefault="003A3E0B" w:rsidP="002D4EF6">
      <w:pPr>
        <w:pStyle w:val="IFTnormal"/>
      </w:pPr>
      <w:r w:rsidRPr="003A3E0B">
        <w:t xml:space="preserve">Como resultado de la </w:t>
      </w:r>
      <w:r w:rsidR="00E36C7B">
        <w:t>Consulta Pública</w:t>
      </w:r>
      <w:r w:rsidRPr="003A3E0B">
        <w:t>, el Instituto recibió comentarios en el sentido de que</w:t>
      </w:r>
      <w:r>
        <w:t xml:space="preserve"> se </w:t>
      </w:r>
      <w:r w:rsidR="002D4EF6">
        <w:t>establezca la aceptación de solicitudes para obtener conectividad a nivel regional hasta distancias de 40</w:t>
      </w:r>
      <w:r w:rsidR="006853F8">
        <w:t xml:space="preserve"> </w:t>
      </w:r>
      <w:r w:rsidR="002D4EF6">
        <w:t>km en velocidades de 1</w:t>
      </w:r>
      <w:r w:rsidR="006853F8">
        <w:t xml:space="preserve"> </w:t>
      </w:r>
      <w:proofErr w:type="spellStart"/>
      <w:r w:rsidR="002D4EF6">
        <w:t>Gbps</w:t>
      </w:r>
      <w:proofErr w:type="spellEnd"/>
      <w:r w:rsidR="002D4EF6">
        <w:t xml:space="preserve"> y de 10</w:t>
      </w:r>
      <w:r w:rsidR="006853F8">
        <w:t xml:space="preserve"> </w:t>
      </w:r>
      <w:proofErr w:type="spellStart"/>
      <w:r w:rsidR="002D4EF6">
        <w:t>Gbps</w:t>
      </w:r>
      <w:proofErr w:type="spellEnd"/>
      <w:r w:rsidR="002D4EF6">
        <w:t>, y a nivel nacional hasta distancias de 70</w:t>
      </w:r>
      <w:r w:rsidR="006853F8">
        <w:t xml:space="preserve"> </w:t>
      </w:r>
      <w:r w:rsidR="002D4EF6">
        <w:t>km en 10</w:t>
      </w:r>
      <w:r w:rsidR="006853F8">
        <w:t xml:space="preserve"> </w:t>
      </w:r>
      <w:proofErr w:type="spellStart"/>
      <w:r w:rsidR="002D4EF6">
        <w:t>Gbps</w:t>
      </w:r>
      <w:proofErr w:type="spellEnd"/>
      <w:r w:rsidR="002D4EF6">
        <w:t>. Asimismo, se solicitó que se incluya la opción para conectividad local a 10</w:t>
      </w:r>
      <w:r w:rsidR="006853F8">
        <w:t xml:space="preserve"> </w:t>
      </w:r>
      <w:proofErr w:type="spellStart"/>
      <w:r w:rsidR="002D4EF6">
        <w:t>Gbps</w:t>
      </w:r>
      <w:proofErr w:type="spellEnd"/>
      <w:r w:rsidR="002D4EF6">
        <w:t xml:space="preserve"> en zonas metropolitanas mayores a 1 millón de habitantes.</w:t>
      </w:r>
    </w:p>
    <w:p w14:paraId="2FD9E405" w14:textId="709CBA34" w:rsidR="000871A7" w:rsidRPr="00C95B86" w:rsidRDefault="00106B33" w:rsidP="00AB1BB3">
      <w:pPr>
        <w:pStyle w:val="IFTnormal"/>
      </w:pPr>
      <w:r w:rsidRPr="00AB72C3">
        <w:t>El Instituto considera</w:t>
      </w:r>
      <w:r w:rsidR="00FC77AD">
        <w:t>rá</w:t>
      </w:r>
      <w:r w:rsidRPr="00AB72C3">
        <w:t xml:space="preserve"> </w:t>
      </w:r>
      <w:r w:rsidR="00FC77AD">
        <w:t>el</w:t>
      </w:r>
      <w:r w:rsidRPr="00AB72C3">
        <w:t xml:space="preserve"> </w:t>
      </w:r>
      <w:r w:rsidR="009741E5">
        <w:t>an</w:t>
      </w:r>
      <w:r w:rsidR="00FC77AD">
        <w:t>álisis de</w:t>
      </w:r>
      <w:r w:rsidR="009741E5">
        <w:t xml:space="preserve"> la</w:t>
      </w:r>
      <w:r w:rsidR="00FC77AD">
        <w:t>s</w:t>
      </w:r>
      <w:r w:rsidR="009741E5">
        <w:t xml:space="preserve"> </w:t>
      </w:r>
      <w:r w:rsidR="00FC77AD">
        <w:t xml:space="preserve">solicitudes de conectividad propuestas, </w:t>
      </w:r>
      <w:r w:rsidR="00FC77AD" w:rsidRPr="00FC77AD">
        <w:t>sin embargo, dicha propuesta se debe analizar consideran</w:t>
      </w:r>
      <w:r w:rsidR="002B21FE">
        <w:t xml:space="preserve">do todos los aspectos técnicos y operativos que </w:t>
      </w:r>
      <w:r w:rsidR="00FC77AD" w:rsidRPr="00FC77AD">
        <w:t xml:space="preserve">rodean al servicio. </w:t>
      </w:r>
    </w:p>
    <w:p w14:paraId="290F7985" w14:textId="487F6384" w:rsidR="001215AF" w:rsidRDefault="00B02A68" w:rsidP="00EE6A8A">
      <w:pPr>
        <w:pStyle w:val="1TitPrin"/>
      </w:pPr>
      <w:r>
        <w:t>SERVICIO DE CONCENTRACIÓN Y DISTRIBUCIÓN LOCAL, REGIONAL Y NACIONAL</w:t>
      </w:r>
    </w:p>
    <w:p w14:paraId="75A3F5C2" w14:textId="1DE025B8" w:rsidR="00BE356E" w:rsidRDefault="006052BC" w:rsidP="00C95B86">
      <w:pPr>
        <w:pStyle w:val="IFTnormal"/>
      </w:pPr>
      <w:r w:rsidRPr="00C95B86">
        <w:t xml:space="preserve">Como resultado de la </w:t>
      </w:r>
      <w:r w:rsidR="00E36C7B" w:rsidRPr="00C95B86">
        <w:t>Consulta Pública</w:t>
      </w:r>
      <w:r w:rsidRPr="00C95B86">
        <w:t>, el I</w:t>
      </w:r>
      <w:r w:rsidR="00C95B86">
        <w:t xml:space="preserve">nstituto recibió comentarios sobre </w:t>
      </w:r>
      <w:r w:rsidR="00BE356E">
        <w:t>que se agreguen a</w:t>
      </w:r>
      <w:r w:rsidR="00BE356E" w:rsidRPr="00BE356E">
        <w:t xml:space="preserve"> la lista de acrónimos con las definiciones de S-VLAN y C-VLAN.</w:t>
      </w:r>
      <w:r w:rsidR="00BE356E">
        <w:t xml:space="preserve"> También solicitaron mantener la redacción de la Oferta </w:t>
      </w:r>
      <w:r w:rsidR="00380C31">
        <w:t>de Referencia V</w:t>
      </w:r>
      <w:r w:rsidR="00BE356E">
        <w:t>igente referente a la realización de las</w:t>
      </w:r>
      <w:r w:rsidR="00BE356E" w:rsidRPr="00BE356E">
        <w:t xml:space="preserve"> diversas mediciones del tráfico</w:t>
      </w:r>
      <w:r w:rsidR="00BE356E">
        <w:t>. Así mismo solicitaron que dichas mediciones se publiquen a través del SEG para que pueden ser consultadas por los concesionarios.</w:t>
      </w:r>
    </w:p>
    <w:p w14:paraId="6890D8BA" w14:textId="4413DAD0" w:rsidR="00613AC7" w:rsidRDefault="00B840AB" w:rsidP="00613AC7">
      <w:pPr>
        <w:pStyle w:val="IFTnormal"/>
      </w:pPr>
      <w:r>
        <w:t>Por otro lado, solicitaron que se definan claramente las bases que debería consultar el C</w:t>
      </w:r>
      <w:r w:rsidR="00B37D67">
        <w:t xml:space="preserve">S para poder acceder al </w:t>
      </w:r>
      <w:proofErr w:type="spellStart"/>
      <w:r w:rsidR="00B37D67">
        <w:t>SCyD</w:t>
      </w:r>
      <w:proofErr w:type="spellEnd"/>
      <w:r>
        <w:t xml:space="preserve">, que </w:t>
      </w:r>
      <w:r w:rsidR="00613AC7">
        <w:t xml:space="preserve">la </w:t>
      </w:r>
      <w:r w:rsidR="00393502">
        <w:t>Oferta de Referencia</w:t>
      </w:r>
      <w:r>
        <w:t xml:space="preserve"> incluya como parte del procedimiento una matriz de prerrequisitos clara, concisa y específica, que no permita la creación de nuevos procesos o la improvisación de los mismos a la sola discrecionalidad del AEP.</w:t>
      </w:r>
      <w:r w:rsidR="00613AC7">
        <w:t xml:space="preserve"> También solicitaron que se debe determinar </w:t>
      </w:r>
      <w:r w:rsidR="00380C31">
        <w:t xml:space="preserve">con </w:t>
      </w:r>
      <w:r>
        <w:t xml:space="preserve">claridad sobre los cargos por contratación de puertos </w:t>
      </w:r>
      <w:proofErr w:type="spellStart"/>
      <w:r>
        <w:t>pCAI</w:t>
      </w:r>
      <w:proofErr w:type="spellEnd"/>
      <w:r>
        <w:t xml:space="preserve"> y que estos sean exclusivamente por el e</w:t>
      </w:r>
      <w:r w:rsidR="00613AC7">
        <w:t xml:space="preserve">quipo de acceso que se utilice. Así mismo sugirieron que alternativamente </w:t>
      </w:r>
      <w:r w:rsidR="00613AC7">
        <w:lastRenderedPageBreak/>
        <w:t>se pueden realizar la contratación independiente del número de equipos de acceso que se activen por dominio administrativo/</w:t>
      </w:r>
      <w:proofErr w:type="spellStart"/>
      <w:r w:rsidR="00613AC7">
        <w:t>pCAI</w:t>
      </w:r>
      <w:proofErr w:type="spellEnd"/>
      <w:r w:rsidR="00613AC7">
        <w:t xml:space="preserve">. </w:t>
      </w:r>
    </w:p>
    <w:p w14:paraId="170286E2" w14:textId="6C59D65D" w:rsidR="00613AC7" w:rsidRDefault="006853F8" w:rsidP="00613AC7">
      <w:pPr>
        <w:pStyle w:val="IFTnormal"/>
      </w:pPr>
      <w:r>
        <w:t>Además</w:t>
      </w:r>
      <w:r w:rsidR="00613AC7">
        <w:t xml:space="preserve">, solicitaron </w:t>
      </w:r>
      <w:r w:rsidR="00613AC7" w:rsidRPr="00613AC7">
        <w:t xml:space="preserve">que se elimine el proceso de presentación y aceptación de cotizaciones por los servicios de </w:t>
      </w:r>
      <w:proofErr w:type="spellStart"/>
      <w:r w:rsidR="00613AC7" w:rsidRPr="00613AC7">
        <w:t>SCyD</w:t>
      </w:r>
      <w:proofErr w:type="spellEnd"/>
      <w:r w:rsidR="00613AC7">
        <w:t xml:space="preserve">. También solicitaron que se restablezca el plazo de verificación de factibilidad técnica como en la Oferta </w:t>
      </w:r>
      <w:r>
        <w:t>de Referencia V</w:t>
      </w:r>
      <w:r w:rsidR="00613AC7">
        <w:t>igente. Del mismo modo solicitaron que los plazos de e</w:t>
      </w:r>
      <w:r w:rsidR="00613AC7" w:rsidRPr="00613AC7">
        <w:t xml:space="preserve">ntrega de </w:t>
      </w:r>
      <w:proofErr w:type="spellStart"/>
      <w:r w:rsidR="00613AC7" w:rsidRPr="00613AC7">
        <w:t>SCyD</w:t>
      </w:r>
      <w:proofErr w:type="spellEnd"/>
      <w:r w:rsidR="00613AC7">
        <w:t xml:space="preserve">, deben ser al menos lo establecidos en la Oferta </w:t>
      </w:r>
      <w:r w:rsidR="00393502">
        <w:t>de Referencia V</w:t>
      </w:r>
      <w:r w:rsidR="00613AC7">
        <w:t>igente.</w:t>
      </w:r>
    </w:p>
    <w:p w14:paraId="7DB2D56B" w14:textId="5729AF3D" w:rsidR="00613AC7" w:rsidRDefault="00B2661D" w:rsidP="00613AC7">
      <w:pPr>
        <w:pStyle w:val="IFTnormal"/>
        <w:rPr>
          <w:lang w:val="es-CO"/>
        </w:rPr>
      </w:pPr>
      <w:r>
        <w:t>También</w:t>
      </w:r>
      <w:r w:rsidR="00613AC7">
        <w:t xml:space="preserve"> solicitaron la i</w:t>
      </w:r>
      <w:r w:rsidR="00613AC7" w:rsidRPr="00A37DB0">
        <w:t xml:space="preserve">nclusión de </w:t>
      </w:r>
      <w:r w:rsidR="00613AC7">
        <w:t xml:space="preserve">un </w:t>
      </w:r>
      <w:r w:rsidR="00613AC7" w:rsidRPr="00A37DB0">
        <w:t>procedimiento para agrupación</w:t>
      </w:r>
      <w:r w:rsidR="00887AD0">
        <w:t xml:space="preserve"> y migración</w:t>
      </w:r>
      <w:r w:rsidR="00613AC7" w:rsidRPr="00A37DB0">
        <w:t xml:space="preserve"> de dominios administrativos mediante 802.11ad (Q-in-Q)</w:t>
      </w:r>
      <w:r w:rsidR="00094CA7">
        <w:t>.</w:t>
      </w:r>
      <w:r>
        <w:t xml:space="preserve"> Así mismo, </w:t>
      </w:r>
      <w:r w:rsidR="00EF6457">
        <w:t>l</w:t>
      </w:r>
      <w:r>
        <w:t xml:space="preserve">os participantes </w:t>
      </w:r>
      <w:r w:rsidRPr="001D7F96">
        <w:rPr>
          <w:lang w:val="es-CO"/>
        </w:rPr>
        <w:t>se solicita</w:t>
      </w:r>
      <w:r>
        <w:rPr>
          <w:lang w:val="es-CO"/>
        </w:rPr>
        <w:t>ron</w:t>
      </w:r>
      <w:r w:rsidRPr="001D7F96">
        <w:rPr>
          <w:lang w:val="es-CO"/>
        </w:rPr>
        <w:t xml:space="preserve"> que se </w:t>
      </w:r>
      <w:r>
        <w:rPr>
          <w:lang w:val="es-CO"/>
        </w:rPr>
        <w:t>incluyera</w:t>
      </w:r>
      <w:r w:rsidRPr="001D7F96">
        <w:rPr>
          <w:lang w:val="es-CO"/>
        </w:rPr>
        <w:t xml:space="preserve"> un procedimiento de modificación de velocidad de puertos (Nacionales, Regionales y Locales) de 1</w:t>
      </w:r>
      <w:r w:rsidR="007F21AE">
        <w:rPr>
          <w:lang w:val="es-CO"/>
        </w:rPr>
        <w:t xml:space="preserve"> </w:t>
      </w:r>
      <w:proofErr w:type="spellStart"/>
      <w:r w:rsidRPr="001D7F96">
        <w:rPr>
          <w:lang w:val="es-CO"/>
        </w:rPr>
        <w:t>Gbps</w:t>
      </w:r>
      <w:proofErr w:type="spellEnd"/>
      <w:r w:rsidRPr="001D7F96">
        <w:rPr>
          <w:lang w:val="es-CO"/>
        </w:rPr>
        <w:t xml:space="preserve"> a 10</w:t>
      </w:r>
      <w:r w:rsidR="007F21AE">
        <w:rPr>
          <w:lang w:val="es-CO"/>
        </w:rPr>
        <w:t xml:space="preserve"> </w:t>
      </w:r>
      <w:proofErr w:type="spellStart"/>
      <w:r w:rsidRPr="001D7F96">
        <w:rPr>
          <w:lang w:val="es-CO"/>
        </w:rPr>
        <w:t>Gbps</w:t>
      </w:r>
      <w:proofErr w:type="spellEnd"/>
      <w:r w:rsidRPr="001D7F96">
        <w:rPr>
          <w:lang w:val="es-CO"/>
        </w:rPr>
        <w:t xml:space="preserve">, con sus </w:t>
      </w:r>
      <w:proofErr w:type="spellStart"/>
      <w:r w:rsidRPr="001D7F96">
        <w:rPr>
          <w:lang w:val="es-CO"/>
        </w:rPr>
        <w:t>SLAs</w:t>
      </w:r>
      <w:proofErr w:type="spellEnd"/>
      <w:r w:rsidRPr="001D7F96">
        <w:rPr>
          <w:lang w:val="es-CO"/>
        </w:rPr>
        <w:t xml:space="preserve"> asociados.</w:t>
      </w:r>
    </w:p>
    <w:p w14:paraId="61A962C0" w14:textId="1BD72E12" w:rsidR="00EF6457" w:rsidRDefault="002B30E7" w:rsidP="00EF6457">
      <w:pPr>
        <w:pStyle w:val="IFTnormal"/>
        <w:rPr>
          <w:lang w:val="es-CO"/>
        </w:rPr>
      </w:pPr>
      <w:r>
        <w:rPr>
          <w:lang w:val="es-CO"/>
        </w:rPr>
        <w:t>Por otro lado</w:t>
      </w:r>
      <w:r w:rsidR="00CD3131">
        <w:rPr>
          <w:lang w:val="es-CO"/>
        </w:rPr>
        <w:t>,</w:t>
      </w:r>
      <w:r w:rsidR="00EF6457">
        <w:rPr>
          <w:lang w:val="es-CO"/>
        </w:rPr>
        <w:t xml:space="preserve"> los participantes de la Consulta Pública solicitaron</w:t>
      </w:r>
      <w:r w:rsidR="00EF6457" w:rsidRPr="00EF6457">
        <w:rPr>
          <w:lang w:val="es-CO"/>
        </w:rPr>
        <w:t xml:space="preserve"> la inclusión de un módulo nuevo en el SEG que se llame “</w:t>
      </w:r>
      <w:r w:rsidR="00EF6457" w:rsidRPr="00174617">
        <w:rPr>
          <w:i/>
          <w:lang w:val="es-CO"/>
        </w:rPr>
        <w:t>Seguimiento a servicios o a casos de excepción</w:t>
      </w:r>
      <w:r w:rsidR="00EF6457" w:rsidRPr="00EF6457">
        <w:rPr>
          <w:lang w:val="es-CO"/>
        </w:rPr>
        <w:t>” para que se pueda hacer el seguimiento necesario a los folios para reactivarlos, reprogramarlos o modificarlos para que salgan de ese estatus y vuelvan a entrar en vigencia.</w:t>
      </w:r>
    </w:p>
    <w:p w14:paraId="290F3305" w14:textId="04F3F601" w:rsidR="002B30E7" w:rsidRPr="00EF6457" w:rsidRDefault="002B30E7" w:rsidP="00EF6457">
      <w:pPr>
        <w:pStyle w:val="IFTnormal"/>
        <w:rPr>
          <w:lang w:val="es-CO"/>
        </w:rPr>
      </w:pPr>
      <w:r>
        <w:rPr>
          <w:lang w:val="es-CO"/>
        </w:rPr>
        <w:t>Finalmente, solicitaron que lo establecido en los plazos de e</w:t>
      </w:r>
      <w:r w:rsidRPr="002B30E7">
        <w:rPr>
          <w:lang w:val="es-CO"/>
        </w:rPr>
        <w:t>ntrega de</w:t>
      </w:r>
      <w:r>
        <w:rPr>
          <w:lang w:val="es-CO"/>
        </w:rPr>
        <w:t>l</w:t>
      </w:r>
      <w:r w:rsidRPr="002B30E7">
        <w:rPr>
          <w:lang w:val="es-CO"/>
        </w:rPr>
        <w:t xml:space="preserve"> </w:t>
      </w:r>
      <w:proofErr w:type="spellStart"/>
      <w:r w:rsidRPr="002B30E7">
        <w:rPr>
          <w:lang w:val="es-CO"/>
        </w:rPr>
        <w:t>SCyD</w:t>
      </w:r>
      <w:proofErr w:type="spellEnd"/>
      <w:r>
        <w:rPr>
          <w:lang w:val="es-CO"/>
        </w:rPr>
        <w:t xml:space="preserve"> se eliminen las condiciones adicionales establecidas </w:t>
      </w:r>
      <w:r w:rsidR="00E662E5">
        <w:rPr>
          <w:lang w:val="es-CO"/>
        </w:rPr>
        <w:t xml:space="preserve">en la Propuesta </w:t>
      </w:r>
      <w:r>
        <w:rPr>
          <w:lang w:val="es-CO"/>
        </w:rPr>
        <w:t xml:space="preserve">por el AEP y que se mantenga las condiciones </w:t>
      </w:r>
      <w:r w:rsidR="00E662E5">
        <w:rPr>
          <w:lang w:val="es-CO"/>
        </w:rPr>
        <w:t>de</w:t>
      </w:r>
      <w:r>
        <w:rPr>
          <w:lang w:val="es-CO"/>
        </w:rPr>
        <w:t xml:space="preserve"> la Oferta</w:t>
      </w:r>
      <w:r w:rsidR="00E662E5">
        <w:rPr>
          <w:lang w:val="es-CO"/>
        </w:rPr>
        <w:t xml:space="preserve"> de Referencia</w:t>
      </w:r>
      <w:r>
        <w:rPr>
          <w:lang w:val="es-CO"/>
        </w:rPr>
        <w:t xml:space="preserve"> </w:t>
      </w:r>
      <w:r w:rsidR="00E662E5">
        <w:rPr>
          <w:lang w:val="es-CO"/>
        </w:rPr>
        <w:t>Vi</w:t>
      </w:r>
      <w:r>
        <w:rPr>
          <w:lang w:val="es-CO"/>
        </w:rPr>
        <w:t>gente.</w:t>
      </w:r>
    </w:p>
    <w:p w14:paraId="37F6F262" w14:textId="7E6ECA5D" w:rsidR="00B37D67" w:rsidRDefault="00B37D67" w:rsidP="002B1958">
      <w:pPr>
        <w:pStyle w:val="IFTnormal"/>
      </w:pPr>
      <w:r>
        <w:t>Es de recordar por este</w:t>
      </w:r>
      <w:r w:rsidRPr="00F95D12">
        <w:t xml:space="preserve"> Instituto </w:t>
      </w:r>
      <w:r>
        <w:t>que la Oferta</w:t>
      </w:r>
      <w:r w:rsidR="00B54A9D">
        <w:t xml:space="preserve"> de Referencia </w:t>
      </w:r>
      <w:r>
        <w:t xml:space="preserve">debe </w:t>
      </w:r>
      <w:r w:rsidRPr="00F95D12">
        <w:t>garantiza</w:t>
      </w:r>
      <w:r>
        <w:t>r</w:t>
      </w:r>
      <w:r w:rsidRPr="00F95D12">
        <w:t xml:space="preserve"> </w:t>
      </w:r>
      <w:r>
        <w:t>la homologación de</w:t>
      </w:r>
      <w:r w:rsidRPr="00F95D12">
        <w:t xml:space="preserve"> los términos y condiciones que el AEP ap</w:t>
      </w:r>
      <w:r>
        <w:t>lica a sus propias operaciones y cuando menos</w:t>
      </w:r>
      <w:r w:rsidR="00B54A9D">
        <w:t xml:space="preserve"> debe contener</w:t>
      </w:r>
      <w:r>
        <w:t xml:space="preserve"> lo establecido en la Oferta </w:t>
      </w:r>
      <w:r w:rsidR="00B54A9D">
        <w:t>de Referencia V</w:t>
      </w:r>
      <w:r>
        <w:t>igente. Por lo anterior</w:t>
      </w:r>
      <w:r w:rsidR="00B54A9D">
        <w:t>,</w:t>
      </w:r>
      <w:r>
        <w:t xml:space="preserve"> este </w:t>
      </w:r>
      <w:r w:rsidR="007F21AE">
        <w:t>Instituto</w:t>
      </w:r>
      <w:r>
        <w:t xml:space="preserve"> considera </w:t>
      </w:r>
      <w:r w:rsidR="00B54A9D">
        <w:t>procedente analizar las Propuestas</w:t>
      </w:r>
      <w:r w:rsidR="00094CA7">
        <w:t>,</w:t>
      </w:r>
      <w:r>
        <w:t xml:space="preserve"> las mediciones para el servicio</w:t>
      </w:r>
      <w:r w:rsidR="00094CA7">
        <w:t xml:space="preserve"> y los procedimientos de aceptación de cotización, análisis de factibilidad, plazos de entrega, etc.</w:t>
      </w:r>
    </w:p>
    <w:p w14:paraId="51C9FF93" w14:textId="723BB72F" w:rsidR="00B37D67" w:rsidRDefault="00B37D67" w:rsidP="002B1958">
      <w:pPr>
        <w:pStyle w:val="IFTnormal"/>
      </w:pPr>
      <w:r>
        <w:t>Así mismo, a</w:t>
      </w:r>
      <w:r w:rsidR="000965B1" w:rsidRPr="002B1958">
        <w:t xml:space="preserve"> juicio de</w:t>
      </w:r>
      <w:r>
        <w:t xml:space="preserve"> este</w:t>
      </w:r>
      <w:r w:rsidR="000965B1" w:rsidRPr="002B1958">
        <w:t xml:space="preserve"> Instituto,</w:t>
      </w:r>
      <w:r w:rsidR="00307712" w:rsidRPr="002B1958">
        <w:t xml:space="preserve"> es necesario realizar un análisis detallado en cuanto a</w:t>
      </w:r>
      <w:r>
        <w:t xml:space="preserve"> </w:t>
      </w:r>
      <w:r w:rsidR="00307712" w:rsidRPr="002B1958">
        <w:t>l</w:t>
      </w:r>
      <w:r>
        <w:t xml:space="preserve">a descripción del </w:t>
      </w:r>
      <w:proofErr w:type="spellStart"/>
      <w:r>
        <w:t>SCyD</w:t>
      </w:r>
      <w:proofErr w:type="spellEnd"/>
      <w:r>
        <w:t xml:space="preserve"> con el objetivo de que sea clara y concisa. </w:t>
      </w:r>
      <w:r w:rsidR="00720E06">
        <w:t>Lo</w:t>
      </w:r>
      <w:r>
        <w:t xml:space="preserve"> anterior sin dejar de lado que la Oferta</w:t>
      </w:r>
      <w:r w:rsidR="00B54A9D">
        <w:t xml:space="preserve"> de Referencia </w:t>
      </w:r>
      <w:r>
        <w:t xml:space="preserve">debe </w:t>
      </w:r>
      <w:r w:rsidR="00E440E8">
        <w:t xml:space="preserve">otorgar certeza a los concesionarios </w:t>
      </w:r>
      <w:r w:rsidR="00471AA8">
        <w:t xml:space="preserve">en la contratación del servicio y </w:t>
      </w:r>
      <w:r w:rsidR="00720E06">
        <w:t>dotar de</w:t>
      </w:r>
      <w:r w:rsidR="00471AA8">
        <w:t xml:space="preserve"> mayor eficiencia la </w:t>
      </w:r>
      <w:r w:rsidR="00B54A9D">
        <w:t>prestación</w:t>
      </w:r>
      <w:r w:rsidR="00471AA8">
        <w:t xml:space="preserve"> de</w:t>
      </w:r>
      <w:r w:rsidR="00574EDF">
        <w:t xml:space="preserve"> </w:t>
      </w:r>
      <w:r w:rsidR="00471AA8">
        <w:t>l</w:t>
      </w:r>
      <w:r w:rsidR="00574EDF">
        <w:t>os</w:t>
      </w:r>
      <w:r w:rsidR="00471AA8">
        <w:t xml:space="preserve"> servicio</w:t>
      </w:r>
      <w:r w:rsidR="00C3484F">
        <w:t>s</w:t>
      </w:r>
      <w:r w:rsidR="00471AA8">
        <w:t>.</w:t>
      </w:r>
    </w:p>
    <w:p w14:paraId="188C15F3" w14:textId="1741D491" w:rsidR="001544E1" w:rsidRDefault="00797CD0" w:rsidP="002B1958">
      <w:pPr>
        <w:pStyle w:val="IFTnormal"/>
      </w:pPr>
      <w:r>
        <w:t>E</w:t>
      </w:r>
      <w:r w:rsidR="00094CA7">
        <w:t>ste Instituto con</w:t>
      </w:r>
      <w:r w:rsidR="00C3484F">
        <w:t>sidera conveniente analizar la p</w:t>
      </w:r>
      <w:r w:rsidR="00094CA7">
        <w:t xml:space="preserve">ropuesta </w:t>
      </w:r>
      <w:r w:rsidR="00094CA7" w:rsidRPr="00A37DB0">
        <w:t xml:space="preserve">de </w:t>
      </w:r>
      <w:r w:rsidR="00094CA7">
        <w:t xml:space="preserve">un </w:t>
      </w:r>
      <w:r w:rsidR="00094CA7" w:rsidRPr="00A37DB0">
        <w:t xml:space="preserve">procedimiento para agrupación </w:t>
      </w:r>
      <w:r w:rsidR="00077893">
        <w:t xml:space="preserve">y migración </w:t>
      </w:r>
      <w:r w:rsidR="00094CA7" w:rsidRPr="00A37DB0">
        <w:t>de dominios administrativos</w:t>
      </w:r>
      <w:r w:rsidR="00D7453A">
        <w:t>,</w:t>
      </w:r>
      <w:r w:rsidR="00077893">
        <w:t xml:space="preserve"> así como la propuesta de </w:t>
      </w:r>
      <w:r w:rsidR="00077893" w:rsidRPr="001D7F96">
        <w:rPr>
          <w:lang w:val="es-CO"/>
        </w:rPr>
        <w:t>modificación de velocidad de puertos</w:t>
      </w:r>
      <w:r w:rsidR="00094CA7">
        <w:t xml:space="preserve">. Como ya se mencionó anteriormente, dicho análisis debe considerar otorgar certeza a los concesionarios en la contratación del servicio y dotar de mayor eficiencia </w:t>
      </w:r>
      <w:r w:rsidR="009E47AF">
        <w:t xml:space="preserve">en </w:t>
      </w:r>
      <w:r w:rsidR="00094CA7">
        <w:t>la contratación.</w:t>
      </w:r>
    </w:p>
    <w:p w14:paraId="2C7EFB49" w14:textId="53490C1D" w:rsidR="0065392D" w:rsidRPr="002B1958" w:rsidRDefault="001544E1" w:rsidP="002B1958">
      <w:pPr>
        <w:pStyle w:val="IFTnormal"/>
      </w:pPr>
      <w:r>
        <w:lastRenderedPageBreak/>
        <w:t xml:space="preserve">Referente a los comentarios del SEG es de señalar por este Instituto que la Oferta </w:t>
      </w:r>
      <w:r w:rsidR="00C3484F">
        <w:t xml:space="preserve">de Referencia </w:t>
      </w:r>
      <w:r w:rsidRPr="0063105B">
        <w:t>contempla los trám</w:t>
      </w:r>
      <w:r>
        <w:t>ites e interacciones necesarias y que</w:t>
      </w:r>
      <w:r w:rsidRPr="0063105B">
        <w:t xml:space="preserve"> en caso de que se busquen nuevas mejoras deben contemplarse en el Comité del SEG.</w:t>
      </w:r>
    </w:p>
    <w:p w14:paraId="02B914ED" w14:textId="035886AF" w:rsidR="00C52FD9" w:rsidRDefault="00B02A68" w:rsidP="00EE6A8A">
      <w:pPr>
        <w:pStyle w:val="1TitPrin"/>
      </w:pPr>
      <w:r>
        <w:t>PARÁMETROS E INDICADORES DE CALIDAD PARA SCYD</w:t>
      </w:r>
    </w:p>
    <w:p w14:paraId="116FD62C" w14:textId="6B9EFEE5" w:rsidR="00CF773C" w:rsidRDefault="000D2DA7" w:rsidP="008913FD">
      <w:pPr>
        <w:pStyle w:val="IFTnormal"/>
      </w:pPr>
      <w:r w:rsidRPr="00AB1BB3">
        <w:t xml:space="preserve">Como resultado de la </w:t>
      </w:r>
      <w:r w:rsidR="00E36C7B">
        <w:t>Consulta Pública</w:t>
      </w:r>
      <w:r w:rsidRPr="00AB1BB3">
        <w:t xml:space="preserve">, el Instituto recibió comentarios en el sentido de que </w:t>
      </w:r>
      <w:r w:rsidR="00CF773C">
        <w:t xml:space="preserve">la sección de los parámetros e indicadores de calidad para </w:t>
      </w:r>
      <w:proofErr w:type="spellStart"/>
      <w:r w:rsidR="00CF773C">
        <w:t>SCyD</w:t>
      </w:r>
      <w:proofErr w:type="spellEnd"/>
      <w:r w:rsidR="00CF773C">
        <w:t xml:space="preserve">, el AEP adicionó condicionantes que no se encontraban estipuladas en la Oferta </w:t>
      </w:r>
      <w:r w:rsidR="007711E2">
        <w:t>de Referencia V</w:t>
      </w:r>
      <w:r w:rsidR="00CF773C">
        <w:t xml:space="preserve">igente, por lo que solicitaron sean suprimidas los textos adicionados </w:t>
      </w:r>
      <w:r w:rsidR="007711E2">
        <w:t>en la Propuesta</w:t>
      </w:r>
      <w:r w:rsidR="008C3168">
        <w:t>.</w:t>
      </w:r>
      <w:r w:rsidR="006D15C7">
        <w:t xml:space="preserve"> Así mismo, solicitaron </w:t>
      </w:r>
      <w:r w:rsidR="004D7B78">
        <w:t>que</w:t>
      </w:r>
      <w:r w:rsidR="006D15C7" w:rsidRPr="006D15C7">
        <w:t xml:space="preserve"> se reinserte el requisito de tasa de recepción promedio mayor al 99% del ancho de banda contratado en el </w:t>
      </w:r>
      <w:proofErr w:type="spellStart"/>
      <w:r w:rsidR="006D15C7" w:rsidRPr="006D15C7">
        <w:t>pCAI</w:t>
      </w:r>
      <w:proofErr w:type="spellEnd"/>
      <w:r w:rsidR="00E60A02">
        <w:t>, establecido en la Oferta</w:t>
      </w:r>
      <w:r w:rsidR="00393502">
        <w:t xml:space="preserve"> de Referencia</w:t>
      </w:r>
      <w:r w:rsidR="00E60A02">
        <w:t xml:space="preserve"> </w:t>
      </w:r>
      <w:r w:rsidR="00393502">
        <w:t>V</w:t>
      </w:r>
      <w:r w:rsidR="00E60A02">
        <w:t>igente</w:t>
      </w:r>
      <w:r w:rsidR="006D15C7" w:rsidRPr="006D15C7">
        <w:t>.</w:t>
      </w:r>
    </w:p>
    <w:p w14:paraId="6B7555D6" w14:textId="2E5A2101" w:rsidR="00356884" w:rsidRPr="008913FD" w:rsidRDefault="00356884" w:rsidP="008913FD">
      <w:pPr>
        <w:pStyle w:val="IFTnormal"/>
      </w:pPr>
      <w:r w:rsidRPr="00C3081F">
        <w:rPr>
          <w:color w:val="auto"/>
        </w:rPr>
        <w:t>El Instituto considera que los temas comentados en esta sección</w:t>
      </w:r>
      <w:r>
        <w:rPr>
          <w:color w:val="auto"/>
        </w:rPr>
        <w:t>, h</w:t>
      </w:r>
      <w:r w:rsidRPr="00C3081F">
        <w:rPr>
          <w:color w:val="auto"/>
        </w:rPr>
        <w:t xml:space="preserve">an sido identificados </w:t>
      </w:r>
      <w:r>
        <w:rPr>
          <w:color w:val="auto"/>
        </w:rPr>
        <w:t>y serán considerados en un análisis global derivado de los hallazgos de los procedimientos</w:t>
      </w:r>
      <w:r w:rsidRPr="00C3081F">
        <w:rPr>
          <w:color w:val="auto"/>
        </w:rPr>
        <w:t>, por lo que se revisarán los mismos a detalle para instruir al AEP sobre los cambios que debe realizar en su Oferta de Referencia</w:t>
      </w:r>
      <w:r w:rsidRPr="00356884">
        <w:t xml:space="preserve"> </w:t>
      </w:r>
      <w:r w:rsidRPr="008913FD">
        <w:t>con el fin de evitar barreras que puedan limitar la validación</w:t>
      </w:r>
      <w:r>
        <w:t>,</w:t>
      </w:r>
      <w:r w:rsidRPr="008913FD">
        <w:t xml:space="preserve"> </w:t>
      </w:r>
      <w:r>
        <w:t>habilitación</w:t>
      </w:r>
      <w:r w:rsidRPr="008913FD">
        <w:t xml:space="preserve"> y entrega del servicio.</w:t>
      </w:r>
    </w:p>
    <w:p w14:paraId="7C5FD20C" w14:textId="77777777" w:rsidR="00AF09A1" w:rsidRDefault="00AF09A1" w:rsidP="00174617">
      <w:pPr>
        <w:pStyle w:val="1TitPrin"/>
      </w:pPr>
      <w:r w:rsidRPr="00AF09A1">
        <w:t>SERVICIO AUXILIAR DE TENDIDO DE CABLE DE DFO-TMX A DFO-CS</w:t>
      </w:r>
    </w:p>
    <w:p w14:paraId="36A5B1C0" w14:textId="1DD63A51" w:rsidR="00AF09A1" w:rsidRDefault="007C134A" w:rsidP="000E1676">
      <w:pPr>
        <w:pStyle w:val="IFTnormal"/>
      </w:pPr>
      <w:r>
        <w:t>Los participantes de la Consulta Pública</w:t>
      </w:r>
      <w:r w:rsidR="005B26F7">
        <w:t xml:space="preserve"> solicitaron respecto a servicio de </w:t>
      </w:r>
      <w:r w:rsidR="005B26F7" w:rsidRPr="005B26F7">
        <w:t xml:space="preserve">auxiliar de tendido de cable de </w:t>
      </w:r>
      <w:r w:rsidR="005B26F7">
        <w:t>DFO-TMX a</w:t>
      </w:r>
      <w:r w:rsidR="005B26F7" w:rsidRPr="005B26F7">
        <w:t xml:space="preserve"> DFO-CS</w:t>
      </w:r>
      <w:r w:rsidR="005B26F7">
        <w:t>, que se tomen en cuenta las consideraciones de la Oferta</w:t>
      </w:r>
      <w:r w:rsidR="00220DCB">
        <w:t xml:space="preserve"> de Referencia</w:t>
      </w:r>
      <w:r w:rsidR="005B26F7">
        <w:t xml:space="preserve"> </w:t>
      </w:r>
      <w:r w:rsidR="00220DCB">
        <w:t>V</w:t>
      </w:r>
      <w:r w:rsidR="005B26F7">
        <w:t xml:space="preserve">igente y que </w:t>
      </w:r>
      <w:r w:rsidR="005B26F7" w:rsidRPr="005B26F7">
        <w:t>se amplié la descripción de las condiciones y restricciones para el uso de dicha fibra</w:t>
      </w:r>
      <w:r w:rsidR="005B26F7">
        <w:t xml:space="preserve"> óptica</w:t>
      </w:r>
      <w:r w:rsidR="005B26F7" w:rsidRPr="005B26F7">
        <w:t>, de forma tal que el Instituto pueda validar la conveniencia de cómo está estructurando el AEP el servicio.</w:t>
      </w:r>
      <w:r w:rsidR="00CE1396">
        <w:t xml:space="preserve"> Adicionalmente solicitan que </w:t>
      </w:r>
      <w:r w:rsidR="00CE1396" w:rsidRPr="00CE1396">
        <w:t>se elimine la mención a que el AEP entregará una cotización y que el CS deba aceptarla, para respetar lo establecido en los modelos de costos.</w:t>
      </w:r>
    </w:p>
    <w:p w14:paraId="3BC5C67F" w14:textId="7040F563" w:rsidR="0048179D" w:rsidRDefault="0048179D" w:rsidP="000E1676">
      <w:pPr>
        <w:pStyle w:val="IFTnormal"/>
      </w:pPr>
      <w:r>
        <w:t xml:space="preserve">Por otro lado, los participantes solicitan que se reduzcan los plazos para la habilitación del servicio. </w:t>
      </w:r>
    </w:p>
    <w:p w14:paraId="2EE46637" w14:textId="711231D8" w:rsidR="002615F9" w:rsidRPr="000E1676" w:rsidRDefault="00DB4E6F" w:rsidP="000E1676">
      <w:pPr>
        <w:pStyle w:val="IFTnormal"/>
      </w:pPr>
      <w:r>
        <w:t>Este Instituto reitera que la Oferta</w:t>
      </w:r>
      <w:r w:rsidR="001B0D70">
        <w:t xml:space="preserve"> de Referencia </w:t>
      </w:r>
      <w:r>
        <w:t xml:space="preserve">debe contener por lo menos las condiciones de la Oferta </w:t>
      </w:r>
      <w:r w:rsidR="001B0D70">
        <w:t>de Referencia V</w:t>
      </w:r>
      <w:r>
        <w:t>igente</w:t>
      </w:r>
      <w:r w:rsidR="00CE1396" w:rsidRPr="00A53A5B">
        <w:t xml:space="preserve"> </w:t>
      </w:r>
      <w:r>
        <w:t>por lo que se analizará y se solicitará, en caso procedente,</w:t>
      </w:r>
      <w:r w:rsidR="00CE1396" w:rsidRPr="00A53A5B">
        <w:t xml:space="preserve"> </w:t>
      </w:r>
      <w:r w:rsidR="00CD43D5">
        <w:t>que el</w:t>
      </w:r>
      <w:r w:rsidR="00CE1396" w:rsidRPr="00A53A5B">
        <w:t xml:space="preserve"> AEP reintegre los textos omitidos </w:t>
      </w:r>
      <w:r w:rsidR="00B20AEF">
        <w:t xml:space="preserve">o suprimidos </w:t>
      </w:r>
      <w:r w:rsidR="00CE1396" w:rsidRPr="00A53A5B">
        <w:t>que se encuent</w:t>
      </w:r>
      <w:r>
        <w:t xml:space="preserve">ran en la Oferta </w:t>
      </w:r>
      <w:r w:rsidR="00393502">
        <w:t>de Referencia V</w:t>
      </w:r>
      <w:r w:rsidR="00CE1396" w:rsidRPr="00A53A5B">
        <w:t>igente.</w:t>
      </w:r>
      <w:r w:rsidR="00CE1396">
        <w:t xml:space="preserve"> Así mismo, el Instituto realizará un análisis del servicio con el objetivo de asegurar la correcta y completa prestación del servicio. </w:t>
      </w:r>
    </w:p>
    <w:p w14:paraId="09D9AA17" w14:textId="27B37C9A" w:rsidR="00666AE2" w:rsidRDefault="00A53A5B" w:rsidP="00EE6A8A">
      <w:pPr>
        <w:pStyle w:val="1TitPrin"/>
      </w:pPr>
      <w:r w:rsidRPr="006D17AF">
        <w:t xml:space="preserve">SERVICIOS DE </w:t>
      </w:r>
      <w:r>
        <w:t>DESAGREGACIÓN</w:t>
      </w:r>
    </w:p>
    <w:p w14:paraId="7754D202" w14:textId="5550935B" w:rsidR="00A70C14" w:rsidRDefault="00A70C14" w:rsidP="00715302">
      <w:pPr>
        <w:pStyle w:val="IFTnormal"/>
      </w:pPr>
      <w:r>
        <w:lastRenderedPageBreak/>
        <w:t>Respecto a l</w:t>
      </w:r>
      <w:r w:rsidR="00715302" w:rsidRPr="00715302">
        <w:t xml:space="preserve">os </w:t>
      </w:r>
      <w:r>
        <w:t>servicio</w:t>
      </w:r>
      <w:r w:rsidR="006A239C">
        <w:t>s</w:t>
      </w:r>
      <w:r>
        <w:t xml:space="preserve"> de desagregación los </w:t>
      </w:r>
      <w:r w:rsidR="00715302" w:rsidRPr="00715302">
        <w:t xml:space="preserve">participantes de la </w:t>
      </w:r>
      <w:r w:rsidR="00E36C7B">
        <w:t>Consulta Pública</w:t>
      </w:r>
      <w:r w:rsidR="00715302" w:rsidRPr="00715302">
        <w:t xml:space="preserve"> </w:t>
      </w:r>
      <w:r>
        <w:t xml:space="preserve">realizaron comentarios en el sentido de que se vuelva a incluir el </w:t>
      </w:r>
      <w:r w:rsidRPr="00A70C14">
        <w:t>servicio</w:t>
      </w:r>
      <w:r>
        <w:t xml:space="preserve"> en</w:t>
      </w:r>
      <w:r w:rsidRPr="00A70C14">
        <w:t xml:space="preserve"> el </w:t>
      </w:r>
      <w:r>
        <w:t xml:space="preserve">que el </w:t>
      </w:r>
      <w:r w:rsidRPr="00A70C14">
        <w:t>CS podrá acceder al bucle de fibra óptica de Telmex en su modalidad punto a punto</w:t>
      </w:r>
      <w:r>
        <w:t>.</w:t>
      </w:r>
    </w:p>
    <w:p w14:paraId="62B18634" w14:textId="40EA125C" w:rsidR="009D6B90" w:rsidRDefault="009D6B90" w:rsidP="00715302">
      <w:pPr>
        <w:pStyle w:val="IFTnormal"/>
      </w:pPr>
      <w:r>
        <w:t xml:space="preserve">Por otro lado, se solicitó para el </w:t>
      </w:r>
      <w:r w:rsidRPr="001D7F96">
        <w:rPr>
          <w:lang w:val="es-CO"/>
        </w:rPr>
        <w:t>Servicio de Desagregación Compartida del Sub-bucle Local</w:t>
      </w:r>
      <w:r>
        <w:rPr>
          <w:lang w:val="es-CO"/>
        </w:rPr>
        <w:t xml:space="preserve"> </w:t>
      </w:r>
      <w:r w:rsidR="00B13E9B">
        <w:rPr>
          <w:lang w:val="es-CO"/>
        </w:rPr>
        <w:t xml:space="preserve">(SDCSBL) </w:t>
      </w:r>
      <w:r>
        <w:rPr>
          <w:lang w:val="es-CO"/>
        </w:rPr>
        <w:t>que se mantenga las condiciones de la Oferta</w:t>
      </w:r>
      <w:r w:rsidR="00B13E9B">
        <w:rPr>
          <w:lang w:val="es-CO"/>
        </w:rPr>
        <w:t xml:space="preserve"> de Referencia</w:t>
      </w:r>
      <w:r>
        <w:rPr>
          <w:lang w:val="es-CO"/>
        </w:rPr>
        <w:t xml:space="preserve"> </w:t>
      </w:r>
      <w:r w:rsidR="00B13E9B">
        <w:rPr>
          <w:lang w:val="es-CO"/>
        </w:rPr>
        <w:t>V</w:t>
      </w:r>
      <w:r>
        <w:rPr>
          <w:lang w:val="es-CO"/>
        </w:rPr>
        <w:t xml:space="preserve">igente en relación a la instalación del </w:t>
      </w:r>
      <w:proofErr w:type="spellStart"/>
      <w:r>
        <w:rPr>
          <w:lang w:val="es-CO"/>
        </w:rPr>
        <w:t>splitter</w:t>
      </w:r>
      <w:proofErr w:type="spellEnd"/>
      <w:r>
        <w:rPr>
          <w:lang w:val="es-CO"/>
        </w:rPr>
        <w:t xml:space="preserve">, </w:t>
      </w:r>
      <w:r w:rsidR="000730C5">
        <w:rPr>
          <w:lang w:val="es-CO"/>
        </w:rPr>
        <w:t>módem</w:t>
      </w:r>
      <w:r>
        <w:rPr>
          <w:lang w:val="es-CO"/>
        </w:rPr>
        <w:t xml:space="preserve"> y portabilidad.</w:t>
      </w:r>
    </w:p>
    <w:p w14:paraId="170A34A6" w14:textId="689121A2" w:rsidR="004F528D" w:rsidRPr="00A53A5B" w:rsidRDefault="004F528D" w:rsidP="00A53A5B">
      <w:pPr>
        <w:pStyle w:val="IFTnormal"/>
      </w:pPr>
      <w:r w:rsidRPr="00A53A5B">
        <w:t xml:space="preserve">Al respecto el Instituto </w:t>
      </w:r>
      <w:r w:rsidR="00C52D5E" w:rsidRPr="00A53A5B">
        <w:t>se pronuncia de</w:t>
      </w:r>
      <w:r w:rsidRPr="00A53A5B">
        <w:t xml:space="preserve"> acuerdo en que el AEP no debe omitir o eliminar textos que se </w:t>
      </w:r>
      <w:r w:rsidR="00C52D5E" w:rsidRPr="00A53A5B">
        <w:t xml:space="preserve">encuentran en la </w:t>
      </w:r>
      <w:r w:rsidR="00393502">
        <w:t>Oferta de Referencia V</w:t>
      </w:r>
      <w:r w:rsidR="00C52D5E" w:rsidRPr="00A53A5B">
        <w:t xml:space="preserve">igente, por </w:t>
      </w:r>
      <w:r w:rsidR="00B20AEF">
        <w:t xml:space="preserve">lo </w:t>
      </w:r>
      <w:proofErr w:type="gramStart"/>
      <w:r w:rsidR="00C52D5E" w:rsidRPr="00A53A5B">
        <w:t>tanto</w:t>
      </w:r>
      <w:proofErr w:type="gramEnd"/>
      <w:r w:rsidR="00C52D5E" w:rsidRPr="00A53A5B">
        <w:t xml:space="preserve"> el Instituto solicitará al AEP reintegre los textos omitidos que se encuentran en la Oferta de Referencia Vigente.</w:t>
      </w:r>
    </w:p>
    <w:p w14:paraId="26C2D93D" w14:textId="79AB5C4A" w:rsidR="00173C90" w:rsidRDefault="00B02A68" w:rsidP="00EE6A8A">
      <w:pPr>
        <w:pStyle w:val="1TitPrin"/>
      </w:pPr>
      <w:r w:rsidRPr="00422CA2">
        <w:t>PROCEDIMIENTOS DE CONTRATACIÓN, MODIFICACIÓN Y BAJA DE LOS SERVICIOS SDTBL, SDCBL, SDTSBL, SDCSBL</w:t>
      </w:r>
    </w:p>
    <w:p w14:paraId="065DB7AD" w14:textId="047D358A" w:rsidR="009D6B90" w:rsidRDefault="00705559" w:rsidP="009D6B90">
      <w:pPr>
        <w:pStyle w:val="IFTnormal"/>
      </w:pPr>
      <w:r w:rsidRPr="00705559">
        <w:t>Los pa</w:t>
      </w:r>
      <w:r>
        <w:t xml:space="preserve">rticipantes de la consulta técnica </w:t>
      </w:r>
      <w:r w:rsidR="00C761EB">
        <w:t xml:space="preserve">sugirieron que se deben </w:t>
      </w:r>
      <w:r w:rsidR="00C761EB" w:rsidRPr="001D7F96">
        <w:rPr>
          <w:lang w:val="es-CO"/>
        </w:rPr>
        <w:t>establecer</w:t>
      </w:r>
      <w:r w:rsidR="009D6B90" w:rsidRPr="001D7F96">
        <w:rPr>
          <w:lang w:val="es-CO"/>
        </w:rPr>
        <w:t xml:space="preserve"> tiempos de provisión garantizados y penalidades a partir </w:t>
      </w:r>
      <w:r w:rsidR="009D6B90">
        <w:rPr>
          <w:lang w:val="es-CO"/>
        </w:rPr>
        <w:t>del primer día de incumplimiento. También sugirieron</w:t>
      </w:r>
      <w:r w:rsidR="009D6B90" w:rsidRPr="001D7F96">
        <w:rPr>
          <w:lang w:val="es-CO"/>
        </w:rPr>
        <w:t xml:space="preserve"> eliminar </w:t>
      </w:r>
      <w:r w:rsidR="009D6B90">
        <w:rPr>
          <w:lang w:val="es-CO"/>
        </w:rPr>
        <w:t xml:space="preserve">los </w:t>
      </w:r>
      <w:r w:rsidR="009D6B90" w:rsidRPr="001D7F96">
        <w:rPr>
          <w:lang w:val="es-CO"/>
        </w:rPr>
        <w:t>pronósticos e igualar el tratamiento de usuarios nuevos y existentes.</w:t>
      </w:r>
    </w:p>
    <w:p w14:paraId="224CB295" w14:textId="215D5BD7" w:rsidR="00C761EB" w:rsidRPr="000B3275" w:rsidRDefault="000B3275" w:rsidP="00AB15BB">
      <w:pPr>
        <w:pStyle w:val="IFTnormal"/>
      </w:pPr>
      <w:r w:rsidRPr="000B3275">
        <w:t xml:space="preserve">En </w:t>
      </w:r>
      <w:r w:rsidR="009F7170">
        <w:t xml:space="preserve">relación a </w:t>
      </w:r>
      <w:r w:rsidRPr="000B3275">
        <w:t>l</w:t>
      </w:r>
      <w:r w:rsidR="00B60D5F">
        <w:t>a</w:t>
      </w:r>
      <w:r w:rsidRPr="000B3275">
        <w:t xml:space="preserve">s </w:t>
      </w:r>
      <w:r w:rsidR="00B60D5F">
        <w:t>sugerencia</w:t>
      </w:r>
      <w:r w:rsidR="00C761EB">
        <w:t>s</w:t>
      </w:r>
      <w:r w:rsidR="00B60D5F">
        <w:t xml:space="preserve"> indicad</w:t>
      </w:r>
      <w:r w:rsidR="00C761EB">
        <w:t>a</w:t>
      </w:r>
      <w:r w:rsidR="00B60D5F">
        <w:t>s por los participantes este</w:t>
      </w:r>
      <w:r w:rsidR="00E57A21">
        <w:t xml:space="preserve"> Instituto </w:t>
      </w:r>
      <w:r w:rsidR="00C761EB">
        <w:t>reitera que se realizará un único análisis y discusión acerca de los cambios aplicables y que serán replicables a los procedimientos de los distintos servicios que conforman la Oferta de Referencia.</w:t>
      </w:r>
    </w:p>
    <w:p w14:paraId="5DB7A06F" w14:textId="3A0F69C0" w:rsidR="00173C90" w:rsidRDefault="00B02A68" w:rsidP="00EE6A8A">
      <w:pPr>
        <w:pStyle w:val="1TitPrin"/>
      </w:pPr>
      <w:r w:rsidRPr="00422CA2">
        <w:t>PARÁMETROS E INDICADORES DE CALIDAD DE SDTBL, SDCBL, SDTSBL Y SDCSBL.</w:t>
      </w:r>
    </w:p>
    <w:p w14:paraId="29C40D64" w14:textId="1549FE82" w:rsidR="00FC07E1" w:rsidRDefault="00802B8E" w:rsidP="00AB15BB">
      <w:pPr>
        <w:pStyle w:val="IFTnormal"/>
        <w:rPr>
          <w:lang w:val="es-CO"/>
        </w:rPr>
      </w:pPr>
      <w:r>
        <w:t xml:space="preserve">Los participantes de la </w:t>
      </w:r>
      <w:r w:rsidR="00E36C7B">
        <w:t>Consulta Pública</w:t>
      </w:r>
      <w:r>
        <w:t xml:space="preserve"> indica</w:t>
      </w:r>
      <w:r w:rsidR="00FC07E1">
        <w:t xml:space="preserve">ron que </w:t>
      </w:r>
      <w:r w:rsidR="00FC07E1" w:rsidRPr="001D7F96">
        <w:rPr>
          <w:lang w:val="es-CO"/>
        </w:rPr>
        <w:t xml:space="preserve">el AEP </w:t>
      </w:r>
      <w:r w:rsidR="00FC07E1">
        <w:rPr>
          <w:lang w:val="es-CO"/>
        </w:rPr>
        <w:t>disminuyó</w:t>
      </w:r>
      <w:r w:rsidR="00FC07E1" w:rsidRPr="001D7F96">
        <w:rPr>
          <w:lang w:val="es-CO"/>
        </w:rPr>
        <w:t xml:space="preserve"> los niveles porcentuales objetivo en la reparación de fallas sin ning</w:t>
      </w:r>
      <w:r w:rsidR="00FC07E1">
        <w:rPr>
          <w:lang w:val="es-CO"/>
        </w:rPr>
        <w:t>una evidencia de esta necesidad, por lo que solicitan sea regresadas las condiciones de la Oferta</w:t>
      </w:r>
      <w:r w:rsidR="00BF2FBD">
        <w:rPr>
          <w:lang w:val="es-CO"/>
        </w:rPr>
        <w:t xml:space="preserve"> de Referencia V</w:t>
      </w:r>
      <w:r w:rsidR="00FC07E1">
        <w:rPr>
          <w:lang w:val="es-CO"/>
        </w:rPr>
        <w:t>igente.</w:t>
      </w:r>
    </w:p>
    <w:p w14:paraId="5B586A9C" w14:textId="65CB6A7C" w:rsidR="00173C90" w:rsidRPr="001B5726" w:rsidRDefault="00423935" w:rsidP="00AB15BB">
      <w:pPr>
        <w:pStyle w:val="IFTnormal"/>
      </w:pPr>
      <w:r>
        <w:t xml:space="preserve">El Instituto </w:t>
      </w:r>
      <w:r w:rsidR="00A90F47">
        <w:t>considera que la Oferta</w:t>
      </w:r>
      <w:r w:rsidR="00BF2FBD">
        <w:t xml:space="preserve"> de Referencia</w:t>
      </w:r>
      <w:r w:rsidR="00A90F47">
        <w:t xml:space="preserve"> debe contener al menos las condiciones establecidas en la Oferta </w:t>
      </w:r>
      <w:r w:rsidR="00EE5534">
        <w:t>de Referencia V</w:t>
      </w:r>
      <w:r w:rsidR="00A90F47">
        <w:t xml:space="preserve">igente por lo que se </w:t>
      </w:r>
      <w:r>
        <w:t xml:space="preserve">observa </w:t>
      </w:r>
      <w:r w:rsidR="00A90F47">
        <w:t xml:space="preserve">procedente analizar los comentarios de los participantes para </w:t>
      </w:r>
      <w:r w:rsidR="00625C13">
        <w:t>hacer los ajustes pertinentes o</w:t>
      </w:r>
      <w:r w:rsidR="00811396">
        <w:t xml:space="preserve"> </w:t>
      </w:r>
      <w:r w:rsidR="000B3275" w:rsidRPr="001B5726">
        <w:t xml:space="preserve">mantener el texto de la </w:t>
      </w:r>
      <w:r w:rsidR="00EE5534">
        <w:t>Oferta de Referencia Vigente</w:t>
      </w:r>
      <w:r w:rsidR="000B3275" w:rsidRPr="001B5726">
        <w:t>.</w:t>
      </w:r>
    </w:p>
    <w:p w14:paraId="771E604C" w14:textId="5F87FE9A" w:rsidR="00173C90" w:rsidRDefault="00B02A68" w:rsidP="00EE6A8A">
      <w:pPr>
        <w:pStyle w:val="1TitPrin"/>
      </w:pPr>
      <w:r w:rsidRPr="00422CA2">
        <w:t>PROCEDIMIENTO PARA LA REALIZACIÓN DE PRUEBAS DE LA ENTREGA DEL SDTBL, SDCBL, SDTBSL, SDCSBL</w:t>
      </w:r>
      <w:r>
        <w:t xml:space="preserve"> </w:t>
      </w:r>
    </w:p>
    <w:p w14:paraId="62DBA5E6" w14:textId="7C5D5E6A" w:rsidR="00D9775D" w:rsidRPr="00811396" w:rsidRDefault="002F1B0D" w:rsidP="00811396">
      <w:pPr>
        <w:pStyle w:val="IFTnormal"/>
      </w:pPr>
      <w:r w:rsidRPr="00811396">
        <w:t xml:space="preserve">Los </w:t>
      </w:r>
      <w:r w:rsidR="00AB5361">
        <w:t>participantes de la Consulta Pública</w:t>
      </w:r>
      <w:r w:rsidR="00AB5361" w:rsidRPr="00811396">
        <w:t xml:space="preserve"> </w:t>
      </w:r>
      <w:r w:rsidR="00C761EB">
        <w:t>manif</w:t>
      </w:r>
      <w:r w:rsidR="00D9775D" w:rsidRPr="00811396">
        <w:t>esta</w:t>
      </w:r>
      <w:r w:rsidR="00057E44">
        <w:t>ron</w:t>
      </w:r>
      <w:r w:rsidR="00D9775D" w:rsidRPr="00811396">
        <w:t xml:space="preserve"> su desacu</w:t>
      </w:r>
      <w:r w:rsidR="00BE0E7E">
        <w:t>erdo con la eliminación de las P</w:t>
      </w:r>
      <w:r w:rsidR="00D9775D" w:rsidRPr="00811396">
        <w:t xml:space="preserve">ruebas de </w:t>
      </w:r>
      <w:r w:rsidR="00BE0E7E">
        <w:t>S</w:t>
      </w:r>
      <w:r w:rsidR="00057E44">
        <w:t>incronismo</w:t>
      </w:r>
      <w:r w:rsidR="00863014">
        <w:t xml:space="preserve"> establecidos en la Oferta de Referencia Vigente</w:t>
      </w:r>
      <w:r w:rsidR="00D9775D" w:rsidRPr="00811396">
        <w:t>.</w:t>
      </w:r>
    </w:p>
    <w:p w14:paraId="0C8BB05B" w14:textId="0B58E182" w:rsidR="001B04EF" w:rsidRDefault="002F1B0D" w:rsidP="001B04EF">
      <w:pPr>
        <w:pStyle w:val="IFTnormal"/>
      </w:pPr>
      <w:r w:rsidRPr="00811396">
        <w:lastRenderedPageBreak/>
        <w:t xml:space="preserve">El Instituto considera que </w:t>
      </w:r>
      <w:r w:rsidR="00863014">
        <w:t>la falta</w:t>
      </w:r>
      <w:r w:rsidR="001B04EF" w:rsidRPr="00811396">
        <w:t xml:space="preserve"> de </w:t>
      </w:r>
      <w:r w:rsidR="00BE0E7E">
        <w:t>P</w:t>
      </w:r>
      <w:r w:rsidR="001B04EF" w:rsidRPr="00811396">
        <w:t xml:space="preserve">ruebas de </w:t>
      </w:r>
      <w:r w:rsidR="00BE0E7E">
        <w:t>S</w:t>
      </w:r>
      <w:r w:rsidR="00057E44">
        <w:t>incronismo</w:t>
      </w:r>
      <w:r w:rsidR="00057E44" w:rsidRPr="00811396">
        <w:t xml:space="preserve"> </w:t>
      </w:r>
      <w:r w:rsidR="001B04EF" w:rsidRPr="00811396">
        <w:t>del servicio</w:t>
      </w:r>
      <w:r w:rsidR="00863014">
        <w:t xml:space="preserve"> en la Propuesta</w:t>
      </w:r>
      <w:r w:rsidR="001B04EF" w:rsidRPr="00811396">
        <w:t xml:space="preserve"> </w:t>
      </w:r>
      <w:r w:rsidR="00057E44">
        <w:t xml:space="preserve">podría </w:t>
      </w:r>
      <w:r w:rsidR="001B04EF" w:rsidRPr="00811396">
        <w:t>propicia</w:t>
      </w:r>
      <w:r w:rsidR="00057E44">
        <w:t>r</w:t>
      </w:r>
      <w:r w:rsidR="001B04EF">
        <w:t xml:space="preserve"> un perjuicio al CS que contrata los servicios, </w:t>
      </w:r>
      <w:r w:rsidRPr="00811396">
        <w:t>debido a que de esta inform</w:t>
      </w:r>
      <w:r w:rsidR="001B04EF">
        <w:t>ación es básica para evaluar y determinar si se cumplen con las características requeridas para su correcto funcionamiento y consecuente aceptación. P</w:t>
      </w:r>
      <w:r w:rsidRPr="00811396">
        <w:t>or tanto</w:t>
      </w:r>
      <w:r w:rsidR="001B04EF">
        <w:t>,</w:t>
      </w:r>
      <w:r w:rsidRPr="00811396">
        <w:t xml:space="preserve"> el In</w:t>
      </w:r>
      <w:r w:rsidR="001B04EF">
        <w:t>stituto analizará esta</w:t>
      </w:r>
      <w:r w:rsidRPr="00811396">
        <w:t xml:space="preserve"> modificación </w:t>
      </w:r>
      <w:r w:rsidR="001B04EF">
        <w:t xml:space="preserve">y en su caso procederá a hacer los ajustes pertinentes o </w:t>
      </w:r>
      <w:r w:rsidR="001B04EF" w:rsidRPr="001B5726">
        <w:t>mantener el texto de la Oferta</w:t>
      </w:r>
      <w:r w:rsidR="00863014">
        <w:t xml:space="preserve"> de Referencia</w:t>
      </w:r>
      <w:r w:rsidR="001B04EF" w:rsidRPr="001B5726">
        <w:t xml:space="preserve"> </w:t>
      </w:r>
      <w:r w:rsidR="00863014">
        <w:t>V</w:t>
      </w:r>
      <w:r w:rsidR="001B04EF" w:rsidRPr="001B5726">
        <w:t>igente.</w:t>
      </w:r>
    </w:p>
    <w:p w14:paraId="033399A7" w14:textId="3F4161BA" w:rsidR="00B96C95" w:rsidRPr="001B5726" w:rsidRDefault="00B02A68" w:rsidP="00174617">
      <w:pPr>
        <w:pStyle w:val="1TitPrin"/>
      </w:pPr>
      <w:r>
        <w:t>P</w:t>
      </w:r>
      <w:r w:rsidRPr="00B96C95">
        <w:t xml:space="preserve">ROCEDIMIENTOS </w:t>
      </w:r>
      <w:r>
        <w:t>DE CONTRATACIÓN, MODIFICACIÓN Y BAJA DEL SERVICIO D</w:t>
      </w:r>
      <w:r w:rsidRPr="00B96C95">
        <w:t>E</w:t>
      </w:r>
      <w:r>
        <w:t>L</w:t>
      </w:r>
      <w:r w:rsidRPr="00B96C95">
        <w:t xml:space="preserve"> CABLEADO MULTIPAR</w:t>
      </w:r>
    </w:p>
    <w:p w14:paraId="7A09AD7D" w14:textId="3BB2EF63" w:rsidR="00EB731D" w:rsidRDefault="00AB5361">
      <w:pPr>
        <w:pStyle w:val="IFTnormal"/>
      </w:pPr>
      <w:r>
        <w:t xml:space="preserve">Los participantes de la Consulta Pública </w:t>
      </w:r>
      <w:r w:rsidR="00C31C3C">
        <w:t xml:space="preserve">indicaron que debe ser eliminada </w:t>
      </w:r>
      <w:r>
        <w:t xml:space="preserve">la solicitud de envío y aceptación de una cotización por los servicios de entrega de cable </w:t>
      </w:r>
      <w:proofErr w:type="spellStart"/>
      <w:r>
        <w:t>multipar</w:t>
      </w:r>
      <w:proofErr w:type="spellEnd"/>
      <w:r>
        <w:t>.</w:t>
      </w:r>
      <w:r w:rsidR="00EB731D">
        <w:t xml:space="preserve"> Del mismo modo solicitaron que se elimine </w:t>
      </w:r>
      <w:r w:rsidR="00EB731D" w:rsidRPr="00EB731D">
        <w:t xml:space="preserve">la necesidad y posibilidad </w:t>
      </w:r>
      <w:r w:rsidR="00EB731D">
        <w:t xml:space="preserve">de generar un trabajo especial </w:t>
      </w:r>
      <w:r w:rsidR="00EB731D" w:rsidRPr="00EB731D">
        <w:t xml:space="preserve">en caso de que no haya facilidades para el cable </w:t>
      </w:r>
      <w:proofErr w:type="spellStart"/>
      <w:r w:rsidR="00EB731D" w:rsidRPr="00EB731D">
        <w:t>multipar</w:t>
      </w:r>
      <w:proofErr w:type="spellEnd"/>
      <w:r w:rsidR="00EB731D" w:rsidRPr="00EB731D">
        <w:t>.</w:t>
      </w:r>
    </w:p>
    <w:p w14:paraId="5A9689D9" w14:textId="6FB8593D" w:rsidR="00EB731D" w:rsidRDefault="00EB731D">
      <w:pPr>
        <w:pStyle w:val="IFTnormal"/>
      </w:pPr>
      <w:r>
        <w:t xml:space="preserve">Por otro lado, solicitaron que se restablezca los indicadores de reparación de fallas </w:t>
      </w:r>
      <w:r w:rsidR="00005AFC">
        <w:t>establecidos en</w:t>
      </w:r>
      <w:r>
        <w:t xml:space="preserve"> la Oferta</w:t>
      </w:r>
      <w:r w:rsidR="00005AFC">
        <w:t xml:space="preserve"> de Referencia</w:t>
      </w:r>
      <w:r>
        <w:t xml:space="preserve"> </w:t>
      </w:r>
      <w:r w:rsidR="00005AFC">
        <w:t>V</w:t>
      </w:r>
      <w:r>
        <w:t xml:space="preserve">igente. </w:t>
      </w:r>
    </w:p>
    <w:p w14:paraId="42F52BB2" w14:textId="6123B74F" w:rsidR="00173C90" w:rsidRPr="00811396" w:rsidRDefault="003747FD" w:rsidP="00AB5361">
      <w:pPr>
        <w:pStyle w:val="IFTnormal"/>
      </w:pPr>
      <w:r>
        <w:t>El Instituto realizará el aná</w:t>
      </w:r>
      <w:r w:rsidR="00BB6F54">
        <w:t xml:space="preserve">lisis correspondiente, en concordancia </w:t>
      </w:r>
      <w:r>
        <w:t xml:space="preserve">con los procedimientos de la Oferta </w:t>
      </w:r>
      <w:r w:rsidR="00BB6F54">
        <w:t>de Referencia,</w:t>
      </w:r>
      <w:r>
        <w:t xml:space="preserve"> conteniendo al menos las condiciones de la Oferta </w:t>
      </w:r>
      <w:r w:rsidR="00D75132">
        <w:t>de Referencia V</w:t>
      </w:r>
      <w:r>
        <w:t>igente, por lo que en su caso solicitará al AEP los cambios necesarios para su aplicación.</w:t>
      </w:r>
    </w:p>
    <w:p w14:paraId="2301982B" w14:textId="660EA8DB" w:rsidR="00066213" w:rsidRDefault="00811396" w:rsidP="00EE6A8A">
      <w:pPr>
        <w:pStyle w:val="1TitPrin"/>
      </w:pPr>
      <w:r w:rsidRPr="00B534BA">
        <w:t xml:space="preserve">SERVICIOS DE </w:t>
      </w:r>
      <w:r w:rsidR="00912D43">
        <w:t>COUBICACIÓN</w:t>
      </w:r>
      <w:r w:rsidRPr="00B534BA">
        <w:t xml:space="preserve"> PARA DESAGREGACIÓN DEL BUCLE</w:t>
      </w:r>
    </w:p>
    <w:p w14:paraId="256AFFEF" w14:textId="5E9E8D9A" w:rsidR="004A6069" w:rsidRDefault="004A6069" w:rsidP="00C83186">
      <w:pPr>
        <w:pStyle w:val="IFTnormal"/>
        <w:rPr>
          <w:lang w:val="es-CO"/>
        </w:rPr>
      </w:pPr>
      <w:r>
        <w:t xml:space="preserve">Partiendo de la </w:t>
      </w:r>
      <w:r w:rsidR="00E36C7B">
        <w:t>Consulta Pública</w:t>
      </w:r>
      <w:r>
        <w:t xml:space="preserve"> realizada</w:t>
      </w:r>
      <w:r w:rsidR="00475996">
        <w:t>,</w:t>
      </w:r>
      <w:r>
        <w:t xml:space="preserve"> los participantes </w:t>
      </w:r>
      <w:r w:rsidR="00C83186">
        <w:t xml:space="preserve">sugirieron que </w:t>
      </w:r>
      <w:r>
        <w:t xml:space="preserve">debería ser posible hacer uso de una </w:t>
      </w:r>
      <w:proofErr w:type="spellStart"/>
      <w:r w:rsidR="00C83186">
        <w:t>c</w:t>
      </w:r>
      <w:r w:rsidR="00912D43">
        <w:t>oubicación</w:t>
      </w:r>
      <w:proofErr w:type="spellEnd"/>
      <w:r>
        <w:t xml:space="preserve"> existente </w:t>
      </w:r>
      <w:r w:rsidR="00C83186">
        <w:t xml:space="preserve">sin que existiera una condición de que deben llevarse a cabo adecuaciones que </w:t>
      </w:r>
      <w:r w:rsidR="00C83186" w:rsidRPr="00C83186">
        <w:t xml:space="preserve">permitan llevar a </w:t>
      </w:r>
      <w:r w:rsidR="00C83186">
        <w:t xml:space="preserve">la </w:t>
      </w:r>
      <w:proofErr w:type="spellStart"/>
      <w:r w:rsidR="00C83186">
        <w:t>c</w:t>
      </w:r>
      <w:r w:rsidR="00C83186" w:rsidRPr="00C83186">
        <w:t>oubicación</w:t>
      </w:r>
      <w:proofErr w:type="spellEnd"/>
      <w:r w:rsidR="00C83186" w:rsidRPr="00C83186">
        <w:t xml:space="preserve"> el cableado del servicio requerido </w:t>
      </w:r>
      <w:r w:rsidR="00C83186">
        <w:t>para su uso</w:t>
      </w:r>
      <w:r w:rsidR="00DD0B9A">
        <w:t>.</w:t>
      </w:r>
      <w:r>
        <w:t xml:space="preserve"> </w:t>
      </w:r>
      <w:r w:rsidR="00C83186" w:rsidRPr="001D7F96">
        <w:rPr>
          <w:lang w:val="es-CO"/>
        </w:rPr>
        <w:t xml:space="preserve">Así mismo, </w:t>
      </w:r>
      <w:r w:rsidR="00C83186">
        <w:rPr>
          <w:lang w:val="es-CO"/>
        </w:rPr>
        <w:t>solicitaron</w:t>
      </w:r>
      <w:r w:rsidR="00C83186" w:rsidRPr="001D7F96">
        <w:rPr>
          <w:lang w:val="es-CO"/>
        </w:rPr>
        <w:t xml:space="preserve"> que</w:t>
      </w:r>
      <w:r w:rsidR="00C83186">
        <w:rPr>
          <w:lang w:val="es-CO"/>
        </w:rPr>
        <w:t xml:space="preserve"> se</w:t>
      </w:r>
      <w:r w:rsidR="00C83186" w:rsidRPr="001D7F96">
        <w:rPr>
          <w:lang w:val="es-CO"/>
        </w:rPr>
        <w:t xml:space="preserve"> garantice de manera efectiva la utilización de los espacios existentes</w:t>
      </w:r>
      <w:r w:rsidR="00C83186">
        <w:rPr>
          <w:lang w:val="es-CO"/>
        </w:rPr>
        <w:t>.</w:t>
      </w:r>
    </w:p>
    <w:p w14:paraId="78E12111" w14:textId="54A5AE60" w:rsidR="00C513F9" w:rsidRPr="00C513F9" w:rsidRDefault="00C513F9" w:rsidP="00C513F9">
      <w:pPr>
        <w:pStyle w:val="IFTnormal"/>
        <w:rPr>
          <w:rFonts w:eastAsiaTheme="minorHAnsi"/>
        </w:rPr>
      </w:pPr>
      <w:r>
        <w:rPr>
          <w:rFonts w:eastAsiaTheme="minorHAnsi"/>
        </w:rPr>
        <w:t xml:space="preserve">Por otro lado, los participantes solicitaron que se </w:t>
      </w:r>
      <w:r w:rsidRPr="00C513F9">
        <w:rPr>
          <w:rFonts w:eastAsiaTheme="minorHAnsi"/>
        </w:rPr>
        <w:t xml:space="preserve">debería incorporar la flexibilidad de que los </w:t>
      </w:r>
      <w:r>
        <w:rPr>
          <w:rFonts w:eastAsiaTheme="minorHAnsi"/>
        </w:rPr>
        <w:t>concesionarios</w:t>
      </w:r>
      <w:r w:rsidRPr="00C513F9">
        <w:rPr>
          <w:rFonts w:eastAsiaTheme="minorHAnsi"/>
        </w:rPr>
        <w:t xml:space="preserve"> puedan utilizar </w:t>
      </w:r>
      <w:r>
        <w:rPr>
          <w:rFonts w:eastAsiaTheme="minorHAnsi"/>
        </w:rPr>
        <w:t>los</w:t>
      </w:r>
      <w:r w:rsidRPr="00C513F9">
        <w:rPr>
          <w:rFonts w:eastAsiaTheme="minorHAnsi"/>
        </w:rPr>
        <w:t xml:space="preserve"> espacios de </w:t>
      </w:r>
      <w:proofErr w:type="spellStart"/>
      <w:r w:rsidRPr="00C513F9">
        <w:rPr>
          <w:rFonts w:eastAsiaTheme="minorHAnsi"/>
        </w:rPr>
        <w:t>coubicación</w:t>
      </w:r>
      <w:proofErr w:type="spellEnd"/>
      <w:r w:rsidRPr="00C513F9">
        <w:rPr>
          <w:rFonts w:eastAsiaTheme="minorHAnsi"/>
        </w:rPr>
        <w:t xml:space="preserve"> de manera indistinta, ya sea para desagregación o para interconexión</w:t>
      </w:r>
      <w:r>
        <w:rPr>
          <w:rFonts w:eastAsiaTheme="minorHAnsi"/>
        </w:rPr>
        <w:t>.</w:t>
      </w:r>
      <w:r w:rsidR="00FF3AB5">
        <w:rPr>
          <w:rFonts w:eastAsiaTheme="minorHAnsi"/>
        </w:rPr>
        <w:t xml:space="preserve"> Así mismo solicitaron </w:t>
      </w:r>
      <w:r w:rsidR="00FF3AB5" w:rsidRPr="001D7F96">
        <w:rPr>
          <w:lang w:val="es-CO"/>
        </w:rPr>
        <w:t>que se elimine la restricción de solicitud de espacio mínimo de 20</w:t>
      </w:r>
      <w:r w:rsidR="00D65583">
        <w:rPr>
          <w:lang w:val="es-CO"/>
        </w:rPr>
        <w:t xml:space="preserve"> </w:t>
      </w:r>
      <w:r w:rsidR="00FF3AB5" w:rsidRPr="001D7F96">
        <w:rPr>
          <w:lang w:val="es-CO"/>
        </w:rPr>
        <w:t>m</w:t>
      </w:r>
      <w:r w:rsidR="00FF3AB5" w:rsidRPr="001D7F96">
        <w:rPr>
          <w:vertAlign w:val="superscript"/>
          <w:lang w:val="es-CO"/>
        </w:rPr>
        <w:t>2</w:t>
      </w:r>
    </w:p>
    <w:p w14:paraId="65900DD2" w14:textId="7651E178" w:rsidR="00100168" w:rsidRDefault="00A3112D" w:rsidP="00AB15BB">
      <w:pPr>
        <w:pStyle w:val="IFTnormal"/>
      </w:pPr>
      <w:r>
        <w:t xml:space="preserve">El Instituto considera que las opiniones de los participantes </w:t>
      </w:r>
      <w:r w:rsidR="00B635D3">
        <w:t>a</w:t>
      </w:r>
      <w:r>
        <w:t xml:space="preserve"> la Consulta Pública </w:t>
      </w:r>
      <w:r w:rsidR="00C83186">
        <w:t>deberán ser evaluadas con el fin de analiza</w:t>
      </w:r>
      <w:r w:rsidR="00D65583">
        <w:t>r</w:t>
      </w:r>
      <w:r w:rsidR="00B635D3">
        <w:t xml:space="preserve"> las causas que pudieran generar cualquier afectación a las </w:t>
      </w:r>
      <w:proofErr w:type="spellStart"/>
      <w:r w:rsidR="00C83186">
        <w:t>c</w:t>
      </w:r>
      <w:r w:rsidR="00B635D3">
        <w:t>oubicaciones</w:t>
      </w:r>
      <w:proofErr w:type="spellEnd"/>
      <w:r w:rsidR="00B635D3">
        <w:t xml:space="preserve"> </w:t>
      </w:r>
      <w:r w:rsidR="00C83186">
        <w:t xml:space="preserve">existentes </w:t>
      </w:r>
      <w:r w:rsidR="00D65583">
        <w:t xml:space="preserve">de otros </w:t>
      </w:r>
      <w:r w:rsidR="00C83186">
        <w:t>concesionarios</w:t>
      </w:r>
      <w:r w:rsidR="00B635D3">
        <w:t>.</w:t>
      </w:r>
      <w:r w:rsidR="00C83186">
        <w:t xml:space="preserve"> </w:t>
      </w:r>
      <w:r w:rsidR="00F57A74">
        <w:t xml:space="preserve">El </w:t>
      </w:r>
      <w:r w:rsidR="00921744">
        <w:t xml:space="preserve">Instituto considera </w:t>
      </w:r>
      <w:r w:rsidR="00176B62">
        <w:t>que,</w:t>
      </w:r>
      <w:r w:rsidR="00921744">
        <w:t xml:space="preserve"> </w:t>
      </w:r>
      <w:r w:rsidR="00C83186">
        <w:t>p</w:t>
      </w:r>
      <w:r w:rsidR="00921744">
        <w:t xml:space="preserve">or el momento, los espacios de </w:t>
      </w:r>
      <w:proofErr w:type="spellStart"/>
      <w:r w:rsidR="00296853">
        <w:t>c</w:t>
      </w:r>
      <w:r w:rsidR="00912D43">
        <w:t>oubicación</w:t>
      </w:r>
      <w:proofErr w:type="spellEnd"/>
      <w:r w:rsidR="00921744">
        <w:t xml:space="preserve"> se rigen por reglas claras que dan certeza suficiente a quien las solicita.</w:t>
      </w:r>
      <w:r w:rsidR="00D10F9D">
        <w:t xml:space="preserve"> Sin embargo</w:t>
      </w:r>
      <w:r w:rsidR="00475996">
        <w:t>,</w:t>
      </w:r>
      <w:r w:rsidR="00D10F9D">
        <w:t xml:space="preserve"> este</w:t>
      </w:r>
      <w:r w:rsidR="00100168">
        <w:t xml:space="preserve"> </w:t>
      </w:r>
      <w:r w:rsidR="00D10F9D">
        <w:t>I</w:t>
      </w:r>
      <w:r w:rsidR="00100168">
        <w:t xml:space="preserve">nstituto considera que los espacios equipados deberán contar con aquellos </w:t>
      </w:r>
      <w:r w:rsidR="00100168">
        <w:lastRenderedPageBreak/>
        <w:t>elementos que permitan satisfacer las necesidades mínimas de los CS, por lo que se cuidará que este servicio no represente una barrera o esté sobredimensionado.</w:t>
      </w:r>
    </w:p>
    <w:p w14:paraId="61299937" w14:textId="3924C070" w:rsidR="00FE678B" w:rsidRPr="005C0C11" w:rsidRDefault="00DE1D62" w:rsidP="00EE6A8A">
      <w:pPr>
        <w:pStyle w:val="1TitPrin"/>
      </w:pPr>
      <w:r>
        <w:t>TRABAJOS ESPECIALES</w:t>
      </w:r>
    </w:p>
    <w:p w14:paraId="43630DF6" w14:textId="78D68553" w:rsidR="00C02A1C" w:rsidRDefault="00475996" w:rsidP="00C02A1C">
      <w:pPr>
        <w:pStyle w:val="IFTnormal"/>
      </w:pPr>
      <w:r>
        <w:t>L</w:t>
      </w:r>
      <w:r w:rsidR="005B6804" w:rsidRPr="00811396">
        <w:t xml:space="preserve">os participantes </w:t>
      </w:r>
      <w:r w:rsidRPr="00811396">
        <w:t xml:space="preserve">de la Consulta Pública </w:t>
      </w:r>
      <w:r w:rsidR="00C02A1C">
        <w:t xml:space="preserve">solicitaron que en la Oferta </w:t>
      </w:r>
      <w:r>
        <w:t xml:space="preserve">de Referencia </w:t>
      </w:r>
      <w:r w:rsidR="00C02A1C">
        <w:t>no se le permita al AEP la cotización de proyectos especiales bajo ninguna circunstancia. También solicitaron que debe poner a disposición los puertos y servicios que le sean solicitados por los CS, sin cotizaciones o co</w:t>
      </w:r>
      <w:r w:rsidR="00AC1E88">
        <w:t>bros adicionales de ningún tipo y que las entregas deben ser realizadas según la complejidad de la instalación, cuyos tiempos deben ser coherentes, razonables y de acuerdo a como el AEP lo haría para sus propias operaciones.</w:t>
      </w:r>
    </w:p>
    <w:p w14:paraId="34A56ADA" w14:textId="1FA92427" w:rsidR="00551ABE" w:rsidRDefault="00C02A1C" w:rsidP="00C02A1C">
      <w:pPr>
        <w:pStyle w:val="IFTnormal"/>
      </w:pPr>
      <w:r>
        <w:t>Por otro lado, indicaron que en caso de mantenerse los trabajos especiales</w:t>
      </w:r>
      <w:r w:rsidR="00AC1E88">
        <w:t xml:space="preserve"> </w:t>
      </w:r>
      <w:r>
        <w:t>el AEP debería estar obligado a entregar puertos en SAIB, así sea contra la entrega de un</w:t>
      </w:r>
      <w:r w:rsidR="00A77887">
        <w:t xml:space="preserve"> pronóstico por parte de los CS,</w:t>
      </w:r>
      <w:r w:rsidR="00AC1E88">
        <w:t xml:space="preserve"> </w:t>
      </w:r>
      <w:r>
        <w:t xml:space="preserve">las </w:t>
      </w:r>
      <w:r w:rsidR="00A77887">
        <w:t>consideraciones</w:t>
      </w:r>
      <w:r>
        <w:t xml:space="preserve"> para que se tenga que llegar a un </w:t>
      </w:r>
      <w:r w:rsidR="00A77887">
        <w:t>trabajo</w:t>
      </w:r>
      <w:r>
        <w:t xml:space="preserve"> especial deben </w:t>
      </w:r>
      <w:r w:rsidR="00A77887">
        <w:t>ser</w:t>
      </w:r>
      <w:r>
        <w:t xml:space="preserve"> </w:t>
      </w:r>
      <w:r w:rsidR="00A77887">
        <w:t xml:space="preserve">específicas y </w:t>
      </w:r>
      <w:r>
        <w:t>detalladas</w:t>
      </w:r>
      <w:r w:rsidR="00A77887">
        <w:t>.</w:t>
      </w:r>
      <w:r>
        <w:t xml:space="preserve"> </w:t>
      </w:r>
      <w:r w:rsidR="00A77887">
        <w:t>L</w:t>
      </w:r>
      <w:r>
        <w:t xml:space="preserve">os precios deben estar justificados en cotizaciones verificables </w:t>
      </w:r>
      <w:r w:rsidR="00EA6514">
        <w:t>en</w:t>
      </w:r>
      <w:r>
        <w:t xml:space="preserve"> los costos con sus proveedores, incluyendo la mano de obra y materiales que los proyectos requieran</w:t>
      </w:r>
      <w:r w:rsidR="00A77887">
        <w:t xml:space="preserve"> y los </w:t>
      </w:r>
      <w:r>
        <w:t>tiempos d</w:t>
      </w:r>
      <w:r w:rsidR="008941B5">
        <w:t>e entrega deben ser razonables.</w:t>
      </w:r>
    </w:p>
    <w:p w14:paraId="4316683A" w14:textId="27B3B003" w:rsidR="00D5567E" w:rsidRPr="00552F27" w:rsidRDefault="0006351F" w:rsidP="00552F27">
      <w:pPr>
        <w:pStyle w:val="IFTnormal"/>
      </w:pPr>
      <w:r>
        <w:t xml:space="preserve">Derivado de los comentarios de los participantes </w:t>
      </w:r>
      <w:r w:rsidR="00CD6602">
        <w:t>este</w:t>
      </w:r>
      <w:r w:rsidR="00551ABE">
        <w:t xml:space="preserve"> Instituto considera que se realizará el análisis</w:t>
      </w:r>
      <w:r>
        <w:t xml:space="preserve"> global</w:t>
      </w:r>
      <w:r w:rsidR="00551ABE">
        <w:t xml:space="preserve"> correspondiente </w:t>
      </w:r>
      <w:r>
        <w:t>a la sección de Trabajos E</w:t>
      </w:r>
      <w:r w:rsidR="00551ABE">
        <w:t>speciales c</w:t>
      </w:r>
      <w:r w:rsidR="00551ABE" w:rsidRPr="00CE511B">
        <w:t>onsidera</w:t>
      </w:r>
      <w:r w:rsidR="00551ABE">
        <w:t xml:space="preserve">ndo </w:t>
      </w:r>
      <w:r>
        <w:t>que la descripción, alcance y procedimientos</w:t>
      </w:r>
      <w:r w:rsidR="00CD6602">
        <w:t xml:space="preserve"> sean claros y confieran certeza a las partes y al mismo Instituto</w:t>
      </w:r>
      <w:r>
        <w:t xml:space="preserve">. Debido a que en los Trabajos Especiales </w:t>
      </w:r>
      <w:r w:rsidR="00551ABE" w:rsidRPr="00CE511B">
        <w:t xml:space="preserve">existe la posibilidad de ocurrencia de varias iteraciones entre el AEP y el CS en la presentación y aceptación de las propuestas, sus cotizaciones y planes de trabajo, </w:t>
      </w:r>
      <w:r>
        <w:t>será necesario hacer el análisis detallado para realizar las precisiones pertinentes para su uso efectivo. P</w:t>
      </w:r>
      <w:r w:rsidRPr="009B5B11">
        <w:t xml:space="preserve">or lo </w:t>
      </w:r>
      <w:r>
        <w:t xml:space="preserve">anterior </w:t>
      </w:r>
      <w:r w:rsidRPr="009B5B11">
        <w:t>se revisar</w:t>
      </w:r>
      <w:r>
        <w:t xml:space="preserve">á </w:t>
      </w:r>
      <w:r w:rsidRPr="009B5B11">
        <w:t xml:space="preserve">a detalle </w:t>
      </w:r>
      <w:r w:rsidR="00EA6514">
        <w:t>los Trabajos E</w:t>
      </w:r>
      <w:r>
        <w:t xml:space="preserve">speciales </w:t>
      </w:r>
      <w:r w:rsidRPr="009B5B11">
        <w:t xml:space="preserve">para </w:t>
      </w:r>
      <w:r>
        <w:t xml:space="preserve">que en caso de proceder modificaciones </w:t>
      </w:r>
      <w:r w:rsidRPr="009B5B11">
        <w:t xml:space="preserve">instruir al AEP sobre los cambios que debe realizar en </w:t>
      </w:r>
      <w:r>
        <w:t>la</w:t>
      </w:r>
      <w:r w:rsidRPr="009B5B11">
        <w:t xml:space="preserve"> Oferta</w:t>
      </w:r>
      <w:r w:rsidR="00CD6602">
        <w:t xml:space="preserve"> de Referencia </w:t>
      </w:r>
      <w:r w:rsidRPr="009B5B11">
        <w:t>con el fin de evitar barreras que puedan limitar la validación, habilitación y entrega del servicio</w:t>
      </w:r>
      <w:r>
        <w:t>.</w:t>
      </w:r>
    </w:p>
    <w:p w14:paraId="7C370AEA" w14:textId="3D1991AD" w:rsidR="006E1367" w:rsidRPr="007217D5" w:rsidRDefault="00552F27" w:rsidP="00EE6A8A">
      <w:pPr>
        <w:pStyle w:val="1TitPrin"/>
      </w:pPr>
      <w:r>
        <w:t>ANEXO A: TARIFAS</w:t>
      </w:r>
    </w:p>
    <w:p w14:paraId="52DD98D6" w14:textId="15C6D694" w:rsidR="00D563E1" w:rsidRDefault="00C2671B" w:rsidP="00850EC8">
      <w:pPr>
        <w:pStyle w:val="IFTnormal"/>
        <w:rPr>
          <w:lang w:val="es-CO"/>
        </w:rPr>
      </w:pPr>
      <w:r w:rsidRPr="00C2671B">
        <w:t xml:space="preserve">En la </w:t>
      </w:r>
      <w:r w:rsidR="00E36C7B">
        <w:t>Consulta Pública</w:t>
      </w:r>
      <w:r w:rsidRPr="00C2671B">
        <w:t xml:space="preserve"> los participantes expresaron </w:t>
      </w:r>
      <w:r w:rsidR="00F0602E">
        <w:t xml:space="preserve">su </w:t>
      </w:r>
      <w:r w:rsidR="00EA6514" w:rsidRPr="00C2671B">
        <w:t>opinión</w:t>
      </w:r>
      <w:r w:rsidRPr="00C2671B">
        <w:t xml:space="preserve"> en el sentido de</w:t>
      </w:r>
      <w:r w:rsidR="00913882">
        <w:t xml:space="preserve"> </w:t>
      </w:r>
      <w:r w:rsidR="00EA6514">
        <w:t xml:space="preserve">que </w:t>
      </w:r>
      <w:r w:rsidR="00D563E1" w:rsidRPr="001D7F96">
        <w:rPr>
          <w:lang w:val="es-CO"/>
        </w:rPr>
        <w:t>no considera</w:t>
      </w:r>
      <w:r w:rsidR="00D563E1">
        <w:rPr>
          <w:lang w:val="es-CO"/>
        </w:rPr>
        <w:t>n</w:t>
      </w:r>
      <w:r w:rsidR="00D563E1" w:rsidRPr="001D7F96">
        <w:rPr>
          <w:lang w:val="es-CO"/>
        </w:rPr>
        <w:t xml:space="preserve"> necesario comentar </w:t>
      </w:r>
      <w:r w:rsidR="00D563E1">
        <w:rPr>
          <w:lang w:val="es-CO"/>
        </w:rPr>
        <w:t xml:space="preserve">en detalle </w:t>
      </w:r>
      <w:r w:rsidR="00D563E1" w:rsidRPr="001D7F96">
        <w:rPr>
          <w:lang w:val="es-CO"/>
        </w:rPr>
        <w:t xml:space="preserve">al respecto de las tarifas incluidas en la </w:t>
      </w:r>
      <w:r w:rsidR="00393502">
        <w:rPr>
          <w:lang w:val="es-CO"/>
        </w:rPr>
        <w:t>Propuesta</w:t>
      </w:r>
      <w:r w:rsidR="00D563E1">
        <w:rPr>
          <w:lang w:val="es-CO"/>
        </w:rPr>
        <w:t>,</w:t>
      </w:r>
      <w:r w:rsidR="00D563E1" w:rsidRPr="001D7F96">
        <w:rPr>
          <w:lang w:val="es-CO"/>
        </w:rPr>
        <w:t xml:space="preserve"> ya que entiende</w:t>
      </w:r>
      <w:r w:rsidR="00D563E1">
        <w:rPr>
          <w:lang w:val="es-CO"/>
        </w:rPr>
        <w:t>n</w:t>
      </w:r>
      <w:r w:rsidR="00D563E1" w:rsidRPr="001D7F96">
        <w:rPr>
          <w:lang w:val="es-CO"/>
        </w:rPr>
        <w:t xml:space="preserve"> que podrá</w:t>
      </w:r>
      <w:r w:rsidR="00D563E1">
        <w:rPr>
          <w:lang w:val="es-CO"/>
        </w:rPr>
        <w:t>n</w:t>
      </w:r>
      <w:r w:rsidR="00D563E1" w:rsidRPr="001D7F96">
        <w:rPr>
          <w:lang w:val="es-CO"/>
        </w:rPr>
        <w:t xml:space="preserve"> expresar su opinión </w:t>
      </w:r>
      <w:r w:rsidR="00D563E1">
        <w:rPr>
          <w:lang w:val="es-CO"/>
        </w:rPr>
        <w:t xml:space="preserve">en el corto plazo </w:t>
      </w:r>
      <w:r w:rsidR="00EA6514">
        <w:rPr>
          <w:lang w:val="es-CO"/>
        </w:rPr>
        <w:t>en las correspondientes Consultas Públicas sobre los M</w:t>
      </w:r>
      <w:r w:rsidR="00D563E1" w:rsidRPr="001D7F96">
        <w:rPr>
          <w:lang w:val="es-CO"/>
        </w:rPr>
        <w:t xml:space="preserve">odelos de </w:t>
      </w:r>
      <w:r w:rsidR="00EA6514">
        <w:rPr>
          <w:lang w:val="es-CO"/>
        </w:rPr>
        <w:t>C</w:t>
      </w:r>
      <w:r w:rsidR="00D563E1" w:rsidRPr="001D7F96">
        <w:rPr>
          <w:lang w:val="es-CO"/>
        </w:rPr>
        <w:t>ostos.</w:t>
      </w:r>
    </w:p>
    <w:p w14:paraId="1EEF751A" w14:textId="6084C614" w:rsidR="007217D5" w:rsidRDefault="00FF7E83" w:rsidP="00EE6A8A">
      <w:pPr>
        <w:pStyle w:val="1TitPrin"/>
      </w:pPr>
      <w:r>
        <w:t>ANEXO B: PENAS CONVENCIONALES</w:t>
      </w:r>
    </w:p>
    <w:p w14:paraId="7DC3486D" w14:textId="46829836" w:rsidR="00D563E1" w:rsidRDefault="00AA224A" w:rsidP="00D563E1">
      <w:pPr>
        <w:pStyle w:val="IFTnormal"/>
      </w:pPr>
      <w:r w:rsidRPr="00AA224A">
        <w:t xml:space="preserve">En la </w:t>
      </w:r>
      <w:r w:rsidR="00E36C7B">
        <w:t>Consulta Pública</w:t>
      </w:r>
      <w:r w:rsidRPr="00AA224A">
        <w:t xml:space="preserve"> los participantes expresaro</w:t>
      </w:r>
      <w:r w:rsidR="00F14A2A">
        <w:t>n opiniones en el sentido</w:t>
      </w:r>
      <w:r w:rsidR="00D563E1">
        <w:t xml:space="preserve"> </w:t>
      </w:r>
      <w:r w:rsidR="00F14A2A">
        <w:t xml:space="preserve">de </w:t>
      </w:r>
      <w:r w:rsidR="00D563E1">
        <w:t xml:space="preserve">que sean eliminadas todas las referencias a los métodos de contacto primarios que no </w:t>
      </w:r>
      <w:r w:rsidR="00D563E1">
        <w:lastRenderedPageBreak/>
        <w:t>sean el SEG. También solicitaron, sean eliminadas todas las referencias al Sistema de Captura, ya que ese sistema quedó obsoleto con la entrada en operación del SEG.</w:t>
      </w:r>
    </w:p>
    <w:p w14:paraId="0765A8F6" w14:textId="527D4ED4" w:rsidR="00717C0C" w:rsidRDefault="00717C0C" w:rsidP="00D563E1">
      <w:pPr>
        <w:pStyle w:val="IFTnormal"/>
      </w:pPr>
      <w:r>
        <w:t xml:space="preserve">Adicionalmente solicitaron que </w:t>
      </w:r>
      <w:r w:rsidRPr="00717C0C">
        <w:t>el SEG sea el método primario de contacto, y que cada una de las nov</w:t>
      </w:r>
      <w:r>
        <w:t>edades queden registradas en él. Así mismo solicitaron que s</w:t>
      </w:r>
      <w:r w:rsidRPr="00717C0C">
        <w:t>e incorpore en el SEG un procedimiento especifico de reporte de fallas por servicio</w:t>
      </w:r>
      <w:r>
        <w:t>.</w:t>
      </w:r>
    </w:p>
    <w:p w14:paraId="2C460F61" w14:textId="0C4438E4" w:rsidR="00717C0C" w:rsidRDefault="00717C0C" w:rsidP="00D563E1">
      <w:pPr>
        <w:pStyle w:val="IFTnormal"/>
        <w:rPr>
          <w:lang w:val="es-CO"/>
        </w:rPr>
      </w:pPr>
      <w:r>
        <w:t xml:space="preserve">Por otro lado, los participantes en la Consulta Pública solicitaron que </w:t>
      </w:r>
      <w:r w:rsidRPr="001D7F96">
        <w:rPr>
          <w:lang w:val="es-CO"/>
        </w:rPr>
        <w:t>la programación de atención de fallas tenga disponibilidad para los CS los días sábado, teniendo en cuenta que el AEP provee servicios de instalación ese día y también ofrece servicios de atención de incidencias para sus propias operaciones.</w:t>
      </w:r>
    </w:p>
    <w:p w14:paraId="30474BE2" w14:textId="19EED8B5" w:rsidR="00717C0C" w:rsidRPr="00717C0C" w:rsidRDefault="00717C0C" w:rsidP="00717C0C">
      <w:pPr>
        <w:pStyle w:val="IFTnormal"/>
        <w:rPr>
          <w:lang w:val="es-CO"/>
        </w:rPr>
      </w:pPr>
      <w:r>
        <w:rPr>
          <w:lang w:val="es-CO"/>
        </w:rPr>
        <w:t xml:space="preserve">Por último, solicitaron que </w:t>
      </w:r>
      <w:r w:rsidRPr="00717C0C">
        <w:rPr>
          <w:lang w:val="es-CO"/>
        </w:rPr>
        <w:t>se restituya la posibilidad de ofrecer servicios de voz sobre FTTH, y se incluyan dentro de los Anexos B y C sus respectivos acuerdos de nivel de servicio, penalidades asociadas a calidad de servicio y un procedimiento detallado para la atención de fallas e incidencias.</w:t>
      </w:r>
      <w:r>
        <w:rPr>
          <w:lang w:val="es-CO"/>
        </w:rPr>
        <w:t xml:space="preserve"> Así como mantener las redacciones de la Oferta </w:t>
      </w:r>
      <w:r w:rsidR="00393502">
        <w:rPr>
          <w:lang w:val="es-CO"/>
        </w:rPr>
        <w:t>de Referencia V</w:t>
      </w:r>
      <w:r>
        <w:rPr>
          <w:lang w:val="es-CO"/>
        </w:rPr>
        <w:t>igente referente al</w:t>
      </w:r>
      <w:r w:rsidRPr="00717C0C">
        <w:rPr>
          <w:lang w:val="es-CO"/>
        </w:rPr>
        <w:t xml:space="preserve"> reemplazo de un </w:t>
      </w:r>
      <w:r w:rsidR="000730C5">
        <w:rPr>
          <w:lang w:val="es-CO"/>
        </w:rPr>
        <w:t>módem</w:t>
      </w:r>
      <w:r w:rsidRPr="00717C0C">
        <w:rPr>
          <w:lang w:val="es-CO"/>
        </w:rPr>
        <w:t xml:space="preserve"> u ONT provistos por el AEP</w:t>
      </w:r>
      <w:r>
        <w:rPr>
          <w:lang w:val="es-CO"/>
        </w:rPr>
        <w:t>.</w:t>
      </w:r>
    </w:p>
    <w:p w14:paraId="1784AAB7" w14:textId="0BDC7BFB" w:rsidR="00DE2543" w:rsidRDefault="008E021D" w:rsidP="00FF7E83">
      <w:pPr>
        <w:pStyle w:val="IFTnormal"/>
      </w:pPr>
      <w:r w:rsidRPr="008E021D">
        <w:t>El Instituto considera procedente realizar un análisis al anexo de Penas Convencionales para evitar posibles barreras establecidas indirectamente en la redacción del documento.</w:t>
      </w:r>
      <w:r w:rsidR="00D17756">
        <w:t xml:space="preserve"> Asimismo, dado que la finalidad del documento es establecer penalidades ante el incumplimiento del AEP en caso de incumplimiento ante el aprovisionamiento o atención de reportes de falla de los servicios de desagregación dentro de sus respectivos tiempos, es pertinente realizar un análisis de todos los casos en los que pudiera proceder alguna sanción.</w:t>
      </w:r>
    </w:p>
    <w:p w14:paraId="1D5BEE58" w14:textId="6C8E5121" w:rsidR="00D17756" w:rsidRDefault="00D17756" w:rsidP="00FF7E83">
      <w:pPr>
        <w:pStyle w:val="IFTnormal"/>
      </w:pPr>
      <w:r>
        <w:t xml:space="preserve">Por otra parte, </w:t>
      </w:r>
      <w:r w:rsidRPr="00D17756">
        <w:t xml:space="preserve">a juicio del Instituto, los plazos </w:t>
      </w:r>
      <w:r>
        <w:t xml:space="preserve">en cuanto a habilitación y entrega de los servicios </w:t>
      </w:r>
      <w:r w:rsidRPr="00D17756">
        <w:t>tienden a disminuir con la práctica y no a aumentar, debido a la curva de aprendizaje del AEP y la aportación de medios humanos y sistemas informáticos para el tratamiento de las solicitudes, por lo que se requ</w:t>
      </w:r>
      <w:r w:rsidR="00EA390A">
        <w:t>iere examinar los tiempos y</w:t>
      </w:r>
      <w:r w:rsidRPr="00D17756">
        <w:t xml:space="preserve"> periodos, con la finalidad de que el AEP y los CS se encuentren en igualdad de condiciones para ofrecer el servicio a sus usuarios.</w:t>
      </w:r>
    </w:p>
    <w:p w14:paraId="73689159" w14:textId="7B4FE009" w:rsidR="00DE2AB2" w:rsidRPr="00171F59" w:rsidRDefault="001F5CB9" w:rsidP="00FF7E83">
      <w:pPr>
        <w:pStyle w:val="IFTnormal"/>
      </w:pPr>
      <w:r>
        <w:t>Por último, r</w:t>
      </w:r>
      <w:r w:rsidR="000C6977">
        <w:t xml:space="preserve">especto a </w:t>
      </w:r>
      <w:r w:rsidR="00717C0C">
        <w:t>las descripciones o alcances que fueron eliminadas del anexo</w:t>
      </w:r>
      <w:r w:rsidR="000C6977">
        <w:t>, el Instituto considera procedente examinar su inclusión en la Oferta</w:t>
      </w:r>
      <w:r w:rsidR="00876036">
        <w:t xml:space="preserve"> de Referencia</w:t>
      </w:r>
      <w:r w:rsidR="000C6977">
        <w:t xml:space="preserve">, debido a se debe establecer </w:t>
      </w:r>
      <w:r w:rsidR="00717C0C">
        <w:t xml:space="preserve">por lo menos las condiciones establecidas en la Oferta </w:t>
      </w:r>
      <w:r w:rsidR="00876036">
        <w:t>de Referencia V</w:t>
      </w:r>
      <w:r w:rsidR="00717C0C">
        <w:t>igente.</w:t>
      </w:r>
    </w:p>
    <w:p w14:paraId="63F53305" w14:textId="5D644473" w:rsidR="005D6F82" w:rsidRDefault="00FF7E83" w:rsidP="00EE6A8A">
      <w:pPr>
        <w:pStyle w:val="1TitPrin"/>
      </w:pPr>
      <w:r w:rsidRPr="000D7ECB">
        <w:t>ANEXO F: CONVENIO DE PRESTACIÓN DE SERVICIOS DE TELECOMUNICACIONES</w:t>
      </w:r>
    </w:p>
    <w:p w14:paraId="12289151" w14:textId="113E8076" w:rsidR="006D4EFA" w:rsidRDefault="00233C87" w:rsidP="006D4EFA">
      <w:pPr>
        <w:pStyle w:val="IFTnormal"/>
      </w:pPr>
      <w:r w:rsidRPr="00FF7E83">
        <w:t xml:space="preserve">En la </w:t>
      </w:r>
      <w:r w:rsidR="00E36C7B" w:rsidRPr="00FF7E83">
        <w:t>Consulta Pública</w:t>
      </w:r>
      <w:r w:rsidRPr="00FF7E83">
        <w:t xml:space="preserve"> los participantes </w:t>
      </w:r>
      <w:r w:rsidR="00E2461C">
        <w:t>solicitaron que</w:t>
      </w:r>
      <w:r w:rsidR="00E2461C" w:rsidRPr="00FF7E83">
        <w:t xml:space="preserve"> </w:t>
      </w:r>
      <w:r w:rsidR="006D4EFA" w:rsidRPr="006D4EFA">
        <w:t>la</w:t>
      </w:r>
      <w:r w:rsidR="006D4EFA">
        <w:t>s D</w:t>
      </w:r>
      <w:r w:rsidR="006D4EFA" w:rsidRPr="006D4EFA">
        <w:t xml:space="preserve">eclaraciones del </w:t>
      </w:r>
      <w:r w:rsidR="006D4EFA">
        <w:t>C</w:t>
      </w:r>
      <w:r w:rsidR="006D4EFA" w:rsidRPr="006D4EFA">
        <w:t>onvenio</w:t>
      </w:r>
      <w:r w:rsidR="006D4EFA">
        <w:t xml:space="preserve"> (Anexo F), Numeral II, Apartados F, G y H, </w:t>
      </w:r>
      <w:r w:rsidR="00E2461C">
        <w:t xml:space="preserve">deben eliminarse lo establecido </w:t>
      </w:r>
      <w:r w:rsidR="00E2461C">
        <w:lastRenderedPageBreak/>
        <w:t>respecto a las impugnaciones de resoluciones o mandatos de Ley mandatados al AEP.</w:t>
      </w:r>
    </w:p>
    <w:p w14:paraId="17CBEAAA" w14:textId="3EA76EA8" w:rsidR="00D74FF8" w:rsidRDefault="00D74FF8" w:rsidP="006D4EFA">
      <w:pPr>
        <w:pStyle w:val="IFTnormal"/>
      </w:pPr>
      <w:r>
        <w:t>Por otro lado</w:t>
      </w:r>
      <w:r w:rsidR="008B7491">
        <w:t>,</w:t>
      </w:r>
      <w:r>
        <w:t xml:space="preserve"> solicitaron que sea modificada </w:t>
      </w:r>
      <w:r w:rsidRPr="00D74FF8">
        <w:t>las Declaraciones del Convenio, Numeral III, Apartados ÚNICO</w:t>
      </w:r>
      <w:r>
        <w:t xml:space="preserve"> </w:t>
      </w:r>
      <w:r w:rsidRPr="00D74FF8">
        <w:t>para que quede la certeza que el AEP también se vincula a lo est</w:t>
      </w:r>
      <w:r>
        <w:t>ipulado por el Instituto en la r</w:t>
      </w:r>
      <w:r w:rsidRPr="00D74FF8">
        <w:t xml:space="preserve">esolución y la </w:t>
      </w:r>
      <w:r>
        <w:t>Oferta</w:t>
      </w:r>
      <w:r w:rsidR="00C312AE">
        <w:t xml:space="preserve"> de Referencia</w:t>
      </w:r>
      <w:r w:rsidRPr="00D74FF8">
        <w:t>.</w:t>
      </w:r>
      <w:r w:rsidR="008B7491">
        <w:t xml:space="preserve"> También solicitaron </w:t>
      </w:r>
      <w:r w:rsidR="008B7491" w:rsidRPr="008B7491">
        <w:t>que</w:t>
      </w:r>
      <w:r w:rsidR="008B7491">
        <w:t xml:space="preserve"> se</w:t>
      </w:r>
      <w:r w:rsidR="008B7491" w:rsidRPr="008B7491">
        <w:t xml:space="preserve"> modifique el plazo de pagos recurrentes a 30 días, para homogeneizar los plazos de pago entre todas las ofertas.</w:t>
      </w:r>
    </w:p>
    <w:p w14:paraId="62EB9B79" w14:textId="7CF0E079" w:rsidR="00B41492" w:rsidRDefault="00B41492" w:rsidP="006D4EFA">
      <w:pPr>
        <w:pStyle w:val="IFTnormal"/>
        <w:rPr>
          <w:lang w:val="es-CO"/>
        </w:rPr>
      </w:pPr>
      <w:r>
        <w:t xml:space="preserve">Adicionalmente </w:t>
      </w:r>
      <w:r>
        <w:rPr>
          <w:lang w:val="es-CO"/>
        </w:rPr>
        <w:t xml:space="preserve">solicitaron que </w:t>
      </w:r>
      <w:r w:rsidR="00C312AE">
        <w:rPr>
          <w:lang w:val="es-CO"/>
        </w:rPr>
        <w:t xml:space="preserve">se </w:t>
      </w:r>
      <w:r>
        <w:rPr>
          <w:lang w:val="es-CO"/>
        </w:rPr>
        <w:t>indique en el Convenio las personas encargadas de recibir los cheques en el domicilio del AEP y que se especifique los datos bancarios donde deberán ser transferidos los pagos.</w:t>
      </w:r>
    </w:p>
    <w:p w14:paraId="21B5885E" w14:textId="354485DD" w:rsidR="00F0797B" w:rsidRDefault="00F0797B" w:rsidP="006D4EFA">
      <w:pPr>
        <w:pStyle w:val="IFTnormal"/>
      </w:pPr>
      <w:r>
        <w:t>Los participantes también solicitaron que del apartado “</w:t>
      </w:r>
      <w:r w:rsidRPr="00F0797B">
        <w:t>b) Inconformidades</w:t>
      </w:r>
      <w:r>
        <w:t>”, numeral (iii) de l</w:t>
      </w:r>
      <w:r w:rsidRPr="00F0797B">
        <w:t>a Cláusula 3</w:t>
      </w:r>
      <w:r>
        <w:t>, sea modificado para que se integre lo siguiente: “</w:t>
      </w:r>
      <w:r w:rsidRPr="00174617">
        <w:rPr>
          <w:i/>
          <w:lang w:val="es-CO"/>
        </w:rPr>
        <w:t>vía correo electrónico a la dirección que será provista por Telmex a la firma de este Convenio</w:t>
      </w:r>
      <w:r>
        <w:t>”. Adicionalmente solicitaron que se restauren los textos de</w:t>
      </w:r>
      <w:r w:rsidR="00C312AE">
        <w:t>l Convenio de</w:t>
      </w:r>
      <w:r>
        <w:t xml:space="preserve"> la Oferta </w:t>
      </w:r>
      <w:r w:rsidR="00C312AE">
        <w:t>de Referencia V</w:t>
      </w:r>
      <w:r>
        <w:t>igente.</w:t>
      </w:r>
    </w:p>
    <w:p w14:paraId="016302F3" w14:textId="1F548DC5" w:rsidR="00711152" w:rsidRDefault="00711152" w:rsidP="006D4EFA">
      <w:pPr>
        <w:pStyle w:val="IFTnormal"/>
      </w:pPr>
      <w:r>
        <w:t>Solicitaron</w:t>
      </w:r>
      <w:r w:rsidRPr="00711152">
        <w:t xml:space="preserve"> la eliminación de la Cláusula </w:t>
      </w:r>
      <w:r>
        <w:t>tercera</w:t>
      </w:r>
      <w:r w:rsidRPr="00711152">
        <w:t xml:space="preserve"> y la introducción de un proceso de reconciliación mensual de facturas entre el AEP y el CS similar al aplicable en otras jurisdiccio</w:t>
      </w:r>
      <w:r>
        <w:t>nes. Adicionalmente, solicitaron</w:t>
      </w:r>
      <w:r w:rsidRPr="00711152">
        <w:t xml:space="preserve"> que el AEP esté obligado a compensar en sus facturas los montos que este le adeude por cualquier penalidad aplicable.</w:t>
      </w:r>
      <w:r>
        <w:t xml:space="preserve"> </w:t>
      </w:r>
    </w:p>
    <w:p w14:paraId="5281006F" w14:textId="0CC1E54A" w:rsidR="00711152" w:rsidRDefault="00711152" w:rsidP="006D4EFA">
      <w:pPr>
        <w:pStyle w:val="IFTnormal"/>
      </w:pPr>
      <w:r>
        <w:t xml:space="preserve">Respecto a la </w:t>
      </w:r>
      <w:r w:rsidRPr="00711152">
        <w:t xml:space="preserve">Cláusula tercera </w:t>
      </w:r>
      <w:r>
        <w:t>“</w:t>
      </w:r>
      <w:r w:rsidRPr="00174617">
        <w:rPr>
          <w:i/>
        </w:rPr>
        <w:t>Facturación extemporánea</w:t>
      </w:r>
      <w:r>
        <w:t>” los participantes indicaron que p</w:t>
      </w:r>
      <w:r w:rsidRPr="00711152">
        <w:t>or reciprocidad los periodos deberían ser exactamente los mismos para las cont</w:t>
      </w:r>
      <w:r>
        <w:t>rapartes, por lo que solicitaron</w:t>
      </w:r>
      <w:r w:rsidRPr="00711152">
        <w:t xml:space="preserve"> que</w:t>
      </w:r>
      <w:r>
        <w:t xml:space="preserve"> sean</w:t>
      </w:r>
      <w:r w:rsidRPr="00711152">
        <w:t xml:space="preserve"> iguales los plazos para la presentación de facturación extemporánea.</w:t>
      </w:r>
    </w:p>
    <w:p w14:paraId="0586101E" w14:textId="6E5A9337" w:rsidR="00711152" w:rsidRDefault="00711152" w:rsidP="00F71634">
      <w:pPr>
        <w:pStyle w:val="IFTnormal"/>
      </w:pPr>
      <w:r>
        <w:t xml:space="preserve">En relación a la </w:t>
      </w:r>
      <w:r w:rsidRPr="00711152">
        <w:t xml:space="preserve">Cláusula sexta </w:t>
      </w:r>
      <w:r>
        <w:t>“</w:t>
      </w:r>
      <w:r w:rsidRPr="00174617">
        <w:rPr>
          <w:i/>
        </w:rPr>
        <w:t>Incumplimiento en la entrega de los servicios</w:t>
      </w:r>
      <w:r>
        <w:t>”</w:t>
      </w:r>
      <w:r w:rsidR="00F71634">
        <w:t xml:space="preserve"> los participantes solicitaron que se considere la posibilidad de incluir un procedimiento de conciliación de facturas, </w:t>
      </w:r>
      <w:r w:rsidR="00F71634" w:rsidRPr="00F71634">
        <w:t>donde el AEP pueda emitir notas créditos por pagos que tenga pendientes con los CS.</w:t>
      </w:r>
      <w:r w:rsidR="00F71634">
        <w:t xml:space="preserve"> Sobre esta misma clausula solicitaron que se volviera</w:t>
      </w:r>
      <w:r w:rsidR="00F71634" w:rsidRPr="00F71634">
        <w:t xml:space="preserve"> </w:t>
      </w:r>
      <w:r w:rsidR="00F71634">
        <w:t>a incluir el texto eliminado del Convenio</w:t>
      </w:r>
      <w:r w:rsidR="00F71634" w:rsidRPr="00F71634">
        <w:t>.</w:t>
      </w:r>
    </w:p>
    <w:p w14:paraId="23CE917B" w14:textId="6720C6EF" w:rsidR="00210C71" w:rsidRDefault="00210C71" w:rsidP="00F71634">
      <w:pPr>
        <w:pStyle w:val="IFTnormal"/>
      </w:pPr>
      <w:r>
        <w:t xml:space="preserve">De la </w:t>
      </w:r>
      <w:r w:rsidRPr="00210C71">
        <w:t xml:space="preserve">Cláusula novena </w:t>
      </w:r>
      <w:r>
        <w:t>“</w:t>
      </w:r>
      <w:r w:rsidRPr="00174617">
        <w:rPr>
          <w:i/>
        </w:rPr>
        <w:t>Cesión de derechos</w:t>
      </w:r>
      <w:r>
        <w:t xml:space="preserve">” los participantes </w:t>
      </w:r>
      <w:r w:rsidRPr="00210C71">
        <w:t>solicita</w:t>
      </w:r>
      <w:r>
        <w:t>ron</w:t>
      </w:r>
      <w:r w:rsidRPr="00210C71">
        <w:t xml:space="preserve"> que se establezca un plazo de 30 días naturales para realizar la notificación </w:t>
      </w:r>
      <w:r>
        <w:t xml:space="preserve">después de efectuada la cesión. Aclararon que </w:t>
      </w:r>
      <w:r w:rsidRPr="00210C71">
        <w:t xml:space="preserve">dicho plazo </w:t>
      </w:r>
      <w:r>
        <w:t xml:space="preserve">propuesto </w:t>
      </w:r>
      <w:r w:rsidRPr="00210C71">
        <w:t>resulta suficiente para realizar el aviso correspondiente.</w:t>
      </w:r>
    </w:p>
    <w:p w14:paraId="44FC6916" w14:textId="3EBE7FC9" w:rsidR="00210C71" w:rsidRDefault="00210C71" w:rsidP="00FF7E83">
      <w:pPr>
        <w:pStyle w:val="IFTnormal"/>
      </w:pPr>
      <w:r w:rsidRPr="00210C71">
        <w:t xml:space="preserve">Cláusula décima </w:t>
      </w:r>
      <w:r>
        <w:t>“</w:t>
      </w:r>
      <w:r w:rsidRPr="00174617">
        <w:rPr>
          <w:i/>
        </w:rPr>
        <w:t>Continuidad y suspensión de los servicios de desagregación</w:t>
      </w:r>
      <w:r>
        <w:t>” los participantes solicitaron que</w:t>
      </w:r>
      <w:r w:rsidRPr="00210C71">
        <w:t xml:space="preserve"> se vuelva a incluir el texto relacionado con respecto al punto 10.1 y se elimine el texto del punto 10.2.2.</w:t>
      </w:r>
      <w:r>
        <w:t xml:space="preserve"> </w:t>
      </w:r>
      <w:r w:rsidR="0091319F">
        <w:t xml:space="preserve">Así mismo solicitaron que se vuelva a incluir el texto eliminado de la </w:t>
      </w:r>
      <w:r w:rsidRPr="00210C71">
        <w:t xml:space="preserve">Cláusula Décima Primera </w:t>
      </w:r>
      <w:r w:rsidR="0091319F">
        <w:t>“</w:t>
      </w:r>
      <w:r w:rsidRPr="00174617">
        <w:rPr>
          <w:i/>
        </w:rPr>
        <w:t xml:space="preserve">Causas de fuerza </w:t>
      </w:r>
      <w:r w:rsidRPr="00174617">
        <w:rPr>
          <w:i/>
        </w:rPr>
        <w:lastRenderedPageBreak/>
        <w:t>mayor y/o caso fortuito</w:t>
      </w:r>
      <w:r w:rsidR="0091319F">
        <w:t xml:space="preserve">”, </w:t>
      </w:r>
      <w:r w:rsidR="0091319F" w:rsidRPr="0091319F">
        <w:t>Clá</w:t>
      </w:r>
      <w:r w:rsidR="0091319F">
        <w:t>u</w:t>
      </w:r>
      <w:r w:rsidR="0091319F" w:rsidRPr="0091319F">
        <w:t xml:space="preserve">sula décima tercera </w:t>
      </w:r>
      <w:r w:rsidR="0091319F">
        <w:t>“</w:t>
      </w:r>
      <w:r w:rsidR="0091319F" w:rsidRPr="00174617">
        <w:rPr>
          <w:i/>
        </w:rPr>
        <w:t>Rescisión del Convenio</w:t>
      </w:r>
      <w:r w:rsidR="0091319F">
        <w:t xml:space="preserve">” y </w:t>
      </w:r>
      <w:r w:rsidR="0091319F" w:rsidRPr="0091319F">
        <w:t xml:space="preserve">Cláusula Décima Quinta </w:t>
      </w:r>
      <w:r w:rsidR="0091319F">
        <w:t>“</w:t>
      </w:r>
      <w:r w:rsidR="0091319F" w:rsidRPr="00174617">
        <w:rPr>
          <w:i/>
        </w:rPr>
        <w:t>Relaciones laborales</w:t>
      </w:r>
      <w:r w:rsidR="0091319F">
        <w:t>”.</w:t>
      </w:r>
    </w:p>
    <w:p w14:paraId="5BEB2C9F" w14:textId="14B9654E" w:rsidR="0091319F" w:rsidRDefault="0091319F" w:rsidP="00FF7E83">
      <w:pPr>
        <w:pStyle w:val="IFTnormal"/>
      </w:pPr>
      <w:r>
        <w:t xml:space="preserve">Los participantes de la Consulta Pública indicaron que respecto a la </w:t>
      </w:r>
      <w:r w:rsidRPr="0091319F">
        <w:t xml:space="preserve">Cláusula Décima Segunda </w:t>
      </w:r>
      <w:r>
        <w:t>“</w:t>
      </w:r>
      <w:r w:rsidRPr="00174617">
        <w:rPr>
          <w:i/>
        </w:rPr>
        <w:t>Terminación anticipada</w:t>
      </w:r>
      <w:r>
        <w:t xml:space="preserve">” expresaron que se debe considerar </w:t>
      </w:r>
      <w:r w:rsidR="001A5E62">
        <w:t>que,</w:t>
      </w:r>
      <w:r>
        <w:t xml:space="preserve"> e</w:t>
      </w:r>
      <w:r w:rsidRPr="0091319F">
        <w:t>n la prestación de servicios de telecomunicaciones, no se puede de manera unilateral dar por terminado algún contrato tratándose de servicios concesionados. Para ello se requiere de autorización expresa del IFT, por lo que aún con la solicitud de terminación subsistirán en términos de ley aquellas obligaciones que por su naturaleza deban permanecer vigentes aún después de ocurridas la terminación o rescisión.</w:t>
      </w:r>
    </w:p>
    <w:p w14:paraId="0808D0B7" w14:textId="3D1E5BB9" w:rsidR="001A5E62" w:rsidRDefault="001A5E62" w:rsidP="001A5E62">
      <w:pPr>
        <w:pStyle w:val="IFTnormal"/>
      </w:pPr>
      <w:r>
        <w:t xml:space="preserve">En relación de la </w:t>
      </w:r>
      <w:r w:rsidRPr="001A5E62">
        <w:t xml:space="preserve">Cláusula Vigésima Segunda </w:t>
      </w:r>
      <w:r>
        <w:t>“</w:t>
      </w:r>
      <w:r w:rsidRPr="00174617">
        <w:rPr>
          <w:i/>
        </w:rPr>
        <w:t>Suspensión de medidas de preponderancia</w:t>
      </w:r>
      <w:r>
        <w:rPr>
          <w:i/>
        </w:rPr>
        <w:t>”,</w:t>
      </w:r>
      <w:r>
        <w:t xml:space="preserve"> los participantes sugirieron la eliminación de dicha Cláusula, y la integración de un texto que indique de que en el caso de que el AEP dejara de serlo, el </w:t>
      </w:r>
      <w:r w:rsidR="00EA3D8C">
        <w:t>Instituto</w:t>
      </w:r>
      <w:r>
        <w:t xml:space="preserve"> impondrá un plan de transición con sus correspondientes características técnicas y comerciales en el que se garantice que se tienen en cuenta las inversiones realizadas y su plazo de recuperación, la existencia de alternativas a la infraestructura del AEP y la continuada prestación de los servicios a los usuarios finales, etc.</w:t>
      </w:r>
    </w:p>
    <w:p w14:paraId="07226F6C" w14:textId="6D66EDC9" w:rsidR="00700AFF" w:rsidRDefault="00700AFF" w:rsidP="00700AFF">
      <w:pPr>
        <w:pStyle w:val="IFTnormal"/>
      </w:pPr>
      <w:r>
        <w:t xml:space="preserve">Los participantes solicitaron la modificación de la </w:t>
      </w:r>
      <w:r w:rsidRPr="00700AFF">
        <w:t xml:space="preserve">Cláusula Vigésima Tercera </w:t>
      </w:r>
      <w:r>
        <w:t>“</w:t>
      </w:r>
      <w:r w:rsidRPr="00174617">
        <w:rPr>
          <w:i/>
        </w:rPr>
        <w:t>Trato no discriminatorio</w:t>
      </w:r>
      <w:r>
        <w:rPr>
          <w:i/>
        </w:rPr>
        <w:t xml:space="preserve">”, </w:t>
      </w:r>
      <w:r>
        <w:t xml:space="preserve">para que en ella se establezca lo siguiente: 1) que el AEP notifique al </w:t>
      </w:r>
      <w:r w:rsidR="00EA3D8C">
        <w:t>Instituto</w:t>
      </w:r>
      <w:r>
        <w:t xml:space="preserve"> y a los es los mejores términos y condiciones aplicados a otros es de manera inmediata y que estos sean de aplicación automática y adheridos al convenio ya firmado como una extensión; 2) de manera paralela y no sustitutiva a lo expresado en el punto anterior, que el </w:t>
      </w:r>
      <w:r w:rsidR="00EA3D8C">
        <w:t>Instituto</w:t>
      </w:r>
      <w:r>
        <w:t xml:space="preserve"> proceda a vigilar y supervisar de manera proactiva los convenios registrados y emita una solicitud formal de adaptación de todos los Convenios cuando el AEP haya aplicado mejores términos y condiciones a algún CS. Esta solicitud sería de obligatorio cumplimiento y entraría en vigor en la misma fecha en que el AEP firmó las mejoras con el CS; 3) que el </w:t>
      </w:r>
      <w:r w:rsidR="00EA3D8C">
        <w:t>Instituto</w:t>
      </w:r>
      <w:r>
        <w:t xml:space="preserve"> vigile y audite la prestación de servicios interna del AEP a sus propias operaciones con vistas a detectar un posible tratamiento más favorable a sus propias unidades que a los CS. En caso de detectarlas, el </w:t>
      </w:r>
      <w:r w:rsidR="00EA3D8C">
        <w:t>Instituto</w:t>
      </w:r>
      <w:r>
        <w:t xml:space="preserve"> obligaría al AEP a aplicar dicho mejor tratamiento a todos los es relevantes.</w:t>
      </w:r>
    </w:p>
    <w:p w14:paraId="19E657C3" w14:textId="794C2858" w:rsidR="00700AFF" w:rsidRDefault="00700AFF" w:rsidP="00D77A2A">
      <w:pPr>
        <w:pStyle w:val="IFTnormal"/>
      </w:pPr>
      <w:r>
        <w:t>Por último, respecto a la Cláusula Vigésima Cuarta “</w:t>
      </w:r>
      <w:r w:rsidRPr="00174617">
        <w:rPr>
          <w:i/>
        </w:rPr>
        <w:t>Resolución de desacuerdos de carácter técnico</w:t>
      </w:r>
      <w:r>
        <w:rPr>
          <w:i/>
        </w:rPr>
        <w:t xml:space="preserve">” </w:t>
      </w:r>
      <w:r w:rsidRPr="00174617">
        <w:t xml:space="preserve">y Cláusula Vigésima Quinta </w:t>
      </w:r>
      <w:r>
        <w:rPr>
          <w:i/>
        </w:rPr>
        <w:t>“</w:t>
      </w:r>
      <w:r w:rsidRPr="00700AFF">
        <w:rPr>
          <w:i/>
        </w:rPr>
        <w:t>Desacuerdos</w:t>
      </w:r>
      <w:r>
        <w:rPr>
          <w:i/>
        </w:rPr>
        <w:t>”</w:t>
      </w:r>
      <w:r w:rsidR="00D77A2A">
        <w:t xml:space="preserve"> comentaron que debe ser el </w:t>
      </w:r>
      <w:r w:rsidR="007E079C">
        <w:t>Instituto</w:t>
      </w:r>
      <w:r w:rsidR="00D77A2A">
        <w:t xml:space="preserve"> quien debe resolver las disputas técnicas y no la corte de arbitraje, especialmente cuando sean asuntos de su competencia. Que se </w:t>
      </w:r>
      <w:r w:rsidR="00D77A2A" w:rsidRPr="00D77A2A">
        <w:t>incluya la aclaración que los desacuerdos se regirán según el artículo 129 de la LFTR.</w:t>
      </w:r>
    </w:p>
    <w:p w14:paraId="26B404BA" w14:textId="09CF7BF0" w:rsidR="007676C7" w:rsidRDefault="001579A3" w:rsidP="00FF7E83">
      <w:pPr>
        <w:pStyle w:val="IFTnormal"/>
      </w:pPr>
      <w:r>
        <w:lastRenderedPageBreak/>
        <w:t xml:space="preserve">Respecto a la manifestaciones relacionadas con las secciones de </w:t>
      </w:r>
      <w:r w:rsidRPr="00174617">
        <w:rPr>
          <w:i/>
        </w:rPr>
        <w:t xml:space="preserve">“Declaraciones”, “Declaración tercera”, “Cláusula tercera Inconformidades”, </w:t>
      </w:r>
      <w:r w:rsidR="007676C7">
        <w:rPr>
          <w:i/>
        </w:rPr>
        <w:t>“</w:t>
      </w:r>
      <w:r w:rsidRPr="00174617">
        <w:rPr>
          <w:i/>
        </w:rPr>
        <w:t>Cláusula cuarta Intereses Moratorios</w:t>
      </w:r>
      <w:r w:rsidR="007676C7">
        <w:rPr>
          <w:i/>
        </w:rPr>
        <w:t>”</w:t>
      </w:r>
      <w:r w:rsidRPr="00174617">
        <w:rPr>
          <w:i/>
        </w:rPr>
        <w:t xml:space="preserve">, </w:t>
      </w:r>
      <w:r w:rsidR="007676C7">
        <w:rPr>
          <w:i/>
        </w:rPr>
        <w:t>“</w:t>
      </w:r>
      <w:r w:rsidRPr="00174617">
        <w:rPr>
          <w:i/>
        </w:rPr>
        <w:t>Cláusula Quinta Información confidencial</w:t>
      </w:r>
      <w:r w:rsidR="007676C7">
        <w:rPr>
          <w:i/>
        </w:rPr>
        <w:t>”</w:t>
      </w:r>
      <w:r w:rsidRPr="00174617">
        <w:rPr>
          <w:i/>
        </w:rPr>
        <w:t xml:space="preserve">, </w:t>
      </w:r>
      <w:r w:rsidR="007676C7">
        <w:rPr>
          <w:i/>
        </w:rPr>
        <w:t>“</w:t>
      </w:r>
      <w:r w:rsidRPr="00174617">
        <w:rPr>
          <w:i/>
        </w:rPr>
        <w:t>Cláusula décima Continuidad y suspensión de los servicios de desagregación</w:t>
      </w:r>
      <w:r w:rsidR="007676C7">
        <w:rPr>
          <w:i/>
        </w:rPr>
        <w:t>”</w:t>
      </w:r>
      <w:r w:rsidRPr="00174617">
        <w:rPr>
          <w:i/>
        </w:rPr>
        <w:t xml:space="preserve">, </w:t>
      </w:r>
      <w:r w:rsidR="007676C7">
        <w:rPr>
          <w:i/>
        </w:rPr>
        <w:t>“</w:t>
      </w:r>
      <w:r w:rsidRPr="00174617">
        <w:rPr>
          <w:i/>
        </w:rPr>
        <w:t>Cláusula Décima Primera Causas de fuerza mayor y/o caso fortuito</w:t>
      </w:r>
      <w:r w:rsidR="007676C7">
        <w:rPr>
          <w:i/>
        </w:rPr>
        <w:t>”</w:t>
      </w:r>
      <w:r w:rsidRPr="00174617">
        <w:rPr>
          <w:i/>
        </w:rPr>
        <w:t xml:space="preserve">, </w:t>
      </w:r>
      <w:r w:rsidR="007676C7">
        <w:rPr>
          <w:i/>
        </w:rPr>
        <w:t>“</w:t>
      </w:r>
      <w:r w:rsidRPr="00174617">
        <w:rPr>
          <w:i/>
        </w:rPr>
        <w:t>Cláusula Décima Segunda Terminación anticipada</w:t>
      </w:r>
      <w:r w:rsidR="007676C7">
        <w:rPr>
          <w:i/>
        </w:rPr>
        <w:t>”</w:t>
      </w:r>
      <w:r w:rsidRPr="00174617">
        <w:rPr>
          <w:i/>
        </w:rPr>
        <w:t xml:space="preserve">, </w:t>
      </w:r>
      <w:r w:rsidR="007676C7">
        <w:rPr>
          <w:i/>
        </w:rPr>
        <w:t>“</w:t>
      </w:r>
      <w:r w:rsidRPr="00174617">
        <w:rPr>
          <w:i/>
        </w:rPr>
        <w:t>Cláusula décima tercera Rescisión del Convenio</w:t>
      </w:r>
      <w:r w:rsidR="007676C7">
        <w:rPr>
          <w:i/>
        </w:rPr>
        <w:t>”</w:t>
      </w:r>
      <w:r w:rsidRPr="00174617">
        <w:rPr>
          <w:i/>
        </w:rPr>
        <w:t xml:space="preserve">, </w:t>
      </w:r>
      <w:r w:rsidR="007676C7">
        <w:rPr>
          <w:i/>
        </w:rPr>
        <w:t>“</w:t>
      </w:r>
      <w:r w:rsidRPr="00174617">
        <w:rPr>
          <w:i/>
        </w:rPr>
        <w:t>Cláusula Décima Quinta Relaciones laborales</w:t>
      </w:r>
      <w:r w:rsidR="007676C7">
        <w:rPr>
          <w:i/>
        </w:rPr>
        <w:t>”</w:t>
      </w:r>
      <w:r w:rsidRPr="00174617">
        <w:rPr>
          <w:i/>
        </w:rPr>
        <w:t xml:space="preserve">, </w:t>
      </w:r>
      <w:r w:rsidR="007676C7">
        <w:rPr>
          <w:i/>
        </w:rPr>
        <w:t>“</w:t>
      </w:r>
      <w:r w:rsidRPr="00174617">
        <w:rPr>
          <w:i/>
        </w:rPr>
        <w:t>Cláusula Vigésima Segunda Suspensión de medidas de preponderancia</w:t>
      </w:r>
      <w:r w:rsidR="007676C7">
        <w:rPr>
          <w:i/>
        </w:rPr>
        <w:t>”</w:t>
      </w:r>
      <w:r w:rsidR="00806BDF">
        <w:rPr>
          <w:i/>
        </w:rPr>
        <w:t>, “</w:t>
      </w:r>
      <w:r w:rsidR="00806BDF" w:rsidRPr="00806BDF">
        <w:rPr>
          <w:i/>
        </w:rPr>
        <w:t>Cláusula Vigésima Tercera Trato no discriminatorio</w:t>
      </w:r>
      <w:r w:rsidR="00806BDF">
        <w:rPr>
          <w:i/>
        </w:rPr>
        <w:t>”</w:t>
      </w:r>
      <w:r w:rsidR="007676C7" w:rsidRPr="00174617">
        <w:rPr>
          <w:i/>
        </w:rPr>
        <w:t xml:space="preserve"> </w:t>
      </w:r>
      <w:r w:rsidR="007676C7" w:rsidRPr="007676C7">
        <w:t>y</w:t>
      </w:r>
      <w:r w:rsidRPr="00174617">
        <w:rPr>
          <w:i/>
        </w:rPr>
        <w:t xml:space="preserve"> </w:t>
      </w:r>
      <w:r w:rsidR="007676C7">
        <w:rPr>
          <w:i/>
        </w:rPr>
        <w:t>“</w:t>
      </w:r>
      <w:r w:rsidRPr="00174617">
        <w:rPr>
          <w:i/>
        </w:rPr>
        <w:t>Cláusula Vigésima Quinta Desacuerdos</w:t>
      </w:r>
      <w:r w:rsidR="007676C7">
        <w:rPr>
          <w:i/>
        </w:rPr>
        <w:t>”</w:t>
      </w:r>
      <w:r w:rsidR="007676C7">
        <w:t xml:space="preserve">, </w:t>
      </w:r>
      <w:r w:rsidR="007E079C">
        <w:t>este</w:t>
      </w:r>
      <w:r w:rsidR="007676C7">
        <w:t xml:space="preserve"> Instituto </w:t>
      </w:r>
      <w:r w:rsidR="007E079C">
        <w:t xml:space="preserve">se pronuncia en que </w:t>
      </w:r>
      <w:r w:rsidR="007676C7">
        <w:t>l</w:t>
      </w:r>
      <w:r w:rsidR="007E079C">
        <w:t>a P</w:t>
      </w:r>
      <w:r w:rsidR="007676C7" w:rsidRPr="007676C7">
        <w:t xml:space="preserve">ropuesta </w:t>
      </w:r>
      <w:r w:rsidR="007E079C">
        <w:t xml:space="preserve">del AEP </w:t>
      </w:r>
      <w:r w:rsidR="007676C7">
        <w:t>debe</w:t>
      </w:r>
      <w:r w:rsidR="007676C7" w:rsidRPr="007676C7">
        <w:t xml:space="preserve"> reflejar, al menos, </w:t>
      </w:r>
      <w:r w:rsidR="007E079C">
        <w:t xml:space="preserve">las </w:t>
      </w:r>
      <w:r w:rsidR="007676C7" w:rsidRPr="007676C7">
        <w:t xml:space="preserve">condiciones equivalentes a las </w:t>
      </w:r>
      <w:r w:rsidR="007E079C">
        <w:t>establecidas en</w:t>
      </w:r>
      <w:r w:rsidR="007676C7" w:rsidRPr="007676C7">
        <w:t xml:space="preserve"> la Oferta de R</w:t>
      </w:r>
      <w:r w:rsidR="007E079C">
        <w:t>eferencia V</w:t>
      </w:r>
      <w:r w:rsidR="00984816">
        <w:t xml:space="preserve">igente y que las modificaciones que realice en su propuesta </w:t>
      </w:r>
      <w:r w:rsidR="00984816" w:rsidRPr="00984816">
        <w:t>no podrá establecer condiciones que inhiban la competencia en la prestación de los servicios objeto de la Oferta de Referencia, cualquier requisito que no sea necesario para la eficiente prestación del servicio</w:t>
      </w:r>
      <w:r w:rsidR="00984816">
        <w:t>. Po</w:t>
      </w:r>
      <w:r w:rsidR="00A51952">
        <w:t>r</w:t>
      </w:r>
      <w:r w:rsidR="00984816">
        <w:t xml:space="preserve"> lo anterior, el Instituto encuentra procedente </w:t>
      </w:r>
      <w:r w:rsidR="007E079C">
        <w:t xml:space="preserve">analizar y en su caso </w:t>
      </w:r>
      <w:r w:rsidR="00984816">
        <w:t xml:space="preserve">regresar a las redacciones de la </w:t>
      </w:r>
      <w:r w:rsidR="00984816" w:rsidRPr="007676C7">
        <w:t>Oferta de R</w:t>
      </w:r>
      <w:r w:rsidR="00984816">
        <w:t xml:space="preserve">eferencia </w:t>
      </w:r>
      <w:r w:rsidR="007E079C">
        <w:t>V</w:t>
      </w:r>
      <w:r w:rsidR="00984816">
        <w:t>igente las secciones antes mencionadas.</w:t>
      </w:r>
    </w:p>
    <w:p w14:paraId="00E60600" w14:textId="6C76C423" w:rsidR="00933BF9" w:rsidRDefault="00933BF9" w:rsidP="00FF7E83">
      <w:pPr>
        <w:pStyle w:val="IFTnormal"/>
      </w:pPr>
      <w:r>
        <w:t xml:space="preserve">Respecto a las manifestaciones de la </w:t>
      </w:r>
      <w:r w:rsidRPr="00933BF9">
        <w:t xml:space="preserve">Cláusula Tercera </w:t>
      </w:r>
      <w:r>
        <w:t>“</w:t>
      </w:r>
      <w:r w:rsidRPr="00174617">
        <w:rPr>
          <w:i/>
        </w:rPr>
        <w:t>Pagos de los servicios</w:t>
      </w:r>
      <w:r w:rsidRPr="00174617">
        <w:t>”</w:t>
      </w:r>
      <w:r>
        <w:t>, este Instituto encuentra que e</w:t>
      </w:r>
      <w:r w:rsidRPr="00933BF9">
        <w:t>l cambio</w:t>
      </w:r>
      <w:r>
        <w:t xml:space="preserve"> solicitado</w:t>
      </w:r>
      <w:r w:rsidRPr="00933BF9">
        <w:t xml:space="preserve"> no es procedente en virtud de que las ofertas fijas y móviles contienen el mismo plazo, solo se precisa que son días naturales para generar certeza a las partes</w:t>
      </w:r>
      <w:r>
        <w:t xml:space="preserve">. </w:t>
      </w:r>
    </w:p>
    <w:p w14:paraId="0726F721" w14:textId="1EB4D7A0" w:rsidR="00933BF9" w:rsidRDefault="00933BF9" w:rsidP="00FF7E83">
      <w:pPr>
        <w:pStyle w:val="IFTnormal"/>
      </w:pPr>
      <w:r>
        <w:t xml:space="preserve">De las manifestaciones de la </w:t>
      </w:r>
      <w:r w:rsidRPr="00933BF9">
        <w:t xml:space="preserve">Cláusula tercera </w:t>
      </w:r>
      <w:r>
        <w:t>“</w:t>
      </w:r>
      <w:r w:rsidRPr="00174617">
        <w:rPr>
          <w:i/>
        </w:rPr>
        <w:t>Remisión de facturas</w:t>
      </w:r>
      <w:r>
        <w:t>”, este Instituto considera que se realizará un análisis de la propuesta</w:t>
      </w:r>
      <w:r w:rsidR="00C52EC5">
        <w:t>, considerando que esta pudiera generar mayor certeza jurídica a las partes.</w:t>
      </w:r>
    </w:p>
    <w:p w14:paraId="075B3D86" w14:textId="1441C493" w:rsidR="00C52EC5" w:rsidRDefault="00C52EC5" w:rsidP="00FF7E83">
      <w:pPr>
        <w:pStyle w:val="IFTnormal"/>
      </w:pPr>
      <w:r>
        <w:t xml:space="preserve">Por otro lado, este Instituto encuentra que respecto a la </w:t>
      </w:r>
      <w:r w:rsidRPr="00C52EC5">
        <w:t xml:space="preserve">Cláusula tercera </w:t>
      </w:r>
      <w:r>
        <w:t>“</w:t>
      </w:r>
      <w:r w:rsidRPr="00174617">
        <w:rPr>
          <w:i/>
        </w:rPr>
        <w:t>Deducción de pagos y proceso de conciliación de facturas</w:t>
      </w:r>
      <w:r>
        <w:t>”, y “</w:t>
      </w:r>
      <w:r w:rsidRPr="00174617">
        <w:rPr>
          <w:i/>
        </w:rPr>
        <w:t>Facturación extemporánea</w:t>
      </w:r>
      <w:r>
        <w:t xml:space="preserve">”, improcedentes los cambios solicitados, ya que estos no pudieran generar certeza jurídica y al no corresponder las mismas obligaciones para las partes. Del mismo modo este Instituto encuentra improcedente lo solicitado para </w:t>
      </w:r>
      <w:r w:rsidRPr="00C52EC5">
        <w:t xml:space="preserve">Cláusula sexta </w:t>
      </w:r>
      <w:r>
        <w:t>“</w:t>
      </w:r>
      <w:r w:rsidRPr="00174617">
        <w:rPr>
          <w:i/>
        </w:rPr>
        <w:t>Incumplimiento en la entrega de los servicios</w:t>
      </w:r>
      <w:r>
        <w:t>”, en vi</w:t>
      </w:r>
      <w:r w:rsidRPr="00C52EC5">
        <w:t>rtud de que ya existen mecanismos para las inconformidades de facturas</w:t>
      </w:r>
      <w:r>
        <w:t>.</w:t>
      </w:r>
    </w:p>
    <w:p w14:paraId="3330FF66" w14:textId="08AD2630" w:rsidR="00C52EC5" w:rsidRDefault="00C52EC5" w:rsidP="00FF7E83">
      <w:pPr>
        <w:pStyle w:val="IFTnormal"/>
      </w:pPr>
      <w:r>
        <w:t xml:space="preserve">Referente a las manifestaciones de la </w:t>
      </w:r>
      <w:r w:rsidRPr="00C52EC5">
        <w:t xml:space="preserve">Cláusula novena </w:t>
      </w:r>
      <w:r>
        <w:t>“</w:t>
      </w:r>
      <w:r w:rsidRPr="00174617">
        <w:rPr>
          <w:i/>
        </w:rPr>
        <w:t>Cesión de derechos</w:t>
      </w:r>
      <w:r>
        <w:t>” este Instituto encuentra que n</w:t>
      </w:r>
      <w:r w:rsidRPr="00C52EC5">
        <w:t>o se considera un cambio necesario para la prestación de los servicios</w:t>
      </w:r>
      <w:r>
        <w:t xml:space="preserve">. Del mismo modo, este Instituto encuentra que lo manifestado en la </w:t>
      </w:r>
      <w:r w:rsidR="00A51952">
        <w:t>Cláusula D</w:t>
      </w:r>
      <w:r w:rsidRPr="00C52EC5">
        <w:t xml:space="preserve">écima </w:t>
      </w:r>
      <w:r>
        <w:t>“</w:t>
      </w:r>
      <w:r w:rsidRPr="00174617">
        <w:rPr>
          <w:i/>
        </w:rPr>
        <w:t>Continuidad y suspensión de los servicios de desagregación</w:t>
      </w:r>
      <w:r>
        <w:t>”</w:t>
      </w:r>
      <w:r w:rsidRPr="00C52EC5">
        <w:t xml:space="preserve"> no es procedente en virtud de que ya se encuentra contemplada dentr</w:t>
      </w:r>
      <w:r w:rsidR="00717BFC">
        <w:t>o de la cláusula rescisión del C</w:t>
      </w:r>
      <w:r w:rsidRPr="00C52EC5">
        <w:t>onvenio</w:t>
      </w:r>
      <w:r w:rsidR="00E32DA8">
        <w:t xml:space="preserve">. </w:t>
      </w:r>
    </w:p>
    <w:p w14:paraId="5DB28926" w14:textId="1F4412FC" w:rsidR="00DB6301" w:rsidRPr="00DB6301" w:rsidRDefault="00DB6301" w:rsidP="00DB6301">
      <w:pPr>
        <w:pStyle w:val="IFTnormal"/>
      </w:pPr>
      <w:r>
        <w:lastRenderedPageBreak/>
        <w:t xml:space="preserve">Por último, respecto a las manifestaciones de la </w:t>
      </w:r>
      <w:r w:rsidRPr="00DB6301">
        <w:t xml:space="preserve">Cláusula Vigésima Quinta </w:t>
      </w:r>
      <w:r>
        <w:t>“</w:t>
      </w:r>
      <w:r w:rsidRPr="00330D0E">
        <w:rPr>
          <w:i/>
        </w:rPr>
        <w:t>Desacuerdos</w:t>
      </w:r>
      <w:r>
        <w:rPr>
          <w:i/>
        </w:rPr>
        <w:t xml:space="preserve">” </w:t>
      </w:r>
      <w:r>
        <w:t>este Instituto encuentra improcedente su atención</w:t>
      </w:r>
      <w:r w:rsidRPr="00DB6301">
        <w:t>, ya que el procedimiento se encuentra contemplado dentro de las Medidas</w:t>
      </w:r>
      <w:r>
        <w:t xml:space="preserve"> de Desagregación.</w:t>
      </w:r>
    </w:p>
    <w:p w14:paraId="21F23367" w14:textId="1B45C2AA" w:rsidR="008D1C2D" w:rsidRPr="00FF7E83" w:rsidRDefault="008D1C2D" w:rsidP="00DB6301">
      <w:pPr>
        <w:pStyle w:val="IFTnormal"/>
      </w:pPr>
    </w:p>
    <w:sectPr w:rsidR="008D1C2D" w:rsidRPr="00FF7E83" w:rsidSect="001F3E62">
      <w:footerReference w:type="default" r:id="rId11"/>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1B3FF" w14:textId="77777777" w:rsidR="002D0954" w:rsidRDefault="002D0954" w:rsidP="005465EC">
      <w:pPr>
        <w:spacing w:after="0" w:line="240" w:lineRule="auto"/>
      </w:pPr>
      <w:r>
        <w:separator/>
      </w:r>
    </w:p>
  </w:endnote>
  <w:endnote w:type="continuationSeparator" w:id="0">
    <w:p w14:paraId="3F1118DB" w14:textId="77777777" w:rsidR="002D0954" w:rsidRDefault="002D0954" w:rsidP="005465EC">
      <w:pPr>
        <w:spacing w:after="0" w:line="240" w:lineRule="auto"/>
      </w:pPr>
      <w:r>
        <w:continuationSeparator/>
      </w:r>
    </w:p>
  </w:endnote>
  <w:endnote w:type="continuationNotice" w:id="1">
    <w:p w14:paraId="4D6FAF45" w14:textId="77777777" w:rsidR="002D0954" w:rsidRDefault="002D09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882859"/>
      <w:docPartObj>
        <w:docPartGallery w:val="Page Numbers (Bottom of Page)"/>
        <w:docPartUnique/>
      </w:docPartObj>
    </w:sdtPr>
    <w:sdtEndPr/>
    <w:sdtContent>
      <w:p w14:paraId="5EFC7386" w14:textId="3D116C1D" w:rsidR="001F3E62" w:rsidRDefault="001F3E62">
        <w:pPr>
          <w:pStyle w:val="Piedepgina"/>
          <w:jc w:val="right"/>
        </w:pPr>
        <w:r>
          <w:fldChar w:fldCharType="begin"/>
        </w:r>
        <w:r>
          <w:instrText>PAGE   \* MERGEFORMAT</w:instrText>
        </w:r>
        <w:r>
          <w:fldChar w:fldCharType="separate"/>
        </w:r>
        <w:r w:rsidR="004F5D4E">
          <w:rPr>
            <w:noProof/>
          </w:rPr>
          <w:t>3</w:t>
        </w:r>
        <w:r>
          <w:fldChar w:fldCharType="end"/>
        </w:r>
      </w:p>
    </w:sdtContent>
  </w:sdt>
  <w:p w14:paraId="385997B3" w14:textId="77777777" w:rsidR="001F3E62" w:rsidRDefault="001F3E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999FB" w14:textId="77777777" w:rsidR="002D0954" w:rsidRDefault="002D0954" w:rsidP="005465EC">
      <w:pPr>
        <w:spacing w:after="0" w:line="240" w:lineRule="auto"/>
      </w:pPr>
      <w:r>
        <w:separator/>
      </w:r>
    </w:p>
  </w:footnote>
  <w:footnote w:type="continuationSeparator" w:id="0">
    <w:p w14:paraId="374C84BD" w14:textId="77777777" w:rsidR="002D0954" w:rsidRDefault="002D0954" w:rsidP="005465EC">
      <w:pPr>
        <w:spacing w:after="0" w:line="240" w:lineRule="auto"/>
      </w:pPr>
      <w:r>
        <w:continuationSeparator/>
      </w:r>
    </w:p>
  </w:footnote>
  <w:footnote w:type="continuationNotice" w:id="1">
    <w:p w14:paraId="77CEBB12" w14:textId="77777777" w:rsidR="002D0954" w:rsidRDefault="002D0954">
      <w:pPr>
        <w:spacing w:after="0" w:line="240" w:lineRule="auto"/>
      </w:pPr>
    </w:p>
  </w:footnote>
  <w:footnote w:id="2">
    <w:p w14:paraId="333C86B0" w14:textId="27D1969E" w:rsidR="000C788A" w:rsidRDefault="000C788A">
      <w:pPr>
        <w:pStyle w:val="Textonotapie"/>
      </w:pPr>
      <w:r>
        <w:rPr>
          <w:rStyle w:val="Refdenotaalpie"/>
        </w:rPr>
        <w:footnoteRef/>
      </w:r>
      <w:r>
        <w:t xml:space="preserve"> </w:t>
      </w:r>
      <w:hyperlink r:id="rId1" w:history="1">
        <w:r w:rsidRPr="0079299D">
          <w:rPr>
            <w:rStyle w:val="Hipervnculo"/>
          </w:rPr>
          <w:t>http://www.ift.org.mx/industria/consultas-publicas/ficha-de-consulta-publica?project_cp=12813</w:t>
        </w:r>
      </w:hyperlink>
    </w:p>
  </w:footnote>
  <w:footnote w:id="3">
    <w:p w14:paraId="103CEFEB" w14:textId="1FAD754E" w:rsidR="000C788A" w:rsidRDefault="000C788A">
      <w:pPr>
        <w:pStyle w:val="Textonotapie"/>
      </w:pPr>
      <w:r>
        <w:rPr>
          <w:rStyle w:val="Refdenotaalpie"/>
        </w:rPr>
        <w:footnoteRef/>
      </w:r>
      <w:r>
        <w:t xml:space="preserve"> LFTR – Ley Federal de Telecomunicaciones y Radiodifusión.</w:t>
      </w:r>
    </w:p>
  </w:footnote>
  <w:footnote w:id="4">
    <w:p w14:paraId="3FE3428A" w14:textId="2F834902" w:rsidR="009C5E23" w:rsidRPr="009C5E23" w:rsidRDefault="009C5E23" w:rsidP="009C5E23">
      <w:pPr>
        <w:pStyle w:val="Textonotapie"/>
      </w:pPr>
      <w:r>
        <w:rPr>
          <w:rStyle w:val="Refdenotaalpie"/>
        </w:rPr>
        <w:footnoteRef/>
      </w:r>
      <w:r>
        <w:t xml:space="preserve"> GPON. </w:t>
      </w:r>
      <w:r w:rsidRPr="009C5E23">
        <w:t>Gigabit-</w:t>
      </w:r>
      <w:proofErr w:type="spellStart"/>
      <w:r w:rsidRPr="009C5E23">
        <w:t>capable</w:t>
      </w:r>
      <w:proofErr w:type="spellEnd"/>
      <w:r w:rsidRPr="009C5E23">
        <w:t xml:space="preserve"> </w:t>
      </w:r>
      <w:proofErr w:type="spellStart"/>
      <w:r w:rsidRPr="009C5E23">
        <w:t>Passive</w:t>
      </w:r>
      <w:proofErr w:type="spellEnd"/>
      <w:r w:rsidRPr="009C5E23">
        <w:t xml:space="preserve"> </w:t>
      </w:r>
      <w:proofErr w:type="spellStart"/>
      <w:r w:rsidRPr="009C5E23">
        <w:t>Optical</w:t>
      </w:r>
      <w:proofErr w:type="spellEnd"/>
      <w:r w:rsidRPr="009C5E23">
        <w:t xml:space="preserve"> Network</w:t>
      </w:r>
      <w:r>
        <w:t xml:space="preserve">. </w:t>
      </w:r>
    </w:p>
  </w:footnote>
  <w:footnote w:id="5">
    <w:p w14:paraId="3A95582C" w14:textId="2603E8BC" w:rsidR="000C788A" w:rsidRDefault="000C788A">
      <w:pPr>
        <w:pStyle w:val="Textonotapie"/>
      </w:pPr>
      <w:r>
        <w:rPr>
          <w:rStyle w:val="Refdenotaalpie"/>
        </w:rPr>
        <w:footnoteRef/>
      </w:r>
      <w:r w:rsidRPr="00DC4B50">
        <w:rPr>
          <w:lang w:val="en-US"/>
        </w:rPr>
        <w:t xml:space="preserve"> L2WAP- Layer </w:t>
      </w:r>
      <w:proofErr w:type="gramStart"/>
      <w:r w:rsidRPr="00DC4B50">
        <w:rPr>
          <w:lang w:val="en-US"/>
        </w:rPr>
        <w:t>2</w:t>
      </w:r>
      <w:proofErr w:type="gramEnd"/>
      <w:r w:rsidRPr="00DC4B50">
        <w:rPr>
          <w:lang w:val="en-US"/>
        </w:rPr>
        <w:t xml:space="preserve"> Wholesale Access Products. </w:t>
      </w:r>
      <w:r>
        <w:t>Servicios de Acceso Mayorista en Capa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645B54"/>
    <w:lvl w:ilvl="0">
      <w:start w:val="1"/>
      <w:numFmt w:val="bullet"/>
      <w:lvlText w:val=""/>
      <w:lvlJc w:val="left"/>
      <w:pPr>
        <w:tabs>
          <w:tab w:val="num" w:pos="360"/>
        </w:tabs>
        <w:ind w:left="360" w:hanging="360"/>
      </w:pPr>
      <w:rPr>
        <w:rFonts w:ascii="Symbol" w:hAnsi="Symbol" w:hint="default"/>
        <w:lang w:val="es-ES"/>
      </w:rPr>
    </w:lvl>
  </w:abstractNum>
  <w:abstractNum w:abstractNumId="1" w15:restartNumberingAfterBreak="0">
    <w:nsid w:val="004911BA"/>
    <w:multiLevelType w:val="hybridMultilevel"/>
    <w:tmpl w:val="9042BEF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07E1286"/>
    <w:multiLevelType w:val="hybridMultilevel"/>
    <w:tmpl w:val="ACD87D58"/>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A10B50"/>
    <w:multiLevelType w:val="hybridMultilevel"/>
    <w:tmpl w:val="6118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9866FF"/>
    <w:multiLevelType w:val="hybridMultilevel"/>
    <w:tmpl w:val="18F492BE"/>
    <w:lvl w:ilvl="0" w:tplc="080A0001">
      <w:start w:val="1"/>
      <w:numFmt w:val="bullet"/>
      <w:lvlText w:val=""/>
      <w:lvlJc w:val="left"/>
      <w:pPr>
        <w:ind w:left="720" w:hanging="360"/>
      </w:pPr>
      <w:rPr>
        <w:rFonts w:ascii="Symbol" w:hAnsi="Symbol"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193F1F"/>
    <w:multiLevelType w:val="hybridMultilevel"/>
    <w:tmpl w:val="ADEE35E8"/>
    <w:lvl w:ilvl="0" w:tplc="FB487D7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C34D45"/>
    <w:multiLevelType w:val="hybridMultilevel"/>
    <w:tmpl w:val="46EC1990"/>
    <w:lvl w:ilvl="0" w:tplc="8A3EF994">
      <w:start w:val="1"/>
      <w:numFmt w:val="lowerLetter"/>
      <w:lvlText w:val="%1."/>
      <w:lvlJc w:val="left"/>
      <w:pPr>
        <w:ind w:left="1416" w:hanging="696"/>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99A0823"/>
    <w:multiLevelType w:val="multilevel"/>
    <w:tmpl w:val="AFDC0E6A"/>
    <w:lvl w:ilvl="0">
      <w:start w:val="1"/>
      <w:numFmt w:val="decimal"/>
      <w:lvlText w:val="%1."/>
      <w:lvlJc w:val="left"/>
      <w:pPr>
        <w:ind w:left="360" w:hanging="360"/>
      </w:pPr>
      <w:rPr>
        <w:rFonts w:hint="default"/>
      </w:rPr>
    </w:lvl>
    <w:lvl w:ilvl="1">
      <w:start w:val="10"/>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D4B1680"/>
    <w:multiLevelType w:val="hybridMultilevel"/>
    <w:tmpl w:val="C860C8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447C7E"/>
    <w:multiLevelType w:val="hybridMultilevel"/>
    <w:tmpl w:val="64323CD8"/>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C40B06"/>
    <w:multiLevelType w:val="multilevel"/>
    <w:tmpl w:val="12361B32"/>
    <w:lvl w:ilvl="0">
      <w:start w:val="1"/>
      <w:numFmt w:val="decimal"/>
      <w:pStyle w:val="ListBulletCompact"/>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1A2B26"/>
    <w:multiLevelType w:val="hybridMultilevel"/>
    <w:tmpl w:val="0BA65F96"/>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7AB3D0A"/>
    <w:multiLevelType w:val="hybridMultilevel"/>
    <w:tmpl w:val="E28470F6"/>
    <w:lvl w:ilvl="0" w:tplc="E3561CA4">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17F2660A"/>
    <w:multiLevelType w:val="hybridMultilevel"/>
    <w:tmpl w:val="F4C85B60"/>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2B7F35"/>
    <w:multiLevelType w:val="multilevel"/>
    <w:tmpl w:val="B81CAC1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F386734"/>
    <w:multiLevelType w:val="hybridMultilevel"/>
    <w:tmpl w:val="805CBFC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21EF0157"/>
    <w:multiLevelType w:val="hybridMultilevel"/>
    <w:tmpl w:val="2822E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27819C6"/>
    <w:multiLevelType w:val="hybridMultilevel"/>
    <w:tmpl w:val="F6AA7352"/>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48D622E"/>
    <w:multiLevelType w:val="hybridMultilevel"/>
    <w:tmpl w:val="3DBA5DB8"/>
    <w:lvl w:ilvl="0" w:tplc="0409000F">
      <w:start w:val="1"/>
      <w:numFmt w:val="decimal"/>
      <w:pStyle w:val="Listaconvietas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1D64C7"/>
    <w:multiLevelType w:val="hybridMultilevel"/>
    <w:tmpl w:val="C0E460F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C062AA9"/>
    <w:multiLevelType w:val="hybridMultilevel"/>
    <w:tmpl w:val="AD566A9A"/>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C950698"/>
    <w:multiLevelType w:val="multilevel"/>
    <w:tmpl w:val="14FC5860"/>
    <w:lvl w:ilvl="0">
      <w:start w:val="1"/>
      <w:numFmt w:val="decimal"/>
      <w:lvlText w:val="%1."/>
      <w:lvlJc w:val="left"/>
      <w:pPr>
        <w:ind w:left="360" w:hanging="360"/>
      </w:pPr>
      <w:rPr>
        <w:rFonts w:hint="default"/>
      </w:rPr>
    </w:lvl>
    <w:lvl w:ilvl="1">
      <w:start w:val="10"/>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2D6F38DA"/>
    <w:multiLevelType w:val="hybridMultilevel"/>
    <w:tmpl w:val="1E8C61F8"/>
    <w:lvl w:ilvl="0" w:tplc="04090001">
      <w:start w:val="1"/>
      <w:numFmt w:val="bullet"/>
      <w:lvlText w:val=""/>
      <w:lvlJc w:val="left"/>
      <w:pPr>
        <w:ind w:left="33" w:hanging="360"/>
      </w:pPr>
      <w:rPr>
        <w:rFonts w:ascii="Symbol" w:hAnsi="Symbol" w:hint="default"/>
      </w:rPr>
    </w:lvl>
    <w:lvl w:ilvl="1" w:tplc="04090003" w:tentative="1">
      <w:start w:val="1"/>
      <w:numFmt w:val="bullet"/>
      <w:lvlText w:val="o"/>
      <w:lvlJc w:val="left"/>
      <w:pPr>
        <w:ind w:left="753" w:hanging="360"/>
      </w:pPr>
      <w:rPr>
        <w:rFonts w:ascii="Courier New" w:hAnsi="Courier New" w:cs="Courier New" w:hint="default"/>
      </w:rPr>
    </w:lvl>
    <w:lvl w:ilvl="2" w:tplc="04090005" w:tentative="1">
      <w:start w:val="1"/>
      <w:numFmt w:val="bullet"/>
      <w:lvlText w:val=""/>
      <w:lvlJc w:val="left"/>
      <w:pPr>
        <w:ind w:left="1473" w:hanging="360"/>
      </w:pPr>
      <w:rPr>
        <w:rFonts w:ascii="Wingdings" w:hAnsi="Wingdings" w:hint="default"/>
      </w:rPr>
    </w:lvl>
    <w:lvl w:ilvl="3" w:tplc="04090001" w:tentative="1">
      <w:start w:val="1"/>
      <w:numFmt w:val="bullet"/>
      <w:lvlText w:val=""/>
      <w:lvlJc w:val="left"/>
      <w:pPr>
        <w:ind w:left="2193" w:hanging="360"/>
      </w:pPr>
      <w:rPr>
        <w:rFonts w:ascii="Symbol" w:hAnsi="Symbol" w:hint="default"/>
      </w:rPr>
    </w:lvl>
    <w:lvl w:ilvl="4" w:tplc="04090003" w:tentative="1">
      <w:start w:val="1"/>
      <w:numFmt w:val="bullet"/>
      <w:lvlText w:val="o"/>
      <w:lvlJc w:val="left"/>
      <w:pPr>
        <w:ind w:left="2913" w:hanging="360"/>
      </w:pPr>
      <w:rPr>
        <w:rFonts w:ascii="Courier New" w:hAnsi="Courier New" w:cs="Courier New" w:hint="default"/>
      </w:rPr>
    </w:lvl>
    <w:lvl w:ilvl="5" w:tplc="04090005" w:tentative="1">
      <w:start w:val="1"/>
      <w:numFmt w:val="bullet"/>
      <w:lvlText w:val=""/>
      <w:lvlJc w:val="left"/>
      <w:pPr>
        <w:ind w:left="3633" w:hanging="360"/>
      </w:pPr>
      <w:rPr>
        <w:rFonts w:ascii="Wingdings" w:hAnsi="Wingdings" w:hint="default"/>
      </w:rPr>
    </w:lvl>
    <w:lvl w:ilvl="6" w:tplc="04090001" w:tentative="1">
      <w:start w:val="1"/>
      <w:numFmt w:val="bullet"/>
      <w:lvlText w:val=""/>
      <w:lvlJc w:val="left"/>
      <w:pPr>
        <w:ind w:left="4353" w:hanging="360"/>
      </w:pPr>
      <w:rPr>
        <w:rFonts w:ascii="Symbol" w:hAnsi="Symbol" w:hint="default"/>
      </w:rPr>
    </w:lvl>
    <w:lvl w:ilvl="7" w:tplc="04090003" w:tentative="1">
      <w:start w:val="1"/>
      <w:numFmt w:val="bullet"/>
      <w:lvlText w:val="o"/>
      <w:lvlJc w:val="left"/>
      <w:pPr>
        <w:ind w:left="5073" w:hanging="360"/>
      </w:pPr>
      <w:rPr>
        <w:rFonts w:ascii="Courier New" w:hAnsi="Courier New" w:cs="Courier New" w:hint="default"/>
      </w:rPr>
    </w:lvl>
    <w:lvl w:ilvl="8" w:tplc="04090005" w:tentative="1">
      <w:start w:val="1"/>
      <w:numFmt w:val="bullet"/>
      <w:lvlText w:val=""/>
      <w:lvlJc w:val="left"/>
      <w:pPr>
        <w:ind w:left="5793" w:hanging="360"/>
      </w:pPr>
      <w:rPr>
        <w:rFonts w:ascii="Wingdings" w:hAnsi="Wingdings" w:hint="default"/>
      </w:rPr>
    </w:lvl>
  </w:abstractNum>
  <w:abstractNum w:abstractNumId="24" w15:restartNumberingAfterBreak="0">
    <w:nsid w:val="2FC66B7F"/>
    <w:multiLevelType w:val="hybridMultilevel"/>
    <w:tmpl w:val="79D66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17E5B8A"/>
    <w:multiLevelType w:val="hybridMultilevel"/>
    <w:tmpl w:val="17F0A6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28A25ED"/>
    <w:multiLevelType w:val="hybridMultilevel"/>
    <w:tmpl w:val="5EFEBAE0"/>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6BD345D"/>
    <w:multiLevelType w:val="hybridMultilevel"/>
    <w:tmpl w:val="238656CC"/>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740565F"/>
    <w:multiLevelType w:val="hybridMultilevel"/>
    <w:tmpl w:val="9B6CEAEC"/>
    <w:lvl w:ilvl="0" w:tplc="3ADA13A8">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D5470D5"/>
    <w:multiLevelType w:val="hybridMultilevel"/>
    <w:tmpl w:val="C13CBD8E"/>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DD54B67"/>
    <w:multiLevelType w:val="hybridMultilevel"/>
    <w:tmpl w:val="EF6A7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F113FC0"/>
    <w:multiLevelType w:val="hybridMultilevel"/>
    <w:tmpl w:val="B27A968A"/>
    <w:lvl w:ilvl="0" w:tplc="FB487D7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07C1415"/>
    <w:multiLevelType w:val="hybridMultilevel"/>
    <w:tmpl w:val="36802750"/>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0E37570"/>
    <w:multiLevelType w:val="hybridMultilevel"/>
    <w:tmpl w:val="1B12E0E6"/>
    <w:lvl w:ilvl="0" w:tplc="389C2D6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2626CC6"/>
    <w:multiLevelType w:val="hybridMultilevel"/>
    <w:tmpl w:val="677EEA1E"/>
    <w:lvl w:ilvl="0" w:tplc="F7DA2562">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A5F20"/>
    <w:multiLevelType w:val="hybridMultilevel"/>
    <w:tmpl w:val="2ABAA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58F4018"/>
    <w:multiLevelType w:val="hybridMultilevel"/>
    <w:tmpl w:val="528A0F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19F1323"/>
    <w:multiLevelType w:val="hybridMultilevel"/>
    <w:tmpl w:val="CEC0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932226B"/>
    <w:multiLevelType w:val="hybridMultilevel"/>
    <w:tmpl w:val="2BAA7BCA"/>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A1F1D88"/>
    <w:multiLevelType w:val="hybridMultilevel"/>
    <w:tmpl w:val="6406CC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00A3B0E"/>
    <w:multiLevelType w:val="hybridMultilevel"/>
    <w:tmpl w:val="B0624C88"/>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1537DE4"/>
    <w:multiLevelType w:val="hybridMultilevel"/>
    <w:tmpl w:val="DE2AA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6F63506"/>
    <w:multiLevelType w:val="hybridMultilevel"/>
    <w:tmpl w:val="B0DEA7BE"/>
    <w:lvl w:ilvl="0" w:tplc="080A000F">
      <w:start w:val="1"/>
      <w:numFmt w:val="decimal"/>
      <w:lvlText w:val="%1."/>
      <w:lvlJc w:val="left"/>
      <w:pPr>
        <w:ind w:left="720" w:hanging="360"/>
      </w:pPr>
      <w:rPr>
        <w:rFonts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77535EB"/>
    <w:multiLevelType w:val="hybridMultilevel"/>
    <w:tmpl w:val="4824FD6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EA91770"/>
    <w:multiLevelType w:val="hybridMultilevel"/>
    <w:tmpl w:val="85905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666D9F"/>
    <w:multiLevelType w:val="hybridMultilevel"/>
    <w:tmpl w:val="B0BE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BA70E9"/>
    <w:multiLevelType w:val="hybridMultilevel"/>
    <w:tmpl w:val="C6843C5C"/>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AD332F6"/>
    <w:multiLevelType w:val="hybridMultilevel"/>
    <w:tmpl w:val="065660DE"/>
    <w:lvl w:ilvl="0" w:tplc="2AD47C40">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F0295C"/>
    <w:multiLevelType w:val="hybridMultilevel"/>
    <w:tmpl w:val="4E1E66C6"/>
    <w:lvl w:ilvl="0" w:tplc="38B27AC4">
      <w:start w:val="1"/>
      <w:numFmt w:val="decimal"/>
      <w:pStyle w:val="II"/>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15:restartNumberingAfterBreak="0">
    <w:nsid w:val="7B401C9D"/>
    <w:multiLevelType w:val="hybridMultilevel"/>
    <w:tmpl w:val="70E8100E"/>
    <w:lvl w:ilvl="0" w:tplc="8C2279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0" w15:restartNumberingAfterBreak="0">
    <w:nsid w:val="7BD0233F"/>
    <w:multiLevelType w:val="multilevel"/>
    <w:tmpl w:val="B81CAC1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50"/>
  </w:num>
  <w:num w:numId="3">
    <w:abstractNumId w:val="35"/>
  </w:num>
  <w:num w:numId="4">
    <w:abstractNumId w:val="15"/>
  </w:num>
  <w:num w:numId="5">
    <w:abstractNumId w:val="26"/>
  </w:num>
  <w:num w:numId="6">
    <w:abstractNumId w:val="21"/>
  </w:num>
  <w:num w:numId="7">
    <w:abstractNumId w:val="18"/>
  </w:num>
  <w:num w:numId="8">
    <w:abstractNumId w:val="32"/>
  </w:num>
  <w:num w:numId="9">
    <w:abstractNumId w:val="12"/>
  </w:num>
  <w:num w:numId="10">
    <w:abstractNumId w:val="29"/>
  </w:num>
  <w:num w:numId="11">
    <w:abstractNumId w:val="38"/>
  </w:num>
  <w:num w:numId="12">
    <w:abstractNumId w:val="1"/>
  </w:num>
  <w:num w:numId="13">
    <w:abstractNumId w:val="42"/>
  </w:num>
  <w:num w:numId="14">
    <w:abstractNumId w:val="16"/>
  </w:num>
  <w:num w:numId="15">
    <w:abstractNumId w:val="9"/>
  </w:num>
  <w:num w:numId="16">
    <w:abstractNumId w:val="28"/>
  </w:num>
  <w:num w:numId="17">
    <w:abstractNumId w:val="36"/>
  </w:num>
  <w:num w:numId="18">
    <w:abstractNumId w:val="27"/>
  </w:num>
  <w:num w:numId="19">
    <w:abstractNumId w:val="25"/>
  </w:num>
  <w:num w:numId="20">
    <w:abstractNumId w:val="37"/>
  </w:num>
  <w:num w:numId="21">
    <w:abstractNumId w:val="41"/>
  </w:num>
  <w:num w:numId="22">
    <w:abstractNumId w:val="30"/>
  </w:num>
  <w:num w:numId="23">
    <w:abstractNumId w:val="17"/>
  </w:num>
  <w:num w:numId="24">
    <w:abstractNumId w:val="46"/>
  </w:num>
  <w:num w:numId="25">
    <w:abstractNumId w:val="13"/>
  </w:num>
  <w:num w:numId="26">
    <w:abstractNumId w:val="39"/>
  </w:num>
  <w:num w:numId="27">
    <w:abstractNumId w:val="43"/>
  </w:num>
  <w:num w:numId="28">
    <w:abstractNumId w:val="22"/>
  </w:num>
  <w:num w:numId="29">
    <w:abstractNumId w:val="47"/>
  </w:num>
  <w:num w:numId="30">
    <w:abstractNumId w:val="7"/>
  </w:num>
  <w:num w:numId="31">
    <w:abstractNumId w:val="44"/>
  </w:num>
  <w:num w:numId="32">
    <w:abstractNumId w:val="34"/>
  </w:num>
  <w:num w:numId="33">
    <w:abstractNumId w:val="14"/>
  </w:num>
  <w:num w:numId="34">
    <w:abstractNumId w:val="40"/>
  </w:num>
  <w:num w:numId="35">
    <w:abstractNumId w:val="6"/>
  </w:num>
  <w:num w:numId="36">
    <w:abstractNumId w:val="31"/>
  </w:num>
  <w:num w:numId="37">
    <w:abstractNumId w:val="5"/>
  </w:num>
  <w:num w:numId="38">
    <w:abstractNumId w:val="23"/>
  </w:num>
  <w:num w:numId="39">
    <w:abstractNumId w:val="45"/>
  </w:num>
  <w:num w:numId="40">
    <w:abstractNumId w:val="3"/>
  </w:num>
  <w:num w:numId="41">
    <w:abstractNumId w:val="24"/>
  </w:num>
  <w:num w:numId="42">
    <w:abstractNumId w:val="33"/>
  </w:num>
  <w:num w:numId="43">
    <w:abstractNumId w:val="2"/>
  </w:num>
  <w:num w:numId="44">
    <w:abstractNumId w:val="11"/>
  </w:num>
  <w:num w:numId="45">
    <w:abstractNumId w:val="0"/>
  </w:num>
  <w:num w:numId="46">
    <w:abstractNumId w:val="4"/>
  </w:num>
  <w:num w:numId="47">
    <w:abstractNumId w:val="19"/>
  </w:num>
  <w:num w:numId="48">
    <w:abstractNumId w:val="49"/>
  </w:num>
  <w:num w:numId="49">
    <w:abstractNumId w:val="48"/>
  </w:num>
  <w:num w:numId="50">
    <w:abstractNumId w:val="8"/>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FD"/>
    <w:rsid w:val="00000FFC"/>
    <w:rsid w:val="000033D1"/>
    <w:rsid w:val="00004376"/>
    <w:rsid w:val="00005AFC"/>
    <w:rsid w:val="00005F47"/>
    <w:rsid w:val="00006A19"/>
    <w:rsid w:val="00010511"/>
    <w:rsid w:val="00011A29"/>
    <w:rsid w:val="00014108"/>
    <w:rsid w:val="00017609"/>
    <w:rsid w:val="00017D74"/>
    <w:rsid w:val="00017F8E"/>
    <w:rsid w:val="00020152"/>
    <w:rsid w:val="00021530"/>
    <w:rsid w:val="0002187F"/>
    <w:rsid w:val="00022EBD"/>
    <w:rsid w:val="00023757"/>
    <w:rsid w:val="00023985"/>
    <w:rsid w:val="00024A7B"/>
    <w:rsid w:val="000264E8"/>
    <w:rsid w:val="000274B9"/>
    <w:rsid w:val="000277A5"/>
    <w:rsid w:val="00030979"/>
    <w:rsid w:val="00030EF5"/>
    <w:rsid w:val="0003253A"/>
    <w:rsid w:val="000334EE"/>
    <w:rsid w:val="00033B8F"/>
    <w:rsid w:val="00033E18"/>
    <w:rsid w:val="00033F2C"/>
    <w:rsid w:val="0003476F"/>
    <w:rsid w:val="00034E4D"/>
    <w:rsid w:val="000354E5"/>
    <w:rsid w:val="00035AD7"/>
    <w:rsid w:val="000360C9"/>
    <w:rsid w:val="00036B63"/>
    <w:rsid w:val="0003726F"/>
    <w:rsid w:val="00040142"/>
    <w:rsid w:val="0004040F"/>
    <w:rsid w:val="0004098F"/>
    <w:rsid w:val="00041F6F"/>
    <w:rsid w:val="00042A12"/>
    <w:rsid w:val="00042BC6"/>
    <w:rsid w:val="00044169"/>
    <w:rsid w:val="00045EDB"/>
    <w:rsid w:val="0004602F"/>
    <w:rsid w:val="00046D6D"/>
    <w:rsid w:val="0005177D"/>
    <w:rsid w:val="00051828"/>
    <w:rsid w:val="000528D4"/>
    <w:rsid w:val="00053BB2"/>
    <w:rsid w:val="000540C9"/>
    <w:rsid w:val="00055D0B"/>
    <w:rsid w:val="0005714C"/>
    <w:rsid w:val="00057E44"/>
    <w:rsid w:val="00060C21"/>
    <w:rsid w:val="00061271"/>
    <w:rsid w:val="000626A9"/>
    <w:rsid w:val="00062DC1"/>
    <w:rsid w:val="0006351F"/>
    <w:rsid w:val="00065417"/>
    <w:rsid w:val="00066213"/>
    <w:rsid w:val="000714C0"/>
    <w:rsid w:val="000730C5"/>
    <w:rsid w:val="000748BC"/>
    <w:rsid w:val="00074911"/>
    <w:rsid w:val="00074D48"/>
    <w:rsid w:val="0007503B"/>
    <w:rsid w:val="00075A7C"/>
    <w:rsid w:val="00075CF3"/>
    <w:rsid w:val="000764EB"/>
    <w:rsid w:val="00076F3F"/>
    <w:rsid w:val="00076FC9"/>
    <w:rsid w:val="00077893"/>
    <w:rsid w:val="000801A9"/>
    <w:rsid w:val="00080499"/>
    <w:rsid w:val="00080BDE"/>
    <w:rsid w:val="00080C9A"/>
    <w:rsid w:val="00081230"/>
    <w:rsid w:val="000819B4"/>
    <w:rsid w:val="00081E2C"/>
    <w:rsid w:val="00084DE3"/>
    <w:rsid w:val="000853C7"/>
    <w:rsid w:val="000855EE"/>
    <w:rsid w:val="00085780"/>
    <w:rsid w:val="00086920"/>
    <w:rsid w:val="000871A7"/>
    <w:rsid w:val="00090875"/>
    <w:rsid w:val="0009215C"/>
    <w:rsid w:val="00094CA7"/>
    <w:rsid w:val="000965B1"/>
    <w:rsid w:val="00097021"/>
    <w:rsid w:val="000A0C88"/>
    <w:rsid w:val="000A13F9"/>
    <w:rsid w:val="000A1A6B"/>
    <w:rsid w:val="000A33A4"/>
    <w:rsid w:val="000A4169"/>
    <w:rsid w:val="000A48C8"/>
    <w:rsid w:val="000A5BEA"/>
    <w:rsid w:val="000A6711"/>
    <w:rsid w:val="000A6E95"/>
    <w:rsid w:val="000A7B6F"/>
    <w:rsid w:val="000B06EB"/>
    <w:rsid w:val="000B0DE3"/>
    <w:rsid w:val="000B2376"/>
    <w:rsid w:val="000B3275"/>
    <w:rsid w:val="000B4142"/>
    <w:rsid w:val="000B4807"/>
    <w:rsid w:val="000B50E5"/>
    <w:rsid w:val="000B58F6"/>
    <w:rsid w:val="000B7EEA"/>
    <w:rsid w:val="000C3ED9"/>
    <w:rsid w:val="000C4CAD"/>
    <w:rsid w:val="000C6977"/>
    <w:rsid w:val="000C69AB"/>
    <w:rsid w:val="000C788A"/>
    <w:rsid w:val="000D0C45"/>
    <w:rsid w:val="000D2DA7"/>
    <w:rsid w:val="000D335B"/>
    <w:rsid w:val="000D36AD"/>
    <w:rsid w:val="000D397C"/>
    <w:rsid w:val="000D4B6C"/>
    <w:rsid w:val="000D68C9"/>
    <w:rsid w:val="000D7561"/>
    <w:rsid w:val="000E0D28"/>
    <w:rsid w:val="000E1623"/>
    <w:rsid w:val="000E1676"/>
    <w:rsid w:val="000E23B0"/>
    <w:rsid w:val="000E392D"/>
    <w:rsid w:val="000E40C6"/>
    <w:rsid w:val="000E477A"/>
    <w:rsid w:val="000E4BAE"/>
    <w:rsid w:val="000E57E7"/>
    <w:rsid w:val="000E6720"/>
    <w:rsid w:val="000E70AB"/>
    <w:rsid w:val="000E7693"/>
    <w:rsid w:val="000F04F5"/>
    <w:rsid w:val="000F0FA4"/>
    <w:rsid w:val="000F11B7"/>
    <w:rsid w:val="000F1331"/>
    <w:rsid w:val="000F17C7"/>
    <w:rsid w:val="000F1C1B"/>
    <w:rsid w:val="000F21F2"/>
    <w:rsid w:val="000F2AFA"/>
    <w:rsid w:val="000F3321"/>
    <w:rsid w:val="000F3697"/>
    <w:rsid w:val="000F3993"/>
    <w:rsid w:val="000F3E8A"/>
    <w:rsid w:val="000F55FA"/>
    <w:rsid w:val="000F6836"/>
    <w:rsid w:val="000F7ACE"/>
    <w:rsid w:val="00100168"/>
    <w:rsid w:val="00100DAA"/>
    <w:rsid w:val="00102475"/>
    <w:rsid w:val="00103102"/>
    <w:rsid w:val="00103BE5"/>
    <w:rsid w:val="00103DBA"/>
    <w:rsid w:val="00104075"/>
    <w:rsid w:val="00104841"/>
    <w:rsid w:val="00104EE2"/>
    <w:rsid w:val="00105789"/>
    <w:rsid w:val="00105E3B"/>
    <w:rsid w:val="00106202"/>
    <w:rsid w:val="00106B33"/>
    <w:rsid w:val="001072E1"/>
    <w:rsid w:val="00107EF6"/>
    <w:rsid w:val="0011084A"/>
    <w:rsid w:val="0011222D"/>
    <w:rsid w:val="00112FB9"/>
    <w:rsid w:val="001139C7"/>
    <w:rsid w:val="001145CD"/>
    <w:rsid w:val="00116E55"/>
    <w:rsid w:val="0011741C"/>
    <w:rsid w:val="001174F1"/>
    <w:rsid w:val="00117DC6"/>
    <w:rsid w:val="001215AF"/>
    <w:rsid w:val="001219AF"/>
    <w:rsid w:val="0012297D"/>
    <w:rsid w:val="00122D18"/>
    <w:rsid w:val="00122E34"/>
    <w:rsid w:val="0012300B"/>
    <w:rsid w:val="00123D53"/>
    <w:rsid w:val="00124033"/>
    <w:rsid w:val="001246C7"/>
    <w:rsid w:val="001247C3"/>
    <w:rsid w:val="00126AD3"/>
    <w:rsid w:val="0012737C"/>
    <w:rsid w:val="00127945"/>
    <w:rsid w:val="001315D4"/>
    <w:rsid w:val="00131ADD"/>
    <w:rsid w:val="00132CF7"/>
    <w:rsid w:val="00133DFF"/>
    <w:rsid w:val="001340A3"/>
    <w:rsid w:val="001346EC"/>
    <w:rsid w:val="001354F8"/>
    <w:rsid w:val="00136A02"/>
    <w:rsid w:val="00140E2A"/>
    <w:rsid w:val="001418FC"/>
    <w:rsid w:val="001420DC"/>
    <w:rsid w:val="001423A2"/>
    <w:rsid w:val="00143A44"/>
    <w:rsid w:val="00145D22"/>
    <w:rsid w:val="00147471"/>
    <w:rsid w:val="001476C6"/>
    <w:rsid w:val="001479B9"/>
    <w:rsid w:val="0015094D"/>
    <w:rsid w:val="00152936"/>
    <w:rsid w:val="00153DE8"/>
    <w:rsid w:val="001540E3"/>
    <w:rsid w:val="001544E1"/>
    <w:rsid w:val="00155563"/>
    <w:rsid w:val="001579A3"/>
    <w:rsid w:val="00160E62"/>
    <w:rsid w:val="00161A55"/>
    <w:rsid w:val="0016211A"/>
    <w:rsid w:val="00163ADC"/>
    <w:rsid w:val="0016616B"/>
    <w:rsid w:val="00166889"/>
    <w:rsid w:val="00170FA2"/>
    <w:rsid w:val="00171F59"/>
    <w:rsid w:val="00172F50"/>
    <w:rsid w:val="00173C90"/>
    <w:rsid w:val="00174617"/>
    <w:rsid w:val="00175BFD"/>
    <w:rsid w:val="00176439"/>
    <w:rsid w:val="00176B62"/>
    <w:rsid w:val="00176F85"/>
    <w:rsid w:val="00177015"/>
    <w:rsid w:val="00177955"/>
    <w:rsid w:val="00177A5F"/>
    <w:rsid w:val="001807FF"/>
    <w:rsid w:val="0018193B"/>
    <w:rsid w:val="00182948"/>
    <w:rsid w:val="00185A20"/>
    <w:rsid w:val="00185AD2"/>
    <w:rsid w:val="0018610A"/>
    <w:rsid w:val="001863BB"/>
    <w:rsid w:val="00186660"/>
    <w:rsid w:val="00187FFA"/>
    <w:rsid w:val="00190DD5"/>
    <w:rsid w:val="001922C1"/>
    <w:rsid w:val="00192C21"/>
    <w:rsid w:val="00192E05"/>
    <w:rsid w:val="00193E89"/>
    <w:rsid w:val="00196E31"/>
    <w:rsid w:val="0019765D"/>
    <w:rsid w:val="001A365C"/>
    <w:rsid w:val="001A5E62"/>
    <w:rsid w:val="001A704C"/>
    <w:rsid w:val="001B0481"/>
    <w:rsid w:val="001B04EF"/>
    <w:rsid w:val="001B0D70"/>
    <w:rsid w:val="001B1718"/>
    <w:rsid w:val="001B1B4F"/>
    <w:rsid w:val="001B2932"/>
    <w:rsid w:val="001B3288"/>
    <w:rsid w:val="001B5726"/>
    <w:rsid w:val="001B5A35"/>
    <w:rsid w:val="001B5EE7"/>
    <w:rsid w:val="001B7938"/>
    <w:rsid w:val="001C0483"/>
    <w:rsid w:val="001C05F3"/>
    <w:rsid w:val="001C07C2"/>
    <w:rsid w:val="001C128F"/>
    <w:rsid w:val="001C253E"/>
    <w:rsid w:val="001C356A"/>
    <w:rsid w:val="001C3DE7"/>
    <w:rsid w:val="001C3E4E"/>
    <w:rsid w:val="001C42D4"/>
    <w:rsid w:val="001C49C0"/>
    <w:rsid w:val="001C638E"/>
    <w:rsid w:val="001C66DD"/>
    <w:rsid w:val="001C74E9"/>
    <w:rsid w:val="001C7550"/>
    <w:rsid w:val="001D1134"/>
    <w:rsid w:val="001D1539"/>
    <w:rsid w:val="001D261A"/>
    <w:rsid w:val="001D41D4"/>
    <w:rsid w:val="001D5275"/>
    <w:rsid w:val="001D5B1B"/>
    <w:rsid w:val="001D64A6"/>
    <w:rsid w:val="001D7C9A"/>
    <w:rsid w:val="001E1439"/>
    <w:rsid w:val="001E2501"/>
    <w:rsid w:val="001E26A7"/>
    <w:rsid w:val="001E26DC"/>
    <w:rsid w:val="001E2D1F"/>
    <w:rsid w:val="001E32DE"/>
    <w:rsid w:val="001E6520"/>
    <w:rsid w:val="001E73F2"/>
    <w:rsid w:val="001E7C2D"/>
    <w:rsid w:val="001F07BB"/>
    <w:rsid w:val="001F0AE6"/>
    <w:rsid w:val="001F0FFD"/>
    <w:rsid w:val="001F261C"/>
    <w:rsid w:val="001F2C67"/>
    <w:rsid w:val="001F3E62"/>
    <w:rsid w:val="001F4780"/>
    <w:rsid w:val="001F57B7"/>
    <w:rsid w:val="001F5CB9"/>
    <w:rsid w:val="001F6571"/>
    <w:rsid w:val="0020299B"/>
    <w:rsid w:val="00203394"/>
    <w:rsid w:val="002038CD"/>
    <w:rsid w:val="0020447D"/>
    <w:rsid w:val="0020697A"/>
    <w:rsid w:val="00207E97"/>
    <w:rsid w:val="00210C71"/>
    <w:rsid w:val="002114E7"/>
    <w:rsid w:val="00213236"/>
    <w:rsid w:val="00213601"/>
    <w:rsid w:val="0021519C"/>
    <w:rsid w:val="002168ED"/>
    <w:rsid w:val="002170EE"/>
    <w:rsid w:val="00217C8A"/>
    <w:rsid w:val="00220884"/>
    <w:rsid w:val="00220DCB"/>
    <w:rsid w:val="002214BC"/>
    <w:rsid w:val="00221731"/>
    <w:rsid w:val="0022184D"/>
    <w:rsid w:val="00222336"/>
    <w:rsid w:val="0022311C"/>
    <w:rsid w:val="0022552A"/>
    <w:rsid w:val="00227031"/>
    <w:rsid w:val="00231EA4"/>
    <w:rsid w:val="0023269C"/>
    <w:rsid w:val="00232FD6"/>
    <w:rsid w:val="00233C87"/>
    <w:rsid w:val="00235FFB"/>
    <w:rsid w:val="002368CF"/>
    <w:rsid w:val="00240580"/>
    <w:rsid w:val="0024091D"/>
    <w:rsid w:val="00241CBB"/>
    <w:rsid w:val="00242CC3"/>
    <w:rsid w:val="00243271"/>
    <w:rsid w:val="00243382"/>
    <w:rsid w:val="0024539F"/>
    <w:rsid w:val="0024558E"/>
    <w:rsid w:val="0024565A"/>
    <w:rsid w:val="00245692"/>
    <w:rsid w:val="0025011E"/>
    <w:rsid w:val="00251C95"/>
    <w:rsid w:val="00251EFC"/>
    <w:rsid w:val="002531FA"/>
    <w:rsid w:val="00253310"/>
    <w:rsid w:val="0025382A"/>
    <w:rsid w:val="00254664"/>
    <w:rsid w:val="00254943"/>
    <w:rsid w:val="00254BB1"/>
    <w:rsid w:val="00255037"/>
    <w:rsid w:val="00255A8C"/>
    <w:rsid w:val="00256C17"/>
    <w:rsid w:val="002609F2"/>
    <w:rsid w:val="002615F9"/>
    <w:rsid w:val="00261BF2"/>
    <w:rsid w:val="00263AAE"/>
    <w:rsid w:val="00263D19"/>
    <w:rsid w:val="002643D9"/>
    <w:rsid w:val="00265AA4"/>
    <w:rsid w:val="00267E6C"/>
    <w:rsid w:val="0027298B"/>
    <w:rsid w:val="0027413B"/>
    <w:rsid w:val="00276187"/>
    <w:rsid w:val="00276D55"/>
    <w:rsid w:val="00277EE5"/>
    <w:rsid w:val="002815B8"/>
    <w:rsid w:val="00282070"/>
    <w:rsid w:val="00282A47"/>
    <w:rsid w:val="002833C7"/>
    <w:rsid w:val="00284430"/>
    <w:rsid w:val="00284997"/>
    <w:rsid w:val="00286D31"/>
    <w:rsid w:val="00287F85"/>
    <w:rsid w:val="00290EB5"/>
    <w:rsid w:val="0029410B"/>
    <w:rsid w:val="00294608"/>
    <w:rsid w:val="00296853"/>
    <w:rsid w:val="00297006"/>
    <w:rsid w:val="002A160B"/>
    <w:rsid w:val="002A4051"/>
    <w:rsid w:val="002A4430"/>
    <w:rsid w:val="002A6DEA"/>
    <w:rsid w:val="002A777D"/>
    <w:rsid w:val="002B1958"/>
    <w:rsid w:val="002B21FE"/>
    <w:rsid w:val="002B2529"/>
    <w:rsid w:val="002B30E7"/>
    <w:rsid w:val="002B4517"/>
    <w:rsid w:val="002B4592"/>
    <w:rsid w:val="002B482B"/>
    <w:rsid w:val="002B598E"/>
    <w:rsid w:val="002B7694"/>
    <w:rsid w:val="002B78E1"/>
    <w:rsid w:val="002C1990"/>
    <w:rsid w:val="002C28C6"/>
    <w:rsid w:val="002C2F77"/>
    <w:rsid w:val="002C3B90"/>
    <w:rsid w:val="002C437B"/>
    <w:rsid w:val="002C699C"/>
    <w:rsid w:val="002C714D"/>
    <w:rsid w:val="002D00CC"/>
    <w:rsid w:val="002D0954"/>
    <w:rsid w:val="002D1CAD"/>
    <w:rsid w:val="002D2757"/>
    <w:rsid w:val="002D4351"/>
    <w:rsid w:val="002D43F3"/>
    <w:rsid w:val="002D4EF6"/>
    <w:rsid w:val="002D524C"/>
    <w:rsid w:val="002D5DAF"/>
    <w:rsid w:val="002D6BEE"/>
    <w:rsid w:val="002D6F9F"/>
    <w:rsid w:val="002D79A9"/>
    <w:rsid w:val="002D7E3A"/>
    <w:rsid w:val="002E20A6"/>
    <w:rsid w:val="002E24D0"/>
    <w:rsid w:val="002E4068"/>
    <w:rsid w:val="002E4F8D"/>
    <w:rsid w:val="002E50CB"/>
    <w:rsid w:val="002E5521"/>
    <w:rsid w:val="002E5CD2"/>
    <w:rsid w:val="002E631B"/>
    <w:rsid w:val="002F0425"/>
    <w:rsid w:val="002F12B9"/>
    <w:rsid w:val="002F1700"/>
    <w:rsid w:val="002F1A0F"/>
    <w:rsid w:val="002F1B0D"/>
    <w:rsid w:val="002F2148"/>
    <w:rsid w:val="002F44F4"/>
    <w:rsid w:val="002F476D"/>
    <w:rsid w:val="002F5324"/>
    <w:rsid w:val="002F53A7"/>
    <w:rsid w:val="002F6DDB"/>
    <w:rsid w:val="002F7792"/>
    <w:rsid w:val="002F7D7C"/>
    <w:rsid w:val="00300E08"/>
    <w:rsid w:val="003018BC"/>
    <w:rsid w:val="00302F5C"/>
    <w:rsid w:val="0030353A"/>
    <w:rsid w:val="003039CA"/>
    <w:rsid w:val="003045B2"/>
    <w:rsid w:val="00304745"/>
    <w:rsid w:val="00306FD8"/>
    <w:rsid w:val="00306FE3"/>
    <w:rsid w:val="0030722A"/>
    <w:rsid w:val="00307712"/>
    <w:rsid w:val="003100B8"/>
    <w:rsid w:val="003105DE"/>
    <w:rsid w:val="0031112D"/>
    <w:rsid w:val="00312248"/>
    <w:rsid w:val="00312A76"/>
    <w:rsid w:val="003132B7"/>
    <w:rsid w:val="0031381D"/>
    <w:rsid w:val="003158C9"/>
    <w:rsid w:val="0032003D"/>
    <w:rsid w:val="00321070"/>
    <w:rsid w:val="003212DC"/>
    <w:rsid w:val="00322287"/>
    <w:rsid w:val="003223CB"/>
    <w:rsid w:val="0032311F"/>
    <w:rsid w:val="0032331D"/>
    <w:rsid w:val="00323604"/>
    <w:rsid w:val="00323FFB"/>
    <w:rsid w:val="00324991"/>
    <w:rsid w:val="003265B3"/>
    <w:rsid w:val="0032722F"/>
    <w:rsid w:val="0032730E"/>
    <w:rsid w:val="00330C97"/>
    <w:rsid w:val="00331193"/>
    <w:rsid w:val="00332CD0"/>
    <w:rsid w:val="00333403"/>
    <w:rsid w:val="003337DE"/>
    <w:rsid w:val="0034049B"/>
    <w:rsid w:val="00340DB7"/>
    <w:rsid w:val="00342360"/>
    <w:rsid w:val="0034300F"/>
    <w:rsid w:val="003442FD"/>
    <w:rsid w:val="00344BE6"/>
    <w:rsid w:val="003505BF"/>
    <w:rsid w:val="0035088F"/>
    <w:rsid w:val="00350D3F"/>
    <w:rsid w:val="003515A9"/>
    <w:rsid w:val="00352A85"/>
    <w:rsid w:val="003555B8"/>
    <w:rsid w:val="00356884"/>
    <w:rsid w:val="003572CC"/>
    <w:rsid w:val="00361936"/>
    <w:rsid w:val="00361B80"/>
    <w:rsid w:val="00362F4D"/>
    <w:rsid w:val="003640BD"/>
    <w:rsid w:val="003654CD"/>
    <w:rsid w:val="00365874"/>
    <w:rsid w:val="00370013"/>
    <w:rsid w:val="0037073B"/>
    <w:rsid w:val="0037158E"/>
    <w:rsid w:val="00374659"/>
    <w:rsid w:val="003747FD"/>
    <w:rsid w:val="00374DDA"/>
    <w:rsid w:val="00374F27"/>
    <w:rsid w:val="0037611D"/>
    <w:rsid w:val="00380C31"/>
    <w:rsid w:val="003811D3"/>
    <w:rsid w:val="003833F0"/>
    <w:rsid w:val="00385226"/>
    <w:rsid w:val="00385F59"/>
    <w:rsid w:val="00386C67"/>
    <w:rsid w:val="00386C7E"/>
    <w:rsid w:val="0038705D"/>
    <w:rsid w:val="003876BE"/>
    <w:rsid w:val="003879D2"/>
    <w:rsid w:val="00391A73"/>
    <w:rsid w:val="00391DEC"/>
    <w:rsid w:val="003927EE"/>
    <w:rsid w:val="00393502"/>
    <w:rsid w:val="00393F27"/>
    <w:rsid w:val="003966D7"/>
    <w:rsid w:val="00396896"/>
    <w:rsid w:val="003969B2"/>
    <w:rsid w:val="00397937"/>
    <w:rsid w:val="003A138E"/>
    <w:rsid w:val="003A18B9"/>
    <w:rsid w:val="003A1A11"/>
    <w:rsid w:val="003A1E60"/>
    <w:rsid w:val="003A20F2"/>
    <w:rsid w:val="003A2977"/>
    <w:rsid w:val="003A2B82"/>
    <w:rsid w:val="003A2FFA"/>
    <w:rsid w:val="003A3E0B"/>
    <w:rsid w:val="003A408D"/>
    <w:rsid w:val="003A4173"/>
    <w:rsid w:val="003A4925"/>
    <w:rsid w:val="003A559E"/>
    <w:rsid w:val="003A562A"/>
    <w:rsid w:val="003A6829"/>
    <w:rsid w:val="003B0A88"/>
    <w:rsid w:val="003B27DA"/>
    <w:rsid w:val="003B3566"/>
    <w:rsid w:val="003B3E80"/>
    <w:rsid w:val="003B64F9"/>
    <w:rsid w:val="003B6D23"/>
    <w:rsid w:val="003B6FBA"/>
    <w:rsid w:val="003B7593"/>
    <w:rsid w:val="003B7718"/>
    <w:rsid w:val="003C0C34"/>
    <w:rsid w:val="003C0F00"/>
    <w:rsid w:val="003C33AC"/>
    <w:rsid w:val="003C7668"/>
    <w:rsid w:val="003C7775"/>
    <w:rsid w:val="003D0372"/>
    <w:rsid w:val="003D0C26"/>
    <w:rsid w:val="003D289E"/>
    <w:rsid w:val="003D3B3B"/>
    <w:rsid w:val="003D544A"/>
    <w:rsid w:val="003D656F"/>
    <w:rsid w:val="003E06EF"/>
    <w:rsid w:val="003E19B9"/>
    <w:rsid w:val="003E1EC6"/>
    <w:rsid w:val="003E29DE"/>
    <w:rsid w:val="003E54AD"/>
    <w:rsid w:val="003E5D3D"/>
    <w:rsid w:val="003E7FFB"/>
    <w:rsid w:val="003F10B6"/>
    <w:rsid w:val="003F16CC"/>
    <w:rsid w:val="003F5D24"/>
    <w:rsid w:val="003F60CF"/>
    <w:rsid w:val="003F624C"/>
    <w:rsid w:val="003F68A5"/>
    <w:rsid w:val="003F7D0B"/>
    <w:rsid w:val="00400D55"/>
    <w:rsid w:val="00401314"/>
    <w:rsid w:val="004022D3"/>
    <w:rsid w:val="004045C3"/>
    <w:rsid w:val="00405392"/>
    <w:rsid w:val="0040675D"/>
    <w:rsid w:val="00406ECD"/>
    <w:rsid w:val="00410DA7"/>
    <w:rsid w:val="00412E51"/>
    <w:rsid w:val="0041334F"/>
    <w:rsid w:val="004135EF"/>
    <w:rsid w:val="00413BA1"/>
    <w:rsid w:val="004148DD"/>
    <w:rsid w:val="00414A44"/>
    <w:rsid w:val="0041785C"/>
    <w:rsid w:val="00417A68"/>
    <w:rsid w:val="00417B69"/>
    <w:rsid w:val="00417ECB"/>
    <w:rsid w:val="0042069B"/>
    <w:rsid w:val="00422D22"/>
    <w:rsid w:val="00423935"/>
    <w:rsid w:val="00424C2A"/>
    <w:rsid w:val="00424C5E"/>
    <w:rsid w:val="00425387"/>
    <w:rsid w:val="004254DF"/>
    <w:rsid w:val="00427ACE"/>
    <w:rsid w:val="00427C59"/>
    <w:rsid w:val="00430611"/>
    <w:rsid w:val="00433F8F"/>
    <w:rsid w:val="00434EB5"/>
    <w:rsid w:val="00434FAE"/>
    <w:rsid w:val="0043775A"/>
    <w:rsid w:val="00440A6D"/>
    <w:rsid w:val="004426DD"/>
    <w:rsid w:val="004428B0"/>
    <w:rsid w:val="00443A18"/>
    <w:rsid w:val="00443EAC"/>
    <w:rsid w:val="00445E02"/>
    <w:rsid w:val="0044606B"/>
    <w:rsid w:val="00446B88"/>
    <w:rsid w:val="00447F9C"/>
    <w:rsid w:val="00450A28"/>
    <w:rsid w:val="00451EFA"/>
    <w:rsid w:val="00452511"/>
    <w:rsid w:val="0045278F"/>
    <w:rsid w:val="004544F7"/>
    <w:rsid w:val="004549BE"/>
    <w:rsid w:val="00456550"/>
    <w:rsid w:val="004571C6"/>
    <w:rsid w:val="004574A4"/>
    <w:rsid w:val="00460D9A"/>
    <w:rsid w:val="004610A4"/>
    <w:rsid w:val="00462CC4"/>
    <w:rsid w:val="00463497"/>
    <w:rsid w:val="004644D9"/>
    <w:rsid w:val="0046463A"/>
    <w:rsid w:val="00470446"/>
    <w:rsid w:val="00471AA8"/>
    <w:rsid w:val="00474CE3"/>
    <w:rsid w:val="00475996"/>
    <w:rsid w:val="00477126"/>
    <w:rsid w:val="00477369"/>
    <w:rsid w:val="00477C07"/>
    <w:rsid w:val="00477E01"/>
    <w:rsid w:val="0048179D"/>
    <w:rsid w:val="00483094"/>
    <w:rsid w:val="00483449"/>
    <w:rsid w:val="004846C2"/>
    <w:rsid w:val="0048627C"/>
    <w:rsid w:val="004864B1"/>
    <w:rsid w:val="004864CB"/>
    <w:rsid w:val="00486D31"/>
    <w:rsid w:val="00487E93"/>
    <w:rsid w:val="00491997"/>
    <w:rsid w:val="00491D86"/>
    <w:rsid w:val="00492534"/>
    <w:rsid w:val="00492BC5"/>
    <w:rsid w:val="00493324"/>
    <w:rsid w:val="00495CE5"/>
    <w:rsid w:val="004A11EA"/>
    <w:rsid w:val="004A17FD"/>
    <w:rsid w:val="004A18A7"/>
    <w:rsid w:val="004A1EAD"/>
    <w:rsid w:val="004A364F"/>
    <w:rsid w:val="004A3D39"/>
    <w:rsid w:val="004A5754"/>
    <w:rsid w:val="004A591D"/>
    <w:rsid w:val="004A6069"/>
    <w:rsid w:val="004A699D"/>
    <w:rsid w:val="004B00C6"/>
    <w:rsid w:val="004B047E"/>
    <w:rsid w:val="004B173D"/>
    <w:rsid w:val="004B2AF7"/>
    <w:rsid w:val="004B362E"/>
    <w:rsid w:val="004B54E7"/>
    <w:rsid w:val="004B5D5D"/>
    <w:rsid w:val="004B6ED5"/>
    <w:rsid w:val="004C0B95"/>
    <w:rsid w:val="004C0D77"/>
    <w:rsid w:val="004C10C8"/>
    <w:rsid w:val="004C16F7"/>
    <w:rsid w:val="004C1AA1"/>
    <w:rsid w:val="004C54B2"/>
    <w:rsid w:val="004C588D"/>
    <w:rsid w:val="004D045B"/>
    <w:rsid w:val="004D0A64"/>
    <w:rsid w:val="004D0E1B"/>
    <w:rsid w:val="004D16AE"/>
    <w:rsid w:val="004D17FA"/>
    <w:rsid w:val="004D1FC3"/>
    <w:rsid w:val="004D3A1B"/>
    <w:rsid w:val="004D4735"/>
    <w:rsid w:val="004D629B"/>
    <w:rsid w:val="004D6AEA"/>
    <w:rsid w:val="004D7B78"/>
    <w:rsid w:val="004E0DDD"/>
    <w:rsid w:val="004E0F96"/>
    <w:rsid w:val="004E14E2"/>
    <w:rsid w:val="004E1901"/>
    <w:rsid w:val="004E1E27"/>
    <w:rsid w:val="004E2913"/>
    <w:rsid w:val="004E298A"/>
    <w:rsid w:val="004E3FFD"/>
    <w:rsid w:val="004E516E"/>
    <w:rsid w:val="004E541B"/>
    <w:rsid w:val="004E5CE8"/>
    <w:rsid w:val="004F0614"/>
    <w:rsid w:val="004F1984"/>
    <w:rsid w:val="004F1CA8"/>
    <w:rsid w:val="004F528D"/>
    <w:rsid w:val="004F5BC7"/>
    <w:rsid w:val="004F5D4E"/>
    <w:rsid w:val="004F7655"/>
    <w:rsid w:val="00500B04"/>
    <w:rsid w:val="00500BE9"/>
    <w:rsid w:val="005012E0"/>
    <w:rsid w:val="005020B3"/>
    <w:rsid w:val="005026FD"/>
    <w:rsid w:val="00503ED0"/>
    <w:rsid w:val="00505730"/>
    <w:rsid w:val="005064DB"/>
    <w:rsid w:val="005070B9"/>
    <w:rsid w:val="00507F08"/>
    <w:rsid w:val="00510A18"/>
    <w:rsid w:val="00511D9E"/>
    <w:rsid w:val="00511E53"/>
    <w:rsid w:val="0051277D"/>
    <w:rsid w:val="00513184"/>
    <w:rsid w:val="0051349E"/>
    <w:rsid w:val="005138CF"/>
    <w:rsid w:val="00514967"/>
    <w:rsid w:val="00514B53"/>
    <w:rsid w:val="00516E46"/>
    <w:rsid w:val="005205D0"/>
    <w:rsid w:val="00523803"/>
    <w:rsid w:val="00523E91"/>
    <w:rsid w:val="00524203"/>
    <w:rsid w:val="00524ABF"/>
    <w:rsid w:val="00524F5F"/>
    <w:rsid w:val="00526841"/>
    <w:rsid w:val="00526F72"/>
    <w:rsid w:val="00531156"/>
    <w:rsid w:val="00532ADF"/>
    <w:rsid w:val="00532D9C"/>
    <w:rsid w:val="00535076"/>
    <w:rsid w:val="00535D50"/>
    <w:rsid w:val="005378E1"/>
    <w:rsid w:val="00540DB1"/>
    <w:rsid w:val="005414A2"/>
    <w:rsid w:val="005418D5"/>
    <w:rsid w:val="00541A2A"/>
    <w:rsid w:val="00541FC4"/>
    <w:rsid w:val="00543F5C"/>
    <w:rsid w:val="00544885"/>
    <w:rsid w:val="00545C2E"/>
    <w:rsid w:val="00546005"/>
    <w:rsid w:val="005465EC"/>
    <w:rsid w:val="00547AFB"/>
    <w:rsid w:val="00547F0A"/>
    <w:rsid w:val="00550314"/>
    <w:rsid w:val="005506D0"/>
    <w:rsid w:val="00551393"/>
    <w:rsid w:val="00551ABE"/>
    <w:rsid w:val="00552F27"/>
    <w:rsid w:val="00553FB1"/>
    <w:rsid w:val="0055419B"/>
    <w:rsid w:val="005559A7"/>
    <w:rsid w:val="005574CC"/>
    <w:rsid w:val="005606B7"/>
    <w:rsid w:val="00560935"/>
    <w:rsid w:val="005612E2"/>
    <w:rsid w:val="005624DF"/>
    <w:rsid w:val="005627C1"/>
    <w:rsid w:val="00563AD2"/>
    <w:rsid w:val="00565242"/>
    <w:rsid w:val="005655C9"/>
    <w:rsid w:val="005665E2"/>
    <w:rsid w:val="005669F3"/>
    <w:rsid w:val="00570D86"/>
    <w:rsid w:val="005724A3"/>
    <w:rsid w:val="005740A3"/>
    <w:rsid w:val="0057449E"/>
    <w:rsid w:val="00574EDF"/>
    <w:rsid w:val="00576EA8"/>
    <w:rsid w:val="005778C9"/>
    <w:rsid w:val="005810A1"/>
    <w:rsid w:val="00581960"/>
    <w:rsid w:val="00581E5B"/>
    <w:rsid w:val="00586A55"/>
    <w:rsid w:val="0059084F"/>
    <w:rsid w:val="00590C9D"/>
    <w:rsid w:val="00592913"/>
    <w:rsid w:val="00593998"/>
    <w:rsid w:val="00597844"/>
    <w:rsid w:val="005A0846"/>
    <w:rsid w:val="005A0A18"/>
    <w:rsid w:val="005A102F"/>
    <w:rsid w:val="005A18BE"/>
    <w:rsid w:val="005A511C"/>
    <w:rsid w:val="005A5960"/>
    <w:rsid w:val="005A639D"/>
    <w:rsid w:val="005A6B8E"/>
    <w:rsid w:val="005B0ABF"/>
    <w:rsid w:val="005B1EF1"/>
    <w:rsid w:val="005B24C7"/>
    <w:rsid w:val="005B25C4"/>
    <w:rsid w:val="005B26F7"/>
    <w:rsid w:val="005B28F4"/>
    <w:rsid w:val="005B29F4"/>
    <w:rsid w:val="005B510F"/>
    <w:rsid w:val="005B59E8"/>
    <w:rsid w:val="005B6804"/>
    <w:rsid w:val="005B7306"/>
    <w:rsid w:val="005C0076"/>
    <w:rsid w:val="005C08FE"/>
    <w:rsid w:val="005C0C11"/>
    <w:rsid w:val="005C0D4E"/>
    <w:rsid w:val="005C33DA"/>
    <w:rsid w:val="005C5771"/>
    <w:rsid w:val="005C5C88"/>
    <w:rsid w:val="005C6B5D"/>
    <w:rsid w:val="005C6C19"/>
    <w:rsid w:val="005C6F43"/>
    <w:rsid w:val="005C70E6"/>
    <w:rsid w:val="005D171B"/>
    <w:rsid w:val="005D1BB0"/>
    <w:rsid w:val="005D3AA3"/>
    <w:rsid w:val="005D55B2"/>
    <w:rsid w:val="005D6D5C"/>
    <w:rsid w:val="005D6F82"/>
    <w:rsid w:val="005D70E0"/>
    <w:rsid w:val="005D7176"/>
    <w:rsid w:val="005E0DEC"/>
    <w:rsid w:val="005E1669"/>
    <w:rsid w:val="005E35E6"/>
    <w:rsid w:val="005E3A41"/>
    <w:rsid w:val="005E44B3"/>
    <w:rsid w:val="005E5F00"/>
    <w:rsid w:val="005E6263"/>
    <w:rsid w:val="005E6B95"/>
    <w:rsid w:val="005E794A"/>
    <w:rsid w:val="005E79BD"/>
    <w:rsid w:val="005F050E"/>
    <w:rsid w:val="005F0541"/>
    <w:rsid w:val="005F2252"/>
    <w:rsid w:val="005F3E5C"/>
    <w:rsid w:val="005F4EE4"/>
    <w:rsid w:val="005F7147"/>
    <w:rsid w:val="005F725A"/>
    <w:rsid w:val="005F7856"/>
    <w:rsid w:val="00600407"/>
    <w:rsid w:val="0060139F"/>
    <w:rsid w:val="00603093"/>
    <w:rsid w:val="00603D9A"/>
    <w:rsid w:val="0060433A"/>
    <w:rsid w:val="006052BC"/>
    <w:rsid w:val="006064D4"/>
    <w:rsid w:val="006067AC"/>
    <w:rsid w:val="00607767"/>
    <w:rsid w:val="00613AC7"/>
    <w:rsid w:val="00620BC9"/>
    <w:rsid w:val="00622563"/>
    <w:rsid w:val="006227A6"/>
    <w:rsid w:val="00622804"/>
    <w:rsid w:val="00622F63"/>
    <w:rsid w:val="00625C13"/>
    <w:rsid w:val="00626C7E"/>
    <w:rsid w:val="00627592"/>
    <w:rsid w:val="0063105B"/>
    <w:rsid w:val="006312C7"/>
    <w:rsid w:val="00631E01"/>
    <w:rsid w:val="00632291"/>
    <w:rsid w:val="00633718"/>
    <w:rsid w:val="00635457"/>
    <w:rsid w:val="00636125"/>
    <w:rsid w:val="006361D0"/>
    <w:rsid w:val="006361D8"/>
    <w:rsid w:val="00636635"/>
    <w:rsid w:val="006416BC"/>
    <w:rsid w:val="00641BB6"/>
    <w:rsid w:val="00643841"/>
    <w:rsid w:val="00645AD8"/>
    <w:rsid w:val="006506D1"/>
    <w:rsid w:val="00652596"/>
    <w:rsid w:val="0065274B"/>
    <w:rsid w:val="0065323A"/>
    <w:rsid w:val="006535B1"/>
    <w:rsid w:val="0065392D"/>
    <w:rsid w:val="00654624"/>
    <w:rsid w:val="00654AFC"/>
    <w:rsid w:val="00655182"/>
    <w:rsid w:val="00655D09"/>
    <w:rsid w:val="006567C3"/>
    <w:rsid w:val="00656E2E"/>
    <w:rsid w:val="006572A3"/>
    <w:rsid w:val="006619F5"/>
    <w:rsid w:val="0066231E"/>
    <w:rsid w:val="00663568"/>
    <w:rsid w:val="0066383B"/>
    <w:rsid w:val="00663E69"/>
    <w:rsid w:val="0066492F"/>
    <w:rsid w:val="00665636"/>
    <w:rsid w:val="006657E2"/>
    <w:rsid w:val="00666AE2"/>
    <w:rsid w:val="00667220"/>
    <w:rsid w:val="0067081B"/>
    <w:rsid w:val="006729CE"/>
    <w:rsid w:val="006733F6"/>
    <w:rsid w:val="006745EA"/>
    <w:rsid w:val="006764AB"/>
    <w:rsid w:val="00676710"/>
    <w:rsid w:val="00680A2C"/>
    <w:rsid w:val="00683748"/>
    <w:rsid w:val="00684111"/>
    <w:rsid w:val="00684C92"/>
    <w:rsid w:val="006853F8"/>
    <w:rsid w:val="00686084"/>
    <w:rsid w:val="0069234E"/>
    <w:rsid w:val="00695590"/>
    <w:rsid w:val="00696D58"/>
    <w:rsid w:val="00697668"/>
    <w:rsid w:val="006A0049"/>
    <w:rsid w:val="006A09EA"/>
    <w:rsid w:val="006A0ADA"/>
    <w:rsid w:val="006A18D8"/>
    <w:rsid w:val="006A239C"/>
    <w:rsid w:val="006A3662"/>
    <w:rsid w:val="006A3997"/>
    <w:rsid w:val="006A7069"/>
    <w:rsid w:val="006B1425"/>
    <w:rsid w:val="006B2783"/>
    <w:rsid w:val="006B35F7"/>
    <w:rsid w:val="006B370F"/>
    <w:rsid w:val="006B48BB"/>
    <w:rsid w:val="006B4DD0"/>
    <w:rsid w:val="006B564A"/>
    <w:rsid w:val="006B56AF"/>
    <w:rsid w:val="006B70AD"/>
    <w:rsid w:val="006B7412"/>
    <w:rsid w:val="006B7D4F"/>
    <w:rsid w:val="006C02B1"/>
    <w:rsid w:val="006C0F09"/>
    <w:rsid w:val="006C1302"/>
    <w:rsid w:val="006C2F54"/>
    <w:rsid w:val="006C3F42"/>
    <w:rsid w:val="006C4406"/>
    <w:rsid w:val="006C4D3B"/>
    <w:rsid w:val="006C4D63"/>
    <w:rsid w:val="006C5EC0"/>
    <w:rsid w:val="006C65B4"/>
    <w:rsid w:val="006D15C7"/>
    <w:rsid w:val="006D17AF"/>
    <w:rsid w:val="006D1B18"/>
    <w:rsid w:val="006D1F6A"/>
    <w:rsid w:val="006D2170"/>
    <w:rsid w:val="006D3D70"/>
    <w:rsid w:val="006D3FF2"/>
    <w:rsid w:val="006D4217"/>
    <w:rsid w:val="006D48E5"/>
    <w:rsid w:val="006D4EFA"/>
    <w:rsid w:val="006D5A86"/>
    <w:rsid w:val="006D6540"/>
    <w:rsid w:val="006D6CF7"/>
    <w:rsid w:val="006D7FDF"/>
    <w:rsid w:val="006E0D84"/>
    <w:rsid w:val="006E1367"/>
    <w:rsid w:val="006E154E"/>
    <w:rsid w:val="006E206C"/>
    <w:rsid w:val="006E3D42"/>
    <w:rsid w:val="006E43F8"/>
    <w:rsid w:val="006E54B8"/>
    <w:rsid w:val="006E6240"/>
    <w:rsid w:val="006E634D"/>
    <w:rsid w:val="006E6B7C"/>
    <w:rsid w:val="006E6CFA"/>
    <w:rsid w:val="006E6D2F"/>
    <w:rsid w:val="006E77AF"/>
    <w:rsid w:val="006F0061"/>
    <w:rsid w:val="006F0DBD"/>
    <w:rsid w:val="006F3291"/>
    <w:rsid w:val="006F37AE"/>
    <w:rsid w:val="006F394F"/>
    <w:rsid w:val="006F3D04"/>
    <w:rsid w:val="006F5244"/>
    <w:rsid w:val="006F6011"/>
    <w:rsid w:val="006F607E"/>
    <w:rsid w:val="006F796F"/>
    <w:rsid w:val="007009CE"/>
    <w:rsid w:val="00700AFF"/>
    <w:rsid w:val="00701625"/>
    <w:rsid w:val="007017F1"/>
    <w:rsid w:val="007024BF"/>
    <w:rsid w:val="00702E9F"/>
    <w:rsid w:val="00705298"/>
    <w:rsid w:val="00705383"/>
    <w:rsid w:val="00705559"/>
    <w:rsid w:val="00705DD5"/>
    <w:rsid w:val="007062C5"/>
    <w:rsid w:val="007104F3"/>
    <w:rsid w:val="00711152"/>
    <w:rsid w:val="00711496"/>
    <w:rsid w:val="007114D5"/>
    <w:rsid w:val="00712A60"/>
    <w:rsid w:val="00712EE4"/>
    <w:rsid w:val="00713CB9"/>
    <w:rsid w:val="00715302"/>
    <w:rsid w:val="00715356"/>
    <w:rsid w:val="00715816"/>
    <w:rsid w:val="00717B60"/>
    <w:rsid w:val="00717BFC"/>
    <w:rsid w:val="00717C0C"/>
    <w:rsid w:val="007204D6"/>
    <w:rsid w:val="00720E06"/>
    <w:rsid w:val="007217D5"/>
    <w:rsid w:val="00722691"/>
    <w:rsid w:val="007228FB"/>
    <w:rsid w:val="00722C6E"/>
    <w:rsid w:val="00724DD3"/>
    <w:rsid w:val="007251E7"/>
    <w:rsid w:val="0072756A"/>
    <w:rsid w:val="00727DEE"/>
    <w:rsid w:val="007303A2"/>
    <w:rsid w:val="007319F8"/>
    <w:rsid w:val="007338AA"/>
    <w:rsid w:val="00733D97"/>
    <w:rsid w:val="0073482C"/>
    <w:rsid w:val="00736AE7"/>
    <w:rsid w:val="00737057"/>
    <w:rsid w:val="007377B3"/>
    <w:rsid w:val="00737AAA"/>
    <w:rsid w:val="00740FF1"/>
    <w:rsid w:val="00742B1A"/>
    <w:rsid w:val="00744A98"/>
    <w:rsid w:val="00745475"/>
    <w:rsid w:val="00745CA4"/>
    <w:rsid w:val="0074774F"/>
    <w:rsid w:val="00747C6F"/>
    <w:rsid w:val="007503F1"/>
    <w:rsid w:val="00751574"/>
    <w:rsid w:val="007516D0"/>
    <w:rsid w:val="00751B50"/>
    <w:rsid w:val="00751DF9"/>
    <w:rsid w:val="007521B8"/>
    <w:rsid w:val="007522F9"/>
    <w:rsid w:val="00753E4C"/>
    <w:rsid w:val="007544EA"/>
    <w:rsid w:val="007549F1"/>
    <w:rsid w:val="0075512E"/>
    <w:rsid w:val="0075664D"/>
    <w:rsid w:val="007624EB"/>
    <w:rsid w:val="007628C9"/>
    <w:rsid w:val="00766112"/>
    <w:rsid w:val="00766113"/>
    <w:rsid w:val="00766A73"/>
    <w:rsid w:val="007674A7"/>
    <w:rsid w:val="007675F6"/>
    <w:rsid w:val="007676C7"/>
    <w:rsid w:val="007711E2"/>
    <w:rsid w:val="00771E42"/>
    <w:rsid w:val="007725A8"/>
    <w:rsid w:val="00772D6B"/>
    <w:rsid w:val="00773002"/>
    <w:rsid w:val="00783044"/>
    <w:rsid w:val="00783218"/>
    <w:rsid w:val="0078327E"/>
    <w:rsid w:val="0078431B"/>
    <w:rsid w:val="0078436D"/>
    <w:rsid w:val="00785023"/>
    <w:rsid w:val="00785866"/>
    <w:rsid w:val="007865AD"/>
    <w:rsid w:val="007878D4"/>
    <w:rsid w:val="00794821"/>
    <w:rsid w:val="00794EAF"/>
    <w:rsid w:val="00794ED4"/>
    <w:rsid w:val="00796138"/>
    <w:rsid w:val="00797848"/>
    <w:rsid w:val="00797C9D"/>
    <w:rsid w:val="00797CD0"/>
    <w:rsid w:val="007A0272"/>
    <w:rsid w:val="007A04F9"/>
    <w:rsid w:val="007A1384"/>
    <w:rsid w:val="007A1A53"/>
    <w:rsid w:val="007A2367"/>
    <w:rsid w:val="007A25BF"/>
    <w:rsid w:val="007A61E0"/>
    <w:rsid w:val="007B0BDC"/>
    <w:rsid w:val="007B2073"/>
    <w:rsid w:val="007B2AAC"/>
    <w:rsid w:val="007B2E79"/>
    <w:rsid w:val="007B4253"/>
    <w:rsid w:val="007B5548"/>
    <w:rsid w:val="007B66B1"/>
    <w:rsid w:val="007C052A"/>
    <w:rsid w:val="007C1058"/>
    <w:rsid w:val="007C134A"/>
    <w:rsid w:val="007C1CFA"/>
    <w:rsid w:val="007C4336"/>
    <w:rsid w:val="007C59F1"/>
    <w:rsid w:val="007C6371"/>
    <w:rsid w:val="007D1140"/>
    <w:rsid w:val="007D11C4"/>
    <w:rsid w:val="007D1210"/>
    <w:rsid w:val="007D24D1"/>
    <w:rsid w:val="007D3210"/>
    <w:rsid w:val="007D3440"/>
    <w:rsid w:val="007D7205"/>
    <w:rsid w:val="007D769D"/>
    <w:rsid w:val="007E01E2"/>
    <w:rsid w:val="007E079C"/>
    <w:rsid w:val="007E1413"/>
    <w:rsid w:val="007E2BA9"/>
    <w:rsid w:val="007E5FD6"/>
    <w:rsid w:val="007E6068"/>
    <w:rsid w:val="007E6679"/>
    <w:rsid w:val="007E7AF9"/>
    <w:rsid w:val="007F21A0"/>
    <w:rsid w:val="007F21AE"/>
    <w:rsid w:val="007F78C7"/>
    <w:rsid w:val="00801D71"/>
    <w:rsid w:val="00802B8E"/>
    <w:rsid w:val="008038A2"/>
    <w:rsid w:val="00804D19"/>
    <w:rsid w:val="00804DAA"/>
    <w:rsid w:val="008055FB"/>
    <w:rsid w:val="00806BDF"/>
    <w:rsid w:val="00806D89"/>
    <w:rsid w:val="008072EA"/>
    <w:rsid w:val="00807390"/>
    <w:rsid w:val="0080760F"/>
    <w:rsid w:val="00811396"/>
    <w:rsid w:val="00813AE8"/>
    <w:rsid w:val="00814E06"/>
    <w:rsid w:val="00815112"/>
    <w:rsid w:val="008166DE"/>
    <w:rsid w:val="00816D5B"/>
    <w:rsid w:val="00816ECB"/>
    <w:rsid w:val="00822AEC"/>
    <w:rsid w:val="0082397B"/>
    <w:rsid w:val="00823B8E"/>
    <w:rsid w:val="00823E1A"/>
    <w:rsid w:val="0082748D"/>
    <w:rsid w:val="00827724"/>
    <w:rsid w:val="00827A40"/>
    <w:rsid w:val="008313F8"/>
    <w:rsid w:val="00831682"/>
    <w:rsid w:val="0083232E"/>
    <w:rsid w:val="00832C2B"/>
    <w:rsid w:val="008334DF"/>
    <w:rsid w:val="00833E57"/>
    <w:rsid w:val="008342FE"/>
    <w:rsid w:val="008427E1"/>
    <w:rsid w:val="008432A0"/>
    <w:rsid w:val="00844E5F"/>
    <w:rsid w:val="00845947"/>
    <w:rsid w:val="008462A1"/>
    <w:rsid w:val="008470A3"/>
    <w:rsid w:val="008477B2"/>
    <w:rsid w:val="008501C1"/>
    <w:rsid w:val="00850EC8"/>
    <w:rsid w:val="0085145E"/>
    <w:rsid w:val="00851C6F"/>
    <w:rsid w:val="00852504"/>
    <w:rsid w:val="008529F5"/>
    <w:rsid w:val="008534AF"/>
    <w:rsid w:val="008535B1"/>
    <w:rsid w:val="008542E1"/>
    <w:rsid w:val="00854C88"/>
    <w:rsid w:val="00854DB5"/>
    <w:rsid w:val="00856123"/>
    <w:rsid w:val="00861083"/>
    <w:rsid w:val="00861590"/>
    <w:rsid w:val="00862156"/>
    <w:rsid w:val="00863014"/>
    <w:rsid w:val="008639EA"/>
    <w:rsid w:val="00863ED4"/>
    <w:rsid w:val="008651B5"/>
    <w:rsid w:val="008658B5"/>
    <w:rsid w:val="00866610"/>
    <w:rsid w:val="008669AF"/>
    <w:rsid w:val="00866F10"/>
    <w:rsid w:val="008675AA"/>
    <w:rsid w:val="00867C5D"/>
    <w:rsid w:val="00875E4D"/>
    <w:rsid w:val="00876036"/>
    <w:rsid w:val="0087796A"/>
    <w:rsid w:val="00880AAD"/>
    <w:rsid w:val="00881699"/>
    <w:rsid w:val="00884B73"/>
    <w:rsid w:val="00887AD0"/>
    <w:rsid w:val="008913FD"/>
    <w:rsid w:val="0089146A"/>
    <w:rsid w:val="00891DA0"/>
    <w:rsid w:val="00892AED"/>
    <w:rsid w:val="008941B5"/>
    <w:rsid w:val="008962E9"/>
    <w:rsid w:val="00896F2B"/>
    <w:rsid w:val="00897621"/>
    <w:rsid w:val="00897CD9"/>
    <w:rsid w:val="008A201D"/>
    <w:rsid w:val="008A2265"/>
    <w:rsid w:val="008A4455"/>
    <w:rsid w:val="008A546F"/>
    <w:rsid w:val="008A5A8E"/>
    <w:rsid w:val="008A7072"/>
    <w:rsid w:val="008B1796"/>
    <w:rsid w:val="008B1FC9"/>
    <w:rsid w:val="008B3541"/>
    <w:rsid w:val="008B4F0E"/>
    <w:rsid w:val="008B6BE5"/>
    <w:rsid w:val="008B7222"/>
    <w:rsid w:val="008B7491"/>
    <w:rsid w:val="008C027E"/>
    <w:rsid w:val="008C0A2F"/>
    <w:rsid w:val="008C2132"/>
    <w:rsid w:val="008C2BBB"/>
    <w:rsid w:val="008C3168"/>
    <w:rsid w:val="008C365B"/>
    <w:rsid w:val="008C5E21"/>
    <w:rsid w:val="008C70E3"/>
    <w:rsid w:val="008C73D8"/>
    <w:rsid w:val="008C7F52"/>
    <w:rsid w:val="008D0CA3"/>
    <w:rsid w:val="008D1C2D"/>
    <w:rsid w:val="008D1D80"/>
    <w:rsid w:val="008D253A"/>
    <w:rsid w:val="008D27C1"/>
    <w:rsid w:val="008D2BD7"/>
    <w:rsid w:val="008D3435"/>
    <w:rsid w:val="008D345E"/>
    <w:rsid w:val="008D39E6"/>
    <w:rsid w:val="008D3B7D"/>
    <w:rsid w:val="008D43A4"/>
    <w:rsid w:val="008D5426"/>
    <w:rsid w:val="008D55B5"/>
    <w:rsid w:val="008D58E4"/>
    <w:rsid w:val="008D7D0E"/>
    <w:rsid w:val="008E021D"/>
    <w:rsid w:val="008E216D"/>
    <w:rsid w:val="008E33F3"/>
    <w:rsid w:val="008E38EE"/>
    <w:rsid w:val="008E49CD"/>
    <w:rsid w:val="008E4ED7"/>
    <w:rsid w:val="008E609B"/>
    <w:rsid w:val="008E6D84"/>
    <w:rsid w:val="008E742D"/>
    <w:rsid w:val="008F15CD"/>
    <w:rsid w:val="008F1EEB"/>
    <w:rsid w:val="008F25D1"/>
    <w:rsid w:val="008F33A8"/>
    <w:rsid w:val="008F3671"/>
    <w:rsid w:val="008F4478"/>
    <w:rsid w:val="008F4F07"/>
    <w:rsid w:val="008F637A"/>
    <w:rsid w:val="008F6D66"/>
    <w:rsid w:val="00900E71"/>
    <w:rsid w:val="00901AC9"/>
    <w:rsid w:val="00901DC9"/>
    <w:rsid w:val="0090357D"/>
    <w:rsid w:val="009037B3"/>
    <w:rsid w:val="00903A1A"/>
    <w:rsid w:val="009050C3"/>
    <w:rsid w:val="00907294"/>
    <w:rsid w:val="009100DF"/>
    <w:rsid w:val="00911822"/>
    <w:rsid w:val="00912602"/>
    <w:rsid w:val="00912D43"/>
    <w:rsid w:val="0091319F"/>
    <w:rsid w:val="00913882"/>
    <w:rsid w:val="009138DE"/>
    <w:rsid w:val="00914C99"/>
    <w:rsid w:val="00915253"/>
    <w:rsid w:val="009157E1"/>
    <w:rsid w:val="0091689A"/>
    <w:rsid w:val="00917563"/>
    <w:rsid w:val="00921106"/>
    <w:rsid w:val="00921206"/>
    <w:rsid w:val="00921744"/>
    <w:rsid w:val="009222AF"/>
    <w:rsid w:val="0092365B"/>
    <w:rsid w:val="009236EB"/>
    <w:rsid w:val="009238B8"/>
    <w:rsid w:val="00927051"/>
    <w:rsid w:val="009302C6"/>
    <w:rsid w:val="00931087"/>
    <w:rsid w:val="00931C40"/>
    <w:rsid w:val="00933BF9"/>
    <w:rsid w:val="00933C54"/>
    <w:rsid w:val="00935BA8"/>
    <w:rsid w:val="0093678A"/>
    <w:rsid w:val="00936B0F"/>
    <w:rsid w:val="00937B3E"/>
    <w:rsid w:val="009403FB"/>
    <w:rsid w:val="00940802"/>
    <w:rsid w:val="00943CF0"/>
    <w:rsid w:val="009471FA"/>
    <w:rsid w:val="00947379"/>
    <w:rsid w:val="00947E52"/>
    <w:rsid w:val="00950F5D"/>
    <w:rsid w:val="00953A16"/>
    <w:rsid w:val="009541D9"/>
    <w:rsid w:val="00954F7D"/>
    <w:rsid w:val="0096063C"/>
    <w:rsid w:val="0096095E"/>
    <w:rsid w:val="009614F5"/>
    <w:rsid w:val="00962D19"/>
    <w:rsid w:val="0096438E"/>
    <w:rsid w:val="009648DA"/>
    <w:rsid w:val="0096572A"/>
    <w:rsid w:val="00966AC3"/>
    <w:rsid w:val="009704D4"/>
    <w:rsid w:val="0097136A"/>
    <w:rsid w:val="00971574"/>
    <w:rsid w:val="009732A9"/>
    <w:rsid w:val="00973336"/>
    <w:rsid w:val="0097347A"/>
    <w:rsid w:val="00973E80"/>
    <w:rsid w:val="00973FE6"/>
    <w:rsid w:val="009741E5"/>
    <w:rsid w:val="0097697C"/>
    <w:rsid w:val="00977809"/>
    <w:rsid w:val="00977C6F"/>
    <w:rsid w:val="00980D56"/>
    <w:rsid w:val="009822A3"/>
    <w:rsid w:val="00983E6B"/>
    <w:rsid w:val="0098419E"/>
    <w:rsid w:val="009841E8"/>
    <w:rsid w:val="00984816"/>
    <w:rsid w:val="009851B5"/>
    <w:rsid w:val="009858A2"/>
    <w:rsid w:val="009862F2"/>
    <w:rsid w:val="009865B2"/>
    <w:rsid w:val="00990499"/>
    <w:rsid w:val="00992F95"/>
    <w:rsid w:val="009931F7"/>
    <w:rsid w:val="0099344E"/>
    <w:rsid w:val="009946E1"/>
    <w:rsid w:val="009959DA"/>
    <w:rsid w:val="00996BEE"/>
    <w:rsid w:val="00996C6B"/>
    <w:rsid w:val="009A1062"/>
    <w:rsid w:val="009A19D2"/>
    <w:rsid w:val="009A1EAA"/>
    <w:rsid w:val="009A21C7"/>
    <w:rsid w:val="009A21DA"/>
    <w:rsid w:val="009A21EF"/>
    <w:rsid w:val="009A4776"/>
    <w:rsid w:val="009A4A49"/>
    <w:rsid w:val="009A51A1"/>
    <w:rsid w:val="009A535E"/>
    <w:rsid w:val="009A582E"/>
    <w:rsid w:val="009A5CE0"/>
    <w:rsid w:val="009A6400"/>
    <w:rsid w:val="009B100D"/>
    <w:rsid w:val="009B1596"/>
    <w:rsid w:val="009B188A"/>
    <w:rsid w:val="009B1F5F"/>
    <w:rsid w:val="009B23B2"/>
    <w:rsid w:val="009B29BB"/>
    <w:rsid w:val="009B2AC5"/>
    <w:rsid w:val="009B2D9E"/>
    <w:rsid w:val="009B3638"/>
    <w:rsid w:val="009B4149"/>
    <w:rsid w:val="009B5391"/>
    <w:rsid w:val="009B5B11"/>
    <w:rsid w:val="009B65D4"/>
    <w:rsid w:val="009B6994"/>
    <w:rsid w:val="009C028A"/>
    <w:rsid w:val="009C06DA"/>
    <w:rsid w:val="009C3366"/>
    <w:rsid w:val="009C36B6"/>
    <w:rsid w:val="009C4B5F"/>
    <w:rsid w:val="009C56D5"/>
    <w:rsid w:val="009C5E23"/>
    <w:rsid w:val="009C6AA0"/>
    <w:rsid w:val="009C6AC3"/>
    <w:rsid w:val="009C7382"/>
    <w:rsid w:val="009D094B"/>
    <w:rsid w:val="009D0A17"/>
    <w:rsid w:val="009D34AB"/>
    <w:rsid w:val="009D3E6E"/>
    <w:rsid w:val="009D5C85"/>
    <w:rsid w:val="009D5C97"/>
    <w:rsid w:val="009D5EFD"/>
    <w:rsid w:val="009D5F0D"/>
    <w:rsid w:val="009D6B90"/>
    <w:rsid w:val="009D7867"/>
    <w:rsid w:val="009D7C88"/>
    <w:rsid w:val="009E0184"/>
    <w:rsid w:val="009E05D2"/>
    <w:rsid w:val="009E0A9E"/>
    <w:rsid w:val="009E0CD4"/>
    <w:rsid w:val="009E27C7"/>
    <w:rsid w:val="009E3456"/>
    <w:rsid w:val="009E3D31"/>
    <w:rsid w:val="009E47AF"/>
    <w:rsid w:val="009E513A"/>
    <w:rsid w:val="009E54E6"/>
    <w:rsid w:val="009E5B94"/>
    <w:rsid w:val="009E714A"/>
    <w:rsid w:val="009F1BC9"/>
    <w:rsid w:val="009F29F5"/>
    <w:rsid w:val="009F2C44"/>
    <w:rsid w:val="009F376A"/>
    <w:rsid w:val="009F40D8"/>
    <w:rsid w:val="009F5C9A"/>
    <w:rsid w:val="009F5E85"/>
    <w:rsid w:val="009F64E0"/>
    <w:rsid w:val="009F7170"/>
    <w:rsid w:val="009F7837"/>
    <w:rsid w:val="009F7B92"/>
    <w:rsid w:val="00A004B2"/>
    <w:rsid w:val="00A0150D"/>
    <w:rsid w:val="00A01BCC"/>
    <w:rsid w:val="00A01E4A"/>
    <w:rsid w:val="00A01EFC"/>
    <w:rsid w:val="00A03290"/>
    <w:rsid w:val="00A040A2"/>
    <w:rsid w:val="00A044AC"/>
    <w:rsid w:val="00A04C82"/>
    <w:rsid w:val="00A06D9F"/>
    <w:rsid w:val="00A0742F"/>
    <w:rsid w:val="00A075E2"/>
    <w:rsid w:val="00A07802"/>
    <w:rsid w:val="00A0784E"/>
    <w:rsid w:val="00A10FF0"/>
    <w:rsid w:val="00A11E09"/>
    <w:rsid w:val="00A12EC3"/>
    <w:rsid w:val="00A14B35"/>
    <w:rsid w:val="00A157F1"/>
    <w:rsid w:val="00A15FCC"/>
    <w:rsid w:val="00A162ED"/>
    <w:rsid w:val="00A16EE2"/>
    <w:rsid w:val="00A175EF"/>
    <w:rsid w:val="00A20577"/>
    <w:rsid w:val="00A21DA3"/>
    <w:rsid w:val="00A22538"/>
    <w:rsid w:val="00A22746"/>
    <w:rsid w:val="00A23910"/>
    <w:rsid w:val="00A23C88"/>
    <w:rsid w:val="00A24471"/>
    <w:rsid w:val="00A25142"/>
    <w:rsid w:val="00A263F6"/>
    <w:rsid w:val="00A26418"/>
    <w:rsid w:val="00A264C3"/>
    <w:rsid w:val="00A26531"/>
    <w:rsid w:val="00A26C90"/>
    <w:rsid w:val="00A3112D"/>
    <w:rsid w:val="00A31F4D"/>
    <w:rsid w:val="00A32873"/>
    <w:rsid w:val="00A32F96"/>
    <w:rsid w:val="00A358B3"/>
    <w:rsid w:val="00A35ACD"/>
    <w:rsid w:val="00A35D69"/>
    <w:rsid w:val="00A36AEE"/>
    <w:rsid w:val="00A36F41"/>
    <w:rsid w:val="00A3720B"/>
    <w:rsid w:val="00A37DB0"/>
    <w:rsid w:val="00A4010D"/>
    <w:rsid w:val="00A41EF2"/>
    <w:rsid w:val="00A429EF"/>
    <w:rsid w:val="00A436FA"/>
    <w:rsid w:val="00A43AC8"/>
    <w:rsid w:val="00A44FE8"/>
    <w:rsid w:val="00A45840"/>
    <w:rsid w:val="00A45A31"/>
    <w:rsid w:val="00A45E49"/>
    <w:rsid w:val="00A46890"/>
    <w:rsid w:val="00A4796E"/>
    <w:rsid w:val="00A502AC"/>
    <w:rsid w:val="00A50E23"/>
    <w:rsid w:val="00A512EE"/>
    <w:rsid w:val="00A51952"/>
    <w:rsid w:val="00A51AF9"/>
    <w:rsid w:val="00A53303"/>
    <w:rsid w:val="00A53680"/>
    <w:rsid w:val="00A53777"/>
    <w:rsid w:val="00A53A5B"/>
    <w:rsid w:val="00A54B83"/>
    <w:rsid w:val="00A54CF7"/>
    <w:rsid w:val="00A55186"/>
    <w:rsid w:val="00A55769"/>
    <w:rsid w:val="00A55B17"/>
    <w:rsid w:val="00A56470"/>
    <w:rsid w:val="00A6121F"/>
    <w:rsid w:val="00A63697"/>
    <w:rsid w:val="00A6392B"/>
    <w:rsid w:val="00A648A1"/>
    <w:rsid w:val="00A64C30"/>
    <w:rsid w:val="00A65680"/>
    <w:rsid w:val="00A656B4"/>
    <w:rsid w:val="00A65BA6"/>
    <w:rsid w:val="00A6754A"/>
    <w:rsid w:val="00A67AE3"/>
    <w:rsid w:val="00A67E64"/>
    <w:rsid w:val="00A704CE"/>
    <w:rsid w:val="00A70C14"/>
    <w:rsid w:val="00A71C02"/>
    <w:rsid w:val="00A72F54"/>
    <w:rsid w:val="00A737F8"/>
    <w:rsid w:val="00A73C04"/>
    <w:rsid w:val="00A7415E"/>
    <w:rsid w:val="00A77533"/>
    <w:rsid w:val="00A7780A"/>
    <w:rsid w:val="00A77887"/>
    <w:rsid w:val="00A80DC0"/>
    <w:rsid w:val="00A8113F"/>
    <w:rsid w:val="00A8325C"/>
    <w:rsid w:val="00A83CBF"/>
    <w:rsid w:val="00A83E03"/>
    <w:rsid w:val="00A846BA"/>
    <w:rsid w:val="00A84C60"/>
    <w:rsid w:val="00A865C4"/>
    <w:rsid w:val="00A8677C"/>
    <w:rsid w:val="00A86B73"/>
    <w:rsid w:val="00A86F6D"/>
    <w:rsid w:val="00A9082C"/>
    <w:rsid w:val="00A90AED"/>
    <w:rsid w:val="00A90F47"/>
    <w:rsid w:val="00A90FED"/>
    <w:rsid w:val="00A917C8"/>
    <w:rsid w:val="00A94FBD"/>
    <w:rsid w:val="00A96216"/>
    <w:rsid w:val="00A96341"/>
    <w:rsid w:val="00A96976"/>
    <w:rsid w:val="00A97976"/>
    <w:rsid w:val="00A97E5B"/>
    <w:rsid w:val="00AA0A9E"/>
    <w:rsid w:val="00AA11A7"/>
    <w:rsid w:val="00AA1326"/>
    <w:rsid w:val="00AA211C"/>
    <w:rsid w:val="00AA224A"/>
    <w:rsid w:val="00AA2312"/>
    <w:rsid w:val="00AA2989"/>
    <w:rsid w:val="00AA3A10"/>
    <w:rsid w:val="00AA4AFC"/>
    <w:rsid w:val="00AA5388"/>
    <w:rsid w:val="00AA722F"/>
    <w:rsid w:val="00AB0019"/>
    <w:rsid w:val="00AB15BB"/>
    <w:rsid w:val="00AB1BB3"/>
    <w:rsid w:val="00AB270F"/>
    <w:rsid w:val="00AB2D5A"/>
    <w:rsid w:val="00AB2D9E"/>
    <w:rsid w:val="00AB3B31"/>
    <w:rsid w:val="00AB4095"/>
    <w:rsid w:val="00AB4266"/>
    <w:rsid w:val="00AB46D9"/>
    <w:rsid w:val="00AB5361"/>
    <w:rsid w:val="00AB72C3"/>
    <w:rsid w:val="00AB7331"/>
    <w:rsid w:val="00AC1E88"/>
    <w:rsid w:val="00AC24DB"/>
    <w:rsid w:val="00AC2C93"/>
    <w:rsid w:val="00AC509D"/>
    <w:rsid w:val="00AC5588"/>
    <w:rsid w:val="00AC5D32"/>
    <w:rsid w:val="00AC7C64"/>
    <w:rsid w:val="00AD003F"/>
    <w:rsid w:val="00AD3BC4"/>
    <w:rsid w:val="00AD477C"/>
    <w:rsid w:val="00AD5205"/>
    <w:rsid w:val="00AD6528"/>
    <w:rsid w:val="00AE1C01"/>
    <w:rsid w:val="00AE3FFE"/>
    <w:rsid w:val="00AE4A16"/>
    <w:rsid w:val="00AE4CAC"/>
    <w:rsid w:val="00AE51E3"/>
    <w:rsid w:val="00AE51EE"/>
    <w:rsid w:val="00AE52F1"/>
    <w:rsid w:val="00AE6298"/>
    <w:rsid w:val="00AE6608"/>
    <w:rsid w:val="00AE680D"/>
    <w:rsid w:val="00AE7D8A"/>
    <w:rsid w:val="00AF09A1"/>
    <w:rsid w:val="00AF39F7"/>
    <w:rsid w:val="00AF4CB4"/>
    <w:rsid w:val="00AF560B"/>
    <w:rsid w:val="00AF5A8D"/>
    <w:rsid w:val="00AF6FD1"/>
    <w:rsid w:val="00AF7AD0"/>
    <w:rsid w:val="00B00683"/>
    <w:rsid w:val="00B01CA4"/>
    <w:rsid w:val="00B01CF6"/>
    <w:rsid w:val="00B01DB7"/>
    <w:rsid w:val="00B025F1"/>
    <w:rsid w:val="00B02920"/>
    <w:rsid w:val="00B02A68"/>
    <w:rsid w:val="00B035A5"/>
    <w:rsid w:val="00B03783"/>
    <w:rsid w:val="00B03A7D"/>
    <w:rsid w:val="00B049F6"/>
    <w:rsid w:val="00B05F19"/>
    <w:rsid w:val="00B06A40"/>
    <w:rsid w:val="00B07604"/>
    <w:rsid w:val="00B07A07"/>
    <w:rsid w:val="00B07B31"/>
    <w:rsid w:val="00B10E1F"/>
    <w:rsid w:val="00B1186A"/>
    <w:rsid w:val="00B12D96"/>
    <w:rsid w:val="00B13E9B"/>
    <w:rsid w:val="00B145FB"/>
    <w:rsid w:val="00B15F02"/>
    <w:rsid w:val="00B1762E"/>
    <w:rsid w:val="00B201A5"/>
    <w:rsid w:val="00B20A66"/>
    <w:rsid w:val="00B20AEF"/>
    <w:rsid w:val="00B219C9"/>
    <w:rsid w:val="00B21CDD"/>
    <w:rsid w:val="00B22557"/>
    <w:rsid w:val="00B22C2E"/>
    <w:rsid w:val="00B24A1D"/>
    <w:rsid w:val="00B2521C"/>
    <w:rsid w:val="00B2661D"/>
    <w:rsid w:val="00B30378"/>
    <w:rsid w:val="00B33346"/>
    <w:rsid w:val="00B33E94"/>
    <w:rsid w:val="00B34763"/>
    <w:rsid w:val="00B354BA"/>
    <w:rsid w:val="00B36FA4"/>
    <w:rsid w:val="00B37D67"/>
    <w:rsid w:val="00B41492"/>
    <w:rsid w:val="00B426C8"/>
    <w:rsid w:val="00B45C46"/>
    <w:rsid w:val="00B45D11"/>
    <w:rsid w:val="00B46B39"/>
    <w:rsid w:val="00B471FB"/>
    <w:rsid w:val="00B534BA"/>
    <w:rsid w:val="00B53CE8"/>
    <w:rsid w:val="00B53D45"/>
    <w:rsid w:val="00B548FD"/>
    <w:rsid w:val="00B549E7"/>
    <w:rsid w:val="00B54A9D"/>
    <w:rsid w:val="00B566CD"/>
    <w:rsid w:val="00B56E61"/>
    <w:rsid w:val="00B5793A"/>
    <w:rsid w:val="00B57C60"/>
    <w:rsid w:val="00B60BF7"/>
    <w:rsid w:val="00B60D5F"/>
    <w:rsid w:val="00B635D3"/>
    <w:rsid w:val="00B635E8"/>
    <w:rsid w:val="00B64C91"/>
    <w:rsid w:val="00B657E9"/>
    <w:rsid w:val="00B66564"/>
    <w:rsid w:val="00B6672D"/>
    <w:rsid w:val="00B66CA7"/>
    <w:rsid w:val="00B66CE4"/>
    <w:rsid w:val="00B6720B"/>
    <w:rsid w:val="00B673A0"/>
    <w:rsid w:val="00B67868"/>
    <w:rsid w:val="00B723F1"/>
    <w:rsid w:val="00B735D5"/>
    <w:rsid w:val="00B74D9C"/>
    <w:rsid w:val="00B75521"/>
    <w:rsid w:val="00B766A7"/>
    <w:rsid w:val="00B80B08"/>
    <w:rsid w:val="00B81318"/>
    <w:rsid w:val="00B8314B"/>
    <w:rsid w:val="00B837D8"/>
    <w:rsid w:val="00B83B4D"/>
    <w:rsid w:val="00B840AB"/>
    <w:rsid w:val="00B86225"/>
    <w:rsid w:val="00B86E2B"/>
    <w:rsid w:val="00B873D0"/>
    <w:rsid w:val="00B87554"/>
    <w:rsid w:val="00B879EF"/>
    <w:rsid w:val="00B87A5E"/>
    <w:rsid w:val="00B903DF"/>
    <w:rsid w:val="00B912FF"/>
    <w:rsid w:val="00B9199D"/>
    <w:rsid w:val="00B93447"/>
    <w:rsid w:val="00B95302"/>
    <w:rsid w:val="00B95B12"/>
    <w:rsid w:val="00B95EB5"/>
    <w:rsid w:val="00B96989"/>
    <w:rsid w:val="00B96C95"/>
    <w:rsid w:val="00BA1D32"/>
    <w:rsid w:val="00BA3418"/>
    <w:rsid w:val="00BA45CA"/>
    <w:rsid w:val="00BA5123"/>
    <w:rsid w:val="00BA5DEF"/>
    <w:rsid w:val="00BA6FB7"/>
    <w:rsid w:val="00BB06B4"/>
    <w:rsid w:val="00BB0C62"/>
    <w:rsid w:val="00BB136E"/>
    <w:rsid w:val="00BB1967"/>
    <w:rsid w:val="00BB3B74"/>
    <w:rsid w:val="00BB4197"/>
    <w:rsid w:val="00BB48C6"/>
    <w:rsid w:val="00BB4A42"/>
    <w:rsid w:val="00BB4C6C"/>
    <w:rsid w:val="00BB565F"/>
    <w:rsid w:val="00BB5B39"/>
    <w:rsid w:val="00BB61EB"/>
    <w:rsid w:val="00BB69F0"/>
    <w:rsid w:val="00BB6F54"/>
    <w:rsid w:val="00BC1767"/>
    <w:rsid w:val="00BC2586"/>
    <w:rsid w:val="00BC2B04"/>
    <w:rsid w:val="00BC2BFF"/>
    <w:rsid w:val="00BC35DF"/>
    <w:rsid w:val="00BC4492"/>
    <w:rsid w:val="00BC44BF"/>
    <w:rsid w:val="00BC4D3E"/>
    <w:rsid w:val="00BC50A1"/>
    <w:rsid w:val="00BC5257"/>
    <w:rsid w:val="00BC577C"/>
    <w:rsid w:val="00BC5E4E"/>
    <w:rsid w:val="00BC69A5"/>
    <w:rsid w:val="00BD0686"/>
    <w:rsid w:val="00BD109F"/>
    <w:rsid w:val="00BD12DC"/>
    <w:rsid w:val="00BD1DDD"/>
    <w:rsid w:val="00BD25B9"/>
    <w:rsid w:val="00BD3080"/>
    <w:rsid w:val="00BD3E3A"/>
    <w:rsid w:val="00BD4BA6"/>
    <w:rsid w:val="00BE0E7E"/>
    <w:rsid w:val="00BE2C3A"/>
    <w:rsid w:val="00BE336B"/>
    <w:rsid w:val="00BE356E"/>
    <w:rsid w:val="00BE35DD"/>
    <w:rsid w:val="00BE4147"/>
    <w:rsid w:val="00BE4F4F"/>
    <w:rsid w:val="00BE522F"/>
    <w:rsid w:val="00BE60F3"/>
    <w:rsid w:val="00BE75C9"/>
    <w:rsid w:val="00BE7BA6"/>
    <w:rsid w:val="00BF0FA1"/>
    <w:rsid w:val="00BF161B"/>
    <w:rsid w:val="00BF2335"/>
    <w:rsid w:val="00BF2FBD"/>
    <w:rsid w:val="00BF33DB"/>
    <w:rsid w:val="00BF43CF"/>
    <w:rsid w:val="00BF492A"/>
    <w:rsid w:val="00BF5519"/>
    <w:rsid w:val="00BF5F59"/>
    <w:rsid w:val="00BF6236"/>
    <w:rsid w:val="00BF702C"/>
    <w:rsid w:val="00C01398"/>
    <w:rsid w:val="00C01E33"/>
    <w:rsid w:val="00C0204D"/>
    <w:rsid w:val="00C021C8"/>
    <w:rsid w:val="00C0256C"/>
    <w:rsid w:val="00C02A1C"/>
    <w:rsid w:val="00C02A34"/>
    <w:rsid w:val="00C036DB"/>
    <w:rsid w:val="00C04B9B"/>
    <w:rsid w:val="00C04FA0"/>
    <w:rsid w:val="00C05CF0"/>
    <w:rsid w:val="00C06397"/>
    <w:rsid w:val="00C119FB"/>
    <w:rsid w:val="00C11F99"/>
    <w:rsid w:val="00C12E40"/>
    <w:rsid w:val="00C13CE5"/>
    <w:rsid w:val="00C14FFA"/>
    <w:rsid w:val="00C15267"/>
    <w:rsid w:val="00C157E5"/>
    <w:rsid w:val="00C16BF5"/>
    <w:rsid w:val="00C16CD1"/>
    <w:rsid w:val="00C179C6"/>
    <w:rsid w:val="00C20A59"/>
    <w:rsid w:val="00C218DB"/>
    <w:rsid w:val="00C21C6C"/>
    <w:rsid w:val="00C21D07"/>
    <w:rsid w:val="00C21D41"/>
    <w:rsid w:val="00C22589"/>
    <w:rsid w:val="00C22813"/>
    <w:rsid w:val="00C232E0"/>
    <w:rsid w:val="00C233BD"/>
    <w:rsid w:val="00C239B9"/>
    <w:rsid w:val="00C23FA8"/>
    <w:rsid w:val="00C24F9F"/>
    <w:rsid w:val="00C2502F"/>
    <w:rsid w:val="00C25C38"/>
    <w:rsid w:val="00C26183"/>
    <w:rsid w:val="00C2671B"/>
    <w:rsid w:val="00C26840"/>
    <w:rsid w:val="00C3081F"/>
    <w:rsid w:val="00C30BFB"/>
    <w:rsid w:val="00C312AE"/>
    <w:rsid w:val="00C31C3C"/>
    <w:rsid w:val="00C32A36"/>
    <w:rsid w:val="00C3377A"/>
    <w:rsid w:val="00C34299"/>
    <w:rsid w:val="00C3484F"/>
    <w:rsid w:val="00C36384"/>
    <w:rsid w:val="00C36D28"/>
    <w:rsid w:val="00C372DE"/>
    <w:rsid w:val="00C37550"/>
    <w:rsid w:val="00C37700"/>
    <w:rsid w:val="00C40F87"/>
    <w:rsid w:val="00C41A10"/>
    <w:rsid w:val="00C43665"/>
    <w:rsid w:val="00C4370C"/>
    <w:rsid w:val="00C44B60"/>
    <w:rsid w:val="00C45154"/>
    <w:rsid w:val="00C4547F"/>
    <w:rsid w:val="00C45A76"/>
    <w:rsid w:val="00C50095"/>
    <w:rsid w:val="00C50810"/>
    <w:rsid w:val="00C51291"/>
    <w:rsid w:val="00C513F9"/>
    <w:rsid w:val="00C52D5E"/>
    <w:rsid w:val="00C52E09"/>
    <w:rsid w:val="00C52EC5"/>
    <w:rsid w:val="00C52FD9"/>
    <w:rsid w:val="00C554E8"/>
    <w:rsid w:val="00C55851"/>
    <w:rsid w:val="00C55FC7"/>
    <w:rsid w:val="00C56750"/>
    <w:rsid w:val="00C56BA7"/>
    <w:rsid w:val="00C5711D"/>
    <w:rsid w:val="00C57B79"/>
    <w:rsid w:val="00C62764"/>
    <w:rsid w:val="00C63D98"/>
    <w:rsid w:val="00C64308"/>
    <w:rsid w:val="00C64E46"/>
    <w:rsid w:val="00C6646C"/>
    <w:rsid w:val="00C66F89"/>
    <w:rsid w:val="00C70D12"/>
    <w:rsid w:val="00C720EE"/>
    <w:rsid w:val="00C73089"/>
    <w:rsid w:val="00C74C1F"/>
    <w:rsid w:val="00C75D45"/>
    <w:rsid w:val="00C76089"/>
    <w:rsid w:val="00C761EB"/>
    <w:rsid w:val="00C764FB"/>
    <w:rsid w:val="00C7683A"/>
    <w:rsid w:val="00C8021F"/>
    <w:rsid w:val="00C80350"/>
    <w:rsid w:val="00C8292D"/>
    <w:rsid w:val="00C82F0E"/>
    <w:rsid w:val="00C83186"/>
    <w:rsid w:val="00C838DE"/>
    <w:rsid w:val="00C85FD5"/>
    <w:rsid w:val="00C8693C"/>
    <w:rsid w:val="00C90328"/>
    <w:rsid w:val="00C9081D"/>
    <w:rsid w:val="00C90B30"/>
    <w:rsid w:val="00C90E7F"/>
    <w:rsid w:val="00C91C5B"/>
    <w:rsid w:val="00C927C1"/>
    <w:rsid w:val="00C9390D"/>
    <w:rsid w:val="00C94048"/>
    <w:rsid w:val="00C95B86"/>
    <w:rsid w:val="00CA08AA"/>
    <w:rsid w:val="00CA0EF0"/>
    <w:rsid w:val="00CA168B"/>
    <w:rsid w:val="00CA1D69"/>
    <w:rsid w:val="00CA1EFD"/>
    <w:rsid w:val="00CA2A04"/>
    <w:rsid w:val="00CA4E05"/>
    <w:rsid w:val="00CA5BD0"/>
    <w:rsid w:val="00CA7BAD"/>
    <w:rsid w:val="00CB0CC3"/>
    <w:rsid w:val="00CB245D"/>
    <w:rsid w:val="00CB331F"/>
    <w:rsid w:val="00CB3D67"/>
    <w:rsid w:val="00CB3ECC"/>
    <w:rsid w:val="00CB5834"/>
    <w:rsid w:val="00CB671F"/>
    <w:rsid w:val="00CB6C07"/>
    <w:rsid w:val="00CB73F8"/>
    <w:rsid w:val="00CC090E"/>
    <w:rsid w:val="00CC1666"/>
    <w:rsid w:val="00CC1680"/>
    <w:rsid w:val="00CC1FEE"/>
    <w:rsid w:val="00CC221E"/>
    <w:rsid w:val="00CC331F"/>
    <w:rsid w:val="00CC3839"/>
    <w:rsid w:val="00CC4348"/>
    <w:rsid w:val="00CC4F3A"/>
    <w:rsid w:val="00CC5B02"/>
    <w:rsid w:val="00CC5EFF"/>
    <w:rsid w:val="00CC6366"/>
    <w:rsid w:val="00CD00AA"/>
    <w:rsid w:val="00CD00E6"/>
    <w:rsid w:val="00CD06DE"/>
    <w:rsid w:val="00CD10E4"/>
    <w:rsid w:val="00CD19F2"/>
    <w:rsid w:val="00CD1E46"/>
    <w:rsid w:val="00CD2735"/>
    <w:rsid w:val="00CD3131"/>
    <w:rsid w:val="00CD43D5"/>
    <w:rsid w:val="00CD5157"/>
    <w:rsid w:val="00CD5429"/>
    <w:rsid w:val="00CD631D"/>
    <w:rsid w:val="00CD6602"/>
    <w:rsid w:val="00CD6B1D"/>
    <w:rsid w:val="00CD6FA0"/>
    <w:rsid w:val="00CD7296"/>
    <w:rsid w:val="00CE1396"/>
    <w:rsid w:val="00CE1A5E"/>
    <w:rsid w:val="00CE27FF"/>
    <w:rsid w:val="00CE3794"/>
    <w:rsid w:val="00CE3C9C"/>
    <w:rsid w:val="00CE5599"/>
    <w:rsid w:val="00CE791D"/>
    <w:rsid w:val="00CE7B51"/>
    <w:rsid w:val="00CF1604"/>
    <w:rsid w:val="00CF190B"/>
    <w:rsid w:val="00CF2754"/>
    <w:rsid w:val="00CF36E9"/>
    <w:rsid w:val="00CF52CC"/>
    <w:rsid w:val="00CF5362"/>
    <w:rsid w:val="00CF58A2"/>
    <w:rsid w:val="00CF658A"/>
    <w:rsid w:val="00CF6AD4"/>
    <w:rsid w:val="00CF70F0"/>
    <w:rsid w:val="00CF773C"/>
    <w:rsid w:val="00D015D9"/>
    <w:rsid w:val="00D01FEE"/>
    <w:rsid w:val="00D04825"/>
    <w:rsid w:val="00D05042"/>
    <w:rsid w:val="00D05D24"/>
    <w:rsid w:val="00D06590"/>
    <w:rsid w:val="00D107F5"/>
    <w:rsid w:val="00D10F9D"/>
    <w:rsid w:val="00D1507A"/>
    <w:rsid w:val="00D157B6"/>
    <w:rsid w:val="00D15A97"/>
    <w:rsid w:val="00D16003"/>
    <w:rsid w:val="00D17756"/>
    <w:rsid w:val="00D17989"/>
    <w:rsid w:val="00D20502"/>
    <w:rsid w:val="00D20940"/>
    <w:rsid w:val="00D22607"/>
    <w:rsid w:val="00D228C6"/>
    <w:rsid w:val="00D23EDF"/>
    <w:rsid w:val="00D250B1"/>
    <w:rsid w:val="00D25749"/>
    <w:rsid w:val="00D2611C"/>
    <w:rsid w:val="00D27AED"/>
    <w:rsid w:val="00D330DB"/>
    <w:rsid w:val="00D33418"/>
    <w:rsid w:val="00D33A73"/>
    <w:rsid w:val="00D33BDA"/>
    <w:rsid w:val="00D34045"/>
    <w:rsid w:val="00D3572B"/>
    <w:rsid w:val="00D3578B"/>
    <w:rsid w:val="00D37EDB"/>
    <w:rsid w:val="00D37F8F"/>
    <w:rsid w:val="00D406E1"/>
    <w:rsid w:val="00D40E49"/>
    <w:rsid w:val="00D415BD"/>
    <w:rsid w:val="00D415E3"/>
    <w:rsid w:val="00D415FC"/>
    <w:rsid w:val="00D42C19"/>
    <w:rsid w:val="00D43C8C"/>
    <w:rsid w:val="00D43CA4"/>
    <w:rsid w:val="00D44676"/>
    <w:rsid w:val="00D46F5F"/>
    <w:rsid w:val="00D47BDC"/>
    <w:rsid w:val="00D5034B"/>
    <w:rsid w:val="00D53CFB"/>
    <w:rsid w:val="00D548E4"/>
    <w:rsid w:val="00D5567E"/>
    <w:rsid w:val="00D563E1"/>
    <w:rsid w:val="00D57B93"/>
    <w:rsid w:val="00D62388"/>
    <w:rsid w:val="00D63B23"/>
    <w:rsid w:val="00D644CF"/>
    <w:rsid w:val="00D64DC9"/>
    <w:rsid w:val="00D65583"/>
    <w:rsid w:val="00D70BDA"/>
    <w:rsid w:val="00D7120C"/>
    <w:rsid w:val="00D71D68"/>
    <w:rsid w:val="00D7380E"/>
    <w:rsid w:val="00D73956"/>
    <w:rsid w:val="00D7453A"/>
    <w:rsid w:val="00D7491B"/>
    <w:rsid w:val="00D74FF8"/>
    <w:rsid w:val="00D75132"/>
    <w:rsid w:val="00D76055"/>
    <w:rsid w:val="00D7676E"/>
    <w:rsid w:val="00D77467"/>
    <w:rsid w:val="00D77A2A"/>
    <w:rsid w:val="00D80418"/>
    <w:rsid w:val="00D80446"/>
    <w:rsid w:val="00D81CCC"/>
    <w:rsid w:val="00D81F81"/>
    <w:rsid w:val="00D84C77"/>
    <w:rsid w:val="00D85183"/>
    <w:rsid w:val="00D858AF"/>
    <w:rsid w:val="00D85FB3"/>
    <w:rsid w:val="00D86798"/>
    <w:rsid w:val="00D86AAE"/>
    <w:rsid w:val="00D86B01"/>
    <w:rsid w:val="00D86D75"/>
    <w:rsid w:val="00D86DAD"/>
    <w:rsid w:val="00D878E0"/>
    <w:rsid w:val="00D87EF4"/>
    <w:rsid w:val="00D907C8"/>
    <w:rsid w:val="00D90B7E"/>
    <w:rsid w:val="00D92056"/>
    <w:rsid w:val="00D9280F"/>
    <w:rsid w:val="00D92B89"/>
    <w:rsid w:val="00D94049"/>
    <w:rsid w:val="00D948C0"/>
    <w:rsid w:val="00D9534A"/>
    <w:rsid w:val="00D95753"/>
    <w:rsid w:val="00D95A3D"/>
    <w:rsid w:val="00D96CC4"/>
    <w:rsid w:val="00D9775D"/>
    <w:rsid w:val="00DA01EE"/>
    <w:rsid w:val="00DA0380"/>
    <w:rsid w:val="00DA039E"/>
    <w:rsid w:val="00DA1860"/>
    <w:rsid w:val="00DA244D"/>
    <w:rsid w:val="00DA2668"/>
    <w:rsid w:val="00DA3572"/>
    <w:rsid w:val="00DA44B6"/>
    <w:rsid w:val="00DA69C6"/>
    <w:rsid w:val="00DB0509"/>
    <w:rsid w:val="00DB0B3E"/>
    <w:rsid w:val="00DB0C70"/>
    <w:rsid w:val="00DB1BCF"/>
    <w:rsid w:val="00DB3298"/>
    <w:rsid w:val="00DB402C"/>
    <w:rsid w:val="00DB46C0"/>
    <w:rsid w:val="00DB4E6F"/>
    <w:rsid w:val="00DB614A"/>
    <w:rsid w:val="00DB6301"/>
    <w:rsid w:val="00DB632C"/>
    <w:rsid w:val="00DC1C8F"/>
    <w:rsid w:val="00DC336F"/>
    <w:rsid w:val="00DC3EFA"/>
    <w:rsid w:val="00DC4632"/>
    <w:rsid w:val="00DC4AC6"/>
    <w:rsid w:val="00DC4B50"/>
    <w:rsid w:val="00DC4B5B"/>
    <w:rsid w:val="00DC4EFE"/>
    <w:rsid w:val="00DC7CB9"/>
    <w:rsid w:val="00DD025B"/>
    <w:rsid w:val="00DD0B9A"/>
    <w:rsid w:val="00DD1A6C"/>
    <w:rsid w:val="00DD1CD8"/>
    <w:rsid w:val="00DD27A3"/>
    <w:rsid w:val="00DD39A7"/>
    <w:rsid w:val="00DD4F1B"/>
    <w:rsid w:val="00DD504B"/>
    <w:rsid w:val="00DD665F"/>
    <w:rsid w:val="00DD6F0E"/>
    <w:rsid w:val="00DD7C57"/>
    <w:rsid w:val="00DE0079"/>
    <w:rsid w:val="00DE0A57"/>
    <w:rsid w:val="00DE1638"/>
    <w:rsid w:val="00DE1D62"/>
    <w:rsid w:val="00DE2543"/>
    <w:rsid w:val="00DE2AB2"/>
    <w:rsid w:val="00DE46CD"/>
    <w:rsid w:val="00DE777D"/>
    <w:rsid w:val="00DF0067"/>
    <w:rsid w:val="00DF0488"/>
    <w:rsid w:val="00DF0C38"/>
    <w:rsid w:val="00DF128A"/>
    <w:rsid w:val="00DF3086"/>
    <w:rsid w:val="00DF5A2A"/>
    <w:rsid w:val="00DF630A"/>
    <w:rsid w:val="00DF6CDB"/>
    <w:rsid w:val="00DF7D97"/>
    <w:rsid w:val="00E00356"/>
    <w:rsid w:val="00E00ECF"/>
    <w:rsid w:val="00E013E3"/>
    <w:rsid w:val="00E01839"/>
    <w:rsid w:val="00E01B45"/>
    <w:rsid w:val="00E0251E"/>
    <w:rsid w:val="00E028B2"/>
    <w:rsid w:val="00E02E1F"/>
    <w:rsid w:val="00E04A05"/>
    <w:rsid w:val="00E06DD0"/>
    <w:rsid w:val="00E07331"/>
    <w:rsid w:val="00E10B62"/>
    <w:rsid w:val="00E111DE"/>
    <w:rsid w:val="00E11EA7"/>
    <w:rsid w:val="00E12F9A"/>
    <w:rsid w:val="00E134AE"/>
    <w:rsid w:val="00E13E61"/>
    <w:rsid w:val="00E13F9A"/>
    <w:rsid w:val="00E144FE"/>
    <w:rsid w:val="00E14923"/>
    <w:rsid w:val="00E157BB"/>
    <w:rsid w:val="00E16E94"/>
    <w:rsid w:val="00E20D69"/>
    <w:rsid w:val="00E21828"/>
    <w:rsid w:val="00E21D7C"/>
    <w:rsid w:val="00E21E23"/>
    <w:rsid w:val="00E237E3"/>
    <w:rsid w:val="00E2410E"/>
    <w:rsid w:val="00E2442E"/>
    <w:rsid w:val="00E2461C"/>
    <w:rsid w:val="00E2591D"/>
    <w:rsid w:val="00E27024"/>
    <w:rsid w:val="00E27A05"/>
    <w:rsid w:val="00E30011"/>
    <w:rsid w:val="00E30941"/>
    <w:rsid w:val="00E32908"/>
    <w:rsid w:val="00E32DA2"/>
    <w:rsid w:val="00E32DA8"/>
    <w:rsid w:val="00E32EFA"/>
    <w:rsid w:val="00E33C18"/>
    <w:rsid w:val="00E33F60"/>
    <w:rsid w:val="00E34498"/>
    <w:rsid w:val="00E358CF"/>
    <w:rsid w:val="00E36C7B"/>
    <w:rsid w:val="00E37443"/>
    <w:rsid w:val="00E4097F"/>
    <w:rsid w:val="00E40CD6"/>
    <w:rsid w:val="00E411E1"/>
    <w:rsid w:val="00E42B50"/>
    <w:rsid w:val="00E43799"/>
    <w:rsid w:val="00E440E8"/>
    <w:rsid w:val="00E44804"/>
    <w:rsid w:val="00E450D7"/>
    <w:rsid w:val="00E46B30"/>
    <w:rsid w:val="00E51C38"/>
    <w:rsid w:val="00E528F4"/>
    <w:rsid w:val="00E53241"/>
    <w:rsid w:val="00E55497"/>
    <w:rsid w:val="00E558FB"/>
    <w:rsid w:val="00E55D70"/>
    <w:rsid w:val="00E5684B"/>
    <w:rsid w:val="00E56E1A"/>
    <w:rsid w:val="00E57957"/>
    <w:rsid w:val="00E57A21"/>
    <w:rsid w:val="00E60854"/>
    <w:rsid w:val="00E60A02"/>
    <w:rsid w:val="00E62786"/>
    <w:rsid w:val="00E64166"/>
    <w:rsid w:val="00E642A5"/>
    <w:rsid w:val="00E65405"/>
    <w:rsid w:val="00E65A11"/>
    <w:rsid w:val="00E662E5"/>
    <w:rsid w:val="00E6794C"/>
    <w:rsid w:val="00E67AA9"/>
    <w:rsid w:val="00E70DC1"/>
    <w:rsid w:val="00E732C7"/>
    <w:rsid w:val="00E75D48"/>
    <w:rsid w:val="00E7600D"/>
    <w:rsid w:val="00E8060F"/>
    <w:rsid w:val="00E80FFB"/>
    <w:rsid w:val="00E8254B"/>
    <w:rsid w:val="00E8305C"/>
    <w:rsid w:val="00E85644"/>
    <w:rsid w:val="00E85D00"/>
    <w:rsid w:val="00E8614E"/>
    <w:rsid w:val="00E9074A"/>
    <w:rsid w:val="00E908E2"/>
    <w:rsid w:val="00E96ECC"/>
    <w:rsid w:val="00EA1AD0"/>
    <w:rsid w:val="00EA390A"/>
    <w:rsid w:val="00EA3D8C"/>
    <w:rsid w:val="00EA3ECE"/>
    <w:rsid w:val="00EA44BE"/>
    <w:rsid w:val="00EA4A43"/>
    <w:rsid w:val="00EA6514"/>
    <w:rsid w:val="00EA7A84"/>
    <w:rsid w:val="00EB0684"/>
    <w:rsid w:val="00EB0B90"/>
    <w:rsid w:val="00EB0DB2"/>
    <w:rsid w:val="00EB1682"/>
    <w:rsid w:val="00EB23B6"/>
    <w:rsid w:val="00EB2514"/>
    <w:rsid w:val="00EB303C"/>
    <w:rsid w:val="00EB5EE2"/>
    <w:rsid w:val="00EB731D"/>
    <w:rsid w:val="00EC0A84"/>
    <w:rsid w:val="00EC0E5E"/>
    <w:rsid w:val="00EC1A60"/>
    <w:rsid w:val="00EC4C78"/>
    <w:rsid w:val="00EC55FC"/>
    <w:rsid w:val="00EC5BA3"/>
    <w:rsid w:val="00ED028A"/>
    <w:rsid w:val="00ED1A3F"/>
    <w:rsid w:val="00ED2A58"/>
    <w:rsid w:val="00ED30DD"/>
    <w:rsid w:val="00ED450D"/>
    <w:rsid w:val="00ED4758"/>
    <w:rsid w:val="00ED7E09"/>
    <w:rsid w:val="00EE0BC8"/>
    <w:rsid w:val="00EE0EAE"/>
    <w:rsid w:val="00EE1A18"/>
    <w:rsid w:val="00EE3E91"/>
    <w:rsid w:val="00EE5534"/>
    <w:rsid w:val="00EE5A00"/>
    <w:rsid w:val="00EE6A8A"/>
    <w:rsid w:val="00EF03F7"/>
    <w:rsid w:val="00EF1224"/>
    <w:rsid w:val="00EF1433"/>
    <w:rsid w:val="00EF227F"/>
    <w:rsid w:val="00EF2427"/>
    <w:rsid w:val="00EF3BF3"/>
    <w:rsid w:val="00EF3F6D"/>
    <w:rsid w:val="00EF4314"/>
    <w:rsid w:val="00EF44D8"/>
    <w:rsid w:val="00EF6457"/>
    <w:rsid w:val="00EF6C6D"/>
    <w:rsid w:val="00EF6D5F"/>
    <w:rsid w:val="00F012AE"/>
    <w:rsid w:val="00F01331"/>
    <w:rsid w:val="00F01FF5"/>
    <w:rsid w:val="00F0602E"/>
    <w:rsid w:val="00F062D2"/>
    <w:rsid w:val="00F06E29"/>
    <w:rsid w:val="00F0704B"/>
    <w:rsid w:val="00F0797B"/>
    <w:rsid w:val="00F07BB9"/>
    <w:rsid w:val="00F107FE"/>
    <w:rsid w:val="00F1160C"/>
    <w:rsid w:val="00F11717"/>
    <w:rsid w:val="00F117D5"/>
    <w:rsid w:val="00F124D0"/>
    <w:rsid w:val="00F1260B"/>
    <w:rsid w:val="00F131C0"/>
    <w:rsid w:val="00F13469"/>
    <w:rsid w:val="00F139B8"/>
    <w:rsid w:val="00F14A2A"/>
    <w:rsid w:val="00F16EEB"/>
    <w:rsid w:val="00F20355"/>
    <w:rsid w:val="00F20CBC"/>
    <w:rsid w:val="00F20F91"/>
    <w:rsid w:val="00F21D96"/>
    <w:rsid w:val="00F21E15"/>
    <w:rsid w:val="00F22BD0"/>
    <w:rsid w:val="00F23157"/>
    <w:rsid w:val="00F2426A"/>
    <w:rsid w:val="00F25688"/>
    <w:rsid w:val="00F27DCD"/>
    <w:rsid w:val="00F30538"/>
    <w:rsid w:val="00F3322F"/>
    <w:rsid w:val="00F332BB"/>
    <w:rsid w:val="00F339A0"/>
    <w:rsid w:val="00F35322"/>
    <w:rsid w:val="00F3652C"/>
    <w:rsid w:val="00F37507"/>
    <w:rsid w:val="00F376E0"/>
    <w:rsid w:val="00F37C16"/>
    <w:rsid w:val="00F406CD"/>
    <w:rsid w:val="00F47705"/>
    <w:rsid w:val="00F47F9A"/>
    <w:rsid w:val="00F50026"/>
    <w:rsid w:val="00F514DD"/>
    <w:rsid w:val="00F51936"/>
    <w:rsid w:val="00F51BC6"/>
    <w:rsid w:val="00F5290A"/>
    <w:rsid w:val="00F535DF"/>
    <w:rsid w:val="00F5388F"/>
    <w:rsid w:val="00F56B17"/>
    <w:rsid w:val="00F57A74"/>
    <w:rsid w:val="00F60861"/>
    <w:rsid w:val="00F60AA8"/>
    <w:rsid w:val="00F60E87"/>
    <w:rsid w:val="00F61FE7"/>
    <w:rsid w:val="00F62038"/>
    <w:rsid w:val="00F62612"/>
    <w:rsid w:val="00F639B7"/>
    <w:rsid w:val="00F639C3"/>
    <w:rsid w:val="00F64BBF"/>
    <w:rsid w:val="00F64DD9"/>
    <w:rsid w:val="00F65420"/>
    <w:rsid w:val="00F6563D"/>
    <w:rsid w:val="00F661CF"/>
    <w:rsid w:val="00F671B1"/>
    <w:rsid w:val="00F67FFC"/>
    <w:rsid w:val="00F71233"/>
    <w:rsid w:val="00F71369"/>
    <w:rsid w:val="00F713D9"/>
    <w:rsid w:val="00F7143E"/>
    <w:rsid w:val="00F71634"/>
    <w:rsid w:val="00F718FE"/>
    <w:rsid w:val="00F73A9D"/>
    <w:rsid w:val="00F75561"/>
    <w:rsid w:val="00F770BD"/>
    <w:rsid w:val="00F776E6"/>
    <w:rsid w:val="00F77B0A"/>
    <w:rsid w:val="00F80244"/>
    <w:rsid w:val="00F80FA0"/>
    <w:rsid w:val="00F81B55"/>
    <w:rsid w:val="00F820C3"/>
    <w:rsid w:val="00F827D8"/>
    <w:rsid w:val="00F82D50"/>
    <w:rsid w:val="00F83E70"/>
    <w:rsid w:val="00F853E4"/>
    <w:rsid w:val="00F855B0"/>
    <w:rsid w:val="00F87552"/>
    <w:rsid w:val="00F90061"/>
    <w:rsid w:val="00F9020D"/>
    <w:rsid w:val="00F903EB"/>
    <w:rsid w:val="00F93B08"/>
    <w:rsid w:val="00F93C42"/>
    <w:rsid w:val="00F93D89"/>
    <w:rsid w:val="00F94733"/>
    <w:rsid w:val="00F95495"/>
    <w:rsid w:val="00F960B4"/>
    <w:rsid w:val="00FA0202"/>
    <w:rsid w:val="00FA1246"/>
    <w:rsid w:val="00FA31D0"/>
    <w:rsid w:val="00FA3575"/>
    <w:rsid w:val="00FA35A1"/>
    <w:rsid w:val="00FA39A2"/>
    <w:rsid w:val="00FA4CF9"/>
    <w:rsid w:val="00FA50C9"/>
    <w:rsid w:val="00FA5612"/>
    <w:rsid w:val="00FA5650"/>
    <w:rsid w:val="00FA73A0"/>
    <w:rsid w:val="00FA7B7B"/>
    <w:rsid w:val="00FA7E92"/>
    <w:rsid w:val="00FB158A"/>
    <w:rsid w:val="00FB15B9"/>
    <w:rsid w:val="00FB16A7"/>
    <w:rsid w:val="00FB280B"/>
    <w:rsid w:val="00FB2F1D"/>
    <w:rsid w:val="00FB638A"/>
    <w:rsid w:val="00FB6DB7"/>
    <w:rsid w:val="00FB7778"/>
    <w:rsid w:val="00FB7BAE"/>
    <w:rsid w:val="00FB7D22"/>
    <w:rsid w:val="00FC07E1"/>
    <w:rsid w:val="00FC0EA1"/>
    <w:rsid w:val="00FC29AE"/>
    <w:rsid w:val="00FC3E4D"/>
    <w:rsid w:val="00FC77AD"/>
    <w:rsid w:val="00FC7E6B"/>
    <w:rsid w:val="00FD1692"/>
    <w:rsid w:val="00FD21A8"/>
    <w:rsid w:val="00FD23D9"/>
    <w:rsid w:val="00FD3811"/>
    <w:rsid w:val="00FD5196"/>
    <w:rsid w:val="00FD52BC"/>
    <w:rsid w:val="00FD6532"/>
    <w:rsid w:val="00FD7792"/>
    <w:rsid w:val="00FD7AD8"/>
    <w:rsid w:val="00FE02A8"/>
    <w:rsid w:val="00FE11AA"/>
    <w:rsid w:val="00FE165D"/>
    <w:rsid w:val="00FE2AA9"/>
    <w:rsid w:val="00FE3C92"/>
    <w:rsid w:val="00FE3CB0"/>
    <w:rsid w:val="00FE41CD"/>
    <w:rsid w:val="00FE509A"/>
    <w:rsid w:val="00FE678B"/>
    <w:rsid w:val="00FE7F76"/>
    <w:rsid w:val="00FF0D32"/>
    <w:rsid w:val="00FF1631"/>
    <w:rsid w:val="00FF16B1"/>
    <w:rsid w:val="00FF16F2"/>
    <w:rsid w:val="00FF192D"/>
    <w:rsid w:val="00FF3AB5"/>
    <w:rsid w:val="00FF68A8"/>
    <w:rsid w:val="00FF796F"/>
    <w:rsid w:val="00FF7E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C8B1"/>
  <w15:chartTrackingRefBased/>
  <w15:docId w15:val="{9E7854CE-9132-497D-A80B-AB537E95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65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D55B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basedOn w:val="Normal"/>
    <w:next w:val="Normal"/>
    <w:link w:val="Ttulo3Car"/>
    <w:uiPriority w:val="9"/>
    <w:semiHidden/>
    <w:unhideWhenUsed/>
    <w:qFormat/>
    <w:rsid w:val="007024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865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FTnormal">
    <w:name w:val="IFT normal"/>
    <w:basedOn w:val="Normal"/>
    <w:link w:val="IFTnormalCar"/>
    <w:qFormat/>
    <w:rsid w:val="004A17FD"/>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4A17FD"/>
    <w:rPr>
      <w:rFonts w:ascii="ITC Avant Garde" w:eastAsia="Calibri" w:hAnsi="ITC Avant Garde" w:cs="Arial"/>
      <w:color w:val="000000"/>
      <w:lang w:val="es-ES_tradnl" w:eastAsia="es-ES"/>
    </w:rPr>
  </w:style>
  <w:style w:type="paragraph" w:styleId="Prrafodelista">
    <w:name w:val="List Paragraph"/>
    <w:aliases w:val="prueba1"/>
    <w:basedOn w:val="Normal"/>
    <w:link w:val="PrrafodelistaCar"/>
    <w:uiPriority w:val="34"/>
    <w:qFormat/>
    <w:rsid w:val="00451EFA"/>
    <w:pPr>
      <w:spacing w:after="0" w:line="240" w:lineRule="auto"/>
      <w:ind w:left="708"/>
    </w:pPr>
    <w:rPr>
      <w:rFonts w:eastAsia="Times New Roman" w:cs="Times New Roman"/>
      <w:sz w:val="24"/>
      <w:szCs w:val="24"/>
      <w:lang w:val="es-ES_tradnl" w:eastAsia="es-ES"/>
    </w:rPr>
  </w:style>
  <w:style w:type="character" w:customStyle="1" w:styleId="PrrafodelistaCar">
    <w:name w:val="Párrafo de lista Car"/>
    <w:aliases w:val="prueba1 Car"/>
    <w:link w:val="Prrafodelista"/>
    <w:uiPriority w:val="34"/>
    <w:qFormat/>
    <w:rsid w:val="00451EFA"/>
    <w:rPr>
      <w:rFonts w:eastAsia="Times New Roman" w:cs="Times New Roman"/>
      <w:sz w:val="24"/>
      <w:szCs w:val="24"/>
      <w:lang w:val="es-ES_tradnl" w:eastAsia="es-ES"/>
    </w:rPr>
  </w:style>
  <w:style w:type="character" w:customStyle="1" w:styleId="Ttulo1Car">
    <w:name w:val="Título 1 Car"/>
    <w:basedOn w:val="Fuentedeprrafopredeter"/>
    <w:link w:val="Ttulo1"/>
    <w:uiPriority w:val="9"/>
    <w:rsid w:val="00265AA4"/>
    <w:rPr>
      <w:rFonts w:asciiTheme="majorHAnsi" w:eastAsiaTheme="majorEastAsia" w:hAnsiTheme="majorHAnsi" w:cstheme="majorBidi"/>
      <w:color w:val="2E74B5" w:themeColor="accent1" w:themeShade="BF"/>
      <w:sz w:val="32"/>
      <w:szCs w:val="32"/>
    </w:rPr>
  </w:style>
  <w:style w:type="paragraph" w:customStyle="1" w:styleId="1TitPrin">
    <w:name w:val="1TitPrin"/>
    <w:basedOn w:val="Ttulo1"/>
    <w:link w:val="1TitPrinCar"/>
    <w:autoRedefine/>
    <w:qFormat/>
    <w:rsid w:val="00EE6A8A"/>
    <w:pPr>
      <w:keepNext w:val="0"/>
      <w:keepLines w:val="0"/>
      <w:spacing w:before="0" w:after="200" w:line="276" w:lineRule="auto"/>
      <w:jc w:val="both"/>
    </w:pPr>
    <w:rPr>
      <w:rFonts w:ascii="ITC Avant Garde" w:eastAsia="Calibri" w:hAnsi="ITC Avant Garde" w:cs="Arial"/>
      <w:color w:val="auto"/>
      <w:sz w:val="22"/>
      <w:szCs w:val="22"/>
      <w:u w:val="single"/>
      <w:lang w:val="es-ES" w:eastAsia="es-ES"/>
    </w:rPr>
  </w:style>
  <w:style w:type="character" w:customStyle="1" w:styleId="1TitPrinCar">
    <w:name w:val="1TitPrin Car"/>
    <w:link w:val="1TitPrin"/>
    <w:rsid w:val="00EE6A8A"/>
    <w:rPr>
      <w:rFonts w:ascii="ITC Avant Garde" w:eastAsia="Calibri" w:hAnsi="ITC Avant Garde" w:cs="Arial"/>
      <w:u w:val="single"/>
      <w:lang w:val="es-ES" w:eastAsia="es-ES"/>
    </w:rPr>
  </w:style>
  <w:style w:type="paragraph" w:styleId="Encabezado">
    <w:name w:val="header"/>
    <w:basedOn w:val="Normal"/>
    <w:link w:val="EncabezadoCar"/>
    <w:uiPriority w:val="99"/>
    <w:unhideWhenUsed/>
    <w:rsid w:val="00B673A0"/>
    <w:pPr>
      <w:tabs>
        <w:tab w:val="center" w:pos="4680"/>
        <w:tab w:val="right" w:pos="9360"/>
      </w:tabs>
      <w:spacing w:after="0" w:line="240" w:lineRule="auto"/>
    </w:pPr>
    <w:rPr>
      <w:rFonts w:ascii="Arial" w:hAnsi="Arial"/>
      <w:color w:val="595959" w:themeColor="text1" w:themeTint="A6"/>
      <w:szCs w:val="19"/>
      <w:lang w:val="es-ES" w:eastAsia="es-ES"/>
    </w:rPr>
  </w:style>
  <w:style w:type="character" w:customStyle="1" w:styleId="EncabezadoCar">
    <w:name w:val="Encabezado Car"/>
    <w:basedOn w:val="Fuentedeprrafopredeter"/>
    <w:link w:val="Encabezado"/>
    <w:uiPriority w:val="99"/>
    <w:rsid w:val="00B673A0"/>
    <w:rPr>
      <w:rFonts w:ascii="Arial" w:hAnsi="Arial"/>
      <w:color w:val="595959" w:themeColor="text1" w:themeTint="A6"/>
      <w:szCs w:val="19"/>
      <w:lang w:val="es-ES" w:eastAsia="es-ES"/>
    </w:rPr>
  </w:style>
  <w:style w:type="character" w:styleId="Textodelmarcadordeposicin">
    <w:name w:val="Placeholder Text"/>
    <w:basedOn w:val="Fuentedeprrafopredeter"/>
    <w:uiPriority w:val="99"/>
    <w:semiHidden/>
    <w:rsid w:val="007624EB"/>
    <w:rPr>
      <w:color w:val="808080"/>
    </w:rPr>
  </w:style>
  <w:style w:type="paragraph" w:styleId="Textodeglobo">
    <w:name w:val="Balloon Text"/>
    <w:basedOn w:val="Normal"/>
    <w:link w:val="TextodegloboCar"/>
    <w:uiPriority w:val="99"/>
    <w:semiHidden/>
    <w:unhideWhenUsed/>
    <w:rsid w:val="008334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4DF"/>
    <w:rPr>
      <w:rFonts w:ascii="Segoe UI" w:hAnsi="Segoe UI" w:cs="Segoe UI"/>
      <w:sz w:val="18"/>
      <w:szCs w:val="18"/>
    </w:rPr>
  </w:style>
  <w:style w:type="character" w:styleId="Refdecomentario">
    <w:name w:val="annotation reference"/>
    <w:basedOn w:val="Fuentedeprrafopredeter"/>
    <w:uiPriority w:val="99"/>
    <w:semiHidden/>
    <w:unhideWhenUsed/>
    <w:rsid w:val="008334DF"/>
    <w:rPr>
      <w:sz w:val="16"/>
      <w:szCs w:val="16"/>
    </w:rPr>
  </w:style>
  <w:style w:type="paragraph" w:styleId="Textocomentario">
    <w:name w:val="annotation text"/>
    <w:basedOn w:val="Normal"/>
    <w:link w:val="TextocomentarioCar"/>
    <w:uiPriority w:val="99"/>
    <w:semiHidden/>
    <w:unhideWhenUsed/>
    <w:rsid w:val="00833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34DF"/>
    <w:rPr>
      <w:sz w:val="20"/>
      <w:szCs w:val="20"/>
    </w:rPr>
  </w:style>
  <w:style w:type="paragraph" w:styleId="Asuntodelcomentario">
    <w:name w:val="annotation subject"/>
    <w:basedOn w:val="Textocomentario"/>
    <w:next w:val="Textocomentario"/>
    <w:link w:val="AsuntodelcomentarioCar"/>
    <w:uiPriority w:val="99"/>
    <w:semiHidden/>
    <w:unhideWhenUsed/>
    <w:rsid w:val="008334DF"/>
    <w:rPr>
      <w:b/>
      <w:bCs/>
    </w:rPr>
  </w:style>
  <w:style w:type="character" w:customStyle="1" w:styleId="AsuntodelcomentarioCar">
    <w:name w:val="Asunto del comentario Car"/>
    <w:basedOn w:val="TextocomentarioCar"/>
    <w:link w:val="Asuntodelcomentario"/>
    <w:uiPriority w:val="99"/>
    <w:semiHidden/>
    <w:rsid w:val="008334DF"/>
    <w:rPr>
      <w:b/>
      <w:bCs/>
      <w:sz w:val="20"/>
      <w:szCs w:val="20"/>
    </w:rPr>
  </w:style>
  <w:style w:type="paragraph" w:styleId="Piedepgina">
    <w:name w:val="footer"/>
    <w:basedOn w:val="Normal"/>
    <w:link w:val="PiedepginaCar"/>
    <w:uiPriority w:val="99"/>
    <w:unhideWhenUsed/>
    <w:rsid w:val="009A6400"/>
    <w:pPr>
      <w:spacing w:after="0" w:line="240" w:lineRule="auto"/>
    </w:pPr>
    <w:rPr>
      <w:rFonts w:ascii="Arial" w:hAnsi="Arial"/>
      <w:color w:val="595959" w:themeColor="text1" w:themeTint="A6"/>
      <w:szCs w:val="19"/>
      <w:lang w:val="es-ES" w:eastAsia="es-ES"/>
    </w:rPr>
  </w:style>
  <w:style w:type="character" w:customStyle="1" w:styleId="PiedepginaCar">
    <w:name w:val="Pie de página Car"/>
    <w:basedOn w:val="Fuentedeprrafopredeter"/>
    <w:link w:val="Piedepgina"/>
    <w:uiPriority w:val="99"/>
    <w:rsid w:val="009A6400"/>
    <w:rPr>
      <w:rFonts w:ascii="Arial" w:hAnsi="Arial"/>
      <w:color w:val="595959" w:themeColor="text1" w:themeTint="A6"/>
      <w:szCs w:val="19"/>
      <w:lang w:val="es-ES" w:eastAsia="es-ES"/>
    </w:rPr>
  </w:style>
  <w:style w:type="paragraph" w:styleId="Textonotapie">
    <w:name w:val="footnote text"/>
    <w:basedOn w:val="Normal"/>
    <w:link w:val="TextonotapieCar"/>
    <w:uiPriority w:val="99"/>
    <w:semiHidden/>
    <w:unhideWhenUsed/>
    <w:rsid w:val="005465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65EC"/>
    <w:rPr>
      <w:sz w:val="20"/>
      <w:szCs w:val="20"/>
    </w:rPr>
  </w:style>
  <w:style w:type="character" w:styleId="Refdenotaalpie">
    <w:name w:val="footnote reference"/>
    <w:basedOn w:val="Fuentedeprrafopredeter"/>
    <w:uiPriority w:val="99"/>
    <w:semiHidden/>
    <w:unhideWhenUsed/>
    <w:rsid w:val="005465EC"/>
    <w:rPr>
      <w:vertAlign w:val="superscript"/>
    </w:rPr>
  </w:style>
  <w:style w:type="character" w:customStyle="1" w:styleId="Ttulo4Car">
    <w:name w:val="Título 4 Car"/>
    <w:basedOn w:val="Fuentedeprrafopredeter"/>
    <w:link w:val="Ttulo4"/>
    <w:uiPriority w:val="9"/>
    <w:semiHidden/>
    <w:rsid w:val="009865B2"/>
    <w:rPr>
      <w:rFonts w:asciiTheme="majorHAnsi" w:eastAsiaTheme="majorEastAsia" w:hAnsiTheme="majorHAnsi" w:cstheme="majorBidi"/>
      <w:i/>
      <w:iCs/>
      <w:color w:val="2E74B5" w:themeColor="accent1" w:themeShade="BF"/>
    </w:rPr>
  </w:style>
  <w:style w:type="character" w:customStyle="1" w:styleId="Heading6Char">
    <w:name w:val="Heading 6 Char"/>
    <w:aliases w:val="ITT t6 Char,PA Appendix Char,Bullet list Char,6 Char,Level 6 Char,Header 6 Char,h6 Char,Requirement Char,61 Char,h61 Char,Requirement1 Char,62 Char,h62 Char,Requirement2 Char,611 Char,h611 Char,Requirement11 Char,63 Char,h63 Char,612 Char"/>
    <w:basedOn w:val="Fuentedeprrafopredeter"/>
    <w:uiPriority w:val="9"/>
    <w:semiHidden/>
    <w:rsid w:val="009865B2"/>
    <w:rPr>
      <w:rFonts w:ascii="Calibri" w:eastAsia="Times New Roman" w:hAnsi="Calibri" w:cs="Times New Roman"/>
      <w:b/>
      <w:bCs/>
      <w:lang w:val="es-ES_tradnl" w:eastAsia="es-ES"/>
    </w:rPr>
  </w:style>
  <w:style w:type="paragraph" w:customStyle="1" w:styleId="Default">
    <w:name w:val="Default"/>
    <w:rsid w:val="009865B2"/>
    <w:pPr>
      <w:autoSpaceDE w:val="0"/>
      <w:autoSpaceDN w:val="0"/>
      <w:adjustRightInd w:val="0"/>
      <w:spacing w:after="0" w:line="240" w:lineRule="auto"/>
    </w:pPr>
    <w:rPr>
      <w:rFonts w:ascii="Times New Roman" w:hAnsi="Times New Roman" w:cs="Times New Roman"/>
      <w:color w:val="000000"/>
      <w:sz w:val="24"/>
      <w:szCs w:val="24"/>
      <w:lang w:val="en-US" w:eastAsia="es-ES"/>
    </w:rPr>
  </w:style>
  <w:style w:type="paragraph" w:styleId="Revisin">
    <w:name w:val="Revision"/>
    <w:hidden/>
    <w:uiPriority w:val="99"/>
    <w:semiHidden/>
    <w:rsid w:val="00DF5A2A"/>
    <w:pPr>
      <w:spacing w:after="0" w:line="240" w:lineRule="auto"/>
    </w:pPr>
  </w:style>
  <w:style w:type="paragraph" w:styleId="Fecha">
    <w:name w:val="Date"/>
    <w:basedOn w:val="Normal"/>
    <w:next w:val="Normal"/>
    <w:link w:val="FechaCar"/>
    <w:uiPriority w:val="2"/>
    <w:unhideWhenUsed/>
    <w:rsid w:val="00CE7B51"/>
    <w:pPr>
      <w:spacing w:after="400" w:line="240" w:lineRule="auto"/>
    </w:pPr>
    <w:rPr>
      <w:rFonts w:ascii="Arial" w:hAnsi="Arial"/>
      <w:color w:val="595959" w:themeColor="text1" w:themeTint="A6"/>
      <w:szCs w:val="19"/>
      <w:lang w:val="es-ES" w:eastAsia="es-ES"/>
    </w:rPr>
  </w:style>
  <w:style w:type="character" w:customStyle="1" w:styleId="FechaCar">
    <w:name w:val="Fecha Car"/>
    <w:basedOn w:val="Fuentedeprrafopredeter"/>
    <w:link w:val="Fecha"/>
    <w:uiPriority w:val="2"/>
    <w:rsid w:val="00CE7B51"/>
    <w:rPr>
      <w:rFonts w:ascii="Arial" w:hAnsi="Arial"/>
      <w:color w:val="595959" w:themeColor="text1" w:themeTint="A6"/>
      <w:szCs w:val="19"/>
      <w:lang w:val="es-ES" w:eastAsia="es-ES"/>
    </w:rPr>
  </w:style>
  <w:style w:type="character" w:customStyle="1" w:styleId="Ttulo2Car">
    <w:name w:val="Título 2 Car"/>
    <w:basedOn w:val="Fuentedeprrafopredeter"/>
    <w:link w:val="Ttulo2"/>
    <w:uiPriority w:val="9"/>
    <w:rsid w:val="008D55B5"/>
    <w:rPr>
      <w:rFonts w:asciiTheme="majorHAnsi" w:eastAsiaTheme="majorEastAsia" w:hAnsiTheme="majorHAnsi" w:cstheme="majorBidi"/>
      <w:color w:val="2E74B5" w:themeColor="accent1" w:themeShade="BF"/>
      <w:sz w:val="26"/>
      <w:szCs w:val="26"/>
      <w:lang w:val="es-ES" w:eastAsia="es-ES"/>
    </w:rPr>
  </w:style>
  <w:style w:type="paragraph" w:customStyle="1" w:styleId="ListBulletCompact">
    <w:name w:val="List Bullet Compact"/>
    <w:basedOn w:val="Listaconvietas"/>
    <w:qFormat/>
    <w:rsid w:val="008D55B5"/>
    <w:pPr>
      <w:numPr>
        <w:numId w:val="44"/>
      </w:numPr>
      <w:spacing w:after="0" w:line="320" w:lineRule="atLeast"/>
      <w:contextualSpacing w:val="0"/>
      <w:jc w:val="both"/>
    </w:pPr>
    <w:rPr>
      <w:rFonts w:ascii="Arial" w:hAnsi="Arial"/>
      <w:lang w:val="es-ES_tradnl"/>
    </w:rPr>
  </w:style>
  <w:style w:type="paragraph" w:styleId="Listaconvietas">
    <w:name w:val="List Bullet"/>
    <w:basedOn w:val="Normal"/>
    <w:uiPriority w:val="99"/>
    <w:unhideWhenUsed/>
    <w:rsid w:val="008D55B5"/>
    <w:pPr>
      <w:ind w:left="720" w:hanging="360"/>
      <w:contextualSpacing/>
    </w:pPr>
  </w:style>
  <w:style w:type="paragraph" w:customStyle="1" w:styleId="II">
    <w:name w:val="II"/>
    <w:basedOn w:val="Listaconvietas2"/>
    <w:qFormat/>
    <w:rsid w:val="008D55B5"/>
    <w:pPr>
      <w:keepLines/>
      <w:numPr>
        <w:numId w:val="49"/>
      </w:numPr>
      <w:spacing w:after="240" w:line="320" w:lineRule="atLeast"/>
      <w:contextualSpacing w:val="0"/>
      <w:jc w:val="both"/>
    </w:pPr>
    <w:rPr>
      <w:rFonts w:ascii="Arial" w:hAnsi="Arial"/>
      <w:lang w:val="es-ES_tradnl"/>
    </w:rPr>
  </w:style>
  <w:style w:type="paragraph" w:styleId="Listaconvietas2">
    <w:name w:val="List Bullet 2"/>
    <w:basedOn w:val="Normal"/>
    <w:uiPriority w:val="99"/>
    <w:semiHidden/>
    <w:unhideWhenUsed/>
    <w:rsid w:val="008D55B5"/>
    <w:pPr>
      <w:numPr>
        <w:numId w:val="47"/>
      </w:numPr>
      <w:contextualSpacing/>
    </w:pPr>
  </w:style>
  <w:style w:type="character" w:customStyle="1" w:styleId="Ttulo3Car">
    <w:name w:val="Título 3 Car"/>
    <w:basedOn w:val="Fuentedeprrafopredeter"/>
    <w:link w:val="Ttulo3"/>
    <w:uiPriority w:val="9"/>
    <w:semiHidden/>
    <w:rsid w:val="007024BF"/>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59"/>
    <w:rsid w:val="0070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6C7E"/>
    <w:rPr>
      <w:strike w:val="0"/>
      <w:dstrike w:val="0"/>
      <w:color w:val="000000"/>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industria/consultas-publicas/ficha-de-consulta-publica?project_cp=1281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458C1-07BB-4B58-B729-1DDACE50C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7BB1DE-060E-4AE8-9AC1-B07F1B36CA13}">
  <ds:schemaRefs>
    <ds:schemaRef ds:uri="http://schemas.microsoft.com/sharepoint/v3/contenttype/forms"/>
  </ds:schemaRefs>
</ds:datastoreItem>
</file>

<file path=customXml/itemProps3.xml><?xml version="1.0" encoding="utf-8"?>
<ds:datastoreItem xmlns:ds="http://schemas.openxmlformats.org/officeDocument/2006/customXml" ds:itemID="{77D826E8-B7B4-47CD-B9B8-A07E6E1F7E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34E562-4E8B-4FDE-9020-8C312D6A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12323</Words>
  <Characters>67777</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Rojas Castaneda</dc:creator>
  <cp:keywords/>
  <dc:description/>
  <cp:lastModifiedBy>Anaid Karina Limon Rivera</cp:lastModifiedBy>
  <cp:revision>6</cp:revision>
  <dcterms:created xsi:type="dcterms:W3CDTF">2019-05-28T16:06:00Z</dcterms:created>
  <dcterms:modified xsi:type="dcterms:W3CDTF">2019-05-28T16:37:00Z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y fmtid="{D5CDD505-2E9C-101B-9397-08002B2CF9AE}" pid="3" name="URL">
    <vt:lpwstr/>
  </property>
  <property fmtid="{D5CDD505-2E9C-101B-9397-08002B2CF9AE}" pid="4" name="xd_Signature">
    <vt:bool>false</vt:bool>
  </property>
  <property fmtid="{D5CDD505-2E9C-101B-9397-08002B2CF9AE}" pid="5" name="xd_ProgID">
    <vt:lpwstr/>
  </property>
  <property fmtid="{D5CDD505-2E9C-101B-9397-08002B2CF9AE}" pid="6" name="DocumentSetDescription">
    <vt:lpwstr/>
  </property>
  <property fmtid="{D5CDD505-2E9C-101B-9397-08002B2CF9AE}" pid="7" name="TemplateUrl">
    <vt:lpwstr/>
  </property>
</Properties>
</file>