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BFFA" w14:textId="77777777" w:rsidR="003464AF" w:rsidRPr="0067357D" w:rsidRDefault="003464AF" w:rsidP="00796879">
      <w:pPr>
        <w:jc w:val="center"/>
        <w:rPr>
          <w:rFonts w:ascii="ITC Avant Garde" w:hAnsi="ITC Avant Garde"/>
          <w:b/>
          <w:color w:val="000000"/>
          <w:sz w:val="72"/>
          <w:szCs w:val="72"/>
          <w:lang w:val="es-MX"/>
        </w:rPr>
      </w:pPr>
    </w:p>
    <w:p w14:paraId="1D75B922" w14:textId="77777777" w:rsidR="003464AF" w:rsidRPr="0067357D" w:rsidRDefault="003464AF" w:rsidP="00796879">
      <w:pPr>
        <w:jc w:val="center"/>
        <w:rPr>
          <w:rFonts w:ascii="ITC Avant Garde" w:hAnsi="ITC Avant Garde"/>
          <w:b/>
          <w:color w:val="000000"/>
          <w:sz w:val="72"/>
          <w:szCs w:val="72"/>
          <w:lang w:val="es-MX"/>
        </w:rPr>
      </w:pPr>
    </w:p>
    <w:p w14:paraId="484C19A1" w14:textId="77777777" w:rsidR="003464AF" w:rsidRPr="00315932" w:rsidRDefault="003464AF" w:rsidP="00796879">
      <w:pPr>
        <w:jc w:val="center"/>
        <w:rPr>
          <w:rFonts w:ascii="ITC Avant Garde" w:hAnsi="ITC Avant Garde"/>
          <w:b/>
          <w:color w:val="000000"/>
          <w:sz w:val="72"/>
          <w:szCs w:val="72"/>
          <w:lang w:val="es-MX"/>
        </w:rPr>
      </w:pPr>
      <w:r w:rsidRPr="00315932">
        <w:rPr>
          <w:rFonts w:ascii="ITC Avant Garde" w:hAnsi="ITC Avant Garde"/>
          <w:b/>
          <w:color w:val="000000"/>
          <w:sz w:val="72"/>
          <w:szCs w:val="72"/>
          <w:lang w:val="es-MX"/>
        </w:rPr>
        <w:t>“Anexo C”</w:t>
      </w:r>
    </w:p>
    <w:p w14:paraId="2A800BE2" w14:textId="77777777" w:rsidR="003464AF" w:rsidRPr="00315932" w:rsidRDefault="003464AF" w:rsidP="00796879">
      <w:pPr>
        <w:jc w:val="center"/>
        <w:rPr>
          <w:rFonts w:ascii="ITC Avant Garde" w:hAnsi="ITC Avant Garde"/>
          <w:color w:val="000000"/>
          <w:sz w:val="22"/>
          <w:szCs w:val="22"/>
        </w:rPr>
      </w:pPr>
    </w:p>
    <w:p w14:paraId="0D54A124" w14:textId="77777777" w:rsidR="003464AF" w:rsidRPr="00315932" w:rsidRDefault="003464AF" w:rsidP="00796879">
      <w:pPr>
        <w:jc w:val="center"/>
        <w:rPr>
          <w:rFonts w:ascii="ITC Avant Garde" w:hAnsi="ITC Avant Garde"/>
          <w:color w:val="000000"/>
          <w:sz w:val="22"/>
          <w:szCs w:val="22"/>
        </w:rPr>
      </w:pPr>
    </w:p>
    <w:p w14:paraId="02B692DC" w14:textId="77777777" w:rsidR="003464AF" w:rsidRPr="00315932" w:rsidRDefault="003464AF" w:rsidP="00796879">
      <w:pPr>
        <w:jc w:val="center"/>
        <w:rPr>
          <w:rFonts w:ascii="ITC Avant Garde" w:hAnsi="ITC Avant Garde"/>
          <w:color w:val="000000"/>
          <w:sz w:val="22"/>
          <w:szCs w:val="22"/>
        </w:rPr>
      </w:pPr>
    </w:p>
    <w:p w14:paraId="312CBEEA" w14:textId="77777777" w:rsidR="003464AF" w:rsidRPr="00315932" w:rsidRDefault="001F0E45" w:rsidP="00F77664">
      <w:pPr>
        <w:pStyle w:val="Ttulo1"/>
      </w:pPr>
      <w:r w:rsidRPr="00315932">
        <w:t xml:space="preserve">Procedimiento de </w:t>
      </w:r>
      <w:r w:rsidR="00F77664" w:rsidRPr="00315932">
        <w:t>Gestión</w:t>
      </w:r>
      <w:r w:rsidR="003464AF" w:rsidRPr="00315932">
        <w:t xml:space="preserve"> de </w:t>
      </w:r>
      <w:r w:rsidR="00F77664" w:rsidRPr="00315932">
        <w:t>I</w:t>
      </w:r>
      <w:r w:rsidR="001B53D7" w:rsidRPr="00315932">
        <w:t>ncidencias y</w:t>
      </w:r>
      <w:r w:rsidRPr="00315932">
        <w:t xml:space="preserve"> </w:t>
      </w:r>
      <w:r w:rsidR="003464AF" w:rsidRPr="00315932">
        <w:t>Continuidad del Servicio.</w:t>
      </w:r>
    </w:p>
    <w:p w14:paraId="1CA4EB4F" w14:textId="77777777" w:rsidR="003464AF" w:rsidRPr="00315932" w:rsidRDefault="003464AF" w:rsidP="00796879">
      <w:pPr>
        <w:rPr>
          <w:rFonts w:ascii="ITC Avant Garde" w:hAnsi="ITC Avant Garde"/>
          <w:sz w:val="22"/>
          <w:szCs w:val="22"/>
          <w:lang w:val="es-MX"/>
        </w:rPr>
      </w:pPr>
    </w:p>
    <w:p w14:paraId="7DE3E713" w14:textId="77777777" w:rsidR="003464AF" w:rsidRPr="00315932" w:rsidRDefault="003464AF" w:rsidP="00796879">
      <w:pPr>
        <w:rPr>
          <w:rFonts w:ascii="ITC Avant Garde" w:hAnsi="ITC Avant Garde"/>
          <w:sz w:val="22"/>
          <w:szCs w:val="22"/>
          <w:lang w:val="es-MX"/>
        </w:rPr>
      </w:pPr>
    </w:p>
    <w:p w14:paraId="2B24B8A4" w14:textId="77777777" w:rsidR="003464AF" w:rsidRPr="00315932" w:rsidRDefault="003464AF" w:rsidP="00796879">
      <w:pPr>
        <w:rPr>
          <w:rFonts w:ascii="ITC Avant Garde" w:hAnsi="ITC Avant Garde"/>
          <w:sz w:val="22"/>
          <w:szCs w:val="22"/>
          <w:lang w:val="es-MX"/>
        </w:rPr>
      </w:pPr>
    </w:p>
    <w:p w14:paraId="3ACC456B" w14:textId="77777777" w:rsidR="003464AF" w:rsidRPr="00315932" w:rsidRDefault="003464AF" w:rsidP="00796879">
      <w:pPr>
        <w:rPr>
          <w:rFonts w:ascii="ITC Avant Garde" w:hAnsi="ITC Avant Garde"/>
          <w:sz w:val="22"/>
          <w:szCs w:val="22"/>
          <w:lang w:val="es-MX"/>
        </w:rPr>
      </w:pPr>
    </w:p>
    <w:p w14:paraId="498FEB8B" w14:textId="77777777" w:rsidR="003464AF" w:rsidRPr="00315932" w:rsidRDefault="003464AF" w:rsidP="00796879">
      <w:pPr>
        <w:rPr>
          <w:rFonts w:ascii="ITC Avant Garde" w:hAnsi="ITC Avant Garde"/>
          <w:sz w:val="22"/>
          <w:szCs w:val="22"/>
          <w:lang w:val="es-MX"/>
        </w:rPr>
      </w:pPr>
    </w:p>
    <w:p w14:paraId="314C0CE3" w14:textId="77777777" w:rsidR="003464AF" w:rsidRPr="00315932" w:rsidRDefault="003464AF" w:rsidP="00796879">
      <w:pPr>
        <w:rPr>
          <w:rFonts w:ascii="ITC Avant Garde" w:hAnsi="ITC Avant Garde"/>
          <w:sz w:val="22"/>
          <w:szCs w:val="22"/>
          <w:lang w:val="es-MX"/>
        </w:rPr>
      </w:pPr>
    </w:p>
    <w:p w14:paraId="4D972EB1" w14:textId="77777777" w:rsidR="009A21A5" w:rsidRPr="00315932" w:rsidRDefault="009A21A5" w:rsidP="00796879">
      <w:pPr>
        <w:rPr>
          <w:rFonts w:ascii="ITC Avant Garde" w:hAnsi="ITC Avant Garde"/>
          <w:sz w:val="22"/>
          <w:szCs w:val="22"/>
          <w:lang w:val="es-MX"/>
        </w:rPr>
      </w:pPr>
    </w:p>
    <w:p w14:paraId="3BE7080E" w14:textId="77777777" w:rsidR="009A21A5" w:rsidRPr="00315932" w:rsidRDefault="009A21A5" w:rsidP="00796879">
      <w:pPr>
        <w:rPr>
          <w:rFonts w:ascii="ITC Avant Garde" w:hAnsi="ITC Avant Garde"/>
          <w:sz w:val="22"/>
          <w:szCs w:val="22"/>
          <w:lang w:val="es-MX"/>
        </w:rPr>
      </w:pPr>
    </w:p>
    <w:p w14:paraId="292CCD11" w14:textId="77777777" w:rsidR="009A21A5" w:rsidRPr="00315932" w:rsidRDefault="009A21A5" w:rsidP="00796879">
      <w:pPr>
        <w:rPr>
          <w:rFonts w:ascii="ITC Avant Garde" w:hAnsi="ITC Avant Garde"/>
          <w:sz w:val="22"/>
          <w:szCs w:val="22"/>
          <w:lang w:val="es-MX"/>
        </w:rPr>
      </w:pPr>
    </w:p>
    <w:p w14:paraId="36C3BFB2" w14:textId="77777777" w:rsidR="009A21A5" w:rsidRPr="00315932" w:rsidRDefault="009A21A5" w:rsidP="00796879">
      <w:pPr>
        <w:rPr>
          <w:rFonts w:ascii="ITC Avant Garde" w:hAnsi="ITC Avant Garde"/>
          <w:sz w:val="22"/>
          <w:szCs w:val="22"/>
          <w:lang w:val="es-MX"/>
        </w:rPr>
      </w:pPr>
    </w:p>
    <w:p w14:paraId="0E9DE430" w14:textId="77777777" w:rsidR="009A21A5" w:rsidRPr="00315932" w:rsidRDefault="009A21A5" w:rsidP="00796879">
      <w:pPr>
        <w:rPr>
          <w:rFonts w:ascii="ITC Avant Garde" w:hAnsi="ITC Avant Garde"/>
          <w:sz w:val="22"/>
          <w:szCs w:val="22"/>
          <w:lang w:val="es-MX"/>
        </w:rPr>
      </w:pPr>
    </w:p>
    <w:p w14:paraId="5A47B4B7" w14:textId="77777777" w:rsidR="009A21A5" w:rsidRPr="00315932" w:rsidRDefault="009A21A5" w:rsidP="00796879">
      <w:pPr>
        <w:rPr>
          <w:rFonts w:ascii="ITC Avant Garde" w:hAnsi="ITC Avant Garde"/>
          <w:sz w:val="22"/>
          <w:szCs w:val="22"/>
          <w:lang w:val="es-MX"/>
        </w:rPr>
      </w:pPr>
    </w:p>
    <w:p w14:paraId="0BECC1ED" w14:textId="77777777" w:rsidR="00F77664" w:rsidRPr="00315932" w:rsidRDefault="00F77664">
      <w:pPr>
        <w:rPr>
          <w:rFonts w:ascii="ITC Avant Garde" w:hAnsi="ITC Avant Garde"/>
          <w:b/>
        </w:rPr>
      </w:pPr>
      <w:r w:rsidRPr="00315932">
        <w:rPr>
          <w:rFonts w:ascii="ITC Avant Garde" w:hAnsi="ITC Avant Garde"/>
          <w:b/>
        </w:rPr>
        <w:br w:type="page"/>
      </w:r>
    </w:p>
    <w:p w14:paraId="14D854BA" w14:textId="77777777" w:rsidR="00E14461" w:rsidRPr="00315932" w:rsidRDefault="00E14461" w:rsidP="00E14461">
      <w:pPr>
        <w:pStyle w:val="Texto1"/>
        <w:spacing w:after="200" w:line="276" w:lineRule="auto"/>
        <w:jc w:val="center"/>
        <w:rPr>
          <w:rFonts w:ascii="ITC Avant Garde" w:hAnsi="ITC Avant Garde"/>
          <w:b/>
          <w:sz w:val="24"/>
          <w:szCs w:val="24"/>
        </w:rPr>
      </w:pPr>
      <w:r w:rsidRPr="00315932">
        <w:rPr>
          <w:rFonts w:ascii="ITC Avant Garde" w:hAnsi="ITC Avant Garde"/>
          <w:b/>
          <w:sz w:val="24"/>
          <w:szCs w:val="24"/>
        </w:rPr>
        <w:lastRenderedPageBreak/>
        <w:t>Procedimiento de Gestión de Incidencias y Continuidad del Servicio</w:t>
      </w:r>
    </w:p>
    <w:p w14:paraId="3F594F13" w14:textId="77777777" w:rsidR="00E14461" w:rsidRPr="00315932" w:rsidRDefault="00E14461" w:rsidP="006B4F14">
      <w:pPr>
        <w:pStyle w:val="Ttulo2"/>
      </w:pPr>
      <w:r w:rsidRPr="00315932">
        <w:t>Introducción</w:t>
      </w:r>
    </w:p>
    <w:p w14:paraId="603B5AE0" w14:textId="60AA19C7" w:rsidR="00E14461" w:rsidRPr="00315932" w:rsidRDefault="00E14461" w:rsidP="00E14461">
      <w:pPr>
        <w:pStyle w:val="IFTnormal"/>
      </w:pPr>
      <w:r w:rsidRPr="00315932">
        <w:t>Este anexo describe los procedimientos que deberán seguirse para la gestión de incidencias (ejecución de todas aquellas órdenes planificadas y enfocadas a la atención, seguimiento y cierre de reportes de incidencia) por parte de Telmex y/o de los Concesionarios Solicitantes, relacionada con los servicios objeto de la Oferta de Referencia para la Desagregación del Bucle Local</w:t>
      </w:r>
      <w:r w:rsidR="00C37F46" w:rsidRPr="00315932">
        <w:t>; con la finalidad de restaurar la operación normal de los servicios ofrecidos por Telmex en el menor tiempo posible y minimizar el impacto de las interrupciones del servicio, las operaciones del cliente y asegurar el cumplimiento de los Acuerdos de Niveles de Servicio (SLA).</w:t>
      </w:r>
      <w:r w:rsidRPr="00315932">
        <w:t xml:space="preserve"> </w:t>
      </w:r>
    </w:p>
    <w:p w14:paraId="601A2E72" w14:textId="77777777" w:rsidR="00E14461" w:rsidRPr="00315932" w:rsidRDefault="00E14461" w:rsidP="00E14461">
      <w:pPr>
        <w:pStyle w:val="IFTnormal"/>
      </w:pPr>
      <w:r w:rsidRPr="00315932">
        <w:t>Para ello, se definen los siguientes términos:</w:t>
      </w:r>
    </w:p>
    <w:p w14:paraId="6774BAE8" w14:textId="77777777" w:rsidR="00E14461" w:rsidRPr="00315932" w:rsidRDefault="00E14461" w:rsidP="00E14461">
      <w:pPr>
        <w:pStyle w:val="IFTnormal"/>
        <w:numPr>
          <w:ilvl w:val="0"/>
          <w:numId w:val="22"/>
        </w:numPr>
      </w:pPr>
      <w:r w:rsidRPr="00315932">
        <w:rPr>
          <w:b/>
        </w:rPr>
        <w:t>Evento de monitorización:</w:t>
      </w:r>
      <w:r w:rsidRPr="00315932">
        <w:t xml:space="preserve"> Notificación de un posible incidente generada automáticamente por las herramientas de monitoreo de red de Telmex. Este evento llega al punto de registro de incidentes para su evaluación.</w:t>
      </w:r>
    </w:p>
    <w:p w14:paraId="04333AEA" w14:textId="77777777" w:rsidR="00E14461" w:rsidRPr="00315932" w:rsidRDefault="00E14461" w:rsidP="00E14461">
      <w:pPr>
        <w:pStyle w:val="IFTnormal"/>
        <w:numPr>
          <w:ilvl w:val="0"/>
          <w:numId w:val="22"/>
        </w:numPr>
      </w:pPr>
      <w:r w:rsidRPr="00315932">
        <w:rPr>
          <w:b/>
        </w:rPr>
        <w:t>Falla masiva:</w:t>
      </w:r>
      <w:r w:rsidRPr="00315932">
        <w:t xml:space="preserve"> Más de 10 fallas reconocidas para un mismo distrito.</w:t>
      </w:r>
    </w:p>
    <w:p w14:paraId="3C67D450" w14:textId="78ABD416" w:rsidR="00E14461" w:rsidRPr="00315932" w:rsidRDefault="00E14461" w:rsidP="00E14461">
      <w:pPr>
        <w:pStyle w:val="IFTnormal"/>
        <w:numPr>
          <w:ilvl w:val="0"/>
          <w:numId w:val="22"/>
        </w:numPr>
      </w:pPr>
      <w:r w:rsidRPr="00315932">
        <w:rPr>
          <w:b/>
        </w:rPr>
        <w:t>Incidente o falla:</w:t>
      </w:r>
      <w:r w:rsidRPr="00315932">
        <w:t xml:space="preserve"> Es la interrupción no planeada de un servicio o la reducción en la calidad de dicho servicio fuera de los parámetros específicos </w:t>
      </w:r>
      <w:r w:rsidR="00395201" w:rsidRPr="00315932">
        <w:t xml:space="preserve">indicados </w:t>
      </w:r>
      <w:r w:rsidRPr="00315932">
        <w:t>para cada servicio.</w:t>
      </w:r>
    </w:p>
    <w:p w14:paraId="7648C877" w14:textId="77777777" w:rsidR="00C37F46" w:rsidRPr="00315932" w:rsidRDefault="00C37F46" w:rsidP="00C37F46">
      <w:pPr>
        <w:pStyle w:val="IFTnormal"/>
        <w:numPr>
          <w:ilvl w:val="0"/>
          <w:numId w:val="22"/>
        </w:numPr>
      </w:pPr>
      <w:r w:rsidRPr="00315932">
        <w:rPr>
          <w:b/>
        </w:rPr>
        <w:t>Operación normal del servicio:</w:t>
      </w:r>
      <w:r w:rsidRPr="00315932">
        <w:t xml:space="preserve"> Funcionamiento del servicio dentro de lo previsto (según lo recogido en el acuerdo de nivel de servicio o SLA), de tal forma que el CS no vea interferida su actividad.</w:t>
      </w:r>
    </w:p>
    <w:p w14:paraId="613F8167" w14:textId="5DE8353E" w:rsidR="00621505" w:rsidRPr="00315932" w:rsidRDefault="00621505" w:rsidP="00621505">
      <w:pPr>
        <w:pStyle w:val="IFTnormal"/>
        <w:numPr>
          <w:ilvl w:val="0"/>
          <w:numId w:val="22"/>
        </w:numPr>
      </w:pPr>
      <w:proofErr w:type="gramStart"/>
      <w:r w:rsidRPr="00315932">
        <w:rPr>
          <w:b/>
        </w:rPr>
        <w:t>Ticket</w:t>
      </w:r>
      <w:proofErr w:type="gramEnd"/>
      <w:r w:rsidRPr="00315932">
        <w:rPr>
          <w:b/>
        </w:rPr>
        <w:t>:</w:t>
      </w:r>
      <w:r w:rsidRPr="00315932">
        <w:t xml:space="preserve"> Ficha de registro de un incidente, será asignado por el centro de atención o el SEG, cada vez que se reporte una incidencia.</w:t>
      </w:r>
    </w:p>
    <w:p w14:paraId="5C543624" w14:textId="77777777" w:rsidR="00E14461" w:rsidRPr="00315932" w:rsidRDefault="00E14461" w:rsidP="00E14461">
      <w:pPr>
        <w:pStyle w:val="IFTnormal"/>
        <w:numPr>
          <w:ilvl w:val="0"/>
          <w:numId w:val="22"/>
        </w:numPr>
      </w:pPr>
      <w:r w:rsidRPr="00315932">
        <w:rPr>
          <w:b/>
        </w:rPr>
        <w:t>Tiempo de resolución:</w:t>
      </w:r>
      <w:r w:rsidRPr="00315932">
        <w:t xml:space="preserve"> Plazo previsto para la solución de incidentes con base en los niveles de servicio establecidos, desde el registro del incidente hasta el cierre del mismo.</w:t>
      </w:r>
    </w:p>
    <w:p w14:paraId="25ADE83C" w14:textId="77777777" w:rsidR="00E14461" w:rsidRPr="00315932" w:rsidRDefault="00E14461" w:rsidP="00E14461">
      <w:pPr>
        <w:pStyle w:val="IFTnormal"/>
      </w:pPr>
      <w:r w:rsidRPr="00315932">
        <w:t>Los plazos para la solución de incidencias se ajustarán a lo establecido en los correspondientes acuerdos de nivel de servicio.</w:t>
      </w:r>
    </w:p>
    <w:p w14:paraId="1BB30184" w14:textId="77777777" w:rsidR="00E14461" w:rsidRPr="00315932" w:rsidRDefault="00E14461" w:rsidP="00E14461">
      <w:pPr>
        <w:pStyle w:val="IFTnormal"/>
      </w:pPr>
      <w:r w:rsidRPr="00315932">
        <w:t>Las incidencias podrán o no ser responsabilidad de Telmex, por lo que dicha circunstancia se precisará en el reporte que para tal efecto se levante mediante un identificador que defina al “concesionario responsable”.</w:t>
      </w:r>
    </w:p>
    <w:p w14:paraId="3D4DF5E0" w14:textId="23B7A9FD" w:rsidR="00E14461" w:rsidRPr="00315932" w:rsidRDefault="00621505" w:rsidP="00E14461">
      <w:pPr>
        <w:pStyle w:val="IFTnormal"/>
      </w:pPr>
      <w:r w:rsidRPr="00315932">
        <w:t xml:space="preserve">Cualquier reporte de falla o incidencia ajeno al alcance de los servicios de la Oferta de Desagregación que no esté relacionado con un daño en la infraestructura </w:t>
      </w:r>
      <w:r w:rsidR="00395201" w:rsidRPr="00315932">
        <w:t xml:space="preserve">de </w:t>
      </w:r>
      <w:r w:rsidRPr="00315932">
        <w:t xml:space="preserve">Telmex se </w:t>
      </w:r>
      <w:r w:rsidRPr="00315932">
        <w:lastRenderedPageBreak/>
        <w:t>considera una falla imputable al CS o de caso fortuito o fuerza mayor</w:t>
      </w:r>
      <w:r w:rsidR="001E3370">
        <w:t xml:space="preserve">, </w:t>
      </w:r>
      <w:r w:rsidR="00921BA0">
        <w:t xml:space="preserve">para lo cual </w:t>
      </w:r>
      <w:r w:rsidR="001E3370">
        <w:t>aplicará cobro</w:t>
      </w:r>
      <w:r w:rsidR="00326F64">
        <w:t xml:space="preserve"> por</w:t>
      </w:r>
      <w:r w:rsidR="005116CA">
        <w:t xml:space="preserve"> atención de</w:t>
      </w:r>
      <w:r w:rsidR="00326F64">
        <w:t xml:space="preserve"> avería inexistente</w:t>
      </w:r>
      <w:r w:rsidR="00CD2515" w:rsidRPr="00315932">
        <w:t>.</w:t>
      </w:r>
    </w:p>
    <w:p w14:paraId="72DE72CE" w14:textId="77777777" w:rsidR="007D1CD2" w:rsidRPr="00315932" w:rsidRDefault="007D1CD2" w:rsidP="00E14461">
      <w:pPr>
        <w:pStyle w:val="IFTnormal"/>
      </w:pPr>
    </w:p>
    <w:p w14:paraId="5AE74045" w14:textId="77777777" w:rsidR="00E14461" w:rsidRPr="00315932" w:rsidRDefault="00E14461" w:rsidP="006B4F14">
      <w:pPr>
        <w:pStyle w:val="Ttulo2"/>
      </w:pPr>
      <w:r w:rsidRPr="00315932">
        <w:t>Contacto</w:t>
      </w:r>
    </w:p>
    <w:p w14:paraId="74998595" w14:textId="42AD9AB5" w:rsidR="00436640" w:rsidRPr="00315932" w:rsidRDefault="00E14461" w:rsidP="00436640">
      <w:pPr>
        <w:pStyle w:val="IFTnormal"/>
      </w:pPr>
      <w:r w:rsidRPr="00315932">
        <w:t xml:space="preserve">Con la finalidad de atender los incidentes que se presenten en los servicios de Desagregación del Bucle Local y Servicios Auxiliares asociados que Telmex suministre a los </w:t>
      </w:r>
      <w:r w:rsidR="00395201" w:rsidRPr="00315932">
        <w:t>CS</w:t>
      </w:r>
      <w:r w:rsidRPr="00315932">
        <w:t xml:space="preserve">, se pone a disposición de estos como </w:t>
      </w:r>
      <w:r w:rsidRPr="00315932">
        <w:rPr>
          <w:b/>
        </w:rPr>
        <w:t>medio principal de contacto el número 01800 4040 734</w:t>
      </w:r>
      <w:r w:rsidR="00436640" w:rsidRPr="00315932">
        <w:t xml:space="preserve"> con cobertura nacional. Todas las incidencias reportadas a través de este medio quedarán registradas en el SEG para control</w:t>
      </w:r>
      <w:r w:rsidR="00BD4D12" w:rsidRPr="00315932">
        <w:t>, consulta</w:t>
      </w:r>
      <w:r w:rsidR="00436640" w:rsidRPr="00315932">
        <w:t xml:space="preserve"> y seguimiento de </w:t>
      </w:r>
      <w:proofErr w:type="gramStart"/>
      <w:r w:rsidR="00436640" w:rsidRPr="00315932">
        <w:t>las mismas</w:t>
      </w:r>
      <w:proofErr w:type="gramEnd"/>
      <w:r w:rsidR="00436640" w:rsidRPr="00315932">
        <w:t>.</w:t>
      </w:r>
    </w:p>
    <w:p w14:paraId="40A6A242" w14:textId="3FFA9A66" w:rsidR="00E14461" w:rsidRPr="00315932" w:rsidRDefault="00E14461" w:rsidP="00436640">
      <w:pPr>
        <w:pStyle w:val="IFTnormal"/>
      </w:pPr>
      <w:r w:rsidRPr="00315932">
        <w:t xml:space="preserve">Adicionalmente, los CS podrán levantar y registrar incidencias a través del SEG </w:t>
      </w:r>
      <w:r w:rsidR="00F1277B">
        <w:t>y en caso de falla del SEG, a través del</w:t>
      </w:r>
      <w:r w:rsidR="00F1277B" w:rsidRPr="00F1277B">
        <w:t xml:space="preserve"> </w:t>
      </w:r>
      <w:r w:rsidR="00F1277B" w:rsidRPr="00315932">
        <w:t>correo electrónico OPERDES@telmex.com</w:t>
      </w:r>
      <w:r w:rsidR="00921BA0">
        <w:t>.</w:t>
      </w:r>
    </w:p>
    <w:p w14:paraId="53ABA501" w14:textId="13F1C92D" w:rsidR="008F6FFD" w:rsidRPr="00315932" w:rsidRDefault="008F6FFD" w:rsidP="008F6FFD">
      <w:pPr>
        <w:pStyle w:val="IFTnormal"/>
      </w:pPr>
      <w:r w:rsidRPr="00315932">
        <w:t>Las fallas o incidencias relacionadas con SRL serán reportadas por el usuario final al CS mediante una llamada a su centro de atención telefónico</w:t>
      </w:r>
      <w:r w:rsidR="001164C4" w:rsidRPr="00315932">
        <w:t>. A</w:t>
      </w:r>
      <w:r w:rsidRPr="00315932">
        <w:t xml:space="preserve"> solicitud del CS Telmex habilitará el Servicio 050 donde únicamente transferirá la llamada al CS, quien a su vez atenderá al cliente final, será responsable de levantar el reporte de la falla a Telmex en el 01800 4040 734</w:t>
      </w:r>
      <w:r w:rsidR="009C1CB6">
        <w:t xml:space="preserve"> y/o</w:t>
      </w:r>
      <w:r w:rsidR="005263F3">
        <w:t xml:space="preserve"> </w:t>
      </w:r>
      <w:r w:rsidRPr="00315932">
        <w:t xml:space="preserve">en el SEG y podrá dar seguimiento a su atención y solución a través de los procedimientos establecidos en el presente Anexo. </w:t>
      </w:r>
    </w:p>
    <w:p w14:paraId="7AE5E7D5" w14:textId="77777777" w:rsidR="008F6FFD" w:rsidRPr="00315932" w:rsidRDefault="008F6FFD" w:rsidP="008F6FFD">
      <w:pPr>
        <w:pStyle w:val="IFTnormal"/>
      </w:pPr>
      <w:r w:rsidRPr="00315932">
        <w:t>Cabe señalar que la atención de la llamada al 050 por parte de los clientes finales del CS se atenderá en las mismas condiciones de enrutamiento y encolamiento con que hoy se atienden los clientes de Telmex.</w:t>
      </w:r>
    </w:p>
    <w:p w14:paraId="60FBD9BA" w14:textId="77777777" w:rsidR="003464AF" w:rsidRPr="00315932" w:rsidRDefault="00E14461" w:rsidP="00436640">
      <w:pPr>
        <w:pStyle w:val="IFTnormal"/>
      </w:pPr>
      <w:r w:rsidRPr="00315932">
        <w:t>Los puntos de contacto anteriores estarán disponibles 7x24 horas los 365 días del año, a efecto de que el CS pueda realizar las actividades derivadas de la gestión de incidencias.</w:t>
      </w:r>
    </w:p>
    <w:p w14:paraId="38DC9E72" w14:textId="77777777" w:rsidR="006905B2" w:rsidRPr="00315932" w:rsidRDefault="006905B2" w:rsidP="00475A17">
      <w:pPr>
        <w:pStyle w:val="Texto1"/>
        <w:spacing w:after="200" w:line="276" w:lineRule="auto"/>
        <w:ind w:left="0"/>
        <w:rPr>
          <w:rFonts w:ascii="ITC Avant Garde" w:hAnsi="ITC Avant Garde"/>
          <w:sz w:val="22"/>
          <w:szCs w:val="22"/>
        </w:rPr>
      </w:pPr>
    </w:p>
    <w:p w14:paraId="02B74825" w14:textId="77777777" w:rsidR="00C0777C" w:rsidRPr="00315932" w:rsidRDefault="00C0777C" w:rsidP="006B4F14">
      <w:pPr>
        <w:pStyle w:val="Ttulo2"/>
      </w:pPr>
      <w:r w:rsidRPr="00315932">
        <w:t>Verificación previa al reporte de incidencias</w:t>
      </w:r>
    </w:p>
    <w:p w14:paraId="4C5766EB" w14:textId="47F561DC" w:rsidR="008B5722" w:rsidRPr="00315932" w:rsidRDefault="00C0777C" w:rsidP="00475A17">
      <w:pPr>
        <w:pStyle w:val="Texto1"/>
        <w:spacing w:after="200" w:line="276" w:lineRule="auto"/>
        <w:ind w:left="0"/>
        <w:rPr>
          <w:rFonts w:ascii="ITC Avant Garde" w:hAnsi="ITC Avant Garde"/>
          <w:sz w:val="22"/>
          <w:szCs w:val="22"/>
        </w:rPr>
      </w:pPr>
      <w:r w:rsidRPr="00315932">
        <w:rPr>
          <w:rFonts w:ascii="ITC Avant Garde" w:hAnsi="ITC Avant Garde"/>
          <w:sz w:val="22"/>
          <w:szCs w:val="22"/>
        </w:rPr>
        <w:t>A</w:t>
      </w:r>
      <w:r w:rsidR="008B5722" w:rsidRPr="00315932">
        <w:rPr>
          <w:rFonts w:ascii="ITC Avant Garde" w:hAnsi="ITC Avant Garde"/>
          <w:sz w:val="22"/>
          <w:szCs w:val="22"/>
        </w:rPr>
        <w:t xml:space="preserve">ntes de </w:t>
      </w:r>
      <w:r w:rsidRPr="00315932">
        <w:rPr>
          <w:rFonts w:ascii="ITC Avant Garde" w:hAnsi="ITC Avant Garde"/>
          <w:sz w:val="22"/>
          <w:szCs w:val="22"/>
        </w:rPr>
        <w:t>reportar alguna i</w:t>
      </w:r>
      <w:r w:rsidR="008B5722" w:rsidRPr="00315932">
        <w:rPr>
          <w:rFonts w:ascii="ITC Avant Garde" w:hAnsi="ITC Avant Garde"/>
          <w:sz w:val="22"/>
          <w:szCs w:val="22"/>
        </w:rPr>
        <w:t>ncidencia</w:t>
      </w:r>
      <w:r w:rsidRPr="00315932">
        <w:rPr>
          <w:rFonts w:ascii="ITC Avant Garde" w:hAnsi="ITC Avant Garde"/>
          <w:sz w:val="22"/>
          <w:szCs w:val="22"/>
        </w:rPr>
        <w:t xml:space="preserve"> relacionada con cualquier servicio de desagregación, el CS o Telmex</w:t>
      </w:r>
      <w:r w:rsidR="008B5722" w:rsidRPr="00315932">
        <w:rPr>
          <w:rFonts w:ascii="ITC Avant Garde" w:hAnsi="ITC Avant Garde"/>
          <w:sz w:val="22"/>
          <w:szCs w:val="22"/>
        </w:rPr>
        <w:t xml:space="preserve"> según aplique</w:t>
      </w:r>
      <w:r w:rsidRPr="00315932">
        <w:rPr>
          <w:rFonts w:ascii="ITC Avant Garde" w:hAnsi="ITC Avant Garde"/>
          <w:sz w:val="22"/>
          <w:szCs w:val="22"/>
        </w:rPr>
        <w:t>,</w:t>
      </w:r>
      <w:r w:rsidR="008B5722" w:rsidRPr="00315932">
        <w:rPr>
          <w:rFonts w:ascii="ITC Avant Garde" w:hAnsi="ITC Avant Garde"/>
          <w:sz w:val="22"/>
          <w:szCs w:val="22"/>
        </w:rPr>
        <w:t xml:space="preserve"> deberán comprobar previamente que la incidencia no obedece a una falla de su propia red</w:t>
      </w:r>
      <w:r w:rsidR="00E567F0">
        <w:rPr>
          <w:rFonts w:ascii="ITC Avant Garde" w:hAnsi="ITC Avant Garde"/>
          <w:sz w:val="22"/>
          <w:szCs w:val="22"/>
        </w:rPr>
        <w:t xml:space="preserve"> o alguna otra situación</w:t>
      </w:r>
      <w:r w:rsidR="008B5722" w:rsidRPr="00315932">
        <w:rPr>
          <w:rFonts w:ascii="ITC Avant Garde" w:hAnsi="ITC Avant Garde"/>
          <w:sz w:val="22"/>
          <w:szCs w:val="22"/>
        </w:rPr>
        <w:t>, por ejemplo:</w:t>
      </w:r>
    </w:p>
    <w:p w14:paraId="5014170B" w14:textId="77777777" w:rsidR="008B5722" w:rsidRPr="00315932" w:rsidRDefault="008B5722" w:rsidP="00C0777C">
      <w:pPr>
        <w:pStyle w:val="IFTnormal"/>
        <w:numPr>
          <w:ilvl w:val="0"/>
          <w:numId w:val="23"/>
        </w:numPr>
      </w:pPr>
      <w:r w:rsidRPr="00315932">
        <w:t xml:space="preserve">Mal funcionamiento de los elementos de red del </w:t>
      </w:r>
      <w:r w:rsidR="00C0777C" w:rsidRPr="00315932">
        <w:t>CS o de</w:t>
      </w:r>
      <w:r w:rsidRPr="00315932">
        <w:t xml:space="preserve"> Telmex, según aplique.</w:t>
      </w:r>
    </w:p>
    <w:p w14:paraId="2DC4F164" w14:textId="77777777" w:rsidR="008B5722" w:rsidRPr="00315932" w:rsidRDefault="008B5722" w:rsidP="00C0777C">
      <w:pPr>
        <w:pStyle w:val="IFTnormal"/>
        <w:numPr>
          <w:ilvl w:val="0"/>
          <w:numId w:val="23"/>
        </w:numPr>
      </w:pPr>
      <w:r w:rsidRPr="00315932">
        <w:t xml:space="preserve">Defectos, anomalías o interferencias en la red o instalaciones </w:t>
      </w:r>
      <w:r w:rsidR="00C0777C" w:rsidRPr="00315932">
        <w:t>de</w:t>
      </w:r>
      <w:r w:rsidRPr="00315932">
        <w:t xml:space="preserve"> Telmex, </w:t>
      </w:r>
      <w:r w:rsidR="00C0777C" w:rsidRPr="00315932">
        <w:t xml:space="preserve">del </w:t>
      </w:r>
      <w:r w:rsidRPr="00315932">
        <w:t>CS o de sus clientes, según aplique.</w:t>
      </w:r>
    </w:p>
    <w:p w14:paraId="776D4E7C" w14:textId="77777777" w:rsidR="008B5722" w:rsidRPr="00315932" w:rsidRDefault="008B5722" w:rsidP="00C0777C">
      <w:pPr>
        <w:pStyle w:val="IFTnormal"/>
        <w:numPr>
          <w:ilvl w:val="0"/>
          <w:numId w:val="23"/>
        </w:numPr>
      </w:pPr>
      <w:r w:rsidRPr="00315932">
        <w:lastRenderedPageBreak/>
        <w:t xml:space="preserve">Configuración incorrecta de los parámetros de red </w:t>
      </w:r>
      <w:r w:rsidR="00C0777C" w:rsidRPr="00315932">
        <w:t>de</w:t>
      </w:r>
      <w:r w:rsidRPr="00315932">
        <w:t xml:space="preserve"> Telmex o </w:t>
      </w:r>
      <w:r w:rsidR="00C0777C" w:rsidRPr="00315932">
        <w:t xml:space="preserve">del </w:t>
      </w:r>
      <w:r w:rsidRPr="00315932">
        <w:t>CS, según aplique.</w:t>
      </w:r>
    </w:p>
    <w:p w14:paraId="3768DDFD" w14:textId="2678F133" w:rsidR="008B5722" w:rsidRDefault="00C0777C" w:rsidP="00C0777C">
      <w:pPr>
        <w:pStyle w:val="IFTnormal"/>
        <w:numPr>
          <w:ilvl w:val="0"/>
          <w:numId w:val="23"/>
        </w:numPr>
      </w:pPr>
      <w:r w:rsidRPr="00315932">
        <w:t>Equipos</w:t>
      </w:r>
      <w:r w:rsidR="008B5722" w:rsidRPr="00315932">
        <w:t xml:space="preserve"> de fuerza </w:t>
      </w:r>
      <w:r w:rsidRPr="00315932">
        <w:t>apagados o sitio sin energía eléctrica.</w:t>
      </w:r>
    </w:p>
    <w:p w14:paraId="08C9FB30" w14:textId="5A3A3C32" w:rsidR="00E567F0" w:rsidRPr="00315932" w:rsidRDefault="00E567F0" w:rsidP="00C0777C">
      <w:pPr>
        <w:pStyle w:val="IFTnormal"/>
        <w:numPr>
          <w:ilvl w:val="0"/>
          <w:numId w:val="23"/>
        </w:numPr>
      </w:pPr>
      <w:r>
        <w:t>No haber solicitado previamente la suspensión del servicio</w:t>
      </w:r>
    </w:p>
    <w:p w14:paraId="4D18FEF6" w14:textId="77777777" w:rsidR="008B5722" w:rsidRPr="00315932" w:rsidRDefault="008B5722" w:rsidP="00475A17">
      <w:pPr>
        <w:pStyle w:val="Texto1"/>
        <w:spacing w:after="200" w:line="276" w:lineRule="auto"/>
        <w:ind w:left="0"/>
        <w:rPr>
          <w:rFonts w:ascii="ITC Avant Garde" w:hAnsi="ITC Avant Garde"/>
          <w:sz w:val="22"/>
          <w:szCs w:val="22"/>
        </w:rPr>
      </w:pPr>
      <w:r w:rsidRPr="00315932">
        <w:rPr>
          <w:rFonts w:ascii="ITC Avant Garde" w:hAnsi="ITC Avant Garde"/>
          <w:sz w:val="22"/>
          <w:szCs w:val="22"/>
        </w:rPr>
        <w:t xml:space="preserve">Al levantar el reporte de </w:t>
      </w:r>
      <w:r w:rsidR="00BD5192" w:rsidRPr="00315932">
        <w:rPr>
          <w:rFonts w:ascii="ITC Avant Garde" w:hAnsi="ITC Avant Garde"/>
          <w:sz w:val="22"/>
          <w:szCs w:val="22"/>
        </w:rPr>
        <w:t>incid</w:t>
      </w:r>
      <w:r w:rsidR="00AD2338" w:rsidRPr="00315932">
        <w:rPr>
          <w:rFonts w:ascii="ITC Avant Garde" w:hAnsi="ITC Avant Garde"/>
          <w:sz w:val="22"/>
          <w:szCs w:val="22"/>
        </w:rPr>
        <w:t>encia</w:t>
      </w:r>
      <w:r w:rsidRPr="00315932">
        <w:rPr>
          <w:rFonts w:ascii="ITC Avant Garde" w:hAnsi="ITC Avant Garde"/>
          <w:sz w:val="22"/>
          <w:szCs w:val="22"/>
        </w:rPr>
        <w:t xml:space="preserve"> el CS o Telmex, según aplique, deberán informar concretamente la falla y las comprobaciones realizadas en sus elementos de red que tengan relación con el servicio proporcionado por Telmex.</w:t>
      </w:r>
    </w:p>
    <w:p w14:paraId="52FA0B38" w14:textId="77777777" w:rsidR="008B5722" w:rsidRPr="00315932" w:rsidRDefault="00AD2338" w:rsidP="00475A17">
      <w:pPr>
        <w:pStyle w:val="Texto1"/>
        <w:spacing w:after="200" w:line="276" w:lineRule="auto"/>
        <w:ind w:left="0"/>
        <w:rPr>
          <w:rFonts w:ascii="ITC Avant Garde" w:hAnsi="ITC Avant Garde"/>
          <w:sz w:val="22"/>
          <w:szCs w:val="22"/>
        </w:rPr>
      </w:pPr>
      <w:r w:rsidRPr="00315932">
        <w:rPr>
          <w:rFonts w:ascii="ITC Avant Garde" w:hAnsi="ITC Avant Garde"/>
          <w:sz w:val="22"/>
          <w:szCs w:val="22"/>
        </w:rPr>
        <w:t>En</w:t>
      </w:r>
      <w:r w:rsidR="008B5722" w:rsidRPr="00315932">
        <w:rPr>
          <w:rFonts w:ascii="ITC Avant Garde" w:hAnsi="ITC Avant Garde"/>
          <w:sz w:val="22"/>
          <w:szCs w:val="22"/>
        </w:rPr>
        <w:t xml:space="preserve"> el caso de los servicios de desagregación</w:t>
      </w:r>
      <w:r w:rsidRPr="00315932">
        <w:rPr>
          <w:rFonts w:ascii="ITC Avant Garde" w:hAnsi="ITC Avant Garde"/>
          <w:sz w:val="22"/>
          <w:szCs w:val="22"/>
        </w:rPr>
        <w:t>, es recomendable</w:t>
      </w:r>
      <w:r w:rsidR="008B5722" w:rsidRPr="00315932">
        <w:rPr>
          <w:rFonts w:ascii="ITC Avant Garde" w:hAnsi="ITC Avant Garde"/>
          <w:sz w:val="22"/>
          <w:szCs w:val="22"/>
        </w:rPr>
        <w:t xml:space="preserve"> seguir una lista de puntos para la comprobación del estado de los equipos de red y los equipos e instalación en el domicilio del suscriptor, </w:t>
      </w:r>
      <w:r w:rsidRPr="00315932">
        <w:rPr>
          <w:rFonts w:ascii="ITC Avant Garde" w:hAnsi="ITC Avant Garde"/>
          <w:sz w:val="22"/>
          <w:szCs w:val="22"/>
        </w:rPr>
        <w:t>por lo que de manera enunciativa mas no limitativa,</w:t>
      </w:r>
      <w:r w:rsidR="008B5722" w:rsidRPr="00315932">
        <w:rPr>
          <w:rFonts w:ascii="ITC Avant Garde" w:hAnsi="ITC Avant Garde"/>
          <w:sz w:val="22"/>
          <w:szCs w:val="22"/>
        </w:rPr>
        <w:t xml:space="preserve"> se muestra a continuación una lista de </w:t>
      </w:r>
      <w:r w:rsidRPr="00315932">
        <w:rPr>
          <w:rFonts w:ascii="ITC Avant Garde" w:hAnsi="ITC Avant Garde"/>
          <w:sz w:val="22"/>
          <w:szCs w:val="22"/>
        </w:rPr>
        <w:t>verificaciones previas al reporte de incidencias por tipo de servicio</w:t>
      </w:r>
      <w:r w:rsidR="008B5722" w:rsidRPr="00315932">
        <w:rPr>
          <w:rFonts w:ascii="ITC Avant Garde" w:hAnsi="ITC Avant Garde"/>
          <w:sz w:val="22"/>
          <w:szCs w:val="22"/>
        </w:rPr>
        <w:t>:</w:t>
      </w:r>
    </w:p>
    <w:tbl>
      <w:tblPr>
        <w:tblStyle w:val="Tablaconcuadrcula"/>
        <w:tblW w:w="0" w:type="auto"/>
        <w:tblLook w:val="04A0" w:firstRow="1" w:lastRow="0" w:firstColumn="1" w:lastColumn="0" w:noHBand="0" w:noVBand="1"/>
      </w:tblPr>
      <w:tblGrid>
        <w:gridCol w:w="2802"/>
        <w:gridCol w:w="6176"/>
      </w:tblGrid>
      <w:tr w:rsidR="00AD2338" w:rsidRPr="00315932" w14:paraId="5A4E2B8D" w14:textId="77777777" w:rsidTr="00BE57C3">
        <w:tc>
          <w:tcPr>
            <w:tcW w:w="2802" w:type="dxa"/>
            <w:shd w:val="clear" w:color="auto" w:fill="548DD4"/>
          </w:tcPr>
          <w:p w14:paraId="5D8D33BE" w14:textId="77777777" w:rsidR="00AD2338" w:rsidRPr="00315932" w:rsidRDefault="00755621" w:rsidP="00301DC7">
            <w:pPr>
              <w:pStyle w:val="Texto1"/>
              <w:spacing w:after="120"/>
              <w:ind w:left="0"/>
              <w:jc w:val="center"/>
              <w:rPr>
                <w:rFonts w:ascii="ITC Avant Garde" w:hAnsi="ITC Avant Garde"/>
                <w:b/>
                <w:color w:val="FFFFFF" w:themeColor="background1"/>
              </w:rPr>
            </w:pPr>
            <w:r w:rsidRPr="00315932">
              <w:rPr>
                <w:rFonts w:ascii="ITC Avant Garde" w:hAnsi="ITC Avant Garde"/>
                <w:b/>
                <w:color w:val="FFFFFF" w:themeColor="background1"/>
              </w:rPr>
              <w:t>Servicio</w:t>
            </w:r>
          </w:p>
        </w:tc>
        <w:tc>
          <w:tcPr>
            <w:tcW w:w="6176" w:type="dxa"/>
            <w:shd w:val="clear" w:color="auto" w:fill="548DD4"/>
          </w:tcPr>
          <w:p w14:paraId="0D06D60B" w14:textId="77777777" w:rsidR="00AD2338" w:rsidRPr="00315932" w:rsidRDefault="00755621" w:rsidP="00301DC7">
            <w:pPr>
              <w:pStyle w:val="Texto1"/>
              <w:spacing w:after="120"/>
              <w:ind w:left="0"/>
              <w:jc w:val="center"/>
              <w:rPr>
                <w:rFonts w:ascii="ITC Avant Garde" w:hAnsi="ITC Avant Garde"/>
                <w:b/>
                <w:color w:val="FFFFFF" w:themeColor="background1"/>
              </w:rPr>
            </w:pPr>
            <w:r w:rsidRPr="00315932">
              <w:rPr>
                <w:rFonts w:ascii="ITC Avant Garde" w:hAnsi="ITC Avant Garde"/>
                <w:b/>
                <w:color w:val="FFFFFF" w:themeColor="background1"/>
              </w:rPr>
              <w:t>Verificaciones Previas</w:t>
            </w:r>
          </w:p>
        </w:tc>
      </w:tr>
      <w:tr w:rsidR="00AD2338" w:rsidRPr="00315932" w14:paraId="3C3CB22B" w14:textId="77777777" w:rsidTr="00BE57C3">
        <w:tc>
          <w:tcPr>
            <w:tcW w:w="2802" w:type="dxa"/>
            <w:vAlign w:val="center"/>
          </w:tcPr>
          <w:p w14:paraId="03E9ABF9" w14:textId="77777777" w:rsidR="00AD2338" w:rsidRPr="00315932" w:rsidRDefault="00755621" w:rsidP="00301DC7">
            <w:pPr>
              <w:pStyle w:val="Texto1"/>
              <w:spacing w:after="120"/>
              <w:ind w:left="0"/>
              <w:jc w:val="left"/>
              <w:rPr>
                <w:rFonts w:ascii="ITC Avant Garde" w:hAnsi="ITC Avant Garde"/>
                <w:b/>
              </w:rPr>
            </w:pPr>
            <w:r w:rsidRPr="00315932">
              <w:rPr>
                <w:rFonts w:ascii="ITC Avant Garde" w:hAnsi="ITC Avant Garde"/>
                <w:b/>
              </w:rPr>
              <w:t>Reventa de Línea Telefónica</w:t>
            </w:r>
          </w:p>
        </w:tc>
        <w:tc>
          <w:tcPr>
            <w:tcW w:w="6176" w:type="dxa"/>
          </w:tcPr>
          <w:p w14:paraId="36772A94"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El aparato telefónico está debidamente colgado y conectado al PCT (DIT).</w:t>
            </w:r>
          </w:p>
          <w:p w14:paraId="14A92F4F" w14:textId="3EA8C9B1"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Todas las extensiones estén colgadas y correctamente conectadas</w:t>
            </w:r>
            <w:r w:rsidR="00290D45">
              <w:rPr>
                <w:rFonts w:ascii="ITC Avant Garde" w:hAnsi="ITC Avant Garde"/>
              </w:rPr>
              <w:t>.</w:t>
            </w:r>
          </w:p>
          <w:p w14:paraId="39889E60"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En el caso de teléfonos inalámbricos que éstos se encuentren conectados a la corriente eléctrica.</w:t>
            </w:r>
          </w:p>
          <w:p w14:paraId="493096F3"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Revisar que no existan fallas en el cableado interior en el domicilio del cliente.</w:t>
            </w:r>
          </w:p>
          <w:p w14:paraId="681BCC74" w14:textId="6C4E5314"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Servicio Digital que no funciona</w:t>
            </w:r>
            <w:r w:rsidR="00290D45">
              <w:rPr>
                <w:rFonts w:ascii="ITC Avant Garde" w:hAnsi="ITC Avant Garde"/>
              </w:rPr>
              <w:t>.</w:t>
            </w:r>
          </w:p>
          <w:p w14:paraId="0D7F78BA" w14:textId="13D626EC"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Marcación a la cual no se puede marcar o recibir llamadas</w:t>
            </w:r>
            <w:r w:rsidR="00290D45">
              <w:rPr>
                <w:rFonts w:ascii="ITC Avant Garde" w:hAnsi="ITC Avant Garde"/>
              </w:rPr>
              <w:t>.</w:t>
            </w:r>
          </w:p>
          <w:p w14:paraId="29F1C104" w14:textId="77777777" w:rsidR="00AD2338"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Servicios contratados</w:t>
            </w:r>
          </w:p>
          <w:p w14:paraId="6AA67302" w14:textId="5B9B4D5C" w:rsidR="009C1CB6" w:rsidRDefault="009C1CB6" w:rsidP="009C1CB6">
            <w:pPr>
              <w:pStyle w:val="Texto1"/>
              <w:spacing w:after="120"/>
              <w:ind w:left="317"/>
              <w:rPr>
                <w:rFonts w:ascii="ITC Avant Garde" w:hAnsi="ITC Avant Garde"/>
              </w:rPr>
            </w:pPr>
            <w:r>
              <w:rPr>
                <w:rFonts w:ascii="ITC Avant Garde" w:hAnsi="ITC Avant Garde"/>
              </w:rPr>
              <w:t>Para Voz sobre Internet:</w:t>
            </w:r>
          </w:p>
          <w:p w14:paraId="7364BDFA" w14:textId="77777777" w:rsidR="009C1CB6" w:rsidRPr="00315932" w:rsidRDefault="009C1CB6" w:rsidP="009C1CB6">
            <w:pPr>
              <w:pStyle w:val="Texto1"/>
              <w:numPr>
                <w:ilvl w:val="0"/>
                <w:numId w:val="24"/>
              </w:numPr>
              <w:spacing w:after="120"/>
              <w:ind w:left="317"/>
              <w:rPr>
                <w:rFonts w:ascii="ITC Avant Garde" w:hAnsi="ITC Avant Garde"/>
              </w:rPr>
            </w:pPr>
            <w:r w:rsidRPr="00315932">
              <w:rPr>
                <w:rFonts w:ascii="ITC Avant Garde" w:hAnsi="ITC Avant Garde"/>
              </w:rPr>
              <w:t>Equipo terminal encendido y debidamente conectado a la corriente eléctrica y al PCT.</w:t>
            </w:r>
          </w:p>
          <w:p w14:paraId="6E473156" w14:textId="48BD5B08" w:rsidR="009C1CB6" w:rsidRPr="009C1CB6" w:rsidRDefault="009C1CB6" w:rsidP="009C1CB6">
            <w:pPr>
              <w:pStyle w:val="Texto1"/>
              <w:numPr>
                <w:ilvl w:val="0"/>
                <w:numId w:val="24"/>
              </w:numPr>
              <w:spacing w:after="120"/>
              <w:ind w:left="317"/>
              <w:rPr>
                <w:rFonts w:ascii="ITC Avant Garde" w:hAnsi="ITC Avant Garde"/>
              </w:rPr>
            </w:pPr>
            <w:r w:rsidRPr="00315932">
              <w:rPr>
                <w:rFonts w:ascii="ITC Avant Garde" w:hAnsi="ITC Avant Garde"/>
              </w:rPr>
              <w:t>Si se utiliza una conexión alámbrica (cableado de red) revisar que esté en buenas condiciones.</w:t>
            </w:r>
          </w:p>
        </w:tc>
      </w:tr>
      <w:tr w:rsidR="00AD2338" w:rsidRPr="00315932" w14:paraId="1ACECF95" w14:textId="77777777" w:rsidTr="00BE57C3">
        <w:tc>
          <w:tcPr>
            <w:tcW w:w="2802" w:type="dxa"/>
            <w:vAlign w:val="center"/>
          </w:tcPr>
          <w:p w14:paraId="7F8BF442" w14:textId="77777777" w:rsidR="00AD2338" w:rsidRPr="00315932" w:rsidRDefault="00755621" w:rsidP="00301DC7">
            <w:pPr>
              <w:pStyle w:val="Texto1"/>
              <w:spacing w:after="120"/>
              <w:ind w:left="0"/>
              <w:jc w:val="left"/>
              <w:rPr>
                <w:rFonts w:ascii="ITC Avant Garde" w:hAnsi="ITC Avant Garde"/>
                <w:b/>
              </w:rPr>
            </w:pPr>
            <w:r w:rsidRPr="00315932">
              <w:rPr>
                <w:rFonts w:ascii="ITC Avant Garde" w:hAnsi="ITC Avant Garde"/>
                <w:b/>
              </w:rPr>
              <w:t>Reventa de Internet</w:t>
            </w:r>
            <w:r w:rsidR="00FE26D9" w:rsidRPr="00315932">
              <w:rPr>
                <w:rFonts w:ascii="ITC Avant Garde" w:hAnsi="ITC Avant Garde"/>
                <w:b/>
              </w:rPr>
              <w:t xml:space="preserve"> y Paquetes</w:t>
            </w:r>
          </w:p>
        </w:tc>
        <w:tc>
          <w:tcPr>
            <w:tcW w:w="6176" w:type="dxa"/>
          </w:tcPr>
          <w:p w14:paraId="3726839C" w14:textId="4FFF1560"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Equipo terminal encendido y debidamente conectado a la corriente eléctrica y al PCT</w:t>
            </w:r>
            <w:r w:rsidR="00E6023E" w:rsidRPr="00E6023E">
              <w:rPr>
                <w:rStyle w:val="Refdenotaalpie"/>
              </w:rPr>
              <w:footnoteReference w:id="1"/>
            </w:r>
            <w:r w:rsidRPr="00315932">
              <w:rPr>
                <w:rFonts w:ascii="ITC Avant Garde" w:hAnsi="ITC Avant Garde"/>
              </w:rPr>
              <w:t>.</w:t>
            </w:r>
          </w:p>
          <w:p w14:paraId="5B93C66C"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Si la conexión es "alámbrica" (cable de red), revisar que está conectado debidamente al equipo de cómputo.</w:t>
            </w:r>
          </w:p>
          <w:p w14:paraId="4F2FF367"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Configuración del navegador correcta.</w:t>
            </w:r>
          </w:p>
          <w:p w14:paraId="7D998BE8"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lastRenderedPageBreak/>
              <w:t>Revisar el equipo de cómputo (pc o laptop) y descartar problemas tales como: infección por virus, desempeño lento debido a falta de memoria o espacio disponible en su disco duro.</w:t>
            </w:r>
          </w:p>
          <w:p w14:paraId="06994D27" w14:textId="14B4C982"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Si se emplea una computadora portátil, asegurarse que el indicador de la conexión inalámbrica esté encendido</w:t>
            </w:r>
            <w:r w:rsidR="009C1CB6">
              <w:rPr>
                <w:rFonts w:ascii="ITC Avant Garde" w:hAnsi="ITC Avant Garde"/>
              </w:rPr>
              <w:t>, tanto en la computadora como en el módem u ONT</w:t>
            </w:r>
            <w:r w:rsidRPr="00315932">
              <w:rPr>
                <w:rFonts w:ascii="ITC Avant Garde" w:hAnsi="ITC Avant Garde"/>
              </w:rPr>
              <w:t>.</w:t>
            </w:r>
          </w:p>
          <w:p w14:paraId="42318D09"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Si se utiliza una conexión alámbrica (cableado de red) revisar que esté en buenas condiciones.</w:t>
            </w:r>
          </w:p>
          <w:p w14:paraId="3FF2AB94" w14:textId="77777777" w:rsidR="00FE26D9" w:rsidRPr="00315932" w:rsidRDefault="00FE26D9" w:rsidP="00301DC7">
            <w:pPr>
              <w:pStyle w:val="Texto1"/>
              <w:numPr>
                <w:ilvl w:val="0"/>
                <w:numId w:val="24"/>
              </w:numPr>
              <w:spacing w:after="120"/>
              <w:ind w:left="317"/>
              <w:rPr>
                <w:rFonts w:ascii="ITC Avant Garde" w:hAnsi="ITC Avant Garde"/>
              </w:rPr>
            </w:pPr>
            <w:r w:rsidRPr="00315932">
              <w:rPr>
                <w:rFonts w:ascii="ITC Avant Garde" w:hAnsi="ITC Avant Garde"/>
              </w:rPr>
              <w:t>Revisar que no existan fallas en el cableado interior en el domicilio del cliente.</w:t>
            </w:r>
          </w:p>
          <w:p w14:paraId="5BAD1A17" w14:textId="05452C13" w:rsidR="00E567F0" w:rsidRPr="00E567F0" w:rsidRDefault="00FE26D9" w:rsidP="00E567F0">
            <w:pPr>
              <w:pStyle w:val="Texto1"/>
              <w:numPr>
                <w:ilvl w:val="0"/>
                <w:numId w:val="24"/>
              </w:numPr>
              <w:spacing w:after="120"/>
              <w:ind w:left="317"/>
              <w:rPr>
                <w:rFonts w:ascii="ITC Avant Garde" w:hAnsi="ITC Avant Garde"/>
              </w:rPr>
            </w:pPr>
            <w:r w:rsidRPr="00315932">
              <w:rPr>
                <w:rFonts w:ascii="ITC Avant Garde" w:hAnsi="ITC Avant Garde"/>
              </w:rPr>
              <w:t>En caso de que el servicio se provea por fibra óptica el CS deberá probar la potencia, cuyo valor deberá ser &gt; -28 dBm (como referencia y de manera enunciativa mas no limitativa podrá utilizar los equipos que Telmex usa en su operación actual como lo son el GRP-450, HP3-60 ó EPM-53-PMA-54). Este parámetro está basado en el estándar G.984.2 de la UIT-T y considera una prueba funcional entre la OLT y el PCT en la ONT.</w:t>
            </w:r>
          </w:p>
        </w:tc>
      </w:tr>
      <w:tr w:rsidR="00F1277B" w:rsidRPr="00315932" w14:paraId="66421FA8" w14:textId="77777777" w:rsidTr="00BE57C3">
        <w:tc>
          <w:tcPr>
            <w:tcW w:w="2802" w:type="dxa"/>
            <w:vAlign w:val="center"/>
          </w:tcPr>
          <w:p w14:paraId="28335EF3" w14:textId="77777777" w:rsidR="00F1277B" w:rsidRPr="00564B46" w:rsidRDefault="00F1277B" w:rsidP="00E11E17">
            <w:pPr>
              <w:pStyle w:val="Texto1"/>
              <w:spacing w:after="120"/>
              <w:ind w:left="0"/>
              <w:jc w:val="left"/>
              <w:rPr>
                <w:rFonts w:ascii="ITC Avant Garde" w:hAnsi="ITC Avant Garde"/>
              </w:rPr>
            </w:pPr>
            <w:r w:rsidRPr="00564B46">
              <w:rPr>
                <w:rFonts w:ascii="ITC Avant Garde" w:hAnsi="ITC Avant Garde"/>
              </w:rPr>
              <w:lastRenderedPageBreak/>
              <w:t>Reventa Mayorista de Línea Telefónica</w:t>
            </w:r>
          </w:p>
        </w:tc>
        <w:tc>
          <w:tcPr>
            <w:tcW w:w="6176" w:type="dxa"/>
          </w:tcPr>
          <w:p w14:paraId="55CE525D" w14:textId="77777777"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El aparato telefónico está debidamente colgado y conectado al PCT (DIT).</w:t>
            </w:r>
          </w:p>
          <w:p w14:paraId="673A9B91" w14:textId="77777777"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Todas las extensiones estén colgadas y correctamente conectadas</w:t>
            </w:r>
            <w:r>
              <w:rPr>
                <w:rFonts w:ascii="ITC Avant Garde" w:hAnsi="ITC Avant Garde"/>
              </w:rPr>
              <w:t>.</w:t>
            </w:r>
          </w:p>
          <w:p w14:paraId="4E6EE516" w14:textId="77777777"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En el caso de teléfonos inalámbricos que éstos se encuentren conectados a la corriente eléctrica.</w:t>
            </w:r>
          </w:p>
          <w:p w14:paraId="0F576DEA" w14:textId="77777777"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Revisar que no existan fallas en el cableado interior en el domicilio del cliente.</w:t>
            </w:r>
          </w:p>
          <w:p w14:paraId="28205338" w14:textId="0A817D51"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Servicio Digital que no funciona</w:t>
            </w:r>
            <w:r w:rsidR="006073BA">
              <w:rPr>
                <w:rFonts w:ascii="ITC Avant Garde" w:hAnsi="ITC Avant Garde"/>
              </w:rPr>
              <w:t>.</w:t>
            </w:r>
          </w:p>
          <w:p w14:paraId="7B25616F" w14:textId="24B15149" w:rsidR="00F1277B" w:rsidRPr="00315932"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Marcación a la cual no se puede marcar o recibir llamadas</w:t>
            </w:r>
            <w:r w:rsidR="006073BA">
              <w:rPr>
                <w:rFonts w:ascii="ITC Avant Garde" w:hAnsi="ITC Avant Garde"/>
              </w:rPr>
              <w:t>.</w:t>
            </w:r>
          </w:p>
          <w:p w14:paraId="6417D436" w14:textId="41883496" w:rsidR="00F1277B" w:rsidRDefault="00F1277B" w:rsidP="00F1277B">
            <w:pPr>
              <w:pStyle w:val="Texto1"/>
              <w:numPr>
                <w:ilvl w:val="0"/>
                <w:numId w:val="24"/>
              </w:numPr>
              <w:spacing w:after="120"/>
              <w:ind w:left="317"/>
              <w:rPr>
                <w:rFonts w:ascii="ITC Avant Garde" w:hAnsi="ITC Avant Garde"/>
              </w:rPr>
            </w:pPr>
            <w:r w:rsidRPr="00315932">
              <w:rPr>
                <w:rFonts w:ascii="ITC Avant Garde" w:hAnsi="ITC Avant Garde"/>
              </w:rPr>
              <w:t>Servicios contratados</w:t>
            </w:r>
            <w:r w:rsidR="006073BA">
              <w:rPr>
                <w:rFonts w:ascii="ITC Avant Garde" w:hAnsi="ITC Avant Garde"/>
              </w:rPr>
              <w:t>.</w:t>
            </w:r>
          </w:p>
          <w:p w14:paraId="0135033F" w14:textId="77777777" w:rsidR="00F1277B" w:rsidRDefault="00F1277B" w:rsidP="00E11E17">
            <w:pPr>
              <w:pStyle w:val="Texto1"/>
              <w:spacing w:after="120"/>
              <w:ind w:left="-43"/>
              <w:rPr>
                <w:rFonts w:ascii="ITC Avant Garde" w:hAnsi="ITC Avant Garde"/>
              </w:rPr>
            </w:pPr>
            <w:r>
              <w:rPr>
                <w:rFonts w:ascii="ITC Avant Garde" w:hAnsi="ITC Avant Garde"/>
              </w:rPr>
              <w:t>Nota:</w:t>
            </w:r>
          </w:p>
          <w:p w14:paraId="69CA4361" w14:textId="2FE2B48C" w:rsidR="00F1277B" w:rsidRDefault="00F1277B" w:rsidP="00E11E17">
            <w:pPr>
              <w:pStyle w:val="Texto1"/>
              <w:spacing w:after="120"/>
              <w:ind w:left="-43"/>
              <w:rPr>
                <w:rFonts w:ascii="ITC Avant Garde" w:hAnsi="ITC Avant Garde"/>
              </w:rPr>
            </w:pPr>
            <w:r>
              <w:rPr>
                <w:rFonts w:ascii="ITC Avant Garde" w:hAnsi="ITC Avant Garde"/>
              </w:rPr>
              <w:t>*</w:t>
            </w:r>
            <w:r w:rsidRPr="00564B46">
              <w:rPr>
                <w:rFonts w:ascii="ITC Avant Garde" w:hAnsi="ITC Avant Garde"/>
              </w:rPr>
              <w:t>La atención de incidencias para las Reventas Mayoristas deberá considerar el Punto de Interconexión como la frontera para la atención de desviaciones por T</w:t>
            </w:r>
            <w:r w:rsidR="00166AC0">
              <w:rPr>
                <w:rFonts w:ascii="ITC Avant Garde" w:hAnsi="ITC Avant Garde"/>
              </w:rPr>
              <w:t>elmex</w:t>
            </w:r>
            <w:r>
              <w:rPr>
                <w:rFonts w:ascii="ITC Avant Garde" w:hAnsi="ITC Avant Garde"/>
              </w:rPr>
              <w:t>.</w:t>
            </w:r>
          </w:p>
          <w:p w14:paraId="0F87C2A0" w14:textId="475D6286" w:rsidR="00F1277B" w:rsidRPr="00315932" w:rsidRDefault="00F1277B" w:rsidP="00E11E17">
            <w:pPr>
              <w:pStyle w:val="Texto1"/>
              <w:spacing w:after="120"/>
              <w:ind w:left="-43"/>
              <w:rPr>
                <w:rFonts w:ascii="ITC Avant Garde" w:hAnsi="ITC Avant Garde"/>
              </w:rPr>
            </w:pPr>
            <w:r>
              <w:rPr>
                <w:rFonts w:ascii="ITC Avant Garde" w:hAnsi="ITC Avant Garde"/>
              </w:rPr>
              <w:t>*Si la desviación s</w:t>
            </w:r>
            <w:r w:rsidRPr="00F54FE8">
              <w:rPr>
                <w:rFonts w:ascii="ITC Avant Garde" w:hAnsi="ITC Avant Garde"/>
              </w:rPr>
              <w:t>e refiere a problemas en el punto de interconexión y/o tráfico no terminado</w:t>
            </w:r>
            <w:r w:rsidR="00E567F0">
              <w:rPr>
                <w:rFonts w:ascii="ITC Avant Garde" w:hAnsi="ITC Avant Garde"/>
              </w:rPr>
              <w:t>,</w:t>
            </w:r>
            <w:r w:rsidRPr="00F54FE8">
              <w:rPr>
                <w:rFonts w:ascii="ITC Avant Garde" w:hAnsi="ITC Avant Garde"/>
              </w:rPr>
              <w:t xml:space="preserve"> el reporte deberá realizarlo el CS directamente al Centro de Atención Operadores (CAO)</w:t>
            </w:r>
            <w:r>
              <w:rPr>
                <w:rFonts w:ascii="ITC Avant Garde" w:hAnsi="ITC Avant Garde"/>
              </w:rPr>
              <w:t>, mediante el número 018007134100.</w:t>
            </w:r>
          </w:p>
        </w:tc>
      </w:tr>
      <w:tr w:rsidR="00AD2338" w:rsidRPr="00315932" w14:paraId="0FAE39D5" w14:textId="77777777" w:rsidTr="00BE57C3">
        <w:tc>
          <w:tcPr>
            <w:tcW w:w="2802" w:type="dxa"/>
            <w:vAlign w:val="center"/>
          </w:tcPr>
          <w:p w14:paraId="0AFE37D6" w14:textId="77777777" w:rsidR="00AD2338" w:rsidRPr="00315932" w:rsidRDefault="00301DC7" w:rsidP="00301DC7">
            <w:pPr>
              <w:pStyle w:val="Texto1"/>
              <w:spacing w:after="120"/>
              <w:ind w:left="0"/>
              <w:jc w:val="left"/>
              <w:rPr>
                <w:rFonts w:ascii="ITC Avant Garde" w:hAnsi="ITC Avant Garde"/>
                <w:b/>
              </w:rPr>
            </w:pPr>
            <w:r w:rsidRPr="00315932">
              <w:rPr>
                <w:rFonts w:ascii="ITC Avant Garde" w:hAnsi="ITC Avant Garde"/>
                <w:b/>
              </w:rPr>
              <w:t>Servicio de Acceso Indirecto al Bucle</w:t>
            </w:r>
            <w:r w:rsidR="006E7461" w:rsidRPr="00315932">
              <w:rPr>
                <w:rFonts w:ascii="ITC Avant Garde" w:hAnsi="ITC Avant Garde"/>
                <w:b/>
              </w:rPr>
              <w:t xml:space="preserve"> Local</w:t>
            </w:r>
          </w:p>
          <w:p w14:paraId="55B0C2C4" w14:textId="7EFA483E" w:rsidR="0008514B" w:rsidRPr="00315932" w:rsidRDefault="0008514B" w:rsidP="00301DC7">
            <w:pPr>
              <w:pStyle w:val="Texto1"/>
              <w:spacing w:after="120"/>
              <w:ind w:left="0"/>
              <w:jc w:val="left"/>
              <w:rPr>
                <w:rFonts w:ascii="ITC Avant Garde" w:hAnsi="ITC Avant Garde"/>
                <w:b/>
              </w:rPr>
            </w:pPr>
          </w:p>
        </w:tc>
        <w:tc>
          <w:tcPr>
            <w:tcW w:w="6176" w:type="dxa"/>
          </w:tcPr>
          <w:p w14:paraId="792CB19E" w14:textId="77777777"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t>Verificar que la falla o incidencia no se deba a un problema en el cableado interior de usuario.</w:t>
            </w:r>
          </w:p>
          <w:p w14:paraId="42A6E120" w14:textId="62B281DC"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t>Verificar que el Módem o la ONT esté encendido</w:t>
            </w:r>
            <w:r w:rsidR="006073BA">
              <w:rPr>
                <w:rFonts w:ascii="ITC Avant Garde" w:hAnsi="ITC Avant Garde"/>
              </w:rPr>
              <w:t>.</w:t>
            </w:r>
          </w:p>
          <w:p w14:paraId="171763AA" w14:textId="77777777"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t>Verificar que el Módem o la ONT esté conectado a la línea y a su vez la línea esté conectada al PCT.</w:t>
            </w:r>
          </w:p>
          <w:p w14:paraId="77573ED4" w14:textId="752CC131"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lastRenderedPageBreak/>
              <w:t>El equipo terminal de usuario deberá tener sincronía y enlace; en caso de que el medio de acceso sea cobre, deberá verificar que el led DSL este de color verde</w:t>
            </w:r>
            <w:r w:rsidR="006073BA">
              <w:rPr>
                <w:rFonts w:ascii="ITC Avant Garde" w:hAnsi="ITC Avant Garde"/>
              </w:rPr>
              <w:t>.</w:t>
            </w:r>
          </w:p>
          <w:p w14:paraId="6912558E" w14:textId="50FC60B2"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t>Verificar la configuración de su equipo terminal de usuario</w:t>
            </w:r>
            <w:r w:rsidR="003D3510">
              <w:rPr>
                <w:rFonts w:ascii="ITC Avant Garde" w:hAnsi="ITC Avant Garde"/>
              </w:rPr>
              <w:t>.</w:t>
            </w:r>
          </w:p>
          <w:p w14:paraId="7F69233D" w14:textId="67471582" w:rsidR="00301DC7" w:rsidRPr="00315932" w:rsidRDefault="00301DC7" w:rsidP="00301DC7">
            <w:pPr>
              <w:pStyle w:val="Texto1"/>
              <w:numPr>
                <w:ilvl w:val="0"/>
                <w:numId w:val="24"/>
              </w:numPr>
              <w:spacing w:after="120"/>
              <w:ind w:left="317"/>
              <w:rPr>
                <w:rFonts w:ascii="ITC Avant Garde" w:hAnsi="ITC Avant Garde"/>
              </w:rPr>
            </w:pPr>
            <w:r w:rsidRPr="00315932">
              <w:rPr>
                <w:rFonts w:ascii="ITC Avant Garde" w:hAnsi="ITC Avant Garde"/>
              </w:rPr>
              <w:t>Verificar el puerto en su equipo donde recibe el tráfico de datos</w:t>
            </w:r>
            <w:r w:rsidR="003D3510">
              <w:rPr>
                <w:rFonts w:ascii="ITC Avant Garde" w:hAnsi="ITC Avant Garde"/>
              </w:rPr>
              <w:t>.</w:t>
            </w:r>
          </w:p>
          <w:p w14:paraId="0179F317" w14:textId="65990B4A" w:rsidR="0068231B" w:rsidRPr="0068231B" w:rsidRDefault="00301DC7" w:rsidP="0068231B">
            <w:pPr>
              <w:pStyle w:val="Texto1"/>
              <w:numPr>
                <w:ilvl w:val="0"/>
                <w:numId w:val="24"/>
              </w:numPr>
              <w:spacing w:after="120"/>
              <w:ind w:left="317"/>
              <w:rPr>
                <w:rFonts w:ascii="ITC Avant Garde" w:hAnsi="ITC Avant Garde"/>
              </w:rPr>
            </w:pPr>
            <w:r w:rsidRPr="00315932">
              <w:rPr>
                <w:rFonts w:ascii="ITC Avant Garde" w:hAnsi="ITC Avant Garde"/>
              </w:rPr>
              <w:t>Revisar que no existan fallas en el cableado interior en el domicilio del cliente.</w:t>
            </w:r>
          </w:p>
          <w:p w14:paraId="785C802D" w14:textId="7166F351" w:rsidR="0008514B" w:rsidRPr="001E0FC5" w:rsidRDefault="0068231B" w:rsidP="001E0FC5">
            <w:pPr>
              <w:pStyle w:val="Texto1"/>
              <w:numPr>
                <w:ilvl w:val="0"/>
                <w:numId w:val="24"/>
              </w:numPr>
              <w:spacing w:after="120"/>
              <w:ind w:left="317"/>
              <w:rPr>
                <w:rFonts w:ascii="ITC Avant Garde" w:hAnsi="ITC Avant Garde"/>
              </w:rPr>
            </w:pPr>
            <w:r>
              <w:rPr>
                <w:rFonts w:ascii="ITC Avant Garde" w:hAnsi="ITC Avant Garde"/>
              </w:rPr>
              <w:t xml:space="preserve">Verificar que la falla no es en la configuración de credenciales del módem/ONT o en la navegación proporcionada a través de la red </w:t>
            </w:r>
            <w:r w:rsidR="003D3510">
              <w:rPr>
                <w:rFonts w:ascii="ITC Avant Garde" w:hAnsi="ITC Avant Garde"/>
              </w:rPr>
              <w:t xml:space="preserve">o infraestructura </w:t>
            </w:r>
            <w:r>
              <w:rPr>
                <w:rFonts w:ascii="ITC Avant Garde" w:hAnsi="ITC Avant Garde"/>
              </w:rPr>
              <w:t>del CS.</w:t>
            </w:r>
          </w:p>
        </w:tc>
      </w:tr>
      <w:tr w:rsidR="001E3370" w:rsidRPr="00315932" w14:paraId="35A262E2" w14:textId="77777777" w:rsidTr="00F1277B">
        <w:tc>
          <w:tcPr>
            <w:tcW w:w="2802" w:type="dxa"/>
            <w:vAlign w:val="center"/>
          </w:tcPr>
          <w:p w14:paraId="74E5F4EA" w14:textId="25556C9D" w:rsidR="001E3370" w:rsidRPr="00315932" w:rsidRDefault="001E3370" w:rsidP="00301DC7">
            <w:pPr>
              <w:pStyle w:val="Texto1"/>
              <w:spacing w:after="120"/>
              <w:ind w:left="0"/>
              <w:jc w:val="left"/>
              <w:rPr>
                <w:rFonts w:ascii="ITC Avant Garde" w:hAnsi="ITC Avant Garde"/>
                <w:b/>
              </w:rPr>
            </w:pPr>
            <w:r>
              <w:rPr>
                <w:rFonts w:ascii="ITC Avant Garde" w:hAnsi="ITC Avant Garde"/>
                <w:b/>
              </w:rPr>
              <w:lastRenderedPageBreak/>
              <w:t>Servicio de Concentración y Distribución</w:t>
            </w:r>
          </w:p>
        </w:tc>
        <w:tc>
          <w:tcPr>
            <w:tcW w:w="6176" w:type="dxa"/>
          </w:tcPr>
          <w:p w14:paraId="7F0F250D" w14:textId="77777777" w:rsidR="001E3370" w:rsidRPr="00315932" w:rsidRDefault="001E3370" w:rsidP="001E3370">
            <w:pPr>
              <w:pStyle w:val="Texto1"/>
              <w:numPr>
                <w:ilvl w:val="0"/>
                <w:numId w:val="24"/>
              </w:numPr>
              <w:spacing w:after="120"/>
              <w:ind w:left="317"/>
              <w:rPr>
                <w:rFonts w:ascii="ITC Avant Garde" w:hAnsi="ITC Avant Garde"/>
              </w:rPr>
            </w:pPr>
            <w:r w:rsidRPr="00315932">
              <w:rPr>
                <w:rFonts w:ascii="ITC Avant Garde" w:hAnsi="ITC Avant Garde"/>
              </w:rPr>
              <w:t xml:space="preserve">Verificar que el estado de conexión del puerto de entrega del servicio esté Up-Up. En este caso las redes tienen conectividad y no existe falla en este punto del servicio.  </w:t>
            </w:r>
          </w:p>
          <w:p w14:paraId="030D619B" w14:textId="77777777" w:rsidR="001E3370" w:rsidRPr="00315932" w:rsidRDefault="001E3370" w:rsidP="001E3370">
            <w:pPr>
              <w:pStyle w:val="Texto1"/>
              <w:numPr>
                <w:ilvl w:val="0"/>
                <w:numId w:val="24"/>
              </w:numPr>
              <w:spacing w:after="120"/>
              <w:ind w:left="317"/>
              <w:rPr>
                <w:rFonts w:ascii="ITC Avant Garde" w:hAnsi="ITC Avant Garde"/>
              </w:rPr>
            </w:pPr>
            <w:r w:rsidRPr="00315932">
              <w:rPr>
                <w:rFonts w:ascii="ITC Avant Garde" w:hAnsi="ITC Avant Garde"/>
              </w:rPr>
              <w:t xml:space="preserve">Hacer un ping entre el </w:t>
            </w:r>
            <w:proofErr w:type="spellStart"/>
            <w:r w:rsidRPr="00315932">
              <w:rPr>
                <w:rFonts w:ascii="ITC Avant Garde" w:hAnsi="ITC Avant Garde"/>
              </w:rPr>
              <w:t>pCAI</w:t>
            </w:r>
            <w:proofErr w:type="spellEnd"/>
            <w:r w:rsidRPr="00315932">
              <w:rPr>
                <w:rFonts w:ascii="ITC Avant Garde" w:hAnsi="ITC Avant Garde"/>
              </w:rPr>
              <w:t xml:space="preserve"> y su red. Si el Ping es exitoso las redes tienen conectividad y no existe falla en este punto del servicio, de lo contrario el CS puede reportar el servicio.</w:t>
            </w:r>
          </w:p>
          <w:p w14:paraId="34F1A70D" w14:textId="0C154A89" w:rsidR="001E3370" w:rsidRPr="00315932" w:rsidRDefault="001E3370" w:rsidP="001E3370">
            <w:pPr>
              <w:pStyle w:val="Texto1"/>
              <w:numPr>
                <w:ilvl w:val="0"/>
                <w:numId w:val="24"/>
              </w:numPr>
              <w:spacing w:after="120"/>
              <w:ind w:left="317"/>
              <w:rPr>
                <w:rFonts w:ascii="ITC Avant Garde" w:hAnsi="ITC Avant Garde"/>
              </w:rPr>
            </w:pPr>
            <w:r w:rsidRPr="00315932">
              <w:rPr>
                <w:rFonts w:ascii="ITC Avant Garde" w:hAnsi="ITC Avant Garde"/>
              </w:rPr>
              <w:t xml:space="preserve">En caso de que el puerto de entrega del servicio indique Up-Down o Down-Down se debe validar un </w:t>
            </w:r>
            <w:proofErr w:type="spellStart"/>
            <w:r w:rsidRPr="00315932">
              <w:rPr>
                <w:rFonts w:ascii="ITC Avant Garde" w:hAnsi="ITC Avant Garde"/>
              </w:rPr>
              <w:t>loop</w:t>
            </w:r>
            <w:proofErr w:type="spellEnd"/>
            <w:r w:rsidRPr="00315932">
              <w:rPr>
                <w:rFonts w:ascii="ITC Avant Garde" w:hAnsi="ITC Avant Garde"/>
              </w:rPr>
              <w:t xml:space="preserve"> desde el puerto del DFO-CS hasta su red. Si hay continuidad en el </w:t>
            </w:r>
            <w:proofErr w:type="spellStart"/>
            <w:r w:rsidRPr="00315932">
              <w:rPr>
                <w:rFonts w:ascii="ITC Avant Garde" w:hAnsi="ITC Avant Garde"/>
              </w:rPr>
              <w:t>Loop</w:t>
            </w:r>
            <w:proofErr w:type="spellEnd"/>
            <w:r w:rsidRPr="00315932">
              <w:rPr>
                <w:rFonts w:ascii="ITC Avant Garde" w:hAnsi="ITC Avant Garde"/>
              </w:rPr>
              <w:t xml:space="preserve"> el CS puede reportar falla en este punto del servicio</w:t>
            </w:r>
            <w:r w:rsidR="003D3510">
              <w:rPr>
                <w:rFonts w:ascii="ITC Avant Garde" w:hAnsi="ITC Avant Garde"/>
              </w:rPr>
              <w:t>.</w:t>
            </w:r>
          </w:p>
        </w:tc>
      </w:tr>
      <w:tr w:rsidR="00AD2338" w:rsidRPr="00315932" w14:paraId="4B2D43D1" w14:textId="77777777" w:rsidTr="00BE57C3">
        <w:tc>
          <w:tcPr>
            <w:tcW w:w="2802" w:type="dxa"/>
            <w:vAlign w:val="center"/>
          </w:tcPr>
          <w:p w14:paraId="29ED610B" w14:textId="77777777" w:rsidR="00AD2338" w:rsidRPr="00315932" w:rsidRDefault="00DE5DA3" w:rsidP="00301DC7">
            <w:pPr>
              <w:pStyle w:val="Texto1"/>
              <w:spacing w:after="120"/>
              <w:ind w:left="0"/>
              <w:jc w:val="left"/>
              <w:rPr>
                <w:rFonts w:ascii="ITC Avant Garde" w:hAnsi="ITC Avant Garde"/>
                <w:b/>
              </w:rPr>
            </w:pPr>
            <w:r w:rsidRPr="00315932">
              <w:rPr>
                <w:rFonts w:ascii="ITC Avant Garde" w:hAnsi="ITC Avant Garde"/>
                <w:b/>
              </w:rPr>
              <w:t>Servicio de Desagregación Total del bucle y Compartida del Bucle</w:t>
            </w:r>
          </w:p>
        </w:tc>
        <w:tc>
          <w:tcPr>
            <w:tcW w:w="6176" w:type="dxa"/>
          </w:tcPr>
          <w:p w14:paraId="12B0B379" w14:textId="7777777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Revisar que no existan fallas en el cableado interior en el domicilio del usuario.</w:t>
            </w:r>
          </w:p>
          <w:p w14:paraId="1FE1DF95" w14:textId="7777777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la existencia de tono de voz (sólo para Desagregación Compartida).</w:t>
            </w:r>
          </w:p>
          <w:p w14:paraId="374B1A91" w14:textId="27EAB611"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la configuración de su equipo terminal de usuario</w:t>
            </w:r>
            <w:r w:rsidR="00B11E93">
              <w:rPr>
                <w:rFonts w:ascii="ITC Avant Garde" w:hAnsi="ITC Avant Garde"/>
              </w:rPr>
              <w:t>.</w:t>
            </w:r>
          </w:p>
          <w:p w14:paraId="5746F26F" w14:textId="725774A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Probar la señal hacia su red del par de cobre en su Coubicación</w:t>
            </w:r>
            <w:r w:rsidR="00B11E93">
              <w:rPr>
                <w:rFonts w:ascii="ITC Avant Garde" w:hAnsi="ITC Avant Garde"/>
              </w:rPr>
              <w:t>.</w:t>
            </w:r>
          </w:p>
          <w:p w14:paraId="57CF6A48" w14:textId="77777777" w:rsidR="00AD2338"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que el tendido de cableado multipar no tenga fallas.</w:t>
            </w:r>
          </w:p>
        </w:tc>
      </w:tr>
      <w:tr w:rsidR="00AD2338" w:rsidRPr="00315932" w14:paraId="5A685F46" w14:textId="77777777" w:rsidTr="00BE57C3">
        <w:tc>
          <w:tcPr>
            <w:tcW w:w="2802" w:type="dxa"/>
            <w:vAlign w:val="center"/>
          </w:tcPr>
          <w:p w14:paraId="228F85D7" w14:textId="77777777" w:rsidR="00AD2338" w:rsidRPr="00315932" w:rsidRDefault="00DE5DA3" w:rsidP="00301DC7">
            <w:pPr>
              <w:pStyle w:val="Texto1"/>
              <w:spacing w:after="120"/>
              <w:ind w:left="0"/>
              <w:jc w:val="left"/>
              <w:rPr>
                <w:rFonts w:ascii="ITC Avant Garde" w:hAnsi="ITC Avant Garde"/>
                <w:b/>
              </w:rPr>
            </w:pPr>
            <w:r w:rsidRPr="00315932">
              <w:rPr>
                <w:rFonts w:ascii="ITC Avant Garde" w:hAnsi="ITC Avant Garde"/>
                <w:b/>
              </w:rPr>
              <w:t>Servicio de Desagregación Total del Sub-Bucle y Compartida de Sub-Bucle</w:t>
            </w:r>
          </w:p>
        </w:tc>
        <w:tc>
          <w:tcPr>
            <w:tcW w:w="6176" w:type="dxa"/>
          </w:tcPr>
          <w:p w14:paraId="770E4592" w14:textId="7777777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que la falla no se deba a un problema en el cableado interior de usuario.</w:t>
            </w:r>
          </w:p>
          <w:p w14:paraId="798FE247" w14:textId="7777777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la existencia de tono de voz (sólo para Desagregación Compartida).</w:t>
            </w:r>
          </w:p>
          <w:p w14:paraId="1FE8C1E5" w14:textId="77777777"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la configuración de su equipo terminal de usuario;</w:t>
            </w:r>
          </w:p>
          <w:p w14:paraId="3F632AA9" w14:textId="77777777" w:rsidR="00AD2338"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que el servicio anexo de caja no tenga fallas.</w:t>
            </w:r>
          </w:p>
        </w:tc>
      </w:tr>
      <w:tr w:rsidR="00DE5DA3" w:rsidRPr="00315932" w14:paraId="16051117" w14:textId="77777777" w:rsidTr="00BE57C3">
        <w:tc>
          <w:tcPr>
            <w:tcW w:w="2802" w:type="dxa"/>
            <w:vAlign w:val="center"/>
          </w:tcPr>
          <w:p w14:paraId="711BDE03" w14:textId="77777777" w:rsidR="00DE5DA3" w:rsidRPr="00315932" w:rsidRDefault="00DE5DA3" w:rsidP="00301DC7">
            <w:pPr>
              <w:pStyle w:val="Texto1"/>
              <w:spacing w:after="120"/>
              <w:ind w:left="0"/>
              <w:jc w:val="left"/>
              <w:rPr>
                <w:rFonts w:ascii="ITC Avant Garde" w:hAnsi="ITC Avant Garde"/>
                <w:b/>
              </w:rPr>
            </w:pPr>
            <w:r w:rsidRPr="00315932">
              <w:rPr>
                <w:rFonts w:ascii="ITC Avant Garde" w:hAnsi="ITC Avant Garde"/>
                <w:b/>
              </w:rPr>
              <w:t>Coubicación</w:t>
            </w:r>
          </w:p>
        </w:tc>
        <w:tc>
          <w:tcPr>
            <w:tcW w:w="6176" w:type="dxa"/>
          </w:tcPr>
          <w:p w14:paraId="55211445" w14:textId="43601FFC" w:rsidR="00DE5DA3" w:rsidRPr="00315932" w:rsidRDefault="00DE5DA3" w:rsidP="00DE5DA3">
            <w:pPr>
              <w:pStyle w:val="Texto1"/>
              <w:numPr>
                <w:ilvl w:val="0"/>
                <w:numId w:val="24"/>
              </w:numPr>
              <w:spacing w:after="120"/>
              <w:ind w:left="317"/>
              <w:rPr>
                <w:rFonts w:ascii="ITC Avant Garde" w:hAnsi="ITC Avant Garde"/>
              </w:rPr>
            </w:pPr>
            <w:r w:rsidRPr="00315932">
              <w:rPr>
                <w:rFonts w:ascii="ITC Avant Garde" w:hAnsi="ITC Avant Garde"/>
              </w:rPr>
              <w:t>Verificar parámetros de fuerza respecto a lo contratado</w:t>
            </w:r>
            <w:r w:rsidR="00B11E93">
              <w:rPr>
                <w:rFonts w:ascii="ITC Avant Garde" w:hAnsi="ITC Avant Garde"/>
              </w:rPr>
              <w:t>.</w:t>
            </w:r>
          </w:p>
          <w:p w14:paraId="71138C95" w14:textId="59B7E029" w:rsidR="00DE5DA3" w:rsidRPr="00315932" w:rsidRDefault="00DE5DA3" w:rsidP="0008514B">
            <w:pPr>
              <w:pStyle w:val="Texto1"/>
              <w:numPr>
                <w:ilvl w:val="0"/>
                <w:numId w:val="24"/>
              </w:numPr>
              <w:spacing w:after="120"/>
              <w:ind w:left="317"/>
              <w:rPr>
                <w:rFonts w:ascii="ITC Avant Garde" w:hAnsi="ITC Avant Garde"/>
              </w:rPr>
            </w:pPr>
            <w:r w:rsidRPr="00315932">
              <w:rPr>
                <w:rFonts w:ascii="ITC Avant Garde" w:hAnsi="ITC Avant Garde"/>
              </w:rPr>
              <w:t>Verificar parámetros de clima respecto a lo contratado</w:t>
            </w:r>
            <w:r w:rsidR="00B11E93">
              <w:rPr>
                <w:rFonts w:ascii="ITC Avant Garde" w:hAnsi="ITC Avant Garde"/>
              </w:rPr>
              <w:t>.</w:t>
            </w:r>
          </w:p>
        </w:tc>
      </w:tr>
      <w:tr w:rsidR="00DE5DA3" w:rsidRPr="00315932" w14:paraId="2156C47D" w14:textId="77777777" w:rsidTr="00BE57C3">
        <w:tc>
          <w:tcPr>
            <w:tcW w:w="2802" w:type="dxa"/>
            <w:vAlign w:val="center"/>
          </w:tcPr>
          <w:p w14:paraId="5B6D54A1" w14:textId="77777777" w:rsidR="00DE5DA3" w:rsidRPr="00315932" w:rsidRDefault="0008514B" w:rsidP="00301DC7">
            <w:pPr>
              <w:pStyle w:val="Texto1"/>
              <w:spacing w:after="120"/>
              <w:ind w:left="0"/>
              <w:jc w:val="left"/>
              <w:rPr>
                <w:rFonts w:ascii="ITC Avant Garde" w:hAnsi="ITC Avant Garde"/>
                <w:b/>
              </w:rPr>
            </w:pPr>
            <w:r w:rsidRPr="00315932">
              <w:rPr>
                <w:rFonts w:ascii="ITC Avant Garde" w:hAnsi="ITC Avant Garde"/>
                <w:b/>
              </w:rPr>
              <w:t>Servicio de Anexo de Caja de Distribución</w:t>
            </w:r>
          </w:p>
        </w:tc>
        <w:tc>
          <w:tcPr>
            <w:tcW w:w="6176" w:type="dxa"/>
          </w:tcPr>
          <w:p w14:paraId="0C5483F3" w14:textId="7E1F6805" w:rsidR="00DE5DA3" w:rsidRPr="00315932" w:rsidRDefault="0008514B" w:rsidP="0008514B">
            <w:pPr>
              <w:pStyle w:val="Texto1"/>
              <w:numPr>
                <w:ilvl w:val="0"/>
                <w:numId w:val="24"/>
              </w:numPr>
              <w:spacing w:after="120"/>
              <w:ind w:left="317"/>
              <w:rPr>
                <w:rFonts w:ascii="ITC Avant Garde" w:hAnsi="ITC Avant Garde"/>
              </w:rPr>
            </w:pPr>
            <w:r w:rsidRPr="00315932">
              <w:rPr>
                <w:rFonts w:ascii="ITC Avant Garde" w:hAnsi="ITC Avant Garde"/>
              </w:rPr>
              <w:t>Verificación física del anexo</w:t>
            </w:r>
            <w:r w:rsidR="00B11E93">
              <w:rPr>
                <w:rFonts w:ascii="ITC Avant Garde" w:hAnsi="ITC Avant Garde"/>
              </w:rPr>
              <w:t>.</w:t>
            </w:r>
          </w:p>
        </w:tc>
      </w:tr>
      <w:tr w:rsidR="0008514B" w:rsidRPr="00315932" w14:paraId="75C255F3" w14:textId="77777777" w:rsidTr="00BE57C3">
        <w:tc>
          <w:tcPr>
            <w:tcW w:w="2802" w:type="dxa"/>
            <w:vAlign w:val="center"/>
          </w:tcPr>
          <w:p w14:paraId="18BCC6A1" w14:textId="77777777" w:rsidR="0008514B" w:rsidRPr="00315932" w:rsidRDefault="0008514B" w:rsidP="00301DC7">
            <w:pPr>
              <w:pStyle w:val="Texto1"/>
              <w:spacing w:after="120"/>
              <w:ind w:left="0"/>
              <w:jc w:val="left"/>
              <w:rPr>
                <w:rFonts w:ascii="ITC Avant Garde" w:hAnsi="ITC Avant Garde"/>
                <w:b/>
              </w:rPr>
            </w:pPr>
            <w:r w:rsidRPr="00315932">
              <w:rPr>
                <w:rFonts w:ascii="ITC Avant Garde" w:hAnsi="ITC Avant Garde"/>
                <w:b/>
              </w:rPr>
              <w:lastRenderedPageBreak/>
              <w:t>Servicio de Cableado Multipar</w:t>
            </w:r>
          </w:p>
        </w:tc>
        <w:tc>
          <w:tcPr>
            <w:tcW w:w="6176" w:type="dxa"/>
          </w:tcPr>
          <w:p w14:paraId="1D1CD273" w14:textId="77777777" w:rsidR="0008514B" w:rsidRPr="00315932" w:rsidRDefault="0008514B" w:rsidP="0008514B">
            <w:pPr>
              <w:pStyle w:val="Texto1"/>
              <w:numPr>
                <w:ilvl w:val="0"/>
                <w:numId w:val="24"/>
              </w:numPr>
              <w:spacing w:after="120"/>
              <w:ind w:left="317"/>
              <w:rPr>
                <w:rFonts w:ascii="ITC Avant Garde" w:hAnsi="ITC Avant Garde"/>
              </w:rPr>
            </w:pPr>
            <w:r w:rsidRPr="00315932">
              <w:rPr>
                <w:rFonts w:ascii="ITC Avant Garde" w:hAnsi="ITC Avant Garde"/>
              </w:rPr>
              <w:t>Verificar que el par se encuentre correctamente terminado.</w:t>
            </w:r>
          </w:p>
        </w:tc>
      </w:tr>
    </w:tbl>
    <w:p w14:paraId="3B6832C1" w14:textId="77777777" w:rsidR="00AD2338" w:rsidRPr="00315932" w:rsidRDefault="00AD2338" w:rsidP="00475A17">
      <w:pPr>
        <w:pStyle w:val="Texto1"/>
        <w:spacing w:after="200" w:line="276" w:lineRule="auto"/>
        <w:ind w:left="0"/>
        <w:rPr>
          <w:rFonts w:ascii="ITC Avant Garde" w:hAnsi="ITC Avant Garde"/>
          <w:sz w:val="22"/>
          <w:szCs w:val="22"/>
        </w:rPr>
      </w:pPr>
    </w:p>
    <w:p w14:paraId="276FEA1C" w14:textId="370D7E06" w:rsidR="0089729F" w:rsidRPr="00315932" w:rsidRDefault="0089729F" w:rsidP="00475A17">
      <w:pPr>
        <w:pStyle w:val="Texto1"/>
        <w:spacing w:after="200" w:line="276" w:lineRule="auto"/>
        <w:ind w:left="0"/>
        <w:rPr>
          <w:rFonts w:ascii="ITC Avant Garde" w:hAnsi="ITC Avant Garde"/>
          <w:sz w:val="22"/>
          <w:szCs w:val="22"/>
        </w:rPr>
      </w:pPr>
      <w:r w:rsidRPr="00315932">
        <w:rPr>
          <w:rFonts w:ascii="ITC Avant Garde" w:hAnsi="ITC Avant Garde"/>
          <w:sz w:val="22"/>
          <w:szCs w:val="22"/>
        </w:rPr>
        <w:t xml:space="preserve">Para </w:t>
      </w:r>
      <w:r w:rsidR="00033CA5" w:rsidRPr="00315932">
        <w:rPr>
          <w:rFonts w:ascii="ITC Avant Garde" w:hAnsi="ITC Avant Garde"/>
          <w:sz w:val="22"/>
          <w:szCs w:val="22"/>
        </w:rPr>
        <w:t>los servicios de Reventa de Internet y Paquetes así como de Acceso Indirecto al Bucle</w:t>
      </w:r>
      <w:r w:rsidR="006E7461" w:rsidRPr="00315932">
        <w:rPr>
          <w:rFonts w:ascii="ITC Avant Garde" w:hAnsi="ITC Avant Garde"/>
          <w:sz w:val="22"/>
          <w:szCs w:val="22"/>
        </w:rPr>
        <w:t xml:space="preserve"> Local</w:t>
      </w:r>
      <w:r w:rsidR="00033CA5" w:rsidRPr="00315932">
        <w:rPr>
          <w:rFonts w:ascii="ITC Avant Garde" w:hAnsi="ITC Avant Garde"/>
          <w:sz w:val="22"/>
          <w:szCs w:val="22"/>
        </w:rPr>
        <w:t xml:space="preserve">, se deberá verificar el estado del </w:t>
      </w:r>
      <w:r w:rsidR="00C6528B" w:rsidRPr="00315932">
        <w:rPr>
          <w:rFonts w:ascii="ITC Avant Garde" w:hAnsi="ITC Avant Garde"/>
          <w:sz w:val="22"/>
          <w:szCs w:val="22"/>
        </w:rPr>
        <w:t>M</w:t>
      </w:r>
      <w:r w:rsidR="00033CA5" w:rsidRPr="00315932">
        <w:rPr>
          <w:rFonts w:ascii="ITC Avant Garde" w:hAnsi="ITC Avant Garde"/>
          <w:sz w:val="22"/>
          <w:szCs w:val="22"/>
        </w:rPr>
        <w:t>ódem u ONT considerando lo siguiente:</w:t>
      </w:r>
    </w:p>
    <w:tbl>
      <w:tblPr>
        <w:tblStyle w:val="Tablaconcuadrcula"/>
        <w:tblW w:w="0" w:type="auto"/>
        <w:tblLook w:val="04A0" w:firstRow="1" w:lastRow="0" w:firstColumn="1" w:lastColumn="0" w:noHBand="0" w:noVBand="1"/>
      </w:tblPr>
      <w:tblGrid>
        <w:gridCol w:w="2802"/>
        <w:gridCol w:w="6176"/>
      </w:tblGrid>
      <w:tr w:rsidR="00033CA5" w:rsidRPr="00315932" w14:paraId="43AF1B8D" w14:textId="77777777" w:rsidTr="00D8654C">
        <w:tc>
          <w:tcPr>
            <w:tcW w:w="2802" w:type="dxa"/>
            <w:shd w:val="clear" w:color="auto" w:fill="548DD4"/>
          </w:tcPr>
          <w:p w14:paraId="0B74FF67" w14:textId="77777777" w:rsidR="00033CA5" w:rsidRPr="00315932" w:rsidRDefault="00033CA5" w:rsidP="00120315">
            <w:pPr>
              <w:pStyle w:val="Texto1"/>
              <w:spacing w:after="120"/>
              <w:ind w:left="0"/>
              <w:jc w:val="center"/>
              <w:rPr>
                <w:rFonts w:ascii="ITC Avant Garde" w:hAnsi="ITC Avant Garde"/>
                <w:b/>
                <w:color w:val="FFFFFF" w:themeColor="background1"/>
              </w:rPr>
            </w:pPr>
            <w:r w:rsidRPr="00315932">
              <w:rPr>
                <w:rFonts w:ascii="ITC Avant Garde" w:hAnsi="ITC Avant Garde"/>
                <w:b/>
                <w:color w:val="FFFFFF" w:themeColor="background1"/>
              </w:rPr>
              <w:t>Equipo</w:t>
            </w:r>
          </w:p>
        </w:tc>
        <w:tc>
          <w:tcPr>
            <w:tcW w:w="6176" w:type="dxa"/>
            <w:shd w:val="clear" w:color="auto" w:fill="548DD4"/>
          </w:tcPr>
          <w:p w14:paraId="2276D3FB" w14:textId="77777777" w:rsidR="00033CA5" w:rsidRPr="00315932" w:rsidRDefault="00033CA5" w:rsidP="00120315">
            <w:pPr>
              <w:pStyle w:val="Texto1"/>
              <w:spacing w:after="120"/>
              <w:ind w:left="0"/>
              <w:jc w:val="center"/>
              <w:rPr>
                <w:rFonts w:ascii="ITC Avant Garde" w:hAnsi="ITC Avant Garde"/>
                <w:b/>
                <w:color w:val="FFFFFF" w:themeColor="background1"/>
              </w:rPr>
            </w:pPr>
            <w:r w:rsidRPr="00315932">
              <w:rPr>
                <w:rFonts w:ascii="ITC Avant Garde" w:hAnsi="ITC Avant Garde"/>
                <w:b/>
                <w:color w:val="FFFFFF" w:themeColor="background1"/>
              </w:rPr>
              <w:t>Verificaciones Previas</w:t>
            </w:r>
          </w:p>
        </w:tc>
      </w:tr>
      <w:tr w:rsidR="00033CA5" w:rsidRPr="00315932" w14:paraId="396C88A6" w14:textId="77777777" w:rsidTr="00120315">
        <w:tc>
          <w:tcPr>
            <w:tcW w:w="2802" w:type="dxa"/>
            <w:vAlign w:val="center"/>
          </w:tcPr>
          <w:p w14:paraId="2FC0C21F" w14:textId="77777777" w:rsidR="00033CA5" w:rsidRPr="00315932" w:rsidRDefault="00033CA5" w:rsidP="00120315">
            <w:pPr>
              <w:pStyle w:val="Texto1"/>
              <w:spacing w:after="120"/>
              <w:ind w:left="0"/>
              <w:jc w:val="left"/>
              <w:rPr>
                <w:rFonts w:ascii="ITC Avant Garde" w:hAnsi="ITC Avant Garde"/>
                <w:b/>
              </w:rPr>
            </w:pPr>
            <w:r w:rsidRPr="00315932">
              <w:rPr>
                <w:rFonts w:ascii="ITC Avant Garde" w:hAnsi="ITC Avant Garde"/>
                <w:b/>
              </w:rPr>
              <w:t>Módem</w:t>
            </w:r>
          </w:p>
        </w:tc>
        <w:tc>
          <w:tcPr>
            <w:tcW w:w="6176" w:type="dxa"/>
          </w:tcPr>
          <w:p w14:paraId="10E3E732" w14:textId="77777777" w:rsidR="00033CA5" w:rsidRPr="00315932" w:rsidRDefault="00033CA5" w:rsidP="00033CA5">
            <w:pPr>
              <w:pStyle w:val="Texto1"/>
              <w:numPr>
                <w:ilvl w:val="0"/>
                <w:numId w:val="24"/>
              </w:numPr>
              <w:spacing w:after="120"/>
              <w:ind w:left="317"/>
              <w:rPr>
                <w:rFonts w:ascii="ITC Avant Garde" w:hAnsi="ITC Avant Garde"/>
              </w:rPr>
            </w:pPr>
            <w:r w:rsidRPr="00315932">
              <w:rPr>
                <w:rFonts w:ascii="ITC Avant Garde" w:hAnsi="ITC Avant Garde"/>
              </w:rPr>
              <w:t>Validar si el módem es propiedad de Telmex o del CS.</w:t>
            </w:r>
          </w:p>
          <w:p w14:paraId="12292B07" w14:textId="5112F1C6" w:rsidR="00033CA5" w:rsidRPr="00315932" w:rsidRDefault="00033CA5" w:rsidP="00033CA5">
            <w:pPr>
              <w:pStyle w:val="Texto1"/>
              <w:numPr>
                <w:ilvl w:val="0"/>
                <w:numId w:val="24"/>
              </w:numPr>
              <w:spacing w:after="120"/>
              <w:ind w:left="317"/>
              <w:rPr>
                <w:rFonts w:ascii="ITC Avant Garde" w:hAnsi="ITC Avant Garde"/>
              </w:rPr>
            </w:pPr>
            <w:r w:rsidRPr="00315932">
              <w:rPr>
                <w:rFonts w:ascii="ITC Avant Garde" w:hAnsi="ITC Avant Garde"/>
              </w:rPr>
              <w:t>En caso de que el módem hubiera sido vendido por Telmex al CS se verificará si se encuentra en garantía</w:t>
            </w:r>
            <w:r w:rsidR="00E65121">
              <w:rPr>
                <w:rFonts w:ascii="ITC Avant Garde" w:hAnsi="ITC Avant Garde"/>
              </w:rPr>
              <w:t>.</w:t>
            </w:r>
          </w:p>
          <w:p w14:paraId="5064786B" w14:textId="23821957" w:rsidR="00033CA5" w:rsidRPr="00315932" w:rsidRDefault="00033CA5" w:rsidP="00864BE4">
            <w:pPr>
              <w:pStyle w:val="Texto1"/>
              <w:numPr>
                <w:ilvl w:val="0"/>
                <w:numId w:val="24"/>
              </w:numPr>
              <w:spacing w:after="120"/>
              <w:ind w:left="317"/>
              <w:rPr>
                <w:rFonts w:ascii="ITC Avant Garde" w:hAnsi="ITC Avant Garde"/>
              </w:rPr>
            </w:pPr>
            <w:r w:rsidRPr="00315932">
              <w:rPr>
                <w:rFonts w:ascii="ITC Avant Garde" w:hAnsi="ITC Avant Garde"/>
              </w:rPr>
              <w:t>Validar los focos del módem para verificar su funcionamiento</w:t>
            </w:r>
            <w:r w:rsidR="00E65121">
              <w:rPr>
                <w:rFonts w:ascii="ITC Avant Garde" w:hAnsi="ITC Avant Garde"/>
              </w:rPr>
              <w:t>.</w:t>
            </w:r>
          </w:p>
        </w:tc>
      </w:tr>
      <w:tr w:rsidR="00033CA5" w:rsidRPr="00315932" w14:paraId="68E7D418" w14:textId="77777777" w:rsidTr="00120315">
        <w:tc>
          <w:tcPr>
            <w:tcW w:w="2802" w:type="dxa"/>
            <w:vAlign w:val="center"/>
          </w:tcPr>
          <w:p w14:paraId="13C311BD" w14:textId="77777777" w:rsidR="00033CA5" w:rsidRPr="00315932" w:rsidRDefault="00033CA5" w:rsidP="00120315">
            <w:pPr>
              <w:pStyle w:val="Texto1"/>
              <w:spacing w:after="120"/>
              <w:ind w:left="0"/>
              <w:jc w:val="left"/>
              <w:rPr>
                <w:rFonts w:ascii="ITC Avant Garde" w:hAnsi="ITC Avant Garde"/>
                <w:b/>
              </w:rPr>
            </w:pPr>
            <w:r w:rsidRPr="00315932">
              <w:rPr>
                <w:rFonts w:ascii="ITC Avant Garde" w:hAnsi="ITC Avant Garde"/>
                <w:b/>
              </w:rPr>
              <w:t>ONT</w:t>
            </w:r>
          </w:p>
        </w:tc>
        <w:tc>
          <w:tcPr>
            <w:tcW w:w="6176" w:type="dxa"/>
          </w:tcPr>
          <w:p w14:paraId="3D8C3370" w14:textId="5ECE182B" w:rsidR="00864BE4" w:rsidRPr="00315932" w:rsidRDefault="00864BE4" w:rsidP="00864BE4">
            <w:pPr>
              <w:pStyle w:val="Texto1"/>
              <w:numPr>
                <w:ilvl w:val="0"/>
                <w:numId w:val="24"/>
              </w:numPr>
              <w:spacing w:after="120"/>
              <w:ind w:left="317"/>
              <w:rPr>
                <w:rFonts w:ascii="ITC Avant Garde" w:hAnsi="ITC Avant Garde"/>
              </w:rPr>
            </w:pPr>
            <w:r w:rsidRPr="00315932">
              <w:rPr>
                <w:rFonts w:ascii="ITC Avant Garde" w:hAnsi="ITC Avant Garde"/>
              </w:rPr>
              <w:t>Validar si la ONT es de Telmex o de propiedad del CS</w:t>
            </w:r>
            <w:r w:rsidR="00E65121">
              <w:rPr>
                <w:rFonts w:ascii="ITC Avant Garde" w:hAnsi="ITC Avant Garde"/>
              </w:rPr>
              <w:t>.</w:t>
            </w:r>
          </w:p>
          <w:p w14:paraId="469E16DF" w14:textId="7CF1AEDC" w:rsidR="00864BE4" w:rsidRPr="00315932" w:rsidRDefault="00864BE4" w:rsidP="00864BE4">
            <w:pPr>
              <w:pStyle w:val="Texto1"/>
              <w:numPr>
                <w:ilvl w:val="0"/>
                <w:numId w:val="24"/>
              </w:numPr>
              <w:spacing w:after="120"/>
              <w:ind w:left="317"/>
              <w:rPr>
                <w:rFonts w:ascii="ITC Avant Garde" w:hAnsi="ITC Avant Garde"/>
              </w:rPr>
            </w:pPr>
            <w:r w:rsidRPr="00315932">
              <w:rPr>
                <w:rFonts w:ascii="ITC Avant Garde" w:hAnsi="ITC Avant Garde"/>
              </w:rPr>
              <w:t>En caso de que la ONT hubiera sido vendida por Telmex al CS se verificará si se encuentra en garantía</w:t>
            </w:r>
            <w:r w:rsidR="00E65121">
              <w:rPr>
                <w:rFonts w:ascii="ITC Avant Garde" w:hAnsi="ITC Avant Garde"/>
              </w:rPr>
              <w:t>.</w:t>
            </w:r>
          </w:p>
          <w:p w14:paraId="39E031EB" w14:textId="2206E0FB" w:rsidR="00033CA5" w:rsidRPr="00315932" w:rsidRDefault="00864BE4" w:rsidP="00864BE4">
            <w:pPr>
              <w:pStyle w:val="Texto1"/>
              <w:numPr>
                <w:ilvl w:val="0"/>
                <w:numId w:val="24"/>
              </w:numPr>
              <w:spacing w:after="120"/>
              <w:ind w:left="317"/>
              <w:rPr>
                <w:rFonts w:ascii="ITC Avant Garde" w:hAnsi="ITC Avant Garde"/>
              </w:rPr>
            </w:pPr>
            <w:r w:rsidRPr="00315932">
              <w:rPr>
                <w:rFonts w:ascii="ITC Avant Garde" w:hAnsi="ITC Avant Garde"/>
              </w:rPr>
              <w:t>Validar los focos de la ONT para verificar su funcionamiento</w:t>
            </w:r>
            <w:r w:rsidR="00E65121">
              <w:rPr>
                <w:rFonts w:ascii="ITC Avant Garde" w:hAnsi="ITC Avant Garde"/>
              </w:rPr>
              <w:t>.</w:t>
            </w:r>
          </w:p>
        </w:tc>
      </w:tr>
    </w:tbl>
    <w:p w14:paraId="20C080C0" w14:textId="77777777" w:rsidR="00033CA5" w:rsidRPr="00315932" w:rsidRDefault="00033CA5" w:rsidP="00475A17">
      <w:pPr>
        <w:pStyle w:val="Texto1"/>
        <w:spacing w:after="200" w:line="276" w:lineRule="auto"/>
        <w:ind w:left="0"/>
        <w:rPr>
          <w:rFonts w:ascii="ITC Avant Garde" w:hAnsi="ITC Avant Garde"/>
          <w:sz w:val="22"/>
          <w:szCs w:val="22"/>
        </w:rPr>
      </w:pPr>
    </w:p>
    <w:p w14:paraId="14180C09" w14:textId="77777777" w:rsidR="00864BE4" w:rsidRPr="00315932" w:rsidRDefault="00864BE4" w:rsidP="00475A17">
      <w:pPr>
        <w:pStyle w:val="Texto1"/>
        <w:spacing w:after="200" w:line="276" w:lineRule="auto"/>
        <w:ind w:left="0"/>
        <w:rPr>
          <w:rFonts w:ascii="ITC Avant Garde" w:hAnsi="ITC Avant Garde"/>
          <w:b/>
          <w:sz w:val="22"/>
          <w:szCs w:val="22"/>
          <w:u w:val="single"/>
        </w:rPr>
      </w:pPr>
      <w:r w:rsidRPr="00315932">
        <w:rPr>
          <w:rFonts w:ascii="ITC Avant Garde" w:hAnsi="ITC Avant Garde"/>
          <w:b/>
          <w:sz w:val="22"/>
          <w:szCs w:val="22"/>
          <w:u w:val="single"/>
        </w:rPr>
        <w:t>Importante:</w:t>
      </w:r>
    </w:p>
    <w:p w14:paraId="79927747" w14:textId="77777777" w:rsidR="00350243" w:rsidRPr="00315932" w:rsidRDefault="00D46FFC" w:rsidP="00ED7877">
      <w:pPr>
        <w:pStyle w:val="IFTnormal"/>
        <w:numPr>
          <w:ilvl w:val="0"/>
          <w:numId w:val="25"/>
        </w:numPr>
        <w:rPr>
          <w:lang w:val="es-MX"/>
        </w:rPr>
      </w:pPr>
      <w:r w:rsidRPr="00315932">
        <w:rPr>
          <w:lang w:val="es-MX"/>
        </w:rPr>
        <w:t xml:space="preserve">Cualquier prueba realizada deberá atender cuando menos lo especificado en los estándares de la UIT bajo los cuales se regulan las tecnologías, medios y servicios sobre fibra óptica, por ejemplo, la recomendación </w:t>
      </w:r>
      <w:r w:rsidRPr="00315932">
        <w:t>ITU-T G.652, entre otras.</w:t>
      </w:r>
      <w:r w:rsidRPr="00315932">
        <w:rPr>
          <w:lang w:val="es-MX"/>
        </w:rPr>
        <w:t xml:space="preserve"> </w:t>
      </w:r>
    </w:p>
    <w:p w14:paraId="02F6DFF9" w14:textId="165E43BD" w:rsidR="00475A17" w:rsidRDefault="00350243" w:rsidP="00621505">
      <w:pPr>
        <w:pStyle w:val="IFTnormal"/>
        <w:numPr>
          <w:ilvl w:val="0"/>
          <w:numId w:val="25"/>
        </w:numPr>
        <w:rPr>
          <w:lang w:val="es-MX"/>
        </w:rPr>
      </w:pPr>
      <w:r w:rsidRPr="00315932">
        <w:rPr>
          <w:lang w:val="es-MX"/>
        </w:rPr>
        <w:t xml:space="preserve">Cada prueba realizada que implique el uso de un equipo de medición deberá ser ejecutada una vez calibrado correctamente dicho equipo. </w:t>
      </w:r>
    </w:p>
    <w:p w14:paraId="39596AD9" w14:textId="051801DD" w:rsidR="00723A70" w:rsidRPr="00315932" w:rsidRDefault="00723A70" w:rsidP="00621505">
      <w:pPr>
        <w:pStyle w:val="IFTnormal"/>
        <w:numPr>
          <w:ilvl w:val="0"/>
          <w:numId w:val="25"/>
        </w:numPr>
        <w:rPr>
          <w:lang w:val="es-MX"/>
        </w:rPr>
      </w:pPr>
      <w:r>
        <w:rPr>
          <w:lang w:val="es-MX"/>
        </w:rPr>
        <w:t xml:space="preserve">En caso de falla en el módem/ONT provisto por Telmex, el mismo se reemplazará de forma inmediata, los equipos que se encuentren fuera de garantía o dañados por causa del CS, </w:t>
      </w:r>
      <w:r w:rsidR="009F7469">
        <w:rPr>
          <w:lang w:val="es-MX"/>
        </w:rPr>
        <w:t xml:space="preserve">requerirán una autorización para ser reemplazados ya que </w:t>
      </w:r>
      <w:r>
        <w:rPr>
          <w:lang w:val="es-MX"/>
        </w:rPr>
        <w:t xml:space="preserve">serán </w:t>
      </w:r>
      <w:r w:rsidR="009F7469">
        <w:rPr>
          <w:lang w:val="es-MX"/>
        </w:rPr>
        <w:t>con cobro al CS</w:t>
      </w:r>
      <w:r>
        <w:rPr>
          <w:lang w:val="es-MX"/>
        </w:rPr>
        <w:t>.</w:t>
      </w:r>
    </w:p>
    <w:p w14:paraId="53FB0CA0" w14:textId="77777777" w:rsidR="006F2AF2" w:rsidRPr="00315932" w:rsidRDefault="006F2AF2">
      <w:pPr>
        <w:rPr>
          <w:rFonts w:ascii="ITC Avant Garde" w:hAnsi="ITC Avant Garde"/>
          <w:b/>
        </w:rPr>
      </w:pPr>
      <w:r w:rsidRPr="00315932">
        <w:br w:type="page"/>
      </w:r>
    </w:p>
    <w:p w14:paraId="612046AB" w14:textId="77777777" w:rsidR="00621505" w:rsidRPr="00315932" w:rsidRDefault="00621505" w:rsidP="00621505">
      <w:pPr>
        <w:pStyle w:val="Ttulo2"/>
      </w:pPr>
      <w:r w:rsidRPr="00315932">
        <w:lastRenderedPageBreak/>
        <w:t>Gestión de Incidencias</w:t>
      </w:r>
    </w:p>
    <w:p w14:paraId="2E43F839" w14:textId="77777777" w:rsidR="00621505" w:rsidRPr="00315932" w:rsidRDefault="006F2AF2" w:rsidP="00621505">
      <w:pPr>
        <w:pStyle w:val="IFTnormal"/>
      </w:pPr>
      <w:r w:rsidRPr="00315932">
        <w:t>A continuación se muestra el diagrama con el flujo del Proceso de Gestión de Incidencias y Continuidad de Servicio:</w:t>
      </w:r>
    </w:p>
    <w:p w14:paraId="00965DFB" w14:textId="77777777" w:rsidR="006F2AF2" w:rsidRPr="00315932" w:rsidRDefault="006F2AF2" w:rsidP="006F2AF2">
      <w:pPr>
        <w:pStyle w:val="IFTnormal"/>
        <w:jc w:val="center"/>
      </w:pPr>
      <w:r w:rsidRPr="00315932">
        <w:rPr>
          <w:noProof/>
          <w:lang w:val="es-MX" w:eastAsia="es-MX"/>
        </w:rPr>
        <w:drawing>
          <wp:inline distT="0" distB="0" distL="0" distR="0" wp14:anchorId="4D871F88" wp14:editId="53D191CD">
            <wp:extent cx="3095625" cy="71913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294" cy="7234741"/>
                    </a:xfrm>
                    <a:prstGeom prst="rect">
                      <a:avLst/>
                    </a:prstGeom>
                    <a:noFill/>
                    <a:ln>
                      <a:noFill/>
                    </a:ln>
                  </pic:spPr>
                </pic:pic>
              </a:graphicData>
            </a:graphic>
          </wp:inline>
        </w:drawing>
      </w:r>
    </w:p>
    <w:p w14:paraId="23A00D4C" w14:textId="77777777" w:rsidR="00A02E9A" w:rsidRPr="00315932" w:rsidRDefault="008F6FFD" w:rsidP="006F2AF2">
      <w:pPr>
        <w:pStyle w:val="IFTnormal"/>
        <w:jc w:val="center"/>
      </w:pPr>
      <w:r w:rsidRPr="00315932">
        <w:rPr>
          <w:noProof/>
          <w:lang w:val="es-MX" w:eastAsia="es-MX"/>
        </w:rPr>
        <w:lastRenderedPageBreak/>
        <w:drawing>
          <wp:inline distT="0" distB="0" distL="0" distR="0" wp14:anchorId="29D346CE" wp14:editId="295024CE">
            <wp:extent cx="2816722" cy="32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6722" cy="3240000"/>
                    </a:xfrm>
                    <a:prstGeom prst="rect">
                      <a:avLst/>
                    </a:prstGeom>
                    <a:noFill/>
                    <a:ln>
                      <a:noFill/>
                    </a:ln>
                  </pic:spPr>
                </pic:pic>
              </a:graphicData>
            </a:graphic>
          </wp:inline>
        </w:drawing>
      </w:r>
    </w:p>
    <w:p w14:paraId="4E2AEF68" w14:textId="77777777" w:rsidR="008F6FFD" w:rsidRPr="00315932" w:rsidRDefault="00935DA3" w:rsidP="00935DA3">
      <w:pPr>
        <w:pStyle w:val="Ttulo3"/>
      </w:pPr>
      <w:r w:rsidRPr="00315932">
        <w:t>4.1 Registro</w:t>
      </w:r>
    </w:p>
    <w:p w14:paraId="602F431B" w14:textId="297F614F" w:rsidR="00935DA3" w:rsidRPr="00315932" w:rsidRDefault="00935DA3" w:rsidP="00935DA3">
      <w:pPr>
        <w:pStyle w:val="IFTnormal"/>
      </w:pPr>
      <w:r w:rsidRPr="00315932">
        <w:t xml:space="preserve">El </w:t>
      </w:r>
      <w:r w:rsidR="006E7461" w:rsidRPr="00315932">
        <w:t xml:space="preserve">CS </w:t>
      </w:r>
      <w:r w:rsidRPr="00315932">
        <w:t>genera un reporte de incidente hacia Telmex después de validar que la falla</w:t>
      </w:r>
      <w:r w:rsidR="00E65121">
        <w:t xml:space="preserve"> o incidencia</w:t>
      </w:r>
      <w:r w:rsidRPr="00315932">
        <w:t xml:space="preserve"> no es de su responsabilidad. Al recibir el reporte, el Centro de Atención de Telmex confirma que el servicio afectado corresponde al </w:t>
      </w:r>
      <w:r w:rsidR="005263F3">
        <w:t>CS</w:t>
      </w:r>
      <w:r w:rsidRPr="00315932">
        <w:t xml:space="preserve"> y que tiene estatus de servicio en operación.</w:t>
      </w:r>
    </w:p>
    <w:p w14:paraId="102E4E8F" w14:textId="114F4F2F" w:rsidR="008F6FFD" w:rsidRPr="00315932" w:rsidRDefault="00935DA3" w:rsidP="00935DA3">
      <w:pPr>
        <w:pStyle w:val="IFTnormal"/>
      </w:pPr>
      <w:r w:rsidRPr="00315932">
        <w:t xml:space="preserve">El Centro de Atención Telmex registra el reporte en el sistema, para cada uno de ellos se generará un ticket y se le informará al </w:t>
      </w:r>
      <w:r w:rsidR="006E7461" w:rsidRPr="00315932">
        <w:t xml:space="preserve">CS </w:t>
      </w:r>
      <w:r w:rsidRPr="00315932">
        <w:t>para su seguimiento.</w:t>
      </w:r>
    </w:p>
    <w:p w14:paraId="5B887F11" w14:textId="61E5900C" w:rsidR="003464AF" w:rsidRPr="00315932" w:rsidRDefault="003464AF" w:rsidP="00475A17">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 xml:space="preserve">Cualquier </w:t>
      </w:r>
      <w:r w:rsidR="00DF505F" w:rsidRPr="00315932">
        <w:rPr>
          <w:rFonts w:ascii="ITC Avant Garde" w:hAnsi="ITC Avant Garde"/>
          <w:color w:val="000000"/>
          <w:sz w:val="22"/>
          <w:szCs w:val="22"/>
        </w:rPr>
        <w:t>c</w:t>
      </w:r>
      <w:r w:rsidRPr="00315932">
        <w:rPr>
          <w:rFonts w:ascii="ITC Avant Garde" w:hAnsi="ITC Avant Garde"/>
          <w:color w:val="000000"/>
          <w:sz w:val="22"/>
          <w:szCs w:val="22"/>
        </w:rPr>
        <w:t>oncesionario, incluido Telmex, podrá alertar sobre la existencia de alguna incidencia real o potencial que afecte</w:t>
      </w:r>
      <w:r w:rsidR="001F0E45" w:rsidRPr="00315932">
        <w:rPr>
          <w:rFonts w:ascii="ITC Avant Garde" w:hAnsi="ITC Avant Garde"/>
          <w:color w:val="000000"/>
          <w:sz w:val="22"/>
          <w:szCs w:val="22"/>
        </w:rPr>
        <w:t xml:space="preserve"> </w:t>
      </w:r>
      <w:r w:rsidR="00BB57A7" w:rsidRPr="00315932">
        <w:rPr>
          <w:rFonts w:ascii="ITC Avant Garde" w:hAnsi="ITC Avant Garde"/>
          <w:color w:val="000000"/>
          <w:sz w:val="22"/>
          <w:szCs w:val="22"/>
        </w:rPr>
        <w:t xml:space="preserve">a todos los servicios materia de la Oferta de </w:t>
      </w:r>
      <w:r w:rsidR="008B5722" w:rsidRPr="00315932">
        <w:rPr>
          <w:rFonts w:ascii="ITC Avant Garde" w:hAnsi="ITC Avant Garde"/>
          <w:color w:val="000000"/>
          <w:sz w:val="22"/>
          <w:szCs w:val="22"/>
        </w:rPr>
        <w:t>Referencia</w:t>
      </w:r>
      <w:r w:rsidRPr="00315932">
        <w:rPr>
          <w:rFonts w:ascii="ITC Avant Garde" w:hAnsi="ITC Avant Garde"/>
          <w:color w:val="000000"/>
          <w:sz w:val="22"/>
          <w:szCs w:val="22"/>
        </w:rPr>
        <w:t xml:space="preserve">, por tanto, se dará seguimiento a las incidencias detectadas y reportadas por los </w:t>
      </w:r>
      <w:r w:rsidR="00476BFC">
        <w:rPr>
          <w:rFonts w:ascii="ITC Avant Garde" w:hAnsi="ITC Avant Garde"/>
          <w:color w:val="000000"/>
          <w:sz w:val="22"/>
          <w:szCs w:val="22"/>
        </w:rPr>
        <w:t>CS</w:t>
      </w:r>
      <w:r w:rsidR="00DF505F" w:rsidRPr="00315932">
        <w:rPr>
          <w:rFonts w:ascii="ITC Avant Garde" w:hAnsi="ITC Avant Garde"/>
          <w:color w:val="000000"/>
          <w:sz w:val="22"/>
          <w:szCs w:val="22"/>
        </w:rPr>
        <w:t xml:space="preserve"> </w:t>
      </w:r>
      <w:r w:rsidRPr="00315932">
        <w:rPr>
          <w:rFonts w:ascii="ITC Avant Garde" w:hAnsi="ITC Avant Garde"/>
          <w:color w:val="000000"/>
          <w:sz w:val="22"/>
          <w:szCs w:val="22"/>
        </w:rPr>
        <w:t>y se advertirá a los operadores afectados sobre las incidencias detectada</w:t>
      </w:r>
      <w:r w:rsidR="001F0E45" w:rsidRPr="00315932">
        <w:rPr>
          <w:rFonts w:ascii="ITC Avant Garde" w:hAnsi="ITC Avant Garde"/>
          <w:color w:val="000000"/>
          <w:sz w:val="22"/>
          <w:szCs w:val="22"/>
        </w:rPr>
        <w:t>s</w:t>
      </w:r>
      <w:r w:rsidRPr="00315932">
        <w:rPr>
          <w:rFonts w:ascii="ITC Avant Garde" w:hAnsi="ITC Avant Garde"/>
          <w:color w:val="000000"/>
          <w:sz w:val="22"/>
          <w:szCs w:val="22"/>
        </w:rPr>
        <w:t xml:space="preserve">. </w:t>
      </w:r>
    </w:p>
    <w:p w14:paraId="1E7F9515" w14:textId="77777777" w:rsidR="003464AF" w:rsidRPr="00315932" w:rsidRDefault="003464AF" w:rsidP="00475A17">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Los datos obligatorios para reportar incidencias, son los siguientes:</w:t>
      </w:r>
    </w:p>
    <w:p w14:paraId="1F86FB4E"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Nombre del concesionario.</w:t>
      </w:r>
    </w:p>
    <w:p w14:paraId="1863AD6A"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Nombre de la persona que reporta el servicio.</w:t>
      </w:r>
    </w:p>
    <w:p w14:paraId="43007953"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Teléfonos de contacto (principal y alternativo).</w:t>
      </w:r>
    </w:p>
    <w:p w14:paraId="043B3960"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Direcciones de correo electrónico (principal y alternativa).</w:t>
      </w:r>
    </w:p>
    <w:p w14:paraId="6F14D1A4"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Referencia del servicio.</w:t>
      </w:r>
    </w:p>
    <w:p w14:paraId="0CBB8282" w14:textId="77777777" w:rsidR="003464AF" w:rsidRPr="00315932"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Descripción de la Incidencia.</w:t>
      </w:r>
    </w:p>
    <w:p w14:paraId="108A6782" w14:textId="06ED54EA" w:rsidR="003464AF" w:rsidRDefault="003464AF" w:rsidP="00475A17">
      <w:pPr>
        <w:pStyle w:val="Texto1"/>
        <w:numPr>
          <w:ilvl w:val="0"/>
          <w:numId w:val="7"/>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lastRenderedPageBreak/>
        <w:t>Identificador de Incidencia del concesionario.</w:t>
      </w:r>
    </w:p>
    <w:p w14:paraId="59DF49FB" w14:textId="58843D0D" w:rsidR="001E3370" w:rsidRPr="00315932" w:rsidRDefault="001E3370" w:rsidP="00475A17">
      <w:pPr>
        <w:pStyle w:val="Texto1"/>
        <w:numPr>
          <w:ilvl w:val="0"/>
          <w:numId w:val="7"/>
        </w:numPr>
        <w:spacing w:after="200" w:line="276" w:lineRule="auto"/>
        <w:rPr>
          <w:rFonts w:ascii="ITC Avant Garde" w:hAnsi="ITC Avant Garde"/>
          <w:color w:val="000000"/>
          <w:sz w:val="22"/>
          <w:szCs w:val="22"/>
        </w:rPr>
      </w:pPr>
      <w:r>
        <w:rPr>
          <w:rFonts w:ascii="ITC Avant Garde" w:hAnsi="ITC Avant Garde"/>
          <w:color w:val="000000"/>
          <w:sz w:val="22"/>
          <w:szCs w:val="22"/>
        </w:rPr>
        <w:t>Número de serie del módem en servicio (para SRP, SRI y SAIB)</w:t>
      </w:r>
      <w:r w:rsidR="00686B12">
        <w:rPr>
          <w:rFonts w:ascii="ITC Avant Garde" w:hAnsi="ITC Avant Garde"/>
          <w:color w:val="000000"/>
          <w:sz w:val="22"/>
          <w:szCs w:val="22"/>
        </w:rPr>
        <w:t>.</w:t>
      </w:r>
    </w:p>
    <w:p w14:paraId="28B19522" w14:textId="5E36F245" w:rsidR="001C7A68" w:rsidRPr="00315932" w:rsidRDefault="007F3F63" w:rsidP="001C7A68">
      <w:pPr>
        <w:pStyle w:val="IFTnormal"/>
      </w:pPr>
      <w:r w:rsidRPr="00315932">
        <w:t xml:space="preserve">Una vez proporcionados todos los datos obligatorios para el reporte de incidencia, quedará registrada con fecha y hora del reporte, </w:t>
      </w:r>
      <w:r w:rsidR="00DF505F" w:rsidRPr="00315932">
        <w:t xml:space="preserve">y </w:t>
      </w:r>
      <w:r w:rsidRPr="00315932">
        <w:t xml:space="preserve">se le podrá dar seguimiento con el número de </w:t>
      </w:r>
      <w:proofErr w:type="gramStart"/>
      <w:r w:rsidRPr="00315932">
        <w:t>ticket</w:t>
      </w:r>
      <w:proofErr w:type="gramEnd"/>
      <w:r w:rsidRPr="00315932">
        <w:t xml:space="preserve"> asignado.</w:t>
      </w:r>
    </w:p>
    <w:p w14:paraId="5244E3DF" w14:textId="77777777" w:rsidR="002E2B46" w:rsidRPr="00315932" w:rsidRDefault="001C7A68" w:rsidP="001C7A68">
      <w:pPr>
        <w:pStyle w:val="Ttulo3"/>
      </w:pPr>
      <w:r w:rsidRPr="00315932">
        <w:t>4.2 Clasificación</w:t>
      </w:r>
    </w:p>
    <w:p w14:paraId="37E6BFBF" w14:textId="77777777" w:rsidR="001C7A68" w:rsidRPr="00315932" w:rsidRDefault="001C7A68" w:rsidP="001C7A68">
      <w:pPr>
        <w:pStyle w:val="IFTnormal"/>
      </w:pPr>
      <w:r w:rsidRPr="00315932">
        <w:t xml:space="preserve">El Centro de Atención </w:t>
      </w:r>
      <w:r w:rsidR="00DF505F" w:rsidRPr="00315932">
        <w:t xml:space="preserve">de Telmex </w:t>
      </w:r>
      <w:r w:rsidRPr="00315932">
        <w:t>clasificará el reporte de acuerdo al tipo de servicio que se está reportando</w:t>
      </w:r>
      <w:r w:rsidR="007F3F63" w:rsidRPr="00315932">
        <w:t xml:space="preserve">. </w:t>
      </w:r>
      <w:r w:rsidRPr="00315932">
        <w:t xml:space="preserve">Esta clasificación tiene como objetivo asignar la solución del Incidente al área correspondiente. </w:t>
      </w:r>
    </w:p>
    <w:p w14:paraId="2A56E525" w14:textId="7B4DAAAA" w:rsidR="001C7A68" w:rsidRPr="00315932" w:rsidRDefault="001C7A68" w:rsidP="001C7A68">
      <w:pPr>
        <w:pStyle w:val="IFTnormal"/>
      </w:pPr>
      <w:r w:rsidRPr="00315932">
        <w:t>Después del diagnóstico, se realiza una segunda clasificación para segmentar si el incidente se localiza en la Planta Interna (</w:t>
      </w:r>
      <w:r w:rsidR="00DF505F" w:rsidRPr="00315932">
        <w:t>i</w:t>
      </w:r>
      <w:r w:rsidRPr="00315932">
        <w:t>nfraestructura y equipos en los edificios de Telmex) o en la Planta Externa (</w:t>
      </w:r>
      <w:r w:rsidR="00DF505F" w:rsidRPr="00315932">
        <w:t>r</w:t>
      </w:r>
      <w:r w:rsidRPr="00315932">
        <w:t>ed de fibra óptica, red de cable multipar, etc.).</w:t>
      </w:r>
    </w:p>
    <w:p w14:paraId="62A17F5A" w14:textId="77777777" w:rsidR="001C7A68" w:rsidRPr="00315932" w:rsidRDefault="001C7A68" w:rsidP="001C7A68">
      <w:pPr>
        <w:pStyle w:val="IFTnormal"/>
      </w:pPr>
      <w:r w:rsidRPr="00315932">
        <w:t>Por el nivel de impacto en la cantidad de servicios, un incidente puede ser masivo o individual.</w:t>
      </w:r>
    </w:p>
    <w:p w14:paraId="4A3420DD" w14:textId="77777777" w:rsidR="00805058" w:rsidRPr="00315932" w:rsidRDefault="00805058" w:rsidP="00805058">
      <w:pPr>
        <w:pStyle w:val="Ttulo3"/>
      </w:pPr>
      <w:r w:rsidRPr="00315932">
        <w:t>4.3 Diagnóstico</w:t>
      </w:r>
    </w:p>
    <w:p w14:paraId="4CDD8CF6" w14:textId="77777777" w:rsidR="00805058" w:rsidRPr="00315932" w:rsidRDefault="00805058" w:rsidP="00805058">
      <w:pPr>
        <w:pStyle w:val="IFTnormal"/>
        <w:rPr>
          <w:u w:val="single"/>
        </w:rPr>
      </w:pPr>
      <w:r w:rsidRPr="00315932">
        <w:rPr>
          <w:u w:val="single"/>
        </w:rPr>
        <w:t xml:space="preserve">a) Incidentes </w:t>
      </w:r>
      <w:r w:rsidR="00C452D7" w:rsidRPr="00315932">
        <w:rPr>
          <w:u w:val="single"/>
        </w:rPr>
        <w:t>Individuales</w:t>
      </w:r>
      <w:r w:rsidRPr="00315932">
        <w:rPr>
          <w:u w:val="single"/>
        </w:rPr>
        <w:t>:</w:t>
      </w:r>
    </w:p>
    <w:p w14:paraId="6A758890" w14:textId="77777777" w:rsidR="00805058" w:rsidRPr="00315932" w:rsidRDefault="00805058" w:rsidP="00805058">
      <w:pPr>
        <w:pStyle w:val="IFTnormal"/>
      </w:pPr>
      <w:r w:rsidRPr="00315932">
        <w:t>Se diagnostica a través de los Centros de Atención y se registra un ticket de falla.</w:t>
      </w:r>
    </w:p>
    <w:p w14:paraId="3A04FC4A" w14:textId="77777777" w:rsidR="00805058" w:rsidRPr="00315932" w:rsidRDefault="00805058" w:rsidP="00805058">
      <w:pPr>
        <w:pStyle w:val="IFTnormal"/>
        <w:rPr>
          <w:u w:val="single"/>
        </w:rPr>
      </w:pPr>
      <w:r w:rsidRPr="00315932">
        <w:rPr>
          <w:u w:val="single"/>
        </w:rPr>
        <w:t>b) Incidentes Masivos:</w:t>
      </w:r>
    </w:p>
    <w:p w14:paraId="6C4F8603" w14:textId="6D994566" w:rsidR="00805058" w:rsidRPr="00315932" w:rsidRDefault="00805058" w:rsidP="00805058">
      <w:pPr>
        <w:pStyle w:val="IFTnormal"/>
      </w:pPr>
      <w:r w:rsidRPr="00315932">
        <w:t>Los Centros de Supervisión de Telmex realizan el diagnóstico del incidente utilizando sus herramientas de Gestión de Elementos de Red</w:t>
      </w:r>
      <w:r w:rsidR="006F42AE" w:rsidRPr="00315932">
        <w:t xml:space="preserve"> (eventos de monitorización)</w:t>
      </w:r>
      <w:r w:rsidRPr="00315932">
        <w:t xml:space="preserve">, registran el Incidente </w:t>
      </w:r>
      <w:r w:rsidR="00C452D7" w:rsidRPr="00315932">
        <w:t xml:space="preserve">y </w:t>
      </w:r>
      <w:r w:rsidRPr="00315932">
        <w:t xml:space="preserve">con base en ello determinarán en primera instancia, la posibilidad de recuperar el servicio de forma remota. En caso contrario, el incidente será asignado al Centro Operativo correspondiente </w:t>
      </w:r>
      <w:r w:rsidR="00C452D7" w:rsidRPr="00315932">
        <w:t>para su solución</w:t>
      </w:r>
      <w:r w:rsidRPr="00315932">
        <w:t>.</w:t>
      </w:r>
    </w:p>
    <w:p w14:paraId="247459B9" w14:textId="77777777" w:rsidR="00C452D7" w:rsidRPr="00315932" w:rsidRDefault="00C452D7" w:rsidP="00C452D7">
      <w:pPr>
        <w:pStyle w:val="Ttulo3"/>
      </w:pPr>
      <w:r w:rsidRPr="00315932">
        <w:t>4.4 Solución</w:t>
      </w:r>
    </w:p>
    <w:p w14:paraId="1EA2CC1A" w14:textId="77777777" w:rsidR="00C452D7" w:rsidRPr="00315932" w:rsidRDefault="00C452D7" w:rsidP="00C452D7">
      <w:pPr>
        <w:pStyle w:val="IFTnormal"/>
      </w:pPr>
      <w:r w:rsidRPr="00315932">
        <w:t>En caso de identificar que es posible recuperar el servicio de forma remota, los Centros de Supervisión aplican las instrucciones operativas a través de las herramientas de Gestión de Elementos de Red para restablecer el servicio.</w:t>
      </w:r>
    </w:p>
    <w:p w14:paraId="667CB645" w14:textId="57697180" w:rsidR="00C452D7" w:rsidRPr="00315932" w:rsidRDefault="00C452D7" w:rsidP="00C452D7">
      <w:pPr>
        <w:pStyle w:val="IFTnormal"/>
      </w:pPr>
      <w:r w:rsidRPr="00315932">
        <w:t>En caso de requerirse asistencia física para la solución del incidente, el reporte del cliente se turna al Centro Operativo que corresponda</w:t>
      </w:r>
      <w:r w:rsidR="00E3024C" w:rsidRPr="00315932">
        <w:t>,</w:t>
      </w:r>
      <w:r w:rsidRPr="00315932">
        <w:t xml:space="preserve"> para que </w:t>
      </w:r>
      <w:r w:rsidR="00DF505F" w:rsidRPr="00315932">
        <w:t xml:space="preserve">Telmex </w:t>
      </w:r>
      <w:r w:rsidRPr="00315932">
        <w:t>realice las pruebas y reparaciones físicas necesarias en la infraestructura afectada.</w:t>
      </w:r>
    </w:p>
    <w:p w14:paraId="59695114" w14:textId="202319A4" w:rsidR="00C452D7" w:rsidRPr="00315932" w:rsidRDefault="000D20C6" w:rsidP="00C452D7">
      <w:pPr>
        <w:pStyle w:val="IFTnormal"/>
      </w:pPr>
      <w:r w:rsidRPr="00315932">
        <w:t xml:space="preserve">En los casos en los que sea necesario realizar alguna actividad en las instalaciones del usuario final y éste no sea localizado, se le llamará al CS para que solucione la situación </w:t>
      </w:r>
      <w:r w:rsidRPr="00315932">
        <w:lastRenderedPageBreak/>
        <w:t xml:space="preserve">con su </w:t>
      </w:r>
      <w:r w:rsidR="00DF505F" w:rsidRPr="00315932">
        <w:t>cliente</w:t>
      </w:r>
      <w:r w:rsidRPr="00315932">
        <w:t>, Telmex esperará al menos 15 min</w:t>
      </w:r>
      <w:r w:rsidR="00DF505F" w:rsidRPr="00315932">
        <w:t>utos.</w:t>
      </w:r>
      <w:r w:rsidRPr="00315932">
        <w:t xml:space="preserve"> </w:t>
      </w:r>
      <w:r w:rsidR="00DF505F" w:rsidRPr="00315932">
        <w:t>S</w:t>
      </w:r>
      <w:r w:rsidRPr="00315932">
        <w:t>i en este tiempo no fue posible la atención de la falla</w:t>
      </w:r>
      <w:r w:rsidR="009F7469">
        <w:t>, la misma será cerrada y</w:t>
      </w:r>
      <w:r w:rsidRPr="00315932">
        <w:t xml:space="preserve"> el CS deberá </w:t>
      </w:r>
      <w:r w:rsidR="00723A70">
        <w:t>realizar un nuevo reporte de falla</w:t>
      </w:r>
      <w:r w:rsidRPr="00315932">
        <w:t>. El CS deberá considerar que las “visitas en falso” o bien las cancelaciones de atención del reporte de falla al momento de suscitarse la visita, tendrán un costo de acuerdo a lo expuesto en el Anexo “A” de la Oferta de Referencia.</w:t>
      </w:r>
    </w:p>
    <w:p w14:paraId="38584834" w14:textId="77777777" w:rsidR="00B6245A" w:rsidRPr="00315932" w:rsidRDefault="00B6245A" w:rsidP="00C452D7">
      <w:pPr>
        <w:pStyle w:val="IFTnormal"/>
        <w:rPr>
          <w:b/>
          <w:u w:val="single"/>
        </w:rPr>
      </w:pPr>
      <w:r w:rsidRPr="00315932">
        <w:rPr>
          <w:b/>
          <w:u w:val="single"/>
        </w:rPr>
        <w:t>Importante:</w:t>
      </w:r>
    </w:p>
    <w:p w14:paraId="4F4577CE" w14:textId="77777777" w:rsidR="00B6245A" w:rsidRPr="00315932" w:rsidRDefault="00B6245A" w:rsidP="00B6245A">
      <w:pPr>
        <w:pStyle w:val="IFTnormal"/>
        <w:numPr>
          <w:ilvl w:val="0"/>
          <w:numId w:val="25"/>
        </w:numPr>
        <w:rPr>
          <w:lang w:val="es-MX"/>
        </w:rPr>
      </w:pPr>
      <w:r w:rsidRPr="00315932">
        <w:rPr>
          <w:lang w:val="es-MX"/>
        </w:rPr>
        <w:t>En caso de Coubicación, Telmex atenderá las fallas, no obstante, si las fallas en energía o clima fueron ocasionadas por un mal uso de las instalaciones o por excesos de consumo de los equipos de concesionario, el CS deberá pagar las reparaciones correspondientes.</w:t>
      </w:r>
    </w:p>
    <w:p w14:paraId="471A0162" w14:textId="77777777" w:rsidR="001A601A" w:rsidRPr="00315932" w:rsidRDefault="001A601A" w:rsidP="001A601A">
      <w:pPr>
        <w:pStyle w:val="Ttulo3"/>
      </w:pPr>
      <w:r w:rsidRPr="00315932">
        <w:t>4.5 Seguimiento a reportes de incidencias</w:t>
      </w:r>
    </w:p>
    <w:p w14:paraId="4BB3D535" w14:textId="40F485CC" w:rsidR="001A601A" w:rsidRPr="00315932" w:rsidRDefault="001A601A" w:rsidP="00C452D7">
      <w:pPr>
        <w:pStyle w:val="IFTnormal"/>
      </w:pPr>
      <w:r w:rsidRPr="00315932">
        <w:t>Los CS podrán realizar el seguimiento a las incidencias</w:t>
      </w:r>
      <w:r w:rsidR="0038445B" w:rsidRPr="00315932">
        <w:t xml:space="preserve"> reportadas</w:t>
      </w:r>
      <w:r w:rsidRPr="00315932">
        <w:t xml:space="preserve"> hasta su solución</w:t>
      </w:r>
      <w:r w:rsidR="0038445B" w:rsidRPr="00315932">
        <w:t>,</w:t>
      </w:r>
      <w:r w:rsidRPr="00315932">
        <w:t xml:space="preserve"> a través del SEG</w:t>
      </w:r>
      <w:r w:rsidR="001E3370">
        <w:t xml:space="preserve"> y en caso de falla del SEG, a través del</w:t>
      </w:r>
      <w:r w:rsidR="001E3370" w:rsidRPr="00F1277B">
        <w:t xml:space="preserve"> </w:t>
      </w:r>
      <w:r w:rsidR="001E3370">
        <w:t>01800 4040 734</w:t>
      </w:r>
      <w:r w:rsidR="005E7E6D">
        <w:t>.</w:t>
      </w:r>
    </w:p>
    <w:p w14:paraId="4D072C78" w14:textId="4BB7301D" w:rsidR="001A601A" w:rsidRPr="00315932" w:rsidRDefault="002419F5" w:rsidP="00C452D7">
      <w:pPr>
        <w:pStyle w:val="IFTnormal"/>
      </w:pPr>
      <w:r w:rsidRPr="00315932">
        <w:t>Cualquier modificación al estatus de los reportes de incidencias se ver</w:t>
      </w:r>
      <w:r w:rsidR="00495FA0" w:rsidRPr="00315932">
        <w:t>á reflejada</w:t>
      </w:r>
      <w:r w:rsidRPr="00315932">
        <w:t xml:space="preserve"> </w:t>
      </w:r>
      <w:r w:rsidR="001E0FC5" w:rsidRPr="00315932">
        <w:t xml:space="preserve">en </w:t>
      </w:r>
      <w:r w:rsidR="001E0FC5">
        <w:t>el</w:t>
      </w:r>
      <w:r w:rsidR="00686B12">
        <w:t xml:space="preserve"> SEG</w:t>
      </w:r>
      <w:r w:rsidRPr="00315932">
        <w:t>, dentro de la bitácora de seguimiento.</w:t>
      </w:r>
    </w:p>
    <w:p w14:paraId="214BF52C" w14:textId="77777777" w:rsidR="00FB30DB" w:rsidRPr="00315932" w:rsidRDefault="00FB30DB" w:rsidP="00FB30DB">
      <w:pPr>
        <w:pStyle w:val="Ttulo3"/>
      </w:pPr>
      <w:r w:rsidRPr="00315932">
        <w:t>4.6 Escalamiento de incidencias</w:t>
      </w:r>
    </w:p>
    <w:p w14:paraId="7A096914" w14:textId="37352F98" w:rsidR="00AE3FC8" w:rsidRPr="00315932" w:rsidRDefault="00AE3FC8" w:rsidP="00AE3FC8">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Cuando el Concesionario que reportó la incidencia considere que la solución o la respuesta no han sido satisfactorias podrá iniciar el procedimiento de escalamiento</w:t>
      </w:r>
      <w:r w:rsidR="005A39B5" w:rsidRPr="00315932">
        <w:rPr>
          <w:rFonts w:ascii="ITC Avant Garde" w:hAnsi="ITC Avant Garde"/>
          <w:color w:val="000000"/>
          <w:sz w:val="22"/>
          <w:szCs w:val="22"/>
        </w:rPr>
        <w:t xml:space="preserve"> de incidencias</w:t>
      </w:r>
      <w:r w:rsidRPr="00315932">
        <w:rPr>
          <w:rFonts w:ascii="ITC Avant Garde" w:hAnsi="ITC Avant Garde"/>
          <w:color w:val="000000"/>
          <w:sz w:val="22"/>
          <w:szCs w:val="22"/>
        </w:rPr>
        <w:t>, con el fin de resolver las posibles discrepancias que hayan surgido tras la apertura de la falla.</w:t>
      </w:r>
    </w:p>
    <w:p w14:paraId="56112B23" w14:textId="0E6FBA5B" w:rsidR="00AE3FC8" w:rsidRPr="00315932" w:rsidRDefault="00AE3FC8" w:rsidP="00AE3FC8">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 xml:space="preserve">El procedimiento de escalamiento podrá hacerse solo para fallas o incidencias abiertas (activas/pendientes) independientemente del plazo transcurrido desde el reporte de apertura, </w:t>
      </w:r>
      <w:r w:rsidR="005A39B5" w:rsidRPr="00315932">
        <w:rPr>
          <w:rFonts w:ascii="ITC Avant Garde" w:hAnsi="ITC Avant Garde"/>
          <w:color w:val="000000"/>
          <w:sz w:val="22"/>
          <w:szCs w:val="22"/>
        </w:rPr>
        <w:t xml:space="preserve">y </w:t>
      </w:r>
      <w:r w:rsidRPr="00315932">
        <w:rPr>
          <w:rFonts w:ascii="ITC Avant Garde" w:hAnsi="ITC Avant Garde"/>
          <w:color w:val="000000"/>
          <w:sz w:val="22"/>
          <w:szCs w:val="22"/>
        </w:rPr>
        <w:t xml:space="preserve">se iniciará vía telefónica. </w:t>
      </w:r>
    </w:p>
    <w:p w14:paraId="6BB0B5C1" w14:textId="6F4CEA41" w:rsidR="00AE3FC8" w:rsidRPr="00315932" w:rsidRDefault="00AE3FC8" w:rsidP="00AE3FC8">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 xml:space="preserve">Los </w:t>
      </w:r>
      <w:r w:rsidR="005A39B5" w:rsidRPr="00315932">
        <w:rPr>
          <w:rFonts w:ascii="ITC Avant Garde" w:hAnsi="ITC Avant Garde"/>
          <w:color w:val="000000"/>
          <w:sz w:val="22"/>
          <w:szCs w:val="22"/>
        </w:rPr>
        <w:t xml:space="preserve">CS </w:t>
      </w:r>
      <w:r w:rsidRPr="00315932">
        <w:rPr>
          <w:rFonts w:ascii="ITC Avant Garde" w:hAnsi="ITC Avant Garde"/>
          <w:color w:val="000000"/>
          <w:sz w:val="22"/>
          <w:szCs w:val="22"/>
        </w:rPr>
        <w:t xml:space="preserve">y Telmex proporcionarán sus correspondientes cuadros de escalamiento a los que deberán dirigirse para escalar según el procedimiento, los cuales deben incluir: teléfono, correo electrónico y puesto. Las personas responsables de cada nivel de escalamiento tendrán una disponibilidad de 24 horas. El CS </w:t>
      </w:r>
      <w:r w:rsidR="0027184A" w:rsidRPr="00315932">
        <w:rPr>
          <w:rFonts w:ascii="ITC Avant Garde" w:hAnsi="ITC Avant Garde"/>
          <w:color w:val="000000"/>
          <w:sz w:val="22"/>
          <w:szCs w:val="22"/>
        </w:rPr>
        <w:t xml:space="preserve">y Telmex </w:t>
      </w:r>
      <w:r w:rsidRPr="00315932">
        <w:rPr>
          <w:rFonts w:ascii="ITC Avant Garde" w:hAnsi="ITC Avant Garde"/>
          <w:color w:val="000000"/>
          <w:sz w:val="22"/>
          <w:szCs w:val="22"/>
        </w:rPr>
        <w:t>deberá</w:t>
      </w:r>
      <w:r w:rsidR="0027184A" w:rsidRPr="00315932">
        <w:rPr>
          <w:rFonts w:ascii="ITC Avant Garde" w:hAnsi="ITC Avant Garde"/>
          <w:color w:val="000000"/>
          <w:sz w:val="22"/>
          <w:szCs w:val="22"/>
        </w:rPr>
        <w:t>n</w:t>
      </w:r>
      <w:r w:rsidRPr="00315932">
        <w:rPr>
          <w:rFonts w:ascii="ITC Avant Garde" w:hAnsi="ITC Avant Garde"/>
          <w:color w:val="000000"/>
          <w:sz w:val="22"/>
          <w:szCs w:val="22"/>
        </w:rPr>
        <w:t xml:space="preserve"> proporcionar sus cuadros de escalamiento al momento de la firma del Convenio de Desagregación.</w:t>
      </w:r>
    </w:p>
    <w:p w14:paraId="7539975C" w14:textId="77777777" w:rsidR="00AE3FC8" w:rsidRPr="00315932" w:rsidRDefault="00AE3FC8" w:rsidP="00AE3FC8">
      <w:pPr>
        <w:pStyle w:val="Texto1"/>
        <w:spacing w:after="200" w:line="276" w:lineRule="auto"/>
        <w:ind w:left="0"/>
        <w:rPr>
          <w:rFonts w:ascii="ITC Avant Garde" w:hAnsi="ITC Avant Garde"/>
          <w:color w:val="000000"/>
          <w:sz w:val="22"/>
          <w:szCs w:val="22"/>
        </w:rPr>
      </w:pPr>
      <w:r w:rsidRPr="00315932">
        <w:rPr>
          <w:rFonts w:ascii="ITC Avant Garde" w:hAnsi="ITC Avant Garde"/>
          <w:color w:val="000000"/>
          <w:sz w:val="22"/>
          <w:szCs w:val="22"/>
        </w:rPr>
        <w:t>Ambas partes podrán iniciar el procedimiento de escalamiento cuando se den situaciones que generen discrepancias, incluyendo las siguientes:</w:t>
      </w:r>
    </w:p>
    <w:p w14:paraId="3D709424" w14:textId="77777777" w:rsidR="00AE3FC8" w:rsidRPr="00315932" w:rsidRDefault="00AE3FC8" w:rsidP="00AE3FC8">
      <w:pPr>
        <w:pStyle w:val="Texto1"/>
        <w:numPr>
          <w:ilvl w:val="0"/>
          <w:numId w:val="9"/>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Rechazos de cierre de reporte que alguna de las partes considere improcedente.</w:t>
      </w:r>
    </w:p>
    <w:p w14:paraId="22EFFC53" w14:textId="77777777" w:rsidR="00AE3FC8" w:rsidRPr="00315932" w:rsidRDefault="00AE3FC8" w:rsidP="00AE3FC8">
      <w:pPr>
        <w:pStyle w:val="Texto1"/>
        <w:numPr>
          <w:ilvl w:val="0"/>
          <w:numId w:val="9"/>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Respuesta reiterativa, insuficiente o no actualizada en una solicitud de información relativa a una falla.</w:t>
      </w:r>
    </w:p>
    <w:p w14:paraId="6BAFCE6C" w14:textId="77777777" w:rsidR="00AE3FC8" w:rsidRPr="00315932" w:rsidRDefault="00AE3FC8" w:rsidP="00AE3FC8">
      <w:pPr>
        <w:pStyle w:val="Texto1"/>
        <w:numPr>
          <w:ilvl w:val="0"/>
          <w:numId w:val="9"/>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lastRenderedPageBreak/>
        <w:t>Expiración de los tiempos de atención o respuesta comprometidos.</w:t>
      </w:r>
    </w:p>
    <w:p w14:paraId="528EF002" w14:textId="146EC901" w:rsidR="00AE3FC8" w:rsidRPr="00315932" w:rsidRDefault="00AE3FC8" w:rsidP="00AE3FC8">
      <w:pPr>
        <w:pStyle w:val="Texto1"/>
        <w:numPr>
          <w:ilvl w:val="0"/>
          <w:numId w:val="9"/>
        </w:numPr>
        <w:spacing w:after="200" w:line="276" w:lineRule="auto"/>
        <w:rPr>
          <w:rFonts w:ascii="ITC Avant Garde" w:hAnsi="ITC Avant Garde"/>
          <w:color w:val="000000"/>
          <w:sz w:val="22"/>
          <w:szCs w:val="22"/>
        </w:rPr>
      </w:pPr>
      <w:r w:rsidRPr="00315932">
        <w:rPr>
          <w:rFonts w:ascii="ITC Avant Garde" w:hAnsi="ITC Avant Garde"/>
          <w:color w:val="000000"/>
          <w:sz w:val="22"/>
          <w:szCs w:val="22"/>
        </w:rPr>
        <w:t xml:space="preserve">Reincidencia de una falla. Se considera como reincidencia de una falla cuando el mismo elemento de red presenta un mismo problema por más de una ocasión en un periodo de </w:t>
      </w:r>
      <w:r w:rsidR="005A39B5" w:rsidRPr="00315932">
        <w:rPr>
          <w:rFonts w:ascii="ITC Avant Garde" w:hAnsi="ITC Avant Garde"/>
          <w:color w:val="000000"/>
          <w:sz w:val="22"/>
          <w:szCs w:val="22"/>
        </w:rPr>
        <w:t>dos</w:t>
      </w:r>
      <w:r w:rsidRPr="00315932">
        <w:rPr>
          <w:rFonts w:ascii="ITC Avant Garde" w:hAnsi="ITC Avant Garde"/>
          <w:color w:val="000000"/>
          <w:sz w:val="22"/>
          <w:szCs w:val="22"/>
        </w:rPr>
        <w:t xml:space="preserve"> días.</w:t>
      </w:r>
    </w:p>
    <w:p w14:paraId="509A506C" w14:textId="2F56AD4F" w:rsidR="00FB30DB" w:rsidRPr="00315932" w:rsidRDefault="009D7C9C" w:rsidP="00C452D7">
      <w:pPr>
        <w:pStyle w:val="IFTnormal"/>
      </w:pPr>
      <w:r w:rsidRPr="00315932">
        <w:t xml:space="preserve">Nota: Por cuestiones de confidencialidad del personal, la información de las matrices de escalamiento </w:t>
      </w:r>
      <w:r w:rsidR="005A39B5" w:rsidRPr="00315932">
        <w:t xml:space="preserve">de Telmex </w:t>
      </w:r>
      <w:r w:rsidRPr="00315932">
        <w:t>será proporcionad</w:t>
      </w:r>
      <w:r w:rsidR="005E7E6D">
        <w:t>a</w:t>
      </w:r>
      <w:r w:rsidRPr="00315932">
        <w:t xml:space="preserve"> a los CS una vez firmado el convenio de Desagregación.</w:t>
      </w:r>
    </w:p>
    <w:p w14:paraId="4B0C14F4" w14:textId="77777777" w:rsidR="009D7C9C" w:rsidRPr="00315932" w:rsidRDefault="009D7C9C" w:rsidP="00C452D7">
      <w:pPr>
        <w:pStyle w:val="IFTnormal"/>
      </w:pPr>
      <w:r w:rsidRPr="00315932">
        <w:t>Ejemplo de matrices de escalamiento:</w:t>
      </w:r>
    </w:p>
    <w:tbl>
      <w:tblPr>
        <w:tblW w:w="5000" w:type="pct"/>
        <w:tblCellMar>
          <w:left w:w="0" w:type="dxa"/>
          <w:right w:w="0" w:type="dxa"/>
        </w:tblCellMar>
        <w:tblLook w:val="04A0" w:firstRow="1" w:lastRow="0" w:firstColumn="1" w:lastColumn="0" w:noHBand="0" w:noVBand="1"/>
      </w:tblPr>
      <w:tblGrid>
        <w:gridCol w:w="2984"/>
        <w:gridCol w:w="4377"/>
        <w:gridCol w:w="2023"/>
      </w:tblGrid>
      <w:tr w:rsidR="00AE3FC8" w:rsidRPr="00315932" w14:paraId="1A4455D2" w14:textId="77777777" w:rsidTr="00120315">
        <w:tc>
          <w:tcPr>
            <w:tcW w:w="3922"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14:paraId="298CA6B0"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Matriz de Escalamiento Concesionario</w:t>
            </w:r>
          </w:p>
        </w:tc>
        <w:tc>
          <w:tcPr>
            <w:tcW w:w="1078" w:type="pct"/>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14:paraId="13E383CF"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Tiempo de Respuesta</w:t>
            </w:r>
          </w:p>
        </w:tc>
      </w:tr>
      <w:tr w:rsidR="00AE3FC8" w:rsidRPr="00315932" w14:paraId="31CCF232" w14:textId="77777777" w:rsidTr="00120315">
        <w:tc>
          <w:tcPr>
            <w:tcW w:w="1590" w:type="pct"/>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14:paraId="4A9D26EA"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Nivel 1</w:t>
            </w:r>
          </w:p>
        </w:tc>
        <w:tc>
          <w:tcPr>
            <w:tcW w:w="2332" w:type="pct"/>
            <w:tcBorders>
              <w:top w:val="nil"/>
              <w:left w:val="nil"/>
              <w:bottom w:val="single" w:sz="8" w:space="0" w:color="auto"/>
              <w:right w:val="single" w:sz="8" w:space="0" w:color="auto"/>
            </w:tcBorders>
            <w:shd w:val="clear" w:color="auto" w:fill="548DD4"/>
            <w:tcMar>
              <w:top w:w="0" w:type="dxa"/>
              <w:left w:w="108" w:type="dxa"/>
              <w:bottom w:w="0" w:type="dxa"/>
              <w:right w:w="108" w:type="dxa"/>
            </w:tcMar>
            <w:hideMark/>
          </w:tcPr>
          <w:p w14:paraId="09EABFBE"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Contacto</w:t>
            </w:r>
          </w:p>
        </w:tc>
        <w:tc>
          <w:tcPr>
            <w:tcW w:w="1078" w:type="pct"/>
            <w:tcBorders>
              <w:top w:val="nil"/>
              <w:left w:val="nil"/>
              <w:bottom w:val="single" w:sz="8" w:space="0" w:color="auto"/>
              <w:right w:val="single" w:sz="8" w:space="0" w:color="auto"/>
            </w:tcBorders>
            <w:shd w:val="clear" w:color="auto" w:fill="548DD4"/>
            <w:tcMar>
              <w:top w:w="0" w:type="dxa"/>
              <w:left w:w="108" w:type="dxa"/>
              <w:bottom w:w="0" w:type="dxa"/>
              <w:right w:w="108" w:type="dxa"/>
            </w:tcMar>
          </w:tcPr>
          <w:p w14:paraId="0DCAA29C"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24 horas</w:t>
            </w:r>
          </w:p>
        </w:tc>
      </w:tr>
      <w:tr w:rsidR="00AE3FC8" w:rsidRPr="00315932" w14:paraId="0273B24D" w14:textId="77777777" w:rsidTr="00120315">
        <w:tc>
          <w:tcPr>
            <w:tcW w:w="15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74327F" w14:textId="77777777" w:rsidR="00AE3FC8" w:rsidRPr="00315932" w:rsidRDefault="00AE3FC8" w:rsidP="00120315">
            <w:pPr>
              <w:spacing w:after="60"/>
              <w:rPr>
                <w:rFonts w:ascii="ITC Avant Garde" w:hAnsi="ITC Avant Garde"/>
                <w:sz w:val="20"/>
                <w:szCs w:val="20"/>
              </w:rPr>
            </w:pPr>
          </w:p>
        </w:tc>
        <w:tc>
          <w:tcPr>
            <w:tcW w:w="2332" w:type="pct"/>
            <w:tcBorders>
              <w:top w:val="nil"/>
              <w:left w:val="nil"/>
              <w:bottom w:val="single" w:sz="8" w:space="0" w:color="auto"/>
              <w:right w:val="single" w:sz="8" w:space="0" w:color="auto"/>
            </w:tcBorders>
            <w:tcMar>
              <w:top w:w="0" w:type="dxa"/>
              <w:left w:w="108" w:type="dxa"/>
              <w:bottom w:w="0" w:type="dxa"/>
              <w:right w:w="108" w:type="dxa"/>
            </w:tcMar>
            <w:hideMark/>
          </w:tcPr>
          <w:p w14:paraId="6AC1ECCE"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 xml:space="preserve">Correo:  </w:t>
            </w:r>
          </w:p>
          <w:p w14:paraId="2CA67D4B"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 xml:space="preserve">Tel. </w:t>
            </w:r>
          </w:p>
          <w:p w14:paraId="0A2173A7"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Celular:</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14:paraId="405E7322" w14:textId="77777777" w:rsidR="00AE3FC8" w:rsidRPr="00315932" w:rsidRDefault="00AE3FC8" w:rsidP="00120315">
            <w:pPr>
              <w:spacing w:after="60"/>
              <w:rPr>
                <w:rFonts w:ascii="ITC Avant Garde" w:hAnsi="ITC Avant Garde"/>
                <w:sz w:val="20"/>
                <w:szCs w:val="20"/>
              </w:rPr>
            </w:pPr>
          </w:p>
        </w:tc>
      </w:tr>
      <w:tr w:rsidR="00AE3FC8" w:rsidRPr="00315932" w14:paraId="2896490E" w14:textId="77777777" w:rsidTr="00120315">
        <w:tc>
          <w:tcPr>
            <w:tcW w:w="1590" w:type="pct"/>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14:paraId="2B8BEA5F"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Nivel 2</w:t>
            </w:r>
          </w:p>
        </w:tc>
        <w:tc>
          <w:tcPr>
            <w:tcW w:w="2332" w:type="pct"/>
            <w:tcBorders>
              <w:top w:val="nil"/>
              <w:left w:val="nil"/>
              <w:bottom w:val="single" w:sz="8" w:space="0" w:color="auto"/>
              <w:right w:val="single" w:sz="8" w:space="0" w:color="auto"/>
            </w:tcBorders>
            <w:shd w:val="clear" w:color="auto" w:fill="548DD4"/>
            <w:tcMar>
              <w:top w:w="0" w:type="dxa"/>
              <w:left w:w="108" w:type="dxa"/>
              <w:bottom w:w="0" w:type="dxa"/>
              <w:right w:w="108" w:type="dxa"/>
            </w:tcMar>
            <w:hideMark/>
          </w:tcPr>
          <w:p w14:paraId="31AB1369"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Contacto</w:t>
            </w:r>
          </w:p>
        </w:tc>
        <w:tc>
          <w:tcPr>
            <w:tcW w:w="1078" w:type="pct"/>
            <w:tcBorders>
              <w:top w:val="nil"/>
              <w:left w:val="nil"/>
              <w:bottom w:val="single" w:sz="8" w:space="0" w:color="auto"/>
              <w:right w:val="single" w:sz="8" w:space="0" w:color="auto"/>
            </w:tcBorders>
            <w:shd w:val="clear" w:color="auto" w:fill="548DD4"/>
            <w:tcMar>
              <w:top w:w="0" w:type="dxa"/>
              <w:left w:w="108" w:type="dxa"/>
              <w:bottom w:w="0" w:type="dxa"/>
              <w:right w:w="108" w:type="dxa"/>
            </w:tcMar>
          </w:tcPr>
          <w:p w14:paraId="0B1465E9" w14:textId="77777777" w:rsidR="00AE3FC8" w:rsidRPr="00315932" w:rsidRDefault="00AE3FC8" w:rsidP="00120315">
            <w:pPr>
              <w:spacing w:after="60"/>
              <w:jc w:val="center"/>
              <w:rPr>
                <w:rFonts w:ascii="ITC Avant Garde" w:hAnsi="ITC Avant Garde"/>
                <w:b/>
                <w:color w:val="FFFFFF" w:themeColor="background1"/>
                <w:sz w:val="20"/>
                <w:szCs w:val="20"/>
              </w:rPr>
            </w:pPr>
            <w:r w:rsidRPr="00315932">
              <w:rPr>
                <w:rFonts w:ascii="ITC Avant Garde" w:hAnsi="ITC Avant Garde"/>
                <w:b/>
                <w:color w:val="FFFFFF" w:themeColor="background1"/>
                <w:sz w:val="20"/>
                <w:szCs w:val="20"/>
              </w:rPr>
              <w:t>48 horas</w:t>
            </w:r>
          </w:p>
        </w:tc>
      </w:tr>
      <w:tr w:rsidR="00AE3FC8" w:rsidRPr="00315932" w14:paraId="0E9A8FCE" w14:textId="77777777" w:rsidTr="00120315">
        <w:tc>
          <w:tcPr>
            <w:tcW w:w="15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D5469" w14:textId="77777777" w:rsidR="00AE3FC8" w:rsidRPr="00315932" w:rsidRDefault="00AE3FC8" w:rsidP="00120315">
            <w:pPr>
              <w:spacing w:after="60"/>
              <w:rPr>
                <w:rFonts w:ascii="ITC Avant Garde" w:hAnsi="ITC Avant Garde"/>
                <w:sz w:val="20"/>
                <w:szCs w:val="20"/>
              </w:rPr>
            </w:pPr>
          </w:p>
        </w:tc>
        <w:tc>
          <w:tcPr>
            <w:tcW w:w="2332" w:type="pct"/>
            <w:tcBorders>
              <w:top w:val="nil"/>
              <w:left w:val="nil"/>
              <w:bottom w:val="single" w:sz="8" w:space="0" w:color="auto"/>
              <w:right w:val="single" w:sz="8" w:space="0" w:color="auto"/>
            </w:tcBorders>
            <w:tcMar>
              <w:top w:w="0" w:type="dxa"/>
              <w:left w:w="108" w:type="dxa"/>
              <w:bottom w:w="0" w:type="dxa"/>
              <w:right w:w="108" w:type="dxa"/>
            </w:tcMar>
            <w:hideMark/>
          </w:tcPr>
          <w:p w14:paraId="6B1C0E11"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 xml:space="preserve">Correo:  </w:t>
            </w:r>
          </w:p>
          <w:p w14:paraId="2E549EC8"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 xml:space="preserve">Tel. </w:t>
            </w:r>
          </w:p>
          <w:p w14:paraId="7F5C3B30" w14:textId="77777777" w:rsidR="00AE3FC8" w:rsidRPr="00315932" w:rsidRDefault="00AE3FC8" w:rsidP="00120315">
            <w:pPr>
              <w:spacing w:after="60"/>
              <w:rPr>
                <w:rFonts w:ascii="ITC Avant Garde" w:hAnsi="ITC Avant Garde"/>
                <w:sz w:val="20"/>
                <w:szCs w:val="20"/>
              </w:rPr>
            </w:pPr>
            <w:r w:rsidRPr="00315932">
              <w:rPr>
                <w:rFonts w:ascii="ITC Avant Garde" w:hAnsi="ITC Avant Garde"/>
                <w:sz w:val="20"/>
                <w:szCs w:val="20"/>
              </w:rPr>
              <w:t xml:space="preserve">Celular: </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14:paraId="1057AD28" w14:textId="77777777" w:rsidR="00AE3FC8" w:rsidRPr="00315932" w:rsidRDefault="00AE3FC8" w:rsidP="00120315">
            <w:pPr>
              <w:spacing w:after="60"/>
              <w:rPr>
                <w:rFonts w:ascii="ITC Avant Garde" w:hAnsi="ITC Avant Garde"/>
                <w:sz w:val="20"/>
                <w:szCs w:val="20"/>
              </w:rPr>
            </w:pPr>
          </w:p>
        </w:tc>
      </w:tr>
    </w:tbl>
    <w:p w14:paraId="5A8B951F" w14:textId="77777777" w:rsidR="00AE3FC8" w:rsidRPr="00315932" w:rsidRDefault="00AE3FC8" w:rsidP="00C452D7">
      <w:pPr>
        <w:pStyle w:val="IFTnormal"/>
      </w:pPr>
    </w:p>
    <w:p w14:paraId="37E4A473" w14:textId="77777777" w:rsidR="00AE3FC8" w:rsidRPr="00315932" w:rsidRDefault="009D7C9C" w:rsidP="00C452D7">
      <w:pPr>
        <w:pStyle w:val="IFTnormal"/>
      </w:pPr>
      <w:r w:rsidRPr="00315932">
        <w:t>Escalamiento de fallas e incidencias de los servicios básicos de Desagregación:</w:t>
      </w:r>
    </w:p>
    <w:p w14:paraId="59858F9D" w14:textId="77777777" w:rsidR="009D7C9C" w:rsidRPr="00315932" w:rsidRDefault="00A60F6F" w:rsidP="009D7C9C">
      <w:pPr>
        <w:pStyle w:val="IFTnormal"/>
        <w:jc w:val="center"/>
      </w:pPr>
      <w:r w:rsidRPr="00315932">
        <w:rPr>
          <w:noProof/>
          <w:lang w:val="es-MX" w:eastAsia="es-MX"/>
        </w:rPr>
        <w:drawing>
          <wp:inline distT="0" distB="0" distL="0" distR="0" wp14:anchorId="02A0AFC2" wp14:editId="69834C70">
            <wp:extent cx="4001770" cy="34791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1770" cy="3479165"/>
                    </a:xfrm>
                    <a:prstGeom prst="rect">
                      <a:avLst/>
                    </a:prstGeom>
                    <a:noFill/>
                    <a:ln>
                      <a:noFill/>
                    </a:ln>
                  </pic:spPr>
                </pic:pic>
              </a:graphicData>
            </a:graphic>
          </wp:inline>
        </w:drawing>
      </w:r>
    </w:p>
    <w:p w14:paraId="73E370F2" w14:textId="77777777" w:rsidR="009D7C9C" w:rsidRPr="00315932" w:rsidRDefault="009D7C9C" w:rsidP="009D7C9C">
      <w:pPr>
        <w:pStyle w:val="IFTnormal"/>
      </w:pPr>
      <w:r w:rsidRPr="00315932">
        <w:lastRenderedPageBreak/>
        <w:t>Escalamiento de fallas de los servicios auxiliares para Desagregación:</w:t>
      </w:r>
    </w:p>
    <w:p w14:paraId="7770D7DE" w14:textId="77777777" w:rsidR="009D7C9C" w:rsidRPr="00315932" w:rsidRDefault="00A60F6F" w:rsidP="009D7C9C">
      <w:pPr>
        <w:pStyle w:val="IFTnormal"/>
        <w:jc w:val="center"/>
      </w:pPr>
      <w:r w:rsidRPr="00315932">
        <w:rPr>
          <w:noProof/>
          <w:lang w:val="es-MX" w:eastAsia="es-MX"/>
        </w:rPr>
        <w:drawing>
          <wp:inline distT="0" distB="0" distL="0" distR="0" wp14:anchorId="6D184FE9" wp14:editId="58BE8BB7">
            <wp:extent cx="4001770" cy="29451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1770" cy="2945130"/>
                    </a:xfrm>
                    <a:prstGeom prst="rect">
                      <a:avLst/>
                    </a:prstGeom>
                    <a:noFill/>
                    <a:ln>
                      <a:noFill/>
                    </a:ln>
                  </pic:spPr>
                </pic:pic>
              </a:graphicData>
            </a:graphic>
          </wp:inline>
        </w:drawing>
      </w:r>
    </w:p>
    <w:p w14:paraId="54742D77" w14:textId="77777777" w:rsidR="001A601A" w:rsidRPr="00315932" w:rsidRDefault="00FB30DB" w:rsidP="001A601A">
      <w:pPr>
        <w:pStyle w:val="Ttulo3"/>
      </w:pPr>
      <w:r w:rsidRPr="00315932">
        <w:t>4.7</w:t>
      </w:r>
      <w:r w:rsidR="001A601A" w:rsidRPr="00315932">
        <w:t xml:space="preserve"> Cierre de Incidencias</w:t>
      </w:r>
    </w:p>
    <w:p w14:paraId="08010766" w14:textId="77777777" w:rsidR="00872E7A" w:rsidRPr="00315932" w:rsidRDefault="001A601A" w:rsidP="004D1714">
      <w:pPr>
        <w:pStyle w:val="IFTnormal"/>
      </w:pPr>
      <w:r w:rsidRPr="00315932">
        <w:t>Para cerrar formalmente el incidente</w:t>
      </w:r>
      <w:r w:rsidR="004D1714" w:rsidRPr="00315932">
        <w:t xml:space="preserve">, el Centro de Supervisión, </w:t>
      </w:r>
      <w:r w:rsidRPr="00315932">
        <w:t xml:space="preserve">el Centro Operativo y/o el Centro de Atención de Telmex, deberán registrar </w:t>
      </w:r>
      <w:r w:rsidR="00E128A7" w:rsidRPr="00315932">
        <w:t>en</w:t>
      </w:r>
      <w:r w:rsidRPr="00315932">
        <w:t xml:space="preserve"> </w:t>
      </w:r>
      <w:r w:rsidR="004D1714" w:rsidRPr="00315932">
        <w:t>los Sistemas</w:t>
      </w:r>
      <w:r w:rsidRPr="00315932">
        <w:t xml:space="preserve"> de Gestión de Incidentes la información con los tiempos </w:t>
      </w:r>
      <w:r w:rsidR="004D1714" w:rsidRPr="00315932">
        <w:t xml:space="preserve">aplicables a la resolución </w:t>
      </w:r>
      <w:r w:rsidRPr="00315932">
        <w:t>del incidente, la ca</w:t>
      </w:r>
      <w:r w:rsidR="00E128A7" w:rsidRPr="00315932">
        <w:t>usa raíz y la solución aplicada.</w:t>
      </w:r>
      <w:r w:rsidR="004D1714" w:rsidRPr="00315932">
        <w:t xml:space="preserve"> </w:t>
      </w:r>
    </w:p>
    <w:p w14:paraId="2A858D60" w14:textId="768EA418" w:rsidR="004D1714" w:rsidRPr="00315932" w:rsidRDefault="00872E7A" w:rsidP="004D1714">
      <w:pPr>
        <w:pStyle w:val="IFTnormal"/>
      </w:pPr>
      <w:r w:rsidRPr="00315932">
        <w:t xml:space="preserve">Telmex notificará </w:t>
      </w:r>
      <w:r w:rsidR="00FB30DB" w:rsidRPr="00315932">
        <w:t xml:space="preserve">al concesionario </w:t>
      </w:r>
      <w:r w:rsidRPr="00315932">
        <w:t xml:space="preserve">vía </w:t>
      </w:r>
      <w:r w:rsidR="00E128A7" w:rsidRPr="00315932">
        <w:t xml:space="preserve">el SEG </w:t>
      </w:r>
      <w:r w:rsidRPr="00315932">
        <w:t xml:space="preserve">la información antes referida, </w:t>
      </w:r>
      <w:r w:rsidR="004D1714" w:rsidRPr="00315932">
        <w:t>para que éste otorgue su visto bueno para el cierre de la incidencia.</w:t>
      </w:r>
    </w:p>
    <w:p w14:paraId="608D73FD" w14:textId="539B4FFB" w:rsidR="00E128A7" w:rsidRPr="00315932" w:rsidRDefault="00872E7A" w:rsidP="004D1714">
      <w:pPr>
        <w:pStyle w:val="IFTnormal"/>
      </w:pPr>
      <w:r w:rsidRPr="00315932">
        <w:t xml:space="preserve">El </w:t>
      </w:r>
      <w:r w:rsidR="005A39B5" w:rsidRPr="00315932">
        <w:t xml:space="preserve">CS </w:t>
      </w:r>
      <w:r w:rsidRPr="00315932">
        <w:t>contará</w:t>
      </w:r>
      <w:r w:rsidR="00E128A7" w:rsidRPr="00315932">
        <w:t xml:space="preserve"> </w:t>
      </w:r>
      <w:r w:rsidRPr="00315932">
        <w:t xml:space="preserve">con un </w:t>
      </w:r>
      <w:r w:rsidR="00E128A7" w:rsidRPr="00315932">
        <w:t xml:space="preserve">plazo </w:t>
      </w:r>
      <w:r w:rsidRPr="00315932">
        <w:t>de</w:t>
      </w:r>
      <w:r w:rsidR="00E128A7" w:rsidRPr="00315932">
        <w:t xml:space="preserve"> 24</w:t>
      </w:r>
      <w:r w:rsidRPr="00315932">
        <w:t xml:space="preserve"> horas</w:t>
      </w:r>
      <w:r w:rsidR="00E128A7" w:rsidRPr="00315932">
        <w:t xml:space="preserve"> </w:t>
      </w:r>
      <w:r w:rsidRPr="00315932">
        <w:t>a partir de la hora en que le fue notificada</w:t>
      </w:r>
      <w:r w:rsidR="00E128A7" w:rsidRPr="00315932">
        <w:t xml:space="preserve"> </w:t>
      </w:r>
      <w:r w:rsidRPr="00315932">
        <w:t>la solución</w:t>
      </w:r>
      <w:r w:rsidR="00E128A7" w:rsidRPr="00315932">
        <w:t xml:space="preserve"> de la incidencia</w:t>
      </w:r>
      <w:r w:rsidRPr="00315932">
        <w:t xml:space="preserve"> y la restauración del servicio para otorgar su visto bueno para cierre</w:t>
      </w:r>
      <w:r w:rsidR="005A39B5" w:rsidRPr="00315932">
        <w:t>.</w:t>
      </w:r>
      <w:r w:rsidR="00E128A7" w:rsidRPr="00315932">
        <w:t xml:space="preserve"> </w:t>
      </w:r>
      <w:r w:rsidR="005A39B5" w:rsidRPr="00315932">
        <w:t>E</w:t>
      </w:r>
      <w:r w:rsidR="00E128A7" w:rsidRPr="00315932">
        <w:t xml:space="preserve">n caso </w:t>
      </w:r>
      <w:r w:rsidRPr="00315932">
        <w:t>de no efectuarse la v</w:t>
      </w:r>
      <w:r w:rsidR="00FB30DB" w:rsidRPr="00315932">
        <w:t>erificación de la solución aplicada</w:t>
      </w:r>
      <w:r w:rsidRPr="00315932">
        <w:t xml:space="preserve"> dentro de dicho plazo, </w:t>
      </w:r>
      <w:r w:rsidR="00E128A7" w:rsidRPr="00315932">
        <w:t xml:space="preserve">se </w:t>
      </w:r>
      <w:r w:rsidR="00932C7B" w:rsidRPr="00315932">
        <w:t>entenderá que se ha validado la solución y la incidencia se cerrará de forma automática</w:t>
      </w:r>
      <w:r w:rsidR="00E128A7" w:rsidRPr="00315932">
        <w:t>.</w:t>
      </w:r>
    </w:p>
    <w:p w14:paraId="13039113" w14:textId="77777777" w:rsidR="00FB30DB" w:rsidRPr="00315932" w:rsidRDefault="00A82F94" w:rsidP="00A82F94">
      <w:pPr>
        <w:pStyle w:val="Ttulo2"/>
      </w:pPr>
      <w:r w:rsidRPr="00315932">
        <w:t>Intervenciones programadas</w:t>
      </w:r>
    </w:p>
    <w:p w14:paraId="0AE14B84" w14:textId="77777777" w:rsidR="00A82F94" w:rsidRPr="00315932" w:rsidRDefault="00A82F94" w:rsidP="00A82F94">
      <w:pPr>
        <w:pStyle w:val="IFTnormal"/>
      </w:pPr>
      <w:r w:rsidRPr="00315932">
        <w:t>Tanto Telmex como el CS deberán comunicar oportunamente los trabajos (acciones de mantenimiento preventivo u otros trabajos programados) que se vayan a realizar en su red y que afecten los servicios del CS, así como acordar el horario de los trabajos, a fin de reducir en lo posible su impacto. Esta comunicación se realizará con un tiempo de antelación mínimo de 10 días hábiles.</w:t>
      </w:r>
    </w:p>
    <w:p w14:paraId="001AB09E" w14:textId="77777777" w:rsidR="00A82F94" w:rsidRPr="00315932" w:rsidRDefault="00A82F94" w:rsidP="00A82F94">
      <w:pPr>
        <w:pStyle w:val="IFTnormal"/>
      </w:pPr>
      <w:r w:rsidRPr="00315932">
        <w:t xml:space="preserve">Los concesionarios o sus contratistas que realicen trabajos de mantenimiento programados o por fallas en instalaciones y/o en infraestructura Telmex, deberán </w:t>
      </w:r>
      <w:r w:rsidRPr="00315932">
        <w:lastRenderedPageBreak/>
        <w:t>apegarse a los lineamientos de seguridad establecidos en las instalaciones en donde se realicen los trabajos.</w:t>
      </w:r>
    </w:p>
    <w:p w14:paraId="1AF65094" w14:textId="341142FF" w:rsidR="00DC5FFF" w:rsidRPr="00315932" w:rsidRDefault="00DC5FFF" w:rsidP="00A82F94">
      <w:pPr>
        <w:pStyle w:val="IFTnormal"/>
      </w:pPr>
      <w:r w:rsidRPr="00315932">
        <w:t xml:space="preserve">Los procedimientos relativos al mantenimiento correctivo y acceso de emergencia aplicables a las operaciones derivadas de los servicios de desagregación, se encuentran descritos en el numeral </w:t>
      </w:r>
      <w:r w:rsidR="0027184A" w:rsidRPr="00315932">
        <w:t>7</w:t>
      </w:r>
      <w:r w:rsidRPr="00315932">
        <w:t>.5 de la Oferta de Referencia.</w:t>
      </w:r>
    </w:p>
    <w:p w14:paraId="58F5D392" w14:textId="77777777" w:rsidR="00A82F94" w:rsidRPr="00315932" w:rsidRDefault="00A82F94" w:rsidP="00A82F94">
      <w:pPr>
        <w:pStyle w:val="Ttulo2"/>
      </w:pPr>
      <w:r w:rsidRPr="00315932">
        <w:t>Responsabilidad de las incidencias</w:t>
      </w:r>
    </w:p>
    <w:p w14:paraId="69C27668" w14:textId="593A2CB2" w:rsidR="00A82F94" w:rsidRPr="00315932" w:rsidRDefault="00A82F94" w:rsidP="00A82F94">
      <w:pPr>
        <w:pStyle w:val="IFTnormal"/>
      </w:pPr>
      <w:r w:rsidRPr="00315932">
        <w:t xml:space="preserve">Un </w:t>
      </w:r>
      <w:r w:rsidR="00E27F49" w:rsidRPr="00315932">
        <w:t xml:space="preserve">CS </w:t>
      </w:r>
      <w:r w:rsidRPr="00315932">
        <w:t xml:space="preserve">podrá reportar una incidencia una vez que haya realizado </w:t>
      </w:r>
      <w:r w:rsidR="00E27F49" w:rsidRPr="00315932">
        <w:t xml:space="preserve">al menos </w:t>
      </w:r>
      <w:r w:rsidRPr="00315932">
        <w:t xml:space="preserve">las pruebas necesarias </w:t>
      </w:r>
      <w:r w:rsidR="00E27F49" w:rsidRPr="00315932">
        <w:t xml:space="preserve">señaladas en el apartado 3 del presente anexo, </w:t>
      </w:r>
      <w:r w:rsidRPr="00315932">
        <w:t xml:space="preserve">y verificado que la falla o incidencia no se encuentra en los equipos y servicios de su ámbito de responsabilidad, incluyendo en la reclamación los datos identificativos del servicio reclamado así como las anomalías detectadas que dan lugar a la reclamación y que permitan de forma eficiente para ambas partes, determinar la naturaleza u origen de la reclamación </w:t>
      </w:r>
      <w:r w:rsidR="003644E1">
        <w:t>de que se trate</w:t>
      </w:r>
      <w:r w:rsidRPr="00315932">
        <w:t>.</w:t>
      </w:r>
    </w:p>
    <w:p w14:paraId="644562F9" w14:textId="55B4CAB9" w:rsidR="00A82F94" w:rsidRPr="00315932" w:rsidRDefault="00A82F94" w:rsidP="00A82F94">
      <w:pPr>
        <w:pStyle w:val="IFTnormal"/>
      </w:pPr>
      <w:r w:rsidRPr="00315932">
        <w:t xml:space="preserve">El </w:t>
      </w:r>
      <w:r w:rsidR="00E27F49" w:rsidRPr="00315932">
        <w:t xml:space="preserve">CS </w:t>
      </w:r>
      <w:r w:rsidRPr="00315932">
        <w:t>que haya originado un aviso de incidencia del cual derive la realización de actividades y pruebas que permitan que la falla o incidente sea declarada imputable al mismo concesionario, deberá pagar a Telmex por los gastos incurridos durante las actividades realizadas para</w:t>
      </w:r>
      <w:bookmarkStart w:id="0" w:name="_GoBack"/>
      <w:bookmarkEnd w:id="0"/>
      <w:r w:rsidRPr="00315932">
        <w:t xml:space="preserve"> la atención de la falla.</w:t>
      </w:r>
    </w:p>
    <w:p w14:paraId="54F2D993" w14:textId="77777777" w:rsidR="00A82F94" w:rsidRPr="00315932" w:rsidRDefault="00A82F94" w:rsidP="00A82F94">
      <w:pPr>
        <w:pStyle w:val="IFTnormal"/>
      </w:pPr>
      <w:r w:rsidRPr="00315932">
        <w:t>De la misma forma, si Telmex llegase a imputar fallas al CS y éste demostrara lo contrario, Telmex deberá pagar al CS por los gastos incurridos durante la atención de la falla.</w:t>
      </w:r>
    </w:p>
    <w:p w14:paraId="0391C48F" w14:textId="77777777" w:rsidR="00A82F94" w:rsidRPr="00315932" w:rsidRDefault="00A82F94" w:rsidP="00A82F94">
      <w:pPr>
        <w:pStyle w:val="IFTnormal"/>
      </w:pPr>
      <w:r w:rsidRPr="00315932">
        <w:t>Telmex será responsable de atender las fallas identificadas en su red conforme a los tiempos establecidos para cada servicio de Desagregación.</w:t>
      </w:r>
    </w:p>
    <w:p w14:paraId="2B936AAC" w14:textId="77777777" w:rsidR="00A82F94" w:rsidRPr="00315932" w:rsidRDefault="00A82F94" w:rsidP="00A82F94">
      <w:pPr>
        <w:pStyle w:val="Ttulo2"/>
      </w:pPr>
      <w:r w:rsidRPr="00315932">
        <w:t>Niveles de Servicio</w:t>
      </w:r>
    </w:p>
    <w:p w14:paraId="5170118A" w14:textId="77777777" w:rsidR="00674D9A" w:rsidRPr="00315932" w:rsidRDefault="00674D9A" w:rsidP="00674D9A">
      <w:pPr>
        <w:spacing w:after="200" w:line="276" w:lineRule="auto"/>
        <w:jc w:val="both"/>
        <w:rPr>
          <w:rFonts w:ascii="ITC Avant Garde" w:hAnsi="ITC Avant Garde"/>
          <w:color w:val="000000"/>
          <w:sz w:val="22"/>
          <w:szCs w:val="22"/>
        </w:rPr>
      </w:pPr>
      <w:r w:rsidRPr="00315932">
        <w:rPr>
          <w:rFonts w:ascii="ITC Avant Garde" w:hAnsi="ITC Avant Garde"/>
          <w:color w:val="000000"/>
          <w:sz w:val="22"/>
          <w:szCs w:val="22"/>
        </w:rPr>
        <w:t>Los niveles de servicio para la atención de fallas, se indican en la sección de “Parámetros e indicadores de calidad” de cada servicio bajo el rubro: “Reparación de fallas”.</w:t>
      </w:r>
    </w:p>
    <w:p w14:paraId="535DB8CB" w14:textId="13D1ED68" w:rsidR="003464AF" w:rsidRPr="00475A17" w:rsidRDefault="00674D9A" w:rsidP="00674D9A">
      <w:pPr>
        <w:spacing w:after="200" w:line="276" w:lineRule="auto"/>
        <w:jc w:val="both"/>
        <w:rPr>
          <w:rFonts w:ascii="ITC Avant Garde" w:hAnsi="ITC Avant Garde"/>
          <w:color w:val="000000"/>
          <w:sz w:val="22"/>
          <w:szCs w:val="22"/>
        </w:rPr>
      </w:pPr>
      <w:r w:rsidRPr="00315932">
        <w:rPr>
          <w:rFonts w:ascii="ITC Avant Garde" w:hAnsi="ITC Avant Garde"/>
          <w:color w:val="000000"/>
          <w:sz w:val="22"/>
          <w:szCs w:val="22"/>
        </w:rPr>
        <w:t xml:space="preserve">Cualquier eventualidad relacionada con el CS o causas externas a Telmex mencionadas que impliquen detener la contabilización del tiempo de la falla en el proceso de solución de la misma, será comunicada al </w:t>
      </w:r>
      <w:r w:rsidR="00E27F49" w:rsidRPr="00315932">
        <w:rPr>
          <w:rFonts w:ascii="ITC Avant Garde" w:hAnsi="ITC Avant Garde"/>
          <w:color w:val="000000"/>
          <w:sz w:val="22"/>
          <w:szCs w:val="22"/>
        </w:rPr>
        <w:t xml:space="preserve">CS </w:t>
      </w:r>
      <w:r w:rsidRPr="00315932">
        <w:rPr>
          <w:rFonts w:ascii="ITC Avant Garde" w:hAnsi="ITC Avant Garde"/>
          <w:color w:val="000000"/>
          <w:sz w:val="22"/>
          <w:szCs w:val="22"/>
        </w:rPr>
        <w:t>y no se contabilizará para el cálculo de índices de calidad.</w:t>
      </w:r>
    </w:p>
    <w:sectPr w:rsidR="003464AF" w:rsidRPr="00475A17" w:rsidSect="006F2AF2">
      <w:headerReference w:type="default" r:id="rId15"/>
      <w:footerReference w:type="default" r:id="rId16"/>
      <w:pgSz w:w="12240" w:h="15840"/>
      <w:pgMar w:top="1418" w:right="1418" w:bottom="1418" w:left="1418" w:header="709"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3BF8" w14:textId="77777777" w:rsidR="009C67CA" w:rsidRDefault="009C67CA" w:rsidP="00AC7D16">
      <w:r>
        <w:separator/>
      </w:r>
    </w:p>
  </w:endnote>
  <w:endnote w:type="continuationSeparator" w:id="0">
    <w:p w14:paraId="77381ECF" w14:textId="77777777" w:rsidR="009C67CA" w:rsidRDefault="009C67CA" w:rsidP="00AC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ADAC" w14:textId="35458370" w:rsidR="00B066B0" w:rsidRPr="00A02E9A" w:rsidRDefault="00A02E9A" w:rsidP="00BE606D">
    <w:pPr>
      <w:pStyle w:val="Piedepgina"/>
      <w:jc w:val="right"/>
      <w:rPr>
        <w:rFonts w:ascii="ITC Avant Garde" w:hAnsi="ITC Avant Garde"/>
        <w:sz w:val="18"/>
        <w:szCs w:val="18"/>
      </w:rPr>
    </w:pPr>
    <w:r w:rsidRPr="00A02E9A">
      <w:rPr>
        <w:rFonts w:ascii="ITC Avant Garde" w:hAnsi="ITC Avant Garde"/>
        <w:sz w:val="18"/>
        <w:szCs w:val="18"/>
      </w:rPr>
      <w:t xml:space="preserve">| </w:t>
    </w:r>
    <w:sdt>
      <w:sdtPr>
        <w:rPr>
          <w:rFonts w:ascii="ITC Avant Garde" w:eastAsia="Calibri" w:hAnsi="ITC Avant Garde" w:cs="Arial"/>
          <w:color w:val="000000"/>
          <w:sz w:val="18"/>
          <w:szCs w:val="18"/>
        </w:rPr>
        <w:id w:val="-623226136"/>
        <w:docPartObj>
          <w:docPartGallery w:val="Page Numbers (Top of Page)"/>
          <w:docPartUnique/>
        </w:docPartObj>
      </w:sdtPr>
      <w:sdtEndPr>
        <w:rPr>
          <w:rFonts w:eastAsia="Times New Roman" w:cs="Times New Roman"/>
          <w:color w:val="auto"/>
        </w:rPr>
      </w:sdtEndPr>
      <w:sdtContent>
        <w:r w:rsidRPr="00A02E9A">
          <w:rPr>
            <w:rFonts w:ascii="ITC Avant Garde" w:hAnsi="ITC Avant Garde"/>
            <w:b/>
            <w:sz w:val="18"/>
            <w:szCs w:val="18"/>
          </w:rPr>
          <w:fldChar w:fldCharType="begin"/>
        </w:r>
        <w:r w:rsidRPr="00A02E9A">
          <w:rPr>
            <w:rFonts w:ascii="ITC Avant Garde" w:hAnsi="ITC Avant Garde"/>
            <w:b/>
            <w:sz w:val="18"/>
            <w:szCs w:val="18"/>
          </w:rPr>
          <w:instrText>PAGE</w:instrText>
        </w:r>
        <w:r w:rsidRPr="00A02E9A">
          <w:rPr>
            <w:rFonts w:ascii="ITC Avant Garde" w:hAnsi="ITC Avant Garde"/>
            <w:b/>
            <w:sz w:val="18"/>
            <w:szCs w:val="18"/>
          </w:rPr>
          <w:fldChar w:fldCharType="separate"/>
        </w:r>
        <w:r w:rsidR="00BE606D">
          <w:rPr>
            <w:rFonts w:ascii="ITC Avant Garde" w:hAnsi="ITC Avant Garde"/>
            <w:b/>
            <w:noProof/>
            <w:sz w:val="18"/>
            <w:szCs w:val="18"/>
          </w:rPr>
          <w:t>15</w:t>
        </w:r>
        <w:r w:rsidRPr="00A02E9A">
          <w:rPr>
            <w:rFonts w:ascii="ITC Avant Garde" w:hAnsi="ITC Avant Garde"/>
            <w:b/>
            <w:sz w:val="18"/>
            <w:szCs w:val="18"/>
          </w:rPr>
          <w:fldChar w:fldCharType="end"/>
        </w:r>
        <w:r w:rsidRPr="00A02E9A">
          <w:rPr>
            <w:rFonts w:ascii="ITC Avant Garde" w:hAnsi="ITC Avant Garde"/>
            <w:b/>
            <w:sz w:val="18"/>
            <w:szCs w:val="18"/>
          </w:rPr>
          <w:t xml:space="preserve"> de </w:t>
        </w:r>
        <w:r w:rsidRPr="00A02E9A">
          <w:rPr>
            <w:rFonts w:ascii="ITC Avant Garde" w:hAnsi="ITC Avant Garde"/>
            <w:b/>
            <w:sz w:val="18"/>
            <w:szCs w:val="18"/>
          </w:rPr>
          <w:fldChar w:fldCharType="begin"/>
        </w:r>
        <w:r w:rsidRPr="00A02E9A">
          <w:rPr>
            <w:rFonts w:ascii="ITC Avant Garde" w:hAnsi="ITC Avant Garde"/>
            <w:b/>
            <w:sz w:val="18"/>
            <w:szCs w:val="18"/>
          </w:rPr>
          <w:instrText>NUMPAGES</w:instrText>
        </w:r>
        <w:r w:rsidRPr="00A02E9A">
          <w:rPr>
            <w:rFonts w:ascii="ITC Avant Garde" w:hAnsi="ITC Avant Garde"/>
            <w:b/>
            <w:sz w:val="18"/>
            <w:szCs w:val="18"/>
          </w:rPr>
          <w:fldChar w:fldCharType="separate"/>
        </w:r>
        <w:r w:rsidR="00BE606D">
          <w:rPr>
            <w:rFonts w:ascii="ITC Avant Garde" w:hAnsi="ITC Avant Garde"/>
            <w:b/>
            <w:noProof/>
            <w:sz w:val="18"/>
            <w:szCs w:val="18"/>
          </w:rPr>
          <w:t>15</w:t>
        </w:r>
        <w:r w:rsidRPr="00A02E9A">
          <w:rPr>
            <w:rFonts w:ascii="ITC Avant Garde" w:hAnsi="ITC Avant Garde"/>
            <w:b/>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C227" w14:textId="77777777" w:rsidR="009C67CA" w:rsidRDefault="009C67CA" w:rsidP="00AC7D16">
      <w:r>
        <w:separator/>
      </w:r>
    </w:p>
  </w:footnote>
  <w:footnote w:type="continuationSeparator" w:id="0">
    <w:p w14:paraId="0009CED2" w14:textId="77777777" w:rsidR="009C67CA" w:rsidRDefault="009C67CA" w:rsidP="00AC7D16">
      <w:r>
        <w:continuationSeparator/>
      </w:r>
    </w:p>
  </w:footnote>
  <w:footnote w:id="1">
    <w:p w14:paraId="07E3D853" w14:textId="77777777" w:rsidR="00E6023E" w:rsidRPr="00E11E17" w:rsidRDefault="00E6023E" w:rsidP="00E6023E">
      <w:pPr>
        <w:pStyle w:val="Textonotapie"/>
        <w:rPr>
          <w:sz w:val="18"/>
          <w:szCs w:val="18"/>
          <w:lang w:val="es-MX"/>
        </w:rPr>
      </w:pPr>
      <w:r w:rsidRPr="00E11E17">
        <w:rPr>
          <w:rStyle w:val="Refdenotaalpie"/>
          <w:sz w:val="18"/>
          <w:szCs w:val="18"/>
        </w:rPr>
        <w:footnoteRef/>
      </w:r>
      <w:r w:rsidRPr="00E11E17">
        <w:rPr>
          <w:sz w:val="18"/>
          <w:szCs w:val="18"/>
        </w:rPr>
        <w:t xml:space="preserve"> En este caso de que el módem/ONT sea reestablecido por el CS o su cliente final, no se contabilizará como una falla atribuible a Telmex.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A4F3" w14:textId="77777777" w:rsidR="00B066B0" w:rsidRPr="0067357D" w:rsidRDefault="00B066B0">
    <w:pPr>
      <w:pStyle w:val="Encabezado"/>
      <w:rPr>
        <w:rFonts w:ascii="ITC Avant Garde" w:hAnsi="ITC Avant Garde"/>
        <w:color w:val="000000" w:themeColor="text1"/>
        <w:sz w:val="20"/>
      </w:rPr>
    </w:pPr>
    <w:bookmarkStart w:id="1" w:name="_Hlk254855680"/>
    <w:r w:rsidRPr="0067357D">
      <w:rPr>
        <w:rFonts w:ascii="ITC Avant Garde" w:hAnsi="ITC Avant Garde"/>
        <w:color w:val="000000" w:themeColor="text1"/>
        <w:sz w:val="20"/>
        <w:lang w:val="es-ES"/>
      </w:rPr>
      <w:t xml:space="preserve">Oferta de Referencia para la Desagregación Bucle Local                                         Anexo </w:t>
    </w:r>
    <w:bookmarkEnd w:id="1"/>
    <w:r w:rsidRPr="0067357D">
      <w:rPr>
        <w:rFonts w:ascii="ITC Avant Garde" w:hAnsi="ITC Avant Garde"/>
        <w:color w:val="000000" w:themeColor="text1"/>
        <w:sz w:val="20"/>
        <w:lang w:val="es-E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4F7"/>
    <w:multiLevelType w:val="hybridMultilevel"/>
    <w:tmpl w:val="9C14286E"/>
    <w:lvl w:ilvl="0" w:tplc="59F0DE7A">
      <w:start w:val="5"/>
      <w:numFmt w:val="bullet"/>
      <w:lvlText w:val=""/>
      <w:lvlJc w:val="left"/>
      <w:pPr>
        <w:ind w:left="720" w:hanging="360"/>
      </w:pPr>
      <w:rPr>
        <w:rFonts w:ascii="Wingdings" w:eastAsia="Times New Roman"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AF05DB"/>
    <w:multiLevelType w:val="hybridMultilevel"/>
    <w:tmpl w:val="4E9291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431319"/>
    <w:multiLevelType w:val="hybridMultilevel"/>
    <w:tmpl w:val="47B0B5B8"/>
    <w:lvl w:ilvl="0" w:tplc="080A0003">
      <w:start w:val="1"/>
      <w:numFmt w:val="bullet"/>
      <w:lvlText w:val="o"/>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79973F6"/>
    <w:multiLevelType w:val="hybridMultilevel"/>
    <w:tmpl w:val="79C610FE"/>
    <w:lvl w:ilvl="0" w:tplc="781C42A0">
      <w:start w:val="1"/>
      <w:numFmt w:val="decimal"/>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8262624"/>
    <w:multiLevelType w:val="hybridMultilevel"/>
    <w:tmpl w:val="C96E3E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24A61"/>
    <w:multiLevelType w:val="hybridMultilevel"/>
    <w:tmpl w:val="6CAA5744"/>
    <w:lvl w:ilvl="0" w:tplc="080A000F">
      <w:start w:val="1"/>
      <w:numFmt w:val="decimal"/>
      <w:lvlText w:val="%1."/>
      <w:lvlJc w:val="left"/>
      <w:pPr>
        <w:ind w:left="1800" w:hanging="360"/>
      </w:pPr>
      <w:rPr>
        <w:rFonts w:cs="Times New Roman"/>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6" w15:restartNumberingAfterBreak="0">
    <w:nsid w:val="1E210570"/>
    <w:multiLevelType w:val="hybridMultilevel"/>
    <w:tmpl w:val="3D0414EE"/>
    <w:lvl w:ilvl="0" w:tplc="70247602">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F680B01"/>
    <w:multiLevelType w:val="hybridMultilevel"/>
    <w:tmpl w:val="D098F40E"/>
    <w:lvl w:ilvl="0" w:tplc="BFF0D60A">
      <w:numFmt w:val="bullet"/>
      <w:lvlText w:val="-"/>
      <w:lvlJc w:val="left"/>
      <w:pPr>
        <w:ind w:left="1432" w:hanging="360"/>
      </w:pPr>
      <w:rPr>
        <w:rFonts w:ascii="Comic Sans MS" w:eastAsia="Times New Roman" w:hAnsi="Comic Sans MS" w:hint="default"/>
      </w:rPr>
    </w:lvl>
    <w:lvl w:ilvl="1" w:tplc="080A0003" w:tentative="1">
      <w:start w:val="1"/>
      <w:numFmt w:val="bullet"/>
      <w:lvlText w:val="o"/>
      <w:lvlJc w:val="left"/>
      <w:pPr>
        <w:ind w:left="2152" w:hanging="360"/>
      </w:pPr>
      <w:rPr>
        <w:rFonts w:ascii="Courier New" w:hAnsi="Courier New" w:hint="default"/>
      </w:rPr>
    </w:lvl>
    <w:lvl w:ilvl="2" w:tplc="080A0005" w:tentative="1">
      <w:start w:val="1"/>
      <w:numFmt w:val="bullet"/>
      <w:lvlText w:val=""/>
      <w:lvlJc w:val="left"/>
      <w:pPr>
        <w:ind w:left="2872" w:hanging="360"/>
      </w:pPr>
      <w:rPr>
        <w:rFonts w:ascii="Wingdings" w:hAnsi="Wingdings" w:hint="default"/>
      </w:rPr>
    </w:lvl>
    <w:lvl w:ilvl="3" w:tplc="080A0001" w:tentative="1">
      <w:start w:val="1"/>
      <w:numFmt w:val="bullet"/>
      <w:lvlText w:val=""/>
      <w:lvlJc w:val="left"/>
      <w:pPr>
        <w:ind w:left="3592" w:hanging="360"/>
      </w:pPr>
      <w:rPr>
        <w:rFonts w:ascii="Symbol" w:hAnsi="Symbol" w:hint="default"/>
      </w:rPr>
    </w:lvl>
    <w:lvl w:ilvl="4" w:tplc="080A0003" w:tentative="1">
      <w:start w:val="1"/>
      <w:numFmt w:val="bullet"/>
      <w:lvlText w:val="o"/>
      <w:lvlJc w:val="left"/>
      <w:pPr>
        <w:ind w:left="4312" w:hanging="360"/>
      </w:pPr>
      <w:rPr>
        <w:rFonts w:ascii="Courier New" w:hAnsi="Courier New" w:hint="default"/>
      </w:rPr>
    </w:lvl>
    <w:lvl w:ilvl="5" w:tplc="080A0005" w:tentative="1">
      <w:start w:val="1"/>
      <w:numFmt w:val="bullet"/>
      <w:lvlText w:val=""/>
      <w:lvlJc w:val="left"/>
      <w:pPr>
        <w:ind w:left="5032" w:hanging="360"/>
      </w:pPr>
      <w:rPr>
        <w:rFonts w:ascii="Wingdings" w:hAnsi="Wingdings" w:hint="default"/>
      </w:rPr>
    </w:lvl>
    <w:lvl w:ilvl="6" w:tplc="080A0001" w:tentative="1">
      <w:start w:val="1"/>
      <w:numFmt w:val="bullet"/>
      <w:lvlText w:val=""/>
      <w:lvlJc w:val="left"/>
      <w:pPr>
        <w:ind w:left="5752" w:hanging="360"/>
      </w:pPr>
      <w:rPr>
        <w:rFonts w:ascii="Symbol" w:hAnsi="Symbol" w:hint="default"/>
      </w:rPr>
    </w:lvl>
    <w:lvl w:ilvl="7" w:tplc="080A0003" w:tentative="1">
      <w:start w:val="1"/>
      <w:numFmt w:val="bullet"/>
      <w:lvlText w:val="o"/>
      <w:lvlJc w:val="left"/>
      <w:pPr>
        <w:ind w:left="6472" w:hanging="360"/>
      </w:pPr>
      <w:rPr>
        <w:rFonts w:ascii="Courier New" w:hAnsi="Courier New" w:hint="default"/>
      </w:rPr>
    </w:lvl>
    <w:lvl w:ilvl="8" w:tplc="080A0005" w:tentative="1">
      <w:start w:val="1"/>
      <w:numFmt w:val="bullet"/>
      <w:lvlText w:val=""/>
      <w:lvlJc w:val="left"/>
      <w:pPr>
        <w:ind w:left="7192" w:hanging="360"/>
      </w:pPr>
      <w:rPr>
        <w:rFonts w:ascii="Wingdings" w:hAnsi="Wingdings" w:hint="default"/>
      </w:rPr>
    </w:lvl>
  </w:abstractNum>
  <w:abstractNum w:abstractNumId="8" w15:restartNumberingAfterBreak="0">
    <w:nsid w:val="23CA3617"/>
    <w:multiLevelType w:val="hybridMultilevel"/>
    <w:tmpl w:val="A0CA06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4024E8"/>
    <w:multiLevelType w:val="hybridMultilevel"/>
    <w:tmpl w:val="503C752A"/>
    <w:lvl w:ilvl="0" w:tplc="E1DC7242">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55599E"/>
    <w:multiLevelType w:val="hybridMultilevel"/>
    <w:tmpl w:val="92A41A66"/>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36701B1B"/>
    <w:multiLevelType w:val="hybridMultilevel"/>
    <w:tmpl w:val="42E6D04E"/>
    <w:lvl w:ilvl="0" w:tplc="781C42A0">
      <w:start w:val="1"/>
      <w:numFmt w:val="decimal"/>
      <w:lvlText w:val="%1."/>
      <w:lvlJc w:val="left"/>
      <w:pPr>
        <w:tabs>
          <w:tab w:val="num" w:pos="1080"/>
        </w:tabs>
        <w:ind w:left="1080" w:hanging="360"/>
      </w:pPr>
      <w:rPr>
        <w:rFonts w:cs="Times New Roman" w:hint="default"/>
      </w:rPr>
    </w:lvl>
    <w:lvl w:ilvl="1" w:tplc="E3863666">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41057"/>
    <w:multiLevelType w:val="hybridMultilevel"/>
    <w:tmpl w:val="2F368370"/>
    <w:lvl w:ilvl="0" w:tplc="782A86E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6C39CD"/>
    <w:multiLevelType w:val="hybridMultilevel"/>
    <w:tmpl w:val="4806745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EE4864"/>
    <w:multiLevelType w:val="hybridMultilevel"/>
    <w:tmpl w:val="DFE056E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F1A62A9"/>
    <w:multiLevelType w:val="hybridMultilevel"/>
    <w:tmpl w:val="50A41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62286"/>
    <w:multiLevelType w:val="hybridMultilevel"/>
    <w:tmpl w:val="6A6E59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0E5765"/>
    <w:multiLevelType w:val="hybridMultilevel"/>
    <w:tmpl w:val="16CE53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5114A7"/>
    <w:multiLevelType w:val="hybridMultilevel"/>
    <w:tmpl w:val="F3A49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CE4AE1"/>
    <w:multiLevelType w:val="hybridMultilevel"/>
    <w:tmpl w:val="C470819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6E6D0F09"/>
    <w:multiLevelType w:val="hybridMultilevel"/>
    <w:tmpl w:val="E0B4D96A"/>
    <w:lvl w:ilvl="0" w:tplc="31062134">
      <w:start w:val="1"/>
      <w:numFmt w:val="decimal"/>
      <w:pStyle w:val="Ttulo2"/>
      <w:lvlText w:val="%1."/>
      <w:lvlJc w:val="left"/>
      <w:pPr>
        <w:ind w:left="712" w:hanging="360"/>
      </w:pPr>
      <w:rPr>
        <w:rFonts w:hint="default"/>
      </w:r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21" w15:restartNumberingAfterBreak="0">
    <w:nsid w:val="72E03EDB"/>
    <w:multiLevelType w:val="hybridMultilevel"/>
    <w:tmpl w:val="3C308852"/>
    <w:lvl w:ilvl="0" w:tplc="080A0001">
      <w:start w:val="1"/>
      <w:numFmt w:val="bullet"/>
      <w:lvlText w:val=""/>
      <w:lvlJc w:val="left"/>
      <w:pPr>
        <w:ind w:left="753" w:hanging="360"/>
      </w:pPr>
      <w:rPr>
        <w:rFonts w:ascii="Symbol" w:hAnsi="Symbol"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22" w15:restartNumberingAfterBreak="0">
    <w:nsid w:val="73A02405"/>
    <w:multiLevelType w:val="hybridMultilevel"/>
    <w:tmpl w:val="2DF21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5757A2"/>
    <w:multiLevelType w:val="hybridMultilevel"/>
    <w:tmpl w:val="AA503430"/>
    <w:lvl w:ilvl="0" w:tplc="88D859BA">
      <w:start w:val="2"/>
      <w:numFmt w:val="decimal"/>
      <w:lvlText w:val="%1."/>
      <w:lvlJc w:val="left"/>
      <w:pPr>
        <w:tabs>
          <w:tab w:val="num" w:pos="1080"/>
        </w:tabs>
        <w:ind w:left="1080" w:hanging="360"/>
      </w:pPr>
      <w:rPr>
        <w:rFonts w:cs="Times New Roman" w:hint="default"/>
      </w:rPr>
    </w:lvl>
    <w:lvl w:ilvl="1" w:tplc="7D6C2584">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A10BD1"/>
    <w:multiLevelType w:val="hybridMultilevel"/>
    <w:tmpl w:val="F5F2E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13"/>
  </w:num>
  <w:num w:numId="5">
    <w:abstractNumId w:val="7"/>
  </w:num>
  <w:num w:numId="6">
    <w:abstractNumId w:val="2"/>
  </w:num>
  <w:num w:numId="7">
    <w:abstractNumId w:val="4"/>
  </w:num>
  <w:num w:numId="8">
    <w:abstractNumId w:val="9"/>
  </w:num>
  <w:num w:numId="9">
    <w:abstractNumId w:val="16"/>
  </w:num>
  <w:num w:numId="10">
    <w:abstractNumId w:val="6"/>
  </w:num>
  <w:num w:numId="11">
    <w:abstractNumId w:val="12"/>
  </w:num>
  <w:num w:numId="12">
    <w:abstractNumId w:val="11"/>
  </w:num>
  <w:num w:numId="13">
    <w:abstractNumId w:val="15"/>
  </w:num>
  <w:num w:numId="14">
    <w:abstractNumId w:val="23"/>
  </w:num>
  <w:num w:numId="15">
    <w:abstractNumId w:val="3"/>
  </w:num>
  <w:num w:numId="16">
    <w:abstractNumId w:val="5"/>
  </w:num>
  <w:num w:numId="17">
    <w:abstractNumId w:val="10"/>
  </w:num>
  <w:num w:numId="18">
    <w:abstractNumId w:val="19"/>
  </w:num>
  <w:num w:numId="19">
    <w:abstractNumId w:val="14"/>
  </w:num>
  <w:num w:numId="20">
    <w:abstractNumId w:val="0"/>
  </w:num>
  <w:num w:numId="21">
    <w:abstractNumId w:val="20"/>
  </w:num>
  <w:num w:numId="22">
    <w:abstractNumId w:val="18"/>
  </w:num>
  <w:num w:numId="23">
    <w:abstractNumId w:val="22"/>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86"/>
    <w:rsid w:val="00007F9E"/>
    <w:rsid w:val="000131F4"/>
    <w:rsid w:val="0002639A"/>
    <w:rsid w:val="00033CA5"/>
    <w:rsid w:val="00054435"/>
    <w:rsid w:val="00056692"/>
    <w:rsid w:val="00061229"/>
    <w:rsid w:val="00064221"/>
    <w:rsid w:val="00071AC0"/>
    <w:rsid w:val="00072A22"/>
    <w:rsid w:val="00075FB4"/>
    <w:rsid w:val="00082AAE"/>
    <w:rsid w:val="0008514B"/>
    <w:rsid w:val="00087B21"/>
    <w:rsid w:val="00096D28"/>
    <w:rsid w:val="000A270F"/>
    <w:rsid w:val="000A6C14"/>
    <w:rsid w:val="000B02BB"/>
    <w:rsid w:val="000B53D2"/>
    <w:rsid w:val="000C2676"/>
    <w:rsid w:val="000C2BE3"/>
    <w:rsid w:val="000D1B8D"/>
    <w:rsid w:val="000D20C6"/>
    <w:rsid w:val="000D2900"/>
    <w:rsid w:val="000D5505"/>
    <w:rsid w:val="000D7F12"/>
    <w:rsid w:val="000F3A4F"/>
    <w:rsid w:val="000F6C6B"/>
    <w:rsid w:val="001164C4"/>
    <w:rsid w:val="0013296F"/>
    <w:rsid w:val="00132BE9"/>
    <w:rsid w:val="001471A8"/>
    <w:rsid w:val="00150F81"/>
    <w:rsid w:val="001578C5"/>
    <w:rsid w:val="00164068"/>
    <w:rsid w:val="00166AC0"/>
    <w:rsid w:val="001A601A"/>
    <w:rsid w:val="001A707C"/>
    <w:rsid w:val="001B53D7"/>
    <w:rsid w:val="001C477A"/>
    <w:rsid w:val="001C7A68"/>
    <w:rsid w:val="001D578B"/>
    <w:rsid w:val="001E0FC5"/>
    <w:rsid w:val="001E3370"/>
    <w:rsid w:val="001E517E"/>
    <w:rsid w:val="001F0E45"/>
    <w:rsid w:val="001F41FE"/>
    <w:rsid w:val="001F594E"/>
    <w:rsid w:val="00201CF4"/>
    <w:rsid w:val="00215E11"/>
    <w:rsid w:val="002211C1"/>
    <w:rsid w:val="00227CCD"/>
    <w:rsid w:val="00231D46"/>
    <w:rsid w:val="002419F5"/>
    <w:rsid w:val="002473C6"/>
    <w:rsid w:val="0025571D"/>
    <w:rsid w:val="0027184A"/>
    <w:rsid w:val="00274111"/>
    <w:rsid w:val="0028073A"/>
    <w:rsid w:val="00287BC1"/>
    <w:rsid w:val="00290D45"/>
    <w:rsid w:val="00291CE0"/>
    <w:rsid w:val="002939FE"/>
    <w:rsid w:val="002A55E5"/>
    <w:rsid w:val="002A5B73"/>
    <w:rsid w:val="002A5CA7"/>
    <w:rsid w:val="002A694E"/>
    <w:rsid w:val="002A7577"/>
    <w:rsid w:val="002B1640"/>
    <w:rsid w:val="002B4A43"/>
    <w:rsid w:val="002C3A47"/>
    <w:rsid w:val="002C7A86"/>
    <w:rsid w:val="002D1534"/>
    <w:rsid w:val="002E1E47"/>
    <w:rsid w:val="002E2B46"/>
    <w:rsid w:val="002E4D1A"/>
    <w:rsid w:val="002F7C68"/>
    <w:rsid w:val="00301DC7"/>
    <w:rsid w:val="00315932"/>
    <w:rsid w:val="00316360"/>
    <w:rsid w:val="003170F4"/>
    <w:rsid w:val="0032101E"/>
    <w:rsid w:val="0032338A"/>
    <w:rsid w:val="00326F64"/>
    <w:rsid w:val="003279FC"/>
    <w:rsid w:val="00336145"/>
    <w:rsid w:val="003414F2"/>
    <w:rsid w:val="003415A5"/>
    <w:rsid w:val="003464AF"/>
    <w:rsid w:val="00350243"/>
    <w:rsid w:val="003502A8"/>
    <w:rsid w:val="00354239"/>
    <w:rsid w:val="003644E1"/>
    <w:rsid w:val="00375FB5"/>
    <w:rsid w:val="00380592"/>
    <w:rsid w:val="0038445B"/>
    <w:rsid w:val="0038557E"/>
    <w:rsid w:val="00395201"/>
    <w:rsid w:val="003A073F"/>
    <w:rsid w:val="003B0809"/>
    <w:rsid w:val="003C010C"/>
    <w:rsid w:val="003D3510"/>
    <w:rsid w:val="003E571E"/>
    <w:rsid w:val="003F798D"/>
    <w:rsid w:val="004010A0"/>
    <w:rsid w:val="004015B3"/>
    <w:rsid w:val="004030DD"/>
    <w:rsid w:val="004177B1"/>
    <w:rsid w:val="00433352"/>
    <w:rsid w:val="00436640"/>
    <w:rsid w:val="00436858"/>
    <w:rsid w:val="004418E4"/>
    <w:rsid w:val="00454FEF"/>
    <w:rsid w:val="004616A9"/>
    <w:rsid w:val="00471FF8"/>
    <w:rsid w:val="004754E3"/>
    <w:rsid w:val="00475A17"/>
    <w:rsid w:val="00476BFC"/>
    <w:rsid w:val="004836F5"/>
    <w:rsid w:val="004924B7"/>
    <w:rsid w:val="00495FA0"/>
    <w:rsid w:val="004B312C"/>
    <w:rsid w:val="004C4FA1"/>
    <w:rsid w:val="004D1714"/>
    <w:rsid w:val="004D4A3C"/>
    <w:rsid w:val="004F6A14"/>
    <w:rsid w:val="00504E02"/>
    <w:rsid w:val="005116CA"/>
    <w:rsid w:val="00521541"/>
    <w:rsid w:val="005263F3"/>
    <w:rsid w:val="00531EDB"/>
    <w:rsid w:val="0054020F"/>
    <w:rsid w:val="005446D6"/>
    <w:rsid w:val="00551C64"/>
    <w:rsid w:val="00555743"/>
    <w:rsid w:val="00562788"/>
    <w:rsid w:val="00571079"/>
    <w:rsid w:val="00575306"/>
    <w:rsid w:val="00594AA7"/>
    <w:rsid w:val="005A16C1"/>
    <w:rsid w:val="005A39B5"/>
    <w:rsid w:val="005A77E9"/>
    <w:rsid w:val="005C1259"/>
    <w:rsid w:val="005C25A1"/>
    <w:rsid w:val="005C394C"/>
    <w:rsid w:val="005C61FF"/>
    <w:rsid w:val="005E2F16"/>
    <w:rsid w:val="005E3582"/>
    <w:rsid w:val="005E5785"/>
    <w:rsid w:val="005E6466"/>
    <w:rsid w:val="005E7E6D"/>
    <w:rsid w:val="005F1375"/>
    <w:rsid w:val="005F3F54"/>
    <w:rsid w:val="005F59A0"/>
    <w:rsid w:val="005F6161"/>
    <w:rsid w:val="00603BC7"/>
    <w:rsid w:val="00606B93"/>
    <w:rsid w:val="006073BA"/>
    <w:rsid w:val="00611A97"/>
    <w:rsid w:val="00621505"/>
    <w:rsid w:val="0062297C"/>
    <w:rsid w:val="00637F0E"/>
    <w:rsid w:val="00640EFB"/>
    <w:rsid w:val="006417DD"/>
    <w:rsid w:val="006535CD"/>
    <w:rsid w:val="006563CE"/>
    <w:rsid w:val="0066597F"/>
    <w:rsid w:val="0067357D"/>
    <w:rsid w:val="00674D9A"/>
    <w:rsid w:val="0068231B"/>
    <w:rsid w:val="006861DA"/>
    <w:rsid w:val="00686B12"/>
    <w:rsid w:val="006905B2"/>
    <w:rsid w:val="006A0E00"/>
    <w:rsid w:val="006A43AE"/>
    <w:rsid w:val="006A5943"/>
    <w:rsid w:val="006B4F14"/>
    <w:rsid w:val="006B6443"/>
    <w:rsid w:val="006D1662"/>
    <w:rsid w:val="006D77B7"/>
    <w:rsid w:val="006E2D6C"/>
    <w:rsid w:val="006E7461"/>
    <w:rsid w:val="006E7D40"/>
    <w:rsid w:val="006E7DCA"/>
    <w:rsid w:val="006F2AF2"/>
    <w:rsid w:val="006F42AE"/>
    <w:rsid w:val="006F60F8"/>
    <w:rsid w:val="00707B9B"/>
    <w:rsid w:val="00723A70"/>
    <w:rsid w:val="00747D5C"/>
    <w:rsid w:val="00755621"/>
    <w:rsid w:val="00782B13"/>
    <w:rsid w:val="00785CD7"/>
    <w:rsid w:val="007915A0"/>
    <w:rsid w:val="00796879"/>
    <w:rsid w:val="007A4DA2"/>
    <w:rsid w:val="007B026D"/>
    <w:rsid w:val="007B6E7E"/>
    <w:rsid w:val="007D01A1"/>
    <w:rsid w:val="007D1CD2"/>
    <w:rsid w:val="007D32A9"/>
    <w:rsid w:val="007D64EE"/>
    <w:rsid w:val="007D7739"/>
    <w:rsid w:val="007E16CC"/>
    <w:rsid w:val="007E4E85"/>
    <w:rsid w:val="007F26B5"/>
    <w:rsid w:val="007F3F63"/>
    <w:rsid w:val="00801C26"/>
    <w:rsid w:val="00801D3B"/>
    <w:rsid w:val="00805058"/>
    <w:rsid w:val="008139F6"/>
    <w:rsid w:val="00820B93"/>
    <w:rsid w:val="0083788D"/>
    <w:rsid w:val="00845ADF"/>
    <w:rsid w:val="00860164"/>
    <w:rsid w:val="00863E57"/>
    <w:rsid w:val="00864BE4"/>
    <w:rsid w:val="008654A8"/>
    <w:rsid w:val="00871939"/>
    <w:rsid w:val="00872E7A"/>
    <w:rsid w:val="00873A00"/>
    <w:rsid w:val="00894584"/>
    <w:rsid w:val="0089729F"/>
    <w:rsid w:val="008B43EA"/>
    <w:rsid w:val="008B5722"/>
    <w:rsid w:val="008D37D6"/>
    <w:rsid w:val="008D7D68"/>
    <w:rsid w:val="008F5352"/>
    <w:rsid w:val="008F6FFD"/>
    <w:rsid w:val="00911604"/>
    <w:rsid w:val="00921BA0"/>
    <w:rsid w:val="00922D04"/>
    <w:rsid w:val="00927127"/>
    <w:rsid w:val="00932C7B"/>
    <w:rsid w:val="00935D1F"/>
    <w:rsid w:val="00935DA3"/>
    <w:rsid w:val="009504F6"/>
    <w:rsid w:val="00951516"/>
    <w:rsid w:val="009664A6"/>
    <w:rsid w:val="00977EAC"/>
    <w:rsid w:val="009913B4"/>
    <w:rsid w:val="00991664"/>
    <w:rsid w:val="00991C1B"/>
    <w:rsid w:val="00993379"/>
    <w:rsid w:val="00993B5C"/>
    <w:rsid w:val="00994BCF"/>
    <w:rsid w:val="009A21A5"/>
    <w:rsid w:val="009B0DB7"/>
    <w:rsid w:val="009B32D4"/>
    <w:rsid w:val="009C1CB6"/>
    <w:rsid w:val="009C67CA"/>
    <w:rsid w:val="009D7C9C"/>
    <w:rsid w:val="009E7E0A"/>
    <w:rsid w:val="009F1D8A"/>
    <w:rsid w:val="009F7469"/>
    <w:rsid w:val="00A02E9A"/>
    <w:rsid w:val="00A238C1"/>
    <w:rsid w:val="00A23BF3"/>
    <w:rsid w:val="00A2608D"/>
    <w:rsid w:val="00A32E8B"/>
    <w:rsid w:val="00A34C9F"/>
    <w:rsid w:val="00A36619"/>
    <w:rsid w:val="00A41B50"/>
    <w:rsid w:val="00A512E8"/>
    <w:rsid w:val="00A60F6F"/>
    <w:rsid w:val="00A63C8E"/>
    <w:rsid w:val="00A64BE5"/>
    <w:rsid w:val="00A703B7"/>
    <w:rsid w:val="00A82F94"/>
    <w:rsid w:val="00A85D21"/>
    <w:rsid w:val="00AA7F60"/>
    <w:rsid w:val="00AC45FF"/>
    <w:rsid w:val="00AC7D16"/>
    <w:rsid w:val="00AD2338"/>
    <w:rsid w:val="00AD2AD4"/>
    <w:rsid w:val="00AD3D07"/>
    <w:rsid w:val="00AD487C"/>
    <w:rsid w:val="00AE3FC8"/>
    <w:rsid w:val="00AE767B"/>
    <w:rsid w:val="00B066B0"/>
    <w:rsid w:val="00B11E93"/>
    <w:rsid w:val="00B44E93"/>
    <w:rsid w:val="00B45843"/>
    <w:rsid w:val="00B6245A"/>
    <w:rsid w:val="00B62A2C"/>
    <w:rsid w:val="00B660F9"/>
    <w:rsid w:val="00B7672F"/>
    <w:rsid w:val="00B810CC"/>
    <w:rsid w:val="00B83663"/>
    <w:rsid w:val="00B910E0"/>
    <w:rsid w:val="00BA4360"/>
    <w:rsid w:val="00BB3CB4"/>
    <w:rsid w:val="00BB57A7"/>
    <w:rsid w:val="00BB7635"/>
    <w:rsid w:val="00BC12B0"/>
    <w:rsid w:val="00BD4D12"/>
    <w:rsid w:val="00BD5192"/>
    <w:rsid w:val="00BD7DB6"/>
    <w:rsid w:val="00BE57C3"/>
    <w:rsid w:val="00BE606D"/>
    <w:rsid w:val="00BF453D"/>
    <w:rsid w:val="00BF72D0"/>
    <w:rsid w:val="00C0777C"/>
    <w:rsid w:val="00C27927"/>
    <w:rsid w:val="00C31F9B"/>
    <w:rsid w:val="00C37F46"/>
    <w:rsid w:val="00C41195"/>
    <w:rsid w:val="00C452D7"/>
    <w:rsid w:val="00C52420"/>
    <w:rsid w:val="00C52585"/>
    <w:rsid w:val="00C61A28"/>
    <w:rsid w:val="00C651AA"/>
    <w:rsid w:val="00C6528B"/>
    <w:rsid w:val="00C6785D"/>
    <w:rsid w:val="00C736B6"/>
    <w:rsid w:val="00C74230"/>
    <w:rsid w:val="00C86E95"/>
    <w:rsid w:val="00C90F2C"/>
    <w:rsid w:val="00CB6BA2"/>
    <w:rsid w:val="00CB6FDB"/>
    <w:rsid w:val="00CC6CBD"/>
    <w:rsid w:val="00CC7A91"/>
    <w:rsid w:val="00CD2515"/>
    <w:rsid w:val="00CD3B3A"/>
    <w:rsid w:val="00CE298F"/>
    <w:rsid w:val="00CF0999"/>
    <w:rsid w:val="00CF4CC3"/>
    <w:rsid w:val="00CF6D20"/>
    <w:rsid w:val="00D1772F"/>
    <w:rsid w:val="00D21DA7"/>
    <w:rsid w:val="00D30429"/>
    <w:rsid w:val="00D465CE"/>
    <w:rsid w:val="00D46FFC"/>
    <w:rsid w:val="00D7075E"/>
    <w:rsid w:val="00D8654C"/>
    <w:rsid w:val="00DA352D"/>
    <w:rsid w:val="00DA6A6E"/>
    <w:rsid w:val="00DB7169"/>
    <w:rsid w:val="00DC0F61"/>
    <w:rsid w:val="00DC5ED2"/>
    <w:rsid w:val="00DC5FFF"/>
    <w:rsid w:val="00DD1F96"/>
    <w:rsid w:val="00DE19C7"/>
    <w:rsid w:val="00DE5DA3"/>
    <w:rsid w:val="00DF424F"/>
    <w:rsid w:val="00DF505F"/>
    <w:rsid w:val="00E128A7"/>
    <w:rsid w:val="00E14461"/>
    <w:rsid w:val="00E152ED"/>
    <w:rsid w:val="00E21DB9"/>
    <w:rsid w:val="00E26B06"/>
    <w:rsid w:val="00E27F49"/>
    <w:rsid w:val="00E3024C"/>
    <w:rsid w:val="00E3032A"/>
    <w:rsid w:val="00E35C63"/>
    <w:rsid w:val="00E47768"/>
    <w:rsid w:val="00E51A45"/>
    <w:rsid w:val="00E567F0"/>
    <w:rsid w:val="00E6023E"/>
    <w:rsid w:val="00E60FBE"/>
    <w:rsid w:val="00E65121"/>
    <w:rsid w:val="00E757BB"/>
    <w:rsid w:val="00E76C64"/>
    <w:rsid w:val="00ED4BE5"/>
    <w:rsid w:val="00ED7877"/>
    <w:rsid w:val="00EE632B"/>
    <w:rsid w:val="00F104D4"/>
    <w:rsid w:val="00F1277B"/>
    <w:rsid w:val="00F155E2"/>
    <w:rsid w:val="00F15D40"/>
    <w:rsid w:val="00F177E8"/>
    <w:rsid w:val="00F24A68"/>
    <w:rsid w:val="00F57A69"/>
    <w:rsid w:val="00F6045E"/>
    <w:rsid w:val="00F65424"/>
    <w:rsid w:val="00F77664"/>
    <w:rsid w:val="00F91104"/>
    <w:rsid w:val="00F96139"/>
    <w:rsid w:val="00FB30DB"/>
    <w:rsid w:val="00FB5712"/>
    <w:rsid w:val="00FD3098"/>
    <w:rsid w:val="00FD3C85"/>
    <w:rsid w:val="00FE0D85"/>
    <w:rsid w:val="00FE26D9"/>
    <w:rsid w:val="00FF1EC7"/>
    <w:rsid w:val="00FF2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7E6D64"/>
  <w15:docId w15:val="{E339B26E-07FA-473D-9D21-B4502DAF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A86"/>
    <w:rPr>
      <w:rFonts w:ascii="Arial" w:eastAsia="Times New Roman" w:hAnsi="Arial"/>
      <w:sz w:val="24"/>
      <w:szCs w:val="24"/>
      <w:lang w:val="es-ES_tradnl" w:eastAsia="es-ES"/>
    </w:rPr>
  </w:style>
  <w:style w:type="paragraph" w:styleId="Ttulo1">
    <w:name w:val="heading 1"/>
    <w:aliases w:val="h:1,h:1app,H1,H11,Level 1,app heading 1,l1,h1,ITT t1,PA Chapter,Section Head,II+,I,Chapter Heading,1,Title1,H12,H111,H13,H112,H14,H113,H15,H114,H16,H115,H17,H116,H18,H117,H19,H118,H110,H119,H120,H1110,H121,H1111,H131,H1121,H141,H1131,H151,11"/>
    <w:basedOn w:val="Normal"/>
    <w:next w:val="Normal"/>
    <w:link w:val="Ttulo1Car"/>
    <w:autoRedefine/>
    <w:uiPriority w:val="99"/>
    <w:qFormat/>
    <w:rsid w:val="00F77664"/>
    <w:pPr>
      <w:keepNext/>
      <w:spacing w:before="240" w:after="60"/>
      <w:ind w:left="708" w:hanging="708"/>
      <w:contextualSpacing/>
      <w:jc w:val="center"/>
      <w:outlineLvl w:val="0"/>
    </w:pPr>
    <w:rPr>
      <w:rFonts w:ascii="ITC Avant Garde" w:hAnsi="ITC Avant Garde"/>
      <w:b/>
      <w:color w:val="000000"/>
      <w:sz w:val="56"/>
      <w:szCs w:val="72"/>
      <w:lang w:val="es-MX"/>
    </w:rPr>
  </w:style>
  <w:style w:type="paragraph" w:styleId="Ttulo2">
    <w:name w:val="heading 2"/>
    <w:basedOn w:val="Texto1"/>
    <w:next w:val="Normal"/>
    <w:link w:val="Ttulo2Car"/>
    <w:unhideWhenUsed/>
    <w:qFormat/>
    <w:locked/>
    <w:rsid w:val="006B4F14"/>
    <w:pPr>
      <w:numPr>
        <w:numId w:val="21"/>
      </w:numPr>
      <w:spacing w:after="200" w:line="276" w:lineRule="auto"/>
      <w:outlineLvl w:val="1"/>
    </w:pPr>
    <w:rPr>
      <w:rFonts w:ascii="ITC Avant Garde" w:hAnsi="ITC Avant Garde"/>
      <w:b/>
      <w:sz w:val="24"/>
      <w:szCs w:val="24"/>
    </w:rPr>
  </w:style>
  <w:style w:type="paragraph" w:styleId="Ttulo3">
    <w:name w:val="heading 3"/>
    <w:basedOn w:val="IFTnormal"/>
    <w:next w:val="Normal"/>
    <w:link w:val="Ttulo3Car"/>
    <w:unhideWhenUsed/>
    <w:qFormat/>
    <w:locked/>
    <w:rsid w:val="00935DA3"/>
    <w:pPr>
      <w:outlineLvl w:val="2"/>
    </w:pPr>
    <w:rPr>
      <w:b/>
    </w:rPr>
  </w:style>
  <w:style w:type="paragraph" w:styleId="Ttulo4">
    <w:name w:val="heading 4"/>
    <w:basedOn w:val="Normal"/>
    <w:next w:val="Normal"/>
    <w:link w:val="Ttulo4Car"/>
    <w:uiPriority w:val="99"/>
    <w:qFormat/>
    <w:rsid w:val="00F104D4"/>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basedOn w:val="Fuentedeprrafopredeter"/>
    <w:link w:val="Ttulo1"/>
    <w:uiPriority w:val="99"/>
    <w:locked/>
    <w:rsid w:val="00F77664"/>
    <w:rPr>
      <w:rFonts w:ascii="ITC Avant Garde" w:eastAsia="Times New Roman" w:hAnsi="ITC Avant Garde"/>
      <w:b/>
      <w:color w:val="000000"/>
      <w:sz w:val="56"/>
      <w:szCs w:val="72"/>
      <w:lang w:val="es-MX" w:eastAsia="es-ES"/>
    </w:rPr>
  </w:style>
  <w:style w:type="character" w:customStyle="1" w:styleId="Ttulo4Car">
    <w:name w:val="Título 4 Car"/>
    <w:basedOn w:val="Fuentedeprrafopredeter"/>
    <w:link w:val="Ttulo4"/>
    <w:uiPriority w:val="99"/>
    <w:locked/>
    <w:rsid w:val="00F104D4"/>
    <w:rPr>
      <w:rFonts w:ascii="Cambria" w:hAnsi="Cambria" w:cs="Times New Roman"/>
      <w:b/>
      <w:bCs/>
      <w:i/>
      <w:iCs/>
      <w:color w:val="4F81BD"/>
      <w:sz w:val="24"/>
      <w:szCs w:val="24"/>
      <w:lang w:val="es-ES_tradnl" w:eastAsia="es-ES"/>
    </w:rPr>
  </w:style>
  <w:style w:type="paragraph" w:styleId="Mapadeldocumento">
    <w:name w:val="Document Map"/>
    <w:basedOn w:val="Normal"/>
    <w:link w:val="MapadeldocumentoCar"/>
    <w:uiPriority w:val="99"/>
    <w:semiHidden/>
    <w:rsid w:val="002C7A86"/>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2C7A86"/>
    <w:rPr>
      <w:rFonts w:ascii="Tahoma" w:hAnsi="Tahoma" w:cs="Tahoma"/>
      <w:sz w:val="16"/>
      <w:szCs w:val="16"/>
      <w:lang w:val="es-ES_tradnl" w:eastAsia="es-ES"/>
    </w:rPr>
  </w:style>
  <w:style w:type="paragraph" w:customStyle="1" w:styleId="Texto1">
    <w:name w:val="Texto 1"/>
    <w:basedOn w:val="Normal"/>
    <w:uiPriority w:val="99"/>
    <w:rsid w:val="002C7A86"/>
    <w:pPr>
      <w:ind w:left="352"/>
      <w:jc w:val="both"/>
    </w:pPr>
    <w:rPr>
      <w:sz w:val="20"/>
      <w:szCs w:val="20"/>
    </w:rPr>
  </w:style>
  <w:style w:type="paragraph" w:styleId="Prrafodelista">
    <w:name w:val="List Paragraph"/>
    <w:basedOn w:val="Normal"/>
    <w:uiPriority w:val="99"/>
    <w:qFormat/>
    <w:rsid w:val="002C7A86"/>
    <w:pPr>
      <w:ind w:left="708"/>
    </w:pPr>
  </w:style>
  <w:style w:type="paragraph" w:styleId="Textocomentario">
    <w:name w:val="annotation text"/>
    <w:basedOn w:val="Normal"/>
    <w:link w:val="TextocomentarioCar"/>
    <w:uiPriority w:val="99"/>
    <w:rsid w:val="00D7075E"/>
    <w:pPr>
      <w:tabs>
        <w:tab w:val="left" w:pos="794"/>
        <w:tab w:val="left" w:pos="1191"/>
        <w:tab w:val="left" w:pos="1588"/>
        <w:tab w:val="left" w:pos="1985"/>
      </w:tabs>
      <w:spacing w:before="136"/>
      <w:jc w:val="both"/>
    </w:pPr>
  </w:style>
  <w:style w:type="character" w:customStyle="1" w:styleId="TextocomentarioCar">
    <w:name w:val="Texto comentario Car"/>
    <w:basedOn w:val="Fuentedeprrafopredeter"/>
    <w:link w:val="Textocomentario"/>
    <w:uiPriority w:val="99"/>
    <w:locked/>
    <w:rsid w:val="00D7075E"/>
    <w:rPr>
      <w:rFonts w:ascii="Arial" w:hAnsi="Arial" w:cs="Times New Roman"/>
      <w:sz w:val="24"/>
      <w:szCs w:val="24"/>
      <w:lang w:val="es-ES_tradnl" w:eastAsia="es-ES"/>
    </w:rPr>
  </w:style>
  <w:style w:type="character" w:styleId="Refdecomentario">
    <w:name w:val="annotation reference"/>
    <w:basedOn w:val="Fuentedeprrafopredeter"/>
    <w:uiPriority w:val="99"/>
    <w:rsid w:val="00D7075E"/>
    <w:rPr>
      <w:rFonts w:cs="Times New Roman"/>
      <w:sz w:val="16"/>
    </w:rPr>
  </w:style>
  <w:style w:type="table" w:styleId="Tablaconcuadrcula">
    <w:name w:val="Table Grid"/>
    <w:basedOn w:val="Tablanormal"/>
    <w:uiPriority w:val="99"/>
    <w:rsid w:val="000D7F12"/>
    <w:rPr>
      <w:rFonts w:ascii="Arial" w:eastAsia="Times New Roman" w:hAnsi="Arial"/>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991C1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91C1B"/>
    <w:rPr>
      <w:rFonts w:ascii="Tahoma" w:hAnsi="Tahoma" w:cs="Tahoma"/>
      <w:sz w:val="16"/>
      <w:szCs w:val="16"/>
      <w:lang w:val="es-ES_tradnl" w:eastAsia="es-ES"/>
    </w:rPr>
  </w:style>
  <w:style w:type="paragraph" w:styleId="Encabezado">
    <w:name w:val="header"/>
    <w:basedOn w:val="Normal"/>
    <w:link w:val="EncabezadoCar"/>
    <w:uiPriority w:val="99"/>
    <w:rsid w:val="00AC7D16"/>
    <w:pPr>
      <w:tabs>
        <w:tab w:val="center" w:pos="4419"/>
        <w:tab w:val="right" w:pos="8838"/>
      </w:tabs>
    </w:pPr>
  </w:style>
  <w:style w:type="character" w:customStyle="1" w:styleId="EncabezadoCar">
    <w:name w:val="Encabezado Car"/>
    <w:basedOn w:val="Fuentedeprrafopredeter"/>
    <w:link w:val="Encabezado"/>
    <w:uiPriority w:val="99"/>
    <w:locked/>
    <w:rsid w:val="00AC7D16"/>
    <w:rPr>
      <w:rFonts w:ascii="Arial" w:hAnsi="Arial" w:cs="Times New Roman"/>
      <w:sz w:val="24"/>
      <w:szCs w:val="24"/>
      <w:lang w:val="es-ES_tradnl" w:eastAsia="es-ES"/>
    </w:rPr>
  </w:style>
  <w:style w:type="paragraph" w:styleId="Piedepgina">
    <w:name w:val="footer"/>
    <w:basedOn w:val="Normal"/>
    <w:link w:val="PiedepginaCar"/>
    <w:uiPriority w:val="99"/>
    <w:rsid w:val="00AC7D16"/>
    <w:pPr>
      <w:tabs>
        <w:tab w:val="center" w:pos="4419"/>
        <w:tab w:val="right" w:pos="8838"/>
      </w:tabs>
    </w:pPr>
  </w:style>
  <w:style w:type="character" w:customStyle="1" w:styleId="PiedepginaCar">
    <w:name w:val="Pie de página Car"/>
    <w:basedOn w:val="Fuentedeprrafopredeter"/>
    <w:link w:val="Piedepgina"/>
    <w:uiPriority w:val="99"/>
    <w:locked/>
    <w:rsid w:val="00AC7D16"/>
    <w:rPr>
      <w:rFonts w:ascii="Arial" w:hAnsi="Arial" w:cs="Times New Roman"/>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551C64"/>
    <w:pPr>
      <w:tabs>
        <w:tab w:val="clear" w:pos="794"/>
        <w:tab w:val="clear" w:pos="1191"/>
        <w:tab w:val="clear" w:pos="1588"/>
        <w:tab w:val="clear" w:pos="1985"/>
      </w:tabs>
      <w:spacing w:before="0"/>
      <w:jc w:val="left"/>
    </w:pPr>
    <w:rPr>
      <w:b/>
      <w:bCs/>
      <w:sz w:val="20"/>
      <w:szCs w:val="20"/>
    </w:rPr>
  </w:style>
  <w:style w:type="character" w:customStyle="1" w:styleId="AsuntodelcomentarioCar">
    <w:name w:val="Asunto del comentario Car"/>
    <w:basedOn w:val="TextocomentarioCar"/>
    <w:link w:val="Asuntodelcomentario"/>
    <w:uiPriority w:val="99"/>
    <w:semiHidden/>
    <w:rsid w:val="00551C64"/>
    <w:rPr>
      <w:rFonts w:ascii="Arial" w:eastAsia="Times New Roman" w:hAnsi="Arial" w:cs="Times New Roman"/>
      <w:b/>
      <w:bCs/>
      <w:sz w:val="20"/>
      <w:szCs w:val="20"/>
      <w:lang w:val="es-ES_tradnl" w:eastAsia="es-ES"/>
    </w:rPr>
  </w:style>
  <w:style w:type="character" w:styleId="Hipervnculo">
    <w:name w:val="Hyperlink"/>
    <w:basedOn w:val="Fuentedeprrafopredeter"/>
    <w:uiPriority w:val="99"/>
    <w:unhideWhenUsed/>
    <w:rsid w:val="00082AAE"/>
    <w:rPr>
      <w:color w:val="0000FF" w:themeColor="hyperlink"/>
      <w:u w:val="single"/>
    </w:rPr>
  </w:style>
  <w:style w:type="paragraph" w:customStyle="1" w:styleId="CondicionesFinales">
    <w:name w:val="CondicionesFinales"/>
    <w:basedOn w:val="Normal"/>
    <w:qFormat/>
    <w:rsid w:val="008B5722"/>
    <w:pPr>
      <w:adjustRightInd w:val="0"/>
      <w:spacing w:after="200" w:line="276" w:lineRule="auto"/>
      <w:ind w:left="851" w:right="760"/>
      <w:jc w:val="both"/>
    </w:pPr>
    <w:rPr>
      <w:rFonts w:ascii="ITC Avant Garde" w:hAnsi="ITC Avant Garde" w:cs="Arial"/>
      <w:bCs/>
      <w:color w:val="000000"/>
      <w:sz w:val="22"/>
      <w:szCs w:val="22"/>
    </w:rPr>
  </w:style>
  <w:style w:type="paragraph" w:customStyle="1" w:styleId="IFTnormal">
    <w:name w:val="IFT normal"/>
    <w:basedOn w:val="Normal"/>
    <w:link w:val="IFTnormalCar"/>
    <w:qFormat/>
    <w:rsid w:val="008B5722"/>
    <w:pPr>
      <w:spacing w:after="200" w:line="276" w:lineRule="auto"/>
      <w:jc w:val="both"/>
    </w:pPr>
    <w:rPr>
      <w:rFonts w:ascii="ITC Avant Garde" w:eastAsia="Calibri" w:hAnsi="ITC Avant Garde" w:cs="Arial"/>
      <w:color w:val="000000"/>
      <w:sz w:val="22"/>
      <w:szCs w:val="22"/>
    </w:rPr>
  </w:style>
  <w:style w:type="character" w:customStyle="1" w:styleId="IFTnormalCar">
    <w:name w:val="IFT normal Car"/>
    <w:basedOn w:val="Fuentedeprrafopredeter"/>
    <w:link w:val="IFTnormal"/>
    <w:qFormat/>
    <w:rsid w:val="008B5722"/>
    <w:rPr>
      <w:rFonts w:ascii="ITC Avant Garde" w:hAnsi="ITC Avant Garde" w:cs="Arial"/>
      <w:color w:val="000000"/>
      <w:lang w:val="es-ES_tradnl" w:eastAsia="es-ES"/>
    </w:rPr>
  </w:style>
  <w:style w:type="character" w:customStyle="1" w:styleId="Ttulo2Car">
    <w:name w:val="Título 2 Car"/>
    <w:basedOn w:val="Fuentedeprrafopredeter"/>
    <w:link w:val="Ttulo2"/>
    <w:rsid w:val="006B4F14"/>
    <w:rPr>
      <w:rFonts w:ascii="ITC Avant Garde" w:eastAsia="Times New Roman" w:hAnsi="ITC Avant Garde"/>
      <w:b/>
      <w:sz w:val="24"/>
      <w:szCs w:val="24"/>
      <w:lang w:val="es-ES_tradnl" w:eastAsia="es-ES"/>
    </w:rPr>
  </w:style>
  <w:style w:type="character" w:customStyle="1" w:styleId="Ttulo3Car">
    <w:name w:val="Título 3 Car"/>
    <w:basedOn w:val="Fuentedeprrafopredeter"/>
    <w:link w:val="Ttulo3"/>
    <w:rsid w:val="00935DA3"/>
    <w:rPr>
      <w:rFonts w:ascii="ITC Avant Garde" w:hAnsi="ITC Avant Garde" w:cs="Arial"/>
      <w:b/>
      <w:color w:val="000000"/>
      <w:lang w:val="es-ES_tradnl"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E6023E"/>
    <w:rPr>
      <w:rFonts w:asciiTheme="minorHAnsi" w:hAnsiTheme="minorHAnsi"/>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6023E"/>
    <w:rPr>
      <w:rFonts w:asciiTheme="minorHAnsi" w:eastAsia="Times New Roman" w:hAnsiTheme="minorHAnsi"/>
      <w:sz w:val="24"/>
      <w:szCs w:val="24"/>
      <w:lang w:val="es-ES_tradnl" w:eastAsia="es-ES"/>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E60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92A4E-5B1E-487F-8D53-BB0C4ED92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48AA4-9628-4B9D-88F1-11547C169DE5}">
  <ds:schemaRefs>
    <ds:schemaRef ds:uri="http://schemas.microsoft.com/sharepoint/v3/contenttype/forms"/>
  </ds:schemaRefs>
</ds:datastoreItem>
</file>

<file path=customXml/itemProps3.xml><?xml version="1.0" encoding="utf-8"?>
<ds:datastoreItem xmlns:ds="http://schemas.openxmlformats.org/officeDocument/2006/customXml" ds:itemID="{BF78883A-5A81-406C-8FC4-D2BEAC318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1D2EA5-0D95-4CCD-8BF6-A76434B4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3327</Words>
  <Characters>18303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“Anexo C”</vt:lpstr>
    </vt:vector>
  </TitlesOfParts>
  <Company>TELMEX</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C”</dc:title>
  <dc:creator>kluna</dc:creator>
  <cp:lastModifiedBy>Gonzalez Moreno Priscila</cp:lastModifiedBy>
  <cp:revision>3</cp:revision>
  <cp:lastPrinted>2015-11-10T19:39:00Z</cp:lastPrinted>
  <dcterms:created xsi:type="dcterms:W3CDTF">2018-06-28T02:46:00Z</dcterms:created>
  <dcterms:modified xsi:type="dcterms:W3CDTF">2018-06-28T02:51:00Z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