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206" w:rsidRPr="006D79F0" w:rsidRDefault="00100206" w:rsidP="00051100">
      <w:pPr>
        <w:jc w:val="center"/>
        <w:rPr>
          <w:vertAlign w:val="superscript"/>
        </w:rPr>
      </w:pPr>
    </w:p>
    <w:p w:rsidR="00100206" w:rsidRPr="00B33178" w:rsidRDefault="00100206" w:rsidP="00051100">
      <w:pPr>
        <w:tabs>
          <w:tab w:val="left" w:pos="3540"/>
        </w:tabs>
      </w:pPr>
      <w:r w:rsidRPr="00B33178">
        <w:tab/>
      </w:r>
    </w:p>
    <w:p w:rsidR="00100206" w:rsidRPr="00B33178" w:rsidRDefault="00100206" w:rsidP="00051100">
      <w:pPr>
        <w:jc w:val="center"/>
        <w:rPr>
          <w:sz w:val="96"/>
          <w:szCs w:val="96"/>
        </w:rPr>
      </w:pPr>
    </w:p>
    <w:p w:rsidR="00100206" w:rsidRPr="00A81133" w:rsidRDefault="00100206" w:rsidP="00051100">
      <w:pPr>
        <w:jc w:val="center"/>
        <w:rPr>
          <w:rFonts w:ascii="ITC Avant Garde" w:hAnsi="ITC Avant Garde"/>
          <w:sz w:val="96"/>
          <w:szCs w:val="96"/>
        </w:rPr>
      </w:pPr>
      <w:r w:rsidRPr="00A81133">
        <w:rPr>
          <w:rFonts w:ascii="ITC Avant Garde" w:hAnsi="ITC Avant Garde"/>
          <w:sz w:val="96"/>
          <w:szCs w:val="96"/>
        </w:rPr>
        <w:t>“Anexo B”</w:t>
      </w:r>
    </w:p>
    <w:p w:rsidR="00100206" w:rsidRPr="00A81133" w:rsidRDefault="00100206" w:rsidP="00051100">
      <w:pPr>
        <w:tabs>
          <w:tab w:val="left" w:pos="5425"/>
        </w:tabs>
        <w:rPr>
          <w:rFonts w:ascii="ITC Avant Garde" w:hAnsi="ITC Avant Garde"/>
          <w:sz w:val="96"/>
          <w:szCs w:val="96"/>
        </w:rPr>
      </w:pPr>
      <w:r w:rsidRPr="00A81133">
        <w:rPr>
          <w:rFonts w:ascii="ITC Avant Garde" w:hAnsi="ITC Avant Garde"/>
          <w:sz w:val="96"/>
          <w:szCs w:val="96"/>
        </w:rPr>
        <w:tab/>
      </w:r>
    </w:p>
    <w:p w:rsidR="00100206" w:rsidRPr="00A81133" w:rsidRDefault="00100206" w:rsidP="00051100">
      <w:pPr>
        <w:keepNext/>
        <w:spacing w:before="240" w:after="60" w:line="360" w:lineRule="auto"/>
        <w:contextualSpacing/>
        <w:jc w:val="center"/>
        <w:outlineLvl w:val="0"/>
        <w:rPr>
          <w:rFonts w:ascii="ITC Avant Garde" w:hAnsi="ITC Avant Garde"/>
          <w:b/>
          <w:sz w:val="96"/>
          <w:szCs w:val="96"/>
        </w:rPr>
      </w:pPr>
      <w:r w:rsidRPr="00A81133">
        <w:rPr>
          <w:rFonts w:ascii="ITC Avant Garde" w:hAnsi="ITC Avant Garde"/>
          <w:b/>
          <w:sz w:val="96"/>
          <w:szCs w:val="96"/>
        </w:rPr>
        <w:t>Penas Convencionales</w:t>
      </w:r>
    </w:p>
    <w:p w:rsidR="00100206" w:rsidRPr="00A81133" w:rsidRDefault="00100206">
      <w:pPr>
        <w:rPr>
          <w:b/>
          <w:sz w:val="96"/>
          <w:szCs w:val="96"/>
        </w:rPr>
      </w:pPr>
    </w:p>
    <w:p w:rsidR="00100206" w:rsidRPr="00A81133" w:rsidRDefault="00100206" w:rsidP="00051100">
      <w:pPr>
        <w:rPr>
          <w:sz w:val="96"/>
          <w:szCs w:val="96"/>
        </w:rPr>
      </w:pPr>
    </w:p>
    <w:p w:rsidR="00616162" w:rsidRPr="00A81133" w:rsidRDefault="00616162" w:rsidP="00616162">
      <w:pPr>
        <w:tabs>
          <w:tab w:val="left" w:pos="5445"/>
        </w:tabs>
      </w:pPr>
      <w:bookmarkStart w:id="0" w:name="_Toc427307537"/>
    </w:p>
    <w:p w:rsidR="00100206" w:rsidRPr="00A81133" w:rsidRDefault="00616162" w:rsidP="00616162">
      <w:pPr>
        <w:pStyle w:val="IFTnormal"/>
        <w:tabs>
          <w:tab w:val="left" w:pos="426"/>
        </w:tabs>
      </w:pPr>
      <w:r w:rsidRPr="00A81133">
        <w:rPr>
          <w:rFonts w:cs="Arial"/>
          <w:bCs w:val="0"/>
          <w:color w:val="000000"/>
          <w:lang w:val="es-ES_tradnl" w:eastAsia="es-ES"/>
        </w:rPr>
        <w:t>P</w:t>
      </w:r>
      <w:r w:rsidR="00100206" w:rsidRPr="00A81133">
        <w:rPr>
          <w:rFonts w:cs="Arial"/>
          <w:bCs w:val="0"/>
          <w:color w:val="000000"/>
          <w:lang w:val="es-ES_tradnl" w:eastAsia="es-ES"/>
        </w:rPr>
        <w:t>enas</w:t>
      </w:r>
      <w:r w:rsidR="00100206" w:rsidRPr="00A81133">
        <w:t xml:space="preserve"> Convencionales</w:t>
      </w:r>
      <w:bookmarkEnd w:id="0"/>
    </w:p>
    <w:p w:rsidR="00100206" w:rsidRPr="00A81133" w:rsidRDefault="00100206" w:rsidP="00616162">
      <w:pPr>
        <w:pStyle w:val="IFTnormal"/>
        <w:tabs>
          <w:tab w:val="left" w:pos="426"/>
        </w:tabs>
        <w:rPr>
          <w:rFonts w:cs="Arial"/>
          <w:bCs w:val="0"/>
          <w:color w:val="000000"/>
          <w:lang w:val="es-ES_tradnl" w:eastAsia="es-ES"/>
        </w:rPr>
      </w:pPr>
      <w:r w:rsidRPr="00A81133">
        <w:rPr>
          <w:rFonts w:cs="Arial"/>
          <w:bCs w:val="0"/>
          <w:color w:val="000000"/>
          <w:lang w:val="es-ES_tradnl" w:eastAsia="es-ES"/>
        </w:rPr>
        <w:t>Telmex realizará el aprovisionamiento y atención de reportes de</w:t>
      </w:r>
      <w:r w:rsidR="00442CF6">
        <w:rPr>
          <w:rFonts w:cs="Arial"/>
          <w:bCs w:val="0"/>
          <w:color w:val="000000"/>
          <w:lang w:val="es-ES_tradnl" w:eastAsia="es-ES"/>
        </w:rPr>
        <w:t xml:space="preserve"> incidencias o</w:t>
      </w:r>
      <w:r w:rsidRPr="00A81133">
        <w:rPr>
          <w:rFonts w:cs="Arial"/>
          <w:bCs w:val="0"/>
          <w:color w:val="000000"/>
          <w:lang w:val="es-ES_tradnl" w:eastAsia="es-ES"/>
        </w:rPr>
        <w:t xml:space="preserve"> falla</w:t>
      </w:r>
      <w:r w:rsidR="00442CF6">
        <w:rPr>
          <w:rFonts w:cs="Arial"/>
          <w:bCs w:val="0"/>
          <w:color w:val="000000"/>
          <w:lang w:val="es-ES_tradnl" w:eastAsia="es-ES"/>
        </w:rPr>
        <w:t>s</w:t>
      </w:r>
      <w:r w:rsidRPr="00A81133">
        <w:rPr>
          <w:rFonts w:cs="Arial"/>
          <w:bCs w:val="0"/>
          <w:color w:val="000000"/>
          <w:lang w:val="es-ES_tradnl" w:eastAsia="es-ES"/>
        </w:rPr>
        <w:t xml:space="preserve"> de los servicios dentro de los tiempos establecidos en la presente oferta y en caso de incumplimiento, salvo los casos que eximan de responsabilidad a Telmex, se aplicarán las siguientes penas convencionales</w:t>
      </w:r>
      <w:r w:rsidR="004F1823" w:rsidRPr="00A81133">
        <w:rPr>
          <w:rFonts w:cs="Arial"/>
          <w:bCs w:val="0"/>
          <w:color w:val="000000"/>
          <w:lang w:val="es-ES_tradnl" w:eastAsia="es-ES"/>
        </w:rPr>
        <w:t xml:space="preserve"> tomando en cuenta que en ningún caso la pena </w:t>
      </w:r>
      <w:r w:rsidR="002B41C7">
        <w:rPr>
          <w:rFonts w:cs="Arial"/>
          <w:bCs w:val="0"/>
          <w:color w:val="000000"/>
          <w:lang w:val="es-ES_tradnl" w:eastAsia="es-ES"/>
        </w:rPr>
        <w:t xml:space="preserve">aplicable </w:t>
      </w:r>
      <w:r w:rsidR="004F1823" w:rsidRPr="00A81133">
        <w:rPr>
          <w:rFonts w:cs="Arial"/>
          <w:bCs w:val="0"/>
          <w:color w:val="000000"/>
          <w:lang w:val="es-ES_tradnl" w:eastAsia="es-ES"/>
        </w:rPr>
        <w:t>deberá superar el valor del servicio (gastos de habilitación + renta mensual)</w:t>
      </w:r>
      <w:r w:rsidRPr="00A81133">
        <w:rPr>
          <w:rFonts w:cs="Arial"/>
          <w:bCs w:val="0"/>
          <w:color w:val="000000"/>
          <w:lang w:val="es-ES_tradnl" w:eastAsia="es-ES"/>
        </w:rPr>
        <w:t>:</w:t>
      </w:r>
    </w:p>
    <w:p w:rsidR="00100206" w:rsidRPr="00A81133" w:rsidRDefault="00100206" w:rsidP="00381825">
      <w:pPr>
        <w:pStyle w:val="IFTnormal"/>
        <w:tabs>
          <w:tab w:val="left" w:pos="426"/>
        </w:tabs>
        <w:rPr>
          <w:rFonts w:cs="Arial"/>
          <w:bCs w:val="0"/>
          <w:color w:val="000000"/>
          <w:u w:val="single"/>
          <w:lang w:val="es-ES_tradnl" w:eastAsia="es-ES"/>
        </w:rPr>
      </w:pPr>
      <w:r w:rsidRPr="00A81133">
        <w:rPr>
          <w:rFonts w:cs="Arial"/>
          <w:bCs w:val="0"/>
          <w:color w:val="000000"/>
          <w:u w:val="single"/>
          <w:lang w:val="es-ES_tradnl" w:eastAsia="es-ES"/>
        </w:rPr>
        <w:t xml:space="preserve">Aprovisionamiento de servicios </w:t>
      </w:r>
    </w:p>
    <w:p w:rsidR="003F300D" w:rsidRPr="00A81133" w:rsidRDefault="00100206" w:rsidP="00381825">
      <w:pPr>
        <w:pStyle w:val="IFTnormal"/>
        <w:tabs>
          <w:tab w:val="left" w:pos="426"/>
        </w:tabs>
        <w:rPr>
          <w:rFonts w:cs="Arial"/>
          <w:bCs w:val="0"/>
          <w:color w:val="000000"/>
          <w:lang w:val="es-ES_tradnl" w:eastAsia="es-ES"/>
        </w:rPr>
      </w:pPr>
      <w:r w:rsidRPr="00A81133">
        <w:rPr>
          <w:rFonts w:cs="Arial"/>
          <w:bCs w:val="0"/>
          <w:color w:val="000000"/>
          <w:lang w:val="es-ES_tradnl" w:eastAsia="es-ES"/>
        </w:rPr>
        <w:t xml:space="preserve">En caso de que los parámetros e Indicadores de calidad </w:t>
      </w:r>
      <w:r w:rsidR="00AE462E" w:rsidRPr="00A81133">
        <w:rPr>
          <w:rFonts w:cs="Arial"/>
          <w:bCs w:val="0"/>
          <w:color w:val="000000"/>
          <w:lang w:val="es-ES_tradnl" w:eastAsia="es-ES"/>
        </w:rPr>
        <w:t xml:space="preserve">sobre validación de solicitud </w:t>
      </w:r>
      <w:r w:rsidR="003F300D" w:rsidRPr="00A81133">
        <w:rPr>
          <w:rFonts w:cs="Arial"/>
          <w:bCs w:val="0"/>
          <w:color w:val="000000"/>
          <w:lang w:val="es-ES_tradnl" w:eastAsia="es-ES"/>
        </w:rPr>
        <w:t xml:space="preserve">y verificación de factibilidad de </w:t>
      </w:r>
      <w:r w:rsidR="00F16A80" w:rsidRPr="00A81133">
        <w:rPr>
          <w:rFonts w:cs="Arial"/>
          <w:bCs w:val="0"/>
          <w:color w:val="000000"/>
          <w:lang w:val="es-ES_tradnl" w:eastAsia="es-ES"/>
        </w:rPr>
        <w:t>todos los servicios objetos de la Oferta de Referencia:</w:t>
      </w:r>
    </w:p>
    <w:p w:rsidR="00C4511D" w:rsidRPr="00A81133" w:rsidRDefault="003F300D" w:rsidP="00D02029">
      <w:pPr>
        <w:pStyle w:val="IFTnormal"/>
        <w:numPr>
          <w:ilvl w:val="0"/>
          <w:numId w:val="2"/>
        </w:numPr>
      </w:pPr>
      <w:r w:rsidRPr="00A81133">
        <w:t>Validación de la solicitud junto con v</w:t>
      </w:r>
      <w:r w:rsidR="002B41C7">
        <w:t>erific</w:t>
      </w:r>
      <w:r w:rsidRPr="00A81133">
        <w:t xml:space="preserve">ación de la factibilidad: 90% de las solicitudes en máximo de </w:t>
      </w:r>
      <w:r w:rsidR="00C57750" w:rsidRPr="00A81133">
        <w:t>T1</w:t>
      </w:r>
      <w:r w:rsidRPr="00A81133">
        <w:t xml:space="preserve"> días hábiles. El 10% restante en un máximo de </w:t>
      </w:r>
      <w:r w:rsidR="00C57750" w:rsidRPr="00A81133">
        <w:t>T2</w:t>
      </w:r>
      <w:r w:rsidR="00C57750" w:rsidRPr="00A81133">
        <w:rPr>
          <w:rStyle w:val="Refdenotaalpie"/>
        </w:rPr>
        <w:footnoteReference w:id="2"/>
      </w:r>
      <w:r w:rsidRPr="00A81133">
        <w:t xml:space="preserve"> días hábiles.</w:t>
      </w:r>
    </w:p>
    <w:p w:rsidR="003F300D" w:rsidRPr="00A81133" w:rsidRDefault="00C4511D" w:rsidP="00D02029">
      <w:pPr>
        <w:pStyle w:val="IFTnormal"/>
        <w:numPr>
          <w:ilvl w:val="0"/>
          <w:numId w:val="3"/>
        </w:numPr>
      </w:pPr>
      <w:r w:rsidRPr="00A81133">
        <w:t>En caso de que no se cumpla el 90% del indicado</w:t>
      </w:r>
      <w:r w:rsidR="008361E4" w:rsidRPr="00A81133">
        <w:t>r.</w:t>
      </w:r>
      <w:r w:rsidRPr="00A81133">
        <w:t xml:space="preserve"> </w:t>
      </w:r>
      <w:r w:rsidR="007F24D5" w:rsidRPr="00A81133">
        <w:t xml:space="preserve">Serán acreedores de una pena </w:t>
      </w:r>
      <w:r w:rsidRPr="00A81133">
        <w:t xml:space="preserve">la totalidad de los eventos que superen </w:t>
      </w:r>
      <w:r w:rsidR="00F16A80" w:rsidRPr="00A81133">
        <w:t>los T1</w:t>
      </w:r>
      <w:r w:rsidRPr="00A81133">
        <w:t xml:space="preserve"> días hábiles </w:t>
      </w:r>
      <w:r w:rsidR="007F24D5" w:rsidRPr="00A81133">
        <w:t xml:space="preserve">y se aplicará </w:t>
      </w:r>
      <w:r w:rsidRPr="00A81133">
        <w:t>una pena de 2</w:t>
      </w:r>
      <w:r w:rsidR="00AE2372" w:rsidRPr="00A81133">
        <w:t>0</w:t>
      </w:r>
      <w:r w:rsidRPr="00A81133">
        <w:t xml:space="preserve">% del valor de la renta mensual al servicio que </w:t>
      </w:r>
      <w:r w:rsidR="008361E4" w:rsidRPr="00A81133">
        <w:t>está asociada la solicitud.</w:t>
      </w:r>
    </w:p>
    <w:p w:rsidR="007F24D5" w:rsidRPr="00A81133" w:rsidRDefault="008361E4" w:rsidP="00D02029">
      <w:pPr>
        <w:pStyle w:val="IFTnormal"/>
        <w:numPr>
          <w:ilvl w:val="0"/>
          <w:numId w:val="3"/>
        </w:numPr>
      </w:pPr>
      <w:r w:rsidRPr="00A81133">
        <w:t>En caso de que se cumpl</w:t>
      </w:r>
      <w:r w:rsidR="004135DD" w:rsidRPr="00A81133">
        <w:t>a</w:t>
      </w:r>
      <w:r w:rsidRPr="00A81133">
        <w:t xml:space="preserve"> el 90% del indicador.  </w:t>
      </w:r>
      <w:r w:rsidR="007F24D5" w:rsidRPr="00A81133">
        <w:t xml:space="preserve">Serán acreedores de una pena la totalidad de los eventos que superen </w:t>
      </w:r>
      <w:r w:rsidR="00F16A80" w:rsidRPr="00A81133">
        <w:t>los T2</w:t>
      </w:r>
      <w:r w:rsidR="007F24D5" w:rsidRPr="00A81133">
        <w:t xml:space="preserve"> días hábiles y se aplicará una pena de 2</w:t>
      </w:r>
      <w:r w:rsidR="00AE2372" w:rsidRPr="00A81133">
        <w:t>0</w:t>
      </w:r>
      <w:r w:rsidR="007F24D5" w:rsidRPr="00A81133">
        <w:t>% del valor de la renta mensual al servicio que está asociada la solicitud.</w:t>
      </w:r>
    </w:p>
    <w:p w:rsidR="00295D3D" w:rsidRPr="00A81133" w:rsidRDefault="00295D3D" w:rsidP="00024C03">
      <w:pPr>
        <w:spacing w:line="240" w:lineRule="auto"/>
        <w:contextualSpacing/>
        <w:jc w:val="both"/>
        <w:rPr>
          <w:rFonts w:cs="Arial"/>
        </w:rPr>
      </w:pPr>
    </w:p>
    <w:p w:rsidR="00D62027" w:rsidRPr="00A81133" w:rsidRDefault="00D62027" w:rsidP="00024C03">
      <w:pPr>
        <w:spacing w:line="240" w:lineRule="auto"/>
        <w:contextualSpacing/>
        <w:jc w:val="both"/>
        <w:rPr>
          <w:rFonts w:cs="Arial"/>
        </w:rPr>
      </w:pPr>
    </w:p>
    <w:p w:rsidR="00D62027" w:rsidRPr="00A81133" w:rsidRDefault="00D62027" w:rsidP="00024C03">
      <w:pPr>
        <w:spacing w:line="240" w:lineRule="auto"/>
        <w:contextualSpacing/>
        <w:jc w:val="both"/>
        <w:rPr>
          <w:rFonts w:cs="Arial"/>
        </w:rPr>
      </w:pPr>
    </w:p>
    <w:p w:rsidR="00D62027" w:rsidRPr="00A81133" w:rsidRDefault="00D62027" w:rsidP="00024C03">
      <w:pPr>
        <w:spacing w:line="240" w:lineRule="auto"/>
        <w:contextualSpacing/>
        <w:jc w:val="both"/>
        <w:rPr>
          <w:rFonts w:cs="Arial"/>
        </w:rPr>
      </w:pPr>
    </w:p>
    <w:p w:rsidR="00D62027" w:rsidRPr="00A81133" w:rsidRDefault="00D62027" w:rsidP="00024C03">
      <w:pPr>
        <w:spacing w:line="240" w:lineRule="auto"/>
        <w:contextualSpacing/>
        <w:jc w:val="both"/>
        <w:rPr>
          <w:rFonts w:cs="Arial"/>
        </w:rPr>
      </w:pPr>
    </w:p>
    <w:p w:rsidR="00D62027" w:rsidRPr="00A81133" w:rsidRDefault="00D62027" w:rsidP="00024C03">
      <w:pPr>
        <w:spacing w:line="240" w:lineRule="auto"/>
        <w:contextualSpacing/>
        <w:jc w:val="both"/>
        <w:rPr>
          <w:rFonts w:cs="Arial"/>
        </w:rPr>
      </w:pPr>
    </w:p>
    <w:p w:rsidR="007A0558" w:rsidRPr="00A81133" w:rsidRDefault="007A0558" w:rsidP="007A0558">
      <w:pPr>
        <w:spacing w:line="240" w:lineRule="auto"/>
        <w:contextualSpacing/>
        <w:jc w:val="center"/>
        <w:rPr>
          <w:rFonts w:cs="Arial"/>
        </w:rPr>
      </w:pPr>
    </w:p>
    <w:tbl>
      <w:tblPr>
        <w:tblW w:w="7677" w:type="dxa"/>
        <w:jc w:val="center"/>
        <w:tblCellMar>
          <w:left w:w="70" w:type="dxa"/>
          <w:right w:w="70" w:type="dxa"/>
        </w:tblCellMar>
        <w:tblLook w:val="04A0" w:firstRow="1" w:lastRow="0" w:firstColumn="1" w:lastColumn="0" w:noHBand="0" w:noVBand="1"/>
      </w:tblPr>
      <w:tblGrid>
        <w:gridCol w:w="5000"/>
        <w:gridCol w:w="1090"/>
        <w:gridCol w:w="1587"/>
      </w:tblGrid>
      <w:tr w:rsidR="00A7529E" w:rsidRPr="00A81133" w:rsidTr="00243980">
        <w:trPr>
          <w:trHeight w:val="576"/>
          <w:jc w:val="center"/>
        </w:trPr>
        <w:tc>
          <w:tcPr>
            <w:tcW w:w="7677" w:type="dxa"/>
            <w:gridSpan w:val="3"/>
            <w:tcBorders>
              <w:top w:val="nil"/>
              <w:left w:val="nil"/>
              <w:bottom w:val="nil"/>
              <w:right w:val="nil"/>
            </w:tcBorders>
            <w:shd w:val="clear" w:color="000000" w:fill="2F75B5"/>
            <w:vAlign w:val="center"/>
            <w:hideMark/>
          </w:tcPr>
          <w:p w:rsidR="00A7529E" w:rsidRPr="00A81133" w:rsidRDefault="00A7529E" w:rsidP="00243980">
            <w:pPr>
              <w:jc w:val="center"/>
              <w:rPr>
                <w:rFonts w:ascii="ITC Avant Garde" w:hAnsi="ITC Avant Garde"/>
                <w:b/>
                <w:bCs/>
                <w:color w:val="FFFFFF"/>
              </w:rPr>
            </w:pPr>
            <w:r w:rsidRPr="00A81133">
              <w:rPr>
                <w:rFonts w:ascii="ITC Avant Garde" w:hAnsi="ITC Avant Garde"/>
                <w:b/>
                <w:bCs/>
                <w:color w:val="FFFFFF"/>
              </w:rPr>
              <w:lastRenderedPageBreak/>
              <w:t>Validación de solicitud junto con verificación de la factibilidad</w:t>
            </w:r>
          </w:p>
        </w:tc>
      </w:tr>
      <w:tr w:rsidR="00A7529E" w:rsidRPr="00A81133" w:rsidTr="00243980">
        <w:trPr>
          <w:trHeight w:val="287"/>
          <w:jc w:val="center"/>
        </w:trPr>
        <w:tc>
          <w:tcPr>
            <w:tcW w:w="5000" w:type="dxa"/>
            <w:tcBorders>
              <w:top w:val="nil"/>
              <w:left w:val="nil"/>
              <w:bottom w:val="single" w:sz="4" w:space="0" w:color="auto"/>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b/>
                <w:bCs/>
                <w:color w:val="FFFFFF"/>
              </w:rPr>
            </w:pPr>
          </w:p>
        </w:tc>
        <w:tc>
          <w:tcPr>
            <w:tcW w:w="1090" w:type="dxa"/>
            <w:tcBorders>
              <w:top w:val="nil"/>
              <w:left w:val="nil"/>
              <w:bottom w:val="single" w:sz="4" w:space="0" w:color="auto"/>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T1</w:t>
            </w:r>
          </w:p>
        </w:tc>
        <w:tc>
          <w:tcPr>
            <w:tcW w:w="1586" w:type="dxa"/>
            <w:tcBorders>
              <w:top w:val="nil"/>
              <w:left w:val="nil"/>
              <w:bottom w:val="single" w:sz="4" w:space="0" w:color="auto"/>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T2</w:t>
            </w:r>
          </w:p>
        </w:tc>
      </w:tr>
      <w:tr w:rsidR="00A7529E" w:rsidRPr="00A81133" w:rsidTr="00243980">
        <w:trPr>
          <w:trHeight w:val="275"/>
          <w:jc w:val="center"/>
        </w:trPr>
        <w:tc>
          <w:tcPr>
            <w:tcW w:w="5000" w:type="dxa"/>
            <w:vMerge w:val="restart"/>
            <w:tcBorders>
              <w:top w:val="single" w:sz="4" w:space="0" w:color="auto"/>
              <w:left w:val="nil"/>
              <w:bottom w:val="nil"/>
              <w:right w:val="nil"/>
            </w:tcBorders>
            <w:shd w:val="clear" w:color="auto" w:fill="auto"/>
            <w:vAlign w:val="center"/>
            <w:hideMark/>
          </w:tcPr>
          <w:p w:rsidR="00A7529E" w:rsidRPr="00A81133" w:rsidRDefault="00A7529E" w:rsidP="00243980">
            <w:pPr>
              <w:spacing w:after="0" w:line="240" w:lineRule="auto"/>
              <w:rPr>
                <w:rFonts w:ascii="ITC Avant Garde" w:hAnsi="ITC Avant Garde"/>
                <w:color w:val="000000"/>
              </w:rPr>
            </w:pPr>
            <w:r w:rsidRPr="00A81133">
              <w:rPr>
                <w:rFonts w:ascii="ITC Avant Garde" w:hAnsi="ITC Avant Garde"/>
                <w:color w:val="000000"/>
              </w:rPr>
              <w:t>Usuarios existentes</w:t>
            </w:r>
            <w:r w:rsidRPr="00A81133">
              <w:rPr>
                <w:rStyle w:val="Refdenotaalpie"/>
                <w:rFonts w:ascii="ITC Avant Garde" w:hAnsi="ITC Avant Garde"/>
                <w:color w:val="000000"/>
              </w:rPr>
              <w:footnoteReference w:id="3"/>
            </w:r>
            <w:r w:rsidRPr="00A81133">
              <w:rPr>
                <w:rFonts w:ascii="ITC Avant Garde" w:hAnsi="ITC Avant Garde"/>
                <w:color w:val="000000"/>
              </w:rPr>
              <w:t xml:space="preserve">: </w:t>
            </w:r>
            <w:r w:rsidR="00ED2D1A" w:rsidRPr="00A81133">
              <w:rPr>
                <w:rFonts w:ascii="ITC Avant Garde" w:hAnsi="ITC Avant Garde"/>
                <w:color w:val="000000"/>
              </w:rPr>
              <w:t>SRL</w:t>
            </w:r>
            <w:r w:rsidR="00D46814" w:rsidRPr="00A81133">
              <w:rPr>
                <w:rFonts w:ascii="ITC Avant Garde" w:hAnsi="ITC Avant Garde"/>
                <w:color w:val="000000"/>
              </w:rPr>
              <w:t>, SRI, SRP</w:t>
            </w:r>
            <w:r w:rsidR="00ED2D1A" w:rsidRPr="00A81133">
              <w:rPr>
                <w:rFonts w:ascii="ITC Avant Garde" w:hAnsi="ITC Avant Garde"/>
                <w:color w:val="000000"/>
              </w:rPr>
              <w:t>,</w:t>
            </w:r>
            <w:r w:rsidR="000B51CE">
              <w:rPr>
                <w:rFonts w:ascii="ITC Avant Garde" w:hAnsi="ITC Avant Garde"/>
                <w:color w:val="000000"/>
              </w:rPr>
              <w:t xml:space="preserve"> SRMLT,</w:t>
            </w:r>
            <w:r w:rsidR="00ED2D1A" w:rsidRPr="00A81133">
              <w:rPr>
                <w:rFonts w:ascii="ITC Avant Garde" w:hAnsi="ITC Avant Garde"/>
                <w:color w:val="000000"/>
              </w:rPr>
              <w:t xml:space="preserve"> SAIB</w:t>
            </w:r>
            <w:r w:rsidRPr="00A81133">
              <w:rPr>
                <w:rFonts w:ascii="ITC Avant Garde" w:hAnsi="ITC Avant Garde"/>
                <w:color w:val="000000"/>
              </w:rPr>
              <w:t>, SDTBL, SDCBL, SDCSBL, SDTSBL</w:t>
            </w:r>
          </w:p>
        </w:tc>
        <w:tc>
          <w:tcPr>
            <w:tcW w:w="1090" w:type="dxa"/>
            <w:vMerge w:val="restart"/>
            <w:tcBorders>
              <w:top w:val="single" w:sz="4" w:space="0" w:color="auto"/>
              <w:left w:val="nil"/>
              <w:bottom w:val="nil"/>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2</w:t>
            </w:r>
          </w:p>
        </w:tc>
        <w:tc>
          <w:tcPr>
            <w:tcW w:w="1586" w:type="dxa"/>
            <w:vMerge w:val="restart"/>
            <w:tcBorders>
              <w:top w:val="single" w:sz="4" w:space="0" w:color="auto"/>
              <w:left w:val="nil"/>
              <w:bottom w:val="nil"/>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3</w:t>
            </w:r>
          </w:p>
        </w:tc>
      </w:tr>
      <w:tr w:rsidR="00A7529E" w:rsidRPr="00A81133" w:rsidTr="00243980">
        <w:trPr>
          <w:trHeight w:val="275"/>
          <w:jc w:val="center"/>
        </w:trPr>
        <w:tc>
          <w:tcPr>
            <w:tcW w:w="5000" w:type="dxa"/>
            <w:vMerge/>
            <w:tcBorders>
              <w:left w:val="nil"/>
              <w:bottom w:val="nil"/>
              <w:right w:val="nil"/>
            </w:tcBorders>
            <w:vAlign w:val="center"/>
            <w:hideMark/>
          </w:tcPr>
          <w:p w:rsidR="00A7529E" w:rsidRPr="00A81133" w:rsidRDefault="00A7529E" w:rsidP="00243980">
            <w:pPr>
              <w:spacing w:after="0" w:line="240" w:lineRule="auto"/>
              <w:rPr>
                <w:rFonts w:ascii="ITC Avant Garde" w:hAnsi="ITC Avant Garde"/>
                <w:color w:val="000000"/>
              </w:rPr>
            </w:pPr>
          </w:p>
        </w:tc>
        <w:tc>
          <w:tcPr>
            <w:tcW w:w="1090" w:type="dxa"/>
            <w:vMerge/>
            <w:tcBorders>
              <w:left w:val="nil"/>
              <w:bottom w:val="nil"/>
              <w:right w:val="nil"/>
            </w:tcBorders>
            <w:shd w:val="clear" w:color="auto" w:fill="auto"/>
            <w:vAlign w:val="center"/>
            <w:hideMark/>
          </w:tcPr>
          <w:p w:rsidR="00A7529E" w:rsidRPr="00A81133" w:rsidRDefault="00A7529E" w:rsidP="00243980">
            <w:pPr>
              <w:spacing w:after="0" w:line="240" w:lineRule="auto"/>
              <w:rPr>
                <w:rFonts w:ascii="ITC Avant Garde" w:hAnsi="ITC Avant Garde"/>
                <w:color w:val="000000"/>
              </w:rPr>
            </w:pPr>
          </w:p>
        </w:tc>
        <w:tc>
          <w:tcPr>
            <w:tcW w:w="1586" w:type="dxa"/>
            <w:vMerge/>
            <w:tcBorders>
              <w:left w:val="nil"/>
              <w:bottom w:val="nil"/>
              <w:right w:val="nil"/>
            </w:tcBorders>
            <w:shd w:val="clear" w:color="auto" w:fill="auto"/>
            <w:vAlign w:val="center"/>
            <w:hideMark/>
          </w:tcPr>
          <w:p w:rsidR="00A7529E" w:rsidRPr="00A81133" w:rsidRDefault="00A7529E" w:rsidP="00243980">
            <w:pPr>
              <w:spacing w:after="0" w:line="240" w:lineRule="auto"/>
              <w:rPr>
                <w:rFonts w:ascii="ITC Avant Garde" w:hAnsi="ITC Avant Garde"/>
                <w:color w:val="000000"/>
              </w:rPr>
            </w:pPr>
          </w:p>
        </w:tc>
      </w:tr>
      <w:tr w:rsidR="00A7529E" w:rsidRPr="00A81133" w:rsidTr="00243980">
        <w:trPr>
          <w:trHeight w:val="275"/>
          <w:jc w:val="center"/>
        </w:trPr>
        <w:tc>
          <w:tcPr>
            <w:tcW w:w="5000" w:type="dxa"/>
            <w:vMerge/>
            <w:tcBorders>
              <w:left w:val="nil"/>
              <w:bottom w:val="single" w:sz="4" w:space="0" w:color="auto"/>
              <w:right w:val="nil"/>
            </w:tcBorders>
            <w:vAlign w:val="center"/>
            <w:hideMark/>
          </w:tcPr>
          <w:p w:rsidR="00A7529E" w:rsidRPr="00A81133" w:rsidRDefault="00A7529E" w:rsidP="00243980">
            <w:pPr>
              <w:spacing w:after="0" w:line="240" w:lineRule="auto"/>
              <w:rPr>
                <w:rFonts w:ascii="ITC Avant Garde" w:hAnsi="ITC Avant Garde"/>
                <w:color w:val="000000"/>
              </w:rPr>
            </w:pPr>
          </w:p>
        </w:tc>
        <w:tc>
          <w:tcPr>
            <w:tcW w:w="1090" w:type="dxa"/>
            <w:vMerge/>
            <w:tcBorders>
              <w:left w:val="nil"/>
              <w:bottom w:val="single" w:sz="4" w:space="0" w:color="auto"/>
              <w:right w:val="nil"/>
            </w:tcBorders>
            <w:shd w:val="clear" w:color="auto" w:fill="auto"/>
            <w:vAlign w:val="center"/>
            <w:hideMark/>
          </w:tcPr>
          <w:p w:rsidR="00A7529E" w:rsidRPr="00A81133" w:rsidRDefault="00A7529E" w:rsidP="00243980">
            <w:pPr>
              <w:spacing w:after="0" w:line="240" w:lineRule="auto"/>
              <w:rPr>
                <w:rFonts w:ascii="ITC Avant Garde" w:hAnsi="ITC Avant Garde"/>
                <w:color w:val="000000"/>
              </w:rPr>
            </w:pPr>
          </w:p>
        </w:tc>
        <w:tc>
          <w:tcPr>
            <w:tcW w:w="1586" w:type="dxa"/>
            <w:vMerge/>
            <w:tcBorders>
              <w:left w:val="nil"/>
              <w:bottom w:val="single" w:sz="4" w:space="0" w:color="auto"/>
              <w:right w:val="nil"/>
            </w:tcBorders>
            <w:shd w:val="clear" w:color="auto" w:fill="auto"/>
            <w:vAlign w:val="center"/>
            <w:hideMark/>
          </w:tcPr>
          <w:p w:rsidR="00A7529E" w:rsidRPr="00A81133" w:rsidRDefault="00A7529E" w:rsidP="00243980">
            <w:pPr>
              <w:spacing w:after="0" w:line="240" w:lineRule="auto"/>
              <w:rPr>
                <w:rFonts w:ascii="ITC Avant Garde" w:hAnsi="ITC Avant Garde"/>
                <w:color w:val="000000"/>
              </w:rPr>
            </w:pPr>
          </w:p>
        </w:tc>
      </w:tr>
      <w:tr w:rsidR="00A7529E" w:rsidRPr="00A81133" w:rsidTr="00243980">
        <w:trPr>
          <w:trHeight w:val="275"/>
          <w:jc w:val="center"/>
        </w:trPr>
        <w:tc>
          <w:tcPr>
            <w:tcW w:w="5000" w:type="dxa"/>
            <w:tcBorders>
              <w:left w:val="nil"/>
              <w:bottom w:val="single" w:sz="4" w:space="0" w:color="auto"/>
              <w:right w:val="nil"/>
            </w:tcBorders>
            <w:vAlign w:val="center"/>
            <w:hideMark/>
          </w:tcPr>
          <w:p w:rsidR="00A7529E" w:rsidRPr="00A81133" w:rsidRDefault="00A7529E" w:rsidP="00E838B7">
            <w:pPr>
              <w:spacing w:after="0" w:line="240" w:lineRule="auto"/>
              <w:rPr>
                <w:rFonts w:ascii="ITC Avant Garde" w:hAnsi="ITC Avant Garde"/>
                <w:color w:val="000000"/>
              </w:rPr>
            </w:pPr>
            <w:r w:rsidRPr="00A81133">
              <w:rPr>
                <w:rFonts w:ascii="ITC Avant Garde" w:hAnsi="ITC Avant Garde"/>
                <w:color w:val="000000"/>
              </w:rPr>
              <w:t xml:space="preserve">Usuarios nuevos: </w:t>
            </w:r>
            <w:r w:rsidR="00E838B7" w:rsidRPr="00A81133">
              <w:rPr>
                <w:rFonts w:ascii="ITC Avant Garde" w:hAnsi="ITC Avant Garde"/>
                <w:color w:val="000000"/>
              </w:rPr>
              <w:t>SRL, SRI, SRP</w:t>
            </w:r>
            <w:r w:rsidR="00AB2045">
              <w:rPr>
                <w:rFonts w:ascii="ITC Avant Garde" w:hAnsi="ITC Avant Garde"/>
                <w:color w:val="000000"/>
              </w:rPr>
              <w:t>, SRMLT</w:t>
            </w:r>
          </w:p>
        </w:tc>
        <w:tc>
          <w:tcPr>
            <w:tcW w:w="1090" w:type="dxa"/>
            <w:tcBorders>
              <w:left w:val="nil"/>
              <w:bottom w:val="single" w:sz="4" w:space="0" w:color="auto"/>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3</w:t>
            </w:r>
          </w:p>
        </w:tc>
        <w:tc>
          <w:tcPr>
            <w:tcW w:w="1586" w:type="dxa"/>
            <w:tcBorders>
              <w:left w:val="nil"/>
              <w:bottom w:val="single" w:sz="4" w:space="0" w:color="auto"/>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5</w:t>
            </w:r>
          </w:p>
        </w:tc>
      </w:tr>
      <w:tr w:rsidR="00A7529E" w:rsidRPr="00A81133" w:rsidTr="00243980">
        <w:trPr>
          <w:trHeight w:val="275"/>
          <w:jc w:val="center"/>
        </w:trPr>
        <w:tc>
          <w:tcPr>
            <w:tcW w:w="5000" w:type="dxa"/>
            <w:tcBorders>
              <w:top w:val="single" w:sz="4" w:space="0" w:color="auto"/>
              <w:left w:val="nil"/>
              <w:bottom w:val="single" w:sz="4" w:space="0" w:color="auto"/>
              <w:right w:val="nil"/>
            </w:tcBorders>
            <w:vAlign w:val="center"/>
          </w:tcPr>
          <w:p w:rsidR="00A7529E" w:rsidRPr="00A81133" w:rsidRDefault="00A7529E" w:rsidP="00243980">
            <w:pPr>
              <w:spacing w:after="0" w:line="240" w:lineRule="auto"/>
              <w:rPr>
                <w:rFonts w:ascii="ITC Avant Garde" w:hAnsi="ITC Avant Garde"/>
                <w:color w:val="000000"/>
              </w:rPr>
            </w:pPr>
            <w:r w:rsidRPr="00A81133">
              <w:rPr>
                <w:rFonts w:ascii="ITC Avant Garde" w:hAnsi="ITC Avant Garde"/>
                <w:color w:val="000000"/>
              </w:rPr>
              <w:t>SCD</w:t>
            </w:r>
          </w:p>
        </w:tc>
        <w:tc>
          <w:tcPr>
            <w:tcW w:w="1090" w:type="dxa"/>
            <w:tcBorders>
              <w:top w:val="single" w:sz="4" w:space="0" w:color="auto"/>
              <w:left w:val="nil"/>
              <w:bottom w:val="single" w:sz="4" w:space="0" w:color="auto"/>
              <w:right w:val="nil"/>
            </w:tcBorders>
            <w:vAlign w:val="center"/>
          </w:tcPr>
          <w:p w:rsidR="00A7529E" w:rsidRPr="00A81133" w:rsidRDefault="002C35A6" w:rsidP="00243980">
            <w:pPr>
              <w:spacing w:after="0" w:line="240" w:lineRule="auto"/>
              <w:jc w:val="center"/>
              <w:rPr>
                <w:rFonts w:ascii="ITC Avant Garde" w:hAnsi="ITC Avant Garde"/>
                <w:color w:val="000000"/>
              </w:rPr>
            </w:pPr>
            <w:r w:rsidRPr="00A81133">
              <w:rPr>
                <w:rFonts w:ascii="ITC Avant Garde" w:hAnsi="ITC Avant Garde"/>
                <w:color w:val="000000"/>
              </w:rPr>
              <w:t>4</w:t>
            </w:r>
          </w:p>
        </w:tc>
        <w:tc>
          <w:tcPr>
            <w:tcW w:w="1586" w:type="dxa"/>
            <w:tcBorders>
              <w:top w:val="single" w:sz="4" w:space="0" w:color="auto"/>
              <w:left w:val="nil"/>
              <w:bottom w:val="single" w:sz="4" w:space="0" w:color="auto"/>
              <w:right w:val="nil"/>
            </w:tcBorders>
            <w:vAlign w:val="center"/>
          </w:tcPr>
          <w:p w:rsidR="00A7529E" w:rsidRPr="00A81133" w:rsidRDefault="00B706D1" w:rsidP="00243980">
            <w:pPr>
              <w:spacing w:after="0" w:line="240" w:lineRule="auto"/>
              <w:jc w:val="center"/>
              <w:rPr>
                <w:rFonts w:ascii="ITC Avant Garde" w:hAnsi="ITC Avant Garde"/>
                <w:color w:val="000000"/>
              </w:rPr>
            </w:pPr>
            <w:r w:rsidRPr="00A81133">
              <w:rPr>
                <w:rFonts w:ascii="ITC Avant Garde" w:hAnsi="ITC Avant Garde"/>
                <w:color w:val="000000"/>
              </w:rPr>
              <w:t>6</w:t>
            </w:r>
          </w:p>
        </w:tc>
      </w:tr>
      <w:tr w:rsidR="00A7529E" w:rsidRPr="00A81133" w:rsidTr="00243980">
        <w:trPr>
          <w:trHeight w:val="275"/>
          <w:jc w:val="center"/>
        </w:trPr>
        <w:tc>
          <w:tcPr>
            <w:tcW w:w="5000" w:type="dxa"/>
            <w:tcBorders>
              <w:top w:val="single" w:sz="4" w:space="0" w:color="auto"/>
              <w:left w:val="nil"/>
              <w:bottom w:val="single" w:sz="4" w:space="0" w:color="auto"/>
              <w:right w:val="nil"/>
            </w:tcBorders>
            <w:shd w:val="clear" w:color="auto" w:fill="auto"/>
            <w:vAlign w:val="center"/>
          </w:tcPr>
          <w:p w:rsidR="00A7529E" w:rsidRPr="00A81133" w:rsidRDefault="00A7529E" w:rsidP="00243980">
            <w:pPr>
              <w:spacing w:after="0" w:line="240" w:lineRule="auto"/>
              <w:rPr>
                <w:rFonts w:ascii="ITC Avant Garde" w:hAnsi="ITC Avant Garde"/>
                <w:color w:val="000000"/>
              </w:rPr>
            </w:pPr>
            <w:r w:rsidRPr="00A81133">
              <w:rPr>
                <w:rFonts w:ascii="ITC Avant Garde" w:hAnsi="ITC Avant Garde"/>
                <w:color w:val="000000"/>
              </w:rPr>
              <w:t>Servicio de cableado multipar externo o interno, Servicio de anexo de caja de distribución y servicio de concentración y distribución.</w:t>
            </w:r>
          </w:p>
        </w:tc>
        <w:tc>
          <w:tcPr>
            <w:tcW w:w="1090" w:type="dxa"/>
            <w:tcBorders>
              <w:top w:val="single" w:sz="4" w:space="0" w:color="auto"/>
              <w:left w:val="nil"/>
              <w:bottom w:val="single" w:sz="4" w:space="0" w:color="auto"/>
              <w:right w:val="nil"/>
            </w:tcBorders>
            <w:shd w:val="clear" w:color="auto" w:fill="auto"/>
            <w:vAlign w:val="center"/>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4</w:t>
            </w:r>
          </w:p>
        </w:tc>
        <w:tc>
          <w:tcPr>
            <w:tcW w:w="1586" w:type="dxa"/>
            <w:tcBorders>
              <w:top w:val="single" w:sz="4" w:space="0" w:color="auto"/>
              <w:left w:val="nil"/>
              <w:bottom w:val="single" w:sz="4" w:space="0" w:color="auto"/>
              <w:right w:val="nil"/>
            </w:tcBorders>
            <w:shd w:val="clear" w:color="auto" w:fill="auto"/>
            <w:vAlign w:val="center"/>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6</w:t>
            </w:r>
          </w:p>
        </w:tc>
      </w:tr>
      <w:tr w:rsidR="00A7529E" w:rsidRPr="00A81133" w:rsidTr="00243980">
        <w:trPr>
          <w:trHeight w:val="275"/>
          <w:jc w:val="center"/>
        </w:trPr>
        <w:tc>
          <w:tcPr>
            <w:tcW w:w="5000" w:type="dxa"/>
            <w:tcBorders>
              <w:top w:val="single" w:sz="4" w:space="0" w:color="auto"/>
              <w:left w:val="nil"/>
              <w:bottom w:val="single" w:sz="4" w:space="0" w:color="auto"/>
              <w:right w:val="nil"/>
            </w:tcBorders>
            <w:shd w:val="clear" w:color="auto" w:fill="auto"/>
            <w:vAlign w:val="center"/>
            <w:hideMark/>
          </w:tcPr>
          <w:p w:rsidR="00A7529E" w:rsidRPr="00A81133" w:rsidRDefault="00A7529E" w:rsidP="00243980">
            <w:pPr>
              <w:spacing w:after="0" w:line="240" w:lineRule="auto"/>
              <w:rPr>
                <w:rFonts w:ascii="ITC Avant Garde" w:hAnsi="ITC Avant Garde"/>
                <w:color w:val="000000"/>
              </w:rPr>
            </w:pPr>
            <w:r w:rsidRPr="00A81133">
              <w:rPr>
                <w:rFonts w:ascii="ITC Avant Garde" w:hAnsi="ITC Avant Garde"/>
                <w:color w:val="000000"/>
              </w:rPr>
              <w:t>Trabajos especiales (entrega de los términos bajo los cuales se ofrecerá el servicio en tiempo)</w:t>
            </w:r>
          </w:p>
        </w:tc>
        <w:tc>
          <w:tcPr>
            <w:tcW w:w="1090" w:type="dxa"/>
            <w:tcBorders>
              <w:top w:val="single" w:sz="4" w:space="0" w:color="auto"/>
              <w:left w:val="nil"/>
              <w:bottom w:val="single" w:sz="4" w:space="0" w:color="auto"/>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10</w:t>
            </w:r>
          </w:p>
        </w:tc>
        <w:tc>
          <w:tcPr>
            <w:tcW w:w="1586" w:type="dxa"/>
            <w:tcBorders>
              <w:top w:val="single" w:sz="4" w:space="0" w:color="auto"/>
              <w:left w:val="nil"/>
              <w:bottom w:val="single" w:sz="4" w:space="0" w:color="auto"/>
              <w:right w:val="nil"/>
            </w:tcBorders>
            <w:shd w:val="clear" w:color="auto" w:fill="auto"/>
            <w:vAlign w:val="center"/>
            <w:hideMark/>
          </w:tcPr>
          <w:p w:rsidR="00A7529E" w:rsidRPr="00A81133" w:rsidRDefault="00A7529E" w:rsidP="00243980">
            <w:pPr>
              <w:spacing w:after="0" w:line="240" w:lineRule="auto"/>
              <w:jc w:val="center"/>
              <w:rPr>
                <w:rFonts w:ascii="ITC Avant Garde" w:hAnsi="ITC Avant Garde"/>
                <w:color w:val="000000"/>
              </w:rPr>
            </w:pPr>
            <w:r w:rsidRPr="00A81133">
              <w:rPr>
                <w:rFonts w:ascii="ITC Avant Garde" w:hAnsi="ITC Avant Garde"/>
                <w:color w:val="000000"/>
              </w:rPr>
              <w:t>15</w:t>
            </w:r>
          </w:p>
        </w:tc>
      </w:tr>
    </w:tbl>
    <w:p w:rsidR="00A7529E" w:rsidRPr="00A81133" w:rsidRDefault="00A7529E" w:rsidP="007A0558">
      <w:pPr>
        <w:spacing w:line="240" w:lineRule="auto"/>
        <w:contextualSpacing/>
        <w:jc w:val="center"/>
        <w:rPr>
          <w:rFonts w:cs="Arial"/>
        </w:rPr>
      </w:pPr>
    </w:p>
    <w:p w:rsidR="00295D3D" w:rsidRPr="00A81133" w:rsidRDefault="00295D3D" w:rsidP="00381825">
      <w:pPr>
        <w:pStyle w:val="IFTnormal"/>
      </w:pPr>
      <w:r w:rsidRPr="00A81133">
        <w:t>En caso de que los parámetros e Indicadores de calidad sobre habilitación del servicio con usuarios existentes, aplicables a</w:t>
      </w:r>
      <w:r w:rsidR="00A530E9" w:rsidRPr="00A81133">
        <w:t xml:space="preserve"> SRL, SRI, SRPI,</w:t>
      </w:r>
      <w:r w:rsidR="00AB2045">
        <w:t xml:space="preserve"> SRMLT,</w:t>
      </w:r>
      <w:r w:rsidR="00A530E9" w:rsidRPr="00A81133">
        <w:t xml:space="preserve"> SAIB</w:t>
      </w:r>
      <w:r w:rsidR="00ED2D1A" w:rsidRPr="00A81133">
        <w:t xml:space="preserve">, </w:t>
      </w:r>
      <w:r w:rsidRPr="00A81133">
        <w:t xml:space="preserve">y </w:t>
      </w:r>
      <w:r w:rsidR="00F57414" w:rsidRPr="00A81133">
        <w:t>a</w:t>
      </w:r>
      <w:r w:rsidR="0018795A" w:rsidRPr="00A81133">
        <w:t>l</w:t>
      </w:r>
      <w:r w:rsidR="00F57414" w:rsidRPr="00A81133">
        <w:t xml:space="preserve"> </w:t>
      </w:r>
      <w:r w:rsidRPr="00A81133">
        <w:t>Servicio</w:t>
      </w:r>
      <w:r w:rsidR="0018795A" w:rsidRPr="00A81133">
        <w:t xml:space="preserve"> de cableado multipar externo e interno, servicio de anexo de caja de distribución y servicio de concentración y distribución</w:t>
      </w:r>
      <w:r w:rsidRPr="00A81133">
        <w:t>:</w:t>
      </w:r>
    </w:p>
    <w:p w:rsidR="00295D3D" w:rsidRPr="00A81133" w:rsidRDefault="00295D3D" w:rsidP="00D02029">
      <w:pPr>
        <w:pStyle w:val="IFTnormal"/>
        <w:numPr>
          <w:ilvl w:val="0"/>
          <w:numId w:val="2"/>
        </w:numPr>
      </w:pPr>
      <w:r w:rsidRPr="00A81133">
        <w:t>Habilitación para usuarios existentes (línea activa) en tiempo: 90% en un máximo de T1 días hábiles. El 10% restante validada en un máximo de T2 días hábiles.</w:t>
      </w:r>
    </w:p>
    <w:p w:rsidR="00295D3D" w:rsidRPr="00A81133" w:rsidRDefault="00295D3D" w:rsidP="00D02029">
      <w:pPr>
        <w:pStyle w:val="IFTnormal"/>
        <w:numPr>
          <w:ilvl w:val="0"/>
          <w:numId w:val="4"/>
        </w:numPr>
      </w:pPr>
      <w:r w:rsidRPr="00A81133">
        <w:t>En caso de que no se cumpla el 90% del indicador. Serán acreedores de una pena la totalidad de los eventos que superen los T1 días hábiles y se aplicará una pena conforme a lo siguiente:</w:t>
      </w:r>
    </w:p>
    <w:p w:rsidR="00295D3D" w:rsidRPr="00A81133" w:rsidRDefault="00295D3D" w:rsidP="00D02029">
      <w:pPr>
        <w:pStyle w:val="IFTnormal"/>
        <w:numPr>
          <w:ilvl w:val="0"/>
          <w:numId w:val="5"/>
        </w:numPr>
      </w:pPr>
      <w:r w:rsidRPr="00A81133">
        <w:t>Cuando exista un retraso que sea menor al 20% del plazo establecido, se aplicará una pena equivalente al 30% del costo de la renta mensual correspondiente.</w:t>
      </w:r>
    </w:p>
    <w:p w:rsidR="00295D3D" w:rsidRPr="00A81133" w:rsidRDefault="00295D3D" w:rsidP="00D02029">
      <w:pPr>
        <w:pStyle w:val="IFTnormal"/>
        <w:numPr>
          <w:ilvl w:val="0"/>
          <w:numId w:val="5"/>
        </w:numPr>
      </w:pPr>
      <w:r w:rsidRPr="00A81133">
        <w:t xml:space="preserve">Cuando exista un retraso </w:t>
      </w:r>
      <w:r w:rsidR="00C10CD7">
        <w:t>c</w:t>
      </w:r>
      <w:r w:rsidR="00EC7FDC">
        <w:t>omprendido</w:t>
      </w:r>
      <w:r w:rsidRPr="00A81133">
        <w:t xml:space="preserve"> entre </w:t>
      </w:r>
      <w:r w:rsidR="00CB5898">
        <w:t xml:space="preserve">el </w:t>
      </w:r>
      <w:r w:rsidRPr="00A81133">
        <w:t>20% y</w:t>
      </w:r>
      <w:r w:rsidR="00EC7FDC">
        <w:t xml:space="preserve"> el</w:t>
      </w:r>
      <w:r w:rsidRPr="00A81133">
        <w:t xml:space="preserve"> 40% del plazo establecido, se aplicará una pena equivalente al 60% del costo de la renta mensual correspondiente.</w:t>
      </w:r>
    </w:p>
    <w:p w:rsidR="00295D3D" w:rsidRPr="00A81133" w:rsidRDefault="00295D3D" w:rsidP="00D02029">
      <w:pPr>
        <w:pStyle w:val="IFTnormal"/>
        <w:numPr>
          <w:ilvl w:val="0"/>
          <w:numId w:val="5"/>
        </w:numPr>
      </w:pPr>
      <w:r w:rsidRPr="00A81133">
        <w:t xml:space="preserve">Cuando el retraso sea mayor al 40% del plazo establecido, se aplicará una pena calculada </w:t>
      </w:r>
      <w:proofErr w:type="gramStart"/>
      <w:r w:rsidRPr="00A81133">
        <w:t>de acuerdo a</w:t>
      </w:r>
      <w:proofErr w:type="gramEnd"/>
      <w:r w:rsidRPr="00A81133">
        <w:t xml:space="preserve"> la ecuación:</w:t>
      </w:r>
      <m:oMath>
        <m:r>
          <m:rPr>
            <m:nor/>
          </m:rPr>
          <m:t xml:space="preserve"> </m:t>
        </m:r>
      </m:oMath>
    </w:p>
    <w:p w:rsidR="00295D3D" w:rsidRPr="00A81133" w:rsidRDefault="00295D3D" w:rsidP="00295D3D">
      <w:pPr>
        <w:spacing w:line="240" w:lineRule="auto"/>
        <w:contextualSpacing/>
        <w:jc w:val="both"/>
        <w:rPr>
          <w:rFonts w:cs="Arial"/>
          <w:bCs/>
        </w:rPr>
      </w:pPr>
    </w:p>
    <w:p w:rsidR="00295D3D" w:rsidRPr="00A81133" w:rsidRDefault="006F5D35" w:rsidP="00295D3D">
      <w:pPr>
        <w:spacing w:line="240" w:lineRule="auto"/>
        <w:contextualSpacing/>
        <w:jc w:val="center"/>
        <w:rPr>
          <w:rFonts w:ascii="ITC Avant Garde" w:hAnsi="ITC Avant Garde" w:cs="Arial"/>
        </w:rPr>
      </w:pPr>
      <m:oMathPara>
        <m:oMath>
          <m:r>
            <m:rPr>
              <m:nor/>
            </m:rPr>
            <w:rPr>
              <w:rFonts w:ascii="ITC Avant Garde" w:hAnsi="ITC Avant Garde"/>
              <w:i/>
            </w:rPr>
            <m:t>Pena = (60% + Retraso%) × Renta Mensual</m:t>
          </m:r>
        </m:oMath>
      </m:oMathPara>
    </w:p>
    <w:p w:rsidR="00295D3D" w:rsidRPr="00A81133" w:rsidRDefault="00295D3D" w:rsidP="00D02029">
      <w:pPr>
        <w:pStyle w:val="IFTnormal"/>
        <w:numPr>
          <w:ilvl w:val="0"/>
          <w:numId w:val="4"/>
        </w:numPr>
      </w:pPr>
      <w:r w:rsidRPr="00A81133">
        <w:t>En caso de que se cumpl</w:t>
      </w:r>
      <w:r w:rsidR="00693088">
        <w:t>a</w:t>
      </w:r>
      <w:r w:rsidRPr="00A81133">
        <w:t xml:space="preserve"> el 90% del indicador.  Serán acreedores de una pena la totalidad de los eventos que superen los T2 días hábiles y se aplicará una pena conforme a lo siguiente:</w:t>
      </w:r>
    </w:p>
    <w:p w:rsidR="00295D3D" w:rsidRPr="00A81133" w:rsidRDefault="006F5D35" w:rsidP="00295D3D">
      <w:pPr>
        <w:spacing w:line="240" w:lineRule="auto"/>
        <w:contextualSpacing/>
        <w:jc w:val="center"/>
        <w:rPr>
          <w:rFonts w:ascii="ITC Avant Garde" w:hAnsi="ITC Avant Garde" w:cs="Arial"/>
        </w:rPr>
      </w:pPr>
      <m:oMathPara>
        <m:oMath>
          <m:r>
            <m:rPr>
              <m:nor/>
            </m:rPr>
            <w:rPr>
              <w:rFonts w:ascii="ITC Avant Garde" w:hAnsi="ITC Avant Garde"/>
              <w:i/>
            </w:rPr>
            <m:t>Pena = (60% + Retraso%) × Renta Mensual</m:t>
          </m:r>
        </m:oMath>
      </m:oMathPara>
    </w:p>
    <w:p w:rsidR="00424301" w:rsidRPr="00A81133" w:rsidRDefault="00424301" w:rsidP="007726B7">
      <w:pPr>
        <w:spacing w:line="240" w:lineRule="auto"/>
        <w:contextualSpacing/>
        <w:rPr>
          <w:rFonts w:cs="Arial"/>
        </w:rPr>
      </w:pPr>
    </w:p>
    <w:p w:rsidR="00424301" w:rsidRPr="00A81133" w:rsidRDefault="00424301" w:rsidP="0079744C">
      <w:pPr>
        <w:spacing w:line="240" w:lineRule="auto"/>
        <w:contextualSpacing/>
        <w:jc w:val="center"/>
        <w:rPr>
          <w:rFonts w:cs="Arial"/>
        </w:rPr>
      </w:pPr>
    </w:p>
    <w:tbl>
      <w:tblPr>
        <w:tblW w:w="7714" w:type="dxa"/>
        <w:jc w:val="center"/>
        <w:tblCellMar>
          <w:left w:w="70" w:type="dxa"/>
          <w:right w:w="70" w:type="dxa"/>
        </w:tblCellMar>
        <w:tblLook w:val="04A0" w:firstRow="1" w:lastRow="0" w:firstColumn="1" w:lastColumn="0" w:noHBand="0" w:noVBand="1"/>
      </w:tblPr>
      <w:tblGrid>
        <w:gridCol w:w="4768"/>
        <w:gridCol w:w="1473"/>
        <w:gridCol w:w="1473"/>
      </w:tblGrid>
      <w:tr w:rsidR="00C016D7" w:rsidRPr="00A81133" w:rsidTr="00243980">
        <w:trPr>
          <w:trHeight w:val="586"/>
          <w:tblHeader/>
          <w:jc w:val="center"/>
        </w:trPr>
        <w:tc>
          <w:tcPr>
            <w:tcW w:w="7714" w:type="dxa"/>
            <w:gridSpan w:val="3"/>
            <w:tcBorders>
              <w:top w:val="nil"/>
              <w:left w:val="nil"/>
              <w:bottom w:val="nil"/>
              <w:right w:val="nil"/>
            </w:tcBorders>
            <w:shd w:val="clear" w:color="000000" w:fill="2F75B5"/>
            <w:vAlign w:val="center"/>
            <w:hideMark/>
          </w:tcPr>
          <w:p w:rsidR="00C016D7" w:rsidRPr="00A81133" w:rsidRDefault="00C016D7" w:rsidP="00243980">
            <w:pPr>
              <w:jc w:val="center"/>
              <w:rPr>
                <w:rFonts w:ascii="ITC Avant Garde" w:hAnsi="ITC Avant Garde"/>
                <w:b/>
                <w:bCs/>
                <w:color w:val="FFFFFF"/>
              </w:rPr>
            </w:pPr>
            <w:r w:rsidRPr="00A81133">
              <w:rPr>
                <w:rFonts w:ascii="ITC Avant Garde" w:hAnsi="ITC Avant Garde"/>
                <w:b/>
                <w:bCs/>
                <w:color w:val="FFFFFF"/>
              </w:rPr>
              <w:t>Habilitación y entrega de servicios</w:t>
            </w:r>
          </w:p>
        </w:tc>
      </w:tr>
      <w:tr w:rsidR="00C016D7" w:rsidRPr="00A81133" w:rsidTr="00243980">
        <w:trPr>
          <w:trHeight w:val="351"/>
          <w:jc w:val="center"/>
        </w:trPr>
        <w:tc>
          <w:tcPr>
            <w:tcW w:w="4768"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b/>
                <w:bCs/>
                <w:color w:val="FFFFFF"/>
              </w:rPr>
            </w:pPr>
          </w:p>
        </w:tc>
        <w:tc>
          <w:tcPr>
            <w:tcW w:w="1473"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T1</w:t>
            </w:r>
          </w:p>
        </w:tc>
        <w:tc>
          <w:tcPr>
            <w:tcW w:w="1473"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T2</w:t>
            </w:r>
          </w:p>
        </w:tc>
      </w:tr>
      <w:tr w:rsidR="00C016D7" w:rsidRPr="00A81133" w:rsidTr="00243980">
        <w:trPr>
          <w:trHeight w:val="879"/>
          <w:jc w:val="center"/>
        </w:trPr>
        <w:tc>
          <w:tcPr>
            <w:tcW w:w="4768" w:type="dxa"/>
            <w:tcBorders>
              <w:top w:val="single" w:sz="4" w:space="0" w:color="auto"/>
              <w:left w:val="nil"/>
              <w:bottom w:val="single" w:sz="4" w:space="0" w:color="000000"/>
              <w:right w:val="nil"/>
            </w:tcBorders>
            <w:shd w:val="clear" w:color="auto" w:fill="auto"/>
            <w:vAlign w:val="center"/>
            <w:hideMark/>
          </w:tcPr>
          <w:p w:rsidR="00C016D7" w:rsidRPr="00A81133" w:rsidRDefault="00C016D7" w:rsidP="005C74DA">
            <w:pPr>
              <w:spacing w:after="0" w:line="240" w:lineRule="auto"/>
              <w:rPr>
                <w:rFonts w:ascii="ITC Avant Garde" w:hAnsi="ITC Avant Garde"/>
                <w:color w:val="000000"/>
              </w:rPr>
            </w:pPr>
            <w:r w:rsidRPr="00A81133">
              <w:rPr>
                <w:rFonts w:ascii="ITC Avant Garde" w:hAnsi="ITC Avant Garde"/>
                <w:color w:val="000000"/>
              </w:rPr>
              <w:t>Usuari</w:t>
            </w:r>
            <w:r w:rsidR="005C74DA" w:rsidRPr="00A81133">
              <w:rPr>
                <w:rFonts w:ascii="ITC Avant Garde" w:hAnsi="ITC Avant Garde"/>
                <w:color w:val="000000"/>
              </w:rPr>
              <w:t xml:space="preserve">os existentes: </w:t>
            </w:r>
            <w:r w:rsidR="00AB2045">
              <w:rPr>
                <w:rFonts w:ascii="ITC Avant Garde" w:hAnsi="ITC Avant Garde"/>
                <w:color w:val="000000"/>
              </w:rPr>
              <w:t xml:space="preserve">SRL, </w:t>
            </w:r>
            <w:r w:rsidR="005C74DA" w:rsidRPr="00A81133">
              <w:rPr>
                <w:rFonts w:ascii="ITC Avant Garde" w:hAnsi="ITC Avant Garde"/>
                <w:color w:val="000000"/>
              </w:rPr>
              <w:t>SRP, SRI</w:t>
            </w:r>
            <w:r w:rsidR="00AB2045">
              <w:rPr>
                <w:rFonts w:ascii="ITC Avant Garde" w:hAnsi="ITC Avant Garde"/>
                <w:color w:val="000000"/>
              </w:rPr>
              <w:t>, SRMLT</w:t>
            </w:r>
            <w:r w:rsidR="00ED2D1A" w:rsidRPr="00A81133">
              <w:rPr>
                <w:rFonts w:ascii="ITC Avant Garde" w:hAnsi="ITC Avant Garde"/>
                <w:color w:val="000000"/>
              </w:rPr>
              <w:t xml:space="preserve"> y SAIB</w:t>
            </w:r>
            <w:r w:rsidRPr="00A81133">
              <w:rPr>
                <w:rFonts w:ascii="ITC Avant Garde" w:hAnsi="ITC Avant Garde"/>
                <w:color w:val="000000"/>
              </w:rPr>
              <w:br/>
              <w:t>(servicio con módem u ONT de Telmex que estuviera en funcionamiento para Reventa o entrega de equipo a cargo del CS para SAIB)</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5</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8</w:t>
            </w:r>
          </w:p>
        </w:tc>
      </w:tr>
      <w:tr w:rsidR="00C016D7" w:rsidRPr="00A81133" w:rsidTr="00243980">
        <w:trPr>
          <w:trHeight w:val="586"/>
          <w:jc w:val="center"/>
        </w:trPr>
        <w:tc>
          <w:tcPr>
            <w:tcW w:w="4768" w:type="dxa"/>
            <w:tcBorders>
              <w:top w:val="nil"/>
              <w:left w:val="nil"/>
              <w:bottom w:val="single" w:sz="4" w:space="0" w:color="auto"/>
              <w:right w:val="nil"/>
            </w:tcBorders>
            <w:shd w:val="clear" w:color="auto" w:fill="auto"/>
            <w:vAlign w:val="center"/>
            <w:hideMark/>
          </w:tcPr>
          <w:p w:rsidR="00C016D7" w:rsidRPr="00A81133" w:rsidRDefault="00C016D7" w:rsidP="00ED2D1A">
            <w:pPr>
              <w:spacing w:after="0" w:line="240" w:lineRule="auto"/>
              <w:rPr>
                <w:rFonts w:ascii="ITC Avant Garde" w:hAnsi="ITC Avant Garde"/>
                <w:color w:val="000000"/>
              </w:rPr>
            </w:pPr>
            <w:r w:rsidRPr="00A81133">
              <w:rPr>
                <w:rFonts w:ascii="ITC Avant Garde" w:hAnsi="ITC Avant Garde"/>
                <w:color w:val="000000"/>
              </w:rPr>
              <w:t>Usua</w:t>
            </w:r>
            <w:r w:rsidR="005C74DA" w:rsidRPr="00A81133">
              <w:rPr>
                <w:rFonts w:ascii="ITC Avant Garde" w:hAnsi="ITC Avant Garde"/>
                <w:color w:val="000000"/>
              </w:rPr>
              <w:t>rios existentes:</w:t>
            </w:r>
            <w:r w:rsidR="00866135" w:rsidRPr="00A81133">
              <w:rPr>
                <w:rFonts w:ascii="ITC Avant Garde" w:hAnsi="ITC Avant Garde"/>
                <w:color w:val="000000"/>
              </w:rPr>
              <w:t xml:space="preserve"> </w:t>
            </w:r>
            <w:r w:rsidR="00AB2045">
              <w:rPr>
                <w:rFonts w:ascii="ITC Avant Garde" w:hAnsi="ITC Avant Garde"/>
                <w:color w:val="000000"/>
              </w:rPr>
              <w:t xml:space="preserve">SRL, </w:t>
            </w:r>
            <w:r w:rsidR="00866135" w:rsidRPr="00A81133">
              <w:rPr>
                <w:rFonts w:ascii="ITC Avant Garde" w:hAnsi="ITC Avant Garde"/>
                <w:color w:val="000000"/>
              </w:rPr>
              <w:t>SRP</w:t>
            </w:r>
            <w:r w:rsidR="005C74DA" w:rsidRPr="00A81133">
              <w:rPr>
                <w:rFonts w:ascii="ITC Avant Garde" w:hAnsi="ITC Avant Garde"/>
                <w:color w:val="000000"/>
              </w:rPr>
              <w:t>, SRI</w:t>
            </w:r>
            <w:r w:rsidR="00AB2045">
              <w:rPr>
                <w:rFonts w:ascii="ITC Avant Garde" w:hAnsi="ITC Avant Garde"/>
                <w:color w:val="000000"/>
              </w:rPr>
              <w:t>, SRMLT</w:t>
            </w:r>
            <w:r w:rsidR="005C74DA" w:rsidRPr="00A81133">
              <w:rPr>
                <w:rFonts w:ascii="ITC Avant Garde" w:hAnsi="ITC Avant Garde"/>
                <w:color w:val="000000"/>
              </w:rPr>
              <w:t xml:space="preserve"> </w:t>
            </w:r>
            <w:r w:rsidR="00ED2D1A" w:rsidRPr="00A81133">
              <w:rPr>
                <w:rFonts w:ascii="ITC Avant Garde" w:hAnsi="ITC Avant Garde"/>
                <w:color w:val="000000"/>
              </w:rPr>
              <w:t>y SAIB</w:t>
            </w:r>
            <w:r w:rsidRPr="00A81133">
              <w:rPr>
                <w:rFonts w:ascii="ITC Avant Garde" w:hAnsi="ITC Avant Garde"/>
                <w:color w:val="000000"/>
              </w:rPr>
              <w:t xml:space="preserve"> </w:t>
            </w:r>
            <w:r w:rsidRPr="00A81133">
              <w:rPr>
                <w:rFonts w:ascii="ITC Avant Garde" w:hAnsi="ITC Avant Garde"/>
                <w:color w:val="000000"/>
              </w:rPr>
              <w:br/>
              <w:t>(Telmex entrega algún equipo a solicitud del CS)</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7</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9</w:t>
            </w:r>
          </w:p>
        </w:tc>
      </w:tr>
      <w:tr w:rsidR="00C016D7" w:rsidRPr="00A81133" w:rsidTr="00243980">
        <w:trPr>
          <w:trHeight w:val="879"/>
          <w:jc w:val="center"/>
        </w:trPr>
        <w:tc>
          <w:tcPr>
            <w:tcW w:w="4768" w:type="dxa"/>
            <w:tcBorders>
              <w:top w:val="single" w:sz="4" w:space="0" w:color="auto"/>
              <w:left w:val="nil"/>
              <w:bottom w:val="single" w:sz="4" w:space="0" w:color="000000"/>
              <w:right w:val="nil"/>
            </w:tcBorders>
            <w:shd w:val="clear" w:color="auto" w:fill="auto"/>
            <w:vAlign w:val="center"/>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Usuarios nuevos: SRL</w:t>
            </w:r>
            <w:r w:rsidR="00D46814" w:rsidRPr="00A81133">
              <w:rPr>
                <w:rFonts w:ascii="ITC Avant Garde" w:hAnsi="ITC Avant Garde"/>
                <w:color w:val="000000"/>
              </w:rPr>
              <w:t>, SRI, SRP</w:t>
            </w:r>
            <w:r w:rsidR="00AB2045">
              <w:rPr>
                <w:rFonts w:ascii="ITC Avant Garde" w:hAnsi="ITC Avant Garde"/>
                <w:color w:val="000000"/>
              </w:rPr>
              <w:t>, SRMLT</w:t>
            </w:r>
            <w:r w:rsidR="003D5EE8" w:rsidRPr="00A81133">
              <w:rPr>
                <w:rFonts w:ascii="ITC Avant Garde" w:hAnsi="ITC Avant Garde"/>
                <w:color w:val="000000"/>
              </w:rPr>
              <w:t xml:space="preserve"> y SAIB</w:t>
            </w:r>
          </w:p>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(Con acometida y recursos de red sin provisión de equipo)</w:t>
            </w:r>
          </w:p>
        </w:tc>
        <w:tc>
          <w:tcPr>
            <w:tcW w:w="1473" w:type="dxa"/>
            <w:tcBorders>
              <w:top w:val="single" w:sz="4" w:space="0" w:color="auto"/>
              <w:left w:val="nil"/>
              <w:bottom w:val="single" w:sz="4" w:space="0" w:color="auto"/>
              <w:right w:val="nil"/>
            </w:tcBorders>
            <w:shd w:val="clear" w:color="auto" w:fill="auto"/>
            <w:vAlign w:val="center"/>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5</w:t>
            </w:r>
          </w:p>
        </w:tc>
        <w:tc>
          <w:tcPr>
            <w:tcW w:w="1473" w:type="dxa"/>
            <w:tcBorders>
              <w:top w:val="single" w:sz="4" w:space="0" w:color="auto"/>
              <w:left w:val="nil"/>
              <w:bottom w:val="single" w:sz="4" w:space="0" w:color="auto"/>
              <w:right w:val="nil"/>
            </w:tcBorders>
            <w:shd w:val="clear" w:color="auto" w:fill="auto"/>
            <w:vAlign w:val="center"/>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8</w:t>
            </w:r>
          </w:p>
        </w:tc>
      </w:tr>
      <w:tr w:rsidR="00C016D7" w:rsidRPr="00A81133" w:rsidTr="00243980">
        <w:trPr>
          <w:trHeight w:val="879"/>
          <w:jc w:val="center"/>
        </w:trPr>
        <w:tc>
          <w:tcPr>
            <w:tcW w:w="4768" w:type="dxa"/>
            <w:tcBorders>
              <w:top w:val="single" w:sz="4" w:space="0" w:color="auto"/>
              <w:left w:val="nil"/>
              <w:bottom w:val="single" w:sz="4" w:space="0" w:color="000000"/>
              <w:right w:val="nil"/>
            </w:tcBorders>
            <w:shd w:val="clear" w:color="auto" w:fill="auto"/>
            <w:vAlign w:val="center"/>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Usuarios nuevos: SRL</w:t>
            </w:r>
            <w:r w:rsidR="00D46814" w:rsidRPr="00A81133">
              <w:rPr>
                <w:rFonts w:ascii="ITC Avant Garde" w:hAnsi="ITC Avant Garde"/>
                <w:color w:val="000000"/>
              </w:rPr>
              <w:t>, SRI, SRP</w:t>
            </w:r>
            <w:r w:rsidR="00AB2045">
              <w:rPr>
                <w:rFonts w:ascii="ITC Avant Garde" w:hAnsi="ITC Avant Garde"/>
                <w:color w:val="000000"/>
              </w:rPr>
              <w:t>, SRMTL</w:t>
            </w:r>
            <w:r w:rsidR="003D5EE8" w:rsidRPr="00A81133">
              <w:rPr>
                <w:rFonts w:ascii="ITC Avant Garde" w:hAnsi="ITC Avant Garde"/>
                <w:color w:val="000000"/>
              </w:rPr>
              <w:t xml:space="preserve"> y SAIB</w:t>
            </w:r>
          </w:p>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(Con acometida y recursos de red con provisión de equipo)</w:t>
            </w:r>
          </w:p>
        </w:tc>
        <w:tc>
          <w:tcPr>
            <w:tcW w:w="1473" w:type="dxa"/>
            <w:tcBorders>
              <w:top w:val="single" w:sz="4" w:space="0" w:color="auto"/>
              <w:left w:val="nil"/>
              <w:bottom w:val="single" w:sz="4" w:space="0" w:color="auto"/>
              <w:right w:val="nil"/>
            </w:tcBorders>
            <w:shd w:val="clear" w:color="auto" w:fill="auto"/>
            <w:vAlign w:val="center"/>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7</w:t>
            </w:r>
          </w:p>
        </w:tc>
        <w:tc>
          <w:tcPr>
            <w:tcW w:w="1473" w:type="dxa"/>
            <w:tcBorders>
              <w:top w:val="single" w:sz="4" w:space="0" w:color="auto"/>
              <w:left w:val="nil"/>
              <w:bottom w:val="single" w:sz="4" w:space="0" w:color="auto"/>
              <w:right w:val="nil"/>
            </w:tcBorders>
            <w:shd w:val="clear" w:color="auto" w:fill="auto"/>
            <w:vAlign w:val="center"/>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9</w:t>
            </w:r>
          </w:p>
        </w:tc>
      </w:tr>
      <w:tr w:rsidR="00C016D7" w:rsidRPr="00A81133" w:rsidTr="00243980">
        <w:trPr>
          <w:trHeight w:val="879"/>
          <w:jc w:val="center"/>
        </w:trPr>
        <w:tc>
          <w:tcPr>
            <w:tcW w:w="4768" w:type="dxa"/>
            <w:tcBorders>
              <w:top w:val="single" w:sz="4" w:space="0" w:color="auto"/>
              <w:left w:val="nil"/>
              <w:bottom w:val="single" w:sz="4" w:space="0" w:color="000000"/>
              <w:right w:val="nil"/>
            </w:tcBorders>
            <w:shd w:val="clear" w:color="auto" w:fill="auto"/>
            <w:vAlign w:val="center"/>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Usuarios nuevos: </w:t>
            </w:r>
            <w:r w:rsidR="003D5EE8" w:rsidRPr="00A81133">
              <w:rPr>
                <w:rFonts w:ascii="ITC Avant Garde" w:hAnsi="ITC Avant Garde"/>
                <w:color w:val="000000"/>
              </w:rPr>
              <w:t>SRL, SRI, SRP</w:t>
            </w:r>
            <w:r w:rsidR="00AB2045">
              <w:rPr>
                <w:rFonts w:ascii="ITC Avant Garde" w:hAnsi="ITC Avant Garde"/>
                <w:color w:val="000000"/>
              </w:rPr>
              <w:t>, SRMLT</w:t>
            </w:r>
            <w:r w:rsidR="003D5EE8" w:rsidRPr="00A81133">
              <w:rPr>
                <w:rFonts w:ascii="ITC Avant Garde" w:hAnsi="ITC Avant Garde"/>
                <w:color w:val="000000"/>
              </w:rPr>
              <w:t xml:space="preserve"> y </w:t>
            </w:r>
            <w:r w:rsidRPr="00A81133">
              <w:rPr>
                <w:rFonts w:ascii="ITC Avant Garde" w:hAnsi="ITC Avant Garde"/>
                <w:color w:val="000000"/>
              </w:rPr>
              <w:t>SAIB</w:t>
            </w:r>
          </w:p>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(Con acometida o recursos de red)</w:t>
            </w:r>
          </w:p>
        </w:tc>
        <w:tc>
          <w:tcPr>
            <w:tcW w:w="1473" w:type="dxa"/>
            <w:tcBorders>
              <w:top w:val="single" w:sz="4" w:space="0" w:color="auto"/>
              <w:left w:val="nil"/>
              <w:bottom w:val="single" w:sz="4" w:space="0" w:color="auto"/>
              <w:right w:val="nil"/>
            </w:tcBorders>
            <w:shd w:val="clear" w:color="auto" w:fill="auto"/>
            <w:vAlign w:val="center"/>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7</w:t>
            </w:r>
          </w:p>
        </w:tc>
        <w:tc>
          <w:tcPr>
            <w:tcW w:w="1473" w:type="dxa"/>
            <w:tcBorders>
              <w:top w:val="single" w:sz="4" w:space="0" w:color="auto"/>
              <w:left w:val="nil"/>
              <w:bottom w:val="single" w:sz="4" w:space="0" w:color="auto"/>
              <w:right w:val="nil"/>
            </w:tcBorders>
            <w:shd w:val="clear" w:color="auto" w:fill="auto"/>
            <w:vAlign w:val="center"/>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9</w:t>
            </w:r>
          </w:p>
        </w:tc>
      </w:tr>
      <w:tr w:rsidR="00C016D7" w:rsidRPr="00A81133" w:rsidTr="00243980">
        <w:trPr>
          <w:trHeight w:val="879"/>
          <w:jc w:val="center"/>
        </w:trPr>
        <w:tc>
          <w:tcPr>
            <w:tcW w:w="4768" w:type="dxa"/>
            <w:tcBorders>
              <w:top w:val="single" w:sz="4" w:space="0" w:color="auto"/>
              <w:left w:val="nil"/>
              <w:bottom w:val="single" w:sz="4" w:space="0" w:color="000000"/>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Usuarios nuevos sin acometida </w:t>
            </w:r>
            <w:r w:rsidR="00AF635B" w:rsidRPr="00A81133">
              <w:rPr>
                <w:rFonts w:ascii="ITC Avant Garde" w:hAnsi="ITC Avant Garde"/>
                <w:color w:val="000000"/>
              </w:rPr>
              <w:t>SRL, SRI, SRP</w:t>
            </w:r>
            <w:r w:rsidR="00AB2045">
              <w:rPr>
                <w:rFonts w:ascii="ITC Avant Garde" w:hAnsi="ITC Avant Garde"/>
                <w:color w:val="000000"/>
              </w:rPr>
              <w:t>, SRMLT</w:t>
            </w:r>
            <w:r w:rsidR="00AF635B" w:rsidRPr="00A81133">
              <w:rPr>
                <w:rFonts w:ascii="ITC Avant Garde" w:hAnsi="ITC Avant Garde"/>
                <w:color w:val="000000"/>
              </w:rPr>
              <w:t xml:space="preserve"> y SAIB</w:t>
            </w:r>
          </w:p>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(Con o sin provisión del equipo)</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7</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9</w:t>
            </w:r>
          </w:p>
        </w:tc>
      </w:tr>
      <w:tr w:rsidR="00C016D7" w:rsidRPr="00A81133" w:rsidTr="00243980">
        <w:trPr>
          <w:trHeight w:val="586"/>
          <w:jc w:val="center"/>
        </w:trPr>
        <w:tc>
          <w:tcPr>
            <w:tcW w:w="4768"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Servicio </w:t>
            </w:r>
            <w:r w:rsidR="00274B39" w:rsidRPr="00A81133">
              <w:rPr>
                <w:rFonts w:ascii="ITC Avant Garde" w:hAnsi="ITC Avant Garde"/>
                <w:color w:val="000000"/>
              </w:rPr>
              <w:t xml:space="preserve">auxiliar </w:t>
            </w:r>
            <w:r w:rsidRPr="00A81133">
              <w:rPr>
                <w:rFonts w:ascii="ITC Avant Garde" w:hAnsi="ITC Avant Garde"/>
                <w:color w:val="000000"/>
              </w:rPr>
              <w:t xml:space="preserve">de cableado multipar (Coubicación Interna) </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15</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23</w:t>
            </w:r>
          </w:p>
        </w:tc>
      </w:tr>
      <w:tr w:rsidR="00C016D7" w:rsidRPr="00A81133" w:rsidTr="00243980">
        <w:trPr>
          <w:trHeight w:val="586"/>
          <w:jc w:val="center"/>
        </w:trPr>
        <w:tc>
          <w:tcPr>
            <w:tcW w:w="4768"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Servicio de cableado multipar (Coubicación Externa) </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25</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38</w:t>
            </w:r>
          </w:p>
        </w:tc>
      </w:tr>
      <w:tr w:rsidR="00C016D7" w:rsidRPr="00A81133" w:rsidTr="00243980">
        <w:trPr>
          <w:trHeight w:val="586"/>
          <w:jc w:val="center"/>
        </w:trPr>
        <w:tc>
          <w:tcPr>
            <w:tcW w:w="4768"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Servicio de cableado multipar (Ubicación Distante) </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45</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68</w:t>
            </w:r>
          </w:p>
        </w:tc>
      </w:tr>
      <w:tr w:rsidR="00C016D7" w:rsidRPr="00A81133" w:rsidTr="00243980">
        <w:trPr>
          <w:trHeight w:val="586"/>
          <w:jc w:val="center"/>
        </w:trPr>
        <w:tc>
          <w:tcPr>
            <w:tcW w:w="4768"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lastRenderedPageBreak/>
              <w:t xml:space="preserve">Servicio de anexo de caja de </w:t>
            </w:r>
            <w:r w:rsidR="00BC4DBB" w:rsidRPr="00A81133">
              <w:rPr>
                <w:rFonts w:ascii="ITC Avant Garde" w:hAnsi="ITC Avant Garde"/>
                <w:color w:val="000000"/>
              </w:rPr>
              <w:t>distribución (</w:t>
            </w:r>
            <w:r w:rsidRPr="00A81133">
              <w:rPr>
                <w:rFonts w:ascii="ITC Avant Garde" w:hAnsi="ITC Avant Garde"/>
                <w:color w:val="000000"/>
              </w:rPr>
              <w:t>Pozo Multiconcesionario construido por CS o arrendamiento de Pozo)</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23</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35</w:t>
            </w:r>
          </w:p>
        </w:tc>
      </w:tr>
      <w:tr w:rsidR="00C016D7" w:rsidRPr="00A81133" w:rsidTr="00243980">
        <w:trPr>
          <w:trHeight w:val="586"/>
          <w:jc w:val="center"/>
        </w:trPr>
        <w:tc>
          <w:tcPr>
            <w:tcW w:w="4768" w:type="dxa"/>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Servicio de anexo de caja de distribución (ya existe Pozo Multiconcesionario)</w:t>
            </w:r>
          </w:p>
        </w:tc>
        <w:tc>
          <w:tcPr>
            <w:tcW w:w="1473" w:type="dxa"/>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15</w:t>
            </w:r>
          </w:p>
        </w:tc>
        <w:tc>
          <w:tcPr>
            <w:tcW w:w="1473" w:type="dxa"/>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23</w:t>
            </w:r>
          </w:p>
        </w:tc>
      </w:tr>
      <w:tr w:rsidR="00C016D7" w:rsidRPr="00A81133" w:rsidTr="00243980">
        <w:trPr>
          <w:trHeight w:val="586"/>
          <w:jc w:val="center"/>
        </w:trPr>
        <w:tc>
          <w:tcPr>
            <w:tcW w:w="4768"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Servicio de </w:t>
            </w:r>
            <w:r w:rsidR="00BC4DBB" w:rsidRPr="00A81133">
              <w:rPr>
                <w:rFonts w:ascii="ITC Avant Garde" w:hAnsi="ITC Avant Garde"/>
                <w:color w:val="000000"/>
              </w:rPr>
              <w:t>concentración y</w:t>
            </w:r>
            <w:r w:rsidRPr="00A81133">
              <w:rPr>
                <w:rFonts w:ascii="ITC Avant Garde" w:hAnsi="ITC Avant Garde"/>
                <w:color w:val="000000"/>
              </w:rPr>
              <w:t xml:space="preserve"> distribución (Coubicación Interna)</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20</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30</w:t>
            </w:r>
          </w:p>
        </w:tc>
      </w:tr>
      <w:tr w:rsidR="00C016D7" w:rsidRPr="00A81133" w:rsidTr="00243980">
        <w:trPr>
          <w:trHeight w:val="586"/>
          <w:jc w:val="center"/>
        </w:trPr>
        <w:tc>
          <w:tcPr>
            <w:tcW w:w="4768" w:type="dxa"/>
            <w:tcBorders>
              <w:top w:val="nil"/>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Servicio de </w:t>
            </w:r>
            <w:r w:rsidR="00BC4DBB" w:rsidRPr="00A81133">
              <w:rPr>
                <w:rFonts w:ascii="ITC Avant Garde" w:hAnsi="ITC Avant Garde"/>
                <w:color w:val="000000"/>
              </w:rPr>
              <w:t>concentración y</w:t>
            </w:r>
            <w:r w:rsidRPr="00A81133">
              <w:rPr>
                <w:rFonts w:ascii="ITC Avant Garde" w:hAnsi="ITC Avant Garde"/>
                <w:color w:val="000000"/>
              </w:rPr>
              <w:t xml:space="preserve"> distribución (Coubicación Externa)</w:t>
            </w:r>
          </w:p>
        </w:tc>
        <w:tc>
          <w:tcPr>
            <w:tcW w:w="1473"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30</w:t>
            </w:r>
          </w:p>
        </w:tc>
        <w:tc>
          <w:tcPr>
            <w:tcW w:w="1473"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45</w:t>
            </w:r>
          </w:p>
        </w:tc>
      </w:tr>
      <w:tr w:rsidR="00C016D7" w:rsidRPr="00A81133" w:rsidTr="00243980">
        <w:trPr>
          <w:trHeight w:val="586"/>
          <w:jc w:val="center"/>
        </w:trPr>
        <w:tc>
          <w:tcPr>
            <w:tcW w:w="4768"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 xml:space="preserve">Servicio de </w:t>
            </w:r>
            <w:r w:rsidR="00BC4DBB" w:rsidRPr="00A81133">
              <w:rPr>
                <w:rFonts w:ascii="ITC Avant Garde" w:hAnsi="ITC Avant Garde"/>
                <w:color w:val="000000"/>
              </w:rPr>
              <w:t>concentración y</w:t>
            </w:r>
            <w:r w:rsidRPr="00A81133">
              <w:rPr>
                <w:rFonts w:ascii="ITC Avant Garde" w:hAnsi="ITC Avant Garde"/>
                <w:color w:val="000000"/>
              </w:rPr>
              <w:t xml:space="preserve"> distribución (Ubicación Distante)</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45</w:t>
            </w:r>
          </w:p>
        </w:tc>
        <w:tc>
          <w:tcPr>
            <w:tcW w:w="1473" w:type="dxa"/>
            <w:tcBorders>
              <w:top w:val="single" w:sz="4" w:space="0" w:color="auto"/>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68</w:t>
            </w:r>
          </w:p>
        </w:tc>
      </w:tr>
      <w:tr w:rsidR="00C016D7" w:rsidRPr="00A81133" w:rsidTr="00243980">
        <w:trPr>
          <w:trHeight w:val="586"/>
          <w:jc w:val="center"/>
        </w:trPr>
        <w:tc>
          <w:tcPr>
            <w:tcW w:w="4768"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Trabajos especiales (Servicios habilitados en tempo)</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Plazo compromiso</w:t>
            </w:r>
          </w:p>
        </w:tc>
        <w:tc>
          <w:tcPr>
            <w:tcW w:w="1473" w:type="dxa"/>
            <w:tcBorders>
              <w:top w:val="nil"/>
              <w:left w:val="nil"/>
              <w:bottom w:val="single" w:sz="4" w:space="0" w:color="auto"/>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50% extra del plazo compromiso</w:t>
            </w:r>
          </w:p>
        </w:tc>
      </w:tr>
    </w:tbl>
    <w:p w:rsidR="00DE205C" w:rsidRPr="00A81133" w:rsidRDefault="00DE205C" w:rsidP="00381825">
      <w:pPr>
        <w:pStyle w:val="IFTnormal"/>
      </w:pPr>
    </w:p>
    <w:p w:rsidR="005C3AEF" w:rsidRPr="00A81133" w:rsidRDefault="005C3AEF" w:rsidP="00381825">
      <w:pPr>
        <w:pStyle w:val="IFTnormal"/>
      </w:pPr>
      <w:r w:rsidRPr="00A81133">
        <w:t>En caso de que los parámetros e Indicadores de calidad sobre habilitación del servicio con usuarios existentes</w:t>
      </w:r>
      <w:r w:rsidR="00A530E9" w:rsidRPr="00A81133">
        <w:t>, aplicables a</w:t>
      </w:r>
      <w:r w:rsidRPr="00A81133">
        <w:t xml:space="preserve"> SDTBL, SDCBL, SDCSBL, SDTSBL</w:t>
      </w:r>
      <w:r w:rsidR="00A530E9" w:rsidRPr="00A81133">
        <w:t xml:space="preserve"> y el </w:t>
      </w:r>
      <w:r w:rsidR="00DF09B2">
        <w:t>SCD</w:t>
      </w:r>
      <w:r w:rsidR="00A530E9" w:rsidRPr="00A81133">
        <w:t xml:space="preserve"> para desagregación.</w:t>
      </w:r>
    </w:p>
    <w:p w:rsidR="005C3AEF" w:rsidRPr="00A81133" w:rsidRDefault="005C3AEF" w:rsidP="00D02029">
      <w:pPr>
        <w:pStyle w:val="IFTnormal"/>
        <w:numPr>
          <w:ilvl w:val="0"/>
          <w:numId w:val="6"/>
        </w:numPr>
      </w:pPr>
      <w:r w:rsidRPr="00A81133">
        <w:t xml:space="preserve">Habilitación para usuarios existentes </w:t>
      </w:r>
      <w:r w:rsidR="005907BA" w:rsidRPr="00A81133">
        <w:t xml:space="preserve">(línea activa) </w:t>
      </w:r>
      <w:r w:rsidRPr="00A81133">
        <w:t xml:space="preserve">en tiempo: 90% </w:t>
      </w:r>
      <w:r w:rsidR="00A530E9" w:rsidRPr="00A81133">
        <w:t xml:space="preserve">con pronóstico y 65% sin pronóstico </w:t>
      </w:r>
      <w:r w:rsidRPr="00A81133">
        <w:t xml:space="preserve">en un máximo de T1 días hábiles. El 10% </w:t>
      </w:r>
      <w:r w:rsidR="007E0624" w:rsidRPr="00A81133">
        <w:t xml:space="preserve">y 35% </w:t>
      </w:r>
      <w:r w:rsidRPr="00A81133">
        <w:t>restante</w:t>
      </w:r>
      <w:r w:rsidR="00BD727B">
        <w:t>s</w:t>
      </w:r>
      <w:r w:rsidR="007E0624" w:rsidRPr="00A81133">
        <w:t>, respectivamente,</w:t>
      </w:r>
      <w:r w:rsidRPr="00A81133">
        <w:t xml:space="preserve"> validad</w:t>
      </w:r>
      <w:r w:rsidR="00C15F7B">
        <w:t>o</w:t>
      </w:r>
      <w:r w:rsidRPr="00A81133">
        <w:t xml:space="preserve"> en un máximo de T2 días hábiles.</w:t>
      </w:r>
    </w:p>
    <w:p w:rsidR="005907BA" w:rsidRPr="00A81133" w:rsidRDefault="005907BA" w:rsidP="00D02029">
      <w:pPr>
        <w:pStyle w:val="IFTnormal"/>
        <w:numPr>
          <w:ilvl w:val="0"/>
          <w:numId w:val="7"/>
        </w:numPr>
      </w:pPr>
      <w:r w:rsidRPr="00A81133">
        <w:t>En caso de que no se cumpla el</w:t>
      </w:r>
      <w:r w:rsidR="00FC1B70" w:rsidRPr="00A81133">
        <w:t xml:space="preserve"> </w:t>
      </w:r>
      <w:r w:rsidR="00BD727B">
        <w:t>porcentaje</w:t>
      </w:r>
      <w:r w:rsidR="00FC1B70" w:rsidRPr="00A81133">
        <w:t xml:space="preserve"> </w:t>
      </w:r>
      <w:r w:rsidRPr="00A81133">
        <w:t>del indicador. Serán acreedores de una pena la totalidad de los eventos que superen los T1 días hábiles y se aplicará una pena conforme a lo siguiente:</w:t>
      </w:r>
    </w:p>
    <w:p w:rsidR="005907BA" w:rsidRPr="00A81133" w:rsidRDefault="005907BA" w:rsidP="00D02029">
      <w:pPr>
        <w:pStyle w:val="IFTnormal"/>
        <w:numPr>
          <w:ilvl w:val="0"/>
          <w:numId w:val="8"/>
        </w:numPr>
        <w:ind w:left="1134"/>
      </w:pPr>
      <w:r w:rsidRPr="00A81133">
        <w:t>Cuando exista un retraso que sea menor al 20% del plazo establecido, se aplicará una pena equivalente al 30% del costo de la renta mensual correspondiente.</w:t>
      </w:r>
    </w:p>
    <w:p w:rsidR="007924F4" w:rsidRPr="00A81133" w:rsidRDefault="005907BA" w:rsidP="00D02029">
      <w:pPr>
        <w:pStyle w:val="IFTnormal"/>
        <w:numPr>
          <w:ilvl w:val="0"/>
          <w:numId w:val="8"/>
        </w:numPr>
        <w:ind w:left="1134"/>
      </w:pPr>
      <w:r w:rsidRPr="00A81133">
        <w:t xml:space="preserve">Cuando exista un retraso </w:t>
      </w:r>
      <w:r w:rsidR="00C15F7B">
        <w:t>comprendido</w:t>
      </w:r>
      <w:r w:rsidRPr="00A81133">
        <w:t xml:space="preserve"> entre </w:t>
      </w:r>
      <w:r w:rsidR="00C15F7B">
        <w:t xml:space="preserve">el </w:t>
      </w:r>
      <w:r w:rsidRPr="00A81133">
        <w:t xml:space="preserve">20% y </w:t>
      </w:r>
      <w:r w:rsidR="00C15F7B">
        <w:t xml:space="preserve">el </w:t>
      </w:r>
      <w:r w:rsidRPr="00A81133">
        <w:t>40% del plazo establecido, se aplicará una pena equivalente al 60% del costo de la renta mensual correspondiente.</w:t>
      </w:r>
    </w:p>
    <w:p w:rsidR="005907BA" w:rsidRPr="00A81133" w:rsidRDefault="005907BA" w:rsidP="00D02029">
      <w:pPr>
        <w:pStyle w:val="IFTnormal"/>
        <w:numPr>
          <w:ilvl w:val="0"/>
          <w:numId w:val="8"/>
        </w:numPr>
        <w:ind w:left="1134"/>
      </w:pPr>
      <w:r w:rsidRPr="00A81133">
        <w:t xml:space="preserve">Cuando el retraso sea mayor al 40% del plazo establecido, se aplicará una pena calculada </w:t>
      </w:r>
      <w:proofErr w:type="gramStart"/>
      <w:r w:rsidRPr="00A81133">
        <w:t>de acuerdo a</w:t>
      </w:r>
      <w:proofErr w:type="gramEnd"/>
      <w:r w:rsidRPr="00A81133">
        <w:t xml:space="preserve"> la ecuación:</w:t>
      </w:r>
      <m:oMath>
        <m:r>
          <m:rPr>
            <m:nor/>
          </m:rPr>
          <m:t xml:space="preserve"> </m:t>
        </m:r>
      </m:oMath>
    </w:p>
    <w:p w:rsidR="007924F4" w:rsidRPr="00A81133" w:rsidRDefault="006F5D35" w:rsidP="00381825">
      <w:pPr>
        <w:pStyle w:val="IFTnormal"/>
      </w:pPr>
      <m:oMathPara>
        <m:oMath>
          <m:r>
            <m:rPr>
              <m:nor/>
            </m:rPr>
            <w:rPr>
              <w:i/>
            </w:rPr>
            <m:t>Pena = (60% + Retraso%) × Renta Mensual</m:t>
          </m:r>
        </m:oMath>
      </m:oMathPara>
    </w:p>
    <w:p w:rsidR="005907BA" w:rsidRPr="00A81133" w:rsidRDefault="005907BA" w:rsidP="00381825">
      <w:pPr>
        <w:pStyle w:val="IFTnormal"/>
      </w:pPr>
      <w:r w:rsidRPr="00A81133">
        <w:lastRenderedPageBreak/>
        <w:t>En caso de que</w:t>
      </w:r>
      <w:r w:rsidR="00FC1B70" w:rsidRPr="00A81133">
        <w:t xml:space="preserve"> se cumpl</w:t>
      </w:r>
      <w:r w:rsidR="00CB5898">
        <w:t>a</w:t>
      </w:r>
      <w:r w:rsidR="00FC1B70" w:rsidRPr="00A81133">
        <w:t xml:space="preserve"> el </w:t>
      </w:r>
      <w:r w:rsidR="00CB5898">
        <w:t>porcentaje</w:t>
      </w:r>
      <w:r w:rsidRPr="00A81133">
        <w:t xml:space="preserve"> del indicador.  Serán acreedores de una pena la totalidad de los eventos que superen los T2 </w:t>
      </w:r>
      <w:r w:rsidR="005B746F" w:rsidRPr="00A81133">
        <w:t>días hábiles y se aplicará una pena conforme a lo siguiente:</w:t>
      </w:r>
    </w:p>
    <w:p w:rsidR="00ED655C" w:rsidRPr="00A81133" w:rsidRDefault="006F5D35" w:rsidP="00381825">
      <w:pPr>
        <w:pStyle w:val="IFTnormal"/>
        <w:rPr>
          <w:rFonts w:cs="Arial"/>
        </w:rPr>
      </w:pPr>
      <m:oMathPara>
        <m:oMath>
          <m:r>
            <m:rPr>
              <m:nor/>
            </m:rPr>
            <m:t>Pena</m:t>
          </m:r>
          <m:r>
            <m:rPr>
              <m:nor/>
            </m:rPr>
            <w:rPr>
              <w:rFonts w:ascii="Cambria Math"/>
            </w:rPr>
            <m:t xml:space="preserve"> </m:t>
          </m:r>
          <m:r>
            <m:rPr>
              <m:nor/>
            </m:rPr>
            <m:t>=</m:t>
          </m:r>
          <m:r>
            <m:rPr>
              <m:nor/>
            </m:rPr>
            <w:rPr>
              <w:rFonts w:ascii="Cambria Math"/>
            </w:rPr>
            <m:t xml:space="preserve"> (</m:t>
          </m:r>
          <m:r>
            <m:rPr>
              <m:nor/>
            </m:rPr>
            <m:t>60% + Retraso%</m:t>
          </m:r>
          <m:r>
            <m:rPr>
              <m:nor/>
            </m:rPr>
            <w:rPr>
              <w:rFonts w:ascii="Cambria Math"/>
            </w:rPr>
            <m:t>)</m:t>
          </m:r>
          <m:r>
            <m:rPr>
              <m:nor/>
            </m:rPr>
            <m:t xml:space="preserve"> ×</m:t>
          </m:r>
          <m:r>
            <m:rPr>
              <m:nor/>
            </m:rPr>
            <w:rPr>
              <w:rFonts w:ascii="Cambria Math"/>
            </w:rPr>
            <m:t xml:space="preserve"> </m:t>
          </m:r>
          <m:r>
            <m:rPr>
              <m:nor/>
            </m:rPr>
            <m:t>Renta Mensual</m:t>
          </m:r>
        </m:oMath>
      </m:oMathPara>
    </w:p>
    <w:p w:rsidR="009C587D" w:rsidRPr="00A81133" w:rsidRDefault="009C587D" w:rsidP="00B46E70">
      <w:pPr>
        <w:spacing w:line="240" w:lineRule="auto"/>
        <w:contextualSpacing/>
        <w:rPr>
          <w:rFonts w:cs="Arial"/>
        </w:rPr>
      </w:pPr>
    </w:p>
    <w:tbl>
      <w:tblPr>
        <w:tblW w:w="7675" w:type="dxa"/>
        <w:jc w:val="center"/>
        <w:tblCellMar>
          <w:left w:w="70" w:type="dxa"/>
          <w:right w:w="70" w:type="dxa"/>
        </w:tblCellMar>
        <w:tblLook w:val="04A0" w:firstRow="1" w:lastRow="0" w:firstColumn="1" w:lastColumn="0" w:noHBand="0" w:noVBand="1"/>
      </w:tblPr>
      <w:tblGrid>
        <w:gridCol w:w="5198"/>
        <w:gridCol w:w="1228"/>
        <w:gridCol w:w="1249"/>
      </w:tblGrid>
      <w:tr w:rsidR="00C016D7" w:rsidRPr="00A81133" w:rsidTr="00243980">
        <w:trPr>
          <w:trHeight w:val="508"/>
          <w:jc w:val="center"/>
        </w:trPr>
        <w:tc>
          <w:tcPr>
            <w:tcW w:w="7675" w:type="dxa"/>
            <w:gridSpan w:val="3"/>
            <w:tcBorders>
              <w:top w:val="nil"/>
              <w:left w:val="nil"/>
              <w:bottom w:val="nil"/>
              <w:right w:val="nil"/>
            </w:tcBorders>
            <w:shd w:val="clear" w:color="000000" w:fill="2F75B5"/>
            <w:vAlign w:val="center"/>
            <w:hideMark/>
          </w:tcPr>
          <w:p w:rsidR="00C016D7" w:rsidRPr="00A81133" w:rsidRDefault="00C016D7" w:rsidP="00243980">
            <w:pPr>
              <w:spacing w:after="0" w:line="240" w:lineRule="auto"/>
              <w:jc w:val="center"/>
              <w:rPr>
                <w:rFonts w:ascii="ITC Avant Garde" w:hAnsi="ITC Avant Garde"/>
                <w:b/>
                <w:bCs/>
                <w:color w:val="FFFFFF"/>
              </w:rPr>
            </w:pPr>
            <w:r w:rsidRPr="00A81133">
              <w:rPr>
                <w:rFonts w:ascii="ITC Avant Garde" w:hAnsi="ITC Avant Garde"/>
                <w:b/>
                <w:bCs/>
                <w:color w:val="FFFFFF"/>
              </w:rPr>
              <w:t>Habilitación y entrega de servicios</w:t>
            </w:r>
          </w:p>
        </w:tc>
      </w:tr>
      <w:tr w:rsidR="00C016D7" w:rsidRPr="00A81133" w:rsidTr="002639FD">
        <w:trPr>
          <w:trHeight w:val="274"/>
          <w:jc w:val="center"/>
        </w:trPr>
        <w:tc>
          <w:tcPr>
            <w:tcW w:w="5198"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b/>
                <w:bCs/>
                <w:color w:val="FFFFFF"/>
              </w:rPr>
            </w:pPr>
          </w:p>
        </w:tc>
        <w:tc>
          <w:tcPr>
            <w:tcW w:w="1228"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T1</w:t>
            </w:r>
          </w:p>
        </w:tc>
        <w:tc>
          <w:tcPr>
            <w:tcW w:w="1249" w:type="dxa"/>
            <w:tcBorders>
              <w:top w:val="nil"/>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T2</w:t>
            </w:r>
          </w:p>
        </w:tc>
      </w:tr>
      <w:tr w:rsidR="00C016D7" w:rsidRPr="00A81133" w:rsidTr="002639FD">
        <w:trPr>
          <w:trHeight w:val="272"/>
          <w:jc w:val="center"/>
        </w:trPr>
        <w:tc>
          <w:tcPr>
            <w:tcW w:w="5198" w:type="dxa"/>
            <w:vMerge w:val="restart"/>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r w:rsidRPr="00A81133">
              <w:rPr>
                <w:rFonts w:ascii="ITC Avant Garde" w:hAnsi="ITC Avant Garde"/>
                <w:color w:val="000000"/>
              </w:rPr>
              <w:t>Usuario existente SDTBL, SDCBL, SDCSBL, SDTSBL</w:t>
            </w:r>
          </w:p>
        </w:tc>
        <w:tc>
          <w:tcPr>
            <w:tcW w:w="1228" w:type="dxa"/>
            <w:vMerge w:val="restart"/>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5</w:t>
            </w:r>
          </w:p>
        </w:tc>
        <w:tc>
          <w:tcPr>
            <w:tcW w:w="1249" w:type="dxa"/>
            <w:vMerge w:val="restart"/>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jc w:val="center"/>
              <w:rPr>
                <w:rFonts w:ascii="ITC Avant Garde" w:hAnsi="ITC Avant Garde"/>
                <w:color w:val="000000"/>
              </w:rPr>
            </w:pPr>
            <w:r w:rsidRPr="00A81133">
              <w:rPr>
                <w:rFonts w:ascii="ITC Avant Garde" w:hAnsi="ITC Avant Garde"/>
                <w:color w:val="000000"/>
              </w:rPr>
              <w:t>8</w:t>
            </w:r>
          </w:p>
        </w:tc>
      </w:tr>
      <w:tr w:rsidR="00C016D7" w:rsidRPr="00A81133" w:rsidTr="00D62027">
        <w:trPr>
          <w:trHeight w:val="272"/>
          <w:jc w:val="center"/>
        </w:trPr>
        <w:tc>
          <w:tcPr>
            <w:tcW w:w="5198" w:type="dxa"/>
            <w:vMerge/>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p>
        </w:tc>
        <w:tc>
          <w:tcPr>
            <w:tcW w:w="1228" w:type="dxa"/>
            <w:vMerge/>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p>
        </w:tc>
        <w:tc>
          <w:tcPr>
            <w:tcW w:w="1249" w:type="dxa"/>
            <w:vMerge/>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p>
        </w:tc>
      </w:tr>
      <w:tr w:rsidR="00C016D7" w:rsidRPr="00A81133" w:rsidTr="00D62027">
        <w:trPr>
          <w:trHeight w:val="272"/>
          <w:jc w:val="center"/>
        </w:trPr>
        <w:tc>
          <w:tcPr>
            <w:tcW w:w="5198" w:type="dxa"/>
            <w:vMerge/>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p>
        </w:tc>
        <w:tc>
          <w:tcPr>
            <w:tcW w:w="1228" w:type="dxa"/>
            <w:vMerge/>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p>
        </w:tc>
        <w:tc>
          <w:tcPr>
            <w:tcW w:w="1249" w:type="dxa"/>
            <w:vMerge/>
            <w:tcBorders>
              <w:top w:val="single" w:sz="4" w:space="0" w:color="auto"/>
              <w:left w:val="nil"/>
              <w:bottom w:val="nil"/>
              <w:right w:val="nil"/>
            </w:tcBorders>
            <w:shd w:val="clear" w:color="auto" w:fill="auto"/>
            <w:vAlign w:val="center"/>
            <w:hideMark/>
          </w:tcPr>
          <w:p w:rsidR="00C016D7" w:rsidRPr="00A81133" w:rsidRDefault="00C016D7" w:rsidP="00243980">
            <w:pPr>
              <w:spacing w:after="0" w:line="240" w:lineRule="auto"/>
              <w:rPr>
                <w:rFonts w:ascii="ITC Avant Garde" w:hAnsi="ITC Avant Garde"/>
                <w:color w:val="000000"/>
              </w:rPr>
            </w:pPr>
          </w:p>
        </w:tc>
      </w:tr>
      <w:tr w:rsidR="00C016D7" w:rsidRPr="00A81133" w:rsidTr="00D62027">
        <w:trPr>
          <w:trHeight w:val="269"/>
          <w:jc w:val="center"/>
        </w:trPr>
        <w:tc>
          <w:tcPr>
            <w:tcW w:w="5198" w:type="dxa"/>
            <w:tcBorders>
              <w:top w:val="single" w:sz="4" w:space="0" w:color="auto"/>
              <w:left w:val="nil"/>
              <w:bottom w:val="single" w:sz="4" w:space="0" w:color="auto"/>
              <w:right w:val="nil"/>
            </w:tcBorders>
            <w:shd w:val="clear" w:color="auto" w:fill="auto"/>
            <w:vAlign w:val="center"/>
            <w:hideMark/>
          </w:tcPr>
          <w:p w:rsidR="00373A58" w:rsidRPr="00A81133" w:rsidRDefault="00373A58" w:rsidP="00373A58">
            <w:pPr>
              <w:spacing w:after="0" w:line="240" w:lineRule="auto"/>
              <w:rPr>
                <w:rFonts w:ascii="ITC Avant Garde" w:hAnsi="ITC Avant Garde"/>
                <w:color w:val="000000"/>
              </w:rPr>
            </w:pPr>
            <w:r w:rsidRPr="00A81133">
              <w:rPr>
                <w:rFonts w:ascii="ITC Avant Garde" w:hAnsi="ITC Avant Garde"/>
                <w:color w:val="000000"/>
              </w:rPr>
              <w:t>Usuarios nuevos: SDTBL, SDCBL, SDCSBL, SDTSBL</w:t>
            </w:r>
          </w:p>
          <w:p w:rsidR="00C016D7" w:rsidRPr="00A81133" w:rsidRDefault="00373A58" w:rsidP="00373A58">
            <w:pPr>
              <w:spacing w:after="0" w:line="240" w:lineRule="auto"/>
              <w:rPr>
                <w:rFonts w:ascii="ITC Avant Garde" w:hAnsi="ITC Avant Garde"/>
                <w:color w:val="000000"/>
              </w:rPr>
            </w:pPr>
            <w:r w:rsidRPr="00A81133">
              <w:rPr>
                <w:rFonts w:ascii="ITC Avant Garde" w:hAnsi="ITC Avant Garde"/>
                <w:color w:val="000000"/>
              </w:rPr>
              <w:t xml:space="preserve">(Con acometida y recursos de red sin provisión de equipo) </w:t>
            </w:r>
          </w:p>
        </w:tc>
        <w:tc>
          <w:tcPr>
            <w:tcW w:w="1228" w:type="dxa"/>
            <w:tcBorders>
              <w:top w:val="single" w:sz="4" w:space="0" w:color="auto"/>
              <w:left w:val="nil"/>
              <w:bottom w:val="single" w:sz="4" w:space="0" w:color="auto"/>
              <w:right w:val="nil"/>
            </w:tcBorders>
            <w:shd w:val="clear" w:color="auto" w:fill="auto"/>
            <w:vAlign w:val="center"/>
            <w:hideMark/>
          </w:tcPr>
          <w:p w:rsidR="00C016D7" w:rsidRPr="00A81133" w:rsidRDefault="00373A58" w:rsidP="00243980">
            <w:pPr>
              <w:spacing w:after="0" w:line="240" w:lineRule="auto"/>
              <w:jc w:val="center"/>
              <w:rPr>
                <w:rFonts w:ascii="ITC Avant Garde" w:hAnsi="ITC Avant Garde"/>
                <w:color w:val="000000"/>
              </w:rPr>
            </w:pPr>
            <w:r w:rsidRPr="00A81133">
              <w:rPr>
                <w:rFonts w:ascii="ITC Avant Garde" w:hAnsi="ITC Avant Garde"/>
                <w:color w:val="000000"/>
              </w:rPr>
              <w:t>5</w:t>
            </w:r>
          </w:p>
        </w:tc>
        <w:tc>
          <w:tcPr>
            <w:tcW w:w="1249" w:type="dxa"/>
            <w:tcBorders>
              <w:top w:val="single" w:sz="4" w:space="0" w:color="auto"/>
              <w:left w:val="nil"/>
              <w:bottom w:val="single" w:sz="4" w:space="0" w:color="auto"/>
              <w:right w:val="nil"/>
            </w:tcBorders>
            <w:shd w:val="clear" w:color="auto" w:fill="auto"/>
            <w:vAlign w:val="center"/>
            <w:hideMark/>
          </w:tcPr>
          <w:p w:rsidR="00C016D7" w:rsidRPr="00A81133" w:rsidRDefault="00467988" w:rsidP="00243980">
            <w:pPr>
              <w:spacing w:after="0" w:line="240" w:lineRule="auto"/>
              <w:jc w:val="center"/>
              <w:rPr>
                <w:rFonts w:ascii="ITC Avant Garde" w:hAnsi="ITC Avant Garde"/>
                <w:color w:val="000000"/>
              </w:rPr>
            </w:pPr>
            <w:r w:rsidRPr="00A81133">
              <w:rPr>
                <w:rFonts w:ascii="ITC Avant Garde" w:hAnsi="ITC Avant Garde"/>
                <w:color w:val="000000"/>
              </w:rPr>
              <w:t>8</w:t>
            </w:r>
          </w:p>
        </w:tc>
      </w:tr>
      <w:tr w:rsidR="004D19CF" w:rsidRPr="00A81133" w:rsidTr="00D62027">
        <w:trPr>
          <w:trHeight w:val="269"/>
          <w:jc w:val="center"/>
        </w:trPr>
        <w:tc>
          <w:tcPr>
            <w:tcW w:w="5198" w:type="dxa"/>
            <w:tcBorders>
              <w:top w:val="single" w:sz="4" w:space="0" w:color="auto"/>
              <w:left w:val="nil"/>
              <w:bottom w:val="single" w:sz="4" w:space="0" w:color="auto"/>
              <w:right w:val="nil"/>
            </w:tcBorders>
            <w:shd w:val="clear" w:color="auto" w:fill="auto"/>
            <w:vAlign w:val="center"/>
          </w:tcPr>
          <w:p w:rsidR="004D19CF" w:rsidRPr="00A81133" w:rsidRDefault="004D19CF" w:rsidP="004D19CF">
            <w:pPr>
              <w:spacing w:after="0" w:line="240" w:lineRule="auto"/>
              <w:rPr>
                <w:rFonts w:ascii="ITC Avant Garde" w:hAnsi="ITC Avant Garde"/>
                <w:color w:val="000000"/>
              </w:rPr>
            </w:pPr>
            <w:r w:rsidRPr="00A81133">
              <w:rPr>
                <w:rFonts w:ascii="ITC Avant Garde" w:hAnsi="ITC Avant Garde"/>
                <w:color w:val="000000"/>
              </w:rPr>
              <w:t>Usuarios nuevos sin acometida SDTBL, SDCBL, SDCSBL, SDTSBL</w:t>
            </w:r>
          </w:p>
          <w:p w:rsidR="004D19CF" w:rsidRPr="00A81133" w:rsidRDefault="004D19CF" w:rsidP="004D19CF">
            <w:pPr>
              <w:spacing w:after="0" w:line="240" w:lineRule="auto"/>
              <w:rPr>
                <w:rFonts w:ascii="ITC Avant Garde" w:hAnsi="ITC Avant Garde"/>
                <w:color w:val="000000"/>
              </w:rPr>
            </w:pPr>
            <w:r w:rsidRPr="00A81133">
              <w:rPr>
                <w:rFonts w:ascii="ITC Avant Garde" w:hAnsi="ITC Avant Garde"/>
                <w:color w:val="000000"/>
              </w:rPr>
              <w:t>(Con o sin provisión del equipo)</w:t>
            </w:r>
          </w:p>
        </w:tc>
        <w:tc>
          <w:tcPr>
            <w:tcW w:w="1228" w:type="dxa"/>
            <w:tcBorders>
              <w:top w:val="single" w:sz="4" w:space="0" w:color="auto"/>
              <w:left w:val="nil"/>
              <w:bottom w:val="single" w:sz="4" w:space="0" w:color="auto"/>
              <w:right w:val="nil"/>
            </w:tcBorders>
            <w:shd w:val="clear" w:color="auto" w:fill="auto"/>
            <w:vAlign w:val="center"/>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5</w:t>
            </w:r>
          </w:p>
        </w:tc>
        <w:tc>
          <w:tcPr>
            <w:tcW w:w="1249" w:type="dxa"/>
            <w:tcBorders>
              <w:top w:val="single" w:sz="4" w:space="0" w:color="auto"/>
              <w:left w:val="nil"/>
              <w:bottom w:val="single" w:sz="4" w:space="0" w:color="auto"/>
              <w:right w:val="nil"/>
            </w:tcBorders>
            <w:shd w:val="clear" w:color="auto" w:fill="auto"/>
            <w:vAlign w:val="center"/>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8</w:t>
            </w:r>
          </w:p>
        </w:tc>
      </w:tr>
      <w:tr w:rsidR="004D19CF" w:rsidRPr="00A81133" w:rsidTr="00D62027">
        <w:trPr>
          <w:trHeight w:val="269"/>
          <w:jc w:val="center"/>
        </w:trPr>
        <w:tc>
          <w:tcPr>
            <w:tcW w:w="5198" w:type="dxa"/>
            <w:tcBorders>
              <w:top w:val="single" w:sz="4" w:space="0" w:color="auto"/>
              <w:left w:val="nil"/>
              <w:bottom w:val="single" w:sz="4" w:space="0" w:color="auto"/>
              <w:right w:val="nil"/>
            </w:tcBorders>
            <w:shd w:val="clear" w:color="auto" w:fill="auto"/>
            <w:vAlign w:val="center"/>
          </w:tcPr>
          <w:p w:rsidR="004D19CF" w:rsidRPr="00A81133" w:rsidRDefault="004D19CF" w:rsidP="004D19CF">
            <w:pPr>
              <w:spacing w:after="0" w:line="240" w:lineRule="auto"/>
              <w:rPr>
                <w:rFonts w:ascii="ITC Avant Garde" w:hAnsi="ITC Avant Garde"/>
                <w:color w:val="000000"/>
              </w:rPr>
            </w:pPr>
            <w:r w:rsidRPr="00A81133">
              <w:rPr>
                <w:rFonts w:ascii="ITC Avant Garde" w:hAnsi="ITC Avant Garde"/>
                <w:color w:val="000000"/>
              </w:rPr>
              <w:t>Usuarios nuevos: SDTBL, SDCBL, SDCSBL, SDTSBL</w:t>
            </w:r>
          </w:p>
          <w:p w:rsidR="004D19CF" w:rsidRPr="00A81133" w:rsidRDefault="004D19CF" w:rsidP="004D19CF">
            <w:pPr>
              <w:spacing w:after="0" w:line="240" w:lineRule="auto"/>
              <w:rPr>
                <w:rFonts w:ascii="ITC Avant Garde" w:hAnsi="ITC Avant Garde"/>
                <w:color w:val="000000"/>
              </w:rPr>
            </w:pPr>
            <w:r w:rsidRPr="00A81133">
              <w:rPr>
                <w:rFonts w:ascii="ITC Avant Garde" w:hAnsi="ITC Avant Garde"/>
                <w:color w:val="000000"/>
              </w:rPr>
              <w:t>(Con acometida y recursos de red con provisión de equipo)</w:t>
            </w:r>
          </w:p>
        </w:tc>
        <w:tc>
          <w:tcPr>
            <w:tcW w:w="1228" w:type="dxa"/>
            <w:tcBorders>
              <w:top w:val="single" w:sz="4" w:space="0" w:color="auto"/>
              <w:left w:val="nil"/>
              <w:bottom w:val="single" w:sz="4" w:space="0" w:color="auto"/>
              <w:right w:val="nil"/>
            </w:tcBorders>
            <w:shd w:val="clear" w:color="auto" w:fill="auto"/>
            <w:vAlign w:val="center"/>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7</w:t>
            </w:r>
          </w:p>
        </w:tc>
        <w:tc>
          <w:tcPr>
            <w:tcW w:w="1249" w:type="dxa"/>
            <w:tcBorders>
              <w:top w:val="single" w:sz="4" w:space="0" w:color="auto"/>
              <w:left w:val="nil"/>
              <w:bottom w:val="single" w:sz="4" w:space="0" w:color="auto"/>
              <w:right w:val="nil"/>
            </w:tcBorders>
            <w:shd w:val="clear" w:color="auto" w:fill="auto"/>
            <w:vAlign w:val="center"/>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11</w:t>
            </w:r>
          </w:p>
        </w:tc>
      </w:tr>
      <w:tr w:rsidR="004D19CF" w:rsidRPr="00A81133" w:rsidTr="002639FD">
        <w:trPr>
          <w:trHeight w:val="356"/>
          <w:jc w:val="center"/>
        </w:trPr>
        <w:tc>
          <w:tcPr>
            <w:tcW w:w="5198" w:type="dxa"/>
            <w:tcBorders>
              <w:top w:val="single" w:sz="4" w:space="0" w:color="auto"/>
              <w:left w:val="nil"/>
              <w:bottom w:val="single" w:sz="4" w:space="0" w:color="auto"/>
              <w:right w:val="nil"/>
            </w:tcBorders>
            <w:shd w:val="clear" w:color="auto" w:fill="auto"/>
            <w:vAlign w:val="center"/>
            <w:hideMark/>
          </w:tcPr>
          <w:p w:rsidR="004D19CF" w:rsidRPr="00A81133" w:rsidRDefault="004D19CF" w:rsidP="004D19CF">
            <w:pPr>
              <w:spacing w:after="0" w:line="240" w:lineRule="auto"/>
              <w:rPr>
                <w:rFonts w:ascii="ITC Avant Garde" w:hAnsi="ITC Avant Garde"/>
                <w:color w:val="000000"/>
              </w:rPr>
            </w:pPr>
            <w:r w:rsidRPr="00A81133">
              <w:rPr>
                <w:rFonts w:ascii="ITC Avant Garde" w:hAnsi="ITC Avant Garde"/>
                <w:color w:val="000000"/>
              </w:rPr>
              <w:t>SCD (coubicación nueva)</w:t>
            </w:r>
          </w:p>
        </w:tc>
        <w:tc>
          <w:tcPr>
            <w:tcW w:w="1228" w:type="dxa"/>
            <w:tcBorders>
              <w:top w:val="single" w:sz="4" w:space="0" w:color="auto"/>
              <w:left w:val="nil"/>
              <w:bottom w:val="single" w:sz="4" w:space="0" w:color="auto"/>
              <w:right w:val="nil"/>
            </w:tcBorders>
            <w:shd w:val="clear" w:color="auto" w:fill="auto"/>
            <w:vAlign w:val="center"/>
            <w:hideMark/>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60</w:t>
            </w:r>
          </w:p>
        </w:tc>
        <w:tc>
          <w:tcPr>
            <w:tcW w:w="1249" w:type="dxa"/>
            <w:tcBorders>
              <w:top w:val="single" w:sz="4" w:space="0" w:color="auto"/>
              <w:left w:val="nil"/>
              <w:bottom w:val="single" w:sz="4" w:space="0" w:color="auto"/>
              <w:right w:val="nil"/>
            </w:tcBorders>
            <w:shd w:val="clear" w:color="auto" w:fill="auto"/>
            <w:vAlign w:val="center"/>
            <w:hideMark/>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90</w:t>
            </w:r>
          </w:p>
        </w:tc>
      </w:tr>
      <w:tr w:rsidR="004D19CF" w:rsidRPr="00A81133" w:rsidTr="002639FD">
        <w:trPr>
          <w:trHeight w:val="356"/>
          <w:jc w:val="center"/>
        </w:trPr>
        <w:tc>
          <w:tcPr>
            <w:tcW w:w="5198" w:type="dxa"/>
            <w:tcBorders>
              <w:top w:val="nil"/>
              <w:left w:val="nil"/>
              <w:bottom w:val="single" w:sz="4" w:space="0" w:color="auto"/>
              <w:right w:val="nil"/>
            </w:tcBorders>
            <w:shd w:val="clear" w:color="auto" w:fill="auto"/>
            <w:vAlign w:val="center"/>
            <w:hideMark/>
          </w:tcPr>
          <w:p w:rsidR="004D19CF" w:rsidRPr="00A81133" w:rsidRDefault="004D19CF" w:rsidP="004D19CF">
            <w:pPr>
              <w:spacing w:after="0" w:line="240" w:lineRule="auto"/>
              <w:rPr>
                <w:rFonts w:ascii="ITC Avant Garde" w:hAnsi="ITC Avant Garde"/>
                <w:color w:val="000000"/>
              </w:rPr>
            </w:pPr>
            <w:r w:rsidRPr="00A81133">
              <w:rPr>
                <w:rFonts w:ascii="ITC Avant Garde" w:hAnsi="ITC Avant Garde"/>
                <w:color w:val="000000"/>
              </w:rPr>
              <w:t>SCD (modificación de coubicación existente)</w:t>
            </w:r>
          </w:p>
        </w:tc>
        <w:tc>
          <w:tcPr>
            <w:tcW w:w="1228" w:type="dxa"/>
            <w:tcBorders>
              <w:top w:val="nil"/>
              <w:left w:val="nil"/>
              <w:bottom w:val="single" w:sz="4" w:space="0" w:color="auto"/>
              <w:right w:val="nil"/>
            </w:tcBorders>
            <w:shd w:val="clear" w:color="auto" w:fill="auto"/>
            <w:vAlign w:val="center"/>
            <w:hideMark/>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30</w:t>
            </w:r>
          </w:p>
        </w:tc>
        <w:tc>
          <w:tcPr>
            <w:tcW w:w="1249" w:type="dxa"/>
            <w:tcBorders>
              <w:top w:val="nil"/>
              <w:left w:val="nil"/>
              <w:bottom w:val="single" w:sz="4" w:space="0" w:color="auto"/>
              <w:right w:val="nil"/>
            </w:tcBorders>
            <w:shd w:val="clear" w:color="auto" w:fill="auto"/>
            <w:vAlign w:val="center"/>
            <w:hideMark/>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45</w:t>
            </w:r>
          </w:p>
        </w:tc>
      </w:tr>
      <w:tr w:rsidR="004D19CF" w:rsidRPr="00A81133" w:rsidTr="002639FD">
        <w:trPr>
          <w:trHeight w:val="356"/>
          <w:jc w:val="center"/>
        </w:trPr>
        <w:tc>
          <w:tcPr>
            <w:tcW w:w="5198" w:type="dxa"/>
            <w:tcBorders>
              <w:top w:val="nil"/>
              <w:left w:val="nil"/>
              <w:bottom w:val="single" w:sz="4" w:space="0" w:color="auto"/>
              <w:right w:val="nil"/>
            </w:tcBorders>
            <w:shd w:val="clear" w:color="auto" w:fill="auto"/>
            <w:vAlign w:val="center"/>
            <w:hideMark/>
          </w:tcPr>
          <w:p w:rsidR="004D19CF" w:rsidRPr="00A81133" w:rsidRDefault="004D19CF" w:rsidP="004D19CF">
            <w:pPr>
              <w:spacing w:after="0" w:line="240" w:lineRule="auto"/>
              <w:rPr>
                <w:rFonts w:ascii="ITC Avant Garde" w:hAnsi="ITC Avant Garde"/>
                <w:color w:val="000000"/>
              </w:rPr>
            </w:pPr>
            <w:r w:rsidRPr="00A81133">
              <w:rPr>
                <w:rFonts w:ascii="ITC Avant Garde" w:hAnsi="ITC Avant Garde"/>
                <w:color w:val="000000"/>
              </w:rPr>
              <w:t>SCD (reasignación, recuperación de espacio y reubicación por cierre de Centrales Telefónicas)</w:t>
            </w:r>
          </w:p>
        </w:tc>
        <w:tc>
          <w:tcPr>
            <w:tcW w:w="1228" w:type="dxa"/>
            <w:tcBorders>
              <w:top w:val="nil"/>
              <w:left w:val="nil"/>
              <w:bottom w:val="single" w:sz="4" w:space="0" w:color="auto"/>
              <w:right w:val="nil"/>
            </w:tcBorders>
            <w:shd w:val="clear" w:color="auto" w:fill="auto"/>
            <w:vAlign w:val="center"/>
            <w:hideMark/>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Plazo pactado</w:t>
            </w:r>
          </w:p>
        </w:tc>
        <w:tc>
          <w:tcPr>
            <w:tcW w:w="1249" w:type="dxa"/>
            <w:tcBorders>
              <w:top w:val="nil"/>
              <w:left w:val="nil"/>
              <w:bottom w:val="single" w:sz="4" w:space="0" w:color="auto"/>
              <w:right w:val="nil"/>
            </w:tcBorders>
            <w:shd w:val="clear" w:color="auto" w:fill="auto"/>
            <w:vAlign w:val="center"/>
            <w:hideMark/>
          </w:tcPr>
          <w:p w:rsidR="004D19CF" w:rsidRPr="00A81133" w:rsidRDefault="004D19CF" w:rsidP="004D19CF">
            <w:pPr>
              <w:spacing w:after="0" w:line="240" w:lineRule="auto"/>
              <w:jc w:val="center"/>
              <w:rPr>
                <w:rFonts w:ascii="ITC Avant Garde" w:hAnsi="ITC Avant Garde"/>
                <w:color w:val="000000"/>
              </w:rPr>
            </w:pPr>
            <w:r w:rsidRPr="00A81133">
              <w:rPr>
                <w:rFonts w:ascii="ITC Avant Garde" w:hAnsi="ITC Avant Garde"/>
                <w:color w:val="000000"/>
              </w:rPr>
              <w:t>50% extra del plazo pactado</w:t>
            </w:r>
          </w:p>
        </w:tc>
      </w:tr>
    </w:tbl>
    <w:p w:rsidR="0018795A" w:rsidRPr="00A81133" w:rsidRDefault="0018795A" w:rsidP="00D02029">
      <w:pPr>
        <w:pStyle w:val="IFTnormal"/>
      </w:pPr>
    </w:p>
    <w:p w:rsidR="0018795A" w:rsidRPr="00A81133" w:rsidRDefault="0018795A" w:rsidP="0018795A">
      <w:pPr>
        <w:pStyle w:val="IFTnormal"/>
      </w:pPr>
      <w:r w:rsidRPr="00A81133">
        <w:t>En caso de retrasos en los plazos de entrega de los servicios, los CS podrán cancelar el servicio sin que ello exima a Telmex del pago de las penas convencionales acumuladas al momento de la cancelación.</w:t>
      </w:r>
    </w:p>
    <w:p w:rsidR="0018795A" w:rsidRPr="00A81133" w:rsidRDefault="0018795A" w:rsidP="00D02029">
      <w:pPr>
        <w:pStyle w:val="IFTnormal"/>
      </w:pPr>
    </w:p>
    <w:p w:rsidR="00F57414" w:rsidRPr="00A81133" w:rsidRDefault="006053FF" w:rsidP="00D02029">
      <w:pPr>
        <w:pStyle w:val="IFTnormal"/>
      </w:pPr>
      <w:r>
        <w:t>L</w:t>
      </w:r>
      <w:r w:rsidR="00F57414" w:rsidRPr="00A81133">
        <w:t xml:space="preserve">os parámetros e Indicadores de calidad sobre habilitación del servicio con servicio no activo (ya sea que cuente con acometida o no cuente con </w:t>
      </w:r>
      <w:r w:rsidR="00331009" w:rsidRPr="00A81133">
        <w:t>ella,</w:t>
      </w:r>
      <w:r w:rsidR="00F57414" w:rsidRPr="00A81133">
        <w:t xml:space="preserve"> pero sí con recursos de red), aplicables a </w:t>
      </w:r>
      <w:r w:rsidR="00726F6C" w:rsidRPr="00A81133">
        <w:t>SRL</w:t>
      </w:r>
      <w:r w:rsidR="00C343DE" w:rsidRPr="00A81133">
        <w:t xml:space="preserve"> SRI, SRPI,</w:t>
      </w:r>
      <w:r w:rsidR="00AB2045">
        <w:t xml:space="preserve"> SRMLT,</w:t>
      </w:r>
      <w:r w:rsidR="00C343DE" w:rsidRPr="00A81133">
        <w:t xml:space="preserve"> SAIB</w:t>
      </w:r>
      <w:r w:rsidR="00E72512" w:rsidRPr="00A81133">
        <w:t>,</w:t>
      </w:r>
      <w:r w:rsidR="00C343DE" w:rsidRPr="00A81133">
        <w:t xml:space="preserve"> SDTBL, SDCBL, SDCSBL y</w:t>
      </w:r>
      <w:r w:rsidR="00F57414" w:rsidRPr="00A81133">
        <w:t xml:space="preserve"> SDTSBL</w:t>
      </w:r>
      <w:r>
        <w:t>, son</w:t>
      </w:r>
      <w:r w:rsidR="00C343DE" w:rsidRPr="00A81133">
        <w:t>:</w:t>
      </w:r>
    </w:p>
    <w:p w:rsidR="00752E75" w:rsidRPr="00A81133" w:rsidRDefault="00752E75" w:rsidP="00D02029">
      <w:pPr>
        <w:pStyle w:val="IFTnormal"/>
        <w:numPr>
          <w:ilvl w:val="0"/>
          <w:numId w:val="9"/>
        </w:numPr>
      </w:pPr>
      <w:r w:rsidRPr="00A81133">
        <w:t>Habilitación para usuarios nuevos con acometida o recursos de red el día indicado por el CS en la solicitud.</w:t>
      </w:r>
    </w:p>
    <w:p w:rsidR="00BB452B" w:rsidRPr="00A81133" w:rsidRDefault="00BB452B" w:rsidP="00BB452B">
      <w:pPr>
        <w:pStyle w:val="IFTnormal"/>
      </w:pPr>
      <w:r w:rsidRPr="00A81133">
        <w:lastRenderedPageBreak/>
        <w:t>Serán acreedores de una pena los eventos que se realicen posteriormente a la fecha que el CS indique en la solicitud, calculada según lo siguiente:</w:t>
      </w:r>
    </w:p>
    <w:p w:rsidR="00BB452B" w:rsidRPr="00A81133" w:rsidRDefault="00BB452B" w:rsidP="00BB452B">
      <w:pPr>
        <w:pStyle w:val="IFTnormal"/>
        <w:numPr>
          <w:ilvl w:val="0"/>
          <w:numId w:val="2"/>
        </w:numPr>
      </w:pPr>
      <w:r w:rsidRPr="00A81133">
        <w:t>Habilitación para usuarios nuevos en la fecha indicada por el CS: 90%.</w:t>
      </w:r>
    </w:p>
    <w:p w:rsidR="00BB452B" w:rsidRPr="00A81133" w:rsidRDefault="00BB452B" w:rsidP="00BB452B">
      <w:pPr>
        <w:pStyle w:val="IFTnormal"/>
        <w:numPr>
          <w:ilvl w:val="0"/>
          <w:numId w:val="2"/>
        </w:numPr>
      </w:pPr>
      <w:r w:rsidRPr="00A81133">
        <w:t>En caso de que no se cumpla el 90% del indicador. Serán acreedores de una pena la totalidad de los eventos que superen los 2 días hábiles adicionales y se aplicará una pena conforme a lo siguiente:</w:t>
      </w:r>
    </w:p>
    <w:p w:rsidR="00BB452B" w:rsidRPr="00A81133" w:rsidRDefault="00BB452B" w:rsidP="00BB452B">
      <w:pPr>
        <w:pStyle w:val="IFTnormal"/>
        <w:jc w:val="center"/>
        <w:rPr>
          <w:i/>
        </w:rPr>
      </w:pPr>
      <w:r w:rsidRPr="00A81133">
        <w:rPr>
          <w:i/>
        </w:rPr>
        <w:t xml:space="preserve">Pena = Gasto de habilitación del servicio </w:t>
      </w:r>
    </w:p>
    <w:p w:rsidR="00100D1D" w:rsidRPr="00A81133" w:rsidRDefault="00100D1D" w:rsidP="00D02029">
      <w:pPr>
        <w:pStyle w:val="IFTnormal"/>
        <w:rPr>
          <w:i/>
        </w:rPr>
      </w:pPr>
      <w:r w:rsidRPr="00A81133">
        <w:t xml:space="preserve">En estos casos el CS </w:t>
      </w:r>
      <w:proofErr w:type="gramStart"/>
      <w:r w:rsidR="0033109A" w:rsidRPr="00A81133">
        <w:t>re-</w:t>
      </w:r>
      <w:r w:rsidRPr="00A81133">
        <w:t>agendará</w:t>
      </w:r>
      <w:proofErr w:type="gramEnd"/>
      <w:r w:rsidRPr="00A81133">
        <w:t xml:space="preserve"> la cita</w:t>
      </w:r>
      <w:r w:rsidR="008F1DF6" w:rsidRPr="00A81133">
        <w:t xml:space="preserve"> o podrá cancelar el servicio</w:t>
      </w:r>
      <w:r w:rsidRPr="00A81133">
        <w:t xml:space="preserve"> y </w:t>
      </w:r>
      <w:r w:rsidR="00013E57" w:rsidRPr="00A81133">
        <w:t xml:space="preserve">Telmex no cobrará la habilitación del servicio. </w:t>
      </w:r>
    </w:p>
    <w:p w:rsidR="00100206" w:rsidRPr="00A81133" w:rsidRDefault="00100206" w:rsidP="00D02029">
      <w:pPr>
        <w:pStyle w:val="IFTnormal"/>
        <w:rPr>
          <w:u w:val="single"/>
        </w:rPr>
      </w:pPr>
      <w:r w:rsidRPr="00A81133">
        <w:rPr>
          <w:u w:val="single"/>
        </w:rPr>
        <w:t>Contabilización de plazos</w:t>
      </w:r>
    </w:p>
    <w:p w:rsidR="00100206" w:rsidRPr="00A81133" w:rsidRDefault="00100206" w:rsidP="00D02029">
      <w:pPr>
        <w:pStyle w:val="IFTnormal"/>
      </w:pPr>
      <w:proofErr w:type="gramStart"/>
      <w:r w:rsidRPr="00A81133">
        <w:rPr>
          <w:b/>
        </w:rPr>
        <w:t>Total</w:t>
      </w:r>
      <w:proofErr w:type="gramEnd"/>
      <w:r w:rsidRPr="00A81133">
        <w:rPr>
          <w:b/>
        </w:rPr>
        <w:t xml:space="preserve"> de Días Utilizados (TDU):</w:t>
      </w:r>
      <w:r w:rsidRPr="00A81133">
        <w:t xml:space="preserve"> se refiere a los días hábiles completos empleados para aprovisionar un servicio, contabilizados a partir de la solicitud conforme al cómputo descrito más adelante, menos los días en los que Telmex no haya tenido responsabilidad por la postergación de la entrega. </w:t>
      </w:r>
    </w:p>
    <w:p w:rsidR="00100206" w:rsidRPr="00A81133" w:rsidRDefault="00100206" w:rsidP="00D02029">
      <w:pPr>
        <w:pStyle w:val="IFTnormal"/>
      </w:pPr>
      <w:r w:rsidRPr="00A81133">
        <w:t xml:space="preserve">Se considerará que Telmex está exento de responsabilidad cuando el aprovisionamiento no haya podido concluirse por alguno de los siguientes casos enunciativos más no limitativos: </w:t>
      </w:r>
    </w:p>
    <w:p w:rsidR="00100206" w:rsidRPr="00A81133" w:rsidRDefault="00100206" w:rsidP="00D02029">
      <w:pPr>
        <w:pStyle w:val="IFTnormal"/>
        <w:numPr>
          <w:ilvl w:val="0"/>
          <w:numId w:val="10"/>
        </w:numPr>
      </w:pPr>
      <w:r w:rsidRPr="00A81133">
        <w:t>Que no existan condiciones de seguridad para que el personal realice las actividades necesarias para los aprovisionamientos.</w:t>
      </w:r>
    </w:p>
    <w:p w:rsidR="00100206" w:rsidRPr="00A81133" w:rsidRDefault="00100206" w:rsidP="00D02029">
      <w:pPr>
        <w:pStyle w:val="IFTnormal"/>
        <w:numPr>
          <w:ilvl w:val="0"/>
          <w:numId w:val="10"/>
        </w:numPr>
      </w:pPr>
      <w:r w:rsidRPr="00A81133">
        <w:t>Se impidan las actividades necesarias para la realización del aprovisionamiento, ya sea por la falta de acceso al punto necesario, como al domicilio del CS o su cliente, o cuando las condiciones de infraestructura, disponibilidad y recursos ajenas a Telmex</w:t>
      </w:r>
      <w:r w:rsidR="00657206" w:rsidRPr="00A81133">
        <w:t xml:space="preserve"> y/o casos fortuitos o de fuerza mayor</w:t>
      </w:r>
      <w:r w:rsidRPr="00A81133">
        <w:t>, no lo permitan.</w:t>
      </w:r>
    </w:p>
    <w:p w:rsidR="00100206" w:rsidRPr="00A81133" w:rsidRDefault="00100206" w:rsidP="00D02029">
      <w:pPr>
        <w:pStyle w:val="IFTnormal"/>
      </w:pPr>
      <w:r w:rsidRPr="00A81133">
        <w:t>Para el cómputo del TDU se consideran los siguientes puntos:</w:t>
      </w:r>
    </w:p>
    <w:p w:rsidR="00100206" w:rsidRPr="00A81133" w:rsidRDefault="00100206" w:rsidP="00D02029">
      <w:pPr>
        <w:pStyle w:val="IFTnormal"/>
        <w:numPr>
          <w:ilvl w:val="0"/>
          <w:numId w:val="11"/>
        </w:numPr>
        <w:rPr>
          <w:rFonts w:cs="Arial"/>
        </w:rPr>
      </w:pPr>
      <w:r w:rsidRPr="00A81133">
        <w:t xml:space="preserve">Las solicitudes ingresadas en un horario de 9:00 a 14:00 horas se considerarán con fecha de inicio del proceso el mismo día hábil. Las solicitudes que se reciban después de ese </w:t>
      </w:r>
      <w:r w:rsidR="00331009" w:rsidRPr="00A81133">
        <w:t>horario</w:t>
      </w:r>
      <w:r w:rsidRPr="00A81133">
        <w:t xml:space="preserve"> </w:t>
      </w:r>
      <w:r w:rsidRPr="00A81133">
        <w:rPr>
          <w:b/>
        </w:rPr>
        <w:t>se contabilizarán a partir del siguiente día hábil</w:t>
      </w:r>
      <w:r w:rsidRPr="00A81133">
        <w:t>.</w:t>
      </w:r>
    </w:p>
    <w:p w:rsidR="00357BFD" w:rsidRPr="00A81133" w:rsidRDefault="00100206" w:rsidP="00D02029">
      <w:pPr>
        <w:pStyle w:val="IFTnormal"/>
        <w:numPr>
          <w:ilvl w:val="0"/>
          <w:numId w:val="11"/>
        </w:numPr>
        <w:rPr>
          <w:rFonts w:cs="Arial"/>
        </w:rPr>
      </w:pPr>
      <w:r w:rsidRPr="00A81133">
        <w:rPr>
          <w:rFonts w:cs="Arial"/>
        </w:rPr>
        <w:t xml:space="preserve">Las penas convencionales serán calculadas </w:t>
      </w:r>
      <w:r w:rsidR="00EB6321" w:rsidRPr="00A81133">
        <w:rPr>
          <w:rFonts w:cs="Arial"/>
        </w:rPr>
        <w:t>b</w:t>
      </w:r>
      <w:r w:rsidRPr="00A81133">
        <w:rPr>
          <w:rFonts w:cs="Arial"/>
        </w:rPr>
        <w:t xml:space="preserve">imestralmente por cada </w:t>
      </w:r>
      <w:r w:rsidR="00065546" w:rsidRPr="00A81133">
        <w:rPr>
          <w:rFonts w:cs="Arial"/>
        </w:rPr>
        <w:t>CS</w:t>
      </w:r>
      <w:r w:rsidRPr="00A81133">
        <w:rPr>
          <w:rFonts w:cs="Arial"/>
        </w:rPr>
        <w:t>, considerando sólo aquellos servicios donde se presentó incumplimiento.</w:t>
      </w:r>
    </w:p>
    <w:p w:rsidR="00357BFD" w:rsidRPr="00A81133" w:rsidRDefault="00100206" w:rsidP="00D02029">
      <w:pPr>
        <w:pStyle w:val="IFTnormal"/>
        <w:numPr>
          <w:ilvl w:val="0"/>
          <w:numId w:val="11"/>
        </w:numPr>
        <w:rPr>
          <w:rFonts w:cs="Arial"/>
        </w:rPr>
      </w:pPr>
      <w:r w:rsidRPr="00A81133">
        <w:rPr>
          <w:rFonts w:cs="Arial"/>
        </w:rPr>
        <w:lastRenderedPageBreak/>
        <w:t>Debido a la naturaleza del TDU, no es posible realizar redondeos, por lo que el TDU deberá corresponder a la parte entera de los días hábiles.</w:t>
      </w:r>
    </w:p>
    <w:p w:rsidR="00357BFD" w:rsidRPr="00A81133" w:rsidRDefault="00100206" w:rsidP="00D02029">
      <w:pPr>
        <w:pStyle w:val="IFTnormal"/>
        <w:numPr>
          <w:ilvl w:val="0"/>
          <w:numId w:val="11"/>
        </w:numPr>
        <w:rPr>
          <w:rFonts w:cs="Arial"/>
        </w:rPr>
      </w:pPr>
      <w:r w:rsidRPr="00A81133">
        <w:t>Si por causas atribuibles a Telmex</w:t>
      </w:r>
      <w:r w:rsidRPr="00A81133">
        <w:rPr>
          <w:rStyle w:val="Refdenotaalpie"/>
        </w:rPr>
        <w:footnoteReference w:id="4"/>
      </w:r>
      <w:r w:rsidRPr="00A81133">
        <w:t xml:space="preserve"> no fue factible realizar la prueba de la acometida, se informará al CS para que acuerde con Telmex la fecha de reprogramación de </w:t>
      </w:r>
      <w:proofErr w:type="gramStart"/>
      <w:r w:rsidRPr="00A81133">
        <w:t>la misma</w:t>
      </w:r>
      <w:proofErr w:type="gramEnd"/>
      <w:r w:rsidRPr="00A81133">
        <w:t>, debiendo Tel</w:t>
      </w:r>
      <w:r w:rsidRPr="00A81133">
        <w:rPr>
          <w:rFonts w:cs="Arial"/>
        </w:rPr>
        <w:t xml:space="preserve">mex asumir los costos de la visita </w:t>
      </w:r>
      <w:r w:rsidR="00331009" w:rsidRPr="00A81133">
        <w:rPr>
          <w:rFonts w:cs="Arial"/>
        </w:rPr>
        <w:t>reprogramada,</w:t>
      </w:r>
      <w:r w:rsidR="00885C36" w:rsidRPr="00A81133">
        <w:rPr>
          <w:rFonts w:cs="Arial"/>
        </w:rPr>
        <w:t xml:space="preserve"> así como l</w:t>
      </w:r>
      <w:r w:rsidR="00A53D84" w:rsidRPr="00A81133">
        <w:rPr>
          <w:rFonts w:cs="Arial"/>
        </w:rPr>
        <w:t>a</w:t>
      </w:r>
      <w:r w:rsidR="00885C36" w:rsidRPr="00A81133">
        <w:rPr>
          <w:rFonts w:cs="Arial"/>
        </w:rPr>
        <w:t xml:space="preserve"> pena asociada</w:t>
      </w:r>
      <w:r w:rsidRPr="00A81133">
        <w:rPr>
          <w:rFonts w:cs="Arial"/>
        </w:rPr>
        <w:t>.</w:t>
      </w:r>
    </w:p>
    <w:p w:rsidR="00100206" w:rsidRPr="00A81133" w:rsidRDefault="00100206" w:rsidP="00D02029">
      <w:pPr>
        <w:pStyle w:val="IFTnormal"/>
        <w:rPr>
          <w:u w:val="single"/>
        </w:rPr>
      </w:pPr>
      <w:r w:rsidRPr="00A81133">
        <w:rPr>
          <w:u w:val="single"/>
        </w:rPr>
        <w:t>Atención de reportes de incidencias</w:t>
      </w:r>
    </w:p>
    <w:p w:rsidR="00100206" w:rsidRPr="00A81133" w:rsidRDefault="00100206" w:rsidP="00D02029">
      <w:pPr>
        <w:pStyle w:val="IFTnormal"/>
        <w:rPr>
          <w:rFonts w:cs="Arial"/>
        </w:rPr>
      </w:pPr>
      <w:r w:rsidRPr="00A81133">
        <w:t xml:space="preserve">Por cada incidencia </w:t>
      </w:r>
      <w:r w:rsidR="001A07D0">
        <w:t>o</w:t>
      </w:r>
      <w:r w:rsidR="001A07D0" w:rsidRPr="00A81133">
        <w:t xml:space="preserve"> </w:t>
      </w:r>
      <w:r w:rsidRPr="00A81133">
        <w:t>falla no resuelta p</w:t>
      </w:r>
      <w:r w:rsidRPr="00A81133">
        <w:rPr>
          <w:rFonts w:cs="Arial"/>
        </w:rPr>
        <w:t xml:space="preserve">ara los servicios de desagregación </w:t>
      </w:r>
      <w:r w:rsidR="00E72512" w:rsidRPr="00A81133">
        <w:rPr>
          <w:rFonts w:cs="Arial"/>
        </w:rPr>
        <w:t>(SRL, SRI, SRP, SAIB</w:t>
      </w:r>
      <w:r w:rsidR="008F314B" w:rsidRPr="00A81133">
        <w:rPr>
          <w:rFonts w:cs="Arial"/>
        </w:rPr>
        <w:t>,</w:t>
      </w:r>
      <w:r w:rsidRPr="00A81133">
        <w:rPr>
          <w:rFonts w:cs="Arial"/>
        </w:rPr>
        <w:t xml:space="preserve"> SDTBL, SDCBL, SDCSBL, SDTSBL</w:t>
      </w:r>
      <w:r w:rsidR="00393F3D" w:rsidRPr="00A81133">
        <w:rPr>
          <w:rFonts w:cs="Arial"/>
        </w:rPr>
        <w:t xml:space="preserve"> y</w:t>
      </w:r>
      <w:r w:rsidR="00C3081A" w:rsidRPr="00A81133">
        <w:rPr>
          <w:rFonts w:cs="Arial"/>
        </w:rPr>
        <w:t xml:space="preserve"> </w:t>
      </w:r>
      <w:r w:rsidR="0018795A" w:rsidRPr="00A81133">
        <w:rPr>
          <w:rFonts w:cs="Arial"/>
        </w:rPr>
        <w:t>servicio de cableado multipar interno y externo</w:t>
      </w:r>
      <w:r w:rsidRPr="00A81133">
        <w:rPr>
          <w:rFonts w:cs="Arial"/>
        </w:rPr>
        <w:t xml:space="preserve">) en los plazos indicados, se aplicará una penalización equivalente a 1 día de la renta mensual, por cada día hábil completo de retraso en la solución de la falla </w:t>
      </w:r>
      <w:r w:rsidR="00870A0E">
        <w:rPr>
          <w:rFonts w:cs="Arial"/>
        </w:rPr>
        <w:t xml:space="preserve">o incidencia, </w:t>
      </w:r>
      <w:r w:rsidRPr="00A81133">
        <w:rPr>
          <w:rFonts w:cs="Arial"/>
        </w:rPr>
        <w:t xml:space="preserve">de acuerdo </w:t>
      </w:r>
      <w:r w:rsidR="00870A0E">
        <w:rPr>
          <w:rFonts w:cs="Arial"/>
        </w:rPr>
        <w:t>con</w:t>
      </w:r>
      <w:r w:rsidR="00870A0E" w:rsidRPr="00A81133">
        <w:rPr>
          <w:rFonts w:cs="Arial"/>
        </w:rPr>
        <w:t xml:space="preserve"> </w:t>
      </w:r>
      <w:r w:rsidRPr="00A81133">
        <w:rPr>
          <w:rFonts w:cs="Arial"/>
        </w:rPr>
        <w:t>los siguientes porcentajes de cumplimiento:</w:t>
      </w:r>
    </w:p>
    <w:p w:rsidR="00100206" w:rsidRPr="00A81133" w:rsidRDefault="00100206" w:rsidP="00D02029">
      <w:pPr>
        <w:pStyle w:val="IFTnormal"/>
        <w:numPr>
          <w:ilvl w:val="0"/>
          <w:numId w:val="12"/>
        </w:numPr>
      </w:pPr>
      <w:r w:rsidRPr="00A81133">
        <w:t>8</w:t>
      </w:r>
      <w:r w:rsidR="008F314B" w:rsidRPr="00A81133">
        <w:t>2</w:t>
      </w:r>
      <w:r w:rsidRPr="00A81133">
        <w:t>% de reparación en el mismo día hábil</w:t>
      </w:r>
    </w:p>
    <w:p w:rsidR="00100206" w:rsidRPr="00A81133" w:rsidRDefault="00100206" w:rsidP="00D02029">
      <w:pPr>
        <w:pStyle w:val="IFTnormal"/>
        <w:numPr>
          <w:ilvl w:val="0"/>
          <w:numId w:val="12"/>
        </w:numPr>
      </w:pPr>
      <w:r w:rsidRPr="00A81133">
        <w:t>9</w:t>
      </w:r>
      <w:r w:rsidR="008F314B" w:rsidRPr="00A81133">
        <w:t>4</w:t>
      </w:r>
      <w:r w:rsidRPr="00A81133">
        <w:t xml:space="preserve">% de reparaciones en un plazo máximo de tres días hábiles </w:t>
      </w:r>
    </w:p>
    <w:p w:rsidR="00100206" w:rsidRPr="00A81133" w:rsidRDefault="008F314B" w:rsidP="00D02029">
      <w:pPr>
        <w:pStyle w:val="IFTnormal"/>
        <w:numPr>
          <w:ilvl w:val="0"/>
          <w:numId w:val="12"/>
        </w:numPr>
      </w:pPr>
      <w:r w:rsidRPr="00A81133">
        <w:t>6</w:t>
      </w:r>
      <w:r w:rsidR="00100206" w:rsidRPr="00A81133">
        <w:t>% restante no excederá 10 días hábiles.</w:t>
      </w:r>
    </w:p>
    <w:p w:rsidR="00100206" w:rsidRPr="00A81133" w:rsidRDefault="00100206" w:rsidP="00D02029">
      <w:pPr>
        <w:pStyle w:val="IFTnormal"/>
        <w:rPr>
          <w:u w:val="single"/>
        </w:rPr>
      </w:pPr>
      <w:r w:rsidRPr="00A81133">
        <w:rPr>
          <w:u w:val="single"/>
        </w:rPr>
        <w:t>Determinación de Pena Convencional</w:t>
      </w:r>
    </w:p>
    <w:p w:rsidR="00FE5A71" w:rsidRPr="00A81133" w:rsidRDefault="00100206" w:rsidP="00D02029">
      <w:pPr>
        <w:pStyle w:val="IFTnormal"/>
      </w:pPr>
      <w:r w:rsidRPr="00A81133">
        <w:t xml:space="preserve">Dado que la aplicación se realizará de forma </w:t>
      </w:r>
      <w:r w:rsidR="00EB6321" w:rsidRPr="00A81133">
        <w:t xml:space="preserve">bimestral </w:t>
      </w:r>
      <w:r w:rsidRPr="00A81133">
        <w:t>vencida, con los datos históricos, la regla de aplicación será la siguiente:</w:t>
      </w:r>
    </w:p>
    <w:p w:rsidR="00FE5A71" w:rsidRPr="00A81133" w:rsidRDefault="00FE5A71" w:rsidP="00D02029">
      <w:pPr>
        <w:pStyle w:val="IFTnormal"/>
        <w:numPr>
          <w:ilvl w:val="0"/>
          <w:numId w:val="13"/>
        </w:numPr>
      </w:pPr>
      <w:r w:rsidRPr="00A81133">
        <w:t>En caso de que no se cumpla el 8</w:t>
      </w:r>
      <w:r w:rsidR="008F314B" w:rsidRPr="00A81133">
        <w:t>2</w:t>
      </w:r>
      <w:r w:rsidRPr="00A81133">
        <w:t xml:space="preserve">% del indicador. Serán acreedores de una pena la totalidad de los eventos que superen 1 días hábiles y se aplicará una pena de </w:t>
      </w:r>
      <w:r w:rsidR="00072607" w:rsidRPr="00A81133">
        <w:t>10</w:t>
      </w:r>
      <w:r w:rsidRPr="00A81133">
        <w:t>% del valor de la renta mensual al servicio que está asociada la solicitud</w:t>
      </w:r>
      <w:r w:rsidR="00072607" w:rsidRPr="00A81133">
        <w:t xml:space="preserve"> por cada día de retraso</w:t>
      </w:r>
      <w:r w:rsidRPr="00A81133">
        <w:t>.</w:t>
      </w:r>
    </w:p>
    <w:p w:rsidR="00072607" w:rsidRPr="00A81133" w:rsidRDefault="00FE5A71" w:rsidP="00D02029">
      <w:pPr>
        <w:pStyle w:val="IFTnormal"/>
        <w:numPr>
          <w:ilvl w:val="0"/>
          <w:numId w:val="13"/>
        </w:numPr>
      </w:pPr>
      <w:r w:rsidRPr="00A81133">
        <w:t>En caso de que</w:t>
      </w:r>
      <w:r w:rsidR="00072607" w:rsidRPr="00A81133">
        <w:t xml:space="preserve"> se cumpl</w:t>
      </w:r>
      <w:r w:rsidR="008F314B" w:rsidRPr="00A81133">
        <w:t>a</w:t>
      </w:r>
      <w:r w:rsidR="00072607" w:rsidRPr="00A81133">
        <w:t xml:space="preserve"> el 8</w:t>
      </w:r>
      <w:r w:rsidR="008F314B" w:rsidRPr="00A81133">
        <w:t>2</w:t>
      </w:r>
      <w:r w:rsidRPr="00A81133">
        <w:t xml:space="preserve">% del </w:t>
      </w:r>
      <w:r w:rsidR="00331009" w:rsidRPr="00A81133">
        <w:t>indicador,</w:t>
      </w:r>
      <w:r w:rsidR="00072607" w:rsidRPr="00A81133">
        <w:t xml:space="preserve"> pero no con el 9</w:t>
      </w:r>
      <w:r w:rsidR="008F314B" w:rsidRPr="00A81133">
        <w:t>4</w:t>
      </w:r>
      <w:r w:rsidR="00072607" w:rsidRPr="00A81133">
        <w:t>%</w:t>
      </w:r>
      <w:r w:rsidRPr="00A81133">
        <w:t xml:space="preserve">.  Serán acreedores de una pena la totalidad de los eventos que superen </w:t>
      </w:r>
      <w:r w:rsidR="00072607" w:rsidRPr="00A81133">
        <w:t>los 3</w:t>
      </w:r>
      <w:r w:rsidRPr="00A81133">
        <w:t xml:space="preserve"> días hábiles y se aplicará una pena </w:t>
      </w:r>
      <w:r w:rsidR="001E173B" w:rsidRPr="00A81133">
        <w:t>de 10%</w:t>
      </w:r>
      <w:r w:rsidRPr="00A81133">
        <w:t xml:space="preserve"> del valor de la renta mensual al servicio que está asociada la soli</w:t>
      </w:r>
      <w:r w:rsidR="00072607" w:rsidRPr="00A81133">
        <w:t>citud por cada día de retraso</w:t>
      </w:r>
      <w:r w:rsidR="001E173B" w:rsidRPr="00A81133">
        <w:t xml:space="preserve"> más </w:t>
      </w:r>
      <w:r w:rsidR="00061A11" w:rsidRPr="00A81133">
        <w:t>un 30% fijo.</w:t>
      </w:r>
    </w:p>
    <w:p w:rsidR="00FE5A71" w:rsidRPr="00A81133" w:rsidRDefault="00072607" w:rsidP="00D02029">
      <w:pPr>
        <w:pStyle w:val="IFTnormal"/>
        <w:numPr>
          <w:ilvl w:val="0"/>
          <w:numId w:val="13"/>
        </w:numPr>
      </w:pPr>
      <w:r w:rsidRPr="00A81133">
        <w:t>En caso de que se cumpl</w:t>
      </w:r>
      <w:r w:rsidR="008F314B" w:rsidRPr="00A81133">
        <w:t>a</w:t>
      </w:r>
      <w:r w:rsidRPr="00A81133">
        <w:t xml:space="preserve"> el 8</w:t>
      </w:r>
      <w:r w:rsidR="008F314B" w:rsidRPr="00A81133">
        <w:t>2</w:t>
      </w:r>
      <w:r w:rsidRPr="00A81133">
        <w:t>% y se cumpla con el 9</w:t>
      </w:r>
      <w:r w:rsidR="008F314B" w:rsidRPr="00A81133">
        <w:t>4</w:t>
      </w:r>
      <w:r w:rsidRPr="00A81133">
        <w:t xml:space="preserve">%.  Serán acreedores de una pena la totalidad de los eventos que superen </w:t>
      </w:r>
      <w:r w:rsidR="00181F1F" w:rsidRPr="00A81133">
        <w:t>los 10</w:t>
      </w:r>
      <w:r w:rsidRPr="00A81133">
        <w:t xml:space="preserve"> días hábiles y se </w:t>
      </w:r>
      <w:r w:rsidRPr="00A81133">
        <w:lastRenderedPageBreak/>
        <w:t>aplicará una pena de 10</w:t>
      </w:r>
      <w:r w:rsidR="008A0104" w:rsidRPr="00A81133">
        <w:t>0</w:t>
      </w:r>
      <w:r w:rsidRPr="00A81133">
        <w:t>% del valor de la renta mensual al servicio que está asociada la soli</w:t>
      </w:r>
      <w:r w:rsidR="00F02AD7" w:rsidRPr="00A81133">
        <w:t xml:space="preserve">citud.  </w:t>
      </w:r>
    </w:p>
    <w:p w:rsidR="00861420" w:rsidRPr="00A81133" w:rsidRDefault="00861420" w:rsidP="00D02029">
      <w:pPr>
        <w:pStyle w:val="IFTnormal"/>
      </w:pPr>
      <w:r w:rsidRPr="00A81133">
        <w:t xml:space="preserve">En lo referente al servicio de </w:t>
      </w:r>
      <w:proofErr w:type="spellStart"/>
      <w:r w:rsidRPr="00A81133">
        <w:t>SCyD</w:t>
      </w:r>
      <w:proofErr w:type="spellEnd"/>
      <w:r w:rsidRPr="00A81133">
        <w:t xml:space="preserve"> la pena se aplicar</w:t>
      </w:r>
      <w:r w:rsidR="00195243">
        <w:t>á</w:t>
      </w:r>
      <w:r w:rsidRPr="00A81133">
        <w:t xml:space="preserve"> </w:t>
      </w:r>
      <w:r w:rsidR="00C2024E" w:rsidRPr="00A81133">
        <w:t>conforme a los siguientes indicadores</w:t>
      </w:r>
      <w:r w:rsidRPr="00A81133">
        <w:t>:</w:t>
      </w:r>
    </w:p>
    <w:p w:rsidR="00861420" w:rsidRPr="00A81133" w:rsidRDefault="00861420" w:rsidP="00D02029">
      <w:pPr>
        <w:pStyle w:val="IFTnormal"/>
        <w:numPr>
          <w:ilvl w:val="0"/>
          <w:numId w:val="14"/>
        </w:numPr>
      </w:pPr>
      <w:r w:rsidRPr="00A81133">
        <w:t xml:space="preserve">90% de reparación del servicio Local en 24 </w:t>
      </w:r>
      <w:proofErr w:type="spellStart"/>
      <w:r w:rsidRPr="00A81133">
        <w:t>hrs</w:t>
      </w:r>
      <w:proofErr w:type="spellEnd"/>
      <w:r w:rsidRPr="00A81133">
        <w:t>.</w:t>
      </w:r>
      <w:r w:rsidR="00C2024E" w:rsidRPr="00A81133">
        <w:t xml:space="preserve"> El 10% restante en un máximo de 36 </w:t>
      </w:r>
      <w:proofErr w:type="spellStart"/>
      <w:r w:rsidR="00C2024E" w:rsidRPr="00A81133">
        <w:t>hrs</w:t>
      </w:r>
      <w:proofErr w:type="spellEnd"/>
      <w:r w:rsidR="00C2024E" w:rsidRPr="00A81133">
        <w:t>.</w:t>
      </w:r>
      <w:r w:rsidRPr="00A81133">
        <w:t xml:space="preserve"> </w:t>
      </w:r>
    </w:p>
    <w:p w:rsidR="00861420" w:rsidRPr="00A81133" w:rsidRDefault="00861420" w:rsidP="00D02029">
      <w:pPr>
        <w:pStyle w:val="IFTnormal"/>
        <w:numPr>
          <w:ilvl w:val="0"/>
          <w:numId w:val="14"/>
        </w:numPr>
      </w:pPr>
      <w:r w:rsidRPr="00A81133">
        <w:t xml:space="preserve">90% de reparación del servicio Regional en 16 </w:t>
      </w:r>
      <w:proofErr w:type="spellStart"/>
      <w:r w:rsidRPr="00A81133">
        <w:t>hrs</w:t>
      </w:r>
      <w:proofErr w:type="spellEnd"/>
      <w:r w:rsidRPr="00A81133">
        <w:t xml:space="preserve">. </w:t>
      </w:r>
      <w:r w:rsidR="00C2024E" w:rsidRPr="00A81133">
        <w:t xml:space="preserve">El 10% restante en un máximo de 24 </w:t>
      </w:r>
      <w:proofErr w:type="spellStart"/>
      <w:r w:rsidR="00C2024E" w:rsidRPr="00A81133">
        <w:t>hrs</w:t>
      </w:r>
      <w:proofErr w:type="spellEnd"/>
      <w:r w:rsidR="00C2024E" w:rsidRPr="00A81133">
        <w:t>.</w:t>
      </w:r>
    </w:p>
    <w:p w:rsidR="00861420" w:rsidRPr="00A81133" w:rsidRDefault="00861420" w:rsidP="00D02029">
      <w:pPr>
        <w:pStyle w:val="IFTnormal"/>
        <w:numPr>
          <w:ilvl w:val="0"/>
          <w:numId w:val="14"/>
        </w:numPr>
      </w:pPr>
      <w:r w:rsidRPr="00A81133">
        <w:t xml:space="preserve">90% de reparación del servicio Nacional en 12 </w:t>
      </w:r>
      <w:proofErr w:type="spellStart"/>
      <w:r w:rsidRPr="00A81133">
        <w:t>hrs</w:t>
      </w:r>
      <w:proofErr w:type="spellEnd"/>
      <w:r w:rsidRPr="00A81133">
        <w:t xml:space="preserve">. </w:t>
      </w:r>
      <w:r w:rsidR="00C2024E" w:rsidRPr="00A81133">
        <w:t xml:space="preserve">El 10% restante en un máximo de 18 </w:t>
      </w:r>
      <w:proofErr w:type="spellStart"/>
      <w:r w:rsidR="00C2024E" w:rsidRPr="00A81133">
        <w:t>hrs</w:t>
      </w:r>
      <w:proofErr w:type="spellEnd"/>
      <w:r w:rsidR="00C2024E" w:rsidRPr="00A81133">
        <w:t>.</w:t>
      </w:r>
    </w:p>
    <w:p w:rsidR="00477DD7" w:rsidRPr="00A81133" w:rsidRDefault="00477DD7" w:rsidP="00D02029">
      <w:pPr>
        <w:pStyle w:val="IFTnormal"/>
      </w:pPr>
      <w:r w:rsidRPr="00A81133">
        <w:t>En lo referente al Servicio de Anexo de Caja de Distribución (incluyendo cableado multipar en sub-bucle)</w:t>
      </w:r>
      <w:r w:rsidR="00195243">
        <w:t>:</w:t>
      </w:r>
    </w:p>
    <w:p w:rsidR="007E4AFD" w:rsidRPr="00A81133" w:rsidRDefault="007E4AFD" w:rsidP="00D02029">
      <w:pPr>
        <w:pStyle w:val="IFTnormal"/>
        <w:numPr>
          <w:ilvl w:val="0"/>
          <w:numId w:val="15"/>
        </w:numPr>
      </w:pPr>
      <w:r w:rsidRPr="00A81133">
        <w:t>90% de reparación del servicio en u</w:t>
      </w:r>
      <w:r w:rsidR="00615861" w:rsidRPr="00A81133">
        <w:t>n</w:t>
      </w:r>
      <w:r w:rsidRPr="00A81133">
        <w:t xml:space="preserve"> máximo de 72 </w:t>
      </w:r>
      <w:proofErr w:type="spellStart"/>
      <w:r w:rsidRPr="00A81133">
        <w:t>hrs</w:t>
      </w:r>
      <w:proofErr w:type="spellEnd"/>
      <w:r w:rsidRPr="00A81133">
        <w:t xml:space="preserve">. El 10% restante en un máximo de 108 </w:t>
      </w:r>
      <w:proofErr w:type="spellStart"/>
      <w:r w:rsidRPr="00A81133">
        <w:t>hrs</w:t>
      </w:r>
      <w:proofErr w:type="spellEnd"/>
      <w:r w:rsidRPr="00A81133">
        <w:t xml:space="preserve">. </w:t>
      </w:r>
    </w:p>
    <w:p w:rsidR="00861420" w:rsidRPr="00A81133" w:rsidRDefault="00861420" w:rsidP="00D02029">
      <w:pPr>
        <w:pStyle w:val="IFTnormal"/>
      </w:pPr>
      <w:r w:rsidRPr="00A81133">
        <w:t>Para realizar las mediciones de estos indicadores, se considerarán los reportes levantados las 24 horas del día, dichos tiempos no aplicarán para los casos fortuitos o de fuerza mayor.</w:t>
      </w:r>
    </w:p>
    <w:p w:rsidR="006766DA" w:rsidRPr="00A81133" w:rsidRDefault="00D62027" w:rsidP="00D62027">
      <w:pPr>
        <w:pStyle w:val="IFTnormal"/>
      </w:pPr>
      <w:r w:rsidRPr="00A81133">
        <w:t xml:space="preserve">a) </w:t>
      </w:r>
      <w:r w:rsidR="006766DA" w:rsidRPr="00A81133">
        <w:t xml:space="preserve">En caso de que no se cumpla el 90% del indicador. Serán acreedores de una pena la totalidad de los eventos que superen las </w:t>
      </w:r>
      <w:r w:rsidR="007E4AFD" w:rsidRPr="00A81133">
        <w:t xml:space="preserve">72, </w:t>
      </w:r>
      <w:r w:rsidR="006766DA" w:rsidRPr="00A81133">
        <w:t xml:space="preserve">24, 16 o 12 </w:t>
      </w:r>
      <w:proofErr w:type="spellStart"/>
      <w:r w:rsidR="006766DA" w:rsidRPr="00A81133">
        <w:t>hrs</w:t>
      </w:r>
      <w:proofErr w:type="spellEnd"/>
      <w:r w:rsidR="006766DA" w:rsidRPr="00A81133">
        <w:t>. respectivamente y se aplicará una pena conforme a lo siguiente:</w:t>
      </w:r>
    </w:p>
    <w:p w:rsidR="006766DA" w:rsidRPr="00A81133" w:rsidRDefault="006F5D35" w:rsidP="006766DA">
      <w:pPr>
        <w:pStyle w:val="CondicionesFinales"/>
        <w:tabs>
          <w:tab w:val="left" w:pos="720"/>
        </w:tabs>
        <w:suppressAutoHyphens/>
        <w:ind w:left="1440"/>
        <w:jc w:val="left"/>
        <w:rPr>
          <w:szCs w:val="18"/>
        </w:rPr>
      </w:pPr>
      <m:oMathPara>
        <m:oMath>
          <m:r>
            <m:rPr>
              <m:nor/>
            </m:rPr>
            <w:rPr>
              <w:i/>
              <w:szCs w:val="18"/>
            </w:rPr>
            <m:t>Pena</m:t>
          </m:r>
          <m:r>
            <w:rPr>
              <w:rFonts w:ascii="Cambria Math" w:hAnsi="Cambria Math"/>
              <w:szCs w:val="18"/>
            </w:rPr>
            <m:t xml:space="preserve">= </m:t>
          </m:r>
          <m:box>
            <m:boxPr>
              <m:ctrlPr>
                <w:rPr>
                  <w:rFonts w:ascii="Cambria Math" w:hAnsi="Cambria Math"/>
                  <w:i/>
                  <w:szCs w:val="18"/>
                </w:rPr>
              </m:ctrlPr>
            </m:boxPr>
            <m:e>
              <m:argPr>
                <m:argSz m:val="-1"/>
              </m:argPr>
              <m:f>
                <m:fPr>
                  <m:ctrlPr>
                    <w:rPr>
                      <w:rFonts w:ascii="Cambria Math" w:hAnsi="Cambria Math"/>
                      <w:i/>
                      <w:szCs w:val="18"/>
                    </w:rPr>
                  </m:ctrlPr>
                </m:fPr>
                <m:num>
                  <m:r>
                    <m:rPr>
                      <m:nor/>
                    </m:rPr>
                    <w:rPr>
                      <w:i/>
                      <w:szCs w:val="18"/>
                    </w:rPr>
                    <m:t>TR</m:t>
                  </m:r>
                </m:num>
                <m:den>
                  <m:r>
                    <m:rPr>
                      <m:nor/>
                    </m:rPr>
                    <w:rPr>
                      <w:i/>
                      <w:szCs w:val="18"/>
                    </w:rPr>
                    <m:t>Tiempo Máximo</m:t>
                  </m:r>
                </m:den>
              </m:f>
            </m:e>
          </m:box>
          <m:r>
            <m:rPr>
              <m:nor/>
            </m:rPr>
            <w:rPr>
              <w:i/>
              <w:szCs w:val="18"/>
            </w:rPr>
            <m:t>% x</m:t>
          </m:r>
          <m:r>
            <w:rPr>
              <w:rFonts w:ascii="Cambria Math" w:hAnsi="Cambria Math"/>
              <w:szCs w:val="18"/>
            </w:rPr>
            <m:t xml:space="preserve"> </m:t>
          </m:r>
          <m:r>
            <m:rPr>
              <m:nor/>
            </m:rPr>
            <w:rPr>
              <w:i/>
              <w:szCs w:val="18"/>
            </w:rPr>
            <m:t>Renta Mensual</m:t>
          </m:r>
          <m:r>
            <w:rPr>
              <w:rFonts w:ascii="Cambria Math" w:hAnsi="Cambria Math"/>
              <w:szCs w:val="18"/>
            </w:rPr>
            <m:t xml:space="preserve"> </m:t>
          </m:r>
          <m:r>
            <m:rPr>
              <m:sty m:val="p"/>
            </m:rPr>
            <w:rPr>
              <w:rFonts w:ascii="Cambria Math" w:hAnsi="Cambria Math"/>
              <w:szCs w:val="18"/>
            </w:rPr>
            <w:br w:type="textWrapping" w:clear="all"/>
          </m:r>
        </m:oMath>
      </m:oMathPara>
    </w:p>
    <w:p w:rsidR="006766DA" w:rsidRPr="00A81133" w:rsidRDefault="006766DA" w:rsidP="00D02029">
      <w:pPr>
        <w:pStyle w:val="IFTnormal"/>
      </w:pPr>
      <w:r w:rsidRPr="00A81133">
        <w:t xml:space="preserve">Donde:                                                                                                                                                                                  </w:t>
      </w:r>
    </w:p>
    <w:p w:rsidR="006766DA" w:rsidRPr="00A81133" w:rsidRDefault="006766DA" w:rsidP="00D02029">
      <w:pPr>
        <w:pStyle w:val="IFTnormal"/>
      </w:pPr>
      <w:r w:rsidRPr="00A81133">
        <w:t>Renta Mensual: Se refiere a la renta mensual del servicio en cuestión.</w:t>
      </w:r>
    </w:p>
    <w:p w:rsidR="006766DA" w:rsidRPr="00A81133" w:rsidRDefault="006766DA" w:rsidP="00D02029">
      <w:pPr>
        <w:pStyle w:val="IFTnormal"/>
      </w:pPr>
      <w:r w:rsidRPr="00A81133">
        <w:t xml:space="preserve">Tiempo Máximo: es el tiempo máximo establecido para llevar a cabo la reparación de la falla. </w:t>
      </w:r>
    </w:p>
    <w:p w:rsidR="006766DA" w:rsidRPr="00A81133" w:rsidRDefault="006766DA" w:rsidP="00D02029">
      <w:pPr>
        <w:pStyle w:val="IFTnormal"/>
      </w:pPr>
      <w:r w:rsidRPr="00A81133">
        <w:t>TR: Tiempo de retraso en la reparación de la falla en cuestión, respecto al tiempo máximo establecido. Las fracciones de hora serán consideradas como horas completas, redondeándose al entero superior inmediato.</w:t>
      </w:r>
    </w:p>
    <w:p w:rsidR="005E2539" w:rsidRPr="00A81133" w:rsidRDefault="006766DA" w:rsidP="00D02029">
      <w:pPr>
        <w:pStyle w:val="IFTnormal"/>
        <w:numPr>
          <w:ilvl w:val="0"/>
          <w:numId w:val="16"/>
        </w:numPr>
      </w:pPr>
      <w:r w:rsidRPr="00A81133">
        <w:lastRenderedPageBreak/>
        <w:t>En caso de que se cumpl</w:t>
      </w:r>
      <w:r w:rsidR="008E6DF6">
        <w:t>a</w:t>
      </w:r>
      <w:r w:rsidRPr="00A81133">
        <w:t xml:space="preserve"> el 90% del indicador.  Serán acreedores de una pena la totalidad de</w:t>
      </w:r>
      <w:r w:rsidR="005E2539" w:rsidRPr="00A81133">
        <w:t xml:space="preserve"> los eventos que superen las </w:t>
      </w:r>
      <w:r w:rsidR="007E4AFD" w:rsidRPr="00A81133">
        <w:t xml:space="preserve">108, </w:t>
      </w:r>
      <w:r w:rsidR="005E2539" w:rsidRPr="00A81133">
        <w:t xml:space="preserve">36, 24 o 18 </w:t>
      </w:r>
      <w:proofErr w:type="spellStart"/>
      <w:r w:rsidR="005E2539" w:rsidRPr="00A81133">
        <w:t>hrs</w:t>
      </w:r>
      <w:proofErr w:type="spellEnd"/>
      <w:r w:rsidR="005E2539" w:rsidRPr="00A81133">
        <w:t>. respectivamente</w:t>
      </w:r>
      <w:r w:rsidRPr="00A81133">
        <w:t xml:space="preserve"> </w:t>
      </w:r>
      <w:r w:rsidR="005E2539" w:rsidRPr="00A81133">
        <w:t xml:space="preserve">y se aplicará una pena </w:t>
      </w:r>
      <w:r w:rsidR="007E4AFD" w:rsidRPr="00A81133">
        <w:t>con</w:t>
      </w:r>
      <w:r w:rsidR="005E2539" w:rsidRPr="00A81133">
        <w:t xml:space="preserve"> la misma fórmula.</w:t>
      </w:r>
    </w:p>
    <w:p w:rsidR="0066512B" w:rsidRPr="00A81133" w:rsidRDefault="0066512B" w:rsidP="00D02029">
      <w:pPr>
        <w:pStyle w:val="IFTnormal"/>
      </w:pPr>
    </w:p>
    <w:p w:rsidR="00393F3D" w:rsidRPr="00A81133" w:rsidRDefault="0066512B" w:rsidP="00D02029">
      <w:pPr>
        <w:pStyle w:val="IFTnormal"/>
      </w:pPr>
      <w:r w:rsidRPr="00A81133" w:rsidDel="0066512B">
        <w:t xml:space="preserve"> </w:t>
      </w:r>
      <w:r w:rsidR="00393F3D" w:rsidRPr="00A81133">
        <w:rPr>
          <w:u w:val="single"/>
        </w:rPr>
        <w:t>Consideraciones en el cómputo:</w:t>
      </w:r>
    </w:p>
    <w:p w:rsidR="00393F3D" w:rsidRPr="00AB2045" w:rsidRDefault="00393F3D" w:rsidP="00D02029">
      <w:pPr>
        <w:pStyle w:val="IFTnormal"/>
        <w:numPr>
          <w:ilvl w:val="0"/>
          <w:numId w:val="15"/>
        </w:numPr>
      </w:pPr>
      <w:r w:rsidRPr="00AB2045">
        <w:t>No se considerarán los días inhábiles establecidos en el Contrato Colectivo de Trabajo de Telmex, que son: 1° de enero; 5 de febrero; 18 y 21 de marzo; jueves y viernes denominados "Santos" y sábado denominado de "Gloria"; 1°, 5 y 10 de mayo; 1° de agosto Día del Telefonista; 15 y 16 de septiembre; 12 de octubre; 2 y 20 de noviembre; el que corresponda a la transmisión del Poder Ejecutivo Federal (actualmente el 1° de diciembre de cada seis años);12 y 25 de diciembre; el día que determinen las autoridades para la celebración de Elecciones Federales o Locales.</w:t>
      </w:r>
    </w:p>
    <w:p w:rsidR="00D02029" w:rsidRPr="00A81133" w:rsidRDefault="00393F3D" w:rsidP="00D02029">
      <w:pPr>
        <w:pStyle w:val="IFTnormal"/>
      </w:pPr>
      <w:r w:rsidRPr="00A81133">
        <w:t xml:space="preserve">El mecanismo para que el </w:t>
      </w:r>
      <w:r w:rsidR="00065546" w:rsidRPr="00A81133">
        <w:t>CS</w:t>
      </w:r>
      <w:r w:rsidRPr="00A81133">
        <w:t xml:space="preserve"> de aviso a Telmex acerca de la incidencia, será conforme a lo establecido en el Procedimiento de Gestión de Fallas, Continuidad de Servicios y Gestión de Incidencias.</w:t>
      </w:r>
    </w:p>
    <w:p w:rsidR="00100206" w:rsidRPr="00A81133" w:rsidRDefault="00100206" w:rsidP="00D02029">
      <w:pPr>
        <w:pStyle w:val="IFTnormal"/>
        <w:rPr>
          <w:b/>
        </w:rPr>
      </w:pPr>
      <w:r w:rsidRPr="00A81133">
        <w:rPr>
          <w:b/>
        </w:rPr>
        <w:t>Las penas convencionales de aplicación para los CS serán</w:t>
      </w:r>
      <w:r w:rsidRPr="00A81133">
        <w:rPr>
          <w:rFonts w:ascii="Arial" w:hAnsi="Arial"/>
          <w:b/>
          <w:sz w:val="23"/>
        </w:rPr>
        <w:t>:</w:t>
      </w:r>
    </w:p>
    <w:p w:rsidR="00100206" w:rsidRPr="00A81133" w:rsidRDefault="00100206" w:rsidP="00D02029">
      <w:pPr>
        <w:pStyle w:val="IFTnormal"/>
        <w:rPr>
          <w:lang w:val="es-ES"/>
        </w:rPr>
      </w:pPr>
      <w:r w:rsidRPr="00A81133">
        <w:rPr>
          <w:lang w:val="es-ES"/>
        </w:rPr>
        <w:t>El CS será responsable de pagar la totalidad de los costos en los que Telmex haya incurrido debido a un requerimiento realizado por el mismo CS, y en caso de que éste haya decidido cancelar o en el caso de que no haya notificado a su usuario de la instalación de la acometida y/o los servicios solicitados.</w:t>
      </w:r>
    </w:p>
    <w:p w:rsidR="00100206" w:rsidRPr="00A81133" w:rsidRDefault="00100206" w:rsidP="00D02029">
      <w:pPr>
        <w:pStyle w:val="IFTnormal"/>
        <w:rPr>
          <w:lang w:val="es-ES"/>
        </w:rPr>
      </w:pPr>
      <w:r w:rsidRPr="00A81133">
        <w:rPr>
          <w:lang w:val="es-ES"/>
        </w:rPr>
        <w:t>Si la cancelación se realiza durante la fase de instalación/habilitación del servicio, será aplicada una pena convencional por un mes de renta del servicio más los gastos de instalación/habilitación.</w:t>
      </w:r>
    </w:p>
    <w:p w:rsidR="00100206" w:rsidRPr="00A81133" w:rsidRDefault="00100206" w:rsidP="00D02029">
      <w:pPr>
        <w:pStyle w:val="IFTnormal"/>
        <w:rPr>
          <w:lang w:val="es-ES"/>
        </w:rPr>
      </w:pPr>
      <w:r w:rsidRPr="00A81133">
        <w:rPr>
          <w:lang w:val="es-ES"/>
        </w:rPr>
        <w:t xml:space="preserve">En caso de que Telmex no haya podido instalar la acometida y/o los servicios solicitados por razones asociadas al usuario o al CS, se tendrá una penalización correspondiente por cada “visita en falso”, este costo puede ser consultado dentro del anexo de Tarifas. </w:t>
      </w:r>
    </w:p>
    <w:p w:rsidR="007C4F88" w:rsidRPr="00A81133" w:rsidRDefault="007C4F88" w:rsidP="00D02029">
      <w:pPr>
        <w:pStyle w:val="IFTnormal"/>
        <w:rPr>
          <w:lang w:val="es-ES"/>
        </w:rPr>
      </w:pPr>
      <w:r w:rsidRPr="00A81133">
        <w:rPr>
          <w:lang w:val="es-ES"/>
        </w:rPr>
        <w:t xml:space="preserve">Penas adicionales </w:t>
      </w:r>
    </w:p>
    <w:p w:rsidR="007C4F88" w:rsidRPr="00A81133" w:rsidRDefault="007C4F88" w:rsidP="00D02029">
      <w:pPr>
        <w:pStyle w:val="IFTnormal"/>
        <w:rPr>
          <w:lang w:val="es-ES"/>
        </w:rPr>
      </w:pPr>
      <w:r w:rsidRPr="00A81133">
        <w:rPr>
          <w:lang w:val="es-ES"/>
        </w:rPr>
        <w:t xml:space="preserve">En caso de que para la prestación de servicios de desagregación el CS </w:t>
      </w:r>
      <w:r w:rsidR="00BF736A" w:rsidRPr="00A81133">
        <w:rPr>
          <w:lang w:val="es-ES"/>
        </w:rPr>
        <w:t>adquiera un</w:t>
      </w:r>
      <w:r w:rsidRPr="00A81133">
        <w:rPr>
          <w:lang w:val="es-ES"/>
        </w:rPr>
        <w:t xml:space="preserve"> módem</w:t>
      </w:r>
      <w:r w:rsidR="00425C63" w:rsidRPr="00A81133">
        <w:rPr>
          <w:lang w:val="es-ES"/>
        </w:rPr>
        <w:t>/ONT</w:t>
      </w:r>
      <w:r w:rsidR="00067EE3">
        <w:rPr>
          <w:lang w:val="es-ES"/>
        </w:rPr>
        <w:t xml:space="preserve"> homologado</w:t>
      </w:r>
      <w:r w:rsidR="008920B6">
        <w:rPr>
          <w:lang w:val="es-ES"/>
        </w:rPr>
        <w:t xml:space="preserve"> por Telmex</w:t>
      </w:r>
      <w:r w:rsidRPr="00A81133">
        <w:rPr>
          <w:lang w:val="es-ES"/>
        </w:rPr>
        <w:t xml:space="preserve"> </w:t>
      </w:r>
      <w:r w:rsidR="00242634" w:rsidRPr="00A81133">
        <w:rPr>
          <w:lang w:val="es-ES"/>
        </w:rPr>
        <w:t xml:space="preserve">que cumpla con todos </w:t>
      </w:r>
      <w:r w:rsidR="00242634" w:rsidRPr="00A81133">
        <w:rPr>
          <w:lang w:val="es-ES_tradnl"/>
        </w:rPr>
        <w:t xml:space="preserve">los estándares, especificaciones y referencias que </w:t>
      </w:r>
      <w:r w:rsidR="00E84C19">
        <w:rPr>
          <w:lang w:val="es-ES_tradnl"/>
        </w:rPr>
        <w:t>Telmex</w:t>
      </w:r>
      <w:r w:rsidR="00242634" w:rsidRPr="00A81133">
        <w:rPr>
          <w:lang w:val="es-ES_tradnl"/>
        </w:rPr>
        <w:t xml:space="preserve"> entreg</w:t>
      </w:r>
      <w:r w:rsidR="0026088D">
        <w:rPr>
          <w:lang w:val="es-ES_tradnl"/>
        </w:rPr>
        <w:t>ue</w:t>
      </w:r>
      <w:r w:rsidR="00242634" w:rsidRPr="00A81133">
        <w:rPr>
          <w:lang w:val="es-ES_tradnl"/>
        </w:rPr>
        <w:t xml:space="preserve"> a los CS de acuerdo con lo </w:t>
      </w:r>
      <w:r w:rsidR="00242634" w:rsidRPr="00A81133">
        <w:rPr>
          <w:lang w:val="es-ES_tradnl"/>
        </w:rPr>
        <w:lastRenderedPageBreak/>
        <w:t>estipulado en la Oferta de Referencia</w:t>
      </w:r>
      <w:r w:rsidR="00242634" w:rsidRPr="00A81133">
        <w:rPr>
          <w:lang w:val="es-ES"/>
        </w:rPr>
        <w:t xml:space="preserve"> y </w:t>
      </w:r>
      <w:r w:rsidR="0026088D">
        <w:rPr>
          <w:lang w:val="es-ES"/>
        </w:rPr>
        <w:t>dicho</w:t>
      </w:r>
      <w:r w:rsidR="0026088D" w:rsidRPr="00A81133">
        <w:rPr>
          <w:lang w:val="es-ES"/>
        </w:rPr>
        <w:t xml:space="preserve"> </w:t>
      </w:r>
      <w:r w:rsidR="00425C63" w:rsidRPr="00A81133">
        <w:rPr>
          <w:lang w:val="es-ES"/>
        </w:rPr>
        <w:t>modem/ONT</w:t>
      </w:r>
      <w:r w:rsidR="00242634" w:rsidRPr="00A81133">
        <w:rPr>
          <w:lang w:val="es-ES"/>
        </w:rPr>
        <w:t xml:space="preserve"> no funcione para prestar servicios de desagregación por la provisión </w:t>
      </w:r>
      <w:r w:rsidRPr="00A81133">
        <w:rPr>
          <w:lang w:val="es-ES"/>
        </w:rPr>
        <w:t xml:space="preserve">de información </w:t>
      </w:r>
      <w:r w:rsidR="00425C63" w:rsidRPr="00A81133">
        <w:rPr>
          <w:lang w:val="es-ES"/>
        </w:rPr>
        <w:t>falsa, errónea</w:t>
      </w:r>
      <w:r w:rsidRPr="00A81133">
        <w:rPr>
          <w:lang w:val="es-ES"/>
        </w:rPr>
        <w:t xml:space="preserve"> </w:t>
      </w:r>
      <w:r w:rsidR="00425C63" w:rsidRPr="00A81133">
        <w:rPr>
          <w:lang w:val="es-ES"/>
        </w:rPr>
        <w:t xml:space="preserve">o incompleta </w:t>
      </w:r>
      <w:r w:rsidRPr="00A81133">
        <w:rPr>
          <w:lang w:val="es-ES"/>
        </w:rPr>
        <w:t>de los estándares, referencias y especificaciones</w:t>
      </w:r>
      <w:r w:rsidR="00242634" w:rsidRPr="00A81133">
        <w:rPr>
          <w:lang w:val="es-ES"/>
        </w:rPr>
        <w:t>,</w:t>
      </w:r>
      <w:r w:rsidRPr="00A81133">
        <w:rPr>
          <w:lang w:val="es-ES"/>
        </w:rPr>
        <w:t xml:space="preserve"> Telmex deberá pagar al CS el precio de</w:t>
      </w:r>
      <w:r w:rsidR="00425C63" w:rsidRPr="00A81133">
        <w:rPr>
          <w:lang w:val="es-ES"/>
        </w:rPr>
        <w:t xml:space="preserve"> un</w:t>
      </w:r>
      <w:r w:rsidRPr="00A81133">
        <w:rPr>
          <w:lang w:val="es-ES"/>
        </w:rPr>
        <w:t xml:space="preserve"> módem</w:t>
      </w:r>
      <w:r w:rsidR="003B3B95" w:rsidRPr="00A81133">
        <w:rPr>
          <w:lang w:val="es-ES"/>
        </w:rPr>
        <w:t>/OTN</w:t>
      </w:r>
      <w:r w:rsidRPr="00A81133">
        <w:rPr>
          <w:lang w:val="es-ES"/>
        </w:rPr>
        <w:t xml:space="preserve"> conforme las características y precios establecidos en el Anexo “A” Tarifas</w:t>
      </w:r>
      <w:r w:rsidR="00242634" w:rsidRPr="00A81133">
        <w:rPr>
          <w:lang w:val="es-ES"/>
        </w:rPr>
        <w:t xml:space="preserve"> de la Oferta de Referencia</w:t>
      </w:r>
      <w:r w:rsidRPr="00A81133">
        <w:rPr>
          <w:lang w:val="es-ES"/>
        </w:rPr>
        <w:t xml:space="preserve">, además de que Telmex deberá proporcionar un módem para la correcta prestación de </w:t>
      </w:r>
      <w:r w:rsidR="00E043F2">
        <w:rPr>
          <w:lang w:val="es-ES"/>
        </w:rPr>
        <w:t xml:space="preserve">los </w:t>
      </w:r>
      <w:r w:rsidRPr="00A81133">
        <w:rPr>
          <w:lang w:val="es-ES"/>
        </w:rPr>
        <w:t>servicios de desagregación</w:t>
      </w:r>
      <w:r w:rsidR="00425C63" w:rsidRPr="00A81133">
        <w:rPr>
          <w:lang w:val="es-ES"/>
        </w:rPr>
        <w:t xml:space="preserve"> en un plazo máximo de un día hábil</w:t>
      </w:r>
      <w:r w:rsidR="00067EE3">
        <w:rPr>
          <w:lang w:val="es-ES"/>
        </w:rPr>
        <w:t>.</w:t>
      </w:r>
    </w:p>
    <w:p w:rsidR="00100206" w:rsidRPr="00A81133" w:rsidRDefault="00100206" w:rsidP="00D02029">
      <w:pPr>
        <w:pStyle w:val="IFTnormal"/>
        <w:rPr>
          <w:b/>
          <w:lang w:val="es-ES"/>
        </w:rPr>
      </w:pPr>
      <w:r w:rsidRPr="00A81133">
        <w:rPr>
          <w:b/>
          <w:lang w:val="es-ES"/>
        </w:rPr>
        <w:t>Procedimiento General de Aplicación de penas convencionales de Desagregación:</w:t>
      </w:r>
    </w:p>
    <w:p w:rsidR="00100206" w:rsidRPr="00A81133" w:rsidRDefault="00100206" w:rsidP="00FB39CD">
      <w:pPr>
        <w:pStyle w:val="IFTnormal"/>
        <w:numPr>
          <w:ilvl w:val="0"/>
          <w:numId w:val="17"/>
        </w:numPr>
      </w:pPr>
      <w:r w:rsidRPr="00A81133">
        <w:t xml:space="preserve">El </w:t>
      </w:r>
      <w:r w:rsidR="00065546" w:rsidRPr="00A81133">
        <w:t>CS</w:t>
      </w:r>
      <w:r w:rsidRPr="00A81133">
        <w:t xml:space="preserve"> enviará un concentrado con los Servicios que no</w:t>
      </w:r>
      <w:r w:rsidRPr="00A81133">
        <w:rPr>
          <w:lang w:val="es-ES"/>
        </w:rPr>
        <w:t xml:space="preserve"> cumplan los parámetros e indicadores de los niveles de calidad</w:t>
      </w:r>
      <w:r w:rsidRPr="00A81133">
        <w:t xml:space="preserve"> del </w:t>
      </w:r>
      <w:r w:rsidR="00242661">
        <w:t>periodo</w:t>
      </w:r>
      <w:r w:rsidR="00C86B56" w:rsidRPr="00A81133">
        <w:t xml:space="preserve"> </w:t>
      </w:r>
      <w:r w:rsidRPr="00A81133">
        <w:t>inmediato anterior</w:t>
      </w:r>
      <w:r w:rsidR="002E3A44" w:rsidRPr="00A81133">
        <w:t xml:space="preserve">, tomando en cuenta </w:t>
      </w:r>
      <w:r w:rsidR="00D67FFC" w:rsidRPr="00A81133">
        <w:t xml:space="preserve">los </w:t>
      </w:r>
      <w:r w:rsidR="00C86B56" w:rsidRPr="00A81133">
        <w:t>tiempos</w:t>
      </w:r>
      <w:r w:rsidR="00D67FFC" w:rsidRPr="00A81133">
        <w:t xml:space="preserve"> en </w:t>
      </w:r>
      <w:r w:rsidR="002E3A44" w:rsidRPr="00A81133">
        <w:t>que l</w:t>
      </w:r>
      <w:r w:rsidR="00DE0804" w:rsidRPr="00A81133">
        <w:t>a falla o incidencia haya quedado resuelta.</w:t>
      </w:r>
      <w:r w:rsidR="002E3A44" w:rsidRPr="00A81133">
        <w:t xml:space="preserve"> </w:t>
      </w:r>
      <w:r w:rsidRPr="00A81133">
        <w:t xml:space="preserve">Esta información deberá ser enviada </w:t>
      </w:r>
      <w:r w:rsidR="00965B67" w:rsidRPr="00A81133">
        <w:t xml:space="preserve">mediante el SEG, o en su defecto mediante correo electrónico </w:t>
      </w:r>
      <w:r w:rsidR="00E043F2">
        <w:t>a</w:t>
      </w:r>
      <w:r w:rsidR="00E043F2" w:rsidRPr="00A81133">
        <w:t xml:space="preserve"> </w:t>
      </w:r>
      <w:r w:rsidR="00965B67" w:rsidRPr="00A81133">
        <w:t>las direcciones establecidas en el Convenio Marco para la Prestación de Servicios de Desagregación</w:t>
      </w:r>
      <w:r w:rsidR="00D20E4C" w:rsidRPr="00A81133">
        <w:t>,</w:t>
      </w:r>
      <w:r w:rsidR="00965B67" w:rsidRPr="00A81133" w:rsidDel="001B66DD">
        <w:t xml:space="preserve"> </w:t>
      </w:r>
      <w:r w:rsidR="001B66DD" w:rsidRPr="00A81133">
        <w:t xml:space="preserve">dentro de los </w:t>
      </w:r>
      <w:r w:rsidR="005F10C5">
        <w:t>6</w:t>
      </w:r>
      <w:r w:rsidR="00F60126">
        <w:t xml:space="preserve"> (seis)</w:t>
      </w:r>
      <w:r w:rsidR="001B66DD" w:rsidRPr="00A81133">
        <w:t xml:space="preserve">  días hábiles siguientes al</w:t>
      </w:r>
      <w:r w:rsidRPr="00A81133">
        <w:t xml:space="preserve"> </w:t>
      </w:r>
      <w:r w:rsidR="00242661">
        <w:t>periodo</w:t>
      </w:r>
      <w:r w:rsidR="00242661" w:rsidRPr="00A81133">
        <w:t xml:space="preserve"> </w:t>
      </w:r>
      <w:r w:rsidRPr="00A81133">
        <w:t>en cuestión</w:t>
      </w:r>
      <w:r w:rsidR="006219E8" w:rsidRPr="00A81133">
        <w:t>, incluyendo</w:t>
      </w:r>
      <w:r w:rsidR="00555755" w:rsidRPr="00A81133">
        <w:t xml:space="preserve"> la descripción a detalle del incumplimiento, los plazos correspondientes y las responsabilidades en cuanto a comunicación del incumplimiento, presentación de </w:t>
      </w:r>
      <w:r w:rsidR="00ED7DBC" w:rsidRPr="00A81133">
        <w:t>evidencia,</w:t>
      </w:r>
      <w:r w:rsidR="00555755" w:rsidRPr="00A81133">
        <w:t xml:space="preserve"> resolución del evento,</w:t>
      </w:r>
      <w:r w:rsidR="00ED7DBC" w:rsidRPr="00A81133">
        <w:t xml:space="preserve"> </w:t>
      </w:r>
      <w:r w:rsidR="006219E8" w:rsidRPr="00A81133">
        <w:t>el desglose de la cantidad, servicio penalizado, tipo de penalización e importe</w:t>
      </w:r>
      <w:r w:rsidRPr="00A81133">
        <w:t>.</w:t>
      </w:r>
      <w:r w:rsidR="006219E8" w:rsidRPr="00A81133">
        <w:t xml:space="preserve"> </w:t>
      </w:r>
    </w:p>
    <w:p w:rsidR="00100206" w:rsidRPr="00A81133" w:rsidRDefault="00100206" w:rsidP="00FB39CD">
      <w:pPr>
        <w:pStyle w:val="IFTnormal"/>
        <w:numPr>
          <w:ilvl w:val="0"/>
          <w:numId w:val="17"/>
        </w:numPr>
      </w:pPr>
      <w:r w:rsidRPr="00A81133">
        <w:t xml:space="preserve">Si una </w:t>
      </w:r>
      <w:r w:rsidR="00E13FF7" w:rsidRPr="00A81133">
        <w:t>habilitación/</w:t>
      </w:r>
      <w:r w:rsidRPr="00A81133">
        <w:t xml:space="preserve">reparación aún no se encuentra </w:t>
      </w:r>
      <w:r w:rsidR="004724C0" w:rsidRPr="00A81133">
        <w:t xml:space="preserve">resuelta </w:t>
      </w:r>
      <w:r w:rsidRPr="00A81133">
        <w:t xml:space="preserve">al momento del </w:t>
      </w:r>
      <w:r w:rsidR="00E13FF7" w:rsidRPr="00A81133">
        <w:t>reporte</w:t>
      </w:r>
      <w:r w:rsidRPr="00A81133">
        <w:t xml:space="preserve">, entonces se reportará en el siguiente </w:t>
      </w:r>
      <w:r w:rsidR="00242661">
        <w:t>periodo</w:t>
      </w:r>
      <w:r w:rsidRPr="00A81133">
        <w:t>.</w:t>
      </w:r>
    </w:p>
    <w:p w:rsidR="00100206" w:rsidRPr="00A81133" w:rsidRDefault="00100206" w:rsidP="00D02029">
      <w:pPr>
        <w:pStyle w:val="IFTnormal"/>
        <w:numPr>
          <w:ilvl w:val="0"/>
          <w:numId w:val="17"/>
        </w:numPr>
      </w:pPr>
      <w:r w:rsidRPr="00A81133">
        <w:t xml:space="preserve">Telmex </w:t>
      </w:r>
      <w:r w:rsidR="001B66DD" w:rsidRPr="00A81133">
        <w:t xml:space="preserve">y el </w:t>
      </w:r>
      <w:r w:rsidR="00065546" w:rsidRPr="00A81133">
        <w:t>CS</w:t>
      </w:r>
      <w:r w:rsidR="001B66DD" w:rsidRPr="00A81133">
        <w:t xml:space="preserve"> </w:t>
      </w:r>
      <w:r w:rsidRPr="00A81133">
        <w:t>validará</w:t>
      </w:r>
      <w:r w:rsidR="001B66DD" w:rsidRPr="00A81133">
        <w:t>n</w:t>
      </w:r>
      <w:r w:rsidRPr="00A81133">
        <w:t xml:space="preserve"> la información enviada </w:t>
      </w:r>
      <w:r w:rsidR="00E72E8F" w:rsidRPr="00A81133">
        <w:t xml:space="preserve">por </w:t>
      </w:r>
      <w:r w:rsidR="001B66DD" w:rsidRPr="00A81133">
        <w:t xml:space="preserve">la otra parte en un plazo que no excederá de </w:t>
      </w:r>
      <w:r w:rsidR="005F10C5">
        <w:t>6</w:t>
      </w:r>
      <w:r w:rsidR="00F60126">
        <w:t xml:space="preserve"> (</w:t>
      </w:r>
      <w:r w:rsidR="00331009">
        <w:t>seis)</w:t>
      </w:r>
      <w:r w:rsidR="00331009" w:rsidRPr="00A81133">
        <w:t xml:space="preserve"> días</w:t>
      </w:r>
      <w:r w:rsidR="001B66DD" w:rsidRPr="00A81133">
        <w:t xml:space="preserve"> hábiles</w:t>
      </w:r>
      <w:r w:rsidRPr="00A81133">
        <w:t>.</w:t>
      </w:r>
    </w:p>
    <w:p w:rsidR="00100206" w:rsidRPr="00A81133" w:rsidRDefault="00100206" w:rsidP="00D02029">
      <w:pPr>
        <w:pStyle w:val="IFTnormal"/>
        <w:numPr>
          <w:ilvl w:val="0"/>
          <w:numId w:val="17"/>
        </w:numPr>
      </w:pPr>
      <w:r w:rsidRPr="00A81133">
        <w:t xml:space="preserve">Telmex y el </w:t>
      </w:r>
      <w:r w:rsidR="00065546" w:rsidRPr="00A81133">
        <w:t>CS</w:t>
      </w:r>
      <w:r w:rsidRPr="00A81133">
        <w:t xml:space="preserve"> conciliarán</w:t>
      </w:r>
      <w:r w:rsidR="001B66DD" w:rsidRPr="00A81133">
        <w:t xml:space="preserve"> de buena fe</w:t>
      </w:r>
      <w:r w:rsidRPr="00A81133">
        <w:t xml:space="preserve"> los servicios que sean causa del pago de las penalizaciones del </w:t>
      </w:r>
      <w:r w:rsidR="00242661">
        <w:t>periodo</w:t>
      </w:r>
      <w:r w:rsidR="00242661" w:rsidRPr="00A81133">
        <w:t xml:space="preserve"> </w:t>
      </w:r>
      <w:r w:rsidRPr="00A81133">
        <w:t>inmediato anterior</w:t>
      </w:r>
      <w:r w:rsidR="001B66DD" w:rsidRPr="00A81133">
        <w:t xml:space="preserve"> dentro de los </w:t>
      </w:r>
      <w:r w:rsidR="005F10C5">
        <w:t>1</w:t>
      </w:r>
      <w:r w:rsidR="001B66DD" w:rsidRPr="00A81133">
        <w:t>5</w:t>
      </w:r>
      <w:r w:rsidR="00F60126">
        <w:t>(quince)</w:t>
      </w:r>
      <w:r w:rsidR="001B66DD" w:rsidRPr="00A81133">
        <w:t xml:space="preserve"> días hábiles posteriores a la fecha de validación</w:t>
      </w:r>
      <w:r w:rsidRPr="00A81133">
        <w:t>.</w:t>
      </w:r>
    </w:p>
    <w:p w:rsidR="00100206" w:rsidRPr="00A81133" w:rsidRDefault="00100206" w:rsidP="00D02029">
      <w:pPr>
        <w:pStyle w:val="IFTnormal"/>
        <w:numPr>
          <w:ilvl w:val="0"/>
          <w:numId w:val="17"/>
        </w:numPr>
      </w:pPr>
      <w:r w:rsidRPr="00A81133">
        <w:t xml:space="preserve">Telmex y el </w:t>
      </w:r>
      <w:r w:rsidR="00065546" w:rsidRPr="00A81133">
        <w:t>CS</w:t>
      </w:r>
      <w:r w:rsidRPr="00A81133">
        <w:t xml:space="preserve"> acordarán importes y fechas de pago, en las cuentas correspondie</w:t>
      </w:r>
      <w:r w:rsidR="00E13FF7" w:rsidRPr="00A81133">
        <w:t xml:space="preserve">ntes de su relación comercial, </w:t>
      </w:r>
      <w:r w:rsidRPr="00A81133">
        <w:t xml:space="preserve">para liquidar las penalizaciones </w:t>
      </w:r>
      <w:proofErr w:type="gramStart"/>
      <w:r w:rsidRPr="00A81133">
        <w:t>de acuerdo a</w:t>
      </w:r>
      <w:proofErr w:type="gramEnd"/>
      <w:r w:rsidRPr="00A81133">
        <w:t xml:space="preserve"> las condiciones establecidas en el Convenio Marco para la Prestación de Servicios de Desagregación.</w:t>
      </w:r>
    </w:p>
    <w:p w:rsidR="00100206" w:rsidRPr="00A81133" w:rsidRDefault="00100206" w:rsidP="00D02029">
      <w:pPr>
        <w:pStyle w:val="IFTnormal"/>
        <w:numPr>
          <w:ilvl w:val="0"/>
          <w:numId w:val="17"/>
        </w:numPr>
      </w:pPr>
      <w:r w:rsidRPr="00A81133">
        <w:t>Para el caso de penaliza</w:t>
      </w:r>
      <w:r w:rsidR="00E13FF7" w:rsidRPr="00A81133">
        <w:t xml:space="preserve">ciones por </w:t>
      </w:r>
      <w:r w:rsidRPr="00A81133">
        <w:t>cancelaciones, y/o cualquier otro concepto de penas imputables al CS, Telmex enviar</w:t>
      </w:r>
      <w:r w:rsidR="00DE0804" w:rsidRPr="00A81133">
        <w:t>á</w:t>
      </w:r>
      <w:r w:rsidRPr="00A81133">
        <w:t xml:space="preserve"> al CS el detalle de los cargos que el CS deberá cubrir</w:t>
      </w:r>
      <w:r w:rsidR="001F0599">
        <w:t xml:space="preserve">, </w:t>
      </w:r>
      <w:bookmarkStart w:id="1" w:name="_GoBack"/>
      <w:bookmarkEnd w:id="1"/>
      <w:r w:rsidR="001F0599">
        <w:t>mismo</w:t>
      </w:r>
      <w:r w:rsidRPr="00A81133">
        <w:t xml:space="preserve"> </w:t>
      </w:r>
      <w:r w:rsidR="003F75CE" w:rsidRPr="00A81133">
        <w:t>que incluir</w:t>
      </w:r>
      <w:r w:rsidR="001F0599">
        <w:t>á</w:t>
      </w:r>
      <w:r w:rsidR="003F75CE" w:rsidRPr="00A81133">
        <w:t xml:space="preserve"> la descripción a detalle </w:t>
      </w:r>
      <w:r w:rsidR="003F75CE" w:rsidRPr="00A81133">
        <w:lastRenderedPageBreak/>
        <w:t>del incumplimiento, los plazos correspondientes y las responsabilidades en cuanto a comunicación del incumplimiento, presentación de evidencia, resolución del evento, el desglose de la cantidad, servicio penalizado, tipo de penalización e importe</w:t>
      </w:r>
      <w:r w:rsidR="004A0DCA">
        <w:t xml:space="preserve">, debiendo llevar a cabo las partes un </w:t>
      </w:r>
      <w:r w:rsidRPr="00A81133">
        <w:t>proceso de conciliación y validación de importes similar al punto 4 y 5 anteriores.</w:t>
      </w:r>
      <w:r w:rsidR="00E72E8F" w:rsidRPr="00A81133">
        <w:t xml:space="preserve"> La </w:t>
      </w:r>
      <w:proofErr w:type="spellStart"/>
      <w:r w:rsidR="00E72E8F" w:rsidRPr="00A81133">
        <w:t>reagendación</w:t>
      </w:r>
      <w:proofErr w:type="spellEnd"/>
      <w:r w:rsidR="00E72E8F" w:rsidRPr="00A81133">
        <w:t xml:space="preserve"> de visitas y visitas en falso por falla</w:t>
      </w:r>
      <w:r w:rsidR="003D2AA0">
        <w:t>s o incidencias</w:t>
      </w:r>
      <w:r w:rsidR="00E72E8F" w:rsidRPr="00A81133">
        <w:t xml:space="preserve"> no imputables a Telmex serán presentadas al CS en su factura correspondiente.</w:t>
      </w:r>
    </w:p>
    <w:p w:rsidR="00D6553C" w:rsidRPr="00A81133" w:rsidRDefault="0087318F" w:rsidP="00243980">
      <w:pPr>
        <w:pStyle w:val="IFTnormal"/>
        <w:numPr>
          <w:ilvl w:val="0"/>
          <w:numId w:val="17"/>
        </w:numPr>
      </w:pPr>
      <w:r w:rsidRPr="00A81133">
        <w:t xml:space="preserve">Si las Partes de buena fe no pudieran lograr la conciliación correspondiente, entonces podrán iniciar un desacuerdo </w:t>
      </w:r>
      <w:r w:rsidR="00CC2FA3">
        <w:t>ante</w:t>
      </w:r>
      <w:r w:rsidR="00CC2FA3" w:rsidRPr="00A81133">
        <w:t xml:space="preserve"> </w:t>
      </w:r>
      <w:r w:rsidRPr="00A81133">
        <w:t xml:space="preserve">el Instituto para que </w:t>
      </w:r>
      <w:r w:rsidR="00CC2FA3">
        <w:t>dicha autoridad</w:t>
      </w:r>
      <w:r w:rsidRPr="00A81133">
        <w:t xml:space="preserve"> determine lo conducente.</w:t>
      </w:r>
    </w:p>
    <w:sectPr w:rsidR="00D6553C" w:rsidRPr="00A81133" w:rsidSect="0043386E">
      <w:headerReference w:type="default" r:id="rId11"/>
      <w:footerReference w:type="default" r:id="rId12"/>
      <w:pgSz w:w="12242" w:h="15842" w:code="1"/>
      <w:pgMar w:top="1985" w:right="1701" w:bottom="1417"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F26" w:rsidRDefault="00C62F26" w:rsidP="00F60F4C">
      <w:pPr>
        <w:spacing w:after="0" w:line="240" w:lineRule="auto"/>
      </w:pPr>
      <w:r>
        <w:separator/>
      </w:r>
    </w:p>
  </w:endnote>
  <w:endnote w:type="continuationSeparator" w:id="0">
    <w:p w:rsidR="00C62F26" w:rsidRDefault="00C62F26" w:rsidP="00F60F4C">
      <w:pPr>
        <w:spacing w:after="0" w:line="240" w:lineRule="auto"/>
      </w:pPr>
      <w:r>
        <w:continuationSeparator/>
      </w:r>
    </w:p>
  </w:endnote>
  <w:endnote w:type="continuationNotice" w:id="1">
    <w:p w:rsidR="00C62F26" w:rsidRDefault="00C6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CD" w:rsidRDefault="00FB39CD" w:rsidP="00D02029">
    <w:pPr>
      <w:pStyle w:val="IFTnormal"/>
      <w:jc w:val="right"/>
    </w:pPr>
    <w:r>
      <w:rPr>
        <w:lang w:val="es-ES"/>
      </w:rPr>
      <w:t xml:space="preserve">Página </w:t>
    </w:r>
    <w:r>
      <w:fldChar w:fldCharType="begin"/>
    </w:r>
    <w:r>
      <w:instrText>PAGE</w:instrText>
    </w:r>
    <w:r>
      <w:fldChar w:fldCharType="separate"/>
    </w:r>
    <w:r>
      <w:rPr>
        <w:noProof/>
      </w:rPr>
      <w:t>1</w:t>
    </w:r>
    <w:r>
      <w:fldChar w:fldCharType="end"/>
    </w:r>
    <w:r>
      <w:rPr>
        <w:lang w:val="es-ES"/>
      </w:rPr>
      <w:t xml:space="preserve"> de </w:t>
    </w:r>
    <w:r>
      <w:fldChar w:fldCharType="begin"/>
    </w:r>
    <w:r>
      <w:instrText>NUMPAGES</w:instrText>
    </w:r>
    <w:r>
      <w:fldChar w:fldCharType="separate"/>
    </w:r>
    <w:r>
      <w:rPr>
        <w:noProof/>
      </w:rPr>
      <w:t>12</w:t>
    </w:r>
    <w:r>
      <w:fldChar w:fldCharType="end"/>
    </w:r>
  </w:p>
  <w:p w:rsidR="00FB39CD" w:rsidRPr="00DC6E58" w:rsidRDefault="00FB39CD" w:rsidP="00DC6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F26" w:rsidRDefault="00C62F26" w:rsidP="00F60F4C">
      <w:pPr>
        <w:spacing w:after="0" w:line="240" w:lineRule="auto"/>
      </w:pPr>
      <w:r>
        <w:separator/>
      </w:r>
    </w:p>
  </w:footnote>
  <w:footnote w:type="continuationSeparator" w:id="0">
    <w:p w:rsidR="00C62F26" w:rsidRDefault="00C62F26" w:rsidP="00F60F4C">
      <w:pPr>
        <w:spacing w:after="0" w:line="240" w:lineRule="auto"/>
      </w:pPr>
      <w:r>
        <w:continuationSeparator/>
      </w:r>
    </w:p>
  </w:footnote>
  <w:footnote w:type="continuationNotice" w:id="1">
    <w:p w:rsidR="00C62F26" w:rsidRDefault="00C62F26">
      <w:pPr>
        <w:spacing w:after="0" w:line="240" w:lineRule="auto"/>
      </w:pPr>
    </w:p>
  </w:footnote>
  <w:footnote w:id="2">
    <w:p w:rsidR="00FB39CD" w:rsidRDefault="00FB39CD">
      <w:pPr>
        <w:pStyle w:val="Textonotapie"/>
      </w:pPr>
      <w:r>
        <w:rPr>
          <w:rStyle w:val="Refdenotaalpie"/>
        </w:rPr>
        <w:footnoteRef/>
      </w:r>
      <w:r>
        <w:t xml:space="preserve"> </w:t>
      </w:r>
      <w:r w:rsidRPr="00381825">
        <w:rPr>
          <w:rFonts w:ascii="ITC Avant Garde" w:hAnsi="ITC Avant Garde"/>
        </w:rPr>
        <w:t>Los plazos específicos para cada servicio se encuentran en las secciones respectivas de la Oferta de Referencia.</w:t>
      </w:r>
    </w:p>
  </w:footnote>
  <w:footnote w:id="3">
    <w:p w:rsidR="00FB39CD" w:rsidRDefault="00FB39CD" w:rsidP="00A7529E">
      <w:pPr>
        <w:pStyle w:val="Textonotapie"/>
      </w:pPr>
      <w:r>
        <w:rPr>
          <w:rStyle w:val="Refdenotaalpie"/>
        </w:rPr>
        <w:footnoteRef/>
      </w:r>
      <w:r>
        <w:t xml:space="preserve"> Mismas condiciones de servicio</w:t>
      </w:r>
    </w:p>
  </w:footnote>
  <w:footnote w:id="4">
    <w:p w:rsidR="00FB39CD" w:rsidRDefault="00FB39CD" w:rsidP="00571987">
      <w:pPr>
        <w:pStyle w:val="Textonotapie"/>
        <w:jc w:val="both"/>
      </w:pPr>
      <w:r w:rsidRPr="00011A1B">
        <w:rPr>
          <w:rStyle w:val="Refdenotaalpie"/>
        </w:rPr>
        <w:footnoteRef/>
      </w:r>
      <w:r w:rsidRPr="00011A1B">
        <w:t xml:space="preserve"> </w:t>
      </w:r>
      <w:r w:rsidRPr="00D02029">
        <w:rPr>
          <w:rFonts w:ascii="ITC Avant Garde" w:hAnsi="ITC Avant Garde"/>
        </w:rPr>
        <w:t>Fallas del equipo de medición, imposibilidad del técnico de llegar a la cita (ausencia laboral del técnico responsable, descompostura del vehículo,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9CD" w:rsidRDefault="00FB39CD" w:rsidP="007A2F2D">
    <w:pPr>
      <w:pStyle w:val="Encabezado"/>
      <w:tabs>
        <w:tab w:val="left" w:pos="8670"/>
      </w:tabs>
      <w:rPr>
        <w:rFonts w:ascii="ITC Avant Garde" w:hAnsi="ITC Avant Garde"/>
        <w:b/>
        <w:color w:val="000000" w:themeColor="text1"/>
        <w:sz w:val="24"/>
        <w:lang w:val="es-ES"/>
      </w:rPr>
    </w:pPr>
    <w:bookmarkStart w:id="2" w:name="_Hlk254855680"/>
  </w:p>
  <w:p w:rsidR="00FB39CD" w:rsidRDefault="00FB39CD" w:rsidP="007A2F2D">
    <w:pPr>
      <w:pStyle w:val="Encabezado"/>
      <w:tabs>
        <w:tab w:val="left" w:pos="8670"/>
      </w:tabs>
      <w:rPr>
        <w:rFonts w:ascii="ITC Avant Garde" w:hAnsi="ITC Avant Garde"/>
        <w:b/>
        <w:color w:val="000000" w:themeColor="text1"/>
        <w:sz w:val="24"/>
        <w:lang w:val="es-ES"/>
      </w:rPr>
    </w:pPr>
  </w:p>
  <w:p w:rsidR="00FB39CD" w:rsidRDefault="00FB39CD" w:rsidP="007A2F2D">
    <w:pPr>
      <w:pStyle w:val="Encabezado"/>
      <w:tabs>
        <w:tab w:val="left" w:pos="8670"/>
      </w:tabs>
      <w:rPr>
        <w:rFonts w:ascii="ITC Avant Garde" w:hAnsi="ITC Avant Garde"/>
        <w:b/>
        <w:color w:val="000000" w:themeColor="text1"/>
        <w:sz w:val="24"/>
        <w:lang w:val="es-ES"/>
      </w:rPr>
    </w:pPr>
  </w:p>
  <w:p w:rsidR="00FB39CD" w:rsidRDefault="00FB39CD" w:rsidP="007A2F2D">
    <w:pPr>
      <w:pStyle w:val="Encabezado"/>
      <w:tabs>
        <w:tab w:val="left" w:pos="8670"/>
      </w:tabs>
      <w:rPr>
        <w:rFonts w:ascii="ITC Avant Garde" w:hAnsi="ITC Avant Garde"/>
        <w:b/>
        <w:color w:val="000000" w:themeColor="text1"/>
        <w:sz w:val="24"/>
        <w:lang w:val="es-ES"/>
      </w:rPr>
    </w:pPr>
  </w:p>
  <w:p w:rsidR="00FB39CD" w:rsidRDefault="00FB39CD" w:rsidP="007A2F2D">
    <w:pPr>
      <w:pStyle w:val="Encabezado"/>
      <w:tabs>
        <w:tab w:val="left" w:pos="8670"/>
      </w:tabs>
      <w:rPr>
        <w:rFonts w:ascii="ITC Avant Garde" w:hAnsi="ITC Avant Garde"/>
        <w:b/>
        <w:color w:val="000000" w:themeColor="text1"/>
        <w:sz w:val="24"/>
        <w:lang w:val="es-ES"/>
      </w:rPr>
    </w:pPr>
    <w:r w:rsidRPr="00616162">
      <w:rPr>
        <w:rFonts w:ascii="ITC Avant Garde" w:hAnsi="ITC Avant Garde"/>
        <w:b/>
        <w:color w:val="000000" w:themeColor="text1"/>
        <w:sz w:val="24"/>
        <w:lang w:val="es-ES"/>
      </w:rPr>
      <w:t xml:space="preserve">Oferta de Referencia para la Desagregación Bucle Local                Anexo </w:t>
    </w:r>
    <w:bookmarkEnd w:id="2"/>
    <w:r w:rsidRPr="00616162">
      <w:rPr>
        <w:rFonts w:ascii="ITC Avant Garde" w:hAnsi="ITC Avant Garde"/>
        <w:b/>
        <w:color w:val="000000" w:themeColor="text1"/>
        <w:sz w:val="24"/>
        <w:lang w:val="es-ES"/>
      </w:rPr>
      <w:t>B</w:t>
    </w:r>
  </w:p>
  <w:p w:rsidR="00FB39CD" w:rsidRPr="00616162" w:rsidRDefault="00FB39CD" w:rsidP="007A2F2D">
    <w:pPr>
      <w:pStyle w:val="Encabezado"/>
      <w:tabs>
        <w:tab w:val="left" w:pos="8670"/>
      </w:tabs>
      <w:rPr>
        <w:rFonts w:ascii="ITC Avant Garde" w:hAnsi="ITC Avant Garde"/>
        <w:b/>
        <w:color w:val="000000" w:themeColor="text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4B9"/>
    <w:multiLevelType w:val="hybridMultilevel"/>
    <w:tmpl w:val="50C64B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329A5"/>
    <w:multiLevelType w:val="hybridMultilevel"/>
    <w:tmpl w:val="2850D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EA2152"/>
    <w:multiLevelType w:val="hybridMultilevel"/>
    <w:tmpl w:val="54F4A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C43A8A"/>
    <w:multiLevelType w:val="multilevel"/>
    <w:tmpl w:val="E5A6CF8E"/>
    <w:lvl w:ilvl="0">
      <w:start w:val="1"/>
      <w:numFmt w:val="decimal"/>
      <w:pStyle w:val="Ttulo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BEE0591"/>
    <w:multiLevelType w:val="hybridMultilevel"/>
    <w:tmpl w:val="60BA3392"/>
    <w:lvl w:ilvl="0" w:tplc="9DBCC6E4">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B24E6"/>
    <w:multiLevelType w:val="hybridMultilevel"/>
    <w:tmpl w:val="9FD4F7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A3362D"/>
    <w:multiLevelType w:val="hybridMultilevel"/>
    <w:tmpl w:val="53205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0F57BA"/>
    <w:multiLevelType w:val="hybridMultilevel"/>
    <w:tmpl w:val="9DE046B4"/>
    <w:lvl w:ilvl="0" w:tplc="9DBCC6E4">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207D00"/>
    <w:multiLevelType w:val="hybridMultilevel"/>
    <w:tmpl w:val="562AE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03367A"/>
    <w:multiLevelType w:val="hybridMultilevel"/>
    <w:tmpl w:val="2DF0A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144387"/>
    <w:multiLevelType w:val="hybridMultilevel"/>
    <w:tmpl w:val="CC52D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7E63D6"/>
    <w:multiLevelType w:val="hybridMultilevel"/>
    <w:tmpl w:val="A40496D6"/>
    <w:lvl w:ilvl="0" w:tplc="9DBCC6E4">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784A4D"/>
    <w:multiLevelType w:val="hybridMultilevel"/>
    <w:tmpl w:val="74DA6B5A"/>
    <w:lvl w:ilvl="0" w:tplc="0376175E">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1A47AB"/>
    <w:multiLevelType w:val="hybridMultilevel"/>
    <w:tmpl w:val="ACF6C6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320C33"/>
    <w:multiLevelType w:val="hybridMultilevel"/>
    <w:tmpl w:val="64DCCE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566590"/>
    <w:multiLevelType w:val="hybridMultilevel"/>
    <w:tmpl w:val="FF843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1D2A23"/>
    <w:multiLevelType w:val="hybridMultilevel"/>
    <w:tmpl w:val="844853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3"/>
  </w:num>
  <w:num w:numId="5">
    <w:abstractNumId w:val="4"/>
  </w:num>
  <w:num w:numId="6">
    <w:abstractNumId w:val="2"/>
  </w:num>
  <w:num w:numId="7">
    <w:abstractNumId w:val="5"/>
  </w:num>
  <w:num w:numId="8">
    <w:abstractNumId w:val="11"/>
  </w:num>
  <w:num w:numId="9">
    <w:abstractNumId w:val="1"/>
  </w:num>
  <w:num w:numId="10">
    <w:abstractNumId w:val="7"/>
  </w:num>
  <w:num w:numId="11">
    <w:abstractNumId w:val="15"/>
  </w:num>
  <w:num w:numId="12">
    <w:abstractNumId w:val="9"/>
  </w:num>
  <w:num w:numId="13">
    <w:abstractNumId w:val="16"/>
  </w:num>
  <w:num w:numId="14">
    <w:abstractNumId w:val="8"/>
  </w:num>
  <w:num w:numId="15">
    <w:abstractNumId w:val="10"/>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CC"/>
    <w:rsid w:val="00011A1B"/>
    <w:rsid w:val="00013E57"/>
    <w:rsid w:val="00017D6C"/>
    <w:rsid w:val="000221F8"/>
    <w:rsid w:val="0002287C"/>
    <w:rsid w:val="00024976"/>
    <w:rsid w:val="00024C03"/>
    <w:rsid w:val="000250F2"/>
    <w:rsid w:val="00030D5D"/>
    <w:rsid w:val="000313EF"/>
    <w:rsid w:val="000333B3"/>
    <w:rsid w:val="00037AF5"/>
    <w:rsid w:val="0004125C"/>
    <w:rsid w:val="00042A02"/>
    <w:rsid w:val="00042EC4"/>
    <w:rsid w:val="00044AEF"/>
    <w:rsid w:val="00050526"/>
    <w:rsid w:val="00050A8C"/>
    <w:rsid w:val="00051100"/>
    <w:rsid w:val="000511A1"/>
    <w:rsid w:val="0005645B"/>
    <w:rsid w:val="00060663"/>
    <w:rsid w:val="00061A11"/>
    <w:rsid w:val="00065546"/>
    <w:rsid w:val="00065DDE"/>
    <w:rsid w:val="0006780E"/>
    <w:rsid w:val="00067EE3"/>
    <w:rsid w:val="00072607"/>
    <w:rsid w:val="00075778"/>
    <w:rsid w:val="00081454"/>
    <w:rsid w:val="0008170C"/>
    <w:rsid w:val="00085B86"/>
    <w:rsid w:val="0009262E"/>
    <w:rsid w:val="00096039"/>
    <w:rsid w:val="000A058C"/>
    <w:rsid w:val="000A06D8"/>
    <w:rsid w:val="000A32AA"/>
    <w:rsid w:val="000A6DB7"/>
    <w:rsid w:val="000A7F6A"/>
    <w:rsid w:val="000B51CE"/>
    <w:rsid w:val="000B5DCC"/>
    <w:rsid w:val="000D0C93"/>
    <w:rsid w:val="000D4042"/>
    <w:rsid w:val="000E015C"/>
    <w:rsid w:val="000E09A7"/>
    <w:rsid w:val="000E1EB6"/>
    <w:rsid w:val="000E3B72"/>
    <w:rsid w:val="000E524C"/>
    <w:rsid w:val="000E673D"/>
    <w:rsid w:val="000F25CC"/>
    <w:rsid w:val="000F34F1"/>
    <w:rsid w:val="000F4211"/>
    <w:rsid w:val="000F466E"/>
    <w:rsid w:val="000F5513"/>
    <w:rsid w:val="00100206"/>
    <w:rsid w:val="00100D1D"/>
    <w:rsid w:val="0010168A"/>
    <w:rsid w:val="00101A7C"/>
    <w:rsid w:val="0010309A"/>
    <w:rsid w:val="00107D2D"/>
    <w:rsid w:val="001116EC"/>
    <w:rsid w:val="00111B37"/>
    <w:rsid w:val="0011450E"/>
    <w:rsid w:val="00114865"/>
    <w:rsid w:val="00114D3B"/>
    <w:rsid w:val="001158DA"/>
    <w:rsid w:val="00120A56"/>
    <w:rsid w:val="00121361"/>
    <w:rsid w:val="00123338"/>
    <w:rsid w:val="0012420F"/>
    <w:rsid w:val="00125D4A"/>
    <w:rsid w:val="001263B3"/>
    <w:rsid w:val="00130D53"/>
    <w:rsid w:val="00132D5A"/>
    <w:rsid w:val="00135DFE"/>
    <w:rsid w:val="00137E2B"/>
    <w:rsid w:val="001410DF"/>
    <w:rsid w:val="00142641"/>
    <w:rsid w:val="001453C2"/>
    <w:rsid w:val="0015189F"/>
    <w:rsid w:val="00153570"/>
    <w:rsid w:val="0015381C"/>
    <w:rsid w:val="00154485"/>
    <w:rsid w:val="00154A45"/>
    <w:rsid w:val="00161885"/>
    <w:rsid w:val="0016488F"/>
    <w:rsid w:val="00164B0E"/>
    <w:rsid w:val="0016564D"/>
    <w:rsid w:val="0017154D"/>
    <w:rsid w:val="00173551"/>
    <w:rsid w:val="00177376"/>
    <w:rsid w:val="00180A61"/>
    <w:rsid w:val="00180C71"/>
    <w:rsid w:val="00181B61"/>
    <w:rsid w:val="00181F1F"/>
    <w:rsid w:val="00185514"/>
    <w:rsid w:val="00186273"/>
    <w:rsid w:val="0018795A"/>
    <w:rsid w:val="00194217"/>
    <w:rsid w:val="00195243"/>
    <w:rsid w:val="001956F0"/>
    <w:rsid w:val="00197872"/>
    <w:rsid w:val="001A07D0"/>
    <w:rsid w:val="001A314C"/>
    <w:rsid w:val="001A6454"/>
    <w:rsid w:val="001B002B"/>
    <w:rsid w:val="001B1AE7"/>
    <w:rsid w:val="001B2FD4"/>
    <w:rsid w:val="001B3E5D"/>
    <w:rsid w:val="001B5ADE"/>
    <w:rsid w:val="001B5DD3"/>
    <w:rsid w:val="001B66DD"/>
    <w:rsid w:val="001C160B"/>
    <w:rsid w:val="001C1D4C"/>
    <w:rsid w:val="001C2001"/>
    <w:rsid w:val="001C6C93"/>
    <w:rsid w:val="001D18CC"/>
    <w:rsid w:val="001D28B7"/>
    <w:rsid w:val="001E1346"/>
    <w:rsid w:val="001E173B"/>
    <w:rsid w:val="001E5692"/>
    <w:rsid w:val="001F034D"/>
    <w:rsid w:val="001F0599"/>
    <w:rsid w:val="001F065D"/>
    <w:rsid w:val="001F3700"/>
    <w:rsid w:val="001F596C"/>
    <w:rsid w:val="001F59FC"/>
    <w:rsid w:val="00200F36"/>
    <w:rsid w:val="00202BF7"/>
    <w:rsid w:val="00204E9F"/>
    <w:rsid w:val="0020553C"/>
    <w:rsid w:val="0021388C"/>
    <w:rsid w:val="00213D41"/>
    <w:rsid w:val="002158C9"/>
    <w:rsid w:val="00216662"/>
    <w:rsid w:val="002166DE"/>
    <w:rsid w:val="002207D8"/>
    <w:rsid w:val="002247DC"/>
    <w:rsid w:val="002259B3"/>
    <w:rsid w:val="002336B8"/>
    <w:rsid w:val="00235CBD"/>
    <w:rsid w:val="0023745E"/>
    <w:rsid w:val="002378DA"/>
    <w:rsid w:val="00241667"/>
    <w:rsid w:val="00242634"/>
    <w:rsid w:val="00242661"/>
    <w:rsid w:val="00242918"/>
    <w:rsid w:val="00243980"/>
    <w:rsid w:val="00245180"/>
    <w:rsid w:val="0024531B"/>
    <w:rsid w:val="00250E75"/>
    <w:rsid w:val="00251822"/>
    <w:rsid w:val="00253800"/>
    <w:rsid w:val="002561D6"/>
    <w:rsid w:val="0026088D"/>
    <w:rsid w:val="002628E4"/>
    <w:rsid w:val="002639FD"/>
    <w:rsid w:val="00267650"/>
    <w:rsid w:val="00270B83"/>
    <w:rsid w:val="0027183E"/>
    <w:rsid w:val="002725DB"/>
    <w:rsid w:val="002733CC"/>
    <w:rsid w:val="00274691"/>
    <w:rsid w:val="00274B39"/>
    <w:rsid w:val="00280333"/>
    <w:rsid w:val="0028060D"/>
    <w:rsid w:val="00280C40"/>
    <w:rsid w:val="0028507B"/>
    <w:rsid w:val="002907B6"/>
    <w:rsid w:val="00291639"/>
    <w:rsid w:val="002934F1"/>
    <w:rsid w:val="00295BFB"/>
    <w:rsid w:val="00295D3D"/>
    <w:rsid w:val="002A2E90"/>
    <w:rsid w:val="002A572D"/>
    <w:rsid w:val="002A6C8E"/>
    <w:rsid w:val="002A721A"/>
    <w:rsid w:val="002B041F"/>
    <w:rsid w:val="002B41C7"/>
    <w:rsid w:val="002B4C53"/>
    <w:rsid w:val="002B666F"/>
    <w:rsid w:val="002B694B"/>
    <w:rsid w:val="002C35A6"/>
    <w:rsid w:val="002C7C2A"/>
    <w:rsid w:val="002D0236"/>
    <w:rsid w:val="002D0FCA"/>
    <w:rsid w:val="002D2C88"/>
    <w:rsid w:val="002D3F0C"/>
    <w:rsid w:val="002D47A3"/>
    <w:rsid w:val="002D7B3F"/>
    <w:rsid w:val="002D7D3A"/>
    <w:rsid w:val="002E16FE"/>
    <w:rsid w:val="002E2322"/>
    <w:rsid w:val="002E2419"/>
    <w:rsid w:val="002E3A44"/>
    <w:rsid w:val="002E6446"/>
    <w:rsid w:val="002E6B41"/>
    <w:rsid w:val="002F0D8D"/>
    <w:rsid w:val="002F34A5"/>
    <w:rsid w:val="002F42CD"/>
    <w:rsid w:val="002F4449"/>
    <w:rsid w:val="002F7730"/>
    <w:rsid w:val="003019F1"/>
    <w:rsid w:val="003051C5"/>
    <w:rsid w:val="00310D5F"/>
    <w:rsid w:val="00311BFE"/>
    <w:rsid w:val="003150E0"/>
    <w:rsid w:val="00323A23"/>
    <w:rsid w:val="00326804"/>
    <w:rsid w:val="00331009"/>
    <w:rsid w:val="0033109A"/>
    <w:rsid w:val="00333076"/>
    <w:rsid w:val="003348D3"/>
    <w:rsid w:val="00336EB0"/>
    <w:rsid w:val="0034376D"/>
    <w:rsid w:val="00344C09"/>
    <w:rsid w:val="003465A5"/>
    <w:rsid w:val="00346E42"/>
    <w:rsid w:val="0035067A"/>
    <w:rsid w:val="00350AB4"/>
    <w:rsid w:val="00350D41"/>
    <w:rsid w:val="00352F10"/>
    <w:rsid w:val="00356281"/>
    <w:rsid w:val="00357BFD"/>
    <w:rsid w:val="00361EAC"/>
    <w:rsid w:val="003628C0"/>
    <w:rsid w:val="00362B13"/>
    <w:rsid w:val="00362F50"/>
    <w:rsid w:val="00366894"/>
    <w:rsid w:val="00367BFB"/>
    <w:rsid w:val="00370660"/>
    <w:rsid w:val="00371E19"/>
    <w:rsid w:val="00371FCE"/>
    <w:rsid w:val="0037329C"/>
    <w:rsid w:val="00373A58"/>
    <w:rsid w:val="003802A1"/>
    <w:rsid w:val="00380CD6"/>
    <w:rsid w:val="00381825"/>
    <w:rsid w:val="003865B2"/>
    <w:rsid w:val="003869C0"/>
    <w:rsid w:val="00390A58"/>
    <w:rsid w:val="00391E5D"/>
    <w:rsid w:val="00393F3D"/>
    <w:rsid w:val="00394935"/>
    <w:rsid w:val="0039638F"/>
    <w:rsid w:val="003A305B"/>
    <w:rsid w:val="003A4F10"/>
    <w:rsid w:val="003B01A0"/>
    <w:rsid w:val="003B3786"/>
    <w:rsid w:val="003B3B95"/>
    <w:rsid w:val="003B6C9B"/>
    <w:rsid w:val="003C2F2B"/>
    <w:rsid w:val="003C7A78"/>
    <w:rsid w:val="003D0819"/>
    <w:rsid w:val="003D274C"/>
    <w:rsid w:val="003D2AA0"/>
    <w:rsid w:val="003D5EE8"/>
    <w:rsid w:val="003D752E"/>
    <w:rsid w:val="003E07BE"/>
    <w:rsid w:val="003E38B0"/>
    <w:rsid w:val="003E4601"/>
    <w:rsid w:val="003F1D70"/>
    <w:rsid w:val="003F300D"/>
    <w:rsid w:val="003F51B9"/>
    <w:rsid w:val="003F5278"/>
    <w:rsid w:val="003F5A57"/>
    <w:rsid w:val="003F75CE"/>
    <w:rsid w:val="00400689"/>
    <w:rsid w:val="00404A2C"/>
    <w:rsid w:val="00406200"/>
    <w:rsid w:val="004135DD"/>
    <w:rsid w:val="00414466"/>
    <w:rsid w:val="00414888"/>
    <w:rsid w:val="00421F21"/>
    <w:rsid w:val="00424301"/>
    <w:rsid w:val="00425C63"/>
    <w:rsid w:val="0043011E"/>
    <w:rsid w:val="0043022E"/>
    <w:rsid w:val="0043386E"/>
    <w:rsid w:val="004365E1"/>
    <w:rsid w:val="00441151"/>
    <w:rsid w:val="00442CF6"/>
    <w:rsid w:val="00443361"/>
    <w:rsid w:val="00446739"/>
    <w:rsid w:val="00446931"/>
    <w:rsid w:val="0045042B"/>
    <w:rsid w:val="00453028"/>
    <w:rsid w:val="00454A07"/>
    <w:rsid w:val="00457C60"/>
    <w:rsid w:val="00462153"/>
    <w:rsid w:val="0046619A"/>
    <w:rsid w:val="00466477"/>
    <w:rsid w:val="00466799"/>
    <w:rsid w:val="00467988"/>
    <w:rsid w:val="00471B5A"/>
    <w:rsid w:val="004724C0"/>
    <w:rsid w:val="004744B8"/>
    <w:rsid w:val="00476577"/>
    <w:rsid w:val="00477DD7"/>
    <w:rsid w:val="004812F0"/>
    <w:rsid w:val="00490C09"/>
    <w:rsid w:val="0049225D"/>
    <w:rsid w:val="004931AD"/>
    <w:rsid w:val="00493648"/>
    <w:rsid w:val="004954A2"/>
    <w:rsid w:val="00497401"/>
    <w:rsid w:val="004A0DCA"/>
    <w:rsid w:val="004A1214"/>
    <w:rsid w:val="004A1E80"/>
    <w:rsid w:val="004A2B77"/>
    <w:rsid w:val="004A34BD"/>
    <w:rsid w:val="004A6CE5"/>
    <w:rsid w:val="004B51BB"/>
    <w:rsid w:val="004B565D"/>
    <w:rsid w:val="004C11B8"/>
    <w:rsid w:val="004C139D"/>
    <w:rsid w:val="004C1E7A"/>
    <w:rsid w:val="004C489C"/>
    <w:rsid w:val="004C5125"/>
    <w:rsid w:val="004C6D23"/>
    <w:rsid w:val="004C79D7"/>
    <w:rsid w:val="004D11E0"/>
    <w:rsid w:val="004D178E"/>
    <w:rsid w:val="004D19CF"/>
    <w:rsid w:val="004D674E"/>
    <w:rsid w:val="004D762B"/>
    <w:rsid w:val="004E59C6"/>
    <w:rsid w:val="004E5A3B"/>
    <w:rsid w:val="004E638C"/>
    <w:rsid w:val="004F0A2D"/>
    <w:rsid w:val="004F1823"/>
    <w:rsid w:val="004F3FBB"/>
    <w:rsid w:val="005008F6"/>
    <w:rsid w:val="0050242E"/>
    <w:rsid w:val="005025BF"/>
    <w:rsid w:val="00504BE3"/>
    <w:rsid w:val="00512544"/>
    <w:rsid w:val="0051309A"/>
    <w:rsid w:val="005155BB"/>
    <w:rsid w:val="00516E3A"/>
    <w:rsid w:val="0053435C"/>
    <w:rsid w:val="00540982"/>
    <w:rsid w:val="0054211B"/>
    <w:rsid w:val="0054281C"/>
    <w:rsid w:val="00544602"/>
    <w:rsid w:val="005459C5"/>
    <w:rsid w:val="005461C8"/>
    <w:rsid w:val="00546B92"/>
    <w:rsid w:val="00547820"/>
    <w:rsid w:val="00553367"/>
    <w:rsid w:val="00554D1A"/>
    <w:rsid w:val="0055569A"/>
    <w:rsid w:val="00555755"/>
    <w:rsid w:val="00556BE5"/>
    <w:rsid w:val="00556E33"/>
    <w:rsid w:val="00557736"/>
    <w:rsid w:val="00561660"/>
    <w:rsid w:val="00562C6C"/>
    <w:rsid w:val="00567B6D"/>
    <w:rsid w:val="00570DCD"/>
    <w:rsid w:val="00571987"/>
    <w:rsid w:val="00573478"/>
    <w:rsid w:val="00573625"/>
    <w:rsid w:val="0057604C"/>
    <w:rsid w:val="00576A6E"/>
    <w:rsid w:val="00577CC7"/>
    <w:rsid w:val="005803E5"/>
    <w:rsid w:val="005814E7"/>
    <w:rsid w:val="00583325"/>
    <w:rsid w:val="005907BA"/>
    <w:rsid w:val="00592D1B"/>
    <w:rsid w:val="00595C70"/>
    <w:rsid w:val="00596D92"/>
    <w:rsid w:val="005A0F48"/>
    <w:rsid w:val="005A135E"/>
    <w:rsid w:val="005A30F9"/>
    <w:rsid w:val="005A36A1"/>
    <w:rsid w:val="005A54C6"/>
    <w:rsid w:val="005A54F8"/>
    <w:rsid w:val="005A5A79"/>
    <w:rsid w:val="005A6B68"/>
    <w:rsid w:val="005A6E24"/>
    <w:rsid w:val="005B3283"/>
    <w:rsid w:val="005B45E9"/>
    <w:rsid w:val="005B6007"/>
    <w:rsid w:val="005B746F"/>
    <w:rsid w:val="005C1418"/>
    <w:rsid w:val="005C3AEF"/>
    <w:rsid w:val="005C3D08"/>
    <w:rsid w:val="005C74DA"/>
    <w:rsid w:val="005D0AB8"/>
    <w:rsid w:val="005D25A9"/>
    <w:rsid w:val="005E0768"/>
    <w:rsid w:val="005E2539"/>
    <w:rsid w:val="005E3876"/>
    <w:rsid w:val="005E49B8"/>
    <w:rsid w:val="005E51C5"/>
    <w:rsid w:val="005E53CA"/>
    <w:rsid w:val="005F0DD5"/>
    <w:rsid w:val="005F10C5"/>
    <w:rsid w:val="005F1D84"/>
    <w:rsid w:val="005F3380"/>
    <w:rsid w:val="005F586A"/>
    <w:rsid w:val="005F5DBE"/>
    <w:rsid w:val="005F6524"/>
    <w:rsid w:val="00601404"/>
    <w:rsid w:val="006053FF"/>
    <w:rsid w:val="00606CF6"/>
    <w:rsid w:val="00607B04"/>
    <w:rsid w:val="00610706"/>
    <w:rsid w:val="00610C34"/>
    <w:rsid w:val="00613882"/>
    <w:rsid w:val="00615861"/>
    <w:rsid w:val="00616162"/>
    <w:rsid w:val="006219E8"/>
    <w:rsid w:val="00622CDC"/>
    <w:rsid w:val="00625425"/>
    <w:rsid w:val="00633720"/>
    <w:rsid w:val="006359B4"/>
    <w:rsid w:val="00641954"/>
    <w:rsid w:val="00641B84"/>
    <w:rsid w:val="00642F26"/>
    <w:rsid w:val="0064530A"/>
    <w:rsid w:val="00647AE9"/>
    <w:rsid w:val="00653240"/>
    <w:rsid w:val="006538B5"/>
    <w:rsid w:val="00655C04"/>
    <w:rsid w:val="00657206"/>
    <w:rsid w:val="00661522"/>
    <w:rsid w:val="006615C6"/>
    <w:rsid w:val="0066512B"/>
    <w:rsid w:val="0066728D"/>
    <w:rsid w:val="00667FC9"/>
    <w:rsid w:val="00670B7C"/>
    <w:rsid w:val="00670D71"/>
    <w:rsid w:val="00675E72"/>
    <w:rsid w:val="006766DA"/>
    <w:rsid w:val="006836C0"/>
    <w:rsid w:val="0068469F"/>
    <w:rsid w:val="00684A24"/>
    <w:rsid w:val="006911D5"/>
    <w:rsid w:val="00691FED"/>
    <w:rsid w:val="00692103"/>
    <w:rsid w:val="006924AA"/>
    <w:rsid w:val="00693088"/>
    <w:rsid w:val="0069479B"/>
    <w:rsid w:val="006966C5"/>
    <w:rsid w:val="006A046F"/>
    <w:rsid w:val="006A1433"/>
    <w:rsid w:val="006A2993"/>
    <w:rsid w:val="006A42B0"/>
    <w:rsid w:val="006B4BE4"/>
    <w:rsid w:val="006B5401"/>
    <w:rsid w:val="006B6037"/>
    <w:rsid w:val="006B6C88"/>
    <w:rsid w:val="006C56DF"/>
    <w:rsid w:val="006D097E"/>
    <w:rsid w:val="006D1C9C"/>
    <w:rsid w:val="006D272E"/>
    <w:rsid w:val="006D56B2"/>
    <w:rsid w:val="006D79F0"/>
    <w:rsid w:val="006E0296"/>
    <w:rsid w:val="006E3BA2"/>
    <w:rsid w:val="006F04EB"/>
    <w:rsid w:val="006F300C"/>
    <w:rsid w:val="006F36D5"/>
    <w:rsid w:val="006F4AD9"/>
    <w:rsid w:val="006F4FB7"/>
    <w:rsid w:val="006F59B5"/>
    <w:rsid w:val="006F5D35"/>
    <w:rsid w:val="007002E7"/>
    <w:rsid w:val="00703B26"/>
    <w:rsid w:val="0070412C"/>
    <w:rsid w:val="00705316"/>
    <w:rsid w:val="00705CDB"/>
    <w:rsid w:val="00707969"/>
    <w:rsid w:val="00710953"/>
    <w:rsid w:val="007118BE"/>
    <w:rsid w:val="00713F63"/>
    <w:rsid w:val="00723D91"/>
    <w:rsid w:val="00724BBF"/>
    <w:rsid w:val="00726F6C"/>
    <w:rsid w:val="007330A3"/>
    <w:rsid w:val="00734CB7"/>
    <w:rsid w:val="0073523D"/>
    <w:rsid w:val="00736803"/>
    <w:rsid w:val="00737AEC"/>
    <w:rsid w:val="00742254"/>
    <w:rsid w:val="007444A8"/>
    <w:rsid w:val="00745147"/>
    <w:rsid w:val="0075067F"/>
    <w:rsid w:val="007510BF"/>
    <w:rsid w:val="00752E75"/>
    <w:rsid w:val="00753A74"/>
    <w:rsid w:val="00762697"/>
    <w:rsid w:val="007631BD"/>
    <w:rsid w:val="00764859"/>
    <w:rsid w:val="00764D1B"/>
    <w:rsid w:val="00767FD7"/>
    <w:rsid w:val="007726B7"/>
    <w:rsid w:val="00774E7C"/>
    <w:rsid w:val="007752A2"/>
    <w:rsid w:val="00780A65"/>
    <w:rsid w:val="00780B6A"/>
    <w:rsid w:val="00784B2E"/>
    <w:rsid w:val="00785B64"/>
    <w:rsid w:val="007924F4"/>
    <w:rsid w:val="00794706"/>
    <w:rsid w:val="00795AA4"/>
    <w:rsid w:val="00795F73"/>
    <w:rsid w:val="0079744C"/>
    <w:rsid w:val="007A0558"/>
    <w:rsid w:val="007A096E"/>
    <w:rsid w:val="007A2F2D"/>
    <w:rsid w:val="007A3FF9"/>
    <w:rsid w:val="007A531F"/>
    <w:rsid w:val="007B1704"/>
    <w:rsid w:val="007B2FD3"/>
    <w:rsid w:val="007B4884"/>
    <w:rsid w:val="007B57F4"/>
    <w:rsid w:val="007B7C0B"/>
    <w:rsid w:val="007C14F2"/>
    <w:rsid w:val="007C4D93"/>
    <w:rsid w:val="007C4F88"/>
    <w:rsid w:val="007D1B51"/>
    <w:rsid w:val="007D7401"/>
    <w:rsid w:val="007D7971"/>
    <w:rsid w:val="007E012F"/>
    <w:rsid w:val="007E0624"/>
    <w:rsid w:val="007E366A"/>
    <w:rsid w:val="007E4AFD"/>
    <w:rsid w:val="007E758A"/>
    <w:rsid w:val="007F24D5"/>
    <w:rsid w:val="007F2F5B"/>
    <w:rsid w:val="007F5804"/>
    <w:rsid w:val="00801988"/>
    <w:rsid w:val="00806E59"/>
    <w:rsid w:val="00807224"/>
    <w:rsid w:val="008121D9"/>
    <w:rsid w:val="00814D0A"/>
    <w:rsid w:val="008151B3"/>
    <w:rsid w:val="0081608D"/>
    <w:rsid w:val="00817080"/>
    <w:rsid w:val="0082341A"/>
    <w:rsid w:val="00823894"/>
    <w:rsid w:val="00823D80"/>
    <w:rsid w:val="00830822"/>
    <w:rsid w:val="0083232A"/>
    <w:rsid w:val="00835EA0"/>
    <w:rsid w:val="008361E4"/>
    <w:rsid w:val="00837A0C"/>
    <w:rsid w:val="00841078"/>
    <w:rsid w:val="008417B1"/>
    <w:rsid w:val="008475F6"/>
    <w:rsid w:val="00847E69"/>
    <w:rsid w:val="0085235F"/>
    <w:rsid w:val="00861420"/>
    <w:rsid w:val="00866135"/>
    <w:rsid w:val="00866C43"/>
    <w:rsid w:val="008672B2"/>
    <w:rsid w:val="00870A0E"/>
    <w:rsid w:val="00870A46"/>
    <w:rsid w:val="0087318F"/>
    <w:rsid w:val="008735D0"/>
    <w:rsid w:val="00876304"/>
    <w:rsid w:val="00883B44"/>
    <w:rsid w:val="00885C36"/>
    <w:rsid w:val="00890AB5"/>
    <w:rsid w:val="00891583"/>
    <w:rsid w:val="00891722"/>
    <w:rsid w:val="008920B6"/>
    <w:rsid w:val="008A0104"/>
    <w:rsid w:val="008A2292"/>
    <w:rsid w:val="008A2A41"/>
    <w:rsid w:val="008A5E69"/>
    <w:rsid w:val="008B13AF"/>
    <w:rsid w:val="008B1E5E"/>
    <w:rsid w:val="008B1E7B"/>
    <w:rsid w:val="008B50DA"/>
    <w:rsid w:val="008B52B5"/>
    <w:rsid w:val="008B7E13"/>
    <w:rsid w:val="008C2A70"/>
    <w:rsid w:val="008C6584"/>
    <w:rsid w:val="008C75B3"/>
    <w:rsid w:val="008C7DF4"/>
    <w:rsid w:val="008D3156"/>
    <w:rsid w:val="008D5197"/>
    <w:rsid w:val="008D5987"/>
    <w:rsid w:val="008D753D"/>
    <w:rsid w:val="008D7E23"/>
    <w:rsid w:val="008E0F3B"/>
    <w:rsid w:val="008E6DF6"/>
    <w:rsid w:val="008E6F2B"/>
    <w:rsid w:val="008F1DF6"/>
    <w:rsid w:val="008F2890"/>
    <w:rsid w:val="008F2908"/>
    <w:rsid w:val="008F314B"/>
    <w:rsid w:val="008F6172"/>
    <w:rsid w:val="008F76CD"/>
    <w:rsid w:val="009013D7"/>
    <w:rsid w:val="00904669"/>
    <w:rsid w:val="0090705D"/>
    <w:rsid w:val="009132E8"/>
    <w:rsid w:val="00921AE7"/>
    <w:rsid w:val="00922E4E"/>
    <w:rsid w:val="00923C21"/>
    <w:rsid w:val="0092620D"/>
    <w:rsid w:val="009301FD"/>
    <w:rsid w:val="009342DC"/>
    <w:rsid w:val="00934565"/>
    <w:rsid w:val="00941559"/>
    <w:rsid w:val="00941E51"/>
    <w:rsid w:val="00943BEB"/>
    <w:rsid w:val="00944B1D"/>
    <w:rsid w:val="00947C46"/>
    <w:rsid w:val="009524A0"/>
    <w:rsid w:val="009543D9"/>
    <w:rsid w:val="0095516E"/>
    <w:rsid w:val="00960A66"/>
    <w:rsid w:val="00965B67"/>
    <w:rsid w:val="009722B7"/>
    <w:rsid w:val="00973D84"/>
    <w:rsid w:val="009769AB"/>
    <w:rsid w:val="00982C05"/>
    <w:rsid w:val="009832A6"/>
    <w:rsid w:val="0098674B"/>
    <w:rsid w:val="009870E5"/>
    <w:rsid w:val="0099235D"/>
    <w:rsid w:val="009965E6"/>
    <w:rsid w:val="00997B3A"/>
    <w:rsid w:val="009A1F63"/>
    <w:rsid w:val="009A43EE"/>
    <w:rsid w:val="009A7938"/>
    <w:rsid w:val="009B0ADE"/>
    <w:rsid w:val="009B0F1F"/>
    <w:rsid w:val="009B49C2"/>
    <w:rsid w:val="009B4D43"/>
    <w:rsid w:val="009C1581"/>
    <w:rsid w:val="009C3067"/>
    <w:rsid w:val="009C3226"/>
    <w:rsid w:val="009C559E"/>
    <w:rsid w:val="009C587D"/>
    <w:rsid w:val="009C6089"/>
    <w:rsid w:val="009C75E8"/>
    <w:rsid w:val="009D277B"/>
    <w:rsid w:val="009D6610"/>
    <w:rsid w:val="009E0108"/>
    <w:rsid w:val="009E09F6"/>
    <w:rsid w:val="009E697F"/>
    <w:rsid w:val="009E6BBD"/>
    <w:rsid w:val="009F1D7F"/>
    <w:rsid w:val="009F3A84"/>
    <w:rsid w:val="009F7950"/>
    <w:rsid w:val="00A01DB7"/>
    <w:rsid w:val="00A02940"/>
    <w:rsid w:val="00A05B3E"/>
    <w:rsid w:val="00A072B4"/>
    <w:rsid w:val="00A12B5A"/>
    <w:rsid w:val="00A15CAC"/>
    <w:rsid w:val="00A15E78"/>
    <w:rsid w:val="00A1607D"/>
    <w:rsid w:val="00A20D18"/>
    <w:rsid w:val="00A2206A"/>
    <w:rsid w:val="00A23B49"/>
    <w:rsid w:val="00A26E81"/>
    <w:rsid w:val="00A3185B"/>
    <w:rsid w:val="00A32714"/>
    <w:rsid w:val="00A32C31"/>
    <w:rsid w:val="00A34D66"/>
    <w:rsid w:val="00A42988"/>
    <w:rsid w:val="00A46E17"/>
    <w:rsid w:val="00A46F34"/>
    <w:rsid w:val="00A510D7"/>
    <w:rsid w:val="00A530E9"/>
    <w:rsid w:val="00A53D84"/>
    <w:rsid w:val="00A56134"/>
    <w:rsid w:val="00A562A9"/>
    <w:rsid w:val="00A568C6"/>
    <w:rsid w:val="00A6233A"/>
    <w:rsid w:val="00A65198"/>
    <w:rsid w:val="00A672C7"/>
    <w:rsid w:val="00A70361"/>
    <w:rsid w:val="00A73AF6"/>
    <w:rsid w:val="00A7529E"/>
    <w:rsid w:val="00A81133"/>
    <w:rsid w:val="00A81177"/>
    <w:rsid w:val="00A8179C"/>
    <w:rsid w:val="00A82115"/>
    <w:rsid w:val="00A85C7A"/>
    <w:rsid w:val="00A86558"/>
    <w:rsid w:val="00A91029"/>
    <w:rsid w:val="00A923DB"/>
    <w:rsid w:val="00A92C87"/>
    <w:rsid w:val="00A932E4"/>
    <w:rsid w:val="00A951D9"/>
    <w:rsid w:val="00A963EF"/>
    <w:rsid w:val="00AA0DE5"/>
    <w:rsid w:val="00AA1015"/>
    <w:rsid w:val="00AB178B"/>
    <w:rsid w:val="00AB1F0E"/>
    <w:rsid w:val="00AB2045"/>
    <w:rsid w:val="00AB43A4"/>
    <w:rsid w:val="00AB4C23"/>
    <w:rsid w:val="00AB53C4"/>
    <w:rsid w:val="00AC056A"/>
    <w:rsid w:val="00AC05AB"/>
    <w:rsid w:val="00AD2DE0"/>
    <w:rsid w:val="00AE2372"/>
    <w:rsid w:val="00AE3D3D"/>
    <w:rsid w:val="00AE3E33"/>
    <w:rsid w:val="00AE462E"/>
    <w:rsid w:val="00AE4E32"/>
    <w:rsid w:val="00AE59FD"/>
    <w:rsid w:val="00AE5EAF"/>
    <w:rsid w:val="00AE631B"/>
    <w:rsid w:val="00AE7FE6"/>
    <w:rsid w:val="00AF3793"/>
    <w:rsid w:val="00AF5D10"/>
    <w:rsid w:val="00AF635B"/>
    <w:rsid w:val="00AF6B7F"/>
    <w:rsid w:val="00AF6C33"/>
    <w:rsid w:val="00B01007"/>
    <w:rsid w:val="00B03F40"/>
    <w:rsid w:val="00B0484C"/>
    <w:rsid w:val="00B0645E"/>
    <w:rsid w:val="00B148A8"/>
    <w:rsid w:val="00B16E52"/>
    <w:rsid w:val="00B2634B"/>
    <w:rsid w:val="00B315F9"/>
    <w:rsid w:val="00B316DB"/>
    <w:rsid w:val="00B33178"/>
    <w:rsid w:val="00B338A0"/>
    <w:rsid w:val="00B35584"/>
    <w:rsid w:val="00B413F4"/>
    <w:rsid w:val="00B43AF0"/>
    <w:rsid w:val="00B46E70"/>
    <w:rsid w:val="00B528A9"/>
    <w:rsid w:val="00B52ED8"/>
    <w:rsid w:val="00B53080"/>
    <w:rsid w:val="00B55CD6"/>
    <w:rsid w:val="00B63318"/>
    <w:rsid w:val="00B634C2"/>
    <w:rsid w:val="00B660BA"/>
    <w:rsid w:val="00B6644E"/>
    <w:rsid w:val="00B706D1"/>
    <w:rsid w:val="00B732C8"/>
    <w:rsid w:val="00B760E4"/>
    <w:rsid w:val="00B806EB"/>
    <w:rsid w:val="00B808CD"/>
    <w:rsid w:val="00B80BD3"/>
    <w:rsid w:val="00B83663"/>
    <w:rsid w:val="00B90931"/>
    <w:rsid w:val="00B92679"/>
    <w:rsid w:val="00B92C3C"/>
    <w:rsid w:val="00B94A8A"/>
    <w:rsid w:val="00B969C4"/>
    <w:rsid w:val="00BA20F3"/>
    <w:rsid w:val="00BA2E37"/>
    <w:rsid w:val="00BA3A54"/>
    <w:rsid w:val="00BB1EB3"/>
    <w:rsid w:val="00BB452B"/>
    <w:rsid w:val="00BB7719"/>
    <w:rsid w:val="00BC02EA"/>
    <w:rsid w:val="00BC3D88"/>
    <w:rsid w:val="00BC4575"/>
    <w:rsid w:val="00BC4DBB"/>
    <w:rsid w:val="00BC4E32"/>
    <w:rsid w:val="00BC6A3D"/>
    <w:rsid w:val="00BD0A49"/>
    <w:rsid w:val="00BD727B"/>
    <w:rsid w:val="00BE2A2D"/>
    <w:rsid w:val="00BF736A"/>
    <w:rsid w:val="00C016D7"/>
    <w:rsid w:val="00C033B7"/>
    <w:rsid w:val="00C03B8E"/>
    <w:rsid w:val="00C10CD7"/>
    <w:rsid w:val="00C11622"/>
    <w:rsid w:val="00C11B24"/>
    <w:rsid w:val="00C150ED"/>
    <w:rsid w:val="00C15F7B"/>
    <w:rsid w:val="00C168D2"/>
    <w:rsid w:val="00C17B5F"/>
    <w:rsid w:val="00C2024E"/>
    <w:rsid w:val="00C3081A"/>
    <w:rsid w:val="00C32C9F"/>
    <w:rsid w:val="00C343DE"/>
    <w:rsid w:val="00C36F87"/>
    <w:rsid w:val="00C4371D"/>
    <w:rsid w:val="00C4511D"/>
    <w:rsid w:val="00C47854"/>
    <w:rsid w:val="00C51EB4"/>
    <w:rsid w:val="00C54B34"/>
    <w:rsid w:val="00C55922"/>
    <w:rsid w:val="00C57750"/>
    <w:rsid w:val="00C57B3C"/>
    <w:rsid w:val="00C610AE"/>
    <w:rsid w:val="00C62F26"/>
    <w:rsid w:val="00C63589"/>
    <w:rsid w:val="00C6396B"/>
    <w:rsid w:val="00C63A5F"/>
    <w:rsid w:val="00C66920"/>
    <w:rsid w:val="00C74475"/>
    <w:rsid w:val="00C747FD"/>
    <w:rsid w:val="00C75ED4"/>
    <w:rsid w:val="00C801DD"/>
    <w:rsid w:val="00C80358"/>
    <w:rsid w:val="00C86B56"/>
    <w:rsid w:val="00C95E9A"/>
    <w:rsid w:val="00C96716"/>
    <w:rsid w:val="00CA0BB8"/>
    <w:rsid w:val="00CB028C"/>
    <w:rsid w:val="00CB1D63"/>
    <w:rsid w:val="00CB5898"/>
    <w:rsid w:val="00CB6497"/>
    <w:rsid w:val="00CB7906"/>
    <w:rsid w:val="00CC2134"/>
    <w:rsid w:val="00CC2A6F"/>
    <w:rsid w:val="00CC2B25"/>
    <w:rsid w:val="00CC2FA3"/>
    <w:rsid w:val="00CD1877"/>
    <w:rsid w:val="00CD1E98"/>
    <w:rsid w:val="00CD2DCF"/>
    <w:rsid w:val="00CD789C"/>
    <w:rsid w:val="00CE06E9"/>
    <w:rsid w:val="00CE22BD"/>
    <w:rsid w:val="00CE44F3"/>
    <w:rsid w:val="00CF1218"/>
    <w:rsid w:val="00CF13EA"/>
    <w:rsid w:val="00CF2A70"/>
    <w:rsid w:val="00CF2E48"/>
    <w:rsid w:val="00CF4470"/>
    <w:rsid w:val="00CF4CC5"/>
    <w:rsid w:val="00CF515B"/>
    <w:rsid w:val="00CF5C59"/>
    <w:rsid w:val="00D02029"/>
    <w:rsid w:val="00D04A36"/>
    <w:rsid w:val="00D076E5"/>
    <w:rsid w:val="00D0773B"/>
    <w:rsid w:val="00D10D63"/>
    <w:rsid w:val="00D11DA3"/>
    <w:rsid w:val="00D1457D"/>
    <w:rsid w:val="00D165E0"/>
    <w:rsid w:val="00D177B7"/>
    <w:rsid w:val="00D20292"/>
    <w:rsid w:val="00D20E4C"/>
    <w:rsid w:val="00D220BF"/>
    <w:rsid w:val="00D23685"/>
    <w:rsid w:val="00D2415C"/>
    <w:rsid w:val="00D33856"/>
    <w:rsid w:val="00D34321"/>
    <w:rsid w:val="00D36778"/>
    <w:rsid w:val="00D44B51"/>
    <w:rsid w:val="00D45A3A"/>
    <w:rsid w:val="00D46814"/>
    <w:rsid w:val="00D50141"/>
    <w:rsid w:val="00D530E1"/>
    <w:rsid w:val="00D60883"/>
    <w:rsid w:val="00D62027"/>
    <w:rsid w:val="00D63052"/>
    <w:rsid w:val="00D652F1"/>
    <w:rsid w:val="00D6553C"/>
    <w:rsid w:val="00D65B28"/>
    <w:rsid w:val="00D67FFC"/>
    <w:rsid w:val="00D77927"/>
    <w:rsid w:val="00D81328"/>
    <w:rsid w:val="00D854C9"/>
    <w:rsid w:val="00D8710E"/>
    <w:rsid w:val="00D8727C"/>
    <w:rsid w:val="00D90AE2"/>
    <w:rsid w:val="00D92824"/>
    <w:rsid w:val="00D932ED"/>
    <w:rsid w:val="00DA2472"/>
    <w:rsid w:val="00DA412D"/>
    <w:rsid w:val="00DA4516"/>
    <w:rsid w:val="00DA6727"/>
    <w:rsid w:val="00DB2036"/>
    <w:rsid w:val="00DB206B"/>
    <w:rsid w:val="00DC2378"/>
    <w:rsid w:val="00DC5185"/>
    <w:rsid w:val="00DC5CB8"/>
    <w:rsid w:val="00DC6E58"/>
    <w:rsid w:val="00DD0DCA"/>
    <w:rsid w:val="00DD76BC"/>
    <w:rsid w:val="00DE0804"/>
    <w:rsid w:val="00DE0EB2"/>
    <w:rsid w:val="00DE205C"/>
    <w:rsid w:val="00DE31B1"/>
    <w:rsid w:val="00DE5689"/>
    <w:rsid w:val="00DE5E96"/>
    <w:rsid w:val="00DF09B2"/>
    <w:rsid w:val="00DF6248"/>
    <w:rsid w:val="00E00085"/>
    <w:rsid w:val="00E019BC"/>
    <w:rsid w:val="00E02DD3"/>
    <w:rsid w:val="00E03F42"/>
    <w:rsid w:val="00E043F2"/>
    <w:rsid w:val="00E04BC8"/>
    <w:rsid w:val="00E10DD8"/>
    <w:rsid w:val="00E13915"/>
    <w:rsid w:val="00E13FF7"/>
    <w:rsid w:val="00E1563A"/>
    <w:rsid w:val="00E209F5"/>
    <w:rsid w:val="00E20DDA"/>
    <w:rsid w:val="00E22AE0"/>
    <w:rsid w:val="00E23F40"/>
    <w:rsid w:val="00E26420"/>
    <w:rsid w:val="00E26819"/>
    <w:rsid w:val="00E270E9"/>
    <w:rsid w:val="00E31039"/>
    <w:rsid w:val="00E40A29"/>
    <w:rsid w:val="00E50281"/>
    <w:rsid w:val="00E51348"/>
    <w:rsid w:val="00E52182"/>
    <w:rsid w:val="00E53C81"/>
    <w:rsid w:val="00E5603A"/>
    <w:rsid w:val="00E709EA"/>
    <w:rsid w:val="00E72512"/>
    <w:rsid w:val="00E72E8F"/>
    <w:rsid w:val="00E72EA3"/>
    <w:rsid w:val="00E73AA4"/>
    <w:rsid w:val="00E800F3"/>
    <w:rsid w:val="00E82AEA"/>
    <w:rsid w:val="00E83575"/>
    <w:rsid w:val="00E838B7"/>
    <w:rsid w:val="00E83AD2"/>
    <w:rsid w:val="00E84C19"/>
    <w:rsid w:val="00E84E70"/>
    <w:rsid w:val="00E84FD2"/>
    <w:rsid w:val="00E85F13"/>
    <w:rsid w:val="00E87219"/>
    <w:rsid w:val="00E87B5E"/>
    <w:rsid w:val="00E90C96"/>
    <w:rsid w:val="00E92E77"/>
    <w:rsid w:val="00E930F0"/>
    <w:rsid w:val="00E9645B"/>
    <w:rsid w:val="00E97608"/>
    <w:rsid w:val="00EA4E47"/>
    <w:rsid w:val="00EA4E66"/>
    <w:rsid w:val="00EB34E7"/>
    <w:rsid w:val="00EB5306"/>
    <w:rsid w:val="00EB573B"/>
    <w:rsid w:val="00EB6321"/>
    <w:rsid w:val="00EB6C25"/>
    <w:rsid w:val="00EC04DF"/>
    <w:rsid w:val="00EC35E0"/>
    <w:rsid w:val="00EC3AEA"/>
    <w:rsid w:val="00EC6810"/>
    <w:rsid w:val="00EC7FDC"/>
    <w:rsid w:val="00ED2D1A"/>
    <w:rsid w:val="00ED532E"/>
    <w:rsid w:val="00ED5410"/>
    <w:rsid w:val="00ED64A3"/>
    <w:rsid w:val="00ED655C"/>
    <w:rsid w:val="00ED7DBC"/>
    <w:rsid w:val="00EE15CE"/>
    <w:rsid w:val="00EE1A3E"/>
    <w:rsid w:val="00EE4F2E"/>
    <w:rsid w:val="00EE6B73"/>
    <w:rsid w:val="00EF04A3"/>
    <w:rsid w:val="00F02AD7"/>
    <w:rsid w:val="00F030A7"/>
    <w:rsid w:val="00F04CFF"/>
    <w:rsid w:val="00F053F5"/>
    <w:rsid w:val="00F117DD"/>
    <w:rsid w:val="00F1288C"/>
    <w:rsid w:val="00F12FC0"/>
    <w:rsid w:val="00F1553F"/>
    <w:rsid w:val="00F15572"/>
    <w:rsid w:val="00F16A80"/>
    <w:rsid w:val="00F24DA3"/>
    <w:rsid w:val="00F30DCC"/>
    <w:rsid w:val="00F31888"/>
    <w:rsid w:val="00F32B3C"/>
    <w:rsid w:val="00F372ED"/>
    <w:rsid w:val="00F37F65"/>
    <w:rsid w:val="00F43FE0"/>
    <w:rsid w:val="00F44071"/>
    <w:rsid w:val="00F4462B"/>
    <w:rsid w:val="00F46E77"/>
    <w:rsid w:val="00F47B1A"/>
    <w:rsid w:val="00F516D4"/>
    <w:rsid w:val="00F537B1"/>
    <w:rsid w:val="00F562FE"/>
    <w:rsid w:val="00F57414"/>
    <w:rsid w:val="00F60126"/>
    <w:rsid w:val="00F601BA"/>
    <w:rsid w:val="00F60F4C"/>
    <w:rsid w:val="00F614BB"/>
    <w:rsid w:val="00F61E1F"/>
    <w:rsid w:val="00F67988"/>
    <w:rsid w:val="00F700FE"/>
    <w:rsid w:val="00F70263"/>
    <w:rsid w:val="00F70C45"/>
    <w:rsid w:val="00F72C2C"/>
    <w:rsid w:val="00F73095"/>
    <w:rsid w:val="00F76CC6"/>
    <w:rsid w:val="00F83839"/>
    <w:rsid w:val="00F8398E"/>
    <w:rsid w:val="00F84A72"/>
    <w:rsid w:val="00F856E9"/>
    <w:rsid w:val="00F863C5"/>
    <w:rsid w:val="00F86907"/>
    <w:rsid w:val="00F87F94"/>
    <w:rsid w:val="00F91D0D"/>
    <w:rsid w:val="00F929C8"/>
    <w:rsid w:val="00F96CAC"/>
    <w:rsid w:val="00F96F42"/>
    <w:rsid w:val="00FA0394"/>
    <w:rsid w:val="00FA0D9A"/>
    <w:rsid w:val="00FA1971"/>
    <w:rsid w:val="00FA1A0C"/>
    <w:rsid w:val="00FA707A"/>
    <w:rsid w:val="00FA7A0F"/>
    <w:rsid w:val="00FB0610"/>
    <w:rsid w:val="00FB0BBC"/>
    <w:rsid w:val="00FB1BB1"/>
    <w:rsid w:val="00FB2F3A"/>
    <w:rsid w:val="00FB39CD"/>
    <w:rsid w:val="00FB3F1C"/>
    <w:rsid w:val="00FB4146"/>
    <w:rsid w:val="00FB5347"/>
    <w:rsid w:val="00FC1B70"/>
    <w:rsid w:val="00FC29AA"/>
    <w:rsid w:val="00FC5D46"/>
    <w:rsid w:val="00FC66C8"/>
    <w:rsid w:val="00FE315A"/>
    <w:rsid w:val="00FE5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38DE5"/>
  <w15:docId w15:val="{B98B8FA9-D099-4042-96CE-4D3B6058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20D"/>
    <w:pPr>
      <w:spacing w:after="200" w:line="276" w:lineRule="auto"/>
    </w:pPr>
    <w:rPr>
      <w:sz w:val="22"/>
      <w:szCs w:val="22"/>
    </w:rPr>
  </w:style>
  <w:style w:type="paragraph" w:styleId="Ttulo1">
    <w:name w:val="heading 1"/>
    <w:aliases w:val="h:1,h:1app,H1,H11,Level 1,app heading 1,l1,h1,ITT t1,PA Chapter,Section Head,II+,I,Chapter Heading,1,Title1,H12,H111,H13,H112,H14,H113,H15,H114,H16,H115,H17,H116,H18,H117,H19,H118,H110,H119,H120,H1110,H121,H1111,H131,H1121,H141,H1131,H151,11"/>
    <w:basedOn w:val="Normal"/>
    <w:next w:val="Normal"/>
    <w:link w:val="Ttulo1Car"/>
    <w:autoRedefine/>
    <w:uiPriority w:val="99"/>
    <w:qFormat/>
    <w:rsid w:val="0024531B"/>
    <w:pPr>
      <w:keepNext/>
      <w:numPr>
        <w:numId w:val="1"/>
      </w:numPr>
      <w:spacing w:before="240" w:after="60" w:line="240" w:lineRule="auto"/>
      <w:contextualSpacing/>
      <w:jc w:val="both"/>
      <w:outlineLvl w:val="0"/>
    </w:pPr>
    <w:rPr>
      <w:b/>
      <w:sz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app Car,H1 Car,H11 Car,Level 1 Car,app heading 1 Car,l1 Car,h1 Car,ITT t1 Car,PA Chapter Car,Section Head Car,II+ Car,I Car,Chapter Heading Car,1 Car,Title1 Car,H12 Car,H111 Car,H13 Car,H112 Car,H14 Car,H113 Car,H15 Car,H114 Car"/>
    <w:link w:val="Ttulo1"/>
    <w:uiPriority w:val="99"/>
    <w:locked/>
    <w:rsid w:val="0024531B"/>
    <w:rPr>
      <w:b/>
      <w:sz w:val="28"/>
      <w:szCs w:val="22"/>
      <w:lang w:eastAsia="es-ES"/>
    </w:rPr>
  </w:style>
  <w:style w:type="paragraph" w:styleId="Textodeglobo">
    <w:name w:val="Balloon Text"/>
    <w:basedOn w:val="Normal"/>
    <w:link w:val="TextodegloboCar"/>
    <w:uiPriority w:val="99"/>
    <w:semiHidden/>
    <w:rsid w:val="00D652F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D652F1"/>
    <w:rPr>
      <w:rFonts w:ascii="Tahoma" w:hAnsi="Tahoma" w:cs="Tahoma"/>
      <w:sz w:val="16"/>
      <w:szCs w:val="16"/>
    </w:rPr>
  </w:style>
  <w:style w:type="table" w:styleId="Tablaconcuadrcula">
    <w:name w:val="Table Grid"/>
    <w:basedOn w:val="Tablanormal"/>
    <w:uiPriority w:val="99"/>
    <w:rsid w:val="000F2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669"/>
    <w:pPr>
      <w:ind w:left="720"/>
      <w:contextualSpacing/>
    </w:pPr>
  </w:style>
  <w:style w:type="table" w:styleId="Sombreadoclaro-nfasis5">
    <w:name w:val="Light Shading Accent 5"/>
    <w:basedOn w:val="Tablanormal"/>
    <w:uiPriority w:val="99"/>
    <w:rsid w:val="00D652F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staclara-nfasis11">
    <w:name w:val="Lista clara - Énfasis 11"/>
    <w:uiPriority w:val="99"/>
    <w:rsid w:val="00D652F1"/>
    <w:rPr>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uadrculamedia2-nfasis1">
    <w:name w:val="Medium Grid 2 Accent 1"/>
    <w:basedOn w:val="Tablanormal"/>
    <w:uiPriority w:val="99"/>
    <w:rsid w:val="00D652F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Sombreadoclaro-nfasis11">
    <w:name w:val="Sombreado claro - Énfasis 11"/>
    <w:uiPriority w:val="99"/>
    <w:rsid w:val="00707969"/>
    <w:rPr>
      <w:color w:val="365F91"/>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rsid w:val="0070796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Textodelmarcadordeposicin">
    <w:name w:val="Placeholder Text"/>
    <w:uiPriority w:val="99"/>
    <w:semiHidden/>
    <w:rsid w:val="00D65B28"/>
    <w:rPr>
      <w:rFonts w:cs="Times New Roman"/>
      <w:color w:val="808080"/>
    </w:rPr>
  </w:style>
  <w:style w:type="paragraph" w:styleId="Encabezado">
    <w:name w:val="header"/>
    <w:aliases w:val="Header/Footer,header odd,header odd1,header odd2,header odd3,header odd4,header odd5,header odd6,encabezado"/>
    <w:basedOn w:val="Normal"/>
    <w:link w:val="EncabezadoCar"/>
    <w:uiPriority w:val="99"/>
    <w:rsid w:val="00F60F4C"/>
    <w:pPr>
      <w:tabs>
        <w:tab w:val="center" w:pos="4419"/>
        <w:tab w:val="right" w:pos="8838"/>
      </w:tabs>
      <w:spacing w:after="0" w:line="240" w:lineRule="auto"/>
    </w:p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locked/>
    <w:rsid w:val="00F60F4C"/>
    <w:rPr>
      <w:rFonts w:cs="Times New Roman"/>
    </w:rPr>
  </w:style>
  <w:style w:type="paragraph" w:styleId="Piedepgina">
    <w:name w:val="footer"/>
    <w:basedOn w:val="Normal"/>
    <w:link w:val="PiedepginaCar"/>
    <w:uiPriority w:val="99"/>
    <w:rsid w:val="00F60F4C"/>
    <w:pPr>
      <w:tabs>
        <w:tab w:val="center" w:pos="4419"/>
        <w:tab w:val="right" w:pos="8838"/>
      </w:tabs>
      <w:spacing w:after="0" w:line="240" w:lineRule="auto"/>
    </w:pPr>
  </w:style>
  <w:style w:type="character" w:customStyle="1" w:styleId="PiedepginaCar">
    <w:name w:val="Pie de página Car"/>
    <w:link w:val="Piedepgina"/>
    <w:uiPriority w:val="99"/>
    <w:locked/>
    <w:rsid w:val="00F60F4C"/>
    <w:rPr>
      <w:rFonts w:cs="Times New Roman"/>
    </w:rPr>
  </w:style>
  <w:style w:type="paragraph" w:customStyle="1" w:styleId="DefinitionList">
    <w:name w:val="Definition List"/>
    <w:basedOn w:val="Normal"/>
    <w:next w:val="Normal"/>
    <w:uiPriority w:val="99"/>
    <w:rsid w:val="000333B3"/>
    <w:pPr>
      <w:spacing w:after="0" w:line="240" w:lineRule="auto"/>
      <w:ind w:left="360"/>
    </w:pPr>
    <w:rPr>
      <w:rFonts w:ascii="Times New Roman" w:hAnsi="Times New Roman"/>
      <w:sz w:val="24"/>
      <w:szCs w:val="20"/>
      <w:lang w:eastAsia="es-ES"/>
    </w:rPr>
  </w:style>
  <w:style w:type="paragraph" w:styleId="Ttulo">
    <w:name w:val="Title"/>
    <w:basedOn w:val="Normal"/>
    <w:link w:val="TtuloCar"/>
    <w:uiPriority w:val="99"/>
    <w:qFormat/>
    <w:rsid w:val="000333B3"/>
    <w:pPr>
      <w:spacing w:after="0" w:line="240" w:lineRule="auto"/>
      <w:jc w:val="center"/>
    </w:pPr>
    <w:rPr>
      <w:rFonts w:ascii="Verdana" w:hAnsi="Verdana"/>
      <w:b/>
      <w:sz w:val="20"/>
      <w:szCs w:val="20"/>
    </w:rPr>
  </w:style>
  <w:style w:type="character" w:customStyle="1" w:styleId="TtuloCar">
    <w:name w:val="Título Car"/>
    <w:link w:val="Ttulo"/>
    <w:uiPriority w:val="99"/>
    <w:locked/>
    <w:rsid w:val="000333B3"/>
    <w:rPr>
      <w:rFonts w:ascii="Verdana" w:hAnsi="Verdana" w:cs="Times New Roman"/>
      <w:b/>
      <w:sz w:val="20"/>
      <w:szCs w:val="20"/>
      <w:lang w:eastAsia="es-MX"/>
    </w:rPr>
  </w:style>
  <w:style w:type="paragraph" w:styleId="Mapadeldocumento">
    <w:name w:val="Document Map"/>
    <w:basedOn w:val="Normal"/>
    <w:link w:val="MapadeldocumentoCar"/>
    <w:uiPriority w:val="99"/>
    <w:semiHidden/>
    <w:rsid w:val="006F36D5"/>
    <w:pPr>
      <w:spacing w:after="0" w:line="240" w:lineRule="auto"/>
    </w:pPr>
    <w:rPr>
      <w:rFonts w:ascii="Tahoma" w:hAnsi="Tahoma" w:cs="Tahoma"/>
      <w:sz w:val="16"/>
      <w:szCs w:val="16"/>
    </w:rPr>
  </w:style>
  <w:style w:type="character" w:customStyle="1" w:styleId="MapadeldocumentoCar">
    <w:name w:val="Mapa del documento Car"/>
    <w:link w:val="Mapadeldocumento"/>
    <w:uiPriority w:val="99"/>
    <w:semiHidden/>
    <w:locked/>
    <w:rsid w:val="006F36D5"/>
    <w:rPr>
      <w:rFonts w:ascii="Tahoma" w:hAnsi="Tahoma" w:cs="Tahoma"/>
      <w:sz w:val="16"/>
      <w:szCs w:val="16"/>
    </w:rPr>
  </w:style>
  <w:style w:type="paragraph" w:customStyle="1" w:styleId="Texto1">
    <w:name w:val="Texto 1"/>
    <w:basedOn w:val="Normal"/>
    <w:uiPriority w:val="99"/>
    <w:rsid w:val="006B4BE4"/>
    <w:pPr>
      <w:spacing w:after="0" w:line="240" w:lineRule="auto"/>
      <w:ind w:left="352"/>
      <w:jc w:val="both"/>
    </w:pPr>
    <w:rPr>
      <w:rFonts w:ascii="Arial" w:hAnsi="Arial"/>
      <w:sz w:val="24"/>
      <w:szCs w:val="24"/>
      <w:lang w:val="es-ES_tradnl" w:eastAsia="es-ES"/>
    </w:rPr>
  </w:style>
  <w:style w:type="character" w:styleId="Refdecomentario">
    <w:name w:val="annotation reference"/>
    <w:uiPriority w:val="99"/>
    <w:semiHidden/>
    <w:rsid w:val="00FB0BBC"/>
    <w:rPr>
      <w:rFonts w:cs="Times New Roman"/>
      <w:sz w:val="16"/>
      <w:szCs w:val="16"/>
    </w:rPr>
  </w:style>
  <w:style w:type="paragraph" w:styleId="Textocomentario">
    <w:name w:val="annotation text"/>
    <w:basedOn w:val="Normal"/>
    <w:link w:val="TextocomentarioCar"/>
    <w:uiPriority w:val="99"/>
    <w:semiHidden/>
    <w:rsid w:val="00FB0BBC"/>
    <w:pPr>
      <w:spacing w:line="240" w:lineRule="auto"/>
    </w:pPr>
    <w:rPr>
      <w:sz w:val="20"/>
      <w:szCs w:val="20"/>
    </w:rPr>
  </w:style>
  <w:style w:type="character" w:customStyle="1" w:styleId="TextocomentarioCar">
    <w:name w:val="Texto comentario Car"/>
    <w:link w:val="Textocomentario"/>
    <w:uiPriority w:val="99"/>
    <w:semiHidden/>
    <w:locked/>
    <w:rsid w:val="00FB0BBC"/>
    <w:rPr>
      <w:rFonts w:cs="Times New Roman"/>
      <w:sz w:val="20"/>
      <w:szCs w:val="20"/>
    </w:rPr>
  </w:style>
  <w:style w:type="paragraph" w:styleId="Asuntodelcomentario">
    <w:name w:val="annotation subject"/>
    <w:basedOn w:val="Textocomentario"/>
    <w:next w:val="Textocomentario"/>
    <w:link w:val="AsuntodelcomentarioCar"/>
    <w:uiPriority w:val="99"/>
    <w:semiHidden/>
    <w:rsid w:val="00FB0BBC"/>
    <w:rPr>
      <w:b/>
      <w:bCs/>
    </w:rPr>
  </w:style>
  <w:style w:type="character" w:customStyle="1" w:styleId="AsuntodelcomentarioCar">
    <w:name w:val="Asunto del comentario Car"/>
    <w:link w:val="Asuntodelcomentario"/>
    <w:uiPriority w:val="99"/>
    <w:semiHidden/>
    <w:locked/>
    <w:rsid w:val="00FB0BBC"/>
    <w:rPr>
      <w:rFonts w:cs="Times New Roman"/>
      <w:b/>
      <w:bCs/>
      <w:sz w:val="20"/>
      <w:szCs w:val="2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1B5D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locked/>
    <w:rsid w:val="001B5DD3"/>
    <w:rPr>
      <w:rFonts w:cs="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
    <w:uiPriority w:val="99"/>
    <w:rsid w:val="001B5DD3"/>
    <w:rPr>
      <w:rFonts w:cs="Times New Roman"/>
      <w:vertAlign w:val="superscript"/>
    </w:rPr>
  </w:style>
  <w:style w:type="table" w:styleId="Cuadrculamedia2-nfasis3">
    <w:name w:val="Medium Grid 2 Accent 3"/>
    <w:basedOn w:val="Tablanormal"/>
    <w:uiPriority w:val="99"/>
    <w:rsid w:val="008A22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Cuadrculamedia1-nfasis1">
    <w:name w:val="Medium Grid 1 Accent 1"/>
    <w:basedOn w:val="Tablanormal"/>
    <w:uiPriority w:val="99"/>
    <w:rsid w:val="007B7C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Prrafodelista4">
    <w:name w:val="Párrafo de lista4"/>
    <w:basedOn w:val="Normal"/>
    <w:uiPriority w:val="99"/>
    <w:rsid w:val="0024531B"/>
    <w:pPr>
      <w:spacing w:after="0" w:line="360" w:lineRule="auto"/>
      <w:ind w:left="708"/>
    </w:pPr>
    <w:rPr>
      <w:rFonts w:ascii="Arial" w:hAnsi="Arial"/>
      <w:sz w:val="20"/>
      <w:szCs w:val="20"/>
      <w:lang w:val="es-ES_tradnl" w:eastAsia="es-ES"/>
    </w:rPr>
  </w:style>
  <w:style w:type="paragraph" w:styleId="Revisin">
    <w:name w:val="Revision"/>
    <w:hidden/>
    <w:uiPriority w:val="99"/>
    <w:semiHidden/>
    <w:rsid w:val="001C160B"/>
    <w:rPr>
      <w:sz w:val="22"/>
      <w:szCs w:val="22"/>
    </w:rPr>
  </w:style>
  <w:style w:type="paragraph" w:customStyle="1" w:styleId="IFTnormal">
    <w:name w:val="IFT normal"/>
    <w:basedOn w:val="Normal"/>
    <w:link w:val="IFTnormalCar"/>
    <w:qFormat/>
    <w:rsid w:val="00C2024E"/>
    <w:pPr>
      <w:jc w:val="both"/>
    </w:pPr>
    <w:rPr>
      <w:rFonts w:ascii="ITC Avant Garde" w:eastAsia="Calibri" w:hAnsi="ITC Avant Garde" w:cs="Calibri"/>
      <w:bCs/>
      <w:lang w:eastAsia="en-US"/>
    </w:rPr>
  </w:style>
  <w:style w:type="paragraph" w:customStyle="1" w:styleId="CondicionesFinales">
    <w:name w:val="CondicionesFinales"/>
    <w:basedOn w:val="Normal"/>
    <w:qFormat/>
    <w:rsid w:val="00C2024E"/>
    <w:pPr>
      <w:adjustRightInd w:val="0"/>
      <w:ind w:left="851" w:right="760"/>
      <w:jc w:val="both"/>
    </w:pPr>
    <w:rPr>
      <w:rFonts w:ascii="ITC Avant Garde" w:hAnsi="ITC Avant Garde" w:cs="Arial"/>
      <w:bCs/>
      <w:color w:val="000000"/>
      <w:lang w:val="es-ES_tradnl" w:eastAsia="es-ES"/>
    </w:rPr>
  </w:style>
  <w:style w:type="character" w:customStyle="1" w:styleId="IFTnormalCar">
    <w:name w:val="IFT normal Car"/>
    <w:link w:val="IFTnormal"/>
    <w:qFormat/>
    <w:rsid w:val="00C2024E"/>
    <w:rPr>
      <w:rFonts w:ascii="ITC Avant Garde" w:eastAsia="Calibri" w:hAnsi="ITC Avant Garde" w:cs="Calibri"/>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018">
      <w:bodyDiv w:val="1"/>
      <w:marLeft w:val="0"/>
      <w:marRight w:val="0"/>
      <w:marTop w:val="0"/>
      <w:marBottom w:val="0"/>
      <w:divBdr>
        <w:top w:val="none" w:sz="0" w:space="0" w:color="auto"/>
        <w:left w:val="none" w:sz="0" w:space="0" w:color="auto"/>
        <w:bottom w:val="none" w:sz="0" w:space="0" w:color="auto"/>
        <w:right w:val="none" w:sz="0" w:space="0" w:color="auto"/>
      </w:divBdr>
    </w:div>
    <w:div w:id="546374456">
      <w:bodyDiv w:val="1"/>
      <w:marLeft w:val="0"/>
      <w:marRight w:val="0"/>
      <w:marTop w:val="0"/>
      <w:marBottom w:val="0"/>
      <w:divBdr>
        <w:top w:val="none" w:sz="0" w:space="0" w:color="auto"/>
        <w:left w:val="none" w:sz="0" w:space="0" w:color="auto"/>
        <w:bottom w:val="none" w:sz="0" w:space="0" w:color="auto"/>
        <w:right w:val="none" w:sz="0" w:space="0" w:color="auto"/>
      </w:divBdr>
    </w:div>
    <w:div w:id="628170275">
      <w:bodyDiv w:val="1"/>
      <w:marLeft w:val="0"/>
      <w:marRight w:val="0"/>
      <w:marTop w:val="0"/>
      <w:marBottom w:val="0"/>
      <w:divBdr>
        <w:top w:val="none" w:sz="0" w:space="0" w:color="auto"/>
        <w:left w:val="none" w:sz="0" w:space="0" w:color="auto"/>
        <w:bottom w:val="none" w:sz="0" w:space="0" w:color="auto"/>
        <w:right w:val="none" w:sz="0" w:space="0" w:color="auto"/>
      </w:divBdr>
    </w:div>
    <w:div w:id="695927349">
      <w:bodyDiv w:val="1"/>
      <w:marLeft w:val="0"/>
      <w:marRight w:val="0"/>
      <w:marTop w:val="0"/>
      <w:marBottom w:val="0"/>
      <w:divBdr>
        <w:top w:val="none" w:sz="0" w:space="0" w:color="auto"/>
        <w:left w:val="none" w:sz="0" w:space="0" w:color="auto"/>
        <w:bottom w:val="none" w:sz="0" w:space="0" w:color="auto"/>
        <w:right w:val="none" w:sz="0" w:space="0" w:color="auto"/>
      </w:divBdr>
    </w:div>
    <w:div w:id="847259034">
      <w:bodyDiv w:val="1"/>
      <w:marLeft w:val="0"/>
      <w:marRight w:val="0"/>
      <w:marTop w:val="0"/>
      <w:marBottom w:val="0"/>
      <w:divBdr>
        <w:top w:val="none" w:sz="0" w:space="0" w:color="auto"/>
        <w:left w:val="none" w:sz="0" w:space="0" w:color="auto"/>
        <w:bottom w:val="none" w:sz="0" w:space="0" w:color="auto"/>
        <w:right w:val="none" w:sz="0" w:space="0" w:color="auto"/>
      </w:divBdr>
    </w:div>
    <w:div w:id="910967110">
      <w:bodyDiv w:val="1"/>
      <w:marLeft w:val="0"/>
      <w:marRight w:val="0"/>
      <w:marTop w:val="0"/>
      <w:marBottom w:val="0"/>
      <w:divBdr>
        <w:top w:val="none" w:sz="0" w:space="0" w:color="auto"/>
        <w:left w:val="none" w:sz="0" w:space="0" w:color="auto"/>
        <w:bottom w:val="none" w:sz="0" w:space="0" w:color="auto"/>
        <w:right w:val="none" w:sz="0" w:space="0" w:color="auto"/>
      </w:divBdr>
    </w:div>
    <w:div w:id="1106314671">
      <w:bodyDiv w:val="1"/>
      <w:marLeft w:val="0"/>
      <w:marRight w:val="0"/>
      <w:marTop w:val="0"/>
      <w:marBottom w:val="0"/>
      <w:divBdr>
        <w:top w:val="none" w:sz="0" w:space="0" w:color="auto"/>
        <w:left w:val="none" w:sz="0" w:space="0" w:color="auto"/>
        <w:bottom w:val="none" w:sz="0" w:space="0" w:color="auto"/>
        <w:right w:val="none" w:sz="0" w:space="0" w:color="auto"/>
      </w:divBdr>
    </w:div>
    <w:div w:id="1154833568">
      <w:bodyDiv w:val="1"/>
      <w:marLeft w:val="0"/>
      <w:marRight w:val="0"/>
      <w:marTop w:val="0"/>
      <w:marBottom w:val="0"/>
      <w:divBdr>
        <w:top w:val="none" w:sz="0" w:space="0" w:color="auto"/>
        <w:left w:val="none" w:sz="0" w:space="0" w:color="auto"/>
        <w:bottom w:val="none" w:sz="0" w:space="0" w:color="auto"/>
        <w:right w:val="none" w:sz="0" w:space="0" w:color="auto"/>
      </w:divBdr>
    </w:div>
    <w:div w:id="1303576704">
      <w:bodyDiv w:val="1"/>
      <w:marLeft w:val="0"/>
      <w:marRight w:val="0"/>
      <w:marTop w:val="0"/>
      <w:marBottom w:val="0"/>
      <w:divBdr>
        <w:top w:val="none" w:sz="0" w:space="0" w:color="auto"/>
        <w:left w:val="none" w:sz="0" w:space="0" w:color="auto"/>
        <w:bottom w:val="none" w:sz="0" w:space="0" w:color="auto"/>
        <w:right w:val="none" w:sz="0" w:space="0" w:color="auto"/>
      </w:divBdr>
    </w:div>
    <w:div w:id="1691027925">
      <w:marLeft w:val="0"/>
      <w:marRight w:val="0"/>
      <w:marTop w:val="0"/>
      <w:marBottom w:val="0"/>
      <w:divBdr>
        <w:top w:val="none" w:sz="0" w:space="0" w:color="auto"/>
        <w:left w:val="none" w:sz="0" w:space="0" w:color="auto"/>
        <w:bottom w:val="none" w:sz="0" w:space="0" w:color="auto"/>
        <w:right w:val="none" w:sz="0" w:space="0" w:color="auto"/>
      </w:divBdr>
    </w:div>
    <w:div w:id="1691027926">
      <w:marLeft w:val="0"/>
      <w:marRight w:val="0"/>
      <w:marTop w:val="0"/>
      <w:marBottom w:val="0"/>
      <w:divBdr>
        <w:top w:val="none" w:sz="0" w:space="0" w:color="auto"/>
        <w:left w:val="none" w:sz="0" w:space="0" w:color="auto"/>
        <w:bottom w:val="none" w:sz="0" w:space="0" w:color="auto"/>
        <w:right w:val="none" w:sz="0" w:space="0" w:color="auto"/>
      </w:divBdr>
    </w:div>
    <w:div w:id="1691027927">
      <w:marLeft w:val="0"/>
      <w:marRight w:val="0"/>
      <w:marTop w:val="0"/>
      <w:marBottom w:val="0"/>
      <w:divBdr>
        <w:top w:val="none" w:sz="0" w:space="0" w:color="auto"/>
        <w:left w:val="none" w:sz="0" w:space="0" w:color="auto"/>
        <w:bottom w:val="none" w:sz="0" w:space="0" w:color="auto"/>
        <w:right w:val="none" w:sz="0" w:space="0" w:color="auto"/>
      </w:divBdr>
    </w:div>
    <w:div w:id="1691027928">
      <w:marLeft w:val="0"/>
      <w:marRight w:val="0"/>
      <w:marTop w:val="0"/>
      <w:marBottom w:val="0"/>
      <w:divBdr>
        <w:top w:val="none" w:sz="0" w:space="0" w:color="auto"/>
        <w:left w:val="none" w:sz="0" w:space="0" w:color="auto"/>
        <w:bottom w:val="none" w:sz="0" w:space="0" w:color="auto"/>
        <w:right w:val="none" w:sz="0" w:space="0" w:color="auto"/>
      </w:divBdr>
    </w:div>
    <w:div w:id="1691027929">
      <w:marLeft w:val="0"/>
      <w:marRight w:val="0"/>
      <w:marTop w:val="0"/>
      <w:marBottom w:val="0"/>
      <w:divBdr>
        <w:top w:val="none" w:sz="0" w:space="0" w:color="auto"/>
        <w:left w:val="none" w:sz="0" w:space="0" w:color="auto"/>
        <w:bottom w:val="none" w:sz="0" w:space="0" w:color="auto"/>
        <w:right w:val="none" w:sz="0" w:space="0" w:color="auto"/>
      </w:divBdr>
    </w:div>
    <w:div w:id="1691027930">
      <w:marLeft w:val="0"/>
      <w:marRight w:val="0"/>
      <w:marTop w:val="0"/>
      <w:marBottom w:val="0"/>
      <w:divBdr>
        <w:top w:val="none" w:sz="0" w:space="0" w:color="auto"/>
        <w:left w:val="none" w:sz="0" w:space="0" w:color="auto"/>
        <w:bottom w:val="none" w:sz="0" w:space="0" w:color="auto"/>
        <w:right w:val="none" w:sz="0" w:space="0" w:color="auto"/>
      </w:divBdr>
    </w:div>
    <w:div w:id="1691027931">
      <w:marLeft w:val="0"/>
      <w:marRight w:val="0"/>
      <w:marTop w:val="0"/>
      <w:marBottom w:val="0"/>
      <w:divBdr>
        <w:top w:val="none" w:sz="0" w:space="0" w:color="auto"/>
        <w:left w:val="none" w:sz="0" w:space="0" w:color="auto"/>
        <w:bottom w:val="none" w:sz="0" w:space="0" w:color="auto"/>
        <w:right w:val="none" w:sz="0" w:space="0" w:color="auto"/>
      </w:divBdr>
    </w:div>
    <w:div w:id="1691027932">
      <w:marLeft w:val="0"/>
      <w:marRight w:val="0"/>
      <w:marTop w:val="0"/>
      <w:marBottom w:val="0"/>
      <w:divBdr>
        <w:top w:val="none" w:sz="0" w:space="0" w:color="auto"/>
        <w:left w:val="none" w:sz="0" w:space="0" w:color="auto"/>
        <w:bottom w:val="none" w:sz="0" w:space="0" w:color="auto"/>
        <w:right w:val="none" w:sz="0" w:space="0" w:color="auto"/>
      </w:divBdr>
    </w:div>
    <w:div w:id="1691027933">
      <w:marLeft w:val="0"/>
      <w:marRight w:val="0"/>
      <w:marTop w:val="0"/>
      <w:marBottom w:val="0"/>
      <w:divBdr>
        <w:top w:val="none" w:sz="0" w:space="0" w:color="auto"/>
        <w:left w:val="none" w:sz="0" w:space="0" w:color="auto"/>
        <w:bottom w:val="none" w:sz="0" w:space="0" w:color="auto"/>
        <w:right w:val="none" w:sz="0" w:space="0" w:color="auto"/>
      </w:divBdr>
    </w:div>
    <w:div w:id="1691027934">
      <w:marLeft w:val="0"/>
      <w:marRight w:val="0"/>
      <w:marTop w:val="0"/>
      <w:marBottom w:val="0"/>
      <w:divBdr>
        <w:top w:val="none" w:sz="0" w:space="0" w:color="auto"/>
        <w:left w:val="none" w:sz="0" w:space="0" w:color="auto"/>
        <w:bottom w:val="none" w:sz="0" w:space="0" w:color="auto"/>
        <w:right w:val="none" w:sz="0" w:space="0" w:color="auto"/>
      </w:divBdr>
    </w:div>
    <w:div w:id="1691027935">
      <w:marLeft w:val="0"/>
      <w:marRight w:val="0"/>
      <w:marTop w:val="0"/>
      <w:marBottom w:val="0"/>
      <w:divBdr>
        <w:top w:val="none" w:sz="0" w:space="0" w:color="auto"/>
        <w:left w:val="none" w:sz="0" w:space="0" w:color="auto"/>
        <w:bottom w:val="none" w:sz="0" w:space="0" w:color="auto"/>
        <w:right w:val="none" w:sz="0" w:space="0" w:color="auto"/>
      </w:divBdr>
    </w:div>
    <w:div w:id="1691027936">
      <w:marLeft w:val="0"/>
      <w:marRight w:val="0"/>
      <w:marTop w:val="0"/>
      <w:marBottom w:val="0"/>
      <w:divBdr>
        <w:top w:val="none" w:sz="0" w:space="0" w:color="auto"/>
        <w:left w:val="none" w:sz="0" w:space="0" w:color="auto"/>
        <w:bottom w:val="none" w:sz="0" w:space="0" w:color="auto"/>
        <w:right w:val="none" w:sz="0" w:space="0" w:color="auto"/>
      </w:divBdr>
    </w:div>
    <w:div w:id="1691027937">
      <w:marLeft w:val="0"/>
      <w:marRight w:val="0"/>
      <w:marTop w:val="0"/>
      <w:marBottom w:val="0"/>
      <w:divBdr>
        <w:top w:val="none" w:sz="0" w:space="0" w:color="auto"/>
        <w:left w:val="none" w:sz="0" w:space="0" w:color="auto"/>
        <w:bottom w:val="none" w:sz="0" w:space="0" w:color="auto"/>
        <w:right w:val="none" w:sz="0" w:space="0" w:color="auto"/>
      </w:divBdr>
    </w:div>
    <w:div w:id="1691027938">
      <w:marLeft w:val="0"/>
      <w:marRight w:val="0"/>
      <w:marTop w:val="0"/>
      <w:marBottom w:val="0"/>
      <w:divBdr>
        <w:top w:val="none" w:sz="0" w:space="0" w:color="auto"/>
        <w:left w:val="none" w:sz="0" w:space="0" w:color="auto"/>
        <w:bottom w:val="none" w:sz="0" w:space="0" w:color="auto"/>
        <w:right w:val="none" w:sz="0" w:space="0" w:color="auto"/>
      </w:divBdr>
    </w:div>
    <w:div w:id="1712724985">
      <w:bodyDiv w:val="1"/>
      <w:marLeft w:val="0"/>
      <w:marRight w:val="0"/>
      <w:marTop w:val="0"/>
      <w:marBottom w:val="0"/>
      <w:divBdr>
        <w:top w:val="none" w:sz="0" w:space="0" w:color="auto"/>
        <w:left w:val="none" w:sz="0" w:space="0" w:color="auto"/>
        <w:bottom w:val="none" w:sz="0" w:space="0" w:color="auto"/>
        <w:right w:val="none" w:sz="0" w:space="0" w:color="auto"/>
      </w:divBdr>
    </w:div>
    <w:div w:id="1723283952">
      <w:bodyDiv w:val="1"/>
      <w:marLeft w:val="0"/>
      <w:marRight w:val="0"/>
      <w:marTop w:val="0"/>
      <w:marBottom w:val="0"/>
      <w:divBdr>
        <w:top w:val="none" w:sz="0" w:space="0" w:color="auto"/>
        <w:left w:val="none" w:sz="0" w:space="0" w:color="auto"/>
        <w:bottom w:val="none" w:sz="0" w:space="0" w:color="auto"/>
        <w:right w:val="none" w:sz="0" w:space="0" w:color="auto"/>
      </w:divBdr>
    </w:div>
    <w:div w:id="1864903149">
      <w:bodyDiv w:val="1"/>
      <w:marLeft w:val="0"/>
      <w:marRight w:val="0"/>
      <w:marTop w:val="0"/>
      <w:marBottom w:val="0"/>
      <w:divBdr>
        <w:top w:val="none" w:sz="0" w:space="0" w:color="auto"/>
        <w:left w:val="none" w:sz="0" w:space="0" w:color="auto"/>
        <w:bottom w:val="none" w:sz="0" w:space="0" w:color="auto"/>
        <w:right w:val="none" w:sz="0" w:space="0" w:color="auto"/>
      </w:divBdr>
    </w:div>
    <w:div w:id="1934236542">
      <w:bodyDiv w:val="1"/>
      <w:marLeft w:val="0"/>
      <w:marRight w:val="0"/>
      <w:marTop w:val="0"/>
      <w:marBottom w:val="0"/>
      <w:divBdr>
        <w:top w:val="none" w:sz="0" w:space="0" w:color="auto"/>
        <w:left w:val="none" w:sz="0" w:space="0" w:color="auto"/>
        <w:bottom w:val="none" w:sz="0" w:space="0" w:color="auto"/>
        <w:right w:val="none" w:sz="0" w:space="0" w:color="auto"/>
      </w:divBdr>
    </w:div>
    <w:div w:id="1975022958">
      <w:bodyDiv w:val="1"/>
      <w:marLeft w:val="0"/>
      <w:marRight w:val="0"/>
      <w:marTop w:val="0"/>
      <w:marBottom w:val="0"/>
      <w:divBdr>
        <w:top w:val="none" w:sz="0" w:space="0" w:color="auto"/>
        <w:left w:val="none" w:sz="0" w:space="0" w:color="auto"/>
        <w:bottom w:val="none" w:sz="0" w:space="0" w:color="auto"/>
        <w:right w:val="none" w:sz="0" w:space="0" w:color="auto"/>
      </w:divBdr>
    </w:div>
    <w:div w:id="2019964186">
      <w:bodyDiv w:val="1"/>
      <w:marLeft w:val="0"/>
      <w:marRight w:val="0"/>
      <w:marTop w:val="0"/>
      <w:marBottom w:val="0"/>
      <w:divBdr>
        <w:top w:val="none" w:sz="0" w:space="0" w:color="auto"/>
        <w:left w:val="none" w:sz="0" w:space="0" w:color="auto"/>
        <w:bottom w:val="none" w:sz="0" w:space="0" w:color="auto"/>
        <w:right w:val="none" w:sz="0" w:space="0" w:color="auto"/>
      </w:divBdr>
    </w:div>
    <w:div w:id="2129010895">
      <w:bodyDiv w:val="1"/>
      <w:marLeft w:val="0"/>
      <w:marRight w:val="0"/>
      <w:marTop w:val="0"/>
      <w:marBottom w:val="0"/>
      <w:divBdr>
        <w:top w:val="none" w:sz="0" w:space="0" w:color="auto"/>
        <w:left w:val="none" w:sz="0" w:space="0" w:color="auto"/>
        <w:bottom w:val="none" w:sz="0" w:space="0" w:color="auto"/>
        <w:right w:val="none" w:sz="0" w:space="0" w:color="auto"/>
      </w:divBdr>
    </w:div>
    <w:div w:id="21373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BB46-741C-4F35-B2A8-4FE39455445B}">
  <ds:schemaRefs>
    <ds:schemaRef ds:uri="http://schemas.microsoft.com/sharepoint/v3/contenttype/forms"/>
  </ds:schemaRefs>
</ds:datastoreItem>
</file>

<file path=customXml/itemProps2.xml><?xml version="1.0" encoding="utf-8"?>
<ds:datastoreItem xmlns:ds="http://schemas.openxmlformats.org/officeDocument/2006/customXml" ds:itemID="{A8DE50F4-6D73-44F3-A428-EE23DD02FB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A93CF-6F17-41E1-ADC9-C2D0BBF19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D46021-2E99-4540-82EA-3DF24787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2727</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TELMEX</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Telmex</dc:creator>
  <cp:lastModifiedBy>Gonzalez Moreno Priscila</cp:lastModifiedBy>
  <cp:revision>3</cp:revision>
  <cp:lastPrinted>2016-10-31T16:55:00Z</cp:lastPrinted>
  <dcterms:created xsi:type="dcterms:W3CDTF">2018-06-28T02:43:00Z</dcterms:created>
  <dcterms:modified xsi:type="dcterms:W3CDTF">2018-06-28T02:45:00Z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