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90" w:rsidRPr="003A7B50" w:rsidRDefault="00C76F90" w:rsidP="00C76F90">
      <w:pPr>
        <w:pStyle w:val="Default"/>
        <w:jc w:val="both"/>
        <w:rPr>
          <w:b/>
          <w:sz w:val="22"/>
          <w:szCs w:val="22"/>
        </w:rPr>
      </w:pPr>
      <w:r w:rsidRPr="003A7B50">
        <w:rPr>
          <w:b/>
          <w:sz w:val="22"/>
          <w:szCs w:val="22"/>
        </w:rPr>
        <w:t>ACUERDO MEDIANTE EL CUAL EL PLENO DEL INSTITUTO FEDERAL DE TELECOMUNICACIONES EMITE LOS 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EL SECTOR DE TELECOMUNICACIONES</w:t>
      </w:r>
      <w:r w:rsidR="005F1725">
        <w:rPr>
          <w:b/>
          <w:sz w:val="22"/>
          <w:szCs w:val="22"/>
        </w:rPr>
        <w:t>.</w:t>
      </w:r>
    </w:p>
    <w:p w:rsidR="00C76F90" w:rsidRDefault="00C76F90" w:rsidP="00C76F90">
      <w:pPr>
        <w:pStyle w:val="Default"/>
        <w:jc w:val="both"/>
        <w:rPr>
          <w:b/>
          <w:sz w:val="22"/>
          <w:szCs w:val="22"/>
        </w:rPr>
      </w:pPr>
    </w:p>
    <w:p w:rsidR="00D629F3" w:rsidRPr="003A7B50" w:rsidRDefault="00D629F3" w:rsidP="00C76F90">
      <w:pPr>
        <w:pStyle w:val="Default"/>
        <w:jc w:val="both"/>
        <w:rPr>
          <w:b/>
          <w:sz w:val="22"/>
          <w:szCs w:val="22"/>
        </w:rPr>
      </w:pPr>
    </w:p>
    <w:p w:rsidR="00C76F90" w:rsidRDefault="00C76F90" w:rsidP="00E3356A">
      <w:pPr>
        <w:pStyle w:val="Default"/>
        <w:jc w:val="center"/>
        <w:outlineLvl w:val="0"/>
        <w:rPr>
          <w:b/>
          <w:sz w:val="22"/>
          <w:szCs w:val="22"/>
        </w:rPr>
      </w:pPr>
      <w:r w:rsidRPr="003A7B50">
        <w:rPr>
          <w:b/>
          <w:sz w:val="22"/>
          <w:szCs w:val="22"/>
        </w:rPr>
        <w:t>ANTECEDENTES</w:t>
      </w:r>
    </w:p>
    <w:p w:rsidR="00C76F90" w:rsidRPr="003A7B50" w:rsidRDefault="00C76F90" w:rsidP="00C76F90">
      <w:pPr>
        <w:pStyle w:val="Default"/>
        <w:jc w:val="center"/>
        <w:rPr>
          <w:b/>
          <w:sz w:val="22"/>
          <w:szCs w:val="22"/>
        </w:rPr>
      </w:pPr>
    </w:p>
    <w:p w:rsidR="005F1E80" w:rsidRPr="00AC05E3" w:rsidRDefault="005F1E80" w:rsidP="00E3356A">
      <w:pPr>
        <w:pStyle w:val="Antecedentes"/>
        <w:numPr>
          <w:ilvl w:val="0"/>
          <w:numId w:val="2"/>
        </w:numPr>
        <w:spacing w:after="0"/>
        <w:outlineLvl w:val="1"/>
        <w:rPr>
          <w:rFonts w:eastAsia="Times New Roman"/>
          <w:b/>
          <w:vanish/>
          <w:lang w:val="es-ES" w:eastAsia="es-ES"/>
          <w:specVanish/>
        </w:rPr>
      </w:pPr>
      <w:r w:rsidRPr="00F956E8">
        <w:rPr>
          <w:rFonts w:eastAsia="Times New Roman"/>
          <w:b/>
          <w:lang w:val="es-ES" w:eastAsia="es-ES"/>
        </w:rPr>
        <w:t>Dec</w:t>
      </w:r>
      <w:r w:rsidR="000D1002">
        <w:rPr>
          <w:rFonts w:eastAsia="Times New Roman"/>
          <w:b/>
          <w:lang w:val="es-ES" w:eastAsia="es-ES"/>
        </w:rPr>
        <w:t>reto d</w:t>
      </w:r>
      <w:bookmarkStart w:id="0" w:name="_GoBack"/>
      <w:bookmarkEnd w:id="0"/>
      <w:r w:rsidR="000D1002">
        <w:rPr>
          <w:rFonts w:eastAsia="Times New Roman"/>
          <w:b/>
          <w:lang w:val="es-ES" w:eastAsia="es-ES"/>
        </w:rPr>
        <w:t>e Reforma Constitucional.</w:t>
      </w:r>
      <w:r w:rsidRPr="00F956E8">
        <w:rPr>
          <w:rFonts w:eastAsia="Times New Roman"/>
          <w:b/>
          <w:lang w:val="es-ES" w:eastAsia="es-ES"/>
        </w:rPr>
        <w:t xml:space="preserve"> </w:t>
      </w:r>
    </w:p>
    <w:p w:rsidR="00AC05E3" w:rsidRPr="00F956E8" w:rsidRDefault="00AC05E3" w:rsidP="000D1002">
      <w:pPr>
        <w:pStyle w:val="Antecedentes"/>
        <w:numPr>
          <w:ilvl w:val="0"/>
          <w:numId w:val="0"/>
        </w:numPr>
        <w:spacing w:after="0"/>
        <w:ind w:left="360"/>
        <w:rPr>
          <w:rFonts w:eastAsia="Times New Roman"/>
          <w:b/>
          <w:lang w:val="es-ES" w:eastAsia="es-ES"/>
        </w:rPr>
      </w:pPr>
      <w:r w:rsidRPr="00F956E8">
        <w:rPr>
          <w:rFonts w:eastAsia="Times New Roman"/>
          <w:lang w:val="es-ES" w:eastAsia="es-ES"/>
        </w:rPr>
        <w:t xml:space="preserve">El 11 de junio de 2013 fue publicado en el </w:t>
      </w:r>
      <w:r>
        <w:rPr>
          <w:rFonts w:eastAsia="Times New Roman"/>
          <w:lang w:val="es-ES" w:eastAsia="es-ES"/>
        </w:rPr>
        <w:t>Diario Oficial de la Federación</w:t>
      </w:r>
      <w:r w:rsidR="00CF13E8">
        <w:rPr>
          <w:rFonts w:eastAsia="Times New Roman"/>
          <w:lang w:val="es-ES" w:eastAsia="es-ES"/>
        </w:rPr>
        <w:t xml:space="preserve"> </w:t>
      </w:r>
      <w:r w:rsidR="00CF13E8">
        <w:rPr>
          <w:bCs/>
          <w:szCs w:val="20"/>
          <w:lang w:eastAsia="es-ES"/>
        </w:rPr>
        <w:t>(en lo sucesivo, el “DOF”)</w:t>
      </w:r>
      <w:r>
        <w:rPr>
          <w:rFonts w:eastAsia="Times New Roman"/>
          <w:lang w:val="es-ES" w:eastAsia="es-ES"/>
        </w:rPr>
        <w:t xml:space="preserve"> </w:t>
      </w:r>
      <w:r w:rsidRPr="00F956E8">
        <w:rPr>
          <w:rFonts w:eastAsia="Times New Roman"/>
          <w:lang w:val="es-ES" w:eastAsia="es-ES"/>
        </w:rPr>
        <w:t>el “</w:t>
      </w:r>
      <w:r w:rsidRPr="00166CEC">
        <w:rPr>
          <w:rFonts w:eastAsia="Times New Roman"/>
          <w:i/>
          <w:lang w:val="es-ES" w:eastAsia="es-ES"/>
        </w:rPr>
        <w:t xml:space="preserve">Decreto por el que se reforman y adicionan diversas disposiciones de los artículos </w:t>
      </w:r>
      <w:r w:rsidRPr="008540EB">
        <w:rPr>
          <w:rFonts w:eastAsia="Times New Roman"/>
          <w:i/>
          <w:lang w:val="es-ES" w:eastAsia="es-ES"/>
        </w:rPr>
        <w:t>6o., 7o.,</w:t>
      </w:r>
      <w:r w:rsidRPr="00166CEC">
        <w:rPr>
          <w:rFonts w:eastAsia="Times New Roman"/>
          <w:i/>
          <w:lang w:val="es-ES" w:eastAsia="es-ES"/>
        </w:rPr>
        <w:t xml:space="preserve"> 27, 28, 73, 78, 94 y 105 de la Constitución Política de los Estados Unidos Mexicanos, en materia de telecomunicaciones</w:t>
      </w:r>
      <w:r w:rsidRPr="00F956E8">
        <w:rPr>
          <w:rFonts w:eastAsia="Times New Roman"/>
          <w:lang w:val="es-ES" w:eastAsia="es-ES"/>
        </w:rPr>
        <w:t xml:space="preserve">”, mediante el cual se creó el Instituto Federal de Telecomunicaciones (en lo </w:t>
      </w:r>
      <w:r w:rsidRPr="00D228E6">
        <w:rPr>
          <w:rFonts w:eastAsia="Times New Roman"/>
          <w:lang w:val="es-ES" w:eastAsia="es-ES"/>
        </w:rPr>
        <w:t>sucesivo, el “Instituto”), como un órgano autónomo con personalidad jurídica y patrimonio propios</w:t>
      </w:r>
      <w:r w:rsidRPr="00F956E8">
        <w:rPr>
          <w:rFonts w:eastAsia="Times New Roman"/>
          <w:lang w:val="es-ES" w:eastAsia="es-ES"/>
        </w:rPr>
        <w:t>,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8540EB" w:rsidRPr="00AC05E3" w:rsidRDefault="00DE3B0B" w:rsidP="00E3356A">
      <w:pPr>
        <w:pStyle w:val="Prrafodelista"/>
        <w:numPr>
          <w:ilvl w:val="0"/>
          <w:numId w:val="2"/>
        </w:numPr>
        <w:spacing w:after="0" w:line="276" w:lineRule="auto"/>
        <w:ind w:left="714" w:hanging="357"/>
        <w:outlineLvl w:val="1"/>
        <w:rPr>
          <w:bCs/>
          <w:vanish/>
          <w:szCs w:val="20"/>
          <w:lang w:eastAsia="es-ES"/>
          <w:specVanish/>
        </w:rPr>
      </w:pPr>
      <w:r w:rsidRPr="00F956E8">
        <w:rPr>
          <w:b/>
        </w:rPr>
        <w:t>Decreto por el que se expide la Ley Federal de Telecomunicaciones y Radiodifusión</w:t>
      </w:r>
      <w:r w:rsidR="000D1002">
        <w:rPr>
          <w:b/>
          <w:bCs/>
          <w:szCs w:val="20"/>
          <w:lang w:eastAsia="es-ES"/>
        </w:rPr>
        <w:t>.</w:t>
      </w:r>
      <w:r w:rsidR="00AC05E3">
        <w:rPr>
          <w:bCs/>
          <w:szCs w:val="20"/>
          <w:lang w:eastAsia="es-ES"/>
        </w:rPr>
        <w:t xml:space="preserve"> </w:t>
      </w:r>
    </w:p>
    <w:p w:rsidR="00AC05E3" w:rsidRPr="00AC05E3" w:rsidRDefault="00AC05E3" w:rsidP="00AC05E3">
      <w:pPr>
        <w:pStyle w:val="Prrafodelista"/>
        <w:numPr>
          <w:ilvl w:val="0"/>
          <w:numId w:val="0"/>
        </w:numPr>
        <w:spacing w:after="0" w:line="276" w:lineRule="auto"/>
        <w:ind w:left="714"/>
        <w:rPr>
          <w:bCs/>
          <w:szCs w:val="20"/>
          <w:lang w:eastAsia="es-ES"/>
        </w:rPr>
      </w:pPr>
      <w:r w:rsidRPr="00AC05E3">
        <w:rPr>
          <w:bCs/>
          <w:szCs w:val="20"/>
          <w:lang w:eastAsia="es-ES"/>
        </w:rPr>
        <w:t xml:space="preserve">Con fecha 14 de julio de 2014, se publicó en el </w:t>
      </w:r>
      <w:r w:rsidR="00CF13E8">
        <w:rPr>
          <w:bCs/>
          <w:szCs w:val="20"/>
          <w:lang w:eastAsia="es-ES"/>
        </w:rPr>
        <w:t>DOF</w:t>
      </w:r>
      <w:r w:rsidRPr="00AC05E3">
        <w:rPr>
          <w:bCs/>
          <w:szCs w:val="20"/>
          <w:lang w:eastAsia="es-ES"/>
        </w:rPr>
        <w:t>, el “</w:t>
      </w:r>
      <w:r w:rsidRPr="00AC05E3">
        <w:rPr>
          <w:bCs/>
          <w:i/>
          <w:szCs w:val="20"/>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C05E3">
        <w:rPr>
          <w:bCs/>
          <w:szCs w:val="20"/>
          <w:lang w:eastAsia="es-ES"/>
        </w:rPr>
        <w:t>”, que otorga diversas atribuciones al Instituto, mismo que entró en vigor el 13 de agosto de 2014.</w:t>
      </w:r>
    </w:p>
    <w:p w:rsidR="00313ABA" w:rsidRPr="00AC05E3" w:rsidRDefault="000D1002" w:rsidP="00E3356A">
      <w:pPr>
        <w:pStyle w:val="Prrafodelista"/>
        <w:numPr>
          <w:ilvl w:val="0"/>
          <w:numId w:val="2"/>
        </w:numPr>
        <w:spacing w:after="0" w:line="276" w:lineRule="auto"/>
        <w:ind w:left="714" w:hanging="357"/>
        <w:outlineLvl w:val="1"/>
        <w:rPr>
          <w:vanish/>
          <w:szCs w:val="20"/>
          <w:lang w:eastAsia="es-ES"/>
          <w:specVanish/>
        </w:rPr>
      </w:pPr>
      <w:r>
        <w:rPr>
          <w:b/>
        </w:rPr>
        <w:t>Estatuto Orgánico.</w:t>
      </w:r>
      <w:r w:rsidR="005F1E80" w:rsidRPr="00F956E8">
        <w:rPr>
          <w:b/>
        </w:rPr>
        <w:t xml:space="preserve"> </w:t>
      </w:r>
    </w:p>
    <w:p w:rsidR="00AC05E3" w:rsidRPr="00313ABA" w:rsidRDefault="00AC05E3" w:rsidP="00AC05E3">
      <w:pPr>
        <w:pStyle w:val="Prrafodelista"/>
        <w:numPr>
          <w:ilvl w:val="0"/>
          <w:numId w:val="0"/>
        </w:numPr>
        <w:spacing w:after="0" w:line="276" w:lineRule="auto"/>
        <w:ind w:left="714"/>
        <w:rPr>
          <w:szCs w:val="20"/>
          <w:lang w:eastAsia="es-ES"/>
        </w:rPr>
      </w:pPr>
      <w:r w:rsidRPr="00F956E8">
        <w:t>El 4 de septiembre de 2014, se publicó en el DOF el “</w:t>
      </w:r>
      <w:r w:rsidRPr="00F956E8">
        <w:rPr>
          <w:i/>
        </w:rPr>
        <w:t xml:space="preserve">Estatuto Orgánico del Instituto Federal de </w:t>
      </w:r>
      <w:r w:rsidRPr="00DF149B">
        <w:rPr>
          <w:i/>
        </w:rPr>
        <w:t>Telecomunicaciones</w:t>
      </w:r>
      <w:r w:rsidRPr="00DF149B">
        <w:t>” (en lo sucesivo, el “Estatuto”), mismo que entró en vigor e</w:t>
      </w:r>
      <w:r w:rsidRPr="00F956E8">
        <w:t>l 26 de septiembre de 2014</w:t>
      </w:r>
      <w:r>
        <w:t xml:space="preserve"> y fue modificado por última ocasión el 13 de julio de 2018</w:t>
      </w:r>
      <w:r w:rsidRPr="00F956E8">
        <w:t>.</w:t>
      </w:r>
    </w:p>
    <w:p w:rsidR="00151B97" w:rsidRPr="00AC05E3" w:rsidRDefault="005F1E80" w:rsidP="00E3356A">
      <w:pPr>
        <w:pStyle w:val="Prrafodelista"/>
        <w:numPr>
          <w:ilvl w:val="0"/>
          <w:numId w:val="2"/>
        </w:numPr>
        <w:spacing w:after="160" w:line="276" w:lineRule="auto"/>
        <w:ind w:left="714" w:hanging="357"/>
        <w:outlineLvl w:val="1"/>
        <w:rPr>
          <w:vanish/>
          <w:szCs w:val="20"/>
          <w:lang w:eastAsia="es-ES"/>
          <w:specVanish/>
        </w:rPr>
      </w:pPr>
      <w:r w:rsidRPr="004D74A1">
        <w:rPr>
          <w:b/>
        </w:rPr>
        <w:t>Consulta pública</w:t>
      </w:r>
      <w:r w:rsidR="000D1002">
        <w:rPr>
          <w:b/>
        </w:rPr>
        <w:t>.</w:t>
      </w:r>
      <w:r w:rsidR="00AC05E3">
        <w:t xml:space="preserve"> </w:t>
      </w:r>
    </w:p>
    <w:p w:rsidR="00AC05E3" w:rsidRPr="00DF149B" w:rsidRDefault="00AC05E3" w:rsidP="00AC05E3">
      <w:pPr>
        <w:pStyle w:val="Prrafodelista"/>
        <w:numPr>
          <w:ilvl w:val="0"/>
          <w:numId w:val="0"/>
        </w:numPr>
        <w:spacing w:after="160" w:line="276" w:lineRule="auto"/>
        <w:ind w:left="714"/>
        <w:rPr>
          <w:szCs w:val="20"/>
          <w:lang w:eastAsia="es-ES"/>
        </w:rPr>
      </w:pPr>
      <w:r>
        <w:t>Con fecha de 30 de mayo de 2018, el Pleno del Instituto en su  XIX Sesión Ordinaria aprobó mediante acuerdo P/IFT/EXT/300518/397 el “</w:t>
      </w:r>
      <w:r w:rsidRPr="00166CEC">
        <w:rPr>
          <w:i/>
        </w:rPr>
        <w:t>Acuerdo mediante el cual el Pleno del Instituto Federal d</w:t>
      </w:r>
      <w:r w:rsidRPr="00AC1D82">
        <w:rPr>
          <w:i/>
        </w:rPr>
        <w:t xml:space="preserve">e </w:t>
      </w:r>
      <w:r w:rsidRPr="00AC1D82">
        <w:rPr>
          <w:i/>
        </w:rPr>
        <w:lastRenderedPageBreak/>
        <w:t>Telecomunicaciones determina</w:t>
      </w:r>
      <w:r w:rsidRPr="008540EB">
        <w:rPr>
          <w:i/>
        </w:rPr>
        <w:t xml:space="preserve"> someter a consulta pública el Anteproyecto de Lineamientos mediante los cuales se establece el procedimiento para la autorización de tarifas de los servicios de telecomunicaciones para usuarios finales, al cual deberán sujetarse los Agentes Económicos Preponderantes o con Poder Sustancial de Mercado en el sector de telecomunicaciones</w:t>
      </w:r>
      <w:r>
        <w:t xml:space="preserve">”, la </w:t>
      </w:r>
      <w:r w:rsidRPr="00DF149B">
        <w:t>cual se llevó a cabo del 04 al 29 de junio de 2018.</w:t>
      </w:r>
    </w:p>
    <w:p w:rsidR="00C76F90" w:rsidRPr="00AC05E3" w:rsidRDefault="00151B97" w:rsidP="00E3356A">
      <w:pPr>
        <w:pStyle w:val="Prrafodelista"/>
        <w:numPr>
          <w:ilvl w:val="0"/>
          <w:numId w:val="2"/>
        </w:numPr>
        <w:spacing w:after="160" w:line="276" w:lineRule="auto"/>
        <w:ind w:left="714" w:hanging="357"/>
        <w:outlineLvl w:val="1"/>
        <w:rPr>
          <w:bCs/>
          <w:vanish/>
          <w:szCs w:val="20"/>
          <w:lang w:eastAsia="es-ES"/>
          <w:specVanish/>
        </w:rPr>
      </w:pPr>
      <w:r w:rsidRPr="00DF149B">
        <w:rPr>
          <w:b/>
        </w:rPr>
        <w:t>A</w:t>
      </w:r>
      <w:r w:rsidR="000D1002">
        <w:rPr>
          <w:b/>
        </w:rPr>
        <w:t>nálisis de Impacto Regulatorio.</w:t>
      </w:r>
      <w:r w:rsidRPr="00DF149B">
        <w:rPr>
          <w:b/>
        </w:rPr>
        <w:t xml:space="preserve"> </w:t>
      </w:r>
    </w:p>
    <w:p w:rsidR="00AC05E3" w:rsidRDefault="00AC05E3" w:rsidP="00AC05E3">
      <w:pPr>
        <w:pStyle w:val="Prrafodelista"/>
        <w:numPr>
          <w:ilvl w:val="0"/>
          <w:numId w:val="0"/>
        </w:numPr>
        <w:spacing w:after="160" w:line="276" w:lineRule="auto"/>
        <w:ind w:left="714"/>
        <w:rPr>
          <w:bCs/>
          <w:szCs w:val="20"/>
          <w:lang w:eastAsia="es-ES"/>
        </w:rPr>
      </w:pPr>
      <w:r w:rsidRPr="00DF149B">
        <w:t>El 2</w:t>
      </w:r>
      <w:r>
        <w:t>5</w:t>
      </w:r>
      <w:r w:rsidRPr="00DF149B">
        <w:t xml:space="preserve"> de</w:t>
      </w:r>
      <w:r w:rsidRPr="001611CA">
        <w:t xml:space="preserve"> octubre de 2018, </w:t>
      </w:r>
      <w:r>
        <w:t xml:space="preserve">mediante oficio IFT/221/UPR/DG-DTR/203/2018, </w:t>
      </w:r>
      <w:r w:rsidRPr="001611CA">
        <w:t>la Unidad de Política Regulatoria del Instituto,</w:t>
      </w:r>
      <w:r>
        <w:t xml:space="preserve"> a través de la Dirección General de Desarrollo de las Telecomunicaciones y la Radiodifusión, </w:t>
      </w:r>
      <w:r w:rsidRPr="001611CA">
        <w:t>sometió formalmente a opinión no vinculante de la Coordinación General de Mejora Regulatoria del Instituto</w:t>
      </w:r>
      <w:r>
        <w:t>,</w:t>
      </w:r>
      <w:r w:rsidRPr="001611CA">
        <w:t xml:space="preserve"> el Análisis de Impacto Regulatorio correspondiente. </w:t>
      </w:r>
      <w:r>
        <w:t xml:space="preserve">Al respecto, el 1° de noviembre del mismo año, mediante oficio IFT/211/CGMR/225/2018, </w:t>
      </w:r>
      <w:r w:rsidRPr="001611CA">
        <w:t>la Coordinación General de Mejora Regulatoria emitió la opinión no vinculante.</w:t>
      </w:r>
    </w:p>
    <w:p w:rsidR="00C76F90" w:rsidRPr="00DD6F12" w:rsidRDefault="00C76F90" w:rsidP="008F1BC3">
      <w:pPr>
        <w:spacing w:after="0" w:line="276" w:lineRule="auto"/>
        <w:rPr>
          <w:szCs w:val="20"/>
        </w:rPr>
      </w:pPr>
      <w:r w:rsidRPr="00DD6F12">
        <w:rPr>
          <w:szCs w:val="20"/>
        </w:rPr>
        <w:t xml:space="preserve">En virtud de los antecedentes señalados y, </w:t>
      </w:r>
    </w:p>
    <w:p w:rsidR="00C76F90" w:rsidRPr="003A7B50" w:rsidRDefault="00C76F90" w:rsidP="00C76F90">
      <w:pPr>
        <w:pStyle w:val="Default"/>
        <w:jc w:val="both"/>
        <w:rPr>
          <w:b/>
          <w:sz w:val="22"/>
          <w:szCs w:val="22"/>
        </w:rPr>
      </w:pPr>
    </w:p>
    <w:p w:rsidR="00C76F90" w:rsidRPr="003A7B50" w:rsidRDefault="00C76F90" w:rsidP="00C76F90">
      <w:pPr>
        <w:pStyle w:val="Default"/>
        <w:jc w:val="both"/>
        <w:rPr>
          <w:b/>
          <w:sz w:val="22"/>
          <w:szCs w:val="22"/>
        </w:rPr>
      </w:pPr>
    </w:p>
    <w:p w:rsidR="00C76F90" w:rsidRDefault="00C76F90" w:rsidP="00E3356A">
      <w:pPr>
        <w:pStyle w:val="Default"/>
        <w:jc w:val="center"/>
        <w:outlineLvl w:val="0"/>
        <w:rPr>
          <w:b/>
          <w:sz w:val="22"/>
          <w:szCs w:val="22"/>
        </w:rPr>
      </w:pPr>
      <w:r w:rsidRPr="003A7B50">
        <w:rPr>
          <w:b/>
          <w:sz w:val="22"/>
          <w:szCs w:val="22"/>
        </w:rPr>
        <w:t>CONSIDERANDO</w:t>
      </w:r>
    </w:p>
    <w:p w:rsidR="00805D31" w:rsidRPr="003A7B50" w:rsidRDefault="00805D31" w:rsidP="008F1BC3">
      <w:pPr>
        <w:pStyle w:val="Default"/>
        <w:spacing w:after="240"/>
        <w:jc w:val="center"/>
        <w:rPr>
          <w:b/>
          <w:sz w:val="22"/>
          <w:szCs w:val="22"/>
        </w:rPr>
      </w:pPr>
    </w:p>
    <w:p w:rsidR="00076EA6" w:rsidRPr="000D1002" w:rsidRDefault="00C76F90" w:rsidP="00E3356A">
      <w:pPr>
        <w:pStyle w:val="Ttulo2"/>
        <w:rPr>
          <w:b/>
          <w:vanish/>
          <w:specVanish/>
        </w:rPr>
      </w:pPr>
      <w:proofErr w:type="gramStart"/>
      <w:r w:rsidRPr="00E3356A">
        <w:rPr>
          <w:rFonts w:ascii="ITC Avant Garde" w:hAnsi="ITC Avant Garde"/>
          <w:b/>
          <w:color w:val="auto"/>
          <w:sz w:val="22"/>
          <w:szCs w:val="22"/>
        </w:rPr>
        <w:t>PRIMERO.-</w:t>
      </w:r>
      <w:proofErr w:type="gramEnd"/>
      <w:r w:rsidRPr="00E3356A">
        <w:rPr>
          <w:rFonts w:ascii="ITC Avant Garde" w:hAnsi="ITC Avant Garde"/>
          <w:b/>
          <w:color w:val="auto"/>
          <w:sz w:val="22"/>
          <w:szCs w:val="22"/>
        </w:rPr>
        <w:t xml:space="preserve"> COMPETENCIA DEL INSTITUTO. </w:t>
      </w:r>
    </w:p>
    <w:p w:rsidR="00210CBB" w:rsidRPr="00210CBB" w:rsidRDefault="00210CBB" w:rsidP="008F1BC3">
      <w:pPr>
        <w:spacing w:after="0" w:line="276" w:lineRule="auto"/>
        <w:rPr>
          <w:rFonts w:eastAsia="Arial"/>
          <w:szCs w:val="20"/>
        </w:rPr>
      </w:pPr>
      <w:r w:rsidRPr="00210CBB">
        <w:rPr>
          <w:rFonts w:eastAsia="Arial"/>
          <w:szCs w:val="20"/>
        </w:rPr>
        <w:t>De conformidad con el artículo 28, párrafo décimo quinto de la Constitución Política de los Estados Unidos Mexicanos (en lo sucesivo, la “Constitución”), así como con los artículos 1o. y 7o. de la L</w:t>
      </w:r>
      <w:r w:rsidR="00F37014">
        <w:rPr>
          <w:rFonts w:eastAsia="Arial"/>
          <w:szCs w:val="20"/>
        </w:rPr>
        <w:t xml:space="preserve">ey </w:t>
      </w:r>
      <w:r w:rsidRPr="00210CBB">
        <w:rPr>
          <w:rFonts w:eastAsia="Arial"/>
          <w:szCs w:val="20"/>
        </w:rPr>
        <w:t>F</w:t>
      </w:r>
      <w:r w:rsidR="00F37014">
        <w:rPr>
          <w:rFonts w:eastAsia="Arial"/>
          <w:szCs w:val="20"/>
        </w:rPr>
        <w:t xml:space="preserve">ederal de </w:t>
      </w:r>
      <w:r w:rsidRPr="00210CBB">
        <w:rPr>
          <w:rFonts w:eastAsia="Arial"/>
          <w:szCs w:val="20"/>
        </w:rPr>
        <w:t>T</w:t>
      </w:r>
      <w:r w:rsidR="00F37014">
        <w:rPr>
          <w:rFonts w:eastAsia="Arial"/>
          <w:szCs w:val="20"/>
        </w:rPr>
        <w:t xml:space="preserve">elecomunicaciones y </w:t>
      </w:r>
      <w:r w:rsidRPr="00210CBB">
        <w:rPr>
          <w:rFonts w:eastAsia="Arial"/>
          <w:szCs w:val="20"/>
        </w:rPr>
        <w:t>R</w:t>
      </w:r>
      <w:r w:rsidR="00F37014">
        <w:rPr>
          <w:rFonts w:eastAsia="Arial"/>
          <w:szCs w:val="20"/>
        </w:rPr>
        <w:t xml:space="preserve">adiodifusión (en lo </w:t>
      </w:r>
      <w:r w:rsidR="00F37014" w:rsidRPr="00DF149B">
        <w:rPr>
          <w:rFonts w:eastAsia="Arial"/>
          <w:szCs w:val="20"/>
        </w:rPr>
        <w:t>sucesivo, la “LFTR”)</w:t>
      </w:r>
      <w:r w:rsidRPr="00DF149B">
        <w:rPr>
          <w:rFonts w:eastAsia="Arial"/>
          <w:szCs w:val="20"/>
        </w:rPr>
        <w:t>, el Instituto es un órgano autónomo, con personalidad jurídica y patrimonio propio, que</w:t>
      </w:r>
      <w:r w:rsidRPr="00210CBB">
        <w:rPr>
          <w:rFonts w:eastAsia="Arial"/>
          <w:szCs w:val="20"/>
        </w:rPr>
        <w:t xml:space="preserve"> tiene por objeto el desarrollo eficiente de la radiodifusión y las telecomunicaciones, conforme a lo dispuesto en la propia Constitución y en los términos que fijen las leyes.</w:t>
      </w:r>
    </w:p>
    <w:p w:rsidR="00210CBB" w:rsidRPr="00210CBB" w:rsidRDefault="00210CBB" w:rsidP="008F1BC3">
      <w:pPr>
        <w:spacing w:after="0" w:line="276" w:lineRule="auto"/>
        <w:rPr>
          <w:rFonts w:eastAsia="Arial"/>
          <w:szCs w:val="20"/>
        </w:rPr>
      </w:pPr>
      <w:r w:rsidRPr="00210CBB">
        <w:rPr>
          <w:rFonts w:eastAsia="Arial"/>
          <w:szCs w:val="20"/>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210CBB" w:rsidRPr="00210CBB" w:rsidRDefault="00210CBB" w:rsidP="008F1BC3">
      <w:pPr>
        <w:spacing w:after="0" w:line="276" w:lineRule="auto"/>
        <w:rPr>
          <w:rFonts w:eastAsia="Arial"/>
          <w:szCs w:val="20"/>
        </w:rPr>
      </w:pPr>
      <w:r w:rsidRPr="00210CBB">
        <w:rPr>
          <w:rFonts w:eastAsia="Arial"/>
          <w:szCs w:val="20"/>
        </w:rPr>
        <w:t xml:space="preserve">Asimismo, de conformidad con el párrafo décimo sexto del artículo 28 de la Constitución, el Instituto es la autoridad en materia de competencia económica de los sectores de radiodifusión y telecomunicaciones, por lo que en estos ejercerá en forma exclusiva las facultades que prevé dicho artículo y las que las leyes </w:t>
      </w:r>
      <w:r w:rsidRPr="00210CBB">
        <w:rPr>
          <w:rFonts w:eastAsia="Arial"/>
          <w:szCs w:val="20"/>
        </w:rPr>
        <w:lastRenderedPageBreak/>
        <w:t>establecen para la Comisión Federal de Competencia Económica y regulará de forma asimétrica a los participantes en estos mercados con el objeto de eliminar eficazmente las barreras a la competencia y la libre concurrencia.</w:t>
      </w:r>
    </w:p>
    <w:p w:rsidR="00210CBB" w:rsidRPr="00210CBB" w:rsidRDefault="00210CBB" w:rsidP="008F1BC3">
      <w:pPr>
        <w:spacing w:after="0" w:line="276" w:lineRule="auto"/>
        <w:rPr>
          <w:rFonts w:eastAsia="Arial"/>
          <w:szCs w:val="20"/>
        </w:rPr>
      </w:pPr>
      <w:r w:rsidRPr="00210CBB">
        <w:rPr>
          <w:rFonts w:eastAsia="Arial"/>
          <w:szCs w:val="20"/>
        </w:rPr>
        <w:t>De conformidad con el vigésimo párrafo, fracción IV del artículo 28 de la Constitución, el Instituto podrá emitir disposiciones administrativas de carácter general exclusivamente para el cumplimiento de su función regulatoria en el sector de su competencia.</w:t>
      </w:r>
    </w:p>
    <w:p w:rsidR="00C76F90" w:rsidRPr="00977FAB" w:rsidRDefault="00210CBB" w:rsidP="008F1BC3">
      <w:pPr>
        <w:spacing w:after="0" w:line="276" w:lineRule="auto"/>
        <w:rPr>
          <w:rFonts w:eastAsia="Arial"/>
          <w:szCs w:val="20"/>
        </w:rPr>
      </w:pPr>
      <w:r w:rsidRPr="00210CBB">
        <w:rPr>
          <w:rFonts w:eastAsia="Arial"/>
          <w:szCs w:val="20"/>
        </w:rPr>
        <w:t>En ese sentido, según los artículos 15, fracción I, 16 y 17, fracción I de la LFTR, es competencia exclusiva e indelegable del Pleno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210CBB" w:rsidRDefault="00210CBB" w:rsidP="008F1BC3">
      <w:pPr>
        <w:spacing w:after="0" w:line="276" w:lineRule="auto"/>
        <w:rPr>
          <w:rFonts w:eastAsia="Arial"/>
          <w:szCs w:val="20"/>
        </w:rPr>
      </w:pPr>
      <w:r w:rsidRPr="00210CBB">
        <w:rPr>
          <w:rFonts w:eastAsia="Arial"/>
          <w:szCs w:val="20"/>
        </w:rPr>
        <w:t>En términos de los artículos 1o., 4o., fracción I, 6o., fracción I, 19, fracción VI</w:t>
      </w:r>
      <w:r w:rsidR="00C57616">
        <w:rPr>
          <w:rFonts w:eastAsia="Arial"/>
          <w:szCs w:val="20"/>
        </w:rPr>
        <w:t xml:space="preserve"> y</w:t>
      </w:r>
      <w:r w:rsidRPr="00210CBB">
        <w:rPr>
          <w:rFonts w:eastAsia="Arial"/>
          <w:szCs w:val="20"/>
        </w:rPr>
        <w:t xml:space="preserve"> 21, del </w:t>
      </w:r>
      <w:r w:rsidR="007659CC" w:rsidRPr="00210CBB">
        <w:rPr>
          <w:rFonts w:eastAsia="Arial"/>
          <w:szCs w:val="20"/>
        </w:rPr>
        <w:t>Estatuto, corresponde</w:t>
      </w:r>
      <w:r w:rsidRPr="00210CBB">
        <w:rPr>
          <w:rFonts w:eastAsia="Arial"/>
          <w:szCs w:val="20"/>
        </w:rPr>
        <w:t xml:space="preserve"> al Pleno del Instituto, además de las atribuciones establecidas como indelegables en la LFTR, regular la prestación de 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 o</w:t>
      </w:r>
      <w:r>
        <w:rPr>
          <w:rFonts w:eastAsia="Arial"/>
          <w:szCs w:val="20"/>
        </w:rPr>
        <w:t xml:space="preserve"> la modificación de las mismas.</w:t>
      </w:r>
    </w:p>
    <w:p w:rsidR="00C76F90" w:rsidRDefault="00210CBB" w:rsidP="008F1BC3">
      <w:pPr>
        <w:spacing w:after="0" w:line="276" w:lineRule="auto"/>
        <w:rPr>
          <w:rFonts w:eastAsia="Arial"/>
          <w:szCs w:val="20"/>
        </w:rPr>
      </w:pPr>
      <w:r w:rsidRPr="00210CBB">
        <w:rPr>
          <w:rFonts w:eastAsia="Arial"/>
          <w:szCs w:val="20"/>
        </w:rPr>
        <w:t>Por lo anterior, el Instituto cuenta con facultades para emitir el presente acuerdo.</w:t>
      </w:r>
    </w:p>
    <w:p w:rsidR="00210CBB" w:rsidRDefault="00210CBB" w:rsidP="008F1BC3">
      <w:pPr>
        <w:spacing w:before="0" w:after="160" w:line="276" w:lineRule="auto"/>
      </w:pPr>
    </w:p>
    <w:p w:rsidR="00076EA6" w:rsidRPr="000D1002" w:rsidRDefault="0038458E" w:rsidP="00E3356A">
      <w:pPr>
        <w:pStyle w:val="Ttulo2"/>
        <w:rPr>
          <w:b/>
          <w:vanish/>
          <w:specVanish/>
        </w:rPr>
      </w:pPr>
      <w:r>
        <w:rPr>
          <w:rFonts w:ascii="ITC Avant Garde" w:hAnsi="ITC Avant Garde"/>
          <w:b/>
          <w:color w:val="auto"/>
          <w:sz w:val="22"/>
          <w:szCs w:val="22"/>
        </w:rPr>
        <w:t>SEGUNDO.</w:t>
      </w:r>
      <w:r w:rsidR="00C76F90" w:rsidRPr="00E3356A">
        <w:rPr>
          <w:rFonts w:ascii="ITC Avant Garde" w:hAnsi="ITC Avant Garde"/>
          <w:b/>
          <w:color w:val="auto"/>
          <w:sz w:val="22"/>
          <w:szCs w:val="22"/>
        </w:rPr>
        <w:t>- AUTO</w:t>
      </w:r>
      <w:r w:rsidR="000D1002">
        <w:rPr>
          <w:rFonts w:ascii="ITC Avant Garde" w:hAnsi="ITC Avant Garde"/>
          <w:b/>
          <w:color w:val="auto"/>
          <w:sz w:val="22"/>
          <w:szCs w:val="22"/>
        </w:rPr>
        <w:t>RIZACIÓN Y REGISTRO DE TARIFAS.</w:t>
      </w:r>
    </w:p>
    <w:p w:rsidR="00683228" w:rsidRDefault="000D1002" w:rsidP="008F1BC3">
      <w:pPr>
        <w:spacing w:line="276" w:lineRule="auto"/>
      </w:pPr>
      <w:r>
        <w:t xml:space="preserve"> </w:t>
      </w:r>
      <w:r w:rsidR="00C76F90">
        <w:t>E</w:t>
      </w:r>
      <w:r w:rsidR="00C76F90" w:rsidRPr="00C76F90">
        <w:t>l artículo 15</w:t>
      </w:r>
      <w:r w:rsidR="00C76F90">
        <w:t xml:space="preserve">, </w:t>
      </w:r>
      <w:r w:rsidR="00C76F90" w:rsidRPr="00C50D0D">
        <w:t>fracción XXIV</w:t>
      </w:r>
      <w:r w:rsidR="00C76F90">
        <w:t>,</w:t>
      </w:r>
      <w:r w:rsidR="00C76F90" w:rsidRPr="00C76F90">
        <w:t xml:space="preserve"> de la LFTR dispone que</w:t>
      </w:r>
      <w:r w:rsidR="00C76F90">
        <w:t xml:space="preserve"> </w:t>
      </w:r>
      <w:r w:rsidR="00C76F90" w:rsidRPr="00C76F90">
        <w:t xml:space="preserve">corresponde al Instituto autorizar, registrar y publicar las tarifas de los servicios de telecomunicaciones y de radiodifusión en los términos de </w:t>
      </w:r>
      <w:r w:rsidR="00C76F90">
        <w:t>dicha</w:t>
      </w:r>
      <w:r w:rsidR="00C76F90" w:rsidRPr="00C76F90">
        <w:t xml:space="preserve"> ley, y cuando los títulos de concesión lo prevean, así como cuando se trate de medidas establecidas a los agentes económicos preponderantes o con poder sustancial</w:t>
      </w:r>
      <w:r w:rsidR="00C76F90">
        <w:t xml:space="preserve"> de mercado</w:t>
      </w:r>
      <w:r w:rsidR="00C76F90" w:rsidRPr="00C76F90">
        <w:t>.</w:t>
      </w:r>
      <w:r w:rsidR="00C76F90">
        <w:t xml:space="preserve"> </w:t>
      </w:r>
      <w:r w:rsidR="00683228">
        <w:t>Por su parte, la fracción LII del mismo artículo, establece que el Instituto podrá establecer mecanismos para que los procedimientos de su competencia puedan sustanciarse por medio de las tecnologías de la información y comunicación.</w:t>
      </w:r>
    </w:p>
    <w:p w:rsidR="00C76F90" w:rsidRDefault="00C76F90" w:rsidP="008F1BC3">
      <w:pPr>
        <w:spacing w:line="276" w:lineRule="auto"/>
        <w:rPr>
          <w:sz w:val="20"/>
          <w:szCs w:val="20"/>
        </w:rPr>
      </w:pPr>
      <w:r>
        <w:t xml:space="preserve">Asimismo, el artículo 177, fracción IX, de la misma LFTR, establece que el Instituto será el encargado de mantener actualizado el Registro Público de Concesiones (en lo sucesivo, el “RPC”) en el cual se inscribirán las tarifas al público de los servicios </w:t>
      </w:r>
      <w:r>
        <w:lastRenderedPageBreak/>
        <w:t xml:space="preserve">de telecomunicaciones ofrecidos por los concesionarios y los autorizados, incluidos descuentos y bonificaciones, así como aquellas que por disposición de esta ley o determinación del Instituto requieran de inscripción. </w:t>
      </w:r>
    </w:p>
    <w:p w:rsidR="00C76F90" w:rsidRDefault="00C76F90" w:rsidP="008F1BC3">
      <w:pPr>
        <w:spacing w:after="0" w:line="276" w:lineRule="auto"/>
        <w:rPr>
          <w:szCs w:val="20"/>
        </w:rPr>
      </w:pPr>
      <w:r>
        <w:rPr>
          <w:szCs w:val="20"/>
        </w:rPr>
        <w:t xml:space="preserve">Por otro lado, el artículo 208 de la citada LFTR dispone que a los concesionarios de telecomunicaciones que sean declarados como agente económico preponderante </w:t>
      </w:r>
      <w:r w:rsidR="00995C8B">
        <w:rPr>
          <w:szCs w:val="20"/>
        </w:rPr>
        <w:t xml:space="preserve">en el sector de telecomunicaciones </w:t>
      </w:r>
      <w:r w:rsidRPr="00DD6F12">
        <w:rPr>
          <w:szCs w:val="20"/>
        </w:rPr>
        <w:t>(en lo sucesivo, el “AEP”)</w:t>
      </w:r>
      <w:r>
        <w:rPr>
          <w:szCs w:val="20"/>
        </w:rPr>
        <w:t xml:space="preserve"> </w:t>
      </w:r>
      <w:r w:rsidR="00065CCC">
        <w:rPr>
          <w:szCs w:val="20"/>
        </w:rPr>
        <w:t>y/</w:t>
      </w:r>
      <w:r>
        <w:rPr>
          <w:szCs w:val="20"/>
        </w:rPr>
        <w:t xml:space="preserve">o </w:t>
      </w:r>
      <w:r w:rsidR="00995C8B">
        <w:rPr>
          <w:szCs w:val="20"/>
        </w:rPr>
        <w:t xml:space="preserve">como agente económico </w:t>
      </w:r>
      <w:r>
        <w:rPr>
          <w:szCs w:val="20"/>
        </w:rPr>
        <w:t xml:space="preserve">con poder sustancial de mercado en el sector de las telecomunicaciones </w:t>
      </w:r>
      <w:r w:rsidR="00995C8B" w:rsidRPr="00DD6F12">
        <w:rPr>
          <w:szCs w:val="20"/>
        </w:rPr>
        <w:t xml:space="preserve">(en lo sucesivo, el “AEPSM”) </w:t>
      </w:r>
      <w:r>
        <w:rPr>
          <w:szCs w:val="20"/>
        </w:rPr>
        <w:t xml:space="preserve">no les aplicará la libertad tarifaria a que hace referencia el artículo 204, ni lo previsto en los artículos 205 y 207, por lo que dichos agentes deberán cumplir con la regulación específica que en materia de tarifas les imponga el Instituto y sus tarifas deberán ser aprobadas por </w:t>
      </w:r>
      <w:r w:rsidR="00ED2D1E">
        <w:rPr>
          <w:szCs w:val="20"/>
        </w:rPr>
        <w:t>este</w:t>
      </w:r>
      <w:r>
        <w:rPr>
          <w:szCs w:val="20"/>
        </w:rPr>
        <w:t xml:space="preserve">, el cual deberá llevar un registro de las mismas, a efecto de darles publicidad. </w:t>
      </w:r>
    </w:p>
    <w:p w:rsidR="00C76F90" w:rsidRPr="00C76F90" w:rsidRDefault="00C76F90" w:rsidP="008F1BC3">
      <w:pPr>
        <w:spacing w:after="0" w:line="276" w:lineRule="auto"/>
      </w:pPr>
      <w:r>
        <w:t>De igual forma</w:t>
      </w:r>
      <w:r w:rsidRPr="00C76F90">
        <w:t xml:space="preserve">, el artículo 267 señala, en lo que respecta al sector de las telecomunicaciones, las medidas que el Instituto podrá imponer al AEP, estableciendo en su fracción II lo referente a </w:t>
      </w:r>
      <w:r w:rsidR="00ED2D1E">
        <w:t xml:space="preserve">la </w:t>
      </w:r>
      <w:r w:rsidRPr="00C76F90">
        <w:t xml:space="preserve">autorización de tarifas: </w:t>
      </w:r>
    </w:p>
    <w:p w:rsidR="00C76F90" w:rsidRPr="00C76F90" w:rsidRDefault="00C76F90" w:rsidP="008F1BC3">
      <w:pPr>
        <w:spacing w:line="276" w:lineRule="auto"/>
        <w:ind w:left="709"/>
        <w:rPr>
          <w:i/>
        </w:rPr>
      </w:pPr>
      <w:r w:rsidRPr="00C76F90">
        <w:rPr>
          <w:i/>
        </w:rPr>
        <w:t xml:space="preserve">“II. </w:t>
      </w:r>
      <w:r w:rsidRPr="00C76F90">
        <w:rPr>
          <w:b/>
          <w:i/>
        </w:rPr>
        <w:t>Presentar para la autorización del Instituto las tarifas que aplica: i) a los servicios que presta al público</w:t>
      </w:r>
      <w:r w:rsidRPr="00C76F90">
        <w:rPr>
          <w:i/>
        </w:rPr>
        <w:t xml:space="preserve">; ii) a los servicios intermedios que presta a otros concesionarios, y iii) a su operación de manera desagregada e individual a efecto de impedir subsidios cruzados entre servicios o esquemas que desplacen a la competencia. A tal efecto: </w:t>
      </w:r>
    </w:p>
    <w:p w:rsidR="00C76F90" w:rsidRPr="00C76F90" w:rsidRDefault="00C76F90" w:rsidP="008F1BC3">
      <w:pPr>
        <w:pStyle w:val="Prrafodelista"/>
        <w:numPr>
          <w:ilvl w:val="0"/>
          <w:numId w:val="11"/>
        </w:numPr>
        <w:spacing w:before="0" w:after="160" w:line="276" w:lineRule="auto"/>
        <w:contextualSpacing/>
        <w:rPr>
          <w:b/>
          <w:i/>
        </w:rPr>
      </w:pPr>
      <w:r w:rsidRPr="00C76F90">
        <w:rPr>
          <w:b/>
          <w:i/>
        </w:rPr>
        <w:t xml:space="preserve">Deberá someter junto con la solicitud de autorización de las tarifas al público, los paquetes comerciales, promociones y descuentos, y desagregar el precio de cada servicio. No se podrá comercializar o publicitar los servicios en medios de comunicación, sin la previa autorización del Instituto. </w:t>
      </w:r>
    </w:p>
    <w:p w:rsidR="00C76F90" w:rsidRPr="00C76F90" w:rsidRDefault="00C76F90" w:rsidP="008F1BC3">
      <w:pPr>
        <w:spacing w:before="0" w:after="160" w:line="276" w:lineRule="auto"/>
        <w:ind w:left="851"/>
        <w:contextualSpacing/>
        <w:rPr>
          <w:i/>
        </w:rPr>
      </w:pPr>
      <w:r w:rsidRPr="00C76F90">
        <w:rPr>
          <w:i/>
        </w:rPr>
        <w:t>(…);”</w:t>
      </w:r>
    </w:p>
    <w:p w:rsidR="00C76F90" w:rsidRPr="00C76F90" w:rsidRDefault="00C76F90" w:rsidP="008F1BC3">
      <w:pPr>
        <w:spacing w:line="276" w:lineRule="auto"/>
        <w:ind w:left="851"/>
        <w:rPr>
          <w:b/>
        </w:rPr>
      </w:pPr>
      <w:r w:rsidRPr="00C76F90">
        <w:rPr>
          <w:b/>
        </w:rPr>
        <w:t>[Énfasis añadido]</w:t>
      </w:r>
    </w:p>
    <w:p w:rsidR="00C76F90" w:rsidRPr="00C76F90" w:rsidRDefault="00C76F90" w:rsidP="008F1BC3">
      <w:pPr>
        <w:spacing w:after="0" w:line="276" w:lineRule="auto"/>
      </w:pPr>
      <w:r w:rsidRPr="00C76F90">
        <w:t>Por su parte, el artículo 282 de la LFTR prevé que el Instituto podrá imponer a los AEPSM, obligaciones y limitaciones específicas, entre otras, en materia de tarifas y ofertas comerciales.</w:t>
      </w:r>
    </w:p>
    <w:p w:rsidR="00C76F90" w:rsidRPr="006A67A7" w:rsidRDefault="00C76F90" w:rsidP="006A67A7">
      <w:pPr>
        <w:spacing w:after="0" w:line="276" w:lineRule="auto"/>
      </w:pPr>
      <w:r w:rsidRPr="00C76F90">
        <w:t>Por lo observado anteriormente, los AEP y AEPSM están obligados a someter</w:t>
      </w:r>
      <w:r>
        <w:t>,</w:t>
      </w:r>
      <w:r w:rsidRPr="00C76F90">
        <w:t xml:space="preserve"> para autorización del Instituto, las tarifas de los servicios de telecomunicaciones que pretendan ofrecer al público</w:t>
      </w:r>
      <w:r>
        <w:t>, así como las promociones y paquetes adicionales,</w:t>
      </w:r>
      <w:r w:rsidRPr="00C76F90">
        <w:t xml:space="preserve"> y, de ser autorizadas, estas deben ser registradas por el mismo Instituto con el objeto de darles publicidad. </w:t>
      </w:r>
      <w:r w:rsidR="006A67A7" w:rsidRPr="006A67A7">
        <w:t xml:space="preserve">Sin embargo, al día de hoy, no se encuentra establecido, a </w:t>
      </w:r>
      <w:r w:rsidR="006A67A7" w:rsidRPr="006A67A7">
        <w:lastRenderedPageBreak/>
        <w:t>través de ningún ordenamiento jurídico, el procedimiento para llevar a cabo la autorización y registro de las tarifas de dichos agentes.</w:t>
      </w:r>
    </w:p>
    <w:p w:rsidR="00C76F90" w:rsidRPr="00C76F90" w:rsidRDefault="00C76F90" w:rsidP="008F1BC3">
      <w:pPr>
        <w:spacing w:after="0" w:line="276" w:lineRule="auto"/>
      </w:pPr>
      <w:r>
        <w:t>A</w:t>
      </w:r>
      <w:r w:rsidRPr="00C76F90">
        <w:t>ctualmente, las solicitudes de autorización de tarifas por parte de</w:t>
      </w:r>
      <w:r w:rsidR="00995C8B">
        <w:t>l AEP</w:t>
      </w:r>
      <w:r w:rsidRPr="00C76F90">
        <w:t xml:space="preserve"> se realizan mediante la presentación de escritos libres a través de la oficialía de partes común del Instituto y</w:t>
      </w:r>
      <w:r>
        <w:t>,</w:t>
      </w:r>
      <w:r w:rsidRPr="00C76F90">
        <w:t xml:space="preserve"> las autorizaciones que otorga el Instituto</w:t>
      </w:r>
      <w:r>
        <w:t>,</w:t>
      </w:r>
      <w:r w:rsidRPr="00C76F90">
        <w:t xml:space="preserve"> se notifican personalmente a los solicitantes.</w:t>
      </w:r>
      <w:r>
        <w:t xml:space="preserve"> Adicionalmente, una vez autorizadas las tarifas, el Instituto registra las tarifas en el RPC.</w:t>
      </w:r>
      <w:r w:rsidRPr="00C76F90">
        <w:t xml:space="preserve"> Dicho proceso, en la práctica, representa ineficiencias y costos regulatorios, tanto para </w:t>
      </w:r>
      <w:r w:rsidR="006C16F4" w:rsidRPr="00C76F90">
        <w:t xml:space="preserve">el regulado </w:t>
      </w:r>
      <w:r w:rsidR="006C16F4">
        <w:t xml:space="preserve">como para </w:t>
      </w:r>
      <w:r w:rsidRPr="00C76F90">
        <w:t>el Instituto, debido</w:t>
      </w:r>
      <w:r w:rsidR="00863A80">
        <w:t>,</w:t>
      </w:r>
      <w:r w:rsidRPr="00C76F90">
        <w:t xml:space="preserve"> principalmente</w:t>
      </w:r>
      <w:r w:rsidR="00863A80">
        <w:t>,</w:t>
      </w:r>
      <w:r w:rsidRPr="00C76F90">
        <w:t xml:space="preserve"> a los tiempos requeridos por parte de cada área</w:t>
      </w:r>
      <w:r w:rsidRPr="00C76F90">
        <w:rPr>
          <w:rStyle w:val="Refdenotaalpie"/>
        </w:rPr>
        <w:footnoteReference w:id="2"/>
      </w:r>
      <w:r w:rsidRPr="00C76F90">
        <w:t xml:space="preserve"> involucrada dentro del Instituto en el proceso de recepción, autorización y registro de tarifas y a la falta de un procedimiento claro y preciso</w:t>
      </w:r>
      <w:r w:rsidR="006C16F4">
        <w:t xml:space="preserve"> que permit</w:t>
      </w:r>
      <w:r w:rsidR="00A841D1">
        <w:t>a</w:t>
      </w:r>
      <w:r w:rsidR="006C16F4">
        <w:t xml:space="preserve"> al regulado hacer más eficiente su propia gestión</w:t>
      </w:r>
      <w:r w:rsidRPr="00C76F90">
        <w:t xml:space="preserve">. </w:t>
      </w:r>
    </w:p>
    <w:p w:rsidR="00C76F90" w:rsidRPr="00C76F90" w:rsidRDefault="00C76F90" w:rsidP="008F1BC3">
      <w:pPr>
        <w:spacing w:line="276" w:lineRule="auto"/>
      </w:pPr>
      <w:r w:rsidRPr="00C76F90">
        <w:t xml:space="preserve">Por su parte, la autorización de las tarifas implica la revisión del cumplimiento de diversas obligaciones en materia tarifaria, previstas en la LFTR, en los títulos de concesión, y en diversas disposiciones regulatorias. En particular, al día de hoy se analiza lo siguiente:  </w:t>
      </w:r>
    </w:p>
    <w:p w:rsidR="00C76F90" w:rsidRPr="00C76F90" w:rsidRDefault="00C76F90" w:rsidP="008F1BC3">
      <w:pPr>
        <w:pStyle w:val="Prrafodelista"/>
        <w:numPr>
          <w:ilvl w:val="0"/>
          <w:numId w:val="3"/>
        </w:numPr>
        <w:spacing w:before="0" w:after="160" w:line="276" w:lineRule="auto"/>
        <w:contextualSpacing/>
      </w:pPr>
      <w:r w:rsidRPr="00C76F90">
        <w:t>Que no se realicen cargos de larga distancia a usuarios por las llamadas que realicen a cualquier destino nacional</w:t>
      </w:r>
      <w:r w:rsidRPr="00C76F90">
        <w:rPr>
          <w:rStyle w:val="Refdenotaalpie"/>
        </w:rPr>
        <w:footnoteReference w:id="3"/>
      </w:r>
      <w:r w:rsidRPr="00C76F90">
        <w:t>;</w:t>
      </w:r>
    </w:p>
    <w:p w:rsidR="00C76F90" w:rsidRPr="00C76F90" w:rsidRDefault="00C76F90" w:rsidP="008F1BC3">
      <w:pPr>
        <w:pStyle w:val="Prrafodelista"/>
        <w:numPr>
          <w:ilvl w:val="0"/>
          <w:numId w:val="3"/>
        </w:numPr>
        <w:spacing w:before="0" w:after="160" w:line="276" w:lineRule="auto"/>
        <w:contextualSpacing/>
      </w:pPr>
      <w:r w:rsidRPr="00C76F90">
        <w:t>Que no se establezcan cargas o condiciones comerciales distintas en calidad y precio, independientemente del lugar donde se origine o termine el servicio, ya sea en su red o en la de otro concesionario</w:t>
      </w:r>
      <w:r w:rsidRPr="00C76F90">
        <w:rPr>
          <w:rStyle w:val="Refdenotaalpie"/>
        </w:rPr>
        <w:footnoteReference w:id="4"/>
      </w:r>
      <w:r w:rsidRPr="00C76F90">
        <w:t>;</w:t>
      </w:r>
    </w:p>
    <w:p w:rsidR="00C76F90" w:rsidRPr="00C76F90" w:rsidRDefault="00C76F90" w:rsidP="008F1BC3">
      <w:pPr>
        <w:pStyle w:val="Prrafodelista"/>
        <w:numPr>
          <w:ilvl w:val="0"/>
          <w:numId w:val="3"/>
        </w:numPr>
        <w:spacing w:before="0" w:after="160" w:line="276" w:lineRule="auto"/>
        <w:contextualSpacing/>
      </w:pPr>
      <w:r w:rsidRPr="00C76F90">
        <w:t>Que no se cobre de forma diferenciada a sus usuarios del servicio móvil al recibir llamadas de su red o de la de otro concesionario</w:t>
      </w:r>
      <w:r w:rsidRPr="00C76F90">
        <w:rPr>
          <w:rStyle w:val="Refdenotaalpie"/>
        </w:rPr>
        <w:footnoteReference w:id="5"/>
      </w:r>
      <w:r w:rsidRPr="00C76F90">
        <w:t>;</w:t>
      </w:r>
    </w:p>
    <w:p w:rsidR="00C76F90" w:rsidRPr="00C76F90" w:rsidRDefault="00C76F90" w:rsidP="008F1BC3">
      <w:pPr>
        <w:pStyle w:val="Prrafodelista"/>
        <w:numPr>
          <w:ilvl w:val="0"/>
          <w:numId w:val="3"/>
        </w:numPr>
        <w:spacing w:before="0" w:after="160" w:line="276" w:lineRule="auto"/>
        <w:contextualSpacing/>
      </w:pPr>
      <w:r w:rsidRPr="00C76F90">
        <w:t>Que se cumpla con las obligaciones derivadas de la regulación asimétrica</w:t>
      </w:r>
      <w:r w:rsidRPr="00C76F90">
        <w:rPr>
          <w:rStyle w:val="Refdenotaalpie"/>
        </w:rPr>
        <w:footnoteReference w:id="6"/>
      </w:r>
      <w:r w:rsidRPr="00C76F90">
        <w:t>, y</w:t>
      </w:r>
    </w:p>
    <w:p w:rsidR="00C76F90" w:rsidRPr="00C76F90" w:rsidRDefault="00C76F90" w:rsidP="008F1BC3">
      <w:pPr>
        <w:pStyle w:val="Prrafodelista"/>
        <w:numPr>
          <w:ilvl w:val="0"/>
          <w:numId w:val="3"/>
        </w:numPr>
        <w:spacing w:before="0" w:after="160" w:line="276" w:lineRule="auto"/>
        <w:contextualSpacing/>
      </w:pPr>
      <w:r w:rsidRPr="00C76F90">
        <w:t>Que se cumpla con las obligaciones derivadas de los títulos habilitantes</w:t>
      </w:r>
      <w:r w:rsidRPr="00C76F90">
        <w:rPr>
          <w:rStyle w:val="Refdenotaalpie"/>
        </w:rPr>
        <w:footnoteReference w:id="7"/>
      </w:r>
      <w:r w:rsidRPr="00C76F90">
        <w:t>.</w:t>
      </w:r>
    </w:p>
    <w:p w:rsidR="001C13E3" w:rsidRDefault="001C13E3" w:rsidP="008F1BC3">
      <w:pPr>
        <w:spacing w:before="0" w:after="160" w:line="276" w:lineRule="auto"/>
      </w:pPr>
      <w:r>
        <w:lastRenderedPageBreak/>
        <w:t>Adicionalmente</w:t>
      </w:r>
      <w:r w:rsidR="00C76F90" w:rsidRPr="00C76F90">
        <w:t xml:space="preserve">, </w:t>
      </w:r>
      <w:r w:rsidR="00C76F90">
        <w:t>se</w:t>
      </w:r>
      <w:r w:rsidR="00C76F90" w:rsidRPr="0052255E">
        <w:t xml:space="preserve"> destaca</w:t>
      </w:r>
      <w:r w:rsidR="00C76F90" w:rsidRPr="00C76F90">
        <w:t xml:space="preserve"> que, </w:t>
      </w:r>
      <w:r w:rsidR="004051A0">
        <w:t xml:space="preserve">solo </w:t>
      </w:r>
      <w:r w:rsidR="00C76F90" w:rsidRPr="00C76F90">
        <w:t xml:space="preserve">durante el año 2017, el Instituto </w:t>
      </w:r>
      <w:r w:rsidR="000121FD" w:rsidRPr="00C76F90">
        <w:t>a</w:t>
      </w:r>
      <w:r w:rsidR="000121FD">
        <w:t>utorizó</w:t>
      </w:r>
      <w:r w:rsidR="000121FD" w:rsidRPr="00C76F90">
        <w:t xml:space="preserve"> </w:t>
      </w:r>
      <w:r w:rsidR="00C76F90" w:rsidRPr="00C76F90">
        <w:t xml:space="preserve">más de 1900 tarifas sometidas </w:t>
      </w:r>
      <w:r w:rsidR="00C76F90" w:rsidRPr="004051A0">
        <w:t>para autorización</w:t>
      </w:r>
      <w:r w:rsidR="00C34879">
        <w:t xml:space="preserve">, </w:t>
      </w:r>
      <w:r w:rsidR="00C34879" w:rsidRPr="00C76F90">
        <w:t>es decir, un promedio de 150 tarifas sometidas, autoriz</w:t>
      </w:r>
      <w:r w:rsidR="00C34879">
        <w:t xml:space="preserve">adas y registradas por mes, </w:t>
      </w:r>
      <w:r w:rsidR="003F0EE2">
        <w:t xml:space="preserve">por parte del </w:t>
      </w:r>
      <w:r w:rsidR="00C34879">
        <w:t xml:space="preserve">agente económico preponderante </w:t>
      </w:r>
      <w:r w:rsidR="00B25375">
        <w:t>en el sector de Telecomunicaciones</w:t>
      </w:r>
      <w:r w:rsidR="003F0EE2">
        <w:t xml:space="preserve"> y </w:t>
      </w:r>
      <w:r w:rsidR="00B25375">
        <w:t>de</w:t>
      </w:r>
      <w:r w:rsidR="00C34879">
        <w:t>l</w:t>
      </w:r>
      <w:r w:rsidR="00B25375">
        <w:t xml:space="preserve"> agente </w:t>
      </w:r>
      <w:r w:rsidR="00C34879">
        <w:t xml:space="preserve">económico sujeto a declaración de poder sustancial del mercado de televisión restringida </w:t>
      </w:r>
      <w:r w:rsidR="00B25375">
        <w:t>durante una parte de dicho año</w:t>
      </w:r>
      <w:r w:rsidR="00C34879">
        <w:t>.</w:t>
      </w:r>
      <w:r w:rsidR="00C76F90" w:rsidRPr="00C76F90">
        <w:t xml:space="preserve"> </w:t>
      </w:r>
    </w:p>
    <w:p w:rsidR="0014210A" w:rsidRDefault="00E901D1" w:rsidP="008F1BC3">
      <w:pPr>
        <w:spacing w:before="0" w:after="160" w:line="276" w:lineRule="auto"/>
      </w:pPr>
      <w:r>
        <w:t>Es</w:t>
      </w:r>
      <w:r w:rsidR="0083537F">
        <w:t xml:space="preserve"> importante destacar que, a</w:t>
      </w:r>
      <w:r w:rsidR="00B25375">
        <w:t>l día de hoy</w:t>
      </w:r>
      <w:r w:rsidR="0083537F">
        <w:t xml:space="preserve">, solo se autorizan las tarifas sometidas por el AEP en </w:t>
      </w:r>
      <w:r w:rsidR="00593D53">
        <w:t>el sector de telecomunicaciones</w:t>
      </w:r>
      <w:r w:rsidR="0083537F">
        <w:t xml:space="preserve">. En ese sentido, el análisis de las solicitudes de autorización de tarifas se lleva a cabo en función de las obligaciones impuestas a este, a través de la LFTR, disposiciones de carácter general o a través de regulación asimétrica, como lo es la </w:t>
      </w:r>
      <w:proofErr w:type="spellStart"/>
      <w:r w:rsidR="0083537F">
        <w:t>replicabilidad</w:t>
      </w:r>
      <w:proofErr w:type="spellEnd"/>
      <w:r w:rsidR="0083537F">
        <w:t xml:space="preserve"> económica</w:t>
      </w:r>
      <w:r w:rsidR="0083537F">
        <w:rPr>
          <w:rStyle w:val="Refdenotaalpie"/>
        </w:rPr>
        <w:footnoteReference w:id="8"/>
      </w:r>
      <w:r w:rsidR="0083537F">
        <w:t xml:space="preserve"> y la </w:t>
      </w:r>
      <w:proofErr w:type="spellStart"/>
      <w:r w:rsidR="0083537F">
        <w:t>replicabilidad</w:t>
      </w:r>
      <w:proofErr w:type="spellEnd"/>
      <w:r w:rsidR="0083537F">
        <w:t xml:space="preserve"> técnica</w:t>
      </w:r>
      <w:r w:rsidR="0083537F">
        <w:rPr>
          <w:rStyle w:val="Refdenotaalpie"/>
        </w:rPr>
        <w:footnoteReference w:id="9"/>
      </w:r>
      <w:r w:rsidR="0083537F">
        <w:t xml:space="preserve">. </w:t>
      </w:r>
    </w:p>
    <w:p w:rsidR="0083537F" w:rsidRDefault="0083537F" w:rsidP="008F1BC3">
      <w:pPr>
        <w:spacing w:before="0" w:after="160" w:line="276" w:lineRule="auto"/>
      </w:pPr>
      <w:r>
        <w:t xml:space="preserve">Así, en caso de determinarse en el futuro </w:t>
      </w:r>
      <w:r w:rsidR="00593D53">
        <w:t>obligaciones específicas para</w:t>
      </w:r>
      <w:r>
        <w:t xml:space="preserve"> uno o más </w:t>
      </w:r>
      <w:r w:rsidR="00362B77">
        <w:t>AEPSM,</w:t>
      </w:r>
      <w:r w:rsidR="00CF24A9">
        <w:t xml:space="preserve"> </w:t>
      </w:r>
      <w:r>
        <w:t>o</w:t>
      </w:r>
      <w:r w:rsidR="00201F6C">
        <w:t xml:space="preserve"> bien,</w:t>
      </w:r>
      <w:r>
        <w:t xml:space="preserve"> de cambiar las condiciones de</w:t>
      </w:r>
      <w:r w:rsidR="006C16F4">
        <w:t xml:space="preserve"> quien al día de hoy es </w:t>
      </w:r>
      <w:r>
        <w:t xml:space="preserve">AEP, el análisis de sus tarifas sometidas a autorización se </w:t>
      </w:r>
      <w:r w:rsidR="006C16F4">
        <w:t>deberá llevar</w:t>
      </w:r>
      <w:r>
        <w:t xml:space="preserve"> a cabo en función de las obligaciones impuestas a cada uno de ellos.</w:t>
      </w:r>
    </w:p>
    <w:p w:rsidR="00362B77" w:rsidRDefault="00362B77" w:rsidP="00111E0A">
      <w:pPr>
        <w:rPr>
          <w:szCs w:val="20"/>
        </w:rPr>
      </w:pPr>
      <w:r>
        <w:t>Por otro lado, d</w:t>
      </w:r>
      <w:r w:rsidR="00CF24A9">
        <w:t>e</w:t>
      </w:r>
      <w:r w:rsidR="00111E06">
        <w:t xml:space="preserve">rivado de la información que se requiere analizar a efecto de autorizar una tarifa y del alto número de tarifas </w:t>
      </w:r>
      <w:r w:rsidR="002340E3">
        <w:t>que se someten al Instituto</w:t>
      </w:r>
      <w:r w:rsidR="00111E06">
        <w:t xml:space="preserve"> para autorización</w:t>
      </w:r>
      <w:r w:rsidR="00CF24A9">
        <w:t xml:space="preserve">, se </w:t>
      </w:r>
      <w:r w:rsidR="00065CCC">
        <w:t xml:space="preserve">advierte </w:t>
      </w:r>
      <w:r w:rsidR="00CF24A9">
        <w:t>la necesidad</w:t>
      </w:r>
      <w:r w:rsidR="001C13E3" w:rsidRPr="0052255E">
        <w:t xml:space="preserve"> </w:t>
      </w:r>
      <w:r w:rsidR="00CF24A9">
        <w:t>de</w:t>
      </w:r>
      <w:r w:rsidR="001C13E3" w:rsidRPr="00C76F90">
        <w:t xml:space="preserve"> mantener </w:t>
      </w:r>
      <w:r>
        <w:t xml:space="preserve">una vía de </w:t>
      </w:r>
      <w:r w:rsidR="001C13E3" w:rsidRPr="00C76F90">
        <w:t xml:space="preserve">comunicación </w:t>
      </w:r>
      <w:r w:rsidR="00111E06">
        <w:t xml:space="preserve">ágil </w:t>
      </w:r>
      <w:r w:rsidR="001C13E3" w:rsidRPr="00C76F90">
        <w:t>con los regulados a efecto de prevenir o requerir información adicional</w:t>
      </w:r>
      <w:r w:rsidR="001C13E3">
        <w:t>,</w:t>
      </w:r>
      <w:r w:rsidR="009E68DA">
        <w:t xml:space="preserve"> así como de notificar resoluciones,</w:t>
      </w:r>
      <w:r w:rsidR="00C76F90" w:rsidRPr="00DD6F12">
        <w:rPr>
          <w:szCs w:val="20"/>
        </w:rPr>
        <w:t xml:space="preserve"> </w:t>
      </w:r>
      <w:r w:rsidR="006C16F4">
        <w:rPr>
          <w:szCs w:val="20"/>
        </w:rPr>
        <w:t>lo que impacta</w:t>
      </w:r>
      <w:r>
        <w:rPr>
          <w:szCs w:val="20"/>
        </w:rPr>
        <w:t>ría positivamente tanto a los agentes regulados como al propio Instituto.</w:t>
      </w:r>
      <w:r w:rsidR="00C27ADB">
        <w:rPr>
          <w:szCs w:val="20"/>
        </w:rPr>
        <w:t xml:space="preserve"> </w:t>
      </w:r>
    </w:p>
    <w:p w:rsidR="0083537F" w:rsidRDefault="00362B77" w:rsidP="00111E0A">
      <w:r>
        <w:rPr>
          <w:szCs w:val="20"/>
        </w:rPr>
        <w:t xml:space="preserve">Por el lado de los agentes económicos sujetos a una autorización de tarifas, una comunicación con el regulador más ágil permitirá mejorar </w:t>
      </w:r>
      <w:r w:rsidR="002340E3">
        <w:rPr>
          <w:szCs w:val="20"/>
        </w:rPr>
        <w:t>su capacidad de respuesta ante el dinamismo del sector, donde es de vital importancia para las compañías identificar rápidamente oportunidades que puedan potenciar su negocio y el bienestar de sus usuarios</w:t>
      </w:r>
      <w:r w:rsidR="00C76F90" w:rsidRPr="00DD6F12">
        <w:rPr>
          <w:szCs w:val="20"/>
        </w:rPr>
        <w:t>.</w:t>
      </w:r>
      <w:r w:rsidR="002340E3">
        <w:rPr>
          <w:szCs w:val="20"/>
        </w:rPr>
        <w:t xml:space="preserve"> </w:t>
      </w:r>
      <w:r w:rsidR="002340E3">
        <w:t>En México, l</w:t>
      </w:r>
      <w:r w:rsidR="002340E3" w:rsidRPr="00142EA8">
        <w:t xml:space="preserve">a entrada de nuevas compañías </w:t>
      </w:r>
      <w:r w:rsidR="002340E3" w:rsidRPr="00142EA8">
        <w:lastRenderedPageBreak/>
        <w:t xml:space="preserve">al mercado, las alianzas estratégicas entre competidores, el establecimiento y la modificación de reglas específicas para el </w:t>
      </w:r>
      <w:r w:rsidR="002340E3">
        <w:t>AEP, entre otro</w:t>
      </w:r>
      <w:r w:rsidR="002340E3" w:rsidRPr="00142EA8">
        <w:t>s</w:t>
      </w:r>
      <w:r w:rsidR="002340E3">
        <w:t xml:space="preserve"> hechos</w:t>
      </w:r>
      <w:r w:rsidR="002340E3" w:rsidRPr="00142EA8">
        <w:t xml:space="preserve">, han </w:t>
      </w:r>
      <w:r>
        <w:t>favorecido la</w:t>
      </w:r>
      <w:r w:rsidR="002340E3" w:rsidRPr="00142EA8">
        <w:t xml:space="preserve"> dinámica competitiva</w:t>
      </w:r>
      <w:r w:rsidR="002340E3">
        <w:t xml:space="preserve"> </w:t>
      </w:r>
      <w:r>
        <w:t xml:space="preserve">tanto en servicios móviles como fijos. Asimismo, </w:t>
      </w:r>
      <w:r w:rsidR="002340E3">
        <w:t xml:space="preserve">los hábitos de consumo de la población mexicana se han </w:t>
      </w:r>
      <w:r w:rsidR="00593D53">
        <w:t xml:space="preserve">modificado </w:t>
      </w:r>
      <w:r w:rsidR="002340E3">
        <w:t>sustancialmente</w:t>
      </w:r>
      <w:r w:rsidR="009915A4">
        <w:rPr>
          <w:rStyle w:val="Refdenotaalpie"/>
        </w:rPr>
        <w:footnoteReference w:id="10"/>
      </w:r>
      <w:r w:rsidR="002340E3">
        <w:t xml:space="preserve">, por lo que es de primordial importancia que las empresas que compiten en el sector de telecomunicaciones tengan la oportunidad </w:t>
      </w:r>
      <w:r w:rsidR="00593D53">
        <w:t xml:space="preserve">de </w:t>
      </w:r>
      <w:r w:rsidR="002340E3">
        <w:t xml:space="preserve">comercializar sus ofertas </w:t>
      </w:r>
      <w:r w:rsidR="005F1725">
        <w:t>a usuarios finales</w:t>
      </w:r>
      <w:r w:rsidR="002340E3">
        <w:t xml:space="preserve"> ágilmente, en función de las cambiantes condiciones comerciales.</w:t>
      </w:r>
    </w:p>
    <w:p w:rsidR="00362B77" w:rsidRDefault="005F1725" w:rsidP="00111E0A">
      <w:r>
        <w:rPr>
          <w:szCs w:val="20"/>
        </w:rPr>
        <w:t>P</w:t>
      </w:r>
      <w:r w:rsidR="00362B77">
        <w:rPr>
          <w:szCs w:val="20"/>
        </w:rPr>
        <w:t>or el lado del Instituto,</w:t>
      </w:r>
      <w:r w:rsidR="00362B77" w:rsidRPr="00DD6F12">
        <w:rPr>
          <w:szCs w:val="20"/>
        </w:rPr>
        <w:t xml:space="preserve"> </w:t>
      </w:r>
      <w:r w:rsidR="00065CCC">
        <w:rPr>
          <w:szCs w:val="20"/>
        </w:rPr>
        <w:t>contar con una vía de comunicación más ágil permitirá generar</w:t>
      </w:r>
      <w:r>
        <w:rPr>
          <w:szCs w:val="20"/>
        </w:rPr>
        <w:t xml:space="preserve"> ahorros </w:t>
      </w:r>
      <w:r w:rsidR="00362B77" w:rsidRPr="00DD6F12">
        <w:rPr>
          <w:szCs w:val="20"/>
        </w:rPr>
        <w:t xml:space="preserve">en el tiempo que </w:t>
      </w:r>
      <w:r w:rsidR="00362B77">
        <w:rPr>
          <w:szCs w:val="20"/>
        </w:rPr>
        <w:t>su</w:t>
      </w:r>
      <w:r w:rsidR="00362B77" w:rsidRPr="00DD6F12">
        <w:rPr>
          <w:szCs w:val="20"/>
        </w:rPr>
        <w:t xml:space="preserve"> recurso humano </w:t>
      </w:r>
      <w:r>
        <w:rPr>
          <w:szCs w:val="20"/>
        </w:rPr>
        <w:t>debe</w:t>
      </w:r>
      <w:r w:rsidR="00362B77" w:rsidRPr="00DD6F12">
        <w:rPr>
          <w:szCs w:val="20"/>
        </w:rPr>
        <w:t xml:space="preserve"> dedicar a cuestiones de gestión del trámite, lo que </w:t>
      </w:r>
      <w:r>
        <w:rPr>
          <w:szCs w:val="20"/>
        </w:rPr>
        <w:t>representa</w:t>
      </w:r>
      <w:r w:rsidR="00362B77" w:rsidRPr="00DD6F12">
        <w:rPr>
          <w:szCs w:val="20"/>
        </w:rPr>
        <w:t xml:space="preserve"> un costo de oportunidad respecto de los tiempos y personal asignado para realizar análisis sustantivos</w:t>
      </w:r>
      <w:r>
        <w:rPr>
          <w:szCs w:val="20"/>
        </w:rPr>
        <w:t>.</w:t>
      </w:r>
    </w:p>
    <w:p w:rsidR="00B402BA" w:rsidRDefault="00C76F90" w:rsidP="008F1BC3">
      <w:pPr>
        <w:spacing w:after="0" w:line="276" w:lineRule="auto"/>
      </w:pPr>
      <w:r w:rsidRPr="00C76F90">
        <w:t xml:space="preserve">Por lo anteriormente expuesto, se </w:t>
      </w:r>
      <w:r w:rsidR="00BA1FAD">
        <w:t>considera</w:t>
      </w:r>
      <w:r w:rsidRPr="00C76F90">
        <w:t xml:space="preserve"> necesari</w:t>
      </w:r>
      <w:r w:rsidR="009B464E">
        <w:t>o</w:t>
      </w:r>
      <w:r w:rsidRPr="00C76F90">
        <w:t xml:space="preserve"> </w:t>
      </w:r>
      <w:r w:rsidR="009B464E">
        <w:t xml:space="preserve">establecer </w:t>
      </w:r>
      <w:r w:rsidRPr="00C76F90">
        <w:t xml:space="preserve">el procedimiento, plazos, requisitos y formatos, a través de los cuales el Instituto </w:t>
      </w:r>
      <w:r w:rsidR="00FC2D49">
        <w:t xml:space="preserve">pueda allegarse de la información necesaria para analizar las propuestas tarifarias </w:t>
      </w:r>
      <w:r w:rsidR="00FC2D49" w:rsidRPr="00C76F90">
        <w:t xml:space="preserve">para usuarios finales de los </w:t>
      </w:r>
      <w:r w:rsidR="00FC2D49" w:rsidRPr="00E76F94">
        <w:t>AEP y AEPSM</w:t>
      </w:r>
      <w:r w:rsidR="00FC2D49">
        <w:t xml:space="preserve"> y, de ser el caso, </w:t>
      </w:r>
      <w:r w:rsidRPr="00C76F90">
        <w:t>autori</w:t>
      </w:r>
      <w:r w:rsidR="00FC2D49">
        <w:t>zarlas</w:t>
      </w:r>
      <w:r>
        <w:t xml:space="preserve"> y registr</w:t>
      </w:r>
      <w:r w:rsidR="00FC2D49">
        <w:t>arlas</w:t>
      </w:r>
      <w:r>
        <w:t xml:space="preserve"> de una forma ágil</w:t>
      </w:r>
      <w:r w:rsidRPr="00E76F94">
        <w:t>.</w:t>
      </w:r>
      <w:r w:rsidR="00CF24A9">
        <w:t xml:space="preserve"> As</w:t>
      </w:r>
      <w:r w:rsidR="0026465A">
        <w:t>imismo</w:t>
      </w:r>
      <w:r>
        <w:t xml:space="preserve">, </w:t>
      </w:r>
      <w:r w:rsidR="00CF24A9">
        <w:t>se considera pertinente que</w:t>
      </w:r>
      <w:r w:rsidR="004F6C15">
        <w:t xml:space="preserve"> </w:t>
      </w:r>
      <w:r w:rsidR="00FC2D49" w:rsidRPr="00FC2D49">
        <w:t xml:space="preserve">el procedimiento para llevar a cabo la </w:t>
      </w:r>
      <w:r>
        <w:t xml:space="preserve">autorización de tarifas </w:t>
      </w:r>
      <w:r w:rsidR="004F6C15">
        <w:t>sea determinado a través de una disposición de carácter general que</w:t>
      </w:r>
      <w:r w:rsidR="005D4CB3">
        <w:t xml:space="preserve"> no </w:t>
      </w:r>
      <w:r w:rsidR="004F6C15">
        <w:t>se enfoque</w:t>
      </w:r>
      <w:r w:rsidR="005D4CB3">
        <w:t xml:space="preserve"> </w:t>
      </w:r>
      <w:r w:rsidR="004F6C15">
        <w:t xml:space="preserve">de manera particular </w:t>
      </w:r>
      <w:r w:rsidR="005D4CB3">
        <w:t xml:space="preserve">en los requerimientos para </w:t>
      </w:r>
      <w:r w:rsidR="00C27ADB">
        <w:t>quien al día de hoy es agente económico preponderante y</w:t>
      </w:r>
      <w:r w:rsidR="009F40D0">
        <w:t xml:space="preserve"> le es aplicable la autorización de tarifas</w:t>
      </w:r>
      <w:r w:rsidR="00A423EC">
        <w:t>, sino</w:t>
      </w:r>
      <w:r w:rsidR="003B4CCE">
        <w:t xml:space="preserve"> que se diseñe contemplando </w:t>
      </w:r>
      <w:r w:rsidR="00A423EC">
        <w:t>a aquellos agentes económicos que en el futuro puedan ser declarados con poder sustancial de mercado</w:t>
      </w:r>
      <w:r w:rsidR="005D4CB3">
        <w:t xml:space="preserve">. </w:t>
      </w:r>
      <w:r w:rsidR="0026465A">
        <w:t>Finalmente</w:t>
      </w:r>
      <w:r w:rsidR="005D4CB3">
        <w:t xml:space="preserve">, </w:t>
      </w:r>
      <w:r w:rsidR="004F6C15">
        <w:t>debe</w:t>
      </w:r>
      <w:r w:rsidR="005D4CB3">
        <w:t xml:space="preserve"> </w:t>
      </w:r>
      <w:r>
        <w:t>considerar</w:t>
      </w:r>
      <w:r w:rsidR="00C27ADB">
        <w:t>se</w:t>
      </w:r>
      <w:r>
        <w:t xml:space="preserve"> que las </w:t>
      </w:r>
      <w:r w:rsidR="00BA1FAD">
        <w:t xml:space="preserve">obligaciones </w:t>
      </w:r>
      <w:r>
        <w:t>impuestas a los diversos agentes</w:t>
      </w:r>
      <w:r w:rsidR="004F6C15">
        <w:t xml:space="preserve"> a quienes les aplicará esta disposición</w:t>
      </w:r>
      <w:r>
        <w:t xml:space="preserve"> variarán en función de los servicios provistos y </w:t>
      </w:r>
      <w:r w:rsidR="009E68DA">
        <w:t xml:space="preserve">de </w:t>
      </w:r>
      <w:r>
        <w:t xml:space="preserve">las condiciones de los mercados en que </w:t>
      </w:r>
      <w:r w:rsidR="005D4CB3">
        <w:t>participen</w:t>
      </w:r>
      <w:r>
        <w:t>.</w:t>
      </w:r>
    </w:p>
    <w:p w:rsidR="00326A58" w:rsidRDefault="00326A58" w:rsidP="008F1BC3">
      <w:pPr>
        <w:spacing w:before="0" w:line="276" w:lineRule="auto"/>
        <w:rPr>
          <w:b/>
          <w:szCs w:val="20"/>
        </w:rPr>
      </w:pPr>
    </w:p>
    <w:p w:rsidR="00076EA6" w:rsidRPr="000D1002" w:rsidRDefault="00A64CDB" w:rsidP="00E3356A">
      <w:pPr>
        <w:pStyle w:val="Ttulo2"/>
        <w:rPr>
          <w:b/>
          <w:vanish/>
          <w:specVanish/>
        </w:rPr>
      </w:pPr>
      <w:r w:rsidRPr="00E3356A">
        <w:rPr>
          <w:rFonts w:ascii="ITC Avant Garde" w:hAnsi="ITC Avant Garde"/>
          <w:b/>
          <w:color w:val="auto"/>
          <w:sz w:val="22"/>
          <w:szCs w:val="22"/>
        </w:rPr>
        <w:t>TERCERO</w:t>
      </w:r>
      <w:r w:rsidR="0038458E">
        <w:rPr>
          <w:rFonts w:ascii="ITC Avant Garde" w:hAnsi="ITC Avant Garde"/>
          <w:b/>
          <w:color w:val="auto"/>
          <w:sz w:val="22"/>
          <w:szCs w:val="22"/>
        </w:rPr>
        <w:t>.</w:t>
      </w:r>
      <w:r w:rsidR="000D1002">
        <w:rPr>
          <w:rFonts w:ascii="ITC Avant Garde" w:hAnsi="ITC Avant Garde"/>
          <w:b/>
          <w:color w:val="auto"/>
          <w:sz w:val="22"/>
          <w:szCs w:val="22"/>
        </w:rPr>
        <w:t>– EXPERIENCIA INTERNACIONAL.</w:t>
      </w:r>
    </w:p>
    <w:p w:rsidR="00326A58" w:rsidRDefault="000D1002" w:rsidP="008F1BC3">
      <w:pPr>
        <w:spacing w:after="0" w:line="276" w:lineRule="auto"/>
        <w:rPr>
          <w:szCs w:val="20"/>
        </w:rPr>
      </w:pPr>
      <w:r>
        <w:rPr>
          <w:szCs w:val="20"/>
        </w:rPr>
        <w:t xml:space="preserve"> </w:t>
      </w:r>
      <w:r w:rsidR="00326A58" w:rsidRPr="00212A33">
        <w:rPr>
          <w:szCs w:val="20"/>
        </w:rPr>
        <w:t>A efecto de brindar c</w:t>
      </w:r>
      <w:r w:rsidR="00326A58">
        <w:rPr>
          <w:szCs w:val="20"/>
        </w:rPr>
        <w:t>ertidumbre</w:t>
      </w:r>
      <w:r w:rsidR="00326A58" w:rsidRPr="00212A33">
        <w:rPr>
          <w:szCs w:val="20"/>
        </w:rPr>
        <w:t xml:space="preserve"> a los usuarios de servicios de telecomunicaciones, </w:t>
      </w:r>
      <w:r w:rsidR="00326A58">
        <w:rPr>
          <w:szCs w:val="20"/>
        </w:rPr>
        <w:t xml:space="preserve">respecto </w:t>
      </w:r>
      <w:r w:rsidR="00B26C60">
        <w:rPr>
          <w:szCs w:val="20"/>
        </w:rPr>
        <w:t>de</w:t>
      </w:r>
      <w:r w:rsidR="00326A58">
        <w:rPr>
          <w:szCs w:val="20"/>
        </w:rPr>
        <w:t xml:space="preserve"> los servicios y tarifas ofrecidas por los operadores, las </w:t>
      </w:r>
      <w:r w:rsidR="00326A58" w:rsidRPr="00212A33">
        <w:rPr>
          <w:szCs w:val="20"/>
        </w:rPr>
        <w:t>autoridades</w:t>
      </w:r>
      <w:r w:rsidR="00326A58">
        <w:rPr>
          <w:szCs w:val="20"/>
        </w:rPr>
        <w:t xml:space="preserve"> regulatorias</w:t>
      </w:r>
      <w:r w:rsidR="00326A58" w:rsidRPr="00212A33">
        <w:rPr>
          <w:szCs w:val="20"/>
        </w:rPr>
        <w:t xml:space="preserve"> de diversos países</w:t>
      </w:r>
      <w:r w:rsidR="00326A58">
        <w:rPr>
          <w:szCs w:val="20"/>
        </w:rPr>
        <w:t xml:space="preserve"> han generado procedimientos para llevar a cabo el registro de tarifas a través de sistemas electrónicos y, a partir de estos mismo</w:t>
      </w:r>
      <w:r w:rsidR="00B26C60">
        <w:rPr>
          <w:szCs w:val="20"/>
        </w:rPr>
        <w:t>s</w:t>
      </w:r>
      <w:r w:rsidR="00326A58">
        <w:rPr>
          <w:szCs w:val="20"/>
        </w:rPr>
        <w:t xml:space="preserve">, </w:t>
      </w:r>
      <w:r w:rsidR="00A63270">
        <w:rPr>
          <w:szCs w:val="20"/>
        </w:rPr>
        <w:t xml:space="preserve">en algunos casos, </w:t>
      </w:r>
      <w:r w:rsidR="00326A58">
        <w:rPr>
          <w:szCs w:val="20"/>
        </w:rPr>
        <w:t>llevar a cabo la solicitud de aprobación de tarifas sujetas a un régimen tarifario regulado.</w:t>
      </w:r>
    </w:p>
    <w:p w:rsidR="00932195" w:rsidRDefault="00932195" w:rsidP="008F1BC3">
      <w:pPr>
        <w:spacing w:after="0" w:line="276" w:lineRule="auto"/>
        <w:rPr>
          <w:szCs w:val="20"/>
        </w:rPr>
      </w:pPr>
    </w:p>
    <w:p w:rsidR="00326A58" w:rsidRPr="009D38B9" w:rsidRDefault="00326A58" w:rsidP="00E3356A">
      <w:pPr>
        <w:pStyle w:val="Ttulo3"/>
        <w:rPr>
          <w:b/>
          <w:szCs w:val="20"/>
        </w:rPr>
      </w:pPr>
      <w:r w:rsidRPr="00E3356A">
        <w:rPr>
          <w:rFonts w:ascii="ITC Avant Garde" w:hAnsi="ITC Avant Garde"/>
          <w:b/>
          <w:color w:val="auto"/>
          <w:sz w:val="22"/>
          <w:szCs w:val="20"/>
        </w:rPr>
        <w:lastRenderedPageBreak/>
        <w:t>Perú</w:t>
      </w:r>
    </w:p>
    <w:p w:rsidR="00326A58" w:rsidRPr="008F2664" w:rsidRDefault="00326A58" w:rsidP="008F1BC3">
      <w:pPr>
        <w:spacing w:after="0" w:line="276" w:lineRule="auto"/>
        <w:rPr>
          <w:szCs w:val="20"/>
        </w:rPr>
      </w:pPr>
      <w:r w:rsidRPr="008F2664">
        <w:rPr>
          <w:szCs w:val="20"/>
        </w:rPr>
        <w:t>El Organismo Supervisor de la Inversión Privada en Telecomunicaciones (</w:t>
      </w:r>
      <w:r>
        <w:rPr>
          <w:szCs w:val="20"/>
        </w:rPr>
        <w:t xml:space="preserve">en lo sucesivo, </w:t>
      </w:r>
      <w:r w:rsidR="00AD174C">
        <w:rPr>
          <w:szCs w:val="20"/>
        </w:rPr>
        <w:t xml:space="preserve">el </w:t>
      </w:r>
      <w:r>
        <w:rPr>
          <w:szCs w:val="20"/>
        </w:rPr>
        <w:t>“</w:t>
      </w:r>
      <w:r w:rsidRPr="008F2664">
        <w:rPr>
          <w:szCs w:val="20"/>
        </w:rPr>
        <w:t>OSIPTEL</w:t>
      </w:r>
      <w:r>
        <w:rPr>
          <w:szCs w:val="20"/>
        </w:rPr>
        <w:t>”</w:t>
      </w:r>
      <w:r w:rsidRPr="008F2664">
        <w:rPr>
          <w:szCs w:val="20"/>
        </w:rPr>
        <w:t>) de la República del Perú, establece en el artículo 11 del Reglamento General de Tarifas</w:t>
      </w:r>
      <w:r>
        <w:rPr>
          <w:rStyle w:val="Refdenotaalpie"/>
          <w:szCs w:val="20"/>
        </w:rPr>
        <w:footnoteReference w:id="11"/>
      </w:r>
      <w:r w:rsidRPr="008F2664">
        <w:rPr>
          <w:szCs w:val="20"/>
        </w:rPr>
        <w:t xml:space="preserve"> que las empresas operadoras que presten servicios públicos de telecomunicaciones deben comunicar al OSIPTEL y poner a disposición del público en general la información de las tarifas que comercialicen o busquen comercializar por dichos servicios. Las tarifas se inscriben de forma electrónica a través del Sistema de Información y Registro de T</w:t>
      </w:r>
      <w:r>
        <w:rPr>
          <w:szCs w:val="20"/>
        </w:rPr>
        <w:t>arifas</w:t>
      </w:r>
      <w:r>
        <w:rPr>
          <w:rStyle w:val="Refdenotaalpie"/>
          <w:szCs w:val="20"/>
        </w:rPr>
        <w:footnoteReference w:id="12"/>
      </w:r>
      <w:r>
        <w:rPr>
          <w:szCs w:val="20"/>
        </w:rPr>
        <w:t xml:space="preserve"> (en lo sucesivo, </w:t>
      </w:r>
      <w:r w:rsidR="00AD174C">
        <w:rPr>
          <w:szCs w:val="20"/>
        </w:rPr>
        <w:t xml:space="preserve">el </w:t>
      </w:r>
      <w:r>
        <w:rPr>
          <w:szCs w:val="20"/>
        </w:rPr>
        <w:t xml:space="preserve">“SIRT”). </w:t>
      </w:r>
    </w:p>
    <w:p w:rsidR="00326A58" w:rsidRPr="008F2664" w:rsidRDefault="00326A58" w:rsidP="008F1BC3">
      <w:pPr>
        <w:spacing w:after="0" w:line="276" w:lineRule="auto"/>
        <w:rPr>
          <w:szCs w:val="20"/>
        </w:rPr>
      </w:pPr>
      <w:r w:rsidRPr="008F2664">
        <w:rPr>
          <w:szCs w:val="20"/>
        </w:rPr>
        <w:t>El SIRT tiene como objetivo registrar las tarifas establecidas, promocionales, así como licitaciones y contratos de los concesionarios que presten servicios públicos de telecomunicaciones</w:t>
      </w:r>
      <w:r>
        <w:rPr>
          <w:szCs w:val="20"/>
        </w:rPr>
        <w:t>,</w:t>
      </w:r>
      <w:r w:rsidRPr="008F2664">
        <w:rPr>
          <w:szCs w:val="20"/>
        </w:rPr>
        <w:t xml:space="preserve"> con </w:t>
      </w:r>
      <w:r>
        <w:rPr>
          <w:szCs w:val="20"/>
        </w:rPr>
        <w:t>la finalidad</w:t>
      </w:r>
      <w:r w:rsidRPr="008F2664">
        <w:rPr>
          <w:szCs w:val="20"/>
        </w:rPr>
        <w:t xml:space="preserve"> de que los ciudadanos se encuentren correctamente informados, se generen mejores condiciones de competencia y que el organismo pueda monitorear el mercado. Los agentes que concurren en el citado sistema son los todos concesionarios,</w:t>
      </w:r>
      <w:r>
        <w:rPr>
          <w:szCs w:val="20"/>
        </w:rPr>
        <w:t xml:space="preserve"> el OSIPTEL y los consumidores.</w:t>
      </w:r>
    </w:p>
    <w:p w:rsidR="00326A58" w:rsidRPr="008F2664" w:rsidRDefault="00326A58" w:rsidP="008F1BC3">
      <w:pPr>
        <w:spacing w:after="0" w:line="276" w:lineRule="auto"/>
        <w:rPr>
          <w:szCs w:val="20"/>
        </w:rPr>
      </w:pPr>
      <w:r w:rsidRPr="008F2664">
        <w:rPr>
          <w:szCs w:val="20"/>
        </w:rPr>
        <w:t>Con respecto a los ciudadanos, el sistema les permite, sin necesidad de solicitar un perfil de usuario, visualizar y comparar las diferentes tarifas y promociones que se hayan registrado en el sistema. Adicionalmente, los consumidores pueden acceder a boletines de información general con la condición de un re</w:t>
      </w:r>
      <w:r>
        <w:rPr>
          <w:szCs w:val="20"/>
        </w:rPr>
        <w:t xml:space="preserve">gistro de un perfil de acceso. </w:t>
      </w:r>
    </w:p>
    <w:p w:rsidR="00326A58" w:rsidRPr="008F2664" w:rsidRDefault="00326A58" w:rsidP="008F1BC3">
      <w:pPr>
        <w:spacing w:after="0" w:line="276" w:lineRule="auto"/>
        <w:rPr>
          <w:szCs w:val="20"/>
        </w:rPr>
      </w:pPr>
      <w:r w:rsidRPr="008F2664">
        <w:rPr>
          <w:szCs w:val="20"/>
        </w:rPr>
        <w:t>Con respecto a los concesionarios, el sistema permite, posterior a una solicitud de usuario y contraseña; el registro, cambio, cancelación, visualización y comparación de las tarifas registradas o por registrar en el SIRT. Una característica adicional del sistema es una bandeja de notificaciones que permite visualizar las notificaciones</w:t>
      </w:r>
      <w:r>
        <w:rPr>
          <w:szCs w:val="20"/>
        </w:rPr>
        <w:t xml:space="preserve"> que también son</w:t>
      </w:r>
      <w:r w:rsidRPr="008F2664">
        <w:rPr>
          <w:szCs w:val="20"/>
        </w:rPr>
        <w:t xml:space="preserve"> enviadas por correo electrónico por el OSIPTEL a las Empresas Operadoras, relativas al funcionamiento y mantenimiento del SIRT, entre otros aspectos relevantes como se describe en </w:t>
      </w:r>
      <w:r>
        <w:rPr>
          <w:szCs w:val="20"/>
        </w:rPr>
        <w:t>el manual de usuario</w:t>
      </w:r>
      <w:r>
        <w:rPr>
          <w:rStyle w:val="Refdenotaalpie"/>
          <w:szCs w:val="20"/>
        </w:rPr>
        <w:footnoteReference w:id="13"/>
      </w:r>
      <w:r>
        <w:rPr>
          <w:szCs w:val="20"/>
        </w:rPr>
        <w:t xml:space="preserve"> del mismo.</w:t>
      </w:r>
    </w:p>
    <w:p w:rsidR="00326A58" w:rsidRPr="008F2664" w:rsidRDefault="00326A58" w:rsidP="008F1BC3">
      <w:pPr>
        <w:spacing w:after="0" w:line="276" w:lineRule="auto"/>
        <w:rPr>
          <w:szCs w:val="20"/>
        </w:rPr>
      </w:pPr>
      <w:r w:rsidRPr="008F2664">
        <w:rPr>
          <w:szCs w:val="20"/>
        </w:rPr>
        <w:t>Por otro lado, las tarifas se dividen entre el régimen tarifario supervisado y el régimen tarifario regulado</w:t>
      </w:r>
      <w:r w:rsidR="00B26C60">
        <w:rPr>
          <w:szCs w:val="20"/>
        </w:rPr>
        <w:t>,</w:t>
      </w:r>
      <w:r w:rsidRPr="008F2664">
        <w:rPr>
          <w:szCs w:val="20"/>
        </w:rPr>
        <w:t xml:space="preserve"> </w:t>
      </w:r>
      <w:r w:rsidR="00B26C60">
        <w:rPr>
          <w:szCs w:val="20"/>
        </w:rPr>
        <w:t>l</w:t>
      </w:r>
      <w:r w:rsidRPr="008F2664">
        <w:rPr>
          <w:szCs w:val="20"/>
        </w:rPr>
        <w:t xml:space="preserve">as cuales se registran a través del mismo portal electrónico. El primero corresponde a las empresas que tienen libertad tarifaria no sujeta a un esquema </w:t>
      </w:r>
      <w:r w:rsidR="00B26C60">
        <w:rPr>
          <w:szCs w:val="20"/>
        </w:rPr>
        <w:t>de</w:t>
      </w:r>
      <w:r w:rsidRPr="008F2664">
        <w:rPr>
          <w:szCs w:val="20"/>
        </w:rPr>
        <w:t xml:space="preserve"> tarifas tope y el segundo a aquellas que tienen libertad tarifaria acotada a una tarifa tope. </w:t>
      </w:r>
      <w:r>
        <w:rPr>
          <w:szCs w:val="20"/>
        </w:rPr>
        <w:t>A</w:t>
      </w:r>
      <w:r w:rsidRPr="008F2664">
        <w:rPr>
          <w:szCs w:val="20"/>
        </w:rPr>
        <w:t xml:space="preserve">quellas tarifas que se encuentren en el régimen </w:t>
      </w:r>
      <w:r w:rsidRPr="008F2664">
        <w:rPr>
          <w:szCs w:val="20"/>
        </w:rPr>
        <w:lastRenderedPageBreak/>
        <w:t xml:space="preserve">tarifario regulado y que el OSIPTEL considere </w:t>
      </w:r>
      <w:r>
        <w:rPr>
          <w:szCs w:val="20"/>
        </w:rPr>
        <w:t xml:space="preserve">que </w:t>
      </w:r>
      <w:r w:rsidRPr="008F2664">
        <w:rPr>
          <w:szCs w:val="20"/>
        </w:rPr>
        <w:t>deben cumplir con reglas o condiciones adicionales para su aplicación</w:t>
      </w:r>
      <w:r>
        <w:rPr>
          <w:szCs w:val="20"/>
        </w:rPr>
        <w:t>,</w:t>
      </w:r>
      <w:r w:rsidRPr="008F2664">
        <w:rPr>
          <w:szCs w:val="20"/>
        </w:rPr>
        <w:t xml:space="preserve"> como se señala en las dis</w:t>
      </w:r>
      <w:r>
        <w:rPr>
          <w:szCs w:val="20"/>
        </w:rPr>
        <w:t>posiciones complementarias del P</w:t>
      </w:r>
      <w:r w:rsidRPr="008F2664">
        <w:rPr>
          <w:szCs w:val="20"/>
        </w:rPr>
        <w:t>rocedimiento para la fijaci</w:t>
      </w:r>
      <w:r>
        <w:rPr>
          <w:szCs w:val="20"/>
        </w:rPr>
        <w:t>ón o revisión de tarifas tope</w:t>
      </w:r>
      <w:r>
        <w:rPr>
          <w:rStyle w:val="Refdenotaalpie"/>
          <w:szCs w:val="20"/>
        </w:rPr>
        <w:footnoteReference w:id="14"/>
      </w:r>
      <w:r>
        <w:rPr>
          <w:szCs w:val="20"/>
        </w:rPr>
        <w:t>, requieren de aprobación por parte de</w:t>
      </w:r>
      <w:r w:rsidR="003461C8">
        <w:rPr>
          <w:szCs w:val="20"/>
        </w:rPr>
        <w:t>l</w:t>
      </w:r>
      <w:r>
        <w:rPr>
          <w:szCs w:val="20"/>
        </w:rPr>
        <w:t xml:space="preserve"> OSIPTEL. </w:t>
      </w:r>
    </w:p>
    <w:p w:rsidR="00326A58" w:rsidRPr="008F2664" w:rsidRDefault="00326A58" w:rsidP="008F1BC3">
      <w:pPr>
        <w:spacing w:after="0" w:line="276" w:lineRule="auto"/>
        <w:rPr>
          <w:szCs w:val="20"/>
        </w:rPr>
      </w:pPr>
      <w:r w:rsidRPr="008F2664">
        <w:rPr>
          <w:szCs w:val="20"/>
        </w:rPr>
        <w:t>En particular, existen dos casos que necesitan aprobación del OSIPTEL. Primero, la comercialización de nuev</w:t>
      </w:r>
      <w:r w:rsidR="000D778E">
        <w:rPr>
          <w:szCs w:val="20"/>
        </w:rPr>
        <w:t>o</w:t>
      </w:r>
      <w:r w:rsidRPr="008F2664">
        <w:rPr>
          <w:szCs w:val="20"/>
        </w:rPr>
        <w:t xml:space="preserve">s </w:t>
      </w:r>
      <w:r w:rsidR="000D778E">
        <w:rPr>
          <w:szCs w:val="20"/>
        </w:rPr>
        <w:t xml:space="preserve">planes </w:t>
      </w:r>
      <w:r w:rsidRPr="008F2664">
        <w:rPr>
          <w:szCs w:val="20"/>
        </w:rPr>
        <w:t>tarifa</w:t>
      </w:r>
      <w:r w:rsidR="000D778E">
        <w:rPr>
          <w:szCs w:val="20"/>
        </w:rPr>
        <w:t>rio</w:t>
      </w:r>
      <w:r w:rsidRPr="008F2664">
        <w:rPr>
          <w:szCs w:val="20"/>
        </w:rPr>
        <w:t xml:space="preserve">s pertenecientes a empresas concesionarias, sujetas a regulación, del servicio de telefonía fija local. Segundo, la comercialización de </w:t>
      </w:r>
      <w:r w:rsidR="000D778E">
        <w:rPr>
          <w:szCs w:val="20"/>
        </w:rPr>
        <w:t>planes</w:t>
      </w:r>
      <w:r w:rsidR="003461C8">
        <w:rPr>
          <w:szCs w:val="20"/>
        </w:rPr>
        <w:t xml:space="preserve"> </w:t>
      </w:r>
      <w:r w:rsidRPr="008F2664">
        <w:rPr>
          <w:szCs w:val="20"/>
        </w:rPr>
        <w:t>tarifa</w:t>
      </w:r>
      <w:r w:rsidR="000D778E">
        <w:rPr>
          <w:szCs w:val="20"/>
        </w:rPr>
        <w:t>rio</w:t>
      </w:r>
      <w:r w:rsidRPr="008F2664">
        <w:rPr>
          <w:szCs w:val="20"/>
        </w:rPr>
        <w:t xml:space="preserve">s y tarifas promocionales pertenecientes a empresas concesionarias, sujetas a regulación, del servicio de larga distancia a usuarios de telefonía fija. </w:t>
      </w:r>
    </w:p>
    <w:p w:rsidR="00932195" w:rsidRDefault="00326A58" w:rsidP="008F1BC3">
      <w:pPr>
        <w:spacing w:after="0" w:line="276" w:lineRule="auto"/>
        <w:rPr>
          <w:szCs w:val="20"/>
        </w:rPr>
      </w:pPr>
      <w:r w:rsidRPr="008F2664">
        <w:rPr>
          <w:szCs w:val="20"/>
        </w:rPr>
        <w:t>Finalmente, el artículo 42 del Reglamento General de Tarifas señala que las operadoras que se encuentren en ambos regímenes deben tener registros detallados de sus operaciones con el objetivo de que el OSIPTEL pueda auditar que los montos cobrados a los usuarios correspondan a las tarifas presentadas ante el organismo.</w:t>
      </w:r>
    </w:p>
    <w:p w:rsidR="008C6963" w:rsidRPr="00212A33" w:rsidRDefault="008C6963" w:rsidP="008F1BC3">
      <w:pPr>
        <w:spacing w:after="0" w:line="276" w:lineRule="auto"/>
        <w:rPr>
          <w:szCs w:val="20"/>
        </w:rPr>
      </w:pPr>
    </w:p>
    <w:p w:rsidR="0093502A" w:rsidRPr="009D38B9" w:rsidRDefault="00556F4A" w:rsidP="00E3356A">
      <w:pPr>
        <w:pStyle w:val="Ttulo3"/>
        <w:rPr>
          <w:b/>
          <w:szCs w:val="20"/>
        </w:rPr>
      </w:pPr>
      <w:r w:rsidRPr="00E3356A">
        <w:rPr>
          <w:rFonts w:ascii="ITC Avant Garde" w:hAnsi="ITC Avant Garde"/>
          <w:b/>
          <w:color w:val="auto"/>
          <w:sz w:val="22"/>
          <w:szCs w:val="20"/>
        </w:rPr>
        <w:t>Estados Unidos de América</w:t>
      </w:r>
    </w:p>
    <w:p w:rsidR="00B959BB" w:rsidRDefault="00556F4A" w:rsidP="008F1BC3">
      <w:pPr>
        <w:spacing w:after="0" w:line="276" w:lineRule="auto"/>
        <w:rPr>
          <w:szCs w:val="20"/>
        </w:rPr>
      </w:pPr>
      <w:r w:rsidRPr="00312EF2">
        <w:rPr>
          <w:szCs w:val="20"/>
        </w:rPr>
        <w:t xml:space="preserve">La Comisión Federal de Comunicaciones (en lo sucesivo, </w:t>
      </w:r>
      <w:r w:rsidR="00AD174C">
        <w:rPr>
          <w:szCs w:val="20"/>
        </w:rPr>
        <w:t>la “</w:t>
      </w:r>
      <w:r w:rsidRPr="00312EF2">
        <w:rPr>
          <w:szCs w:val="20"/>
        </w:rPr>
        <w:t>FCC</w:t>
      </w:r>
      <w:r w:rsidR="00AD174C">
        <w:rPr>
          <w:szCs w:val="20"/>
        </w:rPr>
        <w:t>”</w:t>
      </w:r>
      <w:r w:rsidRPr="00312EF2">
        <w:rPr>
          <w:szCs w:val="20"/>
        </w:rPr>
        <w:t xml:space="preserve">) de los Estados Unidos de América </w:t>
      </w:r>
      <w:r w:rsidR="00B959BB">
        <w:rPr>
          <w:szCs w:val="20"/>
        </w:rPr>
        <w:t>creó, en mayo de 1998,</w:t>
      </w:r>
      <w:r w:rsidRPr="00312EF2">
        <w:rPr>
          <w:szCs w:val="20"/>
        </w:rPr>
        <w:t xml:space="preserve"> el Sistema Electrónico de Presentación de Tarifas (en lo sucesivo, </w:t>
      </w:r>
      <w:r w:rsidR="00AD174C">
        <w:rPr>
          <w:szCs w:val="20"/>
        </w:rPr>
        <w:t>el “</w:t>
      </w:r>
      <w:r w:rsidRPr="00312EF2">
        <w:rPr>
          <w:szCs w:val="20"/>
        </w:rPr>
        <w:t>ETFS</w:t>
      </w:r>
      <w:r w:rsidR="00AD174C">
        <w:rPr>
          <w:szCs w:val="20"/>
        </w:rPr>
        <w:t>”</w:t>
      </w:r>
      <w:r w:rsidRPr="00312EF2">
        <w:rPr>
          <w:szCs w:val="20"/>
        </w:rPr>
        <w:t>)</w:t>
      </w:r>
      <w:r w:rsidR="00436B04">
        <w:rPr>
          <w:szCs w:val="20"/>
        </w:rPr>
        <w:t>,</w:t>
      </w:r>
      <w:r w:rsidRPr="00312EF2">
        <w:rPr>
          <w:szCs w:val="20"/>
        </w:rPr>
        <w:t xml:space="preserve"> disponible </w:t>
      </w:r>
      <w:r w:rsidR="00B959BB">
        <w:rPr>
          <w:szCs w:val="20"/>
        </w:rPr>
        <w:t xml:space="preserve">en </w:t>
      </w:r>
      <w:r w:rsidR="00436B04">
        <w:rPr>
          <w:szCs w:val="20"/>
        </w:rPr>
        <w:t>I</w:t>
      </w:r>
      <w:r w:rsidRPr="00312EF2">
        <w:rPr>
          <w:szCs w:val="20"/>
        </w:rPr>
        <w:t>nternet</w:t>
      </w:r>
      <w:r w:rsidR="00436B04">
        <w:rPr>
          <w:szCs w:val="20"/>
        </w:rPr>
        <w:t>,</w:t>
      </w:r>
      <w:r w:rsidRPr="00312EF2">
        <w:rPr>
          <w:szCs w:val="20"/>
        </w:rPr>
        <w:t xml:space="preserve"> </w:t>
      </w:r>
      <w:r w:rsidR="00B959BB">
        <w:rPr>
          <w:szCs w:val="20"/>
        </w:rPr>
        <w:t xml:space="preserve">a través del cual </w:t>
      </w:r>
      <w:r w:rsidR="00AC666E">
        <w:rPr>
          <w:szCs w:val="20"/>
        </w:rPr>
        <w:t xml:space="preserve">el operador histórico </w:t>
      </w:r>
      <w:r w:rsidR="00B959BB">
        <w:rPr>
          <w:szCs w:val="20"/>
        </w:rPr>
        <w:t>de telefonía estaba obligad</w:t>
      </w:r>
      <w:r w:rsidR="00AC666E">
        <w:rPr>
          <w:szCs w:val="20"/>
        </w:rPr>
        <w:t>o</w:t>
      </w:r>
      <w:r w:rsidR="00B959BB">
        <w:rPr>
          <w:szCs w:val="20"/>
        </w:rPr>
        <w:t xml:space="preserve"> a reportar electrónicamente sus tarifas. A partir de julio de 2010 la FCC estableció que todos los licenciatarios debían</w:t>
      </w:r>
      <w:r w:rsidR="00376E8B">
        <w:rPr>
          <w:szCs w:val="20"/>
        </w:rPr>
        <w:t xml:space="preserve"> </w:t>
      </w:r>
      <w:r w:rsidRPr="00312EF2">
        <w:rPr>
          <w:szCs w:val="20"/>
        </w:rPr>
        <w:t xml:space="preserve">presentar </w:t>
      </w:r>
      <w:r w:rsidR="00B959BB">
        <w:rPr>
          <w:szCs w:val="20"/>
        </w:rPr>
        <w:t xml:space="preserve">sus </w:t>
      </w:r>
      <w:r w:rsidRPr="00312EF2">
        <w:rPr>
          <w:szCs w:val="20"/>
        </w:rPr>
        <w:t>tarifas oficiales y documentos asociados</w:t>
      </w:r>
      <w:r w:rsidR="00B959BB">
        <w:rPr>
          <w:szCs w:val="20"/>
        </w:rPr>
        <w:t xml:space="preserve"> a través de este sistema</w:t>
      </w:r>
      <w:r w:rsidR="008A43B1">
        <w:rPr>
          <w:szCs w:val="20"/>
        </w:rPr>
        <w:t>,</w:t>
      </w:r>
      <w:r w:rsidRPr="00312EF2">
        <w:rPr>
          <w:szCs w:val="20"/>
        </w:rPr>
        <w:t xml:space="preserve"> en </w:t>
      </w:r>
      <w:r w:rsidRPr="00DF149B">
        <w:rPr>
          <w:szCs w:val="20"/>
        </w:rPr>
        <w:t xml:space="preserve">lugar de llenar hojas de papel que debían </w:t>
      </w:r>
      <w:r w:rsidR="00A65200" w:rsidRPr="00DF149B">
        <w:rPr>
          <w:szCs w:val="20"/>
        </w:rPr>
        <w:t xml:space="preserve">ser </w:t>
      </w:r>
      <w:r w:rsidRPr="00DF149B">
        <w:rPr>
          <w:szCs w:val="20"/>
        </w:rPr>
        <w:t>presenta</w:t>
      </w:r>
      <w:r w:rsidR="00A65200" w:rsidRPr="00DF149B">
        <w:rPr>
          <w:szCs w:val="20"/>
        </w:rPr>
        <w:t>das</w:t>
      </w:r>
      <w:r w:rsidRPr="00DF149B">
        <w:rPr>
          <w:szCs w:val="20"/>
        </w:rPr>
        <w:t xml:space="preserve"> en las oficinas de la FCC.</w:t>
      </w:r>
      <w:r w:rsidRPr="00DF149B">
        <w:rPr>
          <w:szCs w:val="20"/>
          <w:vertAlign w:val="superscript"/>
        </w:rPr>
        <w:footnoteReference w:id="15"/>
      </w:r>
      <w:r w:rsidRPr="00312EF2">
        <w:rPr>
          <w:szCs w:val="20"/>
        </w:rPr>
        <w:t xml:space="preserve"> </w:t>
      </w:r>
    </w:p>
    <w:p w:rsidR="00556F4A" w:rsidRPr="00312EF2" w:rsidRDefault="00A65200" w:rsidP="008F1BC3">
      <w:pPr>
        <w:spacing w:after="0" w:line="276" w:lineRule="auto"/>
        <w:rPr>
          <w:szCs w:val="20"/>
        </w:rPr>
      </w:pPr>
      <w:r>
        <w:rPr>
          <w:szCs w:val="20"/>
        </w:rPr>
        <w:t>Asimismo, e</w:t>
      </w:r>
      <w:r w:rsidR="00556F4A" w:rsidRPr="00312EF2">
        <w:rPr>
          <w:szCs w:val="20"/>
        </w:rPr>
        <w:t xml:space="preserve">l público puede </w:t>
      </w:r>
      <w:r>
        <w:rPr>
          <w:szCs w:val="20"/>
        </w:rPr>
        <w:t xml:space="preserve">hacer </w:t>
      </w:r>
      <w:r w:rsidR="00556F4A" w:rsidRPr="00312EF2">
        <w:rPr>
          <w:szCs w:val="20"/>
        </w:rPr>
        <w:t>us</w:t>
      </w:r>
      <w:r>
        <w:rPr>
          <w:szCs w:val="20"/>
        </w:rPr>
        <w:t>o</w:t>
      </w:r>
      <w:r w:rsidR="00556F4A" w:rsidRPr="00312EF2">
        <w:rPr>
          <w:szCs w:val="20"/>
        </w:rPr>
        <w:t xml:space="preserve"> </w:t>
      </w:r>
      <w:r>
        <w:rPr>
          <w:szCs w:val="20"/>
        </w:rPr>
        <w:t>d</w:t>
      </w:r>
      <w:r w:rsidR="00556F4A" w:rsidRPr="00312EF2">
        <w:rPr>
          <w:szCs w:val="20"/>
        </w:rPr>
        <w:t xml:space="preserve">el ETFS para </w:t>
      </w:r>
      <w:r>
        <w:rPr>
          <w:szCs w:val="20"/>
        </w:rPr>
        <w:t>consultar</w:t>
      </w:r>
      <w:r w:rsidRPr="00312EF2">
        <w:rPr>
          <w:szCs w:val="20"/>
        </w:rPr>
        <w:t xml:space="preserve"> </w:t>
      </w:r>
      <w:r>
        <w:rPr>
          <w:szCs w:val="20"/>
        </w:rPr>
        <w:t>l</w:t>
      </w:r>
      <w:r w:rsidRPr="00312EF2">
        <w:rPr>
          <w:szCs w:val="20"/>
        </w:rPr>
        <w:t xml:space="preserve">as </w:t>
      </w:r>
      <w:r w:rsidR="00556F4A" w:rsidRPr="00312EF2">
        <w:rPr>
          <w:szCs w:val="20"/>
        </w:rPr>
        <w:t>tarifas</w:t>
      </w:r>
      <w:r>
        <w:rPr>
          <w:szCs w:val="20"/>
        </w:rPr>
        <w:t xml:space="preserve"> registradas por los operadores, así como</w:t>
      </w:r>
      <w:r w:rsidR="00556F4A" w:rsidRPr="00312EF2">
        <w:rPr>
          <w:szCs w:val="20"/>
        </w:rPr>
        <w:t xml:space="preserve"> sus respectivos documentos asociados</w:t>
      </w:r>
      <w:r w:rsidR="00F15D28">
        <w:rPr>
          <w:szCs w:val="20"/>
        </w:rPr>
        <w:t>, mismos que</w:t>
      </w:r>
      <w:r w:rsidR="00556F4A" w:rsidRPr="00312EF2">
        <w:rPr>
          <w:szCs w:val="20"/>
        </w:rPr>
        <w:t xml:space="preserve"> se encuentran </w:t>
      </w:r>
      <w:r w:rsidR="00556F4A" w:rsidRPr="00DF149B">
        <w:rPr>
          <w:szCs w:val="20"/>
        </w:rPr>
        <w:t>en formatos Microsoft Word y/o en el Formato de documento portátil de Adobe Acrobat.</w:t>
      </w:r>
      <w:r w:rsidR="00556F4A" w:rsidRPr="00DF149B">
        <w:rPr>
          <w:szCs w:val="20"/>
          <w:vertAlign w:val="superscript"/>
        </w:rPr>
        <w:footnoteReference w:id="16"/>
      </w:r>
      <w:r w:rsidR="00556F4A" w:rsidRPr="00717239">
        <w:rPr>
          <w:szCs w:val="20"/>
          <w:vertAlign w:val="superscript"/>
        </w:rPr>
        <w:t xml:space="preserve"> </w:t>
      </w:r>
    </w:p>
    <w:p w:rsidR="00556F4A" w:rsidRPr="00312EF2" w:rsidRDefault="00556F4A" w:rsidP="008F1BC3">
      <w:pPr>
        <w:spacing w:after="0" w:line="276" w:lineRule="auto"/>
        <w:rPr>
          <w:szCs w:val="20"/>
        </w:rPr>
      </w:pPr>
      <w:r w:rsidRPr="00312EF2">
        <w:rPr>
          <w:szCs w:val="20"/>
        </w:rPr>
        <w:t xml:space="preserve">La FCC en su reporte </w:t>
      </w:r>
      <w:r w:rsidR="00523309">
        <w:rPr>
          <w:szCs w:val="20"/>
        </w:rPr>
        <w:t>“</w:t>
      </w:r>
      <w:r w:rsidRPr="00523309">
        <w:rPr>
          <w:i/>
          <w:szCs w:val="20"/>
        </w:rPr>
        <w:t>FCC 11-92</w:t>
      </w:r>
      <w:r w:rsidR="00523309">
        <w:rPr>
          <w:i/>
          <w:szCs w:val="20"/>
        </w:rPr>
        <w:t>”</w:t>
      </w:r>
      <w:r w:rsidRPr="00312EF2">
        <w:rPr>
          <w:szCs w:val="20"/>
        </w:rPr>
        <w:t xml:space="preserve"> señala que los beneficios asociados al ETFS son generar un flujo de información más abierto, transparente y eficiente para el público, que beneficie al público, a los licenciatarios y a la FCC al crear un sistema </w:t>
      </w:r>
      <w:r w:rsidRPr="00312EF2">
        <w:rPr>
          <w:szCs w:val="20"/>
        </w:rPr>
        <w:lastRenderedPageBreak/>
        <w:t xml:space="preserve">uniforme que brinda acceso en línea a todas las tarifas archivadas de los licenciatarios. </w:t>
      </w:r>
    </w:p>
    <w:p w:rsidR="00F15D28" w:rsidRDefault="00556F4A" w:rsidP="008F1BC3">
      <w:pPr>
        <w:spacing w:after="0" w:line="276" w:lineRule="auto"/>
        <w:rPr>
          <w:szCs w:val="20"/>
        </w:rPr>
      </w:pPr>
      <w:r w:rsidRPr="00312EF2">
        <w:rPr>
          <w:szCs w:val="20"/>
        </w:rPr>
        <w:t>Por otro lado, las tarifas se presentan bajo un proceso que le da al público un aviso de 15 días sobre los aumentos de precios propuestos y los cambios en los términos y condiciones; y aviso de siete días sobre las reducciones de precios propuestas</w:t>
      </w:r>
      <w:r w:rsidR="00F15D28">
        <w:rPr>
          <w:szCs w:val="20"/>
        </w:rPr>
        <w:t>, periodos durante los cuales</w:t>
      </w:r>
      <w:r w:rsidRPr="00312EF2">
        <w:rPr>
          <w:szCs w:val="20"/>
        </w:rPr>
        <w:t xml:space="preserve"> el público puede presentar comentarios. </w:t>
      </w:r>
    </w:p>
    <w:p w:rsidR="00556F4A" w:rsidRDefault="00556F4A" w:rsidP="008F1BC3">
      <w:pPr>
        <w:spacing w:after="0" w:line="276" w:lineRule="auto"/>
        <w:rPr>
          <w:szCs w:val="20"/>
        </w:rPr>
      </w:pPr>
      <w:r w:rsidRPr="00312EF2">
        <w:rPr>
          <w:szCs w:val="20"/>
        </w:rPr>
        <w:t>Finalmente, la cancelación o suspensión de las tarifas registradas se puede promover por parte de los licenciatarios si estos presentan un suplemento en el ETFS que cancela automáticamente los apartados correspondientes de las tarifas con excepción del título de la página de la tarifa o la primera página de la misma.</w:t>
      </w:r>
    </w:p>
    <w:p w:rsidR="00556F4A" w:rsidRPr="00717239" w:rsidRDefault="00DD2A43" w:rsidP="008F1BC3">
      <w:pPr>
        <w:spacing w:after="0" w:line="276" w:lineRule="auto"/>
        <w:rPr>
          <w:szCs w:val="20"/>
        </w:rPr>
      </w:pPr>
      <w:r>
        <w:rPr>
          <w:szCs w:val="20"/>
        </w:rPr>
        <w:t xml:space="preserve">De </w:t>
      </w:r>
      <w:r w:rsidR="00C846A4" w:rsidRPr="00717239">
        <w:rPr>
          <w:szCs w:val="20"/>
        </w:rPr>
        <w:t xml:space="preserve">lo </w:t>
      </w:r>
      <w:r w:rsidR="00C846A4">
        <w:rPr>
          <w:szCs w:val="20"/>
        </w:rPr>
        <w:t xml:space="preserve">anteriormente expuesto, se </w:t>
      </w:r>
      <w:r w:rsidR="00C27ADB">
        <w:rPr>
          <w:szCs w:val="20"/>
        </w:rPr>
        <w:t>evidencia la conveniencia</w:t>
      </w:r>
      <w:r w:rsidR="0046072B">
        <w:rPr>
          <w:szCs w:val="20"/>
        </w:rPr>
        <w:t xml:space="preserve"> de establecer un sistema electrónico a través del cual la autoridad regulatoria pueda allegarse de la información necesaria, proveniente de los regulados</w:t>
      </w:r>
      <w:r w:rsidR="00C27ADB">
        <w:rPr>
          <w:szCs w:val="20"/>
        </w:rPr>
        <w:t>,</w:t>
      </w:r>
      <w:r w:rsidR="0046072B">
        <w:rPr>
          <w:szCs w:val="20"/>
        </w:rPr>
        <w:t xml:space="preserve"> para autorizar, cuando sea el caso, y r</w:t>
      </w:r>
      <w:r>
        <w:rPr>
          <w:szCs w:val="20"/>
        </w:rPr>
        <w:t>egistr</w:t>
      </w:r>
      <w:r w:rsidR="0046072B">
        <w:rPr>
          <w:szCs w:val="20"/>
        </w:rPr>
        <w:t>ar las tarifas que estos pretendan comercializar.</w:t>
      </w:r>
    </w:p>
    <w:p w:rsidR="00C846A4" w:rsidRDefault="00C846A4" w:rsidP="008F1BC3">
      <w:pPr>
        <w:spacing w:before="0" w:line="276" w:lineRule="auto"/>
        <w:rPr>
          <w:b/>
          <w:szCs w:val="20"/>
        </w:rPr>
      </w:pPr>
    </w:p>
    <w:p w:rsidR="00076EA6" w:rsidRPr="000D1002" w:rsidRDefault="00A64CDB" w:rsidP="00E3356A">
      <w:pPr>
        <w:pStyle w:val="Ttulo2"/>
        <w:rPr>
          <w:b/>
          <w:vanish/>
          <w:sz w:val="22"/>
          <w:szCs w:val="22"/>
          <w:specVanish/>
        </w:rPr>
      </w:pPr>
      <w:r w:rsidRPr="00E3356A">
        <w:rPr>
          <w:rFonts w:ascii="ITC Avant Garde" w:hAnsi="ITC Avant Garde"/>
          <w:b/>
          <w:color w:val="auto"/>
          <w:sz w:val="22"/>
          <w:szCs w:val="22"/>
        </w:rPr>
        <w:t>CUARTO</w:t>
      </w:r>
      <w:r w:rsidR="00C76F90" w:rsidRPr="00E3356A">
        <w:rPr>
          <w:rFonts w:ascii="ITC Avant Garde" w:hAnsi="ITC Avant Garde"/>
          <w:b/>
          <w:color w:val="auto"/>
          <w:sz w:val="22"/>
          <w:szCs w:val="22"/>
        </w:rPr>
        <w:t>.- SOLICITUD ELECTRÓN</w:t>
      </w:r>
      <w:r w:rsidR="000D1002">
        <w:rPr>
          <w:rFonts w:ascii="ITC Avant Garde" w:hAnsi="ITC Avant Garde"/>
          <w:b/>
          <w:color w:val="auto"/>
          <w:sz w:val="22"/>
          <w:szCs w:val="22"/>
        </w:rPr>
        <w:t>ICA DE AUTORIZACIÓN DE TARIFAS.</w:t>
      </w:r>
    </w:p>
    <w:p w:rsidR="00C76F90" w:rsidRDefault="000D1002" w:rsidP="008F1BC3">
      <w:pPr>
        <w:spacing w:before="0" w:line="276" w:lineRule="auto"/>
        <w:rPr>
          <w:szCs w:val="20"/>
        </w:rPr>
      </w:pPr>
      <w:r>
        <w:t xml:space="preserve"> </w:t>
      </w:r>
      <w:r w:rsidR="00C76F90" w:rsidRPr="00C76F90">
        <w:t>La Comisión Federal de Mejora Regulatoria</w:t>
      </w:r>
      <w:r w:rsidR="00C76F90">
        <w:t>, a través de</w:t>
      </w:r>
      <w:r w:rsidR="00C76F90" w:rsidRPr="003422FF">
        <w:t xml:space="preserve"> los “</w:t>
      </w:r>
      <w:r w:rsidR="00C76F90" w:rsidRPr="003422FF">
        <w:rPr>
          <w:i/>
        </w:rPr>
        <w:t xml:space="preserve">Lineamientos que establecen </w:t>
      </w:r>
      <w:r w:rsidR="00C76F90" w:rsidRPr="00C76F90">
        <w:rPr>
          <w:i/>
        </w:rPr>
        <w:t>los criterios para la priorización de trámites y la elaboración de propuestas para su simplificación</w:t>
      </w:r>
      <w:r w:rsidR="00C76F90" w:rsidRPr="005134A6">
        <w:rPr>
          <w:rStyle w:val="Refdenotaalpie"/>
          <w:i/>
        </w:rPr>
        <w:footnoteReference w:id="17"/>
      </w:r>
      <w:r w:rsidR="00C76F90" w:rsidRPr="005134A6">
        <w:rPr>
          <w:i/>
        </w:rPr>
        <w:t>”</w:t>
      </w:r>
      <w:r w:rsidR="00C76F90" w:rsidRPr="005134A6">
        <w:t>, publicados el 21 de mayo de 2015, señala que la simplificación de trámites representa un conjunto de actividades orientadas hacia la mejora de un trámit</w:t>
      </w:r>
      <w:r w:rsidR="00C76F90" w:rsidRPr="00955FCF">
        <w:t xml:space="preserve">e con la finalidad de hacerlo más eficiente, sencillo y menos costoso para los particulares. Dentro de sus recomendaciones, considera la digitalización de trámites, la cual puede llevarse a cabo si se implementa un sistema informático que permita recibir solicitudes de autorización de tarifas por medios electrónicos, así como emitir notificaciones electrónicas de información faltante y resoluciones correspondientes al trámite. </w:t>
      </w:r>
      <w:r w:rsidR="00C76F90" w:rsidRPr="00E76F94">
        <w:t>En ese mismo sentido, de conformidad con el artículo 15, fracción LII, de la LFTR, corresponde al Instituto establecer los mecanismos para que los</w:t>
      </w:r>
      <w:r w:rsidR="00C76F90" w:rsidRPr="00E76F94">
        <w:rPr>
          <w:szCs w:val="20"/>
        </w:rPr>
        <w:t xml:space="preserve"> procedimientos de su competencia se puedan sustanciar por medio de tecnologías de la información y comunicación.</w:t>
      </w:r>
      <w:r w:rsidR="00C76F90">
        <w:rPr>
          <w:szCs w:val="20"/>
        </w:rPr>
        <w:t xml:space="preserve"> </w:t>
      </w:r>
    </w:p>
    <w:p w:rsidR="00C76F90" w:rsidRDefault="00C76F90" w:rsidP="008F1BC3">
      <w:pPr>
        <w:spacing w:line="276" w:lineRule="auto"/>
        <w:rPr>
          <w:szCs w:val="20"/>
        </w:rPr>
      </w:pPr>
      <w:r>
        <w:rPr>
          <w:szCs w:val="20"/>
        </w:rPr>
        <w:t>Así, t</w:t>
      </w:r>
      <w:r w:rsidRPr="003621A9">
        <w:rPr>
          <w:szCs w:val="20"/>
        </w:rPr>
        <w:t>omando en c</w:t>
      </w:r>
      <w:r>
        <w:rPr>
          <w:szCs w:val="20"/>
        </w:rPr>
        <w:t xml:space="preserve">uenta la cantidad significativa de información que el Instituto debe procesar para autorizar y registrar tarifas, y la necesidad de mantener una comunicación ágil con los agentes regulados, se considera apropiado contar con un sistema electrónico </w:t>
      </w:r>
      <w:r w:rsidRPr="006D7D92">
        <w:rPr>
          <w:szCs w:val="20"/>
        </w:rPr>
        <w:t xml:space="preserve">que </w:t>
      </w:r>
      <w:r>
        <w:rPr>
          <w:szCs w:val="20"/>
        </w:rPr>
        <w:t>pueda</w:t>
      </w:r>
      <w:r w:rsidRPr="006D7D92">
        <w:rPr>
          <w:szCs w:val="20"/>
        </w:rPr>
        <w:t xml:space="preserve"> utilizarse como medio de comunicación entre el Instituto y los AEP y AEPSM, a efecto de que estos </w:t>
      </w:r>
      <w:r>
        <w:rPr>
          <w:szCs w:val="20"/>
        </w:rPr>
        <w:t xml:space="preserve">agentes </w:t>
      </w:r>
      <w:r w:rsidRPr="006D7D92">
        <w:rPr>
          <w:szCs w:val="20"/>
        </w:rPr>
        <w:t xml:space="preserve">presenten </w:t>
      </w:r>
      <w:r>
        <w:rPr>
          <w:szCs w:val="20"/>
        </w:rPr>
        <w:t>su</w:t>
      </w:r>
      <w:r w:rsidRPr="006D7D92">
        <w:rPr>
          <w:szCs w:val="20"/>
        </w:rPr>
        <w:t xml:space="preserve">s solicitudes </w:t>
      </w:r>
      <w:r w:rsidRPr="006D7D92">
        <w:rPr>
          <w:szCs w:val="20"/>
        </w:rPr>
        <w:lastRenderedPageBreak/>
        <w:t xml:space="preserve">de autorización de tarifas a través de este sistema y el Instituto pueda procesar de manera más eficiente el alto número de solicitudes y, de ser el caso, prevenir </w:t>
      </w:r>
      <w:r>
        <w:rPr>
          <w:szCs w:val="20"/>
        </w:rPr>
        <w:t xml:space="preserve">a través de este sistema </w:t>
      </w:r>
      <w:r w:rsidRPr="006D7D92">
        <w:rPr>
          <w:szCs w:val="20"/>
        </w:rPr>
        <w:t>sobre la información entregada</w:t>
      </w:r>
      <w:r w:rsidR="00D667D9">
        <w:rPr>
          <w:szCs w:val="20"/>
        </w:rPr>
        <w:t xml:space="preserve"> por el agente regulado</w:t>
      </w:r>
      <w:r w:rsidRPr="006D7D92">
        <w:rPr>
          <w:szCs w:val="20"/>
        </w:rPr>
        <w:t xml:space="preserve">, así como notificar sobre la resolución de </w:t>
      </w:r>
      <w:r w:rsidR="002034CB">
        <w:rPr>
          <w:szCs w:val="20"/>
        </w:rPr>
        <w:t>las</w:t>
      </w:r>
      <w:r w:rsidR="002034CB" w:rsidRPr="006D7D92">
        <w:rPr>
          <w:szCs w:val="20"/>
        </w:rPr>
        <w:t xml:space="preserve"> </w:t>
      </w:r>
      <w:r w:rsidRPr="006D7D92">
        <w:rPr>
          <w:szCs w:val="20"/>
        </w:rPr>
        <w:t>solicitudes.</w:t>
      </w:r>
      <w:r>
        <w:rPr>
          <w:szCs w:val="20"/>
        </w:rPr>
        <w:t xml:space="preserve"> </w:t>
      </w:r>
    </w:p>
    <w:p w:rsidR="00982F7C" w:rsidRDefault="00C76F90" w:rsidP="008F1BC3">
      <w:pPr>
        <w:spacing w:line="276" w:lineRule="auto"/>
        <w:rPr>
          <w:szCs w:val="20"/>
        </w:rPr>
      </w:pPr>
      <w:r w:rsidRPr="005134A6">
        <w:rPr>
          <w:szCs w:val="20"/>
        </w:rPr>
        <w:t xml:space="preserve">Es así que, considerando que el Instituto ya cuenta con </w:t>
      </w:r>
      <w:r w:rsidR="005D4CB3">
        <w:rPr>
          <w:szCs w:val="20"/>
        </w:rPr>
        <w:t>el</w:t>
      </w:r>
      <w:r w:rsidRPr="005134A6">
        <w:rPr>
          <w:szCs w:val="20"/>
        </w:rPr>
        <w:t xml:space="preserve"> </w:t>
      </w:r>
      <w:r w:rsidR="005D4CB3">
        <w:rPr>
          <w:szCs w:val="20"/>
        </w:rPr>
        <w:t>S</w:t>
      </w:r>
      <w:r w:rsidRPr="005134A6">
        <w:rPr>
          <w:szCs w:val="20"/>
        </w:rPr>
        <w:t xml:space="preserve">istema </w:t>
      </w:r>
      <w:r w:rsidR="005D4CB3">
        <w:rPr>
          <w:szCs w:val="20"/>
        </w:rPr>
        <w:t>E</w:t>
      </w:r>
      <w:r w:rsidRPr="005134A6">
        <w:rPr>
          <w:szCs w:val="20"/>
        </w:rPr>
        <w:t>lectrónico</w:t>
      </w:r>
      <w:r w:rsidR="005D4CB3">
        <w:rPr>
          <w:szCs w:val="20"/>
        </w:rPr>
        <w:t xml:space="preserve"> de Registro de Tarifas</w:t>
      </w:r>
      <w:r>
        <w:rPr>
          <w:rStyle w:val="Refdenotaalpie"/>
          <w:szCs w:val="20"/>
        </w:rPr>
        <w:footnoteReference w:id="18"/>
      </w:r>
      <w:r w:rsidRPr="005134A6">
        <w:rPr>
          <w:szCs w:val="20"/>
        </w:rPr>
        <w:t xml:space="preserve"> </w:t>
      </w:r>
      <w:r>
        <w:rPr>
          <w:szCs w:val="20"/>
        </w:rPr>
        <w:t xml:space="preserve">(en lo sucesivo, “SERT”) </w:t>
      </w:r>
      <w:r w:rsidRPr="005134A6">
        <w:rPr>
          <w:szCs w:val="20"/>
        </w:rPr>
        <w:t>para atender las solicitudes de registro de tarifas por parte de operadores</w:t>
      </w:r>
      <w:r w:rsidR="00C12B92">
        <w:rPr>
          <w:szCs w:val="20"/>
        </w:rPr>
        <w:t xml:space="preserve"> del sector de telecomunicaciones</w:t>
      </w:r>
      <w:r w:rsidRPr="005134A6">
        <w:rPr>
          <w:szCs w:val="20"/>
        </w:rPr>
        <w:t xml:space="preserve"> que no son AEP ni AEPSM, se </w:t>
      </w:r>
      <w:r>
        <w:rPr>
          <w:szCs w:val="20"/>
        </w:rPr>
        <w:t xml:space="preserve">determina </w:t>
      </w:r>
      <w:r w:rsidR="00A423EC">
        <w:rPr>
          <w:szCs w:val="20"/>
        </w:rPr>
        <w:t xml:space="preserve">técnica y económicamente </w:t>
      </w:r>
      <w:r>
        <w:rPr>
          <w:szCs w:val="20"/>
        </w:rPr>
        <w:t>viable</w:t>
      </w:r>
      <w:r w:rsidRPr="005134A6">
        <w:rPr>
          <w:szCs w:val="20"/>
        </w:rPr>
        <w:t xml:space="preserve"> </w:t>
      </w:r>
      <w:r w:rsidR="00C12B92">
        <w:rPr>
          <w:szCs w:val="20"/>
        </w:rPr>
        <w:t xml:space="preserve">el aprovechamiento </w:t>
      </w:r>
      <w:r>
        <w:rPr>
          <w:szCs w:val="20"/>
        </w:rPr>
        <w:t>de</w:t>
      </w:r>
      <w:r w:rsidRPr="005134A6">
        <w:rPr>
          <w:szCs w:val="20"/>
        </w:rPr>
        <w:t xml:space="preserve"> dicha plataforma como medio </w:t>
      </w:r>
      <w:r>
        <w:rPr>
          <w:szCs w:val="20"/>
        </w:rPr>
        <w:t>para llevar a cabo la gestión de autorización de tarifas sometidas por los AEP y AEPSM</w:t>
      </w:r>
      <w:r w:rsidR="006A2906">
        <w:rPr>
          <w:szCs w:val="20"/>
        </w:rPr>
        <w:t xml:space="preserve"> de una manera más eficiente</w:t>
      </w:r>
      <w:r>
        <w:rPr>
          <w:szCs w:val="20"/>
        </w:rPr>
        <w:t>.</w:t>
      </w:r>
    </w:p>
    <w:p w:rsidR="004A5278" w:rsidRPr="004A5278" w:rsidRDefault="004A5278" w:rsidP="008F1BC3">
      <w:pPr>
        <w:spacing w:line="276" w:lineRule="auto"/>
        <w:rPr>
          <w:szCs w:val="20"/>
        </w:rPr>
      </w:pPr>
      <w:r w:rsidRPr="004A5278">
        <w:rPr>
          <w:szCs w:val="20"/>
        </w:rPr>
        <w:t xml:space="preserve">En </w:t>
      </w:r>
      <w:r w:rsidRPr="00DF149B">
        <w:rPr>
          <w:szCs w:val="20"/>
        </w:rPr>
        <w:t>ese sentido</w:t>
      </w:r>
      <w:r w:rsidR="00D228E6">
        <w:rPr>
          <w:szCs w:val="20"/>
        </w:rPr>
        <w:t>,</w:t>
      </w:r>
      <w:r w:rsidRPr="00DF149B">
        <w:rPr>
          <w:szCs w:val="20"/>
        </w:rPr>
        <w:t xml:space="preserve"> a efecto</w:t>
      </w:r>
      <w:r w:rsidRPr="004A5278">
        <w:rPr>
          <w:szCs w:val="20"/>
        </w:rPr>
        <w:t xml:space="preserve"> de que los AEP y AEPSM puedan hacer uso del SERT para solicitar la autorización de tarifas y el Instituto esté en condiciones de llevar a cabo el proceso de autorización</w:t>
      </w:r>
      <w:r>
        <w:rPr>
          <w:szCs w:val="20"/>
        </w:rPr>
        <w:t xml:space="preserve"> de </w:t>
      </w:r>
      <w:r w:rsidR="00C27ADB">
        <w:rPr>
          <w:szCs w:val="20"/>
        </w:rPr>
        <w:t>las mismas</w:t>
      </w:r>
      <w:r>
        <w:rPr>
          <w:szCs w:val="20"/>
        </w:rPr>
        <w:t>, de</w:t>
      </w:r>
      <w:r w:rsidRPr="004A5278">
        <w:rPr>
          <w:szCs w:val="20"/>
        </w:rPr>
        <w:t xml:space="preserve"> una f</w:t>
      </w:r>
      <w:r>
        <w:rPr>
          <w:szCs w:val="20"/>
        </w:rPr>
        <w:t>orma más expedita, se requiere realizar diversas</w:t>
      </w:r>
      <w:r w:rsidRPr="004A5278">
        <w:rPr>
          <w:szCs w:val="20"/>
        </w:rPr>
        <w:t xml:space="preserve"> adecuaciones al SERT para que sea el mecanismo de comunicación </w:t>
      </w:r>
      <w:r>
        <w:rPr>
          <w:szCs w:val="20"/>
        </w:rPr>
        <w:t xml:space="preserve">bidireccional </w:t>
      </w:r>
      <w:r w:rsidRPr="004A5278">
        <w:rPr>
          <w:szCs w:val="20"/>
        </w:rPr>
        <w:t xml:space="preserve">entre el Instituto y los regulados, así como el medio de interacción entre las diversas áreas del Instituto involucradas en este proceso. </w:t>
      </w:r>
      <w:r>
        <w:rPr>
          <w:szCs w:val="20"/>
        </w:rPr>
        <w:t>De manera específica, el SERT deberá poder identificar a los AEP y AEPSM, a efecto de que todas sus propuestas tarifarias sean sometidas a autorización por parte del Instituto, previo a su registro.</w:t>
      </w:r>
    </w:p>
    <w:p w:rsidR="00982F7C" w:rsidRDefault="004A5278" w:rsidP="008F1BC3">
      <w:pPr>
        <w:spacing w:line="276" w:lineRule="auto"/>
        <w:rPr>
          <w:szCs w:val="20"/>
        </w:rPr>
      </w:pPr>
      <w:r>
        <w:rPr>
          <w:szCs w:val="20"/>
        </w:rPr>
        <w:t>A</w:t>
      </w:r>
      <w:r w:rsidR="000B6C65">
        <w:rPr>
          <w:szCs w:val="20"/>
        </w:rPr>
        <w:t>demás</w:t>
      </w:r>
      <w:r w:rsidR="00593D53">
        <w:rPr>
          <w:szCs w:val="20"/>
        </w:rPr>
        <w:t xml:space="preserve"> de</w:t>
      </w:r>
      <w:r w:rsidR="00383B99">
        <w:rPr>
          <w:szCs w:val="20"/>
        </w:rPr>
        <w:t xml:space="preserve"> las funcion</w:t>
      </w:r>
      <w:r w:rsidR="003245F8">
        <w:rPr>
          <w:szCs w:val="20"/>
        </w:rPr>
        <w:t>alidades actualmente previstas</w:t>
      </w:r>
      <w:r w:rsidR="000B6C65">
        <w:rPr>
          <w:szCs w:val="20"/>
        </w:rPr>
        <w:t xml:space="preserve"> en el SERT</w:t>
      </w:r>
      <w:r w:rsidR="00383B99">
        <w:rPr>
          <w:szCs w:val="20"/>
        </w:rPr>
        <w:t>,</w:t>
      </w:r>
      <w:r w:rsidR="003245F8">
        <w:rPr>
          <w:szCs w:val="20"/>
        </w:rPr>
        <w:t xml:space="preserve"> como lo son la presentación de solicitudes de registro de tarifas, promocio</w:t>
      </w:r>
      <w:r w:rsidR="000B6C65">
        <w:rPr>
          <w:szCs w:val="20"/>
        </w:rPr>
        <w:t xml:space="preserve">nes y </w:t>
      </w:r>
      <w:r w:rsidR="00A423EC">
        <w:rPr>
          <w:szCs w:val="20"/>
        </w:rPr>
        <w:t xml:space="preserve">paquetes </w:t>
      </w:r>
      <w:r w:rsidR="000B6C65">
        <w:rPr>
          <w:szCs w:val="20"/>
        </w:rPr>
        <w:t>adicionales; el registro y publicación de las tarifas; la modificación de tarifas, y la expedición y envío de notificaciones de inscripción,</w:t>
      </w:r>
      <w:r w:rsidRPr="004A5278">
        <w:rPr>
          <w:szCs w:val="20"/>
        </w:rPr>
        <w:t xml:space="preserve"> </w:t>
      </w:r>
      <w:r w:rsidR="000B6C65" w:rsidRPr="004A5278">
        <w:rPr>
          <w:szCs w:val="20"/>
        </w:rPr>
        <w:t>el SERT deberá permitir</w:t>
      </w:r>
      <w:r w:rsidR="000B6C65">
        <w:rPr>
          <w:szCs w:val="20"/>
        </w:rPr>
        <w:t xml:space="preserve"> </w:t>
      </w:r>
      <w:r>
        <w:rPr>
          <w:szCs w:val="20"/>
        </w:rPr>
        <w:t>la presentación</w:t>
      </w:r>
      <w:r w:rsidRPr="004A5278">
        <w:rPr>
          <w:szCs w:val="20"/>
        </w:rPr>
        <w:t xml:space="preserve"> de solicitudes </w:t>
      </w:r>
      <w:r>
        <w:rPr>
          <w:szCs w:val="20"/>
        </w:rPr>
        <w:t xml:space="preserve">electrónicas </w:t>
      </w:r>
      <w:r w:rsidRPr="004A5278">
        <w:rPr>
          <w:szCs w:val="20"/>
        </w:rPr>
        <w:t>de autorización</w:t>
      </w:r>
      <w:r w:rsidR="007510C3">
        <w:rPr>
          <w:szCs w:val="20"/>
        </w:rPr>
        <w:t>,</w:t>
      </w:r>
      <w:r w:rsidRPr="004A5278">
        <w:rPr>
          <w:szCs w:val="20"/>
        </w:rPr>
        <w:t xml:space="preserve"> </w:t>
      </w:r>
      <w:r w:rsidR="00383B99">
        <w:rPr>
          <w:szCs w:val="20"/>
        </w:rPr>
        <w:t xml:space="preserve">el direccionamiento de información a las diversas áreas involucradas en el proceso de autorización, </w:t>
      </w:r>
      <w:r w:rsidRPr="004A5278">
        <w:rPr>
          <w:szCs w:val="20"/>
        </w:rPr>
        <w:t>el envío de document</w:t>
      </w:r>
      <w:r w:rsidR="00383B99">
        <w:rPr>
          <w:szCs w:val="20"/>
        </w:rPr>
        <w:t>ación y</w:t>
      </w:r>
      <w:r w:rsidRPr="004A5278">
        <w:rPr>
          <w:szCs w:val="20"/>
        </w:rPr>
        <w:t xml:space="preserve"> notificacion</w:t>
      </w:r>
      <w:r w:rsidR="00383B99">
        <w:rPr>
          <w:szCs w:val="20"/>
        </w:rPr>
        <w:t>es</w:t>
      </w:r>
      <w:r w:rsidR="000B6C65">
        <w:rPr>
          <w:szCs w:val="20"/>
        </w:rPr>
        <w:t xml:space="preserve"> de forma bidireccional</w:t>
      </w:r>
      <w:r w:rsidR="00383B99">
        <w:rPr>
          <w:szCs w:val="20"/>
        </w:rPr>
        <w:t xml:space="preserve">, </w:t>
      </w:r>
      <w:r w:rsidR="007510C3">
        <w:rPr>
          <w:szCs w:val="20"/>
        </w:rPr>
        <w:t xml:space="preserve">la formulación y </w:t>
      </w:r>
      <w:r w:rsidR="00383B99">
        <w:rPr>
          <w:szCs w:val="20"/>
        </w:rPr>
        <w:t>el desahogo de prevenciones</w:t>
      </w:r>
      <w:r w:rsidR="003B4CCE">
        <w:rPr>
          <w:szCs w:val="20"/>
        </w:rPr>
        <w:t>, así como</w:t>
      </w:r>
      <w:r w:rsidRPr="004A5278">
        <w:rPr>
          <w:szCs w:val="20"/>
        </w:rPr>
        <w:t xml:space="preserve"> </w:t>
      </w:r>
      <w:r w:rsidR="00383B99">
        <w:rPr>
          <w:szCs w:val="20"/>
        </w:rPr>
        <w:t>la presentación de</w:t>
      </w:r>
      <w:r w:rsidRPr="004A5278">
        <w:rPr>
          <w:szCs w:val="20"/>
        </w:rPr>
        <w:t xml:space="preserve"> solicitudes de cancelación</w:t>
      </w:r>
      <w:r w:rsidR="00383B99">
        <w:rPr>
          <w:szCs w:val="20"/>
        </w:rPr>
        <w:t>.</w:t>
      </w:r>
    </w:p>
    <w:p w:rsidR="00CF1781" w:rsidRDefault="000B6C65" w:rsidP="008F1BC3">
      <w:pPr>
        <w:spacing w:line="276" w:lineRule="auto"/>
        <w:rPr>
          <w:szCs w:val="20"/>
        </w:rPr>
      </w:pPr>
      <w:r>
        <w:rPr>
          <w:szCs w:val="20"/>
        </w:rPr>
        <w:t>Asimismo, el SERT</w:t>
      </w:r>
      <w:r w:rsidR="00223612">
        <w:rPr>
          <w:szCs w:val="20"/>
        </w:rPr>
        <w:t xml:space="preserve"> deberá </w:t>
      </w:r>
      <w:r w:rsidR="00C44083">
        <w:rPr>
          <w:szCs w:val="20"/>
        </w:rPr>
        <w:t>mostrar</w:t>
      </w:r>
      <w:r w:rsidR="00ED3C35">
        <w:rPr>
          <w:szCs w:val="20"/>
        </w:rPr>
        <w:t xml:space="preserve"> los campos necesarios para que el </w:t>
      </w:r>
      <w:r w:rsidR="009D38B9">
        <w:rPr>
          <w:szCs w:val="20"/>
        </w:rPr>
        <w:t xml:space="preserve">AEP o AEPSM </w:t>
      </w:r>
      <w:r w:rsidR="00ED3C35">
        <w:rPr>
          <w:szCs w:val="20"/>
        </w:rPr>
        <w:t xml:space="preserve">pueda ingresar, junto con sus solicitudes de autorización, la información y documentación necesaria para dar cumplimiento a obligaciones específicas en </w:t>
      </w:r>
      <w:r w:rsidR="00ED3C35">
        <w:rPr>
          <w:szCs w:val="20"/>
        </w:rPr>
        <w:lastRenderedPageBreak/>
        <w:t>materia tarifaria que le hayan sido impuestas por el Instituto.</w:t>
      </w:r>
      <w:r w:rsidR="006A67A7">
        <w:rPr>
          <w:szCs w:val="20"/>
        </w:rPr>
        <w:t xml:space="preserve"> </w:t>
      </w:r>
      <w:r w:rsidR="006A67A7" w:rsidRPr="006A67A7">
        <w:rPr>
          <w:szCs w:val="20"/>
        </w:rPr>
        <w:t>Es importante señalar que las adecuaciones que a este efecto se lleven a cabo en el SERT no afectarán de manera alguna el funcionamiento para los actuales usuarios.</w:t>
      </w:r>
    </w:p>
    <w:p w:rsidR="00CF13E8" w:rsidRDefault="00C76F90" w:rsidP="008F1BC3">
      <w:pPr>
        <w:spacing w:line="276" w:lineRule="auto"/>
        <w:rPr>
          <w:szCs w:val="20"/>
        </w:rPr>
      </w:pPr>
      <w:r w:rsidRPr="00313ABA">
        <w:rPr>
          <w:szCs w:val="20"/>
        </w:rPr>
        <w:t>P</w:t>
      </w:r>
      <w:r w:rsidR="00A32C48">
        <w:rPr>
          <w:szCs w:val="20"/>
        </w:rPr>
        <w:t>or</w:t>
      </w:r>
      <w:r w:rsidRPr="00313ABA">
        <w:rPr>
          <w:szCs w:val="20"/>
        </w:rPr>
        <w:t xml:space="preserve"> lo anterior, </w:t>
      </w:r>
      <w:r w:rsidR="00A32C48">
        <w:rPr>
          <w:szCs w:val="20"/>
        </w:rPr>
        <w:t xml:space="preserve">a efecto de que el SERT esté en condiciones de cumplir con las funcionalidades antes mencionadas, </w:t>
      </w:r>
      <w:r w:rsidRPr="00313ABA">
        <w:rPr>
          <w:szCs w:val="20"/>
        </w:rPr>
        <w:t>se requiere establecer un plazo de</w:t>
      </w:r>
      <w:r w:rsidR="00A841D1">
        <w:rPr>
          <w:szCs w:val="20"/>
        </w:rPr>
        <w:t xml:space="preserve"> 9</w:t>
      </w:r>
      <w:r w:rsidRPr="00313ABA">
        <w:rPr>
          <w:szCs w:val="20"/>
        </w:rPr>
        <w:t>0 (</w:t>
      </w:r>
      <w:r w:rsidR="00A841D1">
        <w:rPr>
          <w:szCs w:val="20"/>
        </w:rPr>
        <w:t>noventa</w:t>
      </w:r>
      <w:r w:rsidRPr="00313ABA">
        <w:rPr>
          <w:szCs w:val="20"/>
        </w:rPr>
        <w:t>) días hábiles</w:t>
      </w:r>
      <w:r w:rsidR="0020287C">
        <w:rPr>
          <w:szCs w:val="20"/>
        </w:rPr>
        <w:t>,</w:t>
      </w:r>
      <w:r w:rsidRPr="00313ABA">
        <w:rPr>
          <w:szCs w:val="20"/>
        </w:rPr>
        <w:t xml:space="preserve"> </w:t>
      </w:r>
      <w:r w:rsidR="00490C5C">
        <w:rPr>
          <w:szCs w:val="20"/>
        </w:rPr>
        <w:t xml:space="preserve">posteriores a la </w:t>
      </w:r>
      <w:r w:rsidR="00A841D1">
        <w:rPr>
          <w:szCs w:val="20"/>
        </w:rPr>
        <w:t xml:space="preserve">publicación </w:t>
      </w:r>
      <w:r w:rsidR="00490C5C">
        <w:rPr>
          <w:szCs w:val="20"/>
        </w:rPr>
        <w:t>de los lineamientos</w:t>
      </w:r>
      <w:r w:rsidR="000A3771">
        <w:rPr>
          <w:szCs w:val="20"/>
        </w:rPr>
        <w:t>,</w:t>
      </w:r>
      <w:r w:rsidR="00490C5C">
        <w:rPr>
          <w:szCs w:val="20"/>
        </w:rPr>
        <w:t xml:space="preserve"> materia del presente acuerdo</w:t>
      </w:r>
      <w:r w:rsidR="000A3771">
        <w:rPr>
          <w:szCs w:val="20"/>
        </w:rPr>
        <w:t>,</w:t>
      </w:r>
      <w:r w:rsidR="00A841D1">
        <w:rPr>
          <w:szCs w:val="20"/>
        </w:rPr>
        <w:t xml:space="preserve"> en el </w:t>
      </w:r>
      <w:r w:rsidR="00CF13E8">
        <w:rPr>
          <w:szCs w:val="20"/>
        </w:rPr>
        <w:t>DOF</w:t>
      </w:r>
      <w:r w:rsidR="00490C5C">
        <w:rPr>
          <w:szCs w:val="20"/>
        </w:rPr>
        <w:t xml:space="preserve">, </w:t>
      </w:r>
      <w:r w:rsidRPr="00313ABA">
        <w:rPr>
          <w:szCs w:val="20"/>
        </w:rPr>
        <w:t xml:space="preserve">que permita al Instituto llevar a cabo las adecuaciones </w:t>
      </w:r>
      <w:r w:rsidR="00177656">
        <w:rPr>
          <w:szCs w:val="20"/>
        </w:rPr>
        <w:t xml:space="preserve">y pruebas </w:t>
      </w:r>
      <w:r w:rsidRPr="00313ABA">
        <w:rPr>
          <w:szCs w:val="20"/>
        </w:rPr>
        <w:t>pertinentes</w:t>
      </w:r>
      <w:r w:rsidR="0020287C">
        <w:rPr>
          <w:szCs w:val="20"/>
        </w:rPr>
        <w:t xml:space="preserve"> </w:t>
      </w:r>
      <w:r w:rsidR="00A32C48">
        <w:rPr>
          <w:szCs w:val="20"/>
        </w:rPr>
        <w:t>en el mismo</w:t>
      </w:r>
      <w:r w:rsidRPr="00313ABA">
        <w:rPr>
          <w:szCs w:val="20"/>
        </w:rPr>
        <w:t>. Una vez realizadas dichas adecuaciones, los agentes a quienes les sean aplicables estos lineamientos deberán presentar su solicitud de acceso al SERT y comenzar a presentar sus solicitudes electrónicas de autorización.</w:t>
      </w:r>
      <w:r w:rsidR="00A841D1">
        <w:rPr>
          <w:szCs w:val="20"/>
        </w:rPr>
        <w:t xml:space="preserve"> </w:t>
      </w:r>
    </w:p>
    <w:p w:rsidR="00C76F90" w:rsidRDefault="00C76F90" w:rsidP="008F1BC3">
      <w:pPr>
        <w:spacing w:line="276" w:lineRule="auto"/>
        <w:rPr>
          <w:szCs w:val="20"/>
        </w:rPr>
      </w:pPr>
      <w:r>
        <w:rPr>
          <w:szCs w:val="20"/>
        </w:rPr>
        <w:t>Debe señalarse que</w:t>
      </w:r>
      <w:r w:rsidR="00FC2D49">
        <w:rPr>
          <w:szCs w:val="20"/>
        </w:rPr>
        <w:t>, desde su implementación en el 2014,</w:t>
      </w:r>
      <w:r>
        <w:rPr>
          <w:szCs w:val="20"/>
        </w:rPr>
        <w:t xml:space="preserve"> el SERT </w:t>
      </w:r>
      <w:r w:rsidR="00FC2D49">
        <w:rPr>
          <w:szCs w:val="20"/>
        </w:rPr>
        <w:t xml:space="preserve">ha demostrado ser </w:t>
      </w:r>
      <w:r>
        <w:rPr>
          <w:szCs w:val="20"/>
        </w:rPr>
        <w:t xml:space="preserve">un sistema robusto y confiable que permite realizar </w:t>
      </w:r>
      <w:r w:rsidR="007510C3">
        <w:rPr>
          <w:szCs w:val="20"/>
        </w:rPr>
        <w:t xml:space="preserve">operaciones </w:t>
      </w:r>
      <w:r>
        <w:rPr>
          <w:szCs w:val="20"/>
        </w:rPr>
        <w:t>las 24 horas</w:t>
      </w:r>
      <w:r w:rsidR="0036556B">
        <w:rPr>
          <w:szCs w:val="20"/>
        </w:rPr>
        <w:t xml:space="preserve"> del día,</w:t>
      </w:r>
      <w:r>
        <w:rPr>
          <w:szCs w:val="20"/>
        </w:rPr>
        <w:t xml:space="preserve"> los 365 días del año, por lo que</w:t>
      </w:r>
      <w:r w:rsidR="003621A9">
        <w:rPr>
          <w:szCs w:val="20"/>
        </w:rPr>
        <w:t xml:space="preserve"> ofrecerá continuidad en la recepción de las solicitudes de los agentes regulados,</w:t>
      </w:r>
      <w:r>
        <w:rPr>
          <w:szCs w:val="20"/>
        </w:rPr>
        <w:t xml:space="preserve"> facilitará </w:t>
      </w:r>
      <w:r w:rsidR="0036556B">
        <w:rPr>
          <w:szCs w:val="20"/>
        </w:rPr>
        <w:t xml:space="preserve">a </w:t>
      </w:r>
      <w:r w:rsidR="003621A9">
        <w:rPr>
          <w:szCs w:val="20"/>
        </w:rPr>
        <w:t>estos</w:t>
      </w:r>
      <w:r>
        <w:rPr>
          <w:szCs w:val="20"/>
        </w:rPr>
        <w:t xml:space="preserve"> la presentación de solicitudes y reducirá para estos y para el Instituto los costos regulatorios.</w:t>
      </w:r>
    </w:p>
    <w:p w:rsidR="007A70C5" w:rsidRDefault="007A70C5" w:rsidP="008F1BC3">
      <w:pPr>
        <w:spacing w:line="276" w:lineRule="auto"/>
        <w:rPr>
          <w:szCs w:val="20"/>
        </w:rPr>
      </w:pPr>
      <w:r>
        <w:rPr>
          <w:szCs w:val="20"/>
        </w:rPr>
        <w:t xml:space="preserve">Adicionalmente, </w:t>
      </w:r>
      <w:r w:rsidR="000B6C65">
        <w:rPr>
          <w:szCs w:val="20"/>
        </w:rPr>
        <w:t>debe señalarse que</w:t>
      </w:r>
      <w:r w:rsidR="00434C2B">
        <w:rPr>
          <w:szCs w:val="20"/>
        </w:rPr>
        <w:t>,</w:t>
      </w:r>
      <w:r w:rsidR="000B6C65">
        <w:rPr>
          <w:szCs w:val="20"/>
        </w:rPr>
        <w:t xml:space="preserve"> </w:t>
      </w:r>
      <w:r>
        <w:rPr>
          <w:szCs w:val="20"/>
        </w:rPr>
        <w:t>en virtud de la naturaleza de una propuesta tarifaria en cuanto al contenido de información, los formatos</w:t>
      </w:r>
      <w:r w:rsidR="00C44083">
        <w:rPr>
          <w:rStyle w:val="Refdenotaalpie"/>
          <w:szCs w:val="20"/>
        </w:rPr>
        <w:footnoteReference w:id="19"/>
      </w:r>
      <w:r>
        <w:rPr>
          <w:szCs w:val="20"/>
        </w:rPr>
        <w:t xml:space="preserve"> ya utilizados para los operadores que no son </w:t>
      </w:r>
      <w:r w:rsidR="000B6C65">
        <w:rPr>
          <w:szCs w:val="20"/>
        </w:rPr>
        <w:t>AEP ni</w:t>
      </w:r>
      <w:r>
        <w:rPr>
          <w:szCs w:val="20"/>
        </w:rPr>
        <w:t xml:space="preserve"> AEPSM cumplen el mismo propósito de presentación de propuestas tarifarias, independientemente del análisis robusto que el Instituto lleve a cabo de manera particular para cada propuesta, por lo que resulta eficiente utilizar los mismos formatos, adicionando los campos necesarios para que los </w:t>
      </w:r>
      <w:r w:rsidR="009D38B9">
        <w:rPr>
          <w:szCs w:val="20"/>
        </w:rPr>
        <w:t xml:space="preserve">AEP y AEPSM </w:t>
      </w:r>
      <w:r>
        <w:rPr>
          <w:szCs w:val="20"/>
        </w:rPr>
        <w:t xml:space="preserve">puedan someter la información correspondiente a las obligaciones específicas que les </w:t>
      </w:r>
      <w:r w:rsidR="007510C3">
        <w:rPr>
          <w:szCs w:val="20"/>
        </w:rPr>
        <w:t>sea</w:t>
      </w:r>
      <w:r w:rsidR="0026465A">
        <w:rPr>
          <w:szCs w:val="20"/>
        </w:rPr>
        <w:t>n</w:t>
      </w:r>
      <w:r w:rsidR="007510C3">
        <w:rPr>
          <w:szCs w:val="20"/>
        </w:rPr>
        <w:t xml:space="preserve"> </w:t>
      </w:r>
      <w:r>
        <w:rPr>
          <w:szCs w:val="20"/>
        </w:rPr>
        <w:t>apli</w:t>
      </w:r>
      <w:r w:rsidR="007510C3">
        <w:rPr>
          <w:szCs w:val="20"/>
        </w:rPr>
        <w:t>cable</w:t>
      </w:r>
      <w:r w:rsidR="0026465A">
        <w:rPr>
          <w:szCs w:val="20"/>
        </w:rPr>
        <w:t>s</w:t>
      </w:r>
      <w:r>
        <w:rPr>
          <w:szCs w:val="20"/>
        </w:rPr>
        <w:t>, de conformidad con la regulación asimétrica que les haya sido impuesta por el Instituto.</w:t>
      </w:r>
    </w:p>
    <w:p w:rsidR="00C76F90" w:rsidRDefault="00C76F90" w:rsidP="008F1BC3">
      <w:pPr>
        <w:spacing w:line="276" w:lineRule="auto"/>
        <w:rPr>
          <w:szCs w:val="20"/>
        </w:rPr>
      </w:pPr>
      <w:r w:rsidRPr="0078681C">
        <w:rPr>
          <w:szCs w:val="20"/>
        </w:rPr>
        <w:t xml:space="preserve">Por lo </w:t>
      </w:r>
      <w:r w:rsidR="0026465A">
        <w:rPr>
          <w:szCs w:val="20"/>
        </w:rPr>
        <w:t>tanto</w:t>
      </w:r>
      <w:r w:rsidRPr="0078681C">
        <w:rPr>
          <w:szCs w:val="20"/>
        </w:rPr>
        <w:t xml:space="preserve">, se </w:t>
      </w:r>
      <w:r>
        <w:rPr>
          <w:szCs w:val="20"/>
        </w:rPr>
        <w:t>determina</w:t>
      </w:r>
      <w:r w:rsidR="000E0A71">
        <w:rPr>
          <w:szCs w:val="20"/>
        </w:rPr>
        <w:t xml:space="preserve"> </w:t>
      </w:r>
      <w:r w:rsidR="00C27ADB">
        <w:rPr>
          <w:szCs w:val="20"/>
        </w:rPr>
        <w:t>pertinente</w:t>
      </w:r>
      <w:r w:rsidRPr="0078681C">
        <w:rPr>
          <w:szCs w:val="20"/>
        </w:rPr>
        <w:t xml:space="preserve"> la emisión de lineamientos que establezcan el procedimiento, plazos, requisitos y formatos, aprovechando la herramienta tecnológica ya disponible, a través de los cuales el Instituto autorice las propuestas tarifarias para usuarios finales de los AEP y AEPSM, con la finalidad de dar agilidad </w:t>
      </w:r>
      <w:r w:rsidRPr="0078681C">
        <w:rPr>
          <w:szCs w:val="20"/>
        </w:rPr>
        <w:lastRenderedPageBreak/>
        <w:t xml:space="preserve">al proceso, disminuir </w:t>
      </w:r>
      <w:r w:rsidR="00A841D1">
        <w:rPr>
          <w:szCs w:val="20"/>
        </w:rPr>
        <w:t>el costo</w:t>
      </w:r>
      <w:r w:rsidRPr="0078681C">
        <w:rPr>
          <w:szCs w:val="20"/>
        </w:rPr>
        <w:t xml:space="preserve"> regulatori</w:t>
      </w:r>
      <w:r w:rsidR="00A841D1">
        <w:rPr>
          <w:szCs w:val="20"/>
        </w:rPr>
        <w:t>o</w:t>
      </w:r>
      <w:r w:rsidRPr="0078681C">
        <w:rPr>
          <w:szCs w:val="20"/>
        </w:rPr>
        <w:t xml:space="preserve"> y brindar certeza a los aludidos agentes económicos </w:t>
      </w:r>
      <w:r w:rsidR="000A6364">
        <w:rPr>
          <w:szCs w:val="20"/>
        </w:rPr>
        <w:t>respecto de</w:t>
      </w:r>
      <w:r w:rsidRPr="0078681C">
        <w:rPr>
          <w:szCs w:val="20"/>
        </w:rPr>
        <w:t xml:space="preserve"> la autorización y registro de tarifas.</w:t>
      </w:r>
    </w:p>
    <w:p w:rsidR="00E12FF5" w:rsidRDefault="00E12FF5" w:rsidP="008F1BC3">
      <w:pPr>
        <w:spacing w:after="0" w:line="276" w:lineRule="auto"/>
        <w:rPr>
          <w:szCs w:val="20"/>
        </w:rPr>
      </w:pPr>
      <w:r>
        <w:rPr>
          <w:szCs w:val="20"/>
        </w:rPr>
        <w:t>En lo referente</w:t>
      </w:r>
      <w:r w:rsidR="006C3C75">
        <w:rPr>
          <w:szCs w:val="20"/>
        </w:rPr>
        <w:t xml:space="preserve"> al </w:t>
      </w:r>
      <w:r w:rsidR="00C3427F">
        <w:rPr>
          <w:szCs w:val="20"/>
        </w:rPr>
        <w:t>tiempo</w:t>
      </w:r>
      <w:r>
        <w:rPr>
          <w:szCs w:val="20"/>
        </w:rPr>
        <w:t xml:space="preserve"> para resolver sobre la autorización de una </w:t>
      </w:r>
      <w:r w:rsidR="006C3C75">
        <w:rPr>
          <w:szCs w:val="20"/>
        </w:rPr>
        <w:t>tarifa,</w:t>
      </w:r>
      <w:r>
        <w:rPr>
          <w:szCs w:val="20"/>
        </w:rPr>
        <w:t xml:space="preserve"> l</w:t>
      </w:r>
      <w:r w:rsidRPr="00E12FF5">
        <w:rPr>
          <w:szCs w:val="20"/>
        </w:rPr>
        <w:t xml:space="preserve">a LFTR no </w:t>
      </w:r>
      <w:r w:rsidR="00C3427F">
        <w:rPr>
          <w:szCs w:val="20"/>
        </w:rPr>
        <w:t>establece</w:t>
      </w:r>
      <w:r w:rsidRPr="00E12FF5">
        <w:rPr>
          <w:szCs w:val="20"/>
        </w:rPr>
        <w:t xml:space="preserve"> un plazo</w:t>
      </w:r>
      <w:r>
        <w:rPr>
          <w:szCs w:val="20"/>
        </w:rPr>
        <w:t>,</w:t>
      </w:r>
      <w:r w:rsidRPr="00E12FF5">
        <w:rPr>
          <w:szCs w:val="20"/>
        </w:rPr>
        <w:t xml:space="preserve"> por lo que</w:t>
      </w:r>
      <w:r w:rsidR="006C3C75">
        <w:rPr>
          <w:szCs w:val="20"/>
        </w:rPr>
        <w:t>,</w:t>
      </w:r>
      <w:r w:rsidRPr="00E12FF5">
        <w:rPr>
          <w:szCs w:val="20"/>
        </w:rPr>
        <w:t xml:space="preserve"> </w:t>
      </w:r>
      <w:r>
        <w:rPr>
          <w:szCs w:val="20"/>
        </w:rPr>
        <w:t>de manera supletoria</w:t>
      </w:r>
      <w:r w:rsidR="006C3C75">
        <w:rPr>
          <w:szCs w:val="20"/>
        </w:rPr>
        <w:t>,</w:t>
      </w:r>
      <w:r>
        <w:rPr>
          <w:szCs w:val="20"/>
        </w:rPr>
        <w:t xml:space="preserve"> correspondería aplicar</w:t>
      </w:r>
      <w:r w:rsidRPr="00E12FF5">
        <w:rPr>
          <w:szCs w:val="20"/>
        </w:rPr>
        <w:t xml:space="preserve"> </w:t>
      </w:r>
      <w:r>
        <w:rPr>
          <w:szCs w:val="20"/>
        </w:rPr>
        <w:t>lo</w:t>
      </w:r>
      <w:r w:rsidRPr="00E12FF5">
        <w:rPr>
          <w:szCs w:val="20"/>
        </w:rPr>
        <w:t xml:space="preserve"> dispuesto en la L</w:t>
      </w:r>
      <w:r>
        <w:rPr>
          <w:szCs w:val="20"/>
        </w:rPr>
        <w:t xml:space="preserve">ey </w:t>
      </w:r>
      <w:r w:rsidRPr="00E12FF5">
        <w:rPr>
          <w:szCs w:val="20"/>
        </w:rPr>
        <w:t>F</w:t>
      </w:r>
      <w:r>
        <w:rPr>
          <w:szCs w:val="20"/>
        </w:rPr>
        <w:t xml:space="preserve">ederal de </w:t>
      </w:r>
      <w:r w:rsidRPr="00E12FF5">
        <w:rPr>
          <w:szCs w:val="20"/>
        </w:rPr>
        <w:t>P</w:t>
      </w:r>
      <w:r>
        <w:rPr>
          <w:szCs w:val="20"/>
        </w:rPr>
        <w:t xml:space="preserve">rocedimiento </w:t>
      </w:r>
      <w:r w:rsidRPr="00E12FF5">
        <w:rPr>
          <w:szCs w:val="20"/>
        </w:rPr>
        <w:t>A</w:t>
      </w:r>
      <w:r>
        <w:rPr>
          <w:szCs w:val="20"/>
        </w:rPr>
        <w:t>dministrativo</w:t>
      </w:r>
      <w:r w:rsidR="006C3C75">
        <w:rPr>
          <w:szCs w:val="20"/>
        </w:rPr>
        <w:t xml:space="preserve"> que,</w:t>
      </w:r>
      <w:r w:rsidR="006C3C75" w:rsidRPr="006C3C75">
        <w:rPr>
          <w:szCs w:val="20"/>
        </w:rPr>
        <w:t xml:space="preserve"> </w:t>
      </w:r>
      <w:r w:rsidR="006C3C75">
        <w:rPr>
          <w:szCs w:val="20"/>
        </w:rPr>
        <w:t>de conformidad con el artículo 17 de dicha ley, determina un plazo no mayor a tres meses para resolver lo que corresponda</w:t>
      </w:r>
      <w:r w:rsidR="00C3427F">
        <w:rPr>
          <w:szCs w:val="20"/>
        </w:rPr>
        <w:t>.</w:t>
      </w:r>
      <w:r w:rsidR="006C3C75">
        <w:rPr>
          <w:szCs w:val="20"/>
        </w:rPr>
        <w:t xml:space="preserve"> </w:t>
      </w:r>
      <w:r w:rsidR="00C3427F">
        <w:rPr>
          <w:szCs w:val="20"/>
        </w:rPr>
        <w:t>S</w:t>
      </w:r>
      <w:r w:rsidRPr="00E12FF5">
        <w:rPr>
          <w:szCs w:val="20"/>
        </w:rPr>
        <w:t xml:space="preserve">in embargo, a efecto de dar </w:t>
      </w:r>
      <w:r>
        <w:rPr>
          <w:szCs w:val="20"/>
        </w:rPr>
        <w:t xml:space="preserve">agilidad a la autorización </w:t>
      </w:r>
      <w:r w:rsidR="006C3C75">
        <w:rPr>
          <w:szCs w:val="20"/>
        </w:rPr>
        <w:t>de tarifas,</w:t>
      </w:r>
      <w:r w:rsidRPr="00E12FF5">
        <w:rPr>
          <w:szCs w:val="20"/>
        </w:rPr>
        <w:t xml:space="preserve"> </w:t>
      </w:r>
      <w:r w:rsidR="006C3C75">
        <w:rPr>
          <w:szCs w:val="20"/>
        </w:rPr>
        <w:t xml:space="preserve">de </w:t>
      </w:r>
      <w:r w:rsidRPr="00E12FF5">
        <w:rPr>
          <w:szCs w:val="20"/>
        </w:rPr>
        <w:t xml:space="preserve">no generar </w:t>
      </w:r>
      <w:r w:rsidR="006C3C75">
        <w:rPr>
          <w:szCs w:val="20"/>
        </w:rPr>
        <w:t xml:space="preserve">afectaciones </w:t>
      </w:r>
      <w:r w:rsidRPr="00E12FF5">
        <w:rPr>
          <w:szCs w:val="20"/>
        </w:rPr>
        <w:t>al dinamismo del mercado</w:t>
      </w:r>
      <w:r w:rsidR="00C3427F">
        <w:rPr>
          <w:szCs w:val="20"/>
        </w:rPr>
        <w:t>,</w:t>
      </w:r>
      <w:r w:rsidRPr="00E12FF5">
        <w:rPr>
          <w:szCs w:val="20"/>
        </w:rPr>
        <w:t xml:space="preserve"> en el cual es imprescindible que los </w:t>
      </w:r>
      <w:r w:rsidR="00526E0E">
        <w:rPr>
          <w:szCs w:val="20"/>
        </w:rPr>
        <w:t>AEP y AEPSM</w:t>
      </w:r>
      <w:r w:rsidR="00526E0E" w:rsidRPr="00E12FF5">
        <w:rPr>
          <w:szCs w:val="20"/>
        </w:rPr>
        <w:t xml:space="preserve"> </w:t>
      </w:r>
      <w:r w:rsidRPr="00E12FF5">
        <w:rPr>
          <w:szCs w:val="20"/>
        </w:rPr>
        <w:t xml:space="preserve">puedan reaccionar a las condiciones del </w:t>
      </w:r>
      <w:r>
        <w:rPr>
          <w:szCs w:val="20"/>
        </w:rPr>
        <w:t>mismo</w:t>
      </w:r>
      <w:r w:rsidRPr="00E12FF5">
        <w:rPr>
          <w:szCs w:val="20"/>
        </w:rPr>
        <w:t xml:space="preserve"> de forma oportuna</w:t>
      </w:r>
      <w:r w:rsidR="00C3427F">
        <w:rPr>
          <w:szCs w:val="20"/>
        </w:rPr>
        <w:t>,</w:t>
      </w:r>
      <w:r w:rsidRPr="00E12FF5">
        <w:rPr>
          <w:szCs w:val="20"/>
        </w:rPr>
        <w:t xml:space="preserve"> </w:t>
      </w:r>
      <w:r>
        <w:rPr>
          <w:szCs w:val="20"/>
        </w:rPr>
        <w:t>y</w:t>
      </w:r>
      <w:r w:rsidRPr="00E12FF5">
        <w:rPr>
          <w:szCs w:val="20"/>
        </w:rPr>
        <w:t xml:space="preserve"> </w:t>
      </w:r>
      <w:r w:rsidR="006C3C75">
        <w:rPr>
          <w:szCs w:val="20"/>
        </w:rPr>
        <w:t xml:space="preserve">de </w:t>
      </w:r>
      <w:r w:rsidRPr="00E12FF5">
        <w:rPr>
          <w:szCs w:val="20"/>
        </w:rPr>
        <w:t xml:space="preserve">no </w:t>
      </w:r>
      <w:r w:rsidR="006C3C75">
        <w:rPr>
          <w:szCs w:val="20"/>
        </w:rPr>
        <w:t>impactar de forma negativa</w:t>
      </w:r>
      <w:r w:rsidRPr="00E12FF5">
        <w:rPr>
          <w:szCs w:val="20"/>
        </w:rPr>
        <w:t xml:space="preserve"> las condiciones de competencia</w:t>
      </w:r>
      <w:r w:rsidR="006C3C75">
        <w:rPr>
          <w:szCs w:val="20"/>
        </w:rPr>
        <w:t>,</w:t>
      </w:r>
      <w:r w:rsidRPr="00E12FF5">
        <w:rPr>
          <w:szCs w:val="20"/>
        </w:rPr>
        <w:t xml:space="preserve"> </w:t>
      </w:r>
      <w:r w:rsidR="00C3427F">
        <w:rPr>
          <w:szCs w:val="20"/>
        </w:rPr>
        <w:t xml:space="preserve">así como </w:t>
      </w:r>
      <w:r w:rsidRPr="00E12FF5">
        <w:rPr>
          <w:szCs w:val="20"/>
        </w:rPr>
        <w:t xml:space="preserve">en virtud de la cantidad de información que se </w:t>
      </w:r>
      <w:r>
        <w:rPr>
          <w:szCs w:val="20"/>
        </w:rPr>
        <w:t>requiere revisar y analizar en el proceso</w:t>
      </w:r>
      <w:r w:rsidRPr="00E12FF5">
        <w:rPr>
          <w:szCs w:val="20"/>
        </w:rPr>
        <w:t xml:space="preserve"> de autorización, se </w:t>
      </w:r>
      <w:r w:rsidR="00C3427F">
        <w:rPr>
          <w:szCs w:val="20"/>
        </w:rPr>
        <w:t>estima razonable</w:t>
      </w:r>
      <w:r w:rsidRPr="00E12FF5">
        <w:rPr>
          <w:szCs w:val="20"/>
        </w:rPr>
        <w:t xml:space="preserve"> un plazo de 10 (d</w:t>
      </w:r>
      <w:r w:rsidR="00620D86">
        <w:rPr>
          <w:szCs w:val="20"/>
        </w:rPr>
        <w:t>iez</w:t>
      </w:r>
      <w:r w:rsidRPr="00E12FF5">
        <w:rPr>
          <w:szCs w:val="20"/>
        </w:rPr>
        <w:t xml:space="preserve">) </w:t>
      </w:r>
      <w:r w:rsidR="00620D86">
        <w:rPr>
          <w:szCs w:val="20"/>
        </w:rPr>
        <w:t xml:space="preserve">días </w:t>
      </w:r>
      <w:r w:rsidRPr="00E12FF5">
        <w:rPr>
          <w:szCs w:val="20"/>
        </w:rPr>
        <w:t xml:space="preserve">hábiles para </w:t>
      </w:r>
      <w:r>
        <w:rPr>
          <w:szCs w:val="20"/>
        </w:rPr>
        <w:t xml:space="preserve">que el Instituto resuelva sobre la autorización de una </w:t>
      </w:r>
      <w:r w:rsidR="00AC5570">
        <w:rPr>
          <w:szCs w:val="20"/>
        </w:rPr>
        <w:t>tarifa</w:t>
      </w:r>
      <w:r w:rsidR="0097577E">
        <w:rPr>
          <w:szCs w:val="20"/>
        </w:rPr>
        <w:t xml:space="preserve">, </w:t>
      </w:r>
      <w:r w:rsidR="0097577E" w:rsidRPr="00B31A8E">
        <w:rPr>
          <w:szCs w:val="20"/>
        </w:rPr>
        <w:t>salvo en los casos en que las medidas u obligaciones específicas impuestas establezcan tiempos mayores para llevar a cabo los procedimientos específicos que le</w:t>
      </w:r>
      <w:r w:rsidR="003B4CCE">
        <w:rPr>
          <w:szCs w:val="20"/>
        </w:rPr>
        <w:t>s</w:t>
      </w:r>
      <w:r w:rsidR="0097577E" w:rsidRPr="00B31A8E">
        <w:rPr>
          <w:szCs w:val="20"/>
        </w:rPr>
        <w:t xml:space="preserve"> resulten aplicables a</w:t>
      </w:r>
      <w:r w:rsidR="00526E0E">
        <w:rPr>
          <w:szCs w:val="20"/>
        </w:rPr>
        <w:t xml:space="preserve"> estos agentes</w:t>
      </w:r>
      <w:r w:rsidR="0097577E" w:rsidRPr="00B31A8E">
        <w:rPr>
          <w:szCs w:val="20"/>
        </w:rPr>
        <w:t>, en cuyo caso el plazo se apegará a dicha normatividad.</w:t>
      </w:r>
      <w:r>
        <w:rPr>
          <w:szCs w:val="20"/>
        </w:rPr>
        <w:t xml:space="preserve"> </w:t>
      </w:r>
    </w:p>
    <w:p w:rsidR="00C76F90" w:rsidRDefault="00C76F90" w:rsidP="008F1BC3">
      <w:pPr>
        <w:spacing w:before="0" w:line="276" w:lineRule="auto"/>
        <w:rPr>
          <w:szCs w:val="20"/>
        </w:rPr>
      </w:pPr>
    </w:p>
    <w:p w:rsidR="00076EA6" w:rsidRPr="000D1002" w:rsidRDefault="00A64CDB" w:rsidP="00E3356A">
      <w:pPr>
        <w:pStyle w:val="Ttulo2"/>
        <w:rPr>
          <w:b/>
          <w:vanish/>
          <w:specVanish/>
        </w:rPr>
      </w:pPr>
      <w:r w:rsidRPr="00E3356A">
        <w:rPr>
          <w:rFonts w:ascii="ITC Avant Garde" w:hAnsi="ITC Avant Garde"/>
          <w:b/>
          <w:color w:val="auto"/>
          <w:sz w:val="22"/>
          <w:szCs w:val="22"/>
        </w:rPr>
        <w:t>QUINTO</w:t>
      </w:r>
      <w:r w:rsidR="0038458E">
        <w:rPr>
          <w:rFonts w:ascii="ITC Avant Garde" w:hAnsi="ITC Avant Garde"/>
          <w:b/>
          <w:color w:val="auto"/>
          <w:sz w:val="22"/>
          <w:szCs w:val="22"/>
        </w:rPr>
        <w:t>.</w:t>
      </w:r>
      <w:r w:rsidR="000D1002">
        <w:rPr>
          <w:rFonts w:ascii="ITC Avant Garde" w:hAnsi="ITC Avant Garde"/>
          <w:b/>
          <w:color w:val="auto"/>
          <w:sz w:val="22"/>
          <w:szCs w:val="22"/>
        </w:rPr>
        <w:t>- CONSULTA PÚBLICA.</w:t>
      </w:r>
    </w:p>
    <w:p w:rsidR="008C6B3C" w:rsidRDefault="000D1002" w:rsidP="008F1BC3">
      <w:pPr>
        <w:spacing w:line="276" w:lineRule="auto"/>
        <w:rPr>
          <w:szCs w:val="20"/>
        </w:rPr>
      </w:pPr>
      <w:r>
        <w:rPr>
          <w:szCs w:val="20"/>
        </w:rPr>
        <w:t xml:space="preserve"> </w:t>
      </w:r>
      <w:r w:rsidR="00C76F90" w:rsidRPr="009252B1">
        <w:rPr>
          <w:szCs w:val="20"/>
        </w:rPr>
        <w:t>En cumplimiento con el artículo 51 de la LFTR, bajo los principios de transparencia y participación ciudadana, el Instituto llevó a cabo la c</w:t>
      </w:r>
      <w:r w:rsidR="00C76F90">
        <w:rPr>
          <w:szCs w:val="20"/>
        </w:rPr>
        <w:t>onsulta pública de mérito del 04 al 29 de junio de 2018. Dicha consulta arrojó 7 (siete)</w:t>
      </w:r>
      <w:r w:rsidR="00C76F90" w:rsidRPr="009252B1">
        <w:rPr>
          <w:szCs w:val="20"/>
        </w:rPr>
        <w:t xml:space="preserve"> participaciones, de las cuales, todas corresponden a personas morales. </w:t>
      </w:r>
    </w:p>
    <w:p w:rsidR="008C6B3C" w:rsidRDefault="008C6B3C" w:rsidP="008F1BC3">
      <w:pPr>
        <w:pStyle w:val="Normalresolucion"/>
        <w:spacing w:before="0" w:line="276" w:lineRule="auto"/>
        <w:rPr>
          <w:lang w:val="es-MX"/>
        </w:rPr>
      </w:pPr>
      <w:r w:rsidRPr="006D1A9A">
        <w:rPr>
          <w:lang w:val="es-MX"/>
        </w:rPr>
        <w:t xml:space="preserve">Asimismo, en cumplimiento a lo establecido por el artículo 51 de la LFTR y por los lineamientos Noveno y Décimo de los </w:t>
      </w:r>
      <w:r w:rsidR="00ED1A5C" w:rsidRPr="00D629F3">
        <w:rPr>
          <w:i/>
          <w:lang w:val="es-MX"/>
        </w:rPr>
        <w:t>“</w:t>
      </w:r>
      <w:r w:rsidRPr="00D629F3">
        <w:rPr>
          <w:i/>
          <w:lang w:val="es-MX"/>
        </w:rPr>
        <w:t xml:space="preserve">Lineamientos de </w:t>
      </w:r>
      <w:r w:rsidR="00ED1A5C" w:rsidRPr="00D629F3">
        <w:rPr>
          <w:i/>
          <w:lang w:val="es-MX"/>
        </w:rPr>
        <w:t>C</w:t>
      </w:r>
      <w:r w:rsidRPr="00D629F3">
        <w:rPr>
          <w:i/>
          <w:lang w:val="es-MX"/>
        </w:rPr>
        <w:t xml:space="preserve">onsulta </w:t>
      </w:r>
      <w:r w:rsidR="00ED1A5C" w:rsidRPr="00D629F3">
        <w:rPr>
          <w:i/>
          <w:lang w:val="es-MX"/>
        </w:rPr>
        <w:t>P</w:t>
      </w:r>
      <w:r w:rsidRPr="00D629F3">
        <w:rPr>
          <w:i/>
          <w:lang w:val="es-MX"/>
        </w:rPr>
        <w:t xml:space="preserve">ública y </w:t>
      </w:r>
      <w:r w:rsidR="00ED1A5C" w:rsidRPr="00D629F3">
        <w:rPr>
          <w:i/>
          <w:lang w:val="es-MX"/>
        </w:rPr>
        <w:t>A</w:t>
      </w:r>
      <w:r w:rsidRPr="00D629F3">
        <w:rPr>
          <w:i/>
          <w:lang w:val="es-MX"/>
        </w:rPr>
        <w:t xml:space="preserve">nálisis </w:t>
      </w:r>
      <w:r w:rsidR="00ED1A5C" w:rsidRPr="00D629F3">
        <w:rPr>
          <w:i/>
          <w:lang w:val="es-MX"/>
        </w:rPr>
        <w:t>R</w:t>
      </w:r>
      <w:r w:rsidRPr="00D629F3">
        <w:rPr>
          <w:i/>
          <w:lang w:val="es-MX"/>
        </w:rPr>
        <w:t>egulatorio del Instituto Federal de Telecomunicaciones</w:t>
      </w:r>
      <w:r w:rsidR="00ED1A5C" w:rsidRPr="00ED1A5C">
        <w:rPr>
          <w:lang w:val="es-MX"/>
        </w:rPr>
        <w:t>”</w:t>
      </w:r>
      <w:r w:rsidR="00ED1A5C" w:rsidRPr="00D629F3">
        <w:rPr>
          <w:lang w:val="es-MX"/>
        </w:rPr>
        <w:t xml:space="preserve"> (en lo sucesivo, los “Lineamientos de Consulta</w:t>
      </w:r>
      <w:r w:rsidR="00ED1A5C">
        <w:rPr>
          <w:lang w:val="es-MX"/>
        </w:rPr>
        <w:t xml:space="preserve"> Pública</w:t>
      </w:r>
      <w:r w:rsidR="00ED1A5C" w:rsidRPr="00D629F3">
        <w:rPr>
          <w:lang w:val="es-MX"/>
        </w:rPr>
        <w:t>”)</w:t>
      </w:r>
      <w:r w:rsidRPr="006D1A9A">
        <w:rPr>
          <w:lang w:val="es-MX"/>
        </w:rPr>
        <w:t>, el Instituto dio atención a los comentarios recibidos en la consulta, publicando el informe de consideraciones correspondiente en su portal de Internet.</w:t>
      </w:r>
    </w:p>
    <w:p w:rsidR="008F2664" w:rsidRDefault="008C6B3C" w:rsidP="008F1BC3">
      <w:pPr>
        <w:pStyle w:val="Normalresolucion"/>
        <w:spacing w:after="0" w:line="276" w:lineRule="auto"/>
        <w:rPr>
          <w:szCs w:val="20"/>
        </w:rPr>
      </w:pPr>
      <w:r w:rsidRPr="006D1A9A">
        <w:rPr>
          <w:lang w:val="es-MX"/>
        </w:rPr>
        <w:t xml:space="preserve">Por lo anterior, el proyecto fue fortalecido mediante la valoración de los comentarios recibidos durante la consulta pública, </w:t>
      </w:r>
      <w:r w:rsidRPr="006D1A9A">
        <w:t>contribuyendo a un mejor diseño y planteamiento de la modificación a la regulación</w:t>
      </w:r>
      <w:r>
        <w:t>.</w:t>
      </w:r>
    </w:p>
    <w:p w:rsidR="00B402BA" w:rsidRDefault="00B402BA" w:rsidP="008F1BC3">
      <w:pPr>
        <w:pStyle w:val="Normalresolucion"/>
        <w:spacing w:before="0" w:after="0" w:line="276" w:lineRule="auto"/>
        <w:rPr>
          <w:szCs w:val="20"/>
        </w:rPr>
      </w:pPr>
    </w:p>
    <w:p w:rsidR="00076EA6" w:rsidRPr="000D1002" w:rsidRDefault="00A64CDB" w:rsidP="00E3356A">
      <w:pPr>
        <w:pStyle w:val="Ttulo2"/>
        <w:rPr>
          <w:b/>
          <w:vanish/>
          <w:szCs w:val="20"/>
          <w:specVanish/>
        </w:rPr>
      </w:pPr>
      <w:r w:rsidRPr="00E3356A">
        <w:rPr>
          <w:rFonts w:ascii="ITC Avant Garde" w:hAnsi="ITC Avant Garde"/>
          <w:b/>
          <w:color w:val="auto"/>
          <w:sz w:val="22"/>
          <w:szCs w:val="20"/>
        </w:rPr>
        <w:lastRenderedPageBreak/>
        <w:t>SEXTO.- ANÁLISIS DE IMPACTO REGULATORIO.</w:t>
      </w:r>
    </w:p>
    <w:p w:rsidR="00A64CDB" w:rsidRPr="00717158" w:rsidRDefault="000D1002" w:rsidP="008F1BC3">
      <w:pPr>
        <w:spacing w:after="0" w:line="276" w:lineRule="auto"/>
        <w:rPr>
          <w:vanish/>
          <w:szCs w:val="20"/>
          <w:specVanish/>
        </w:rPr>
      </w:pPr>
      <w:r>
        <w:rPr>
          <w:szCs w:val="20"/>
        </w:rPr>
        <w:t xml:space="preserve"> </w:t>
      </w:r>
      <w:r w:rsidR="00A64CDB" w:rsidRPr="00696071">
        <w:rPr>
          <w:szCs w:val="20"/>
        </w:rPr>
        <w:t>De conformidad con el segundo párrafo del artículo 51 de la LFTR, de manera previa a la emisión de reglas, lineamientos o disposiciones administrativas de carácter general, el Instituto deberá realizar y hacer público un an</w:t>
      </w:r>
      <w:r w:rsidR="00A64CDB" w:rsidRPr="00A64CDB">
        <w:rPr>
          <w:szCs w:val="20"/>
        </w:rPr>
        <w:t xml:space="preserve">álisis de impacto regulatorio. </w:t>
      </w:r>
    </w:p>
    <w:p w:rsidR="00984B1B" w:rsidRDefault="00FB4CBE" w:rsidP="008F1BC3">
      <w:pPr>
        <w:spacing w:after="0" w:line="276" w:lineRule="auto"/>
        <w:rPr>
          <w:szCs w:val="20"/>
        </w:rPr>
      </w:pPr>
      <w:r>
        <w:rPr>
          <w:szCs w:val="20"/>
        </w:rPr>
        <w:t xml:space="preserve"> </w:t>
      </w:r>
      <w:r w:rsidR="00A64CDB" w:rsidRPr="00696071">
        <w:rPr>
          <w:szCs w:val="20"/>
        </w:rPr>
        <w:t>Al respecto, de conformidad con lo establecido en los artículos 51 de la LFTR; 4 fracción VIII, inciso IV), y 75 fracción II del Estatuto</w:t>
      </w:r>
      <w:r w:rsidR="00427C9B">
        <w:rPr>
          <w:szCs w:val="20"/>
        </w:rPr>
        <w:t xml:space="preserve"> y en el lineamiento Vigésimo Tercero de los Lineamientos de Consulta Pública</w:t>
      </w:r>
      <w:r w:rsidR="00A64CDB" w:rsidRPr="00696071">
        <w:rPr>
          <w:szCs w:val="20"/>
        </w:rPr>
        <w:t>, la Coordinación Gener</w:t>
      </w:r>
      <w:r w:rsidR="00A64CDB" w:rsidRPr="00A64CDB">
        <w:rPr>
          <w:szCs w:val="20"/>
        </w:rPr>
        <w:t>al de Mejora Regulatoria emitió</w:t>
      </w:r>
      <w:r w:rsidR="00A64CDB" w:rsidRPr="00696071">
        <w:rPr>
          <w:szCs w:val="20"/>
        </w:rPr>
        <w:t xml:space="preserve"> la opinión no vinculante respecto del </w:t>
      </w:r>
      <w:r w:rsidR="00A64CDB">
        <w:rPr>
          <w:szCs w:val="20"/>
        </w:rPr>
        <w:t xml:space="preserve">Análisis de Impacto Regulatorio correspondiente a los </w:t>
      </w:r>
      <w:r w:rsidR="00A64CDB" w:rsidRPr="00696071">
        <w:rPr>
          <w:i/>
          <w:szCs w:val="20"/>
        </w:rPr>
        <w:t>“Lineamientos mediante los cuales se establece el procedimiento para la presentación de la Solicitud E</w:t>
      </w:r>
      <w:r w:rsidR="00AA0D9D" w:rsidRPr="00696071">
        <w:rPr>
          <w:i/>
          <w:szCs w:val="20"/>
        </w:rPr>
        <w:t>lectrónica de A</w:t>
      </w:r>
      <w:r w:rsidR="00A64CDB" w:rsidRPr="00696071">
        <w:rPr>
          <w:i/>
          <w:szCs w:val="20"/>
        </w:rPr>
        <w:t>utorización de tarifas de los servicios de telecomunicaciones para usuarios finales, al cual deberán sujetarse el Agente Económico Preponderante y los Agentes Económicos con Poder Sustancial de Mercado en el Sector de Telecomunicaciones</w:t>
      </w:r>
      <w:r w:rsidR="00AA0D9D" w:rsidRPr="00696071">
        <w:rPr>
          <w:i/>
          <w:szCs w:val="20"/>
        </w:rPr>
        <w:t>”</w:t>
      </w:r>
      <w:r w:rsidR="00523309">
        <w:rPr>
          <w:i/>
          <w:szCs w:val="20"/>
        </w:rPr>
        <w:t>.</w:t>
      </w:r>
    </w:p>
    <w:p w:rsidR="008F2664" w:rsidRDefault="008F2664" w:rsidP="008F1BC3">
      <w:pPr>
        <w:spacing w:before="0" w:line="276" w:lineRule="auto"/>
        <w:rPr>
          <w:szCs w:val="20"/>
        </w:rPr>
      </w:pPr>
    </w:p>
    <w:p w:rsidR="008F1BC3" w:rsidRDefault="008F1BC3" w:rsidP="008F1BC3">
      <w:pPr>
        <w:spacing w:before="0" w:line="276" w:lineRule="auto"/>
        <w:rPr>
          <w:szCs w:val="20"/>
        </w:rPr>
      </w:pPr>
    </w:p>
    <w:p w:rsidR="00B86D5B" w:rsidRDefault="00C76F90" w:rsidP="008F1BC3">
      <w:pPr>
        <w:spacing w:line="276" w:lineRule="auto"/>
        <w:rPr>
          <w:szCs w:val="20"/>
        </w:rPr>
      </w:pPr>
      <w:r w:rsidRPr="00845351">
        <w:t xml:space="preserve">Por lo </w:t>
      </w:r>
      <w:r>
        <w:t xml:space="preserve">anteriormente </w:t>
      </w:r>
      <w:r w:rsidRPr="00845351">
        <w:t xml:space="preserve">expuesto y con fundamento en los artículos 28 </w:t>
      </w:r>
      <w:r w:rsidRPr="00845351">
        <w:rPr>
          <w:rFonts w:cs="Courier New"/>
          <w:kern w:val="1"/>
          <w:lang w:eastAsia="ar-SA"/>
        </w:rPr>
        <w:t>párrafos décimo quinto</w:t>
      </w:r>
      <w:r w:rsidR="00F765D5">
        <w:rPr>
          <w:rFonts w:cs="Courier New"/>
          <w:kern w:val="1"/>
          <w:lang w:eastAsia="ar-SA"/>
        </w:rPr>
        <w:t>,</w:t>
      </w:r>
      <w:r w:rsidRPr="00845351">
        <w:rPr>
          <w:rFonts w:cs="Courier New"/>
          <w:kern w:val="1"/>
          <w:lang w:eastAsia="ar-SA"/>
        </w:rPr>
        <w:t xml:space="preserve"> décimo sexto </w:t>
      </w:r>
      <w:r w:rsidR="00F765D5">
        <w:rPr>
          <w:rFonts w:cs="Courier New"/>
          <w:kern w:val="1"/>
          <w:lang w:eastAsia="ar-SA"/>
        </w:rPr>
        <w:t xml:space="preserve">y vigésimo fracción IV </w:t>
      </w:r>
      <w:r w:rsidRPr="00845351">
        <w:t>de la Constitución Política de los Estados Unidos Mexicanos; 1, 2, 7, 15 fracci</w:t>
      </w:r>
      <w:r w:rsidR="00F765D5">
        <w:t>ones</w:t>
      </w:r>
      <w:r w:rsidRPr="00845351">
        <w:t xml:space="preserve"> </w:t>
      </w:r>
      <w:r w:rsidR="00F765D5">
        <w:t>I</w:t>
      </w:r>
      <w:r w:rsidR="007E4E64">
        <w:t>, LII</w:t>
      </w:r>
      <w:r w:rsidR="00F765D5">
        <w:t xml:space="preserve"> y </w:t>
      </w:r>
      <w:r w:rsidRPr="00845351">
        <w:t xml:space="preserve">LXIII, 16 y 17 fracción </w:t>
      </w:r>
      <w:r w:rsidR="00F765D5">
        <w:t xml:space="preserve">I </w:t>
      </w:r>
      <w:r w:rsidRPr="00845351">
        <w:t>de la Ley Federal de Telecomunicaciones y Radiodifusión;</w:t>
      </w:r>
      <w:r>
        <w:t xml:space="preserve"> 1, 4 fracción I y</w:t>
      </w:r>
      <w:r w:rsidRPr="00845351">
        <w:t xml:space="preserve"> 6 fracción XXXVIII del Estatuto Orgánico del Instituto</w:t>
      </w:r>
      <w:r>
        <w:t xml:space="preserve"> Federal de Telecomunicaciones,</w:t>
      </w:r>
      <w:r w:rsidRPr="00845351">
        <w:t xml:space="preserve"> el Pleno de este Instituto Fed</w:t>
      </w:r>
      <w:r w:rsidR="000A4EF9">
        <w:t xml:space="preserve">eral Telecomunicaciones </w:t>
      </w:r>
      <w:r w:rsidR="000A4EF9" w:rsidRPr="006B6AC6">
        <w:rPr>
          <w:szCs w:val="20"/>
        </w:rPr>
        <w:t xml:space="preserve">emite </w:t>
      </w:r>
      <w:r w:rsidR="006B6AC6" w:rsidRPr="006B6AC6">
        <w:rPr>
          <w:szCs w:val="20"/>
        </w:rPr>
        <w:t>e</w:t>
      </w:r>
      <w:r w:rsidR="000A4EF9" w:rsidRPr="006B6AC6">
        <w:rPr>
          <w:szCs w:val="20"/>
        </w:rPr>
        <w:t>l</w:t>
      </w:r>
      <w:r w:rsidR="006B6AC6" w:rsidRPr="006B6AC6">
        <w:rPr>
          <w:szCs w:val="20"/>
        </w:rPr>
        <w:t xml:space="preserve"> siguiente</w:t>
      </w:r>
      <w:r w:rsidRPr="006B6AC6">
        <w:rPr>
          <w:szCs w:val="20"/>
        </w:rPr>
        <w:t>:</w:t>
      </w:r>
    </w:p>
    <w:p w:rsidR="00B86D5B" w:rsidRDefault="00B86D5B" w:rsidP="008F1BC3">
      <w:pPr>
        <w:spacing w:line="276" w:lineRule="auto"/>
        <w:rPr>
          <w:szCs w:val="20"/>
        </w:rPr>
      </w:pPr>
    </w:p>
    <w:p w:rsidR="004C2BD0" w:rsidRPr="00E3356A" w:rsidRDefault="004C2BD0" w:rsidP="00E3356A">
      <w:pPr>
        <w:pStyle w:val="Ttulo1"/>
        <w:jc w:val="center"/>
        <w:rPr>
          <w:b/>
          <w:szCs w:val="22"/>
        </w:rPr>
      </w:pPr>
      <w:r w:rsidRPr="00E3356A">
        <w:rPr>
          <w:rFonts w:ascii="ITC Avant Garde" w:hAnsi="ITC Avant Garde"/>
          <w:b/>
          <w:color w:val="auto"/>
          <w:sz w:val="22"/>
          <w:szCs w:val="22"/>
        </w:rPr>
        <w:t>ACUERDO</w:t>
      </w:r>
    </w:p>
    <w:p w:rsidR="004C2BD0" w:rsidRDefault="004C2BD0" w:rsidP="00E3356A">
      <w:pPr>
        <w:spacing w:line="276" w:lineRule="auto"/>
        <w:rPr>
          <w:szCs w:val="20"/>
        </w:rPr>
      </w:pPr>
    </w:p>
    <w:p w:rsidR="004C2BD0" w:rsidRPr="00AC05E3" w:rsidRDefault="004C2BD0" w:rsidP="00E3356A">
      <w:pPr>
        <w:pStyle w:val="Ttulo2"/>
        <w:rPr>
          <w:rFonts w:ascii="ITC Avant Garde" w:hAnsi="ITC Avant Garde"/>
          <w:vanish/>
          <w:color w:val="auto"/>
          <w:sz w:val="22"/>
          <w:szCs w:val="22"/>
          <w:specVanish/>
        </w:rPr>
      </w:pPr>
      <w:r w:rsidRPr="00E3356A">
        <w:rPr>
          <w:rFonts w:ascii="ITC Avant Garde" w:hAnsi="ITC Avant Garde"/>
          <w:b/>
          <w:color w:val="auto"/>
          <w:sz w:val="22"/>
          <w:szCs w:val="22"/>
        </w:rPr>
        <w:t>PRIMERO.</w:t>
      </w:r>
      <w:r w:rsidRPr="00E3356A">
        <w:rPr>
          <w:rFonts w:ascii="ITC Avant Garde" w:hAnsi="ITC Avant Garde"/>
          <w:color w:val="auto"/>
          <w:sz w:val="22"/>
          <w:szCs w:val="22"/>
        </w:rPr>
        <w:t>-</w:t>
      </w:r>
      <w:r w:rsidRPr="00E3356A">
        <w:rPr>
          <w:rFonts w:ascii="ITC Avant Garde" w:hAnsi="ITC Avant Garde"/>
          <w:sz w:val="22"/>
          <w:szCs w:val="22"/>
        </w:rPr>
        <w:t xml:space="preserve"> </w:t>
      </w:r>
    </w:p>
    <w:p w:rsidR="004C2BD0" w:rsidRPr="00AC05E3" w:rsidRDefault="00AC05E3" w:rsidP="00AC05E3">
      <w:r w:rsidRPr="00E3356A">
        <w:t xml:space="preserve"> Se aprueban y emiten los Lineamientos mediante los cuales se establece el procedimiento para la presentación de la Solicitud Electrónica de Autorización de tarifas de los servicios de telecomunicaciones para usuarios finales, al cual deberán sujetarse el </w:t>
      </w:r>
      <w:r>
        <w:t>a</w:t>
      </w:r>
      <w:r w:rsidRPr="00E3356A">
        <w:t xml:space="preserve">gente </w:t>
      </w:r>
      <w:r>
        <w:t>e</w:t>
      </w:r>
      <w:r w:rsidRPr="00E3356A">
        <w:t xml:space="preserve">conómico </w:t>
      </w:r>
      <w:r>
        <w:t>p</w:t>
      </w:r>
      <w:r w:rsidRPr="00E3356A">
        <w:t xml:space="preserve">reponderante y los </w:t>
      </w:r>
      <w:r>
        <w:t>a</w:t>
      </w:r>
      <w:r w:rsidRPr="00E3356A">
        <w:t xml:space="preserve">gentes </w:t>
      </w:r>
      <w:r>
        <w:t>e</w:t>
      </w:r>
      <w:r w:rsidRPr="00E3356A">
        <w:t xml:space="preserve">conómicos con </w:t>
      </w:r>
      <w:r>
        <w:t>p</w:t>
      </w:r>
      <w:r w:rsidRPr="00E3356A">
        <w:t xml:space="preserve">oder </w:t>
      </w:r>
      <w:r>
        <w:t>s</w:t>
      </w:r>
      <w:r w:rsidRPr="00E3356A">
        <w:t xml:space="preserve">ustancial de </w:t>
      </w:r>
      <w:r>
        <w:t>m</w:t>
      </w:r>
      <w:r w:rsidRPr="00E3356A">
        <w:t xml:space="preserve">ercado en el Sector de </w:t>
      </w:r>
      <w:r>
        <w:t>t</w:t>
      </w:r>
      <w:r w:rsidRPr="00E3356A">
        <w:t>elecomunicaciones, mismos que se adjuntan al presente Acuerdo y forman parte integrante del mismo.</w:t>
      </w:r>
    </w:p>
    <w:p w:rsidR="00AC05E3" w:rsidRPr="00AC05E3" w:rsidRDefault="004C2BD0" w:rsidP="00AC05E3">
      <w:pPr>
        <w:pStyle w:val="Ttulo2"/>
        <w:rPr>
          <w:vanish/>
          <w:specVanish/>
        </w:rPr>
      </w:pPr>
      <w:r w:rsidRPr="00E3356A">
        <w:rPr>
          <w:rFonts w:ascii="ITC Avant Garde" w:hAnsi="ITC Avant Garde"/>
          <w:b/>
          <w:color w:val="auto"/>
          <w:sz w:val="22"/>
          <w:szCs w:val="22"/>
        </w:rPr>
        <w:t>SEGUNDO.-</w:t>
      </w:r>
      <w:r w:rsidRPr="00E3356A">
        <w:rPr>
          <w:rFonts w:ascii="ITC Avant Garde" w:hAnsi="ITC Avant Garde"/>
          <w:color w:val="auto"/>
          <w:sz w:val="22"/>
          <w:szCs w:val="22"/>
        </w:rPr>
        <w:t xml:space="preserve"> </w:t>
      </w:r>
    </w:p>
    <w:p w:rsidR="004C2BD0" w:rsidRDefault="00AC05E3" w:rsidP="00E3356A">
      <w:pPr>
        <w:spacing w:line="276" w:lineRule="auto"/>
        <w:rPr>
          <w:szCs w:val="20"/>
        </w:rPr>
      </w:pPr>
      <w:r>
        <w:rPr>
          <w:szCs w:val="20"/>
        </w:rPr>
        <w:t xml:space="preserve"> </w:t>
      </w:r>
      <w:r w:rsidR="0071099B" w:rsidRPr="00E3356A">
        <w:t>Publíquese el presente Acuerdo en el Diario Oficial de la Federación.</w:t>
      </w:r>
    </w:p>
    <w:tbl>
      <w:tblPr>
        <w:tblW w:w="0" w:type="auto"/>
        <w:tblLook w:val="04A0" w:firstRow="1" w:lastRow="0" w:firstColumn="1" w:lastColumn="0" w:noHBand="0" w:noVBand="1"/>
      </w:tblPr>
      <w:tblGrid>
        <w:gridCol w:w="4419"/>
        <w:gridCol w:w="4419"/>
      </w:tblGrid>
      <w:tr w:rsidR="004C2BD0" w:rsidRPr="00350601" w:rsidTr="003B4CCE">
        <w:tc>
          <w:tcPr>
            <w:tcW w:w="8838" w:type="dxa"/>
            <w:gridSpan w:val="2"/>
          </w:tcPr>
          <w:p w:rsidR="004C2BD0" w:rsidRDefault="004C2BD0" w:rsidP="003B4CCE">
            <w:pPr>
              <w:spacing w:after="0" w:line="240" w:lineRule="auto"/>
              <w:jc w:val="center"/>
              <w:rPr>
                <w:szCs w:val="20"/>
              </w:rPr>
            </w:pPr>
          </w:p>
          <w:p w:rsidR="0071099B" w:rsidRDefault="0071099B" w:rsidP="003B4CCE">
            <w:pPr>
              <w:spacing w:after="0" w:line="240" w:lineRule="auto"/>
              <w:jc w:val="center"/>
              <w:rPr>
                <w:szCs w:val="20"/>
              </w:rPr>
            </w:pPr>
          </w:p>
          <w:p w:rsidR="004C2BD0" w:rsidRDefault="004C2BD0" w:rsidP="003B4CCE">
            <w:pPr>
              <w:spacing w:after="0" w:line="240" w:lineRule="auto"/>
              <w:jc w:val="center"/>
              <w:rPr>
                <w:szCs w:val="20"/>
              </w:rPr>
            </w:pPr>
          </w:p>
          <w:p w:rsidR="004C2BD0" w:rsidRPr="00350601" w:rsidRDefault="004C2BD0" w:rsidP="003B4CCE">
            <w:pPr>
              <w:spacing w:after="0" w:line="240" w:lineRule="auto"/>
              <w:jc w:val="center"/>
              <w:rPr>
                <w:b/>
              </w:rPr>
            </w:pPr>
            <w:r w:rsidRPr="00350601">
              <w:rPr>
                <w:b/>
              </w:rPr>
              <w:lastRenderedPageBreak/>
              <w:t>Gabriel Oswaldo Contreras Saldívar</w:t>
            </w:r>
          </w:p>
          <w:p w:rsidR="004C2BD0" w:rsidRPr="00350601" w:rsidRDefault="004C2BD0" w:rsidP="003B4CCE">
            <w:pPr>
              <w:spacing w:after="0" w:line="240" w:lineRule="auto"/>
              <w:jc w:val="center"/>
              <w:rPr>
                <w:b/>
              </w:rPr>
            </w:pPr>
            <w:r w:rsidRPr="00350601">
              <w:rPr>
                <w:b/>
              </w:rPr>
              <w:t>Comisionado Presidente</w:t>
            </w:r>
          </w:p>
        </w:tc>
      </w:tr>
      <w:tr w:rsidR="004C2BD0" w:rsidRPr="00350601" w:rsidTr="003B4CCE">
        <w:tc>
          <w:tcPr>
            <w:tcW w:w="4419" w:type="dxa"/>
          </w:tcPr>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Default="004C2BD0" w:rsidP="003B4CCE">
            <w:pPr>
              <w:spacing w:after="0" w:line="240" w:lineRule="auto"/>
              <w:jc w:val="center"/>
              <w:rPr>
                <w:b/>
              </w:rPr>
            </w:pPr>
          </w:p>
          <w:p w:rsidR="004C2BD0" w:rsidRPr="005C2298" w:rsidRDefault="004C2BD0" w:rsidP="003B4CCE">
            <w:pPr>
              <w:spacing w:after="0" w:line="240" w:lineRule="auto"/>
              <w:jc w:val="center"/>
              <w:rPr>
                <w:b/>
              </w:rPr>
            </w:pPr>
            <w:r w:rsidRPr="005C2298">
              <w:rPr>
                <w:b/>
              </w:rPr>
              <w:t xml:space="preserve">María Elena </w:t>
            </w:r>
            <w:proofErr w:type="spellStart"/>
            <w:r w:rsidRPr="005C2298">
              <w:rPr>
                <w:b/>
              </w:rPr>
              <w:t>Estavillo</w:t>
            </w:r>
            <w:proofErr w:type="spellEnd"/>
            <w:r w:rsidRPr="005C2298">
              <w:rPr>
                <w:b/>
              </w:rPr>
              <w:t xml:space="preserve"> Flores</w:t>
            </w:r>
          </w:p>
          <w:p w:rsidR="004C2BD0" w:rsidRPr="00350601" w:rsidRDefault="004C2BD0" w:rsidP="003B4CCE">
            <w:pPr>
              <w:spacing w:after="0" w:line="240" w:lineRule="auto"/>
              <w:jc w:val="center"/>
              <w:rPr>
                <w:b/>
              </w:rPr>
            </w:pPr>
            <w:r w:rsidRPr="00350601">
              <w:rPr>
                <w:b/>
              </w:rPr>
              <w:t>Comisionad</w:t>
            </w:r>
            <w:r>
              <w:rPr>
                <w:b/>
              </w:rPr>
              <w:t>a</w:t>
            </w:r>
          </w:p>
          <w:p w:rsidR="004C2BD0" w:rsidRPr="00350601" w:rsidRDefault="004C2BD0" w:rsidP="003B4CCE">
            <w:pPr>
              <w:spacing w:after="0" w:line="240" w:lineRule="auto"/>
              <w:jc w:val="center"/>
              <w:rPr>
                <w:b/>
              </w:rPr>
            </w:pPr>
          </w:p>
        </w:tc>
        <w:tc>
          <w:tcPr>
            <w:tcW w:w="4419" w:type="dxa"/>
          </w:tcPr>
          <w:p w:rsidR="004C2BD0" w:rsidRPr="00350601" w:rsidRDefault="004C2BD0" w:rsidP="003B4CCE">
            <w:pPr>
              <w:spacing w:after="0" w:line="240" w:lineRule="auto"/>
              <w:rPr>
                <w:b/>
              </w:rPr>
            </w:pPr>
          </w:p>
          <w:p w:rsidR="004C2BD0" w:rsidRPr="00350601" w:rsidRDefault="004C2BD0" w:rsidP="003B4CCE">
            <w:pPr>
              <w:spacing w:after="0" w:line="240" w:lineRule="auto"/>
              <w:rPr>
                <w:b/>
              </w:rPr>
            </w:pPr>
          </w:p>
          <w:p w:rsidR="004C2BD0" w:rsidRPr="00350601" w:rsidRDefault="004C2BD0" w:rsidP="003B4CCE">
            <w:pPr>
              <w:spacing w:after="0" w:line="240" w:lineRule="auto"/>
              <w:jc w:val="center"/>
              <w:rPr>
                <w:b/>
              </w:rPr>
            </w:pPr>
          </w:p>
          <w:p w:rsidR="004C2BD0" w:rsidRPr="005C2298" w:rsidRDefault="004C2BD0" w:rsidP="003B4CCE">
            <w:pPr>
              <w:spacing w:after="0" w:line="240" w:lineRule="auto"/>
              <w:jc w:val="center"/>
              <w:rPr>
                <w:b/>
              </w:rPr>
            </w:pPr>
            <w:r w:rsidRPr="005C2298">
              <w:rPr>
                <w:b/>
              </w:rPr>
              <w:t xml:space="preserve">Mario Germán </w:t>
            </w:r>
            <w:proofErr w:type="spellStart"/>
            <w:r w:rsidRPr="005C2298">
              <w:rPr>
                <w:b/>
              </w:rPr>
              <w:t>Fromow</w:t>
            </w:r>
            <w:proofErr w:type="spellEnd"/>
            <w:r w:rsidRPr="005C2298">
              <w:rPr>
                <w:b/>
              </w:rPr>
              <w:t xml:space="preserve"> Rangel</w:t>
            </w:r>
          </w:p>
          <w:p w:rsidR="004C2BD0" w:rsidRPr="00350601" w:rsidRDefault="004C2BD0" w:rsidP="003B4CCE">
            <w:pPr>
              <w:spacing w:after="0" w:line="240" w:lineRule="auto"/>
              <w:jc w:val="center"/>
              <w:rPr>
                <w:b/>
              </w:rPr>
            </w:pPr>
            <w:r w:rsidRPr="00350601">
              <w:rPr>
                <w:b/>
              </w:rPr>
              <w:t>Comisionad</w:t>
            </w:r>
            <w:r>
              <w:rPr>
                <w:b/>
              </w:rPr>
              <w:t>o</w:t>
            </w:r>
            <w:r w:rsidRPr="00350601">
              <w:rPr>
                <w:b/>
              </w:rPr>
              <w:t xml:space="preserve"> </w:t>
            </w:r>
          </w:p>
        </w:tc>
      </w:tr>
      <w:tr w:rsidR="004C2BD0" w:rsidRPr="00350601" w:rsidTr="003B4CCE">
        <w:tc>
          <w:tcPr>
            <w:tcW w:w="4419" w:type="dxa"/>
          </w:tcPr>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5C2298" w:rsidRDefault="004C2BD0" w:rsidP="003B4CCE">
            <w:pPr>
              <w:spacing w:after="0" w:line="240" w:lineRule="auto"/>
              <w:jc w:val="center"/>
              <w:rPr>
                <w:b/>
              </w:rPr>
            </w:pPr>
            <w:r w:rsidRPr="005C2298">
              <w:rPr>
                <w:b/>
              </w:rPr>
              <w:t>Adolfo Cuevas Teja</w:t>
            </w:r>
          </w:p>
          <w:p w:rsidR="004C2BD0" w:rsidRPr="00350601" w:rsidRDefault="004C2BD0" w:rsidP="003B4CCE">
            <w:pPr>
              <w:spacing w:after="0" w:line="240" w:lineRule="auto"/>
              <w:jc w:val="center"/>
              <w:rPr>
                <w:b/>
              </w:rPr>
            </w:pPr>
            <w:r w:rsidRPr="00350601">
              <w:rPr>
                <w:b/>
              </w:rPr>
              <w:t>Comisionado</w:t>
            </w: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r>
              <w:rPr>
                <w:b/>
              </w:rPr>
              <w:t xml:space="preserve">Arturo Robles </w:t>
            </w:r>
            <w:proofErr w:type="spellStart"/>
            <w:r>
              <w:rPr>
                <w:b/>
              </w:rPr>
              <w:t>Rovalo</w:t>
            </w:r>
            <w:proofErr w:type="spellEnd"/>
          </w:p>
          <w:p w:rsidR="004C2BD0" w:rsidRPr="00350601" w:rsidRDefault="004C2BD0" w:rsidP="003B4CCE">
            <w:pPr>
              <w:spacing w:after="0" w:line="240" w:lineRule="auto"/>
              <w:jc w:val="center"/>
              <w:rPr>
                <w:b/>
              </w:rPr>
            </w:pPr>
            <w:r>
              <w:rPr>
                <w:b/>
              </w:rPr>
              <w:t>Comisionado</w:t>
            </w:r>
          </w:p>
        </w:tc>
        <w:tc>
          <w:tcPr>
            <w:tcW w:w="4419" w:type="dxa"/>
          </w:tcPr>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350601" w:rsidRDefault="004C2BD0" w:rsidP="003B4CCE">
            <w:pPr>
              <w:spacing w:after="0" w:line="240" w:lineRule="auto"/>
              <w:jc w:val="center"/>
              <w:rPr>
                <w:b/>
              </w:rPr>
            </w:pPr>
          </w:p>
          <w:p w:rsidR="004C2BD0" w:rsidRPr="005C2298" w:rsidRDefault="004C2BD0" w:rsidP="003B4CCE">
            <w:pPr>
              <w:spacing w:after="0" w:line="240" w:lineRule="auto"/>
              <w:jc w:val="center"/>
              <w:rPr>
                <w:b/>
              </w:rPr>
            </w:pPr>
            <w:r w:rsidRPr="005C2298">
              <w:rPr>
                <w:b/>
              </w:rPr>
              <w:t>Javier Juárez Mojica</w:t>
            </w:r>
          </w:p>
          <w:p w:rsidR="004C2BD0" w:rsidRPr="00350601" w:rsidRDefault="004C2BD0" w:rsidP="003B4CCE">
            <w:pPr>
              <w:spacing w:after="0" w:line="240" w:lineRule="auto"/>
              <w:jc w:val="center"/>
            </w:pPr>
            <w:r w:rsidRPr="00350601">
              <w:rPr>
                <w:b/>
              </w:rPr>
              <w:t xml:space="preserve">Comisionado </w:t>
            </w: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p>
          <w:p w:rsidR="004C2BD0" w:rsidRDefault="004C2BD0" w:rsidP="003B4CCE">
            <w:pPr>
              <w:spacing w:after="0" w:line="240" w:lineRule="auto"/>
              <w:jc w:val="center"/>
              <w:rPr>
                <w:b/>
              </w:rPr>
            </w:pPr>
            <w:proofErr w:type="spellStart"/>
            <w:r w:rsidRPr="005C2298">
              <w:rPr>
                <w:b/>
              </w:rPr>
              <w:t>Sóstenes</w:t>
            </w:r>
            <w:proofErr w:type="spellEnd"/>
            <w:r w:rsidRPr="005C2298">
              <w:rPr>
                <w:b/>
              </w:rPr>
              <w:t xml:space="preserve"> Díaz González</w:t>
            </w:r>
          </w:p>
          <w:p w:rsidR="004C2BD0" w:rsidRPr="00350601" w:rsidRDefault="004C2BD0" w:rsidP="003B4CCE">
            <w:pPr>
              <w:spacing w:after="0" w:line="240" w:lineRule="auto"/>
              <w:jc w:val="center"/>
              <w:rPr>
                <w:b/>
              </w:rPr>
            </w:pPr>
            <w:r>
              <w:rPr>
                <w:b/>
              </w:rPr>
              <w:t>Comisionado</w:t>
            </w:r>
          </w:p>
        </w:tc>
      </w:tr>
    </w:tbl>
    <w:p w:rsidR="004C2BD0" w:rsidRDefault="004C2BD0" w:rsidP="008F1BC3">
      <w:pPr>
        <w:spacing w:line="276" w:lineRule="auto"/>
        <w:rPr>
          <w:szCs w:val="20"/>
        </w:rPr>
      </w:pPr>
    </w:p>
    <w:p w:rsidR="001B1D3F" w:rsidRDefault="001B1D3F" w:rsidP="008F1BC3">
      <w:pPr>
        <w:spacing w:line="276" w:lineRule="auto"/>
        <w:rPr>
          <w:szCs w:val="20"/>
        </w:rPr>
      </w:pPr>
    </w:p>
    <w:p w:rsidR="00B86D5B" w:rsidRDefault="00B86D5B" w:rsidP="008F1BC3">
      <w:pPr>
        <w:spacing w:line="276" w:lineRule="auto"/>
        <w:rPr>
          <w:szCs w:val="20"/>
        </w:rPr>
      </w:pPr>
    </w:p>
    <w:p w:rsidR="0071099B" w:rsidRDefault="0071099B" w:rsidP="008F1BC3">
      <w:pPr>
        <w:spacing w:line="276" w:lineRule="auto"/>
        <w:rPr>
          <w:szCs w:val="20"/>
        </w:rPr>
      </w:pPr>
    </w:p>
    <w:p w:rsidR="006A0AAA" w:rsidRPr="00D32972" w:rsidRDefault="006A0AAA" w:rsidP="00D32972">
      <w:pPr>
        <w:spacing w:before="0" w:after="160" w:line="259" w:lineRule="auto"/>
        <w:jc w:val="left"/>
        <w:rPr>
          <w:rFonts w:eastAsia="Calibri" w:cs="Calibri"/>
          <w:b/>
          <w:color w:val="000000"/>
          <w:lang w:eastAsia="es-ES"/>
        </w:rPr>
      </w:pPr>
    </w:p>
    <w:sectPr w:rsidR="006A0AAA" w:rsidRPr="00D32972" w:rsidSect="00AD1C77">
      <w:footerReference w:type="defaul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BF" w:rsidRDefault="009C76BF" w:rsidP="00C76F90">
      <w:pPr>
        <w:spacing w:before="0" w:after="0" w:line="240" w:lineRule="auto"/>
      </w:pPr>
      <w:r>
        <w:separator/>
      </w:r>
    </w:p>
  </w:endnote>
  <w:endnote w:type="continuationSeparator" w:id="0">
    <w:p w:rsidR="009C76BF" w:rsidRDefault="009C76BF" w:rsidP="00C76F90">
      <w:pPr>
        <w:spacing w:before="0" w:after="0" w:line="240" w:lineRule="auto"/>
      </w:pPr>
      <w:r>
        <w:continuationSeparator/>
      </w:r>
    </w:p>
  </w:endnote>
  <w:endnote w:type="continuationNotice" w:id="1">
    <w:p w:rsidR="009C76BF" w:rsidRDefault="009C76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6280330"/>
      <w:docPartObj>
        <w:docPartGallery w:val="Page Numbers (Bottom of Page)"/>
        <w:docPartUnique/>
      </w:docPartObj>
    </w:sdtPr>
    <w:sdtEndPr>
      <w:rPr>
        <w:sz w:val="22"/>
        <w:szCs w:val="22"/>
      </w:rPr>
    </w:sdtEndPr>
    <w:sdtContent>
      <w:p w:rsidR="008B24CA" w:rsidRDefault="008B24CA">
        <w:pPr>
          <w:pStyle w:val="Piedepgina"/>
          <w:jc w:val="right"/>
        </w:pPr>
        <w:r w:rsidRPr="008B24CA">
          <w:rPr>
            <w:sz w:val="16"/>
            <w:szCs w:val="16"/>
          </w:rPr>
          <w:t xml:space="preserve">Página </w:t>
        </w:r>
        <w:sdt>
          <w:sdtPr>
            <w:id w:val="-1769616900"/>
            <w:docPartObj>
              <w:docPartGallery w:val="Page Numbers (Top of Page)"/>
              <w:docPartUnique/>
            </w:docPartObj>
          </w:sdtPr>
          <w:sdtEndPr/>
          <w:sdtContent>
            <w:r w:rsidRPr="008B24CA">
              <w:rPr>
                <w:b/>
                <w:bCs/>
                <w:sz w:val="16"/>
                <w:szCs w:val="16"/>
              </w:rPr>
              <w:fldChar w:fldCharType="begin"/>
            </w:r>
            <w:r w:rsidRPr="008B24CA">
              <w:rPr>
                <w:b/>
                <w:bCs/>
                <w:sz w:val="16"/>
                <w:szCs w:val="16"/>
              </w:rPr>
              <w:instrText>PAGE</w:instrText>
            </w:r>
            <w:r w:rsidRPr="008B24CA">
              <w:rPr>
                <w:b/>
                <w:bCs/>
                <w:sz w:val="16"/>
                <w:szCs w:val="16"/>
              </w:rPr>
              <w:fldChar w:fldCharType="separate"/>
            </w:r>
            <w:r w:rsidR="00D32972">
              <w:rPr>
                <w:b/>
                <w:bCs/>
                <w:noProof/>
                <w:sz w:val="16"/>
                <w:szCs w:val="16"/>
              </w:rPr>
              <w:t>15</w:t>
            </w:r>
            <w:r w:rsidRPr="008B24CA">
              <w:rPr>
                <w:b/>
                <w:bCs/>
                <w:sz w:val="16"/>
                <w:szCs w:val="16"/>
              </w:rPr>
              <w:fldChar w:fldCharType="end"/>
            </w:r>
            <w:r w:rsidRPr="008B24CA">
              <w:rPr>
                <w:sz w:val="16"/>
                <w:szCs w:val="16"/>
                <w:lang w:val="es-ES"/>
              </w:rPr>
              <w:t xml:space="preserve"> de </w:t>
            </w:r>
            <w:r w:rsidRPr="008B24CA">
              <w:rPr>
                <w:b/>
                <w:bCs/>
                <w:sz w:val="16"/>
                <w:szCs w:val="16"/>
              </w:rPr>
              <w:fldChar w:fldCharType="begin"/>
            </w:r>
            <w:r w:rsidRPr="008B24CA">
              <w:rPr>
                <w:b/>
                <w:bCs/>
                <w:sz w:val="16"/>
                <w:szCs w:val="16"/>
              </w:rPr>
              <w:instrText>NUMPAGES</w:instrText>
            </w:r>
            <w:r w:rsidRPr="008B24CA">
              <w:rPr>
                <w:b/>
                <w:bCs/>
                <w:sz w:val="16"/>
                <w:szCs w:val="16"/>
              </w:rPr>
              <w:fldChar w:fldCharType="separate"/>
            </w:r>
            <w:r w:rsidR="00D32972">
              <w:rPr>
                <w:b/>
                <w:bCs/>
                <w:noProof/>
                <w:sz w:val="16"/>
                <w:szCs w:val="16"/>
              </w:rPr>
              <w:t>15</w:t>
            </w:r>
            <w:r w:rsidRPr="008B24CA">
              <w:rPr>
                <w:b/>
                <w:bCs/>
                <w:sz w:val="16"/>
                <w:szCs w:val="16"/>
              </w:rPr>
              <w:fldChar w:fldCharType="end"/>
            </w:r>
          </w:sdtContent>
        </w:sdt>
      </w:p>
    </w:sdtContent>
  </w:sdt>
  <w:p w:rsidR="008B24CA" w:rsidRDefault="008B2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BF" w:rsidRDefault="009C76BF" w:rsidP="00C76F90">
      <w:pPr>
        <w:spacing w:before="0" w:after="0" w:line="240" w:lineRule="auto"/>
      </w:pPr>
      <w:r>
        <w:separator/>
      </w:r>
    </w:p>
  </w:footnote>
  <w:footnote w:type="continuationSeparator" w:id="0">
    <w:p w:rsidR="009C76BF" w:rsidRDefault="009C76BF" w:rsidP="00C76F90">
      <w:pPr>
        <w:spacing w:before="0" w:after="0" w:line="240" w:lineRule="auto"/>
      </w:pPr>
      <w:r>
        <w:continuationSeparator/>
      </w:r>
    </w:p>
  </w:footnote>
  <w:footnote w:type="continuationNotice" w:id="1">
    <w:p w:rsidR="009C76BF" w:rsidRDefault="009C76BF">
      <w:pPr>
        <w:spacing w:before="0" w:after="0" w:line="240" w:lineRule="auto"/>
      </w:pPr>
    </w:p>
  </w:footnote>
  <w:footnote w:id="2">
    <w:p w:rsidR="006D2AC6" w:rsidRPr="00166CEC" w:rsidRDefault="006D2AC6" w:rsidP="00C76F90">
      <w:pPr>
        <w:pStyle w:val="Textonotapie"/>
        <w:jc w:val="both"/>
        <w:rPr>
          <w:rFonts w:cstheme="minorHAnsi"/>
        </w:rPr>
      </w:pPr>
      <w:r w:rsidRPr="00166CEC">
        <w:rPr>
          <w:rStyle w:val="Refdenotaalpie"/>
          <w:rFonts w:cstheme="minorHAnsi"/>
          <w:sz w:val="18"/>
        </w:rPr>
        <w:footnoteRef/>
      </w:r>
      <w:r w:rsidRPr="00166CEC">
        <w:rPr>
          <w:rFonts w:cstheme="minorHAnsi"/>
          <w:sz w:val="18"/>
        </w:rPr>
        <w:t xml:space="preserve"> Las áreas del Instituto involucradas en el proceso de recepción, autorización y registro de tarifas son </w:t>
      </w:r>
      <w:r>
        <w:rPr>
          <w:rFonts w:cstheme="minorHAnsi"/>
          <w:sz w:val="18"/>
        </w:rPr>
        <w:t>O</w:t>
      </w:r>
      <w:r w:rsidRPr="00166CEC">
        <w:rPr>
          <w:rFonts w:cstheme="minorHAnsi"/>
          <w:sz w:val="18"/>
        </w:rPr>
        <w:t xml:space="preserve">ficialía de </w:t>
      </w:r>
      <w:r>
        <w:rPr>
          <w:rFonts w:cstheme="minorHAnsi"/>
          <w:sz w:val="18"/>
        </w:rPr>
        <w:t>P</w:t>
      </w:r>
      <w:r w:rsidRPr="00166CEC">
        <w:rPr>
          <w:rFonts w:cstheme="minorHAnsi"/>
          <w:sz w:val="18"/>
        </w:rPr>
        <w:t xml:space="preserve">artes </w:t>
      </w:r>
      <w:r>
        <w:rPr>
          <w:rFonts w:cstheme="minorHAnsi"/>
          <w:sz w:val="18"/>
        </w:rPr>
        <w:t>C</w:t>
      </w:r>
      <w:r w:rsidRPr="00166CEC">
        <w:rPr>
          <w:rFonts w:cstheme="minorHAnsi"/>
          <w:sz w:val="18"/>
        </w:rPr>
        <w:t>omún</w:t>
      </w:r>
      <w:r>
        <w:rPr>
          <w:rFonts w:cstheme="minorHAnsi"/>
          <w:sz w:val="18"/>
        </w:rPr>
        <w:t xml:space="preserve"> y diversas Direcciones de las</w:t>
      </w:r>
      <w:r w:rsidRPr="00166CEC">
        <w:rPr>
          <w:rFonts w:cstheme="minorHAnsi"/>
          <w:sz w:val="18"/>
        </w:rPr>
        <w:t xml:space="preserve"> Unidad</w:t>
      </w:r>
      <w:r>
        <w:rPr>
          <w:rFonts w:cstheme="minorHAnsi"/>
          <w:sz w:val="18"/>
        </w:rPr>
        <w:t>es</w:t>
      </w:r>
      <w:r w:rsidRPr="00166CEC">
        <w:rPr>
          <w:rFonts w:cstheme="minorHAnsi"/>
          <w:sz w:val="18"/>
        </w:rPr>
        <w:t xml:space="preserve"> de Política Regulatoria y de Concesiones y Servicios. </w:t>
      </w:r>
    </w:p>
  </w:footnote>
  <w:footnote w:id="3">
    <w:p w:rsidR="006D2AC6" w:rsidRPr="00166CEC" w:rsidRDefault="006D2AC6" w:rsidP="00C76F90">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De conformidad con el artículo 118, fracción V y Vigésimo Quinto Transitorio de la LFTR y el “</w:t>
      </w:r>
      <w:r w:rsidRPr="00166CEC">
        <w:rPr>
          <w:rFonts w:cstheme="minorHAnsi"/>
          <w:i/>
          <w:sz w:val="18"/>
          <w:szCs w:val="18"/>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166CEC">
        <w:rPr>
          <w:rFonts w:cstheme="minorHAnsi"/>
          <w:sz w:val="18"/>
          <w:szCs w:val="18"/>
        </w:rPr>
        <w:t>”.</w:t>
      </w:r>
    </w:p>
  </w:footnote>
  <w:footnote w:id="4">
    <w:p w:rsidR="006D2AC6" w:rsidRPr="00166CEC" w:rsidRDefault="006D2AC6" w:rsidP="00166CEC">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De conformidad con el artículo 208, fracción I de la LFTR.</w:t>
      </w:r>
    </w:p>
  </w:footnote>
  <w:footnote w:id="5">
    <w:p w:rsidR="006D2AC6" w:rsidRPr="00166CEC" w:rsidRDefault="006D2AC6" w:rsidP="00166CEC">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De conformidad con el artículo 208, fracción II de la LFTR.</w:t>
      </w:r>
    </w:p>
  </w:footnote>
  <w:footnote w:id="6">
    <w:p w:rsidR="006D2AC6" w:rsidRPr="00166CEC" w:rsidRDefault="006D2AC6" w:rsidP="00166CEC">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Por ejemplo, las obligaciones de </w:t>
      </w:r>
      <w:proofErr w:type="spellStart"/>
      <w:r w:rsidRPr="00166CEC">
        <w:rPr>
          <w:rFonts w:cstheme="minorHAnsi"/>
          <w:sz w:val="18"/>
          <w:szCs w:val="18"/>
        </w:rPr>
        <w:t>replicabilidad</w:t>
      </w:r>
      <w:proofErr w:type="spellEnd"/>
      <w:r w:rsidRPr="00166CEC">
        <w:rPr>
          <w:rFonts w:cstheme="minorHAnsi"/>
          <w:sz w:val="18"/>
          <w:szCs w:val="18"/>
        </w:rPr>
        <w:t xml:space="preserve"> económica, </w:t>
      </w:r>
      <w:proofErr w:type="spellStart"/>
      <w:r w:rsidRPr="00166CEC">
        <w:rPr>
          <w:rFonts w:cstheme="minorHAnsi"/>
          <w:sz w:val="18"/>
          <w:szCs w:val="18"/>
        </w:rPr>
        <w:t>replicabilidad</w:t>
      </w:r>
      <w:proofErr w:type="spellEnd"/>
      <w:r w:rsidRPr="00166CEC">
        <w:rPr>
          <w:rFonts w:cstheme="minorHAnsi"/>
          <w:sz w:val="18"/>
          <w:szCs w:val="18"/>
        </w:rPr>
        <w:t xml:space="preserve"> técnica, de eliminación de </w:t>
      </w:r>
      <w:proofErr w:type="spellStart"/>
      <w:r w:rsidRPr="00166CEC">
        <w:rPr>
          <w:rFonts w:cstheme="minorHAnsi"/>
          <w:sz w:val="18"/>
          <w:szCs w:val="18"/>
        </w:rPr>
        <w:t>roaming</w:t>
      </w:r>
      <w:proofErr w:type="spellEnd"/>
      <w:r w:rsidRPr="00166CEC">
        <w:rPr>
          <w:rFonts w:cstheme="minorHAnsi"/>
          <w:sz w:val="18"/>
          <w:szCs w:val="18"/>
        </w:rPr>
        <w:t xml:space="preserve"> nacional y </w:t>
      </w:r>
      <w:proofErr w:type="gramStart"/>
      <w:r w:rsidRPr="00166CEC">
        <w:rPr>
          <w:rFonts w:cstheme="minorHAnsi"/>
          <w:sz w:val="18"/>
          <w:szCs w:val="18"/>
        </w:rPr>
        <w:t>precios tope</w:t>
      </w:r>
      <w:proofErr w:type="gramEnd"/>
      <w:r w:rsidRPr="00166CEC">
        <w:rPr>
          <w:rFonts w:cstheme="minorHAnsi"/>
          <w:sz w:val="18"/>
          <w:szCs w:val="18"/>
        </w:rPr>
        <w:t>, impuestas al AEP declarado mediante Acuerdo P/IFT/EXT/060314/76.</w:t>
      </w:r>
    </w:p>
  </w:footnote>
  <w:footnote w:id="7">
    <w:p w:rsidR="006D2AC6" w:rsidRDefault="006D2AC6" w:rsidP="00166CEC">
      <w:pPr>
        <w:pStyle w:val="Textonotapie"/>
        <w:jc w:val="both"/>
      </w:pPr>
      <w:r w:rsidRPr="00166CEC">
        <w:rPr>
          <w:rStyle w:val="Refdenotaalpie"/>
          <w:rFonts w:cstheme="minorHAnsi"/>
          <w:sz w:val="18"/>
          <w:szCs w:val="18"/>
        </w:rPr>
        <w:footnoteRef/>
      </w:r>
      <w:r w:rsidRPr="00166CEC">
        <w:rPr>
          <w:rStyle w:val="Refdenotaalpie"/>
          <w:rFonts w:cstheme="minorHAnsi"/>
          <w:sz w:val="18"/>
          <w:szCs w:val="18"/>
        </w:rPr>
        <w:t xml:space="preserve"> </w:t>
      </w:r>
      <w:r w:rsidRPr="00166CEC">
        <w:rPr>
          <w:rFonts w:cstheme="minorHAnsi"/>
          <w:sz w:val="18"/>
          <w:szCs w:val="18"/>
        </w:rPr>
        <w:t>Por ejemplo, las obligaciones de precios tope establecidas en los títulos de concesión de Teléfonos de México, S.A.B. de C.V. y Teléfonos del Noroeste, S.A. de C.V.</w:t>
      </w:r>
    </w:p>
  </w:footnote>
  <w:footnote w:id="8">
    <w:p w:rsidR="006D2AC6" w:rsidRPr="009915A4" w:rsidRDefault="006D2AC6" w:rsidP="0083537F">
      <w:pPr>
        <w:pStyle w:val="Textonotapie"/>
        <w:jc w:val="both"/>
        <w:rPr>
          <w:sz w:val="18"/>
          <w:szCs w:val="18"/>
        </w:rPr>
      </w:pPr>
      <w:r w:rsidRPr="009915A4">
        <w:rPr>
          <w:rStyle w:val="Refdenotaalpie"/>
          <w:sz w:val="18"/>
          <w:szCs w:val="18"/>
        </w:rPr>
        <w:footnoteRef/>
      </w:r>
      <w:r w:rsidRPr="009915A4">
        <w:rPr>
          <w:sz w:val="18"/>
          <w:szCs w:val="18"/>
        </w:rPr>
        <w:t xml:space="preserve"> Impuesta a través del “</w:t>
      </w:r>
      <w:r w:rsidRPr="009915A4">
        <w:rPr>
          <w:i/>
          <w:sz w:val="18"/>
          <w:szCs w:val="18"/>
        </w:rPr>
        <w:t xml:space="preserve">Acuerdo Mediante el cual el Pleno del Instituto Federal de Telecomunicaciones emite la Metodología, Términos y Condiciones para llevar a cabo las Pruebas de </w:t>
      </w:r>
      <w:proofErr w:type="spellStart"/>
      <w:r w:rsidRPr="009915A4">
        <w:rPr>
          <w:i/>
          <w:sz w:val="18"/>
          <w:szCs w:val="18"/>
        </w:rPr>
        <w:t>Replicabilidad</w:t>
      </w:r>
      <w:proofErr w:type="spellEnd"/>
      <w:r w:rsidRPr="009915A4">
        <w:rPr>
          <w:i/>
          <w:sz w:val="18"/>
          <w:szCs w:val="18"/>
        </w:rPr>
        <w:t xml:space="preserve"> Económica aplicable a los Servicios del Agente Económico Preponderante en Telecomunicaciones a que se refieren las medidas Sexagésima Séptima del Anexo 2 y Cuadragésima Novena del Anexo 3 de la Resolución de fecha 27 de febrero de 2017 aprobada mediante Acuerdo P/IFT/EXT/270217/119.”</w:t>
      </w:r>
      <w:r w:rsidRPr="009915A4">
        <w:rPr>
          <w:sz w:val="18"/>
          <w:szCs w:val="18"/>
        </w:rPr>
        <w:t xml:space="preserve">, aprobado el 12 de septiembre de 2017 mediante  Acuerdo P/IFT/120917/549 y aplicables de manera ex ante a tarifas de servicios de banda ancha fija. </w:t>
      </w:r>
    </w:p>
  </w:footnote>
  <w:footnote w:id="9">
    <w:p w:rsidR="006D2AC6" w:rsidRPr="009915A4" w:rsidRDefault="006D2AC6" w:rsidP="0083537F">
      <w:pPr>
        <w:pStyle w:val="Textonotapie"/>
        <w:jc w:val="both"/>
        <w:rPr>
          <w:sz w:val="18"/>
          <w:szCs w:val="18"/>
        </w:rPr>
      </w:pPr>
      <w:r w:rsidRPr="009915A4">
        <w:rPr>
          <w:rStyle w:val="Refdenotaalpie"/>
          <w:sz w:val="18"/>
          <w:szCs w:val="18"/>
        </w:rPr>
        <w:footnoteRef/>
      </w:r>
      <w:r w:rsidRPr="009915A4">
        <w:rPr>
          <w:sz w:val="18"/>
          <w:szCs w:val="18"/>
        </w:rPr>
        <w:t xml:space="preserve"> Impuesta a través del </w:t>
      </w:r>
      <w:r w:rsidRPr="009915A4">
        <w:rPr>
          <w:i/>
          <w:sz w:val="18"/>
          <w:szCs w:val="18"/>
        </w:rPr>
        <w:t xml:space="preserve">“Acuerdo mediante el cual el Pleno del Instituto Federal de Telecomunicaciones emite los elementos a analizar para corroborar la </w:t>
      </w:r>
      <w:proofErr w:type="spellStart"/>
      <w:r w:rsidRPr="009915A4">
        <w:rPr>
          <w:i/>
          <w:sz w:val="18"/>
          <w:szCs w:val="18"/>
        </w:rPr>
        <w:t>Replicabilidad</w:t>
      </w:r>
      <w:proofErr w:type="spellEnd"/>
      <w:r w:rsidRPr="009915A4">
        <w:rPr>
          <w:i/>
          <w:sz w:val="18"/>
          <w:szCs w:val="18"/>
        </w:rPr>
        <w:t xml:space="preserve"> Técnica de las ofertas minoristas del Agente Económico Preponderante en el sector de Telecomunicaciones a que refieren las medidas Septuagésima Séptima del Anexo I, Sexagésima Sexta del Anexo 2 y Cuadragésima Octava del Anexo 3 de la Resolución de fecha 27 de febrero de 2017 aprobada mediante Acuerdo P/IFT/EXT/270217/119.”</w:t>
      </w:r>
      <w:r w:rsidRPr="009915A4">
        <w:rPr>
          <w:sz w:val="18"/>
          <w:szCs w:val="18"/>
        </w:rPr>
        <w:t>, aprobado el 12 de septiembre de 2017 mediante  Acuerdo P/IFT/120917/550.</w:t>
      </w:r>
    </w:p>
  </w:footnote>
  <w:footnote w:id="10">
    <w:p w:rsidR="006D2AC6" w:rsidRDefault="006D2AC6">
      <w:pPr>
        <w:pStyle w:val="Textonotapie"/>
      </w:pPr>
      <w:r>
        <w:rPr>
          <w:rStyle w:val="Refdenotaalpie"/>
        </w:rPr>
        <w:footnoteRef/>
      </w:r>
      <w:r>
        <w:t xml:space="preserve">  </w:t>
      </w:r>
      <w:r w:rsidRPr="009915A4">
        <w:rPr>
          <w:sz w:val="18"/>
          <w:szCs w:val="18"/>
        </w:rPr>
        <w:t>Estudio de la OCDE sobre telecomunicaciones y radiodifusión en México 2017</w:t>
      </w:r>
      <w:r>
        <w:rPr>
          <w:sz w:val="18"/>
          <w:szCs w:val="18"/>
        </w:rPr>
        <w:t xml:space="preserve">. Página 94. Disponible en: </w:t>
      </w:r>
      <w:r w:rsidRPr="002B2E83">
        <w:rPr>
          <w:sz w:val="18"/>
          <w:szCs w:val="18"/>
        </w:rPr>
        <w:t xml:space="preserve"> </w:t>
      </w:r>
      <w:hyperlink r:id="rId1" w:history="1">
        <w:r w:rsidRPr="00AE4956">
          <w:rPr>
            <w:rStyle w:val="Hipervnculo"/>
            <w:sz w:val="18"/>
            <w:szCs w:val="18"/>
          </w:rPr>
          <w:t>http://www.ift.org.mx/sites/default/files/estudio_de_la_ocde_sobre_telecomuncaciones_y_radiodifusion_en_mexico_2017.pdf</w:t>
        </w:r>
      </w:hyperlink>
    </w:p>
  </w:footnote>
  <w:footnote w:id="11">
    <w:p w:rsidR="006D2AC6" w:rsidRPr="00166CEC" w:rsidRDefault="006D2AC6" w:rsidP="00166CEC">
      <w:pPr>
        <w:pStyle w:val="Textonotapie"/>
        <w:jc w:val="both"/>
        <w:rPr>
          <w:sz w:val="18"/>
        </w:rPr>
      </w:pPr>
      <w:r w:rsidRPr="00166CEC">
        <w:rPr>
          <w:rStyle w:val="Refdenotaalpie"/>
          <w:sz w:val="18"/>
        </w:rPr>
        <w:footnoteRef/>
      </w:r>
      <w:r w:rsidRPr="00166CEC">
        <w:rPr>
          <w:sz w:val="18"/>
        </w:rPr>
        <w:t xml:space="preserve"> Disponible en: </w:t>
      </w:r>
      <w:hyperlink r:id="rId2" w:history="1">
        <w:r w:rsidRPr="00166CEC">
          <w:rPr>
            <w:rStyle w:val="Hipervnculo"/>
            <w:sz w:val="18"/>
          </w:rPr>
          <w:t>https://www.osiptel.gob.pe/repositorioaps/data/1/1/1/par/reglamentograltarifas/Res060-2000-CD_Reglamento-general-tarifas.pdf</w:t>
        </w:r>
      </w:hyperlink>
      <w:r w:rsidRPr="00166CEC">
        <w:rPr>
          <w:sz w:val="18"/>
        </w:rPr>
        <w:t xml:space="preserve"> </w:t>
      </w:r>
    </w:p>
  </w:footnote>
  <w:footnote w:id="12">
    <w:p w:rsidR="006D2AC6" w:rsidRPr="00166CEC" w:rsidRDefault="006D2AC6" w:rsidP="00166CEC">
      <w:pPr>
        <w:pStyle w:val="Textonotapie"/>
        <w:jc w:val="both"/>
        <w:rPr>
          <w:sz w:val="18"/>
        </w:rPr>
      </w:pPr>
      <w:r w:rsidRPr="00166CEC">
        <w:rPr>
          <w:rStyle w:val="Refdenotaalpie"/>
          <w:sz w:val="18"/>
        </w:rPr>
        <w:footnoteRef/>
      </w:r>
      <w:r w:rsidRPr="00166CEC">
        <w:rPr>
          <w:sz w:val="18"/>
        </w:rPr>
        <w:t xml:space="preserve"> Disponible en: </w:t>
      </w:r>
      <w:hyperlink r:id="rId3" w:history="1">
        <w:r w:rsidRPr="00166CEC">
          <w:rPr>
            <w:rStyle w:val="Hipervnculo"/>
            <w:sz w:val="18"/>
          </w:rPr>
          <w:t>http://serviciosenlinea.osiptel.gob.pe/ConsultaSIRT/Buscar/frmConsultaTar.aspx</w:t>
        </w:r>
      </w:hyperlink>
      <w:r w:rsidRPr="00166CEC">
        <w:rPr>
          <w:sz w:val="18"/>
        </w:rPr>
        <w:t xml:space="preserve"> </w:t>
      </w:r>
    </w:p>
  </w:footnote>
  <w:footnote w:id="13">
    <w:p w:rsidR="006D2AC6" w:rsidRPr="00166CEC" w:rsidRDefault="006D2AC6" w:rsidP="00166CEC">
      <w:pPr>
        <w:pStyle w:val="Textonotapie"/>
        <w:jc w:val="both"/>
        <w:rPr>
          <w:sz w:val="18"/>
        </w:rPr>
      </w:pPr>
      <w:r w:rsidRPr="00166CEC">
        <w:rPr>
          <w:rStyle w:val="Refdenotaalpie"/>
          <w:sz w:val="18"/>
        </w:rPr>
        <w:footnoteRef/>
      </w:r>
      <w:r w:rsidRPr="00166CEC">
        <w:rPr>
          <w:sz w:val="18"/>
        </w:rPr>
        <w:t xml:space="preserve"> Disponible en: </w:t>
      </w:r>
      <w:hyperlink r:id="rId4" w:history="1">
        <w:r w:rsidRPr="00166CEC">
          <w:rPr>
            <w:rStyle w:val="Hipervnculo"/>
            <w:sz w:val="18"/>
          </w:rPr>
          <w:t>http://serviciosenlinea.osiptel.gob.pe/ConsultaSIRT/Manual/ManualUsuario.pdf</w:t>
        </w:r>
      </w:hyperlink>
      <w:r>
        <w:rPr>
          <w:sz w:val="18"/>
        </w:rPr>
        <w:t xml:space="preserve"> </w:t>
      </w:r>
    </w:p>
  </w:footnote>
  <w:footnote w:id="14">
    <w:p w:rsidR="006D2AC6" w:rsidRPr="00166CEC" w:rsidRDefault="006D2AC6" w:rsidP="00166CEC">
      <w:pPr>
        <w:pStyle w:val="Textonotapie"/>
        <w:jc w:val="both"/>
        <w:rPr>
          <w:sz w:val="18"/>
        </w:rPr>
      </w:pPr>
      <w:r w:rsidRPr="00166CEC">
        <w:rPr>
          <w:rStyle w:val="Refdenotaalpie"/>
          <w:sz w:val="18"/>
        </w:rPr>
        <w:footnoteRef/>
      </w:r>
      <w:r w:rsidRPr="00166CEC">
        <w:rPr>
          <w:sz w:val="18"/>
        </w:rPr>
        <w:t xml:space="preserve"> Disponible en: </w:t>
      </w:r>
      <w:hyperlink r:id="rId5" w:history="1">
        <w:r w:rsidRPr="00166CEC">
          <w:rPr>
            <w:rStyle w:val="Hipervnculo"/>
            <w:sz w:val="18"/>
          </w:rPr>
          <w:t>https://www.osiptel.gob.pe/Archivos/Norma/MarcoNormatTarif/res1272003CDOSIPTELpro.pdf</w:t>
        </w:r>
      </w:hyperlink>
      <w:r>
        <w:rPr>
          <w:sz w:val="18"/>
        </w:rPr>
        <w:t xml:space="preserve"> </w:t>
      </w:r>
    </w:p>
  </w:footnote>
  <w:footnote w:id="15">
    <w:p w:rsidR="006D2AC6" w:rsidRPr="00166CEC" w:rsidRDefault="006D2AC6" w:rsidP="00166CEC">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Disponible en: </w:t>
      </w:r>
      <w:hyperlink r:id="rId6" w:history="1">
        <w:r w:rsidRPr="00166CEC">
          <w:rPr>
            <w:rStyle w:val="Hipervnculo"/>
            <w:rFonts w:cstheme="minorHAnsi"/>
            <w:sz w:val="18"/>
            <w:szCs w:val="18"/>
          </w:rPr>
          <w:t>https://apps.fcc.gov/etfs/etfsHome.action</w:t>
        </w:r>
      </w:hyperlink>
      <w:r w:rsidRPr="00166CEC">
        <w:rPr>
          <w:rFonts w:cstheme="minorHAnsi"/>
          <w:sz w:val="18"/>
          <w:szCs w:val="18"/>
        </w:rPr>
        <w:t xml:space="preserve"> </w:t>
      </w:r>
    </w:p>
  </w:footnote>
  <w:footnote w:id="16">
    <w:p w:rsidR="006D2AC6" w:rsidRPr="00166CEC" w:rsidRDefault="006D2AC6" w:rsidP="00166CEC">
      <w:pPr>
        <w:pStyle w:val="Textonotapie"/>
        <w:jc w:val="both"/>
        <w:rPr>
          <w:rFonts w:cstheme="minorHAnsi"/>
          <w:sz w:val="18"/>
          <w:szCs w:val="18"/>
        </w:rPr>
      </w:pPr>
      <w:r w:rsidRPr="00166CEC">
        <w:rPr>
          <w:rStyle w:val="Refdenotaalpie"/>
          <w:rFonts w:cstheme="minorHAnsi"/>
          <w:sz w:val="18"/>
          <w:szCs w:val="18"/>
        </w:rPr>
        <w:footnoteRef/>
      </w:r>
      <w:r w:rsidRPr="00166CEC">
        <w:rPr>
          <w:rFonts w:cstheme="minorHAnsi"/>
          <w:sz w:val="18"/>
          <w:szCs w:val="18"/>
        </w:rPr>
        <w:t xml:space="preserve"> Disponible en: </w:t>
      </w:r>
      <w:hyperlink r:id="rId7" w:history="1">
        <w:r w:rsidRPr="00166CEC">
          <w:rPr>
            <w:rStyle w:val="Hipervnculo"/>
            <w:rFonts w:cstheme="minorHAnsi"/>
            <w:sz w:val="18"/>
            <w:szCs w:val="18"/>
          </w:rPr>
          <w:t>https://www.fcc.gov/document/electronic-tariff-filing-system-etfs</w:t>
        </w:r>
      </w:hyperlink>
    </w:p>
  </w:footnote>
  <w:footnote w:id="17">
    <w:p w:rsidR="006D2AC6" w:rsidRPr="00AC1D82" w:rsidRDefault="006D2AC6" w:rsidP="00166CEC">
      <w:pPr>
        <w:pStyle w:val="Textonotapie"/>
        <w:jc w:val="both"/>
        <w:rPr>
          <w:rFonts w:cstheme="minorHAnsi"/>
          <w:sz w:val="18"/>
          <w:szCs w:val="18"/>
        </w:rPr>
      </w:pPr>
      <w:r w:rsidRPr="00AC1D82">
        <w:rPr>
          <w:rStyle w:val="Refdenotaalpie"/>
          <w:rFonts w:cstheme="minorHAnsi"/>
          <w:sz w:val="18"/>
          <w:szCs w:val="18"/>
        </w:rPr>
        <w:footnoteRef/>
      </w:r>
      <w:r w:rsidRPr="00166CEC">
        <w:rPr>
          <w:rFonts w:cstheme="minorHAnsi"/>
          <w:sz w:val="18"/>
          <w:szCs w:val="18"/>
        </w:rPr>
        <w:t xml:space="preserve"> Disponibles en </w:t>
      </w:r>
      <w:hyperlink r:id="rId8" w:history="1">
        <w:r w:rsidRPr="00166CEC">
          <w:rPr>
            <w:rStyle w:val="Hipervnculo"/>
            <w:rFonts w:cstheme="minorHAnsi"/>
            <w:sz w:val="18"/>
            <w:szCs w:val="18"/>
          </w:rPr>
          <w:t>http://www.cofemer.gob.mx/anexos/guia_de_indicadores_de_MR_15.pdf</w:t>
        </w:r>
      </w:hyperlink>
      <w:r w:rsidRPr="00166CEC">
        <w:rPr>
          <w:rFonts w:cstheme="minorHAnsi"/>
          <w:sz w:val="18"/>
          <w:szCs w:val="18"/>
        </w:rPr>
        <w:t xml:space="preserve"> </w:t>
      </w:r>
    </w:p>
  </w:footnote>
  <w:footnote w:id="18">
    <w:p w:rsidR="006D2AC6" w:rsidRPr="00AC1D82" w:rsidRDefault="006D2AC6" w:rsidP="00313ABA">
      <w:pPr>
        <w:pStyle w:val="Textonotapie"/>
        <w:jc w:val="both"/>
        <w:rPr>
          <w:rFonts w:cstheme="minorHAnsi"/>
          <w:sz w:val="18"/>
          <w:szCs w:val="18"/>
        </w:rPr>
      </w:pPr>
      <w:r w:rsidRPr="00AC1D82">
        <w:rPr>
          <w:rStyle w:val="Refdenotaalpie"/>
          <w:rFonts w:cstheme="minorHAnsi"/>
          <w:sz w:val="18"/>
          <w:szCs w:val="18"/>
        </w:rPr>
        <w:footnoteRef/>
      </w:r>
      <w:r w:rsidRPr="00AC1D82">
        <w:rPr>
          <w:rFonts w:cstheme="minorHAnsi"/>
          <w:sz w:val="18"/>
          <w:szCs w:val="18"/>
        </w:rPr>
        <w:t xml:space="preserve"> Sistema Electrónico de Registro de Tarifas del Registro Público de Concesiones del Instituto, establecido a través del “</w:t>
      </w:r>
      <w:r w:rsidRPr="00AC1D82">
        <w:rPr>
          <w:rFonts w:cstheme="minorHAnsi"/>
          <w:i/>
          <w:sz w:val="18"/>
          <w:szCs w:val="18"/>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AC1D82">
        <w:rPr>
          <w:rFonts w:cstheme="minorHAnsi"/>
          <w:sz w:val="18"/>
          <w:szCs w:val="18"/>
        </w:rPr>
        <w:t>”, aprobado el 26 de noviembre de 2014, mediante Acuerdo P/IFT/261114/379.</w:t>
      </w:r>
    </w:p>
  </w:footnote>
  <w:footnote w:id="19">
    <w:p w:rsidR="006D2AC6" w:rsidRPr="001114D8" w:rsidRDefault="006D2AC6" w:rsidP="00E3356A">
      <w:pPr>
        <w:pStyle w:val="Textonotapie"/>
        <w:jc w:val="both"/>
        <w:rPr>
          <w:rFonts w:cstheme="minorHAnsi"/>
          <w:sz w:val="18"/>
          <w:szCs w:val="18"/>
        </w:rPr>
      </w:pPr>
      <w:r w:rsidRPr="001114D8">
        <w:rPr>
          <w:rStyle w:val="Refdenotaalpie"/>
          <w:rFonts w:cstheme="minorHAnsi"/>
          <w:sz w:val="18"/>
          <w:szCs w:val="18"/>
        </w:rPr>
        <w:footnoteRef/>
      </w:r>
      <w:r w:rsidRPr="001114D8">
        <w:rPr>
          <w:rFonts w:cstheme="minorHAnsi"/>
          <w:sz w:val="18"/>
          <w:szCs w:val="18"/>
        </w:rPr>
        <w:t xml:space="preserve"> Emitidos a través del </w:t>
      </w:r>
      <w:r w:rsidRPr="001114D8">
        <w:rPr>
          <w:rFonts w:cstheme="minorHAnsi"/>
          <w:i/>
          <w:sz w:val="18"/>
          <w:szCs w:val="18"/>
        </w:rPr>
        <w:t xml:space="preserve">“Acuerdo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w:t>
      </w:r>
      <w:r w:rsidRPr="001114D8">
        <w:rPr>
          <w:rFonts w:cstheme="minorHAnsi"/>
          <w:sz w:val="18"/>
          <w:szCs w:val="18"/>
        </w:rPr>
        <w:t>y del</w:t>
      </w:r>
      <w:r w:rsidRPr="001114D8">
        <w:rPr>
          <w:rFonts w:cstheme="minorHAnsi"/>
          <w:i/>
          <w:sz w:val="18"/>
          <w:szCs w:val="18"/>
        </w:rPr>
        <w:t xml:space="preserve"> </w:t>
      </w:r>
      <w:r>
        <w:rPr>
          <w:rFonts w:cstheme="minorHAnsi"/>
          <w:i/>
          <w:sz w:val="18"/>
          <w:szCs w:val="18"/>
        </w:rPr>
        <w:t>“</w:t>
      </w:r>
      <w:r w:rsidRPr="001114D8">
        <w:rPr>
          <w:rFonts w:cstheme="minorHAnsi"/>
          <w:i/>
          <w:sz w:val="18"/>
          <w:szCs w:val="18"/>
        </w:rPr>
        <w:t>A</w:t>
      </w:r>
      <w:r>
        <w:rPr>
          <w:rFonts w:cstheme="minorHAnsi"/>
          <w:i/>
          <w:sz w:val="18"/>
          <w:szCs w:val="18"/>
        </w:rPr>
        <w:t>cuerdo</w:t>
      </w:r>
      <w:r w:rsidRPr="001114D8">
        <w:rPr>
          <w:rFonts w:cstheme="minorHAnsi"/>
          <w:i/>
          <w:sz w:val="18"/>
          <w:szCs w:val="18"/>
        </w:rPr>
        <w:t xml:space="preserve">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Pr>
          <w:rFonts w:cstheme="minorHAnsi"/>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250009"/>
    <w:multiLevelType w:val="hybridMultilevel"/>
    <w:tmpl w:val="95847512"/>
    <w:lvl w:ilvl="0" w:tplc="080A000F">
      <w:start w:val="1"/>
      <w:numFmt w:val="decimal"/>
      <w:lvlText w:val="%1."/>
      <w:lvlJc w:val="left"/>
      <w:pPr>
        <w:ind w:left="761" w:hanging="360"/>
      </w:pPr>
      <w:rPr>
        <w:rFonts w:hint="default"/>
      </w:rPr>
    </w:lvl>
    <w:lvl w:ilvl="1" w:tplc="080A0003">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2" w15:restartNumberingAfterBreak="0">
    <w:nsid w:val="12EB681C"/>
    <w:multiLevelType w:val="hybridMultilevel"/>
    <w:tmpl w:val="D9A8AEE6"/>
    <w:lvl w:ilvl="0" w:tplc="1EB8D1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2741E1"/>
    <w:multiLevelType w:val="hybridMultilevel"/>
    <w:tmpl w:val="26701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5B3492"/>
    <w:multiLevelType w:val="hybridMultilevel"/>
    <w:tmpl w:val="CD6C39CA"/>
    <w:lvl w:ilvl="0" w:tplc="3F8413E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D02179"/>
    <w:multiLevelType w:val="hybridMultilevel"/>
    <w:tmpl w:val="AF90C1C8"/>
    <w:lvl w:ilvl="0" w:tplc="975C47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615163"/>
    <w:multiLevelType w:val="hybridMultilevel"/>
    <w:tmpl w:val="3170DE02"/>
    <w:lvl w:ilvl="0" w:tplc="080A0013">
      <w:start w:val="1"/>
      <w:numFmt w:val="upperRoman"/>
      <w:lvlText w:val="%1."/>
      <w:lvlJc w:val="right"/>
      <w:pPr>
        <w:ind w:left="720" w:hanging="360"/>
      </w:pPr>
      <w:rPr>
        <w:b/>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5F2E5F"/>
    <w:multiLevelType w:val="hybridMultilevel"/>
    <w:tmpl w:val="D1CCFCAA"/>
    <w:lvl w:ilvl="0" w:tplc="D2D48948">
      <w:start w:val="1"/>
      <w:numFmt w:val="upperRoman"/>
      <w:pStyle w:val="Prrafodelista"/>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2E77EE"/>
    <w:multiLevelType w:val="hybridMultilevel"/>
    <w:tmpl w:val="925429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AE0057"/>
    <w:multiLevelType w:val="hybridMultilevel"/>
    <w:tmpl w:val="6CA0B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9C305C"/>
    <w:multiLevelType w:val="hybridMultilevel"/>
    <w:tmpl w:val="3170DE02"/>
    <w:lvl w:ilvl="0" w:tplc="080A0013">
      <w:start w:val="1"/>
      <w:numFmt w:val="upperRoman"/>
      <w:lvlText w:val="%1."/>
      <w:lvlJc w:val="right"/>
      <w:pPr>
        <w:ind w:left="720" w:hanging="360"/>
      </w:pPr>
      <w:rPr>
        <w:b/>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9E1745"/>
    <w:multiLevelType w:val="hybridMultilevel"/>
    <w:tmpl w:val="B8DA1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F22FE0"/>
    <w:multiLevelType w:val="hybridMultilevel"/>
    <w:tmpl w:val="9EFEF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4B1E5C"/>
    <w:multiLevelType w:val="hybridMultilevel"/>
    <w:tmpl w:val="B46076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863349"/>
    <w:multiLevelType w:val="hybridMultilevel"/>
    <w:tmpl w:val="4BF219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13"/>
  </w:num>
  <w:num w:numId="6">
    <w:abstractNumId w:val="2"/>
  </w:num>
  <w:num w:numId="7">
    <w:abstractNumId w:val="11"/>
  </w:num>
  <w:num w:numId="8">
    <w:abstractNumId w:val="10"/>
  </w:num>
  <w:num w:numId="9">
    <w:abstractNumId w:val="7"/>
  </w:num>
  <w:num w:numId="10">
    <w:abstractNumId w:val="12"/>
  </w:num>
  <w:num w:numId="11">
    <w:abstractNumId w:val="4"/>
  </w:num>
  <w:num w:numId="12">
    <w:abstractNumId w:val="1"/>
  </w:num>
  <w:num w:numId="13">
    <w:abstractNumId w:val="5"/>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90"/>
    <w:rsid w:val="00002014"/>
    <w:rsid w:val="00006C59"/>
    <w:rsid w:val="000121FD"/>
    <w:rsid w:val="00021AD6"/>
    <w:rsid w:val="0005128E"/>
    <w:rsid w:val="00053817"/>
    <w:rsid w:val="00054D95"/>
    <w:rsid w:val="000555C2"/>
    <w:rsid w:val="00062241"/>
    <w:rsid w:val="00065CCC"/>
    <w:rsid w:val="00076EA6"/>
    <w:rsid w:val="00081750"/>
    <w:rsid w:val="00083D05"/>
    <w:rsid w:val="0008669B"/>
    <w:rsid w:val="000A3771"/>
    <w:rsid w:val="000A4EF9"/>
    <w:rsid w:val="000A6364"/>
    <w:rsid w:val="000B5FF0"/>
    <w:rsid w:val="000B6C65"/>
    <w:rsid w:val="000C2D4E"/>
    <w:rsid w:val="000D1002"/>
    <w:rsid w:val="000D31D7"/>
    <w:rsid w:val="000D778E"/>
    <w:rsid w:val="000E0A71"/>
    <w:rsid w:val="000F1C74"/>
    <w:rsid w:val="000F1ECE"/>
    <w:rsid w:val="000F2D9A"/>
    <w:rsid w:val="000F312D"/>
    <w:rsid w:val="000F4138"/>
    <w:rsid w:val="001114D8"/>
    <w:rsid w:val="00111E06"/>
    <w:rsid w:val="00111E0A"/>
    <w:rsid w:val="00113852"/>
    <w:rsid w:val="00122DC0"/>
    <w:rsid w:val="00131290"/>
    <w:rsid w:val="0013146E"/>
    <w:rsid w:val="001331A5"/>
    <w:rsid w:val="00133BF3"/>
    <w:rsid w:val="00136ECC"/>
    <w:rsid w:val="0014210A"/>
    <w:rsid w:val="001438AC"/>
    <w:rsid w:val="00151B97"/>
    <w:rsid w:val="0015651F"/>
    <w:rsid w:val="001611CA"/>
    <w:rsid w:val="00161998"/>
    <w:rsid w:val="001625FE"/>
    <w:rsid w:val="00164915"/>
    <w:rsid w:val="001651A6"/>
    <w:rsid w:val="00166CEC"/>
    <w:rsid w:val="00172A02"/>
    <w:rsid w:val="00177656"/>
    <w:rsid w:val="0019304F"/>
    <w:rsid w:val="001A7729"/>
    <w:rsid w:val="001B1D3F"/>
    <w:rsid w:val="001C13E3"/>
    <w:rsid w:val="001C2CA6"/>
    <w:rsid w:val="001E1095"/>
    <w:rsid w:val="00201F6C"/>
    <w:rsid w:val="0020287C"/>
    <w:rsid w:val="002028DF"/>
    <w:rsid w:val="002034CB"/>
    <w:rsid w:val="00210CBB"/>
    <w:rsid w:val="00214FE7"/>
    <w:rsid w:val="00223612"/>
    <w:rsid w:val="0022457C"/>
    <w:rsid w:val="00232165"/>
    <w:rsid w:val="00232F8B"/>
    <w:rsid w:val="002340E3"/>
    <w:rsid w:val="0023554E"/>
    <w:rsid w:val="00235951"/>
    <w:rsid w:val="00240B54"/>
    <w:rsid w:val="00245525"/>
    <w:rsid w:val="002504C8"/>
    <w:rsid w:val="002546DE"/>
    <w:rsid w:val="00254806"/>
    <w:rsid w:val="002621D3"/>
    <w:rsid w:val="0026465A"/>
    <w:rsid w:val="00265334"/>
    <w:rsid w:val="00275D1E"/>
    <w:rsid w:val="002819A4"/>
    <w:rsid w:val="002866C7"/>
    <w:rsid w:val="00292620"/>
    <w:rsid w:val="00296290"/>
    <w:rsid w:val="0029711F"/>
    <w:rsid w:val="002A1F77"/>
    <w:rsid w:val="002A5B2E"/>
    <w:rsid w:val="002B0161"/>
    <w:rsid w:val="002B1454"/>
    <w:rsid w:val="002D2860"/>
    <w:rsid w:val="002D2BA5"/>
    <w:rsid w:val="002D5AF0"/>
    <w:rsid w:val="00312EF2"/>
    <w:rsid w:val="00313ABA"/>
    <w:rsid w:val="0032189D"/>
    <w:rsid w:val="00322A06"/>
    <w:rsid w:val="003245F8"/>
    <w:rsid w:val="00326A58"/>
    <w:rsid w:val="003461C8"/>
    <w:rsid w:val="00347686"/>
    <w:rsid w:val="00350DC2"/>
    <w:rsid w:val="003529F0"/>
    <w:rsid w:val="00355587"/>
    <w:rsid w:val="003621A9"/>
    <w:rsid w:val="00362B77"/>
    <w:rsid w:val="0036556B"/>
    <w:rsid w:val="003728B0"/>
    <w:rsid w:val="00376DEB"/>
    <w:rsid w:val="00376E8B"/>
    <w:rsid w:val="00380C39"/>
    <w:rsid w:val="00383B99"/>
    <w:rsid w:val="0038458E"/>
    <w:rsid w:val="00390146"/>
    <w:rsid w:val="0039452E"/>
    <w:rsid w:val="0039554C"/>
    <w:rsid w:val="003A2681"/>
    <w:rsid w:val="003B4CCE"/>
    <w:rsid w:val="003C1EE7"/>
    <w:rsid w:val="003D12F1"/>
    <w:rsid w:val="003F0EE2"/>
    <w:rsid w:val="003F2881"/>
    <w:rsid w:val="003F441F"/>
    <w:rsid w:val="004051A0"/>
    <w:rsid w:val="004152A4"/>
    <w:rsid w:val="00417103"/>
    <w:rsid w:val="00421A18"/>
    <w:rsid w:val="00426266"/>
    <w:rsid w:val="00427C9B"/>
    <w:rsid w:val="00431B02"/>
    <w:rsid w:val="00434C2B"/>
    <w:rsid w:val="00436B04"/>
    <w:rsid w:val="0045530B"/>
    <w:rsid w:val="004604E1"/>
    <w:rsid w:val="0046072B"/>
    <w:rsid w:val="00465670"/>
    <w:rsid w:val="00467A43"/>
    <w:rsid w:val="004842C7"/>
    <w:rsid w:val="00490C5C"/>
    <w:rsid w:val="00493465"/>
    <w:rsid w:val="004A4A59"/>
    <w:rsid w:val="004A5278"/>
    <w:rsid w:val="004C2BD0"/>
    <w:rsid w:val="004D2810"/>
    <w:rsid w:val="004D74A2"/>
    <w:rsid w:val="004E1272"/>
    <w:rsid w:val="004F6C15"/>
    <w:rsid w:val="00517DFE"/>
    <w:rsid w:val="00521B96"/>
    <w:rsid w:val="00523309"/>
    <w:rsid w:val="00526E0E"/>
    <w:rsid w:val="00542E87"/>
    <w:rsid w:val="00556CFF"/>
    <w:rsid w:val="00556F4A"/>
    <w:rsid w:val="005623EF"/>
    <w:rsid w:val="00567A50"/>
    <w:rsid w:val="00576EC0"/>
    <w:rsid w:val="00582ABB"/>
    <w:rsid w:val="00593D53"/>
    <w:rsid w:val="005B288D"/>
    <w:rsid w:val="005B6081"/>
    <w:rsid w:val="005C2EAD"/>
    <w:rsid w:val="005C48A3"/>
    <w:rsid w:val="005C5251"/>
    <w:rsid w:val="005C787E"/>
    <w:rsid w:val="005D4CB3"/>
    <w:rsid w:val="005F1725"/>
    <w:rsid w:val="005F1E80"/>
    <w:rsid w:val="005F4251"/>
    <w:rsid w:val="006012B6"/>
    <w:rsid w:val="00611A95"/>
    <w:rsid w:val="00615660"/>
    <w:rsid w:val="00620D86"/>
    <w:rsid w:val="00642C4E"/>
    <w:rsid w:val="00650470"/>
    <w:rsid w:val="00652329"/>
    <w:rsid w:val="00662429"/>
    <w:rsid w:val="00671509"/>
    <w:rsid w:val="006760F3"/>
    <w:rsid w:val="00683228"/>
    <w:rsid w:val="006868D6"/>
    <w:rsid w:val="00691830"/>
    <w:rsid w:val="00693630"/>
    <w:rsid w:val="00694729"/>
    <w:rsid w:val="00696071"/>
    <w:rsid w:val="006A0AAA"/>
    <w:rsid w:val="006A2906"/>
    <w:rsid w:val="006A67A7"/>
    <w:rsid w:val="006B13C7"/>
    <w:rsid w:val="006B6AC6"/>
    <w:rsid w:val="006B7F57"/>
    <w:rsid w:val="006C061D"/>
    <w:rsid w:val="006C16F4"/>
    <w:rsid w:val="006C3C75"/>
    <w:rsid w:val="006C6769"/>
    <w:rsid w:val="006D2AC6"/>
    <w:rsid w:val="006D3B4E"/>
    <w:rsid w:val="006D4AA3"/>
    <w:rsid w:val="006D70D1"/>
    <w:rsid w:val="006E15C9"/>
    <w:rsid w:val="006E4875"/>
    <w:rsid w:val="006F211C"/>
    <w:rsid w:val="00705328"/>
    <w:rsid w:val="0071001A"/>
    <w:rsid w:val="0071099B"/>
    <w:rsid w:val="00713E90"/>
    <w:rsid w:val="00717158"/>
    <w:rsid w:val="00717239"/>
    <w:rsid w:val="00732465"/>
    <w:rsid w:val="00732F7C"/>
    <w:rsid w:val="007510C3"/>
    <w:rsid w:val="00753B14"/>
    <w:rsid w:val="00763E62"/>
    <w:rsid w:val="007659CC"/>
    <w:rsid w:val="00765BBB"/>
    <w:rsid w:val="00767BC6"/>
    <w:rsid w:val="007748AC"/>
    <w:rsid w:val="00794466"/>
    <w:rsid w:val="00796F2C"/>
    <w:rsid w:val="0079790C"/>
    <w:rsid w:val="007A36D0"/>
    <w:rsid w:val="007A46F5"/>
    <w:rsid w:val="007A6390"/>
    <w:rsid w:val="007A70C5"/>
    <w:rsid w:val="007B2575"/>
    <w:rsid w:val="007B27F2"/>
    <w:rsid w:val="007B3C9E"/>
    <w:rsid w:val="007D1C72"/>
    <w:rsid w:val="007D1F6E"/>
    <w:rsid w:val="007E3133"/>
    <w:rsid w:val="007E4CDB"/>
    <w:rsid w:val="007E4E64"/>
    <w:rsid w:val="007F04EC"/>
    <w:rsid w:val="007F1312"/>
    <w:rsid w:val="007F195B"/>
    <w:rsid w:val="007F2A78"/>
    <w:rsid w:val="007F3A6B"/>
    <w:rsid w:val="008034D6"/>
    <w:rsid w:val="00805D31"/>
    <w:rsid w:val="00806711"/>
    <w:rsid w:val="00810F0C"/>
    <w:rsid w:val="00811708"/>
    <w:rsid w:val="0083537F"/>
    <w:rsid w:val="0083636A"/>
    <w:rsid w:val="00842AB6"/>
    <w:rsid w:val="0084443C"/>
    <w:rsid w:val="008466BD"/>
    <w:rsid w:val="008532C1"/>
    <w:rsid w:val="008535D4"/>
    <w:rsid w:val="008540EB"/>
    <w:rsid w:val="0086366C"/>
    <w:rsid w:val="00863A80"/>
    <w:rsid w:val="0087178E"/>
    <w:rsid w:val="00880F35"/>
    <w:rsid w:val="00881742"/>
    <w:rsid w:val="00884286"/>
    <w:rsid w:val="0088597C"/>
    <w:rsid w:val="00895162"/>
    <w:rsid w:val="008A14D3"/>
    <w:rsid w:val="008A204A"/>
    <w:rsid w:val="008A43B1"/>
    <w:rsid w:val="008B24CA"/>
    <w:rsid w:val="008B349F"/>
    <w:rsid w:val="008B4A67"/>
    <w:rsid w:val="008B61FC"/>
    <w:rsid w:val="008B63C4"/>
    <w:rsid w:val="008C2D5C"/>
    <w:rsid w:val="008C6963"/>
    <w:rsid w:val="008C6B3C"/>
    <w:rsid w:val="008D4C9C"/>
    <w:rsid w:val="008D5D17"/>
    <w:rsid w:val="008F1BC3"/>
    <w:rsid w:val="008F2664"/>
    <w:rsid w:val="008F6B62"/>
    <w:rsid w:val="00902C8B"/>
    <w:rsid w:val="00907FB4"/>
    <w:rsid w:val="00922FDE"/>
    <w:rsid w:val="00930CE6"/>
    <w:rsid w:val="00932195"/>
    <w:rsid w:val="00932F25"/>
    <w:rsid w:val="0093502A"/>
    <w:rsid w:val="009365AC"/>
    <w:rsid w:val="00957F0F"/>
    <w:rsid w:val="009602BA"/>
    <w:rsid w:val="0097577E"/>
    <w:rsid w:val="00976CDC"/>
    <w:rsid w:val="00982F7C"/>
    <w:rsid w:val="009844A5"/>
    <w:rsid w:val="00984B1B"/>
    <w:rsid w:val="009915A4"/>
    <w:rsid w:val="009919F7"/>
    <w:rsid w:val="00995C8B"/>
    <w:rsid w:val="009A3860"/>
    <w:rsid w:val="009B464E"/>
    <w:rsid w:val="009C76BF"/>
    <w:rsid w:val="009D079D"/>
    <w:rsid w:val="009D28BF"/>
    <w:rsid w:val="009D38B9"/>
    <w:rsid w:val="009D38BD"/>
    <w:rsid w:val="009E593E"/>
    <w:rsid w:val="009E68DA"/>
    <w:rsid w:val="009F32C5"/>
    <w:rsid w:val="009F40D0"/>
    <w:rsid w:val="009F4BDB"/>
    <w:rsid w:val="00A05A48"/>
    <w:rsid w:val="00A05CD2"/>
    <w:rsid w:val="00A05E25"/>
    <w:rsid w:val="00A24942"/>
    <w:rsid w:val="00A258AE"/>
    <w:rsid w:val="00A274A4"/>
    <w:rsid w:val="00A32C48"/>
    <w:rsid w:val="00A34DF3"/>
    <w:rsid w:val="00A423EC"/>
    <w:rsid w:val="00A53DFB"/>
    <w:rsid w:val="00A54DD4"/>
    <w:rsid w:val="00A62053"/>
    <w:rsid w:val="00A63270"/>
    <w:rsid w:val="00A64872"/>
    <w:rsid w:val="00A64CDB"/>
    <w:rsid w:val="00A65200"/>
    <w:rsid w:val="00A709C6"/>
    <w:rsid w:val="00A73188"/>
    <w:rsid w:val="00A747E8"/>
    <w:rsid w:val="00A80CD0"/>
    <w:rsid w:val="00A841D1"/>
    <w:rsid w:val="00AA0D9D"/>
    <w:rsid w:val="00AA60BF"/>
    <w:rsid w:val="00AB78C4"/>
    <w:rsid w:val="00AC05E3"/>
    <w:rsid w:val="00AC1D82"/>
    <w:rsid w:val="00AC5570"/>
    <w:rsid w:val="00AC666E"/>
    <w:rsid w:val="00AD174C"/>
    <w:rsid w:val="00AD1C77"/>
    <w:rsid w:val="00AF2EA8"/>
    <w:rsid w:val="00B0375D"/>
    <w:rsid w:val="00B17884"/>
    <w:rsid w:val="00B25375"/>
    <w:rsid w:val="00B266B9"/>
    <w:rsid w:val="00B26C60"/>
    <w:rsid w:val="00B325A9"/>
    <w:rsid w:val="00B37A83"/>
    <w:rsid w:val="00B402BA"/>
    <w:rsid w:val="00B539CD"/>
    <w:rsid w:val="00B62156"/>
    <w:rsid w:val="00B710AE"/>
    <w:rsid w:val="00B86D5B"/>
    <w:rsid w:val="00B93E46"/>
    <w:rsid w:val="00B959BB"/>
    <w:rsid w:val="00B96BCA"/>
    <w:rsid w:val="00B975EB"/>
    <w:rsid w:val="00BA1FAD"/>
    <w:rsid w:val="00BA4A9B"/>
    <w:rsid w:val="00BA7662"/>
    <w:rsid w:val="00BB6470"/>
    <w:rsid w:val="00BC7E6F"/>
    <w:rsid w:val="00BD683F"/>
    <w:rsid w:val="00BE4B7A"/>
    <w:rsid w:val="00C02514"/>
    <w:rsid w:val="00C02966"/>
    <w:rsid w:val="00C04B03"/>
    <w:rsid w:val="00C04F41"/>
    <w:rsid w:val="00C060A6"/>
    <w:rsid w:val="00C06E53"/>
    <w:rsid w:val="00C12B92"/>
    <w:rsid w:val="00C1717F"/>
    <w:rsid w:val="00C20A75"/>
    <w:rsid w:val="00C24B00"/>
    <w:rsid w:val="00C27ADB"/>
    <w:rsid w:val="00C3427F"/>
    <w:rsid w:val="00C34879"/>
    <w:rsid w:val="00C3597F"/>
    <w:rsid w:val="00C36AA5"/>
    <w:rsid w:val="00C44083"/>
    <w:rsid w:val="00C51649"/>
    <w:rsid w:val="00C57616"/>
    <w:rsid w:val="00C61158"/>
    <w:rsid w:val="00C63CDC"/>
    <w:rsid w:val="00C654E4"/>
    <w:rsid w:val="00C76F90"/>
    <w:rsid w:val="00C8188D"/>
    <w:rsid w:val="00C836BD"/>
    <w:rsid w:val="00C846A4"/>
    <w:rsid w:val="00CA511C"/>
    <w:rsid w:val="00CC1061"/>
    <w:rsid w:val="00CC1225"/>
    <w:rsid w:val="00CC7B9B"/>
    <w:rsid w:val="00CD0BCD"/>
    <w:rsid w:val="00CD6265"/>
    <w:rsid w:val="00CE0BB0"/>
    <w:rsid w:val="00CF13E8"/>
    <w:rsid w:val="00CF1781"/>
    <w:rsid w:val="00CF24A9"/>
    <w:rsid w:val="00D02B4B"/>
    <w:rsid w:val="00D046AC"/>
    <w:rsid w:val="00D05397"/>
    <w:rsid w:val="00D228E6"/>
    <w:rsid w:val="00D23E97"/>
    <w:rsid w:val="00D2619E"/>
    <w:rsid w:val="00D32972"/>
    <w:rsid w:val="00D36B23"/>
    <w:rsid w:val="00D44D7B"/>
    <w:rsid w:val="00D5041B"/>
    <w:rsid w:val="00D57C9A"/>
    <w:rsid w:val="00D62562"/>
    <w:rsid w:val="00D629F3"/>
    <w:rsid w:val="00D667D9"/>
    <w:rsid w:val="00D72225"/>
    <w:rsid w:val="00D72779"/>
    <w:rsid w:val="00D72FE6"/>
    <w:rsid w:val="00D84AD8"/>
    <w:rsid w:val="00DA504D"/>
    <w:rsid w:val="00DA6244"/>
    <w:rsid w:val="00DB0262"/>
    <w:rsid w:val="00DB050F"/>
    <w:rsid w:val="00DB3C68"/>
    <w:rsid w:val="00DC63F4"/>
    <w:rsid w:val="00DD2A43"/>
    <w:rsid w:val="00DE3B0B"/>
    <w:rsid w:val="00DE4347"/>
    <w:rsid w:val="00DF149B"/>
    <w:rsid w:val="00DF1ECB"/>
    <w:rsid w:val="00DF4D82"/>
    <w:rsid w:val="00DF4E89"/>
    <w:rsid w:val="00DF5843"/>
    <w:rsid w:val="00E04F6F"/>
    <w:rsid w:val="00E078AE"/>
    <w:rsid w:val="00E12FF5"/>
    <w:rsid w:val="00E275C7"/>
    <w:rsid w:val="00E3356A"/>
    <w:rsid w:val="00E41008"/>
    <w:rsid w:val="00E53281"/>
    <w:rsid w:val="00E57A04"/>
    <w:rsid w:val="00E61C89"/>
    <w:rsid w:val="00E72F45"/>
    <w:rsid w:val="00E740D6"/>
    <w:rsid w:val="00E76F94"/>
    <w:rsid w:val="00E856FB"/>
    <w:rsid w:val="00E901D1"/>
    <w:rsid w:val="00E9034D"/>
    <w:rsid w:val="00EA2220"/>
    <w:rsid w:val="00EA5932"/>
    <w:rsid w:val="00EB321B"/>
    <w:rsid w:val="00ED1285"/>
    <w:rsid w:val="00ED1A5C"/>
    <w:rsid w:val="00ED2D1E"/>
    <w:rsid w:val="00ED3C35"/>
    <w:rsid w:val="00EE2690"/>
    <w:rsid w:val="00EF05E5"/>
    <w:rsid w:val="00F005AE"/>
    <w:rsid w:val="00F15D28"/>
    <w:rsid w:val="00F25104"/>
    <w:rsid w:val="00F31408"/>
    <w:rsid w:val="00F35ABB"/>
    <w:rsid w:val="00F37014"/>
    <w:rsid w:val="00F662A5"/>
    <w:rsid w:val="00F765D5"/>
    <w:rsid w:val="00FB4CBE"/>
    <w:rsid w:val="00FC0CB3"/>
    <w:rsid w:val="00FC2D49"/>
    <w:rsid w:val="00FC4D5D"/>
    <w:rsid w:val="00FD3468"/>
    <w:rsid w:val="00FE05E7"/>
    <w:rsid w:val="00FF0C5A"/>
    <w:rsid w:val="00FF3481"/>
    <w:rsid w:val="00FF6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52A9"/>
  <w15:chartTrackingRefBased/>
  <w15:docId w15:val="{73653566-D925-4657-B32B-08DFFFB2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Normal"/>
    <w:qFormat/>
    <w:rsid w:val="00C76F90"/>
    <w:pPr>
      <w:spacing w:before="120" w:after="120" w:line="264" w:lineRule="auto"/>
      <w:jc w:val="both"/>
    </w:pPr>
    <w:rPr>
      <w:rFonts w:ascii="ITC Avant Garde" w:hAnsi="ITC Avant Garde" w:cs="Arial"/>
      <w:lang w:val="es-ES_tradnl"/>
    </w:rPr>
  </w:style>
  <w:style w:type="paragraph" w:styleId="Ttulo1">
    <w:name w:val="heading 1"/>
    <w:basedOn w:val="Normal"/>
    <w:next w:val="Normal"/>
    <w:link w:val="Ttulo1Car"/>
    <w:uiPriority w:val="9"/>
    <w:qFormat/>
    <w:rsid w:val="00076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6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76E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6F90"/>
    <w:pPr>
      <w:autoSpaceDE w:val="0"/>
      <w:autoSpaceDN w:val="0"/>
      <w:adjustRightInd w:val="0"/>
      <w:spacing w:after="0" w:line="240" w:lineRule="auto"/>
    </w:pPr>
    <w:rPr>
      <w:rFonts w:ascii="ITC Avant Garde" w:hAnsi="ITC Avant Garde" w:cs="ITC Avant Garde"/>
      <w:color w:val="000000"/>
      <w:sz w:val="24"/>
      <w:szCs w:val="24"/>
    </w:rPr>
  </w:style>
  <w:style w:type="paragraph" w:styleId="Prrafodelista">
    <w:name w:val="List Paragraph"/>
    <w:aliases w:val="Romanos,4 Viñ 1nivel,Numeración 1,Cuadrícula media 1 - Énfasis 21,Listas,lp1"/>
    <w:basedOn w:val="Normal"/>
    <w:link w:val="PrrafodelistaCar"/>
    <w:uiPriority w:val="34"/>
    <w:qFormat/>
    <w:rsid w:val="00C76F90"/>
    <w:pPr>
      <w:numPr>
        <w:numId w:val="1"/>
      </w:numPr>
      <w:ind w:left="714" w:hanging="357"/>
    </w:pPr>
  </w:style>
  <w:style w:type="character" w:customStyle="1" w:styleId="PrrafodelistaCar">
    <w:name w:val="Párrafo de lista Car"/>
    <w:aliases w:val="Romanos Car,4 Viñ 1nivel Car,Numeración 1 Car,Cuadrícula media 1 - Énfasis 21 Car,Listas Car,lp1 Car"/>
    <w:link w:val="Prrafodelista"/>
    <w:uiPriority w:val="34"/>
    <w:rsid w:val="00C76F90"/>
    <w:rPr>
      <w:rFonts w:ascii="ITC Avant Garde" w:hAnsi="ITC Avant Garde" w:cs="Arial"/>
      <w:lang w:val="es-ES_tradnl"/>
    </w:rPr>
  </w:style>
  <w:style w:type="character" w:styleId="Refdenotaalpie">
    <w:name w:val="footnote reference"/>
    <w:basedOn w:val="Fuentedeprrafopredeter"/>
    <w:uiPriority w:val="99"/>
    <w:semiHidden/>
    <w:unhideWhenUsed/>
    <w:rsid w:val="00C76F90"/>
    <w:rPr>
      <w:vertAlign w:val="superscript"/>
    </w:rPr>
  </w:style>
  <w:style w:type="paragraph" w:styleId="Textonotapie">
    <w:name w:val="footnote text"/>
    <w:basedOn w:val="Normal"/>
    <w:link w:val="TextonotapieCar"/>
    <w:uiPriority w:val="99"/>
    <w:semiHidden/>
    <w:unhideWhenUsed/>
    <w:rsid w:val="00C76F90"/>
    <w:pPr>
      <w:spacing w:before="0" w:after="0" w:line="240" w:lineRule="auto"/>
      <w:jc w:val="left"/>
    </w:pPr>
    <w:rPr>
      <w:rFonts w:ascii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C76F90"/>
    <w:rPr>
      <w:sz w:val="20"/>
      <w:szCs w:val="20"/>
    </w:rPr>
  </w:style>
  <w:style w:type="paragraph" w:customStyle="1" w:styleId="Normal1">
    <w:name w:val="Normal1"/>
    <w:rsid w:val="00C76F90"/>
    <w:rPr>
      <w:rFonts w:ascii="Calibri" w:eastAsia="Calibri" w:hAnsi="Calibri" w:cs="Calibri"/>
      <w:color w:val="000000"/>
      <w:lang w:eastAsia="es-ES"/>
    </w:rPr>
  </w:style>
  <w:style w:type="paragraph" w:customStyle="1" w:styleId="estilo30">
    <w:name w:val="estilo30"/>
    <w:basedOn w:val="Normal"/>
    <w:uiPriority w:val="99"/>
    <w:rsid w:val="00C76F90"/>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C76F90"/>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F90"/>
    <w:rPr>
      <w:rFonts w:ascii="Segoe UI" w:hAnsi="Segoe UI" w:cs="Segoe UI"/>
      <w:sz w:val="18"/>
      <w:szCs w:val="18"/>
      <w:lang w:val="es-ES_tradnl"/>
    </w:rPr>
  </w:style>
  <w:style w:type="paragraph" w:styleId="Revisin">
    <w:name w:val="Revision"/>
    <w:hidden/>
    <w:uiPriority w:val="99"/>
    <w:semiHidden/>
    <w:rsid w:val="00693630"/>
    <w:pPr>
      <w:spacing w:after="0" w:line="240" w:lineRule="auto"/>
    </w:pPr>
    <w:rPr>
      <w:rFonts w:ascii="ITC Avant Garde" w:hAnsi="ITC Avant Garde" w:cs="Arial"/>
      <w:lang w:val="es-ES_tradnl"/>
    </w:rPr>
  </w:style>
  <w:style w:type="paragraph" w:styleId="Encabezado">
    <w:name w:val="header"/>
    <w:basedOn w:val="Normal"/>
    <w:link w:val="EncabezadoCar"/>
    <w:uiPriority w:val="99"/>
    <w:unhideWhenUsed/>
    <w:rsid w:val="00BC7E6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C7E6F"/>
    <w:rPr>
      <w:rFonts w:ascii="ITC Avant Garde" w:hAnsi="ITC Avant Garde" w:cs="Arial"/>
      <w:lang w:val="es-ES_tradnl"/>
    </w:rPr>
  </w:style>
  <w:style w:type="paragraph" w:styleId="Piedepgina">
    <w:name w:val="footer"/>
    <w:basedOn w:val="Normal"/>
    <w:link w:val="PiedepginaCar"/>
    <w:uiPriority w:val="99"/>
    <w:unhideWhenUsed/>
    <w:rsid w:val="00BC7E6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C7E6F"/>
    <w:rPr>
      <w:rFonts w:ascii="ITC Avant Garde" w:hAnsi="ITC Avant Garde" w:cs="Arial"/>
      <w:lang w:val="es-ES_tradnl"/>
    </w:rPr>
  </w:style>
  <w:style w:type="character" w:styleId="Refdecomentario">
    <w:name w:val="annotation reference"/>
    <w:basedOn w:val="Fuentedeprrafopredeter"/>
    <w:uiPriority w:val="99"/>
    <w:semiHidden/>
    <w:unhideWhenUsed/>
    <w:rsid w:val="000F2D9A"/>
    <w:rPr>
      <w:sz w:val="16"/>
      <w:szCs w:val="16"/>
    </w:rPr>
  </w:style>
  <w:style w:type="paragraph" w:styleId="Textocomentario">
    <w:name w:val="annotation text"/>
    <w:basedOn w:val="Normal"/>
    <w:link w:val="TextocomentarioCar"/>
    <w:uiPriority w:val="99"/>
    <w:semiHidden/>
    <w:unhideWhenUsed/>
    <w:rsid w:val="000F2D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9A"/>
    <w:rPr>
      <w:rFonts w:ascii="ITC Avant Garde" w:hAnsi="ITC Avant Garde" w:cs="Arial"/>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F2D9A"/>
    <w:rPr>
      <w:b/>
      <w:bCs/>
    </w:rPr>
  </w:style>
  <w:style w:type="character" w:customStyle="1" w:styleId="AsuntodelcomentarioCar">
    <w:name w:val="Asunto del comentario Car"/>
    <w:basedOn w:val="TextocomentarioCar"/>
    <w:link w:val="Asuntodelcomentario"/>
    <w:uiPriority w:val="99"/>
    <w:semiHidden/>
    <w:rsid w:val="000F2D9A"/>
    <w:rPr>
      <w:rFonts w:ascii="ITC Avant Garde" w:hAnsi="ITC Avant Garde" w:cs="Arial"/>
      <w:b/>
      <w:bCs/>
      <w:sz w:val="20"/>
      <w:szCs w:val="20"/>
      <w:lang w:val="es-ES_tradnl"/>
    </w:rPr>
  </w:style>
  <w:style w:type="character" w:styleId="Hipervnculo">
    <w:name w:val="Hyperlink"/>
    <w:basedOn w:val="Fuentedeprrafopredeter"/>
    <w:uiPriority w:val="99"/>
    <w:unhideWhenUsed/>
    <w:rsid w:val="00556F4A"/>
    <w:rPr>
      <w:color w:val="0563C1" w:themeColor="hyperlink"/>
      <w:u w:val="single"/>
    </w:rPr>
  </w:style>
  <w:style w:type="paragraph" w:customStyle="1" w:styleId="Antecedentes">
    <w:name w:val="Antecedentes"/>
    <w:basedOn w:val="Prrafodelista"/>
    <w:link w:val="AntecedentesCar"/>
    <w:qFormat/>
    <w:rsid w:val="00B266B9"/>
    <w:pPr>
      <w:numPr>
        <w:numId w:val="14"/>
      </w:numPr>
      <w:tabs>
        <w:tab w:val="left" w:pos="9356"/>
      </w:tabs>
      <w:spacing w:line="276" w:lineRule="auto"/>
    </w:pPr>
    <w:rPr>
      <w:lang w:val="es-MX"/>
    </w:rPr>
  </w:style>
  <w:style w:type="character" w:customStyle="1" w:styleId="AntecedentesCar">
    <w:name w:val="Antecedentes Car"/>
    <w:basedOn w:val="Fuentedeprrafopredeter"/>
    <w:link w:val="Antecedentes"/>
    <w:rsid w:val="00B266B9"/>
    <w:rPr>
      <w:rFonts w:ascii="ITC Avant Garde" w:hAnsi="ITC Avant Garde" w:cs="Arial"/>
    </w:rPr>
  </w:style>
  <w:style w:type="paragraph" w:customStyle="1" w:styleId="Normalresolucion">
    <w:name w:val="Normal resolucion"/>
    <w:basedOn w:val="Normal"/>
    <w:link w:val="NormalresolucionChar"/>
    <w:qFormat/>
    <w:rsid w:val="009365AC"/>
    <w:pPr>
      <w:spacing w:before="240" w:line="240" w:lineRule="auto"/>
    </w:pPr>
    <w:rPr>
      <w:rFonts w:eastAsia="Times New Roman"/>
      <w:lang w:val="es-ES" w:eastAsia="es-ES"/>
    </w:rPr>
  </w:style>
  <w:style w:type="character" w:customStyle="1" w:styleId="NormalresolucionChar">
    <w:name w:val="Normal resolucion Char"/>
    <w:basedOn w:val="Fuentedeprrafopredeter"/>
    <w:link w:val="Normalresolucion"/>
    <w:rsid w:val="009365AC"/>
    <w:rPr>
      <w:rFonts w:ascii="ITC Avant Garde" w:eastAsia="Times New Roman" w:hAnsi="ITC Avant Garde" w:cs="Arial"/>
      <w:lang w:val="es-ES" w:eastAsia="es-ES"/>
    </w:rPr>
  </w:style>
  <w:style w:type="character" w:styleId="Hipervnculovisitado">
    <w:name w:val="FollowedHyperlink"/>
    <w:basedOn w:val="Fuentedeprrafopredeter"/>
    <w:uiPriority w:val="99"/>
    <w:semiHidden/>
    <w:unhideWhenUsed/>
    <w:rsid w:val="005F1725"/>
    <w:rPr>
      <w:color w:val="954F72" w:themeColor="followedHyperlink"/>
      <w:u w:val="single"/>
    </w:rPr>
  </w:style>
  <w:style w:type="character" w:customStyle="1" w:styleId="Ttulo1Car">
    <w:name w:val="Título 1 Car"/>
    <w:basedOn w:val="Fuentedeprrafopredeter"/>
    <w:link w:val="Ttulo1"/>
    <w:uiPriority w:val="9"/>
    <w:rsid w:val="00076EA6"/>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076EA6"/>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semiHidden/>
    <w:rsid w:val="00076EA6"/>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8577">
      <w:bodyDiv w:val="1"/>
      <w:marLeft w:val="0"/>
      <w:marRight w:val="0"/>
      <w:marTop w:val="0"/>
      <w:marBottom w:val="0"/>
      <w:divBdr>
        <w:top w:val="none" w:sz="0" w:space="0" w:color="auto"/>
        <w:left w:val="none" w:sz="0" w:space="0" w:color="auto"/>
        <w:bottom w:val="none" w:sz="0" w:space="0" w:color="auto"/>
        <w:right w:val="none" w:sz="0" w:space="0" w:color="auto"/>
      </w:divBdr>
      <w:divsChild>
        <w:div w:id="1165559119">
          <w:marLeft w:val="0"/>
          <w:marRight w:val="0"/>
          <w:marTop w:val="0"/>
          <w:marBottom w:val="0"/>
          <w:divBdr>
            <w:top w:val="none" w:sz="0" w:space="0" w:color="auto"/>
            <w:left w:val="none" w:sz="0" w:space="0" w:color="auto"/>
            <w:bottom w:val="none" w:sz="0" w:space="0" w:color="auto"/>
            <w:right w:val="none" w:sz="0" w:space="0" w:color="auto"/>
          </w:divBdr>
          <w:divsChild>
            <w:div w:id="1487354632">
              <w:marLeft w:val="0"/>
              <w:marRight w:val="0"/>
              <w:marTop w:val="0"/>
              <w:marBottom w:val="0"/>
              <w:divBdr>
                <w:top w:val="none" w:sz="0" w:space="0" w:color="auto"/>
                <w:left w:val="none" w:sz="0" w:space="0" w:color="auto"/>
                <w:bottom w:val="none" w:sz="0" w:space="0" w:color="auto"/>
                <w:right w:val="none" w:sz="0" w:space="0" w:color="auto"/>
              </w:divBdr>
              <w:divsChild>
                <w:div w:id="213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180">
          <w:marLeft w:val="0"/>
          <w:marRight w:val="0"/>
          <w:marTop w:val="0"/>
          <w:marBottom w:val="0"/>
          <w:divBdr>
            <w:top w:val="none" w:sz="0" w:space="0" w:color="auto"/>
            <w:left w:val="none" w:sz="0" w:space="0" w:color="auto"/>
            <w:bottom w:val="none" w:sz="0" w:space="0" w:color="auto"/>
            <w:right w:val="none" w:sz="0" w:space="0" w:color="auto"/>
          </w:divBdr>
          <w:divsChild>
            <w:div w:id="849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6165">
      <w:bodyDiv w:val="1"/>
      <w:marLeft w:val="0"/>
      <w:marRight w:val="0"/>
      <w:marTop w:val="0"/>
      <w:marBottom w:val="0"/>
      <w:divBdr>
        <w:top w:val="none" w:sz="0" w:space="0" w:color="auto"/>
        <w:left w:val="none" w:sz="0" w:space="0" w:color="auto"/>
        <w:bottom w:val="none" w:sz="0" w:space="0" w:color="auto"/>
        <w:right w:val="none" w:sz="0" w:space="0" w:color="auto"/>
      </w:divBdr>
    </w:div>
    <w:div w:id="446004838">
      <w:bodyDiv w:val="1"/>
      <w:marLeft w:val="0"/>
      <w:marRight w:val="0"/>
      <w:marTop w:val="0"/>
      <w:marBottom w:val="0"/>
      <w:divBdr>
        <w:top w:val="none" w:sz="0" w:space="0" w:color="auto"/>
        <w:left w:val="none" w:sz="0" w:space="0" w:color="auto"/>
        <w:bottom w:val="none" w:sz="0" w:space="0" w:color="auto"/>
        <w:right w:val="none" w:sz="0" w:space="0" w:color="auto"/>
      </w:divBdr>
      <w:divsChild>
        <w:div w:id="1988851271">
          <w:marLeft w:val="0"/>
          <w:marRight w:val="0"/>
          <w:marTop w:val="0"/>
          <w:marBottom w:val="0"/>
          <w:divBdr>
            <w:top w:val="none" w:sz="0" w:space="0" w:color="auto"/>
            <w:left w:val="none" w:sz="0" w:space="0" w:color="auto"/>
            <w:bottom w:val="none" w:sz="0" w:space="0" w:color="auto"/>
            <w:right w:val="none" w:sz="0" w:space="0" w:color="auto"/>
          </w:divBdr>
        </w:div>
      </w:divsChild>
    </w:div>
    <w:div w:id="446391203">
      <w:bodyDiv w:val="1"/>
      <w:marLeft w:val="0"/>
      <w:marRight w:val="0"/>
      <w:marTop w:val="0"/>
      <w:marBottom w:val="0"/>
      <w:divBdr>
        <w:top w:val="none" w:sz="0" w:space="0" w:color="auto"/>
        <w:left w:val="none" w:sz="0" w:space="0" w:color="auto"/>
        <w:bottom w:val="none" w:sz="0" w:space="0" w:color="auto"/>
        <w:right w:val="none" w:sz="0" w:space="0" w:color="auto"/>
      </w:divBdr>
      <w:divsChild>
        <w:div w:id="1824353875">
          <w:marLeft w:val="0"/>
          <w:marRight w:val="0"/>
          <w:marTop w:val="0"/>
          <w:marBottom w:val="0"/>
          <w:divBdr>
            <w:top w:val="none" w:sz="0" w:space="0" w:color="auto"/>
            <w:left w:val="none" w:sz="0" w:space="0" w:color="auto"/>
            <w:bottom w:val="none" w:sz="0" w:space="0" w:color="auto"/>
            <w:right w:val="none" w:sz="0" w:space="0" w:color="auto"/>
          </w:divBdr>
        </w:div>
      </w:divsChild>
    </w:div>
    <w:div w:id="447315704">
      <w:bodyDiv w:val="1"/>
      <w:marLeft w:val="0"/>
      <w:marRight w:val="0"/>
      <w:marTop w:val="0"/>
      <w:marBottom w:val="0"/>
      <w:divBdr>
        <w:top w:val="none" w:sz="0" w:space="0" w:color="auto"/>
        <w:left w:val="none" w:sz="0" w:space="0" w:color="auto"/>
        <w:bottom w:val="none" w:sz="0" w:space="0" w:color="auto"/>
        <w:right w:val="none" w:sz="0" w:space="0" w:color="auto"/>
      </w:divBdr>
      <w:divsChild>
        <w:div w:id="1256128866">
          <w:marLeft w:val="0"/>
          <w:marRight w:val="0"/>
          <w:marTop w:val="0"/>
          <w:marBottom w:val="0"/>
          <w:divBdr>
            <w:top w:val="none" w:sz="0" w:space="0" w:color="auto"/>
            <w:left w:val="none" w:sz="0" w:space="0" w:color="auto"/>
            <w:bottom w:val="none" w:sz="0" w:space="0" w:color="auto"/>
            <w:right w:val="none" w:sz="0" w:space="0" w:color="auto"/>
          </w:divBdr>
        </w:div>
      </w:divsChild>
    </w:div>
    <w:div w:id="449403092">
      <w:bodyDiv w:val="1"/>
      <w:marLeft w:val="0"/>
      <w:marRight w:val="0"/>
      <w:marTop w:val="0"/>
      <w:marBottom w:val="0"/>
      <w:divBdr>
        <w:top w:val="none" w:sz="0" w:space="0" w:color="auto"/>
        <w:left w:val="none" w:sz="0" w:space="0" w:color="auto"/>
        <w:bottom w:val="none" w:sz="0" w:space="0" w:color="auto"/>
        <w:right w:val="none" w:sz="0" w:space="0" w:color="auto"/>
      </w:divBdr>
    </w:div>
    <w:div w:id="1224296829">
      <w:bodyDiv w:val="1"/>
      <w:marLeft w:val="0"/>
      <w:marRight w:val="0"/>
      <w:marTop w:val="0"/>
      <w:marBottom w:val="0"/>
      <w:divBdr>
        <w:top w:val="none" w:sz="0" w:space="0" w:color="auto"/>
        <w:left w:val="none" w:sz="0" w:space="0" w:color="auto"/>
        <w:bottom w:val="none" w:sz="0" w:space="0" w:color="auto"/>
        <w:right w:val="none" w:sz="0" w:space="0" w:color="auto"/>
      </w:divBdr>
      <w:divsChild>
        <w:div w:id="4064238">
          <w:marLeft w:val="0"/>
          <w:marRight w:val="0"/>
          <w:marTop w:val="0"/>
          <w:marBottom w:val="0"/>
          <w:divBdr>
            <w:top w:val="none" w:sz="0" w:space="0" w:color="auto"/>
            <w:left w:val="none" w:sz="0" w:space="0" w:color="auto"/>
            <w:bottom w:val="none" w:sz="0" w:space="0" w:color="auto"/>
            <w:right w:val="none" w:sz="0" w:space="0" w:color="auto"/>
          </w:divBdr>
        </w:div>
      </w:divsChild>
    </w:div>
    <w:div w:id="1429733527">
      <w:bodyDiv w:val="1"/>
      <w:marLeft w:val="0"/>
      <w:marRight w:val="0"/>
      <w:marTop w:val="0"/>
      <w:marBottom w:val="0"/>
      <w:divBdr>
        <w:top w:val="none" w:sz="0" w:space="0" w:color="auto"/>
        <w:left w:val="none" w:sz="0" w:space="0" w:color="auto"/>
        <w:bottom w:val="none" w:sz="0" w:space="0" w:color="auto"/>
        <w:right w:val="none" w:sz="0" w:space="0" w:color="auto"/>
      </w:divBdr>
      <w:divsChild>
        <w:div w:id="2022392268">
          <w:marLeft w:val="0"/>
          <w:marRight w:val="0"/>
          <w:marTop w:val="0"/>
          <w:marBottom w:val="0"/>
          <w:divBdr>
            <w:top w:val="none" w:sz="0" w:space="0" w:color="auto"/>
            <w:left w:val="none" w:sz="0" w:space="0" w:color="auto"/>
            <w:bottom w:val="none" w:sz="0" w:space="0" w:color="auto"/>
            <w:right w:val="none" w:sz="0" w:space="0" w:color="auto"/>
          </w:divBdr>
        </w:div>
      </w:divsChild>
    </w:div>
    <w:div w:id="19930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cofemer.gob.mx/anexos/guia_de_indicadores_de_MR_15.pdf" TargetMode="External"/><Relationship Id="rId3" Type="http://schemas.openxmlformats.org/officeDocument/2006/relationships/hyperlink" Target="http://serviciosenlinea.osiptel.gob.pe/ConsultaSIRT/Buscar/frmConsultaTar.aspx" TargetMode="External"/><Relationship Id="rId7" Type="http://schemas.openxmlformats.org/officeDocument/2006/relationships/hyperlink" Target="https://www.fcc.gov/document/electronic-tariff-filing-system-etfs" TargetMode="External"/><Relationship Id="rId2" Type="http://schemas.openxmlformats.org/officeDocument/2006/relationships/hyperlink" Target="https://www.osiptel.gob.pe/repositorioaps/data/1/1/1/par/reglamentograltarifas/Res060-2000-CD_Reglamento-general-tarifas.pdf" TargetMode="External"/><Relationship Id="rId1" Type="http://schemas.openxmlformats.org/officeDocument/2006/relationships/hyperlink" Target="http://www.ift.org.mx/sites/default/files/estudio_de_la_ocde_sobre_telecomuncaciones_y_radiodifusion_en_mexico_2017.pdf" TargetMode="External"/><Relationship Id="rId6" Type="http://schemas.openxmlformats.org/officeDocument/2006/relationships/hyperlink" Target="https://apps.fcc.gov/etfs/etfsHome.action" TargetMode="External"/><Relationship Id="rId5" Type="http://schemas.openxmlformats.org/officeDocument/2006/relationships/hyperlink" Target="https://www.osiptel.gob.pe/Archivos/Norma/MarcoNormatTarif/res1272003CDOSIPTELpro.pdf" TargetMode="External"/><Relationship Id="rId4" Type="http://schemas.openxmlformats.org/officeDocument/2006/relationships/hyperlink" Target="http://serviciosenlinea.osiptel.gob.pe/ConsultaSIRT/Manual/ManualUsuari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90ED-A5DC-4A0D-8D24-C62951EF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F9A15-535E-4196-B94B-6A4F6E4BE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1D348-C439-4386-9BC6-57C2E0FC05A1}">
  <ds:schemaRefs>
    <ds:schemaRef ds:uri="http://schemas.microsoft.com/sharepoint/v3/contenttype/forms"/>
  </ds:schemaRefs>
</ds:datastoreItem>
</file>

<file path=customXml/itemProps4.xml><?xml version="1.0" encoding="utf-8"?>
<ds:datastoreItem xmlns:ds="http://schemas.openxmlformats.org/officeDocument/2006/customXml" ds:itemID="{A49E2576-AA1D-4577-BE2A-3803B5D3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4929</Words>
  <Characters>27111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Rivera</dc:creator>
  <cp:keywords/>
  <dc:description/>
  <cp:lastModifiedBy>Josue Teoyotl Calderon</cp:lastModifiedBy>
  <cp:revision>4</cp:revision>
  <cp:lastPrinted>2018-12-05T17:04:00Z</cp:lastPrinted>
  <dcterms:created xsi:type="dcterms:W3CDTF">2018-12-05T03:05:00Z</dcterms:created>
  <dcterms:modified xsi:type="dcterms:W3CDTF">2018-12-05T17:04:00Z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