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63ED82" w14:textId="6CF49D7A" w:rsidR="007A59F7" w:rsidRPr="00DD6F12" w:rsidRDefault="00107B28" w:rsidP="00DD6F12">
      <w:pPr>
        <w:spacing w:after="0" w:line="276" w:lineRule="auto"/>
        <w:jc w:val="both"/>
        <w:rPr>
          <w:rFonts w:ascii="ITC Avant Garde" w:hAnsi="ITC Avant Garde"/>
          <w:b/>
          <w:szCs w:val="20"/>
        </w:rPr>
      </w:pPr>
      <w:r w:rsidRPr="00DD6F12">
        <w:rPr>
          <w:rFonts w:ascii="ITC Avant Garde" w:hAnsi="ITC Avant Garde" w:cs="Arial"/>
          <w:b/>
          <w:bCs/>
          <w:szCs w:val="20"/>
          <w:lang w:eastAsia="es-ES"/>
        </w:rPr>
        <w:t>A</w:t>
      </w:r>
      <w:r w:rsidR="00926DB0" w:rsidRPr="00DD6F12">
        <w:rPr>
          <w:rFonts w:ascii="ITC Avant Garde" w:hAnsi="ITC Avant Garde" w:cs="Arial"/>
          <w:b/>
          <w:bCs/>
          <w:szCs w:val="20"/>
          <w:lang w:eastAsia="es-ES"/>
        </w:rPr>
        <w:t>CUERDO</w:t>
      </w:r>
      <w:r w:rsidR="00CC5D24" w:rsidRPr="00DD6F12">
        <w:rPr>
          <w:rFonts w:ascii="ITC Avant Garde" w:hAnsi="ITC Avant Garde" w:cs="Arial"/>
          <w:b/>
          <w:bCs/>
          <w:szCs w:val="20"/>
          <w:lang w:eastAsia="es-ES"/>
        </w:rPr>
        <w:t xml:space="preserve"> </w:t>
      </w:r>
      <w:r w:rsidR="00926DB0" w:rsidRPr="00DD6F12">
        <w:rPr>
          <w:rFonts w:ascii="ITC Avant Garde" w:hAnsi="ITC Avant Garde" w:cs="Arial"/>
          <w:b/>
          <w:bCs/>
          <w:szCs w:val="20"/>
          <w:lang w:eastAsia="es-ES"/>
        </w:rPr>
        <w:t>MEDIANTE EL CUAL EL PLENO DEL INSTITUTO FEDERAL DE TELECOMUNICACIONES SOMETE A CONSULTA PÚBLICA EL “ANTEPROYECTO</w:t>
      </w:r>
      <w:r w:rsidRPr="00DD6F12">
        <w:rPr>
          <w:rFonts w:ascii="ITC Avant Garde" w:hAnsi="ITC Avant Garde" w:cs="Arial"/>
          <w:b/>
          <w:bCs/>
          <w:szCs w:val="20"/>
          <w:lang w:eastAsia="es-ES"/>
        </w:rPr>
        <w:t xml:space="preserve"> DE</w:t>
      </w:r>
      <w:r w:rsidR="004E4227" w:rsidRPr="00DD6F12">
        <w:rPr>
          <w:rFonts w:ascii="ITC Avant Garde" w:hAnsi="ITC Avant Garde" w:cs="Arial"/>
          <w:b/>
          <w:bCs/>
          <w:szCs w:val="20"/>
          <w:lang w:eastAsia="es-ES"/>
        </w:rPr>
        <w:t xml:space="preserve"> </w:t>
      </w:r>
      <w:r w:rsidR="003800A7" w:rsidRPr="00DD6F12">
        <w:rPr>
          <w:rFonts w:ascii="ITC Avant Garde" w:hAnsi="ITC Avant Garde" w:cs="Arial"/>
          <w:b/>
          <w:bCs/>
          <w:szCs w:val="20"/>
          <w:lang w:eastAsia="es-ES"/>
        </w:rPr>
        <w:t xml:space="preserve">LINEAMIENTOS MEDIANTE LOS CUALES SE ESTABLECE EL </w:t>
      </w:r>
      <w:r w:rsidR="004E4227" w:rsidRPr="00DD6F12">
        <w:rPr>
          <w:rFonts w:ascii="ITC Avant Garde" w:hAnsi="ITC Avant Garde" w:cs="Arial"/>
          <w:b/>
          <w:bCs/>
          <w:szCs w:val="20"/>
          <w:lang w:eastAsia="es-ES"/>
        </w:rPr>
        <w:t xml:space="preserve">PROCEDIMIENTO PARA LA </w:t>
      </w:r>
      <w:r w:rsidR="00064E81" w:rsidRPr="00DD6F12">
        <w:rPr>
          <w:rFonts w:ascii="ITC Avant Garde" w:hAnsi="ITC Avant Garde" w:cs="Arial"/>
          <w:b/>
          <w:bCs/>
          <w:szCs w:val="20"/>
          <w:lang w:eastAsia="es-ES"/>
        </w:rPr>
        <w:t xml:space="preserve">PRESENTACIÓN DE LA SOLICITUD ELECTRÓNICA DE </w:t>
      </w:r>
      <w:r w:rsidR="004E4227" w:rsidRPr="00DD6F12">
        <w:rPr>
          <w:rFonts w:ascii="ITC Avant Garde" w:hAnsi="ITC Avant Garde" w:cs="Arial"/>
          <w:b/>
          <w:bCs/>
          <w:szCs w:val="20"/>
          <w:lang w:eastAsia="es-ES"/>
        </w:rPr>
        <w:t xml:space="preserve">AUTORIZACIÓN DE TARIFAS DE LOS SERVICIOS </w:t>
      </w:r>
      <w:r w:rsidR="004E4227" w:rsidRPr="00DD6F12">
        <w:rPr>
          <w:rFonts w:ascii="ITC Avant Garde" w:hAnsi="ITC Avant Garde"/>
          <w:b/>
          <w:szCs w:val="20"/>
        </w:rPr>
        <w:t xml:space="preserve">DE TELECOMUNICACIONES PARA USUARIOS FINALES, </w:t>
      </w:r>
      <w:r w:rsidR="007121D5" w:rsidRPr="00DD6F12">
        <w:rPr>
          <w:rFonts w:ascii="ITC Avant Garde" w:hAnsi="ITC Avant Garde"/>
          <w:b/>
          <w:szCs w:val="20"/>
        </w:rPr>
        <w:t>AL CUAL</w:t>
      </w:r>
      <w:r w:rsidR="004E4227" w:rsidRPr="00DD6F12">
        <w:rPr>
          <w:rFonts w:ascii="ITC Avant Garde" w:hAnsi="ITC Avant Garde"/>
          <w:b/>
          <w:szCs w:val="20"/>
        </w:rPr>
        <w:t xml:space="preserve"> DEBERÁN SUJETARSE </w:t>
      </w:r>
      <w:r w:rsidR="005269E9" w:rsidRPr="00DD6F12">
        <w:rPr>
          <w:rFonts w:ascii="ITC Avant Garde" w:hAnsi="ITC Avant Garde"/>
          <w:b/>
          <w:szCs w:val="20"/>
        </w:rPr>
        <w:t>EL</w:t>
      </w:r>
      <w:r w:rsidR="004E4227" w:rsidRPr="00DD6F12">
        <w:rPr>
          <w:rFonts w:ascii="ITC Avant Garde" w:hAnsi="ITC Avant Garde"/>
          <w:b/>
          <w:szCs w:val="20"/>
        </w:rPr>
        <w:t xml:space="preserve"> AGENTE ECONÓMICO PREPONDERANTE </w:t>
      </w:r>
      <w:r w:rsidR="005269E9" w:rsidRPr="00DD6F12">
        <w:rPr>
          <w:rFonts w:ascii="ITC Avant Garde" w:hAnsi="ITC Avant Garde"/>
          <w:b/>
          <w:szCs w:val="20"/>
        </w:rPr>
        <w:t>Y LOS AGENTES ECONÓMICOS</w:t>
      </w:r>
      <w:r w:rsidR="004E4227" w:rsidRPr="00DD6F12">
        <w:rPr>
          <w:rFonts w:ascii="ITC Avant Garde" w:hAnsi="ITC Avant Garde"/>
          <w:b/>
          <w:szCs w:val="20"/>
        </w:rPr>
        <w:t xml:space="preserve"> CON PODER SUSTANCIAL DE MERCADO EN EL SECTOR DE TELECOMUNICACIONES</w:t>
      </w:r>
      <w:r w:rsidR="00CC5D24" w:rsidRPr="00DD6F12">
        <w:rPr>
          <w:rFonts w:ascii="ITC Avant Garde" w:hAnsi="ITC Avant Garde"/>
          <w:b/>
          <w:szCs w:val="20"/>
        </w:rPr>
        <w:t>”</w:t>
      </w:r>
      <w:r w:rsidR="007075F1" w:rsidRPr="00DD6F12">
        <w:rPr>
          <w:rFonts w:ascii="ITC Avant Garde" w:hAnsi="ITC Avant Garde"/>
          <w:b/>
          <w:szCs w:val="20"/>
        </w:rPr>
        <w:t>.</w:t>
      </w:r>
    </w:p>
    <w:p w14:paraId="2F9B78DB" w14:textId="77777777" w:rsidR="00827118" w:rsidRPr="00DD6F12" w:rsidRDefault="00827118" w:rsidP="00DD6F12">
      <w:pPr>
        <w:spacing w:after="0" w:line="276" w:lineRule="auto"/>
        <w:jc w:val="both"/>
        <w:rPr>
          <w:rFonts w:ascii="ITC Avant Garde" w:hAnsi="ITC Avant Garde"/>
          <w:b/>
          <w:szCs w:val="20"/>
        </w:rPr>
      </w:pPr>
    </w:p>
    <w:p w14:paraId="726B1579" w14:textId="2B3A3BAA" w:rsidR="004E4227" w:rsidRPr="00DD6F12" w:rsidRDefault="007A59F7" w:rsidP="0051387C">
      <w:pPr>
        <w:jc w:val="center"/>
        <w:outlineLvl w:val="0"/>
        <w:rPr>
          <w:rFonts w:ascii="ITC Avant Garde" w:hAnsi="ITC Avant Garde"/>
          <w:b/>
          <w:szCs w:val="20"/>
        </w:rPr>
      </w:pPr>
      <w:r w:rsidRPr="00DD6F12">
        <w:rPr>
          <w:rFonts w:ascii="ITC Avant Garde" w:hAnsi="ITC Avant Garde"/>
          <w:b/>
          <w:szCs w:val="20"/>
        </w:rPr>
        <w:t>ANTECEDENTES</w:t>
      </w:r>
    </w:p>
    <w:p w14:paraId="1123C735" w14:textId="77777777" w:rsidR="004E4227" w:rsidRPr="00DD6F12" w:rsidRDefault="004E4227" w:rsidP="00FD611C">
      <w:pPr>
        <w:pStyle w:val="Prrafodelista"/>
        <w:numPr>
          <w:ilvl w:val="0"/>
          <w:numId w:val="22"/>
        </w:numPr>
        <w:spacing w:after="0"/>
        <w:jc w:val="both"/>
        <w:rPr>
          <w:rFonts w:ascii="ITC Avant Garde" w:hAnsi="ITC Avant Garde" w:cs="Arial"/>
          <w:bCs/>
          <w:szCs w:val="20"/>
          <w:lang w:eastAsia="es-ES"/>
        </w:rPr>
      </w:pPr>
      <w:r w:rsidRPr="00DD6F12">
        <w:rPr>
          <w:rFonts w:ascii="ITC Avant Garde" w:hAnsi="ITC Avant Garde" w:cs="Arial"/>
          <w:bCs/>
          <w:szCs w:val="20"/>
          <w:lang w:eastAsia="es-ES"/>
        </w:rPr>
        <w:t xml:space="preserve">Con fecha </w:t>
      </w:r>
      <w:r w:rsidR="00FD611C" w:rsidRPr="00DD6F12">
        <w:rPr>
          <w:rFonts w:ascii="ITC Avant Garde" w:hAnsi="ITC Avant Garde" w:cs="Arial"/>
          <w:bCs/>
          <w:szCs w:val="20"/>
          <w:lang w:eastAsia="es-ES"/>
        </w:rPr>
        <w:t>14 de julio de 2014, se publicó en el D</w:t>
      </w:r>
      <w:r w:rsidR="004521DF" w:rsidRPr="00DD6F12">
        <w:rPr>
          <w:rFonts w:ascii="ITC Avant Garde" w:hAnsi="ITC Avant Garde" w:cs="Arial"/>
          <w:bCs/>
          <w:szCs w:val="20"/>
          <w:lang w:eastAsia="es-ES"/>
        </w:rPr>
        <w:t xml:space="preserve">iario </w:t>
      </w:r>
      <w:r w:rsidR="00FD611C" w:rsidRPr="00DD6F12">
        <w:rPr>
          <w:rFonts w:ascii="ITC Avant Garde" w:hAnsi="ITC Avant Garde" w:cs="Arial"/>
          <w:bCs/>
          <w:szCs w:val="20"/>
          <w:lang w:eastAsia="es-ES"/>
        </w:rPr>
        <w:t>O</w:t>
      </w:r>
      <w:r w:rsidR="004521DF" w:rsidRPr="00DD6F12">
        <w:rPr>
          <w:rFonts w:ascii="ITC Avant Garde" w:hAnsi="ITC Avant Garde" w:cs="Arial"/>
          <w:bCs/>
          <w:szCs w:val="20"/>
          <w:lang w:eastAsia="es-ES"/>
        </w:rPr>
        <w:t xml:space="preserve">ficial de la </w:t>
      </w:r>
      <w:r w:rsidR="00FD611C" w:rsidRPr="00DD6F12">
        <w:rPr>
          <w:rFonts w:ascii="ITC Avant Garde" w:hAnsi="ITC Avant Garde" w:cs="Arial"/>
          <w:bCs/>
          <w:szCs w:val="20"/>
          <w:lang w:eastAsia="es-ES"/>
        </w:rPr>
        <w:t>F</w:t>
      </w:r>
      <w:r w:rsidR="004521DF" w:rsidRPr="00DD6F12">
        <w:rPr>
          <w:rFonts w:ascii="ITC Avant Garde" w:hAnsi="ITC Avant Garde" w:cs="Arial"/>
          <w:bCs/>
          <w:szCs w:val="20"/>
          <w:lang w:eastAsia="es-ES"/>
        </w:rPr>
        <w:t>ederación</w:t>
      </w:r>
      <w:r w:rsidR="00FD611C" w:rsidRPr="00DD6F12">
        <w:rPr>
          <w:rFonts w:ascii="ITC Avant Garde" w:hAnsi="ITC Avant Garde" w:cs="Arial"/>
          <w:bCs/>
          <w:szCs w:val="20"/>
          <w:lang w:eastAsia="es-ES"/>
        </w:rPr>
        <w:t>, el “</w:t>
      </w:r>
      <w:r w:rsidR="00FD611C" w:rsidRPr="00DD6F12">
        <w:rPr>
          <w:rFonts w:ascii="ITC Avant Garde" w:hAnsi="ITC Avant Garde" w:cs="Arial"/>
          <w:bCs/>
          <w:i/>
          <w:szCs w:val="20"/>
          <w:lang w:eastAsia="es-ES"/>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00FD611C" w:rsidRPr="00DD6F12">
        <w:rPr>
          <w:rFonts w:ascii="ITC Avant Garde" w:hAnsi="ITC Avant Garde" w:cs="Arial"/>
          <w:bCs/>
          <w:szCs w:val="20"/>
          <w:lang w:eastAsia="es-ES"/>
        </w:rPr>
        <w:t>”, que otorga diversas atribuciones al Instituto</w:t>
      </w:r>
      <w:r w:rsidR="00CC3640" w:rsidRPr="00DD6F12">
        <w:rPr>
          <w:rFonts w:ascii="ITC Avant Garde" w:hAnsi="ITC Avant Garde" w:cs="Arial"/>
          <w:bCs/>
          <w:szCs w:val="20"/>
          <w:lang w:eastAsia="es-ES"/>
        </w:rPr>
        <w:t xml:space="preserve"> Federal de Telecomunicaciones (en lo sucesivo, el “Instituto”)</w:t>
      </w:r>
      <w:r w:rsidR="00FD611C" w:rsidRPr="00DD6F12">
        <w:rPr>
          <w:rFonts w:ascii="ITC Avant Garde" w:hAnsi="ITC Avant Garde" w:cs="Arial"/>
          <w:bCs/>
          <w:szCs w:val="20"/>
          <w:lang w:eastAsia="es-ES"/>
        </w:rPr>
        <w:t>, mismo que entró en vigor el 13 de agosto de 2014.</w:t>
      </w:r>
    </w:p>
    <w:p w14:paraId="249E06A9" w14:textId="77777777" w:rsidR="004E4227" w:rsidRPr="00DD6F12" w:rsidRDefault="004E4227" w:rsidP="004E4227">
      <w:pPr>
        <w:spacing w:after="0"/>
        <w:jc w:val="both"/>
        <w:rPr>
          <w:rFonts w:ascii="ITC Avant Garde" w:hAnsi="ITC Avant Garde" w:cs="Arial"/>
          <w:bCs/>
          <w:szCs w:val="20"/>
          <w:lang w:eastAsia="es-ES"/>
        </w:rPr>
      </w:pPr>
    </w:p>
    <w:p w14:paraId="5D724308" w14:textId="77777777" w:rsidR="00D630C2" w:rsidRPr="00DD6F12" w:rsidRDefault="004E4227" w:rsidP="00D630C2">
      <w:pPr>
        <w:pStyle w:val="Prrafodelista"/>
        <w:numPr>
          <w:ilvl w:val="0"/>
          <w:numId w:val="22"/>
        </w:numPr>
        <w:jc w:val="both"/>
        <w:rPr>
          <w:rFonts w:ascii="ITC Avant Garde" w:hAnsi="ITC Avant Garde" w:cs="Arial"/>
          <w:bCs/>
          <w:szCs w:val="20"/>
          <w:lang w:eastAsia="es-ES"/>
        </w:rPr>
      </w:pPr>
      <w:r w:rsidRPr="00DD6F12">
        <w:rPr>
          <w:rFonts w:ascii="ITC Avant Garde" w:hAnsi="ITC Avant Garde" w:cs="Arial"/>
          <w:bCs/>
          <w:szCs w:val="20"/>
          <w:lang w:eastAsia="es-ES"/>
        </w:rPr>
        <w:t xml:space="preserve">Con fecha 26 de noviembre de 2014, el Pleno </w:t>
      </w:r>
      <w:r w:rsidR="002D4FF8" w:rsidRPr="00DD6F12">
        <w:rPr>
          <w:rFonts w:ascii="ITC Avant Garde" w:hAnsi="ITC Avant Garde" w:cs="Arial"/>
          <w:bCs/>
          <w:szCs w:val="20"/>
          <w:lang w:eastAsia="es-ES"/>
        </w:rPr>
        <w:t xml:space="preserve">del </w:t>
      </w:r>
      <w:r w:rsidRPr="00DD6F12">
        <w:rPr>
          <w:rFonts w:ascii="ITC Avant Garde" w:hAnsi="ITC Avant Garde" w:cs="Arial"/>
          <w:bCs/>
          <w:szCs w:val="20"/>
          <w:lang w:eastAsia="es-ES"/>
        </w:rPr>
        <w:t>Instituto, mediante Acuerdo P/IFT/261114/379 aprobó el “</w:t>
      </w:r>
      <w:r w:rsidRPr="00DD6F12">
        <w:rPr>
          <w:rFonts w:ascii="ITC Avant Garde" w:hAnsi="ITC Avant Garde" w:cs="Arial"/>
          <w:bCs/>
          <w:i/>
          <w:szCs w:val="20"/>
          <w:lang w:eastAsia="es-ES"/>
        </w:rPr>
        <w:t>Acuerdo mediante el cual se establece el procedimiento para la presentación de la solicitud electrónica de registro de tarifas a los usuarios que deben cumplir los concesionarios y autorizados de servicios de telecomunicaciones, al amparo de la Ley Federal de Telecomunicaciones y Radiodifusión</w:t>
      </w:r>
      <w:r w:rsidRPr="00DD6F12">
        <w:rPr>
          <w:rFonts w:ascii="ITC Avant Garde" w:hAnsi="ITC Avant Garde" w:cs="Arial"/>
          <w:bCs/>
          <w:szCs w:val="20"/>
          <w:lang w:eastAsia="es-ES"/>
        </w:rPr>
        <w:t>”.</w:t>
      </w:r>
    </w:p>
    <w:p w14:paraId="0382683F" w14:textId="77777777" w:rsidR="007A59F7" w:rsidRPr="00DD6F12" w:rsidRDefault="00234FCD" w:rsidP="00DD6F12">
      <w:pPr>
        <w:spacing w:after="0"/>
        <w:jc w:val="both"/>
        <w:rPr>
          <w:rFonts w:ascii="ITC Avant Garde" w:hAnsi="ITC Avant Garde"/>
          <w:szCs w:val="20"/>
        </w:rPr>
      </w:pPr>
      <w:r w:rsidRPr="00DD6F12">
        <w:rPr>
          <w:rFonts w:ascii="ITC Avant Garde" w:hAnsi="ITC Avant Garde"/>
          <w:szCs w:val="20"/>
        </w:rPr>
        <w:t xml:space="preserve">En virtud de los antecedentes señalados y, </w:t>
      </w:r>
    </w:p>
    <w:p w14:paraId="3CE5E04D" w14:textId="77777777" w:rsidR="00DA2A98" w:rsidRPr="00DD6F12" w:rsidRDefault="00DA2A98" w:rsidP="00DD6F12">
      <w:pPr>
        <w:spacing w:after="0"/>
        <w:jc w:val="both"/>
        <w:rPr>
          <w:rFonts w:ascii="ITC Avant Garde" w:hAnsi="ITC Avant Garde"/>
          <w:szCs w:val="20"/>
        </w:rPr>
      </w:pPr>
    </w:p>
    <w:p w14:paraId="59DAB247" w14:textId="77777777" w:rsidR="00D630C2" w:rsidRPr="00DD6F12" w:rsidRDefault="007A59F7" w:rsidP="00DC6151">
      <w:pPr>
        <w:jc w:val="center"/>
        <w:outlineLvl w:val="0"/>
        <w:rPr>
          <w:rFonts w:ascii="ITC Avant Garde" w:hAnsi="ITC Avant Garde"/>
          <w:b/>
          <w:szCs w:val="20"/>
        </w:rPr>
      </w:pPr>
      <w:r w:rsidRPr="00DD6F12">
        <w:rPr>
          <w:rFonts w:ascii="ITC Avant Garde" w:hAnsi="ITC Avant Garde"/>
          <w:b/>
          <w:szCs w:val="20"/>
        </w:rPr>
        <w:t>CONSIDERANDO</w:t>
      </w:r>
    </w:p>
    <w:p w14:paraId="35F6327F" w14:textId="77777777" w:rsidR="00DF0E7A" w:rsidRPr="00DD6F12" w:rsidRDefault="00E1613B" w:rsidP="009B08BE">
      <w:pPr>
        <w:jc w:val="both"/>
        <w:rPr>
          <w:rFonts w:ascii="ITC Avant Garde" w:hAnsi="ITC Avant Garde" w:cs="Arial"/>
          <w:bCs/>
          <w:szCs w:val="20"/>
          <w:lang w:eastAsia="es-ES"/>
        </w:rPr>
      </w:pPr>
      <w:r w:rsidRPr="00DD6F12">
        <w:rPr>
          <w:rFonts w:ascii="ITC Avant Garde" w:hAnsi="ITC Avant Garde"/>
          <w:b/>
          <w:szCs w:val="20"/>
        </w:rPr>
        <w:t xml:space="preserve">PRIMERO.- </w:t>
      </w:r>
      <w:r w:rsidR="00E672F9" w:rsidRPr="00DD6F12">
        <w:rPr>
          <w:rFonts w:ascii="ITC Avant Garde" w:hAnsi="ITC Avant Garde"/>
          <w:b/>
          <w:szCs w:val="20"/>
        </w:rPr>
        <w:t>COMPETENCIA DEL INSTITUTO</w:t>
      </w:r>
      <w:r w:rsidR="000D6BF8" w:rsidRPr="00DD6F12">
        <w:rPr>
          <w:rFonts w:ascii="ITC Avant Garde" w:hAnsi="ITC Avant Garde"/>
          <w:b/>
          <w:szCs w:val="20"/>
        </w:rPr>
        <w:t xml:space="preserve">.- </w:t>
      </w:r>
      <w:r w:rsidR="00DB02B4" w:rsidRPr="00DD6F12">
        <w:rPr>
          <w:rFonts w:ascii="ITC Avant Garde" w:eastAsia="Arial" w:hAnsi="ITC Avant Garde" w:cs="Arial"/>
          <w:szCs w:val="20"/>
          <w:lang w:val="es-ES_tradnl"/>
        </w:rPr>
        <w:t>Que d</w:t>
      </w:r>
      <w:r w:rsidR="00DF0E7A" w:rsidRPr="00DD6F12">
        <w:rPr>
          <w:rFonts w:ascii="ITC Avant Garde" w:eastAsia="Arial" w:hAnsi="ITC Avant Garde" w:cs="Arial"/>
          <w:szCs w:val="20"/>
          <w:lang w:val="es-ES_tradnl"/>
        </w:rPr>
        <w:t>e conformidad con lo establecido por el artículo 28</w:t>
      </w:r>
      <w:r w:rsidR="00846FB3" w:rsidRPr="00DD6F12">
        <w:rPr>
          <w:rFonts w:ascii="ITC Avant Garde" w:eastAsia="Arial" w:hAnsi="ITC Avant Garde" w:cs="Arial"/>
          <w:szCs w:val="20"/>
          <w:lang w:val="es-ES_tradnl"/>
        </w:rPr>
        <w:t>,</w:t>
      </w:r>
      <w:r w:rsidR="00DF0E7A" w:rsidRPr="00DD6F12">
        <w:rPr>
          <w:rFonts w:ascii="ITC Avant Garde" w:eastAsia="Arial" w:hAnsi="ITC Avant Garde" w:cs="Arial"/>
          <w:szCs w:val="20"/>
          <w:lang w:val="es-ES_tradnl"/>
        </w:rPr>
        <w:t xml:space="preserve"> párrafo décimo quinto de la Constitución Política de los Estados Unidos Mexicanos (en lo sucesivo, la "Constitución"),</w:t>
      </w:r>
      <w:r w:rsidR="009B08BE" w:rsidRPr="00DD6F12">
        <w:rPr>
          <w:rFonts w:ascii="ITC Avant Garde" w:eastAsia="Arial" w:hAnsi="ITC Avant Garde" w:cs="Arial"/>
          <w:szCs w:val="20"/>
          <w:lang w:val="es-ES_tradnl"/>
        </w:rPr>
        <w:t xml:space="preserve"> así como de los artículos 1 y 7 de la </w:t>
      </w:r>
      <w:r w:rsidR="003D08AE" w:rsidRPr="00DD6F12">
        <w:rPr>
          <w:rFonts w:ascii="ITC Avant Garde" w:eastAsia="Arial" w:hAnsi="ITC Avant Garde" w:cs="Arial"/>
          <w:szCs w:val="20"/>
          <w:lang w:val="es-ES_tradnl"/>
        </w:rPr>
        <w:t>L</w:t>
      </w:r>
      <w:r w:rsidR="004521DF" w:rsidRPr="00DD6F12">
        <w:rPr>
          <w:rFonts w:ascii="ITC Avant Garde" w:eastAsia="Arial" w:hAnsi="ITC Avant Garde" w:cs="Arial"/>
          <w:szCs w:val="20"/>
          <w:lang w:val="es-ES_tradnl"/>
        </w:rPr>
        <w:t xml:space="preserve">ey </w:t>
      </w:r>
      <w:r w:rsidR="003D08AE" w:rsidRPr="00DD6F12">
        <w:rPr>
          <w:rFonts w:ascii="ITC Avant Garde" w:eastAsia="Arial" w:hAnsi="ITC Avant Garde" w:cs="Arial"/>
          <w:szCs w:val="20"/>
          <w:lang w:val="es-ES_tradnl"/>
        </w:rPr>
        <w:t>F</w:t>
      </w:r>
      <w:r w:rsidR="004521DF" w:rsidRPr="00DD6F12">
        <w:rPr>
          <w:rFonts w:ascii="ITC Avant Garde" w:eastAsia="Arial" w:hAnsi="ITC Avant Garde" w:cs="Arial"/>
          <w:szCs w:val="20"/>
          <w:lang w:val="es-ES_tradnl"/>
        </w:rPr>
        <w:t xml:space="preserve">ederal de </w:t>
      </w:r>
      <w:r w:rsidR="003D08AE" w:rsidRPr="00DD6F12">
        <w:rPr>
          <w:rFonts w:ascii="ITC Avant Garde" w:eastAsia="Arial" w:hAnsi="ITC Avant Garde" w:cs="Arial"/>
          <w:szCs w:val="20"/>
          <w:lang w:val="es-ES_tradnl"/>
        </w:rPr>
        <w:t>T</w:t>
      </w:r>
      <w:r w:rsidR="004521DF" w:rsidRPr="00DD6F12">
        <w:rPr>
          <w:rFonts w:ascii="ITC Avant Garde" w:eastAsia="Arial" w:hAnsi="ITC Avant Garde" w:cs="Arial"/>
          <w:szCs w:val="20"/>
          <w:lang w:val="es-ES_tradnl"/>
        </w:rPr>
        <w:t xml:space="preserve">elecomunicaciones y </w:t>
      </w:r>
      <w:r w:rsidR="003D08AE" w:rsidRPr="00DD6F12">
        <w:rPr>
          <w:rFonts w:ascii="ITC Avant Garde" w:eastAsia="Arial" w:hAnsi="ITC Avant Garde" w:cs="Arial"/>
          <w:szCs w:val="20"/>
          <w:lang w:val="es-ES_tradnl"/>
        </w:rPr>
        <w:t>R</w:t>
      </w:r>
      <w:r w:rsidR="004521DF" w:rsidRPr="00DD6F12">
        <w:rPr>
          <w:rFonts w:ascii="ITC Avant Garde" w:eastAsia="Arial" w:hAnsi="ITC Avant Garde" w:cs="Arial"/>
          <w:szCs w:val="20"/>
          <w:lang w:val="es-ES_tradnl"/>
        </w:rPr>
        <w:t>adiodifusión (en lo sucesivo, “LFTR”)</w:t>
      </w:r>
      <w:r w:rsidR="009B08BE" w:rsidRPr="00DD6F12">
        <w:rPr>
          <w:rFonts w:ascii="ITC Avant Garde" w:eastAsia="Arial" w:hAnsi="ITC Avant Garde" w:cs="Arial"/>
          <w:szCs w:val="20"/>
          <w:lang w:val="es-ES_tradnl"/>
        </w:rPr>
        <w:t>,</w:t>
      </w:r>
      <w:r w:rsidR="00DF0E7A" w:rsidRPr="00DD6F12">
        <w:rPr>
          <w:rFonts w:ascii="ITC Avant Garde" w:eastAsia="Arial" w:hAnsi="ITC Avant Garde" w:cs="Arial"/>
          <w:szCs w:val="20"/>
          <w:lang w:val="es-ES_tradnl"/>
        </w:rPr>
        <w:t xml:space="preserve"> el Instituto tiene por objeto </w:t>
      </w:r>
      <w:r w:rsidR="00C721BF" w:rsidRPr="00DD6F12">
        <w:rPr>
          <w:rFonts w:ascii="ITC Avant Garde" w:eastAsia="Arial" w:hAnsi="ITC Avant Garde" w:cs="Arial"/>
          <w:szCs w:val="20"/>
          <w:lang w:val="es-ES_tradnl"/>
        </w:rPr>
        <w:t xml:space="preserve">regular y promover la competencia y </w:t>
      </w:r>
      <w:r w:rsidR="00DF0E7A" w:rsidRPr="00DD6F12">
        <w:rPr>
          <w:rFonts w:ascii="ITC Avant Garde" w:eastAsia="Arial" w:hAnsi="ITC Avant Garde" w:cs="Arial"/>
          <w:szCs w:val="20"/>
          <w:lang w:val="es-ES_tradnl"/>
        </w:rPr>
        <w:t>el desarrollo eficiente de la radiodifusión y las telecomunicaciones</w:t>
      </w:r>
      <w:r w:rsidR="009B08BE" w:rsidRPr="00DD6F12">
        <w:rPr>
          <w:rFonts w:ascii="ITC Avant Garde" w:eastAsia="Arial" w:hAnsi="ITC Avant Garde" w:cs="Arial"/>
          <w:szCs w:val="20"/>
          <w:lang w:val="es-ES_tradnl"/>
        </w:rPr>
        <w:t xml:space="preserve"> y p</w:t>
      </w:r>
      <w:r w:rsidR="00DF0E7A" w:rsidRPr="00DD6F12">
        <w:rPr>
          <w:rFonts w:ascii="ITC Avant Garde" w:eastAsia="Arial" w:hAnsi="ITC Avant Garde" w:cs="Arial"/>
          <w:szCs w:val="20"/>
          <w:lang w:val="es-ES_tradnl"/>
        </w:rPr>
        <w:t>ara tal efecto, tiene a su cargo la regulación, promoción y supervisión del uso, aprovechamiento y explotación del espectro radioeléctrico, los recursos orbitales, los servicios satelitales, las redes públicas de telecomunicaciones y la prestación de los servicios de radiodifusión y de telecomunicaciones, así como del acceso a la infraestructura activa y pasiva y otros insumos esenciales, garantizando lo establecido por los artículos 6o. y 7o. de la Constitución.</w:t>
      </w:r>
    </w:p>
    <w:p w14:paraId="40FC10C5" w14:textId="77777777" w:rsidR="00E94371" w:rsidRPr="00DD6F12" w:rsidRDefault="00DF0E7A" w:rsidP="00DF0E7A">
      <w:pPr>
        <w:tabs>
          <w:tab w:val="num" w:pos="1220"/>
          <w:tab w:val="num" w:pos="1940"/>
        </w:tabs>
        <w:spacing w:line="276" w:lineRule="auto"/>
        <w:jc w:val="both"/>
        <w:rPr>
          <w:rFonts w:ascii="ITC Avant Garde" w:eastAsia="Arial" w:hAnsi="ITC Avant Garde" w:cs="Arial"/>
          <w:szCs w:val="20"/>
          <w:lang w:val="es-ES_tradnl"/>
        </w:rPr>
      </w:pPr>
      <w:r w:rsidRPr="00DD6F12">
        <w:rPr>
          <w:rFonts w:ascii="ITC Avant Garde" w:eastAsia="Arial" w:hAnsi="ITC Avant Garde" w:cs="Arial"/>
          <w:szCs w:val="20"/>
          <w:lang w:val="es-ES_tradnl"/>
        </w:rPr>
        <w:t xml:space="preserve">Asimismo, el Instituto es también la autoridad en materia de competencia económica de los sectores de radiodifusión y telecomunicaciones, por lo que en </w:t>
      </w:r>
      <w:r w:rsidR="002D4C95" w:rsidRPr="00DD6F12">
        <w:rPr>
          <w:rFonts w:ascii="ITC Avant Garde" w:eastAsia="Arial" w:hAnsi="ITC Avant Garde" w:cs="Arial"/>
          <w:szCs w:val="20"/>
          <w:lang w:val="es-ES_tradnl"/>
        </w:rPr>
        <w:t>e</w:t>
      </w:r>
      <w:r w:rsidRPr="00DD6F12">
        <w:rPr>
          <w:rFonts w:ascii="ITC Avant Garde" w:eastAsia="Arial" w:hAnsi="ITC Avant Garde" w:cs="Arial"/>
          <w:szCs w:val="20"/>
          <w:lang w:val="es-ES_tradnl"/>
        </w:rPr>
        <w:t xml:space="preserve">stos ejercerá en </w:t>
      </w:r>
      <w:r w:rsidRPr="00DD6F12">
        <w:rPr>
          <w:rFonts w:ascii="ITC Avant Garde" w:eastAsia="Arial" w:hAnsi="ITC Avant Garde" w:cs="Arial"/>
          <w:szCs w:val="20"/>
          <w:lang w:val="es-ES_tradnl"/>
        </w:rPr>
        <w:lastRenderedPageBreak/>
        <w:t>forma exclusiva las facultades establecidas por el artículo 28 de la Constitución, la L</w:t>
      </w:r>
      <w:r w:rsidR="002D4C95" w:rsidRPr="00DD6F12">
        <w:rPr>
          <w:rFonts w:ascii="ITC Avant Garde" w:eastAsia="Arial" w:hAnsi="ITC Avant Garde" w:cs="Arial"/>
          <w:szCs w:val="20"/>
          <w:lang w:val="es-ES_tradnl"/>
        </w:rPr>
        <w:t>FTR</w:t>
      </w:r>
      <w:r w:rsidRPr="00DD6F12">
        <w:rPr>
          <w:rFonts w:ascii="ITC Avant Garde" w:eastAsia="Arial" w:hAnsi="ITC Avant Garde" w:cs="Arial"/>
          <w:szCs w:val="20"/>
          <w:lang w:val="es-ES_tradnl"/>
        </w:rPr>
        <w:t xml:space="preserve"> y la Ley Federal de Competencia Económica</w:t>
      </w:r>
      <w:r w:rsidR="009B08BE" w:rsidRPr="00DD6F12">
        <w:rPr>
          <w:rFonts w:ascii="ITC Avant Garde" w:eastAsia="Arial" w:hAnsi="ITC Avant Garde" w:cs="Arial"/>
          <w:szCs w:val="20"/>
          <w:lang w:val="es-ES_tradnl"/>
        </w:rPr>
        <w:t>, pudiendo entre otros aspectos regular de forma asimétrica a los participantes en este mercado con el objeto de eliminar eficazmente las barreras a la competencia y la libre concurrencia.</w:t>
      </w:r>
    </w:p>
    <w:p w14:paraId="211C3F38" w14:textId="77777777" w:rsidR="009463F7" w:rsidRPr="00DD6F12" w:rsidRDefault="00DF0E7A" w:rsidP="004331C5">
      <w:pPr>
        <w:tabs>
          <w:tab w:val="num" w:pos="1220"/>
          <w:tab w:val="num" w:pos="1940"/>
        </w:tabs>
        <w:spacing w:line="276" w:lineRule="auto"/>
        <w:jc w:val="both"/>
        <w:rPr>
          <w:rFonts w:ascii="ITC Avant Garde" w:eastAsia="Arial" w:hAnsi="ITC Avant Garde" w:cs="Arial"/>
          <w:szCs w:val="20"/>
          <w:lang w:val="es-ES_tradnl"/>
        </w:rPr>
      </w:pPr>
      <w:r w:rsidRPr="00DD6F12">
        <w:rPr>
          <w:rFonts w:ascii="ITC Avant Garde" w:eastAsia="Arial" w:hAnsi="ITC Avant Garde" w:cs="Arial"/>
          <w:szCs w:val="20"/>
          <w:lang w:val="es-ES_tradnl"/>
        </w:rPr>
        <w:t>De igual forma, la fracción IV del párrafo vigésimo del artículo 28 de la Constitución, señala que el Instituto podrá emitir disposiciones administrativas de carácter general exclusivamente para el cumplimiento de su func</w:t>
      </w:r>
      <w:r w:rsidR="00846FB3" w:rsidRPr="00DD6F12">
        <w:rPr>
          <w:rFonts w:ascii="ITC Avant Garde" w:eastAsia="Arial" w:hAnsi="ITC Avant Garde" w:cs="Arial"/>
          <w:szCs w:val="20"/>
          <w:lang w:val="es-ES_tradnl"/>
        </w:rPr>
        <w:t xml:space="preserve">ión regulatoria en el sector de </w:t>
      </w:r>
      <w:r w:rsidRPr="00DD6F12">
        <w:rPr>
          <w:rFonts w:ascii="ITC Avant Garde" w:eastAsia="Arial" w:hAnsi="ITC Avant Garde" w:cs="Arial"/>
          <w:szCs w:val="20"/>
          <w:lang w:val="es-ES_tradnl"/>
        </w:rPr>
        <w:t xml:space="preserve">su competencia. En ese sentido, el Pleno del Instituto, conforme a lo establecido por </w:t>
      </w:r>
      <w:r w:rsidR="009B08BE" w:rsidRPr="00DD6F12">
        <w:rPr>
          <w:rFonts w:ascii="ITC Avant Garde" w:eastAsia="Arial" w:hAnsi="ITC Avant Garde" w:cs="Arial"/>
          <w:szCs w:val="20"/>
          <w:lang w:val="es-ES_tradnl"/>
        </w:rPr>
        <w:t>el artículo</w:t>
      </w:r>
      <w:r w:rsidRPr="00DD6F12">
        <w:rPr>
          <w:rFonts w:ascii="ITC Avant Garde" w:eastAsia="Arial" w:hAnsi="ITC Avant Garde" w:cs="Arial"/>
          <w:szCs w:val="20"/>
          <w:lang w:val="es-ES_tradnl"/>
        </w:rPr>
        <w:t xml:space="preserve"> 15</w:t>
      </w:r>
      <w:r w:rsidR="00880FF4" w:rsidRPr="00DD6F12">
        <w:rPr>
          <w:rFonts w:ascii="ITC Avant Garde" w:eastAsia="Arial" w:hAnsi="ITC Avant Garde" w:cs="Arial"/>
          <w:szCs w:val="20"/>
          <w:lang w:val="es-ES_tradnl"/>
        </w:rPr>
        <w:t>,</w:t>
      </w:r>
      <w:r w:rsidRPr="00DD6F12">
        <w:rPr>
          <w:rFonts w:ascii="ITC Avant Garde" w:eastAsia="Arial" w:hAnsi="ITC Avant Garde" w:cs="Arial"/>
          <w:szCs w:val="20"/>
          <w:lang w:val="es-ES_tradnl"/>
        </w:rPr>
        <w:t xml:space="preserve"> fracción I</w:t>
      </w:r>
      <w:r w:rsidR="009463F7" w:rsidRPr="00DD6F12">
        <w:rPr>
          <w:rFonts w:ascii="ITC Avant Garde" w:eastAsia="Arial" w:hAnsi="ITC Avant Garde" w:cs="Arial"/>
          <w:szCs w:val="20"/>
          <w:lang w:val="es-ES_tradnl"/>
        </w:rPr>
        <w:t xml:space="preserve"> </w:t>
      </w:r>
      <w:r w:rsidRPr="00DD6F12">
        <w:rPr>
          <w:rFonts w:ascii="ITC Avant Garde" w:eastAsia="Arial" w:hAnsi="ITC Avant Garde" w:cs="Arial"/>
          <w:szCs w:val="20"/>
          <w:lang w:val="es-ES_tradnl"/>
        </w:rPr>
        <w:t xml:space="preserve">de la </w:t>
      </w:r>
      <w:r w:rsidR="002D4C95" w:rsidRPr="00DD6F12">
        <w:rPr>
          <w:rFonts w:ascii="ITC Avant Garde" w:eastAsia="Arial" w:hAnsi="ITC Avant Garde" w:cs="Arial"/>
          <w:szCs w:val="20"/>
          <w:lang w:val="es-ES_tradnl"/>
        </w:rPr>
        <w:t>LFTR</w:t>
      </w:r>
      <w:r w:rsidRPr="00DD6F12">
        <w:rPr>
          <w:rFonts w:ascii="ITC Avant Garde" w:eastAsia="Arial" w:hAnsi="ITC Avant Garde" w:cs="Arial"/>
          <w:szCs w:val="20"/>
          <w:lang w:val="es-ES_tradnl"/>
        </w:rPr>
        <w:t xml:space="preserve">, tiene la atribución de expedir disposiciones administrativas de carácter general, planes técnicos fundamentales, lineamientos, modelos de costos, procedimientos de evaluación de la conformidad, procedimientos de homologación y certificación y ordenamientos técnicos en materia de telecomunicaciones y radiodifusión; así como demás disposiciones para el cumplimiento de lo dispuesto en la </w:t>
      </w:r>
      <w:r w:rsidR="002D4C95" w:rsidRPr="00DD6F12">
        <w:rPr>
          <w:rFonts w:ascii="ITC Avant Garde" w:eastAsia="Arial" w:hAnsi="ITC Avant Garde" w:cs="Arial"/>
          <w:szCs w:val="20"/>
          <w:lang w:val="es-ES_tradnl"/>
        </w:rPr>
        <w:t>LFTR</w:t>
      </w:r>
      <w:r w:rsidRPr="00DD6F12">
        <w:rPr>
          <w:rFonts w:ascii="ITC Avant Garde" w:eastAsia="Arial" w:hAnsi="ITC Avant Garde" w:cs="Arial"/>
          <w:szCs w:val="20"/>
          <w:lang w:val="es-ES_tradnl"/>
        </w:rPr>
        <w:t>.</w:t>
      </w:r>
      <w:r w:rsidR="005E5BF0" w:rsidRPr="00DD6F12">
        <w:rPr>
          <w:rFonts w:ascii="ITC Avant Garde" w:eastAsia="Arial" w:hAnsi="ITC Avant Garde" w:cs="Arial"/>
          <w:szCs w:val="20"/>
          <w:lang w:val="es-ES_tradnl"/>
        </w:rPr>
        <w:t xml:space="preserve"> </w:t>
      </w:r>
    </w:p>
    <w:p w14:paraId="53B1FF2A" w14:textId="557C1A85" w:rsidR="004331C5" w:rsidRPr="00DD6F12" w:rsidRDefault="00514D1B" w:rsidP="00166260">
      <w:pPr>
        <w:tabs>
          <w:tab w:val="num" w:pos="1220"/>
          <w:tab w:val="num" w:pos="1940"/>
        </w:tabs>
        <w:spacing w:after="0" w:line="276" w:lineRule="auto"/>
        <w:jc w:val="both"/>
        <w:rPr>
          <w:rFonts w:ascii="ITC Avant Garde" w:eastAsia="Arial" w:hAnsi="ITC Avant Garde" w:cs="Arial"/>
          <w:szCs w:val="20"/>
          <w:lang w:val="es-ES_tradnl"/>
        </w:rPr>
      </w:pPr>
      <w:r w:rsidRPr="00DD6F12">
        <w:rPr>
          <w:rFonts w:ascii="ITC Avant Garde" w:eastAsia="Arial" w:hAnsi="ITC Avant Garde" w:cs="Arial"/>
          <w:szCs w:val="20"/>
          <w:lang w:val="es-ES_tradnl"/>
        </w:rPr>
        <w:t>Por lo anterior</w:t>
      </w:r>
      <w:r w:rsidR="004331C5" w:rsidRPr="00DD6F12">
        <w:rPr>
          <w:rFonts w:ascii="ITC Avant Garde" w:eastAsia="Arial" w:hAnsi="ITC Avant Garde" w:cs="Arial"/>
          <w:szCs w:val="20"/>
          <w:lang w:val="es-ES_tradnl"/>
        </w:rPr>
        <w:t xml:space="preserve">, el Instituto cuenta con atribuciones para emitir el presente Acuerdo y </w:t>
      </w:r>
      <w:r w:rsidR="00C721BF" w:rsidRPr="00DD6F12">
        <w:rPr>
          <w:rFonts w:ascii="ITC Avant Garde" w:eastAsia="Arial" w:hAnsi="ITC Avant Garde" w:cs="Arial"/>
          <w:szCs w:val="20"/>
          <w:lang w:val="es-ES_tradnl"/>
        </w:rPr>
        <w:t>llevar a cabo</w:t>
      </w:r>
      <w:r w:rsidR="004331C5" w:rsidRPr="00DD6F12">
        <w:rPr>
          <w:rFonts w:ascii="ITC Avant Garde" w:eastAsia="Arial" w:hAnsi="ITC Avant Garde" w:cs="Arial"/>
          <w:szCs w:val="20"/>
          <w:lang w:val="es-ES_tradnl"/>
        </w:rPr>
        <w:t xml:space="preserve"> </w:t>
      </w:r>
      <w:r w:rsidR="00C721BF" w:rsidRPr="00DD6F12">
        <w:rPr>
          <w:rFonts w:ascii="ITC Avant Garde" w:eastAsia="Arial" w:hAnsi="ITC Avant Garde" w:cs="Arial"/>
          <w:szCs w:val="20"/>
          <w:lang w:val="es-ES_tradnl"/>
        </w:rPr>
        <w:t>la</w:t>
      </w:r>
      <w:r w:rsidR="004331C5" w:rsidRPr="00DD6F12">
        <w:rPr>
          <w:rFonts w:ascii="ITC Avant Garde" w:eastAsia="Arial" w:hAnsi="ITC Avant Garde" w:cs="Arial"/>
          <w:szCs w:val="20"/>
          <w:lang w:val="es-ES_tradnl"/>
        </w:rPr>
        <w:t xml:space="preserve"> consulta pública </w:t>
      </w:r>
      <w:r w:rsidR="009D3F7F" w:rsidRPr="00DD6F12">
        <w:rPr>
          <w:rFonts w:ascii="ITC Avant Garde" w:eastAsia="Arial" w:hAnsi="ITC Avant Garde" w:cs="Arial"/>
          <w:szCs w:val="20"/>
          <w:lang w:val="es-ES_tradnl"/>
        </w:rPr>
        <w:t xml:space="preserve">en relación con </w:t>
      </w:r>
      <w:r w:rsidR="004331C5" w:rsidRPr="00DD6F12">
        <w:rPr>
          <w:rFonts w:ascii="ITC Avant Garde" w:eastAsia="Arial" w:hAnsi="ITC Avant Garde" w:cs="Arial"/>
          <w:szCs w:val="20"/>
          <w:lang w:val="es-ES_tradnl"/>
        </w:rPr>
        <w:t>el “</w:t>
      </w:r>
      <w:r w:rsidR="00166260" w:rsidRPr="00DD6F12">
        <w:rPr>
          <w:rFonts w:ascii="ITC Avant Garde" w:hAnsi="ITC Avant Garde" w:cs="Arial"/>
          <w:bCs/>
          <w:szCs w:val="20"/>
          <w:lang w:eastAsia="es-ES"/>
        </w:rPr>
        <w:t xml:space="preserve">ANTEPROYECTO DE LINEAMIENTOS MEDIANTE LOS CUALES SE ESTABLECE EL PROCEDIMIENTO PARA LA </w:t>
      </w:r>
      <w:r w:rsidR="005269E9" w:rsidRPr="00DD6F12">
        <w:rPr>
          <w:rFonts w:ascii="ITC Avant Garde" w:hAnsi="ITC Avant Garde" w:cs="Arial"/>
          <w:bCs/>
          <w:szCs w:val="20"/>
          <w:lang w:eastAsia="es-ES"/>
        </w:rPr>
        <w:t xml:space="preserve">PRESENTACIÓN DE LA SOLICITUD </w:t>
      </w:r>
      <w:r w:rsidR="00FC03B2" w:rsidRPr="00DD6F12">
        <w:rPr>
          <w:rFonts w:ascii="ITC Avant Garde" w:hAnsi="ITC Avant Garde" w:cs="Arial"/>
          <w:bCs/>
          <w:szCs w:val="20"/>
          <w:lang w:eastAsia="es-ES"/>
        </w:rPr>
        <w:t xml:space="preserve">ELECTRÓNICA </w:t>
      </w:r>
      <w:r w:rsidR="005269E9" w:rsidRPr="00DD6F12">
        <w:rPr>
          <w:rFonts w:ascii="ITC Avant Garde" w:hAnsi="ITC Avant Garde" w:cs="Arial"/>
          <w:bCs/>
          <w:szCs w:val="20"/>
          <w:lang w:eastAsia="es-ES"/>
        </w:rPr>
        <w:t xml:space="preserve">DE </w:t>
      </w:r>
      <w:r w:rsidR="00166260" w:rsidRPr="00DD6F12">
        <w:rPr>
          <w:rFonts w:ascii="ITC Avant Garde" w:hAnsi="ITC Avant Garde" w:cs="Arial"/>
          <w:bCs/>
          <w:szCs w:val="20"/>
          <w:lang w:eastAsia="es-ES"/>
        </w:rPr>
        <w:t xml:space="preserve">AUTORIZACIÓN DE TARIFAS DE LOS SERVICIOS DE TELECOMUNICACIONES PARA USUARIOS FINALES, AL CUAL DEBERÁN SUJETARSE </w:t>
      </w:r>
      <w:r w:rsidR="005269E9" w:rsidRPr="00DD6F12">
        <w:rPr>
          <w:rFonts w:ascii="ITC Avant Garde" w:hAnsi="ITC Avant Garde" w:cs="Arial"/>
          <w:bCs/>
          <w:szCs w:val="20"/>
          <w:lang w:eastAsia="es-ES"/>
        </w:rPr>
        <w:t xml:space="preserve">EL </w:t>
      </w:r>
      <w:r w:rsidR="00166260" w:rsidRPr="00DD6F12">
        <w:rPr>
          <w:rFonts w:ascii="ITC Avant Garde" w:hAnsi="ITC Avant Garde" w:cs="Arial"/>
          <w:bCs/>
          <w:szCs w:val="20"/>
          <w:lang w:eastAsia="es-ES"/>
        </w:rPr>
        <w:t xml:space="preserve">AGENTE ECONÓMICO PREPONDERANTE </w:t>
      </w:r>
      <w:r w:rsidR="005269E9" w:rsidRPr="00DD6F12">
        <w:rPr>
          <w:rFonts w:ascii="ITC Avant Garde" w:hAnsi="ITC Avant Garde" w:cs="Arial"/>
          <w:bCs/>
          <w:szCs w:val="20"/>
          <w:lang w:eastAsia="es-ES"/>
        </w:rPr>
        <w:t>Y</w:t>
      </w:r>
      <w:r w:rsidR="00166260" w:rsidRPr="00DD6F12">
        <w:rPr>
          <w:rFonts w:ascii="ITC Avant Garde" w:hAnsi="ITC Avant Garde" w:cs="Arial"/>
          <w:bCs/>
          <w:szCs w:val="20"/>
          <w:lang w:eastAsia="es-ES"/>
        </w:rPr>
        <w:t xml:space="preserve"> </w:t>
      </w:r>
      <w:r w:rsidR="005269E9" w:rsidRPr="00DD6F12">
        <w:rPr>
          <w:rFonts w:ascii="ITC Avant Garde" w:hAnsi="ITC Avant Garde" w:cs="Arial"/>
          <w:bCs/>
          <w:szCs w:val="20"/>
          <w:lang w:eastAsia="es-ES"/>
        </w:rPr>
        <w:t xml:space="preserve">LOS AGENTES ECONÓMICOS </w:t>
      </w:r>
      <w:r w:rsidR="00166260" w:rsidRPr="00DD6F12">
        <w:rPr>
          <w:rFonts w:ascii="ITC Avant Garde" w:hAnsi="ITC Avant Garde" w:cs="Arial"/>
          <w:bCs/>
          <w:szCs w:val="20"/>
          <w:lang w:eastAsia="es-ES"/>
        </w:rPr>
        <w:t>CON PODER SUSTANCIAL DE MERCADO EN EL SECTOR DE TELECOMUNICACIONES</w:t>
      </w:r>
      <w:r w:rsidR="004331C5" w:rsidRPr="00DD6F12">
        <w:rPr>
          <w:rFonts w:ascii="ITC Avant Garde" w:hAnsi="ITC Avant Garde"/>
          <w:szCs w:val="20"/>
        </w:rPr>
        <w:t>” (en lo sucesivo</w:t>
      </w:r>
      <w:r w:rsidR="00880FF4" w:rsidRPr="00DD6F12">
        <w:rPr>
          <w:rFonts w:ascii="ITC Avant Garde" w:hAnsi="ITC Avant Garde"/>
          <w:szCs w:val="20"/>
        </w:rPr>
        <w:t>,</w:t>
      </w:r>
      <w:r w:rsidR="004331C5" w:rsidRPr="00DD6F12">
        <w:rPr>
          <w:rFonts w:ascii="ITC Avant Garde" w:hAnsi="ITC Avant Garde"/>
          <w:szCs w:val="20"/>
        </w:rPr>
        <w:t xml:space="preserve"> el “Anteproyecto</w:t>
      </w:r>
      <w:r w:rsidR="003D7560" w:rsidRPr="00DD6F12">
        <w:rPr>
          <w:rFonts w:ascii="ITC Avant Garde" w:hAnsi="ITC Avant Garde"/>
          <w:szCs w:val="20"/>
        </w:rPr>
        <w:t>”)</w:t>
      </w:r>
      <w:r w:rsidR="00E63176" w:rsidRPr="00DD6F12">
        <w:rPr>
          <w:rFonts w:ascii="ITC Avant Garde" w:hAnsi="ITC Avant Garde"/>
          <w:szCs w:val="20"/>
        </w:rPr>
        <w:t>.</w:t>
      </w:r>
      <w:r w:rsidR="003D7560" w:rsidRPr="00DD6F12">
        <w:rPr>
          <w:rFonts w:ascii="ITC Avant Garde" w:hAnsi="ITC Avant Garde"/>
          <w:szCs w:val="20"/>
        </w:rPr>
        <w:t xml:space="preserve"> </w:t>
      </w:r>
    </w:p>
    <w:p w14:paraId="6E96D475" w14:textId="77777777" w:rsidR="007A59F7" w:rsidRPr="00DD6F12" w:rsidRDefault="007A59F7" w:rsidP="00166260">
      <w:pPr>
        <w:tabs>
          <w:tab w:val="num" w:pos="1220"/>
          <w:tab w:val="num" w:pos="1940"/>
        </w:tabs>
        <w:spacing w:after="0" w:line="276" w:lineRule="auto"/>
        <w:jc w:val="both"/>
        <w:rPr>
          <w:rFonts w:ascii="ITC Avant Garde" w:eastAsia="Arial" w:hAnsi="ITC Avant Garde" w:cs="Arial"/>
          <w:szCs w:val="20"/>
          <w:lang w:val="es-ES_tradnl"/>
        </w:rPr>
      </w:pPr>
    </w:p>
    <w:p w14:paraId="2B61836B" w14:textId="792F7920" w:rsidR="009D5D7E" w:rsidRPr="00DD6F12" w:rsidRDefault="00E1613B" w:rsidP="004A1ECE">
      <w:pPr>
        <w:spacing w:line="276" w:lineRule="auto"/>
        <w:jc w:val="both"/>
        <w:rPr>
          <w:rFonts w:ascii="ITC Avant Garde" w:hAnsi="ITC Avant Garde"/>
          <w:szCs w:val="20"/>
        </w:rPr>
      </w:pPr>
      <w:r w:rsidRPr="00DD6F12">
        <w:rPr>
          <w:rFonts w:ascii="ITC Avant Garde" w:hAnsi="ITC Avant Garde"/>
          <w:b/>
          <w:szCs w:val="20"/>
        </w:rPr>
        <w:t>SEGUNDO.-</w:t>
      </w:r>
      <w:r w:rsidR="008C6B21" w:rsidRPr="00DD6F12">
        <w:rPr>
          <w:rFonts w:ascii="ITC Avant Garde" w:hAnsi="ITC Avant Garde"/>
          <w:b/>
          <w:szCs w:val="20"/>
        </w:rPr>
        <w:t xml:space="preserve"> SOLICITUD DE</w:t>
      </w:r>
      <w:r w:rsidRPr="00DD6F12">
        <w:rPr>
          <w:rFonts w:ascii="ITC Avant Garde" w:hAnsi="ITC Avant Garde"/>
          <w:b/>
          <w:szCs w:val="20"/>
        </w:rPr>
        <w:t xml:space="preserve"> </w:t>
      </w:r>
      <w:r w:rsidR="00B9048F" w:rsidRPr="00DD6F12">
        <w:rPr>
          <w:rFonts w:ascii="ITC Avant Garde" w:hAnsi="ITC Avant Garde"/>
          <w:b/>
          <w:szCs w:val="20"/>
        </w:rPr>
        <w:t>AUTORIZACIÓN Y</w:t>
      </w:r>
      <w:r w:rsidR="005F74DA" w:rsidRPr="00DD6F12">
        <w:rPr>
          <w:rFonts w:ascii="ITC Avant Garde" w:hAnsi="ITC Avant Garde"/>
          <w:b/>
          <w:szCs w:val="20"/>
        </w:rPr>
        <w:t xml:space="preserve"> REGISTRO DE TARIFAS DEL AGENTE ECON</w:t>
      </w:r>
      <w:r w:rsidR="00235235" w:rsidRPr="00DD6F12">
        <w:rPr>
          <w:rFonts w:ascii="ITC Avant Garde" w:hAnsi="ITC Avant Garde"/>
          <w:b/>
          <w:szCs w:val="20"/>
        </w:rPr>
        <w:t>Ó</w:t>
      </w:r>
      <w:r w:rsidR="005F74DA" w:rsidRPr="00DD6F12">
        <w:rPr>
          <w:rFonts w:ascii="ITC Avant Garde" w:hAnsi="ITC Avant Garde"/>
          <w:b/>
          <w:szCs w:val="20"/>
        </w:rPr>
        <w:t>MICO DECLARADO PREPONDERANTE O CON PODER SUSTANCIAL DE MERCADO</w:t>
      </w:r>
      <w:r w:rsidR="003D7560" w:rsidRPr="00DD6F12">
        <w:rPr>
          <w:rFonts w:ascii="ITC Avant Garde" w:hAnsi="ITC Avant Garde"/>
          <w:b/>
          <w:szCs w:val="20"/>
        </w:rPr>
        <w:t xml:space="preserve">.- </w:t>
      </w:r>
      <w:r w:rsidR="00E04406" w:rsidRPr="00DD6F12">
        <w:rPr>
          <w:rFonts w:ascii="ITC Avant Garde" w:hAnsi="ITC Avant Garde"/>
          <w:szCs w:val="20"/>
        </w:rPr>
        <w:t>Que</w:t>
      </w:r>
      <w:r w:rsidR="006959E4" w:rsidRPr="00DD6F12">
        <w:rPr>
          <w:rFonts w:ascii="ITC Avant Garde" w:hAnsi="ITC Avant Garde"/>
          <w:szCs w:val="20"/>
        </w:rPr>
        <w:t xml:space="preserve"> </w:t>
      </w:r>
      <w:r w:rsidR="009D5D7E" w:rsidRPr="00DD6F12">
        <w:rPr>
          <w:rFonts w:ascii="ITC Avant Garde" w:hAnsi="ITC Avant Garde"/>
          <w:szCs w:val="20"/>
        </w:rPr>
        <w:t>la fracción XXIV del artículo 15 de la LFTR dispone que, para el ejercicio de sus atribuciones, corresponde al Instituto autorizar, registrar y publicar las tarifas de los servicios de telecomunicaciones y de radiodi</w:t>
      </w:r>
      <w:r w:rsidR="00F1530E" w:rsidRPr="00DD6F12">
        <w:rPr>
          <w:rFonts w:ascii="ITC Avant Garde" w:hAnsi="ITC Avant Garde"/>
          <w:szCs w:val="20"/>
        </w:rPr>
        <w:t>fusión en los términos de esta l</w:t>
      </w:r>
      <w:r w:rsidR="009D5D7E" w:rsidRPr="00DD6F12">
        <w:rPr>
          <w:rFonts w:ascii="ITC Avant Garde" w:hAnsi="ITC Avant Garde"/>
          <w:szCs w:val="20"/>
        </w:rPr>
        <w:t>ey, y cuando los títulos de concesión lo prevean, así como cuando se trate de medidas establecidas a los agentes económicos preponderantes o con poder sustancial.</w:t>
      </w:r>
    </w:p>
    <w:p w14:paraId="56FB5D89" w14:textId="77777777" w:rsidR="005F74DA" w:rsidRPr="00DD6F12" w:rsidRDefault="009D5D7E" w:rsidP="004A1ECE">
      <w:pPr>
        <w:spacing w:line="276" w:lineRule="auto"/>
        <w:jc w:val="both"/>
        <w:rPr>
          <w:rFonts w:ascii="ITC Avant Garde" w:hAnsi="ITC Avant Garde"/>
          <w:szCs w:val="20"/>
        </w:rPr>
      </w:pPr>
      <w:r w:rsidRPr="00DD6F12">
        <w:rPr>
          <w:rFonts w:ascii="ITC Avant Garde" w:hAnsi="ITC Avant Garde"/>
          <w:szCs w:val="20"/>
        </w:rPr>
        <w:t xml:space="preserve">Por su parte, </w:t>
      </w:r>
      <w:r w:rsidR="00817413" w:rsidRPr="00DD6F12">
        <w:rPr>
          <w:rFonts w:ascii="ITC Avant Garde" w:hAnsi="ITC Avant Garde"/>
          <w:szCs w:val="20"/>
        </w:rPr>
        <w:t>e</w:t>
      </w:r>
      <w:r w:rsidR="005F74DA" w:rsidRPr="00DD6F12">
        <w:rPr>
          <w:rFonts w:ascii="ITC Avant Garde" w:hAnsi="ITC Avant Garde"/>
          <w:szCs w:val="20"/>
        </w:rPr>
        <w:t xml:space="preserve">l artículo 204 de la </w:t>
      </w:r>
      <w:r w:rsidRPr="00DD6F12">
        <w:rPr>
          <w:rFonts w:ascii="ITC Avant Garde" w:hAnsi="ITC Avant Garde"/>
          <w:szCs w:val="20"/>
        </w:rPr>
        <w:t xml:space="preserve">misma </w:t>
      </w:r>
      <w:r w:rsidR="00235235" w:rsidRPr="00DD6F12">
        <w:rPr>
          <w:rFonts w:ascii="ITC Avant Garde" w:hAnsi="ITC Avant Garde"/>
          <w:szCs w:val="20"/>
        </w:rPr>
        <w:t xml:space="preserve">LFTR </w:t>
      </w:r>
      <w:r w:rsidR="005F74DA" w:rsidRPr="00DD6F12">
        <w:rPr>
          <w:rFonts w:ascii="ITC Avant Garde" w:hAnsi="ITC Avant Garde"/>
          <w:szCs w:val="20"/>
        </w:rPr>
        <w:t>establece que los concesionarios del servicio de telecomunicaciones para uso comercial o para uso social fijarán libremente las tarifas a los usuarios de los servicios que presten</w:t>
      </w:r>
      <w:r w:rsidR="00235235" w:rsidRPr="00DD6F12">
        <w:rPr>
          <w:rFonts w:ascii="ITC Avant Garde" w:hAnsi="ITC Avant Garde"/>
          <w:szCs w:val="20"/>
        </w:rPr>
        <w:t>.</w:t>
      </w:r>
      <w:r w:rsidR="005F74DA" w:rsidRPr="00DD6F12">
        <w:rPr>
          <w:rFonts w:ascii="ITC Avant Garde" w:hAnsi="ITC Avant Garde"/>
          <w:szCs w:val="20"/>
        </w:rPr>
        <w:t xml:space="preserve"> </w:t>
      </w:r>
      <w:r w:rsidR="00235235" w:rsidRPr="00DD6F12">
        <w:rPr>
          <w:rFonts w:ascii="ITC Avant Garde" w:hAnsi="ITC Avant Garde"/>
          <w:szCs w:val="20"/>
        </w:rPr>
        <w:t>N</w:t>
      </w:r>
      <w:r w:rsidR="005F74DA" w:rsidRPr="00DD6F12">
        <w:rPr>
          <w:rFonts w:ascii="ITC Avant Garde" w:hAnsi="ITC Avant Garde"/>
          <w:szCs w:val="20"/>
        </w:rPr>
        <w:t>o obstante, de acuerdo con el artículo 208 de dicha ley, la libertad de fijar tarifas</w:t>
      </w:r>
      <w:r w:rsidR="00042737" w:rsidRPr="00DD6F12">
        <w:rPr>
          <w:rFonts w:ascii="ITC Avant Garde" w:hAnsi="ITC Avant Garde"/>
          <w:szCs w:val="20"/>
        </w:rPr>
        <w:t>,</w:t>
      </w:r>
      <w:r w:rsidR="005F74DA" w:rsidRPr="00DD6F12">
        <w:rPr>
          <w:rFonts w:ascii="ITC Avant Garde" w:hAnsi="ITC Avant Garde"/>
          <w:szCs w:val="20"/>
        </w:rPr>
        <w:t xml:space="preserve"> antes aludida</w:t>
      </w:r>
      <w:r w:rsidR="00042737" w:rsidRPr="00DD6F12">
        <w:rPr>
          <w:rFonts w:ascii="ITC Avant Garde" w:hAnsi="ITC Avant Garde"/>
          <w:szCs w:val="20"/>
        </w:rPr>
        <w:t>,</w:t>
      </w:r>
      <w:r w:rsidR="005F74DA" w:rsidRPr="00DD6F12">
        <w:rPr>
          <w:rFonts w:ascii="ITC Avant Garde" w:hAnsi="ITC Avant Garde"/>
          <w:szCs w:val="20"/>
        </w:rPr>
        <w:t xml:space="preserve"> no es aplicable a los concesionar</w:t>
      </w:r>
      <w:r w:rsidR="00E7703D" w:rsidRPr="00DD6F12">
        <w:rPr>
          <w:rFonts w:ascii="ITC Avant Garde" w:hAnsi="ITC Avant Garde"/>
          <w:szCs w:val="20"/>
        </w:rPr>
        <w:t>i</w:t>
      </w:r>
      <w:r w:rsidR="005F74DA" w:rsidRPr="00DD6F12">
        <w:rPr>
          <w:rFonts w:ascii="ITC Avant Garde" w:hAnsi="ITC Avant Garde"/>
          <w:szCs w:val="20"/>
        </w:rPr>
        <w:t>os que hayan sido declarados como Agente Económico Preponderante (en lo sucesivo</w:t>
      </w:r>
      <w:r w:rsidR="00817413" w:rsidRPr="00DD6F12">
        <w:rPr>
          <w:rFonts w:ascii="ITC Avant Garde" w:hAnsi="ITC Avant Garde"/>
          <w:szCs w:val="20"/>
        </w:rPr>
        <w:t>,</w:t>
      </w:r>
      <w:r w:rsidR="005F74DA" w:rsidRPr="00DD6F12">
        <w:rPr>
          <w:rFonts w:ascii="ITC Avant Garde" w:hAnsi="ITC Avant Garde"/>
          <w:szCs w:val="20"/>
        </w:rPr>
        <w:t xml:space="preserve"> </w:t>
      </w:r>
      <w:r w:rsidR="00880FF4" w:rsidRPr="00DD6F12">
        <w:rPr>
          <w:rFonts w:ascii="ITC Avant Garde" w:hAnsi="ITC Avant Garde"/>
          <w:szCs w:val="20"/>
        </w:rPr>
        <w:t xml:space="preserve">el </w:t>
      </w:r>
      <w:r w:rsidR="005F74DA" w:rsidRPr="00DD6F12">
        <w:rPr>
          <w:rFonts w:ascii="ITC Avant Garde" w:hAnsi="ITC Avant Garde"/>
          <w:szCs w:val="20"/>
        </w:rPr>
        <w:t>“AEP”)</w:t>
      </w:r>
      <w:r w:rsidR="00817413" w:rsidRPr="00DD6F12">
        <w:rPr>
          <w:rFonts w:ascii="ITC Avant Garde" w:hAnsi="ITC Avant Garde"/>
          <w:szCs w:val="20"/>
        </w:rPr>
        <w:t xml:space="preserve"> </w:t>
      </w:r>
      <w:r w:rsidR="005F74DA" w:rsidRPr="00DD6F12">
        <w:rPr>
          <w:rFonts w:ascii="ITC Avant Garde" w:hAnsi="ITC Avant Garde"/>
          <w:szCs w:val="20"/>
        </w:rPr>
        <w:t>o como Agente Económico con Po</w:t>
      </w:r>
      <w:r w:rsidR="00817413" w:rsidRPr="00DD6F12">
        <w:rPr>
          <w:rFonts w:ascii="ITC Avant Garde" w:hAnsi="ITC Avant Garde"/>
          <w:szCs w:val="20"/>
        </w:rPr>
        <w:t>der Sustancial de Mercado (en lo</w:t>
      </w:r>
      <w:r w:rsidR="005F74DA" w:rsidRPr="00DD6F12">
        <w:rPr>
          <w:rFonts w:ascii="ITC Avant Garde" w:hAnsi="ITC Avant Garde"/>
          <w:szCs w:val="20"/>
        </w:rPr>
        <w:t xml:space="preserve"> sucesivo, </w:t>
      </w:r>
      <w:r w:rsidR="00880FF4" w:rsidRPr="00DD6F12">
        <w:rPr>
          <w:rFonts w:ascii="ITC Avant Garde" w:hAnsi="ITC Avant Garde"/>
          <w:szCs w:val="20"/>
        </w:rPr>
        <w:t xml:space="preserve">el </w:t>
      </w:r>
      <w:r w:rsidR="005F74DA" w:rsidRPr="00DD6F12">
        <w:rPr>
          <w:rFonts w:ascii="ITC Avant Garde" w:hAnsi="ITC Avant Garde"/>
          <w:szCs w:val="20"/>
        </w:rPr>
        <w:t>“AEPSM”) en el se</w:t>
      </w:r>
      <w:r w:rsidR="00561810" w:rsidRPr="00DD6F12">
        <w:rPr>
          <w:rFonts w:ascii="ITC Avant Garde" w:hAnsi="ITC Avant Garde"/>
          <w:szCs w:val="20"/>
        </w:rPr>
        <w:t>ctor de las telecomunicaciones</w:t>
      </w:r>
      <w:r w:rsidR="00DD2CBE" w:rsidRPr="00DD6F12">
        <w:rPr>
          <w:rFonts w:ascii="ITC Avant Garde" w:hAnsi="ITC Avant Garde"/>
          <w:szCs w:val="20"/>
        </w:rPr>
        <w:t>, por lo que sus tarifas deberán ser aprobadas por el Instituto</w:t>
      </w:r>
      <w:r w:rsidR="00561810" w:rsidRPr="00DD6F12">
        <w:rPr>
          <w:rFonts w:ascii="ITC Avant Garde" w:hAnsi="ITC Avant Garde"/>
          <w:szCs w:val="20"/>
        </w:rPr>
        <w:t>.</w:t>
      </w:r>
    </w:p>
    <w:p w14:paraId="04403D6B" w14:textId="7574B883" w:rsidR="005F74DA" w:rsidRPr="00DD6F12" w:rsidRDefault="005F74DA" w:rsidP="004A1ECE">
      <w:pPr>
        <w:spacing w:line="276" w:lineRule="auto"/>
        <w:jc w:val="both"/>
        <w:rPr>
          <w:rFonts w:ascii="ITC Avant Garde" w:hAnsi="ITC Avant Garde"/>
          <w:szCs w:val="20"/>
        </w:rPr>
      </w:pPr>
      <w:r w:rsidRPr="00DD6F12">
        <w:rPr>
          <w:rFonts w:ascii="ITC Avant Garde" w:hAnsi="ITC Avant Garde"/>
          <w:szCs w:val="20"/>
        </w:rPr>
        <w:lastRenderedPageBreak/>
        <w:t xml:space="preserve">En el mismo sentido, el referido artículo 208 de la </w:t>
      </w:r>
      <w:r w:rsidR="00235235" w:rsidRPr="00DD6F12">
        <w:rPr>
          <w:rFonts w:ascii="ITC Avant Garde" w:hAnsi="ITC Avant Garde"/>
          <w:szCs w:val="20"/>
        </w:rPr>
        <w:t xml:space="preserve">LFTR </w:t>
      </w:r>
      <w:r w:rsidRPr="00DD6F12">
        <w:rPr>
          <w:rFonts w:ascii="ITC Avant Garde" w:hAnsi="ITC Avant Garde"/>
          <w:szCs w:val="20"/>
        </w:rPr>
        <w:t>señala que a los AEP y AEPSM tampoco les es aplicable lo previsto en los artículos 205 y 207</w:t>
      </w:r>
      <w:r w:rsidR="00CC2B71" w:rsidRPr="00DD6F12">
        <w:rPr>
          <w:rFonts w:ascii="ITC Avant Garde" w:hAnsi="ITC Avant Garde"/>
          <w:szCs w:val="20"/>
        </w:rPr>
        <w:t>, relativo a los elementos que deben contener las solicitudes de registro de tarifas, así como las ofertas comerciales que al efecto los concesionarios y autorizados presenten al Instituto</w:t>
      </w:r>
      <w:r w:rsidRPr="00DD6F12">
        <w:rPr>
          <w:rFonts w:ascii="ITC Avant Garde" w:hAnsi="ITC Avant Garde"/>
          <w:szCs w:val="20"/>
        </w:rPr>
        <w:t>, por lo que deberán cumplir con la regulación específica que en materia tarifaria les imponga el Instituto. Dichas tarifas</w:t>
      </w:r>
      <w:r w:rsidR="00DD2CBE" w:rsidRPr="00DD6F12">
        <w:rPr>
          <w:rFonts w:ascii="ITC Avant Garde" w:hAnsi="ITC Avant Garde"/>
          <w:szCs w:val="20"/>
        </w:rPr>
        <w:t>, como lo dispone el referido artículo,</w:t>
      </w:r>
      <w:r w:rsidRPr="00DD6F12">
        <w:rPr>
          <w:rFonts w:ascii="ITC Avant Garde" w:hAnsi="ITC Avant Garde"/>
          <w:szCs w:val="20"/>
        </w:rPr>
        <w:t xml:space="preserve"> deberán ser aprobadas por el Instituto, quien</w:t>
      </w:r>
      <w:r w:rsidR="00DD2CBE" w:rsidRPr="00DD6F12">
        <w:rPr>
          <w:rFonts w:ascii="ITC Avant Garde" w:hAnsi="ITC Avant Garde"/>
          <w:szCs w:val="20"/>
        </w:rPr>
        <w:t>, además</w:t>
      </w:r>
      <w:r w:rsidR="00DA2622" w:rsidRPr="00DD6F12">
        <w:rPr>
          <w:rFonts w:ascii="ITC Avant Garde" w:hAnsi="ITC Avant Garde"/>
          <w:szCs w:val="20"/>
        </w:rPr>
        <w:t>,</w:t>
      </w:r>
      <w:r w:rsidR="00DD2CBE" w:rsidRPr="00DD6F12">
        <w:rPr>
          <w:rFonts w:ascii="ITC Avant Garde" w:hAnsi="ITC Avant Garde"/>
          <w:szCs w:val="20"/>
        </w:rPr>
        <w:t xml:space="preserve"> deberá</w:t>
      </w:r>
      <w:r w:rsidRPr="00DD6F12">
        <w:rPr>
          <w:rFonts w:ascii="ITC Avant Garde" w:hAnsi="ITC Avant Garde"/>
          <w:szCs w:val="20"/>
        </w:rPr>
        <w:t xml:space="preserve"> llevar un registro de las mismas,</w:t>
      </w:r>
      <w:r w:rsidR="00561810" w:rsidRPr="00DD6F12">
        <w:rPr>
          <w:rFonts w:ascii="ITC Avant Garde" w:hAnsi="ITC Avant Garde"/>
          <w:szCs w:val="20"/>
        </w:rPr>
        <w:t xml:space="preserve"> a efecto de darles publicidad.</w:t>
      </w:r>
    </w:p>
    <w:p w14:paraId="19D77440" w14:textId="04DBD50F" w:rsidR="00177D7B" w:rsidRPr="00DD6F12" w:rsidRDefault="00177D7B" w:rsidP="004A1ECE">
      <w:pPr>
        <w:spacing w:line="276" w:lineRule="auto"/>
        <w:jc w:val="both"/>
        <w:rPr>
          <w:rFonts w:ascii="ITC Avant Garde" w:hAnsi="ITC Avant Garde"/>
          <w:szCs w:val="20"/>
        </w:rPr>
      </w:pPr>
      <w:r w:rsidRPr="00DD6F12">
        <w:rPr>
          <w:rFonts w:ascii="ITC Avant Garde" w:hAnsi="ITC Avant Garde"/>
          <w:szCs w:val="20"/>
        </w:rPr>
        <w:t xml:space="preserve">Por lo observado anteriormente, </w:t>
      </w:r>
      <w:r w:rsidR="005C6677" w:rsidRPr="00DD6F12">
        <w:rPr>
          <w:rFonts w:ascii="ITC Avant Garde" w:hAnsi="ITC Avant Garde"/>
          <w:szCs w:val="20"/>
        </w:rPr>
        <w:t>el</w:t>
      </w:r>
      <w:r w:rsidRPr="00DD6F12">
        <w:rPr>
          <w:rFonts w:ascii="ITC Avant Garde" w:hAnsi="ITC Avant Garde"/>
          <w:szCs w:val="20"/>
        </w:rPr>
        <w:t xml:space="preserve"> AEP y </w:t>
      </w:r>
      <w:r w:rsidR="005C6677" w:rsidRPr="00DD6F12">
        <w:rPr>
          <w:rFonts w:ascii="ITC Avant Garde" w:hAnsi="ITC Avant Garde"/>
          <w:szCs w:val="20"/>
        </w:rPr>
        <w:t xml:space="preserve">los </w:t>
      </w:r>
      <w:r w:rsidRPr="00DD6F12">
        <w:rPr>
          <w:rFonts w:ascii="ITC Avant Garde" w:hAnsi="ITC Avant Garde"/>
          <w:szCs w:val="20"/>
        </w:rPr>
        <w:t xml:space="preserve">AEPSM en el sector de las telecomunicaciones están obligados a someter para autorización del Instituto, las tarifas de los servicios de telecomunicaciones que pretendan ofrecer al público y, de ser autorizadas, estas deben ser registradas por el mismo Instituto con el objeto de darles publicidad. </w:t>
      </w:r>
    </w:p>
    <w:p w14:paraId="3B138214" w14:textId="19EB7249" w:rsidR="001F5D07" w:rsidRPr="00DD6F12" w:rsidRDefault="00177D7B" w:rsidP="004A1ECE">
      <w:pPr>
        <w:spacing w:line="276" w:lineRule="auto"/>
        <w:jc w:val="both"/>
        <w:rPr>
          <w:rFonts w:ascii="ITC Avant Garde" w:hAnsi="ITC Avant Garde"/>
          <w:szCs w:val="20"/>
        </w:rPr>
      </w:pPr>
      <w:r w:rsidRPr="00DD6F12">
        <w:rPr>
          <w:rFonts w:ascii="ITC Avant Garde" w:hAnsi="ITC Avant Garde"/>
          <w:szCs w:val="20"/>
        </w:rPr>
        <w:t>Adicionalmente</w:t>
      </w:r>
      <w:r w:rsidR="005F74DA" w:rsidRPr="00DD6F12">
        <w:rPr>
          <w:rFonts w:ascii="ITC Avant Garde" w:hAnsi="ITC Avant Garde"/>
          <w:szCs w:val="20"/>
        </w:rPr>
        <w:t>,</w:t>
      </w:r>
      <w:r w:rsidRPr="00DD6F12">
        <w:rPr>
          <w:rFonts w:ascii="ITC Avant Garde" w:hAnsi="ITC Avant Garde"/>
          <w:szCs w:val="20"/>
        </w:rPr>
        <w:t xml:space="preserve"> debe contemplarse que</w:t>
      </w:r>
      <w:r w:rsidR="005F74DA" w:rsidRPr="00DD6F12">
        <w:rPr>
          <w:rFonts w:ascii="ITC Avant Garde" w:hAnsi="ITC Avant Garde"/>
          <w:szCs w:val="20"/>
        </w:rPr>
        <w:t xml:space="preserve"> el artículo 267 </w:t>
      </w:r>
      <w:r w:rsidRPr="00DD6F12">
        <w:rPr>
          <w:rFonts w:ascii="ITC Avant Garde" w:hAnsi="ITC Avant Garde"/>
          <w:szCs w:val="20"/>
        </w:rPr>
        <w:t xml:space="preserve">de la misma LFTR establece las medidas que el Instituto podrá imponer al </w:t>
      </w:r>
      <w:r w:rsidR="005C6677" w:rsidRPr="00DD6F12">
        <w:rPr>
          <w:rFonts w:ascii="ITC Avant Garde" w:hAnsi="ITC Avant Garde"/>
          <w:szCs w:val="20"/>
        </w:rPr>
        <w:t>AEP</w:t>
      </w:r>
      <w:r w:rsidRPr="00DD6F12">
        <w:rPr>
          <w:rFonts w:ascii="ITC Avant Garde" w:hAnsi="ITC Avant Garde"/>
          <w:szCs w:val="20"/>
        </w:rPr>
        <w:t>, entre ellas</w:t>
      </w:r>
      <w:r w:rsidR="000E5A18" w:rsidRPr="00DD6F12">
        <w:rPr>
          <w:rFonts w:ascii="ITC Avant Garde" w:hAnsi="ITC Avant Garde"/>
          <w:szCs w:val="20"/>
        </w:rPr>
        <w:t>:</w:t>
      </w:r>
      <w:r w:rsidRPr="00DD6F12">
        <w:rPr>
          <w:rFonts w:ascii="ITC Avant Garde" w:hAnsi="ITC Avant Garde"/>
          <w:szCs w:val="20"/>
        </w:rPr>
        <w:t xml:space="preserve"> </w:t>
      </w:r>
    </w:p>
    <w:p w14:paraId="2C96A79B" w14:textId="1A10FD80" w:rsidR="001F5D07" w:rsidRPr="00DD6F12" w:rsidRDefault="001F5D07" w:rsidP="006B5891">
      <w:pPr>
        <w:pStyle w:val="Prrafodelista"/>
        <w:numPr>
          <w:ilvl w:val="0"/>
          <w:numId w:val="27"/>
        </w:numPr>
        <w:spacing w:line="276" w:lineRule="auto"/>
        <w:jc w:val="both"/>
        <w:rPr>
          <w:rFonts w:ascii="ITC Avant Garde" w:hAnsi="ITC Avant Garde"/>
          <w:szCs w:val="20"/>
        </w:rPr>
      </w:pPr>
      <w:r w:rsidRPr="00DD6F12">
        <w:rPr>
          <w:rFonts w:ascii="ITC Avant Garde" w:hAnsi="ITC Avant Garde"/>
          <w:szCs w:val="20"/>
        </w:rPr>
        <w:t>Presentar para su autorización las tarifas que aplica a los servicios que presta al público, así como la restricción para comercializarlas o publicitarlas en medios de comunicaciones sin la previa autorización del Instituto</w:t>
      </w:r>
      <w:r w:rsidR="00C25DF4" w:rsidRPr="00DD6F12">
        <w:rPr>
          <w:rStyle w:val="Refdenotaalpie"/>
          <w:rFonts w:ascii="ITC Avant Garde" w:hAnsi="ITC Avant Garde"/>
          <w:szCs w:val="20"/>
        </w:rPr>
        <w:footnoteReference w:id="1"/>
      </w:r>
      <w:r w:rsidRPr="00DD6F12">
        <w:rPr>
          <w:rFonts w:ascii="ITC Avant Garde" w:hAnsi="ITC Avant Garde"/>
          <w:szCs w:val="20"/>
        </w:rPr>
        <w:t>;</w:t>
      </w:r>
    </w:p>
    <w:p w14:paraId="20B73E9A" w14:textId="105EC402" w:rsidR="001F5D07" w:rsidRPr="00DD6F12" w:rsidRDefault="001F5D07" w:rsidP="006B5891">
      <w:pPr>
        <w:pStyle w:val="Prrafodelista"/>
        <w:numPr>
          <w:ilvl w:val="0"/>
          <w:numId w:val="27"/>
        </w:numPr>
        <w:spacing w:line="276" w:lineRule="auto"/>
        <w:jc w:val="both"/>
        <w:rPr>
          <w:rFonts w:ascii="ITC Avant Garde" w:hAnsi="ITC Avant Garde"/>
          <w:szCs w:val="20"/>
        </w:rPr>
      </w:pPr>
      <w:r w:rsidRPr="00DD6F12">
        <w:rPr>
          <w:rFonts w:ascii="ITC Avant Garde" w:hAnsi="ITC Avant Garde"/>
          <w:szCs w:val="20"/>
        </w:rPr>
        <w:t>No establecer condiciones comerciales distintas en calidad y precio, independientemente del lugar donde se origine o termine el servicio, ya sea en su red o en la de otro concesionario</w:t>
      </w:r>
      <w:r w:rsidR="00C25DF4" w:rsidRPr="00DD6F12">
        <w:rPr>
          <w:rStyle w:val="Refdenotaalpie"/>
          <w:rFonts w:ascii="ITC Avant Garde" w:hAnsi="ITC Avant Garde"/>
          <w:szCs w:val="20"/>
        </w:rPr>
        <w:footnoteReference w:id="2"/>
      </w:r>
      <w:r w:rsidRPr="00DD6F12">
        <w:rPr>
          <w:rFonts w:ascii="ITC Avant Garde" w:hAnsi="ITC Avant Garde"/>
          <w:szCs w:val="20"/>
        </w:rPr>
        <w:t>, y</w:t>
      </w:r>
    </w:p>
    <w:p w14:paraId="5EF573FB" w14:textId="7ABE3B75" w:rsidR="001F5D07" w:rsidRPr="00DD6F12" w:rsidRDefault="001F5D07" w:rsidP="006B5891">
      <w:pPr>
        <w:pStyle w:val="Prrafodelista"/>
        <w:numPr>
          <w:ilvl w:val="0"/>
          <w:numId w:val="27"/>
        </w:numPr>
        <w:spacing w:line="276" w:lineRule="auto"/>
        <w:jc w:val="both"/>
        <w:rPr>
          <w:rFonts w:ascii="ITC Avant Garde" w:hAnsi="ITC Avant Garde"/>
          <w:szCs w:val="20"/>
        </w:rPr>
      </w:pPr>
      <w:r w:rsidRPr="00DD6F12">
        <w:rPr>
          <w:rFonts w:ascii="ITC Avant Garde" w:hAnsi="ITC Avant Garde"/>
          <w:szCs w:val="20"/>
        </w:rPr>
        <w:t>No discriminar entre el tráfico de su propia red y el tráfico de los demás concesionarios de redes públicas de telecomunicaciones</w:t>
      </w:r>
      <w:r w:rsidR="00C25DF4" w:rsidRPr="00DD6F12">
        <w:rPr>
          <w:rStyle w:val="Refdenotaalpie"/>
          <w:rFonts w:ascii="ITC Avant Garde" w:hAnsi="ITC Avant Garde"/>
          <w:szCs w:val="20"/>
        </w:rPr>
        <w:footnoteReference w:id="3"/>
      </w:r>
      <w:r w:rsidRPr="00DD6F12">
        <w:rPr>
          <w:rFonts w:ascii="ITC Avant Garde" w:hAnsi="ITC Avant Garde"/>
          <w:szCs w:val="20"/>
        </w:rPr>
        <w:t>.</w:t>
      </w:r>
    </w:p>
    <w:p w14:paraId="4E494EAF" w14:textId="50A6907F" w:rsidR="005F74DA" w:rsidRPr="00DD6F12" w:rsidRDefault="005F74DA" w:rsidP="006B5891">
      <w:pPr>
        <w:spacing w:line="276" w:lineRule="auto"/>
        <w:jc w:val="both"/>
        <w:rPr>
          <w:rFonts w:ascii="ITC Avant Garde" w:hAnsi="ITC Avant Garde"/>
          <w:szCs w:val="20"/>
        </w:rPr>
      </w:pPr>
      <w:r w:rsidRPr="00DD6F12">
        <w:rPr>
          <w:rFonts w:ascii="ITC Avant Garde" w:hAnsi="ITC Avant Garde"/>
          <w:szCs w:val="20"/>
        </w:rPr>
        <w:t xml:space="preserve">Por su parte, el artículo 282 de la </w:t>
      </w:r>
      <w:r w:rsidR="00235235" w:rsidRPr="00DD6F12">
        <w:rPr>
          <w:rFonts w:ascii="ITC Avant Garde" w:hAnsi="ITC Avant Garde"/>
          <w:szCs w:val="20"/>
        </w:rPr>
        <w:t xml:space="preserve">LFTR </w:t>
      </w:r>
      <w:r w:rsidRPr="00DD6F12">
        <w:rPr>
          <w:rFonts w:ascii="ITC Avant Garde" w:hAnsi="ITC Avant Garde"/>
          <w:szCs w:val="20"/>
        </w:rPr>
        <w:t>prevé que el Instituto p</w:t>
      </w:r>
      <w:r w:rsidR="006341AA" w:rsidRPr="00DD6F12">
        <w:rPr>
          <w:rFonts w:ascii="ITC Avant Garde" w:hAnsi="ITC Avant Garde"/>
          <w:szCs w:val="20"/>
        </w:rPr>
        <w:t>odrá</w:t>
      </w:r>
      <w:r w:rsidRPr="00DD6F12">
        <w:rPr>
          <w:rFonts w:ascii="ITC Avant Garde" w:hAnsi="ITC Avant Garde"/>
          <w:szCs w:val="20"/>
        </w:rPr>
        <w:t xml:space="preserve"> imponer a los AEPSM, obligaciones y limitaciones específicas, entre otras, en materia de</w:t>
      </w:r>
      <w:r w:rsidR="006341AA" w:rsidRPr="00DD6F12">
        <w:rPr>
          <w:rFonts w:ascii="ITC Avant Garde" w:hAnsi="ITC Avant Garde"/>
          <w:szCs w:val="20"/>
        </w:rPr>
        <w:t xml:space="preserve"> tarifas y ofertas comerciales.</w:t>
      </w:r>
    </w:p>
    <w:p w14:paraId="0BC96A41" w14:textId="447FD95A" w:rsidR="005273A3" w:rsidRPr="00DD6F12" w:rsidRDefault="00565499" w:rsidP="00565499">
      <w:pPr>
        <w:spacing w:line="276" w:lineRule="auto"/>
        <w:jc w:val="both"/>
        <w:rPr>
          <w:rFonts w:ascii="ITC Avant Garde" w:hAnsi="ITC Avant Garde"/>
          <w:szCs w:val="20"/>
        </w:rPr>
      </w:pPr>
      <w:r w:rsidRPr="00DD6F12">
        <w:rPr>
          <w:rFonts w:ascii="ITC Avant Garde" w:hAnsi="ITC Avant Garde"/>
          <w:szCs w:val="20"/>
        </w:rPr>
        <w:t xml:space="preserve">Es </w:t>
      </w:r>
      <w:r w:rsidR="003F5326" w:rsidRPr="00DD6F12">
        <w:rPr>
          <w:rFonts w:ascii="ITC Avant Garde" w:hAnsi="ITC Avant Garde"/>
          <w:szCs w:val="20"/>
        </w:rPr>
        <w:t>preciso señalar que</w:t>
      </w:r>
      <w:r w:rsidRPr="00DD6F12">
        <w:rPr>
          <w:rFonts w:ascii="ITC Avant Garde" w:hAnsi="ITC Avant Garde"/>
          <w:szCs w:val="20"/>
        </w:rPr>
        <w:t>,</w:t>
      </w:r>
      <w:r w:rsidR="003F5326" w:rsidRPr="00DD6F12">
        <w:rPr>
          <w:rFonts w:ascii="ITC Avant Garde" w:hAnsi="ITC Avant Garde"/>
          <w:szCs w:val="20"/>
        </w:rPr>
        <w:t xml:space="preserve"> actualmente</w:t>
      </w:r>
      <w:r w:rsidRPr="00DD6F12">
        <w:rPr>
          <w:rFonts w:ascii="ITC Avant Garde" w:hAnsi="ITC Avant Garde"/>
          <w:szCs w:val="20"/>
        </w:rPr>
        <w:t>,</w:t>
      </w:r>
      <w:r w:rsidR="003F5326" w:rsidRPr="00DD6F12">
        <w:rPr>
          <w:rFonts w:ascii="ITC Avant Garde" w:hAnsi="ITC Avant Garde"/>
          <w:szCs w:val="20"/>
        </w:rPr>
        <w:t xml:space="preserve"> la</w:t>
      </w:r>
      <w:r w:rsidRPr="00DD6F12">
        <w:rPr>
          <w:rFonts w:ascii="ITC Avant Garde" w:hAnsi="ITC Avant Garde"/>
          <w:szCs w:val="20"/>
        </w:rPr>
        <w:t>s</w:t>
      </w:r>
      <w:r w:rsidR="003F5326" w:rsidRPr="00DD6F12">
        <w:rPr>
          <w:rFonts w:ascii="ITC Avant Garde" w:hAnsi="ITC Avant Garde"/>
          <w:szCs w:val="20"/>
        </w:rPr>
        <w:t xml:space="preserve"> solicitud</w:t>
      </w:r>
      <w:r w:rsidRPr="00DD6F12">
        <w:rPr>
          <w:rFonts w:ascii="ITC Avant Garde" w:hAnsi="ITC Avant Garde"/>
          <w:szCs w:val="20"/>
        </w:rPr>
        <w:t>es</w:t>
      </w:r>
      <w:r w:rsidR="003F5326" w:rsidRPr="00DD6F12">
        <w:rPr>
          <w:rFonts w:ascii="ITC Avant Garde" w:hAnsi="ITC Avant Garde"/>
          <w:szCs w:val="20"/>
        </w:rPr>
        <w:t xml:space="preserve"> de autorización de tarifas se realiza</w:t>
      </w:r>
      <w:r w:rsidR="006959B3" w:rsidRPr="00DD6F12">
        <w:rPr>
          <w:rFonts w:ascii="ITC Avant Garde" w:hAnsi="ITC Avant Garde"/>
          <w:szCs w:val="20"/>
        </w:rPr>
        <w:t>n</w:t>
      </w:r>
      <w:r w:rsidR="008E331A" w:rsidRPr="00DD6F12">
        <w:rPr>
          <w:rFonts w:ascii="ITC Avant Garde" w:hAnsi="ITC Avant Garde"/>
          <w:szCs w:val="20"/>
        </w:rPr>
        <w:t xml:space="preserve"> </w:t>
      </w:r>
      <w:r w:rsidRPr="00DD6F12">
        <w:rPr>
          <w:rFonts w:ascii="ITC Avant Garde" w:hAnsi="ITC Avant Garde"/>
          <w:szCs w:val="20"/>
        </w:rPr>
        <w:t>mediante</w:t>
      </w:r>
      <w:r w:rsidR="003F5326" w:rsidRPr="00DD6F12">
        <w:rPr>
          <w:rFonts w:ascii="ITC Avant Garde" w:hAnsi="ITC Avant Garde"/>
          <w:szCs w:val="20"/>
        </w:rPr>
        <w:t xml:space="preserve"> la presentación de escrito</w:t>
      </w:r>
      <w:r w:rsidRPr="00DD6F12">
        <w:rPr>
          <w:rFonts w:ascii="ITC Avant Garde" w:hAnsi="ITC Avant Garde"/>
          <w:szCs w:val="20"/>
        </w:rPr>
        <w:t>s</w:t>
      </w:r>
      <w:r w:rsidR="003F5326" w:rsidRPr="00DD6F12">
        <w:rPr>
          <w:rFonts w:ascii="ITC Avant Garde" w:hAnsi="ITC Avant Garde"/>
          <w:szCs w:val="20"/>
        </w:rPr>
        <w:t xml:space="preserve"> libre</w:t>
      </w:r>
      <w:r w:rsidRPr="00DD6F12">
        <w:rPr>
          <w:rFonts w:ascii="ITC Avant Garde" w:hAnsi="ITC Avant Garde"/>
          <w:szCs w:val="20"/>
        </w:rPr>
        <w:t>s</w:t>
      </w:r>
      <w:r w:rsidR="003F5326" w:rsidRPr="00DD6F12">
        <w:rPr>
          <w:rFonts w:ascii="ITC Avant Garde" w:hAnsi="ITC Avant Garde"/>
          <w:szCs w:val="20"/>
        </w:rPr>
        <w:t xml:space="preserve"> </w:t>
      </w:r>
      <w:r w:rsidRPr="00DD6F12">
        <w:rPr>
          <w:rFonts w:ascii="ITC Avant Garde" w:hAnsi="ITC Avant Garde"/>
          <w:szCs w:val="20"/>
        </w:rPr>
        <w:t xml:space="preserve">a través de </w:t>
      </w:r>
      <w:r w:rsidR="003F5326" w:rsidRPr="00DD6F12">
        <w:rPr>
          <w:rFonts w:ascii="ITC Avant Garde" w:hAnsi="ITC Avant Garde"/>
          <w:szCs w:val="20"/>
        </w:rPr>
        <w:t xml:space="preserve">la </w:t>
      </w:r>
      <w:r w:rsidR="005176A9" w:rsidRPr="00DD6F12">
        <w:rPr>
          <w:rFonts w:ascii="ITC Avant Garde" w:hAnsi="ITC Avant Garde"/>
          <w:szCs w:val="20"/>
        </w:rPr>
        <w:t>o</w:t>
      </w:r>
      <w:r w:rsidR="003F5326" w:rsidRPr="00DD6F12">
        <w:rPr>
          <w:rFonts w:ascii="ITC Avant Garde" w:hAnsi="ITC Avant Garde"/>
          <w:szCs w:val="20"/>
        </w:rPr>
        <w:t xml:space="preserve">ficialía de </w:t>
      </w:r>
      <w:r w:rsidR="005176A9" w:rsidRPr="00DD6F12">
        <w:rPr>
          <w:rFonts w:ascii="ITC Avant Garde" w:hAnsi="ITC Avant Garde"/>
          <w:szCs w:val="20"/>
        </w:rPr>
        <w:t>p</w:t>
      </w:r>
      <w:r w:rsidR="003F5326" w:rsidRPr="00DD6F12">
        <w:rPr>
          <w:rFonts w:ascii="ITC Avant Garde" w:hAnsi="ITC Avant Garde"/>
          <w:szCs w:val="20"/>
        </w:rPr>
        <w:t xml:space="preserve">artes </w:t>
      </w:r>
      <w:r w:rsidR="005176A9" w:rsidRPr="00DD6F12">
        <w:rPr>
          <w:rFonts w:ascii="ITC Avant Garde" w:hAnsi="ITC Avant Garde"/>
          <w:szCs w:val="20"/>
        </w:rPr>
        <w:t>c</w:t>
      </w:r>
      <w:r w:rsidRPr="00DD6F12">
        <w:rPr>
          <w:rFonts w:ascii="ITC Avant Garde" w:hAnsi="ITC Avant Garde"/>
          <w:szCs w:val="20"/>
        </w:rPr>
        <w:t xml:space="preserve">omún </w:t>
      </w:r>
      <w:r w:rsidR="003F5326" w:rsidRPr="00DD6F12">
        <w:rPr>
          <w:rFonts w:ascii="ITC Avant Garde" w:hAnsi="ITC Avant Garde"/>
          <w:szCs w:val="20"/>
        </w:rPr>
        <w:t>del Instituto</w:t>
      </w:r>
      <w:r w:rsidRPr="00DD6F12">
        <w:rPr>
          <w:rFonts w:ascii="ITC Avant Garde" w:hAnsi="ITC Avant Garde"/>
          <w:szCs w:val="20"/>
        </w:rPr>
        <w:t xml:space="preserve"> </w:t>
      </w:r>
      <w:r w:rsidR="003F5326" w:rsidRPr="00DD6F12">
        <w:rPr>
          <w:rFonts w:ascii="ITC Avant Garde" w:hAnsi="ITC Avant Garde"/>
          <w:szCs w:val="20"/>
        </w:rPr>
        <w:t>y la</w:t>
      </w:r>
      <w:r w:rsidR="006959B3" w:rsidRPr="00DD6F12">
        <w:rPr>
          <w:rFonts w:ascii="ITC Avant Garde" w:hAnsi="ITC Avant Garde"/>
          <w:szCs w:val="20"/>
        </w:rPr>
        <w:t>s</w:t>
      </w:r>
      <w:r w:rsidR="003F5326" w:rsidRPr="00DD6F12">
        <w:rPr>
          <w:rFonts w:ascii="ITC Avant Garde" w:hAnsi="ITC Avant Garde"/>
          <w:szCs w:val="20"/>
        </w:rPr>
        <w:t xml:space="preserve"> </w:t>
      </w:r>
      <w:r w:rsidR="007B1508" w:rsidRPr="00DD6F12">
        <w:rPr>
          <w:rFonts w:ascii="ITC Avant Garde" w:hAnsi="ITC Avant Garde"/>
          <w:szCs w:val="20"/>
        </w:rPr>
        <w:t xml:space="preserve">autorizaciones </w:t>
      </w:r>
      <w:r w:rsidR="003F5326" w:rsidRPr="00DD6F12">
        <w:rPr>
          <w:rFonts w:ascii="ITC Avant Garde" w:hAnsi="ITC Avant Garde"/>
          <w:szCs w:val="20"/>
        </w:rPr>
        <w:t>que</w:t>
      </w:r>
      <w:r w:rsidR="006959B3" w:rsidRPr="00DD6F12">
        <w:rPr>
          <w:rFonts w:ascii="ITC Avant Garde" w:hAnsi="ITC Avant Garde"/>
          <w:szCs w:val="20"/>
        </w:rPr>
        <w:t xml:space="preserve"> </w:t>
      </w:r>
      <w:r w:rsidR="003F5326" w:rsidRPr="00DD6F12">
        <w:rPr>
          <w:rFonts w:ascii="ITC Avant Garde" w:hAnsi="ITC Avant Garde"/>
          <w:szCs w:val="20"/>
        </w:rPr>
        <w:t>otorga el Instituto se notifica</w:t>
      </w:r>
      <w:r w:rsidR="007B1508" w:rsidRPr="00DD6F12">
        <w:rPr>
          <w:rFonts w:ascii="ITC Avant Garde" w:hAnsi="ITC Avant Garde"/>
          <w:szCs w:val="20"/>
        </w:rPr>
        <w:t>n</w:t>
      </w:r>
      <w:r w:rsidR="003F5326" w:rsidRPr="00DD6F12">
        <w:rPr>
          <w:rFonts w:ascii="ITC Avant Garde" w:hAnsi="ITC Avant Garde"/>
          <w:szCs w:val="20"/>
        </w:rPr>
        <w:t xml:space="preserve"> personalmente a</w:t>
      </w:r>
      <w:r w:rsidR="007B1508" w:rsidRPr="00DD6F12">
        <w:rPr>
          <w:rFonts w:ascii="ITC Avant Garde" w:hAnsi="ITC Avant Garde"/>
          <w:szCs w:val="20"/>
        </w:rPr>
        <w:t xml:space="preserve"> </w:t>
      </w:r>
      <w:r w:rsidR="003F5326" w:rsidRPr="00DD6F12">
        <w:rPr>
          <w:rFonts w:ascii="ITC Avant Garde" w:hAnsi="ITC Avant Garde"/>
          <w:szCs w:val="20"/>
        </w:rPr>
        <w:t>l</w:t>
      </w:r>
      <w:r w:rsidR="007B1508" w:rsidRPr="00DD6F12">
        <w:rPr>
          <w:rFonts w:ascii="ITC Avant Garde" w:hAnsi="ITC Avant Garde"/>
          <w:szCs w:val="20"/>
        </w:rPr>
        <w:t>os</w:t>
      </w:r>
      <w:r w:rsidR="003F5326" w:rsidRPr="00DD6F12">
        <w:rPr>
          <w:rFonts w:ascii="ITC Avant Garde" w:hAnsi="ITC Avant Garde"/>
          <w:szCs w:val="20"/>
        </w:rPr>
        <w:t xml:space="preserve"> solicitante</w:t>
      </w:r>
      <w:r w:rsidR="007B1508" w:rsidRPr="00DD6F12">
        <w:rPr>
          <w:rFonts w:ascii="ITC Avant Garde" w:hAnsi="ITC Avant Garde"/>
          <w:szCs w:val="20"/>
        </w:rPr>
        <w:t>s</w:t>
      </w:r>
      <w:r w:rsidR="003F5326" w:rsidRPr="00DD6F12">
        <w:rPr>
          <w:rFonts w:ascii="ITC Avant Garde" w:hAnsi="ITC Avant Garde"/>
          <w:szCs w:val="20"/>
        </w:rPr>
        <w:t xml:space="preserve">. Dicho proceso, en la práctica, </w:t>
      </w:r>
      <w:r w:rsidR="00CC3640" w:rsidRPr="00DD6F12">
        <w:rPr>
          <w:rFonts w:ascii="ITC Avant Garde" w:hAnsi="ITC Avant Garde"/>
          <w:szCs w:val="20"/>
        </w:rPr>
        <w:t>re</w:t>
      </w:r>
      <w:r w:rsidR="003F5326" w:rsidRPr="00DD6F12">
        <w:rPr>
          <w:rFonts w:ascii="ITC Avant Garde" w:hAnsi="ITC Avant Garde"/>
          <w:szCs w:val="20"/>
        </w:rPr>
        <w:t xml:space="preserve">presenta </w:t>
      </w:r>
      <w:r w:rsidR="0027490B" w:rsidRPr="00DD6F12">
        <w:rPr>
          <w:rFonts w:ascii="ITC Avant Garde" w:hAnsi="ITC Avant Garde"/>
          <w:szCs w:val="20"/>
        </w:rPr>
        <w:t xml:space="preserve">ineficiencias </w:t>
      </w:r>
      <w:r w:rsidR="003F5326" w:rsidRPr="00DD6F12">
        <w:rPr>
          <w:rFonts w:ascii="ITC Avant Garde" w:hAnsi="ITC Avant Garde"/>
          <w:szCs w:val="20"/>
        </w:rPr>
        <w:t>y costos regulatorios</w:t>
      </w:r>
      <w:r w:rsidR="00316E79" w:rsidRPr="00DD6F12">
        <w:rPr>
          <w:rFonts w:ascii="ITC Avant Garde" w:hAnsi="ITC Avant Garde"/>
          <w:szCs w:val="20"/>
        </w:rPr>
        <w:t xml:space="preserve"> y administrativos</w:t>
      </w:r>
      <w:r w:rsidR="00A33B1B" w:rsidRPr="00DD6F12">
        <w:rPr>
          <w:rFonts w:ascii="ITC Avant Garde" w:hAnsi="ITC Avant Garde"/>
          <w:szCs w:val="20"/>
        </w:rPr>
        <w:t xml:space="preserve">, debido </w:t>
      </w:r>
      <w:r w:rsidRPr="00DD6F12">
        <w:rPr>
          <w:rFonts w:ascii="ITC Avant Garde" w:hAnsi="ITC Avant Garde"/>
          <w:szCs w:val="20"/>
        </w:rPr>
        <w:t xml:space="preserve">principalmente </w:t>
      </w:r>
      <w:r w:rsidR="00A33B1B" w:rsidRPr="00DD6F12">
        <w:rPr>
          <w:rFonts w:ascii="ITC Avant Garde" w:hAnsi="ITC Avant Garde"/>
          <w:szCs w:val="20"/>
        </w:rPr>
        <w:t>a</w:t>
      </w:r>
      <w:r w:rsidRPr="00DD6F12">
        <w:rPr>
          <w:rFonts w:ascii="ITC Avant Garde" w:hAnsi="ITC Avant Garde"/>
          <w:szCs w:val="20"/>
        </w:rPr>
        <w:t xml:space="preserve"> </w:t>
      </w:r>
      <w:r w:rsidR="00A33B1B" w:rsidRPr="00DD6F12">
        <w:rPr>
          <w:rFonts w:ascii="ITC Avant Garde" w:hAnsi="ITC Avant Garde"/>
          <w:szCs w:val="20"/>
        </w:rPr>
        <w:t xml:space="preserve">la falta de un procedimiento </w:t>
      </w:r>
      <w:r w:rsidR="0027490B" w:rsidRPr="00DD6F12">
        <w:rPr>
          <w:rFonts w:ascii="ITC Avant Garde" w:hAnsi="ITC Avant Garde"/>
          <w:szCs w:val="20"/>
        </w:rPr>
        <w:t>claro y preciso</w:t>
      </w:r>
      <w:r w:rsidR="00316E79" w:rsidRPr="00DD6F12">
        <w:rPr>
          <w:rFonts w:ascii="ITC Avant Garde" w:hAnsi="ITC Avant Garde"/>
          <w:szCs w:val="20"/>
        </w:rPr>
        <w:t>, así como de un formato estandarizado para el sometimiento de las solicitudes de autorización de tarifas</w:t>
      </w:r>
      <w:r w:rsidR="00290BAD" w:rsidRPr="00DD6F12">
        <w:rPr>
          <w:rFonts w:ascii="ITC Avant Garde" w:hAnsi="ITC Avant Garde"/>
          <w:szCs w:val="20"/>
        </w:rPr>
        <w:t>.</w:t>
      </w:r>
      <w:r w:rsidR="00A33B1B" w:rsidRPr="00DD6F12">
        <w:rPr>
          <w:rFonts w:ascii="ITC Avant Garde" w:hAnsi="ITC Avant Garde"/>
          <w:szCs w:val="20"/>
        </w:rPr>
        <w:t xml:space="preserve"> </w:t>
      </w:r>
    </w:p>
    <w:p w14:paraId="48FDF9AF" w14:textId="4E975BA6" w:rsidR="005273A3" w:rsidRPr="00DD6F12" w:rsidRDefault="00F83670" w:rsidP="00565499">
      <w:pPr>
        <w:spacing w:line="276" w:lineRule="auto"/>
        <w:jc w:val="both"/>
        <w:rPr>
          <w:rFonts w:ascii="ITC Avant Garde" w:hAnsi="ITC Avant Garde"/>
          <w:szCs w:val="20"/>
        </w:rPr>
      </w:pPr>
      <w:r w:rsidRPr="00DD6F12">
        <w:rPr>
          <w:rFonts w:ascii="ITC Avant Garde" w:hAnsi="ITC Avant Garde"/>
          <w:szCs w:val="20"/>
        </w:rPr>
        <w:lastRenderedPageBreak/>
        <w:t xml:space="preserve">Por su parte, la autorización de las tarifas implica el cumplimiento </w:t>
      </w:r>
      <w:r w:rsidR="00475179" w:rsidRPr="00DD6F12">
        <w:rPr>
          <w:rFonts w:ascii="ITC Avant Garde" w:hAnsi="ITC Avant Garde"/>
          <w:szCs w:val="20"/>
        </w:rPr>
        <w:t xml:space="preserve">de diversas obligaciones en materia </w:t>
      </w:r>
      <w:r w:rsidR="00CC3640" w:rsidRPr="00DD6F12">
        <w:rPr>
          <w:rFonts w:ascii="ITC Avant Garde" w:hAnsi="ITC Avant Garde"/>
          <w:szCs w:val="20"/>
        </w:rPr>
        <w:t>tarifaria</w:t>
      </w:r>
      <w:r w:rsidR="00CB4AF4" w:rsidRPr="00DD6F12">
        <w:rPr>
          <w:rFonts w:ascii="ITC Avant Garde" w:hAnsi="ITC Avant Garde"/>
          <w:szCs w:val="20"/>
        </w:rPr>
        <w:t>,</w:t>
      </w:r>
      <w:r w:rsidR="00475179" w:rsidRPr="00DD6F12">
        <w:rPr>
          <w:rFonts w:ascii="ITC Avant Garde" w:hAnsi="ITC Avant Garde"/>
          <w:szCs w:val="20"/>
        </w:rPr>
        <w:t xml:space="preserve"> previstas en la LFTR</w:t>
      </w:r>
      <w:r w:rsidR="00CB4AF4" w:rsidRPr="00DD6F12">
        <w:rPr>
          <w:rFonts w:ascii="ITC Avant Garde" w:hAnsi="ITC Avant Garde"/>
          <w:szCs w:val="20"/>
        </w:rPr>
        <w:t xml:space="preserve">, </w:t>
      </w:r>
      <w:r w:rsidR="007B1508" w:rsidRPr="00DD6F12">
        <w:rPr>
          <w:rFonts w:ascii="ITC Avant Garde" w:hAnsi="ITC Avant Garde"/>
          <w:szCs w:val="20"/>
        </w:rPr>
        <w:t xml:space="preserve">en </w:t>
      </w:r>
      <w:r w:rsidR="00CB4AF4" w:rsidRPr="00DD6F12">
        <w:rPr>
          <w:rFonts w:ascii="ITC Avant Garde" w:hAnsi="ITC Avant Garde"/>
          <w:szCs w:val="20"/>
        </w:rPr>
        <w:t>los</w:t>
      </w:r>
      <w:r w:rsidR="007B1508" w:rsidRPr="00DD6F12">
        <w:rPr>
          <w:rFonts w:ascii="ITC Avant Garde" w:hAnsi="ITC Avant Garde"/>
          <w:szCs w:val="20"/>
        </w:rPr>
        <w:t xml:space="preserve"> títulos de concesión, </w:t>
      </w:r>
      <w:r w:rsidR="00CB4AF4" w:rsidRPr="00DD6F12">
        <w:rPr>
          <w:rFonts w:ascii="ITC Avant Garde" w:hAnsi="ITC Avant Garde"/>
          <w:szCs w:val="20"/>
        </w:rPr>
        <w:t>y</w:t>
      </w:r>
      <w:r w:rsidR="00475179" w:rsidRPr="00DD6F12">
        <w:rPr>
          <w:rFonts w:ascii="ITC Avant Garde" w:hAnsi="ITC Avant Garde"/>
          <w:szCs w:val="20"/>
        </w:rPr>
        <w:t xml:space="preserve"> en diversas disposiciones</w:t>
      </w:r>
      <w:r w:rsidR="008E331A" w:rsidRPr="00DD6F12">
        <w:rPr>
          <w:rFonts w:ascii="ITC Avant Garde" w:hAnsi="ITC Avant Garde"/>
          <w:szCs w:val="20"/>
        </w:rPr>
        <w:t xml:space="preserve"> regulatorias</w:t>
      </w:r>
      <w:r w:rsidR="005273A3" w:rsidRPr="00DD6F12">
        <w:rPr>
          <w:rFonts w:ascii="ITC Avant Garde" w:hAnsi="ITC Avant Garde"/>
          <w:szCs w:val="20"/>
        </w:rPr>
        <w:t xml:space="preserve">. En particular, al día de hoy se </w:t>
      </w:r>
      <w:r w:rsidR="00316E79" w:rsidRPr="00DD6F12">
        <w:rPr>
          <w:rFonts w:ascii="ITC Avant Garde" w:hAnsi="ITC Avant Garde"/>
          <w:szCs w:val="20"/>
        </w:rPr>
        <w:t xml:space="preserve">considera </w:t>
      </w:r>
      <w:r w:rsidR="005273A3" w:rsidRPr="00DD6F12">
        <w:rPr>
          <w:rFonts w:ascii="ITC Avant Garde" w:hAnsi="ITC Avant Garde"/>
          <w:szCs w:val="20"/>
        </w:rPr>
        <w:t xml:space="preserve">lo siguiente: </w:t>
      </w:r>
      <w:r w:rsidR="00475179" w:rsidRPr="00DD6F12">
        <w:rPr>
          <w:rFonts w:ascii="ITC Avant Garde" w:hAnsi="ITC Avant Garde"/>
          <w:szCs w:val="20"/>
        </w:rPr>
        <w:t xml:space="preserve"> </w:t>
      </w:r>
    </w:p>
    <w:p w14:paraId="52607FA5" w14:textId="77777777" w:rsidR="005273A3" w:rsidRPr="00DD6F12" w:rsidRDefault="005273A3" w:rsidP="00B9048F">
      <w:pPr>
        <w:pStyle w:val="Prrafodelista"/>
        <w:numPr>
          <w:ilvl w:val="0"/>
          <w:numId w:val="26"/>
        </w:numPr>
        <w:spacing w:line="276" w:lineRule="auto"/>
        <w:jc w:val="both"/>
        <w:rPr>
          <w:rFonts w:ascii="ITC Avant Garde" w:hAnsi="ITC Avant Garde"/>
          <w:szCs w:val="20"/>
        </w:rPr>
      </w:pPr>
      <w:r w:rsidRPr="00DD6F12">
        <w:rPr>
          <w:rFonts w:ascii="ITC Avant Garde" w:hAnsi="ITC Avant Garde"/>
          <w:szCs w:val="20"/>
        </w:rPr>
        <w:t>Que no se realicen cargos de larga distancia a usuarios por las llamadas que realicen a cualquier destino nacional</w:t>
      </w:r>
      <w:r w:rsidRPr="00DD6F12">
        <w:rPr>
          <w:rStyle w:val="Refdenotaalpie"/>
          <w:rFonts w:ascii="ITC Avant Garde" w:hAnsi="ITC Avant Garde"/>
          <w:szCs w:val="20"/>
        </w:rPr>
        <w:footnoteReference w:id="4"/>
      </w:r>
      <w:r w:rsidRPr="00DD6F12">
        <w:rPr>
          <w:rFonts w:ascii="ITC Avant Garde" w:hAnsi="ITC Avant Garde"/>
          <w:szCs w:val="20"/>
        </w:rPr>
        <w:t>;</w:t>
      </w:r>
    </w:p>
    <w:p w14:paraId="5B0DCB4F" w14:textId="77777777" w:rsidR="005273A3" w:rsidRPr="00DD6F12" w:rsidRDefault="005273A3" w:rsidP="00B9048F">
      <w:pPr>
        <w:pStyle w:val="Prrafodelista"/>
        <w:numPr>
          <w:ilvl w:val="0"/>
          <w:numId w:val="26"/>
        </w:numPr>
        <w:spacing w:line="276" w:lineRule="auto"/>
        <w:jc w:val="both"/>
        <w:rPr>
          <w:rFonts w:ascii="ITC Avant Garde" w:hAnsi="ITC Avant Garde"/>
          <w:szCs w:val="20"/>
        </w:rPr>
      </w:pPr>
      <w:r w:rsidRPr="00DD6F12">
        <w:rPr>
          <w:rFonts w:ascii="ITC Avant Garde" w:hAnsi="ITC Avant Garde"/>
          <w:szCs w:val="20"/>
        </w:rPr>
        <w:t xml:space="preserve">Que no </w:t>
      </w:r>
      <w:r w:rsidR="004F007C" w:rsidRPr="00DD6F12">
        <w:rPr>
          <w:rFonts w:ascii="ITC Avant Garde" w:hAnsi="ITC Avant Garde"/>
          <w:szCs w:val="20"/>
        </w:rPr>
        <w:t xml:space="preserve">se </w:t>
      </w:r>
      <w:r w:rsidRPr="00DD6F12">
        <w:rPr>
          <w:rFonts w:ascii="ITC Avant Garde" w:hAnsi="ITC Avant Garde"/>
          <w:szCs w:val="20"/>
        </w:rPr>
        <w:t>establezca</w:t>
      </w:r>
      <w:r w:rsidR="004F007C" w:rsidRPr="00DD6F12">
        <w:rPr>
          <w:rFonts w:ascii="ITC Avant Garde" w:hAnsi="ITC Avant Garde"/>
          <w:szCs w:val="20"/>
        </w:rPr>
        <w:t>n</w:t>
      </w:r>
      <w:r w:rsidRPr="00DD6F12">
        <w:rPr>
          <w:rFonts w:ascii="ITC Avant Garde" w:hAnsi="ITC Avant Garde"/>
          <w:szCs w:val="20"/>
        </w:rPr>
        <w:t xml:space="preserve"> cargas o condiciones comerciales distintas en cal</w:t>
      </w:r>
      <w:r w:rsidR="004F007C" w:rsidRPr="00DD6F12">
        <w:rPr>
          <w:rFonts w:ascii="ITC Avant Garde" w:hAnsi="ITC Avant Garde"/>
          <w:szCs w:val="20"/>
        </w:rPr>
        <w:t>idad y precio,</w:t>
      </w:r>
      <w:r w:rsidRPr="00DD6F12">
        <w:rPr>
          <w:rFonts w:ascii="ITC Avant Garde" w:hAnsi="ITC Avant Garde"/>
          <w:szCs w:val="20"/>
        </w:rPr>
        <w:t xml:space="preserve"> independientemente de</w:t>
      </w:r>
      <w:r w:rsidR="00D60A24" w:rsidRPr="00DD6F12">
        <w:rPr>
          <w:rFonts w:ascii="ITC Avant Garde" w:hAnsi="ITC Avant Garde"/>
          <w:szCs w:val="20"/>
        </w:rPr>
        <w:t>l lugar</w:t>
      </w:r>
      <w:r w:rsidRPr="00DD6F12">
        <w:rPr>
          <w:rFonts w:ascii="ITC Avant Garde" w:hAnsi="ITC Avant Garde"/>
          <w:szCs w:val="20"/>
        </w:rPr>
        <w:t xml:space="preserve"> donde se origine o termine el servicio, ya sea en su red o en la de otro concesionario</w:t>
      </w:r>
      <w:r w:rsidR="004F007C" w:rsidRPr="00DD6F12">
        <w:rPr>
          <w:rStyle w:val="Refdenotaalpie"/>
          <w:rFonts w:ascii="ITC Avant Garde" w:hAnsi="ITC Avant Garde"/>
          <w:szCs w:val="20"/>
        </w:rPr>
        <w:footnoteReference w:id="5"/>
      </w:r>
      <w:r w:rsidR="004F007C" w:rsidRPr="00DD6F12">
        <w:rPr>
          <w:rFonts w:ascii="ITC Avant Garde" w:hAnsi="ITC Avant Garde"/>
          <w:szCs w:val="20"/>
        </w:rPr>
        <w:t>;</w:t>
      </w:r>
    </w:p>
    <w:p w14:paraId="3B3D84E5" w14:textId="77777777" w:rsidR="004F007C" w:rsidRPr="00DD6F12" w:rsidRDefault="004F007C" w:rsidP="00B9048F">
      <w:pPr>
        <w:pStyle w:val="Prrafodelista"/>
        <w:numPr>
          <w:ilvl w:val="0"/>
          <w:numId w:val="26"/>
        </w:numPr>
        <w:spacing w:line="276" w:lineRule="auto"/>
        <w:jc w:val="both"/>
        <w:rPr>
          <w:rFonts w:ascii="ITC Avant Garde" w:hAnsi="ITC Avant Garde"/>
          <w:szCs w:val="20"/>
        </w:rPr>
      </w:pPr>
      <w:r w:rsidRPr="00DD6F12">
        <w:rPr>
          <w:rFonts w:ascii="ITC Avant Garde" w:hAnsi="ITC Avant Garde"/>
          <w:szCs w:val="20"/>
        </w:rPr>
        <w:t>Que no se cobre de forma diferenciada a sus usuarios del servicio móvil al recibir llamadas de su red o de la de otro concesionario</w:t>
      </w:r>
      <w:r w:rsidRPr="00DD6F12">
        <w:rPr>
          <w:rStyle w:val="Refdenotaalpie"/>
          <w:rFonts w:ascii="ITC Avant Garde" w:hAnsi="ITC Avant Garde"/>
          <w:szCs w:val="20"/>
        </w:rPr>
        <w:footnoteReference w:id="6"/>
      </w:r>
      <w:r w:rsidRPr="00DD6F12">
        <w:rPr>
          <w:rFonts w:ascii="ITC Avant Garde" w:hAnsi="ITC Avant Garde"/>
          <w:szCs w:val="20"/>
        </w:rPr>
        <w:t>;</w:t>
      </w:r>
    </w:p>
    <w:p w14:paraId="42200DF2" w14:textId="6E5F3071" w:rsidR="004F007C" w:rsidRPr="00DD6F12" w:rsidRDefault="004F007C" w:rsidP="00B9048F">
      <w:pPr>
        <w:pStyle w:val="Prrafodelista"/>
        <w:numPr>
          <w:ilvl w:val="0"/>
          <w:numId w:val="26"/>
        </w:numPr>
        <w:spacing w:line="276" w:lineRule="auto"/>
        <w:jc w:val="both"/>
        <w:rPr>
          <w:rFonts w:ascii="ITC Avant Garde" w:hAnsi="ITC Avant Garde"/>
          <w:szCs w:val="20"/>
        </w:rPr>
      </w:pPr>
      <w:r w:rsidRPr="00DD6F12">
        <w:rPr>
          <w:rFonts w:ascii="ITC Avant Garde" w:hAnsi="ITC Avant Garde"/>
          <w:szCs w:val="20"/>
        </w:rPr>
        <w:t>Que se cumpla con las</w:t>
      </w:r>
      <w:r w:rsidR="00305343" w:rsidRPr="00DD6F12">
        <w:rPr>
          <w:rFonts w:ascii="ITC Avant Garde" w:hAnsi="ITC Avant Garde"/>
          <w:szCs w:val="20"/>
        </w:rPr>
        <w:t xml:space="preserve"> medidas u</w:t>
      </w:r>
      <w:r w:rsidRPr="00DD6F12">
        <w:rPr>
          <w:rFonts w:ascii="ITC Avant Garde" w:hAnsi="ITC Avant Garde"/>
          <w:szCs w:val="20"/>
        </w:rPr>
        <w:t xml:space="preserve"> obligaciones </w:t>
      </w:r>
      <w:r w:rsidR="00305343" w:rsidRPr="00DD6F12">
        <w:rPr>
          <w:rFonts w:ascii="ITC Avant Garde" w:hAnsi="ITC Avant Garde"/>
          <w:szCs w:val="20"/>
        </w:rPr>
        <w:t>específicas impuestas</w:t>
      </w:r>
      <w:r w:rsidRPr="00DD6F12">
        <w:rPr>
          <w:rStyle w:val="Refdenotaalpie"/>
          <w:rFonts w:ascii="ITC Avant Garde" w:hAnsi="ITC Avant Garde"/>
          <w:szCs w:val="20"/>
        </w:rPr>
        <w:footnoteReference w:id="7"/>
      </w:r>
      <w:r w:rsidR="00D60A24" w:rsidRPr="00DD6F12">
        <w:rPr>
          <w:rFonts w:ascii="ITC Avant Garde" w:hAnsi="ITC Avant Garde"/>
          <w:szCs w:val="20"/>
        </w:rPr>
        <w:t>, y</w:t>
      </w:r>
    </w:p>
    <w:p w14:paraId="62C3E510" w14:textId="77777777" w:rsidR="0011741B" w:rsidRPr="00DD6F12" w:rsidRDefault="00680885" w:rsidP="00B9048F">
      <w:pPr>
        <w:pStyle w:val="Prrafodelista"/>
        <w:numPr>
          <w:ilvl w:val="0"/>
          <w:numId w:val="26"/>
        </w:numPr>
        <w:spacing w:line="276" w:lineRule="auto"/>
        <w:jc w:val="both"/>
        <w:rPr>
          <w:rFonts w:ascii="ITC Avant Garde" w:hAnsi="ITC Avant Garde"/>
          <w:szCs w:val="20"/>
        </w:rPr>
      </w:pPr>
      <w:r w:rsidRPr="00DD6F12">
        <w:rPr>
          <w:rFonts w:ascii="ITC Avant Garde" w:hAnsi="ITC Avant Garde"/>
          <w:szCs w:val="20"/>
        </w:rPr>
        <w:t>Que se cumpla con las obligaciones derivadas de los títulos habilitantes</w:t>
      </w:r>
      <w:r w:rsidRPr="00DD6F12">
        <w:rPr>
          <w:rStyle w:val="Refdenotaalpie"/>
          <w:rFonts w:ascii="ITC Avant Garde" w:hAnsi="ITC Avant Garde"/>
          <w:szCs w:val="20"/>
        </w:rPr>
        <w:footnoteReference w:id="8"/>
      </w:r>
      <w:r w:rsidR="00D60A24" w:rsidRPr="00DD6F12">
        <w:rPr>
          <w:rFonts w:ascii="ITC Avant Garde" w:hAnsi="ITC Avant Garde"/>
          <w:szCs w:val="20"/>
        </w:rPr>
        <w:t>.</w:t>
      </w:r>
    </w:p>
    <w:p w14:paraId="10378316" w14:textId="076024FC" w:rsidR="00FE7140" w:rsidRPr="00DD6F12" w:rsidRDefault="0011741B" w:rsidP="00565499">
      <w:pPr>
        <w:spacing w:line="276" w:lineRule="auto"/>
        <w:jc w:val="both"/>
        <w:rPr>
          <w:rFonts w:ascii="ITC Avant Garde" w:hAnsi="ITC Avant Garde"/>
          <w:szCs w:val="20"/>
        </w:rPr>
      </w:pPr>
      <w:r w:rsidRPr="00DD6F12">
        <w:rPr>
          <w:rFonts w:ascii="ITC Avant Garde" w:hAnsi="ITC Avant Garde"/>
          <w:szCs w:val="20"/>
        </w:rPr>
        <w:t>L</w:t>
      </w:r>
      <w:r w:rsidR="00475179" w:rsidRPr="00DD6F12">
        <w:rPr>
          <w:rFonts w:ascii="ITC Avant Garde" w:hAnsi="ITC Avant Garde"/>
          <w:szCs w:val="20"/>
        </w:rPr>
        <w:t xml:space="preserve">o </w:t>
      </w:r>
      <w:r w:rsidRPr="00DD6F12">
        <w:rPr>
          <w:rFonts w:ascii="ITC Avant Garde" w:hAnsi="ITC Avant Garde"/>
          <w:szCs w:val="20"/>
        </w:rPr>
        <w:t>anterior</w:t>
      </w:r>
      <w:r w:rsidR="005C6677" w:rsidRPr="00DD6F12">
        <w:rPr>
          <w:rFonts w:ascii="ITC Avant Garde" w:hAnsi="ITC Avant Garde"/>
          <w:szCs w:val="20"/>
        </w:rPr>
        <w:t>,</w:t>
      </w:r>
      <w:r w:rsidRPr="00DD6F12">
        <w:rPr>
          <w:rFonts w:ascii="ITC Avant Garde" w:hAnsi="ITC Avant Garde"/>
          <w:szCs w:val="20"/>
        </w:rPr>
        <w:t xml:space="preserve"> </w:t>
      </w:r>
      <w:r w:rsidR="00CB4AF4" w:rsidRPr="00DD6F12">
        <w:rPr>
          <w:rFonts w:ascii="ITC Avant Garde" w:hAnsi="ITC Avant Garde"/>
          <w:szCs w:val="20"/>
        </w:rPr>
        <w:t>conlleva a</w:t>
      </w:r>
      <w:r w:rsidR="007B1508" w:rsidRPr="00DD6F12">
        <w:rPr>
          <w:rFonts w:ascii="ITC Avant Garde" w:hAnsi="ITC Avant Garde"/>
          <w:szCs w:val="20"/>
        </w:rPr>
        <w:t xml:space="preserve"> procesar una cantidad significativa de información</w:t>
      </w:r>
      <w:r w:rsidR="00316E79" w:rsidRPr="00DD6F12">
        <w:rPr>
          <w:rFonts w:ascii="ITC Avant Garde" w:hAnsi="ITC Avant Garde"/>
          <w:szCs w:val="20"/>
        </w:rPr>
        <w:t xml:space="preserve"> y documentación</w:t>
      </w:r>
      <w:r w:rsidR="007B1508" w:rsidRPr="00DD6F12">
        <w:rPr>
          <w:rFonts w:ascii="ITC Avant Garde" w:hAnsi="ITC Avant Garde"/>
          <w:szCs w:val="20"/>
        </w:rPr>
        <w:t xml:space="preserve"> y </w:t>
      </w:r>
      <w:r w:rsidR="00BF0073" w:rsidRPr="00DD6F12">
        <w:rPr>
          <w:rFonts w:ascii="ITC Avant Garde" w:hAnsi="ITC Avant Garde"/>
          <w:szCs w:val="20"/>
        </w:rPr>
        <w:t xml:space="preserve">a dedicar tiempos considerables para notificar cualquier </w:t>
      </w:r>
      <w:r w:rsidR="007B1508" w:rsidRPr="00DD6F12">
        <w:rPr>
          <w:rFonts w:ascii="ITC Avant Garde" w:hAnsi="ITC Avant Garde"/>
          <w:szCs w:val="20"/>
        </w:rPr>
        <w:t>preven</w:t>
      </w:r>
      <w:r w:rsidR="00BF0073" w:rsidRPr="00DD6F12">
        <w:rPr>
          <w:rFonts w:ascii="ITC Avant Garde" w:hAnsi="ITC Avant Garde"/>
          <w:szCs w:val="20"/>
        </w:rPr>
        <w:t>ción</w:t>
      </w:r>
      <w:r w:rsidR="007B1508" w:rsidRPr="00DD6F12">
        <w:rPr>
          <w:rFonts w:ascii="ITC Avant Garde" w:hAnsi="ITC Avant Garde"/>
          <w:szCs w:val="20"/>
        </w:rPr>
        <w:t xml:space="preserve"> o requeri</w:t>
      </w:r>
      <w:r w:rsidR="00BF0073" w:rsidRPr="00DD6F12">
        <w:rPr>
          <w:rFonts w:ascii="ITC Avant Garde" w:hAnsi="ITC Avant Garde"/>
          <w:szCs w:val="20"/>
        </w:rPr>
        <w:t>miento de</w:t>
      </w:r>
      <w:r w:rsidR="007B1508" w:rsidRPr="00DD6F12">
        <w:rPr>
          <w:rFonts w:ascii="ITC Avant Garde" w:hAnsi="ITC Avant Garde"/>
          <w:szCs w:val="20"/>
        </w:rPr>
        <w:t xml:space="preserve"> informaci</w:t>
      </w:r>
      <w:r w:rsidR="00917787" w:rsidRPr="00DD6F12">
        <w:rPr>
          <w:rFonts w:ascii="ITC Avant Garde" w:hAnsi="ITC Avant Garde"/>
          <w:szCs w:val="20"/>
        </w:rPr>
        <w:t xml:space="preserve">ón adicional. </w:t>
      </w:r>
      <w:r w:rsidR="00565499" w:rsidRPr="00DD6F12">
        <w:rPr>
          <w:rFonts w:ascii="ITC Avant Garde" w:hAnsi="ITC Avant Garde"/>
          <w:szCs w:val="20"/>
        </w:rPr>
        <w:t>E</w:t>
      </w:r>
      <w:r w:rsidR="00CB4AF4" w:rsidRPr="00DD6F12">
        <w:rPr>
          <w:rFonts w:ascii="ITC Avant Garde" w:hAnsi="ITC Avant Garde"/>
          <w:szCs w:val="20"/>
        </w:rPr>
        <w:t>n este sentido, e</w:t>
      </w:r>
      <w:r w:rsidR="00565499" w:rsidRPr="00DD6F12">
        <w:rPr>
          <w:rFonts w:ascii="ITC Avant Garde" w:hAnsi="ITC Avant Garde"/>
          <w:szCs w:val="20"/>
        </w:rPr>
        <w:t xml:space="preserve">s importante destacar que, durante el año 2017, el Instituto aprobó más de 1900 tarifas sometidas </w:t>
      </w:r>
      <w:r w:rsidR="00CB4AF4" w:rsidRPr="00DD6F12">
        <w:rPr>
          <w:rFonts w:ascii="ITC Avant Garde" w:hAnsi="ITC Avant Garde"/>
          <w:szCs w:val="20"/>
        </w:rPr>
        <w:t xml:space="preserve">para autorización </w:t>
      </w:r>
      <w:r w:rsidR="00565499" w:rsidRPr="00DD6F12">
        <w:rPr>
          <w:rFonts w:ascii="ITC Avant Garde" w:hAnsi="ITC Avant Garde"/>
          <w:szCs w:val="20"/>
        </w:rPr>
        <w:t xml:space="preserve">por </w:t>
      </w:r>
      <w:r w:rsidR="006959B3" w:rsidRPr="00DD6F12">
        <w:rPr>
          <w:rFonts w:ascii="ITC Avant Garde" w:hAnsi="ITC Avant Garde"/>
          <w:szCs w:val="20"/>
        </w:rPr>
        <w:t>los integrantes del</w:t>
      </w:r>
      <w:r w:rsidR="00565499" w:rsidRPr="00DD6F12">
        <w:rPr>
          <w:rFonts w:ascii="ITC Avant Garde" w:hAnsi="ITC Avant Garde"/>
          <w:szCs w:val="20"/>
        </w:rPr>
        <w:t xml:space="preserve"> AEP</w:t>
      </w:r>
      <w:r w:rsidR="006959B3" w:rsidRPr="00DD6F12">
        <w:rPr>
          <w:rFonts w:ascii="ITC Avant Garde" w:hAnsi="ITC Avant Garde"/>
          <w:szCs w:val="20"/>
        </w:rPr>
        <w:t xml:space="preserve"> en el sector de telecomunicaciones</w:t>
      </w:r>
      <w:r w:rsidR="00565499" w:rsidRPr="00DD6F12">
        <w:rPr>
          <w:rFonts w:ascii="ITC Avant Garde" w:hAnsi="ITC Avant Garde"/>
          <w:szCs w:val="20"/>
        </w:rPr>
        <w:t xml:space="preserve">, </w:t>
      </w:r>
      <w:r w:rsidR="00CB4AF4" w:rsidRPr="00DD6F12">
        <w:rPr>
          <w:rFonts w:ascii="ITC Avant Garde" w:hAnsi="ITC Avant Garde"/>
          <w:szCs w:val="20"/>
        </w:rPr>
        <w:t xml:space="preserve">es decir, </w:t>
      </w:r>
      <w:r w:rsidR="00565499" w:rsidRPr="00DD6F12">
        <w:rPr>
          <w:rFonts w:ascii="ITC Avant Garde" w:hAnsi="ITC Avant Garde"/>
          <w:szCs w:val="20"/>
        </w:rPr>
        <w:t>un promedio de 150 tarifas sometidas</w:t>
      </w:r>
      <w:r w:rsidR="00CB4AF4" w:rsidRPr="00DD6F12">
        <w:rPr>
          <w:rFonts w:ascii="ITC Avant Garde" w:hAnsi="ITC Avant Garde"/>
          <w:szCs w:val="20"/>
        </w:rPr>
        <w:t>,</w:t>
      </w:r>
      <w:r w:rsidR="00565499" w:rsidRPr="00DD6F12">
        <w:rPr>
          <w:rFonts w:ascii="ITC Avant Garde" w:hAnsi="ITC Avant Garde"/>
          <w:szCs w:val="20"/>
        </w:rPr>
        <w:t xml:space="preserve"> autorizadas </w:t>
      </w:r>
      <w:r w:rsidR="00CB4AF4" w:rsidRPr="00DD6F12">
        <w:rPr>
          <w:rFonts w:ascii="ITC Avant Garde" w:hAnsi="ITC Avant Garde"/>
          <w:szCs w:val="20"/>
        </w:rPr>
        <w:t xml:space="preserve">y registradas </w:t>
      </w:r>
      <w:r w:rsidR="00565499" w:rsidRPr="00DD6F12">
        <w:rPr>
          <w:rFonts w:ascii="ITC Avant Garde" w:hAnsi="ITC Avant Garde"/>
          <w:szCs w:val="20"/>
        </w:rPr>
        <w:t>por mes.</w:t>
      </w:r>
      <w:r w:rsidR="00BF0073" w:rsidRPr="00DD6F12">
        <w:rPr>
          <w:rFonts w:ascii="ITC Avant Garde" w:hAnsi="ITC Avant Garde"/>
          <w:szCs w:val="20"/>
        </w:rPr>
        <w:t xml:space="preserve"> Lo anterior impacta en el tiempo que el recurso humano del Instituto tiene que dedicar a cuestiones de gestión del trámite, lo que a su vez se traduce en un costo de oportunidad respecto de los tiempos y personal asignado para realizar análisis sustantivos.</w:t>
      </w:r>
    </w:p>
    <w:p w14:paraId="415665C0" w14:textId="1FA3DA3B" w:rsidR="002824AA" w:rsidRPr="00DD6F12" w:rsidRDefault="002E7325" w:rsidP="002824AA">
      <w:pPr>
        <w:spacing w:line="276" w:lineRule="auto"/>
        <w:jc w:val="both"/>
        <w:rPr>
          <w:rFonts w:ascii="ITC Avant Garde" w:hAnsi="ITC Avant Garde"/>
          <w:szCs w:val="20"/>
        </w:rPr>
      </w:pPr>
      <w:r w:rsidRPr="00DD6F12">
        <w:rPr>
          <w:rFonts w:ascii="ITC Avant Garde" w:hAnsi="ITC Avant Garde"/>
          <w:szCs w:val="20"/>
        </w:rPr>
        <w:t xml:space="preserve">Cabe señalar que la Comisión Federal de Mejora Regulatoria </w:t>
      </w:r>
      <w:r w:rsidR="00E64B2A" w:rsidRPr="00DD6F12">
        <w:rPr>
          <w:rFonts w:ascii="ITC Avant Garde" w:hAnsi="ITC Avant Garde"/>
          <w:szCs w:val="20"/>
        </w:rPr>
        <w:t>en</w:t>
      </w:r>
      <w:r w:rsidRPr="00DD6F12">
        <w:rPr>
          <w:rFonts w:ascii="ITC Avant Garde" w:hAnsi="ITC Avant Garde"/>
          <w:szCs w:val="20"/>
        </w:rPr>
        <w:t xml:space="preserve"> los “</w:t>
      </w:r>
      <w:r w:rsidRPr="00DD6F12">
        <w:rPr>
          <w:rFonts w:ascii="ITC Avant Garde" w:hAnsi="ITC Avant Garde"/>
          <w:i/>
          <w:szCs w:val="20"/>
        </w:rPr>
        <w:t>Lineamientos que establecen los criterios para la priorización de trámites y la elaboración de propuestas para su simplificación</w:t>
      </w:r>
      <w:r w:rsidR="00E64B2A" w:rsidRPr="00DD6F12">
        <w:rPr>
          <w:rStyle w:val="Refdenotaalpie"/>
          <w:rFonts w:ascii="ITC Avant Garde" w:hAnsi="ITC Avant Garde"/>
          <w:i/>
          <w:szCs w:val="20"/>
        </w:rPr>
        <w:footnoteReference w:id="9"/>
      </w:r>
      <w:r w:rsidRPr="00DD6F12">
        <w:rPr>
          <w:rFonts w:ascii="ITC Avant Garde" w:hAnsi="ITC Avant Garde"/>
          <w:i/>
          <w:szCs w:val="20"/>
        </w:rPr>
        <w:t>”</w:t>
      </w:r>
      <w:r w:rsidRPr="00DD6F12">
        <w:rPr>
          <w:rFonts w:ascii="ITC Avant Garde" w:hAnsi="ITC Avant Garde"/>
          <w:szCs w:val="20"/>
        </w:rPr>
        <w:t>,</w:t>
      </w:r>
      <w:r w:rsidR="005C6677" w:rsidRPr="00DD6F12">
        <w:rPr>
          <w:rFonts w:ascii="ITC Avant Garde" w:hAnsi="ITC Avant Garde"/>
          <w:szCs w:val="20"/>
        </w:rPr>
        <w:t xml:space="preserve"> publicados el 21 de mayo de </w:t>
      </w:r>
      <w:r w:rsidR="00E64B2A" w:rsidRPr="00DD6F12">
        <w:rPr>
          <w:rFonts w:ascii="ITC Avant Garde" w:hAnsi="ITC Avant Garde"/>
          <w:szCs w:val="20"/>
        </w:rPr>
        <w:t>2015,</w:t>
      </w:r>
      <w:r w:rsidRPr="00DD6F12">
        <w:rPr>
          <w:rFonts w:ascii="ITC Avant Garde" w:hAnsi="ITC Avant Garde"/>
          <w:szCs w:val="20"/>
        </w:rPr>
        <w:t xml:space="preserve"> </w:t>
      </w:r>
      <w:r w:rsidR="00E64B2A" w:rsidRPr="00DD6F12">
        <w:rPr>
          <w:rFonts w:ascii="ITC Avant Garde" w:hAnsi="ITC Avant Garde"/>
          <w:szCs w:val="20"/>
        </w:rPr>
        <w:t>señala que l</w:t>
      </w:r>
      <w:r w:rsidRPr="00DD6F12">
        <w:rPr>
          <w:rFonts w:ascii="ITC Avant Garde" w:hAnsi="ITC Avant Garde"/>
          <w:szCs w:val="20"/>
        </w:rPr>
        <w:t xml:space="preserve">a simplificación </w:t>
      </w:r>
      <w:r w:rsidR="00E64B2A" w:rsidRPr="00DD6F12">
        <w:rPr>
          <w:rFonts w:ascii="ITC Avant Garde" w:hAnsi="ITC Avant Garde"/>
          <w:szCs w:val="20"/>
        </w:rPr>
        <w:t xml:space="preserve">de trámites </w:t>
      </w:r>
      <w:r w:rsidRPr="00DD6F12">
        <w:rPr>
          <w:rFonts w:ascii="ITC Avant Garde" w:hAnsi="ITC Avant Garde"/>
          <w:szCs w:val="20"/>
        </w:rPr>
        <w:t>representa un c</w:t>
      </w:r>
      <w:r w:rsidR="00E64B2A" w:rsidRPr="00DD6F12">
        <w:rPr>
          <w:rFonts w:ascii="ITC Avant Garde" w:hAnsi="ITC Avant Garde"/>
          <w:szCs w:val="20"/>
        </w:rPr>
        <w:t>onjunto de actividades orientada</w:t>
      </w:r>
      <w:r w:rsidRPr="00DD6F12">
        <w:rPr>
          <w:rFonts w:ascii="ITC Avant Garde" w:hAnsi="ITC Avant Garde"/>
          <w:szCs w:val="20"/>
        </w:rPr>
        <w:t xml:space="preserve">s hacia la mejora de un trámite con la finalidad de hacerlo más eficiente, sencillo y menos costoso para </w:t>
      </w:r>
      <w:r w:rsidR="00E64B2A" w:rsidRPr="00DD6F12">
        <w:rPr>
          <w:rFonts w:ascii="ITC Avant Garde" w:hAnsi="ITC Avant Garde"/>
          <w:szCs w:val="20"/>
        </w:rPr>
        <w:t>los particulares. Dentro de sus</w:t>
      </w:r>
      <w:r w:rsidRPr="00DD6F12">
        <w:rPr>
          <w:rFonts w:ascii="ITC Avant Garde" w:hAnsi="ITC Avant Garde"/>
          <w:szCs w:val="20"/>
        </w:rPr>
        <w:t xml:space="preserve"> recomendaciones</w:t>
      </w:r>
      <w:r w:rsidR="005C6677" w:rsidRPr="00DD6F12">
        <w:rPr>
          <w:rFonts w:ascii="ITC Avant Garde" w:hAnsi="ITC Avant Garde"/>
          <w:szCs w:val="20"/>
        </w:rPr>
        <w:t>,</w:t>
      </w:r>
      <w:r w:rsidRPr="00DD6F12">
        <w:rPr>
          <w:rFonts w:ascii="ITC Avant Garde" w:hAnsi="ITC Avant Garde"/>
          <w:szCs w:val="20"/>
        </w:rPr>
        <w:t xml:space="preserve"> </w:t>
      </w:r>
      <w:r w:rsidR="00E64B2A" w:rsidRPr="00DD6F12">
        <w:rPr>
          <w:rFonts w:ascii="ITC Avant Garde" w:hAnsi="ITC Avant Garde"/>
          <w:szCs w:val="20"/>
        </w:rPr>
        <w:t xml:space="preserve">considera </w:t>
      </w:r>
      <w:r w:rsidRPr="00DD6F12">
        <w:rPr>
          <w:rFonts w:ascii="ITC Avant Garde" w:hAnsi="ITC Avant Garde"/>
          <w:szCs w:val="20"/>
        </w:rPr>
        <w:t xml:space="preserve">la digitalización de trámites, la cual puede llevarse a cabo si se implementa un sistema informático </w:t>
      </w:r>
      <w:r w:rsidR="002824AA" w:rsidRPr="00DD6F12">
        <w:rPr>
          <w:rFonts w:ascii="ITC Avant Garde" w:hAnsi="ITC Avant Garde"/>
          <w:szCs w:val="20"/>
        </w:rPr>
        <w:t xml:space="preserve">que permita recibir </w:t>
      </w:r>
      <w:r w:rsidR="002824AA" w:rsidRPr="00DD6F12">
        <w:rPr>
          <w:rFonts w:ascii="ITC Avant Garde" w:hAnsi="ITC Avant Garde"/>
          <w:szCs w:val="20"/>
        </w:rPr>
        <w:lastRenderedPageBreak/>
        <w:t>solicitudes por medios electrónicos, así como emitir notificaciones electrónicas de información faltante y resoluciones correspondientes al trámite.</w:t>
      </w:r>
    </w:p>
    <w:p w14:paraId="3CACA887" w14:textId="278FEF81" w:rsidR="008B176C" w:rsidRPr="00DD6F12" w:rsidRDefault="00290BAD" w:rsidP="0027490B">
      <w:pPr>
        <w:spacing w:line="276" w:lineRule="auto"/>
        <w:jc w:val="both"/>
        <w:rPr>
          <w:rFonts w:ascii="ITC Avant Garde" w:hAnsi="ITC Avant Garde"/>
          <w:szCs w:val="20"/>
        </w:rPr>
      </w:pPr>
      <w:r w:rsidRPr="00DD6F12">
        <w:rPr>
          <w:rFonts w:ascii="ITC Avant Garde" w:hAnsi="ITC Avant Garde"/>
          <w:szCs w:val="20"/>
        </w:rPr>
        <w:t>Es así que</w:t>
      </w:r>
      <w:r w:rsidR="006959B3" w:rsidRPr="00DD6F12">
        <w:rPr>
          <w:rFonts w:ascii="ITC Avant Garde" w:hAnsi="ITC Avant Garde"/>
          <w:szCs w:val="20"/>
        </w:rPr>
        <w:t>,</w:t>
      </w:r>
      <w:r w:rsidRPr="00DD6F12">
        <w:rPr>
          <w:rFonts w:ascii="ITC Avant Garde" w:hAnsi="ITC Avant Garde"/>
          <w:szCs w:val="20"/>
        </w:rPr>
        <w:t xml:space="preserve"> </w:t>
      </w:r>
      <w:r w:rsidR="00F26A86" w:rsidRPr="00DD6F12">
        <w:rPr>
          <w:rFonts w:ascii="ITC Avant Garde" w:hAnsi="ITC Avant Garde"/>
          <w:szCs w:val="20"/>
        </w:rPr>
        <w:t>considerando</w:t>
      </w:r>
      <w:r w:rsidRPr="00DD6F12">
        <w:rPr>
          <w:rFonts w:ascii="ITC Avant Garde" w:hAnsi="ITC Avant Garde"/>
          <w:szCs w:val="20"/>
        </w:rPr>
        <w:t xml:space="preserve"> que el Instituto </w:t>
      </w:r>
      <w:r w:rsidR="006959B3" w:rsidRPr="00DD6F12">
        <w:rPr>
          <w:rFonts w:ascii="ITC Avant Garde" w:hAnsi="ITC Avant Garde"/>
          <w:szCs w:val="20"/>
        </w:rPr>
        <w:t xml:space="preserve">ya </w:t>
      </w:r>
      <w:r w:rsidRPr="00DD6F12">
        <w:rPr>
          <w:rFonts w:ascii="ITC Avant Garde" w:hAnsi="ITC Avant Garde"/>
          <w:szCs w:val="20"/>
        </w:rPr>
        <w:t>cuenta con un sistema electrónico</w:t>
      </w:r>
      <w:r w:rsidR="00AF1265" w:rsidRPr="00DD6F12">
        <w:rPr>
          <w:rStyle w:val="Refdenotaalpie"/>
          <w:rFonts w:ascii="ITC Avant Garde" w:hAnsi="ITC Avant Garde"/>
          <w:szCs w:val="20"/>
        </w:rPr>
        <w:footnoteReference w:id="10"/>
      </w:r>
      <w:r w:rsidRPr="00DD6F12">
        <w:rPr>
          <w:rFonts w:ascii="ITC Avant Garde" w:hAnsi="ITC Avant Garde"/>
          <w:szCs w:val="20"/>
        </w:rPr>
        <w:t xml:space="preserve"> para</w:t>
      </w:r>
      <w:r w:rsidR="004B10CC" w:rsidRPr="00DD6F12">
        <w:rPr>
          <w:rFonts w:ascii="ITC Avant Garde" w:hAnsi="ITC Avant Garde"/>
          <w:szCs w:val="20"/>
        </w:rPr>
        <w:t xml:space="preserve"> atender</w:t>
      </w:r>
      <w:r w:rsidRPr="00DD6F12">
        <w:rPr>
          <w:rFonts w:ascii="ITC Avant Garde" w:hAnsi="ITC Avant Garde"/>
          <w:szCs w:val="20"/>
        </w:rPr>
        <w:t xml:space="preserve"> </w:t>
      </w:r>
      <w:r w:rsidR="0027490B" w:rsidRPr="00DD6F12">
        <w:rPr>
          <w:rFonts w:ascii="ITC Avant Garde" w:hAnsi="ITC Avant Garde"/>
          <w:szCs w:val="20"/>
        </w:rPr>
        <w:t>la</w:t>
      </w:r>
      <w:r w:rsidR="004B10CC" w:rsidRPr="00DD6F12">
        <w:rPr>
          <w:rFonts w:ascii="ITC Avant Garde" w:hAnsi="ITC Avant Garde"/>
          <w:szCs w:val="20"/>
        </w:rPr>
        <w:t>s</w:t>
      </w:r>
      <w:r w:rsidR="0027490B" w:rsidRPr="00DD6F12">
        <w:rPr>
          <w:rFonts w:ascii="ITC Avant Garde" w:hAnsi="ITC Avant Garde"/>
          <w:szCs w:val="20"/>
        </w:rPr>
        <w:t xml:space="preserve"> </w:t>
      </w:r>
      <w:r w:rsidRPr="00DD6F12">
        <w:rPr>
          <w:rFonts w:ascii="ITC Avant Garde" w:hAnsi="ITC Avant Garde"/>
          <w:szCs w:val="20"/>
        </w:rPr>
        <w:t>solicitud</w:t>
      </w:r>
      <w:r w:rsidR="004B10CC" w:rsidRPr="00DD6F12">
        <w:rPr>
          <w:rFonts w:ascii="ITC Avant Garde" w:hAnsi="ITC Avant Garde"/>
          <w:szCs w:val="20"/>
        </w:rPr>
        <w:t>es</w:t>
      </w:r>
      <w:r w:rsidRPr="00DD6F12">
        <w:rPr>
          <w:rFonts w:ascii="ITC Avant Garde" w:hAnsi="ITC Avant Garde"/>
          <w:szCs w:val="20"/>
        </w:rPr>
        <w:t xml:space="preserve"> de registro de tarifas por parte de operadores que no son AEP ni AEPSM, se estima que dicha plataforma </w:t>
      </w:r>
      <w:r w:rsidR="00316E79" w:rsidRPr="00DD6F12">
        <w:rPr>
          <w:rFonts w:ascii="ITC Avant Garde" w:hAnsi="ITC Avant Garde"/>
          <w:szCs w:val="20"/>
        </w:rPr>
        <w:t xml:space="preserve">debe </w:t>
      </w:r>
      <w:r w:rsidR="00B36EE8" w:rsidRPr="00DD6F12">
        <w:rPr>
          <w:rFonts w:ascii="ITC Avant Garde" w:hAnsi="ITC Avant Garde"/>
          <w:szCs w:val="20"/>
        </w:rPr>
        <w:t xml:space="preserve">aprovecharse y </w:t>
      </w:r>
      <w:r w:rsidRPr="00DD6F12">
        <w:rPr>
          <w:rFonts w:ascii="ITC Avant Garde" w:hAnsi="ITC Avant Garde"/>
          <w:szCs w:val="20"/>
        </w:rPr>
        <w:t xml:space="preserve">utilizarse como medio de comunicación entre el Instituto y los </w:t>
      </w:r>
      <w:r w:rsidR="00A66C62" w:rsidRPr="00DD6F12">
        <w:rPr>
          <w:rFonts w:ascii="ITC Avant Garde" w:hAnsi="ITC Avant Garde"/>
          <w:szCs w:val="20"/>
        </w:rPr>
        <w:t>agentes aludidos</w:t>
      </w:r>
      <w:r w:rsidR="00F26A86" w:rsidRPr="00DD6F12">
        <w:rPr>
          <w:rFonts w:ascii="ITC Avant Garde" w:hAnsi="ITC Avant Garde"/>
          <w:szCs w:val="20"/>
        </w:rPr>
        <w:t>,</w:t>
      </w:r>
      <w:r w:rsidRPr="00DD6F12">
        <w:rPr>
          <w:rFonts w:ascii="ITC Avant Garde" w:hAnsi="ITC Avant Garde"/>
          <w:szCs w:val="20"/>
        </w:rPr>
        <w:t xml:space="preserve"> a efecto de que estos presenten las solicitudes de autorización de tarifas a través de</w:t>
      </w:r>
      <w:r w:rsidR="00F26A86" w:rsidRPr="00DD6F12">
        <w:rPr>
          <w:rFonts w:ascii="ITC Avant Garde" w:hAnsi="ITC Avant Garde"/>
          <w:szCs w:val="20"/>
        </w:rPr>
        <w:t xml:space="preserve"> </w:t>
      </w:r>
      <w:r w:rsidR="007B1508" w:rsidRPr="00DD6F12">
        <w:rPr>
          <w:rFonts w:ascii="ITC Avant Garde" w:hAnsi="ITC Avant Garde"/>
          <w:szCs w:val="20"/>
        </w:rPr>
        <w:t xml:space="preserve">este </w:t>
      </w:r>
      <w:r w:rsidRPr="00DD6F12">
        <w:rPr>
          <w:rFonts w:ascii="ITC Avant Garde" w:hAnsi="ITC Avant Garde"/>
          <w:szCs w:val="20"/>
        </w:rPr>
        <w:t>sistema y el Instituto pueda</w:t>
      </w:r>
      <w:r w:rsidR="007B1508" w:rsidRPr="00DD6F12">
        <w:rPr>
          <w:rFonts w:ascii="ITC Avant Garde" w:hAnsi="ITC Avant Garde"/>
          <w:szCs w:val="20"/>
        </w:rPr>
        <w:t xml:space="preserve"> procesar el alto número de solicitudes</w:t>
      </w:r>
      <w:r w:rsidR="00156B58" w:rsidRPr="00DD6F12">
        <w:rPr>
          <w:rFonts w:ascii="ITC Avant Garde" w:hAnsi="ITC Avant Garde"/>
          <w:szCs w:val="20"/>
        </w:rPr>
        <w:t xml:space="preserve"> </w:t>
      </w:r>
      <w:r w:rsidR="007B1508" w:rsidRPr="00DD6F12">
        <w:rPr>
          <w:rFonts w:ascii="ITC Avant Garde" w:hAnsi="ITC Avant Garde"/>
          <w:szCs w:val="20"/>
        </w:rPr>
        <w:t>y</w:t>
      </w:r>
      <w:r w:rsidRPr="00DD6F12">
        <w:rPr>
          <w:rFonts w:ascii="ITC Avant Garde" w:hAnsi="ITC Avant Garde"/>
          <w:szCs w:val="20"/>
        </w:rPr>
        <w:t>, de ser el caso, prevenir sobre la información entregada</w:t>
      </w:r>
      <w:r w:rsidR="007B1508" w:rsidRPr="00DD6F12">
        <w:rPr>
          <w:rFonts w:ascii="ITC Avant Garde" w:hAnsi="ITC Avant Garde"/>
          <w:szCs w:val="20"/>
        </w:rPr>
        <w:t>,</w:t>
      </w:r>
      <w:r w:rsidRPr="00DD6F12">
        <w:rPr>
          <w:rFonts w:ascii="ITC Avant Garde" w:hAnsi="ITC Avant Garde"/>
          <w:szCs w:val="20"/>
        </w:rPr>
        <w:t xml:space="preserve"> así como notificar sobre la resolución de dichas solicitudes</w:t>
      </w:r>
      <w:r w:rsidR="00156B58" w:rsidRPr="00DD6F12">
        <w:rPr>
          <w:rFonts w:ascii="ITC Avant Garde" w:hAnsi="ITC Avant Garde"/>
          <w:szCs w:val="20"/>
        </w:rPr>
        <w:t>, dedicando, en ambos casos, menor tiempo a la gestión</w:t>
      </w:r>
      <w:r w:rsidRPr="00DD6F12">
        <w:rPr>
          <w:rFonts w:ascii="ITC Avant Garde" w:hAnsi="ITC Avant Garde"/>
          <w:szCs w:val="20"/>
        </w:rPr>
        <w:t>.</w:t>
      </w:r>
    </w:p>
    <w:p w14:paraId="46CA0C19" w14:textId="5D8BD239" w:rsidR="0027490B" w:rsidRPr="00DD6F12" w:rsidRDefault="008B176C" w:rsidP="00B9048F">
      <w:pPr>
        <w:spacing w:after="0" w:line="276" w:lineRule="auto"/>
        <w:jc w:val="both"/>
        <w:rPr>
          <w:rFonts w:ascii="ITC Avant Garde" w:hAnsi="ITC Avant Garde"/>
          <w:szCs w:val="20"/>
        </w:rPr>
      </w:pPr>
      <w:r w:rsidRPr="00DD6F12">
        <w:rPr>
          <w:rFonts w:ascii="ITC Avant Garde" w:hAnsi="ITC Avant Garde"/>
          <w:szCs w:val="20"/>
        </w:rPr>
        <w:t>Por lo anteriormente expuesto</w:t>
      </w:r>
      <w:r w:rsidR="0027490B" w:rsidRPr="00DD6F12">
        <w:rPr>
          <w:rFonts w:ascii="ITC Avant Garde" w:hAnsi="ITC Avant Garde"/>
          <w:szCs w:val="20"/>
        </w:rPr>
        <w:t xml:space="preserve">, se hace necesaria la emisión de lineamientos que establezcan el procedimiento, plazos, requisitos y formatos, </w:t>
      </w:r>
      <w:r w:rsidR="00CB4AF4" w:rsidRPr="00DD6F12">
        <w:rPr>
          <w:rFonts w:ascii="ITC Avant Garde" w:hAnsi="ITC Avant Garde"/>
          <w:lang w:val="es-ES"/>
        </w:rPr>
        <w:t>aprovechando la herramienta tecnológica</w:t>
      </w:r>
      <w:r w:rsidR="0027490B" w:rsidRPr="00DD6F12">
        <w:rPr>
          <w:rFonts w:ascii="ITC Avant Garde" w:hAnsi="ITC Avant Garde"/>
          <w:lang w:val="es-ES"/>
        </w:rPr>
        <w:t xml:space="preserve"> ya </w:t>
      </w:r>
      <w:r w:rsidR="00CB4AF4" w:rsidRPr="00DD6F12">
        <w:rPr>
          <w:rFonts w:ascii="ITC Avant Garde" w:hAnsi="ITC Avant Garde"/>
          <w:lang w:val="es-ES"/>
        </w:rPr>
        <w:t>disponible</w:t>
      </w:r>
      <w:r w:rsidR="0027490B" w:rsidRPr="00DD6F12">
        <w:rPr>
          <w:rFonts w:ascii="ITC Avant Garde" w:hAnsi="ITC Avant Garde"/>
          <w:lang w:val="es-ES"/>
        </w:rPr>
        <w:t>,</w:t>
      </w:r>
      <w:r w:rsidR="0027490B" w:rsidRPr="00DD6F12">
        <w:rPr>
          <w:rFonts w:ascii="ITC Avant Garde" w:hAnsi="ITC Avant Garde"/>
          <w:szCs w:val="20"/>
        </w:rPr>
        <w:t xml:space="preserve"> a través de los cuales </w:t>
      </w:r>
      <w:r w:rsidR="00316E79" w:rsidRPr="00DD6F12">
        <w:rPr>
          <w:rFonts w:ascii="ITC Avant Garde" w:hAnsi="ITC Avant Garde"/>
          <w:szCs w:val="20"/>
        </w:rPr>
        <w:t>los AEP y AEPSM deberán someter a autorización d</w:t>
      </w:r>
      <w:r w:rsidR="0027490B" w:rsidRPr="00DD6F12">
        <w:rPr>
          <w:rFonts w:ascii="ITC Avant Garde" w:hAnsi="ITC Avant Garde"/>
          <w:szCs w:val="20"/>
        </w:rPr>
        <w:t>el Instituto las propuestas tarifarias para usuarios finales</w:t>
      </w:r>
      <w:r w:rsidR="00316E79" w:rsidRPr="00DD6F12">
        <w:rPr>
          <w:rFonts w:ascii="ITC Avant Garde" w:hAnsi="ITC Avant Garde"/>
          <w:szCs w:val="20"/>
        </w:rPr>
        <w:t xml:space="preserve">, </w:t>
      </w:r>
      <w:r w:rsidRPr="00DD6F12">
        <w:rPr>
          <w:rFonts w:ascii="ITC Avant Garde" w:hAnsi="ITC Avant Garde"/>
          <w:szCs w:val="20"/>
        </w:rPr>
        <w:t>con la finalidad de dar agilidad</w:t>
      </w:r>
      <w:r w:rsidR="00CC3640" w:rsidRPr="00DD6F12">
        <w:rPr>
          <w:rFonts w:ascii="ITC Avant Garde" w:hAnsi="ITC Avant Garde"/>
          <w:szCs w:val="20"/>
        </w:rPr>
        <w:t xml:space="preserve"> al proceso</w:t>
      </w:r>
      <w:r w:rsidR="00CB4AF4" w:rsidRPr="00DD6F12">
        <w:rPr>
          <w:rFonts w:ascii="ITC Avant Garde" w:hAnsi="ITC Avant Garde"/>
          <w:szCs w:val="20"/>
        </w:rPr>
        <w:t>, disminuir la carga regulatoria</w:t>
      </w:r>
      <w:r w:rsidR="00316E79" w:rsidRPr="00DD6F12">
        <w:rPr>
          <w:rFonts w:ascii="ITC Avant Garde" w:hAnsi="ITC Avant Garde"/>
          <w:szCs w:val="20"/>
        </w:rPr>
        <w:t xml:space="preserve"> y administrativa,</w:t>
      </w:r>
      <w:r w:rsidRPr="00DD6F12">
        <w:rPr>
          <w:rFonts w:ascii="ITC Avant Garde" w:hAnsi="ITC Avant Garde"/>
          <w:szCs w:val="20"/>
        </w:rPr>
        <w:t xml:space="preserve"> </w:t>
      </w:r>
      <w:r w:rsidR="00F83670" w:rsidRPr="00DD6F12">
        <w:rPr>
          <w:rFonts w:ascii="ITC Avant Garde" w:hAnsi="ITC Avant Garde"/>
          <w:szCs w:val="20"/>
        </w:rPr>
        <w:t>y brindar certeza a los aludidos agentes económicos en</w:t>
      </w:r>
      <w:r w:rsidRPr="00DD6F12">
        <w:rPr>
          <w:rFonts w:ascii="ITC Avant Garde" w:hAnsi="ITC Avant Garde"/>
          <w:szCs w:val="20"/>
        </w:rPr>
        <w:t xml:space="preserve"> lo</w:t>
      </w:r>
      <w:r w:rsidR="00CC3640" w:rsidRPr="00DD6F12">
        <w:rPr>
          <w:rFonts w:ascii="ITC Avant Garde" w:hAnsi="ITC Avant Garde"/>
          <w:szCs w:val="20"/>
        </w:rPr>
        <w:t xml:space="preserve"> referente a la</w:t>
      </w:r>
      <w:r w:rsidRPr="00DD6F12">
        <w:rPr>
          <w:rFonts w:ascii="ITC Avant Garde" w:hAnsi="ITC Avant Garde"/>
          <w:szCs w:val="20"/>
        </w:rPr>
        <w:t xml:space="preserve"> autorización </w:t>
      </w:r>
      <w:r w:rsidR="00F83670" w:rsidRPr="00DD6F12">
        <w:rPr>
          <w:rFonts w:ascii="ITC Avant Garde" w:hAnsi="ITC Avant Garde"/>
          <w:szCs w:val="20"/>
        </w:rPr>
        <w:t xml:space="preserve">y registro de </w:t>
      </w:r>
      <w:r w:rsidR="00316E79" w:rsidRPr="00DD6F12">
        <w:rPr>
          <w:rFonts w:ascii="ITC Avant Garde" w:hAnsi="ITC Avant Garde"/>
          <w:szCs w:val="20"/>
        </w:rPr>
        <w:t xml:space="preserve">sus </w:t>
      </w:r>
      <w:r w:rsidR="00F83670" w:rsidRPr="00DD6F12">
        <w:rPr>
          <w:rFonts w:ascii="ITC Avant Garde" w:hAnsi="ITC Avant Garde"/>
          <w:szCs w:val="20"/>
        </w:rPr>
        <w:t>tarifas</w:t>
      </w:r>
      <w:r w:rsidR="00CB4AF4" w:rsidRPr="00DD6F12">
        <w:rPr>
          <w:rFonts w:ascii="ITC Avant Garde" w:hAnsi="ITC Avant Garde"/>
          <w:szCs w:val="20"/>
        </w:rPr>
        <w:t>.</w:t>
      </w:r>
    </w:p>
    <w:p w14:paraId="503EF8BE" w14:textId="77777777" w:rsidR="00CB4AF4" w:rsidRPr="00DD6F12" w:rsidRDefault="00CB4AF4" w:rsidP="00B9048F">
      <w:pPr>
        <w:spacing w:after="0" w:line="276" w:lineRule="auto"/>
        <w:jc w:val="both"/>
        <w:rPr>
          <w:rFonts w:ascii="ITC Avant Garde" w:hAnsi="ITC Avant Garde"/>
          <w:szCs w:val="20"/>
        </w:rPr>
      </w:pPr>
    </w:p>
    <w:p w14:paraId="22302E99" w14:textId="6B6F6EFE" w:rsidR="00F84AB1" w:rsidRPr="00DD6F12" w:rsidRDefault="00E1613B" w:rsidP="0051387C">
      <w:pPr>
        <w:tabs>
          <w:tab w:val="num" w:pos="1220"/>
          <w:tab w:val="num" w:pos="1940"/>
        </w:tabs>
        <w:spacing w:line="276" w:lineRule="auto"/>
        <w:jc w:val="both"/>
        <w:rPr>
          <w:rFonts w:ascii="ITC Avant Garde" w:eastAsia="Arial" w:hAnsi="ITC Avant Garde" w:cs="Arial"/>
          <w:szCs w:val="20"/>
          <w:lang w:val="es-ES_tradnl"/>
        </w:rPr>
      </w:pPr>
      <w:proofErr w:type="gramStart"/>
      <w:r w:rsidRPr="00DD6F12">
        <w:rPr>
          <w:rFonts w:ascii="ITC Avant Garde" w:eastAsia="Arial" w:hAnsi="ITC Avant Garde" w:cs="Arial"/>
          <w:b/>
          <w:szCs w:val="20"/>
          <w:lang w:val="es-ES_tradnl"/>
        </w:rPr>
        <w:t>TERCERO.-</w:t>
      </w:r>
      <w:proofErr w:type="gramEnd"/>
      <w:r w:rsidRPr="00DD6F12">
        <w:rPr>
          <w:rFonts w:ascii="ITC Avant Garde" w:eastAsia="Arial" w:hAnsi="ITC Avant Garde" w:cs="Arial"/>
          <w:b/>
          <w:szCs w:val="20"/>
          <w:lang w:val="es-ES_tradnl"/>
        </w:rPr>
        <w:t xml:space="preserve"> </w:t>
      </w:r>
      <w:r w:rsidR="00926DB0" w:rsidRPr="00DD6F12">
        <w:rPr>
          <w:rFonts w:ascii="ITC Avant Garde" w:eastAsia="Arial" w:hAnsi="ITC Avant Garde" w:cs="Arial"/>
          <w:b/>
          <w:szCs w:val="20"/>
          <w:lang w:val="es-ES_tradnl"/>
        </w:rPr>
        <w:t>CONSULTA PÚBLICA</w:t>
      </w:r>
      <w:r w:rsidR="004331C5" w:rsidRPr="00DD6F12">
        <w:rPr>
          <w:rFonts w:ascii="ITC Avant Garde" w:eastAsia="Arial" w:hAnsi="ITC Avant Garde" w:cs="Arial"/>
          <w:b/>
          <w:szCs w:val="20"/>
          <w:lang w:val="es-ES_tradnl"/>
        </w:rPr>
        <w:t xml:space="preserve">.- </w:t>
      </w:r>
      <w:r w:rsidR="00926DB0" w:rsidRPr="00DD6F12">
        <w:rPr>
          <w:rFonts w:ascii="ITC Avant Garde" w:eastAsia="Arial" w:hAnsi="ITC Avant Garde" w:cs="Arial"/>
          <w:szCs w:val="20"/>
          <w:lang w:val="es-ES_tradnl"/>
        </w:rPr>
        <w:t xml:space="preserve">Que el artículo 51 de la </w:t>
      </w:r>
      <w:r w:rsidR="00FE7140" w:rsidRPr="00DD6F12">
        <w:rPr>
          <w:rFonts w:ascii="ITC Avant Garde" w:eastAsia="Arial" w:hAnsi="ITC Avant Garde" w:cs="Arial"/>
          <w:szCs w:val="20"/>
          <w:lang w:val="es-ES_tradnl"/>
        </w:rPr>
        <w:t xml:space="preserve">LFTR </w:t>
      </w:r>
      <w:r w:rsidR="00926DB0" w:rsidRPr="00DD6F12">
        <w:rPr>
          <w:rFonts w:ascii="ITC Avant Garde" w:eastAsia="Arial" w:hAnsi="ITC Avant Garde" w:cs="Arial"/>
          <w:szCs w:val="20"/>
          <w:lang w:val="es-ES_tradnl"/>
        </w:rPr>
        <w:t>establece que para la emisión y modificación de reglas, lineamientos o disposiciones administrativas de carácter general, así como en cualquier caso que determine el Pleno, el Instituto deberá realizar consultas públicas bajo los principios de transparencia y participación ciud</w:t>
      </w:r>
      <w:r w:rsidR="00406B2A" w:rsidRPr="00DD6F12">
        <w:rPr>
          <w:rFonts w:ascii="ITC Avant Garde" w:eastAsia="Arial" w:hAnsi="ITC Avant Garde" w:cs="Arial"/>
          <w:szCs w:val="20"/>
          <w:lang w:val="es-ES_tradnl"/>
        </w:rPr>
        <w:t>adana, salvo que la publicidad pudiera comprometer los efectos que se pretende</w:t>
      </w:r>
      <w:r w:rsidR="00CC3640" w:rsidRPr="00DD6F12">
        <w:rPr>
          <w:rFonts w:ascii="ITC Avant Garde" w:eastAsia="Arial" w:hAnsi="ITC Avant Garde" w:cs="Arial"/>
          <w:szCs w:val="20"/>
          <w:lang w:val="es-ES_tradnl"/>
        </w:rPr>
        <w:t>n</w:t>
      </w:r>
      <w:r w:rsidR="00406B2A" w:rsidRPr="00DD6F12">
        <w:rPr>
          <w:rFonts w:ascii="ITC Avant Garde" w:eastAsia="Arial" w:hAnsi="ITC Avant Garde" w:cs="Arial"/>
          <w:szCs w:val="20"/>
          <w:lang w:val="es-ES_tradnl"/>
        </w:rPr>
        <w:t xml:space="preserve"> resolver o prevenir en una situación de emergencia.</w:t>
      </w:r>
    </w:p>
    <w:p w14:paraId="2D785E8D" w14:textId="77777777" w:rsidR="00BA0B69" w:rsidRPr="00DD6F12" w:rsidRDefault="003F1281" w:rsidP="00AF1265">
      <w:pPr>
        <w:tabs>
          <w:tab w:val="num" w:pos="1220"/>
          <w:tab w:val="num" w:pos="1940"/>
        </w:tabs>
        <w:spacing w:line="276" w:lineRule="auto"/>
        <w:jc w:val="both"/>
        <w:rPr>
          <w:rFonts w:ascii="ITC Avant Garde" w:eastAsia="Arial" w:hAnsi="ITC Avant Garde" w:cs="Arial"/>
          <w:szCs w:val="20"/>
          <w:lang w:val="es-ES_tradnl"/>
        </w:rPr>
      </w:pPr>
      <w:r w:rsidRPr="00DD6F12">
        <w:rPr>
          <w:rFonts w:ascii="ITC Avant Garde" w:eastAsia="Arial" w:hAnsi="ITC Avant Garde" w:cs="Arial"/>
          <w:szCs w:val="20"/>
          <w:lang w:val="es-ES_tradnl"/>
        </w:rPr>
        <w:t>Es preciso</w:t>
      </w:r>
      <w:r w:rsidR="00926DB0" w:rsidRPr="00DD6F12">
        <w:rPr>
          <w:rFonts w:ascii="ITC Avant Garde" w:eastAsia="Arial" w:hAnsi="ITC Avant Garde" w:cs="Arial"/>
          <w:szCs w:val="20"/>
          <w:lang w:val="es-ES_tradnl"/>
        </w:rPr>
        <w:t xml:space="preserve"> mencionar que</w:t>
      </w:r>
      <w:r w:rsidR="00827118" w:rsidRPr="00DD6F12">
        <w:rPr>
          <w:rFonts w:ascii="ITC Avant Garde" w:eastAsia="Arial" w:hAnsi="ITC Avant Garde" w:cs="Arial"/>
          <w:szCs w:val="20"/>
          <w:lang w:val="es-ES_tradnl"/>
        </w:rPr>
        <w:t>,</w:t>
      </w:r>
      <w:r w:rsidR="00926DB0" w:rsidRPr="00DD6F12">
        <w:rPr>
          <w:rFonts w:ascii="ITC Avant Garde" w:eastAsia="Arial" w:hAnsi="ITC Avant Garde" w:cs="Arial"/>
          <w:szCs w:val="20"/>
          <w:lang w:val="es-ES_tradnl"/>
        </w:rPr>
        <w:t xml:space="preserve"> en el caso del </w:t>
      </w:r>
      <w:r w:rsidR="007121D5" w:rsidRPr="00DD6F12">
        <w:rPr>
          <w:rFonts w:ascii="ITC Avant Garde" w:eastAsia="Arial" w:hAnsi="ITC Avant Garde" w:cs="Arial"/>
          <w:szCs w:val="20"/>
          <w:lang w:val="es-ES_tradnl"/>
        </w:rPr>
        <w:t>Anteproyecto</w:t>
      </w:r>
      <w:r w:rsidR="00BA0B69" w:rsidRPr="00DD6F12">
        <w:rPr>
          <w:rFonts w:ascii="ITC Avant Garde" w:eastAsia="Arial" w:hAnsi="ITC Avant Garde" w:cs="Arial"/>
          <w:szCs w:val="20"/>
          <w:lang w:val="es-ES_tradnl"/>
        </w:rPr>
        <w:t>, se considera que su publicidad no compromete los efectos que se pretenden resolver y tampoco es necesario prevenir alguna situación de emergencia.</w:t>
      </w:r>
    </w:p>
    <w:p w14:paraId="7DD01F2F" w14:textId="1EDACA09" w:rsidR="00406B2A" w:rsidRPr="00DD6F12" w:rsidRDefault="003F1281" w:rsidP="00251BDF">
      <w:pPr>
        <w:tabs>
          <w:tab w:val="num" w:pos="1220"/>
          <w:tab w:val="num" w:pos="1940"/>
        </w:tabs>
        <w:spacing w:line="276" w:lineRule="auto"/>
        <w:jc w:val="both"/>
        <w:rPr>
          <w:rFonts w:ascii="ITC Avant Garde" w:eastAsia="Arial" w:hAnsi="ITC Avant Garde" w:cs="Arial"/>
          <w:szCs w:val="20"/>
          <w:lang w:val="es-ES_tradnl"/>
        </w:rPr>
      </w:pPr>
      <w:r w:rsidRPr="00DD6F12">
        <w:rPr>
          <w:rFonts w:ascii="ITC Avant Garde" w:eastAsia="Arial" w:hAnsi="ITC Avant Garde" w:cs="Arial"/>
          <w:szCs w:val="20"/>
          <w:lang w:val="es-ES_tradnl"/>
        </w:rPr>
        <w:t>Así,</w:t>
      </w:r>
      <w:r w:rsidR="00BA0B69" w:rsidRPr="00DD6F12">
        <w:rPr>
          <w:rFonts w:ascii="ITC Avant Garde" w:eastAsia="Arial" w:hAnsi="ITC Avant Garde" w:cs="Arial"/>
          <w:szCs w:val="20"/>
          <w:lang w:val="es-ES_tradnl"/>
        </w:rPr>
        <w:t xml:space="preserve"> c</w:t>
      </w:r>
      <w:r w:rsidR="00406B2A" w:rsidRPr="00DD6F12">
        <w:rPr>
          <w:rFonts w:ascii="ITC Avant Garde" w:eastAsia="Arial" w:hAnsi="ITC Avant Garde" w:cs="Arial"/>
          <w:szCs w:val="20"/>
          <w:lang w:val="es-ES_tradnl"/>
        </w:rPr>
        <w:t xml:space="preserve">on la emisión de la consulta pública </w:t>
      </w:r>
      <w:r w:rsidR="00BA0B69" w:rsidRPr="00DD6F12">
        <w:rPr>
          <w:rFonts w:ascii="ITC Avant Garde" w:eastAsia="Arial" w:hAnsi="ITC Avant Garde" w:cs="Arial"/>
          <w:szCs w:val="20"/>
          <w:lang w:val="es-ES_tradnl"/>
        </w:rPr>
        <w:t>del Anteproyecto</w:t>
      </w:r>
      <w:r w:rsidR="0051387C" w:rsidRPr="00DD6F12">
        <w:rPr>
          <w:rFonts w:ascii="ITC Avant Garde" w:eastAsia="Arial" w:hAnsi="ITC Avant Garde" w:cs="Arial"/>
          <w:szCs w:val="20"/>
          <w:lang w:val="es-ES_tradnl"/>
        </w:rPr>
        <w:t>,</w:t>
      </w:r>
      <w:r w:rsidR="00BA0B69" w:rsidRPr="00DD6F12">
        <w:rPr>
          <w:rFonts w:ascii="ITC Avant Garde" w:eastAsia="Arial" w:hAnsi="ITC Avant Garde" w:cs="Arial"/>
          <w:szCs w:val="20"/>
          <w:lang w:val="es-ES_tradnl"/>
        </w:rPr>
        <w:t xml:space="preserve"> </w:t>
      </w:r>
      <w:r w:rsidR="00406B2A" w:rsidRPr="00DD6F12">
        <w:rPr>
          <w:rFonts w:ascii="ITC Avant Garde" w:eastAsia="Arial" w:hAnsi="ITC Avant Garde" w:cs="Arial"/>
          <w:szCs w:val="20"/>
          <w:lang w:val="es-ES_tradnl"/>
        </w:rPr>
        <w:t xml:space="preserve">se </w:t>
      </w:r>
      <w:r w:rsidR="00827118" w:rsidRPr="00DD6F12">
        <w:rPr>
          <w:rFonts w:ascii="ITC Avant Garde" w:eastAsia="Arial" w:hAnsi="ITC Avant Garde" w:cs="Arial"/>
          <w:szCs w:val="20"/>
          <w:lang w:val="es-ES_tradnl"/>
        </w:rPr>
        <w:t>pretende</w:t>
      </w:r>
      <w:r w:rsidR="002408E9" w:rsidRPr="00DD6F12">
        <w:rPr>
          <w:rFonts w:ascii="ITC Avant Garde" w:eastAsia="Arial" w:hAnsi="ITC Avant Garde" w:cs="Arial"/>
          <w:szCs w:val="20"/>
          <w:lang w:val="es-ES_tradnl"/>
        </w:rPr>
        <w:t>n</w:t>
      </w:r>
      <w:r w:rsidR="00827118" w:rsidRPr="00DD6F12">
        <w:rPr>
          <w:rFonts w:ascii="ITC Avant Garde" w:eastAsia="Arial" w:hAnsi="ITC Avant Garde" w:cs="Arial"/>
          <w:szCs w:val="20"/>
          <w:lang w:val="es-ES_tradnl"/>
        </w:rPr>
        <w:t xml:space="preserve"> alcanzar</w:t>
      </w:r>
      <w:r w:rsidR="00406B2A" w:rsidRPr="00DD6F12">
        <w:rPr>
          <w:rFonts w:ascii="ITC Avant Garde" w:eastAsia="Arial" w:hAnsi="ITC Avant Garde" w:cs="Arial"/>
          <w:szCs w:val="20"/>
          <w:lang w:val="es-ES_tradnl"/>
        </w:rPr>
        <w:t xml:space="preserve"> los siguientes objetivos: </w:t>
      </w:r>
    </w:p>
    <w:p w14:paraId="344957B8" w14:textId="7CA1DA7A" w:rsidR="00406B2A" w:rsidRPr="00DD6F12" w:rsidRDefault="002E1040" w:rsidP="00827118">
      <w:pPr>
        <w:pStyle w:val="Prrafodelista"/>
        <w:numPr>
          <w:ilvl w:val="0"/>
          <w:numId w:val="23"/>
        </w:numPr>
        <w:spacing w:line="276" w:lineRule="auto"/>
        <w:jc w:val="both"/>
        <w:rPr>
          <w:rFonts w:ascii="ITC Avant Garde" w:eastAsia="Arial" w:hAnsi="ITC Avant Garde" w:cs="Arial"/>
          <w:szCs w:val="20"/>
          <w:lang w:val="es-ES_tradnl"/>
        </w:rPr>
      </w:pPr>
      <w:r w:rsidRPr="00DD6F12">
        <w:rPr>
          <w:rFonts w:ascii="ITC Avant Garde" w:eastAsia="Arial" w:hAnsi="ITC Avant Garde" w:cs="Arial"/>
          <w:szCs w:val="20"/>
          <w:lang w:val="es-ES_tradnl"/>
        </w:rPr>
        <w:t xml:space="preserve">Observar </w:t>
      </w:r>
      <w:r w:rsidR="00406B2A" w:rsidRPr="00DD6F12">
        <w:rPr>
          <w:rFonts w:ascii="ITC Avant Garde" w:eastAsia="Arial" w:hAnsi="ITC Avant Garde" w:cs="Arial"/>
          <w:szCs w:val="20"/>
          <w:lang w:val="es-ES_tradnl"/>
        </w:rPr>
        <w:t xml:space="preserve">el principio de transparencia </w:t>
      </w:r>
      <w:r w:rsidR="004B3FDD" w:rsidRPr="00DD6F12">
        <w:rPr>
          <w:rFonts w:ascii="ITC Avant Garde" w:eastAsia="Arial" w:hAnsi="ITC Avant Garde" w:cs="Arial"/>
          <w:szCs w:val="20"/>
          <w:lang w:val="es-ES_tradnl"/>
        </w:rPr>
        <w:t xml:space="preserve">y participación ciudadana </w:t>
      </w:r>
      <w:r w:rsidR="00406B2A" w:rsidRPr="00DD6F12">
        <w:rPr>
          <w:rFonts w:ascii="ITC Avant Garde" w:eastAsia="Arial" w:hAnsi="ITC Avant Garde" w:cs="Arial"/>
          <w:szCs w:val="20"/>
          <w:lang w:val="es-ES_tradnl"/>
        </w:rPr>
        <w:t>en la emisión de</w:t>
      </w:r>
      <w:r w:rsidR="00FF7967" w:rsidRPr="00DD6F12">
        <w:rPr>
          <w:rFonts w:ascii="ITC Avant Garde" w:eastAsia="Arial" w:hAnsi="ITC Avant Garde" w:cs="Arial"/>
          <w:szCs w:val="20"/>
          <w:lang w:val="es-ES_tradnl"/>
        </w:rPr>
        <w:t xml:space="preserve"> </w:t>
      </w:r>
      <w:r w:rsidRPr="00DD6F12">
        <w:rPr>
          <w:rFonts w:ascii="ITC Avant Garde" w:eastAsia="Arial" w:hAnsi="ITC Avant Garde" w:cs="Arial"/>
          <w:szCs w:val="20"/>
          <w:lang w:val="es-ES_tradnl"/>
        </w:rPr>
        <w:t>l</w:t>
      </w:r>
      <w:r w:rsidR="00FF7967" w:rsidRPr="00DD6F12">
        <w:rPr>
          <w:rFonts w:ascii="ITC Avant Garde" w:eastAsia="Arial" w:hAnsi="ITC Avant Garde" w:cs="Arial"/>
          <w:szCs w:val="20"/>
          <w:lang w:val="es-ES_tradnl"/>
        </w:rPr>
        <w:t>os</w:t>
      </w:r>
      <w:r w:rsidRPr="00DD6F12">
        <w:rPr>
          <w:rFonts w:ascii="ITC Avant Garde" w:eastAsia="Arial" w:hAnsi="ITC Avant Garde" w:cs="Arial"/>
          <w:szCs w:val="20"/>
          <w:lang w:val="es-ES_tradnl"/>
        </w:rPr>
        <w:t xml:space="preserve"> </w:t>
      </w:r>
      <w:r w:rsidR="00827118" w:rsidRPr="00DD6F12">
        <w:rPr>
          <w:rFonts w:ascii="ITC Avant Garde" w:eastAsia="Arial" w:hAnsi="ITC Avant Garde" w:cs="Arial"/>
          <w:szCs w:val="20"/>
          <w:lang w:val="es-ES_tradnl"/>
        </w:rPr>
        <w:t xml:space="preserve">“LINEAMIENTOS MEDIANTE LOS CUALES SE ESTABLECE EL PROCEDIMIENTO PARA LA </w:t>
      </w:r>
      <w:r w:rsidR="00D907B5" w:rsidRPr="00DD6F12">
        <w:rPr>
          <w:rFonts w:ascii="ITC Avant Garde" w:eastAsia="Arial" w:hAnsi="ITC Avant Garde" w:cs="Arial"/>
          <w:szCs w:val="20"/>
          <w:lang w:val="es-ES_tradnl"/>
        </w:rPr>
        <w:t xml:space="preserve">PRESENTACIÓN DE LA SOLICITUD ELECTRÓNICA DE </w:t>
      </w:r>
      <w:r w:rsidR="00827118" w:rsidRPr="00DD6F12">
        <w:rPr>
          <w:rFonts w:ascii="ITC Avant Garde" w:eastAsia="Arial" w:hAnsi="ITC Avant Garde" w:cs="Arial"/>
          <w:szCs w:val="20"/>
          <w:lang w:val="es-ES_tradnl"/>
        </w:rPr>
        <w:t xml:space="preserve">AUTORIZACIÓN DE TARIFAS DE LOS SERVICIOS DE TELECOMUNICACIONES PARA USUARIOS FINALES, AL CUAL DEBERÁN SUJETARSE </w:t>
      </w:r>
      <w:r w:rsidR="005269E9" w:rsidRPr="00DD6F12">
        <w:rPr>
          <w:rFonts w:ascii="ITC Avant Garde" w:eastAsia="Arial" w:hAnsi="ITC Avant Garde" w:cs="Arial"/>
          <w:szCs w:val="20"/>
          <w:lang w:val="es-ES_tradnl"/>
        </w:rPr>
        <w:t xml:space="preserve">EL </w:t>
      </w:r>
      <w:r w:rsidR="00827118" w:rsidRPr="00DD6F12">
        <w:rPr>
          <w:rFonts w:ascii="ITC Avant Garde" w:eastAsia="Arial" w:hAnsi="ITC Avant Garde" w:cs="Arial"/>
          <w:szCs w:val="20"/>
          <w:lang w:val="es-ES_tradnl"/>
        </w:rPr>
        <w:t xml:space="preserve">AGENTE ECONÓMICO PREPONDERANTE </w:t>
      </w:r>
      <w:r w:rsidR="005269E9" w:rsidRPr="00DD6F12">
        <w:rPr>
          <w:rFonts w:ascii="ITC Avant Garde" w:eastAsia="Arial" w:hAnsi="ITC Avant Garde" w:cs="Arial"/>
          <w:szCs w:val="20"/>
          <w:lang w:val="es-ES_tradnl"/>
        </w:rPr>
        <w:t>Y</w:t>
      </w:r>
      <w:r w:rsidR="00827118" w:rsidRPr="00DD6F12">
        <w:rPr>
          <w:rFonts w:ascii="ITC Avant Garde" w:eastAsia="Arial" w:hAnsi="ITC Avant Garde" w:cs="Arial"/>
          <w:szCs w:val="20"/>
          <w:lang w:val="es-ES_tradnl"/>
        </w:rPr>
        <w:t xml:space="preserve"> </w:t>
      </w:r>
      <w:r w:rsidR="00234733" w:rsidRPr="00DD6F12">
        <w:rPr>
          <w:rFonts w:ascii="ITC Avant Garde" w:eastAsia="Arial" w:hAnsi="ITC Avant Garde" w:cs="Arial"/>
          <w:szCs w:val="20"/>
          <w:lang w:val="es-ES_tradnl"/>
        </w:rPr>
        <w:t xml:space="preserve">LOS </w:t>
      </w:r>
      <w:r w:rsidR="00234733" w:rsidRPr="00DD6F12">
        <w:rPr>
          <w:rFonts w:ascii="ITC Avant Garde" w:eastAsia="Arial" w:hAnsi="ITC Avant Garde" w:cs="Arial"/>
          <w:szCs w:val="20"/>
          <w:lang w:val="es-ES_tradnl"/>
        </w:rPr>
        <w:lastRenderedPageBreak/>
        <w:t xml:space="preserve">AGENTES ECONÓMICOS </w:t>
      </w:r>
      <w:r w:rsidR="00827118" w:rsidRPr="00DD6F12">
        <w:rPr>
          <w:rFonts w:ascii="ITC Avant Garde" w:eastAsia="Arial" w:hAnsi="ITC Avant Garde" w:cs="Arial"/>
          <w:szCs w:val="20"/>
          <w:lang w:val="es-ES_tradnl"/>
        </w:rPr>
        <w:t>CON PODER SUSTANCIAL DE MERCADO EN EL SECTOR DE TELECOMUNICACIONES”</w:t>
      </w:r>
      <w:r w:rsidR="00D60A24" w:rsidRPr="00DD6F12">
        <w:rPr>
          <w:rFonts w:ascii="ITC Avant Garde" w:eastAsia="Arial" w:hAnsi="ITC Avant Garde" w:cs="Arial"/>
          <w:szCs w:val="20"/>
          <w:lang w:val="es-ES_tradnl"/>
        </w:rPr>
        <w:t>, y</w:t>
      </w:r>
    </w:p>
    <w:p w14:paraId="7CB6FB3E" w14:textId="77777777" w:rsidR="007A59F7" w:rsidRPr="00DD6F12" w:rsidRDefault="007A59F7" w:rsidP="007A59F7">
      <w:pPr>
        <w:pStyle w:val="Prrafodelista"/>
        <w:spacing w:line="276" w:lineRule="auto"/>
        <w:jc w:val="both"/>
        <w:rPr>
          <w:rFonts w:ascii="ITC Avant Garde" w:eastAsia="Arial" w:hAnsi="ITC Avant Garde" w:cs="Arial"/>
          <w:szCs w:val="20"/>
          <w:lang w:val="es-ES_tradnl"/>
        </w:rPr>
      </w:pPr>
    </w:p>
    <w:p w14:paraId="12D16BB8" w14:textId="77777777" w:rsidR="007A59F7" w:rsidRPr="00DD6F12" w:rsidRDefault="002E1040" w:rsidP="00C608E2">
      <w:pPr>
        <w:pStyle w:val="Prrafodelista"/>
        <w:numPr>
          <w:ilvl w:val="0"/>
          <w:numId w:val="23"/>
        </w:numPr>
        <w:tabs>
          <w:tab w:val="num" w:pos="1220"/>
          <w:tab w:val="num" w:pos="1940"/>
        </w:tabs>
        <w:spacing w:line="276" w:lineRule="auto"/>
        <w:jc w:val="both"/>
        <w:rPr>
          <w:rFonts w:ascii="ITC Avant Garde" w:eastAsia="Arial" w:hAnsi="ITC Avant Garde" w:cs="Arial"/>
          <w:szCs w:val="20"/>
          <w:lang w:val="es-ES_tradnl"/>
        </w:rPr>
      </w:pPr>
      <w:r w:rsidRPr="00DD6F12">
        <w:rPr>
          <w:rFonts w:ascii="ITC Avant Garde" w:eastAsia="Arial" w:hAnsi="ITC Avant Garde" w:cs="Arial"/>
          <w:szCs w:val="20"/>
          <w:lang w:val="es-ES_tradnl"/>
        </w:rPr>
        <w:t>Identificar áreas de oportunidad de la regulación a través de</w:t>
      </w:r>
      <w:r w:rsidR="00406B2A" w:rsidRPr="00DD6F12">
        <w:rPr>
          <w:rFonts w:ascii="ITC Avant Garde" w:eastAsia="Arial" w:hAnsi="ITC Avant Garde" w:cs="Arial"/>
          <w:szCs w:val="20"/>
          <w:lang w:val="es-ES_tradnl"/>
        </w:rPr>
        <w:t xml:space="preserve"> los planteamientos </w:t>
      </w:r>
      <w:r w:rsidRPr="00DD6F12">
        <w:rPr>
          <w:rFonts w:ascii="ITC Avant Garde" w:hAnsi="ITC Avant Garde"/>
          <w:szCs w:val="20"/>
          <w:lang w:val="es-ES_tradnl"/>
        </w:rPr>
        <w:t>que se expongan mediante la participación ciudadana y generar un</w:t>
      </w:r>
      <w:r w:rsidR="00FC621E" w:rsidRPr="00DD6F12">
        <w:rPr>
          <w:rFonts w:ascii="ITC Avant Garde" w:hAnsi="ITC Avant Garde"/>
          <w:szCs w:val="20"/>
          <w:lang w:val="es-ES_tradnl"/>
        </w:rPr>
        <w:t>a disposición más robusta</w:t>
      </w:r>
      <w:r w:rsidRPr="00DD6F12">
        <w:rPr>
          <w:rFonts w:ascii="ITC Avant Garde" w:hAnsi="ITC Avant Garde"/>
          <w:szCs w:val="20"/>
          <w:lang w:val="es-ES_tradnl"/>
        </w:rPr>
        <w:t xml:space="preserve"> y eficiente.</w:t>
      </w:r>
    </w:p>
    <w:p w14:paraId="071E1E6E" w14:textId="77777777" w:rsidR="00926DB0" w:rsidRPr="00DD6F12" w:rsidRDefault="00926DB0" w:rsidP="00926DB0">
      <w:pPr>
        <w:tabs>
          <w:tab w:val="num" w:pos="1220"/>
          <w:tab w:val="num" w:pos="1940"/>
        </w:tabs>
        <w:spacing w:line="276" w:lineRule="auto"/>
        <w:jc w:val="both"/>
        <w:rPr>
          <w:rFonts w:ascii="ITC Avant Garde" w:eastAsia="Arial" w:hAnsi="ITC Avant Garde" w:cs="Arial"/>
          <w:szCs w:val="20"/>
          <w:lang w:val="es-ES_tradnl"/>
        </w:rPr>
      </w:pPr>
      <w:r w:rsidRPr="00DD6F12">
        <w:rPr>
          <w:rFonts w:ascii="ITC Avant Garde" w:eastAsia="Arial" w:hAnsi="ITC Avant Garde" w:cs="Arial"/>
          <w:szCs w:val="20"/>
          <w:lang w:val="es-ES_tradnl"/>
        </w:rPr>
        <w:t xml:space="preserve">En este sentido, el Pleno del Instituto estima conveniente someter a consulta pública el </w:t>
      </w:r>
      <w:r w:rsidR="007121D5" w:rsidRPr="00DD6F12">
        <w:rPr>
          <w:rFonts w:ascii="ITC Avant Garde" w:eastAsia="Arial" w:hAnsi="ITC Avant Garde" w:cs="Arial"/>
          <w:szCs w:val="20"/>
          <w:lang w:val="es-ES_tradnl"/>
        </w:rPr>
        <w:t>Anteproyecto</w:t>
      </w:r>
      <w:r w:rsidR="007352BB" w:rsidRPr="00DD6F12">
        <w:rPr>
          <w:rFonts w:ascii="ITC Avant Garde" w:eastAsia="Arial" w:hAnsi="ITC Avant Garde" w:cs="Arial"/>
          <w:szCs w:val="20"/>
          <w:lang w:val="es-ES_tradnl"/>
        </w:rPr>
        <w:t>,</w:t>
      </w:r>
      <w:r w:rsidR="002408E9" w:rsidRPr="00DD6F12">
        <w:rPr>
          <w:rFonts w:ascii="ITC Avant Garde" w:eastAsia="Arial" w:hAnsi="ITC Avant Garde" w:cs="Arial"/>
          <w:szCs w:val="20"/>
          <w:lang w:val="es-ES_tradnl"/>
        </w:rPr>
        <w:t xml:space="preserve"> así como su respectivo Análisis de Impacto Regulatorio (en lo sucesivo, el “AIR”), los</w:t>
      </w:r>
      <w:r w:rsidR="007121D5" w:rsidRPr="00DD6F12">
        <w:rPr>
          <w:rFonts w:ascii="ITC Avant Garde" w:eastAsia="Arial" w:hAnsi="ITC Avant Garde" w:cs="Arial"/>
          <w:szCs w:val="20"/>
          <w:lang w:val="es-ES_tradnl"/>
        </w:rPr>
        <w:t xml:space="preserve"> cual</w:t>
      </w:r>
      <w:r w:rsidR="002408E9" w:rsidRPr="00DD6F12">
        <w:rPr>
          <w:rFonts w:ascii="ITC Avant Garde" w:eastAsia="Arial" w:hAnsi="ITC Avant Garde" w:cs="Arial"/>
          <w:szCs w:val="20"/>
          <w:lang w:val="es-ES_tradnl"/>
        </w:rPr>
        <w:t>es</w:t>
      </w:r>
      <w:r w:rsidR="002E1040" w:rsidRPr="00DD6F12">
        <w:rPr>
          <w:rFonts w:ascii="ITC Avant Garde" w:hAnsi="ITC Avant Garde"/>
          <w:bCs/>
          <w:szCs w:val="20"/>
          <w:lang w:val="es-ES_tradnl"/>
        </w:rPr>
        <w:t xml:space="preserve"> se adjunta</w:t>
      </w:r>
      <w:r w:rsidR="002408E9" w:rsidRPr="00DD6F12">
        <w:rPr>
          <w:rFonts w:ascii="ITC Avant Garde" w:hAnsi="ITC Avant Garde"/>
          <w:bCs/>
          <w:szCs w:val="20"/>
          <w:lang w:val="es-ES_tradnl"/>
        </w:rPr>
        <w:t>n</w:t>
      </w:r>
      <w:r w:rsidR="002E1040" w:rsidRPr="00DD6F12">
        <w:rPr>
          <w:rFonts w:ascii="ITC Avant Garde" w:hAnsi="ITC Avant Garde"/>
          <w:bCs/>
          <w:szCs w:val="20"/>
          <w:lang w:val="es-ES_tradnl"/>
        </w:rPr>
        <w:t xml:space="preserve"> al presente Acuerdo</w:t>
      </w:r>
      <w:r w:rsidRPr="00DD6F12">
        <w:rPr>
          <w:rFonts w:ascii="ITC Avant Garde" w:eastAsia="Arial" w:hAnsi="ITC Avant Garde" w:cs="Arial"/>
          <w:szCs w:val="20"/>
          <w:lang w:val="es-ES_tradnl"/>
        </w:rPr>
        <w:t xml:space="preserve">. </w:t>
      </w:r>
    </w:p>
    <w:p w14:paraId="2982185C" w14:textId="77777777" w:rsidR="00CC5D24" w:rsidRPr="00DD6F12" w:rsidRDefault="00926DB0" w:rsidP="00926DB0">
      <w:pPr>
        <w:tabs>
          <w:tab w:val="num" w:pos="1220"/>
          <w:tab w:val="num" w:pos="1940"/>
        </w:tabs>
        <w:spacing w:line="276" w:lineRule="auto"/>
        <w:jc w:val="both"/>
        <w:rPr>
          <w:rFonts w:ascii="ITC Avant Garde" w:eastAsia="Arial" w:hAnsi="ITC Avant Garde" w:cs="Arial"/>
          <w:szCs w:val="20"/>
          <w:lang w:val="es-ES_tradnl"/>
        </w:rPr>
      </w:pPr>
      <w:r w:rsidRPr="00DD6F12">
        <w:rPr>
          <w:rFonts w:ascii="ITC Avant Garde" w:eastAsia="Arial" w:hAnsi="ITC Avant Garde" w:cs="Arial"/>
          <w:szCs w:val="20"/>
          <w:lang w:val="es-ES_tradnl"/>
        </w:rPr>
        <w:t>Por lo anterior, el Anteproyecto</w:t>
      </w:r>
      <w:r w:rsidR="002408E9" w:rsidRPr="00DD6F12">
        <w:rPr>
          <w:rFonts w:ascii="ITC Avant Garde" w:eastAsia="Arial" w:hAnsi="ITC Avant Garde" w:cs="Arial"/>
          <w:szCs w:val="20"/>
          <w:lang w:val="es-ES_tradnl"/>
        </w:rPr>
        <w:t xml:space="preserve"> y AIR</w:t>
      </w:r>
      <w:r w:rsidRPr="00DD6F12">
        <w:rPr>
          <w:rFonts w:ascii="ITC Avant Garde" w:eastAsia="Arial" w:hAnsi="ITC Avant Garde" w:cs="Arial"/>
          <w:szCs w:val="20"/>
          <w:lang w:val="es-ES_tradnl"/>
        </w:rPr>
        <w:t xml:space="preserve"> propuesto</w:t>
      </w:r>
      <w:r w:rsidR="002408E9" w:rsidRPr="00DD6F12">
        <w:rPr>
          <w:rFonts w:ascii="ITC Avant Garde" w:eastAsia="Arial" w:hAnsi="ITC Avant Garde" w:cs="Arial"/>
          <w:szCs w:val="20"/>
          <w:lang w:val="es-ES_tradnl"/>
        </w:rPr>
        <w:t>s</w:t>
      </w:r>
      <w:r w:rsidRPr="00DD6F12">
        <w:rPr>
          <w:rFonts w:ascii="ITC Avant Garde" w:eastAsia="Arial" w:hAnsi="ITC Avant Garde" w:cs="Arial"/>
          <w:szCs w:val="20"/>
          <w:lang w:val="es-ES_tradnl"/>
        </w:rPr>
        <w:t xml:space="preserve"> por la Unidad de Política Regulatoria debe</w:t>
      </w:r>
      <w:r w:rsidR="002408E9" w:rsidRPr="00DD6F12">
        <w:rPr>
          <w:rFonts w:ascii="ITC Avant Garde" w:eastAsia="Arial" w:hAnsi="ITC Avant Garde" w:cs="Arial"/>
          <w:szCs w:val="20"/>
          <w:lang w:val="es-ES_tradnl"/>
        </w:rPr>
        <w:t>n</w:t>
      </w:r>
      <w:r w:rsidRPr="00DD6F12">
        <w:rPr>
          <w:rFonts w:ascii="ITC Avant Garde" w:eastAsia="Arial" w:hAnsi="ITC Avant Garde" w:cs="Arial"/>
          <w:szCs w:val="20"/>
          <w:lang w:val="es-ES_tradnl"/>
        </w:rPr>
        <w:t xml:space="preserve"> estar sujeto</w:t>
      </w:r>
      <w:r w:rsidR="002408E9" w:rsidRPr="00DD6F12">
        <w:rPr>
          <w:rFonts w:ascii="ITC Avant Garde" w:eastAsia="Arial" w:hAnsi="ITC Avant Garde" w:cs="Arial"/>
          <w:szCs w:val="20"/>
          <w:lang w:val="es-ES_tradnl"/>
        </w:rPr>
        <w:t>s</w:t>
      </w:r>
      <w:r w:rsidRPr="00DD6F12">
        <w:rPr>
          <w:rFonts w:ascii="ITC Avant Garde" w:eastAsia="Arial" w:hAnsi="ITC Avant Garde" w:cs="Arial"/>
          <w:szCs w:val="20"/>
          <w:lang w:val="es-ES_tradnl"/>
        </w:rPr>
        <w:t xml:space="preserve"> a un proceso de consulta p</w:t>
      </w:r>
      <w:r w:rsidR="00406B2A" w:rsidRPr="00DD6F12">
        <w:rPr>
          <w:rFonts w:ascii="ITC Avant Garde" w:eastAsia="Arial" w:hAnsi="ITC Avant Garde" w:cs="Arial"/>
          <w:szCs w:val="20"/>
          <w:lang w:val="es-ES_tradnl"/>
        </w:rPr>
        <w:t>ública por un periodo de</w:t>
      </w:r>
      <w:r w:rsidR="00051250" w:rsidRPr="00DD6F12">
        <w:rPr>
          <w:rFonts w:ascii="ITC Avant Garde" w:eastAsia="Arial" w:hAnsi="ITC Avant Garde" w:cs="Arial"/>
          <w:szCs w:val="20"/>
          <w:lang w:val="es-ES_tradnl"/>
        </w:rPr>
        <w:t xml:space="preserve"> 20</w:t>
      </w:r>
      <w:r w:rsidRPr="00DD6F12">
        <w:rPr>
          <w:rFonts w:ascii="ITC Avant Garde" w:eastAsia="Arial" w:hAnsi="ITC Avant Garde" w:cs="Arial"/>
          <w:szCs w:val="20"/>
          <w:lang w:val="es-ES_tradnl"/>
        </w:rPr>
        <w:t xml:space="preserve"> días hábiles a fin de transparentar y promover la participación ciudadana en </w:t>
      </w:r>
      <w:r w:rsidR="00FC621E" w:rsidRPr="00DD6F12">
        <w:rPr>
          <w:rFonts w:ascii="ITC Avant Garde" w:eastAsia="Arial" w:hAnsi="ITC Avant Garde" w:cs="Arial"/>
          <w:szCs w:val="20"/>
          <w:lang w:val="es-ES_tradnl"/>
        </w:rPr>
        <w:t>el proceso</w:t>
      </w:r>
      <w:r w:rsidRPr="00DD6F12">
        <w:rPr>
          <w:rFonts w:ascii="ITC Avant Garde" w:eastAsia="Arial" w:hAnsi="ITC Avant Garde" w:cs="Arial"/>
          <w:szCs w:val="20"/>
          <w:lang w:val="es-ES_tradnl"/>
        </w:rPr>
        <w:t xml:space="preserve"> de emisión de </w:t>
      </w:r>
      <w:r w:rsidR="00FC621E" w:rsidRPr="00DD6F12">
        <w:rPr>
          <w:rFonts w:ascii="ITC Avant Garde" w:eastAsia="Arial" w:hAnsi="ITC Avant Garde" w:cs="Arial"/>
          <w:szCs w:val="20"/>
          <w:lang w:val="es-ES_tradnl"/>
        </w:rPr>
        <w:t xml:space="preserve">esta </w:t>
      </w:r>
      <w:r w:rsidRPr="00DD6F12">
        <w:rPr>
          <w:rFonts w:ascii="ITC Avant Garde" w:eastAsia="Arial" w:hAnsi="ITC Avant Garde" w:cs="Arial"/>
          <w:szCs w:val="20"/>
          <w:lang w:val="es-ES_tradnl"/>
        </w:rPr>
        <w:t>disposici</w:t>
      </w:r>
      <w:r w:rsidR="00FC621E" w:rsidRPr="00DD6F12">
        <w:rPr>
          <w:rFonts w:ascii="ITC Avant Garde" w:eastAsia="Arial" w:hAnsi="ITC Avant Garde" w:cs="Arial"/>
          <w:szCs w:val="20"/>
          <w:lang w:val="es-ES_tradnl"/>
        </w:rPr>
        <w:t>ón</w:t>
      </w:r>
      <w:r w:rsidR="00827118" w:rsidRPr="00DD6F12">
        <w:rPr>
          <w:rFonts w:ascii="ITC Avant Garde" w:eastAsia="Arial" w:hAnsi="ITC Avant Garde" w:cs="Arial"/>
          <w:szCs w:val="20"/>
          <w:lang w:val="es-ES_tradnl"/>
        </w:rPr>
        <w:t xml:space="preserve"> de carácter general y</w:t>
      </w:r>
      <w:r w:rsidRPr="00DD6F12">
        <w:rPr>
          <w:rFonts w:ascii="ITC Avant Garde" w:eastAsia="Arial" w:hAnsi="ITC Avant Garde" w:cs="Arial"/>
          <w:szCs w:val="20"/>
          <w:lang w:val="es-ES_tradnl"/>
        </w:rPr>
        <w:t xml:space="preserve"> a efecto de dar cabal cumplimiento a lo establecido en </w:t>
      </w:r>
      <w:r w:rsidR="00FC621E" w:rsidRPr="00DD6F12">
        <w:rPr>
          <w:rFonts w:ascii="ITC Avant Garde" w:eastAsia="Arial" w:hAnsi="ITC Avant Garde" w:cs="Arial"/>
          <w:szCs w:val="20"/>
          <w:lang w:val="es-ES_tradnl"/>
        </w:rPr>
        <w:t xml:space="preserve">la </w:t>
      </w:r>
      <w:r w:rsidR="00FE7140" w:rsidRPr="00DD6F12">
        <w:rPr>
          <w:rFonts w:ascii="ITC Avant Garde" w:eastAsia="Arial" w:hAnsi="ITC Avant Garde" w:cs="Arial"/>
          <w:szCs w:val="20"/>
          <w:lang w:val="es-ES_tradnl"/>
        </w:rPr>
        <w:t>LFTR</w:t>
      </w:r>
      <w:r w:rsidR="00FC621E" w:rsidRPr="00DD6F12">
        <w:rPr>
          <w:rFonts w:ascii="ITC Avant Garde" w:eastAsia="Arial" w:hAnsi="ITC Avant Garde" w:cs="Arial"/>
          <w:szCs w:val="20"/>
          <w:lang w:val="es-ES_tradnl"/>
        </w:rPr>
        <w:t>.</w:t>
      </w:r>
      <w:r w:rsidRPr="00DD6F12">
        <w:rPr>
          <w:rFonts w:ascii="ITC Avant Garde" w:eastAsia="Arial" w:hAnsi="ITC Avant Garde" w:cs="Arial"/>
          <w:szCs w:val="20"/>
          <w:lang w:val="es-ES_tradnl"/>
        </w:rPr>
        <w:t xml:space="preserve"> </w:t>
      </w:r>
    </w:p>
    <w:p w14:paraId="7EED5650" w14:textId="5406D106" w:rsidR="007A59F7" w:rsidRPr="00DD6F12" w:rsidRDefault="00CC5D24" w:rsidP="00DD6F12">
      <w:pPr>
        <w:tabs>
          <w:tab w:val="num" w:pos="1220"/>
          <w:tab w:val="num" w:pos="1940"/>
        </w:tabs>
        <w:spacing w:after="0" w:line="276" w:lineRule="auto"/>
        <w:jc w:val="both"/>
        <w:rPr>
          <w:rFonts w:ascii="ITC Avant Garde" w:eastAsia="Arial" w:hAnsi="ITC Avant Garde" w:cs="Arial"/>
          <w:szCs w:val="20"/>
          <w:lang w:val="es-ES_tradnl"/>
        </w:rPr>
      </w:pPr>
      <w:r w:rsidRPr="00DD6F12">
        <w:rPr>
          <w:rFonts w:ascii="ITC Avant Garde" w:eastAsia="Arial" w:hAnsi="ITC Avant Garde" w:cs="Arial"/>
          <w:szCs w:val="20"/>
          <w:lang w:val="es-ES_tradnl"/>
        </w:rPr>
        <w:t>Por lo expuesto, con fundamento en los artículos 28</w:t>
      </w:r>
      <w:r w:rsidR="00013330" w:rsidRPr="00DD6F12">
        <w:rPr>
          <w:rFonts w:ascii="ITC Avant Garde" w:eastAsia="Arial" w:hAnsi="ITC Avant Garde" w:cs="Arial"/>
          <w:szCs w:val="20"/>
          <w:lang w:val="es-ES_tradnl"/>
        </w:rPr>
        <w:t>,</w:t>
      </w:r>
      <w:r w:rsidRPr="00DD6F12">
        <w:rPr>
          <w:rFonts w:ascii="ITC Avant Garde" w:eastAsia="Arial" w:hAnsi="ITC Avant Garde" w:cs="Arial"/>
          <w:szCs w:val="20"/>
          <w:lang w:val="es-ES_tradnl"/>
        </w:rPr>
        <w:t xml:space="preserve"> </w:t>
      </w:r>
      <w:r w:rsidR="007121D5" w:rsidRPr="00DD6F12">
        <w:rPr>
          <w:rFonts w:ascii="ITC Avant Garde" w:eastAsia="Arial" w:hAnsi="ITC Avant Garde" w:cs="Arial"/>
          <w:szCs w:val="20"/>
          <w:lang w:val="es-ES_tradnl"/>
        </w:rPr>
        <w:t>párrafo décimo quinto de la Constitución</w:t>
      </w:r>
      <w:r w:rsidRPr="00DD6F12">
        <w:rPr>
          <w:rFonts w:ascii="ITC Avant Garde" w:eastAsia="Arial" w:hAnsi="ITC Avant Garde" w:cs="Arial"/>
          <w:szCs w:val="20"/>
          <w:lang w:val="es-ES_tradnl"/>
        </w:rPr>
        <w:t xml:space="preserve"> Política de los Estados Unidos Mexicanos; 1, 2</w:t>
      </w:r>
      <w:r w:rsidR="005E207F" w:rsidRPr="00DD6F12">
        <w:rPr>
          <w:rFonts w:ascii="ITC Avant Garde" w:eastAsia="Arial" w:hAnsi="ITC Avant Garde" w:cs="Arial"/>
          <w:szCs w:val="20"/>
          <w:lang w:val="es-ES_tradnl"/>
        </w:rPr>
        <w:t>, 7, 15</w:t>
      </w:r>
      <w:r w:rsidR="00D60A24" w:rsidRPr="00DD6F12">
        <w:rPr>
          <w:rFonts w:ascii="ITC Avant Garde" w:eastAsia="Arial" w:hAnsi="ITC Avant Garde" w:cs="Arial"/>
          <w:szCs w:val="20"/>
          <w:lang w:val="es-ES_tradnl"/>
        </w:rPr>
        <w:t>,</w:t>
      </w:r>
      <w:r w:rsidR="005E207F" w:rsidRPr="00DD6F12">
        <w:rPr>
          <w:rFonts w:ascii="ITC Avant Garde" w:eastAsia="Arial" w:hAnsi="ITC Avant Garde" w:cs="Arial"/>
          <w:szCs w:val="20"/>
          <w:lang w:val="es-ES_tradnl"/>
        </w:rPr>
        <w:t xml:space="preserve"> </w:t>
      </w:r>
      <w:r w:rsidR="007121D5" w:rsidRPr="00DD6F12">
        <w:rPr>
          <w:rFonts w:ascii="ITC Avant Garde" w:hAnsi="ITC Avant Garde"/>
          <w:szCs w:val="20"/>
        </w:rPr>
        <w:t xml:space="preserve">fracciones I </w:t>
      </w:r>
      <w:r w:rsidR="003D08AE" w:rsidRPr="00DD6F12">
        <w:rPr>
          <w:rFonts w:ascii="ITC Avant Garde" w:hAnsi="ITC Avant Garde"/>
          <w:szCs w:val="20"/>
        </w:rPr>
        <w:t xml:space="preserve">y </w:t>
      </w:r>
      <w:r w:rsidR="007121D5" w:rsidRPr="00DD6F12">
        <w:rPr>
          <w:rFonts w:ascii="ITC Avant Garde" w:hAnsi="ITC Avant Garde"/>
          <w:szCs w:val="20"/>
        </w:rPr>
        <w:t>XXIV</w:t>
      </w:r>
      <w:r w:rsidRPr="00DD6F12">
        <w:rPr>
          <w:rFonts w:ascii="ITC Avant Garde" w:eastAsia="Arial" w:hAnsi="ITC Avant Garde" w:cs="Arial"/>
          <w:szCs w:val="20"/>
          <w:lang w:val="es-ES_tradnl"/>
        </w:rPr>
        <w:t xml:space="preserve">, </w:t>
      </w:r>
      <w:r w:rsidR="004B3FDD" w:rsidRPr="00DD6F12">
        <w:rPr>
          <w:rFonts w:ascii="ITC Avant Garde" w:eastAsia="Arial" w:hAnsi="ITC Avant Garde" w:cs="Arial"/>
          <w:szCs w:val="20"/>
          <w:lang w:val="es-ES_tradnl"/>
        </w:rPr>
        <w:t>17</w:t>
      </w:r>
      <w:r w:rsidR="00D60A24" w:rsidRPr="00DD6F12">
        <w:rPr>
          <w:rFonts w:ascii="ITC Avant Garde" w:eastAsia="Arial" w:hAnsi="ITC Avant Garde" w:cs="Arial"/>
          <w:szCs w:val="20"/>
          <w:lang w:val="es-ES_tradnl"/>
        </w:rPr>
        <w:t>,</w:t>
      </w:r>
      <w:r w:rsidR="004B3FDD" w:rsidRPr="00DD6F12">
        <w:rPr>
          <w:rFonts w:ascii="ITC Avant Garde" w:eastAsia="Arial" w:hAnsi="ITC Avant Garde" w:cs="Arial"/>
          <w:szCs w:val="20"/>
          <w:lang w:val="es-ES_tradnl"/>
        </w:rPr>
        <w:t xml:space="preserve"> fracción I, </w:t>
      </w:r>
      <w:r w:rsidR="007121D5" w:rsidRPr="00DD6F12">
        <w:rPr>
          <w:rFonts w:ascii="ITC Avant Garde" w:eastAsia="Arial" w:hAnsi="ITC Avant Garde" w:cs="Arial"/>
          <w:szCs w:val="20"/>
          <w:lang w:val="es-ES_tradnl"/>
        </w:rPr>
        <w:t>51 y 52</w:t>
      </w:r>
      <w:r w:rsidR="005E207F" w:rsidRPr="00DD6F12">
        <w:rPr>
          <w:rFonts w:ascii="ITC Avant Garde" w:eastAsia="Arial" w:hAnsi="ITC Avant Garde" w:cs="Arial"/>
          <w:szCs w:val="20"/>
          <w:lang w:val="es-ES_tradnl"/>
        </w:rPr>
        <w:t xml:space="preserve"> </w:t>
      </w:r>
      <w:r w:rsidRPr="00DD6F12">
        <w:rPr>
          <w:rFonts w:ascii="ITC Avant Garde" w:eastAsia="Arial" w:hAnsi="ITC Avant Garde" w:cs="Arial"/>
          <w:szCs w:val="20"/>
          <w:lang w:val="es-ES_tradnl"/>
        </w:rPr>
        <w:t>de la Ley Federal de Telecomunicaciones y Radiodifusi</w:t>
      </w:r>
      <w:r w:rsidR="007121D5" w:rsidRPr="00DD6F12">
        <w:rPr>
          <w:rFonts w:ascii="ITC Avant Garde" w:eastAsia="Arial" w:hAnsi="ITC Avant Garde" w:cs="Arial"/>
          <w:szCs w:val="20"/>
          <w:lang w:val="es-ES_tradnl"/>
        </w:rPr>
        <w:t>ón,</w:t>
      </w:r>
      <w:r w:rsidRPr="00DD6F12">
        <w:rPr>
          <w:rFonts w:ascii="ITC Avant Garde" w:eastAsia="Arial" w:hAnsi="ITC Avant Garde" w:cs="Arial"/>
          <w:szCs w:val="20"/>
          <w:lang w:val="es-ES_tradnl"/>
        </w:rPr>
        <w:t xml:space="preserve"> 21, </w:t>
      </w:r>
      <w:r w:rsidR="007121D5" w:rsidRPr="00DD6F12">
        <w:rPr>
          <w:rFonts w:ascii="ITC Avant Garde" w:eastAsia="Arial" w:hAnsi="ITC Avant Garde" w:cs="Arial"/>
          <w:szCs w:val="20"/>
          <w:lang w:val="es-ES_tradnl"/>
        </w:rPr>
        <w:t>22</w:t>
      </w:r>
      <w:r w:rsidR="0093660D" w:rsidRPr="00DD6F12">
        <w:rPr>
          <w:rFonts w:ascii="ITC Avant Garde" w:eastAsia="Arial" w:hAnsi="ITC Avant Garde" w:cs="Arial"/>
          <w:szCs w:val="20"/>
          <w:lang w:val="es-ES_tradnl"/>
        </w:rPr>
        <w:t>,</w:t>
      </w:r>
      <w:r w:rsidR="007121D5" w:rsidRPr="00DD6F12">
        <w:rPr>
          <w:rFonts w:ascii="ITC Avant Garde" w:eastAsia="Arial" w:hAnsi="ITC Avant Garde" w:cs="Arial"/>
          <w:szCs w:val="20"/>
          <w:lang w:val="es-ES_tradnl"/>
        </w:rPr>
        <w:t xml:space="preserve"> fracción I y</w:t>
      </w:r>
      <w:r w:rsidR="00783FAE" w:rsidRPr="00DD6F12">
        <w:rPr>
          <w:rFonts w:ascii="ITC Avant Garde" w:eastAsia="Arial" w:hAnsi="ITC Avant Garde" w:cs="Arial"/>
          <w:szCs w:val="20"/>
          <w:lang w:val="es-ES_tradnl"/>
        </w:rPr>
        <w:t xml:space="preserve"> 24</w:t>
      </w:r>
      <w:r w:rsidR="007121D5" w:rsidRPr="00DD6F12">
        <w:rPr>
          <w:rFonts w:ascii="ITC Avant Garde" w:eastAsia="Arial" w:hAnsi="ITC Avant Garde" w:cs="Arial"/>
          <w:szCs w:val="20"/>
          <w:lang w:val="es-ES_tradnl"/>
        </w:rPr>
        <w:t>,</w:t>
      </w:r>
      <w:r w:rsidR="00783FAE" w:rsidRPr="00DD6F12">
        <w:rPr>
          <w:rFonts w:ascii="ITC Avant Garde" w:eastAsia="Arial" w:hAnsi="ITC Avant Garde" w:cs="Arial"/>
          <w:szCs w:val="20"/>
          <w:lang w:val="es-ES_tradnl"/>
        </w:rPr>
        <w:t xml:space="preserve"> </w:t>
      </w:r>
      <w:r w:rsidR="007121D5" w:rsidRPr="00DD6F12">
        <w:rPr>
          <w:rFonts w:ascii="ITC Avant Garde" w:eastAsia="Arial" w:hAnsi="ITC Avant Garde" w:cs="Arial"/>
          <w:szCs w:val="20"/>
          <w:lang w:val="es-ES_tradnl"/>
        </w:rPr>
        <w:t>primer párrafo</w:t>
      </w:r>
      <w:r w:rsidR="003D08AE" w:rsidRPr="00DD6F12">
        <w:rPr>
          <w:rFonts w:ascii="ITC Avant Garde" w:eastAsia="Arial" w:hAnsi="ITC Avant Garde" w:cs="Arial"/>
          <w:szCs w:val="20"/>
          <w:lang w:val="es-ES_tradnl"/>
        </w:rPr>
        <w:t xml:space="preserve"> y fracción XV</w:t>
      </w:r>
      <w:r w:rsidRPr="00DD6F12">
        <w:rPr>
          <w:rFonts w:ascii="ITC Avant Garde" w:eastAsia="Arial" w:hAnsi="ITC Avant Garde" w:cs="Arial"/>
          <w:szCs w:val="20"/>
          <w:lang w:val="es-ES_tradnl"/>
        </w:rPr>
        <w:t xml:space="preserve"> del Estatuto Orgánico del Instituto Federal de Telecomunicaciones, el Pleno</w:t>
      </w:r>
      <w:r w:rsidR="00783FAE" w:rsidRPr="00DD6F12">
        <w:rPr>
          <w:rFonts w:ascii="ITC Avant Garde" w:eastAsia="Arial" w:hAnsi="ITC Avant Garde" w:cs="Arial"/>
          <w:szCs w:val="20"/>
          <w:lang w:val="es-ES_tradnl"/>
        </w:rPr>
        <w:t xml:space="preserve"> del Instituto resuelve emitir el</w:t>
      </w:r>
      <w:r w:rsidRPr="00DD6F12">
        <w:rPr>
          <w:rFonts w:ascii="ITC Avant Garde" w:eastAsia="Arial" w:hAnsi="ITC Avant Garde" w:cs="Arial"/>
          <w:szCs w:val="20"/>
          <w:lang w:val="es-ES_tradnl"/>
        </w:rPr>
        <w:t xml:space="preserve"> siguiente:</w:t>
      </w:r>
    </w:p>
    <w:p w14:paraId="7215338B" w14:textId="77777777" w:rsidR="00DA2A98" w:rsidRPr="00DD6F12" w:rsidRDefault="00DA2A98" w:rsidP="00DD6F12">
      <w:pPr>
        <w:tabs>
          <w:tab w:val="num" w:pos="1220"/>
          <w:tab w:val="num" w:pos="1940"/>
        </w:tabs>
        <w:spacing w:after="0" w:line="276" w:lineRule="auto"/>
        <w:jc w:val="both"/>
        <w:rPr>
          <w:rFonts w:ascii="ITC Avant Garde" w:eastAsia="Arial" w:hAnsi="ITC Avant Garde" w:cs="Arial"/>
          <w:szCs w:val="20"/>
          <w:lang w:val="es-ES_tradnl"/>
        </w:rPr>
      </w:pPr>
    </w:p>
    <w:p w14:paraId="32675EB2" w14:textId="5FD1ECA2" w:rsidR="007A59F7" w:rsidRDefault="00926DB0" w:rsidP="00DD6F12">
      <w:pPr>
        <w:tabs>
          <w:tab w:val="num" w:pos="1220"/>
          <w:tab w:val="num" w:pos="1940"/>
        </w:tabs>
        <w:spacing w:after="0" w:line="276" w:lineRule="auto"/>
        <w:jc w:val="center"/>
        <w:outlineLvl w:val="0"/>
        <w:rPr>
          <w:rFonts w:ascii="ITC Avant Garde" w:eastAsia="Arial" w:hAnsi="ITC Avant Garde" w:cs="Arial"/>
          <w:b/>
          <w:szCs w:val="20"/>
          <w:lang w:val="es-ES_tradnl"/>
        </w:rPr>
      </w:pPr>
      <w:r w:rsidRPr="00DD6F12">
        <w:rPr>
          <w:rFonts w:ascii="ITC Avant Garde" w:eastAsia="Arial" w:hAnsi="ITC Avant Garde" w:cs="Arial"/>
          <w:b/>
          <w:szCs w:val="20"/>
          <w:lang w:val="es-ES_tradnl"/>
        </w:rPr>
        <w:t>ACUERDO</w:t>
      </w:r>
    </w:p>
    <w:p w14:paraId="136FE7DC" w14:textId="77777777" w:rsidR="00DD6F12" w:rsidRPr="00DD6F12" w:rsidRDefault="00DD6F12" w:rsidP="00DD6F12">
      <w:pPr>
        <w:tabs>
          <w:tab w:val="num" w:pos="1220"/>
          <w:tab w:val="num" w:pos="1940"/>
        </w:tabs>
        <w:spacing w:after="0" w:line="276" w:lineRule="auto"/>
        <w:jc w:val="center"/>
        <w:outlineLvl w:val="0"/>
        <w:rPr>
          <w:rFonts w:ascii="ITC Avant Garde" w:eastAsia="Arial" w:hAnsi="ITC Avant Garde" w:cs="Arial"/>
          <w:b/>
          <w:szCs w:val="20"/>
          <w:lang w:val="es-ES_tradnl"/>
        </w:rPr>
      </w:pPr>
    </w:p>
    <w:p w14:paraId="42A8AE9A" w14:textId="0B24785C" w:rsidR="007A59F7" w:rsidRPr="00DD6F12" w:rsidRDefault="00926DB0" w:rsidP="00926DB0">
      <w:pPr>
        <w:tabs>
          <w:tab w:val="num" w:pos="1220"/>
          <w:tab w:val="num" w:pos="1940"/>
        </w:tabs>
        <w:spacing w:line="276" w:lineRule="auto"/>
        <w:jc w:val="both"/>
        <w:rPr>
          <w:rFonts w:ascii="ITC Avant Garde" w:hAnsi="ITC Avant Garde"/>
          <w:bCs/>
          <w:szCs w:val="20"/>
        </w:rPr>
      </w:pPr>
      <w:r w:rsidRPr="00DD6F12">
        <w:rPr>
          <w:rFonts w:ascii="ITC Avant Garde" w:eastAsia="Arial" w:hAnsi="ITC Avant Garde" w:cs="Arial"/>
          <w:b/>
          <w:szCs w:val="20"/>
          <w:lang w:val="es-ES_tradnl"/>
        </w:rPr>
        <w:t>PRIMERO.-</w:t>
      </w:r>
      <w:r w:rsidRPr="00DD6F12">
        <w:rPr>
          <w:rFonts w:ascii="ITC Avant Garde" w:eastAsia="Arial" w:hAnsi="ITC Avant Garde" w:cs="Arial"/>
          <w:szCs w:val="20"/>
          <w:lang w:val="es-ES_tradnl"/>
        </w:rPr>
        <w:t xml:space="preserve"> Se </w:t>
      </w:r>
      <w:r w:rsidR="00BA5AAE" w:rsidRPr="00DD6F12">
        <w:rPr>
          <w:rFonts w:ascii="ITC Avant Garde" w:eastAsia="Arial" w:hAnsi="ITC Avant Garde" w:cs="Arial"/>
          <w:szCs w:val="20"/>
          <w:lang w:val="es-ES_tradnl"/>
        </w:rPr>
        <w:t>somete</w:t>
      </w:r>
      <w:r w:rsidRPr="00DD6F12">
        <w:rPr>
          <w:rFonts w:ascii="ITC Avant Garde" w:eastAsia="Arial" w:hAnsi="ITC Avant Garde" w:cs="Arial"/>
          <w:szCs w:val="20"/>
          <w:lang w:val="es-ES_tradnl"/>
        </w:rPr>
        <w:t xml:space="preserve"> a consulta pública el </w:t>
      </w:r>
      <w:r w:rsidR="00827118" w:rsidRPr="00DD6F12">
        <w:rPr>
          <w:rFonts w:ascii="ITC Avant Garde" w:eastAsia="Arial" w:hAnsi="ITC Avant Garde" w:cs="Arial"/>
          <w:szCs w:val="20"/>
          <w:lang w:val="es-ES_tradnl"/>
        </w:rPr>
        <w:t>“</w:t>
      </w:r>
      <w:r w:rsidR="00827118" w:rsidRPr="00DD6F12">
        <w:rPr>
          <w:rFonts w:ascii="ITC Avant Garde" w:hAnsi="ITC Avant Garde" w:cs="Arial"/>
          <w:bCs/>
          <w:szCs w:val="20"/>
          <w:lang w:eastAsia="es-ES"/>
        </w:rPr>
        <w:t xml:space="preserve">ANTEPROYECTO DE LINEAMIENTOS MEDIANTE LOS CUALES SE ESTABLECE EL PROCEDIMIENTO PARA LA </w:t>
      </w:r>
      <w:r w:rsidR="008C6B21" w:rsidRPr="00DD6F12">
        <w:rPr>
          <w:rFonts w:ascii="ITC Avant Garde" w:hAnsi="ITC Avant Garde" w:cs="Arial"/>
          <w:bCs/>
          <w:szCs w:val="20"/>
          <w:lang w:eastAsia="es-ES"/>
        </w:rPr>
        <w:t xml:space="preserve">PRESENTACIÓN DE LA SOLICITUD ELECTRÓNICA DE </w:t>
      </w:r>
      <w:r w:rsidR="00827118" w:rsidRPr="00DD6F12">
        <w:rPr>
          <w:rFonts w:ascii="ITC Avant Garde" w:hAnsi="ITC Avant Garde" w:cs="Arial"/>
          <w:bCs/>
          <w:szCs w:val="20"/>
          <w:lang w:eastAsia="es-ES"/>
        </w:rPr>
        <w:t xml:space="preserve">AUTORIZACIÓN DE TARIFAS DE LOS SERVICIOS DE TELECOMUNICACIONES PARA USUARIOS FINALES, AL CUAL DEBERÁN SUJETARSE </w:t>
      </w:r>
      <w:r w:rsidR="00234733" w:rsidRPr="00DD6F12">
        <w:rPr>
          <w:rFonts w:ascii="ITC Avant Garde" w:hAnsi="ITC Avant Garde" w:cs="Arial"/>
          <w:bCs/>
          <w:szCs w:val="20"/>
          <w:lang w:eastAsia="es-ES"/>
        </w:rPr>
        <w:t>EL</w:t>
      </w:r>
      <w:r w:rsidR="00827118" w:rsidRPr="00DD6F12">
        <w:rPr>
          <w:rFonts w:ascii="ITC Avant Garde" w:hAnsi="ITC Avant Garde" w:cs="Arial"/>
          <w:bCs/>
          <w:szCs w:val="20"/>
          <w:lang w:eastAsia="es-ES"/>
        </w:rPr>
        <w:t xml:space="preserve"> AGENTE ECONÓMICO PREPONDERANTE </w:t>
      </w:r>
      <w:r w:rsidR="00234733" w:rsidRPr="00DD6F12">
        <w:rPr>
          <w:rFonts w:ascii="ITC Avant Garde" w:hAnsi="ITC Avant Garde" w:cs="Arial"/>
          <w:bCs/>
          <w:szCs w:val="20"/>
          <w:lang w:eastAsia="es-ES"/>
        </w:rPr>
        <w:t>Y LOS AGENTES ECONÓMICOS</w:t>
      </w:r>
      <w:r w:rsidR="00827118" w:rsidRPr="00DD6F12">
        <w:rPr>
          <w:rFonts w:ascii="ITC Avant Garde" w:hAnsi="ITC Avant Garde" w:cs="Arial"/>
          <w:bCs/>
          <w:szCs w:val="20"/>
          <w:lang w:eastAsia="es-ES"/>
        </w:rPr>
        <w:t xml:space="preserve"> CON PODER SUSTANCIAL DE MERCADO EN EL SECTOR DE TELECOMUNICACIONES</w:t>
      </w:r>
      <w:r w:rsidR="00827118" w:rsidRPr="00DD6F12">
        <w:rPr>
          <w:rFonts w:ascii="ITC Avant Garde" w:hAnsi="ITC Avant Garde"/>
          <w:szCs w:val="20"/>
        </w:rPr>
        <w:t>”</w:t>
      </w:r>
      <w:r w:rsidR="0072786F" w:rsidRPr="00DD6F12">
        <w:rPr>
          <w:rFonts w:ascii="ITC Avant Garde" w:eastAsia="Arial" w:hAnsi="ITC Avant Garde" w:cs="Arial"/>
          <w:szCs w:val="20"/>
          <w:lang w:val="es-ES_tradnl"/>
        </w:rPr>
        <w:t xml:space="preserve">, </w:t>
      </w:r>
      <w:r w:rsidR="00FE7140" w:rsidRPr="00DD6F12">
        <w:rPr>
          <w:rFonts w:ascii="ITC Avant Garde" w:eastAsia="Arial" w:hAnsi="ITC Avant Garde" w:cs="Arial"/>
          <w:szCs w:val="20"/>
          <w:lang w:val="es-ES_tradnl"/>
        </w:rPr>
        <w:t xml:space="preserve">así como su Análisis de Impacto Regulatorio, mismos que </w:t>
      </w:r>
      <w:r w:rsidR="003027E4" w:rsidRPr="00DD6F12">
        <w:rPr>
          <w:rFonts w:ascii="ITC Avant Garde" w:eastAsia="Arial" w:hAnsi="ITC Avant Garde" w:cs="Arial"/>
          <w:szCs w:val="20"/>
          <w:lang w:val="es-ES_tradnl"/>
        </w:rPr>
        <w:t>se adjunta</w:t>
      </w:r>
      <w:r w:rsidR="00FE7140" w:rsidRPr="00DD6F12">
        <w:rPr>
          <w:rFonts w:ascii="ITC Avant Garde" w:eastAsia="Arial" w:hAnsi="ITC Avant Garde" w:cs="Arial"/>
          <w:szCs w:val="20"/>
          <w:lang w:val="es-ES_tradnl"/>
        </w:rPr>
        <w:t>n</w:t>
      </w:r>
      <w:r w:rsidR="003027E4" w:rsidRPr="00DD6F12">
        <w:rPr>
          <w:rFonts w:ascii="ITC Avant Garde" w:eastAsia="Arial" w:hAnsi="ITC Avant Garde" w:cs="Arial"/>
          <w:szCs w:val="20"/>
          <w:lang w:val="es-ES_tradnl"/>
        </w:rPr>
        <w:t xml:space="preserve"> al presente</w:t>
      </w:r>
      <w:r w:rsidR="0072786F" w:rsidRPr="00DD6F12">
        <w:rPr>
          <w:rFonts w:ascii="ITC Avant Garde" w:eastAsia="Arial" w:hAnsi="ITC Avant Garde" w:cs="Arial"/>
          <w:szCs w:val="20"/>
          <w:lang w:val="es-ES_tradnl"/>
        </w:rPr>
        <w:t xml:space="preserve"> Acuerdo</w:t>
      </w:r>
      <w:r w:rsidRPr="00DD6F12">
        <w:rPr>
          <w:rFonts w:ascii="ITC Avant Garde" w:eastAsia="Arial" w:hAnsi="ITC Avant Garde" w:cs="Arial"/>
          <w:szCs w:val="20"/>
          <w:lang w:val="es-ES_tradnl"/>
        </w:rPr>
        <w:t xml:space="preserve">. </w:t>
      </w:r>
      <w:r w:rsidR="0072786F" w:rsidRPr="00DD6F12">
        <w:rPr>
          <w:rFonts w:ascii="ITC Avant Garde" w:hAnsi="ITC Avant Garde" w:cs="Tahoma"/>
          <w:bCs/>
          <w:color w:val="000000"/>
          <w:szCs w:val="20"/>
          <w:lang w:eastAsia="es-MX"/>
        </w:rPr>
        <w:t xml:space="preserve">Dicha consulta pública se realizará </w:t>
      </w:r>
      <w:r w:rsidR="00FE7140" w:rsidRPr="00DD6F12">
        <w:rPr>
          <w:rFonts w:ascii="ITC Avant Garde" w:hAnsi="ITC Avant Garde" w:cs="Tahoma"/>
          <w:bCs/>
          <w:color w:val="000000"/>
          <w:szCs w:val="20"/>
          <w:lang w:eastAsia="es-MX"/>
        </w:rPr>
        <w:t xml:space="preserve">por un periodo de </w:t>
      </w:r>
      <w:r w:rsidR="0072786F" w:rsidRPr="00DD6F12">
        <w:rPr>
          <w:rFonts w:ascii="ITC Avant Garde" w:hAnsi="ITC Avant Garde"/>
          <w:bCs/>
          <w:szCs w:val="20"/>
        </w:rPr>
        <w:t>20 días hábiles</w:t>
      </w:r>
      <w:r w:rsidR="003F5326" w:rsidRPr="00DD6F12">
        <w:rPr>
          <w:rFonts w:ascii="ITC Avant Garde" w:hAnsi="ITC Avant Garde"/>
          <w:bCs/>
          <w:szCs w:val="20"/>
        </w:rPr>
        <w:t xml:space="preserve"> contados</w:t>
      </w:r>
      <w:r w:rsidR="0072786F" w:rsidRPr="00DD6F12">
        <w:rPr>
          <w:rFonts w:ascii="ITC Avant Garde" w:hAnsi="ITC Avant Garde"/>
          <w:bCs/>
          <w:szCs w:val="20"/>
        </w:rPr>
        <w:t xml:space="preserve"> a partir de</w:t>
      </w:r>
      <w:r w:rsidR="00251BDF" w:rsidRPr="00DD6F12">
        <w:rPr>
          <w:rFonts w:ascii="ITC Avant Garde" w:hAnsi="ITC Avant Garde"/>
          <w:bCs/>
          <w:szCs w:val="20"/>
        </w:rPr>
        <w:t>l día hábil siguiente a</w:t>
      </w:r>
      <w:r w:rsidR="0072786F" w:rsidRPr="00DD6F12">
        <w:rPr>
          <w:rFonts w:ascii="ITC Avant Garde" w:hAnsi="ITC Avant Garde"/>
          <w:bCs/>
          <w:szCs w:val="20"/>
        </w:rPr>
        <w:t xml:space="preserve"> su publicación en el portal de </w:t>
      </w:r>
      <w:r w:rsidR="00FE7140" w:rsidRPr="00DD6F12">
        <w:rPr>
          <w:rFonts w:ascii="ITC Avant Garde" w:hAnsi="ITC Avant Garde"/>
          <w:bCs/>
          <w:szCs w:val="20"/>
        </w:rPr>
        <w:t>I</w:t>
      </w:r>
      <w:r w:rsidR="0072786F" w:rsidRPr="00DD6F12">
        <w:rPr>
          <w:rFonts w:ascii="ITC Avant Garde" w:hAnsi="ITC Avant Garde"/>
          <w:bCs/>
          <w:szCs w:val="20"/>
        </w:rPr>
        <w:t>nternet del Instituto Federal de Telecomunicaciones.</w:t>
      </w:r>
    </w:p>
    <w:p w14:paraId="5C3F1EEA" w14:textId="77777777" w:rsidR="007A59F7" w:rsidRPr="00DD6F12" w:rsidRDefault="00926DB0" w:rsidP="00D630C2">
      <w:pPr>
        <w:tabs>
          <w:tab w:val="num" w:pos="1220"/>
          <w:tab w:val="num" w:pos="1940"/>
        </w:tabs>
        <w:spacing w:line="276" w:lineRule="auto"/>
        <w:jc w:val="both"/>
        <w:rPr>
          <w:rFonts w:ascii="ITC Avant Garde" w:hAnsi="ITC Avant Garde" w:cs="Tahoma"/>
          <w:bCs/>
          <w:color w:val="000000"/>
          <w:szCs w:val="20"/>
          <w:lang w:eastAsia="es-MX"/>
        </w:rPr>
      </w:pPr>
      <w:proofErr w:type="gramStart"/>
      <w:r w:rsidRPr="00DD6F12">
        <w:rPr>
          <w:rFonts w:ascii="ITC Avant Garde" w:eastAsia="Arial" w:hAnsi="ITC Avant Garde" w:cs="Arial"/>
          <w:b/>
          <w:szCs w:val="20"/>
          <w:lang w:val="es-ES_tradnl"/>
        </w:rPr>
        <w:t>SEGUNDO.-</w:t>
      </w:r>
      <w:proofErr w:type="gramEnd"/>
      <w:r w:rsidRPr="00DD6F12">
        <w:rPr>
          <w:rFonts w:ascii="ITC Avant Garde" w:eastAsia="Arial" w:hAnsi="ITC Avant Garde" w:cs="Arial"/>
          <w:szCs w:val="20"/>
          <w:lang w:val="es-ES_tradnl"/>
        </w:rPr>
        <w:t xml:space="preserve"> Se instruye a la Unidad de Política Regulatoria, por conducto de la Dirección General de </w:t>
      </w:r>
      <w:r w:rsidR="00923ECF" w:rsidRPr="00DD6F12">
        <w:rPr>
          <w:rFonts w:ascii="ITC Avant Garde" w:eastAsia="Arial" w:hAnsi="ITC Avant Garde" w:cs="Arial"/>
          <w:szCs w:val="20"/>
          <w:lang w:val="es-ES_tradnl"/>
        </w:rPr>
        <w:t>Desarrollo de las Telecomunicaciones y la Radiodifusión</w:t>
      </w:r>
      <w:r w:rsidRPr="00DD6F12">
        <w:rPr>
          <w:rFonts w:ascii="ITC Avant Garde" w:eastAsia="Arial" w:hAnsi="ITC Avant Garde" w:cs="Arial"/>
          <w:szCs w:val="20"/>
          <w:lang w:val="es-ES_tradnl"/>
        </w:rPr>
        <w:t xml:space="preserve">, en su calidad de área proponente, </w:t>
      </w:r>
      <w:r w:rsidR="0072786F" w:rsidRPr="00DD6F12">
        <w:rPr>
          <w:rFonts w:ascii="ITC Avant Garde" w:hAnsi="ITC Avant Garde" w:cs="Tahoma"/>
          <w:bCs/>
          <w:color w:val="000000"/>
          <w:szCs w:val="20"/>
          <w:lang w:eastAsia="es-MX"/>
        </w:rPr>
        <w:t xml:space="preserve">ejecutar la consulta pública materia del presente Acuerdo, incluyendo la recepción y atención que corresponda a las opiniones que sean vertidas </w:t>
      </w:r>
      <w:r w:rsidR="002408E9" w:rsidRPr="00DD6F12">
        <w:rPr>
          <w:rFonts w:ascii="ITC Avant Garde" w:hAnsi="ITC Avant Garde" w:cs="Tahoma"/>
          <w:bCs/>
          <w:color w:val="000000"/>
          <w:szCs w:val="20"/>
          <w:lang w:eastAsia="es-MX"/>
        </w:rPr>
        <w:t xml:space="preserve">en </w:t>
      </w:r>
      <w:r w:rsidR="0072786F" w:rsidRPr="00DD6F12">
        <w:rPr>
          <w:rFonts w:ascii="ITC Avant Garde" w:hAnsi="ITC Avant Garde" w:cs="Tahoma"/>
          <w:bCs/>
          <w:color w:val="000000"/>
          <w:szCs w:val="20"/>
          <w:lang w:eastAsia="es-MX"/>
        </w:rPr>
        <w:t>la consulta pública materia del presente Acuerdo.</w:t>
      </w:r>
    </w:p>
    <w:p w14:paraId="7C91D018" w14:textId="77777777" w:rsidR="003027E4" w:rsidRPr="00DD6F12" w:rsidRDefault="00926DB0" w:rsidP="00830162">
      <w:pPr>
        <w:tabs>
          <w:tab w:val="num" w:pos="1220"/>
          <w:tab w:val="num" w:pos="1940"/>
        </w:tabs>
        <w:spacing w:line="276" w:lineRule="auto"/>
        <w:jc w:val="both"/>
        <w:rPr>
          <w:rFonts w:ascii="ITC Avant Garde" w:eastAsia="Arial" w:hAnsi="ITC Avant Garde" w:cs="Arial"/>
          <w:szCs w:val="20"/>
          <w:lang w:val="es-ES_tradnl"/>
        </w:rPr>
      </w:pPr>
      <w:proofErr w:type="gramStart"/>
      <w:r w:rsidRPr="00DD6F12">
        <w:rPr>
          <w:rFonts w:ascii="ITC Avant Garde" w:eastAsia="Arial" w:hAnsi="ITC Avant Garde" w:cs="Arial"/>
          <w:b/>
          <w:szCs w:val="20"/>
          <w:lang w:val="es-ES_tradnl"/>
        </w:rPr>
        <w:lastRenderedPageBreak/>
        <w:t>TERCERO.-</w:t>
      </w:r>
      <w:proofErr w:type="gramEnd"/>
      <w:r w:rsidRPr="00DD6F12">
        <w:rPr>
          <w:rFonts w:ascii="ITC Avant Garde" w:eastAsia="Arial" w:hAnsi="ITC Avant Garde" w:cs="Arial"/>
          <w:szCs w:val="20"/>
          <w:lang w:val="es-ES_tradnl"/>
        </w:rPr>
        <w:t xml:space="preserve"> Publíquese el</w:t>
      </w:r>
      <w:r w:rsidR="00A60F8E" w:rsidRPr="00DD6F12">
        <w:rPr>
          <w:rFonts w:ascii="ITC Avant Garde" w:eastAsia="Arial" w:hAnsi="ITC Avant Garde" w:cs="Arial"/>
          <w:szCs w:val="20"/>
          <w:lang w:val="es-ES_tradnl"/>
        </w:rPr>
        <w:t xml:space="preserve"> presente Acuerdo en el</w:t>
      </w:r>
      <w:r w:rsidRPr="00DD6F12">
        <w:rPr>
          <w:rFonts w:ascii="ITC Avant Garde" w:eastAsia="Arial" w:hAnsi="ITC Avant Garde" w:cs="Arial"/>
          <w:szCs w:val="20"/>
          <w:lang w:val="es-ES_tradnl"/>
        </w:rPr>
        <w:t xml:space="preserve"> portal de Internet del Instituto F</w:t>
      </w:r>
      <w:r w:rsidR="00923ECF" w:rsidRPr="00DD6F12">
        <w:rPr>
          <w:rFonts w:ascii="ITC Avant Garde" w:eastAsia="Arial" w:hAnsi="ITC Avant Garde" w:cs="Arial"/>
          <w:szCs w:val="20"/>
          <w:lang w:val="es-ES_tradnl"/>
        </w:rPr>
        <w:t xml:space="preserve">ederal de Telecomunicaciones.  </w:t>
      </w:r>
    </w:p>
    <w:p w14:paraId="00E927CD" w14:textId="6EB65855" w:rsidR="00827118" w:rsidRDefault="00827118" w:rsidP="00DD6F12">
      <w:pPr>
        <w:tabs>
          <w:tab w:val="num" w:pos="1220"/>
          <w:tab w:val="num" w:pos="1940"/>
        </w:tabs>
        <w:spacing w:after="0" w:line="276" w:lineRule="auto"/>
        <w:jc w:val="both"/>
        <w:rPr>
          <w:rFonts w:ascii="ITC Avant Garde" w:eastAsia="Arial" w:hAnsi="ITC Avant Garde" w:cs="Arial"/>
          <w:szCs w:val="20"/>
          <w:lang w:val="es-ES_tradnl"/>
        </w:rPr>
      </w:pPr>
    </w:p>
    <w:p w14:paraId="64679C6E" w14:textId="04A6970D" w:rsidR="00DD6F12" w:rsidRDefault="00DD6F12" w:rsidP="00DD6F12">
      <w:pPr>
        <w:tabs>
          <w:tab w:val="num" w:pos="1220"/>
          <w:tab w:val="num" w:pos="1940"/>
        </w:tabs>
        <w:spacing w:after="0" w:line="276" w:lineRule="auto"/>
        <w:jc w:val="both"/>
        <w:rPr>
          <w:rFonts w:ascii="ITC Avant Garde" w:eastAsia="Arial" w:hAnsi="ITC Avant Garde" w:cs="Arial"/>
          <w:szCs w:val="20"/>
          <w:lang w:val="es-ES_tradnl"/>
        </w:rPr>
      </w:pPr>
    </w:p>
    <w:p w14:paraId="05FD70A5" w14:textId="794E2D82" w:rsidR="00DD6F12" w:rsidRDefault="00DD6F12" w:rsidP="00DD6F12">
      <w:pPr>
        <w:tabs>
          <w:tab w:val="num" w:pos="1220"/>
          <w:tab w:val="num" w:pos="1940"/>
        </w:tabs>
        <w:spacing w:after="0" w:line="276" w:lineRule="auto"/>
        <w:jc w:val="both"/>
        <w:rPr>
          <w:rFonts w:ascii="ITC Avant Garde" w:eastAsia="Arial" w:hAnsi="ITC Avant Garde" w:cs="Arial"/>
          <w:szCs w:val="20"/>
          <w:lang w:val="es-ES_tradnl"/>
        </w:rPr>
      </w:pPr>
    </w:p>
    <w:p w14:paraId="4734DB66" w14:textId="46CED026" w:rsidR="00DD6F12" w:rsidRDefault="00DD6F12" w:rsidP="00DD6F12">
      <w:pPr>
        <w:tabs>
          <w:tab w:val="num" w:pos="1220"/>
          <w:tab w:val="num" w:pos="1940"/>
        </w:tabs>
        <w:spacing w:after="0" w:line="276" w:lineRule="auto"/>
        <w:jc w:val="both"/>
        <w:rPr>
          <w:rFonts w:ascii="ITC Avant Garde" w:eastAsia="Arial" w:hAnsi="ITC Avant Garde" w:cs="Arial"/>
          <w:szCs w:val="20"/>
          <w:lang w:val="es-ES_tradnl"/>
        </w:rPr>
      </w:pPr>
    </w:p>
    <w:p w14:paraId="07142CBB" w14:textId="2BF2E8A3" w:rsidR="00DD6F12" w:rsidRDefault="00DD6F12" w:rsidP="00DD6F12">
      <w:pPr>
        <w:tabs>
          <w:tab w:val="num" w:pos="1220"/>
          <w:tab w:val="num" w:pos="1940"/>
        </w:tabs>
        <w:spacing w:after="0" w:line="276" w:lineRule="auto"/>
        <w:jc w:val="both"/>
        <w:rPr>
          <w:rFonts w:ascii="ITC Avant Garde" w:eastAsia="Arial" w:hAnsi="ITC Avant Garde" w:cs="Arial"/>
          <w:szCs w:val="20"/>
          <w:lang w:val="es-ES_tradnl"/>
        </w:rPr>
      </w:pPr>
    </w:p>
    <w:p w14:paraId="20D385EA" w14:textId="77777777" w:rsidR="00DD6F12" w:rsidRDefault="00DD6F12" w:rsidP="00DD6F12">
      <w:pPr>
        <w:tabs>
          <w:tab w:val="num" w:pos="1220"/>
          <w:tab w:val="num" w:pos="1940"/>
        </w:tabs>
        <w:spacing w:after="0" w:line="276" w:lineRule="auto"/>
        <w:jc w:val="both"/>
        <w:rPr>
          <w:rFonts w:ascii="ITC Avant Garde" w:eastAsia="Arial" w:hAnsi="ITC Avant Garde" w:cs="Arial"/>
          <w:szCs w:val="20"/>
          <w:lang w:val="es-ES_tradnl"/>
        </w:rPr>
      </w:pPr>
    </w:p>
    <w:p w14:paraId="4BCD5619" w14:textId="77777777" w:rsidR="00DD6F12" w:rsidRDefault="00DD6F12" w:rsidP="00DD6F12">
      <w:pPr>
        <w:tabs>
          <w:tab w:val="num" w:pos="1220"/>
          <w:tab w:val="num" w:pos="1940"/>
        </w:tabs>
        <w:spacing w:after="0" w:line="276" w:lineRule="auto"/>
        <w:jc w:val="both"/>
        <w:rPr>
          <w:rFonts w:ascii="ITC Avant Garde" w:eastAsia="Arial" w:hAnsi="ITC Avant Garde" w:cs="Arial"/>
          <w:szCs w:val="20"/>
          <w:lang w:val="es-ES_tradnl"/>
        </w:rPr>
      </w:pPr>
    </w:p>
    <w:p w14:paraId="0701E699" w14:textId="262A03FF" w:rsidR="00DD6F12" w:rsidRDefault="00DD6F12" w:rsidP="00DD6F12">
      <w:pPr>
        <w:tabs>
          <w:tab w:val="num" w:pos="1220"/>
          <w:tab w:val="num" w:pos="1940"/>
        </w:tabs>
        <w:spacing w:after="0" w:line="276" w:lineRule="auto"/>
        <w:jc w:val="both"/>
        <w:rPr>
          <w:rFonts w:ascii="ITC Avant Garde" w:eastAsia="Arial" w:hAnsi="ITC Avant Garde" w:cs="Arial"/>
          <w:szCs w:val="20"/>
          <w:lang w:val="es-ES_tradnl"/>
        </w:rPr>
      </w:pPr>
    </w:p>
    <w:p w14:paraId="34E80BAE" w14:textId="77777777" w:rsidR="00DD6F12" w:rsidRPr="00DD6F12" w:rsidRDefault="00DD6F12" w:rsidP="00DD6F12">
      <w:pPr>
        <w:tabs>
          <w:tab w:val="num" w:pos="1220"/>
          <w:tab w:val="num" w:pos="1940"/>
        </w:tabs>
        <w:spacing w:after="0" w:line="276" w:lineRule="auto"/>
        <w:jc w:val="both"/>
        <w:rPr>
          <w:rFonts w:ascii="ITC Avant Garde" w:eastAsia="Arial" w:hAnsi="ITC Avant Garde" w:cs="Arial"/>
          <w:szCs w:val="20"/>
          <w:lang w:val="es-ES_tradnl"/>
        </w:rPr>
      </w:pPr>
    </w:p>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2"/>
        <w:gridCol w:w="4702"/>
      </w:tblGrid>
      <w:tr w:rsidR="003027E4" w:rsidRPr="00DD6F12" w14:paraId="7FF24904" w14:textId="77777777" w:rsidTr="001A68C6">
        <w:tc>
          <w:tcPr>
            <w:tcW w:w="9404" w:type="dxa"/>
            <w:gridSpan w:val="2"/>
          </w:tcPr>
          <w:p w14:paraId="0BA8995A" w14:textId="77777777" w:rsidR="003027E4" w:rsidRPr="00DD6F12" w:rsidRDefault="003027E4" w:rsidP="00DD6F12">
            <w:pPr>
              <w:rPr>
                <w:rFonts w:ascii="ITC Avant Garde" w:hAnsi="ITC Avant Garde"/>
                <w:b/>
                <w:szCs w:val="20"/>
              </w:rPr>
            </w:pPr>
          </w:p>
          <w:p w14:paraId="5E0FB5CF" w14:textId="77777777" w:rsidR="003027E4" w:rsidRPr="00DD6F12" w:rsidRDefault="003027E4" w:rsidP="00DD6F12">
            <w:pPr>
              <w:jc w:val="center"/>
              <w:rPr>
                <w:rFonts w:ascii="ITC Avant Garde" w:hAnsi="ITC Avant Garde"/>
                <w:b/>
                <w:szCs w:val="20"/>
              </w:rPr>
            </w:pPr>
            <w:r w:rsidRPr="00DD6F12">
              <w:rPr>
                <w:rFonts w:ascii="ITC Avant Garde" w:hAnsi="ITC Avant Garde"/>
                <w:b/>
                <w:szCs w:val="20"/>
              </w:rPr>
              <w:t>Gabriel Oswaldo Contreras Saldívar</w:t>
            </w:r>
          </w:p>
          <w:p w14:paraId="1BBEC0AC" w14:textId="77777777" w:rsidR="003027E4" w:rsidRPr="00DD6F12" w:rsidRDefault="003027E4" w:rsidP="00DD6F12">
            <w:pPr>
              <w:jc w:val="center"/>
              <w:rPr>
                <w:rFonts w:ascii="ITC Avant Garde" w:hAnsi="ITC Avant Garde"/>
                <w:b/>
                <w:szCs w:val="20"/>
              </w:rPr>
            </w:pPr>
            <w:r w:rsidRPr="00DD6F12">
              <w:rPr>
                <w:rFonts w:ascii="ITC Avant Garde" w:hAnsi="ITC Avant Garde"/>
                <w:b/>
                <w:szCs w:val="20"/>
              </w:rPr>
              <w:t>Comisionado Presidente</w:t>
            </w:r>
          </w:p>
        </w:tc>
      </w:tr>
      <w:tr w:rsidR="003027E4" w:rsidRPr="00DD6F12" w14:paraId="4FE9B8CC" w14:textId="77777777" w:rsidTr="001A68C6">
        <w:tc>
          <w:tcPr>
            <w:tcW w:w="4702" w:type="dxa"/>
          </w:tcPr>
          <w:p w14:paraId="0CE82A0C" w14:textId="77777777" w:rsidR="003027E4" w:rsidRPr="00DD6F12" w:rsidRDefault="003027E4" w:rsidP="00DD6F12">
            <w:pPr>
              <w:rPr>
                <w:rFonts w:ascii="ITC Avant Garde" w:hAnsi="ITC Avant Garde"/>
                <w:b/>
                <w:szCs w:val="20"/>
              </w:rPr>
            </w:pPr>
          </w:p>
          <w:p w14:paraId="41A1D11F" w14:textId="77777777" w:rsidR="003027E4" w:rsidRPr="00DD6F12" w:rsidRDefault="003027E4" w:rsidP="00DD6F12">
            <w:pPr>
              <w:jc w:val="center"/>
              <w:rPr>
                <w:rFonts w:ascii="ITC Avant Garde" w:hAnsi="ITC Avant Garde"/>
                <w:b/>
                <w:szCs w:val="20"/>
              </w:rPr>
            </w:pPr>
          </w:p>
          <w:p w14:paraId="77E06607" w14:textId="34DD578E" w:rsidR="003027E4" w:rsidRDefault="003027E4" w:rsidP="00DD6F12">
            <w:pPr>
              <w:jc w:val="center"/>
              <w:rPr>
                <w:rFonts w:ascii="ITC Avant Garde" w:hAnsi="ITC Avant Garde"/>
                <w:b/>
                <w:szCs w:val="20"/>
              </w:rPr>
            </w:pPr>
          </w:p>
          <w:p w14:paraId="2A74A593" w14:textId="77777777" w:rsidR="00DD6F12" w:rsidRPr="00DD6F12" w:rsidRDefault="00DD6F12" w:rsidP="00DD6F12">
            <w:pPr>
              <w:jc w:val="center"/>
              <w:rPr>
                <w:rFonts w:ascii="ITC Avant Garde" w:hAnsi="ITC Avant Garde"/>
                <w:b/>
                <w:szCs w:val="20"/>
              </w:rPr>
            </w:pPr>
          </w:p>
          <w:p w14:paraId="76B71D97" w14:textId="77777777" w:rsidR="003027E4" w:rsidRPr="00DD6F12" w:rsidRDefault="003027E4" w:rsidP="00DD6F12">
            <w:pPr>
              <w:jc w:val="center"/>
              <w:rPr>
                <w:rFonts w:ascii="ITC Avant Garde" w:hAnsi="ITC Avant Garde"/>
                <w:b/>
                <w:szCs w:val="20"/>
              </w:rPr>
            </w:pPr>
          </w:p>
          <w:p w14:paraId="69F71E38" w14:textId="77777777" w:rsidR="00827118" w:rsidRPr="00DD6F12" w:rsidRDefault="00827118" w:rsidP="00DD6F12">
            <w:pPr>
              <w:jc w:val="center"/>
              <w:rPr>
                <w:rFonts w:ascii="ITC Avant Garde" w:hAnsi="ITC Avant Garde"/>
                <w:b/>
                <w:szCs w:val="20"/>
              </w:rPr>
            </w:pPr>
            <w:r w:rsidRPr="00DD6F12">
              <w:rPr>
                <w:rFonts w:ascii="ITC Avant Garde" w:hAnsi="ITC Avant Garde"/>
                <w:b/>
                <w:szCs w:val="20"/>
              </w:rPr>
              <w:t xml:space="preserve">María Elena </w:t>
            </w:r>
            <w:proofErr w:type="spellStart"/>
            <w:r w:rsidRPr="00DD6F12">
              <w:rPr>
                <w:rFonts w:ascii="ITC Avant Garde" w:hAnsi="ITC Avant Garde"/>
                <w:b/>
                <w:szCs w:val="20"/>
              </w:rPr>
              <w:t>Estavillo</w:t>
            </w:r>
            <w:proofErr w:type="spellEnd"/>
            <w:r w:rsidRPr="00DD6F12">
              <w:rPr>
                <w:rFonts w:ascii="ITC Avant Garde" w:hAnsi="ITC Avant Garde"/>
                <w:b/>
                <w:szCs w:val="20"/>
              </w:rPr>
              <w:t xml:space="preserve"> Flores</w:t>
            </w:r>
          </w:p>
          <w:p w14:paraId="484F27A1" w14:textId="77777777" w:rsidR="003027E4" w:rsidRPr="00DD6F12" w:rsidRDefault="003027E4" w:rsidP="00DD6F12">
            <w:pPr>
              <w:jc w:val="center"/>
              <w:rPr>
                <w:rFonts w:ascii="ITC Avant Garde" w:hAnsi="ITC Avant Garde"/>
                <w:b/>
                <w:szCs w:val="20"/>
              </w:rPr>
            </w:pPr>
            <w:r w:rsidRPr="00DD6F12">
              <w:rPr>
                <w:rFonts w:ascii="ITC Avant Garde" w:hAnsi="ITC Avant Garde"/>
                <w:b/>
                <w:szCs w:val="20"/>
              </w:rPr>
              <w:t>Comisionada</w:t>
            </w:r>
          </w:p>
        </w:tc>
        <w:tc>
          <w:tcPr>
            <w:tcW w:w="4702" w:type="dxa"/>
          </w:tcPr>
          <w:p w14:paraId="1FB02ACD" w14:textId="77777777" w:rsidR="003027E4" w:rsidRPr="00DD6F12" w:rsidRDefault="003027E4" w:rsidP="00DD6F12">
            <w:pPr>
              <w:rPr>
                <w:rFonts w:ascii="ITC Avant Garde" w:hAnsi="ITC Avant Garde"/>
                <w:b/>
                <w:szCs w:val="20"/>
              </w:rPr>
            </w:pPr>
          </w:p>
          <w:p w14:paraId="4466AFBF" w14:textId="77777777" w:rsidR="003027E4" w:rsidRPr="00DD6F12" w:rsidRDefault="003027E4" w:rsidP="00DD6F12">
            <w:pPr>
              <w:rPr>
                <w:rFonts w:ascii="ITC Avant Garde" w:hAnsi="ITC Avant Garde"/>
                <w:b/>
                <w:szCs w:val="20"/>
              </w:rPr>
            </w:pPr>
          </w:p>
          <w:p w14:paraId="327111D9" w14:textId="641D07C3" w:rsidR="003027E4" w:rsidRDefault="003027E4" w:rsidP="00DD6F12">
            <w:pPr>
              <w:rPr>
                <w:rFonts w:ascii="ITC Avant Garde" w:hAnsi="ITC Avant Garde"/>
                <w:b/>
                <w:szCs w:val="20"/>
              </w:rPr>
            </w:pPr>
          </w:p>
          <w:p w14:paraId="48BFB20F" w14:textId="77777777" w:rsidR="00DD6F12" w:rsidRPr="00DD6F12" w:rsidRDefault="00DD6F12" w:rsidP="00DD6F12">
            <w:pPr>
              <w:rPr>
                <w:rFonts w:ascii="ITC Avant Garde" w:hAnsi="ITC Avant Garde"/>
                <w:b/>
                <w:szCs w:val="20"/>
              </w:rPr>
            </w:pPr>
          </w:p>
          <w:p w14:paraId="36C6750B" w14:textId="77777777" w:rsidR="003027E4" w:rsidRPr="00DD6F12" w:rsidRDefault="003027E4" w:rsidP="00DD6F12">
            <w:pPr>
              <w:jc w:val="center"/>
              <w:rPr>
                <w:rFonts w:ascii="ITC Avant Garde" w:hAnsi="ITC Avant Garde"/>
                <w:b/>
                <w:szCs w:val="20"/>
              </w:rPr>
            </w:pPr>
          </w:p>
          <w:p w14:paraId="7684FE36" w14:textId="77777777" w:rsidR="00827118" w:rsidRPr="00DD6F12" w:rsidRDefault="00827118" w:rsidP="00DD6F12">
            <w:pPr>
              <w:jc w:val="center"/>
              <w:rPr>
                <w:rFonts w:ascii="ITC Avant Garde" w:hAnsi="ITC Avant Garde"/>
                <w:b/>
                <w:szCs w:val="20"/>
              </w:rPr>
            </w:pPr>
            <w:r w:rsidRPr="00DD6F12">
              <w:rPr>
                <w:rFonts w:ascii="ITC Avant Garde" w:hAnsi="ITC Avant Garde"/>
                <w:b/>
                <w:szCs w:val="20"/>
              </w:rPr>
              <w:t xml:space="preserve">Mario Germán </w:t>
            </w:r>
            <w:proofErr w:type="spellStart"/>
            <w:r w:rsidRPr="00DD6F12">
              <w:rPr>
                <w:rFonts w:ascii="ITC Avant Garde" w:hAnsi="ITC Avant Garde"/>
                <w:b/>
                <w:szCs w:val="20"/>
              </w:rPr>
              <w:t>Fromow</w:t>
            </w:r>
            <w:proofErr w:type="spellEnd"/>
            <w:r w:rsidRPr="00DD6F12">
              <w:rPr>
                <w:rFonts w:ascii="ITC Avant Garde" w:hAnsi="ITC Avant Garde"/>
                <w:b/>
                <w:szCs w:val="20"/>
              </w:rPr>
              <w:t xml:space="preserve"> Rangel</w:t>
            </w:r>
          </w:p>
          <w:p w14:paraId="671947F0" w14:textId="77777777" w:rsidR="003027E4" w:rsidRPr="00DD6F12" w:rsidRDefault="00827118" w:rsidP="00DD6F12">
            <w:pPr>
              <w:jc w:val="center"/>
              <w:rPr>
                <w:rFonts w:ascii="ITC Avant Garde" w:hAnsi="ITC Avant Garde"/>
                <w:b/>
                <w:szCs w:val="20"/>
              </w:rPr>
            </w:pPr>
            <w:r w:rsidRPr="00DD6F12">
              <w:rPr>
                <w:rFonts w:ascii="ITC Avant Garde" w:hAnsi="ITC Avant Garde"/>
                <w:b/>
                <w:szCs w:val="20"/>
              </w:rPr>
              <w:t>Comisionado</w:t>
            </w:r>
            <w:r w:rsidR="003027E4" w:rsidRPr="00DD6F12">
              <w:rPr>
                <w:rFonts w:ascii="ITC Avant Garde" w:hAnsi="ITC Avant Garde"/>
                <w:b/>
                <w:szCs w:val="20"/>
              </w:rPr>
              <w:t xml:space="preserve"> </w:t>
            </w:r>
          </w:p>
        </w:tc>
      </w:tr>
      <w:tr w:rsidR="003027E4" w:rsidRPr="00DD6F12" w14:paraId="1FDCDBA0" w14:textId="77777777" w:rsidTr="001A68C6">
        <w:tc>
          <w:tcPr>
            <w:tcW w:w="4702" w:type="dxa"/>
          </w:tcPr>
          <w:p w14:paraId="5463588E" w14:textId="77777777" w:rsidR="003027E4" w:rsidRPr="00DD6F12" w:rsidRDefault="003027E4" w:rsidP="00DD6F12">
            <w:pPr>
              <w:jc w:val="center"/>
              <w:rPr>
                <w:rFonts w:ascii="ITC Avant Garde" w:hAnsi="ITC Avant Garde"/>
                <w:b/>
                <w:szCs w:val="20"/>
              </w:rPr>
            </w:pPr>
          </w:p>
          <w:p w14:paraId="02490F63" w14:textId="70E21B8B" w:rsidR="003027E4" w:rsidRDefault="003027E4" w:rsidP="00DD6F12">
            <w:pPr>
              <w:jc w:val="center"/>
              <w:rPr>
                <w:rFonts w:ascii="ITC Avant Garde" w:hAnsi="ITC Avant Garde"/>
                <w:b/>
                <w:szCs w:val="20"/>
              </w:rPr>
            </w:pPr>
          </w:p>
          <w:p w14:paraId="2D47A20D" w14:textId="77777777" w:rsidR="00DD6F12" w:rsidRPr="00DD6F12" w:rsidRDefault="00DD6F12" w:rsidP="00DD6F12">
            <w:pPr>
              <w:jc w:val="center"/>
              <w:rPr>
                <w:rFonts w:ascii="ITC Avant Garde" w:hAnsi="ITC Avant Garde"/>
                <w:b/>
                <w:szCs w:val="20"/>
              </w:rPr>
            </w:pPr>
          </w:p>
          <w:p w14:paraId="47E00D99" w14:textId="77777777" w:rsidR="003027E4" w:rsidRPr="00DD6F12" w:rsidRDefault="003027E4" w:rsidP="00DD6F12">
            <w:pPr>
              <w:jc w:val="center"/>
              <w:rPr>
                <w:rFonts w:ascii="ITC Avant Garde" w:hAnsi="ITC Avant Garde"/>
                <w:b/>
                <w:szCs w:val="20"/>
              </w:rPr>
            </w:pPr>
          </w:p>
          <w:p w14:paraId="79768F1B" w14:textId="77777777" w:rsidR="003027E4" w:rsidRPr="00DD6F12" w:rsidRDefault="003027E4" w:rsidP="00DD6F12">
            <w:pPr>
              <w:jc w:val="center"/>
              <w:rPr>
                <w:rFonts w:ascii="ITC Avant Garde" w:hAnsi="ITC Avant Garde"/>
                <w:b/>
                <w:szCs w:val="20"/>
              </w:rPr>
            </w:pPr>
          </w:p>
          <w:p w14:paraId="545CFE8F" w14:textId="77777777" w:rsidR="00827118" w:rsidRPr="00DD6F12" w:rsidRDefault="00827118" w:rsidP="00DD6F12">
            <w:pPr>
              <w:jc w:val="center"/>
              <w:rPr>
                <w:rFonts w:ascii="ITC Avant Garde" w:hAnsi="ITC Avant Garde"/>
                <w:b/>
                <w:szCs w:val="20"/>
              </w:rPr>
            </w:pPr>
            <w:r w:rsidRPr="00DD6F12">
              <w:rPr>
                <w:rFonts w:ascii="ITC Avant Garde" w:hAnsi="ITC Avant Garde"/>
                <w:b/>
                <w:szCs w:val="20"/>
              </w:rPr>
              <w:t>Adolfo Cuevas Teja</w:t>
            </w:r>
          </w:p>
          <w:p w14:paraId="0E9EA89E" w14:textId="77777777" w:rsidR="003027E4" w:rsidRPr="00DD6F12" w:rsidRDefault="003027E4" w:rsidP="00DD6F12">
            <w:pPr>
              <w:jc w:val="center"/>
              <w:rPr>
                <w:rFonts w:ascii="ITC Avant Garde" w:hAnsi="ITC Avant Garde"/>
                <w:b/>
                <w:szCs w:val="20"/>
              </w:rPr>
            </w:pPr>
            <w:r w:rsidRPr="00DD6F12">
              <w:rPr>
                <w:rFonts w:ascii="ITC Avant Garde" w:hAnsi="ITC Avant Garde"/>
                <w:b/>
                <w:szCs w:val="20"/>
              </w:rPr>
              <w:t>Comisionado</w:t>
            </w:r>
          </w:p>
          <w:p w14:paraId="77B761C1" w14:textId="77777777" w:rsidR="003027E4" w:rsidRPr="00DD6F12" w:rsidRDefault="003027E4" w:rsidP="00DD6F12">
            <w:pPr>
              <w:jc w:val="center"/>
              <w:rPr>
                <w:rFonts w:ascii="ITC Avant Garde" w:hAnsi="ITC Avant Garde"/>
                <w:b/>
                <w:szCs w:val="20"/>
              </w:rPr>
            </w:pPr>
          </w:p>
        </w:tc>
        <w:tc>
          <w:tcPr>
            <w:tcW w:w="4702" w:type="dxa"/>
          </w:tcPr>
          <w:p w14:paraId="512E1755" w14:textId="77777777" w:rsidR="003027E4" w:rsidRPr="00DD6F12" w:rsidRDefault="003027E4" w:rsidP="00DD6F12">
            <w:pPr>
              <w:jc w:val="center"/>
              <w:rPr>
                <w:rFonts w:ascii="ITC Avant Garde" w:hAnsi="ITC Avant Garde"/>
                <w:b/>
                <w:szCs w:val="20"/>
              </w:rPr>
            </w:pPr>
          </w:p>
          <w:p w14:paraId="7041F935" w14:textId="36603756" w:rsidR="003027E4" w:rsidRDefault="003027E4" w:rsidP="00DD6F12">
            <w:pPr>
              <w:jc w:val="center"/>
              <w:rPr>
                <w:rFonts w:ascii="ITC Avant Garde" w:hAnsi="ITC Avant Garde"/>
                <w:b/>
                <w:szCs w:val="20"/>
              </w:rPr>
            </w:pPr>
          </w:p>
          <w:p w14:paraId="2437AE31" w14:textId="77777777" w:rsidR="00DD6F12" w:rsidRPr="00DD6F12" w:rsidRDefault="00DD6F12" w:rsidP="00DD6F12">
            <w:pPr>
              <w:jc w:val="center"/>
              <w:rPr>
                <w:rFonts w:ascii="ITC Avant Garde" w:hAnsi="ITC Avant Garde"/>
                <w:b/>
                <w:szCs w:val="20"/>
              </w:rPr>
            </w:pPr>
          </w:p>
          <w:p w14:paraId="2E026496" w14:textId="77777777" w:rsidR="003027E4" w:rsidRPr="00DD6F12" w:rsidRDefault="003027E4" w:rsidP="00DD6F12">
            <w:pPr>
              <w:jc w:val="center"/>
              <w:rPr>
                <w:rFonts w:ascii="ITC Avant Garde" w:hAnsi="ITC Avant Garde"/>
                <w:b/>
                <w:szCs w:val="20"/>
              </w:rPr>
            </w:pPr>
          </w:p>
          <w:p w14:paraId="2CD98B8F" w14:textId="77777777" w:rsidR="003027E4" w:rsidRPr="00DD6F12" w:rsidRDefault="003027E4" w:rsidP="00DD6F12">
            <w:pPr>
              <w:jc w:val="center"/>
              <w:rPr>
                <w:rFonts w:ascii="ITC Avant Garde" w:hAnsi="ITC Avant Garde"/>
                <w:b/>
                <w:szCs w:val="20"/>
              </w:rPr>
            </w:pPr>
          </w:p>
          <w:p w14:paraId="30CBC837" w14:textId="77777777" w:rsidR="003027E4" w:rsidRPr="00DD6F12" w:rsidRDefault="00827118" w:rsidP="00DD6F12">
            <w:pPr>
              <w:jc w:val="center"/>
              <w:rPr>
                <w:rFonts w:ascii="ITC Avant Garde" w:hAnsi="ITC Avant Garde"/>
                <w:b/>
                <w:szCs w:val="20"/>
              </w:rPr>
            </w:pPr>
            <w:r w:rsidRPr="00DD6F12">
              <w:rPr>
                <w:rFonts w:ascii="ITC Avant Garde" w:hAnsi="ITC Avant Garde"/>
                <w:b/>
                <w:szCs w:val="20"/>
              </w:rPr>
              <w:t>Javier Juárez Mojica</w:t>
            </w:r>
          </w:p>
          <w:p w14:paraId="14CCA29A" w14:textId="77777777" w:rsidR="003027E4" w:rsidRPr="00DD6F12" w:rsidRDefault="003027E4" w:rsidP="00DD6F12">
            <w:pPr>
              <w:jc w:val="center"/>
              <w:rPr>
                <w:rFonts w:ascii="ITC Avant Garde" w:hAnsi="ITC Avant Garde"/>
                <w:szCs w:val="20"/>
              </w:rPr>
            </w:pPr>
            <w:r w:rsidRPr="00DD6F12">
              <w:rPr>
                <w:rFonts w:ascii="ITC Avant Garde" w:hAnsi="ITC Avant Garde"/>
                <w:b/>
                <w:szCs w:val="20"/>
              </w:rPr>
              <w:t xml:space="preserve">Comisionado </w:t>
            </w:r>
          </w:p>
          <w:p w14:paraId="0C9DE167" w14:textId="77777777" w:rsidR="003027E4" w:rsidRPr="00DD6F12" w:rsidRDefault="003027E4" w:rsidP="00DD6F12">
            <w:pPr>
              <w:jc w:val="center"/>
              <w:rPr>
                <w:rFonts w:ascii="ITC Avant Garde" w:hAnsi="ITC Avant Garde"/>
                <w:b/>
                <w:szCs w:val="20"/>
              </w:rPr>
            </w:pPr>
          </w:p>
        </w:tc>
      </w:tr>
      <w:tr w:rsidR="003027E4" w:rsidRPr="00DD6F12" w14:paraId="3A5B76C4" w14:textId="77777777" w:rsidTr="001A68C6">
        <w:tc>
          <w:tcPr>
            <w:tcW w:w="4702" w:type="dxa"/>
          </w:tcPr>
          <w:p w14:paraId="76E24D3B" w14:textId="77777777" w:rsidR="003027E4" w:rsidRPr="00DD6F12" w:rsidRDefault="003027E4" w:rsidP="00DD6F12">
            <w:pPr>
              <w:jc w:val="center"/>
              <w:rPr>
                <w:rFonts w:ascii="ITC Avant Garde" w:hAnsi="ITC Avant Garde"/>
                <w:b/>
                <w:szCs w:val="20"/>
              </w:rPr>
            </w:pPr>
          </w:p>
          <w:p w14:paraId="62B9D4E8" w14:textId="77777777" w:rsidR="003027E4" w:rsidRPr="00DD6F12" w:rsidRDefault="003027E4" w:rsidP="00DD6F12">
            <w:pPr>
              <w:jc w:val="center"/>
              <w:rPr>
                <w:rFonts w:ascii="ITC Avant Garde" w:hAnsi="ITC Avant Garde"/>
                <w:b/>
                <w:szCs w:val="20"/>
              </w:rPr>
            </w:pPr>
          </w:p>
          <w:p w14:paraId="0E29A785" w14:textId="77777777" w:rsidR="003027E4" w:rsidRPr="00DD6F12" w:rsidRDefault="003027E4" w:rsidP="00DD6F12">
            <w:pPr>
              <w:jc w:val="center"/>
              <w:rPr>
                <w:rFonts w:ascii="ITC Avant Garde" w:hAnsi="ITC Avant Garde"/>
                <w:b/>
                <w:szCs w:val="20"/>
              </w:rPr>
            </w:pPr>
          </w:p>
          <w:p w14:paraId="6F0C479F" w14:textId="77777777" w:rsidR="003027E4" w:rsidRPr="00DD6F12" w:rsidRDefault="003027E4" w:rsidP="00DD6F12">
            <w:pPr>
              <w:jc w:val="center"/>
              <w:rPr>
                <w:rFonts w:ascii="ITC Avant Garde" w:hAnsi="ITC Avant Garde"/>
                <w:b/>
                <w:szCs w:val="20"/>
              </w:rPr>
            </w:pPr>
          </w:p>
          <w:p w14:paraId="45248257" w14:textId="77777777" w:rsidR="00827118" w:rsidRPr="00DD6F12" w:rsidRDefault="00827118" w:rsidP="00DD6F12">
            <w:pPr>
              <w:jc w:val="center"/>
              <w:rPr>
                <w:rFonts w:ascii="ITC Avant Garde" w:hAnsi="ITC Avant Garde"/>
                <w:b/>
                <w:szCs w:val="20"/>
              </w:rPr>
            </w:pPr>
            <w:r w:rsidRPr="00DD6F12">
              <w:rPr>
                <w:rFonts w:ascii="ITC Avant Garde" w:hAnsi="ITC Avant Garde"/>
                <w:b/>
                <w:szCs w:val="20"/>
              </w:rPr>
              <w:t xml:space="preserve">Arturo Robles </w:t>
            </w:r>
            <w:proofErr w:type="spellStart"/>
            <w:r w:rsidRPr="00DD6F12">
              <w:rPr>
                <w:rFonts w:ascii="ITC Avant Garde" w:hAnsi="ITC Avant Garde"/>
                <w:b/>
                <w:szCs w:val="20"/>
              </w:rPr>
              <w:t>Rovalo</w:t>
            </w:r>
            <w:proofErr w:type="spellEnd"/>
          </w:p>
          <w:p w14:paraId="24A92CE2" w14:textId="77777777" w:rsidR="003027E4" w:rsidRPr="00DD6F12" w:rsidRDefault="003027E4" w:rsidP="00DD6F12">
            <w:pPr>
              <w:jc w:val="center"/>
              <w:rPr>
                <w:rFonts w:ascii="ITC Avant Garde" w:hAnsi="ITC Avant Garde"/>
                <w:b/>
                <w:szCs w:val="20"/>
              </w:rPr>
            </w:pPr>
            <w:r w:rsidRPr="00DD6F12">
              <w:rPr>
                <w:rFonts w:ascii="ITC Avant Garde" w:hAnsi="ITC Avant Garde"/>
                <w:b/>
                <w:szCs w:val="20"/>
              </w:rPr>
              <w:t>Comisionado</w:t>
            </w:r>
          </w:p>
          <w:p w14:paraId="092B9573" w14:textId="77777777" w:rsidR="003027E4" w:rsidRPr="00DD6F12" w:rsidRDefault="003027E4" w:rsidP="00DD6F12">
            <w:pPr>
              <w:jc w:val="center"/>
              <w:rPr>
                <w:rFonts w:ascii="ITC Avant Garde" w:hAnsi="ITC Avant Garde"/>
                <w:b/>
                <w:szCs w:val="20"/>
              </w:rPr>
            </w:pPr>
          </w:p>
        </w:tc>
        <w:tc>
          <w:tcPr>
            <w:tcW w:w="4702" w:type="dxa"/>
          </w:tcPr>
          <w:p w14:paraId="68110ADB" w14:textId="77777777" w:rsidR="003027E4" w:rsidRPr="00DD6F12" w:rsidRDefault="003027E4" w:rsidP="00DD6F12">
            <w:pPr>
              <w:jc w:val="center"/>
              <w:rPr>
                <w:rFonts w:ascii="ITC Avant Garde" w:hAnsi="ITC Avant Garde"/>
                <w:b/>
                <w:szCs w:val="20"/>
              </w:rPr>
            </w:pPr>
          </w:p>
          <w:p w14:paraId="70DA6898" w14:textId="77777777" w:rsidR="003027E4" w:rsidRPr="00DD6F12" w:rsidRDefault="003027E4" w:rsidP="00DD6F12">
            <w:pPr>
              <w:jc w:val="center"/>
              <w:rPr>
                <w:rFonts w:ascii="ITC Avant Garde" w:hAnsi="ITC Avant Garde"/>
                <w:b/>
                <w:szCs w:val="20"/>
              </w:rPr>
            </w:pPr>
          </w:p>
          <w:p w14:paraId="05EB84C9" w14:textId="77777777" w:rsidR="003027E4" w:rsidRPr="00DD6F12" w:rsidRDefault="003027E4" w:rsidP="00DD6F12">
            <w:pPr>
              <w:jc w:val="center"/>
              <w:rPr>
                <w:rFonts w:ascii="ITC Avant Garde" w:hAnsi="ITC Avant Garde"/>
                <w:b/>
                <w:szCs w:val="20"/>
              </w:rPr>
            </w:pPr>
          </w:p>
          <w:p w14:paraId="3751C659" w14:textId="77777777" w:rsidR="003027E4" w:rsidRPr="00DD6F12" w:rsidRDefault="003027E4" w:rsidP="00DD6F12">
            <w:pPr>
              <w:jc w:val="center"/>
              <w:rPr>
                <w:rFonts w:ascii="ITC Avant Garde" w:hAnsi="ITC Avant Garde"/>
                <w:b/>
                <w:szCs w:val="20"/>
              </w:rPr>
            </w:pPr>
          </w:p>
          <w:p w14:paraId="57330811" w14:textId="77777777" w:rsidR="003027E4" w:rsidRPr="00DD6F12" w:rsidRDefault="00827118" w:rsidP="00DD6F12">
            <w:pPr>
              <w:jc w:val="center"/>
              <w:rPr>
                <w:rFonts w:ascii="ITC Avant Garde" w:hAnsi="ITC Avant Garde"/>
                <w:b/>
                <w:szCs w:val="20"/>
              </w:rPr>
            </w:pPr>
            <w:proofErr w:type="spellStart"/>
            <w:r w:rsidRPr="00DD6F12">
              <w:rPr>
                <w:rFonts w:ascii="ITC Avant Garde" w:hAnsi="ITC Avant Garde"/>
                <w:b/>
                <w:szCs w:val="20"/>
              </w:rPr>
              <w:t>Sóstenes</w:t>
            </w:r>
            <w:proofErr w:type="spellEnd"/>
            <w:r w:rsidRPr="00DD6F12">
              <w:rPr>
                <w:rFonts w:ascii="ITC Avant Garde" w:hAnsi="ITC Avant Garde"/>
                <w:b/>
                <w:szCs w:val="20"/>
              </w:rPr>
              <w:t xml:space="preserve"> Díaz González</w:t>
            </w:r>
          </w:p>
          <w:p w14:paraId="5BC955CE" w14:textId="77777777" w:rsidR="003027E4" w:rsidRPr="00DD6F12" w:rsidRDefault="003027E4" w:rsidP="00DD6F12">
            <w:pPr>
              <w:jc w:val="center"/>
              <w:rPr>
                <w:rFonts w:ascii="ITC Avant Garde" w:hAnsi="ITC Avant Garde"/>
                <w:szCs w:val="20"/>
              </w:rPr>
            </w:pPr>
            <w:r w:rsidRPr="00DD6F12">
              <w:rPr>
                <w:rFonts w:ascii="ITC Avant Garde" w:hAnsi="ITC Avant Garde"/>
                <w:b/>
                <w:szCs w:val="20"/>
              </w:rPr>
              <w:t xml:space="preserve">Comisionado </w:t>
            </w:r>
          </w:p>
          <w:p w14:paraId="1B12C6A5" w14:textId="77777777" w:rsidR="003027E4" w:rsidRPr="00DD6F12" w:rsidRDefault="003027E4" w:rsidP="00DD6F12">
            <w:pPr>
              <w:jc w:val="center"/>
              <w:rPr>
                <w:rFonts w:ascii="ITC Avant Garde" w:hAnsi="ITC Avant Garde"/>
                <w:b/>
                <w:szCs w:val="20"/>
              </w:rPr>
            </w:pPr>
          </w:p>
        </w:tc>
      </w:tr>
    </w:tbl>
    <w:p w14:paraId="7E9E314B" w14:textId="448B0128" w:rsidR="005575C6" w:rsidRDefault="005575C6" w:rsidP="005575C6">
      <w:pPr>
        <w:spacing w:after="0" w:line="240" w:lineRule="auto"/>
        <w:jc w:val="both"/>
        <w:rPr>
          <w:rFonts w:ascii="ITC Avant Garde" w:hAnsi="ITC Avant Garde"/>
          <w:sz w:val="14"/>
          <w:szCs w:val="14"/>
          <w:lang w:val="es-ES" w:eastAsia="es-ES"/>
        </w:rPr>
      </w:pPr>
    </w:p>
    <w:p w14:paraId="23B822B7" w14:textId="77777777" w:rsidR="005575C6" w:rsidRDefault="005575C6" w:rsidP="005575C6">
      <w:pPr>
        <w:spacing w:after="0" w:line="240" w:lineRule="auto"/>
        <w:jc w:val="both"/>
        <w:rPr>
          <w:rFonts w:ascii="ITC Avant Garde" w:hAnsi="ITC Avant Garde"/>
          <w:sz w:val="14"/>
          <w:szCs w:val="14"/>
          <w:lang w:val="es-ES" w:eastAsia="es-ES"/>
        </w:rPr>
      </w:pPr>
      <w:bookmarkStart w:id="0" w:name="_GoBack"/>
      <w:bookmarkEnd w:id="0"/>
    </w:p>
    <w:p w14:paraId="6A60F6B3" w14:textId="4FE0D026" w:rsidR="00B86E26" w:rsidRPr="005575C6" w:rsidRDefault="005575C6" w:rsidP="005575C6">
      <w:pPr>
        <w:spacing w:after="0" w:line="240" w:lineRule="auto"/>
        <w:jc w:val="both"/>
        <w:rPr>
          <w:rFonts w:ascii="ITC Avant Garde" w:eastAsia="Arial" w:hAnsi="ITC Avant Garde" w:cs="Arial"/>
          <w:sz w:val="14"/>
          <w:szCs w:val="14"/>
          <w:lang w:val="es-ES_tradnl"/>
        </w:rPr>
      </w:pPr>
      <w:r w:rsidRPr="005575C6">
        <w:rPr>
          <w:rFonts w:ascii="ITC Avant Garde" w:hAnsi="ITC Avant Garde"/>
          <w:sz w:val="14"/>
          <w:szCs w:val="14"/>
          <w:lang w:val="es-ES" w:eastAsia="es-ES"/>
        </w:rPr>
        <w:t xml:space="preserve">El presente Acuerdo fue aprobado por el Pleno del Instituto Federal de Telecomunicaciones en su XIX Sesión Ordinaria celebrada el 30 de mayo de 2018, </w:t>
      </w:r>
      <w:r w:rsidRPr="005575C6">
        <w:rPr>
          <w:rFonts w:ascii="ITC Avant Garde" w:hAnsi="ITC Avant Garde"/>
          <w:bCs/>
          <w:sz w:val="14"/>
          <w:szCs w:val="14"/>
          <w:lang w:val="es-ES" w:eastAsia="es-ES"/>
        </w:rPr>
        <w:t xml:space="preserve">por unanimidad </w:t>
      </w:r>
      <w:r w:rsidRPr="005575C6">
        <w:rPr>
          <w:rFonts w:ascii="ITC Avant Garde" w:hAnsi="ITC Avant Garde"/>
          <w:sz w:val="14"/>
          <w:szCs w:val="14"/>
          <w:lang w:val="es-ES" w:eastAsia="es-ES"/>
        </w:rPr>
        <w:t xml:space="preserve">de votos de los Comisionados Gabriel Oswaldo Contreras Saldívar, María Elena </w:t>
      </w:r>
      <w:proofErr w:type="spellStart"/>
      <w:r w:rsidRPr="005575C6">
        <w:rPr>
          <w:rFonts w:ascii="ITC Avant Garde" w:hAnsi="ITC Avant Garde"/>
          <w:sz w:val="14"/>
          <w:szCs w:val="14"/>
          <w:lang w:val="es-ES" w:eastAsia="es-ES"/>
        </w:rPr>
        <w:t>Estavillo</w:t>
      </w:r>
      <w:proofErr w:type="spellEnd"/>
      <w:r w:rsidRPr="005575C6">
        <w:rPr>
          <w:rFonts w:ascii="ITC Avant Garde" w:hAnsi="ITC Avant Garde"/>
          <w:sz w:val="14"/>
          <w:szCs w:val="14"/>
          <w:lang w:val="es-ES" w:eastAsia="es-ES"/>
        </w:rPr>
        <w:t xml:space="preserve"> Flores, </w:t>
      </w:r>
      <w:r w:rsidRPr="005575C6">
        <w:rPr>
          <w:rFonts w:ascii="ITC Avant Garde" w:hAnsi="ITC Avant Garde"/>
          <w:sz w:val="14"/>
          <w:szCs w:val="14"/>
          <w:lang w:eastAsia="es-MX"/>
        </w:rPr>
        <w:t xml:space="preserve">Mario Germán </w:t>
      </w:r>
      <w:proofErr w:type="spellStart"/>
      <w:r w:rsidRPr="005575C6">
        <w:rPr>
          <w:rFonts w:ascii="ITC Avant Garde" w:hAnsi="ITC Avant Garde"/>
          <w:sz w:val="14"/>
          <w:szCs w:val="14"/>
          <w:lang w:eastAsia="es-MX"/>
        </w:rPr>
        <w:t>Fromow</w:t>
      </w:r>
      <w:proofErr w:type="spellEnd"/>
      <w:r w:rsidRPr="005575C6">
        <w:rPr>
          <w:rFonts w:ascii="ITC Avant Garde" w:hAnsi="ITC Avant Garde"/>
          <w:sz w:val="14"/>
          <w:szCs w:val="14"/>
          <w:lang w:eastAsia="es-MX"/>
        </w:rPr>
        <w:t xml:space="preserve"> Rangel, Adolfo Cuevas Teja, Javier Juárez Mojica, Arturo Robles </w:t>
      </w:r>
      <w:proofErr w:type="spellStart"/>
      <w:r w:rsidRPr="005575C6">
        <w:rPr>
          <w:rFonts w:ascii="ITC Avant Garde" w:hAnsi="ITC Avant Garde"/>
          <w:sz w:val="14"/>
          <w:szCs w:val="14"/>
          <w:lang w:eastAsia="es-MX"/>
        </w:rPr>
        <w:t>Rovalo</w:t>
      </w:r>
      <w:proofErr w:type="spellEnd"/>
      <w:r w:rsidRPr="005575C6">
        <w:rPr>
          <w:rFonts w:ascii="ITC Avant Garde" w:hAnsi="ITC Avant Garde"/>
          <w:sz w:val="14"/>
          <w:szCs w:val="14"/>
          <w:lang w:eastAsia="es-MX"/>
        </w:rPr>
        <w:t xml:space="preserve"> y </w:t>
      </w:r>
      <w:proofErr w:type="spellStart"/>
      <w:r w:rsidRPr="005575C6">
        <w:rPr>
          <w:rFonts w:ascii="ITC Avant Garde" w:hAnsi="ITC Avant Garde"/>
          <w:sz w:val="14"/>
          <w:szCs w:val="14"/>
          <w:lang w:eastAsia="es-MX"/>
        </w:rPr>
        <w:t>Sóstenes</w:t>
      </w:r>
      <w:proofErr w:type="spellEnd"/>
      <w:r w:rsidRPr="005575C6">
        <w:rPr>
          <w:rFonts w:ascii="ITC Avant Garde" w:hAnsi="ITC Avant Garde"/>
          <w:sz w:val="14"/>
          <w:szCs w:val="14"/>
          <w:lang w:eastAsia="es-MX"/>
        </w:rPr>
        <w:t xml:space="preserve"> Díaz González;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P/IFT/300518/397.</w:t>
      </w:r>
    </w:p>
    <w:sectPr w:rsidR="00B86E26" w:rsidRPr="005575C6" w:rsidSect="00DD6F12">
      <w:footerReference w:type="default" r:id="rId11"/>
      <w:pgSz w:w="12240" w:h="15840"/>
      <w:pgMar w:top="1985" w:right="1418" w:bottom="1418" w:left="1418"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17465FD" w16cid:durableId="1EA53758"/>
  <w16cid:commentId w16cid:paraId="197997AB" w16cid:durableId="1EA537DC"/>
  <w16cid:commentId w16cid:paraId="68BC3F3B" w16cid:durableId="1EA54935"/>
  <w16cid:commentId w16cid:paraId="18D2988C" w16cid:durableId="1EA5423A"/>
  <w16cid:commentId w16cid:paraId="6232EBBA" w16cid:durableId="1EA54275"/>
  <w16cid:commentId w16cid:paraId="568A399A" w16cid:durableId="1EA54883"/>
  <w16cid:commentId w16cid:paraId="0FD0AC87" w16cid:durableId="1EA548CB"/>
  <w16cid:commentId w16cid:paraId="77456D6F" w16cid:durableId="1EA598E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465240" w14:textId="77777777" w:rsidR="00014342" w:rsidRDefault="00014342" w:rsidP="00153D6A">
      <w:pPr>
        <w:spacing w:after="0" w:line="240" w:lineRule="auto"/>
      </w:pPr>
      <w:r>
        <w:separator/>
      </w:r>
    </w:p>
  </w:endnote>
  <w:endnote w:type="continuationSeparator" w:id="0">
    <w:p w14:paraId="65B875D0" w14:textId="77777777" w:rsidR="00014342" w:rsidRDefault="00014342" w:rsidP="00153D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old">
    <w:altName w:val="Cambri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altName w:val="Arial"/>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4273714"/>
      <w:docPartObj>
        <w:docPartGallery w:val="Page Numbers (Bottom of Page)"/>
        <w:docPartUnique/>
      </w:docPartObj>
    </w:sdtPr>
    <w:sdtEndPr>
      <w:rPr>
        <w:rFonts w:ascii="ITC Avant Garde" w:hAnsi="ITC Avant Garde"/>
        <w:sz w:val="20"/>
      </w:rPr>
    </w:sdtEndPr>
    <w:sdtContent>
      <w:p w14:paraId="53C77CA7" w14:textId="0E6B10C8" w:rsidR="001032FB" w:rsidRPr="00DD6F12" w:rsidRDefault="001032FB">
        <w:pPr>
          <w:pStyle w:val="Piedepgina"/>
          <w:jc w:val="right"/>
          <w:rPr>
            <w:rFonts w:ascii="ITC Avant Garde" w:hAnsi="ITC Avant Garde"/>
            <w:sz w:val="20"/>
          </w:rPr>
        </w:pPr>
        <w:r w:rsidRPr="00DD6F12">
          <w:rPr>
            <w:rFonts w:ascii="ITC Avant Garde" w:hAnsi="ITC Avant Garde"/>
            <w:sz w:val="20"/>
          </w:rPr>
          <w:fldChar w:fldCharType="begin"/>
        </w:r>
        <w:r w:rsidRPr="00DD6F12">
          <w:rPr>
            <w:rFonts w:ascii="ITC Avant Garde" w:hAnsi="ITC Avant Garde"/>
            <w:sz w:val="20"/>
          </w:rPr>
          <w:instrText>PAGE   \* MERGEFORMAT</w:instrText>
        </w:r>
        <w:r w:rsidRPr="00DD6F12">
          <w:rPr>
            <w:rFonts w:ascii="ITC Avant Garde" w:hAnsi="ITC Avant Garde"/>
            <w:sz w:val="20"/>
          </w:rPr>
          <w:fldChar w:fldCharType="separate"/>
        </w:r>
        <w:r w:rsidR="005575C6" w:rsidRPr="005575C6">
          <w:rPr>
            <w:rFonts w:ascii="ITC Avant Garde" w:hAnsi="ITC Avant Garde"/>
            <w:noProof/>
            <w:sz w:val="20"/>
            <w:lang w:val="es-ES"/>
          </w:rPr>
          <w:t>6</w:t>
        </w:r>
        <w:r w:rsidRPr="00DD6F12">
          <w:rPr>
            <w:rFonts w:ascii="ITC Avant Garde" w:hAnsi="ITC Avant Garde"/>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C4CEBB" w14:textId="77777777" w:rsidR="00014342" w:rsidRDefault="00014342" w:rsidP="00153D6A">
      <w:pPr>
        <w:spacing w:after="0" w:line="240" w:lineRule="auto"/>
      </w:pPr>
      <w:r>
        <w:separator/>
      </w:r>
    </w:p>
  </w:footnote>
  <w:footnote w:type="continuationSeparator" w:id="0">
    <w:p w14:paraId="7325CBB8" w14:textId="77777777" w:rsidR="00014342" w:rsidRDefault="00014342" w:rsidP="00153D6A">
      <w:pPr>
        <w:spacing w:after="0" w:line="240" w:lineRule="auto"/>
      </w:pPr>
      <w:r>
        <w:continuationSeparator/>
      </w:r>
    </w:p>
  </w:footnote>
  <w:footnote w:id="1">
    <w:p w14:paraId="18D9CE80" w14:textId="33693CC6" w:rsidR="00C25DF4" w:rsidRDefault="00C25DF4">
      <w:pPr>
        <w:pStyle w:val="Textonotapie"/>
      </w:pPr>
      <w:r>
        <w:rPr>
          <w:rStyle w:val="Refdenotaalpie"/>
        </w:rPr>
        <w:footnoteRef/>
      </w:r>
      <w:r>
        <w:t xml:space="preserve"> </w:t>
      </w:r>
      <w:r w:rsidRPr="006B5891">
        <w:rPr>
          <w:rFonts w:ascii="ITC Avant Garde" w:hAnsi="ITC Avant Garde"/>
          <w:sz w:val="16"/>
        </w:rPr>
        <w:t>De conformidad con la fracción II del artículo 267</w:t>
      </w:r>
      <w:r>
        <w:rPr>
          <w:rFonts w:ascii="ITC Avant Garde" w:hAnsi="ITC Avant Garde"/>
          <w:sz w:val="16"/>
        </w:rPr>
        <w:t>.</w:t>
      </w:r>
    </w:p>
  </w:footnote>
  <w:footnote w:id="2">
    <w:p w14:paraId="1E923361" w14:textId="32A2AAE1" w:rsidR="00C25DF4" w:rsidRDefault="00C25DF4">
      <w:pPr>
        <w:pStyle w:val="Textonotapie"/>
      </w:pPr>
      <w:r>
        <w:rPr>
          <w:rStyle w:val="Refdenotaalpie"/>
        </w:rPr>
        <w:footnoteRef/>
      </w:r>
      <w:r>
        <w:t xml:space="preserve"> </w:t>
      </w:r>
      <w:r w:rsidRPr="007878BA">
        <w:rPr>
          <w:rFonts w:ascii="ITC Avant Garde" w:hAnsi="ITC Avant Garde"/>
          <w:sz w:val="16"/>
        </w:rPr>
        <w:t>De conformidad con la fracci</w:t>
      </w:r>
      <w:r>
        <w:rPr>
          <w:rFonts w:ascii="ITC Avant Garde" w:hAnsi="ITC Avant Garde"/>
          <w:sz w:val="16"/>
        </w:rPr>
        <w:t>ón V</w:t>
      </w:r>
      <w:r w:rsidRPr="007878BA">
        <w:rPr>
          <w:rFonts w:ascii="ITC Avant Garde" w:hAnsi="ITC Avant Garde"/>
          <w:sz w:val="16"/>
        </w:rPr>
        <w:t xml:space="preserve"> del artículo 267</w:t>
      </w:r>
      <w:r>
        <w:rPr>
          <w:rFonts w:ascii="ITC Avant Garde" w:hAnsi="ITC Avant Garde"/>
          <w:sz w:val="16"/>
        </w:rPr>
        <w:t>.</w:t>
      </w:r>
    </w:p>
  </w:footnote>
  <w:footnote w:id="3">
    <w:p w14:paraId="6EFBEC64" w14:textId="5263A28D" w:rsidR="00C25DF4" w:rsidRDefault="00C25DF4">
      <w:pPr>
        <w:pStyle w:val="Textonotapie"/>
      </w:pPr>
      <w:r>
        <w:rPr>
          <w:rStyle w:val="Refdenotaalpie"/>
        </w:rPr>
        <w:footnoteRef/>
      </w:r>
      <w:r>
        <w:t xml:space="preserve"> </w:t>
      </w:r>
      <w:r w:rsidRPr="007878BA">
        <w:rPr>
          <w:rFonts w:ascii="ITC Avant Garde" w:hAnsi="ITC Avant Garde"/>
          <w:sz w:val="16"/>
        </w:rPr>
        <w:t>De conformidad con la fracci</w:t>
      </w:r>
      <w:r>
        <w:rPr>
          <w:rFonts w:ascii="ITC Avant Garde" w:hAnsi="ITC Avant Garde"/>
          <w:sz w:val="16"/>
        </w:rPr>
        <w:t>ón VI</w:t>
      </w:r>
      <w:r w:rsidRPr="007878BA">
        <w:rPr>
          <w:rFonts w:ascii="ITC Avant Garde" w:hAnsi="ITC Avant Garde"/>
          <w:sz w:val="16"/>
        </w:rPr>
        <w:t xml:space="preserve"> del artículo 267</w:t>
      </w:r>
      <w:r>
        <w:rPr>
          <w:rFonts w:ascii="ITC Avant Garde" w:hAnsi="ITC Avant Garde"/>
          <w:sz w:val="16"/>
        </w:rPr>
        <w:t>.</w:t>
      </w:r>
    </w:p>
  </w:footnote>
  <w:footnote w:id="4">
    <w:p w14:paraId="7FBDDFD0" w14:textId="77777777" w:rsidR="005273A3" w:rsidRDefault="005273A3" w:rsidP="005176A9">
      <w:pPr>
        <w:pStyle w:val="Textonotapie"/>
        <w:jc w:val="both"/>
      </w:pPr>
      <w:r>
        <w:rPr>
          <w:rStyle w:val="Refdenotaalpie"/>
        </w:rPr>
        <w:footnoteRef/>
      </w:r>
      <w:r>
        <w:t xml:space="preserve"> </w:t>
      </w:r>
      <w:r w:rsidRPr="00D1394B">
        <w:rPr>
          <w:rFonts w:ascii="ITC Avant Garde" w:hAnsi="ITC Avant Garde"/>
          <w:sz w:val="16"/>
        </w:rPr>
        <w:t xml:space="preserve">De conformidad con </w:t>
      </w:r>
      <w:r w:rsidRPr="005273A3">
        <w:rPr>
          <w:rFonts w:ascii="ITC Avant Garde" w:hAnsi="ITC Avant Garde"/>
          <w:sz w:val="16"/>
        </w:rPr>
        <w:t>e</w:t>
      </w:r>
      <w:r w:rsidRPr="00D1394B">
        <w:rPr>
          <w:rFonts w:ascii="ITC Avant Garde" w:hAnsi="ITC Avant Garde"/>
          <w:sz w:val="16"/>
        </w:rPr>
        <w:t>l artículo 118, fracción V y Vigésimo Quinto Transitorio de la LFTR y el “Acuerdo mediante el cual el Pleno del Instituto Federal de Telecomunicaciones establece las disposiciones que deberán cumplir los concesionarios que presten servicios públicos de telecomunicaciones a través de redes públicas de telecomunicaciones, derivado de la obligación de abstenerse de realizar cargos de larga distancia nacional a usuarios por las llamadas que realicen a cualquier destino nacional a partir del 1 de enero de 2015”</w:t>
      </w:r>
      <w:r w:rsidR="00D60A24">
        <w:rPr>
          <w:rFonts w:ascii="ITC Avant Garde" w:hAnsi="ITC Avant Garde"/>
          <w:sz w:val="16"/>
        </w:rPr>
        <w:t>.</w:t>
      </w:r>
    </w:p>
  </w:footnote>
  <w:footnote w:id="5">
    <w:p w14:paraId="324026AC" w14:textId="77777777" w:rsidR="004F007C" w:rsidRDefault="004F007C">
      <w:pPr>
        <w:pStyle w:val="Textonotapie"/>
      </w:pPr>
      <w:r>
        <w:rPr>
          <w:rStyle w:val="Refdenotaalpie"/>
        </w:rPr>
        <w:footnoteRef/>
      </w:r>
      <w:r>
        <w:t xml:space="preserve"> </w:t>
      </w:r>
      <w:r w:rsidRPr="00B9048F">
        <w:rPr>
          <w:rFonts w:ascii="ITC Avant Garde" w:hAnsi="ITC Avant Garde"/>
          <w:sz w:val="16"/>
        </w:rPr>
        <w:t>De conformidad con el artículo 208, fracción I de la LFTR.</w:t>
      </w:r>
    </w:p>
  </w:footnote>
  <w:footnote w:id="6">
    <w:p w14:paraId="621874EA" w14:textId="77777777" w:rsidR="004F007C" w:rsidRDefault="004F007C">
      <w:pPr>
        <w:pStyle w:val="Textonotapie"/>
      </w:pPr>
      <w:r>
        <w:rPr>
          <w:rStyle w:val="Refdenotaalpie"/>
        </w:rPr>
        <w:footnoteRef/>
      </w:r>
      <w:r>
        <w:t xml:space="preserve"> </w:t>
      </w:r>
      <w:r w:rsidRPr="00D1394B">
        <w:rPr>
          <w:rFonts w:ascii="ITC Avant Garde" w:hAnsi="ITC Avant Garde"/>
          <w:sz w:val="16"/>
        </w:rPr>
        <w:t>De conformidad con el artículo 208, fracción I</w:t>
      </w:r>
      <w:r>
        <w:rPr>
          <w:rFonts w:ascii="ITC Avant Garde" w:hAnsi="ITC Avant Garde"/>
          <w:sz w:val="16"/>
        </w:rPr>
        <w:t>I</w:t>
      </w:r>
      <w:r w:rsidRPr="00D1394B">
        <w:rPr>
          <w:rFonts w:ascii="ITC Avant Garde" w:hAnsi="ITC Avant Garde"/>
          <w:sz w:val="16"/>
        </w:rPr>
        <w:t xml:space="preserve"> de la LFTR.</w:t>
      </w:r>
    </w:p>
  </w:footnote>
  <w:footnote w:id="7">
    <w:p w14:paraId="5F4A2C71" w14:textId="77777777" w:rsidR="004F007C" w:rsidRDefault="004F007C">
      <w:pPr>
        <w:pStyle w:val="Textonotapie"/>
      </w:pPr>
      <w:r>
        <w:rPr>
          <w:rStyle w:val="Refdenotaalpie"/>
        </w:rPr>
        <w:footnoteRef/>
      </w:r>
      <w:r>
        <w:t xml:space="preserve"> </w:t>
      </w:r>
      <w:r w:rsidR="00680885" w:rsidRPr="00680885">
        <w:rPr>
          <w:rFonts w:ascii="ITC Avant Garde" w:hAnsi="ITC Avant Garde"/>
          <w:sz w:val="16"/>
        </w:rPr>
        <w:t>Por ejemplo,</w:t>
      </w:r>
      <w:r w:rsidRPr="00B9048F">
        <w:rPr>
          <w:rFonts w:ascii="ITC Avant Garde" w:hAnsi="ITC Avant Garde"/>
          <w:sz w:val="16"/>
        </w:rPr>
        <w:t xml:space="preserve"> las obligaciones de </w:t>
      </w:r>
      <w:proofErr w:type="spellStart"/>
      <w:r w:rsidR="00680885" w:rsidRPr="00680885">
        <w:rPr>
          <w:rFonts w:ascii="ITC Avant Garde" w:hAnsi="ITC Avant Garde"/>
          <w:sz w:val="16"/>
        </w:rPr>
        <w:t>replicabilidad</w:t>
      </w:r>
      <w:proofErr w:type="spellEnd"/>
      <w:r w:rsidR="00680885" w:rsidRPr="00680885">
        <w:rPr>
          <w:rFonts w:ascii="ITC Avant Garde" w:hAnsi="ITC Avant Garde"/>
          <w:sz w:val="16"/>
        </w:rPr>
        <w:t xml:space="preserve"> económica,</w:t>
      </w:r>
      <w:r w:rsidRPr="00B9048F">
        <w:rPr>
          <w:rFonts w:ascii="ITC Avant Garde" w:hAnsi="ITC Avant Garde"/>
          <w:sz w:val="16"/>
        </w:rPr>
        <w:t xml:space="preserve"> </w:t>
      </w:r>
      <w:proofErr w:type="spellStart"/>
      <w:r w:rsidRPr="00B9048F">
        <w:rPr>
          <w:rFonts w:ascii="ITC Avant Garde" w:hAnsi="ITC Avant Garde"/>
          <w:sz w:val="16"/>
        </w:rPr>
        <w:t>replicabilidad</w:t>
      </w:r>
      <w:proofErr w:type="spellEnd"/>
      <w:r w:rsidRPr="00B9048F">
        <w:rPr>
          <w:rFonts w:ascii="ITC Avant Garde" w:hAnsi="ITC Avant Garde"/>
          <w:sz w:val="16"/>
        </w:rPr>
        <w:t xml:space="preserve"> técnica y </w:t>
      </w:r>
      <w:proofErr w:type="gramStart"/>
      <w:r w:rsidRPr="00B9048F">
        <w:rPr>
          <w:rFonts w:ascii="ITC Avant Garde" w:hAnsi="ITC Avant Garde"/>
          <w:sz w:val="16"/>
        </w:rPr>
        <w:t>precios tope</w:t>
      </w:r>
      <w:proofErr w:type="gramEnd"/>
      <w:r>
        <w:rPr>
          <w:rFonts w:ascii="ITC Avant Garde" w:hAnsi="ITC Avant Garde"/>
          <w:sz w:val="16"/>
        </w:rPr>
        <w:t xml:space="preserve">, impuestas al </w:t>
      </w:r>
      <w:r w:rsidRPr="004F007C">
        <w:rPr>
          <w:rFonts w:ascii="ITC Avant Garde" w:hAnsi="ITC Avant Garde"/>
          <w:sz w:val="16"/>
        </w:rPr>
        <w:t>AEP declarado media</w:t>
      </w:r>
      <w:r>
        <w:rPr>
          <w:rFonts w:ascii="ITC Avant Garde" w:hAnsi="ITC Avant Garde"/>
          <w:sz w:val="16"/>
        </w:rPr>
        <w:t>nte Acuerdo P/IFT/EXT/060314/76</w:t>
      </w:r>
      <w:r w:rsidRPr="00B9048F">
        <w:rPr>
          <w:rFonts w:ascii="ITC Avant Garde" w:hAnsi="ITC Avant Garde"/>
          <w:sz w:val="16"/>
        </w:rPr>
        <w:t>.</w:t>
      </w:r>
    </w:p>
  </w:footnote>
  <w:footnote w:id="8">
    <w:p w14:paraId="3B97D96C" w14:textId="77777777" w:rsidR="00680885" w:rsidRDefault="00680885">
      <w:pPr>
        <w:pStyle w:val="Textonotapie"/>
      </w:pPr>
      <w:r w:rsidRPr="00680885">
        <w:rPr>
          <w:rStyle w:val="Refdenotaalpie"/>
        </w:rPr>
        <w:footnoteRef/>
      </w:r>
      <w:r w:rsidRPr="00B9048F">
        <w:rPr>
          <w:rStyle w:val="Refdenotaalpie"/>
        </w:rPr>
        <w:t xml:space="preserve"> </w:t>
      </w:r>
      <w:r w:rsidRPr="00B9048F">
        <w:rPr>
          <w:rFonts w:ascii="ITC Avant Garde" w:hAnsi="ITC Avant Garde"/>
          <w:sz w:val="16"/>
        </w:rPr>
        <w:t>Por ejemplo, las obligaciones de precios tope establecidas en los títulos de concesión de Teléfonos de México, S.A.B. de C.V. y Teléfonos del Noroeste, S.A. de C.V.</w:t>
      </w:r>
    </w:p>
  </w:footnote>
  <w:footnote w:id="9">
    <w:p w14:paraId="0267E86E" w14:textId="7EF304CA" w:rsidR="00E64B2A" w:rsidRDefault="00E64B2A">
      <w:pPr>
        <w:pStyle w:val="Textonotapie"/>
      </w:pPr>
      <w:r>
        <w:rPr>
          <w:rStyle w:val="Refdenotaalpie"/>
        </w:rPr>
        <w:footnoteRef/>
      </w:r>
      <w:r>
        <w:t xml:space="preserve"> </w:t>
      </w:r>
      <w:r w:rsidRPr="006B5891">
        <w:rPr>
          <w:rFonts w:ascii="ITC Avant Garde" w:hAnsi="ITC Avant Garde"/>
          <w:sz w:val="16"/>
        </w:rPr>
        <w:t>Disponibles en http://www.cofemer.gob.mx/anexos/guia_de_indicadores_de_MR_15.pdf</w:t>
      </w:r>
    </w:p>
  </w:footnote>
  <w:footnote w:id="10">
    <w:p w14:paraId="4B7CCD10" w14:textId="77777777" w:rsidR="00AF1265" w:rsidRPr="004A1ECE" w:rsidRDefault="00AF1265" w:rsidP="004A1ECE">
      <w:pPr>
        <w:pStyle w:val="Textonotapie"/>
        <w:jc w:val="both"/>
        <w:rPr>
          <w:rFonts w:ascii="ITC Avant Garde" w:hAnsi="ITC Avant Garde"/>
        </w:rPr>
      </w:pPr>
      <w:r w:rsidRPr="006B5891">
        <w:rPr>
          <w:rStyle w:val="Refdenotaalpie"/>
        </w:rPr>
        <w:footnoteRef/>
      </w:r>
      <w:r w:rsidRPr="004A1ECE">
        <w:rPr>
          <w:rFonts w:ascii="ITC Avant Garde" w:hAnsi="ITC Avant Garde"/>
          <w:sz w:val="16"/>
        </w:rPr>
        <w:t xml:space="preserve"> Sistema Electrónico de Registro de Tarifas del Registro Público de Concesiones del Instituto.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052A9"/>
    <w:multiLevelType w:val="hybridMultilevel"/>
    <w:tmpl w:val="E09EC47C"/>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634E63"/>
    <w:multiLevelType w:val="hybridMultilevel"/>
    <w:tmpl w:val="DC44C88E"/>
    <w:lvl w:ilvl="0" w:tplc="377606B0">
      <w:start w:val="1"/>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 w15:restartNumberingAfterBreak="0">
    <w:nsid w:val="0D0528E5"/>
    <w:multiLevelType w:val="hybridMultilevel"/>
    <w:tmpl w:val="13D676D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B81C73"/>
    <w:multiLevelType w:val="hybridMultilevel"/>
    <w:tmpl w:val="573AAB34"/>
    <w:lvl w:ilvl="0" w:tplc="5FDACB0C">
      <w:start w:val="1"/>
      <w:numFmt w:val="lowerRoman"/>
      <w:lvlText w:val="(%1)"/>
      <w:lvlJc w:val="left"/>
      <w:pPr>
        <w:ind w:left="1004" w:hanging="360"/>
      </w:pPr>
      <w:rPr>
        <w:rFonts w:hint="default"/>
      </w:rPr>
    </w:lvl>
    <w:lvl w:ilvl="1" w:tplc="5FDACB0C">
      <w:start w:val="1"/>
      <w:numFmt w:val="lowerRoman"/>
      <w:lvlText w:val="(%2)"/>
      <w:lvlJc w:val="left"/>
      <w:pPr>
        <w:ind w:left="1724" w:hanging="360"/>
      </w:pPr>
      <w:rPr>
        <w:rFonts w:hint="default"/>
      </w:r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4" w15:restartNumberingAfterBreak="0">
    <w:nsid w:val="16FF6CDB"/>
    <w:multiLevelType w:val="hybridMultilevel"/>
    <w:tmpl w:val="B97EB52E"/>
    <w:lvl w:ilvl="0" w:tplc="93B87D7E">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5" w15:restartNumberingAfterBreak="0">
    <w:nsid w:val="1CFA5FC8"/>
    <w:multiLevelType w:val="hybridMultilevel"/>
    <w:tmpl w:val="924295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E611931"/>
    <w:multiLevelType w:val="hybridMultilevel"/>
    <w:tmpl w:val="406A8FD6"/>
    <w:lvl w:ilvl="0" w:tplc="5FDACB0C">
      <w:start w:val="1"/>
      <w:numFmt w:val="low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0B74210"/>
    <w:multiLevelType w:val="hybridMultilevel"/>
    <w:tmpl w:val="17D6ED70"/>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6F82080"/>
    <w:multiLevelType w:val="hybridMultilevel"/>
    <w:tmpl w:val="531254F6"/>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E2741E1"/>
    <w:multiLevelType w:val="hybridMultilevel"/>
    <w:tmpl w:val="267014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E676202"/>
    <w:multiLevelType w:val="hybridMultilevel"/>
    <w:tmpl w:val="838E54F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15B3492"/>
    <w:multiLevelType w:val="hybridMultilevel"/>
    <w:tmpl w:val="CD6C39CA"/>
    <w:lvl w:ilvl="0" w:tplc="3F8413E0">
      <w:start w:val="1"/>
      <w:numFmt w:val="lowerLetter"/>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2" w15:restartNumberingAfterBreak="0">
    <w:nsid w:val="333248D2"/>
    <w:multiLevelType w:val="hybridMultilevel"/>
    <w:tmpl w:val="85163D38"/>
    <w:lvl w:ilvl="0" w:tplc="F5C4EC5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BB66F65"/>
    <w:multiLevelType w:val="hybridMultilevel"/>
    <w:tmpl w:val="2C68F824"/>
    <w:lvl w:ilvl="0" w:tplc="C0C613BA">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CA670B9"/>
    <w:multiLevelType w:val="hybridMultilevel"/>
    <w:tmpl w:val="73C48554"/>
    <w:lvl w:ilvl="0" w:tplc="5FDACB0C">
      <w:start w:val="1"/>
      <w:numFmt w:val="lowerRoman"/>
      <w:lvlText w:val="(%1)"/>
      <w:lvlJc w:val="left"/>
      <w:pPr>
        <w:ind w:left="1004" w:hanging="360"/>
      </w:pPr>
      <w:rPr>
        <w:rFonts w:hint="default"/>
      </w:rPr>
    </w:lvl>
    <w:lvl w:ilvl="1" w:tplc="080A0019">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5" w15:restartNumberingAfterBreak="0">
    <w:nsid w:val="3E94727C"/>
    <w:multiLevelType w:val="hybridMultilevel"/>
    <w:tmpl w:val="82F6A9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54A74CE"/>
    <w:multiLevelType w:val="hybridMultilevel"/>
    <w:tmpl w:val="CBDEBD3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3D02179"/>
    <w:multiLevelType w:val="hybridMultilevel"/>
    <w:tmpl w:val="B1E8B34C"/>
    <w:lvl w:ilvl="0" w:tplc="080A0013">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8CB3CC3"/>
    <w:multiLevelType w:val="hybridMultilevel"/>
    <w:tmpl w:val="AE347D32"/>
    <w:lvl w:ilvl="0" w:tplc="5FDACB0C">
      <w:start w:val="1"/>
      <w:numFmt w:val="low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92E77EE"/>
    <w:multiLevelType w:val="hybridMultilevel"/>
    <w:tmpl w:val="925429B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B1B6B84"/>
    <w:multiLevelType w:val="hybridMultilevel"/>
    <w:tmpl w:val="F2AC4E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3197EB6"/>
    <w:multiLevelType w:val="hybridMultilevel"/>
    <w:tmpl w:val="E558049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4E26D42"/>
    <w:multiLevelType w:val="hybridMultilevel"/>
    <w:tmpl w:val="EC3E9F0E"/>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B334AFA"/>
    <w:multiLevelType w:val="hybridMultilevel"/>
    <w:tmpl w:val="6888AA64"/>
    <w:lvl w:ilvl="0" w:tplc="080A0019">
      <w:start w:val="1"/>
      <w:numFmt w:val="lowerLetter"/>
      <w:lvlText w:val="%1."/>
      <w:lvlJc w:val="left"/>
      <w:pPr>
        <w:ind w:left="720" w:hanging="360"/>
      </w:pPr>
    </w:lvl>
    <w:lvl w:ilvl="1" w:tplc="531CCE02">
      <w:start w:val="1"/>
      <w:numFmt w:val="lowerRoman"/>
      <w:lvlText w:val="(%2)"/>
      <w:lvlJc w:val="left"/>
      <w:pPr>
        <w:ind w:left="1800" w:hanging="720"/>
      </w:pPr>
      <w:rPr>
        <w:rFonts w:cs="Arial,Bold"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5325C66"/>
    <w:multiLevelType w:val="hybridMultilevel"/>
    <w:tmpl w:val="C7243D8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5AA3A2E"/>
    <w:multiLevelType w:val="multilevel"/>
    <w:tmpl w:val="4EB290F2"/>
    <w:lvl w:ilvl="0">
      <w:start w:val="1"/>
      <w:numFmt w:val="upperRoman"/>
      <w:lvlText w:val="%1."/>
      <w:lvlJc w:val="left"/>
      <w:pPr>
        <w:ind w:left="720" w:firstLine="360"/>
      </w:pPr>
      <w:rPr>
        <w:b/>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6" w15:restartNumberingAfterBreak="0">
    <w:nsid w:val="75C00E5E"/>
    <w:multiLevelType w:val="hybridMultilevel"/>
    <w:tmpl w:val="E27AE28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5"/>
  </w:num>
  <w:num w:numId="2">
    <w:abstractNumId w:val="2"/>
  </w:num>
  <w:num w:numId="3">
    <w:abstractNumId w:val="25"/>
  </w:num>
  <w:num w:numId="4">
    <w:abstractNumId w:val="20"/>
  </w:num>
  <w:num w:numId="5">
    <w:abstractNumId w:val="16"/>
  </w:num>
  <w:num w:numId="6">
    <w:abstractNumId w:val="21"/>
  </w:num>
  <w:num w:numId="7">
    <w:abstractNumId w:val="5"/>
  </w:num>
  <w:num w:numId="8">
    <w:abstractNumId w:val="4"/>
  </w:num>
  <w:num w:numId="9">
    <w:abstractNumId w:val="24"/>
  </w:num>
  <w:num w:numId="10">
    <w:abstractNumId w:val="23"/>
  </w:num>
  <w:num w:numId="11">
    <w:abstractNumId w:val="8"/>
  </w:num>
  <w:num w:numId="12">
    <w:abstractNumId w:val="14"/>
  </w:num>
  <w:num w:numId="13">
    <w:abstractNumId w:val="3"/>
  </w:num>
  <w:num w:numId="14">
    <w:abstractNumId w:val="0"/>
  </w:num>
  <w:num w:numId="15">
    <w:abstractNumId w:val="6"/>
  </w:num>
  <w:num w:numId="16">
    <w:abstractNumId w:val="13"/>
  </w:num>
  <w:num w:numId="17">
    <w:abstractNumId w:val="22"/>
  </w:num>
  <w:num w:numId="18">
    <w:abstractNumId w:val="18"/>
  </w:num>
  <w:num w:numId="19">
    <w:abstractNumId w:val="7"/>
  </w:num>
  <w:num w:numId="20">
    <w:abstractNumId w:val="1"/>
  </w:num>
  <w:num w:numId="21">
    <w:abstractNumId w:val="26"/>
  </w:num>
  <w:num w:numId="22">
    <w:abstractNumId w:val="17"/>
  </w:num>
  <w:num w:numId="23">
    <w:abstractNumId w:val="10"/>
  </w:num>
  <w:num w:numId="24">
    <w:abstractNumId w:val="12"/>
  </w:num>
  <w:num w:numId="25">
    <w:abstractNumId w:val="11"/>
  </w:num>
  <w:num w:numId="26">
    <w:abstractNumId w:val="19"/>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3A0"/>
    <w:rsid w:val="000065B4"/>
    <w:rsid w:val="00013330"/>
    <w:rsid w:val="00013CEF"/>
    <w:rsid w:val="00014342"/>
    <w:rsid w:val="00014D91"/>
    <w:rsid w:val="000175F1"/>
    <w:rsid w:val="000228EC"/>
    <w:rsid w:val="00025A14"/>
    <w:rsid w:val="0002782D"/>
    <w:rsid w:val="00033842"/>
    <w:rsid w:val="00042737"/>
    <w:rsid w:val="00051250"/>
    <w:rsid w:val="00053C6D"/>
    <w:rsid w:val="000571C3"/>
    <w:rsid w:val="00064E81"/>
    <w:rsid w:val="00065A8E"/>
    <w:rsid w:val="00073A1E"/>
    <w:rsid w:val="00082B70"/>
    <w:rsid w:val="0009409E"/>
    <w:rsid w:val="000948CA"/>
    <w:rsid w:val="00096753"/>
    <w:rsid w:val="000A2B57"/>
    <w:rsid w:val="000B3001"/>
    <w:rsid w:val="000C3C5D"/>
    <w:rsid w:val="000D6BF8"/>
    <w:rsid w:val="000E4177"/>
    <w:rsid w:val="000E5A18"/>
    <w:rsid w:val="000F5A8E"/>
    <w:rsid w:val="001032FB"/>
    <w:rsid w:val="00107AE9"/>
    <w:rsid w:val="00107B28"/>
    <w:rsid w:val="0011741B"/>
    <w:rsid w:val="00150ACB"/>
    <w:rsid w:val="00153D6A"/>
    <w:rsid w:val="00155B2D"/>
    <w:rsid w:val="00156B58"/>
    <w:rsid w:val="00166260"/>
    <w:rsid w:val="00167AC0"/>
    <w:rsid w:val="00174FB7"/>
    <w:rsid w:val="00176141"/>
    <w:rsid w:val="00176ECE"/>
    <w:rsid w:val="00177D7B"/>
    <w:rsid w:val="001901E2"/>
    <w:rsid w:val="001B20E7"/>
    <w:rsid w:val="001B660C"/>
    <w:rsid w:val="001B67EC"/>
    <w:rsid w:val="001C586A"/>
    <w:rsid w:val="001D321B"/>
    <w:rsid w:val="001D6E3A"/>
    <w:rsid w:val="001F2D0B"/>
    <w:rsid w:val="001F3E3E"/>
    <w:rsid w:val="001F5D07"/>
    <w:rsid w:val="0020212B"/>
    <w:rsid w:val="00212FBA"/>
    <w:rsid w:val="00217758"/>
    <w:rsid w:val="0022351C"/>
    <w:rsid w:val="00231C90"/>
    <w:rsid w:val="00234733"/>
    <w:rsid w:val="00234FCD"/>
    <w:rsid w:val="00235235"/>
    <w:rsid w:val="002372E6"/>
    <w:rsid w:val="002373F8"/>
    <w:rsid w:val="002408E9"/>
    <w:rsid w:val="0024195D"/>
    <w:rsid w:val="00251BDF"/>
    <w:rsid w:val="0025606F"/>
    <w:rsid w:val="0027490B"/>
    <w:rsid w:val="0027614E"/>
    <w:rsid w:val="002824AA"/>
    <w:rsid w:val="00290BAD"/>
    <w:rsid w:val="0029362C"/>
    <w:rsid w:val="00295AF6"/>
    <w:rsid w:val="002A70E0"/>
    <w:rsid w:val="002B4551"/>
    <w:rsid w:val="002C2154"/>
    <w:rsid w:val="002D361C"/>
    <w:rsid w:val="002D4C95"/>
    <w:rsid w:val="002D4FF8"/>
    <w:rsid w:val="002E1040"/>
    <w:rsid w:val="002E7325"/>
    <w:rsid w:val="002E7CB1"/>
    <w:rsid w:val="002F1F06"/>
    <w:rsid w:val="002F3220"/>
    <w:rsid w:val="003021B6"/>
    <w:rsid w:val="003027E4"/>
    <w:rsid w:val="003043AE"/>
    <w:rsid w:val="00305343"/>
    <w:rsid w:val="00316E79"/>
    <w:rsid w:val="00331626"/>
    <w:rsid w:val="0033320E"/>
    <w:rsid w:val="00342949"/>
    <w:rsid w:val="00344962"/>
    <w:rsid w:val="00372608"/>
    <w:rsid w:val="00373FB8"/>
    <w:rsid w:val="003800A7"/>
    <w:rsid w:val="003B4DE9"/>
    <w:rsid w:val="003C12F9"/>
    <w:rsid w:val="003C5CCF"/>
    <w:rsid w:val="003D08AE"/>
    <w:rsid w:val="003D2991"/>
    <w:rsid w:val="003D7560"/>
    <w:rsid w:val="003E3D7A"/>
    <w:rsid w:val="003E4570"/>
    <w:rsid w:val="003F1281"/>
    <w:rsid w:val="003F1E60"/>
    <w:rsid w:val="003F5326"/>
    <w:rsid w:val="00400F3F"/>
    <w:rsid w:val="00406B2A"/>
    <w:rsid w:val="004132B1"/>
    <w:rsid w:val="00416CB0"/>
    <w:rsid w:val="00417096"/>
    <w:rsid w:val="004273AF"/>
    <w:rsid w:val="004331C5"/>
    <w:rsid w:val="004350C6"/>
    <w:rsid w:val="004439C0"/>
    <w:rsid w:val="004521DF"/>
    <w:rsid w:val="00473F0E"/>
    <w:rsid w:val="00475179"/>
    <w:rsid w:val="00481381"/>
    <w:rsid w:val="00485693"/>
    <w:rsid w:val="004878F8"/>
    <w:rsid w:val="004A1ECE"/>
    <w:rsid w:val="004A2FE3"/>
    <w:rsid w:val="004B10CC"/>
    <w:rsid w:val="004B33A0"/>
    <w:rsid w:val="004B3FDD"/>
    <w:rsid w:val="004C134C"/>
    <w:rsid w:val="004C19F9"/>
    <w:rsid w:val="004C2643"/>
    <w:rsid w:val="004C6FF5"/>
    <w:rsid w:val="004D5692"/>
    <w:rsid w:val="004E14DF"/>
    <w:rsid w:val="004E404B"/>
    <w:rsid w:val="004E4227"/>
    <w:rsid w:val="004F007C"/>
    <w:rsid w:val="004F4C34"/>
    <w:rsid w:val="00506BD2"/>
    <w:rsid w:val="0051387C"/>
    <w:rsid w:val="00514D1B"/>
    <w:rsid w:val="005176A9"/>
    <w:rsid w:val="00523B7A"/>
    <w:rsid w:val="00526130"/>
    <w:rsid w:val="005269E9"/>
    <w:rsid w:val="005273A3"/>
    <w:rsid w:val="005326D9"/>
    <w:rsid w:val="00534DEC"/>
    <w:rsid w:val="0054666F"/>
    <w:rsid w:val="00551119"/>
    <w:rsid w:val="0055750F"/>
    <w:rsid w:val="005575C6"/>
    <w:rsid w:val="00561810"/>
    <w:rsid w:val="00565499"/>
    <w:rsid w:val="00567B2E"/>
    <w:rsid w:val="005740AF"/>
    <w:rsid w:val="0058319C"/>
    <w:rsid w:val="005A0344"/>
    <w:rsid w:val="005C0499"/>
    <w:rsid w:val="005C47D6"/>
    <w:rsid w:val="005C6677"/>
    <w:rsid w:val="005C6F2B"/>
    <w:rsid w:val="005D5CE6"/>
    <w:rsid w:val="005E207F"/>
    <w:rsid w:val="005E5BF0"/>
    <w:rsid w:val="005F345A"/>
    <w:rsid w:val="005F62F7"/>
    <w:rsid w:val="005F74DA"/>
    <w:rsid w:val="00612ED1"/>
    <w:rsid w:val="006132C4"/>
    <w:rsid w:val="0061429E"/>
    <w:rsid w:val="006341AA"/>
    <w:rsid w:val="00634657"/>
    <w:rsid w:val="006353B6"/>
    <w:rsid w:val="00644A14"/>
    <w:rsid w:val="006451B8"/>
    <w:rsid w:val="00680885"/>
    <w:rsid w:val="006947B8"/>
    <w:rsid w:val="006959B3"/>
    <w:rsid w:val="006959E4"/>
    <w:rsid w:val="006A6526"/>
    <w:rsid w:val="006A6A46"/>
    <w:rsid w:val="006B2BDE"/>
    <w:rsid w:val="006B5891"/>
    <w:rsid w:val="006E690A"/>
    <w:rsid w:val="006F0EAD"/>
    <w:rsid w:val="006F130C"/>
    <w:rsid w:val="007075F1"/>
    <w:rsid w:val="007121D5"/>
    <w:rsid w:val="00720445"/>
    <w:rsid w:val="0072786F"/>
    <w:rsid w:val="007352BB"/>
    <w:rsid w:val="00736217"/>
    <w:rsid w:val="00737353"/>
    <w:rsid w:val="007405BF"/>
    <w:rsid w:val="00742B54"/>
    <w:rsid w:val="007437F7"/>
    <w:rsid w:val="00746260"/>
    <w:rsid w:val="0075192A"/>
    <w:rsid w:val="00752BEE"/>
    <w:rsid w:val="00761888"/>
    <w:rsid w:val="007741CD"/>
    <w:rsid w:val="00783FAE"/>
    <w:rsid w:val="007A59F7"/>
    <w:rsid w:val="007B1508"/>
    <w:rsid w:val="007B7532"/>
    <w:rsid w:val="007C15EE"/>
    <w:rsid w:val="007C566C"/>
    <w:rsid w:val="007C7758"/>
    <w:rsid w:val="007D2BE9"/>
    <w:rsid w:val="007D5A4C"/>
    <w:rsid w:val="007E2066"/>
    <w:rsid w:val="007E75E2"/>
    <w:rsid w:val="007F1399"/>
    <w:rsid w:val="007F1E14"/>
    <w:rsid w:val="007F2A56"/>
    <w:rsid w:val="007F7362"/>
    <w:rsid w:val="00804825"/>
    <w:rsid w:val="00807A71"/>
    <w:rsid w:val="008148FB"/>
    <w:rsid w:val="00817413"/>
    <w:rsid w:val="00817E90"/>
    <w:rsid w:val="00827118"/>
    <w:rsid w:val="008271AE"/>
    <w:rsid w:val="00830162"/>
    <w:rsid w:val="0084479B"/>
    <w:rsid w:val="00846FB3"/>
    <w:rsid w:val="00854909"/>
    <w:rsid w:val="00855820"/>
    <w:rsid w:val="00871A84"/>
    <w:rsid w:val="00880FF4"/>
    <w:rsid w:val="00890F45"/>
    <w:rsid w:val="00892A08"/>
    <w:rsid w:val="008A5EDC"/>
    <w:rsid w:val="008A602A"/>
    <w:rsid w:val="008B176C"/>
    <w:rsid w:val="008C273E"/>
    <w:rsid w:val="008C32F1"/>
    <w:rsid w:val="008C406A"/>
    <w:rsid w:val="008C556A"/>
    <w:rsid w:val="008C6B21"/>
    <w:rsid w:val="008E331A"/>
    <w:rsid w:val="008F6545"/>
    <w:rsid w:val="00917787"/>
    <w:rsid w:val="009211B2"/>
    <w:rsid w:val="00923ECF"/>
    <w:rsid w:val="00926DB0"/>
    <w:rsid w:val="00927808"/>
    <w:rsid w:val="00936207"/>
    <w:rsid w:val="0093660D"/>
    <w:rsid w:val="0094514E"/>
    <w:rsid w:val="009463F7"/>
    <w:rsid w:val="00951525"/>
    <w:rsid w:val="0095387A"/>
    <w:rsid w:val="00953BCE"/>
    <w:rsid w:val="009656CD"/>
    <w:rsid w:val="00977704"/>
    <w:rsid w:val="00981253"/>
    <w:rsid w:val="00992EE0"/>
    <w:rsid w:val="009961FD"/>
    <w:rsid w:val="009B08BE"/>
    <w:rsid w:val="009C0572"/>
    <w:rsid w:val="009C3BEE"/>
    <w:rsid w:val="009D2594"/>
    <w:rsid w:val="009D3F7F"/>
    <w:rsid w:val="009D5D7E"/>
    <w:rsid w:val="009E7706"/>
    <w:rsid w:val="009F02C9"/>
    <w:rsid w:val="009F7802"/>
    <w:rsid w:val="00A00693"/>
    <w:rsid w:val="00A01F32"/>
    <w:rsid w:val="00A1295B"/>
    <w:rsid w:val="00A14292"/>
    <w:rsid w:val="00A33B1B"/>
    <w:rsid w:val="00A40192"/>
    <w:rsid w:val="00A40CB3"/>
    <w:rsid w:val="00A60F8E"/>
    <w:rsid w:val="00A66C62"/>
    <w:rsid w:val="00A67F59"/>
    <w:rsid w:val="00A75CC8"/>
    <w:rsid w:val="00A96CE4"/>
    <w:rsid w:val="00AB5057"/>
    <w:rsid w:val="00AD36C1"/>
    <w:rsid w:val="00AD62B6"/>
    <w:rsid w:val="00AE0A79"/>
    <w:rsid w:val="00AE2A36"/>
    <w:rsid w:val="00AF1265"/>
    <w:rsid w:val="00B23594"/>
    <w:rsid w:val="00B26DE6"/>
    <w:rsid w:val="00B3574E"/>
    <w:rsid w:val="00B36EE8"/>
    <w:rsid w:val="00B37364"/>
    <w:rsid w:val="00B456D6"/>
    <w:rsid w:val="00B56B9F"/>
    <w:rsid w:val="00B614E2"/>
    <w:rsid w:val="00B61511"/>
    <w:rsid w:val="00B673B6"/>
    <w:rsid w:val="00B7335A"/>
    <w:rsid w:val="00B75E1A"/>
    <w:rsid w:val="00B80B72"/>
    <w:rsid w:val="00B84B46"/>
    <w:rsid w:val="00B86E26"/>
    <w:rsid w:val="00B874A2"/>
    <w:rsid w:val="00B9048F"/>
    <w:rsid w:val="00B94E97"/>
    <w:rsid w:val="00BA0B69"/>
    <w:rsid w:val="00BA4A65"/>
    <w:rsid w:val="00BA5AAE"/>
    <w:rsid w:val="00BB3627"/>
    <w:rsid w:val="00BC058E"/>
    <w:rsid w:val="00BD25FF"/>
    <w:rsid w:val="00BD30B5"/>
    <w:rsid w:val="00BD4ABC"/>
    <w:rsid w:val="00BD5482"/>
    <w:rsid w:val="00BD71DB"/>
    <w:rsid w:val="00BE245D"/>
    <w:rsid w:val="00BE77B1"/>
    <w:rsid w:val="00BF0073"/>
    <w:rsid w:val="00C11B3E"/>
    <w:rsid w:val="00C16C7A"/>
    <w:rsid w:val="00C17502"/>
    <w:rsid w:val="00C21003"/>
    <w:rsid w:val="00C242F1"/>
    <w:rsid w:val="00C25DF4"/>
    <w:rsid w:val="00C3370D"/>
    <w:rsid w:val="00C42646"/>
    <w:rsid w:val="00C475A3"/>
    <w:rsid w:val="00C5152F"/>
    <w:rsid w:val="00C608E2"/>
    <w:rsid w:val="00C63BC4"/>
    <w:rsid w:val="00C64943"/>
    <w:rsid w:val="00C7197F"/>
    <w:rsid w:val="00C721BF"/>
    <w:rsid w:val="00C76A8E"/>
    <w:rsid w:val="00C86B8A"/>
    <w:rsid w:val="00C9682B"/>
    <w:rsid w:val="00CA3A1A"/>
    <w:rsid w:val="00CB3A0C"/>
    <w:rsid w:val="00CB3BF7"/>
    <w:rsid w:val="00CB4AF4"/>
    <w:rsid w:val="00CC2B71"/>
    <w:rsid w:val="00CC2E21"/>
    <w:rsid w:val="00CC3640"/>
    <w:rsid w:val="00CC5D24"/>
    <w:rsid w:val="00CC75D4"/>
    <w:rsid w:val="00CD6344"/>
    <w:rsid w:val="00CE272A"/>
    <w:rsid w:val="00CE5B90"/>
    <w:rsid w:val="00CF0F41"/>
    <w:rsid w:val="00D15FC8"/>
    <w:rsid w:val="00D26796"/>
    <w:rsid w:val="00D40F0F"/>
    <w:rsid w:val="00D56E0C"/>
    <w:rsid w:val="00D60685"/>
    <w:rsid w:val="00D60A24"/>
    <w:rsid w:val="00D630C2"/>
    <w:rsid w:val="00D6418B"/>
    <w:rsid w:val="00D64F40"/>
    <w:rsid w:val="00D665BB"/>
    <w:rsid w:val="00D81036"/>
    <w:rsid w:val="00D82BF3"/>
    <w:rsid w:val="00D90194"/>
    <w:rsid w:val="00D907B5"/>
    <w:rsid w:val="00DA0901"/>
    <w:rsid w:val="00DA2622"/>
    <w:rsid w:val="00DA27E8"/>
    <w:rsid w:val="00DA2A98"/>
    <w:rsid w:val="00DB02B4"/>
    <w:rsid w:val="00DB0F05"/>
    <w:rsid w:val="00DB5A53"/>
    <w:rsid w:val="00DC03DC"/>
    <w:rsid w:val="00DC2CCF"/>
    <w:rsid w:val="00DC33F1"/>
    <w:rsid w:val="00DC6151"/>
    <w:rsid w:val="00DC629D"/>
    <w:rsid w:val="00DD1485"/>
    <w:rsid w:val="00DD2CBE"/>
    <w:rsid w:val="00DD6F12"/>
    <w:rsid w:val="00DE34FE"/>
    <w:rsid w:val="00DF0E7A"/>
    <w:rsid w:val="00DF29CC"/>
    <w:rsid w:val="00E0364B"/>
    <w:rsid w:val="00E04406"/>
    <w:rsid w:val="00E1070C"/>
    <w:rsid w:val="00E11E70"/>
    <w:rsid w:val="00E150CC"/>
    <w:rsid w:val="00E15C27"/>
    <w:rsid w:val="00E1606D"/>
    <w:rsid w:val="00E1613B"/>
    <w:rsid w:val="00E1783A"/>
    <w:rsid w:val="00E35E4F"/>
    <w:rsid w:val="00E44116"/>
    <w:rsid w:val="00E52F67"/>
    <w:rsid w:val="00E6182C"/>
    <w:rsid w:val="00E63176"/>
    <w:rsid w:val="00E64B2A"/>
    <w:rsid w:val="00E672F9"/>
    <w:rsid w:val="00E7703D"/>
    <w:rsid w:val="00E93A55"/>
    <w:rsid w:val="00E94371"/>
    <w:rsid w:val="00EA07A7"/>
    <w:rsid w:val="00EB1C0C"/>
    <w:rsid w:val="00EB3C40"/>
    <w:rsid w:val="00EB6830"/>
    <w:rsid w:val="00EB7720"/>
    <w:rsid w:val="00EC000B"/>
    <w:rsid w:val="00EC1F1E"/>
    <w:rsid w:val="00EE4BF1"/>
    <w:rsid w:val="00EF0AFD"/>
    <w:rsid w:val="00EF4696"/>
    <w:rsid w:val="00EF5C0F"/>
    <w:rsid w:val="00F04F2A"/>
    <w:rsid w:val="00F05A68"/>
    <w:rsid w:val="00F07100"/>
    <w:rsid w:val="00F1530E"/>
    <w:rsid w:val="00F16178"/>
    <w:rsid w:val="00F211A1"/>
    <w:rsid w:val="00F21A15"/>
    <w:rsid w:val="00F26A86"/>
    <w:rsid w:val="00F26E53"/>
    <w:rsid w:val="00F351F1"/>
    <w:rsid w:val="00F36AB7"/>
    <w:rsid w:val="00F4274A"/>
    <w:rsid w:val="00F612EF"/>
    <w:rsid w:val="00F637C2"/>
    <w:rsid w:val="00F72D2D"/>
    <w:rsid w:val="00F81237"/>
    <w:rsid w:val="00F83670"/>
    <w:rsid w:val="00F84AB1"/>
    <w:rsid w:val="00F86429"/>
    <w:rsid w:val="00FA4F40"/>
    <w:rsid w:val="00FC03B2"/>
    <w:rsid w:val="00FC285D"/>
    <w:rsid w:val="00FC5E4F"/>
    <w:rsid w:val="00FC621E"/>
    <w:rsid w:val="00FD4EB0"/>
    <w:rsid w:val="00FD611C"/>
    <w:rsid w:val="00FD7C86"/>
    <w:rsid w:val="00FE5636"/>
    <w:rsid w:val="00FE7140"/>
    <w:rsid w:val="00FF04A3"/>
    <w:rsid w:val="00FF796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A4BF1"/>
  <w15:chartTrackingRefBased/>
  <w15:docId w15:val="{6396F694-78A6-4593-B0C9-809FAF132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AD36C1"/>
    <w:pPr>
      <w:ind w:left="720"/>
      <w:contextualSpacing/>
    </w:pPr>
  </w:style>
  <w:style w:type="character" w:styleId="Refdecomentario">
    <w:name w:val="annotation reference"/>
    <w:basedOn w:val="Fuentedeprrafopredeter"/>
    <w:uiPriority w:val="99"/>
    <w:semiHidden/>
    <w:unhideWhenUsed/>
    <w:rsid w:val="00953BCE"/>
    <w:rPr>
      <w:sz w:val="16"/>
      <w:szCs w:val="16"/>
    </w:rPr>
  </w:style>
  <w:style w:type="paragraph" w:styleId="Textocomentario">
    <w:name w:val="annotation text"/>
    <w:basedOn w:val="Normal"/>
    <w:link w:val="TextocomentarioCar"/>
    <w:uiPriority w:val="99"/>
    <w:semiHidden/>
    <w:unhideWhenUsed/>
    <w:rsid w:val="00953BC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53BCE"/>
    <w:rPr>
      <w:sz w:val="20"/>
      <w:szCs w:val="20"/>
    </w:rPr>
  </w:style>
  <w:style w:type="paragraph" w:styleId="Asuntodelcomentario">
    <w:name w:val="annotation subject"/>
    <w:basedOn w:val="Textocomentario"/>
    <w:next w:val="Textocomentario"/>
    <w:link w:val="AsuntodelcomentarioCar"/>
    <w:uiPriority w:val="99"/>
    <w:semiHidden/>
    <w:unhideWhenUsed/>
    <w:rsid w:val="00953BCE"/>
    <w:rPr>
      <w:b/>
      <w:bCs/>
    </w:rPr>
  </w:style>
  <w:style w:type="character" w:customStyle="1" w:styleId="AsuntodelcomentarioCar">
    <w:name w:val="Asunto del comentario Car"/>
    <w:basedOn w:val="TextocomentarioCar"/>
    <w:link w:val="Asuntodelcomentario"/>
    <w:uiPriority w:val="99"/>
    <w:semiHidden/>
    <w:rsid w:val="00953BCE"/>
    <w:rPr>
      <w:b/>
      <w:bCs/>
      <w:sz w:val="20"/>
      <w:szCs w:val="20"/>
    </w:rPr>
  </w:style>
  <w:style w:type="paragraph" w:styleId="Textodeglobo">
    <w:name w:val="Balloon Text"/>
    <w:basedOn w:val="Normal"/>
    <w:link w:val="TextodegloboCar"/>
    <w:uiPriority w:val="99"/>
    <w:semiHidden/>
    <w:unhideWhenUsed/>
    <w:rsid w:val="00953BC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53BCE"/>
    <w:rPr>
      <w:rFonts w:ascii="Segoe UI" w:hAnsi="Segoe UI" w:cs="Segoe UI"/>
      <w:sz w:val="18"/>
      <w:szCs w:val="18"/>
    </w:rPr>
  </w:style>
  <w:style w:type="paragraph" w:styleId="Encabezado">
    <w:name w:val="header"/>
    <w:basedOn w:val="Normal"/>
    <w:link w:val="EncabezadoCar"/>
    <w:uiPriority w:val="99"/>
    <w:unhideWhenUsed/>
    <w:rsid w:val="00153D6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53D6A"/>
  </w:style>
  <w:style w:type="paragraph" w:styleId="Piedepgina">
    <w:name w:val="footer"/>
    <w:basedOn w:val="Normal"/>
    <w:link w:val="PiedepginaCar"/>
    <w:uiPriority w:val="99"/>
    <w:unhideWhenUsed/>
    <w:rsid w:val="00153D6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53D6A"/>
  </w:style>
  <w:style w:type="character" w:styleId="Refdenotaalpie">
    <w:name w:val="footnote reference"/>
    <w:basedOn w:val="Fuentedeprrafopredeter"/>
    <w:uiPriority w:val="99"/>
    <w:semiHidden/>
    <w:unhideWhenUsed/>
    <w:rsid w:val="00153D6A"/>
    <w:rPr>
      <w:vertAlign w:val="superscript"/>
    </w:rPr>
  </w:style>
  <w:style w:type="paragraph" w:styleId="Textonotapie">
    <w:name w:val="footnote text"/>
    <w:basedOn w:val="Normal"/>
    <w:link w:val="TextonotapieCar"/>
    <w:uiPriority w:val="99"/>
    <w:semiHidden/>
    <w:unhideWhenUsed/>
    <w:rsid w:val="00153D6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53D6A"/>
    <w:rPr>
      <w:sz w:val="20"/>
      <w:szCs w:val="20"/>
    </w:rPr>
  </w:style>
  <w:style w:type="character" w:customStyle="1" w:styleId="PrrafodelistaCar">
    <w:name w:val="Párrafo de lista Car"/>
    <w:link w:val="Prrafodelista"/>
    <w:uiPriority w:val="34"/>
    <w:locked/>
    <w:rsid w:val="00DF0E7A"/>
  </w:style>
  <w:style w:type="paragraph" w:customStyle="1" w:styleId="estilo30">
    <w:name w:val="estilo30"/>
    <w:basedOn w:val="Normal"/>
    <w:uiPriority w:val="99"/>
    <w:rsid w:val="00400F3F"/>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39"/>
    <w:rsid w:val="00F637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3027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042737"/>
    <w:rPr>
      <w:rFonts w:ascii="Calibri" w:eastAsia="Calibri" w:hAnsi="Calibri" w:cs="Calibri"/>
      <w:color w:val="000000"/>
      <w:lang w:eastAsia="es-ES"/>
    </w:rPr>
  </w:style>
  <w:style w:type="paragraph" w:styleId="Revisin">
    <w:name w:val="Revision"/>
    <w:hidden/>
    <w:uiPriority w:val="99"/>
    <w:semiHidden/>
    <w:rsid w:val="0073735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292442">
      <w:bodyDiv w:val="1"/>
      <w:marLeft w:val="0"/>
      <w:marRight w:val="0"/>
      <w:marTop w:val="0"/>
      <w:marBottom w:val="0"/>
      <w:divBdr>
        <w:top w:val="none" w:sz="0" w:space="0" w:color="auto"/>
        <w:left w:val="none" w:sz="0" w:space="0" w:color="auto"/>
        <w:bottom w:val="none" w:sz="0" w:space="0" w:color="auto"/>
        <w:right w:val="none" w:sz="0" w:space="0" w:color="auto"/>
      </w:divBdr>
      <w:divsChild>
        <w:div w:id="1853564841">
          <w:marLeft w:val="0"/>
          <w:marRight w:val="0"/>
          <w:marTop w:val="0"/>
          <w:marBottom w:val="0"/>
          <w:divBdr>
            <w:top w:val="none" w:sz="0" w:space="0" w:color="auto"/>
            <w:left w:val="none" w:sz="0" w:space="0" w:color="auto"/>
            <w:bottom w:val="none" w:sz="0" w:space="0" w:color="auto"/>
            <w:right w:val="none" w:sz="0" w:space="0" w:color="auto"/>
          </w:divBdr>
        </w:div>
      </w:divsChild>
    </w:div>
    <w:div w:id="460923902">
      <w:bodyDiv w:val="1"/>
      <w:marLeft w:val="0"/>
      <w:marRight w:val="0"/>
      <w:marTop w:val="0"/>
      <w:marBottom w:val="0"/>
      <w:divBdr>
        <w:top w:val="none" w:sz="0" w:space="0" w:color="auto"/>
        <w:left w:val="none" w:sz="0" w:space="0" w:color="auto"/>
        <w:bottom w:val="none" w:sz="0" w:space="0" w:color="auto"/>
        <w:right w:val="none" w:sz="0" w:space="0" w:color="auto"/>
      </w:divBdr>
      <w:divsChild>
        <w:div w:id="23405604">
          <w:marLeft w:val="0"/>
          <w:marRight w:val="0"/>
          <w:marTop w:val="0"/>
          <w:marBottom w:val="0"/>
          <w:divBdr>
            <w:top w:val="none" w:sz="0" w:space="0" w:color="auto"/>
            <w:left w:val="none" w:sz="0" w:space="0" w:color="auto"/>
            <w:bottom w:val="none" w:sz="0" w:space="0" w:color="auto"/>
            <w:right w:val="none" w:sz="0" w:space="0" w:color="auto"/>
          </w:divBdr>
          <w:divsChild>
            <w:div w:id="106976195">
              <w:marLeft w:val="0"/>
              <w:marRight w:val="0"/>
              <w:marTop w:val="0"/>
              <w:marBottom w:val="0"/>
              <w:divBdr>
                <w:top w:val="none" w:sz="0" w:space="0" w:color="auto"/>
                <w:left w:val="none" w:sz="0" w:space="0" w:color="auto"/>
                <w:bottom w:val="none" w:sz="0" w:space="0" w:color="auto"/>
                <w:right w:val="none" w:sz="0" w:space="0" w:color="auto"/>
              </w:divBdr>
            </w:div>
          </w:divsChild>
        </w:div>
        <w:div w:id="422337893">
          <w:marLeft w:val="0"/>
          <w:marRight w:val="0"/>
          <w:marTop w:val="0"/>
          <w:marBottom w:val="0"/>
          <w:divBdr>
            <w:top w:val="none" w:sz="0" w:space="0" w:color="auto"/>
            <w:left w:val="none" w:sz="0" w:space="0" w:color="auto"/>
            <w:bottom w:val="none" w:sz="0" w:space="0" w:color="auto"/>
            <w:right w:val="none" w:sz="0" w:space="0" w:color="auto"/>
          </w:divBdr>
          <w:divsChild>
            <w:div w:id="43922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844699">
      <w:bodyDiv w:val="1"/>
      <w:marLeft w:val="0"/>
      <w:marRight w:val="0"/>
      <w:marTop w:val="0"/>
      <w:marBottom w:val="0"/>
      <w:divBdr>
        <w:top w:val="none" w:sz="0" w:space="0" w:color="auto"/>
        <w:left w:val="none" w:sz="0" w:space="0" w:color="auto"/>
        <w:bottom w:val="none" w:sz="0" w:space="0" w:color="auto"/>
        <w:right w:val="none" w:sz="0" w:space="0" w:color="auto"/>
      </w:divBdr>
    </w:div>
    <w:div w:id="1084381926">
      <w:bodyDiv w:val="1"/>
      <w:marLeft w:val="0"/>
      <w:marRight w:val="0"/>
      <w:marTop w:val="0"/>
      <w:marBottom w:val="0"/>
      <w:divBdr>
        <w:top w:val="none" w:sz="0" w:space="0" w:color="auto"/>
        <w:left w:val="none" w:sz="0" w:space="0" w:color="auto"/>
        <w:bottom w:val="none" w:sz="0" w:space="0" w:color="auto"/>
        <w:right w:val="none" w:sz="0" w:space="0" w:color="auto"/>
      </w:divBdr>
      <w:divsChild>
        <w:div w:id="1617835434">
          <w:marLeft w:val="0"/>
          <w:marRight w:val="0"/>
          <w:marTop w:val="0"/>
          <w:marBottom w:val="0"/>
          <w:divBdr>
            <w:top w:val="none" w:sz="0" w:space="0" w:color="auto"/>
            <w:left w:val="none" w:sz="0" w:space="0" w:color="auto"/>
            <w:bottom w:val="none" w:sz="0" w:space="0" w:color="auto"/>
            <w:right w:val="none" w:sz="0" w:space="0" w:color="auto"/>
          </w:divBdr>
          <w:divsChild>
            <w:div w:id="1939677282">
              <w:marLeft w:val="0"/>
              <w:marRight w:val="0"/>
              <w:marTop w:val="0"/>
              <w:marBottom w:val="0"/>
              <w:divBdr>
                <w:top w:val="none" w:sz="0" w:space="0" w:color="auto"/>
                <w:left w:val="none" w:sz="0" w:space="0" w:color="auto"/>
                <w:bottom w:val="none" w:sz="0" w:space="0" w:color="auto"/>
                <w:right w:val="none" w:sz="0" w:space="0" w:color="auto"/>
              </w:divBdr>
            </w:div>
          </w:divsChild>
        </w:div>
        <w:div w:id="1811706499">
          <w:marLeft w:val="0"/>
          <w:marRight w:val="0"/>
          <w:marTop w:val="0"/>
          <w:marBottom w:val="0"/>
          <w:divBdr>
            <w:top w:val="none" w:sz="0" w:space="0" w:color="auto"/>
            <w:left w:val="none" w:sz="0" w:space="0" w:color="auto"/>
            <w:bottom w:val="none" w:sz="0" w:space="0" w:color="auto"/>
            <w:right w:val="none" w:sz="0" w:space="0" w:color="auto"/>
          </w:divBdr>
          <w:divsChild>
            <w:div w:id="142272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423234">
      <w:bodyDiv w:val="1"/>
      <w:marLeft w:val="0"/>
      <w:marRight w:val="0"/>
      <w:marTop w:val="0"/>
      <w:marBottom w:val="0"/>
      <w:divBdr>
        <w:top w:val="none" w:sz="0" w:space="0" w:color="auto"/>
        <w:left w:val="none" w:sz="0" w:space="0" w:color="auto"/>
        <w:bottom w:val="none" w:sz="0" w:space="0" w:color="auto"/>
        <w:right w:val="none" w:sz="0" w:space="0" w:color="auto"/>
      </w:divBdr>
    </w:div>
    <w:div w:id="1612665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FD35B98907514428905968C64F00757" ma:contentTypeVersion="0" ma:contentTypeDescription="Crear nuevo documento." ma:contentTypeScope="" ma:versionID="f7a75ae963fd4e49eba738334529be9b">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BE76BF-4E6D-45EB-81C7-4B2A1D2A01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5BAFAF9-9298-4CD4-8A45-98D374664E31}">
  <ds:schemaRefs>
    <ds:schemaRef ds:uri="http://schemas.microsoft.com/office/infopath/2007/PartnerControls"/>
    <ds:schemaRef ds:uri="http://purl.org/dc/elements/1.1/"/>
    <ds:schemaRef ds:uri="http://schemas.microsoft.com/office/2006/metadata/properties"/>
    <ds:schemaRef ds:uri="http://purl.org/dc/dcmitype/"/>
    <ds:schemaRef ds:uri="http://schemas.microsoft.com/office/2006/documentManagement/types"/>
    <ds:schemaRef ds:uri="http://www.w3.org/XML/1998/namespace"/>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A05D776C-B2A5-44FE-B32C-190A53149AFB}">
  <ds:schemaRefs>
    <ds:schemaRef ds:uri="http://schemas.microsoft.com/sharepoint/v3/contenttype/forms"/>
  </ds:schemaRefs>
</ds:datastoreItem>
</file>

<file path=customXml/itemProps4.xml><?xml version="1.0" encoding="utf-8"?>
<ds:datastoreItem xmlns:ds="http://schemas.openxmlformats.org/officeDocument/2006/customXml" ds:itemID="{6C2F5B00-4F4D-46CC-8C79-BC55EB046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2475</Words>
  <Characters>13614</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Armando Isaias Zacateco Rivero</dc:creator>
  <cp:keywords/>
  <dc:description/>
  <cp:lastModifiedBy>Mireya Sanabria Cedillo</cp:lastModifiedBy>
  <cp:revision>3</cp:revision>
  <cp:lastPrinted>2015-12-11T17:30:00Z</cp:lastPrinted>
  <dcterms:created xsi:type="dcterms:W3CDTF">2018-05-31T15:22:00Z</dcterms:created>
  <dcterms:modified xsi:type="dcterms:W3CDTF">2018-05-31T18:28:00Z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0x0101005FD35B98907514428905968C64F00757</vt:lpwstr>
  </property>
</Properties>
</file>