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9D2C6" w14:textId="77777777" w:rsidR="0020475D" w:rsidRPr="008B1E77" w:rsidRDefault="00597225" w:rsidP="008B3A20">
      <w:pPr>
        <w:spacing w:after="0" w:line="240" w:lineRule="auto"/>
        <w:jc w:val="both"/>
        <w:rPr>
          <w:rFonts w:ascii="ITC Avant Garde" w:hAnsi="ITC Avant Garde" w:cs="Arial"/>
          <w:b/>
        </w:rPr>
      </w:pPr>
      <w:bookmarkStart w:id="0" w:name="_GoBack"/>
      <w:bookmarkEnd w:id="0"/>
      <w:r w:rsidRPr="008B1E77">
        <w:rPr>
          <w:rFonts w:ascii="ITC Avant Garde" w:hAnsi="ITC Avant Garde" w:cs="Arial"/>
          <w:b/>
        </w:rPr>
        <w:t xml:space="preserve">CONSIDERACIONES </w:t>
      </w:r>
      <w:r w:rsidR="0020475D" w:rsidRPr="008B1E77">
        <w:rPr>
          <w:rFonts w:ascii="ITC Avant Garde" w:hAnsi="ITC Avant Garde" w:cs="Arial"/>
          <w:b/>
        </w:rPr>
        <w:t xml:space="preserve">GENERALES DEL INSTITUTO FEDERAL DE TELECOMUNICACIONES A LAS MANIFESTACIONES, OPINIONES, COMENTARIOS Y PROPUESTAS, PRESENTADAS DURANTE LA CONSULTA PÚBLICA </w:t>
      </w:r>
      <w:r w:rsidRPr="008B1E77">
        <w:rPr>
          <w:rFonts w:ascii="ITC Avant Garde" w:hAnsi="ITC Avant Garde" w:cs="Arial"/>
          <w:b/>
        </w:rPr>
        <w:t xml:space="preserve">SOBRE EL </w:t>
      </w:r>
      <w:r w:rsidR="0020475D" w:rsidRPr="008B1E77">
        <w:rPr>
          <w:rFonts w:ascii="ITC Avant Garde" w:hAnsi="ITC Avant Garde" w:cs="Arial"/>
          <w:b/>
        </w:rPr>
        <w:t>“</w:t>
      </w:r>
      <w:r w:rsidR="0020475D" w:rsidRPr="008B1E77">
        <w:rPr>
          <w:rFonts w:ascii="ITC Avant Garde" w:hAnsi="ITC Avant Garde" w:cs="Arial"/>
          <w:b/>
          <w:bCs/>
        </w:rPr>
        <w:t>ANTEPROYECTO DE LINEAMIENTOS MEDIANTE LOS CUALES SE ESTABLECE EL PROCEDIMIENTO PARA LA PRESENTACIÓN DE LA SOLICITUD ELECTRÓNICA DE AUTORIZACIÓN DE TARIFAS DE LOS SERVICIOS DE TELECOMUNICACIONES PARA USUARIOS FINALES, AL CUAL DEBERÁN SUJETARSE EL AGENTE ECONÓMICO PREPONDERANTE Y LOS AGENTES ECONÓMICOS CON PODER SUSTANCIAL DE MERCADO EN EL SECTOR DE TELECOMUNICACIONES</w:t>
      </w:r>
      <w:r w:rsidR="0020475D" w:rsidRPr="008B1E77">
        <w:rPr>
          <w:rFonts w:ascii="ITC Avant Garde" w:hAnsi="ITC Avant Garde" w:cs="Arial"/>
          <w:b/>
        </w:rPr>
        <w:t>”</w:t>
      </w:r>
      <w:r w:rsidRPr="008B1E77">
        <w:rPr>
          <w:rFonts w:ascii="ITC Avant Garde" w:hAnsi="ITC Avant Garde" w:cs="Arial"/>
          <w:b/>
        </w:rPr>
        <w:t>.</w:t>
      </w:r>
    </w:p>
    <w:p w14:paraId="3B57E3ED" w14:textId="77777777" w:rsidR="0020475D" w:rsidRPr="008B1E77" w:rsidRDefault="0020475D" w:rsidP="008B3A20">
      <w:pPr>
        <w:spacing w:after="0" w:line="240" w:lineRule="auto"/>
        <w:jc w:val="both"/>
        <w:rPr>
          <w:rFonts w:ascii="ITC Avant Garde" w:hAnsi="ITC Avant Garde" w:cs="Arial"/>
          <w:b/>
          <w:bCs/>
        </w:rPr>
      </w:pPr>
    </w:p>
    <w:p w14:paraId="35CFC773" w14:textId="77777777" w:rsidR="008B3A20" w:rsidRPr="008B1E77" w:rsidRDefault="008B3A20" w:rsidP="008B3A20">
      <w:pPr>
        <w:spacing w:after="0" w:line="240" w:lineRule="auto"/>
        <w:jc w:val="both"/>
        <w:rPr>
          <w:rFonts w:ascii="ITC Avant Garde" w:hAnsi="ITC Avant Garde" w:cs="Arial"/>
          <w:b/>
          <w:bCs/>
        </w:rPr>
      </w:pPr>
    </w:p>
    <w:p w14:paraId="7F236422" w14:textId="2F67D943" w:rsidR="00F53711" w:rsidRPr="00DE6B25" w:rsidRDefault="00597225" w:rsidP="00E11A34">
      <w:pPr>
        <w:spacing w:after="0" w:line="240" w:lineRule="auto"/>
        <w:jc w:val="both"/>
        <w:rPr>
          <w:rFonts w:ascii="ITC Avant Garde" w:hAnsi="ITC Avant Garde" w:cs="Arial"/>
          <w:color w:val="000000"/>
        </w:rPr>
      </w:pPr>
      <w:r w:rsidRPr="00DE6B25">
        <w:rPr>
          <w:rFonts w:ascii="ITC Avant Garde" w:hAnsi="ITC Avant Garde" w:cs="Arial"/>
          <w:color w:val="000000"/>
        </w:rPr>
        <w:t xml:space="preserve">En </w:t>
      </w:r>
      <w:r w:rsidR="0020475D" w:rsidRPr="00DE6B25">
        <w:rPr>
          <w:rFonts w:ascii="ITC Avant Garde" w:hAnsi="ITC Avant Garde" w:cs="Arial"/>
          <w:color w:val="000000"/>
        </w:rPr>
        <w:t xml:space="preserve">relación </w:t>
      </w:r>
      <w:r w:rsidRPr="00DE6B25">
        <w:rPr>
          <w:rFonts w:ascii="ITC Avant Garde" w:hAnsi="ITC Avant Garde" w:cs="Arial"/>
          <w:color w:val="000000"/>
        </w:rPr>
        <w:t>con</w:t>
      </w:r>
      <w:r w:rsidR="0020475D" w:rsidRPr="00DE6B25">
        <w:rPr>
          <w:rFonts w:ascii="ITC Avant Garde" w:hAnsi="ITC Avant Garde" w:cs="Arial"/>
          <w:color w:val="000000"/>
        </w:rPr>
        <w:t xml:space="preserve"> las manifestaciones, opiniones, comentarios y propuestas recibidas durante el periodo</w:t>
      </w:r>
      <w:r w:rsidR="00F24187" w:rsidRPr="00DE6B25">
        <w:rPr>
          <w:rFonts w:ascii="ITC Avant Garde" w:hAnsi="ITC Avant Garde" w:cs="Arial"/>
          <w:color w:val="000000"/>
        </w:rPr>
        <w:t xml:space="preserve"> </w:t>
      </w:r>
      <w:r w:rsidR="0020475D" w:rsidRPr="00DE6B25">
        <w:rPr>
          <w:rFonts w:ascii="ITC Avant Garde" w:hAnsi="ITC Avant Garde" w:cs="Arial"/>
          <w:color w:val="000000"/>
        </w:rPr>
        <w:t>comprendido del 04</w:t>
      </w:r>
      <w:r w:rsidR="0020475D" w:rsidRPr="002A27E0">
        <w:rPr>
          <w:rFonts w:ascii="ITC Avant Garde" w:hAnsi="ITC Avant Garde" w:cs="Arial"/>
          <w:color w:val="000000"/>
        </w:rPr>
        <w:t xml:space="preserve"> al 29 de junio de 2018 (20 días hábiles), respecto </w:t>
      </w:r>
      <w:r w:rsidR="0083717B" w:rsidRPr="00B8283C">
        <w:rPr>
          <w:rFonts w:ascii="ITC Avant Garde" w:hAnsi="ITC Avant Garde" w:cs="Arial"/>
          <w:color w:val="000000"/>
        </w:rPr>
        <w:t>de</w:t>
      </w:r>
      <w:r w:rsidR="00F24187" w:rsidRPr="00B8283C">
        <w:rPr>
          <w:rFonts w:ascii="ITC Avant Garde" w:hAnsi="ITC Avant Garde" w:cs="Arial"/>
          <w:color w:val="000000"/>
        </w:rPr>
        <w:t xml:space="preserve"> </w:t>
      </w:r>
      <w:r w:rsidR="0020475D" w:rsidRPr="008B1E77">
        <w:rPr>
          <w:rFonts w:ascii="ITC Avant Garde" w:hAnsi="ITC Avant Garde" w:cs="Arial"/>
          <w:color w:val="000000"/>
        </w:rPr>
        <w:t>l</w:t>
      </w:r>
      <w:r w:rsidR="00F24187" w:rsidRPr="008B1E77">
        <w:rPr>
          <w:rFonts w:ascii="ITC Avant Garde" w:hAnsi="ITC Avant Garde" w:cs="Arial"/>
          <w:color w:val="000000"/>
        </w:rPr>
        <w:t>a consulta pública del</w:t>
      </w:r>
      <w:r w:rsidR="0020475D" w:rsidRPr="008B1E77">
        <w:rPr>
          <w:rFonts w:ascii="ITC Avant Garde" w:hAnsi="ITC Avant Garde" w:cs="Arial"/>
          <w:color w:val="000000"/>
        </w:rPr>
        <w:t xml:space="preserve"> </w:t>
      </w:r>
      <w:r w:rsidR="00F24187" w:rsidRPr="00DE6B25">
        <w:rPr>
          <w:rFonts w:ascii="ITC Avant Garde" w:hAnsi="ITC Avant Garde" w:cs="Arial"/>
          <w:i/>
          <w:color w:val="000000"/>
        </w:rPr>
        <w:t>“</w:t>
      </w:r>
      <w:r w:rsidR="0020475D" w:rsidRPr="002A27E0">
        <w:rPr>
          <w:rFonts w:ascii="ITC Avant Garde" w:hAnsi="ITC Avant Garde" w:cs="Arial"/>
          <w:i/>
          <w:color w:val="000000"/>
        </w:rPr>
        <w:t>Anteproyecto</w:t>
      </w:r>
      <w:r w:rsidR="00EE391C" w:rsidRPr="002A27E0">
        <w:rPr>
          <w:rFonts w:ascii="ITC Avant Garde" w:hAnsi="ITC Avant Garde" w:cs="Arial"/>
          <w:i/>
          <w:color w:val="000000"/>
        </w:rPr>
        <w:t xml:space="preserve"> </w:t>
      </w:r>
      <w:r w:rsidR="00EE391C" w:rsidRPr="00DE6B25">
        <w:rPr>
          <w:rFonts w:ascii="ITC Avant Garde" w:hAnsi="ITC Avant Garde" w:cs="Arial"/>
          <w:i/>
          <w:color w:val="000000"/>
        </w:rPr>
        <w:t>de Lineamientos mediante los cuales se establece el procedimiento para la presentación de la solicitud electrónica de autorización de tarifas de los servicios de telecomunicaciones para usuarios finales, al cual deberán sujetarse el agente económico preponderante y los agentes económicos con poder sustancial de mercado en el sector de telecomunicaciones</w:t>
      </w:r>
      <w:r w:rsidR="00F24187" w:rsidRPr="00DE6B25">
        <w:rPr>
          <w:rFonts w:ascii="ITC Avant Garde" w:hAnsi="ITC Avant Garde" w:cs="Arial"/>
          <w:i/>
          <w:color w:val="000000"/>
        </w:rPr>
        <w:t>”</w:t>
      </w:r>
      <w:r w:rsidR="0001269D" w:rsidRPr="002A27E0">
        <w:rPr>
          <w:rFonts w:ascii="ITC Avant Garde" w:hAnsi="ITC Avant Garde" w:cs="Arial"/>
          <w:color w:val="000000"/>
        </w:rPr>
        <w:t>,</w:t>
      </w:r>
      <w:r w:rsidR="0020475D" w:rsidRPr="002A27E0">
        <w:rPr>
          <w:rFonts w:ascii="ITC Avant Garde" w:hAnsi="ITC Avant Garde" w:cs="Arial"/>
          <w:color w:val="000000"/>
        </w:rPr>
        <w:t xml:space="preserve"> </w:t>
      </w:r>
      <w:r w:rsidR="00F24187" w:rsidRPr="00B8283C">
        <w:rPr>
          <w:rFonts w:ascii="ITC Avant Garde" w:hAnsi="ITC Avant Garde" w:cs="Arial"/>
          <w:color w:val="000000"/>
        </w:rPr>
        <w:t xml:space="preserve">la cual se llevó a cabo con los objetivos de: i) observar el principio de transparencia y participación ciudadana en la emisión de </w:t>
      </w:r>
      <w:r w:rsidR="00F24187" w:rsidRPr="008B1E77">
        <w:rPr>
          <w:rFonts w:ascii="ITC Avant Garde" w:hAnsi="ITC Avant Garde" w:cs="Arial"/>
          <w:color w:val="000000"/>
        </w:rPr>
        <w:t xml:space="preserve">dichos lineamientos, y ii) </w:t>
      </w:r>
      <w:r w:rsidR="00F24187" w:rsidRPr="00DE6B25">
        <w:rPr>
          <w:rFonts w:ascii="ITC Avant Garde" w:hAnsi="ITC Avant Garde" w:cs="Arial"/>
          <w:color w:val="000000"/>
        </w:rPr>
        <w:t>identificar áreas de oportunidad de la regulación a través de los planteamientos que se expongan mediante la participación ciudadana y generar una disposición más robusta y eficiente</w:t>
      </w:r>
      <w:r w:rsidR="00320970" w:rsidRPr="002A27E0">
        <w:rPr>
          <w:rFonts w:ascii="ITC Avant Garde" w:hAnsi="ITC Avant Garde" w:cs="Arial"/>
          <w:color w:val="000000"/>
        </w:rPr>
        <w:t>;</w:t>
      </w:r>
      <w:r w:rsidR="0020475D" w:rsidRPr="002A27E0">
        <w:rPr>
          <w:rFonts w:ascii="ITC Avant Garde" w:hAnsi="ITC Avant Garde" w:cs="Arial"/>
          <w:color w:val="000000"/>
        </w:rPr>
        <w:t xml:space="preserve"> se informa que el Instituto Federal de Telecomunicaciones (en lo suce</w:t>
      </w:r>
      <w:r w:rsidR="0020475D" w:rsidRPr="00B8283C">
        <w:rPr>
          <w:rFonts w:ascii="ITC Avant Garde" w:hAnsi="ITC Avant Garde" w:cs="Arial"/>
          <w:color w:val="000000"/>
        </w:rPr>
        <w:t>sivo, el “Instituto”)</w:t>
      </w:r>
      <w:r w:rsidR="00F24187" w:rsidRPr="00B8283C">
        <w:rPr>
          <w:rFonts w:ascii="ITC Avant Garde" w:hAnsi="ITC Avant Garde" w:cs="Arial"/>
          <w:color w:val="000000"/>
        </w:rPr>
        <w:t>, a través de la Unidad de Política Regulatoria,</w:t>
      </w:r>
      <w:r w:rsidR="0020475D" w:rsidRPr="008B1E77">
        <w:rPr>
          <w:rFonts w:ascii="ITC Avant Garde" w:hAnsi="ITC Avant Garde" w:cs="Arial"/>
          <w:color w:val="000000"/>
        </w:rPr>
        <w:t xml:space="preserve"> </w:t>
      </w:r>
      <w:r w:rsidR="008D60D3" w:rsidRPr="008B1E77">
        <w:rPr>
          <w:rFonts w:ascii="ITC Avant Garde" w:hAnsi="ITC Avant Garde" w:cs="Arial"/>
          <w:color w:val="000000"/>
        </w:rPr>
        <w:t xml:space="preserve">recibió 7 (siete) participaciones, todas realizadas por personas morales. Asimismo, se </w:t>
      </w:r>
      <w:r w:rsidR="0020475D" w:rsidRPr="008B1E77">
        <w:rPr>
          <w:rFonts w:ascii="ITC Avant Garde" w:hAnsi="ITC Avant Garde" w:cs="Arial"/>
          <w:color w:val="000000"/>
        </w:rPr>
        <w:t>identific</w:t>
      </w:r>
      <w:r w:rsidR="008D60D3" w:rsidRPr="008B1E77">
        <w:rPr>
          <w:rFonts w:ascii="ITC Avant Garde" w:hAnsi="ITC Avant Garde" w:cs="Arial"/>
          <w:color w:val="000000"/>
        </w:rPr>
        <w:t>aron</w:t>
      </w:r>
      <w:r w:rsidR="0020475D" w:rsidRPr="008B1E77">
        <w:rPr>
          <w:rFonts w:ascii="ITC Avant Garde" w:hAnsi="ITC Avant Garde" w:cs="Arial"/>
          <w:color w:val="000000"/>
        </w:rPr>
        <w:t xml:space="preserve"> diversos temas, </w:t>
      </w:r>
      <w:r w:rsidR="00F53711" w:rsidRPr="008B1E77">
        <w:rPr>
          <w:rFonts w:ascii="ITC Avant Garde" w:hAnsi="ITC Avant Garde" w:cs="Arial"/>
          <w:color w:val="000000"/>
        </w:rPr>
        <w:t>los cuales</w:t>
      </w:r>
      <w:r w:rsidR="0020475D" w:rsidRPr="008B1E77">
        <w:rPr>
          <w:rFonts w:ascii="ITC Avant Garde" w:hAnsi="ITC Avant Garde" w:cs="Arial"/>
          <w:color w:val="000000"/>
        </w:rPr>
        <w:t xml:space="preserve"> han sido agrupados de manera genérica para </w:t>
      </w:r>
      <w:r w:rsidR="00F53711" w:rsidRPr="008B1E77">
        <w:rPr>
          <w:rFonts w:ascii="ITC Avant Garde" w:hAnsi="ITC Avant Garde" w:cs="Arial"/>
          <w:color w:val="000000"/>
        </w:rPr>
        <w:t xml:space="preserve">una </w:t>
      </w:r>
      <w:r w:rsidR="0020475D" w:rsidRPr="008B1E77">
        <w:rPr>
          <w:rFonts w:ascii="ITC Avant Garde" w:hAnsi="ITC Avant Garde" w:cs="Arial"/>
          <w:color w:val="000000"/>
        </w:rPr>
        <w:t xml:space="preserve">mejor </w:t>
      </w:r>
      <w:r w:rsidR="00F53711" w:rsidRPr="008B1E77">
        <w:rPr>
          <w:rFonts w:ascii="ITC Avant Garde" w:hAnsi="ITC Avant Garde" w:cs="Arial"/>
          <w:color w:val="000000"/>
        </w:rPr>
        <w:t>atención</w:t>
      </w:r>
      <w:r w:rsidR="0020475D" w:rsidRPr="008B1E77">
        <w:rPr>
          <w:rFonts w:ascii="ITC Avant Garde" w:hAnsi="ITC Avant Garde" w:cs="Arial"/>
          <w:color w:val="000000"/>
        </w:rPr>
        <w:t xml:space="preserve">. </w:t>
      </w:r>
      <w:r w:rsidR="001F719B" w:rsidRPr="008B1E77">
        <w:rPr>
          <w:rFonts w:ascii="ITC Avant Garde" w:hAnsi="ITC Avant Garde" w:cs="Arial"/>
          <w:color w:val="000000"/>
        </w:rPr>
        <w:t>Asimismo, se informa que</w:t>
      </w:r>
      <w:r w:rsidR="00F53711" w:rsidRPr="00DE6B25">
        <w:rPr>
          <w:rFonts w:ascii="ITC Avant Garde" w:hAnsi="ITC Avant Garde" w:cs="Arial"/>
          <w:color w:val="000000"/>
        </w:rPr>
        <w:t>, una vez concluido el plazo de consulta respectivo, todas y cada una de las manifestacion</w:t>
      </w:r>
      <w:r w:rsidR="001F719B" w:rsidRPr="00DE6B25">
        <w:rPr>
          <w:rFonts w:ascii="ITC Avant Garde" w:hAnsi="ITC Avant Garde" w:cs="Arial"/>
          <w:color w:val="000000"/>
        </w:rPr>
        <w:t>es, opiniones y</w:t>
      </w:r>
      <w:r w:rsidR="00F53711" w:rsidRPr="00DE6B25">
        <w:rPr>
          <w:rFonts w:ascii="ITC Avant Garde" w:hAnsi="ITC Avant Garde" w:cs="Arial"/>
          <w:color w:val="000000"/>
        </w:rPr>
        <w:t xml:space="preserve"> propuestas</w:t>
      </w:r>
      <w:r w:rsidR="001F719B" w:rsidRPr="00DE6B25">
        <w:rPr>
          <w:rFonts w:ascii="ITC Avant Garde" w:hAnsi="ITC Avant Garde" w:cs="Arial"/>
          <w:color w:val="000000"/>
        </w:rPr>
        <w:t xml:space="preserve"> recibidas</w:t>
      </w:r>
      <w:r w:rsidR="00F53711" w:rsidRPr="00DE6B25">
        <w:rPr>
          <w:rFonts w:ascii="ITC Avant Garde" w:hAnsi="ITC Avant Garde" w:cs="Arial"/>
          <w:color w:val="000000"/>
        </w:rPr>
        <w:t>, quedaron publicados en el portal del Instituto.</w:t>
      </w:r>
    </w:p>
    <w:p w14:paraId="0BC578FF" w14:textId="77777777" w:rsidR="0020475D" w:rsidRPr="002A27E0" w:rsidRDefault="0020475D" w:rsidP="00E11A34">
      <w:pPr>
        <w:spacing w:after="0" w:line="240" w:lineRule="auto"/>
        <w:jc w:val="both"/>
        <w:rPr>
          <w:rFonts w:ascii="ITC Avant Garde" w:hAnsi="ITC Avant Garde" w:cs="Arial"/>
          <w:color w:val="000000" w:themeColor="text1"/>
        </w:rPr>
      </w:pPr>
    </w:p>
    <w:p w14:paraId="31BF7FDE" w14:textId="77777777" w:rsidR="0020475D" w:rsidRPr="008B1E77" w:rsidRDefault="001F719B" w:rsidP="00E11A34">
      <w:pPr>
        <w:spacing w:line="240" w:lineRule="auto"/>
        <w:jc w:val="both"/>
        <w:rPr>
          <w:rFonts w:ascii="ITC Avant Garde" w:hAnsi="ITC Avant Garde" w:cs="Arial"/>
          <w:color w:val="000000"/>
        </w:rPr>
      </w:pPr>
      <w:r w:rsidRPr="00B8283C">
        <w:rPr>
          <w:rFonts w:ascii="ITC Avant Garde" w:hAnsi="ITC Avant Garde" w:cs="Arial"/>
          <w:color w:val="000000"/>
        </w:rPr>
        <w:t>A continuación, se enlistan l</w:t>
      </w:r>
      <w:r w:rsidR="004A1A47" w:rsidRPr="00B8283C">
        <w:rPr>
          <w:rFonts w:ascii="ITC Avant Garde" w:hAnsi="ITC Avant Garde" w:cs="Arial"/>
          <w:color w:val="000000"/>
        </w:rPr>
        <w:t xml:space="preserve">os </w:t>
      </w:r>
      <w:r w:rsidR="0020475D" w:rsidRPr="008B1E77">
        <w:rPr>
          <w:rFonts w:ascii="ITC Avant Garde" w:hAnsi="ITC Avant Garde" w:cs="Arial"/>
          <w:color w:val="000000"/>
        </w:rPr>
        <w:t xml:space="preserve">participantes </w:t>
      </w:r>
      <w:r w:rsidRPr="008B1E77">
        <w:rPr>
          <w:rFonts w:ascii="ITC Avant Garde" w:hAnsi="ITC Avant Garde" w:cs="Arial"/>
          <w:color w:val="000000"/>
        </w:rPr>
        <w:t>d</w:t>
      </w:r>
      <w:r w:rsidR="0020475D" w:rsidRPr="008B1E77">
        <w:rPr>
          <w:rFonts w:ascii="ITC Avant Garde" w:hAnsi="ITC Avant Garde" w:cs="Arial"/>
          <w:color w:val="000000"/>
        </w:rPr>
        <w:t>el proceso de consulta pública:</w:t>
      </w:r>
    </w:p>
    <w:p w14:paraId="1A992817" w14:textId="77777777" w:rsidR="0020475D" w:rsidRPr="008B1E77" w:rsidRDefault="004A1A47" w:rsidP="00E11A34">
      <w:pPr>
        <w:pStyle w:val="Prrafodelista"/>
        <w:numPr>
          <w:ilvl w:val="0"/>
          <w:numId w:val="1"/>
        </w:numPr>
        <w:spacing w:line="240" w:lineRule="auto"/>
        <w:jc w:val="both"/>
        <w:rPr>
          <w:rFonts w:ascii="ITC Avant Garde" w:hAnsi="ITC Avant Garde" w:cs="Arial"/>
          <w:color w:val="000000"/>
        </w:rPr>
      </w:pPr>
      <w:r w:rsidRPr="008B1E77">
        <w:rPr>
          <w:rFonts w:ascii="ITC Avant Garde" w:hAnsi="ITC Avant Garde" w:cs="Arial"/>
          <w:color w:val="000000"/>
        </w:rPr>
        <w:t>Teléfonos de México, S.A.B. de C.V. y Teléfonos del Noroeste, S.A. de C.V.</w:t>
      </w:r>
      <w:r w:rsidR="00843107" w:rsidRPr="008B1E77">
        <w:rPr>
          <w:rFonts w:ascii="ITC Avant Garde" w:hAnsi="ITC Avant Garde" w:cs="Arial"/>
          <w:color w:val="000000"/>
        </w:rPr>
        <w:t xml:space="preserve"> </w:t>
      </w:r>
      <w:r w:rsidR="00597225" w:rsidRPr="008B1E77">
        <w:rPr>
          <w:rFonts w:ascii="ITC Avant Garde" w:hAnsi="ITC Avant Garde" w:cs="Arial"/>
          <w:color w:val="000000"/>
        </w:rPr>
        <w:t>(</w:t>
      </w:r>
      <w:r w:rsidR="00843107" w:rsidRPr="008B1E77">
        <w:rPr>
          <w:rFonts w:ascii="ITC Avant Garde" w:hAnsi="ITC Avant Garde" w:cs="Arial"/>
          <w:color w:val="000000"/>
        </w:rPr>
        <w:t xml:space="preserve">en lo sucesivo, </w:t>
      </w:r>
      <w:r w:rsidR="00843107" w:rsidRPr="008B1E77">
        <w:rPr>
          <w:rFonts w:ascii="ITC Avant Garde" w:hAnsi="ITC Avant Garde" w:cs="Arial"/>
          <w:b/>
          <w:color w:val="000000"/>
        </w:rPr>
        <w:t>“</w:t>
      </w:r>
      <w:r w:rsidR="00597225" w:rsidRPr="008B1E77">
        <w:rPr>
          <w:rFonts w:ascii="ITC Avant Garde" w:hAnsi="ITC Avant Garde" w:cs="Arial"/>
          <w:b/>
          <w:color w:val="000000"/>
        </w:rPr>
        <w:t>T</w:t>
      </w:r>
      <w:r w:rsidR="00D53208" w:rsidRPr="008B1E77">
        <w:rPr>
          <w:rFonts w:ascii="ITC Avant Garde" w:hAnsi="ITC Avant Garde" w:cs="Arial"/>
          <w:b/>
          <w:color w:val="000000"/>
        </w:rPr>
        <w:t>elmex</w:t>
      </w:r>
      <w:r w:rsidR="00597225" w:rsidRPr="008B1E77">
        <w:rPr>
          <w:rFonts w:ascii="ITC Avant Garde" w:hAnsi="ITC Avant Garde" w:cs="Arial"/>
          <w:b/>
          <w:color w:val="000000"/>
        </w:rPr>
        <w:t>/T</w:t>
      </w:r>
      <w:r w:rsidR="00D53208" w:rsidRPr="008B1E77">
        <w:rPr>
          <w:rFonts w:ascii="ITC Avant Garde" w:hAnsi="ITC Avant Garde" w:cs="Arial"/>
          <w:b/>
          <w:color w:val="000000"/>
        </w:rPr>
        <w:t>elnor</w:t>
      </w:r>
      <w:r w:rsidR="00843107" w:rsidRPr="008B1E77">
        <w:rPr>
          <w:rFonts w:ascii="ITC Avant Garde" w:hAnsi="ITC Avant Garde" w:cs="Arial"/>
          <w:b/>
          <w:color w:val="000000"/>
        </w:rPr>
        <w:t>”</w:t>
      </w:r>
      <w:r w:rsidR="00597225" w:rsidRPr="008B1E77">
        <w:rPr>
          <w:rFonts w:ascii="ITC Avant Garde" w:hAnsi="ITC Avant Garde" w:cs="Arial"/>
          <w:color w:val="000000"/>
        </w:rPr>
        <w:t>)</w:t>
      </w:r>
      <w:r w:rsidR="00CA21B1" w:rsidRPr="008B1E77">
        <w:rPr>
          <w:rFonts w:ascii="ITC Avant Garde" w:hAnsi="ITC Avant Garde" w:cs="Arial"/>
          <w:color w:val="000000"/>
        </w:rPr>
        <w:t>.</w:t>
      </w:r>
    </w:p>
    <w:p w14:paraId="00A3B5ED" w14:textId="77777777" w:rsidR="0020475D" w:rsidRPr="008B1E77" w:rsidRDefault="004A1A47" w:rsidP="00E11A34">
      <w:pPr>
        <w:pStyle w:val="Prrafodelista"/>
        <w:numPr>
          <w:ilvl w:val="0"/>
          <w:numId w:val="1"/>
        </w:numPr>
        <w:spacing w:line="240" w:lineRule="auto"/>
        <w:jc w:val="both"/>
        <w:rPr>
          <w:rFonts w:ascii="ITC Avant Garde" w:hAnsi="ITC Avant Garde" w:cs="Arial"/>
          <w:color w:val="000000"/>
        </w:rPr>
      </w:pPr>
      <w:r w:rsidRPr="008B1E77">
        <w:rPr>
          <w:rFonts w:ascii="ITC Avant Garde" w:hAnsi="ITC Avant Garde" w:cs="Arial"/>
          <w:color w:val="000000"/>
        </w:rPr>
        <w:t>Corporación de Radio y Televisión del Norte de México, S</w:t>
      </w:r>
      <w:r w:rsidR="0083717B" w:rsidRPr="008B1E77">
        <w:rPr>
          <w:rFonts w:ascii="ITC Avant Garde" w:hAnsi="ITC Avant Garde" w:cs="Arial"/>
          <w:color w:val="000000"/>
        </w:rPr>
        <w:t>.</w:t>
      </w:r>
      <w:r w:rsidRPr="008B1E77">
        <w:rPr>
          <w:rFonts w:ascii="ITC Avant Garde" w:hAnsi="ITC Avant Garde" w:cs="Arial"/>
          <w:color w:val="000000"/>
        </w:rPr>
        <w:t xml:space="preserve"> de R. L. de C.V.</w:t>
      </w:r>
      <w:r w:rsidR="001756BA" w:rsidRPr="008B1E77">
        <w:rPr>
          <w:rFonts w:ascii="ITC Avant Garde" w:hAnsi="ITC Avant Garde" w:cs="Arial"/>
          <w:color w:val="000000"/>
        </w:rPr>
        <w:t xml:space="preserve"> (en lo sucesivo, </w:t>
      </w:r>
      <w:r w:rsidR="001756BA" w:rsidRPr="008B1E77">
        <w:rPr>
          <w:rFonts w:ascii="ITC Avant Garde" w:hAnsi="ITC Avant Garde" w:cs="Arial"/>
          <w:b/>
          <w:color w:val="000000"/>
        </w:rPr>
        <w:t>“</w:t>
      </w:r>
      <w:r w:rsidR="00A62E43" w:rsidRPr="008B1E77">
        <w:rPr>
          <w:rFonts w:ascii="ITC Avant Garde" w:hAnsi="ITC Avant Garde" w:cs="Arial"/>
          <w:b/>
          <w:color w:val="000000"/>
        </w:rPr>
        <w:t>Sky</w:t>
      </w:r>
      <w:r w:rsidR="00E23374" w:rsidRPr="008B1E77">
        <w:rPr>
          <w:rFonts w:ascii="ITC Avant Garde" w:hAnsi="ITC Avant Garde" w:cs="Arial"/>
          <w:b/>
          <w:color w:val="000000"/>
        </w:rPr>
        <w:t>”</w:t>
      </w:r>
      <w:r w:rsidR="001756BA" w:rsidRPr="008B1E77">
        <w:rPr>
          <w:rFonts w:ascii="ITC Avant Garde" w:hAnsi="ITC Avant Garde" w:cs="Arial"/>
          <w:b/>
          <w:color w:val="000000"/>
        </w:rPr>
        <w:t>).</w:t>
      </w:r>
    </w:p>
    <w:p w14:paraId="23870816" w14:textId="77777777" w:rsidR="0020475D" w:rsidRPr="008B1E77" w:rsidRDefault="004A1A47" w:rsidP="00E11A34">
      <w:pPr>
        <w:pStyle w:val="Prrafodelista"/>
        <w:numPr>
          <w:ilvl w:val="0"/>
          <w:numId w:val="1"/>
        </w:numPr>
        <w:spacing w:line="240" w:lineRule="auto"/>
        <w:jc w:val="both"/>
        <w:rPr>
          <w:rFonts w:ascii="ITC Avant Garde" w:hAnsi="ITC Avant Garde" w:cs="Arial"/>
          <w:color w:val="000000"/>
        </w:rPr>
      </w:pPr>
      <w:r w:rsidRPr="008B1E77">
        <w:rPr>
          <w:rFonts w:ascii="ITC Avant Garde" w:hAnsi="ITC Avant Garde" w:cs="Arial"/>
          <w:color w:val="000000"/>
        </w:rPr>
        <w:t>AT&amp;T Comunicaciones Digitales, S. de R.L. de C.V., Grupo AT&amp;T Celullar, S. de R.L. de C.V., AT&amp;T Norte, S. de R.L. de C.V., AT&amp;T Comercialización Móvil, S. de R.L. de C.V. y AT&amp;T Desarrollo en Comunicaciones de México, S. de R.L. de C.V.</w:t>
      </w:r>
      <w:r w:rsidR="00CA21B1" w:rsidRPr="008B1E77">
        <w:rPr>
          <w:rFonts w:ascii="ITC Avant Garde" w:hAnsi="ITC Avant Garde" w:cs="Arial"/>
          <w:color w:val="000000"/>
        </w:rPr>
        <w:t xml:space="preserve"> </w:t>
      </w:r>
      <w:r w:rsidR="00A62E43" w:rsidRPr="008B1E77">
        <w:rPr>
          <w:rFonts w:ascii="ITC Avant Garde" w:hAnsi="ITC Avant Garde" w:cs="Arial"/>
          <w:color w:val="000000"/>
        </w:rPr>
        <w:t>(</w:t>
      </w:r>
      <w:r w:rsidR="00CA21B1" w:rsidRPr="008B1E77">
        <w:rPr>
          <w:rFonts w:ascii="ITC Avant Garde" w:hAnsi="ITC Avant Garde" w:cs="Arial"/>
          <w:color w:val="000000"/>
        </w:rPr>
        <w:t xml:space="preserve">en lo sucesivo, </w:t>
      </w:r>
      <w:r w:rsidR="00CA21B1" w:rsidRPr="008B1E77">
        <w:rPr>
          <w:rFonts w:ascii="ITC Avant Garde" w:hAnsi="ITC Avant Garde" w:cs="Arial"/>
          <w:b/>
          <w:color w:val="000000"/>
        </w:rPr>
        <w:t>“AT&amp;T”</w:t>
      </w:r>
      <w:r w:rsidR="00A62E43" w:rsidRPr="008B1E77">
        <w:rPr>
          <w:rFonts w:ascii="ITC Avant Garde" w:hAnsi="ITC Avant Garde" w:cs="Arial"/>
          <w:b/>
          <w:color w:val="000000"/>
        </w:rPr>
        <w:t>)</w:t>
      </w:r>
      <w:r w:rsidR="00CA21B1" w:rsidRPr="008B1E77">
        <w:rPr>
          <w:rFonts w:ascii="ITC Avant Garde" w:hAnsi="ITC Avant Garde" w:cs="Arial"/>
          <w:b/>
          <w:color w:val="000000"/>
        </w:rPr>
        <w:t>.</w:t>
      </w:r>
    </w:p>
    <w:p w14:paraId="0E4DF64F" w14:textId="77777777" w:rsidR="0020475D" w:rsidRPr="008B1E77" w:rsidRDefault="004A1A47" w:rsidP="00E11A34">
      <w:pPr>
        <w:pStyle w:val="Prrafodelista"/>
        <w:numPr>
          <w:ilvl w:val="0"/>
          <w:numId w:val="1"/>
        </w:numPr>
        <w:spacing w:line="240" w:lineRule="auto"/>
        <w:jc w:val="both"/>
        <w:rPr>
          <w:rFonts w:ascii="ITC Avant Garde" w:hAnsi="ITC Avant Garde" w:cs="Arial"/>
          <w:color w:val="000000"/>
        </w:rPr>
      </w:pPr>
      <w:r w:rsidRPr="008B1E77">
        <w:rPr>
          <w:rFonts w:ascii="ITC Avant Garde" w:hAnsi="ITC Avant Garde" w:cs="Arial"/>
          <w:color w:val="000000"/>
        </w:rPr>
        <w:t>Bestphone, S.A. de C.V., Operbes, S.A. de C.V., Cable y Comunicación de Campeche, S.A. de C.V., Cablemás Telecomunicaciones, S.A. de C.V., Cablevisión Red, S.A. de C.V., México Red de Telecomunicaciones, S. de R. L. de C.V., Tele Azteca, S.A. de C.V., Televisión Internacional, S.A. de C.V., TV Cable de Oriente, S.A. de C.V. y Cablevisión, S.A. de C.V.</w:t>
      </w:r>
      <w:r w:rsidR="00CA21B1" w:rsidRPr="008B1E77">
        <w:rPr>
          <w:rFonts w:ascii="ITC Avant Garde" w:hAnsi="ITC Avant Garde" w:cs="Arial"/>
          <w:color w:val="000000"/>
        </w:rPr>
        <w:t xml:space="preserve"> </w:t>
      </w:r>
      <w:r w:rsidR="00A62E43" w:rsidRPr="008B1E77">
        <w:rPr>
          <w:rFonts w:ascii="ITC Avant Garde" w:hAnsi="ITC Avant Garde" w:cs="Arial"/>
          <w:color w:val="000000"/>
        </w:rPr>
        <w:t>(</w:t>
      </w:r>
      <w:r w:rsidR="00CA21B1" w:rsidRPr="008B1E77">
        <w:rPr>
          <w:rFonts w:ascii="ITC Avant Garde" w:hAnsi="ITC Avant Garde" w:cs="Arial"/>
          <w:color w:val="000000"/>
        </w:rPr>
        <w:t xml:space="preserve">en lo sucesivo, </w:t>
      </w:r>
      <w:r w:rsidR="00CA21B1" w:rsidRPr="008B1E77">
        <w:rPr>
          <w:rFonts w:ascii="ITC Avant Garde" w:hAnsi="ITC Avant Garde" w:cs="Arial"/>
          <w:b/>
          <w:color w:val="000000"/>
        </w:rPr>
        <w:t>“</w:t>
      </w:r>
      <w:r w:rsidR="001F719B" w:rsidRPr="008B1E77">
        <w:rPr>
          <w:rFonts w:ascii="ITC Avant Garde" w:hAnsi="ITC Avant Garde" w:cs="Arial"/>
          <w:b/>
          <w:color w:val="000000"/>
        </w:rPr>
        <w:t>Cablevisión</w:t>
      </w:r>
      <w:r w:rsidR="00CA21B1" w:rsidRPr="008B1E77">
        <w:rPr>
          <w:rFonts w:ascii="ITC Avant Garde" w:hAnsi="ITC Avant Garde" w:cs="Arial"/>
          <w:b/>
          <w:color w:val="000000"/>
        </w:rPr>
        <w:t>”</w:t>
      </w:r>
      <w:r w:rsidR="00A62E43" w:rsidRPr="008B1E77">
        <w:rPr>
          <w:rFonts w:ascii="ITC Avant Garde" w:hAnsi="ITC Avant Garde" w:cs="Arial"/>
          <w:color w:val="000000"/>
        </w:rPr>
        <w:t>)</w:t>
      </w:r>
      <w:r w:rsidR="00CA21B1" w:rsidRPr="008B1E77">
        <w:rPr>
          <w:rFonts w:ascii="ITC Avant Garde" w:hAnsi="ITC Avant Garde" w:cs="Arial"/>
          <w:color w:val="000000"/>
        </w:rPr>
        <w:t>.</w:t>
      </w:r>
    </w:p>
    <w:p w14:paraId="5FEEEA29" w14:textId="77777777" w:rsidR="0020475D" w:rsidRPr="008B1E77" w:rsidRDefault="004A1A47" w:rsidP="00E11A34">
      <w:pPr>
        <w:pStyle w:val="Prrafodelista"/>
        <w:numPr>
          <w:ilvl w:val="0"/>
          <w:numId w:val="1"/>
        </w:numPr>
        <w:spacing w:line="240" w:lineRule="auto"/>
        <w:jc w:val="both"/>
        <w:rPr>
          <w:rFonts w:ascii="ITC Avant Garde" w:hAnsi="ITC Avant Garde" w:cs="Arial"/>
          <w:color w:val="000000"/>
        </w:rPr>
      </w:pPr>
      <w:r w:rsidRPr="008B1E77">
        <w:rPr>
          <w:rFonts w:ascii="ITC Avant Garde" w:hAnsi="ITC Avant Garde" w:cs="Arial"/>
          <w:color w:val="000000"/>
        </w:rPr>
        <w:lastRenderedPageBreak/>
        <w:t>Cámara Nacional de la Industria Electrónica, de Telecomunicaciones y Tecnologías de la Información</w:t>
      </w:r>
      <w:r w:rsidR="00CA21B1" w:rsidRPr="008B1E77">
        <w:rPr>
          <w:rFonts w:ascii="ITC Avant Garde" w:hAnsi="ITC Avant Garde" w:cs="Arial"/>
          <w:color w:val="000000"/>
        </w:rPr>
        <w:t xml:space="preserve"> (en lo sucesivo, </w:t>
      </w:r>
      <w:r w:rsidR="00CA21B1" w:rsidRPr="008B1E77">
        <w:rPr>
          <w:rFonts w:ascii="ITC Avant Garde" w:hAnsi="ITC Avant Garde" w:cs="Arial"/>
          <w:b/>
          <w:color w:val="000000"/>
        </w:rPr>
        <w:t>“CANIETI”</w:t>
      </w:r>
      <w:r w:rsidR="00CA21B1" w:rsidRPr="008B1E77">
        <w:rPr>
          <w:rFonts w:ascii="ITC Avant Garde" w:hAnsi="ITC Avant Garde" w:cs="Arial"/>
          <w:color w:val="000000"/>
        </w:rPr>
        <w:t>).</w:t>
      </w:r>
    </w:p>
    <w:p w14:paraId="6B9A0497" w14:textId="77777777" w:rsidR="0020475D" w:rsidRPr="008B1E77" w:rsidRDefault="004A1A47" w:rsidP="00E11A34">
      <w:pPr>
        <w:pStyle w:val="Prrafodelista"/>
        <w:numPr>
          <w:ilvl w:val="0"/>
          <w:numId w:val="1"/>
        </w:numPr>
        <w:spacing w:line="240" w:lineRule="auto"/>
        <w:jc w:val="both"/>
        <w:rPr>
          <w:rFonts w:ascii="ITC Avant Garde" w:hAnsi="ITC Avant Garde" w:cs="Arial"/>
          <w:color w:val="000000"/>
        </w:rPr>
      </w:pPr>
      <w:r w:rsidRPr="008B1E77">
        <w:rPr>
          <w:rFonts w:ascii="ITC Avant Garde" w:hAnsi="ITC Avant Garde" w:cs="Arial"/>
          <w:color w:val="000000"/>
        </w:rPr>
        <w:t>Pegaso PCS, S.A. de C.V.</w:t>
      </w:r>
      <w:r w:rsidR="00CA21B1" w:rsidRPr="008B1E77">
        <w:rPr>
          <w:rFonts w:ascii="ITC Avant Garde" w:hAnsi="ITC Avant Garde" w:cs="Arial"/>
          <w:color w:val="000000"/>
        </w:rPr>
        <w:t xml:space="preserve"> (en lo sucesivo, </w:t>
      </w:r>
      <w:r w:rsidR="00CA21B1" w:rsidRPr="008B1E77">
        <w:rPr>
          <w:rFonts w:ascii="ITC Avant Garde" w:hAnsi="ITC Avant Garde" w:cs="Arial"/>
          <w:b/>
          <w:color w:val="000000"/>
        </w:rPr>
        <w:t>“Telefónica”</w:t>
      </w:r>
      <w:r w:rsidR="00CA21B1" w:rsidRPr="008B1E77">
        <w:rPr>
          <w:rFonts w:ascii="ITC Avant Garde" w:hAnsi="ITC Avant Garde" w:cs="Arial"/>
          <w:color w:val="000000"/>
        </w:rPr>
        <w:t>).</w:t>
      </w:r>
    </w:p>
    <w:p w14:paraId="0EAF0759" w14:textId="77777777" w:rsidR="0020475D" w:rsidRPr="008B1E77" w:rsidRDefault="004A1A47" w:rsidP="00E11A34">
      <w:pPr>
        <w:pStyle w:val="Prrafodelista"/>
        <w:numPr>
          <w:ilvl w:val="0"/>
          <w:numId w:val="1"/>
        </w:numPr>
        <w:spacing w:line="240" w:lineRule="auto"/>
        <w:jc w:val="both"/>
        <w:rPr>
          <w:rFonts w:ascii="ITC Avant Garde" w:hAnsi="ITC Avant Garde" w:cs="Arial"/>
          <w:color w:val="000000"/>
        </w:rPr>
      </w:pPr>
      <w:r w:rsidRPr="008B1E77">
        <w:rPr>
          <w:rFonts w:ascii="ITC Avant Garde" w:hAnsi="ITC Avant Garde" w:cs="Arial"/>
          <w:color w:val="000000"/>
        </w:rPr>
        <w:t>Radiomóvil Dipsa, S.A. de C.V.</w:t>
      </w:r>
      <w:r w:rsidR="00CA21B1" w:rsidRPr="008B1E77">
        <w:rPr>
          <w:rFonts w:ascii="ITC Avant Garde" w:hAnsi="ITC Avant Garde" w:cs="Arial"/>
          <w:color w:val="000000"/>
        </w:rPr>
        <w:t xml:space="preserve"> (en lo sucesivo, </w:t>
      </w:r>
      <w:r w:rsidR="00CA21B1" w:rsidRPr="008B1E77">
        <w:rPr>
          <w:rFonts w:ascii="ITC Avant Garde" w:hAnsi="ITC Avant Garde" w:cs="Arial"/>
          <w:b/>
          <w:color w:val="000000"/>
        </w:rPr>
        <w:t>“Telcel”</w:t>
      </w:r>
      <w:r w:rsidR="00CA21B1" w:rsidRPr="008B1E77">
        <w:rPr>
          <w:rFonts w:ascii="ITC Avant Garde" w:hAnsi="ITC Avant Garde" w:cs="Arial"/>
          <w:color w:val="000000"/>
        </w:rPr>
        <w:t>).</w:t>
      </w:r>
    </w:p>
    <w:p w14:paraId="6BB9A9C9" w14:textId="77777777" w:rsidR="00A62E43" w:rsidRPr="008B1E77" w:rsidRDefault="00A62E43" w:rsidP="00E11A34">
      <w:pPr>
        <w:spacing w:line="240" w:lineRule="auto"/>
        <w:jc w:val="both"/>
        <w:rPr>
          <w:rFonts w:ascii="ITC Avant Garde" w:hAnsi="ITC Avant Garde" w:cs="Arial"/>
          <w:color w:val="000000"/>
        </w:rPr>
      </w:pPr>
    </w:p>
    <w:p w14:paraId="4CB376A9" w14:textId="77777777" w:rsidR="0020475D" w:rsidRPr="008B1E77" w:rsidRDefault="0020475D" w:rsidP="00E11A34">
      <w:pPr>
        <w:spacing w:line="240" w:lineRule="auto"/>
        <w:jc w:val="both"/>
        <w:rPr>
          <w:rFonts w:ascii="ITC Avant Garde" w:hAnsi="ITC Avant Garde" w:cs="Arial"/>
          <w:color w:val="000000"/>
        </w:rPr>
      </w:pPr>
      <w:r w:rsidRPr="008B1E77">
        <w:rPr>
          <w:rFonts w:ascii="ITC Avant Garde" w:hAnsi="ITC Avant Garde" w:cs="Arial"/>
          <w:color w:val="000000"/>
        </w:rPr>
        <w:t>En el análisis realizado a los datos recopilados durante la consulta públi</w:t>
      </w:r>
      <w:r w:rsidR="006A0F1D" w:rsidRPr="008B1E77">
        <w:rPr>
          <w:rFonts w:ascii="ITC Avant Garde" w:hAnsi="ITC Avant Garde" w:cs="Arial"/>
          <w:color w:val="000000"/>
        </w:rPr>
        <w:t>ca se encontró que</w:t>
      </w:r>
      <w:r w:rsidR="007E0C25" w:rsidRPr="008B1E77">
        <w:rPr>
          <w:rFonts w:ascii="ITC Avant Garde" w:hAnsi="ITC Avant Garde" w:cs="Arial"/>
          <w:color w:val="000000"/>
        </w:rPr>
        <w:t xml:space="preserve"> los temas</w:t>
      </w:r>
      <w:r w:rsidRPr="008B1E77">
        <w:rPr>
          <w:rFonts w:ascii="ITC Avant Garde" w:hAnsi="ITC Avant Garde" w:cs="Arial"/>
          <w:color w:val="000000"/>
        </w:rPr>
        <w:t xml:space="preserve"> más </w:t>
      </w:r>
      <w:r w:rsidR="0068402A" w:rsidRPr="008B1E77">
        <w:rPr>
          <w:rFonts w:ascii="ITC Avant Garde" w:hAnsi="ITC Avant Garde" w:cs="Arial"/>
          <w:color w:val="000000"/>
        </w:rPr>
        <w:t>recurrente</w:t>
      </w:r>
      <w:r w:rsidRPr="008B1E77">
        <w:rPr>
          <w:rFonts w:ascii="ITC Avant Garde" w:hAnsi="ITC Avant Garde" w:cs="Arial"/>
          <w:color w:val="000000"/>
        </w:rPr>
        <w:t>s fueron:</w:t>
      </w:r>
    </w:p>
    <w:tbl>
      <w:tblPr>
        <w:tblStyle w:val="Tabladelista6concolores11"/>
        <w:tblW w:w="7938" w:type="dxa"/>
        <w:jc w:val="center"/>
        <w:tblLayout w:type="fixed"/>
        <w:tblLook w:val="04A0" w:firstRow="1" w:lastRow="0" w:firstColumn="1" w:lastColumn="0" w:noHBand="0" w:noVBand="1"/>
      </w:tblPr>
      <w:tblGrid>
        <w:gridCol w:w="6237"/>
        <w:gridCol w:w="1701"/>
      </w:tblGrid>
      <w:tr w:rsidR="0068402A" w:rsidRPr="008B1E77" w14:paraId="438E77CB" w14:textId="77777777" w:rsidTr="003C452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7" w:type="dxa"/>
            <w:vAlign w:val="center"/>
          </w:tcPr>
          <w:p w14:paraId="1BDC07F0" w14:textId="77777777" w:rsidR="0068402A" w:rsidRPr="00DE6B25" w:rsidRDefault="0068402A" w:rsidP="00E11A34">
            <w:pPr>
              <w:jc w:val="center"/>
              <w:rPr>
                <w:rFonts w:ascii="ITC Avant Garde" w:hAnsi="ITC Avant Garde"/>
              </w:rPr>
            </w:pPr>
            <w:r w:rsidRPr="00DE6B25">
              <w:rPr>
                <w:rFonts w:ascii="ITC Avant Garde" w:hAnsi="ITC Avant Garde"/>
              </w:rPr>
              <w:t>Tema</w:t>
            </w:r>
          </w:p>
        </w:tc>
        <w:tc>
          <w:tcPr>
            <w:tcW w:w="1701" w:type="dxa"/>
            <w:vAlign w:val="center"/>
          </w:tcPr>
          <w:p w14:paraId="63295428" w14:textId="77777777" w:rsidR="0068402A" w:rsidRPr="00DE6B25" w:rsidRDefault="0068402A" w:rsidP="00E11A34">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rPr>
            </w:pPr>
            <w:r w:rsidRPr="00DE6B25">
              <w:rPr>
                <w:rFonts w:ascii="ITC Avant Garde" w:hAnsi="ITC Avant Garde"/>
              </w:rPr>
              <w:t>Número de comentarios</w:t>
            </w:r>
          </w:p>
        </w:tc>
      </w:tr>
      <w:tr w:rsidR="0068402A" w:rsidRPr="008B1E77" w14:paraId="2D86EBAB" w14:textId="77777777" w:rsidTr="003C45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7" w:type="dxa"/>
            <w:vAlign w:val="center"/>
          </w:tcPr>
          <w:p w14:paraId="4B968ADA" w14:textId="77777777" w:rsidR="0068402A" w:rsidRPr="008B1E77" w:rsidRDefault="0068402A" w:rsidP="00E11A34">
            <w:pPr>
              <w:rPr>
                <w:rFonts w:ascii="ITC Avant Garde" w:hAnsi="ITC Avant Garde"/>
                <w:sz w:val="20"/>
                <w:szCs w:val="20"/>
              </w:rPr>
            </w:pPr>
            <w:r w:rsidRPr="008B1E77">
              <w:rPr>
                <w:rFonts w:ascii="ITC Avant Garde" w:hAnsi="ITC Avant Garde"/>
                <w:sz w:val="20"/>
                <w:szCs w:val="20"/>
              </w:rPr>
              <w:t>Desglose de precios de los servicios en planes o paquetes</w:t>
            </w:r>
          </w:p>
        </w:tc>
        <w:tc>
          <w:tcPr>
            <w:tcW w:w="1701" w:type="dxa"/>
            <w:vAlign w:val="center"/>
          </w:tcPr>
          <w:p w14:paraId="69599A72" w14:textId="77777777" w:rsidR="0068402A" w:rsidRPr="008B1E77" w:rsidRDefault="0068402A" w:rsidP="00E11A3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sidRPr="008B1E77">
              <w:rPr>
                <w:rFonts w:ascii="ITC Avant Garde" w:hAnsi="ITC Avant Garde"/>
                <w:sz w:val="20"/>
                <w:szCs w:val="20"/>
              </w:rPr>
              <w:t>4</w:t>
            </w:r>
          </w:p>
        </w:tc>
      </w:tr>
      <w:tr w:rsidR="0068402A" w:rsidRPr="008B1E77" w14:paraId="18CCF60F" w14:textId="77777777" w:rsidTr="003C4529">
        <w:trPr>
          <w:jc w:val="center"/>
        </w:trPr>
        <w:tc>
          <w:tcPr>
            <w:cnfStyle w:val="001000000000" w:firstRow="0" w:lastRow="0" w:firstColumn="1" w:lastColumn="0" w:oddVBand="0" w:evenVBand="0" w:oddHBand="0" w:evenHBand="0" w:firstRowFirstColumn="0" w:firstRowLastColumn="0" w:lastRowFirstColumn="0" w:lastRowLastColumn="0"/>
            <w:tcW w:w="6237" w:type="dxa"/>
            <w:vAlign w:val="center"/>
          </w:tcPr>
          <w:p w14:paraId="2C0BDA4F" w14:textId="77777777" w:rsidR="0068402A" w:rsidRPr="008B1E77" w:rsidRDefault="0068402A" w:rsidP="00E11A34">
            <w:pPr>
              <w:rPr>
                <w:rFonts w:ascii="ITC Avant Garde" w:hAnsi="ITC Avant Garde"/>
                <w:sz w:val="20"/>
                <w:szCs w:val="20"/>
              </w:rPr>
            </w:pPr>
            <w:r w:rsidRPr="008B1E77">
              <w:rPr>
                <w:rFonts w:ascii="ITC Avant Garde" w:hAnsi="ITC Avant Garde"/>
                <w:sz w:val="20"/>
                <w:szCs w:val="20"/>
              </w:rPr>
              <w:t>Comercialización de tarifas aprobadas</w:t>
            </w:r>
          </w:p>
        </w:tc>
        <w:tc>
          <w:tcPr>
            <w:tcW w:w="1701" w:type="dxa"/>
            <w:vAlign w:val="center"/>
          </w:tcPr>
          <w:p w14:paraId="5DC2E4B6" w14:textId="77777777" w:rsidR="0068402A" w:rsidRPr="008B1E77" w:rsidRDefault="0068402A" w:rsidP="00E11A3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sidRPr="008B1E77">
              <w:rPr>
                <w:rFonts w:ascii="ITC Avant Garde" w:hAnsi="ITC Avant Garde"/>
                <w:sz w:val="20"/>
                <w:szCs w:val="20"/>
              </w:rPr>
              <w:t>2</w:t>
            </w:r>
          </w:p>
        </w:tc>
      </w:tr>
      <w:tr w:rsidR="0068402A" w:rsidRPr="008B1E77" w14:paraId="5C0D2D10" w14:textId="77777777" w:rsidTr="003C45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7" w:type="dxa"/>
            <w:vAlign w:val="center"/>
          </w:tcPr>
          <w:p w14:paraId="0A084C0F" w14:textId="77777777" w:rsidR="0068402A" w:rsidRPr="008B1E77" w:rsidRDefault="0068402A" w:rsidP="00E11A34">
            <w:pPr>
              <w:rPr>
                <w:rFonts w:ascii="ITC Avant Garde" w:hAnsi="ITC Avant Garde"/>
                <w:sz w:val="20"/>
                <w:szCs w:val="20"/>
              </w:rPr>
            </w:pPr>
            <w:r w:rsidRPr="008B1E77">
              <w:rPr>
                <w:rFonts w:ascii="ITC Avant Garde" w:hAnsi="ITC Avant Garde"/>
                <w:sz w:val="20"/>
                <w:szCs w:val="20"/>
              </w:rPr>
              <w:t xml:space="preserve">Publicidad de la información </w:t>
            </w:r>
          </w:p>
        </w:tc>
        <w:tc>
          <w:tcPr>
            <w:tcW w:w="1701" w:type="dxa"/>
            <w:vAlign w:val="center"/>
          </w:tcPr>
          <w:p w14:paraId="7B5A8E2C" w14:textId="77777777" w:rsidR="0068402A" w:rsidRPr="008B1E77" w:rsidRDefault="0068402A" w:rsidP="00E11A3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sidRPr="008B1E77">
              <w:rPr>
                <w:rFonts w:ascii="ITC Avant Garde" w:hAnsi="ITC Avant Garde"/>
                <w:sz w:val="20"/>
                <w:szCs w:val="20"/>
              </w:rPr>
              <w:t>2</w:t>
            </w:r>
          </w:p>
        </w:tc>
      </w:tr>
      <w:tr w:rsidR="0068402A" w:rsidRPr="008B1E77" w14:paraId="0E9BEF80" w14:textId="77777777" w:rsidTr="003C4529">
        <w:trPr>
          <w:jc w:val="center"/>
        </w:trPr>
        <w:tc>
          <w:tcPr>
            <w:cnfStyle w:val="001000000000" w:firstRow="0" w:lastRow="0" w:firstColumn="1" w:lastColumn="0" w:oddVBand="0" w:evenVBand="0" w:oddHBand="0" w:evenHBand="0" w:firstRowFirstColumn="0" w:firstRowLastColumn="0" w:lastRowFirstColumn="0" w:lastRowLastColumn="0"/>
            <w:tcW w:w="6237" w:type="dxa"/>
            <w:vAlign w:val="center"/>
          </w:tcPr>
          <w:p w14:paraId="00869B0E" w14:textId="77777777" w:rsidR="0068402A" w:rsidRPr="008B1E77" w:rsidRDefault="0068402A" w:rsidP="00E11A34">
            <w:pPr>
              <w:rPr>
                <w:rFonts w:ascii="ITC Avant Garde" w:hAnsi="ITC Avant Garde"/>
                <w:sz w:val="20"/>
                <w:szCs w:val="20"/>
              </w:rPr>
            </w:pPr>
            <w:r w:rsidRPr="008B1E77">
              <w:rPr>
                <w:rFonts w:ascii="ITC Avant Garde" w:hAnsi="ITC Avant Garde"/>
                <w:sz w:val="20"/>
                <w:szCs w:val="20"/>
              </w:rPr>
              <w:t>Distinción de los procedimientos de autorización y registro</w:t>
            </w:r>
          </w:p>
        </w:tc>
        <w:tc>
          <w:tcPr>
            <w:tcW w:w="1701" w:type="dxa"/>
            <w:vAlign w:val="center"/>
          </w:tcPr>
          <w:p w14:paraId="46F70C34" w14:textId="77777777" w:rsidR="0068402A" w:rsidRPr="008B1E77" w:rsidRDefault="0068402A" w:rsidP="00E11A3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sidRPr="008B1E77">
              <w:rPr>
                <w:rFonts w:ascii="ITC Avant Garde" w:hAnsi="ITC Avant Garde"/>
                <w:sz w:val="20"/>
                <w:szCs w:val="20"/>
              </w:rPr>
              <w:t>1</w:t>
            </w:r>
          </w:p>
        </w:tc>
      </w:tr>
      <w:tr w:rsidR="0068402A" w:rsidRPr="008B1E77" w14:paraId="4F7191E3" w14:textId="77777777" w:rsidTr="003C45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7" w:type="dxa"/>
            <w:vAlign w:val="center"/>
          </w:tcPr>
          <w:p w14:paraId="0F3FC0D1" w14:textId="77777777" w:rsidR="0068402A" w:rsidRPr="008B1E77" w:rsidRDefault="0068402A" w:rsidP="00E11A34">
            <w:pPr>
              <w:rPr>
                <w:rFonts w:ascii="ITC Avant Garde" w:hAnsi="ITC Avant Garde"/>
                <w:sz w:val="20"/>
                <w:szCs w:val="20"/>
              </w:rPr>
            </w:pPr>
            <w:r w:rsidRPr="008B1E77">
              <w:rPr>
                <w:rFonts w:ascii="ITC Avant Garde" w:hAnsi="ITC Avant Garde"/>
                <w:sz w:val="20"/>
                <w:szCs w:val="20"/>
              </w:rPr>
              <w:t>Expedición de constancia</w:t>
            </w:r>
          </w:p>
        </w:tc>
        <w:tc>
          <w:tcPr>
            <w:tcW w:w="1701" w:type="dxa"/>
            <w:vAlign w:val="center"/>
          </w:tcPr>
          <w:p w14:paraId="1BD4D810" w14:textId="77777777" w:rsidR="0068402A" w:rsidRPr="008B1E77" w:rsidRDefault="0068402A" w:rsidP="00E11A3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sidRPr="008B1E77">
              <w:rPr>
                <w:rFonts w:ascii="ITC Avant Garde" w:hAnsi="ITC Avant Garde"/>
                <w:sz w:val="20"/>
                <w:szCs w:val="20"/>
              </w:rPr>
              <w:t>2</w:t>
            </w:r>
          </w:p>
        </w:tc>
      </w:tr>
      <w:tr w:rsidR="0068402A" w:rsidRPr="008B1E77" w14:paraId="6F4763AA" w14:textId="77777777" w:rsidTr="003C4529">
        <w:trPr>
          <w:jc w:val="center"/>
        </w:trPr>
        <w:tc>
          <w:tcPr>
            <w:cnfStyle w:val="001000000000" w:firstRow="0" w:lastRow="0" w:firstColumn="1" w:lastColumn="0" w:oddVBand="0" w:evenVBand="0" w:oddHBand="0" w:evenHBand="0" w:firstRowFirstColumn="0" w:firstRowLastColumn="0" w:lastRowFirstColumn="0" w:lastRowLastColumn="0"/>
            <w:tcW w:w="6237" w:type="dxa"/>
            <w:vAlign w:val="center"/>
          </w:tcPr>
          <w:p w14:paraId="52F69485" w14:textId="77777777" w:rsidR="0068402A" w:rsidRPr="008B1E77" w:rsidRDefault="0068402A" w:rsidP="00E11A34">
            <w:pPr>
              <w:rPr>
                <w:rFonts w:ascii="ITC Avant Garde" w:hAnsi="ITC Avant Garde"/>
                <w:sz w:val="20"/>
                <w:szCs w:val="20"/>
              </w:rPr>
            </w:pPr>
            <w:r w:rsidRPr="008B1E77">
              <w:rPr>
                <w:rFonts w:ascii="ITC Avant Garde" w:hAnsi="ITC Avant Garde"/>
                <w:sz w:val="20"/>
                <w:szCs w:val="20"/>
              </w:rPr>
              <w:t>Inclusión de criterios regulatorios como penalizaciones a los usuarios finales</w:t>
            </w:r>
          </w:p>
        </w:tc>
        <w:tc>
          <w:tcPr>
            <w:tcW w:w="1701" w:type="dxa"/>
            <w:vAlign w:val="center"/>
          </w:tcPr>
          <w:p w14:paraId="58AC9119" w14:textId="77777777" w:rsidR="0068402A" w:rsidRPr="008B1E77" w:rsidRDefault="0068402A" w:rsidP="00E11A3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sidRPr="008B1E77">
              <w:rPr>
                <w:rFonts w:ascii="ITC Avant Garde" w:hAnsi="ITC Avant Garde"/>
                <w:sz w:val="20"/>
                <w:szCs w:val="20"/>
              </w:rPr>
              <w:t>2</w:t>
            </w:r>
          </w:p>
        </w:tc>
      </w:tr>
      <w:tr w:rsidR="0068402A" w:rsidRPr="008B1E77" w14:paraId="00113995" w14:textId="77777777" w:rsidTr="003C45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7" w:type="dxa"/>
            <w:vAlign w:val="center"/>
          </w:tcPr>
          <w:p w14:paraId="20C76D11" w14:textId="77777777" w:rsidR="0068402A" w:rsidRPr="008B1E77" w:rsidRDefault="0068402A" w:rsidP="00E11A34">
            <w:pPr>
              <w:rPr>
                <w:rFonts w:ascii="ITC Avant Garde" w:hAnsi="ITC Avant Garde"/>
                <w:sz w:val="20"/>
                <w:szCs w:val="20"/>
              </w:rPr>
            </w:pPr>
            <w:r w:rsidRPr="008B1E77">
              <w:rPr>
                <w:rFonts w:ascii="ITC Avant Garde" w:hAnsi="ITC Avant Garde"/>
                <w:sz w:val="20"/>
                <w:szCs w:val="20"/>
              </w:rPr>
              <w:t>Inclusión de criterios de regulatorios para el AEP y el AEPSM</w:t>
            </w:r>
          </w:p>
        </w:tc>
        <w:tc>
          <w:tcPr>
            <w:tcW w:w="1701" w:type="dxa"/>
            <w:vAlign w:val="center"/>
          </w:tcPr>
          <w:p w14:paraId="1DAFE5D7" w14:textId="77777777" w:rsidR="0068402A" w:rsidRPr="008B1E77" w:rsidRDefault="0068402A" w:rsidP="00E11A3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sidRPr="008B1E77">
              <w:rPr>
                <w:rFonts w:ascii="ITC Avant Garde" w:hAnsi="ITC Avant Garde"/>
                <w:sz w:val="20"/>
                <w:szCs w:val="20"/>
              </w:rPr>
              <w:t>5</w:t>
            </w:r>
          </w:p>
        </w:tc>
      </w:tr>
      <w:tr w:rsidR="0068402A" w:rsidRPr="008B1E77" w14:paraId="3C037E9E" w14:textId="77777777" w:rsidTr="003C4529">
        <w:trPr>
          <w:jc w:val="center"/>
        </w:trPr>
        <w:tc>
          <w:tcPr>
            <w:cnfStyle w:val="001000000000" w:firstRow="0" w:lastRow="0" w:firstColumn="1" w:lastColumn="0" w:oddVBand="0" w:evenVBand="0" w:oddHBand="0" w:evenHBand="0" w:firstRowFirstColumn="0" w:firstRowLastColumn="0" w:lastRowFirstColumn="0" w:lastRowLastColumn="0"/>
            <w:tcW w:w="6237" w:type="dxa"/>
            <w:vAlign w:val="center"/>
          </w:tcPr>
          <w:p w14:paraId="2FDABFC1" w14:textId="77777777" w:rsidR="0068402A" w:rsidRPr="008B1E77" w:rsidRDefault="0068402A" w:rsidP="00E11A34">
            <w:pPr>
              <w:rPr>
                <w:rFonts w:ascii="ITC Avant Garde" w:hAnsi="ITC Avant Garde"/>
                <w:sz w:val="20"/>
                <w:szCs w:val="20"/>
              </w:rPr>
            </w:pPr>
            <w:r w:rsidRPr="008B1E77">
              <w:rPr>
                <w:rFonts w:ascii="ITC Avant Garde" w:hAnsi="ITC Avant Garde"/>
                <w:sz w:val="20"/>
                <w:szCs w:val="20"/>
              </w:rPr>
              <w:t>Plazos para resolver</w:t>
            </w:r>
          </w:p>
        </w:tc>
        <w:tc>
          <w:tcPr>
            <w:tcW w:w="1701" w:type="dxa"/>
            <w:vAlign w:val="center"/>
          </w:tcPr>
          <w:p w14:paraId="75FB128C" w14:textId="77777777" w:rsidR="0068402A" w:rsidRPr="008B1E77" w:rsidRDefault="0068402A" w:rsidP="00E11A3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sidRPr="008B1E77">
              <w:rPr>
                <w:rFonts w:ascii="ITC Avant Garde" w:hAnsi="ITC Avant Garde"/>
                <w:sz w:val="20"/>
                <w:szCs w:val="20"/>
              </w:rPr>
              <w:t>7</w:t>
            </w:r>
          </w:p>
        </w:tc>
      </w:tr>
      <w:tr w:rsidR="0068402A" w:rsidRPr="008B1E77" w14:paraId="0106CD5F" w14:textId="77777777" w:rsidTr="003C45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7" w:type="dxa"/>
            <w:vAlign w:val="center"/>
          </w:tcPr>
          <w:p w14:paraId="6D1D53AE" w14:textId="77777777" w:rsidR="0068402A" w:rsidRPr="008B1E77" w:rsidRDefault="0068402A" w:rsidP="00E11A34">
            <w:pPr>
              <w:rPr>
                <w:rFonts w:ascii="ITC Avant Garde" w:hAnsi="ITC Avant Garde"/>
                <w:sz w:val="20"/>
                <w:szCs w:val="20"/>
              </w:rPr>
            </w:pPr>
            <w:r w:rsidRPr="008B1E77">
              <w:rPr>
                <w:rFonts w:ascii="ITC Avant Garde" w:hAnsi="ITC Avant Garde"/>
                <w:sz w:val="20"/>
                <w:szCs w:val="20"/>
              </w:rPr>
              <w:t>Solicitud de cancelación</w:t>
            </w:r>
          </w:p>
        </w:tc>
        <w:tc>
          <w:tcPr>
            <w:tcW w:w="1701" w:type="dxa"/>
            <w:vAlign w:val="center"/>
          </w:tcPr>
          <w:p w14:paraId="192023B6" w14:textId="77777777" w:rsidR="0068402A" w:rsidRPr="008B1E77" w:rsidRDefault="0068402A" w:rsidP="00E11A3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sidRPr="008B1E77">
              <w:rPr>
                <w:rFonts w:ascii="ITC Avant Garde" w:hAnsi="ITC Avant Garde"/>
                <w:sz w:val="20"/>
                <w:szCs w:val="20"/>
              </w:rPr>
              <w:t>4</w:t>
            </w:r>
          </w:p>
        </w:tc>
      </w:tr>
      <w:tr w:rsidR="0068402A" w:rsidRPr="008B1E77" w14:paraId="3505C80C" w14:textId="77777777" w:rsidTr="003C4529">
        <w:trPr>
          <w:jc w:val="center"/>
        </w:trPr>
        <w:tc>
          <w:tcPr>
            <w:cnfStyle w:val="001000000000" w:firstRow="0" w:lastRow="0" w:firstColumn="1" w:lastColumn="0" w:oddVBand="0" w:evenVBand="0" w:oddHBand="0" w:evenHBand="0" w:firstRowFirstColumn="0" w:firstRowLastColumn="0" w:lastRowFirstColumn="0" w:lastRowLastColumn="0"/>
            <w:tcW w:w="6237" w:type="dxa"/>
            <w:vAlign w:val="center"/>
          </w:tcPr>
          <w:p w14:paraId="7D01573A" w14:textId="77777777" w:rsidR="0068402A" w:rsidRPr="008B1E77" w:rsidRDefault="0068402A" w:rsidP="00E11A34">
            <w:pPr>
              <w:rPr>
                <w:rFonts w:ascii="ITC Avant Garde" w:hAnsi="ITC Avant Garde"/>
                <w:sz w:val="20"/>
                <w:szCs w:val="20"/>
              </w:rPr>
            </w:pPr>
            <w:r w:rsidRPr="008B1E77">
              <w:rPr>
                <w:rFonts w:ascii="ITC Avant Garde" w:hAnsi="ITC Avant Garde"/>
                <w:sz w:val="20"/>
                <w:szCs w:val="20"/>
              </w:rPr>
              <w:t>Facultad del Instituto para suspender o cancelar una tarifa</w:t>
            </w:r>
          </w:p>
        </w:tc>
        <w:tc>
          <w:tcPr>
            <w:tcW w:w="1701" w:type="dxa"/>
            <w:vAlign w:val="center"/>
          </w:tcPr>
          <w:p w14:paraId="377C423C" w14:textId="77777777" w:rsidR="0068402A" w:rsidRPr="008B1E77" w:rsidRDefault="0068402A" w:rsidP="00E11A3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sidRPr="008B1E77">
              <w:rPr>
                <w:rFonts w:ascii="ITC Avant Garde" w:hAnsi="ITC Avant Garde"/>
                <w:sz w:val="20"/>
                <w:szCs w:val="20"/>
              </w:rPr>
              <w:t>5</w:t>
            </w:r>
          </w:p>
        </w:tc>
      </w:tr>
      <w:tr w:rsidR="0068402A" w:rsidRPr="008B1E77" w14:paraId="324291D5" w14:textId="77777777" w:rsidTr="003C45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7" w:type="dxa"/>
            <w:vAlign w:val="center"/>
          </w:tcPr>
          <w:p w14:paraId="39D83C71" w14:textId="77777777" w:rsidR="0068402A" w:rsidRPr="008B1E77" w:rsidRDefault="0068402A" w:rsidP="00E11A34">
            <w:pPr>
              <w:rPr>
                <w:rFonts w:ascii="ITC Avant Garde" w:hAnsi="ITC Avant Garde"/>
                <w:sz w:val="20"/>
                <w:szCs w:val="20"/>
              </w:rPr>
            </w:pPr>
            <w:r w:rsidRPr="008B1E77">
              <w:rPr>
                <w:rFonts w:ascii="ITC Avant Garde" w:hAnsi="ITC Avant Garde"/>
                <w:sz w:val="20"/>
                <w:szCs w:val="20"/>
              </w:rPr>
              <w:t>Entrada en vigor</w:t>
            </w:r>
          </w:p>
        </w:tc>
        <w:tc>
          <w:tcPr>
            <w:tcW w:w="1701" w:type="dxa"/>
            <w:vAlign w:val="center"/>
          </w:tcPr>
          <w:p w14:paraId="37938ADA" w14:textId="77777777" w:rsidR="0068402A" w:rsidRPr="008B1E77" w:rsidRDefault="0068402A" w:rsidP="00E11A3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sidRPr="008B1E77">
              <w:rPr>
                <w:rFonts w:ascii="ITC Avant Garde" w:hAnsi="ITC Avant Garde"/>
                <w:sz w:val="20"/>
                <w:szCs w:val="20"/>
              </w:rPr>
              <w:t>2</w:t>
            </w:r>
          </w:p>
        </w:tc>
      </w:tr>
      <w:tr w:rsidR="0068402A" w:rsidRPr="008B1E77" w14:paraId="5707DD64" w14:textId="77777777" w:rsidTr="003C4529">
        <w:trPr>
          <w:jc w:val="center"/>
        </w:trPr>
        <w:tc>
          <w:tcPr>
            <w:cnfStyle w:val="001000000000" w:firstRow="0" w:lastRow="0" w:firstColumn="1" w:lastColumn="0" w:oddVBand="0" w:evenVBand="0" w:oddHBand="0" w:evenHBand="0" w:firstRowFirstColumn="0" w:firstRowLastColumn="0" w:lastRowFirstColumn="0" w:lastRowLastColumn="0"/>
            <w:tcW w:w="6237" w:type="dxa"/>
            <w:vAlign w:val="center"/>
          </w:tcPr>
          <w:p w14:paraId="3EE15A8A" w14:textId="77777777" w:rsidR="0068402A" w:rsidRPr="008B1E77" w:rsidRDefault="0068402A" w:rsidP="00E11A34">
            <w:pPr>
              <w:rPr>
                <w:rFonts w:ascii="ITC Avant Garde" w:hAnsi="ITC Avant Garde"/>
                <w:sz w:val="20"/>
                <w:szCs w:val="20"/>
              </w:rPr>
            </w:pPr>
            <w:r w:rsidRPr="008B1E77">
              <w:rPr>
                <w:rFonts w:ascii="ITC Avant Garde" w:hAnsi="ITC Avant Garde"/>
                <w:sz w:val="20"/>
                <w:szCs w:val="20"/>
              </w:rPr>
              <w:t>Modificación a los formatos</w:t>
            </w:r>
          </w:p>
        </w:tc>
        <w:tc>
          <w:tcPr>
            <w:tcW w:w="1701" w:type="dxa"/>
            <w:vAlign w:val="center"/>
          </w:tcPr>
          <w:p w14:paraId="665B48E1" w14:textId="77777777" w:rsidR="0068402A" w:rsidRPr="008B1E77" w:rsidRDefault="0068402A" w:rsidP="00E11A34">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sidRPr="008B1E77">
              <w:rPr>
                <w:rFonts w:ascii="ITC Avant Garde" w:hAnsi="ITC Avant Garde"/>
                <w:sz w:val="20"/>
                <w:szCs w:val="20"/>
              </w:rPr>
              <w:t>29</w:t>
            </w:r>
          </w:p>
        </w:tc>
      </w:tr>
      <w:tr w:rsidR="0068402A" w:rsidRPr="008B1E77" w14:paraId="1FC93C6A" w14:textId="77777777" w:rsidTr="003C45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7" w:type="dxa"/>
            <w:vAlign w:val="center"/>
          </w:tcPr>
          <w:p w14:paraId="63C5369E" w14:textId="77777777" w:rsidR="0068402A" w:rsidRPr="008B1E77" w:rsidRDefault="0068402A" w:rsidP="00E11A34">
            <w:pPr>
              <w:rPr>
                <w:rFonts w:ascii="ITC Avant Garde" w:hAnsi="ITC Avant Garde"/>
                <w:sz w:val="20"/>
                <w:szCs w:val="20"/>
              </w:rPr>
            </w:pPr>
            <w:r w:rsidRPr="008B1E77">
              <w:rPr>
                <w:rFonts w:ascii="ITC Avant Garde" w:hAnsi="ITC Avant Garde"/>
                <w:sz w:val="20"/>
                <w:szCs w:val="20"/>
              </w:rPr>
              <w:t>Temas Generales</w:t>
            </w:r>
          </w:p>
        </w:tc>
        <w:tc>
          <w:tcPr>
            <w:tcW w:w="1701" w:type="dxa"/>
            <w:vAlign w:val="center"/>
          </w:tcPr>
          <w:p w14:paraId="1FCD3DD1" w14:textId="77777777" w:rsidR="0068402A" w:rsidRPr="008B1E77" w:rsidRDefault="0068402A" w:rsidP="00E11A34">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sidRPr="008B1E77">
              <w:rPr>
                <w:rFonts w:ascii="ITC Avant Garde" w:hAnsi="ITC Avant Garde"/>
                <w:sz w:val="20"/>
                <w:szCs w:val="20"/>
              </w:rPr>
              <w:t>12</w:t>
            </w:r>
          </w:p>
        </w:tc>
      </w:tr>
    </w:tbl>
    <w:p w14:paraId="061F7EE9" w14:textId="77777777" w:rsidR="0020475D" w:rsidRPr="008B1E77" w:rsidRDefault="0020475D" w:rsidP="008B3A20">
      <w:pPr>
        <w:spacing w:after="0" w:line="240" w:lineRule="auto"/>
        <w:jc w:val="both"/>
        <w:rPr>
          <w:rFonts w:ascii="ITC Avant Garde" w:hAnsi="ITC Avant Garde" w:cs="Arial"/>
          <w:color w:val="000000"/>
        </w:rPr>
      </w:pPr>
    </w:p>
    <w:p w14:paraId="0154604E" w14:textId="77777777" w:rsidR="008B3A20" w:rsidRPr="008B1E77" w:rsidRDefault="008B3A20" w:rsidP="008B3A20">
      <w:pPr>
        <w:spacing w:after="0" w:line="240" w:lineRule="auto"/>
        <w:jc w:val="both"/>
        <w:rPr>
          <w:rFonts w:ascii="ITC Avant Garde" w:hAnsi="ITC Avant Garde" w:cs="Arial"/>
          <w:color w:val="000000"/>
        </w:rPr>
      </w:pPr>
    </w:p>
    <w:p w14:paraId="1CFF3188" w14:textId="77777777" w:rsidR="0068402A" w:rsidRPr="00DE6B25" w:rsidRDefault="0068402A" w:rsidP="00E11A34">
      <w:pPr>
        <w:spacing w:after="0" w:line="240" w:lineRule="auto"/>
        <w:jc w:val="both"/>
        <w:rPr>
          <w:rFonts w:ascii="ITC Avant Garde" w:hAnsi="ITC Avant Garde" w:cs="Arial"/>
          <w:b/>
        </w:rPr>
      </w:pPr>
      <w:r w:rsidRPr="00DE6B25">
        <w:rPr>
          <w:rFonts w:ascii="ITC Avant Garde" w:hAnsi="ITC Avant Garde" w:cs="Arial"/>
          <w:b/>
        </w:rPr>
        <w:t>Comentarios, opiniones y aportaciones específicos del participante sobre el asunto en consulta pública</w:t>
      </w:r>
    </w:p>
    <w:p w14:paraId="051BF3CC" w14:textId="77777777" w:rsidR="0068402A" w:rsidRPr="002A27E0" w:rsidRDefault="0068402A" w:rsidP="0082695F">
      <w:pPr>
        <w:spacing w:after="0" w:line="240" w:lineRule="auto"/>
        <w:jc w:val="both"/>
        <w:rPr>
          <w:rFonts w:ascii="ITC Avant Garde" w:hAnsi="ITC Avant Garde" w:cs="Arial"/>
          <w:color w:val="000000"/>
        </w:rPr>
      </w:pPr>
    </w:p>
    <w:p w14:paraId="1C64795E" w14:textId="77777777" w:rsidR="0068402A" w:rsidRPr="00B8283C" w:rsidRDefault="0068402A" w:rsidP="00E11A34">
      <w:pPr>
        <w:spacing w:after="0" w:line="240" w:lineRule="auto"/>
        <w:jc w:val="both"/>
        <w:rPr>
          <w:rFonts w:ascii="ITC Avant Garde" w:hAnsi="ITC Avant Garde" w:cs="Arial"/>
        </w:rPr>
      </w:pPr>
      <w:r w:rsidRPr="00B8283C">
        <w:rPr>
          <w:rFonts w:ascii="ITC Avant Garde" w:hAnsi="ITC Avant Garde" w:cs="Arial"/>
        </w:rPr>
        <w:t>A continuación, se agrupan las participaciones por tema y se responde directamente a los comentarios de los participantes.</w:t>
      </w:r>
    </w:p>
    <w:p w14:paraId="30EE93B2" w14:textId="77777777" w:rsidR="0082695F" w:rsidRPr="008B1E77" w:rsidRDefault="0082695F" w:rsidP="0082695F">
      <w:pPr>
        <w:spacing w:after="0" w:line="240" w:lineRule="auto"/>
        <w:jc w:val="both"/>
        <w:rPr>
          <w:rFonts w:ascii="ITC Avant Garde" w:hAnsi="ITC Avant Garde"/>
        </w:rPr>
      </w:pPr>
    </w:p>
    <w:p w14:paraId="4BA4CE8F" w14:textId="53D66D76" w:rsidR="0068402A" w:rsidRPr="00DE6B25" w:rsidRDefault="0068402A" w:rsidP="00E11A34">
      <w:pPr>
        <w:keepNext/>
        <w:keepLines/>
        <w:spacing w:after="0" w:line="240" w:lineRule="auto"/>
        <w:jc w:val="both"/>
        <w:outlineLvl w:val="0"/>
        <w:rPr>
          <w:rFonts w:ascii="ITC Avant Garde" w:eastAsia="Times New Roman" w:hAnsi="ITC Avant Garde" w:cs="Arial"/>
          <w:b/>
          <w:u w:val="single"/>
          <w:lang w:val="es-EC"/>
        </w:rPr>
      </w:pPr>
      <w:r w:rsidRPr="00DE6B25">
        <w:rPr>
          <w:rFonts w:ascii="ITC Avant Garde" w:eastAsia="Times New Roman" w:hAnsi="ITC Avant Garde" w:cs="Arial"/>
          <w:b/>
          <w:u w:val="single"/>
          <w:lang w:val="es-EC"/>
        </w:rPr>
        <w:t>Tema: Desglose de precios de los servicios en planes o paquetes</w:t>
      </w:r>
      <w:r w:rsidR="0083717B" w:rsidRPr="00DE6B25">
        <w:rPr>
          <w:rFonts w:ascii="ITC Avant Garde" w:eastAsia="Times New Roman" w:hAnsi="ITC Avant Garde" w:cs="Arial"/>
          <w:b/>
          <w:u w:val="single"/>
          <w:lang w:val="es-EC"/>
        </w:rPr>
        <w:t xml:space="preserve"> (Segundo, fracción X)</w:t>
      </w:r>
      <w:r w:rsidRPr="00DE6B25">
        <w:rPr>
          <w:rFonts w:ascii="ITC Avant Garde" w:eastAsia="Times New Roman" w:hAnsi="ITC Avant Garde" w:cs="Arial"/>
          <w:b/>
          <w:u w:val="single"/>
          <w:lang w:val="es-EC"/>
        </w:rPr>
        <w:t xml:space="preserve">. </w:t>
      </w:r>
    </w:p>
    <w:p w14:paraId="0C9514F3" w14:textId="77777777" w:rsidR="0068402A" w:rsidRPr="002A27E0" w:rsidRDefault="0068402A" w:rsidP="00E11A34">
      <w:pPr>
        <w:spacing w:after="0" w:line="240" w:lineRule="auto"/>
        <w:rPr>
          <w:rFonts w:ascii="ITC Avant Garde" w:eastAsia="Calibri" w:hAnsi="ITC Avant Garde" w:cs="Times New Roman"/>
        </w:rPr>
      </w:pPr>
    </w:p>
    <w:p w14:paraId="25284361" w14:textId="21E1380F" w:rsidR="0068402A" w:rsidRPr="008B1E77" w:rsidRDefault="0068402A" w:rsidP="00DE6B25">
      <w:pPr>
        <w:numPr>
          <w:ilvl w:val="0"/>
          <w:numId w:val="5"/>
        </w:numPr>
        <w:spacing w:after="0" w:line="240" w:lineRule="auto"/>
        <w:jc w:val="both"/>
        <w:rPr>
          <w:rFonts w:ascii="ITC Avant Garde" w:eastAsia="Calibri" w:hAnsi="ITC Avant Garde" w:cs="Arial"/>
        </w:rPr>
      </w:pPr>
      <w:r w:rsidRPr="00B8283C">
        <w:rPr>
          <w:rFonts w:ascii="ITC Avant Garde" w:eastAsia="Calibri" w:hAnsi="ITC Avant Garde" w:cs="Arial"/>
          <w:b/>
        </w:rPr>
        <w:t>AT&amp;T y CANIETI</w:t>
      </w:r>
      <w:r w:rsidRPr="00B8283C">
        <w:rPr>
          <w:rFonts w:ascii="ITC Avant Garde" w:eastAsia="Calibri" w:hAnsi="ITC Avant Garde" w:cs="Arial"/>
        </w:rPr>
        <w:t xml:space="preserve">. </w:t>
      </w:r>
      <w:r w:rsidRPr="008B1E77">
        <w:rPr>
          <w:rFonts w:ascii="ITC Avant Garde" w:eastAsia="Calibri" w:hAnsi="ITC Avant Garde" w:cs="Arial"/>
        </w:rPr>
        <w:t>“</w:t>
      </w:r>
      <w:r w:rsidRPr="008B1E77">
        <w:rPr>
          <w:rFonts w:ascii="ITC Avant Garde" w:eastAsia="Calibri" w:hAnsi="ITC Avant Garde" w:cs="Arial"/>
          <w:b/>
        </w:rPr>
        <w:t>Incluir:</w:t>
      </w:r>
      <w:r w:rsidRPr="008B1E77">
        <w:rPr>
          <w:rFonts w:ascii="ITC Avant Garde" w:eastAsia="Calibri" w:hAnsi="ITC Avant Garde" w:cs="Arial"/>
        </w:rPr>
        <w:t xml:space="preserve"> Tarifa debería incluir el precio de los servicios desglosados.” </w:t>
      </w:r>
    </w:p>
    <w:p w14:paraId="14ADA89F" w14:textId="77777777" w:rsidR="0068402A" w:rsidRPr="008B1E77" w:rsidRDefault="0068402A" w:rsidP="00E11A34">
      <w:pPr>
        <w:spacing w:after="0" w:line="240" w:lineRule="auto"/>
        <w:ind w:left="1080"/>
        <w:jc w:val="both"/>
        <w:rPr>
          <w:rFonts w:ascii="ITC Avant Garde" w:eastAsia="Calibri" w:hAnsi="ITC Avant Garde" w:cs="Times New Roman"/>
          <w:b/>
        </w:rPr>
      </w:pPr>
    </w:p>
    <w:p w14:paraId="2F720A0E" w14:textId="7B808D16" w:rsidR="0068402A" w:rsidRPr="008B1E77" w:rsidRDefault="0068402A" w:rsidP="00DE6B25">
      <w:pPr>
        <w:numPr>
          <w:ilvl w:val="0"/>
          <w:numId w:val="5"/>
        </w:numPr>
        <w:spacing w:after="0" w:line="240" w:lineRule="auto"/>
        <w:jc w:val="both"/>
        <w:rPr>
          <w:rFonts w:ascii="ITC Avant Garde" w:eastAsia="Calibri" w:hAnsi="ITC Avant Garde" w:cs="Times New Roman"/>
        </w:rPr>
      </w:pPr>
      <w:r w:rsidRPr="008B1E77">
        <w:rPr>
          <w:rFonts w:ascii="ITC Avant Garde" w:eastAsia="Calibri" w:hAnsi="ITC Avant Garde" w:cs="Times New Roman"/>
          <w:b/>
        </w:rPr>
        <w:t>AT&amp;T</w:t>
      </w:r>
      <w:r w:rsidRPr="008B1E77">
        <w:rPr>
          <w:rFonts w:ascii="ITC Avant Garde" w:eastAsia="Calibri" w:hAnsi="ITC Avant Garde" w:cs="Arial"/>
          <w:b/>
        </w:rPr>
        <w:t xml:space="preserve"> y CANIETI</w:t>
      </w:r>
      <w:r w:rsidRPr="008B1E77">
        <w:rPr>
          <w:rFonts w:ascii="ITC Avant Garde" w:eastAsia="Calibri" w:hAnsi="ITC Avant Garde" w:cs="Times New Roman"/>
          <w:b/>
        </w:rPr>
        <w:t>. “</w:t>
      </w:r>
      <w:r w:rsidRPr="008B1E77">
        <w:rPr>
          <w:rFonts w:ascii="ITC Avant Garde" w:eastAsia="Calibri" w:hAnsi="ITC Avant Garde" w:cs="Times New Roman"/>
        </w:rPr>
        <w:t xml:space="preserve">Se sugiere incluir la obligación de detallar los precios de los servicios contenidos dentro de un paquete, a fin de conocer su precio y poder determinar su replicabilidad.” </w:t>
      </w:r>
    </w:p>
    <w:p w14:paraId="44F87EBF" w14:textId="77777777" w:rsidR="0068402A" w:rsidRPr="008B1E77" w:rsidRDefault="0068402A" w:rsidP="00E11A34">
      <w:pPr>
        <w:spacing w:after="0" w:line="240" w:lineRule="auto"/>
        <w:ind w:left="720"/>
        <w:jc w:val="both"/>
        <w:rPr>
          <w:rFonts w:ascii="ITC Avant Garde" w:eastAsia="Calibri" w:hAnsi="ITC Avant Garde" w:cs="Times New Roman"/>
          <w:b/>
        </w:rPr>
      </w:pPr>
    </w:p>
    <w:p w14:paraId="0C23400E" w14:textId="6FE4EE99" w:rsidR="0068402A" w:rsidRPr="002A27E0" w:rsidRDefault="0068402A" w:rsidP="00DE6B25">
      <w:pPr>
        <w:spacing w:after="0" w:line="240" w:lineRule="auto"/>
        <w:jc w:val="both"/>
        <w:rPr>
          <w:rFonts w:ascii="ITC Avant Garde" w:eastAsia="Calibri" w:hAnsi="ITC Avant Garde" w:cs="Times New Roman"/>
          <w:b/>
        </w:rPr>
      </w:pPr>
      <w:r w:rsidRPr="008B1E77">
        <w:rPr>
          <w:rFonts w:ascii="ITC Avant Garde" w:eastAsia="Calibri" w:hAnsi="ITC Avant Garde" w:cs="Arial"/>
          <w:b/>
        </w:rPr>
        <w:t>Consideraciones del Instituto</w:t>
      </w:r>
      <w:r w:rsidRPr="008B1E77">
        <w:rPr>
          <w:rFonts w:ascii="ITC Avant Garde" w:eastAsia="Calibri" w:hAnsi="ITC Avant Garde" w:cs="Arial"/>
        </w:rPr>
        <w:t xml:space="preserve">. Si bien, para cada Plan o Paquete que </w:t>
      </w:r>
      <w:r w:rsidR="0083717B" w:rsidRPr="008B1E77">
        <w:rPr>
          <w:rFonts w:ascii="ITC Avant Garde" w:eastAsia="Calibri" w:hAnsi="ITC Avant Garde" w:cs="Arial"/>
        </w:rPr>
        <w:t xml:space="preserve">se </w:t>
      </w:r>
      <w:r w:rsidRPr="008B1E77">
        <w:rPr>
          <w:rFonts w:ascii="ITC Avant Garde" w:eastAsia="Calibri" w:hAnsi="ITC Avant Garde" w:cs="Arial"/>
        </w:rPr>
        <w:t xml:space="preserve">someta </w:t>
      </w:r>
      <w:r w:rsidR="0083717B" w:rsidRPr="008B1E77">
        <w:rPr>
          <w:rFonts w:ascii="ITC Avant Garde" w:eastAsia="Calibri" w:hAnsi="ITC Avant Garde" w:cs="Arial"/>
        </w:rPr>
        <w:t>par</w:t>
      </w:r>
      <w:r w:rsidRPr="008B1E77">
        <w:rPr>
          <w:rFonts w:ascii="ITC Avant Garde" w:eastAsia="Calibri" w:hAnsi="ITC Avant Garde" w:cs="Arial"/>
        </w:rPr>
        <w:t>a aprobación del Instituto, le corresponde al AEP o AEPSM incorporar elementos adicionales desglosados por servicio o un desglose más fino de costos para que el Instituto lleve a cabo los análisis conducentes, resulta innecesario y carente de sustento exigirle que presente de manera detallada o desglosada el precio de cada servicio contenido en un plan o paquete, por lo que no se considera pertinente la propuesta presentada.</w:t>
      </w:r>
    </w:p>
    <w:p w14:paraId="6E7B9035" w14:textId="77777777" w:rsidR="00F24187" w:rsidRPr="008B1E77" w:rsidRDefault="00F24187" w:rsidP="00E11A34">
      <w:pPr>
        <w:spacing w:line="240" w:lineRule="auto"/>
        <w:rPr>
          <w:rFonts w:ascii="ITC Avant Garde" w:eastAsia="Calibri" w:hAnsi="ITC Avant Garde" w:cs="Times New Roman"/>
          <w:b/>
        </w:rPr>
      </w:pPr>
    </w:p>
    <w:p w14:paraId="155839F7" w14:textId="3CA25DB7" w:rsidR="0068402A" w:rsidRPr="00DE6B25" w:rsidRDefault="0068402A" w:rsidP="00E11A34">
      <w:pPr>
        <w:keepNext/>
        <w:keepLines/>
        <w:spacing w:after="0" w:line="240" w:lineRule="auto"/>
        <w:jc w:val="both"/>
        <w:outlineLvl w:val="0"/>
        <w:rPr>
          <w:rFonts w:ascii="ITC Avant Garde" w:eastAsia="Times New Roman" w:hAnsi="ITC Avant Garde" w:cs="Arial"/>
          <w:b/>
          <w:u w:val="single"/>
          <w:lang w:val="es-EC"/>
        </w:rPr>
      </w:pPr>
      <w:r w:rsidRPr="00DE6B25">
        <w:rPr>
          <w:rFonts w:ascii="ITC Avant Garde" w:eastAsia="Times New Roman" w:hAnsi="ITC Avant Garde" w:cs="Arial"/>
          <w:b/>
          <w:u w:val="single"/>
          <w:lang w:val="es-EC"/>
        </w:rPr>
        <w:t>Tema: Comercialización de tarifas aprobadas (</w:t>
      </w:r>
      <w:r w:rsidR="0083717B" w:rsidRPr="00DE6B25">
        <w:rPr>
          <w:rFonts w:ascii="ITC Avant Garde" w:eastAsia="Times New Roman" w:hAnsi="ITC Avant Garde" w:cs="Arial"/>
          <w:b/>
          <w:u w:val="single"/>
          <w:lang w:val="es-EC"/>
        </w:rPr>
        <w:t xml:space="preserve">lineamiento </w:t>
      </w:r>
      <w:r w:rsidRPr="00DE6B25">
        <w:rPr>
          <w:rFonts w:ascii="ITC Avant Garde" w:eastAsia="Times New Roman" w:hAnsi="ITC Avant Garde" w:cs="Arial"/>
          <w:b/>
          <w:u w:val="single"/>
          <w:lang w:val="es-EC"/>
        </w:rPr>
        <w:t>Segundo, Fracción XI)</w:t>
      </w:r>
      <w:r w:rsidR="006E0A29">
        <w:rPr>
          <w:rFonts w:ascii="ITC Avant Garde" w:eastAsia="Times New Roman" w:hAnsi="ITC Avant Garde" w:cs="Arial"/>
          <w:b/>
          <w:u w:val="single"/>
          <w:lang w:val="es-EC"/>
        </w:rPr>
        <w:t>.</w:t>
      </w:r>
    </w:p>
    <w:p w14:paraId="74B4842E" w14:textId="77777777" w:rsidR="0068402A" w:rsidRPr="002A27E0" w:rsidRDefault="0068402A" w:rsidP="00E11A34">
      <w:pPr>
        <w:spacing w:after="0" w:line="240" w:lineRule="auto"/>
        <w:rPr>
          <w:rFonts w:ascii="ITC Avant Garde" w:eastAsia="Calibri" w:hAnsi="ITC Avant Garde" w:cs="Times New Roman"/>
        </w:rPr>
      </w:pPr>
    </w:p>
    <w:p w14:paraId="4C3FD58B" w14:textId="77777777" w:rsidR="0068402A" w:rsidRPr="00B8283C" w:rsidRDefault="0068402A" w:rsidP="00E11A34">
      <w:pPr>
        <w:numPr>
          <w:ilvl w:val="0"/>
          <w:numId w:val="5"/>
        </w:numPr>
        <w:spacing w:after="0" w:line="240" w:lineRule="auto"/>
        <w:contextualSpacing/>
        <w:jc w:val="both"/>
        <w:rPr>
          <w:rFonts w:ascii="ITC Avant Garde" w:eastAsia="Calibri" w:hAnsi="ITC Avant Garde" w:cs="Arial"/>
        </w:rPr>
      </w:pPr>
      <w:r w:rsidRPr="00B8283C">
        <w:rPr>
          <w:rFonts w:ascii="ITC Avant Garde" w:eastAsia="Calibri" w:hAnsi="ITC Avant Garde" w:cs="Arial"/>
          <w:b/>
        </w:rPr>
        <w:t>Sky y Cablevisión</w:t>
      </w:r>
      <w:r w:rsidRPr="00B8283C">
        <w:rPr>
          <w:rFonts w:ascii="ITC Avant Garde" w:eastAsia="Calibri" w:hAnsi="ITC Avant Garde" w:cs="Arial"/>
        </w:rPr>
        <w:t xml:space="preserve">. </w:t>
      </w:r>
    </w:p>
    <w:p w14:paraId="47F000A6" w14:textId="77777777" w:rsidR="0068402A" w:rsidRPr="008B1E77" w:rsidRDefault="0068402A" w:rsidP="00E11A34">
      <w:pPr>
        <w:spacing w:after="0" w:line="240" w:lineRule="auto"/>
        <w:ind w:left="720"/>
        <w:contextualSpacing/>
        <w:jc w:val="both"/>
        <w:rPr>
          <w:rFonts w:ascii="ITC Avant Garde" w:eastAsia="Calibri" w:hAnsi="ITC Avant Garde" w:cs="Arial"/>
        </w:rPr>
      </w:pPr>
      <w:r w:rsidRPr="008B1E77">
        <w:rPr>
          <w:rFonts w:ascii="ITC Avant Garde" w:eastAsia="Calibri" w:hAnsi="ITC Avant Garde" w:cs="Arial"/>
        </w:rPr>
        <w:t>“En la definición de promovente mencionada en la identificación del asunto, se podría inferir que las tarifas no pueden ser comercializadas por el AEP o por el AEPSM hasta tanto no sean autorizadas, registradas y publicadas por el IFT. Sin embargo, no se hace referencia explícita a dicha disposición en los lineamientos como tal y un hito tan importante dentro de este tipo de proceso, no puede ser dejado a la libre interpretación de ninguna de las partes.</w:t>
      </w:r>
    </w:p>
    <w:p w14:paraId="5D55C143" w14:textId="77777777" w:rsidR="0068402A" w:rsidRPr="008B1E77" w:rsidRDefault="0068402A" w:rsidP="00E11A34">
      <w:pPr>
        <w:spacing w:after="0" w:line="240" w:lineRule="auto"/>
        <w:ind w:left="720"/>
        <w:contextualSpacing/>
        <w:jc w:val="both"/>
        <w:rPr>
          <w:rFonts w:ascii="ITC Avant Garde" w:eastAsia="Calibri" w:hAnsi="ITC Avant Garde" w:cs="Arial"/>
        </w:rPr>
      </w:pPr>
    </w:p>
    <w:p w14:paraId="3DE402D4" w14:textId="77777777" w:rsidR="0068402A" w:rsidRPr="008B1E77" w:rsidRDefault="0068402A" w:rsidP="00E11A34">
      <w:pPr>
        <w:spacing w:after="0" w:line="240" w:lineRule="auto"/>
        <w:ind w:left="720"/>
        <w:contextualSpacing/>
        <w:jc w:val="both"/>
        <w:rPr>
          <w:rFonts w:ascii="ITC Avant Garde" w:eastAsia="Calibri" w:hAnsi="ITC Avant Garde" w:cs="Arial"/>
        </w:rPr>
      </w:pPr>
      <w:r w:rsidRPr="008B1E77">
        <w:rPr>
          <w:rFonts w:ascii="ITC Avant Garde" w:eastAsia="Calibri" w:hAnsi="ITC Avant Garde" w:cs="Arial"/>
        </w:rPr>
        <w:t>Partiendo de la necesidad de evitar que tanto el AEP como los futuros AEPSM puedan realizar interpretaciones inadecuadas y en aras de la claridad y la transparencia, se sugerirá que dicha aclaración o especificación sea incluida dentro de los lineamientos como tal.</w:t>
      </w:r>
    </w:p>
    <w:p w14:paraId="6F4D5089" w14:textId="77777777" w:rsidR="0068402A" w:rsidRPr="008B1E77" w:rsidRDefault="0068402A" w:rsidP="00E11A34">
      <w:pPr>
        <w:spacing w:after="0" w:line="240" w:lineRule="auto"/>
        <w:ind w:left="720"/>
        <w:contextualSpacing/>
        <w:jc w:val="both"/>
        <w:rPr>
          <w:rFonts w:ascii="ITC Avant Garde" w:eastAsia="Calibri" w:hAnsi="ITC Avant Garde" w:cs="Arial"/>
        </w:rPr>
      </w:pPr>
    </w:p>
    <w:p w14:paraId="04178997" w14:textId="77777777" w:rsidR="0068402A" w:rsidRPr="002A27E0" w:rsidRDefault="0068402A" w:rsidP="00E11A34">
      <w:pPr>
        <w:spacing w:after="0" w:line="240" w:lineRule="auto"/>
        <w:ind w:left="720"/>
        <w:contextualSpacing/>
        <w:jc w:val="both"/>
        <w:rPr>
          <w:rFonts w:ascii="ITC Avant Garde" w:eastAsia="Calibri" w:hAnsi="ITC Avant Garde" w:cs="Arial"/>
        </w:rPr>
      </w:pPr>
      <w:r w:rsidRPr="008B1E77">
        <w:rPr>
          <w:rFonts w:ascii="ITC Avant Garde" w:eastAsia="Calibri" w:hAnsi="ITC Avant Garde" w:cs="Arial"/>
        </w:rPr>
        <w:t>Se sugiere incluir al inicio del Capítulo III, como una nueva disposición que para este caso sería la disposición s</w:t>
      </w:r>
      <w:r w:rsidR="008B1E77">
        <w:rPr>
          <w:rFonts w:ascii="ITC Avant Garde" w:eastAsia="Calibri" w:hAnsi="ITC Avant Garde" w:cs="Arial"/>
        </w:rPr>
        <w:t>exta</w:t>
      </w:r>
      <w:r w:rsidRPr="002A27E0">
        <w:rPr>
          <w:rFonts w:ascii="ITC Avant Garde" w:eastAsia="Calibri" w:hAnsi="ITC Avant Garde" w:cs="Arial"/>
        </w:rPr>
        <w:t xml:space="preserve"> el siguiente texto:  </w:t>
      </w:r>
    </w:p>
    <w:p w14:paraId="1606160A" w14:textId="77777777" w:rsidR="0068402A" w:rsidRPr="00B8283C" w:rsidRDefault="0068402A" w:rsidP="00E11A34">
      <w:pPr>
        <w:spacing w:after="0" w:line="240" w:lineRule="auto"/>
        <w:ind w:left="720"/>
        <w:contextualSpacing/>
        <w:jc w:val="both"/>
        <w:rPr>
          <w:rFonts w:ascii="ITC Avant Garde" w:eastAsia="Calibri" w:hAnsi="ITC Avant Garde" w:cs="Arial"/>
        </w:rPr>
      </w:pPr>
    </w:p>
    <w:p w14:paraId="0288293F" w14:textId="77777777" w:rsidR="0068402A" w:rsidRPr="008B1E77" w:rsidRDefault="0068402A" w:rsidP="00E11A34">
      <w:pPr>
        <w:spacing w:after="0" w:line="240" w:lineRule="auto"/>
        <w:ind w:left="720"/>
        <w:contextualSpacing/>
        <w:jc w:val="both"/>
        <w:rPr>
          <w:rFonts w:ascii="ITC Avant Garde" w:eastAsia="Calibri" w:hAnsi="ITC Avant Garde" w:cs="Arial"/>
        </w:rPr>
      </w:pPr>
      <w:r w:rsidRPr="008B1E77">
        <w:rPr>
          <w:rFonts w:ascii="ITC Avant Garde" w:eastAsia="Calibri" w:hAnsi="ITC Avant Garde" w:cs="Arial"/>
        </w:rPr>
        <w:t xml:space="preserve">“SEXTO. Toda propuesta tarifaria que sea presentada por el Promovente para autorización no podrá ser comercializada, publicitada y/o anunciada de ninguna forma y bajo ningún concepto al público en general, hasta tanto la propuesta tarifaria sea debidamente autorizada, aprobada y registrada en el PRC por parte del Instituto. Es decir, la comercialización, publicidad y divulgación de cualquier propuesta tarifaria está prohibida hasta que no se reciba de forma oficial la debida autorización por parte del Instituto.  </w:t>
      </w:r>
    </w:p>
    <w:p w14:paraId="3CA2FE6C" w14:textId="77777777" w:rsidR="0068402A" w:rsidRPr="008B1E77" w:rsidRDefault="0068402A" w:rsidP="00E11A34">
      <w:pPr>
        <w:spacing w:after="0" w:line="240" w:lineRule="auto"/>
        <w:ind w:left="720"/>
        <w:contextualSpacing/>
        <w:jc w:val="both"/>
        <w:rPr>
          <w:rFonts w:ascii="ITC Avant Garde" w:eastAsia="Calibri" w:hAnsi="ITC Avant Garde" w:cs="Arial"/>
        </w:rPr>
      </w:pPr>
    </w:p>
    <w:p w14:paraId="54075957" w14:textId="77777777" w:rsidR="0068402A" w:rsidRPr="002A27E0" w:rsidRDefault="0068402A" w:rsidP="00E11A34">
      <w:pPr>
        <w:spacing w:after="0" w:line="240" w:lineRule="auto"/>
        <w:ind w:left="720"/>
        <w:contextualSpacing/>
        <w:jc w:val="both"/>
        <w:rPr>
          <w:rFonts w:ascii="ITC Avant Garde" w:eastAsia="Calibri" w:hAnsi="ITC Avant Garde" w:cs="Arial"/>
        </w:rPr>
      </w:pPr>
      <w:r w:rsidRPr="008B1E77">
        <w:rPr>
          <w:rFonts w:ascii="ITC Avant Garde" w:eastAsia="Calibri" w:hAnsi="ITC Avant Garde" w:cs="Arial"/>
        </w:rPr>
        <w:t>Al ingresar una nueva disposición de los lineamientos la numeración de las disposiciones posteriores de</w:t>
      </w:r>
      <w:r w:rsidR="008B1E77">
        <w:rPr>
          <w:rFonts w:ascii="ITC Avant Garde" w:eastAsia="Calibri" w:hAnsi="ITC Avant Garde" w:cs="Arial"/>
        </w:rPr>
        <w:t>be</w:t>
      </w:r>
      <w:r w:rsidRPr="002A27E0">
        <w:rPr>
          <w:rFonts w:ascii="ITC Avant Garde" w:eastAsia="Calibri" w:hAnsi="ITC Avant Garde" w:cs="Arial"/>
        </w:rPr>
        <w:t xml:space="preserve"> ser ajustada. Por ende, la disposición del anteproyecto será ahora la disposición séptima, y así, sucesivamente.”</w:t>
      </w:r>
    </w:p>
    <w:p w14:paraId="38FB42DC" w14:textId="77777777" w:rsidR="0068402A" w:rsidRPr="00B8283C" w:rsidRDefault="0068402A" w:rsidP="00E11A34">
      <w:pPr>
        <w:spacing w:after="0" w:line="240" w:lineRule="auto"/>
        <w:ind w:left="720"/>
        <w:jc w:val="both"/>
        <w:rPr>
          <w:rFonts w:ascii="ITC Avant Garde" w:eastAsia="Calibri" w:hAnsi="ITC Avant Garde" w:cs="Arial"/>
        </w:rPr>
      </w:pPr>
    </w:p>
    <w:p w14:paraId="1A40CD1D" w14:textId="77777777" w:rsidR="0068402A" w:rsidRPr="008B1E77" w:rsidRDefault="0068402A" w:rsidP="00DE6B25">
      <w:pPr>
        <w:spacing w:after="0" w:line="240" w:lineRule="auto"/>
        <w:contextualSpacing/>
        <w:jc w:val="both"/>
        <w:rPr>
          <w:rFonts w:ascii="ITC Avant Garde" w:eastAsia="Calibri" w:hAnsi="ITC Avant Garde" w:cs="Arial"/>
        </w:rPr>
      </w:pPr>
      <w:r w:rsidRPr="00B8283C">
        <w:rPr>
          <w:rFonts w:ascii="ITC Avant Garde" w:eastAsia="Calibri" w:hAnsi="ITC Avant Garde" w:cs="Arial"/>
          <w:b/>
        </w:rPr>
        <w:t>Consideraciones del Instituto</w:t>
      </w:r>
      <w:r w:rsidRPr="008B1E77">
        <w:rPr>
          <w:rFonts w:ascii="ITC Avant Garde" w:eastAsia="Calibri" w:hAnsi="ITC Avant Garde" w:cs="Arial"/>
        </w:rPr>
        <w:t xml:space="preserve">. En la definición de Promovente se señala de manera explícita que el AEP o AEPSM debe someter sus planes o paquetes para aprobación de Instituto previo a su comercialización, lo cual no queda abierto a una libre interpretación. Además, la </w:t>
      </w:r>
      <w:r w:rsidRPr="008B1E77">
        <w:rPr>
          <w:rFonts w:ascii="ITC Avant Garde" w:eastAsia="Calibri" w:hAnsi="ITC Avant Garde" w:cs="Arial"/>
          <w:lang w:val="es-ES_tradnl"/>
        </w:rPr>
        <w:t>Ley Federal de Telecomunicaciones y Radiodifusión</w:t>
      </w:r>
      <w:r w:rsidRPr="008B1E77">
        <w:rPr>
          <w:rFonts w:ascii="ITC Avant Garde" w:eastAsia="Calibri" w:hAnsi="ITC Avant Garde" w:cs="Arial"/>
        </w:rPr>
        <w:t xml:space="preserve"> (en lo sucesivo, la “LFTR”), en su artículo 208, fundamento principal de este instrumento, establece que las tarifas de este tipo de agentes económicos </w:t>
      </w:r>
      <w:r w:rsidRPr="008B1E77">
        <w:rPr>
          <w:rFonts w:ascii="ITC Avant Garde" w:eastAsia="Calibri" w:hAnsi="ITC Avant Garde" w:cs="Arial"/>
          <w:b/>
        </w:rPr>
        <w:t>deberán ser aprobadas por el Instituto</w:t>
      </w:r>
      <w:r w:rsidRPr="008B1E77">
        <w:rPr>
          <w:rFonts w:ascii="ITC Avant Garde" w:eastAsia="Calibri" w:hAnsi="ITC Avant Garde" w:cs="Arial"/>
        </w:rPr>
        <w:t>, el cual deberá llevar un registro de las mismas, a efecto de darles publicidad. Sin embargo, a efecto de brindar mayor claridad y certeza a los sujetos regulados, se considera pertinente agregar un párrafo al lineamiento Primero que señales que los agentes, sujetos a esta regulación, no podrán comercializar o publicitar ninguna propuesta que no haya sido previamente autorizada por el Instituto.</w:t>
      </w:r>
    </w:p>
    <w:p w14:paraId="5F93F202" w14:textId="77777777" w:rsidR="0068402A" w:rsidRPr="008B1E77" w:rsidRDefault="0068402A" w:rsidP="00DE6B25">
      <w:pPr>
        <w:spacing w:after="0" w:line="240" w:lineRule="auto"/>
        <w:contextualSpacing/>
        <w:jc w:val="both"/>
        <w:rPr>
          <w:rFonts w:ascii="ITC Avant Garde" w:eastAsia="Calibri" w:hAnsi="ITC Avant Garde" w:cs="Arial"/>
        </w:rPr>
      </w:pPr>
    </w:p>
    <w:p w14:paraId="49B8320F" w14:textId="77777777" w:rsidR="0068402A" w:rsidRPr="00DE6B25" w:rsidRDefault="0068402A" w:rsidP="00E11A34">
      <w:pPr>
        <w:keepNext/>
        <w:keepLines/>
        <w:spacing w:after="0" w:line="240" w:lineRule="auto"/>
        <w:jc w:val="both"/>
        <w:outlineLvl w:val="0"/>
        <w:rPr>
          <w:rFonts w:ascii="ITC Avant Garde" w:eastAsia="Times New Roman" w:hAnsi="ITC Avant Garde" w:cs="Arial"/>
          <w:b/>
          <w:u w:val="single"/>
          <w:lang w:val="es-EC"/>
        </w:rPr>
      </w:pPr>
      <w:r w:rsidRPr="00DE6B25">
        <w:rPr>
          <w:rFonts w:ascii="ITC Avant Garde" w:eastAsia="Times New Roman" w:hAnsi="ITC Avant Garde" w:cs="Arial"/>
          <w:b/>
          <w:u w:val="single"/>
          <w:lang w:val="es-EC"/>
        </w:rPr>
        <w:t xml:space="preserve">Tema: Publicidad de la información ingresada por el AEP o por el AEPSM sobre la tarifa previo a su aprobación. </w:t>
      </w:r>
    </w:p>
    <w:p w14:paraId="3A65428A" w14:textId="77777777" w:rsidR="0068402A" w:rsidRPr="002A27E0" w:rsidRDefault="0068402A" w:rsidP="00E11A34">
      <w:pPr>
        <w:spacing w:after="0" w:line="240" w:lineRule="auto"/>
        <w:jc w:val="both"/>
        <w:rPr>
          <w:rFonts w:ascii="ITC Avant Garde" w:eastAsia="Calibri" w:hAnsi="ITC Avant Garde" w:cs="Arial"/>
          <w:b/>
          <w:u w:val="single"/>
        </w:rPr>
      </w:pPr>
    </w:p>
    <w:p w14:paraId="59B680D9" w14:textId="77777777" w:rsidR="0068402A" w:rsidRPr="00B8283C" w:rsidRDefault="0068402A" w:rsidP="00E11A34">
      <w:pPr>
        <w:numPr>
          <w:ilvl w:val="0"/>
          <w:numId w:val="5"/>
        </w:numPr>
        <w:spacing w:after="0" w:line="240" w:lineRule="auto"/>
        <w:contextualSpacing/>
        <w:jc w:val="both"/>
        <w:rPr>
          <w:rFonts w:ascii="ITC Avant Garde" w:eastAsia="Calibri" w:hAnsi="ITC Avant Garde" w:cs="Arial"/>
          <w:b/>
          <w:u w:val="single"/>
        </w:rPr>
      </w:pPr>
      <w:r w:rsidRPr="00B8283C">
        <w:rPr>
          <w:rFonts w:ascii="ITC Avant Garde" w:eastAsia="Calibri" w:hAnsi="ITC Avant Garde" w:cs="Arial"/>
          <w:b/>
        </w:rPr>
        <w:t>CANIETI</w:t>
      </w:r>
      <w:r w:rsidRPr="00B8283C">
        <w:rPr>
          <w:rFonts w:ascii="ITC Avant Garde" w:eastAsia="Calibri" w:hAnsi="ITC Avant Garde" w:cs="Arial"/>
        </w:rPr>
        <w:t>. (Segundo, fracción IV)</w:t>
      </w:r>
    </w:p>
    <w:p w14:paraId="4979E112" w14:textId="77777777" w:rsidR="0068402A" w:rsidRPr="008B1E77" w:rsidRDefault="0068402A" w:rsidP="00E11A34">
      <w:pPr>
        <w:spacing w:after="0" w:line="240" w:lineRule="auto"/>
        <w:ind w:left="720"/>
        <w:contextualSpacing/>
        <w:jc w:val="both"/>
        <w:rPr>
          <w:rFonts w:ascii="ITC Avant Garde" w:eastAsia="Calibri" w:hAnsi="ITC Avant Garde" w:cs="Arial"/>
        </w:rPr>
      </w:pPr>
      <w:r w:rsidRPr="008B1E77">
        <w:rPr>
          <w:rFonts w:ascii="ITC Avant Garde" w:eastAsia="Calibri" w:hAnsi="ITC Avant Garde" w:cs="Arial"/>
        </w:rPr>
        <w:t>“</w:t>
      </w:r>
      <w:r w:rsidRPr="008B1E77">
        <w:rPr>
          <w:rFonts w:ascii="ITC Avant Garde" w:eastAsia="Calibri" w:hAnsi="ITC Avant Garde" w:cs="Arial"/>
          <w:b/>
        </w:rPr>
        <w:t>Dice:</w:t>
      </w:r>
      <w:r w:rsidRPr="008B1E77">
        <w:rPr>
          <w:rFonts w:ascii="ITC Avant Garde" w:eastAsia="Calibri" w:hAnsi="ITC Avant Garde" w:cs="Arial"/>
        </w:rPr>
        <w:t xml:space="preserve"> XIV. Sistema Electrónico de Registro de Tarifas o Sistema: Mecanismo electrónico del Registro Público de Concesiones mediante el cual el AEP y el AEPSM deberán solicitar la autorización de una Propuesta Tarifaria a efecto de que pueda ser registrada previo a la comercialización de los servicios de telecomunicaciones asociados a la misma;</w:t>
      </w:r>
    </w:p>
    <w:p w14:paraId="63BC3A04" w14:textId="77777777" w:rsidR="0068402A" w:rsidRPr="008B1E77" w:rsidRDefault="0068402A" w:rsidP="00E11A34">
      <w:pPr>
        <w:spacing w:after="0" w:line="240" w:lineRule="auto"/>
        <w:ind w:left="720"/>
        <w:contextualSpacing/>
        <w:jc w:val="both"/>
        <w:rPr>
          <w:rFonts w:ascii="ITC Avant Garde" w:eastAsia="Calibri" w:hAnsi="ITC Avant Garde" w:cs="Arial"/>
          <w:b/>
        </w:rPr>
      </w:pPr>
    </w:p>
    <w:p w14:paraId="470A9A6C" w14:textId="77777777" w:rsidR="0068402A" w:rsidRPr="008B1E77" w:rsidRDefault="0068402A" w:rsidP="00E11A34">
      <w:pPr>
        <w:spacing w:after="0" w:line="240" w:lineRule="auto"/>
        <w:ind w:left="720"/>
        <w:contextualSpacing/>
        <w:jc w:val="both"/>
        <w:rPr>
          <w:rFonts w:ascii="ITC Avant Garde" w:eastAsia="Calibri" w:hAnsi="ITC Avant Garde" w:cs="Arial"/>
          <w:b/>
          <w:u w:val="single"/>
        </w:rPr>
      </w:pPr>
      <w:r w:rsidRPr="008B1E77">
        <w:rPr>
          <w:rFonts w:ascii="ITC Avant Garde" w:eastAsia="Calibri" w:hAnsi="ITC Avant Garde" w:cs="Arial"/>
          <w:b/>
        </w:rPr>
        <w:t xml:space="preserve">Debe decir: </w:t>
      </w:r>
      <w:r w:rsidRPr="008B1E77">
        <w:rPr>
          <w:rFonts w:ascii="ITC Avant Garde" w:eastAsia="Calibri" w:hAnsi="ITC Avant Garde" w:cs="Arial"/>
        </w:rPr>
        <w:t xml:space="preserve">XIV. Sistema Electrónico de Registro de Tarifas o Sistema: Mecanismo electrónico </w:t>
      </w:r>
      <w:r w:rsidRPr="008B1E77">
        <w:rPr>
          <w:rFonts w:ascii="ITC Avant Garde" w:eastAsia="Calibri" w:hAnsi="ITC Avant Garde" w:cs="Arial"/>
          <w:b/>
        </w:rPr>
        <w:t>público</w:t>
      </w:r>
      <w:r w:rsidRPr="008B1E77">
        <w:rPr>
          <w:rFonts w:ascii="ITC Avant Garde" w:eastAsia="Calibri" w:hAnsi="ITC Avant Garde" w:cs="Arial"/>
        </w:rPr>
        <w:t xml:space="preserve"> del Registro Público de Concesiones mediante el cual el AEP y el AEPSM deberán solicitar la autorización de una Propuesta Tarifaria a efecto de que pueda ser registrada previo a la comercialización de los servicios de telecomunicaciones asociados a la misma;</w:t>
      </w:r>
    </w:p>
    <w:p w14:paraId="7CD2FB72" w14:textId="77777777" w:rsidR="0068402A" w:rsidRPr="008B1E77" w:rsidRDefault="0068402A" w:rsidP="00E11A34">
      <w:pPr>
        <w:spacing w:after="0" w:line="240" w:lineRule="auto"/>
        <w:ind w:left="720"/>
        <w:jc w:val="both"/>
        <w:rPr>
          <w:rFonts w:ascii="ITC Avant Garde" w:eastAsia="Calibri" w:hAnsi="ITC Avant Garde" w:cs="Arial"/>
        </w:rPr>
      </w:pPr>
    </w:p>
    <w:p w14:paraId="450538ED" w14:textId="77777777" w:rsidR="0068402A" w:rsidRPr="008B1E77" w:rsidRDefault="0068402A" w:rsidP="00E11A34">
      <w:pPr>
        <w:spacing w:after="0" w:line="240" w:lineRule="auto"/>
        <w:ind w:left="720"/>
        <w:jc w:val="both"/>
        <w:rPr>
          <w:rFonts w:ascii="ITC Avant Garde" w:eastAsia="Calibri" w:hAnsi="ITC Avant Garde" w:cs="Arial"/>
        </w:rPr>
      </w:pPr>
      <w:r w:rsidRPr="008B1E77">
        <w:rPr>
          <w:rFonts w:ascii="ITC Avant Garde" w:eastAsia="Calibri" w:hAnsi="ITC Avant Garde" w:cs="Arial"/>
        </w:rPr>
        <w:t>Incluir esta condición permitiría conocer las tarifas del AEP previo a su autorización.”</w:t>
      </w:r>
    </w:p>
    <w:p w14:paraId="7465C751" w14:textId="77777777" w:rsidR="0068402A" w:rsidRPr="008B1E77" w:rsidRDefault="0068402A" w:rsidP="00E11A34">
      <w:pPr>
        <w:spacing w:after="0" w:line="240" w:lineRule="auto"/>
        <w:jc w:val="both"/>
        <w:rPr>
          <w:rFonts w:ascii="ITC Avant Garde" w:eastAsia="Calibri" w:hAnsi="ITC Avant Garde" w:cs="Arial"/>
        </w:rPr>
      </w:pPr>
    </w:p>
    <w:p w14:paraId="7F9C6BDA" w14:textId="77777777" w:rsidR="0068402A" w:rsidRPr="008B1E77" w:rsidRDefault="0068402A" w:rsidP="00E11A34">
      <w:pPr>
        <w:numPr>
          <w:ilvl w:val="0"/>
          <w:numId w:val="5"/>
        </w:numPr>
        <w:spacing w:line="240" w:lineRule="auto"/>
        <w:contextualSpacing/>
        <w:rPr>
          <w:rFonts w:ascii="ITC Avant Garde" w:eastAsia="Calibri" w:hAnsi="ITC Avant Garde" w:cs="Times New Roman"/>
          <w:lang w:val="es-EC"/>
        </w:rPr>
      </w:pPr>
      <w:r w:rsidRPr="008B1E77">
        <w:rPr>
          <w:rFonts w:ascii="ITC Avant Garde" w:eastAsia="Calibri" w:hAnsi="ITC Avant Garde" w:cs="Arial"/>
          <w:b/>
        </w:rPr>
        <w:t xml:space="preserve">CANIETI </w:t>
      </w:r>
      <w:r w:rsidRPr="008B1E77">
        <w:rPr>
          <w:rFonts w:ascii="ITC Avant Garde" w:eastAsia="Calibri" w:hAnsi="ITC Avant Garde" w:cs="Arial"/>
        </w:rPr>
        <w:t>(Tercero)</w:t>
      </w:r>
    </w:p>
    <w:p w14:paraId="2EE28D19"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b/>
        </w:rPr>
        <w:t xml:space="preserve">“Dice: </w:t>
      </w:r>
      <w:r w:rsidRPr="008B1E77">
        <w:rPr>
          <w:rFonts w:ascii="ITC Avant Garde" w:eastAsia="Calibri" w:hAnsi="ITC Avant Garde" w:cs="Arial"/>
        </w:rPr>
        <w:t>El Sistema Electrónico de Registro de Tarifas será el mecanismo a través del cual el Promovente deberá presentar sus solicitudes de autorización de tarifas.</w:t>
      </w:r>
    </w:p>
    <w:p w14:paraId="444BB825" w14:textId="77777777" w:rsidR="0068402A" w:rsidRPr="008B1E77" w:rsidRDefault="0068402A" w:rsidP="00E11A34">
      <w:pPr>
        <w:spacing w:line="240" w:lineRule="auto"/>
        <w:ind w:left="720"/>
        <w:contextualSpacing/>
        <w:jc w:val="both"/>
        <w:rPr>
          <w:rFonts w:ascii="ITC Avant Garde" w:eastAsia="Calibri" w:hAnsi="ITC Avant Garde" w:cs="Arial"/>
        </w:rPr>
      </w:pPr>
    </w:p>
    <w:p w14:paraId="27E448E5" w14:textId="77777777" w:rsidR="0068402A" w:rsidRPr="008B1E77" w:rsidRDefault="0068402A" w:rsidP="00E11A34">
      <w:pPr>
        <w:spacing w:line="240" w:lineRule="auto"/>
        <w:ind w:left="720"/>
        <w:contextualSpacing/>
        <w:jc w:val="both"/>
        <w:rPr>
          <w:rFonts w:ascii="ITC Avant Garde" w:eastAsia="Calibri" w:hAnsi="ITC Avant Garde" w:cs="Times New Roman"/>
          <w:lang w:val="es-EC"/>
        </w:rPr>
      </w:pPr>
      <w:r w:rsidRPr="008B1E77">
        <w:rPr>
          <w:rFonts w:ascii="ITC Avant Garde" w:eastAsia="Calibri" w:hAnsi="ITC Avant Garde" w:cs="Arial"/>
          <w:b/>
        </w:rPr>
        <w:t>Debe decir</w:t>
      </w:r>
      <w:r w:rsidRPr="008B1E77">
        <w:rPr>
          <w:rFonts w:ascii="ITC Avant Garde" w:eastAsia="Calibri" w:hAnsi="ITC Avant Garde" w:cs="Arial"/>
        </w:rPr>
        <w:t xml:space="preserve">: El Sistema Electrónico de Registro de Tarifas será el mecanismo a través del cual el Promovente deberá presentar sus solicitudes de autorización de tarifas, </w:t>
      </w:r>
      <w:r w:rsidRPr="008B1E77">
        <w:rPr>
          <w:rFonts w:ascii="ITC Avant Garde" w:eastAsia="Calibri" w:hAnsi="ITC Avant Garde" w:cs="Arial"/>
          <w:b/>
        </w:rPr>
        <w:t>estas solicitudes serán de conocimiento público.”</w:t>
      </w:r>
    </w:p>
    <w:p w14:paraId="7BCD50C7" w14:textId="77777777" w:rsidR="0068402A" w:rsidRPr="008B1E77" w:rsidRDefault="0068402A" w:rsidP="00E11A34">
      <w:pPr>
        <w:spacing w:line="240" w:lineRule="auto"/>
        <w:ind w:left="720"/>
        <w:contextualSpacing/>
        <w:jc w:val="both"/>
        <w:rPr>
          <w:rFonts w:ascii="ITC Avant Garde" w:eastAsia="Calibri" w:hAnsi="ITC Avant Garde" w:cs="Arial"/>
          <w:b/>
        </w:rPr>
      </w:pPr>
    </w:p>
    <w:p w14:paraId="0EA0EF76" w14:textId="745206BC" w:rsidR="0068402A" w:rsidRPr="002A27E0" w:rsidRDefault="0068402A" w:rsidP="00DE6B25">
      <w:pPr>
        <w:spacing w:after="0" w:line="240" w:lineRule="auto"/>
        <w:contextualSpacing/>
        <w:jc w:val="both"/>
        <w:rPr>
          <w:rFonts w:ascii="ITC Avant Garde" w:eastAsia="Calibri" w:hAnsi="ITC Avant Garde" w:cs="Arial"/>
        </w:rPr>
      </w:pPr>
      <w:r w:rsidRPr="008B1E77">
        <w:rPr>
          <w:rFonts w:ascii="ITC Avant Garde" w:eastAsia="Calibri" w:hAnsi="ITC Avant Garde" w:cs="Arial"/>
          <w:b/>
        </w:rPr>
        <w:t>Consideraciones del Instituto</w:t>
      </w:r>
      <w:r w:rsidRPr="006E0A29">
        <w:rPr>
          <w:rFonts w:ascii="ITC Avant Garde" w:eastAsia="Calibri" w:hAnsi="ITC Avant Garde" w:cs="Arial"/>
        </w:rPr>
        <w:t xml:space="preserve">. </w:t>
      </w:r>
      <w:r w:rsidR="00B8283C" w:rsidRPr="006E0A29">
        <w:rPr>
          <w:rFonts w:ascii="ITC Avant Garde" w:eastAsia="Calibri" w:hAnsi="ITC Avant Garde" w:cs="Arial"/>
        </w:rPr>
        <w:t xml:space="preserve">Una solicitud de autorización de tarifa, al tratarse de un proceso deliberativo para el que el Instituto no ha adoptado aún una decisión definitiva, pudiera considerarse como información reservada. </w:t>
      </w:r>
      <w:r w:rsidR="002D1DC4" w:rsidRPr="006E0A29">
        <w:rPr>
          <w:rFonts w:ascii="ITC Avant Garde" w:eastAsia="Calibri" w:hAnsi="ITC Avant Garde" w:cs="Arial"/>
        </w:rPr>
        <w:t>Por otro lado</w:t>
      </w:r>
      <w:r w:rsidR="00B8283C" w:rsidRPr="006E0A29">
        <w:rPr>
          <w:rFonts w:ascii="ITC Avant Garde" w:eastAsia="Calibri" w:hAnsi="ITC Avant Garde" w:cs="Arial"/>
        </w:rPr>
        <w:t>,</w:t>
      </w:r>
      <w:r w:rsidR="008B1E77" w:rsidRPr="006E0A29">
        <w:rPr>
          <w:rFonts w:ascii="ITC Avant Garde" w:eastAsia="Calibri" w:hAnsi="ITC Avant Garde" w:cs="Arial"/>
        </w:rPr>
        <w:t xml:space="preserve"> </w:t>
      </w:r>
      <w:r w:rsidR="00B8283C" w:rsidRPr="006E0A29">
        <w:rPr>
          <w:rFonts w:ascii="ITC Avant Garde" w:eastAsia="Calibri" w:hAnsi="ITC Avant Garde" w:cs="Arial"/>
        </w:rPr>
        <w:t xml:space="preserve">al contener información relacionada con una estrategia comercial del promovente, </w:t>
      </w:r>
      <w:r w:rsidR="002D1DC4" w:rsidRPr="006E0A29">
        <w:rPr>
          <w:rFonts w:ascii="ITC Avant Garde" w:eastAsia="Calibri" w:hAnsi="ITC Avant Garde" w:cs="Arial"/>
        </w:rPr>
        <w:t>la</w:t>
      </w:r>
      <w:r w:rsidR="00B8283C" w:rsidRPr="006E0A29">
        <w:rPr>
          <w:rFonts w:ascii="ITC Avant Garde" w:eastAsia="Calibri" w:hAnsi="ITC Avant Garde" w:cs="Arial"/>
        </w:rPr>
        <w:t xml:space="preserve"> divulgación </w:t>
      </w:r>
      <w:r w:rsidR="002D1DC4" w:rsidRPr="006E0A29">
        <w:rPr>
          <w:rFonts w:ascii="ITC Avant Garde" w:eastAsia="Calibri" w:hAnsi="ITC Avant Garde" w:cs="Arial"/>
        </w:rPr>
        <w:t xml:space="preserve">de una propuesta tarifaria </w:t>
      </w:r>
      <w:r w:rsidR="00B8283C" w:rsidRPr="006E0A29">
        <w:rPr>
          <w:rFonts w:ascii="ITC Avant Garde" w:eastAsia="Calibri" w:hAnsi="ITC Avant Garde" w:cs="Arial"/>
        </w:rPr>
        <w:t xml:space="preserve">pudiera llegar a revelar datos que podrían ser útiles para algún competidor, lo que podría colocarlo en </w:t>
      </w:r>
      <w:r w:rsidR="002D1DC4" w:rsidRPr="006E0A29">
        <w:rPr>
          <w:rFonts w:ascii="ITC Avant Garde" w:eastAsia="Calibri" w:hAnsi="ITC Avant Garde" w:cs="Arial"/>
        </w:rPr>
        <w:t xml:space="preserve">una </w:t>
      </w:r>
      <w:r w:rsidR="00B8283C" w:rsidRPr="006E0A29">
        <w:rPr>
          <w:rFonts w:ascii="ITC Avant Garde" w:eastAsia="Calibri" w:hAnsi="ITC Avant Garde" w:cs="Arial"/>
        </w:rPr>
        <w:t>situación de ventaja comercial, ocasion</w:t>
      </w:r>
      <w:r w:rsidR="006E0A29">
        <w:rPr>
          <w:rFonts w:ascii="ITC Avant Garde" w:eastAsia="Calibri" w:hAnsi="ITC Avant Garde" w:cs="Arial"/>
        </w:rPr>
        <w:t>a</w:t>
      </w:r>
      <w:r w:rsidR="00B8283C" w:rsidRPr="006E0A29">
        <w:rPr>
          <w:rFonts w:ascii="ITC Avant Garde" w:eastAsia="Calibri" w:hAnsi="ITC Avant Garde" w:cs="Arial"/>
        </w:rPr>
        <w:t xml:space="preserve">ndo un daño o perjuicio en </w:t>
      </w:r>
      <w:r w:rsidR="006E0A29">
        <w:rPr>
          <w:rFonts w:ascii="ITC Avant Garde" w:eastAsia="Calibri" w:hAnsi="ITC Avant Garde" w:cs="Arial"/>
        </w:rPr>
        <w:t xml:space="preserve">la </w:t>
      </w:r>
      <w:r w:rsidR="00B8283C" w:rsidRPr="006E0A29">
        <w:rPr>
          <w:rFonts w:ascii="ITC Avant Garde" w:eastAsia="Calibri" w:hAnsi="ITC Avant Garde" w:cs="Arial"/>
        </w:rPr>
        <w:t>posición competitiva</w:t>
      </w:r>
      <w:r w:rsidR="002D1DC4" w:rsidRPr="006E0A29">
        <w:rPr>
          <w:rFonts w:ascii="ITC Avant Garde" w:eastAsia="Calibri" w:hAnsi="ITC Avant Garde" w:cs="Arial"/>
        </w:rPr>
        <w:t xml:space="preserve"> </w:t>
      </w:r>
      <w:r w:rsidR="006E0A29">
        <w:rPr>
          <w:rFonts w:ascii="ITC Avant Garde" w:eastAsia="Calibri" w:hAnsi="ITC Avant Garde" w:cs="Arial"/>
        </w:rPr>
        <w:t>del operador que somete a autorización una propuesta tarifaria</w:t>
      </w:r>
      <w:r w:rsidR="00B8283C" w:rsidRPr="006E0A29">
        <w:rPr>
          <w:rFonts w:ascii="ITC Avant Garde" w:eastAsia="Calibri" w:hAnsi="ITC Avant Garde" w:cs="Arial"/>
        </w:rPr>
        <w:t>.</w:t>
      </w:r>
      <w:r w:rsidRPr="006E0A29">
        <w:rPr>
          <w:rFonts w:ascii="ITC Avant Garde" w:eastAsia="Calibri" w:hAnsi="ITC Avant Garde" w:cs="Arial"/>
        </w:rPr>
        <w:t xml:space="preserve"> La decisión que tome el Instituto, de aprobarse la tarifa, será la que tendrá el carácter público y estará a disposición del público en general a través del Registro Público de Concesiones.</w:t>
      </w:r>
    </w:p>
    <w:p w14:paraId="16B4B4AD" w14:textId="77777777" w:rsidR="0068402A" w:rsidRPr="00B8283C" w:rsidRDefault="0068402A" w:rsidP="00E11A34">
      <w:pPr>
        <w:spacing w:after="0" w:line="240" w:lineRule="auto"/>
        <w:jc w:val="both"/>
        <w:rPr>
          <w:rFonts w:ascii="ITC Avant Garde" w:eastAsia="Calibri" w:hAnsi="ITC Avant Garde" w:cs="Arial"/>
        </w:rPr>
      </w:pPr>
    </w:p>
    <w:p w14:paraId="2D841329" w14:textId="72BDA494" w:rsidR="0068402A" w:rsidRPr="00DE6B25" w:rsidRDefault="0068402A" w:rsidP="00E11A34">
      <w:pPr>
        <w:keepNext/>
        <w:keepLines/>
        <w:spacing w:after="0" w:line="240" w:lineRule="auto"/>
        <w:jc w:val="both"/>
        <w:outlineLvl w:val="0"/>
        <w:rPr>
          <w:rFonts w:ascii="ITC Avant Garde" w:eastAsia="Times New Roman" w:hAnsi="ITC Avant Garde" w:cs="Arial"/>
          <w:b/>
          <w:u w:val="single"/>
          <w:lang w:val="es-EC"/>
        </w:rPr>
      </w:pPr>
      <w:r w:rsidRPr="00DE6B25">
        <w:rPr>
          <w:rFonts w:ascii="ITC Avant Garde" w:eastAsia="Times New Roman" w:hAnsi="ITC Avant Garde" w:cs="Arial"/>
          <w:b/>
          <w:u w:val="single"/>
          <w:lang w:val="es-EC"/>
        </w:rPr>
        <w:t>Tema: Distinción entre los procedimientos de autorización y registro. (Segundo, Fracción XIV)</w:t>
      </w:r>
      <w:r w:rsidR="006E0A29">
        <w:rPr>
          <w:rFonts w:ascii="ITC Avant Garde" w:eastAsia="Times New Roman" w:hAnsi="ITC Avant Garde" w:cs="Arial"/>
          <w:b/>
          <w:u w:val="single"/>
          <w:lang w:val="es-EC"/>
        </w:rPr>
        <w:t>.</w:t>
      </w:r>
    </w:p>
    <w:p w14:paraId="3EDFDC38" w14:textId="77777777" w:rsidR="0068402A" w:rsidRPr="002A27E0" w:rsidRDefault="0068402A" w:rsidP="00E11A34">
      <w:pPr>
        <w:spacing w:after="0" w:line="240" w:lineRule="auto"/>
        <w:jc w:val="both"/>
        <w:rPr>
          <w:rFonts w:ascii="ITC Avant Garde" w:eastAsia="Calibri" w:hAnsi="ITC Avant Garde" w:cs="Arial"/>
          <w:b/>
          <w:u w:val="single"/>
        </w:rPr>
      </w:pPr>
    </w:p>
    <w:p w14:paraId="2D101F65" w14:textId="77777777" w:rsidR="0068402A" w:rsidRPr="00B8283C" w:rsidRDefault="0068402A" w:rsidP="00E11A34">
      <w:pPr>
        <w:numPr>
          <w:ilvl w:val="0"/>
          <w:numId w:val="5"/>
        </w:numPr>
        <w:spacing w:after="0" w:line="240" w:lineRule="auto"/>
        <w:contextualSpacing/>
        <w:jc w:val="both"/>
        <w:rPr>
          <w:rFonts w:ascii="ITC Avant Garde" w:eastAsia="Calibri" w:hAnsi="ITC Avant Garde" w:cs="Arial"/>
          <w:b/>
          <w:u w:val="single"/>
        </w:rPr>
      </w:pPr>
      <w:r w:rsidRPr="00B8283C">
        <w:rPr>
          <w:rFonts w:ascii="ITC Avant Garde" w:eastAsia="Calibri" w:hAnsi="ITC Avant Garde" w:cs="Arial"/>
          <w:b/>
        </w:rPr>
        <w:t>CANIETI</w:t>
      </w:r>
      <w:r w:rsidRPr="00B8283C">
        <w:rPr>
          <w:rFonts w:ascii="ITC Avant Garde" w:eastAsia="Calibri" w:hAnsi="ITC Avant Garde" w:cs="Arial"/>
        </w:rPr>
        <w:t xml:space="preserve">. </w:t>
      </w:r>
    </w:p>
    <w:p w14:paraId="5E91315E" w14:textId="77777777" w:rsidR="0068402A" w:rsidRPr="002A27E0" w:rsidRDefault="0068402A" w:rsidP="00E11A34">
      <w:pPr>
        <w:spacing w:after="0" w:line="240" w:lineRule="auto"/>
        <w:ind w:left="720"/>
        <w:contextualSpacing/>
        <w:jc w:val="both"/>
        <w:rPr>
          <w:rFonts w:ascii="ITC Avant Garde" w:eastAsia="Calibri" w:hAnsi="ITC Avant Garde" w:cs="Arial"/>
        </w:rPr>
      </w:pPr>
      <w:r w:rsidRPr="008B1E77">
        <w:rPr>
          <w:rFonts w:ascii="ITC Avant Garde" w:eastAsia="Calibri" w:hAnsi="ITC Avant Garde" w:cs="Arial"/>
        </w:rPr>
        <w:t xml:space="preserve">“El anteproyecto </w:t>
      </w:r>
      <w:r w:rsidR="002A27E0">
        <w:rPr>
          <w:rFonts w:ascii="ITC Avant Garde" w:eastAsia="Calibri" w:hAnsi="ITC Avant Garde" w:cs="Arial"/>
        </w:rPr>
        <w:t xml:space="preserve">debe </w:t>
      </w:r>
      <w:r w:rsidRPr="002A27E0">
        <w:rPr>
          <w:rFonts w:ascii="ITC Avant Garde" w:eastAsia="Calibri" w:hAnsi="ITC Avant Garde" w:cs="Arial"/>
        </w:rPr>
        <w:t>deberá prever dos actos. Uno que sería el de autorización y otro que sería de registro.”</w:t>
      </w:r>
    </w:p>
    <w:p w14:paraId="031FCE86" w14:textId="77777777" w:rsidR="0068402A" w:rsidRPr="00B8283C" w:rsidRDefault="0068402A" w:rsidP="00E11A34">
      <w:pPr>
        <w:spacing w:after="0" w:line="240" w:lineRule="auto"/>
        <w:jc w:val="both"/>
        <w:rPr>
          <w:rFonts w:ascii="ITC Avant Garde" w:eastAsia="Calibri" w:hAnsi="ITC Avant Garde" w:cs="Arial"/>
        </w:rPr>
      </w:pPr>
    </w:p>
    <w:p w14:paraId="7642A951" w14:textId="77777777" w:rsidR="0068402A" w:rsidRPr="002A27E0" w:rsidRDefault="0068402A" w:rsidP="00DE6B25">
      <w:pPr>
        <w:spacing w:after="0" w:line="240" w:lineRule="auto"/>
        <w:contextualSpacing/>
        <w:jc w:val="both"/>
        <w:rPr>
          <w:rFonts w:ascii="ITC Avant Garde" w:eastAsia="Calibri" w:hAnsi="ITC Avant Garde" w:cs="Arial"/>
        </w:rPr>
      </w:pPr>
      <w:r w:rsidRPr="00B8283C">
        <w:rPr>
          <w:rFonts w:ascii="ITC Avant Garde" w:eastAsia="Calibri" w:hAnsi="ITC Avant Garde" w:cs="Arial"/>
          <w:b/>
        </w:rPr>
        <w:t>Consideraciones del Instituto</w:t>
      </w:r>
      <w:r w:rsidRPr="00B8283C">
        <w:rPr>
          <w:rFonts w:ascii="ITC Avant Garde" w:eastAsia="Calibri" w:hAnsi="ITC Avant Garde" w:cs="Arial"/>
        </w:rPr>
        <w:t>. E</w:t>
      </w:r>
      <w:r w:rsidR="002A27E0">
        <w:rPr>
          <w:rFonts w:ascii="ITC Avant Garde" w:eastAsia="Calibri" w:hAnsi="ITC Avant Garde" w:cs="Arial"/>
        </w:rPr>
        <w:t>n respuesta a lo anterior, se hace mención que e</w:t>
      </w:r>
      <w:r w:rsidRPr="002A27E0">
        <w:rPr>
          <w:rFonts w:ascii="ITC Avant Garde" w:eastAsia="Calibri" w:hAnsi="ITC Avant Garde" w:cs="Arial"/>
        </w:rPr>
        <w:t>l lineamiento décimo, contenido en el Capítulo IV del anteproyecto establece que, una vez autorizada la Propuesta Tarifaria, quedará registrada en el RPC, otorgando fecha y Número de Inscripción. En dicho lineamiento se establecen los dos actos, el de autorización primero para proceder después a su registro.</w:t>
      </w:r>
    </w:p>
    <w:p w14:paraId="55B9FAFE" w14:textId="77777777" w:rsidR="00E11A34" w:rsidRPr="008B1E77" w:rsidRDefault="00E11A34" w:rsidP="00DE6B25">
      <w:pPr>
        <w:spacing w:after="0" w:line="240" w:lineRule="auto"/>
        <w:contextualSpacing/>
        <w:jc w:val="both"/>
        <w:rPr>
          <w:rFonts w:ascii="ITC Avant Garde" w:eastAsia="Calibri" w:hAnsi="ITC Avant Garde" w:cs="Times New Roman"/>
          <w:lang w:val="es-EC"/>
        </w:rPr>
      </w:pPr>
    </w:p>
    <w:p w14:paraId="5ADEB8F7" w14:textId="77777777" w:rsidR="0068402A" w:rsidRPr="00DE6B25" w:rsidRDefault="0068402A" w:rsidP="00E11A34">
      <w:pPr>
        <w:keepNext/>
        <w:keepLines/>
        <w:spacing w:after="0" w:line="240" w:lineRule="auto"/>
        <w:jc w:val="both"/>
        <w:outlineLvl w:val="0"/>
        <w:rPr>
          <w:rFonts w:ascii="ITC Avant Garde" w:eastAsia="Times New Roman" w:hAnsi="ITC Avant Garde" w:cs="Arial"/>
          <w:b/>
          <w:u w:val="single"/>
          <w:lang w:val="es-EC"/>
        </w:rPr>
      </w:pPr>
      <w:r w:rsidRPr="00DE6B25">
        <w:rPr>
          <w:rFonts w:ascii="ITC Avant Garde" w:eastAsia="Times New Roman" w:hAnsi="ITC Avant Garde" w:cs="Arial"/>
          <w:b/>
          <w:u w:val="single"/>
          <w:lang w:val="es-EC"/>
        </w:rPr>
        <w:t xml:space="preserve">Tema: Expedición de la constancia de registro </w:t>
      </w:r>
    </w:p>
    <w:p w14:paraId="2D6ABBA4" w14:textId="77777777" w:rsidR="0068402A" w:rsidRPr="002A27E0" w:rsidRDefault="0068402A" w:rsidP="0082695F">
      <w:pPr>
        <w:spacing w:after="0" w:line="240" w:lineRule="auto"/>
        <w:jc w:val="both"/>
        <w:rPr>
          <w:rFonts w:ascii="ITC Avant Garde" w:eastAsia="Calibri" w:hAnsi="ITC Avant Garde" w:cs="Arial"/>
          <w:b/>
        </w:rPr>
      </w:pPr>
    </w:p>
    <w:p w14:paraId="72AD493C" w14:textId="77777777" w:rsidR="0068402A" w:rsidRPr="00B8283C" w:rsidRDefault="0068402A" w:rsidP="00E11A34">
      <w:pPr>
        <w:numPr>
          <w:ilvl w:val="0"/>
          <w:numId w:val="5"/>
        </w:numPr>
        <w:spacing w:line="240" w:lineRule="auto"/>
        <w:contextualSpacing/>
        <w:jc w:val="both"/>
        <w:rPr>
          <w:rFonts w:ascii="ITC Avant Garde" w:eastAsia="Calibri" w:hAnsi="ITC Avant Garde" w:cs="Arial"/>
          <w:b/>
        </w:rPr>
      </w:pPr>
      <w:r w:rsidRPr="00B8283C">
        <w:rPr>
          <w:rFonts w:ascii="ITC Avant Garde" w:eastAsia="Calibri" w:hAnsi="ITC Avant Garde" w:cs="Arial"/>
          <w:b/>
        </w:rPr>
        <w:t xml:space="preserve">Telmex/Telnor: </w:t>
      </w:r>
      <w:r w:rsidRPr="00B8283C">
        <w:rPr>
          <w:rFonts w:ascii="ITC Avant Garde" w:eastAsia="Calibri" w:hAnsi="ITC Avant Garde" w:cs="Arial"/>
        </w:rPr>
        <w:t>(Décimo primero)</w:t>
      </w:r>
    </w:p>
    <w:p w14:paraId="7CDF67A6"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“En caso de haberse solicitado la expedición de la constancia de inscripción en el RPC, se solicita especificar los procesos de la entrega de la constancia de registro, entre los que se recomienda que la entrega pueda ser por medios electrónicos.”</w:t>
      </w:r>
    </w:p>
    <w:p w14:paraId="21983807" w14:textId="77777777" w:rsidR="0068402A" w:rsidRPr="008B1E77" w:rsidRDefault="0068402A" w:rsidP="00E11A34">
      <w:pPr>
        <w:spacing w:line="240" w:lineRule="auto"/>
        <w:ind w:left="720"/>
        <w:contextualSpacing/>
        <w:jc w:val="both"/>
        <w:rPr>
          <w:rFonts w:ascii="ITC Avant Garde" w:eastAsia="Calibri" w:hAnsi="ITC Avant Garde" w:cs="Arial"/>
        </w:rPr>
      </w:pPr>
    </w:p>
    <w:p w14:paraId="67AA2D99" w14:textId="77777777" w:rsidR="0068402A" w:rsidRPr="008B1E77" w:rsidRDefault="0068402A" w:rsidP="00E11A34">
      <w:pPr>
        <w:numPr>
          <w:ilvl w:val="0"/>
          <w:numId w:val="5"/>
        </w:numPr>
        <w:spacing w:line="240" w:lineRule="auto"/>
        <w:contextualSpacing/>
        <w:jc w:val="both"/>
        <w:rPr>
          <w:rFonts w:ascii="ITC Avant Garde" w:eastAsia="Calibri" w:hAnsi="ITC Avant Garde" w:cs="Arial"/>
        </w:rPr>
      </w:pPr>
      <w:r w:rsidRPr="008B1E77">
        <w:rPr>
          <w:rFonts w:ascii="ITC Avant Garde" w:eastAsia="Calibri" w:hAnsi="ITC Avant Garde" w:cs="Arial"/>
          <w:b/>
        </w:rPr>
        <w:t xml:space="preserve">Telcel </w:t>
      </w:r>
      <w:r w:rsidRPr="008B1E77">
        <w:rPr>
          <w:rFonts w:ascii="ITC Avant Garde" w:eastAsia="Calibri" w:hAnsi="ITC Avant Garde" w:cs="Arial"/>
        </w:rPr>
        <w:t>(Décimo primero)</w:t>
      </w:r>
    </w:p>
    <w:p w14:paraId="06A4243F"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“Con relación al último párrafo del presente artículo, se establece que, en caso de haberse solicitado la expedición de la constancia de inscripción en el RPC, ese Instituto pondrá a disposición del AEP, en oficinas de ese Instituto, dicho documento.</w:t>
      </w:r>
    </w:p>
    <w:p w14:paraId="620F3A4F" w14:textId="77777777" w:rsidR="0068402A" w:rsidRPr="008B1E77" w:rsidRDefault="0068402A" w:rsidP="00E11A34">
      <w:pPr>
        <w:spacing w:line="240" w:lineRule="auto"/>
        <w:ind w:left="720"/>
        <w:contextualSpacing/>
        <w:jc w:val="both"/>
        <w:rPr>
          <w:rFonts w:ascii="ITC Avant Garde" w:eastAsia="Calibri" w:hAnsi="ITC Avant Garde" w:cs="Arial"/>
        </w:rPr>
      </w:pPr>
    </w:p>
    <w:p w14:paraId="7D3CD617"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 xml:space="preserve">A éste respecto y aprovechando las bondades tecnológicas de la plataforma, se sugiere que la entrega de dicha constancia se haga a través de la misma plataforma en formato digital. Esto es, se notifique por correo electrónico la disposición del documento para su descarga en formato electrónico PDF. </w:t>
      </w:r>
    </w:p>
    <w:p w14:paraId="21EE380E" w14:textId="77777777" w:rsidR="0068402A" w:rsidRPr="008B1E77" w:rsidRDefault="0068402A" w:rsidP="00E11A34">
      <w:pPr>
        <w:spacing w:line="240" w:lineRule="auto"/>
        <w:ind w:left="720"/>
        <w:contextualSpacing/>
        <w:jc w:val="both"/>
        <w:rPr>
          <w:rFonts w:ascii="ITC Avant Garde" w:eastAsia="Calibri" w:hAnsi="ITC Avant Garde" w:cs="Arial"/>
        </w:rPr>
      </w:pPr>
    </w:p>
    <w:p w14:paraId="4AE922C3"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 xml:space="preserve">Con lo anterior se busca aprovechar la eficiencia de la plataforma y evitar el tener que acudir únicamente por dicho documento, ya que con estos lineamientos se pretende la eliminación total del uso del papel. </w:t>
      </w:r>
    </w:p>
    <w:p w14:paraId="6CE77D16"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Esta sugerencia no sería contradictoria con los objetivos que se pretenden alcanzar con los Lineamientos en consulta.”</w:t>
      </w:r>
    </w:p>
    <w:p w14:paraId="07B6A490" w14:textId="77777777" w:rsidR="0068402A" w:rsidRPr="008B1E77" w:rsidRDefault="0068402A" w:rsidP="00E11A34">
      <w:pPr>
        <w:spacing w:line="240" w:lineRule="auto"/>
        <w:ind w:left="720"/>
        <w:contextualSpacing/>
        <w:jc w:val="both"/>
        <w:rPr>
          <w:rFonts w:ascii="ITC Avant Garde" w:eastAsia="Calibri" w:hAnsi="ITC Avant Garde" w:cs="Arial"/>
        </w:rPr>
      </w:pPr>
    </w:p>
    <w:p w14:paraId="04D3EDA0" w14:textId="77777777" w:rsidR="0068402A" w:rsidRPr="008B1E77" w:rsidRDefault="0068402A" w:rsidP="00DE6B25">
      <w:pPr>
        <w:spacing w:line="240" w:lineRule="auto"/>
        <w:contextualSpacing/>
        <w:jc w:val="both"/>
        <w:rPr>
          <w:rFonts w:ascii="ITC Avant Garde" w:eastAsia="Calibri" w:hAnsi="ITC Avant Garde" w:cs="Arial"/>
        </w:rPr>
      </w:pPr>
      <w:r w:rsidRPr="008B1E77">
        <w:rPr>
          <w:rFonts w:ascii="ITC Avant Garde" w:eastAsia="Calibri" w:hAnsi="ITC Avant Garde" w:cs="Arial"/>
          <w:b/>
        </w:rPr>
        <w:t>Consideraciones del Instituto</w:t>
      </w:r>
      <w:r w:rsidRPr="008B1E77">
        <w:rPr>
          <w:rFonts w:ascii="ITC Avant Garde" w:eastAsia="Calibri" w:hAnsi="ITC Avant Garde" w:cs="Arial"/>
        </w:rPr>
        <w:t xml:space="preserve">. La inscripción se notifica al promovente vía correo electrónico, con la información que se señala en los incisos del a) al d); asimismo, se indica que, de haber solicitado expedición </w:t>
      </w:r>
      <w:r w:rsidR="00D40183" w:rsidRPr="008B1E77">
        <w:rPr>
          <w:rFonts w:ascii="ITC Avant Garde" w:eastAsia="Calibri" w:hAnsi="ITC Avant Garde" w:cs="Arial"/>
        </w:rPr>
        <w:t xml:space="preserve">de la </w:t>
      </w:r>
      <w:r w:rsidRPr="008B1E77">
        <w:rPr>
          <w:rFonts w:ascii="ITC Avant Garde" w:eastAsia="Calibri" w:hAnsi="ITC Avant Garde" w:cs="Arial"/>
        </w:rPr>
        <w:t>constancia, esta estará a disposición del promovente a partir del quinto día hábil posterior a la inscripción. Lo anterior señala como optativa le expedición de una constancia en papel, dejando claro que existirá una notificación de inscripción electrónica.</w:t>
      </w:r>
    </w:p>
    <w:p w14:paraId="7C9CB273" w14:textId="77777777" w:rsidR="0082695F" w:rsidRPr="008B1E77" w:rsidRDefault="0082695F" w:rsidP="00F24187">
      <w:pPr>
        <w:spacing w:line="240" w:lineRule="auto"/>
        <w:contextualSpacing/>
        <w:jc w:val="both"/>
        <w:rPr>
          <w:rFonts w:ascii="ITC Avant Garde" w:eastAsia="Calibri" w:hAnsi="ITC Avant Garde" w:cs="Arial"/>
        </w:rPr>
      </w:pPr>
    </w:p>
    <w:p w14:paraId="2276E6CE" w14:textId="77777777" w:rsidR="0068402A" w:rsidRPr="00DE6B25" w:rsidRDefault="0068402A" w:rsidP="00E11A34">
      <w:pPr>
        <w:keepNext/>
        <w:keepLines/>
        <w:spacing w:after="0" w:line="240" w:lineRule="auto"/>
        <w:jc w:val="both"/>
        <w:outlineLvl w:val="0"/>
        <w:rPr>
          <w:rFonts w:ascii="ITC Avant Garde" w:eastAsia="Times New Roman" w:hAnsi="ITC Avant Garde" w:cs="Arial"/>
          <w:b/>
          <w:u w:val="single"/>
          <w:lang w:val="es-EC"/>
        </w:rPr>
      </w:pPr>
      <w:r w:rsidRPr="00DE6B25">
        <w:rPr>
          <w:rFonts w:ascii="ITC Avant Garde" w:eastAsia="Times New Roman" w:hAnsi="ITC Avant Garde" w:cs="Arial"/>
          <w:b/>
          <w:u w:val="single"/>
          <w:lang w:val="es-EC"/>
        </w:rPr>
        <w:t>Tema: Inclusión de criterios regulatorios como penalizaciones para los usuarios finales (Sexto, párrafo cuarto, Fracción VII).</w:t>
      </w:r>
    </w:p>
    <w:p w14:paraId="46813E95" w14:textId="77777777" w:rsidR="0068402A" w:rsidRPr="002A27E0" w:rsidRDefault="0068402A" w:rsidP="0082695F">
      <w:pPr>
        <w:spacing w:after="0" w:line="240" w:lineRule="auto"/>
        <w:jc w:val="both"/>
        <w:rPr>
          <w:rFonts w:ascii="ITC Avant Garde" w:eastAsia="Calibri" w:hAnsi="ITC Avant Garde" w:cs="Times New Roman"/>
          <w:lang w:val="es-EC"/>
        </w:rPr>
      </w:pPr>
    </w:p>
    <w:p w14:paraId="674ABA7C" w14:textId="77777777" w:rsidR="0068402A" w:rsidRPr="00B8283C" w:rsidRDefault="0068402A" w:rsidP="00E11A34">
      <w:pPr>
        <w:numPr>
          <w:ilvl w:val="0"/>
          <w:numId w:val="5"/>
        </w:numPr>
        <w:spacing w:line="240" w:lineRule="auto"/>
        <w:contextualSpacing/>
        <w:jc w:val="both"/>
        <w:rPr>
          <w:rFonts w:ascii="ITC Avant Garde" w:eastAsia="Calibri" w:hAnsi="ITC Avant Garde" w:cs="Arial"/>
        </w:rPr>
      </w:pPr>
      <w:r w:rsidRPr="00B8283C">
        <w:rPr>
          <w:rFonts w:ascii="ITC Avant Garde" w:eastAsia="Calibri" w:hAnsi="ITC Avant Garde" w:cs="Arial"/>
          <w:b/>
        </w:rPr>
        <w:t>AT&amp;T.</w:t>
      </w:r>
    </w:p>
    <w:p w14:paraId="38E11784"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“Sugerimos que el IFT incluya reglas o criterios para la imposición de penalizaciones.”</w:t>
      </w:r>
    </w:p>
    <w:p w14:paraId="2E4FEF15" w14:textId="77777777" w:rsidR="0068402A" w:rsidRPr="008B1E77" w:rsidRDefault="0068402A" w:rsidP="00E11A34">
      <w:pPr>
        <w:spacing w:line="240" w:lineRule="auto"/>
        <w:ind w:left="720"/>
        <w:contextualSpacing/>
        <w:jc w:val="both"/>
        <w:rPr>
          <w:rFonts w:ascii="ITC Avant Garde" w:eastAsia="Calibri" w:hAnsi="ITC Avant Garde" w:cs="Arial"/>
        </w:rPr>
      </w:pPr>
    </w:p>
    <w:p w14:paraId="4B93C116" w14:textId="77777777" w:rsidR="0068402A" w:rsidRPr="008B1E77" w:rsidRDefault="0068402A" w:rsidP="00E11A34">
      <w:pPr>
        <w:numPr>
          <w:ilvl w:val="0"/>
          <w:numId w:val="5"/>
        </w:numPr>
        <w:spacing w:line="240" w:lineRule="auto"/>
        <w:contextualSpacing/>
        <w:jc w:val="both"/>
        <w:rPr>
          <w:rFonts w:ascii="ITC Avant Garde" w:eastAsia="Calibri" w:hAnsi="ITC Avant Garde" w:cs="Arial"/>
        </w:rPr>
      </w:pPr>
      <w:r w:rsidRPr="008B1E77">
        <w:rPr>
          <w:rFonts w:ascii="ITC Avant Garde" w:eastAsia="Calibri" w:hAnsi="ITC Avant Garde" w:cs="Arial"/>
          <w:b/>
        </w:rPr>
        <w:t>CANIETI.</w:t>
      </w:r>
    </w:p>
    <w:p w14:paraId="7E633544"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“Sugerimos que el IFT incluya reglas o criterios para la imposición de penalizaciones.”</w:t>
      </w:r>
    </w:p>
    <w:p w14:paraId="3EFF6E76" w14:textId="77777777" w:rsidR="0068402A" w:rsidRPr="008B1E77" w:rsidRDefault="0068402A" w:rsidP="00E11A34">
      <w:pPr>
        <w:spacing w:line="240" w:lineRule="auto"/>
        <w:ind w:left="720"/>
        <w:contextualSpacing/>
        <w:jc w:val="both"/>
        <w:rPr>
          <w:rFonts w:ascii="ITC Avant Garde" w:eastAsia="Calibri" w:hAnsi="ITC Avant Garde" w:cs="Arial"/>
        </w:rPr>
      </w:pPr>
    </w:p>
    <w:p w14:paraId="683D68FA" w14:textId="77777777" w:rsidR="0068402A" w:rsidRPr="008B1E77" w:rsidRDefault="0068402A" w:rsidP="00DE6B25">
      <w:pPr>
        <w:spacing w:line="240" w:lineRule="auto"/>
        <w:contextualSpacing/>
        <w:jc w:val="both"/>
        <w:rPr>
          <w:rFonts w:ascii="ITC Avant Garde" w:eastAsia="Calibri" w:hAnsi="ITC Avant Garde" w:cs="Arial"/>
        </w:rPr>
      </w:pPr>
      <w:r w:rsidRPr="008B1E77">
        <w:rPr>
          <w:rFonts w:ascii="ITC Avant Garde" w:eastAsia="Calibri" w:hAnsi="ITC Avant Garde" w:cs="Arial"/>
          <w:b/>
        </w:rPr>
        <w:t>Consideraciones del Instituto</w:t>
      </w:r>
      <w:r w:rsidRPr="008B1E77">
        <w:rPr>
          <w:rFonts w:ascii="ITC Avant Garde" w:eastAsia="Calibri" w:hAnsi="ITC Avant Garde" w:cs="Arial"/>
        </w:rPr>
        <w:t xml:space="preserve">. Estos Lineamientos no tienen como objeto regular el tipo de penalizaciones a las que se sujetarán, en su caso, los usuarios, lo cual es un tema contractual. Por otro lado, es importante señalar que, </w:t>
      </w:r>
      <w:r w:rsidRPr="008B1E77">
        <w:rPr>
          <w:rFonts w:ascii="ITC Avant Garde" w:eastAsia="Calibri" w:hAnsi="ITC Avant Garde" w:cs="Times New Roman"/>
        </w:rPr>
        <w:t xml:space="preserve">de conformidad con la fracción V, del artículo 191 de la LFTR, es atribución la Procuraduría Federal del Consumidor verificar que en los contratos de adhesión se establezcan penas razonables en caso de cancelación anticipada del contrato por parte del consumidor, y de suspensión temporal del servicio por falta de pago. </w:t>
      </w:r>
    </w:p>
    <w:p w14:paraId="3AEFB5B2" w14:textId="77777777" w:rsidR="00E11A34" w:rsidRPr="008B1E77" w:rsidRDefault="00E11A34" w:rsidP="00DE6B25">
      <w:pPr>
        <w:spacing w:after="0" w:line="240" w:lineRule="auto"/>
        <w:contextualSpacing/>
        <w:jc w:val="both"/>
        <w:rPr>
          <w:rFonts w:ascii="ITC Avant Garde" w:eastAsia="Calibri" w:hAnsi="ITC Avant Garde" w:cs="Arial"/>
        </w:rPr>
      </w:pPr>
    </w:p>
    <w:p w14:paraId="191A4256" w14:textId="77777777" w:rsidR="0068402A" w:rsidRPr="00DE6B25" w:rsidRDefault="0068402A" w:rsidP="00E11A34">
      <w:pPr>
        <w:keepNext/>
        <w:keepLines/>
        <w:spacing w:after="0" w:line="240" w:lineRule="auto"/>
        <w:jc w:val="both"/>
        <w:outlineLvl w:val="0"/>
        <w:rPr>
          <w:rFonts w:ascii="ITC Avant Garde" w:eastAsia="Times New Roman" w:hAnsi="ITC Avant Garde" w:cs="Arial"/>
          <w:b/>
          <w:u w:val="single"/>
          <w:lang w:val="es-EC"/>
        </w:rPr>
      </w:pPr>
      <w:r w:rsidRPr="00DE6B25">
        <w:rPr>
          <w:rFonts w:ascii="ITC Avant Garde" w:eastAsia="Times New Roman" w:hAnsi="ITC Avant Garde" w:cs="Arial"/>
          <w:b/>
          <w:u w:val="single"/>
          <w:lang w:val="es-EC"/>
        </w:rPr>
        <w:t xml:space="preserve">Tema: Inclusión de los criterios regulatorios específicos para la evaluación de las tarifas </w:t>
      </w:r>
    </w:p>
    <w:p w14:paraId="1F6F9A76" w14:textId="77777777" w:rsidR="0068402A" w:rsidRPr="002A27E0" w:rsidRDefault="0068402A" w:rsidP="0082695F">
      <w:pPr>
        <w:spacing w:after="0" w:line="240" w:lineRule="auto"/>
        <w:jc w:val="both"/>
        <w:rPr>
          <w:rFonts w:ascii="ITC Avant Garde" w:eastAsia="Calibri" w:hAnsi="ITC Avant Garde" w:cs="Times New Roman"/>
          <w:lang w:val="es-EC"/>
        </w:rPr>
      </w:pPr>
    </w:p>
    <w:p w14:paraId="178563B5" w14:textId="77777777" w:rsidR="0068402A" w:rsidRPr="00B8283C" w:rsidRDefault="0068402A" w:rsidP="00E11A34">
      <w:pPr>
        <w:numPr>
          <w:ilvl w:val="0"/>
          <w:numId w:val="5"/>
        </w:numPr>
        <w:spacing w:line="240" w:lineRule="auto"/>
        <w:contextualSpacing/>
        <w:jc w:val="both"/>
        <w:rPr>
          <w:rFonts w:ascii="ITC Avant Garde" w:eastAsia="Calibri" w:hAnsi="ITC Avant Garde" w:cs="Arial"/>
        </w:rPr>
      </w:pPr>
      <w:r w:rsidRPr="00B8283C">
        <w:rPr>
          <w:rFonts w:ascii="ITC Avant Garde" w:eastAsia="Calibri" w:hAnsi="ITC Avant Garde" w:cs="Arial"/>
          <w:b/>
        </w:rPr>
        <w:t xml:space="preserve">Sky y Cablevisión. </w:t>
      </w:r>
      <w:r w:rsidRPr="00B8283C">
        <w:rPr>
          <w:rFonts w:ascii="ITC Avant Garde" w:eastAsia="Calibri" w:hAnsi="ITC Avant Garde" w:cs="Arial"/>
        </w:rPr>
        <w:t>(Octavo, párrafo primero)</w:t>
      </w:r>
    </w:p>
    <w:p w14:paraId="734ECB20"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 xml:space="preserve">“A partir del pasado mes de enero de 2018, entraron en vigor los elementos y metodologías para la replicabilidad técnica y económica de los servicios del AEP (fijos y móviles). A pesar de que el IFT incluye las condiciones específicas que las propuestas tarifarias deben cumplir, no está explícita la obligatoriedad del AEP respecto a la replicabilidad. </w:t>
      </w:r>
    </w:p>
    <w:p w14:paraId="30D3898E" w14:textId="77777777" w:rsidR="0068402A" w:rsidRPr="008B1E77" w:rsidRDefault="0068402A" w:rsidP="00E11A34">
      <w:pPr>
        <w:spacing w:line="240" w:lineRule="auto"/>
        <w:ind w:left="720"/>
        <w:contextualSpacing/>
        <w:jc w:val="both"/>
        <w:rPr>
          <w:rFonts w:ascii="ITC Avant Garde" w:eastAsia="Calibri" w:hAnsi="ITC Avant Garde" w:cs="Arial"/>
        </w:rPr>
      </w:pPr>
    </w:p>
    <w:p w14:paraId="3E50DB09"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Si bien podría inferirse que además de las condiciones específicas hay algunas otras que son obligatorias, su omisión y ausencia dentro de las condiciones específicas a las cuales estarían obligados los Promoventes, incluyendo el AEP, pueden generar interpretaciones erróneas y convenientes por parte de los Promoventes.</w:t>
      </w:r>
    </w:p>
    <w:p w14:paraId="3EEFC8ED" w14:textId="77777777" w:rsidR="0068402A" w:rsidRPr="008B1E77" w:rsidRDefault="0068402A" w:rsidP="00E11A34">
      <w:pPr>
        <w:spacing w:line="240" w:lineRule="auto"/>
        <w:ind w:left="720"/>
        <w:contextualSpacing/>
        <w:jc w:val="both"/>
        <w:rPr>
          <w:rFonts w:ascii="ITC Avant Garde" w:eastAsia="Calibri" w:hAnsi="ITC Avant Garde" w:cs="Arial"/>
        </w:rPr>
      </w:pPr>
    </w:p>
    <w:p w14:paraId="0FFC1214"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Por ende, y en aras de la claridad y transparencia, se hace necesario especificar aquellas obligaciones primordiales y vigentes, para que no puedan ser flanqueadas de forma intencional.</w:t>
      </w:r>
    </w:p>
    <w:p w14:paraId="544E44E8" w14:textId="77777777" w:rsidR="0068402A" w:rsidRPr="008B1E77" w:rsidRDefault="0068402A" w:rsidP="00E11A34">
      <w:pPr>
        <w:spacing w:line="240" w:lineRule="auto"/>
        <w:ind w:left="720"/>
        <w:contextualSpacing/>
        <w:jc w:val="both"/>
        <w:rPr>
          <w:rFonts w:ascii="ITC Avant Garde" w:eastAsia="Calibri" w:hAnsi="ITC Avant Garde" w:cs="Arial"/>
        </w:rPr>
      </w:pPr>
    </w:p>
    <w:p w14:paraId="59B66899" w14:textId="773767EB" w:rsidR="0068402A" w:rsidRDefault="0068402A" w:rsidP="0082695F">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Se sugiere que el Instituto incluya dentro del listado de obligaciones específicas de la disposición Octava que el Promovente, específicamente el AEP, debe cumplir con todas las obligaciones vigentes y futuras en relación con la replicabilidad tanto técnica como económica.”</w:t>
      </w:r>
    </w:p>
    <w:p w14:paraId="239A9EFB" w14:textId="77777777" w:rsidR="006E0A29" w:rsidRPr="008B1E77" w:rsidRDefault="006E0A29" w:rsidP="0082695F">
      <w:pPr>
        <w:spacing w:line="240" w:lineRule="auto"/>
        <w:ind w:left="720"/>
        <w:contextualSpacing/>
        <w:jc w:val="both"/>
        <w:rPr>
          <w:rFonts w:ascii="ITC Avant Garde" w:eastAsia="Calibri" w:hAnsi="ITC Avant Garde" w:cs="Arial"/>
        </w:rPr>
      </w:pPr>
    </w:p>
    <w:p w14:paraId="45D79A23" w14:textId="77777777" w:rsidR="0068402A" w:rsidRPr="008B1E77" w:rsidRDefault="0068402A" w:rsidP="00E11A34">
      <w:pPr>
        <w:numPr>
          <w:ilvl w:val="0"/>
          <w:numId w:val="5"/>
        </w:numPr>
        <w:spacing w:line="240" w:lineRule="auto"/>
        <w:contextualSpacing/>
        <w:jc w:val="both"/>
        <w:rPr>
          <w:rFonts w:ascii="ITC Avant Garde" w:eastAsia="Calibri" w:hAnsi="ITC Avant Garde" w:cs="Arial"/>
        </w:rPr>
      </w:pPr>
      <w:r w:rsidRPr="008B1E77">
        <w:rPr>
          <w:rFonts w:ascii="ITC Avant Garde" w:eastAsia="Calibri" w:hAnsi="ITC Avant Garde" w:cs="Arial"/>
          <w:b/>
        </w:rPr>
        <w:t xml:space="preserve">Cablevisión: </w:t>
      </w:r>
      <w:r w:rsidRPr="008B1E77">
        <w:rPr>
          <w:rFonts w:ascii="ITC Avant Garde" w:eastAsia="Calibri" w:hAnsi="ITC Avant Garde" w:cs="Arial"/>
        </w:rPr>
        <w:t>(Octavo, numeral 2)</w:t>
      </w:r>
    </w:p>
    <w:p w14:paraId="7B410169"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“Se entiende que el Instituto se refiera a la LFTR para dar soporte jurídico a las obligaciones que las propuestas tarifarias de los Promoventes deben cumplir; sin embargo, en ocasiones anteriores el AEP ha transgredido las normativas aplicables agotando los procedimientos respectivos y, por ende, se ha resuelto la actualización de prácticas monopólicas relativas a propuestas tarifarias así declaradas por la autoridad competente.</w:t>
      </w:r>
    </w:p>
    <w:p w14:paraId="07E00B0A" w14:textId="77777777" w:rsidR="0068402A" w:rsidRPr="008B1E77" w:rsidRDefault="0068402A" w:rsidP="00E11A34">
      <w:pPr>
        <w:spacing w:line="240" w:lineRule="auto"/>
        <w:ind w:left="720"/>
        <w:contextualSpacing/>
        <w:jc w:val="both"/>
        <w:rPr>
          <w:rFonts w:ascii="ITC Avant Garde" w:eastAsia="Calibri" w:hAnsi="ITC Avant Garde" w:cs="Arial"/>
        </w:rPr>
      </w:pPr>
    </w:p>
    <w:p w14:paraId="391435B5"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Si bien la referencia a la ley es comprensible, al tener presente el historial del AEP en pro de buscar alternativas para no dar cumplimiento cabal a las iniciativas regulatorias que beneficien el mercado,</w:t>
      </w:r>
      <w:r w:rsidRPr="008B1E77">
        <w:rPr>
          <w:rFonts w:ascii="ITC Avant Garde" w:eastAsia="Calibri" w:hAnsi="ITC Avant Garde" w:cs="Times New Roman"/>
        </w:rPr>
        <w:t xml:space="preserve"> </w:t>
      </w:r>
      <w:r w:rsidRPr="008B1E77">
        <w:rPr>
          <w:rFonts w:ascii="ITC Avant Garde" w:eastAsia="Calibri" w:hAnsi="ITC Avant Garde" w:cs="Arial"/>
        </w:rPr>
        <w:t>es necesario que se especifique sin lugar a ambigüedades, los requisitos que deben tener las propuestas tarifarias, de forma que se bloquee cualquier intento de trato discriminatorio de parte del AEP.</w:t>
      </w:r>
    </w:p>
    <w:p w14:paraId="575D27A3" w14:textId="77777777" w:rsidR="0068402A" w:rsidRPr="008B1E77" w:rsidRDefault="0068402A" w:rsidP="00E11A34">
      <w:pPr>
        <w:spacing w:line="240" w:lineRule="auto"/>
        <w:ind w:left="720"/>
        <w:contextualSpacing/>
        <w:jc w:val="both"/>
        <w:rPr>
          <w:rFonts w:ascii="ITC Avant Garde" w:eastAsia="Calibri" w:hAnsi="ITC Avant Garde" w:cs="Arial"/>
        </w:rPr>
      </w:pPr>
    </w:p>
    <w:p w14:paraId="2BC66B9D"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Por lo anterior, dicha disposición octava debe incluir en sus numerales una definición de requisitos claros, puntuales y específicos, en lugar de una mera referencia a disposiciones legales. Esto con la finalidad de evitar que, en el caso de una eventual sentencia favorable respecto de una impugnación en contra de la disposición legal respectiva, los requisitos subsistan como resultado de una facultad de autoridad reguladora.</w:t>
      </w:r>
    </w:p>
    <w:p w14:paraId="761B1FE0" w14:textId="77777777" w:rsidR="0068402A" w:rsidRPr="008B1E77" w:rsidRDefault="0068402A" w:rsidP="00E11A34">
      <w:pPr>
        <w:spacing w:line="240" w:lineRule="auto"/>
        <w:ind w:left="720"/>
        <w:contextualSpacing/>
        <w:jc w:val="both"/>
        <w:rPr>
          <w:rFonts w:ascii="ITC Avant Garde" w:eastAsia="Calibri" w:hAnsi="ITC Avant Garde" w:cs="Arial"/>
        </w:rPr>
      </w:pPr>
    </w:p>
    <w:p w14:paraId="09A2DD46"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Se sugiere modificar la redacción del numeral segundo de la disposición octava del capítulo IV, en lo que respecta al cumplimiento del artículo 208, fracciones I y II de la LFTR, por lo que se propone reproducir los requisitos que marca dicho numeral o bien, los señalados por el artículo 263 de la LFTR, con la siguiente redacción:</w:t>
      </w:r>
    </w:p>
    <w:p w14:paraId="480F7483" w14:textId="77777777" w:rsidR="0068402A" w:rsidRPr="008B1E77" w:rsidRDefault="0068402A" w:rsidP="00E11A34">
      <w:pPr>
        <w:spacing w:line="240" w:lineRule="auto"/>
        <w:ind w:left="720"/>
        <w:contextualSpacing/>
        <w:jc w:val="both"/>
        <w:rPr>
          <w:rFonts w:ascii="ITC Avant Garde" w:eastAsia="Calibri" w:hAnsi="ITC Avant Garde" w:cs="Arial"/>
        </w:rPr>
      </w:pPr>
    </w:p>
    <w:p w14:paraId="13F59444"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“2. (…), por ende no podrá establecer a sus usuarios cargas o condiciones comerciales distintas en calidad y precio, para los servicios que se originan y terminan en su red, que aquellas que aplique a los servicios que se originan o terminan en la red de otro concesionario; así como no podrá cobrar de manera diferenciada a sus usuarios del servicio móvil por las llamadas que reciban provenientes de su red o de la de otros concesionarios;”</w:t>
      </w:r>
    </w:p>
    <w:p w14:paraId="4F45C3E7" w14:textId="77777777" w:rsidR="0068402A" w:rsidRPr="008B1E77" w:rsidRDefault="0068402A" w:rsidP="00E11A34">
      <w:pPr>
        <w:spacing w:line="240" w:lineRule="auto"/>
        <w:ind w:left="720"/>
        <w:contextualSpacing/>
        <w:jc w:val="both"/>
        <w:rPr>
          <w:rFonts w:ascii="ITC Avant Garde" w:eastAsia="Calibri" w:hAnsi="ITC Avant Garde" w:cs="Arial"/>
        </w:rPr>
      </w:pPr>
    </w:p>
    <w:p w14:paraId="42794E88" w14:textId="77777777" w:rsidR="0068402A" w:rsidRPr="008B1E77" w:rsidRDefault="0068402A" w:rsidP="00E11A34">
      <w:pPr>
        <w:numPr>
          <w:ilvl w:val="0"/>
          <w:numId w:val="5"/>
        </w:numPr>
        <w:spacing w:line="240" w:lineRule="auto"/>
        <w:contextualSpacing/>
        <w:jc w:val="both"/>
        <w:rPr>
          <w:rFonts w:ascii="ITC Avant Garde" w:eastAsia="Calibri" w:hAnsi="ITC Avant Garde" w:cs="Arial"/>
        </w:rPr>
      </w:pPr>
      <w:r w:rsidRPr="008B1E77">
        <w:rPr>
          <w:rFonts w:ascii="ITC Avant Garde" w:eastAsia="Calibri" w:hAnsi="ITC Avant Garde" w:cs="Arial"/>
          <w:b/>
        </w:rPr>
        <w:t xml:space="preserve">AT&amp;T. </w:t>
      </w:r>
      <w:r w:rsidRPr="008B1E77">
        <w:rPr>
          <w:rFonts w:ascii="ITC Avant Garde" w:eastAsia="Calibri" w:hAnsi="ITC Avant Garde" w:cs="Arial"/>
        </w:rPr>
        <w:t>(Octavo, párrafo primero)</w:t>
      </w:r>
    </w:p>
    <w:p w14:paraId="42C69A89"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w:t>
      </w:r>
      <w:r w:rsidRPr="008B1E77">
        <w:rPr>
          <w:rFonts w:ascii="ITC Avant Garde" w:eastAsia="Calibri" w:hAnsi="ITC Avant Garde" w:cs="Arial"/>
          <w:b/>
        </w:rPr>
        <w:t>Dice:</w:t>
      </w:r>
      <w:r w:rsidRPr="008B1E77">
        <w:rPr>
          <w:rFonts w:ascii="ITC Avant Garde" w:eastAsia="Calibri" w:hAnsi="ITC Avant Garde" w:cs="Arial"/>
        </w:rPr>
        <w:t xml:space="preserve"> El Instituto realizará el análisis de la Solicitud Electrónica de Autorización en estricto apego a la LFTR, a las disposiciones de carácter general emitidos por este, a las obligaciones previstas en los títulos habilitantes, así como, en su caso, a las medidas u obligaciones específicas aplicables al Promovente.</w:t>
      </w:r>
    </w:p>
    <w:p w14:paraId="58235F85" w14:textId="77777777" w:rsidR="0068402A" w:rsidRPr="008B1E77" w:rsidRDefault="0068402A" w:rsidP="00E11A34">
      <w:pPr>
        <w:spacing w:line="240" w:lineRule="auto"/>
        <w:ind w:left="720"/>
        <w:contextualSpacing/>
        <w:jc w:val="both"/>
        <w:rPr>
          <w:rFonts w:ascii="ITC Avant Garde" w:eastAsia="Calibri" w:hAnsi="ITC Avant Garde" w:cs="Arial"/>
        </w:rPr>
      </w:pPr>
    </w:p>
    <w:p w14:paraId="601464C7"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b/>
        </w:rPr>
        <w:t>Debe decir</w:t>
      </w:r>
      <w:r w:rsidRPr="008B1E77">
        <w:rPr>
          <w:rFonts w:ascii="ITC Avant Garde" w:eastAsia="Calibri" w:hAnsi="ITC Avant Garde" w:cs="Arial"/>
        </w:rPr>
        <w:t>: El Instituto realizará el análisis de la Solicitud Electrónica de Autorización en estricto apego a la LFTR, a las disposiciones de carácter general emitidas por este, a las obligaciones previstas en los títulos habilitantes, así como, en su caso, a las medidas u obligaciones específicas aplicables al Promovente</w:t>
      </w:r>
      <w:r w:rsidRPr="008B1E77">
        <w:rPr>
          <w:rFonts w:ascii="ITC Avant Garde" w:eastAsia="Calibri" w:hAnsi="ITC Avant Garde" w:cs="Arial"/>
          <w:b/>
        </w:rPr>
        <w:t>, incluyendo su replicabilidad</w:t>
      </w:r>
      <w:r w:rsidRPr="008B1E77">
        <w:rPr>
          <w:rFonts w:ascii="ITC Avant Garde" w:eastAsia="Calibri" w:hAnsi="ITC Avant Garde" w:cs="Arial"/>
        </w:rPr>
        <w:t>.”</w:t>
      </w:r>
    </w:p>
    <w:p w14:paraId="096B22FA" w14:textId="77777777" w:rsidR="0068402A" w:rsidRPr="008B1E77" w:rsidRDefault="0068402A" w:rsidP="00E11A34">
      <w:pPr>
        <w:spacing w:line="240" w:lineRule="auto"/>
        <w:ind w:left="720"/>
        <w:contextualSpacing/>
        <w:jc w:val="both"/>
        <w:rPr>
          <w:rFonts w:ascii="ITC Avant Garde" w:eastAsia="Calibri" w:hAnsi="ITC Avant Garde" w:cs="Arial"/>
        </w:rPr>
      </w:pPr>
    </w:p>
    <w:p w14:paraId="6E298DE2" w14:textId="77777777" w:rsidR="0068402A" w:rsidRPr="008B1E77" w:rsidRDefault="0068402A" w:rsidP="00E11A34">
      <w:pPr>
        <w:numPr>
          <w:ilvl w:val="0"/>
          <w:numId w:val="5"/>
        </w:numPr>
        <w:spacing w:line="240" w:lineRule="auto"/>
        <w:contextualSpacing/>
        <w:jc w:val="both"/>
        <w:rPr>
          <w:rFonts w:ascii="ITC Avant Garde" w:eastAsia="Calibri" w:hAnsi="ITC Avant Garde" w:cs="Arial"/>
        </w:rPr>
      </w:pPr>
      <w:r w:rsidRPr="008B1E77">
        <w:rPr>
          <w:rFonts w:ascii="ITC Avant Garde" w:eastAsia="Calibri" w:hAnsi="ITC Avant Garde" w:cs="Arial"/>
          <w:b/>
        </w:rPr>
        <w:t xml:space="preserve">CANIETI </w:t>
      </w:r>
      <w:r w:rsidRPr="008B1E77">
        <w:rPr>
          <w:rFonts w:ascii="ITC Avant Garde" w:eastAsia="Calibri" w:hAnsi="ITC Avant Garde" w:cs="Arial"/>
        </w:rPr>
        <w:t>(Octavo, párrafo primero)</w:t>
      </w:r>
    </w:p>
    <w:p w14:paraId="4B3518BA"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b/>
        </w:rPr>
        <w:t>“Dice:</w:t>
      </w:r>
      <w:r w:rsidRPr="008B1E77">
        <w:rPr>
          <w:rFonts w:ascii="ITC Avant Garde" w:eastAsia="Calibri" w:hAnsi="ITC Avant Garde" w:cs="Arial"/>
        </w:rPr>
        <w:t xml:space="preserve"> El Instituto realizará el análisis de la Solicitud Electrónica de Autorización en estricto apego a la LFTR, a las disposiciones de carácter general emitidos por este, a las obligaciones previstas en los títulos habilitantes, así como, en su caso, a las medidas u obligaciones específicas aplicables al Promovente.</w:t>
      </w:r>
    </w:p>
    <w:p w14:paraId="4F027AB3" w14:textId="77777777" w:rsidR="0068402A" w:rsidRPr="008B1E77" w:rsidRDefault="0068402A" w:rsidP="00E11A34">
      <w:pPr>
        <w:spacing w:line="240" w:lineRule="auto"/>
        <w:ind w:left="720"/>
        <w:contextualSpacing/>
        <w:jc w:val="both"/>
        <w:rPr>
          <w:rFonts w:ascii="ITC Avant Garde" w:eastAsia="Calibri" w:hAnsi="ITC Avant Garde" w:cs="Arial"/>
        </w:rPr>
      </w:pPr>
    </w:p>
    <w:p w14:paraId="2D2A0AC8" w14:textId="77777777" w:rsidR="0068402A" w:rsidRPr="008B1E77" w:rsidRDefault="0068402A" w:rsidP="00E11A34">
      <w:pPr>
        <w:spacing w:line="240" w:lineRule="auto"/>
        <w:ind w:left="720"/>
        <w:contextualSpacing/>
        <w:jc w:val="both"/>
        <w:rPr>
          <w:rFonts w:ascii="ITC Avant Garde" w:eastAsia="Calibri" w:hAnsi="ITC Avant Garde" w:cs="Arial"/>
          <w:b/>
        </w:rPr>
      </w:pPr>
      <w:r w:rsidRPr="008B1E77">
        <w:rPr>
          <w:rFonts w:ascii="ITC Avant Garde" w:eastAsia="Calibri" w:hAnsi="ITC Avant Garde" w:cs="Arial"/>
          <w:b/>
        </w:rPr>
        <w:t>Debe decir:</w:t>
      </w:r>
      <w:r w:rsidRPr="008B1E77">
        <w:rPr>
          <w:rFonts w:ascii="ITC Avant Garde" w:eastAsia="Calibri" w:hAnsi="ITC Avant Garde" w:cs="Arial"/>
        </w:rPr>
        <w:t xml:space="preserve"> El Instituto realizará el análisis de la Solicitud Electrónica de Autorización en estricto apego </w:t>
      </w:r>
      <w:r w:rsidRPr="008B1E77">
        <w:rPr>
          <w:rFonts w:ascii="ITC Avant Garde" w:eastAsia="Calibri" w:hAnsi="ITC Avant Garde" w:cs="Arial"/>
          <w:b/>
        </w:rPr>
        <w:t>al inciso a), fracción III del artículo 267 de</w:t>
      </w:r>
      <w:r w:rsidRPr="008B1E77">
        <w:rPr>
          <w:rFonts w:ascii="ITC Avant Garde" w:eastAsia="Calibri" w:hAnsi="ITC Avant Garde" w:cs="Arial"/>
        </w:rPr>
        <w:t xml:space="preserve"> la LFTR, </w:t>
      </w:r>
      <w:r w:rsidRPr="008B1E77">
        <w:rPr>
          <w:rFonts w:ascii="ITC Avant Garde" w:eastAsia="Calibri" w:hAnsi="ITC Avant Garde" w:cs="Arial"/>
          <w:strike/>
        </w:rPr>
        <w:t>a las disposiciones de carácter general emitidas por este, a las obligaciones previstas en los títulos habilitantes</w:t>
      </w:r>
      <w:r w:rsidRPr="008B1E77">
        <w:rPr>
          <w:rFonts w:ascii="ITC Avant Garde" w:eastAsia="Calibri" w:hAnsi="ITC Avant Garde" w:cs="Arial"/>
        </w:rPr>
        <w:t xml:space="preserve">, así como, en su caso, a las medidas u obligaciones específicas aplicables al Promovente, </w:t>
      </w:r>
      <w:r w:rsidRPr="008B1E77">
        <w:rPr>
          <w:rFonts w:ascii="ITC Avant Garde" w:eastAsia="Calibri" w:hAnsi="ITC Avant Garde" w:cs="Arial"/>
          <w:b/>
        </w:rPr>
        <w:t>incluyendo su replicabilidad por parte de concesionarios competidores”</w:t>
      </w:r>
    </w:p>
    <w:p w14:paraId="40EC67C2" w14:textId="77777777" w:rsidR="0068402A" w:rsidRPr="008B1E77" w:rsidRDefault="0068402A" w:rsidP="00E11A34">
      <w:pPr>
        <w:spacing w:line="240" w:lineRule="auto"/>
        <w:ind w:left="720"/>
        <w:contextualSpacing/>
        <w:jc w:val="both"/>
        <w:rPr>
          <w:rFonts w:ascii="ITC Avant Garde" w:eastAsia="Calibri" w:hAnsi="ITC Avant Garde" w:cs="Arial"/>
        </w:rPr>
      </w:pPr>
    </w:p>
    <w:p w14:paraId="485553CB" w14:textId="417E7567" w:rsidR="0068402A" w:rsidRPr="002A27E0" w:rsidRDefault="0068402A" w:rsidP="00DE6B25">
      <w:pPr>
        <w:spacing w:line="240" w:lineRule="auto"/>
        <w:contextualSpacing/>
        <w:jc w:val="both"/>
        <w:rPr>
          <w:rFonts w:ascii="ITC Avant Garde" w:eastAsia="Calibri" w:hAnsi="ITC Avant Garde" w:cs="Arial"/>
        </w:rPr>
      </w:pPr>
      <w:r w:rsidRPr="008B1E77">
        <w:rPr>
          <w:rFonts w:ascii="ITC Avant Garde" w:eastAsia="Calibri" w:hAnsi="ITC Avant Garde" w:cs="Arial"/>
          <w:b/>
        </w:rPr>
        <w:t>Consideraciones del Instituto</w:t>
      </w:r>
      <w:r w:rsidRPr="008B1E77">
        <w:rPr>
          <w:rFonts w:ascii="ITC Avant Garde" w:eastAsia="Calibri" w:hAnsi="ITC Avant Garde" w:cs="Arial"/>
        </w:rPr>
        <w:t xml:space="preserve">. El lineamiento Octavo señala los criterios en los que se basará el Instituto para analizar las Propuestas Tarifarias, incluidas aquellas relacionadas con obligaciones específicas, las cuales incluyen de facto la replicabilidad para el actual AEP. Los lineamientos sometidos a consulta pública son de carácter general, aplicables tanto al actual AEP como a cualquier agente </w:t>
      </w:r>
      <w:r w:rsidR="002D1DC4">
        <w:rPr>
          <w:rFonts w:ascii="ITC Avant Garde" w:eastAsia="Calibri" w:hAnsi="ITC Avant Garde" w:cs="Arial"/>
        </w:rPr>
        <w:t>que pueda ser sometido a obligaciones específicas, en materia tarifaria, en su condición de</w:t>
      </w:r>
      <w:r w:rsidRPr="002A27E0">
        <w:rPr>
          <w:rFonts w:ascii="ITC Avant Garde" w:eastAsia="Calibri" w:hAnsi="ITC Avant Garde" w:cs="Arial"/>
        </w:rPr>
        <w:t xml:space="preserve"> AEPSM en el futuro, incluso si las condiciones el AEP cambian, por lo que los requisitos que deben cumplir dependerán de las obligaciones específicas que les sean impuestas a cada uno. Por lo anterior, no se considera adecuado hacer mención de manera específica de los requisitos aplicables únicamente al AEP actual por lo que se señala, de forma general, que se revisarán las obligaciones específicas impuestas al agente que solicite la autorización de sus tarifas.</w:t>
      </w:r>
    </w:p>
    <w:p w14:paraId="0C7C762E" w14:textId="77777777" w:rsidR="0068402A" w:rsidRPr="00B8283C" w:rsidRDefault="0068402A" w:rsidP="00E11A34">
      <w:pPr>
        <w:spacing w:line="240" w:lineRule="auto"/>
        <w:ind w:left="1440"/>
        <w:contextualSpacing/>
        <w:jc w:val="both"/>
        <w:rPr>
          <w:rFonts w:ascii="ITC Avant Garde" w:eastAsia="Calibri" w:hAnsi="ITC Avant Garde" w:cs="Arial"/>
        </w:rPr>
      </w:pPr>
    </w:p>
    <w:p w14:paraId="1DCE779D" w14:textId="77777777" w:rsidR="0068402A" w:rsidRPr="008B1E77" w:rsidRDefault="0068402A" w:rsidP="000C1FFA">
      <w:pPr>
        <w:spacing w:line="240" w:lineRule="auto"/>
        <w:contextualSpacing/>
        <w:jc w:val="both"/>
        <w:rPr>
          <w:rFonts w:ascii="ITC Avant Garde" w:eastAsia="Calibri" w:hAnsi="ITC Avant Garde" w:cs="Arial"/>
        </w:rPr>
      </w:pPr>
      <w:r w:rsidRPr="008B1E77">
        <w:rPr>
          <w:rFonts w:ascii="ITC Avant Garde" w:eastAsia="Calibri" w:hAnsi="ITC Avant Garde" w:cs="Arial"/>
        </w:rPr>
        <w:t xml:space="preserve">La omisión de entrega de información obligatoria para el análisis de las Propuestas Tarifarias no resultaría conveniente para el Promovente, ya que no se autorizaría la Tarifa y, por lo tanto, no podría comercializarla. </w:t>
      </w:r>
    </w:p>
    <w:p w14:paraId="14CF7EA8" w14:textId="77777777" w:rsidR="0068402A" w:rsidRPr="008B1E77" w:rsidRDefault="0068402A" w:rsidP="000C1FFA">
      <w:pPr>
        <w:spacing w:line="240" w:lineRule="auto"/>
        <w:contextualSpacing/>
        <w:jc w:val="both"/>
        <w:rPr>
          <w:rFonts w:ascii="ITC Avant Garde" w:eastAsia="Calibri" w:hAnsi="ITC Avant Garde" w:cs="Arial"/>
        </w:rPr>
      </w:pPr>
    </w:p>
    <w:p w14:paraId="773AA47B" w14:textId="77777777" w:rsidR="0068402A" w:rsidRPr="008B1E77" w:rsidRDefault="0068402A" w:rsidP="000C1FFA">
      <w:pPr>
        <w:spacing w:line="240" w:lineRule="auto"/>
        <w:contextualSpacing/>
        <w:jc w:val="both"/>
        <w:rPr>
          <w:rFonts w:ascii="ITC Avant Garde" w:eastAsia="Calibri" w:hAnsi="ITC Avant Garde" w:cs="Arial"/>
        </w:rPr>
      </w:pPr>
      <w:r w:rsidRPr="008B1E77">
        <w:rPr>
          <w:rFonts w:ascii="ITC Avant Garde" w:eastAsia="Calibri" w:hAnsi="ITC Avant Garde" w:cs="Arial"/>
        </w:rPr>
        <w:t>Por su parte, se hace un listado enunciativo más no limitativo sobre las disposiciones generales que deberán cumplirse, incluyendo aquellas disposiciones que modifique o sustituyan a las demás descritas o que se refieran a obligaciones en materia de tarifas.</w:t>
      </w:r>
    </w:p>
    <w:p w14:paraId="636017F8" w14:textId="77777777" w:rsidR="0082695F" w:rsidRPr="008B1E77" w:rsidRDefault="0082695F" w:rsidP="00535425">
      <w:pPr>
        <w:spacing w:line="240" w:lineRule="auto"/>
        <w:contextualSpacing/>
        <w:jc w:val="both"/>
        <w:rPr>
          <w:rFonts w:ascii="ITC Avant Garde" w:eastAsia="Calibri" w:hAnsi="ITC Avant Garde" w:cs="Arial"/>
        </w:rPr>
      </w:pPr>
    </w:p>
    <w:p w14:paraId="78847688" w14:textId="77777777" w:rsidR="0068402A" w:rsidRPr="00DE6B25" w:rsidRDefault="0068402A" w:rsidP="00E11A34">
      <w:pPr>
        <w:keepNext/>
        <w:keepLines/>
        <w:spacing w:after="0" w:line="240" w:lineRule="auto"/>
        <w:jc w:val="both"/>
        <w:outlineLvl w:val="0"/>
        <w:rPr>
          <w:rFonts w:ascii="ITC Avant Garde" w:eastAsia="Times New Roman" w:hAnsi="ITC Avant Garde" w:cs="Arial"/>
          <w:b/>
          <w:u w:val="single"/>
          <w:lang w:val="es-EC"/>
        </w:rPr>
      </w:pPr>
      <w:r w:rsidRPr="00DE6B25">
        <w:rPr>
          <w:rFonts w:ascii="ITC Avant Garde" w:eastAsia="Times New Roman" w:hAnsi="ITC Avant Garde" w:cs="Arial"/>
          <w:b/>
          <w:u w:val="single"/>
          <w:lang w:val="es-EC"/>
        </w:rPr>
        <w:t xml:space="preserve">Tema: Plazos para resolver la autorización de tarifas </w:t>
      </w:r>
    </w:p>
    <w:p w14:paraId="0CC43FC3" w14:textId="77777777" w:rsidR="0068402A" w:rsidRPr="002A27E0" w:rsidRDefault="0068402A" w:rsidP="0082695F">
      <w:pPr>
        <w:spacing w:after="0" w:line="240" w:lineRule="auto"/>
        <w:jc w:val="both"/>
        <w:rPr>
          <w:rFonts w:ascii="ITC Avant Garde" w:eastAsia="Calibri" w:hAnsi="ITC Avant Garde" w:cs="Times New Roman"/>
          <w:lang w:val="es-EC"/>
        </w:rPr>
      </w:pPr>
    </w:p>
    <w:p w14:paraId="5FCED529" w14:textId="77777777" w:rsidR="0068402A" w:rsidRPr="00B8283C" w:rsidRDefault="0068402A" w:rsidP="00E11A34">
      <w:pPr>
        <w:numPr>
          <w:ilvl w:val="0"/>
          <w:numId w:val="5"/>
        </w:numPr>
        <w:spacing w:line="240" w:lineRule="auto"/>
        <w:contextualSpacing/>
        <w:jc w:val="both"/>
        <w:rPr>
          <w:rFonts w:ascii="ITC Avant Garde" w:eastAsia="Calibri" w:hAnsi="ITC Avant Garde" w:cs="Arial"/>
        </w:rPr>
      </w:pPr>
      <w:r w:rsidRPr="00B8283C">
        <w:rPr>
          <w:rFonts w:ascii="ITC Avant Garde" w:eastAsia="Calibri" w:hAnsi="ITC Avant Garde" w:cs="Arial"/>
          <w:b/>
        </w:rPr>
        <w:t xml:space="preserve">Telmex/Telnor </w:t>
      </w:r>
      <w:r w:rsidRPr="00B8283C">
        <w:rPr>
          <w:rFonts w:ascii="ITC Avant Garde" w:eastAsia="Calibri" w:hAnsi="ITC Avant Garde" w:cs="Arial"/>
        </w:rPr>
        <w:t>(Noveno)</w:t>
      </w:r>
    </w:p>
    <w:p w14:paraId="1CD45E03" w14:textId="77777777" w:rsidR="0068402A" w:rsidRPr="008B1E77" w:rsidRDefault="0068402A" w:rsidP="00E11A34">
      <w:pPr>
        <w:spacing w:line="240" w:lineRule="auto"/>
        <w:ind w:left="720"/>
        <w:contextualSpacing/>
        <w:jc w:val="both"/>
        <w:rPr>
          <w:rFonts w:ascii="ITC Avant Garde" w:eastAsia="Calibri" w:hAnsi="ITC Avant Garde" w:cs="Arial"/>
        </w:rPr>
      </w:pPr>
      <w:r w:rsidRPr="00B8283C">
        <w:rPr>
          <w:rFonts w:ascii="ITC Avant Garde" w:eastAsia="Calibri" w:hAnsi="ITC Avant Garde" w:cs="Arial"/>
        </w:rPr>
        <w:t xml:space="preserve">“De acuerdo con las medidas específicas, es importante señalar que, en el caso de los servicios de telecomunicaciones fijos, se tiene la obligación de replicabilidad técnica en la que únicamente el caso excepcional en </w:t>
      </w:r>
      <w:r w:rsidRPr="008B1E77">
        <w:rPr>
          <w:rFonts w:ascii="ITC Avant Garde" w:eastAsia="Calibri" w:hAnsi="ITC Avant Garde" w:cs="Arial"/>
        </w:rPr>
        <w:t>el que se requiera solicitar el registro de una tarifa con un insumo mayorista nuevo se identifica un tiempo mayor a 10 días hábiles dado que requiere modificación de la Oferta de referencia y poner a disposición en el SEG. Por lo anterior, solicitamos acotar a este caso el plazo máximo para resolver la autorización.</w:t>
      </w:r>
    </w:p>
    <w:p w14:paraId="1A2763F2" w14:textId="77777777" w:rsidR="0068402A" w:rsidRPr="008B1E77" w:rsidRDefault="0068402A" w:rsidP="00E11A34">
      <w:pPr>
        <w:spacing w:line="240" w:lineRule="auto"/>
        <w:ind w:left="720"/>
        <w:contextualSpacing/>
        <w:jc w:val="both"/>
        <w:rPr>
          <w:rFonts w:ascii="ITC Avant Garde" w:eastAsia="Calibri" w:hAnsi="ITC Avant Garde" w:cs="Arial"/>
        </w:rPr>
      </w:pPr>
    </w:p>
    <w:p w14:paraId="7431FFFF"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Asimismo, en el lineamiento no establece la consecuencia de no emitir una respuesta dentro del periodo establecido, por lo que solicitamos incluir que en el caso en el que el Instituto no resuelva, aplicará una afirmativa ficta, que conlleva a que la Propuesta Tarifaria quede autorizada y registrada de manera automática al término del plazo.</w:t>
      </w:r>
    </w:p>
    <w:p w14:paraId="3D36C59C" w14:textId="77777777" w:rsidR="0068402A" w:rsidRPr="008B1E77" w:rsidRDefault="0068402A" w:rsidP="00E11A34">
      <w:pPr>
        <w:spacing w:line="240" w:lineRule="auto"/>
        <w:ind w:left="720"/>
        <w:contextualSpacing/>
        <w:jc w:val="both"/>
        <w:rPr>
          <w:rFonts w:ascii="ITC Avant Garde" w:eastAsia="Calibri" w:hAnsi="ITC Avant Garde" w:cs="Arial"/>
        </w:rPr>
      </w:pPr>
    </w:p>
    <w:p w14:paraId="7947C1C4"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Adicionalmente, se sugiere que el tiempo para la respuesta de autorización de la tarifa sean 5 días hábiles en lugar de 10 días hábiles, lo anterior, para permitir el dinamismo de mercado con lo que se tendrá capacidad de respuesta a la movilidad de las ofertas comerciales.”</w:t>
      </w:r>
    </w:p>
    <w:p w14:paraId="50E18313" w14:textId="77777777" w:rsidR="0068402A" w:rsidRPr="008B1E77" w:rsidRDefault="0068402A" w:rsidP="00E11A34">
      <w:pPr>
        <w:spacing w:line="240" w:lineRule="auto"/>
        <w:ind w:left="720"/>
        <w:contextualSpacing/>
        <w:jc w:val="both"/>
        <w:rPr>
          <w:rFonts w:ascii="ITC Avant Garde" w:eastAsia="Calibri" w:hAnsi="ITC Avant Garde" w:cs="Arial"/>
        </w:rPr>
      </w:pPr>
    </w:p>
    <w:p w14:paraId="766E47F1" w14:textId="77777777" w:rsidR="0068402A" w:rsidRPr="008B1E77" w:rsidRDefault="0068402A" w:rsidP="00E11A34">
      <w:pPr>
        <w:numPr>
          <w:ilvl w:val="0"/>
          <w:numId w:val="5"/>
        </w:numPr>
        <w:spacing w:line="240" w:lineRule="auto"/>
        <w:contextualSpacing/>
        <w:jc w:val="both"/>
        <w:rPr>
          <w:rFonts w:ascii="ITC Avant Garde" w:eastAsia="Calibri" w:hAnsi="ITC Avant Garde" w:cs="Arial"/>
        </w:rPr>
      </w:pPr>
      <w:r w:rsidRPr="008B1E77">
        <w:rPr>
          <w:rFonts w:ascii="ITC Avant Garde" w:eastAsia="Calibri" w:hAnsi="ITC Avant Garde" w:cs="Arial"/>
          <w:b/>
        </w:rPr>
        <w:t xml:space="preserve">Sky y Cablevisión </w:t>
      </w:r>
      <w:r w:rsidRPr="008B1E77">
        <w:rPr>
          <w:rFonts w:ascii="ITC Avant Garde" w:eastAsia="Calibri" w:hAnsi="ITC Avant Garde" w:cs="Arial"/>
        </w:rPr>
        <w:t>(Noveno)</w:t>
      </w:r>
      <w:r w:rsidRPr="008B1E77">
        <w:rPr>
          <w:rFonts w:ascii="ITC Avant Garde" w:eastAsia="Calibri" w:hAnsi="ITC Avant Garde" w:cs="Arial"/>
          <w:b/>
        </w:rPr>
        <w:t xml:space="preserve"> </w:t>
      </w:r>
    </w:p>
    <w:p w14:paraId="7FCAD2CC"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“El plazo de 10 días hábiles que el IFT se da a sí mismo para realizar las evaluaciones de las propuestas tarifarias de los Promoventes, resulta claramente insuficiente para hacer una evaluación detallada y concienzuda de una propuesta tarifaria, sobre todo para aquellas que sean provenientes del AEP y que están sujetas a otro tipo de obligaciones como lo son el debido cumplimiento de las pruebas de replicabilidad ex-ante tanto técnica como económica.</w:t>
      </w:r>
    </w:p>
    <w:p w14:paraId="2305CBD4" w14:textId="77777777" w:rsidR="0068402A" w:rsidRPr="008B1E77" w:rsidRDefault="0068402A" w:rsidP="00E11A34">
      <w:pPr>
        <w:spacing w:line="240" w:lineRule="auto"/>
        <w:ind w:left="720"/>
        <w:contextualSpacing/>
        <w:jc w:val="both"/>
        <w:rPr>
          <w:rFonts w:ascii="ITC Avant Garde" w:eastAsia="Calibri" w:hAnsi="ITC Avant Garde" w:cs="Arial"/>
        </w:rPr>
      </w:pPr>
    </w:p>
    <w:p w14:paraId="30695743"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Es importante tener presente que el IFT, tanto en las metodologías de replicabilidad económica aplicables al AEP [Nota al pie: (i) Metodología Replicabilidad Económica AEP Medida Sexagésima Cuarta Anexo 1 P/IFT/120917/548 y (ii) Metodología Replicabilidad Económica AEP Medida Sexagésima Séptima Anexo 2 y Cuadragésima Novena Anexo 3 P/IFT/120917/549], como el acuerdo de replicabilidad técnica, [Nota al pie: Consultado en: http://www.ift.org.mx/...], menciona que, se da a sí mismo un plazo de 30 días naturales o calendario, contados a partir de la notificación de la prueba de replicabilidad para emitir su veredicto respecto del resultado de dichas pruebas. Este plazo claramente no está descrito de forma explícita en el anteproyecto regulatorio en referencia.</w:t>
      </w:r>
    </w:p>
    <w:p w14:paraId="5445779C" w14:textId="77777777" w:rsidR="0068402A" w:rsidRPr="008B1E77" w:rsidRDefault="0068402A" w:rsidP="00E11A34">
      <w:pPr>
        <w:spacing w:line="240" w:lineRule="auto"/>
        <w:ind w:left="720"/>
        <w:contextualSpacing/>
        <w:jc w:val="both"/>
        <w:rPr>
          <w:rFonts w:ascii="ITC Avant Garde" w:eastAsia="Calibri" w:hAnsi="ITC Avant Garde" w:cs="Arial"/>
        </w:rPr>
      </w:pPr>
    </w:p>
    <w:p w14:paraId="080A8673"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Sin demeritar lo anterior, se podría inferir que el texto del anteproyecto regulatorio intenta establecer una salvedad para “los casos en que las medidas u obligaciones específicas impuestas establezcan tiempos mayores para para llevar a cabo los procedimientos específicos que le resulten aplicables al Promovente en cuyo caso el plazo se apegará a dicha normatividad.”. Sn embargo, la falta de claridad podría generar ambigüedades de interpretación por parte del AEP o de los futuros AEPSM, lo cual a su vez llevaría a posibles afectaciones del debido proceso, y por ende, a generar una ventana de oportunidad para que no se realice una debida y escrupulosa evaluación de una propuesta tarifaria sujeta a las obligaciones de replicabilidad.</w:t>
      </w:r>
    </w:p>
    <w:p w14:paraId="16D49709" w14:textId="77777777" w:rsidR="0068402A" w:rsidRPr="008B1E77" w:rsidRDefault="0068402A" w:rsidP="00E11A34">
      <w:pPr>
        <w:spacing w:line="240" w:lineRule="auto"/>
        <w:ind w:left="720"/>
        <w:contextualSpacing/>
        <w:jc w:val="both"/>
        <w:rPr>
          <w:rFonts w:ascii="ITC Avant Garde" w:eastAsia="Calibri" w:hAnsi="ITC Avant Garde" w:cs="Arial"/>
        </w:rPr>
      </w:pPr>
    </w:p>
    <w:p w14:paraId="74B30304"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[Agregaron como evidencia internacional el caso de la Comisión Nacional de los Mercados y la Competencia de España, en la que se toman 30 días para analizar la replicabilidad del AEP]</w:t>
      </w:r>
    </w:p>
    <w:p w14:paraId="1287ACFD" w14:textId="77777777" w:rsidR="0068402A" w:rsidRPr="008B1E77" w:rsidRDefault="0068402A" w:rsidP="00E11A34">
      <w:pPr>
        <w:spacing w:line="240" w:lineRule="auto"/>
        <w:ind w:left="720"/>
        <w:contextualSpacing/>
        <w:jc w:val="both"/>
        <w:rPr>
          <w:rFonts w:ascii="ITC Avant Garde" w:eastAsia="Calibri" w:hAnsi="ITC Avant Garde" w:cs="Arial"/>
        </w:rPr>
      </w:pPr>
    </w:p>
    <w:p w14:paraId="7A041530"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Teniendo presente lo anterior, creemos conveniente que el IFT ajuste la redacción de la disposición novena, la cual se sugiere quede de la siguiente forma:</w:t>
      </w:r>
    </w:p>
    <w:p w14:paraId="09ADC3E2" w14:textId="77777777" w:rsidR="0068402A" w:rsidRPr="008B1E77" w:rsidRDefault="0068402A" w:rsidP="00E11A34">
      <w:pPr>
        <w:spacing w:line="240" w:lineRule="auto"/>
        <w:ind w:left="720"/>
        <w:contextualSpacing/>
        <w:jc w:val="both"/>
        <w:rPr>
          <w:rFonts w:ascii="ITC Avant Garde" w:eastAsia="Calibri" w:hAnsi="ITC Avant Garde" w:cs="Arial"/>
        </w:rPr>
      </w:pPr>
    </w:p>
    <w:p w14:paraId="6A4068E0" w14:textId="77777777" w:rsidR="0068402A" w:rsidRPr="008B1E77" w:rsidRDefault="0068402A" w:rsidP="00E11A34">
      <w:pPr>
        <w:spacing w:line="240" w:lineRule="auto"/>
        <w:ind w:left="720"/>
        <w:contextualSpacing/>
        <w:jc w:val="both"/>
        <w:rPr>
          <w:rFonts w:ascii="ITC Avant Garde" w:eastAsia="Calibri" w:hAnsi="ITC Avant Garde" w:cs="Arial"/>
          <w:i/>
        </w:rPr>
      </w:pPr>
      <w:r w:rsidRPr="008B1E77">
        <w:rPr>
          <w:rFonts w:ascii="ITC Avant Garde" w:eastAsia="Calibri" w:hAnsi="ITC Avant Garde" w:cs="Arial"/>
          <w:i/>
        </w:rPr>
        <w:t>“NOVENO. El instituto, una vez ingresada la solicitud Electrónica de Autorización, contará con un plazo máximo de 10 (diez) días hábiles, contados a partir del día hábil siguiente del ingreso, para resolver la autorización o rechazo de la Propuesta Tarifaria, salvo en los casos en que las medidas u obligaciones específicas impuestas establezcan tiempos mayores para llevar a cabo los procedimientos específicos que le resulten aplicables al Promovente, en cuyo caso el plazo se apegará a dicha normatividad.</w:t>
      </w:r>
    </w:p>
    <w:p w14:paraId="440446EC" w14:textId="77777777" w:rsidR="0068402A" w:rsidRPr="008B1E77" w:rsidRDefault="0068402A" w:rsidP="00E11A34">
      <w:pPr>
        <w:spacing w:line="240" w:lineRule="auto"/>
        <w:ind w:left="720"/>
        <w:contextualSpacing/>
        <w:jc w:val="both"/>
        <w:rPr>
          <w:rFonts w:ascii="ITC Avant Garde" w:eastAsia="Calibri" w:hAnsi="ITC Avant Garde" w:cs="Arial"/>
          <w:i/>
        </w:rPr>
      </w:pPr>
    </w:p>
    <w:p w14:paraId="732194A3" w14:textId="77777777" w:rsidR="0068402A" w:rsidRPr="008B1E77" w:rsidRDefault="0068402A" w:rsidP="00E11A34">
      <w:pPr>
        <w:spacing w:line="240" w:lineRule="auto"/>
        <w:ind w:left="720"/>
        <w:contextualSpacing/>
        <w:jc w:val="both"/>
        <w:rPr>
          <w:rFonts w:ascii="ITC Avant Garde" w:eastAsia="Calibri" w:hAnsi="ITC Avant Garde" w:cs="Arial"/>
          <w:i/>
        </w:rPr>
      </w:pPr>
      <w:r w:rsidRPr="008B1E77">
        <w:rPr>
          <w:rFonts w:ascii="ITC Avant Garde" w:eastAsia="Calibri" w:hAnsi="ITC Avant Garde" w:cs="Arial"/>
          <w:i/>
        </w:rPr>
        <w:t>Si se llegase a tratar de propuestas tarifarias provenientes del AEP, y que por sus características estén sujetas a superar las pruebas de replicabilidad tanto técnica como económica para ser autorizadas, el Instituto dispondrá de cuando menos 30 días naturales para evaluar los resultados de las pruebas de replicabilidad, sin menos cabo de que las pruebas no sean superadas por el AEP. Si los resultados de dichas pruebas son enteramente satisfactorios tal como se estipula en los acuerdos y metodologías a las cuales está obligado el AEP respecto de la replicabilidad tanto técnica como económica, el Instituto dispondrá de hasta 10 días hábiles adicionales para realizar el procedimiento de autorización de la solicitud electrónica de tarifas.”</w:t>
      </w:r>
    </w:p>
    <w:p w14:paraId="6A50274D" w14:textId="77777777" w:rsidR="0068402A" w:rsidRPr="008B1E77" w:rsidRDefault="0068402A" w:rsidP="0082695F">
      <w:pPr>
        <w:spacing w:after="0" w:line="240" w:lineRule="auto"/>
        <w:ind w:left="720"/>
        <w:contextualSpacing/>
        <w:jc w:val="both"/>
        <w:rPr>
          <w:rFonts w:ascii="ITC Avant Garde" w:eastAsia="Calibri" w:hAnsi="ITC Avant Garde" w:cs="Arial"/>
        </w:rPr>
      </w:pPr>
    </w:p>
    <w:p w14:paraId="20009901" w14:textId="77777777" w:rsidR="0068402A" w:rsidRPr="008B1E77" w:rsidRDefault="0068402A" w:rsidP="00E11A34">
      <w:pPr>
        <w:numPr>
          <w:ilvl w:val="0"/>
          <w:numId w:val="5"/>
        </w:numPr>
        <w:spacing w:line="240" w:lineRule="auto"/>
        <w:contextualSpacing/>
        <w:jc w:val="both"/>
        <w:rPr>
          <w:rFonts w:ascii="ITC Avant Garde" w:eastAsia="Calibri" w:hAnsi="ITC Avant Garde" w:cs="Arial"/>
        </w:rPr>
      </w:pPr>
      <w:r w:rsidRPr="008B1E77">
        <w:rPr>
          <w:rFonts w:ascii="ITC Avant Garde" w:eastAsia="Calibri" w:hAnsi="ITC Avant Garde" w:cs="Arial"/>
          <w:b/>
        </w:rPr>
        <w:t xml:space="preserve">Telcel </w:t>
      </w:r>
      <w:r w:rsidRPr="008B1E77">
        <w:rPr>
          <w:rFonts w:ascii="ITC Avant Garde" w:eastAsia="Calibri" w:hAnsi="ITC Avant Garde" w:cs="Arial"/>
        </w:rPr>
        <w:t>(Noveno)</w:t>
      </w:r>
    </w:p>
    <w:p w14:paraId="51FA81A5"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 xml:space="preserve">“El presente artículo establece un plazo de 10 días hábiles para que ese Instituto resuelva autorizar la Propuesta Tarifaria; no obstante, los lineamientos en consulta no establecen la consecuencia de no emitir una respuesta dentro del periodo establecido, el Proyecto de Manifestación de Impacto Regulatorio sí señala se tendrá por no autorizado si fenece el plazo sin respuesta de la autoridad (negativa ficta). En éste sentido, se solicita incluir una afirmativa ficta en los casos en que ese Instituto sea omiso de dar una respuesta dentro del término de 10 días. Esta propuesta tiene sentido y viabilidad al amparo de las recomendaciones de mejora regulatoria en la que se recomienda contar con procedimientos sencillos y expeditos. </w:t>
      </w:r>
    </w:p>
    <w:p w14:paraId="124C7F52" w14:textId="77777777" w:rsidR="0068402A" w:rsidRPr="008B1E77" w:rsidRDefault="0068402A" w:rsidP="00E11A34">
      <w:pPr>
        <w:spacing w:line="240" w:lineRule="auto"/>
        <w:ind w:left="720"/>
        <w:contextualSpacing/>
        <w:jc w:val="both"/>
        <w:rPr>
          <w:rFonts w:ascii="ITC Avant Garde" w:eastAsia="Calibri" w:hAnsi="ITC Avant Garde" w:cs="Arial"/>
        </w:rPr>
      </w:pPr>
    </w:p>
    <w:p w14:paraId="1BBD213E"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 xml:space="preserve">No se trata de imponer una consecuencia negativa para ese Instituto o para los funcionarios encargados del desahogo del trámite, sino de generar un procedimiento eficiente y eficaz para alcanzar los beneficios de la mejora regulatoria que se somete a consulta. </w:t>
      </w:r>
    </w:p>
    <w:p w14:paraId="41B100B2" w14:textId="77777777" w:rsidR="0068402A" w:rsidRPr="008B1E77" w:rsidRDefault="0068402A" w:rsidP="00E11A34">
      <w:pPr>
        <w:spacing w:line="240" w:lineRule="auto"/>
        <w:ind w:left="720"/>
        <w:contextualSpacing/>
        <w:jc w:val="both"/>
        <w:rPr>
          <w:rFonts w:ascii="ITC Avant Garde" w:eastAsia="Calibri" w:hAnsi="ITC Avant Garde" w:cs="Arial"/>
        </w:rPr>
      </w:pPr>
    </w:p>
    <w:p w14:paraId="3E7476D8"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Adicionalmente, es importante señalar que, en el caso de los servicios de Telecomunicaciones Móviles, el análisis de replicabilidad es llevado a cabo de manera posterior a la autorización, razón por la que, en caso de aplicarse una afirmativa ficta, ese IFT tiene la oportunidad de volver a estudiar</w:t>
      </w:r>
      <w:r w:rsidRPr="008B1E77">
        <w:rPr>
          <w:rFonts w:ascii="ITC Avant Garde" w:eastAsia="Calibri" w:hAnsi="ITC Avant Garde" w:cs="Times New Roman"/>
        </w:rPr>
        <w:t xml:space="preserve"> </w:t>
      </w:r>
      <w:r w:rsidRPr="008B1E77">
        <w:rPr>
          <w:rFonts w:ascii="ITC Avant Garde" w:eastAsia="Calibri" w:hAnsi="ITC Avant Garde" w:cs="Arial"/>
        </w:rPr>
        <w:t>la Propuesta Tarifaria al amparo del análisis de replicabilidad que efectúe con posterioridad. Lo anterior, sin perjuicio de que ese IFT cuenta con las facultades de revocar la autorización y registro en el caso de llegarse a detectar que la Propuesta Tarifaria autorizada de manera ficta por haber fenecido el plazo de esa autoridad para resolver, no cumple con alguno de las disposiciones reconocidas en el artículo (lineamiento) Octavo.</w:t>
      </w:r>
    </w:p>
    <w:p w14:paraId="15000F91" w14:textId="77777777" w:rsidR="0068402A" w:rsidRPr="008B1E77" w:rsidRDefault="0068402A" w:rsidP="00E11A34">
      <w:pPr>
        <w:spacing w:line="240" w:lineRule="auto"/>
        <w:ind w:left="720"/>
        <w:contextualSpacing/>
        <w:jc w:val="both"/>
        <w:rPr>
          <w:rFonts w:ascii="ITC Avant Garde" w:eastAsia="Calibri" w:hAnsi="ITC Avant Garde" w:cs="Arial"/>
        </w:rPr>
      </w:pPr>
    </w:p>
    <w:p w14:paraId="3E61F203"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 xml:space="preserve">Esta propuesta conlleva que la Propuesta Tarifaria quede autorizada y registrada de manera automática al fenecer el plazo de 10 días sin manifestación alguna de esa Autoridad; en concordancia con lo establecido en el artículo (lineamiento) Décimo. </w:t>
      </w:r>
    </w:p>
    <w:p w14:paraId="4E8E29BE" w14:textId="77777777" w:rsidR="0068402A" w:rsidRPr="008B1E77" w:rsidRDefault="0068402A" w:rsidP="00E11A34">
      <w:pPr>
        <w:spacing w:line="240" w:lineRule="auto"/>
        <w:ind w:left="720"/>
        <w:contextualSpacing/>
        <w:jc w:val="both"/>
        <w:rPr>
          <w:rFonts w:ascii="ITC Avant Garde" w:eastAsia="Calibri" w:hAnsi="ITC Avant Garde" w:cs="Arial"/>
        </w:rPr>
      </w:pPr>
    </w:p>
    <w:p w14:paraId="3EE430E5"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 xml:space="preserve">Por otro lado, se sugiere, para los servicios móviles, reducir el plazo de 10 a 5 días, toda vez que el dinamismo competitivo del mercado genera que el AEP pueda responder de forma oportuna a la fuerte competencia que se experimenta. Las medidas asimétricas que le han sido impuestas a Telcel en ningún momento buscan entorpecer la actividad comercial de la empresa ni generarle un perjuicio económico; por el contrario, sólo buscan que a través de la oferta mayorista los OMVs puedan replicar la oferta comercial ofrecida por Telcel; situación que se verifica 3 meses después de la autorización de la tarifa. Se considera que 5 días hábiles es tiempo suficiente para que esa autoridad pueda validar que la Propuesta tarifaria cumple con las disposiciones reconocidas en el artículo (lineamiento) Octavo de los Lineamientos en consulta. </w:t>
      </w:r>
    </w:p>
    <w:p w14:paraId="533496FC" w14:textId="77777777" w:rsidR="0068402A" w:rsidRPr="008B1E77" w:rsidRDefault="0068402A" w:rsidP="00E11A34">
      <w:pPr>
        <w:spacing w:line="240" w:lineRule="auto"/>
        <w:ind w:left="720"/>
        <w:contextualSpacing/>
        <w:jc w:val="both"/>
        <w:rPr>
          <w:rFonts w:ascii="ITC Avant Garde" w:eastAsia="Calibri" w:hAnsi="ITC Avant Garde" w:cs="Arial"/>
        </w:rPr>
      </w:pPr>
    </w:p>
    <w:p w14:paraId="23911A90"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 xml:space="preserve">Es importante reconocer que cada mercado (fijo, móvil y TV restringida), atiende a diversas estrategias de negocio y hábitos de consumo de los consumidores. Los servicios móviles no pueden ni deben ser tratados de la misma forma que los otros dos en virtud de las características del mercado. Al no haber disposición especial que justifique un plazo tan extenso para autorizar la Propuesta Tarifaria más que la validación de cumplimiento con los incisos 1 a 5 del artículo 8 de los presentes lineamientos, se sugiere reducir el plazo de 10 a 5 días para la autorización de la Propuesta Tarifaria de servicios móviles. En </w:t>
      </w:r>
      <w:r w:rsidR="00E11A34" w:rsidRPr="008B1E77">
        <w:rPr>
          <w:rFonts w:ascii="ITC Avant Garde" w:eastAsia="Calibri" w:hAnsi="ITC Avant Garde" w:cs="Arial"/>
        </w:rPr>
        <w:t>consecuencia,</w:t>
      </w:r>
      <w:r w:rsidRPr="008B1E77">
        <w:rPr>
          <w:rFonts w:ascii="ITC Avant Garde" w:eastAsia="Calibri" w:hAnsi="ITC Avant Garde" w:cs="Arial"/>
        </w:rPr>
        <w:t xml:space="preserve"> la reducción del plazo de 5 días para la prevención a 3 y un plazo similar para desahogar la prevención. </w:t>
      </w:r>
    </w:p>
    <w:p w14:paraId="10B4D810" w14:textId="77777777" w:rsidR="0068402A" w:rsidRPr="008B1E77" w:rsidRDefault="0068402A" w:rsidP="00E11A34">
      <w:pPr>
        <w:spacing w:line="240" w:lineRule="auto"/>
        <w:ind w:left="720"/>
        <w:contextualSpacing/>
        <w:jc w:val="both"/>
        <w:rPr>
          <w:rFonts w:ascii="ITC Avant Garde" w:eastAsia="Calibri" w:hAnsi="ITC Avant Garde" w:cs="Arial"/>
        </w:rPr>
      </w:pPr>
    </w:p>
    <w:p w14:paraId="04D197D0"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Finalmente, se requiere establecer reglas para los casos en los que el Sistema, por alguna falla técnica, mantenimiento o caso fortuito, deje de operar regularmente. Lo anterior con la finalidad de no generar un perjuicio al AEP y los AEPSM. Se siguiere incluir un mecanismo alternativo para los casos señalados, como</w:t>
      </w:r>
      <w:r w:rsidR="002D1DC4">
        <w:rPr>
          <w:rFonts w:ascii="ITC Avant Garde" w:eastAsia="Calibri" w:hAnsi="ITC Avant Garde" w:cs="Arial"/>
        </w:rPr>
        <w:t>,</w:t>
      </w:r>
      <w:r w:rsidRPr="008B1E77">
        <w:rPr>
          <w:rFonts w:ascii="ITC Avant Garde" w:eastAsia="Calibri" w:hAnsi="ITC Avant Garde" w:cs="Arial"/>
        </w:rPr>
        <w:t xml:space="preserve"> por ejemplo, la habilitación de promociones a través del correo electrónico oficialía@ift.org.mx.”</w:t>
      </w:r>
    </w:p>
    <w:p w14:paraId="77B9AA4D" w14:textId="77777777" w:rsidR="0068402A" w:rsidRPr="008B1E77" w:rsidRDefault="0068402A" w:rsidP="00E11A34">
      <w:pPr>
        <w:spacing w:line="240" w:lineRule="auto"/>
        <w:ind w:left="720"/>
        <w:contextualSpacing/>
        <w:jc w:val="both"/>
        <w:rPr>
          <w:rFonts w:ascii="ITC Avant Garde" w:eastAsia="Calibri" w:hAnsi="ITC Avant Garde" w:cs="Arial"/>
        </w:rPr>
      </w:pPr>
    </w:p>
    <w:p w14:paraId="28C73E77" w14:textId="77777777" w:rsidR="0068402A" w:rsidRPr="008B1E77" w:rsidRDefault="0068402A" w:rsidP="00E11A34">
      <w:pPr>
        <w:numPr>
          <w:ilvl w:val="0"/>
          <w:numId w:val="5"/>
        </w:numPr>
        <w:spacing w:line="240" w:lineRule="auto"/>
        <w:contextualSpacing/>
        <w:jc w:val="both"/>
        <w:rPr>
          <w:rFonts w:ascii="ITC Avant Garde" w:eastAsia="Calibri" w:hAnsi="ITC Avant Garde" w:cs="Arial"/>
        </w:rPr>
      </w:pPr>
      <w:r w:rsidRPr="008B1E77">
        <w:rPr>
          <w:rFonts w:ascii="ITC Avant Garde" w:eastAsia="Calibri" w:hAnsi="ITC Avant Garde" w:cs="Arial"/>
          <w:b/>
        </w:rPr>
        <w:t xml:space="preserve">AT&amp;T </w:t>
      </w:r>
      <w:r w:rsidRPr="008B1E77">
        <w:rPr>
          <w:rFonts w:ascii="ITC Avant Garde" w:eastAsia="Calibri" w:hAnsi="ITC Avant Garde" w:cs="Arial"/>
        </w:rPr>
        <w:t>(Noveno)</w:t>
      </w:r>
    </w:p>
    <w:p w14:paraId="7EB423AF"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b/>
        </w:rPr>
        <w:t>“Dice:</w:t>
      </w:r>
      <w:r w:rsidRPr="008B1E77">
        <w:rPr>
          <w:rFonts w:ascii="ITC Avant Garde" w:eastAsia="Calibri" w:hAnsi="ITC Avant Garde" w:cs="Arial"/>
        </w:rPr>
        <w:t xml:space="preserve"> El Instituto, una vez ingresada la Solicitud Electrónica de Autorización, contará con un plazo máximo de 10 (diez) días hábiles, contados a partir del día hábil siguiente del ingreso, para resolver la autorización o rechazo de la Propuesta Tarifaria, salvo en los casos en que las medidas u obligaciones específicas impuestas establezcan tiempos mayores para para llevar a cabo los procedimientos específicos que le resulten aplicables al Promovente, en cuyo caso el plazo se apegará a dicha normatividad.</w:t>
      </w:r>
    </w:p>
    <w:p w14:paraId="5FC9E337" w14:textId="77777777" w:rsidR="0068402A" w:rsidRPr="008B1E77" w:rsidRDefault="0068402A" w:rsidP="00E11A34">
      <w:pPr>
        <w:spacing w:line="240" w:lineRule="auto"/>
        <w:ind w:left="720"/>
        <w:contextualSpacing/>
        <w:jc w:val="both"/>
        <w:rPr>
          <w:rFonts w:ascii="ITC Avant Garde" w:eastAsia="Calibri" w:hAnsi="ITC Avant Garde" w:cs="Arial"/>
        </w:rPr>
      </w:pPr>
    </w:p>
    <w:p w14:paraId="5F1E8B85"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b/>
        </w:rPr>
        <w:t>Debe decir:</w:t>
      </w:r>
      <w:r w:rsidRPr="008B1E77">
        <w:rPr>
          <w:rFonts w:ascii="ITC Avant Garde" w:eastAsia="Calibri" w:hAnsi="ITC Avant Garde" w:cs="Arial"/>
        </w:rPr>
        <w:t xml:space="preserve"> El Instituto, una vez ingresada la Solicitud Electrónica de Autorización, contará con un plazo máximo de 10 (diez) días hábiles, contados a partir del día hábil siguiente del ingreso, para resolver la autorización o rechazo de la Propuesta Tarifaria, salvo en los casos en que las medidas u obligaciones específicas impuestas establezcan tiempos mayores para para llevar a cabo los procedimientos específicos que le resulten aplicables al Promovente, en cuyo caso el plazo se apegará a dicha normatividad.”</w:t>
      </w:r>
    </w:p>
    <w:p w14:paraId="31DB65A7" w14:textId="77777777" w:rsidR="0068402A" w:rsidRPr="008B1E77" w:rsidRDefault="0068402A" w:rsidP="00E11A34">
      <w:pPr>
        <w:spacing w:line="240" w:lineRule="auto"/>
        <w:ind w:left="720"/>
        <w:contextualSpacing/>
        <w:jc w:val="both"/>
        <w:rPr>
          <w:rFonts w:ascii="ITC Avant Garde" w:eastAsia="Calibri" w:hAnsi="ITC Avant Garde" w:cs="Arial"/>
        </w:rPr>
      </w:pPr>
    </w:p>
    <w:p w14:paraId="48D78691" w14:textId="77777777" w:rsidR="0068402A" w:rsidRPr="008B1E77" w:rsidRDefault="0068402A" w:rsidP="00E11A34">
      <w:pPr>
        <w:spacing w:line="240" w:lineRule="auto"/>
        <w:ind w:left="720"/>
        <w:contextualSpacing/>
        <w:jc w:val="both"/>
        <w:rPr>
          <w:rFonts w:ascii="ITC Avant Garde" w:eastAsia="Calibri" w:hAnsi="ITC Avant Garde" w:cs="Arial"/>
          <w:b/>
        </w:rPr>
      </w:pPr>
      <w:r w:rsidRPr="008B1E77">
        <w:rPr>
          <w:rFonts w:ascii="ITC Avant Garde" w:eastAsia="Calibri" w:hAnsi="ITC Avant Garde" w:cs="Arial"/>
          <w:b/>
        </w:rPr>
        <w:t>A falta de respuesta del Instituto dentro del plazo arriba señalado, la Solicitud Electrónica de Autorización se entenderá negada al Promovente.”</w:t>
      </w:r>
    </w:p>
    <w:p w14:paraId="0F524CC9" w14:textId="77777777" w:rsidR="0068402A" w:rsidRPr="008B1E77" w:rsidRDefault="0068402A" w:rsidP="00E11A34">
      <w:pPr>
        <w:spacing w:line="240" w:lineRule="auto"/>
        <w:ind w:left="720"/>
        <w:contextualSpacing/>
        <w:jc w:val="both"/>
        <w:rPr>
          <w:rFonts w:ascii="ITC Avant Garde" w:eastAsia="Calibri" w:hAnsi="ITC Avant Garde" w:cs="Arial"/>
        </w:rPr>
      </w:pPr>
    </w:p>
    <w:p w14:paraId="635861E8" w14:textId="77777777" w:rsidR="0068402A" w:rsidRPr="008B1E77" w:rsidRDefault="0068402A" w:rsidP="00E11A34">
      <w:pPr>
        <w:numPr>
          <w:ilvl w:val="0"/>
          <w:numId w:val="5"/>
        </w:numPr>
        <w:spacing w:line="240" w:lineRule="auto"/>
        <w:contextualSpacing/>
        <w:jc w:val="both"/>
        <w:rPr>
          <w:rFonts w:ascii="ITC Avant Garde" w:eastAsia="Calibri" w:hAnsi="ITC Avant Garde" w:cs="Arial"/>
        </w:rPr>
      </w:pPr>
      <w:r w:rsidRPr="008B1E77">
        <w:rPr>
          <w:rFonts w:ascii="ITC Avant Garde" w:eastAsia="Calibri" w:hAnsi="ITC Avant Garde" w:cs="Arial"/>
          <w:b/>
        </w:rPr>
        <w:t xml:space="preserve">CANIETI </w:t>
      </w:r>
      <w:r w:rsidRPr="008B1E77">
        <w:rPr>
          <w:rFonts w:ascii="ITC Avant Garde" w:eastAsia="Calibri" w:hAnsi="ITC Avant Garde" w:cs="Arial"/>
        </w:rPr>
        <w:t>(Noveno)</w:t>
      </w:r>
    </w:p>
    <w:p w14:paraId="50B0E589"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b/>
        </w:rPr>
        <w:t>“Dice</w:t>
      </w:r>
      <w:r w:rsidRPr="008B1E77">
        <w:rPr>
          <w:rFonts w:ascii="ITC Avant Garde" w:eastAsia="Calibri" w:hAnsi="ITC Avant Garde" w:cs="Arial"/>
        </w:rPr>
        <w:t>: El Instituto, una vez ingresada la Solicitud Electrónica de Autorización, contará con un plazo máximo de 10 (diez) días hábiles, contados a partir del día hábil siguiente del ingreso, para resolver la autorización o rechazo de la Propuesta Tarifaria, salvo en los casos en que las medidas u obligaciones específicas impuestas establezcan tiempos mayores para para llevar a cabo los procedimientos específicos que le resulten aplicables al Promovente, en cuyo caso el plazo se apegará a dicha normatividad.</w:t>
      </w:r>
    </w:p>
    <w:p w14:paraId="2D6293F5" w14:textId="77777777" w:rsidR="0068402A" w:rsidRPr="008B1E77" w:rsidRDefault="0068402A" w:rsidP="00E11A34">
      <w:pPr>
        <w:spacing w:line="240" w:lineRule="auto"/>
        <w:ind w:left="720"/>
        <w:contextualSpacing/>
        <w:jc w:val="both"/>
        <w:rPr>
          <w:rFonts w:ascii="ITC Avant Garde" w:eastAsia="Calibri" w:hAnsi="ITC Avant Garde" w:cs="Arial"/>
          <w:b/>
        </w:rPr>
      </w:pPr>
    </w:p>
    <w:p w14:paraId="39D2FA04"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b/>
        </w:rPr>
        <w:t>Debe decir:</w:t>
      </w:r>
      <w:r w:rsidRPr="008B1E77">
        <w:rPr>
          <w:rFonts w:ascii="ITC Avant Garde" w:eastAsia="Calibri" w:hAnsi="ITC Avant Garde" w:cs="Arial"/>
        </w:rPr>
        <w:t xml:space="preserve"> El Instituto, una vez ingresada la Solicitud Electrónica de Autorización, contará con un plazo máximo de 10 (diez) días hábiles, contados a partir del día hábil siguiente del ingreso, para resolver la autorización o rechazo de la Propuesta Tarifaria, </w:t>
      </w:r>
      <w:r w:rsidRPr="008B1E77">
        <w:rPr>
          <w:rFonts w:ascii="ITC Avant Garde" w:eastAsia="Calibri" w:hAnsi="ITC Avant Garde" w:cs="Arial"/>
          <w:b/>
        </w:rPr>
        <w:t>conforme a los criterios del inciso a), fracción II del artículo 267 del LFTR</w:t>
      </w:r>
      <w:r w:rsidRPr="008B1E77">
        <w:rPr>
          <w:rFonts w:ascii="ITC Avant Garde" w:eastAsia="Calibri" w:hAnsi="ITC Avant Garde" w:cs="Arial"/>
        </w:rPr>
        <w:t>, salvo en los casos en que las medidas u obligaciones específicas impuestas establezcan tiempos mayores para para llevar a cabo los procedimientos específicos que le resulten aplicables al Promovente, en cuyo caso el plazo se apegará a dicha normatividad.</w:t>
      </w:r>
    </w:p>
    <w:p w14:paraId="6DCE4763" w14:textId="77777777" w:rsidR="0068402A" w:rsidRPr="008B1E77" w:rsidRDefault="0068402A" w:rsidP="00E11A34">
      <w:pPr>
        <w:spacing w:line="240" w:lineRule="auto"/>
        <w:ind w:left="720"/>
        <w:contextualSpacing/>
        <w:jc w:val="both"/>
        <w:rPr>
          <w:rFonts w:ascii="ITC Avant Garde" w:eastAsia="Calibri" w:hAnsi="ITC Avant Garde" w:cs="Arial"/>
          <w:b/>
        </w:rPr>
      </w:pPr>
    </w:p>
    <w:p w14:paraId="1D959C4D" w14:textId="77777777" w:rsidR="0068402A" w:rsidRPr="008B1E77" w:rsidRDefault="0068402A" w:rsidP="00E11A34">
      <w:pPr>
        <w:spacing w:line="240" w:lineRule="auto"/>
        <w:ind w:left="720"/>
        <w:contextualSpacing/>
        <w:jc w:val="both"/>
        <w:rPr>
          <w:rFonts w:ascii="ITC Avant Garde" w:eastAsia="Calibri" w:hAnsi="ITC Avant Garde" w:cs="Arial"/>
          <w:b/>
        </w:rPr>
      </w:pPr>
      <w:r w:rsidRPr="008B1E77">
        <w:rPr>
          <w:rFonts w:ascii="ITC Avant Garde" w:eastAsia="Calibri" w:hAnsi="ITC Avant Garde" w:cs="Arial"/>
          <w:b/>
        </w:rPr>
        <w:t>A falta de respuesta del Instituto dentro del plazo arriba señalado, la Solicitud Electrónica de Autorización se entenderá negada al Promovente.”</w:t>
      </w:r>
    </w:p>
    <w:p w14:paraId="0F99E8DA" w14:textId="77777777" w:rsidR="0068402A" w:rsidRPr="008B1E77" w:rsidRDefault="0068402A" w:rsidP="00E11A34">
      <w:pPr>
        <w:spacing w:line="240" w:lineRule="auto"/>
        <w:ind w:left="720"/>
        <w:contextualSpacing/>
        <w:jc w:val="both"/>
        <w:rPr>
          <w:rFonts w:ascii="ITC Avant Garde" w:eastAsia="Calibri" w:hAnsi="ITC Avant Garde" w:cs="Arial"/>
          <w:b/>
        </w:rPr>
      </w:pPr>
    </w:p>
    <w:p w14:paraId="1E86B37C" w14:textId="77777777" w:rsidR="0068402A" w:rsidRPr="008B1E77" w:rsidRDefault="0068402A" w:rsidP="00E11A34">
      <w:pPr>
        <w:numPr>
          <w:ilvl w:val="0"/>
          <w:numId w:val="5"/>
        </w:numPr>
        <w:spacing w:line="240" w:lineRule="auto"/>
        <w:contextualSpacing/>
        <w:jc w:val="both"/>
        <w:rPr>
          <w:rFonts w:ascii="ITC Avant Garde" w:eastAsia="Calibri" w:hAnsi="ITC Avant Garde" w:cs="Arial"/>
        </w:rPr>
      </w:pPr>
      <w:r w:rsidRPr="008B1E77">
        <w:rPr>
          <w:rFonts w:ascii="ITC Avant Garde" w:eastAsia="Calibri" w:hAnsi="ITC Avant Garde" w:cs="Arial"/>
          <w:b/>
        </w:rPr>
        <w:t xml:space="preserve">Telcel </w:t>
      </w:r>
      <w:r w:rsidRPr="008B1E77">
        <w:rPr>
          <w:rFonts w:ascii="ITC Avant Garde" w:eastAsia="Calibri" w:hAnsi="ITC Avant Garde" w:cs="Arial"/>
        </w:rPr>
        <w:t>(Décimo)</w:t>
      </w:r>
    </w:p>
    <w:p w14:paraId="30A0700B"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“Se recomienda establecer que la Propuesta Tarifaria quedará registrada una vez que haya sido autorizada por ese Instituto o al fenecer el plazo de 10 días hábiles sin resolución de ese IFT.”</w:t>
      </w:r>
    </w:p>
    <w:p w14:paraId="15F7213A" w14:textId="77777777" w:rsidR="0068402A" w:rsidRPr="008B1E77" w:rsidRDefault="0068402A" w:rsidP="00E11A34">
      <w:pPr>
        <w:spacing w:line="240" w:lineRule="auto"/>
        <w:ind w:left="720"/>
        <w:contextualSpacing/>
        <w:jc w:val="both"/>
        <w:rPr>
          <w:rFonts w:ascii="ITC Avant Garde" w:eastAsia="Calibri" w:hAnsi="ITC Avant Garde" w:cs="Arial"/>
        </w:rPr>
      </w:pPr>
    </w:p>
    <w:p w14:paraId="44C26FA2" w14:textId="77777777" w:rsidR="0068402A" w:rsidRPr="00B8283C" w:rsidRDefault="0068402A" w:rsidP="00DE6B25">
      <w:pPr>
        <w:spacing w:line="240" w:lineRule="auto"/>
        <w:contextualSpacing/>
        <w:jc w:val="both"/>
        <w:rPr>
          <w:rFonts w:ascii="ITC Avant Garde" w:eastAsia="Calibri" w:hAnsi="ITC Avant Garde" w:cs="Arial"/>
        </w:rPr>
      </w:pPr>
      <w:r w:rsidRPr="008B1E77">
        <w:rPr>
          <w:rFonts w:ascii="ITC Avant Garde" w:eastAsia="Calibri" w:hAnsi="ITC Avant Garde" w:cs="Arial"/>
          <w:b/>
        </w:rPr>
        <w:t xml:space="preserve">Consideraciones </w:t>
      </w:r>
      <w:r w:rsidRPr="002A27E0">
        <w:rPr>
          <w:rFonts w:ascii="ITC Avant Garde" w:eastAsia="Calibri" w:hAnsi="ITC Avant Garde" w:cs="Arial"/>
          <w:b/>
        </w:rPr>
        <w:t>del Instituto</w:t>
      </w:r>
      <w:r w:rsidRPr="002A27E0">
        <w:rPr>
          <w:rFonts w:ascii="ITC Avant Garde" w:eastAsia="Calibri" w:hAnsi="ITC Avant Garde" w:cs="Arial"/>
        </w:rPr>
        <w:t>. E</w:t>
      </w:r>
      <w:r w:rsidRPr="005D2FF4">
        <w:rPr>
          <w:rFonts w:ascii="ITC Avant Garde" w:eastAsia="Calibri" w:hAnsi="ITC Avant Garde" w:cs="Arial"/>
        </w:rPr>
        <w:t>s importante resaltar que estos lineamientos son de carácter general, es decir, para cualquier AEP o AEPSM, existente o futuro, por lo que no se puede acotar el plazo al caso concreto de los servicios de telecomunicaciones fijos de un concesionario en part</w:t>
      </w:r>
      <w:r w:rsidRPr="00B8283C">
        <w:rPr>
          <w:rFonts w:ascii="ITC Avant Garde" w:eastAsia="Calibri" w:hAnsi="ITC Avant Garde" w:cs="Arial"/>
        </w:rPr>
        <w:t xml:space="preserve">icular. Como ya se señaló, excepcionalmente, el plazo de referencia será lo que la normatividad específica señale en este sentido.  </w:t>
      </w:r>
    </w:p>
    <w:p w14:paraId="72417137" w14:textId="77777777" w:rsidR="0068402A" w:rsidRPr="008B1E77" w:rsidRDefault="0068402A" w:rsidP="00E11A34">
      <w:pPr>
        <w:spacing w:line="240" w:lineRule="auto"/>
        <w:ind w:left="1440"/>
        <w:contextualSpacing/>
        <w:jc w:val="both"/>
        <w:rPr>
          <w:rFonts w:ascii="ITC Avant Garde" w:eastAsia="Calibri" w:hAnsi="ITC Avant Garde" w:cs="Arial"/>
          <w:b/>
        </w:rPr>
      </w:pPr>
    </w:p>
    <w:p w14:paraId="53A1433D" w14:textId="77777777" w:rsidR="0068402A" w:rsidRPr="008B1E77" w:rsidRDefault="0068402A" w:rsidP="00AE5AFF">
      <w:pPr>
        <w:spacing w:line="240" w:lineRule="auto"/>
        <w:contextualSpacing/>
        <w:jc w:val="both"/>
        <w:rPr>
          <w:rFonts w:ascii="ITC Avant Garde" w:eastAsia="Calibri" w:hAnsi="ITC Avant Garde" w:cs="Arial"/>
        </w:rPr>
      </w:pPr>
      <w:r w:rsidRPr="008B1E77">
        <w:rPr>
          <w:rFonts w:ascii="ITC Avant Garde" w:eastAsia="Calibri" w:hAnsi="ITC Avant Garde" w:cs="Arial"/>
        </w:rPr>
        <w:t>La LFTR no brinda margen jurídico para la aplicación de la positiva ficta en el proceso de aprobación tarifaria, toda vez que el artículo 208 claramente establece que las tarifas deben ser aprobadas por el Instituto, y tanto los AEP como los AEPSM están sujetos a regulación asimétrica, entre otras cosas en materia tarifaria, por lo que debe mediar el análisis correspondiente por parte del Instituto.</w:t>
      </w:r>
    </w:p>
    <w:p w14:paraId="6C9D6987" w14:textId="77777777" w:rsidR="00AE5AFF" w:rsidRPr="008B1E77" w:rsidRDefault="00AE5AFF" w:rsidP="00AE5AFF">
      <w:pPr>
        <w:spacing w:line="240" w:lineRule="auto"/>
        <w:contextualSpacing/>
        <w:jc w:val="both"/>
        <w:rPr>
          <w:rFonts w:ascii="ITC Avant Garde" w:eastAsia="Calibri" w:hAnsi="ITC Avant Garde" w:cs="Arial"/>
        </w:rPr>
      </w:pPr>
    </w:p>
    <w:p w14:paraId="6DE64F3C" w14:textId="77777777" w:rsidR="0068402A" w:rsidRDefault="0068402A" w:rsidP="00AE5AFF">
      <w:pPr>
        <w:spacing w:line="240" w:lineRule="auto"/>
        <w:contextualSpacing/>
        <w:jc w:val="both"/>
        <w:rPr>
          <w:rFonts w:ascii="ITC Avant Garde" w:eastAsia="Calibri" w:hAnsi="ITC Avant Garde" w:cs="Arial"/>
        </w:rPr>
      </w:pPr>
      <w:r w:rsidRPr="008B1E77">
        <w:rPr>
          <w:rFonts w:ascii="ITC Avant Garde" w:eastAsia="Calibri" w:hAnsi="ITC Avant Garde" w:cs="Arial"/>
        </w:rPr>
        <w:t>Por otro lado, se considera importante señalar que el Instituto es consciente del dinamismo de los mercados de telecomunicaciones, así como de la importancia de realizar un análisis preciso de la información presentada. En ese sentido, la LFTR no establece un plazo para llevar a cabo la autorización de tarifas, por lo que, de manera supletoria, correspondería aplicar lo dispuesto en la Ley Federal de Procedimiento Administrativo que, de conformidad con el artículo 17 de dicha ley, determina un plazo no mayor a tres meses para resolver lo que corresponda. Sin embargo, a efecto de dar agilidad a la autorización de tarifas, de no generar afectaciones al dinamismo del mercado, en el cual es imprescindible que los AEP y AEPSM puedan reaccionar a las condiciones del mismo de forma oportuna, y de no impactar de forma negativa las condiciones de competencia, así como en virtud de la cantidad de información que se requiere revisar y analizar en el proceso de autorización, se estima razonable un plazo de 10 (diez) días hábiles para que el Instituto resuelva  sobre la autorización de una tarifa, salvo en los casos en que las medidas u obligaciones específicas impuestas establezcan tiempos mayores para llevar a cabo los procedimientos específicos que le resulten aplicables a estos agentes, en cuyo caso, el plazo se apegará a dicha normatividad.</w:t>
      </w:r>
    </w:p>
    <w:p w14:paraId="377A9FEB" w14:textId="77777777" w:rsidR="002D1DC4" w:rsidRDefault="002D1DC4" w:rsidP="00AE5AFF">
      <w:pPr>
        <w:spacing w:line="240" w:lineRule="auto"/>
        <w:contextualSpacing/>
        <w:jc w:val="both"/>
        <w:rPr>
          <w:rFonts w:ascii="ITC Avant Garde" w:eastAsia="Calibri" w:hAnsi="ITC Avant Garde" w:cs="Arial"/>
        </w:rPr>
      </w:pPr>
    </w:p>
    <w:p w14:paraId="7655BC3B" w14:textId="77777777" w:rsidR="002D1DC4" w:rsidRPr="008B1E77" w:rsidRDefault="002D1DC4" w:rsidP="00AE5AFF">
      <w:pPr>
        <w:spacing w:line="240" w:lineRule="auto"/>
        <w:contextualSpacing/>
        <w:jc w:val="both"/>
        <w:rPr>
          <w:rFonts w:ascii="ITC Avant Garde" w:eastAsia="Calibri" w:hAnsi="ITC Avant Garde" w:cs="Arial"/>
        </w:rPr>
      </w:pPr>
      <w:r>
        <w:rPr>
          <w:rFonts w:ascii="ITC Avant Garde" w:eastAsia="Calibri" w:hAnsi="ITC Avant Garde" w:cs="Arial"/>
        </w:rPr>
        <w:t xml:space="preserve">En relación con la solicitud de </w:t>
      </w:r>
      <w:r w:rsidR="0025454E">
        <w:rPr>
          <w:rFonts w:ascii="ITC Avant Garde" w:eastAsia="Calibri" w:hAnsi="ITC Avant Garde" w:cs="Arial"/>
        </w:rPr>
        <w:t>especificar que se entenderá</w:t>
      </w:r>
      <w:r>
        <w:rPr>
          <w:rFonts w:ascii="ITC Avant Garde" w:eastAsia="Calibri" w:hAnsi="ITC Avant Garde" w:cs="Arial"/>
        </w:rPr>
        <w:t xml:space="preserve"> como negada una solicitud que no sea respondida dentro del plazo señalado, se hace notar que, de conformidad con el artículo 17 de la Ley Federal del Procedimiento Administrativo, a falta de respuesta por parte de autoridad, se entenderán las resoluciones en </w:t>
      </w:r>
      <w:r w:rsidR="0025454E">
        <w:rPr>
          <w:rFonts w:ascii="ITC Avant Garde" w:eastAsia="Calibri" w:hAnsi="ITC Avant Garde" w:cs="Arial"/>
        </w:rPr>
        <w:t>sentido negativo</w:t>
      </w:r>
      <w:r>
        <w:rPr>
          <w:rFonts w:ascii="ITC Avant Garde" w:eastAsia="Calibri" w:hAnsi="ITC Avant Garde" w:cs="Arial"/>
        </w:rPr>
        <w:t xml:space="preserve"> al promovente</w:t>
      </w:r>
      <w:r w:rsidR="0025454E">
        <w:rPr>
          <w:rFonts w:ascii="ITC Avant Garde" w:eastAsia="Calibri" w:hAnsi="ITC Avant Garde" w:cs="Arial"/>
        </w:rPr>
        <w:t>,</w:t>
      </w:r>
      <w:r>
        <w:rPr>
          <w:rFonts w:ascii="ITC Avant Garde" w:eastAsia="Calibri" w:hAnsi="ITC Avant Garde" w:cs="Arial"/>
        </w:rPr>
        <w:t xml:space="preserve"> </w:t>
      </w:r>
      <w:r w:rsidR="0025454E">
        <w:rPr>
          <w:rFonts w:ascii="ITC Avant Garde" w:eastAsia="Calibri" w:hAnsi="ITC Avant Garde" w:cs="Arial"/>
        </w:rPr>
        <w:t>a menos que otra disposición prevea lo contrario.</w:t>
      </w:r>
    </w:p>
    <w:p w14:paraId="2729AC69" w14:textId="77777777" w:rsidR="00E11A34" w:rsidRPr="008B1E77" w:rsidRDefault="00E11A34" w:rsidP="00DE6B25">
      <w:pPr>
        <w:spacing w:after="0" w:line="240" w:lineRule="auto"/>
        <w:contextualSpacing/>
        <w:jc w:val="both"/>
        <w:rPr>
          <w:rFonts w:ascii="ITC Avant Garde" w:eastAsia="Calibri" w:hAnsi="ITC Avant Garde" w:cs="Arial"/>
        </w:rPr>
      </w:pPr>
    </w:p>
    <w:p w14:paraId="04C80F84" w14:textId="77777777" w:rsidR="0068402A" w:rsidRPr="00DE6B25" w:rsidRDefault="0068402A" w:rsidP="00E11A34">
      <w:pPr>
        <w:keepNext/>
        <w:keepLines/>
        <w:spacing w:after="0" w:line="240" w:lineRule="auto"/>
        <w:jc w:val="both"/>
        <w:outlineLvl w:val="0"/>
        <w:rPr>
          <w:rFonts w:ascii="ITC Avant Garde" w:eastAsia="Times New Roman" w:hAnsi="ITC Avant Garde" w:cs="Arial"/>
          <w:b/>
          <w:u w:val="single"/>
          <w:lang w:val="es-EC"/>
        </w:rPr>
      </w:pPr>
      <w:r w:rsidRPr="00DE6B25">
        <w:rPr>
          <w:rFonts w:ascii="ITC Avant Garde" w:eastAsia="Times New Roman" w:hAnsi="ITC Avant Garde" w:cs="Arial"/>
          <w:b/>
          <w:u w:val="single"/>
          <w:lang w:val="es-EC"/>
        </w:rPr>
        <w:t>Tema: Solicitud de cancelación de la tarifa (Décimo Segundo)</w:t>
      </w:r>
    </w:p>
    <w:p w14:paraId="0A07E67D" w14:textId="77777777" w:rsidR="0068402A" w:rsidRPr="002A27E0" w:rsidRDefault="0068402A" w:rsidP="0082695F">
      <w:pPr>
        <w:spacing w:after="0" w:line="240" w:lineRule="auto"/>
        <w:rPr>
          <w:rFonts w:ascii="ITC Avant Garde" w:eastAsia="Calibri" w:hAnsi="ITC Avant Garde" w:cs="Times New Roman"/>
          <w:lang w:val="es-EC"/>
        </w:rPr>
      </w:pPr>
    </w:p>
    <w:p w14:paraId="6C221157" w14:textId="77777777" w:rsidR="0068402A" w:rsidRPr="00B8283C" w:rsidRDefault="0068402A" w:rsidP="00E11A34">
      <w:pPr>
        <w:numPr>
          <w:ilvl w:val="0"/>
          <w:numId w:val="5"/>
        </w:numPr>
        <w:spacing w:line="240" w:lineRule="auto"/>
        <w:contextualSpacing/>
        <w:jc w:val="both"/>
        <w:rPr>
          <w:rFonts w:ascii="ITC Avant Garde" w:eastAsia="Calibri" w:hAnsi="ITC Avant Garde" w:cs="Arial"/>
        </w:rPr>
      </w:pPr>
      <w:r w:rsidRPr="00B8283C">
        <w:rPr>
          <w:rFonts w:ascii="ITC Avant Garde" w:eastAsia="Calibri" w:hAnsi="ITC Avant Garde" w:cs="Arial"/>
          <w:b/>
        </w:rPr>
        <w:t>Telmex/Telnor</w:t>
      </w:r>
    </w:p>
    <w:p w14:paraId="72001ED4" w14:textId="77777777" w:rsidR="0068402A" w:rsidRPr="008B1E77" w:rsidRDefault="0068402A" w:rsidP="00E11A34">
      <w:pPr>
        <w:spacing w:line="240" w:lineRule="auto"/>
        <w:ind w:left="720"/>
        <w:contextualSpacing/>
        <w:jc w:val="both"/>
        <w:rPr>
          <w:rFonts w:ascii="ITC Avant Garde" w:eastAsia="Calibri" w:hAnsi="ITC Avant Garde" w:cs="Arial"/>
        </w:rPr>
      </w:pPr>
      <w:r w:rsidRPr="00B8283C">
        <w:rPr>
          <w:rFonts w:ascii="ITC Avant Garde" w:eastAsia="Calibri" w:hAnsi="ITC Avant Garde" w:cs="Arial"/>
        </w:rPr>
        <w:t>“Dado que se trata de una cancelación cuando el Promovente desee dejar de com</w:t>
      </w:r>
      <w:r w:rsidRPr="008B1E77">
        <w:rPr>
          <w:rFonts w:ascii="ITC Avant Garde" w:eastAsia="Calibri" w:hAnsi="ITC Avant Garde" w:cs="Arial"/>
        </w:rPr>
        <w:t>ercializar obedeciendo a criterios o decisiones comerciales, no se encuentra justificación para resolver una cancelación. Además, es importante señalar que el hecho de que se cancele el servicio no afectará a los usuarios que lo tengan contratado, ya que aplica únicamente para la comercialización a clientes nuevos. De esta manera, la solicitud de cancelación tendría que ser inmediata a través del Sistema, por lo que sugerimos el siguiente texto:</w:t>
      </w:r>
    </w:p>
    <w:p w14:paraId="09AB9E55" w14:textId="77777777" w:rsidR="0068402A" w:rsidRPr="008B1E77" w:rsidRDefault="0068402A" w:rsidP="00E11A34">
      <w:pPr>
        <w:spacing w:line="240" w:lineRule="auto"/>
        <w:ind w:left="720"/>
        <w:contextualSpacing/>
        <w:jc w:val="both"/>
        <w:rPr>
          <w:rFonts w:ascii="ITC Avant Garde" w:eastAsia="Calibri" w:hAnsi="ITC Avant Garde" w:cs="Arial"/>
        </w:rPr>
      </w:pPr>
    </w:p>
    <w:p w14:paraId="17E5EB56"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Dice:</w:t>
      </w:r>
    </w:p>
    <w:p w14:paraId="6A820E84"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El Instituto analizará y resolverá la solicitud de cancelación de la Tarifa Registrada en un plazo máximo de 5 (cinco) días hábiles, contados a partir del día hábil siguiente a la presentación de la solicitud, y notificará la cancelación al Promovente vía el correo electrónico registrado. Dicha tarifa será identificada en el RPC bajo la leyenda “Tarifa cancelada”.</w:t>
      </w:r>
    </w:p>
    <w:p w14:paraId="1A73DAB6" w14:textId="77777777" w:rsidR="0068402A" w:rsidRPr="008B1E77" w:rsidRDefault="0068402A" w:rsidP="00E11A34">
      <w:pPr>
        <w:spacing w:line="240" w:lineRule="auto"/>
        <w:ind w:left="720"/>
        <w:contextualSpacing/>
        <w:jc w:val="both"/>
        <w:rPr>
          <w:rFonts w:ascii="ITC Avant Garde" w:eastAsia="Calibri" w:hAnsi="ITC Avant Garde" w:cs="Arial"/>
        </w:rPr>
      </w:pPr>
    </w:p>
    <w:p w14:paraId="699A3C26"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Sugerencia:</w:t>
      </w:r>
    </w:p>
    <w:p w14:paraId="5D027B4F"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La solicitud de cancelación de la Tarifa Registrada será a través del Sistema que generará la cancelación automática. Se notificará la cancelación al Promovente vía el correo electrónico registrado. Dicha tarifa será identificada en el RPC bajo la leyenda “Tarifa cancelada”.”</w:t>
      </w:r>
    </w:p>
    <w:p w14:paraId="4341690E" w14:textId="77777777" w:rsidR="0068402A" w:rsidRPr="008B1E77" w:rsidRDefault="0068402A" w:rsidP="00E11A34">
      <w:pPr>
        <w:spacing w:line="240" w:lineRule="auto"/>
        <w:ind w:left="720"/>
        <w:contextualSpacing/>
        <w:jc w:val="both"/>
        <w:rPr>
          <w:rFonts w:ascii="ITC Avant Garde" w:eastAsia="Calibri" w:hAnsi="ITC Avant Garde" w:cs="Arial"/>
        </w:rPr>
      </w:pPr>
    </w:p>
    <w:p w14:paraId="3F681261" w14:textId="77777777" w:rsidR="0068402A" w:rsidRPr="008B1E77" w:rsidRDefault="0068402A" w:rsidP="00E11A34">
      <w:pPr>
        <w:numPr>
          <w:ilvl w:val="0"/>
          <w:numId w:val="5"/>
        </w:numPr>
        <w:spacing w:line="240" w:lineRule="auto"/>
        <w:contextualSpacing/>
        <w:jc w:val="both"/>
        <w:rPr>
          <w:rFonts w:ascii="ITC Avant Garde" w:eastAsia="Calibri" w:hAnsi="ITC Avant Garde" w:cs="Arial"/>
        </w:rPr>
      </w:pPr>
      <w:r w:rsidRPr="008B1E77">
        <w:rPr>
          <w:rFonts w:ascii="ITC Avant Garde" w:eastAsia="Calibri" w:hAnsi="ITC Avant Garde" w:cs="Arial"/>
          <w:b/>
        </w:rPr>
        <w:t>Telcel</w:t>
      </w:r>
    </w:p>
    <w:p w14:paraId="1695FA58"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 xml:space="preserve">“El presente artículo, en su párrafo segundo, establece un plazo de 5 días para resolver respecto de la solicitud de cancelación de la tarifa. </w:t>
      </w:r>
    </w:p>
    <w:p w14:paraId="12B1B30D" w14:textId="77777777" w:rsidR="0068402A" w:rsidRPr="008B1E77" w:rsidRDefault="0068402A" w:rsidP="00E11A34">
      <w:pPr>
        <w:spacing w:line="240" w:lineRule="auto"/>
        <w:ind w:left="709"/>
        <w:jc w:val="both"/>
        <w:rPr>
          <w:rFonts w:ascii="ITC Avant Garde" w:eastAsia="Calibri" w:hAnsi="ITC Avant Garde" w:cs="Arial"/>
        </w:rPr>
      </w:pPr>
      <w:r w:rsidRPr="008B1E77">
        <w:rPr>
          <w:rFonts w:ascii="ITC Avant Garde" w:eastAsia="Calibri" w:hAnsi="ITC Avant Garde" w:cs="Arial"/>
        </w:rPr>
        <w:t xml:space="preserve">No se encuentra justificación para requerirse una autorización de cancelación de tarifa. Cuando el concesionario decide da de baja una tarifa es porque no es comercialmente viable continuar ofreciendo la misma y, por lo tanto, es su deseo comercial dejar de ofrecerla a los usuarios. Lo anterior no implica ni lleva como consecuencia que quienes ya tienen contratado el servicio, se les aplique un cambio automático sin su consentimiento; por el contrario, dichos usuarios continuarán con las mismas condiciones comerciales que ya tienen contratadas, solamente se dejará de ofrecer para nuevos usuarios. </w:t>
      </w:r>
    </w:p>
    <w:p w14:paraId="462EAC39" w14:textId="77777777" w:rsidR="0068402A" w:rsidRPr="008B1E77" w:rsidRDefault="0068402A" w:rsidP="00E11A34">
      <w:pPr>
        <w:spacing w:line="240" w:lineRule="auto"/>
        <w:ind w:left="709"/>
        <w:jc w:val="both"/>
        <w:rPr>
          <w:rFonts w:ascii="ITC Avant Garde" w:eastAsia="Calibri" w:hAnsi="ITC Avant Garde" w:cs="Arial"/>
        </w:rPr>
      </w:pPr>
      <w:r w:rsidRPr="008B1E77">
        <w:rPr>
          <w:rFonts w:ascii="ITC Avant Garde" w:eastAsia="Calibri" w:hAnsi="ITC Avant Garde" w:cs="Arial"/>
        </w:rPr>
        <w:t xml:space="preserve">Por tal motivo, la solicitud de cancelación debiera ser un procedimiento de aplicación inmediata a solicitud del AEP a través de la plataforma. </w:t>
      </w:r>
    </w:p>
    <w:p w14:paraId="0791F0E2" w14:textId="77777777" w:rsidR="0068402A" w:rsidRPr="008B1E77" w:rsidRDefault="0068402A" w:rsidP="00E11A34">
      <w:pPr>
        <w:spacing w:line="240" w:lineRule="auto"/>
        <w:ind w:left="709"/>
        <w:jc w:val="both"/>
        <w:rPr>
          <w:rFonts w:ascii="ITC Avant Garde" w:eastAsia="Calibri" w:hAnsi="ITC Avant Garde" w:cs="Arial"/>
        </w:rPr>
      </w:pPr>
      <w:r w:rsidRPr="008B1E77">
        <w:rPr>
          <w:rFonts w:ascii="ITC Avant Garde" w:eastAsia="Calibri" w:hAnsi="ITC Avant Garde" w:cs="Arial"/>
        </w:rPr>
        <w:t xml:space="preserve">Por lo anterior se siguiere el siguiente texto: </w:t>
      </w:r>
    </w:p>
    <w:p w14:paraId="04D2D058" w14:textId="77777777" w:rsidR="0068402A" w:rsidRPr="008B1E77" w:rsidRDefault="0068402A" w:rsidP="00E11A34">
      <w:pPr>
        <w:spacing w:after="0" w:line="240" w:lineRule="auto"/>
        <w:ind w:left="709"/>
        <w:jc w:val="both"/>
        <w:rPr>
          <w:rFonts w:ascii="ITC Avant Garde" w:eastAsia="Calibri" w:hAnsi="ITC Avant Garde" w:cs="Arial"/>
        </w:rPr>
      </w:pPr>
      <w:r w:rsidRPr="008B1E77">
        <w:rPr>
          <w:rFonts w:ascii="ITC Avant Garde" w:eastAsia="Calibri" w:hAnsi="ITC Avant Garde" w:cs="Arial"/>
        </w:rPr>
        <w:t xml:space="preserve">El Instituto analizará y resolverá Las solicitudes de cancelación de la Tarifa Registrada </w:t>
      </w:r>
      <w:r w:rsidRPr="008B1E77">
        <w:rPr>
          <w:rFonts w:ascii="ITC Avant Garde" w:eastAsia="Calibri" w:hAnsi="ITC Avant Garde" w:cs="Arial"/>
          <w:b/>
          <w:u w:val="single"/>
        </w:rPr>
        <w:t>generarán la cancelación automática de la Tarifa Registrada.</w:t>
      </w:r>
      <w:r w:rsidRPr="008B1E77">
        <w:rPr>
          <w:rFonts w:ascii="ITC Avant Garde" w:eastAsia="Calibri" w:hAnsi="ITC Avant Garde" w:cs="Arial"/>
        </w:rPr>
        <w:t xml:space="preserve"> en un plazo máximo de 5 (cinco) días hábiles, contados a partir del día hábil siguiente a la presentación de la solicitud, y </w:t>
      </w:r>
      <w:r w:rsidRPr="008B1E77">
        <w:rPr>
          <w:rFonts w:ascii="ITC Avant Garde" w:eastAsia="Calibri" w:hAnsi="ITC Avant Garde" w:cs="Arial"/>
          <w:b/>
          <w:u w:val="single"/>
        </w:rPr>
        <w:t>El Sistema</w:t>
      </w:r>
      <w:r w:rsidRPr="008B1E77">
        <w:rPr>
          <w:rFonts w:ascii="ITC Avant Garde" w:eastAsia="Calibri" w:hAnsi="ITC Avant Garde" w:cs="Arial"/>
        </w:rPr>
        <w:t xml:space="preserve"> notificará la </w:t>
      </w:r>
      <w:r w:rsidRPr="008B1E77">
        <w:rPr>
          <w:rFonts w:ascii="ITC Avant Garde" w:eastAsia="Calibri" w:hAnsi="ITC Avant Garde" w:cs="Arial"/>
          <w:b/>
          <w:u w:val="single"/>
        </w:rPr>
        <w:t>confirmación de</w:t>
      </w:r>
      <w:r w:rsidRPr="008B1E77">
        <w:rPr>
          <w:rFonts w:ascii="ITC Avant Garde" w:eastAsia="Calibri" w:hAnsi="ITC Avant Garde" w:cs="Arial"/>
        </w:rPr>
        <w:t xml:space="preserve"> cancelación al Promovente vía el correo electrónico registrado.</w:t>
      </w:r>
      <w:r w:rsidRPr="008B1E77" w:rsidDel="00AC53C5">
        <w:rPr>
          <w:rFonts w:ascii="ITC Avant Garde" w:eastAsia="Calibri" w:hAnsi="ITC Avant Garde" w:cs="Arial"/>
        </w:rPr>
        <w:t xml:space="preserve"> </w:t>
      </w:r>
      <w:r w:rsidRPr="008B1E77">
        <w:rPr>
          <w:rFonts w:ascii="ITC Avant Garde" w:eastAsia="Calibri" w:hAnsi="ITC Avant Garde" w:cs="Arial"/>
        </w:rPr>
        <w:t xml:space="preserve">Dicha tarifa será identificada en el RPC bajo la leyenda “Tarifa cancelada”. </w:t>
      </w:r>
      <w:r w:rsidRPr="008B1E77">
        <w:rPr>
          <w:rFonts w:ascii="ITC Avant Garde" w:eastAsia="Calibri" w:hAnsi="ITC Avant Garde" w:cs="Arial"/>
          <w:b/>
          <w:u w:val="single"/>
        </w:rPr>
        <w:t>Lo anterior sin perjuicio que el Promovente pueda volver a solicitar la autorización y registro de la misma. En su caso, se estará al procedimiento establecido en los presentes Lineamientos.”</w:t>
      </w:r>
    </w:p>
    <w:p w14:paraId="268F62F6" w14:textId="77777777" w:rsidR="0068402A" w:rsidRPr="008B1E77" w:rsidRDefault="0068402A" w:rsidP="00E11A34">
      <w:pPr>
        <w:spacing w:after="0" w:line="240" w:lineRule="auto"/>
        <w:ind w:left="1440"/>
        <w:contextualSpacing/>
        <w:rPr>
          <w:rFonts w:ascii="ITC Avant Garde" w:eastAsia="Calibri" w:hAnsi="ITC Avant Garde" w:cs="Arial"/>
          <w:b/>
          <w:lang w:val="es-ES"/>
        </w:rPr>
      </w:pPr>
    </w:p>
    <w:p w14:paraId="65D44A89" w14:textId="77777777" w:rsidR="0068402A" w:rsidRPr="008B1E77" w:rsidRDefault="0068402A" w:rsidP="00E11A34">
      <w:pPr>
        <w:numPr>
          <w:ilvl w:val="0"/>
          <w:numId w:val="5"/>
        </w:numPr>
        <w:spacing w:line="240" w:lineRule="auto"/>
        <w:contextualSpacing/>
        <w:jc w:val="both"/>
        <w:rPr>
          <w:rFonts w:ascii="ITC Avant Garde" w:eastAsia="Calibri" w:hAnsi="ITC Avant Garde" w:cs="Arial"/>
          <w:b/>
        </w:rPr>
      </w:pPr>
      <w:r w:rsidRPr="008B1E77">
        <w:rPr>
          <w:rFonts w:ascii="ITC Avant Garde" w:eastAsia="Calibri" w:hAnsi="ITC Avant Garde" w:cs="Arial"/>
          <w:b/>
        </w:rPr>
        <w:t>AT&amp;T/ CANIETI:</w:t>
      </w:r>
    </w:p>
    <w:p w14:paraId="1C3C5B70" w14:textId="77777777" w:rsidR="0068402A" w:rsidRPr="008B1E77" w:rsidRDefault="0068402A" w:rsidP="00E11A34">
      <w:pPr>
        <w:spacing w:line="240" w:lineRule="auto"/>
        <w:ind w:left="720"/>
        <w:contextualSpacing/>
        <w:jc w:val="both"/>
        <w:rPr>
          <w:rFonts w:ascii="ITC Avant Garde" w:eastAsia="Calibri" w:hAnsi="ITC Avant Garde" w:cs="Arial"/>
          <w:b/>
        </w:rPr>
      </w:pPr>
      <w:r w:rsidRPr="008B1E77">
        <w:rPr>
          <w:rFonts w:ascii="ITC Avant Garde" w:eastAsia="Calibri" w:hAnsi="ITC Avant Garde" w:cs="Arial"/>
          <w:b/>
        </w:rPr>
        <w:t xml:space="preserve">“Dice: </w:t>
      </w:r>
      <w:r w:rsidRPr="008B1E77">
        <w:rPr>
          <w:rFonts w:ascii="ITC Avant Garde" w:eastAsia="Calibri" w:hAnsi="ITC Avant Garde" w:cs="Arial"/>
        </w:rPr>
        <w:t xml:space="preserve">El Promovente, cuando por cualquier motivo pretenda dejar de comercializar una Tarifa Registrada, deberá solicitar al Instituto, a través del Sistema, la cancelación correspondiente. </w:t>
      </w:r>
    </w:p>
    <w:p w14:paraId="528CA038" w14:textId="77777777" w:rsidR="0068402A" w:rsidRPr="008B1E77" w:rsidRDefault="0068402A" w:rsidP="00E11A34">
      <w:pPr>
        <w:spacing w:line="240" w:lineRule="auto"/>
        <w:ind w:left="709"/>
        <w:jc w:val="both"/>
        <w:rPr>
          <w:rFonts w:ascii="ITC Avant Garde" w:eastAsia="Calibri" w:hAnsi="ITC Avant Garde" w:cs="Arial"/>
        </w:rPr>
      </w:pPr>
      <w:r w:rsidRPr="008B1E77">
        <w:rPr>
          <w:rFonts w:ascii="ITC Avant Garde" w:eastAsia="Calibri" w:hAnsi="ITC Avant Garde" w:cs="Arial"/>
        </w:rPr>
        <w:t>El Instituto analizará y resolverá la solicitud de cancelación de la Tarifa Registrada en un plazo máximo de 5 (cinco) días hábiles, contados a partir del día hábil siguiente a la presentación de la solicitud, y notificará la cancelación al Promovente vía el correo electrónico registrado. Dicha tarifa será identificada en el RPC bajo la leyenda “Tarifa cancelada”.</w:t>
      </w:r>
    </w:p>
    <w:p w14:paraId="77EB5796" w14:textId="77777777" w:rsidR="0068402A" w:rsidRPr="008B1E77" w:rsidRDefault="0068402A" w:rsidP="00E11A34">
      <w:pPr>
        <w:spacing w:line="240" w:lineRule="auto"/>
        <w:ind w:left="709"/>
        <w:jc w:val="both"/>
        <w:rPr>
          <w:rFonts w:ascii="ITC Avant Garde" w:eastAsia="Calibri" w:hAnsi="ITC Avant Garde" w:cs="Arial"/>
        </w:rPr>
      </w:pPr>
      <w:r w:rsidRPr="008B1E77">
        <w:rPr>
          <w:rFonts w:ascii="ITC Avant Garde" w:eastAsia="Calibri" w:hAnsi="ITC Avant Garde" w:cs="Arial"/>
          <w:b/>
          <w:lang w:val="es-ES"/>
        </w:rPr>
        <w:t xml:space="preserve">Debe decir: </w:t>
      </w:r>
      <w:r w:rsidRPr="008B1E77">
        <w:rPr>
          <w:rFonts w:ascii="ITC Avant Garde" w:eastAsia="Calibri" w:hAnsi="ITC Avant Garde" w:cs="Arial"/>
        </w:rPr>
        <w:t xml:space="preserve">El Promovente, cuando por cualquier motivo pretenda dejar de comercializar una Tarifa Registrada, deberá solicitar al Instituto, a través del Sistema, la cancelación correspondiente. </w:t>
      </w:r>
    </w:p>
    <w:p w14:paraId="1A8C0E21" w14:textId="77777777" w:rsidR="0068402A" w:rsidRPr="008B1E77" w:rsidRDefault="0068402A" w:rsidP="00E11A34">
      <w:pPr>
        <w:spacing w:line="240" w:lineRule="auto"/>
        <w:ind w:left="709"/>
        <w:jc w:val="both"/>
        <w:rPr>
          <w:rFonts w:ascii="ITC Avant Garde" w:eastAsia="Calibri" w:hAnsi="ITC Avant Garde" w:cs="Arial"/>
        </w:rPr>
      </w:pPr>
      <w:r w:rsidRPr="008B1E77">
        <w:rPr>
          <w:rFonts w:ascii="ITC Avant Garde" w:eastAsia="Calibri" w:hAnsi="ITC Avant Garde" w:cs="Arial"/>
        </w:rPr>
        <w:t>El Instituto analizará y resolverá la solicitud de cancelación de la Tarifa Registrada en un plazo máximo de 5 (cinco) días hábiles, contados a partir del día hábil siguiente a la presentación de la solicitud, y notificará la cancelación al Promovente vía el correo electrónico registrado. Dicha tarifa será identificada en el RPC bajo la leyenda “Tarifa cancelada”.</w:t>
      </w:r>
    </w:p>
    <w:p w14:paraId="0A06CC8D" w14:textId="77777777" w:rsidR="0068402A" w:rsidRPr="008B1E77" w:rsidRDefault="0068402A" w:rsidP="00E11A34">
      <w:pPr>
        <w:spacing w:line="240" w:lineRule="auto"/>
        <w:ind w:left="709"/>
        <w:jc w:val="both"/>
        <w:rPr>
          <w:rFonts w:ascii="ITC Avant Garde" w:eastAsia="Calibri" w:hAnsi="ITC Avant Garde" w:cs="Arial"/>
        </w:rPr>
      </w:pPr>
      <w:r w:rsidRPr="008B1E77">
        <w:rPr>
          <w:rFonts w:ascii="ITC Avant Garde" w:eastAsia="Calibri" w:hAnsi="ITC Avant Garde" w:cs="Arial"/>
          <w:b/>
        </w:rPr>
        <w:t>A falta de respuesta del Instituto dentro del plazo arriba señalado, la Solicitud de cancelación de la tarifa Registrada se entenderá negada al Promovente.”</w:t>
      </w:r>
    </w:p>
    <w:p w14:paraId="41E1F86B" w14:textId="7CF8C20E" w:rsidR="00E11A34" w:rsidRPr="008B1E77" w:rsidRDefault="0068402A" w:rsidP="00DE6B25">
      <w:pPr>
        <w:spacing w:line="240" w:lineRule="auto"/>
        <w:contextualSpacing/>
        <w:jc w:val="both"/>
        <w:rPr>
          <w:rFonts w:ascii="ITC Avant Garde" w:eastAsia="Calibri" w:hAnsi="ITC Avant Garde" w:cs="Arial"/>
        </w:rPr>
      </w:pPr>
      <w:r w:rsidRPr="008B1E77">
        <w:rPr>
          <w:rFonts w:ascii="ITC Avant Garde" w:eastAsia="Calibri" w:hAnsi="ITC Avant Garde" w:cs="Arial"/>
          <w:b/>
        </w:rPr>
        <w:t>Consideraciones del Instituto</w:t>
      </w:r>
      <w:r w:rsidRPr="008B1E77">
        <w:rPr>
          <w:rFonts w:ascii="ITC Avant Garde" w:eastAsia="Calibri" w:hAnsi="ITC Avant Garde" w:cs="Arial"/>
        </w:rPr>
        <w:t xml:space="preserve">. </w:t>
      </w:r>
      <w:r w:rsidR="00033360" w:rsidRPr="008B1E77">
        <w:rPr>
          <w:rFonts w:ascii="ITC Avant Garde" w:eastAsia="Calibri" w:hAnsi="ITC Avant Garde" w:cs="Arial"/>
        </w:rPr>
        <w:t>Una vez analizados los argumentos de los participantes</w:t>
      </w:r>
      <w:r w:rsidRPr="008B1E77">
        <w:rPr>
          <w:rFonts w:ascii="ITC Avant Garde" w:eastAsia="Calibri" w:hAnsi="ITC Avant Garde" w:cs="Arial"/>
        </w:rPr>
        <w:t>, se considera pertinente que toda solicitud de cancelación se resuelva de forma automática</w:t>
      </w:r>
      <w:r w:rsidR="00033360" w:rsidRPr="008B1E77">
        <w:rPr>
          <w:rFonts w:ascii="ITC Avant Garde" w:eastAsia="Calibri" w:hAnsi="ITC Avant Garde" w:cs="Arial"/>
        </w:rPr>
        <w:t>, sin menoscabo de las atribuciones del Instituto para supervisar dichas condiciones en cualquier momento</w:t>
      </w:r>
      <w:r w:rsidRPr="008B1E77">
        <w:rPr>
          <w:rFonts w:ascii="ITC Avant Garde" w:eastAsia="Calibri" w:hAnsi="ITC Avant Garde" w:cs="Arial"/>
        </w:rPr>
        <w:t xml:space="preserve">. </w:t>
      </w:r>
      <w:r w:rsidR="00033360" w:rsidRPr="008B1E77">
        <w:rPr>
          <w:rFonts w:ascii="ITC Avant Garde" w:eastAsia="Calibri" w:hAnsi="ITC Avant Garde" w:cs="Arial"/>
        </w:rPr>
        <w:t>En consecuencia, se realizan adecuaciones al proyecto.</w:t>
      </w:r>
    </w:p>
    <w:p w14:paraId="51D04B28" w14:textId="77777777" w:rsidR="0082695F" w:rsidRPr="008B1E77" w:rsidRDefault="0082695F" w:rsidP="00535425">
      <w:pPr>
        <w:spacing w:line="240" w:lineRule="auto"/>
        <w:contextualSpacing/>
        <w:jc w:val="both"/>
        <w:rPr>
          <w:rFonts w:ascii="ITC Avant Garde" w:eastAsia="Calibri" w:hAnsi="ITC Avant Garde" w:cs="Times New Roman"/>
          <w:lang w:val="es-EC"/>
        </w:rPr>
      </w:pPr>
    </w:p>
    <w:p w14:paraId="3EE00BFB" w14:textId="77777777" w:rsidR="0068402A" w:rsidRPr="00DE6B25" w:rsidRDefault="0068402A" w:rsidP="00E11A34">
      <w:pPr>
        <w:keepNext/>
        <w:keepLines/>
        <w:spacing w:after="0" w:line="240" w:lineRule="auto"/>
        <w:jc w:val="both"/>
        <w:outlineLvl w:val="0"/>
        <w:rPr>
          <w:rFonts w:ascii="ITC Avant Garde" w:eastAsia="Times New Roman" w:hAnsi="ITC Avant Garde" w:cs="Arial"/>
          <w:b/>
          <w:u w:val="single"/>
          <w:lang w:val="es-EC"/>
        </w:rPr>
      </w:pPr>
      <w:r w:rsidRPr="00DE6B25">
        <w:rPr>
          <w:rFonts w:ascii="ITC Avant Garde" w:eastAsia="Times New Roman" w:hAnsi="ITC Avant Garde" w:cs="Arial"/>
          <w:b/>
          <w:u w:val="single"/>
          <w:lang w:val="es-EC"/>
        </w:rPr>
        <w:t>Tema: Facultad del Instituto para suspender o cancelar una tarifa (Décimo Tercero)</w:t>
      </w:r>
    </w:p>
    <w:p w14:paraId="34387CD8" w14:textId="77777777" w:rsidR="0068402A" w:rsidRPr="002A27E0" w:rsidRDefault="0068402A" w:rsidP="00E11A34">
      <w:pPr>
        <w:spacing w:line="240" w:lineRule="auto"/>
        <w:ind w:left="1440"/>
        <w:contextualSpacing/>
        <w:rPr>
          <w:rFonts w:ascii="ITC Avant Garde" w:eastAsia="Calibri" w:hAnsi="ITC Avant Garde" w:cs="Arial"/>
          <w:lang w:val="es-ES"/>
        </w:rPr>
      </w:pPr>
    </w:p>
    <w:p w14:paraId="761A2A14" w14:textId="77777777" w:rsidR="0068402A" w:rsidRPr="00B8283C" w:rsidRDefault="0068402A" w:rsidP="00E11A34">
      <w:pPr>
        <w:numPr>
          <w:ilvl w:val="0"/>
          <w:numId w:val="5"/>
        </w:numPr>
        <w:spacing w:line="240" w:lineRule="auto"/>
        <w:contextualSpacing/>
        <w:rPr>
          <w:rFonts w:ascii="ITC Avant Garde" w:eastAsia="Calibri" w:hAnsi="ITC Avant Garde" w:cs="Arial"/>
          <w:b/>
          <w:lang w:val="es-ES"/>
        </w:rPr>
      </w:pPr>
      <w:r w:rsidRPr="00B8283C">
        <w:rPr>
          <w:rFonts w:ascii="ITC Avant Garde" w:eastAsia="Calibri" w:hAnsi="ITC Avant Garde" w:cs="Arial"/>
          <w:b/>
          <w:lang w:val="es-ES"/>
        </w:rPr>
        <w:t>Telmex/Telnor</w:t>
      </w:r>
    </w:p>
    <w:p w14:paraId="64CD49A2" w14:textId="77777777" w:rsidR="0068402A" w:rsidRPr="008B1E77" w:rsidRDefault="0068402A" w:rsidP="00E11A34">
      <w:pPr>
        <w:spacing w:line="240" w:lineRule="auto"/>
        <w:ind w:left="720"/>
        <w:contextualSpacing/>
        <w:jc w:val="both"/>
        <w:rPr>
          <w:rFonts w:ascii="ITC Avant Garde" w:eastAsia="Calibri" w:hAnsi="ITC Avant Garde" w:cs="Arial"/>
          <w:b/>
          <w:lang w:val="es-ES"/>
        </w:rPr>
      </w:pPr>
      <w:r w:rsidRPr="008B1E77">
        <w:rPr>
          <w:rFonts w:ascii="ITC Avant Garde" w:eastAsia="Calibri" w:hAnsi="ITC Avant Garde" w:cs="Arial"/>
          <w:lang w:val="es-ES"/>
        </w:rPr>
        <w:t>“Con relación a la suspensión o cancelación, previa notificación atendiendo a los términos establecidos en la regulación, debe considerar que los criterios para cancelar tarifas deberían estar sujetos, fundados y motivados de acuerdo a la Medida 67 del Anexo 2 de replicabilidad económica.</w:t>
      </w:r>
    </w:p>
    <w:p w14:paraId="328EBC2C" w14:textId="77777777" w:rsidR="0068402A" w:rsidRPr="008B1E77" w:rsidRDefault="0068402A" w:rsidP="00E11A34">
      <w:pPr>
        <w:spacing w:after="0" w:line="240" w:lineRule="auto"/>
        <w:ind w:left="709"/>
        <w:jc w:val="both"/>
        <w:rPr>
          <w:rFonts w:ascii="ITC Avant Garde" w:eastAsia="Calibri" w:hAnsi="ITC Avant Garde" w:cs="Arial"/>
          <w:lang w:val="es-ES"/>
        </w:rPr>
      </w:pPr>
      <w:r w:rsidRPr="008B1E77">
        <w:rPr>
          <w:rFonts w:ascii="ITC Avant Garde" w:eastAsia="Calibri" w:hAnsi="ITC Avant Garde" w:cs="Arial"/>
          <w:lang w:val="es-ES"/>
        </w:rPr>
        <w:t>Asimismo, se solicita que la suspensión de tarifas no sea inmediata ya que se requiere de un tiempo para implementar procesos en la operación de suspensión y, posteriormente, de reactivación de un servicio. En este sentido, existen temas asociados a dicha suspensión como pueden ser la publicidad, capacitación de personal, procesos y procedimientos, ya que existiría un problema de certeza o confusión en cuanto a la información exhibida y por implementar.”</w:t>
      </w:r>
    </w:p>
    <w:p w14:paraId="28D5A22D" w14:textId="77777777" w:rsidR="00E11A34" w:rsidRPr="008B1E77" w:rsidRDefault="00E11A34" w:rsidP="00E11A34">
      <w:pPr>
        <w:spacing w:after="0" w:line="240" w:lineRule="auto"/>
        <w:ind w:left="709"/>
        <w:jc w:val="both"/>
        <w:rPr>
          <w:rFonts w:ascii="ITC Avant Garde" w:eastAsia="Calibri" w:hAnsi="ITC Avant Garde" w:cs="Arial"/>
          <w:lang w:val="es-ES"/>
        </w:rPr>
      </w:pPr>
    </w:p>
    <w:p w14:paraId="26BB690C" w14:textId="77777777" w:rsidR="0068402A" w:rsidRPr="008B1E77" w:rsidRDefault="0068402A" w:rsidP="00E11A34">
      <w:pPr>
        <w:numPr>
          <w:ilvl w:val="0"/>
          <w:numId w:val="5"/>
        </w:numPr>
        <w:spacing w:line="240" w:lineRule="auto"/>
        <w:contextualSpacing/>
        <w:rPr>
          <w:rFonts w:ascii="ITC Avant Garde" w:eastAsia="Calibri" w:hAnsi="ITC Avant Garde" w:cs="Arial"/>
          <w:b/>
          <w:lang w:val="es-ES"/>
        </w:rPr>
      </w:pPr>
      <w:r w:rsidRPr="008B1E77">
        <w:rPr>
          <w:rFonts w:ascii="ITC Avant Garde" w:eastAsia="Calibri" w:hAnsi="ITC Avant Garde" w:cs="Arial"/>
          <w:b/>
          <w:lang w:val="es-ES"/>
        </w:rPr>
        <w:t>Sky y Cablevisión</w:t>
      </w:r>
    </w:p>
    <w:p w14:paraId="7EB9BCE2" w14:textId="77777777" w:rsidR="0068402A" w:rsidRPr="008B1E77" w:rsidRDefault="0068402A" w:rsidP="00E11A34">
      <w:pPr>
        <w:spacing w:line="240" w:lineRule="auto"/>
        <w:ind w:left="720"/>
        <w:contextualSpacing/>
        <w:rPr>
          <w:rFonts w:ascii="ITC Avant Garde" w:eastAsia="Calibri" w:hAnsi="ITC Avant Garde" w:cs="Arial"/>
          <w:b/>
          <w:lang w:val="es-ES"/>
        </w:rPr>
      </w:pPr>
      <w:r w:rsidRPr="008B1E77">
        <w:rPr>
          <w:rFonts w:ascii="ITC Avant Garde" w:eastAsia="Calibri" w:hAnsi="ITC Avant Garde" w:cs="Arial"/>
          <w:lang w:val="es-ES"/>
        </w:rPr>
        <w:t xml:space="preserve">“Dentro de la disposición décimo tercera, el IFT menciona que únicamente notificaría al Promovente (AEP o AEPSM) cuando decida suspender o cancelar una tarifa registrada; sin embargo; quedan dos temas que no son aclarados dentro de la disposición y que no pueden ser omitidos por el Instituto. </w:t>
      </w:r>
    </w:p>
    <w:p w14:paraId="36902DE7" w14:textId="77777777" w:rsidR="0068402A" w:rsidRPr="008B1E77" w:rsidRDefault="0068402A" w:rsidP="00E11A34">
      <w:pPr>
        <w:spacing w:line="240" w:lineRule="auto"/>
        <w:ind w:left="709"/>
        <w:jc w:val="both"/>
        <w:rPr>
          <w:rFonts w:ascii="ITC Avant Garde" w:eastAsia="Calibri" w:hAnsi="ITC Avant Garde" w:cs="Arial"/>
          <w:lang w:val="es-ES"/>
        </w:rPr>
      </w:pPr>
      <w:r w:rsidRPr="008B1E77">
        <w:rPr>
          <w:rFonts w:ascii="ITC Avant Garde" w:eastAsia="Calibri" w:hAnsi="ITC Avant Garde" w:cs="Arial"/>
          <w:lang w:val="es-ES"/>
        </w:rPr>
        <w:t>El primero es que se requiere que el Instituto aclare los mecanismos a través de los cuales el Promovente pueda objetar o subsanar la suspensión o cancelación de tarifas, tal como se dispone en el capítulo V. Si bien el IFT menciona que los agentes (promoventes) serán notificados antes de realizar la actualización del registro y por ende de dar por suspendida o cancelada las tarifas, no se está especificando ninguna forma (respecto de tiempos, condiciones, plazos, etc.) de dar respuesta a dichas medidas de cancelación o suspensión de las tarifas registradas. Es decir, tal como actualmente está dispuesto en el anteproyecto regulatorio, se trata de una decisión unilateral sin derecho refutar, lo cual, desde cualquier punto de vista, no parece un comportamiento adecuado por las repercusiones tanto operativas como comerciales de una decisión de este tipo para e Promovente afectado.</w:t>
      </w:r>
    </w:p>
    <w:p w14:paraId="543DBDE0" w14:textId="77777777" w:rsidR="0068402A" w:rsidRPr="008B1E77" w:rsidRDefault="0068402A" w:rsidP="00E11A34">
      <w:pPr>
        <w:spacing w:line="240" w:lineRule="auto"/>
        <w:ind w:left="709"/>
        <w:jc w:val="both"/>
        <w:rPr>
          <w:rFonts w:ascii="ITC Avant Garde" w:eastAsia="Calibri" w:hAnsi="ITC Avant Garde" w:cs="Arial"/>
          <w:lang w:val="es-ES"/>
        </w:rPr>
      </w:pPr>
      <w:r w:rsidRPr="008B1E77">
        <w:rPr>
          <w:rFonts w:ascii="ITC Avant Garde" w:eastAsia="Calibri" w:hAnsi="ITC Avant Garde" w:cs="Arial"/>
          <w:lang w:val="es-ES"/>
        </w:rPr>
        <w:t>La segunda es que el IFT menciona condiciones para dejar sin efecto la suspensión de una tarifa. Sin embargo, el Instituto no especifica, esboza ni aclara cuales serían esas condiciones. Esto involucra una falta total de claridad y ambigüedades en la medida regulatoria. Asimismo, no se menciona nada sobre las condiciones para dejar sin efecto la cancelación de una tarifa, lo cual también debería ser aclarado en pro de una regulación transparente y sin lugar a interpretaciones.</w:t>
      </w:r>
    </w:p>
    <w:p w14:paraId="5FAA14BD" w14:textId="77777777" w:rsidR="0068402A" w:rsidRPr="008B1E77" w:rsidRDefault="0068402A" w:rsidP="00E11A34">
      <w:pPr>
        <w:spacing w:line="240" w:lineRule="auto"/>
        <w:ind w:left="709"/>
        <w:jc w:val="both"/>
        <w:rPr>
          <w:rFonts w:ascii="ITC Avant Garde" w:eastAsia="Calibri" w:hAnsi="ITC Avant Garde" w:cs="Arial"/>
          <w:lang w:val="es-ES"/>
        </w:rPr>
      </w:pPr>
      <w:r w:rsidRPr="008B1E77">
        <w:rPr>
          <w:rFonts w:ascii="ITC Avant Garde" w:eastAsia="Calibri" w:hAnsi="ITC Avant Garde" w:cs="Arial"/>
          <w:lang w:val="es-ES"/>
        </w:rPr>
        <w:t>Por lo anterior, queda claramente demostrado la necesidad de que el IFT sea más claro y concreto en especificar este tipo de disposiciones. Si, por razones ajenas al Instituto, deben dejarse abiertos ciertos temas para posibles disposiciones o condiciones futuras, se sugiere que se aclare primero cuales son las condiciones y mecanismos actuales, dejando la salvedad en un parágrafo al respecto de que estas podrán ser ajustadas o modificadas a futuro.</w:t>
      </w:r>
    </w:p>
    <w:p w14:paraId="1AEA72C0" w14:textId="77777777" w:rsidR="0068402A" w:rsidRPr="008B1E77" w:rsidRDefault="0068402A" w:rsidP="00E11A34">
      <w:pPr>
        <w:spacing w:after="0" w:line="240" w:lineRule="auto"/>
        <w:ind w:left="709"/>
        <w:jc w:val="both"/>
        <w:rPr>
          <w:rFonts w:ascii="ITC Avant Garde" w:eastAsia="Calibri" w:hAnsi="ITC Avant Garde" w:cs="Arial"/>
          <w:lang w:val="es-ES"/>
        </w:rPr>
      </w:pPr>
      <w:r w:rsidRPr="008B1E77">
        <w:rPr>
          <w:rFonts w:ascii="ITC Avant Garde" w:eastAsia="Calibri" w:hAnsi="ITC Avant Garde" w:cs="Arial"/>
          <w:lang w:val="es-ES"/>
        </w:rPr>
        <w:t>Se sugiere al IFT incluir una disposición adicional dentro del capítulo V, donde se aclare tanto los mecanismos (plazos, forma de solicitar, requisitos) como las condiciones necesarias para que cualquier Promovente tenga oportunidad de objetar y posteriormente subsanar cualquier decisión del Instituto respecto de la suspensión o cancelación de una tarifa previamente autorizada y registrada.”</w:t>
      </w:r>
    </w:p>
    <w:p w14:paraId="2F40EC4B" w14:textId="77777777" w:rsidR="0068402A" w:rsidRPr="008B1E77" w:rsidRDefault="0068402A" w:rsidP="00E11A34">
      <w:pPr>
        <w:spacing w:after="0" w:line="240" w:lineRule="auto"/>
        <w:ind w:left="1440"/>
        <w:contextualSpacing/>
        <w:jc w:val="both"/>
        <w:rPr>
          <w:rFonts w:ascii="ITC Avant Garde" w:eastAsia="Calibri" w:hAnsi="ITC Avant Garde" w:cs="Arial"/>
        </w:rPr>
      </w:pPr>
    </w:p>
    <w:p w14:paraId="68B5CA17" w14:textId="77777777" w:rsidR="0068402A" w:rsidRPr="008B1E77" w:rsidRDefault="0068402A" w:rsidP="00E11A34">
      <w:pPr>
        <w:numPr>
          <w:ilvl w:val="0"/>
          <w:numId w:val="5"/>
        </w:numPr>
        <w:spacing w:line="240" w:lineRule="auto"/>
        <w:contextualSpacing/>
        <w:jc w:val="both"/>
        <w:rPr>
          <w:rFonts w:ascii="ITC Avant Garde" w:eastAsia="Calibri" w:hAnsi="ITC Avant Garde" w:cs="Arial"/>
          <w:b/>
          <w:lang w:val="es-ES"/>
        </w:rPr>
      </w:pPr>
      <w:r w:rsidRPr="008B1E77">
        <w:rPr>
          <w:rFonts w:ascii="ITC Avant Garde" w:eastAsia="Calibri" w:hAnsi="ITC Avant Garde" w:cs="Arial"/>
          <w:b/>
          <w:lang w:val="es-ES"/>
        </w:rPr>
        <w:t>AT&amp;T</w:t>
      </w:r>
    </w:p>
    <w:p w14:paraId="2116D42F" w14:textId="77777777" w:rsidR="0068402A" w:rsidRPr="008B1E77" w:rsidRDefault="0068402A" w:rsidP="00E11A34">
      <w:pPr>
        <w:spacing w:line="240" w:lineRule="auto"/>
        <w:ind w:left="720"/>
        <w:contextualSpacing/>
        <w:jc w:val="both"/>
        <w:rPr>
          <w:rFonts w:ascii="ITC Avant Garde" w:eastAsia="Calibri" w:hAnsi="ITC Avant Garde" w:cs="Arial"/>
          <w:lang w:val="es-ES"/>
        </w:rPr>
      </w:pPr>
      <w:r w:rsidRPr="008B1E77">
        <w:rPr>
          <w:rFonts w:ascii="ITC Avant Garde" w:eastAsia="Calibri" w:hAnsi="ITC Avant Garde" w:cs="Arial"/>
          <w:lang w:val="es-ES"/>
        </w:rPr>
        <w:t xml:space="preserve">“Dice: El Instituto podrá suspender o cancelar, previa notificación al Promovente vía el correo electrónico registrado, cualquier Tarifa Registrada a petición de autoridad competente o cuando las medidas u obligaciones específicas aplicables al Promovente así lo dispongan, atendiendo a los términos establecidos por dicha regulación. </w:t>
      </w:r>
    </w:p>
    <w:p w14:paraId="03D6E446" w14:textId="77777777" w:rsidR="00033360" w:rsidRPr="008B1E77" w:rsidRDefault="00033360" w:rsidP="00E11A34">
      <w:pPr>
        <w:spacing w:line="240" w:lineRule="auto"/>
        <w:ind w:left="720"/>
        <w:contextualSpacing/>
        <w:jc w:val="both"/>
        <w:rPr>
          <w:rFonts w:ascii="ITC Avant Garde" w:eastAsia="Calibri" w:hAnsi="ITC Avant Garde" w:cs="Arial"/>
          <w:b/>
          <w:lang w:val="es-ES"/>
        </w:rPr>
      </w:pPr>
    </w:p>
    <w:p w14:paraId="65FFF2B2" w14:textId="77777777" w:rsidR="0068402A" w:rsidRPr="008B1E77" w:rsidRDefault="0068402A" w:rsidP="00E11A34">
      <w:pPr>
        <w:spacing w:after="0" w:line="240" w:lineRule="auto"/>
        <w:ind w:left="709"/>
        <w:jc w:val="both"/>
        <w:rPr>
          <w:rFonts w:ascii="ITC Avant Garde" w:eastAsia="Calibri" w:hAnsi="ITC Avant Garde" w:cs="Arial"/>
          <w:lang w:val="es-ES"/>
        </w:rPr>
      </w:pPr>
      <w:r w:rsidRPr="008B1E77">
        <w:rPr>
          <w:rFonts w:ascii="ITC Avant Garde" w:eastAsia="Calibri" w:hAnsi="ITC Avant Garde" w:cs="Arial"/>
          <w:lang w:val="es-ES"/>
        </w:rPr>
        <w:t>Debe decir: El Instituto podrá suspender o cancelar, previa notificación al Promovente vía el correo electrónico registrado, cualquier Tarifa Registrada a petición de autoridad competente o cuando las medidas u obligaciones específicas aplicables al Promovente, incluyendo la replicabilidad, así lo dispongan, atendiendo a los términos establecidos por dicha regulación.”</w:t>
      </w:r>
    </w:p>
    <w:p w14:paraId="270E8962" w14:textId="77777777" w:rsidR="0068402A" w:rsidRPr="008B1E77" w:rsidRDefault="0068402A" w:rsidP="00E11A34">
      <w:pPr>
        <w:spacing w:after="0" w:line="240" w:lineRule="auto"/>
        <w:ind w:left="720"/>
        <w:contextualSpacing/>
        <w:jc w:val="both"/>
        <w:rPr>
          <w:rFonts w:ascii="ITC Avant Garde" w:eastAsia="Calibri" w:hAnsi="ITC Avant Garde" w:cs="Arial"/>
        </w:rPr>
      </w:pPr>
    </w:p>
    <w:p w14:paraId="73B92B99" w14:textId="77777777" w:rsidR="0068402A" w:rsidRPr="008B1E77" w:rsidRDefault="0068402A" w:rsidP="00E11A34">
      <w:pPr>
        <w:numPr>
          <w:ilvl w:val="0"/>
          <w:numId w:val="5"/>
        </w:numPr>
        <w:spacing w:line="240" w:lineRule="auto"/>
        <w:contextualSpacing/>
        <w:jc w:val="both"/>
        <w:rPr>
          <w:rFonts w:ascii="ITC Avant Garde" w:eastAsia="Calibri" w:hAnsi="ITC Avant Garde" w:cs="Arial"/>
          <w:b/>
          <w:lang w:val="es-ES"/>
        </w:rPr>
      </w:pPr>
      <w:r w:rsidRPr="008B1E77">
        <w:rPr>
          <w:rFonts w:ascii="ITC Avant Garde" w:eastAsia="Calibri" w:hAnsi="ITC Avant Garde" w:cs="Arial"/>
          <w:b/>
          <w:lang w:val="es-ES"/>
        </w:rPr>
        <w:t>CANIETI</w:t>
      </w:r>
    </w:p>
    <w:p w14:paraId="21CA72DC" w14:textId="77777777" w:rsidR="0068402A" w:rsidRPr="008B1E77" w:rsidRDefault="0068402A" w:rsidP="00E11A34">
      <w:pPr>
        <w:spacing w:line="240" w:lineRule="auto"/>
        <w:ind w:left="720"/>
        <w:contextualSpacing/>
        <w:jc w:val="both"/>
        <w:rPr>
          <w:rFonts w:ascii="ITC Avant Garde" w:eastAsia="Calibri" w:hAnsi="ITC Avant Garde" w:cs="Arial"/>
          <w:lang w:val="es-ES"/>
        </w:rPr>
      </w:pPr>
      <w:r w:rsidRPr="008B1E77">
        <w:rPr>
          <w:rFonts w:ascii="ITC Avant Garde" w:eastAsia="Calibri" w:hAnsi="ITC Avant Garde" w:cs="Arial"/>
          <w:lang w:val="es-ES"/>
        </w:rPr>
        <w:t xml:space="preserve">“Dice: El Instituto podrá suspender o cancelar, previa notificación al Promovente vía el correo electrónico registrado, cualquier Tarifa Registrada a petición de autoridad competente o cuando las medidas u obligaciones específicas aplicables al Promovente así lo dispongan, atendiendo a los términos establecidos por dicha regulación. </w:t>
      </w:r>
    </w:p>
    <w:p w14:paraId="6EA53983" w14:textId="77777777" w:rsidR="00033360" w:rsidRPr="008B1E77" w:rsidRDefault="00033360" w:rsidP="00E11A34">
      <w:pPr>
        <w:spacing w:line="240" w:lineRule="auto"/>
        <w:ind w:left="720"/>
        <w:contextualSpacing/>
        <w:jc w:val="both"/>
        <w:rPr>
          <w:rFonts w:ascii="ITC Avant Garde" w:eastAsia="Calibri" w:hAnsi="ITC Avant Garde" w:cs="Arial"/>
          <w:b/>
          <w:lang w:val="es-ES"/>
        </w:rPr>
      </w:pPr>
    </w:p>
    <w:p w14:paraId="539C3D64" w14:textId="77777777" w:rsidR="0068402A" w:rsidRPr="008B1E77" w:rsidRDefault="0068402A" w:rsidP="00E11A34">
      <w:pPr>
        <w:spacing w:line="240" w:lineRule="auto"/>
        <w:ind w:left="709"/>
        <w:jc w:val="both"/>
        <w:rPr>
          <w:rFonts w:ascii="ITC Avant Garde" w:eastAsia="Calibri" w:hAnsi="ITC Avant Garde" w:cs="Arial"/>
          <w:lang w:val="es-ES"/>
        </w:rPr>
      </w:pPr>
      <w:r w:rsidRPr="008B1E77">
        <w:rPr>
          <w:rFonts w:ascii="ITC Avant Garde" w:eastAsia="Calibri" w:hAnsi="ITC Avant Garde" w:cs="Arial"/>
          <w:lang w:val="es-ES"/>
        </w:rPr>
        <w:t>Debe decir: El Instituto podrá suspender o cancelar, previa notificación al Promovente vía el correo electrónico registrado, cualquier Tarifa Registrada a petición de autoridad competente o cuando las medidas u obligaciones específicas aplicables al Promovente así lo dispongan, atendiendo a los términos establecidos por dicha regulación o si en cualquier tiempo el Instituto concluye que dicha tarifa no es replicable por los demás concesionarios competidores.”</w:t>
      </w:r>
    </w:p>
    <w:p w14:paraId="2BEC0743" w14:textId="77777777" w:rsidR="0068402A" w:rsidRPr="008B1E77" w:rsidRDefault="0068402A" w:rsidP="00E11A34">
      <w:pPr>
        <w:spacing w:line="240" w:lineRule="auto"/>
        <w:ind w:left="720"/>
        <w:contextualSpacing/>
        <w:jc w:val="both"/>
        <w:rPr>
          <w:rFonts w:ascii="ITC Avant Garde" w:eastAsia="Calibri" w:hAnsi="ITC Avant Garde" w:cs="Arial"/>
        </w:rPr>
      </w:pPr>
    </w:p>
    <w:p w14:paraId="18DF5854" w14:textId="0E913846" w:rsidR="0068402A" w:rsidRPr="002A27E0" w:rsidRDefault="0068402A" w:rsidP="00DE6B25">
      <w:pPr>
        <w:spacing w:line="240" w:lineRule="auto"/>
        <w:contextualSpacing/>
        <w:jc w:val="both"/>
        <w:rPr>
          <w:rFonts w:ascii="ITC Avant Garde" w:eastAsia="Calibri" w:hAnsi="ITC Avant Garde" w:cs="Arial"/>
        </w:rPr>
      </w:pPr>
      <w:r w:rsidRPr="008B1E77">
        <w:rPr>
          <w:rFonts w:ascii="ITC Avant Garde" w:eastAsia="Calibri" w:hAnsi="ITC Avant Garde" w:cs="Arial"/>
          <w:b/>
        </w:rPr>
        <w:t>Consideraciones del Instituto</w:t>
      </w:r>
      <w:r w:rsidRPr="008B1E77">
        <w:rPr>
          <w:rFonts w:ascii="ITC Avant Garde" w:eastAsia="Calibri" w:hAnsi="ITC Avant Garde" w:cs="Arial"/>
        </w:rPr>
        <w:t xml:space="preserve">. </w:t>
      </w:r>
      <w:r w:rsidR="006E0A29">
        <w:rPr>
          <w:rFonts w:ascii="ITC Avant Garde" w:eastAsia="Calibri" w:hAnsi="ITC Avant Garde" w:cs="Arial"/>
        </w:rPr>
        <w:t xml:space="preserve">Se precisa que </w:t>
      </w:r>
      <w:r w:rsidRPr="008B1E77">
        <w:rPr>
          <w:rFonts w:ascii="ITC Avant Garde" w:eastAsia="Calibri" w:hAnsi="ITC Avant Garde" w:cs="Arial"/>
          <w:lang w:val="es-ES"/>
        </w:rPr>
        <w:t>los criterios para cancelar tarifas no son materia de estos Lineamientos, por esta razón se señal</w:t>
      </w:r>
      <w:r w:rsidR="006E0A29">
        <w:rPr>
          <w:rFonts w:ascii="ITC Avant Garde" w:eastAsia="Calibri" w:hAnsi="ITC Avant Garde" w:cs="Arial"/>
          <w:lang w:val="es-ES"/>
        </w:rPr>
        <w:t>ó</w:t>
      </w:r>
      <w:r w:rsidRPr="008B1E77">
        <w:rPr>
          <w:rFonts w:ascii="ITC Avant Garde" w:eastAsia="Calibri" w:hAnsi="ITC Avant Garde" w:cs="Arial"/>
          <w:lang w:val="es-ES"/>
        </w:rPr>
        <w:t xml:space="preserve"> que se podrá suspender </w:t>
      </w:r>
      <w:r w:rsidRPr="008B1E77">
        <w:rPr>
          <w:rFonts w:ascii="ITC Avant Garde" w:eastAsia="Calibri" w:hAnsi="ITC Avant Garde" w:cs="Arial"/>
          <w:i/>
          <w:lang w:val="es-ES"/>
        </w:rPr>
        <w:t>“</w:t>
      </w:r>
      <w:r w:rsidRPr="008B1E77">
        <w:rPr>
          <w:rFonts w:ascii="ITC Avant Garde" w:eastAsia="Calibri" w:hAnsi="ITC Avant Garde" w:cs="Arial"/>
          <w:i/>
        </w:rPr>
        <w:t>cuando las medidas u obligaciones específicas aplicables al Promovente así lo dispongan, atendiendo a los términos establecidos por dicha regulación.”.</w:t>
      </w:r>
    </w:p>
    <w:p w14:paraId="4B4C50D4" w14:textId="77777777" w:rsidR="0068402A" w:rsidRPr="00B8283C" w:rsidRDefault="0068402A" w:rsidP="00E11A34">
      <w:pPr>
        <w:spacing w:line="240" w:lineRule="auto"/>
        <w:ind w:left="1440"/>
        <w:contextualSpacing/>
        <w:jc w:val="both"/>
        <w:rPr>
          <w:rFonts w:ascii="ITC Avant Garde" w:eastAsia="Calibri" w:hAnsi="ITC Avant Garde" w:cs="Arial"/>
          <w:lang w:val="es-ES"/>
        </w:rPr>
      </w:pPr>
    </w:p>
    <w:p w14:paraId="49C5A557" w14:textId="77777777" w:rsidR="0068402A" w:rsidRPr="008B1E77" w:rsidRDefault="0068402A" w:rsidP="00033360">
      <w:pPr>
        <w:spacing w:line="240" w:lineRule="auto"/>
        <w:contextualSpacing/>
        <w:jc w:val="both"/>
        <w:rPr>
          <w:rFonts w:ascii="ITC Avant Garde" w:eastAsia="Calibri" w:hAnsi="ITC Avant Garde" w:cs="Arial"/>
          <w:lang w:val="es-ES"/>
        </w:rPr>
      </w:pPr>
      <w:r w:rsidRPr="008B1E77">
        <w:rPr>
          <w:rFonts w:ascii="ITC Avant Garde" w:eastAsia="Calibri" w:hAnsi="ITC Avant Garde" w:cs="Arial"/>
          <w:lang w:val="es-ES"/>
        </w:rPr>
        <w:t>De igual forma, aquí no se establecen los tiempos para la suspensión de la tarifa, pues dichos plazos no son materia de los presentes Lineamientos, sino que obedecerán a lo que se mandate en la regulación asimétrica aplicable al AEP que corresponda.</w:t>
      </w:r>
    </w:p>
    <w:p w14:paraId="3E64C9A8" w14:textId="77777777" w:rsidR="00033360" w:rsidRPr="008B1E77" w:rsidRDefault="00033360" w:rsidP="00033360">
      <w:pPr>
        <w:spacing w:line="240" w:lineRule="auto"/>
        <w:contextualSpacing/>
        <w:jc w:val="both"/>
        <w:rPr>
          <w:rFonts w:ascii="ITC Avant Garde" w:eastAsia="Calibri" w:hAnsi="ITC Avant Garde" w:cs="Arial"/>
          <w:lang w:val="es-ES"/>
        </w:rPr>
      </w:pPr>
    </w:p>
    <w:p w14:paraId="3B98FDB6" w14:textId="65E27C9A" w:rsidR="0068402A" w:rsidRPr="008B1E77" w:rsidRDefault="0068402A" w:rsidP="00033360">
      <w:pPr>
        <w:spacing w:after="0" w:line="240" w:lineRule="auto"/>
        <w:jc w:val="both"/>
        <w:rPr>
          <w:rFonts w:ascii="ITC Avant Garde" w:eastAsia="Calibri" w:hAnsi="ITC Avant Garde" w:cs="Arial"/>
        </w:rPr>
      </w:pPr>
      <w:r w:rsidRPr="008B1E77">
        <w:rPr>
          <w:rFonts w:ascii="ITC Avant Garde" w:eastAsia="Calibri" w:hAnsi="ITC Avant Garde" w:cs="Arial"/>
        </w:rPr>
        <w:t>Sin embargo,</w:t>
      </w:r>
      <w:r w:rsidR="0025454E">
        <w:rPr>
          <w:rFonts w:ascii="ITC Avant Garde" w:eastAsia="Calibri" w:hAnsi="ITC Avant Garde" w:cs="Arial"/>
        </w:rPr>
        <w:t xml:space="preserve"> sí</w:t>
      </w:r>
      <w:r w:rsidRPr="008B1E77">
        <w:rPr>
          <w:rFonts w:ascii="ITC Avant Garde" w:eastAsia="Calibri" w:hAnsi="ITC Avant Garde" w:cs="Arial"/>
        </w:rPr>
        <w:t xml:space="preserve"> se considera pertinente aclara</w:t>
      </w:r>
      <w:r w:rsidR="00033360" w:rsidRPr="008B1E77">
        <w:rPr>
          <w:rFonts w:ascii="ITC Avant Garde" w:eastAsia="Calibri" w:hAnsi="ITC Avant Garde" w:cs="Arial"/>
        </w:rPr>
        <w:t>r</w:t>
      </w:r>
      <w:r w:rsidRPr="008B1E77">
        <w:rPr>
          <w:rFonts w:ascii="ITC Avant Garde" w:eastAsia="Calibri" w:hAnsi="ITC Avant Garde" w:cs="Arial"/>
        </w:rPr>
        <w:t xml:space="preserve"> en el lineamiento que la suspensión o cancelación se hará mediante resolución debidamente fundada, motivada y previamente notificada al regulado, a petición de autoridad competente o cuan</w:t>
      </w:r>
      <w:r w:rsidR="00033360" w:rsidRPr="008B1E77">
        <w:rPr>
          <w:rFonts w:ascii="ITC Avant Garde" w:eastAsia="Calibri" w:hAnsi="ITC Avant Garde" w:cs="Arial"/>
        </w:rPr>
        <w:t>do</w:t>
      </w:r>
      <w:r w:rsidRPr="008B1E77">
        <w:rPr>
          <w:rFonts w:ascii="ITC Avant Garde" w:eastAsia="Calibri" w:hAnsi="ITC Avant Garde" w:cs="Arial"/>
        </w:rPr>
        <w:t xml:space="preserve"> la regulación aplicable así lo disponga</w:t>
      </w:r>
      <w:r w:rsidR="006E0A29">
        <w:rPr>
          <w:rFonts w:ascii="ITC Avant Garde" w:eastAsia="Calibri" w:hAnsi="ITC Avant Garde" w:cs="Arial"/>
        </w:rPr>
        <w:t>, por lo que se realizarán adecuaciones en tal sentido</w:t>
      </w:r>
      <w:r w:rsidRPr="008B1E77">
        <w:rPr>
          <w:rFonts w:ascii="ITC Avant Garde" w:eastAsia="Calibri" w:hAnsi="ITC Avant Garde" w:cs="Arial"/>
        </w:rPr>
        <w:t xml:space="preserve">. </w:t>
      </w:r>
    </w:p>
    <w:p w14:paraId="6B2754A0" w14:textId="77777777" w:rsidR="00E11A34" w:rsidRPr="008B1E77" w:rsidRDefault="00E11A34" w:rsidP="00E11A34">
      <w:pPr>
        <w:spacing w:after="0" w:line="240" w:lineRule="auto"/>
        <w:jc w:val="both"/>
        <w:rPr>
          <w:rFonts w:ascii="ITC Avant Garde" w:eastAsia="Calibri" w:hAnsi="ITC Avant Garde" w:cs="Times New Roman"/>
          <w:lang w:val="es-EC"/>
        </w:rPr>
      </w:pPr>
    </w:p>
    <w:p w14:paraId="5EE678A2" w14:textId="77777777" w:rsidR="0068402A" w:rsidRPr="00DE6B25" w:rsidRDefault="0068402A" w:rsidP="00E11A34">
      <w:pPr>
        <w:keepNext/>
        <w:keepLines/>
        <w:spacing w:after="0" w:line="240" w:lineRule="auto"/>
        <w:jc w:val="both"/>
        <w:outlineLvl w:val="0"/>
        <w:rPr>
          <w:rFonts w:ascii="ITC Avant Garde" w:eastAsia="Times New Roman" w:hAnsi="ITC Avant Garde" w:cs="Arial"/>
          <w:b/>
          <w:u w:val="single"/>
          <w:lang w:val="es-EC"/>
        </w:rPr>
      </w:pPr>
      <w:r w:rsidRPr="00DE6B25">
        <w:rPr>
          <w:rFonts w:ascii="ITC Avant Garde" w:eastAsia="Times New Roman" w:hAnsi="ITC Avant Garde" w:cs="Arial"/>
          <w:b/>
          <w:u w:val="single"/>
          <w:lang w:val="es-EC"/>
        </w:rPr>
        <w:t>Tema: Entrada en vigor</w:t>
      </w:r>
    </w:p>
    <w:p w14:paraId="4AAEB817" w14:textId="77777777" w:rsidR="0068402A" w:rsidRPr="002A27E0" w:rsidRDefault="0068402A" w:rsidP="00E11A34">
      <w:pPr>
        <w:spacing w:line="240" w:lineRule="auto"/>
        <w:ind w:left="1440"/>
        <w:contextualSpacing/>
        <w:rPr>
          <w:rFonts w:ascii="ITC Avant Garde" w:eastAsia="Calibri" w:hAnsi="ITC Avant Garde" w:cs="Arial"/>
          <w:lang w:val="es-ES"/>
        </w:rPr>
      </w:pPr>
    </w:p>
    <w:p w14:paraId="2BD93102" w14:textId="4390FEA8" w:rsidR="0068402A" w:rsidRPr="00B8283C" w:rsidRDefault="0068402A" w:rsidP="00E11A34">
      <w:pPr>
        <w:numPr>
          <w:ilvl w:val="0"/>
          <w:numId w:val="5"/>
        </w:numPr>
        <w:spacing w:line="240" w:lineRule="auto"/>
        <w:contextualSpacing/>
        <w:jc w:val="both"/>
        <w:rPr>
          <w:rFonts w:ascii="ITC Avant Garde" w:eastAsia="Calibri" w:hAnsi="ITC Avant Garde" w:cs="Arial"/>
        </w:rPr>
      </w:pPr>
      <w:r w:rsidRPr="00B8283C">
        <w:rPr>
          <w:rFonts w:ascii="ITC Avant Garde" w:eastAsia="Calibri" w:hAnsi="ITC Avant Garde" w:cs="Arial"/>
          <w:b/>
        </w:rPr>
        <w:t xml:space="preserve">Telmex/Telnor </w:t>
      </w:r>
      <w:r w:rsidRPr="00B8283C">
        <w:rPr>
          <w:rFonts w:ascii="ITC Avant Garde" w:eastAsia="Calibri" w:hAnsi="ITC Avant Garde" w:cs="Arial"/>
          <w:u w:val="single"/>
        </w:rPr>
        <w:t xml:space="preserve">(Transitorio </w:t>
      </w:r>
      <w:r w:rsidR="00033360" w:rsidRPr="00B8283C">
        <w:rPr>
          <w:rFonts w:ascii="ITC Avant Garde" w:eastAsia="Calibri" w:hAnsi="ITC Avant Garde" w:cs="Arial"/>
          <w:u w:val="single"/>
        </w:rPr>
        <w:t>P</w:t>
      </w:r>
      <w:r w:rsidRPr="00B8283C">
        <w:rPr>
          <w:rFonts w:ascii="ITC Avant Garde" w:eastAsia="Calibri" w:hAnsi="ITC Avant Garde" w:cs="Arial"/>
          <w:u w:val="single"/>
        </w:rPr>
        <w:t>rimero)</w:t>
      </w:r>
    </w:p>
    <w:p w14:paraId="4639EDB9"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“Se sugiere que los Lineamientos entren en vigor al día siguiente de su publicación en el Diario Oficial de la Federación, toda vez que no se encuentra justificación para un plazo tan extenso como el establecido (40 días). Lo importante es que ese IFT y los AEP y AEPSM comiencen a hacer uso de la solitud electrónica para alcanzar a la brevedad los objetivos buscados por ese IFT con la emisión de los presentes Lineamientos.”</w:t>
      </w:r>
    </w:p>
    <w:p w14:paraId="37619D70" w14:textId="77777777" w:rsidR="0068402A" w:rsidRPr="008B1E77" w:rsidRDefault="0068402A" w:rsidP="00E11A34">
      <w:pPr>
        <w:spacing w:line="240" w:lineRule="auto"/>
        <w:ind w:left="720"/>
        <w:contextualSpacing/>
        <w:jc w:val="both"/>
        <w:rPr>
          <w:rFonts w:ascii="ITC Avant Garde" w:eastAsia="Calibri" w:hAnsi="ITC Avant Garde" w:cs="Arial"/>
        </w:rPr>
      </w:pPr>
    </w:p>
    <w:p w14:paraId="36E19340" w14:textId="3465B989" w:rsidR="0068402A" w:rsidRPr="002A27E0" w:rsidRDefault="0068402A" w:rsidP="00E11A34">
      <w:pPr>
        <w:numPr>
          <w:ilvl w:val="0"/>
          <w:numId w:val="5"/>
        </w:numPr>
        <w:spacing w:line="240" w:lineRule="auto"/>
        <w:contextualSpacing/>
        <w:jc w:val="both"/>
        <w:rPr>
          <w:rFonts w:ascii="ITC Avant Garde" w:eastAsia="Calibri" w:hAnsi="ITC Avant Garde" w:cs="Arial"/>
        </w:rPr>
      </w:pPr>
      <w:r w:rsidRPr="008B1E77">
        <w:rPr>
          <w:rFonts w:ascii="ITC Avant Garde" w:eastAsia="Calibri" w:hAnsi="ITC Avant Garde" w:cs="Arial"/>
          <w:b/>
        </w:rPr>
        <w:t xml:space="preserve">Telcel </w:t>
      </w:r>
      <w:r w:rsidRPr="00DE6B25">
        <w:rPr>
          <w:rFonts w:ascii="ITC Avant Garde" w:eastAsia="Calibri" w:hAnsi="ITC Avant Garde" w:cs="Arial"/>
          <w:u w:val="single"/>
        </w:rPr>
        <w:t xml:space="preserve">(Transitorio </w:t>
      </w:r>
      <w:r w:rsidR="00033360" w:rsidRPr="00DE6B25">
        <w:rPr>
          <w:rFonts w:ascii="ITC Avant Garde" w:eastAsia="Calibri" w:hAnsi="ITC Avant Garde" w:cs="Arial"/>
          <w:u w:val="single"/>
        </w:rPr>
        <w:t>S</w:t>
      </w:r>
      <w:r w:rsidRPr="00DE6B25">
        <w:rPr>
          <w:rFonts w:ascii="ITC Avant Garde" w:eastAsia="Calibri" w:hAnsi="ITC Avant Garde" w:cs="Arial"/>
          <w:u w:val="single"/>
        </w:rPr>
        <w:t>egundo)</w:t>
      </w:r>
    </w:p>
    <w:p w14:paraId="06DAD59F" w14:textId="77777777" w:rsidR="0068402A" w:rsidRPr="00B8283C" w:rsidRDefault="0068402A" w:rsidP="00E11A34">
      <w:pPr>
        <w:spacing w:line="240" w:lineRule="auto"/>
        <w:ind w:left="720"/>
        <w:contextualSpacing/>
        <w:jc w:val="both"/>
        <w:rPr>
          <w:rFonts w:ascii="ITC Avant Garde" w:eastAsia="Calibri" w:hAnsi="ITC Avant Garde" w:cs="Arial"/>
        </w:rPr>
      </w:pPr>
      <w:r w:rsidRPr="00B8283C">
        <w:rPr>
          <w:rFonts w:ascii="ITC Avant Garde" w:eastAsia="Calibri" w:hAnsi="ITC Avant Garde" w:cs="Arial"/>
        </w:rPr>
        <w:t xml:space="preserve">“Se sugiere modificar la redacción de la siguiente forma: </w:t>
      </w:r>
    </w:p>
    <w:p w14:paraId="1441E04C" w14:textId="77777777" w:rsidR="0068402A" w:rsidRPr="008B1E77" w:rsidRDefault="0068402A" w:rsidP="00E11A34">
      <w:pPr>
        <w:spacing w:line="240" w:lineRule="auto"/>
        <w:ind w:left="720"/>
        <w:contextualSpacing/>
        <w:jc w:val="both"/>
        <w:rPr>
          <w:rFonts w:ascii="ITC Avant Garde" w:eastAsia="Calibri" w:hAnsi="ITC Avant Garde" w:cs="Arial"/>
        </w:rPr>
      </w:pPr>
    </w:p>
    <w:p w14:paraId="3E468B8A"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strike/>
        </w:rPr>
        <w:t>A partir de</w:t>
      </w:r>
      <w:r w:rsidRPr="008B1E77">
        <w:rPr>
          <w:rFonts w:ascii="ITC Avant Garde" w:eastAsia="Calibri" w:hAnsi="ITC Avant Garde" w:cs="Arial"/>
        </w:rPr>
        <w:t xml:space="preserve"> </w:t>
      </w:r>
      <w:r w:rsidRPr="008B1E77">
        <w:rPr>
          <w:rFonts w:ascii="ITC Avant Garde" w:eastAsia="Calibri" w:hAnsi="ITC Avant Garde" w:cs="Arial"/>
          <w:b/>
          <w:u w:val="single"/>
        </w:rPr>
        <w:t>Dentro de los 5 días hábiles siguientes a</w:t>
      </w:r>
      <w:r w:rsidRPr="008B1E77">
        <w:rPr>
          <w:rFonts w:ascii="ITC Avant Garde" w:eastAsia="Calibri" w:hAnsi="ITC Avant Garde" w:cs="Arial"/>
        </w:rPr>
        <w:t xml:space="preserve"> la entrada en vigor de los presentes Lineamientos, el agente económico preponderante y los agentes económicos con poder sustancial de mercado en el sector de telecomunicaciones </w:t>
      </w:r>
      <w:r w:rsidRPr="008B1E77">
        <w:rPr>
          <w:rFonts w:ascii="ITC Avant Garde" w:eastAsia="Calibri" w:hAnsi="ITC Avant Garde" w:cs="Arial"/>
          <w:b/>
          <w:u w:val="single"/>
        </w:rPr>
        <w:t>deberán solicitar el acceso al Sistema en los términos y conforme a los formatos señalados en el artículo Cuarto de los presentes Lineamientos. Una vez proporcionados el usuario y contraseña a que se refiere el artículo Quinto de los presentes Lineamientos, el AEP y los AEPSM deberán</w:t>
      </w:r>
      <w:r w:rsidRPr="008B1E77">
        <w:rPr>
          <w:rFonts w:ascii="ITC Avant Garde" w:eastAsia="Calibri" w:hAnsi="ITC Avant Garde" w:cs="Arial"/>
        </w:rPr>
        <w:t xml:space="preserve"> someter a autorización del Instituto sus Propuestas Tarifarias a través del Sistema Electrónico de Registro de Tarifas.”</w:t>
      </w:r>
    </w:p>
    <w:p w14:paraId="3364155C" w14:textId="77777777" w:rsidR="0068402A" w:rsidRPr="008B1E77" w:rsidRDefault="0068402A" w:rsidP="00E11A34">
      <w:pPr>
        <w:spacing w:line="240" w:lineRule="auto"/>
        <w:ind w:left="720"/>
        <w:contextualSpacing/>
        <w:jc w:val="both"/>
        <w:rPr>
          <w:rFonts w:ascii="ITC Avant Garde" w:eastAsia="Calibri" w:hAnsi="ITC Avant Garde" w:cs="Arial"/>
        </w:rPr>
      </w:pPr>
    </w:p>
    <w:p w14:paraId="2194374D" w14:textId="77777777" w:rsidR="0068402A" w:rsidRPr="008B1E77" w:rsidRDefault="0068402A" w:rsidP="00DE6B25">
      <w:pPr>
        <w:spacing w:line="240" w:lineRule="auto"/>
        <w:contextualSpacing/>
        <w:jc w:val="both"/>
        <w:rPr>
          <w:rFonts w:ascii="ITC Avant Garde" w:eastAsia="Calibri" w:hAnsi="ITC Avant Garde" w:cs="Arial"/>
          <w:b/>
          <w:lang w:val="es-ES"/>
        </w:rPr>
      </w:pPr>
      <w:r w:rsidRPr="008B1E77">
        <w:rPr>
          <w:rFonts w:ascii="ITC Avant Garde" w:eastAsia="Calibri" w:hAnsi="ITC Avant Garde" w:cs="Arial"/>
          <w:b/>
        </w:rPr>
        <w:t>Consideraciones del Instituto</w:t>
      </w:r>
      <w:r w:rsidRPr="008B1E77">
        <w:rPr>
          <w:rFonts w:ascii="ITC Avant Garde" w:eastAsia="Calibri" w:hAnsi="ITC Avant Garde" w:cs="Arial"/>
        </w:rPr>
        <w:t xml:space="preserve">. </w:t>
      </w:r>
      <w:r w:rsidRPr="008B1E77">
        <w:rPr>
          <w:rFonts w:ascii="ITC Avant Garde" w:eastAsia="Calibri" w:hAnsi="ITC Avant Garde" w:cs="Arial"/>
          <w:lang w:val="es-ES"/>
        </w:rPr>
        <w:t>Se consideró un plazo de 40 días para realizar las adecuaciones necesarias al Sistema Electrónico de Registro de Tarifas vigente, a efecto de que este esté en condiciones de cumplir con las funcionalidades establecidas en los lineamientos, sin embargo, con la finalidad de contar, además, con el tiempo necesario para llevar a cabo pruebas y ajustes, se considera más oportuno establecer un plazo de 90 días hábiles después de la publicación del respectivo Acuerdo en el DOF</w:t>
      </w:r>
      <w:r w:rsidR="00033360" w:rsidRPr="008B1E77">
        <w:rPr>
          <w:rFonts w:ascii="ITC Avant Garde" w:eastAsia="Calibri" w:hAnsi="ITC Avant Garde" w:cs="Arial"/>
          <w:lang w:val="es-ES"/>
        </w:rPr>
        <w:t>, por lo que se modificará el proyecto en ese sentido</w:t>
      </w:r>
      <w:r w:rsidRPr="008B1E77">
        <w:rPr>
          <w:rFonts w:ascii="ITC Avant Garde" w:eastAsia="Calibri" w:hAnsi="ITC Avant Garde" w:cs="Arial"/>
          <w:lang w:val="es-ES"/>
        </w:rPr>
        <w:t>.</w:t>
      </w:r>
    </w:p>
    <w:p w14:paraId="610B0D65" w14:textId="77777777" w:rsidR="00E11A34" w:rsidRPr="008B1E77" w:rsidRDefault="00E11A34" w:rsidP="00535425">
      <w:pPr>
        <w:spacing w:line="240" w:lineRule="auto"/>
        <w:contextualSpacing/>
        <w:jc w:val="both"/>
        <w:rPr>
          <w:rFonts w:ascii="ITC Avant Garde" w:eastAsia="Calibri" w:hAnsi="ITC Avant Garde" w:cs="Times New Roman"/>
          <w:lang w:val="es-EC"/>
        </w:rPr>
      </w:pPr>
    </w:p>
    <w:p w14:paraId="000DB5D6" w14:textId="77777777" w:rsidR="0068402A" w:rsidRPr="00DE6B25" w:rsidRDefault="0068402A" w:rsidP="00E11A34">
      <w:pPr>
        <w:keepNext/>
        <w:keepLines/>
        <w:spacing w:after="0" w:line="240" w:lineRule="auto"/>
        <w:jc w:val="both"/>
        <w:outlineLvl w:val="0"/>
        <w:rPr>
          <w:rFonts w:ascii="ITC Avant Garde" w:eastAsia="Times New Roman" w:hAnsi="ITC Avant Garde" w:cs="Arial"/>
          <w:b/>
          <w:u w:val="single"/>
          <w:lang w:val="es-EC"/>
        </w:rPr>
      </w:pPr>
      <w:r w:rsidRPr="00DE6B25">
        <w:rPr>
          <w:rFonts w:ascii="ITC Avant Garde" w:eastAsia="Times New Roman" w:hAnsi="ITC Avant Garde" w:cs="Arial"/>
          <w:b/>
          <w:u w:val="single"/>
          <w:lang w:val="es-EC"/>
        </w:rPr>
        <w:t>Tema: Modificación a los formatos</w:t>
      </w:r>
    </w:p>
    <w:p w14:paraId="29057390" w14:textId="77777777" w:rsidR="0068402A" w:rsidRPr="002A27E0" w:rsidRDefault="0068402A" w:rsidP="00E11A34">
      <w:pPr>
        <w:spacing w:after="0" w:line="240" w:lineRule="auto"/>
        <w:jc w:val="both"/>
        <w:rPr>
          <w:rFonts w:ascii="ITC Avant Garde" w:eastAsia="Calibri" w:hAnsi="ITC Avant Garde" w:cs="Arial"/>
        </w:rPr>
      </w:pPr>
    </w:p>
    <w:p w14:paraId="512F2438" w14:textId="77777777" w:rsidR="0068402A" w:rsidRPr="00B8283C" w:rsidRDefault="0068402A" w:rsidP="00E11A34">
      <w:pPr>
        <w:numPr>
          <w:ilvl w:val="0"/>
          <w:numId w:val="5"/>
        </w:numPr>
        <w:spacing w:line="240" w:lineRule="auto"/>
        <w:contextualSpacing/>
        <w:rPr>
          <w:rFonts w:ascii="ITC Avant Garde" w:eastAsia="Calibri" w:hAnsi="ITC Avant Garde" w:cs="Times New Roman"/>
          <w:lang w:val="es-EC"/>
        </w:rPr>
      </w:pPr>
      <w:r w:rsidRPr="00B8283C">
        <w:rPr>
          <w:rFonts w:ascii="ITC Avant Garde" w:eastAsia="Calibri" w:hAnsi="ITC Avant Garde" w:cs="Arial"/>
          <w:b/>
        </w:rPr>
        <w:t xml:space="preserve">Telcel. </w:t>
      </w:r>
      <w:r w:rsidRPr="00B8283C">
        <w:rPr>
          <w:rFonts w:ascii="ITC Avant Garde" w:eastAsia="Calibri" w:hAnsi="ITC Avant Garde" w:cs="Arial"/>
          <w:u w:val="single"/>
        </w:rPr>
        <w:t>(Sexto, párrafo segundo, Fracción II)</w:t>
      </w:r>
    </w:p>
    <w:p w14:paraId="188D55B5" w14:textId="77777777" w:rsidR="0068402A" w:rsidRPr="008B1E77" w:rsidRDefault="0068402A" w:rsidP="00E11A34">
      <w:pPr>
        <w:spacing w:line="240" w:lineRule="auto"/>
        <w:ind w:left="720"/>
        <w:contextualSpacing/>
        <w:jc w:val="both"/>
        <w:rPr>
          <w:rFonts w:ascii="ITC Avant Garde" w:eastAsia="Calibri" w:hAnsi="ITC Avant Garde" w:cs="Times New Roman"/>
          <w:lang w:val="es-EC"/>
        </w:rPr>
      </w:pPr>
      <w:r w:rsidRPr="008B1E77">
        <w:rPr>
          <w:rFonts w:ascii="ITC Avant Garde" w:eastAsia="Calibri" w:hAnsi="ITC Avant Garde" w:cs="Arial"/>
        </w:rPr>
        <w:t xml:space="preserve">“En la Fracción II del segundo párrafo del presente artículo (Información que el AEP deberá especificar en la Solicitud Electrónica de Autorización), se señala que la solicitud que presente el AEP al Instituto, deberá especificar, entre otros: “II. Folio(s) Electrónico(s) al(los) que aplica la Propuesta Tarifaria”. </w:t>
      </w:r>
    </w:p>
    <w:p w14:paraId="011DC0AC"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 xml:space="preserve">No obstante, en los formatos del Anexo B no se observa que esté contemplado se pueda(n) captura el(los) Folio(s) Electrónico(s). </w:t>
      </w:r>
    </w:p>
    <w:p w14:paraId="6D7537A3" w14:textId="77777777" w:rsidR="0068402A" w:rsidRPr="008B1E77" w:rsidRDefault="0068402A" w:rsidP="00E11A34">
      <w:pPr>
        <w:spacing w:line="240" w:lineRule="auto"/>
        <w:ind w:left="720"/>
        <w:contextualSpacing/>
        <w:jc w:val="both"/>
        <w:rPr>
          <w:rFonts w:ascii="ITC Avant Garde" w:eastAsia="Calibri" w:hAnsi="ITC Avant Garde" w:cs="Arial"/>
        </w:rPr>
      </w:pPr>
    </w:p>
    <w:p w14:paraId="44E4480D"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 xml:space="preserve">El sistema de tarifas vigente, a través del que los Concesionarios y/o Autorizados que no son el AEP solicitan el registro de sus tarifas, sí prevé un listado de los Folios Electrónicos correspondientes a los Títulos de Concesión vigentes, de tal forma que el Concesionario puede seleccionar aquellos con base en los que se prestaría el servicio cuya tarifa se solicita registrar. </w:t>
      </w:r>
    </w:p>
    <w:p w14:paraId="04ACE608" w14:textId="77777777" w:rsidR="0068402A" w:rsidRPr="008B1E77" w:rsidRDefault="0068402A" w:rsidP="00E11A34">
      <w:pPr>
        <w:spacing w:line="240" w:lineRule="auto"/>
        <w:ind w:left="720"/>
        <w:contextualSpacing/>
        <w:jc w:val="both"/>
        <w:rPr>
          <w:rFonts w:ascii="ITC Avant Garde" w:eastAsia="Calibri" w:hAnsi="ITC Avant Garde" w:cs="Arial"/>
        </w:rPr>
      </w:pPr>
    </w:p>
    <w:p w14:paraId="78016312" w14:textId="77777777" w:rsidR="0068402A" w:rsidRPr="008B1E77" w:rsidRDefault="0068402A" w:rsidP="00E11A34">
      <w:pPr>
        <w:spacing w:line="240" w:lineRule="auto"/>
        <w:ind w:left="720"/>
        <w:contextualSpacing/>
        <w:jc w:val="both"/>
        <w:rPr>
          <w:rFonts w:ascii="ITC Avant Garde" w:eastAsia="Calibri" w:hAnsi="ITC Avant Garde" w:cs="Times New Roman"/>
          <w:lang w:val="es-EC"/>
        </w:rPr>
      </w:pPr>
      <w:r w:rsidRPr="008B1E77">
        <w:rPr>
          <w:rFonts w:ascii="ITC Avant Garde" w:eastAsia="Calibri" w:hAnsi="ITC Avant Garde" w:cs="Arial"/>
        </w:rPr>
        <w:t>Se sugiere traer a los formatos establecidos en el Anexo B dichos campos.”</w:t>
      </w:r>
    </w:p>
    <w:p w14:paraId="6842A325" w14:textId="77777777" w:rsidR="0068402A" w:rsidRPr="008B1E77" w:rsidRDefault="0068402A" w:rsidP="00E11A34">
      <w:pPr>
        <w:spacing w:line="240" w:lineRule="auto"/>
        <w:ind w:left="720"/>
        <w:contextualSpacing/>
        <w:jc w:val="both"/>
        <w:rPr>
          <w:rFonts w:ascii="ITC Avant Garde" w:eastAsia="Calibri" w:hAnsi="ITC Avant Garde" w:cs="Arial"/>
          <w:b/>
        </w:rPr>
      </w:pPr>
    </w:p>
    <w:p w14:paraId="5F79BB26" w14:textId="77777777" w:rsidR="0068402A" w:rsidRPr="008B1E77" w:rsidRDefault="0068402A" w:rsidP="00E11A34">
      <w:pPr>
        <w:numPr>
          <w:ilvl w:val="0"/>
          <w:numId w:val="5"/>
        </w:numPr>
        <w:spacing w:line="240" w:lineRule="auto"/>
        <w:contextualSpacing/>
        <w:jc w:val="both"/>
        <w:rPr>
          <w:rFonts w:ascii="ITC Avant Garde" w:eastAsia="Calibri" w:hAnsi="ITC Avant Garde" w:cs="Arial"/>
          <w:b/>
        </w:rPr>
      </w:pPr>
      <w:r w:rsidRPr="008B1E77">
        <w:rPr>
          <w:rFonts w:ascii="ITC Avant Garde" w:eastAsia="Calibri" w:hAnsi="ITC Avant Garde" w:cs="Arial"/>
          <w:b/>
        </w:rPr>
        <w:t xml:space="preserve">Telmex/Telnor. </w:t>
      </w:r>
      <w:r w:rsidRPr="008B1E77">
        <w:rPr>
          <w:rFonts w:ascii="ITC Avant Garde" w:eastAsia="Calibri" w:hAnsi="ITC Avant Garde" w:cs="Arial"/>
        </w:rPr>
        <w:t>(Sexto, párrafo cuarto, Fracción V)</w:t>
      </w:r>
    </w:p>
    <w:p w14:paraId="5C0D928B"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“En lo referente al contenido que el AEP deberá señalar en la propuesta tarifaria, incluye “ IV. Módulos, paquetes, servicios y/o cualquier otro equivalente opcional o adicional asociado a la Propuesta Tarifaria. Estos no podrán registrarse de forma independiente a la tarifa de que se trate”.</w:t>
      </w:r>
    </w:p>
    <w:p w14:paraId="0FBBD45D" w14:textId="77777777" w:rsidR="0068402A" w:rsidRPr="008B1E77" w:rsidRDefault="0068402A" w:rsidP="00E11A34">
      <w:pPr>
        <w:spacing w:line="240" w:lineRule="auto"/>
        <w:ind w:left="720"/>
        <w:contextualSpacing/>
        <w:jc w:val="both"/>
        <w:rPr>
          <w:rFonts w:ascii="ITC Avant Garde" w:eastAsia="Calibri" w:hAnsi="ITC Avant Garde" w:cs="Arial"/>
        </w:rPr>
      </w:pPr>
    </w:p>
    <w:p w14:paraId="33CE9C8C" w14:textId="77777777" w:rsidR="0068402A" w:rsidRPr="008B1E77" w:rsidRDefault="0068402A" w:rsidP="00E11A34">
      <w:pPr>
        <w:spacing w:line="240" w:lineRule="auto"/>
        <w:ind w:left="720"/>
        <w:contextualSpacing/>
        <w:jc w:val="both"/>
        <w:rPr>
          <w:rFonts w:ascii="ITC Avant Garde" w:eastAsia="Calibri" w:hAnsi="ITC Avant Garde" w:cs="Times New Roman"/>
        </w:rPr>
      </w:pPr>
      <w:r w:rsidRPr="008B1E77">
        <w:rPr>
          <w:rFonts w:ascii="ITC Avant Garde" w:eastAsia="Calibri" w:hAnsi="ITC Avant Garde" w:cs="Arial"/>
        </w:rPr>
        <w:t>Resulta relevante que el Instituto considere que los servicios adicionales y/o promociones regularmente surgen con posterioridad, con lo que genera una carga de trabajo y redundancia volver a someter a registro el servicio al que aplica.</w:t>
      </w:r>
      <w:r w:rsidRPr="008B1E77">
        <w:rPr>
          <w:rFonts w:ascii="ITC Avant Garde" w:eastAsia="Calibri" w:hAnsi="ITC Avant Garde" w:cs="Times New Roman"/>
        </w:rPr>
        <w:t xml:space="preserve"> </w:t>
      </w:r>
    </w:p>
    <w:p w14:paraId="18587982" w14:textId="77777777" w:rsidR="0068402A" w:rsidRPr="008B1E77" w:rsidRDefault="0068402A" w:rsidP="00E11A34">
      <w:pPr>
        <w:spacing w:line="240" w:lineRule="auto"/>
        <w:ind w:left="720"/>
        <w:contextualSpacing/>
        <w:jc w:val="both"/>
        <w:rPr>
          <w:rFonts w:ascii="ITC Avant Garde" w:eastAsia="Calibri" w:hAnsi="ITC Avant Garde" w:cs="Times New Roman"/>
        </w:rPr>
      </w:pPr>
    </w:p>
    <w:p w14:paraId="153A311E"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No se encuentra justificación para requerirse nuevamente la autorización del servicio base que ya está registrado junto con los servicios adicionales y/o promociones ya que no requiere un cambio en la estructura tarifaria. Asimismo, el mismo Formato del Anexo B, solicita indicar el “Número de inscripción de tarifa o paquete con el que se aplica” la promoción a registrarse.”</w:t>
      </w:r>
    </w:p>
    <w:p w14:paraId="747B0AE9" w14:textId="77777777" w:rsidR="0068402A" w:rsidRPr="008B1E77" w:rsidRDefault="0068402A" w:rsidP="00E11A34">
      <w:pPr>
        <w:spacing w:line="240" w:lineRule="auto"/>
        <w:ind w:left="720"/>
        <w:contextualSpacing/>
        <w:jc w:val="both"/>
        <w:rPr>
          <w:rFonts w:ascii="ITC Avant Garde" w:eastAsia="Calibri" w:hAnsi="ITC Avant Garde" w:cs="Arial"/>
        </w:rPr>
      </w:pPr>
    </w:p>
    <w:p w14:paraId="2F5E83A2" w14:textId="77777777" w:rsidR="0068402A" w:rsidRPr="008B1E77" w:rsidRDefault="0068402A" w:rsidP="00E11A34">
      <w:pPr>
        <w:numPr>
          <w:ilvl w:val="0"/>
          <w:numId w:val="5"/>
        </w:numPr>
        <w:spacing w:line="240" w:lineRule="auto"/>
        <w:contextualSpacing/>
        <w:jc w:val="both"/>
        <w:rPr>
          <w:rFonts w:ascii="ITC Avant Garde" w:eastAsia="Calibri" w:hAnsi="ITC Avant Garde" w:cs="Arial"/>
        </w:rPr>
      </w:pPr>
      <w:r w:rsidRPr="008B1E77">
        <w:rPr>
          <w:rFonts w:ascii="ITC Avant Garde" w:eastAsia="Calibri" w:hAnsi="ITC Avant Garde" w:cs="Arial"/>
          <w:b/>
        </w:rPr>
        <w:t xml:space="preserve">Telcel. </w:t>
      </w:r>
      <w:r w:rsidRPr="008B1E77">
        <w:rPr>
          <w:rFonts w:ascii="ITC Avant Garde" w:eastAsia="Calibri" w:hAnsi="ITC Avant Garde" w:cs="Arial"/>
        </w:rPr>
        <w:t>(Sexto, párrafo cuarto, Fracción V)</w:t>
      </w:r>
    </w:p>
    <w:p w14:paraId="57ECA269"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 xml:space="preserve">“Por lo que se refiere Por lo que se refiere a la Fracción IV del cuarto párrafo del presente artículo (Contenido de la Propuesta Tarifaria), se señala que el AEP deberá señalar: “IV. Módulos, paquetes, servicios y/o cualquier otro servicio equivalente opcional o adicional asociado a la Propuesta Tarifaria. Estos no podrán registrarse de forma independiente a la tarifa de que se trate”. </w:t>
      </w:r>
    </w:p>
    <w:p w14:paraId="2C1F77B4" w14:textId="77777777" w:rsidR="0068402A" w:rsidRPr="008B1E77" w:rsidRDefault="0068402A" w:rsidP="00E11A34">
      <w:pPr>
        <w:spacing w:line="240" w:lineRule="auto"/>
        <w:ind w:left="720"/>
        <w:contextualSpacing/>
        <w:jc w:val="both"/>
        <w:rPr>
          <w:rFonts w:ascii="ITC Avant Garde" w:eastAsia="Calibri" w:hAnsi="ITC Avant Garde" w:cs="Arial"/>
        </w:rPr>
      </w:pPr>
    </w:p>
    <w:p w14:paraId="4E3FFAE6"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En este punto es importante hacer ver a ese Instituto que todos los servicios adicionales y/o promociones no siempre nacen al mismo tiempo y de la mano de la oferta comercial; sino de tiempo en tiempo y como respuesta a las necesidades del mercado y la competencia. Por ese motivo, y con base en lo establecido en la fracción en comento, sería imposible para el AEP llevar a cabo la solicitud y registro de módulos, paquetes o equivalente con posterioridad a la autorización del plan o esquema de cobro principal. De ser como se establece, implicaría que, con el nacimiento de la promoción, el AEP tendría que volver a someter a autorización una tarifa que ya se encuentra previamente autorizada por ese IFT, generando una carga de trabajo para la Unidad encargada de evaluar la tarifa y autorizarla, así como, un procedimiento ocioso e ineficaz. Lo anterior queda salvado con los campos señalados en el Formato B en los que se solicita indicar el “Número de inscripción de tarifa o paquete con el que se aplica” la promoción a registrarse.”</w:t>
      </w:r>
    </w:p>
    <w:p w14:paraId="0789207A" w14:textId="77777777" w:rsidR="0068402A" w:rsidRPr="008B1E77" w:rsidRDefault="0068402A" w:rsidP="00E11A34">
      <w:pPr>
        <w:spacing w:line="240" w:lineRule="auto"/>
        <w:ind w:left="720"/>
        <w:contextualSpacing/>
        <w:jc w:val="both"/>
        <w:rPr>
          <w:rFonts w:ascii="ITC Avant Garde" w:eastAsia="Calibri" w:hAnsi="ITC Avant Garde" w:cs="Arial"/>
        </w:rPr>
      </w:pPr>
    </w:p>
    <w:p w14:paraId="32AF9068" w14:textId="77777777" w:rsidR="0068402A" w:rsidRPr="008B1E77" w:rsidRDefault="00535425" w:rsidP="00E11A34">
      <w:pPr>
        <w:numPr>
          <w:ilvl w:val="0"/>
          <w:numId w:val="5"/>
        </w:numPr>
        <w:spacing w:line="240" w:lineRule="auto"/>
        <w:contextualSpacing/>
        <w:rPr>
          <w:rFonts w:ascii="ITC Avant Garde" w:eastAsia="Calibri" w:hAnsi="ITC Avant Garde" w:cs="Arial"/>
          <w:b/>
          <w:lang w:val="es-ES"/>
        </w:rPr>
      </w:pPr>
      <w:r w:rsidRPr="008B1E77">
        <w:rPr>
          <w:rFonts w:ascii="ITC Avant Garde" w:eastAsia="Calibri" w:hAnsi="ITC Avant Garde" w:cs="Arial"/>
          <w:b/>
          <w:lang w:val="es-ES"/>
        </w:rPr>
        <w:t>Sky</w:t>
      </w:r>
      <w:r w:rsidR="0068402A" w:rsidRPr="008B1E77">
        <w:rPr>
          <w:rFonts w:ascii="ITC Avant Garde" w:eastAsia="Calibri" w:hAnsi="ITC Avant Garde" w:cs="Arial"/>
          <w:b/>
          <w:lang w:val="es-ES"/>
        </w:rPr>
        <w:t xml:space="preserve"> y Cablevisión</w:t>
      </w:r>
    </w:p>
    <w:p w14:paraId="1443C671"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“Dentro de los formatos presentados por el IFT como parte de la consulta pública en el Anexo B (solicitud electrónica de autorización), no se han incluidos formatos para servicios empaquetados tipo multi-play. A pesar de que se podría inferir que el formato llamado “Tarifas Otros Servicios” sería el formato que se debe utilizar para este tipo de casos, al revisar el detalle de información requerida e los demás formatos, no es claro ni específico que dicho formato pueda ser usado para tal fin. Tampoco se han identificado formatos para servicios fijos (p.ej: acceso a internet) prestados con medios inalámbricos como puede ser la red móvil del AEP.</w:t>
      </w:r>
    </w:p>
    <w:p w14:paraId="07209CAB" w14:textId="77777777" w:rsidR="0068402A" w:rsidRPr="008B1E77" w:rsidRDefault="0068402A" w:rsidP="00E11A34">
      <w:pPr>
        <w:spacing w:line="240" w:lineRule="auto"/>
        <w:ind w:left="720"/>
        <w:contextualSpacing/>
        <w:jc w:val="both"/>
        <w:rPr>
          <w:rFonts w:ascii="ITC Avant Garde" w:eastAsia="Calibri" w:hAnsi="ITC Avant Garde" w:cs="Arial"/>
        </w:rPr>
      </w:pPr>
    </w:p>
    <w:p w14:paraId="092707C5"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 xml:space="preserve">El hecho de que actualmente el AEP no pueda ofrecer cierto tipo de paquetes multi-play no justifica que no exista un formato específico para la solicitud de aprobación de este tipo de tarifas empaquetadas, ya que podría llegar a presentarse el caso de que se declarase un AEPSM que sí ofrezca este tipo de servicios o que en un futuro el mismo AEP pueda salir al mercado con este tipo de ofertas. De hecho, actualmente el AEP presta servicios multi-play con acceso a internet fijo, telefonía fija y plataformas de video OTT. </w:t>
      </w:r>
    </w:p>
    <w:p w14:paraId="3961B428" w14:textId="77777777" w:rsidR="0068402A" w:rsidRPr="008B1E77" w:rsidRDefault="0068402A" w:rsidP="00E11A34">
      <w:pPr>
        <w:spacing w:line="240" w:lineRule="auto"/>
        <w:ind w:left="720"/>
        <w:contextualSpacing/>
        <w:jc w:val="both"/>
        <w:rPr>
          <w:rFonts w:ascii="ITC Avant Garde" w:eastAsia="Calibri" w:hAnsi="ITC Avant Garde" w:cs="Arial"/>
        </w:rPr>
      </w:pPr>
    </w:p>
    <w:p w14:paraId="74494715"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Además, al no existir formatos, no es claro cómo se presentarían las propuestas tarifarias para este tipo de servicios empaquetados. Si fuese por separado, es decir, que cada servicio deba presentarse en el formato de cada servicio que le aplique, se requiere claridad de cómo se usaría esa información para los test de replicabilidad de paquetes. Por otro lado, si se presentaran de forma conjunta (en el formato que el IFT disponga) es importante que el IFT aclare si existirá una obligación de separar por servicios individuales, regulados y no regulados, para asociarles sus ingresos, volúmenes y otros factores con vistas a su utilización en las pruebas de replicabilidad.</w:t>
      </w:r>
    </w:p>
    <w:p w14:paraId="3A38E7B1" w14:textId="77777777" w:rsidR="0068402A" w:rsidRPr="008B1E77" w:rsidRDefault="0068402A" w:rsidP="00E11A34">
      <w:pPr>
        <w:spacing w:line="240" w:lineRule="auto"/>
        <w:ind w:left="720"/>
        <w:contextualSpacing/>
        <w:jc w:val="both"/>
        <w:rPr>
          <w:rFonts w:ascii="ITC Avant Garde" w:eastAsia="Calibri" w:hAnsi="ITC Avant Garde" w:cs="Arial"/>
        </w:rPr>
      </w:pPr>
    </w:p>
    <w:p w14:paraId="341D3CE8"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Finalmente, la no existencia de este tipo de formatos establece reglas poco claras y que coartan de manera directa y unilateral la posibilidad de que los Promoventes puedan ofrecer y restar este tipo de servicios, muchos de los cuales ya se ofertan en la actualidad.</w:t>
      </w:r>
    </w:p>
    <w:p w14:paraId="60B64E52" w14:textId="77777777" w:rsidR="0068402A" w:rsidRPr="008B1E77" w:rsidRDefault="0068402A" w:rsidP="00E11A34">
      <w:pPr>
        <w:spacing w:line="240" w:lineRule="auto"/>
        <w:ind w:left="720"/>
        <w:contextualSpacing/>
        <w:jc w:val="both"/>
        <w:rPr>
          <w:rFonts w:ascii="ITC Avant Garde" w:eastAsia="Calibri" w:hAnsi="ITC Avant Garde" w:cs="Arial"/>
        </w:rPr>
      </w:pPr>
    </w:p>
    <w:p w14:paraId="4CE788EA"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Por lo anterior, y teniendo presente que es una omisión del Instituto no integrar este tipo de posibilidades, se requiere que el IFT informe y aclare dentro del Anexo B o como una disposición adicional dentro de los lineamientos, como se realizaría de forma específica y detallada a solicitud de autorización de tarifas para este tipo de servicios empaquetados multi-play y para aquellos servicios fijos prestados con medios inalámbricos.”</w:t>
      </w:r>
    </w:p>
    <w:p w14:paraId="697C4CC7" w14:textId="77777777" w:rsidR="0068402A" w:rsidRPr="008B1E77" w:rsidRDefault="0068402A" w:rsidP="00E11A34">
      <w:pPr>
        <w:spacing w:line="240" w:lineRule="auto"/>
        <w:ind w:left="720"/>
        <w:contextualSpacing/>
        <w:jc w:val="both"/>
        <w:rPr>
          <w:rFonts w:ascii="ITC Avant Garde" w:eastAsia="Calibri" w:hAnsi="ITC Avant Garde" w:cs="Arial"/>
        </w:rPr>
      </w:pPr>
    </w:p>
    <w:p w14:paraId="609A4AFA" w14:textId="77777777" w:rsidR="0068402A" w:rsidRPr="008B1E77" w:rsidRDefault="0068402A" w:rsidP="00E11A34">
      <w:pPr>
        <w:numPr>
          <w:ilvl w:val="0"/>
          <w:numId w:val="5"/>
        </w:numPr>
        <w:spacing w:line="240" w:lineRule="auto"/>
        <w:contextualSpacing/>
        <w:rPr>
          <w:rFonts w:ascii="ITC Avant Garde" w:eastAsia="Calibri" w:hAnsi="ITC Avant Garde" w:cs="Arial"/>
          <w:b/>
        </w:rPr>
      </w:pPr>
      <w:r w:rsidRPr="008B1E77">
        <w:rPr>
          <w:rFonts w:ascii="ITC Avant Garde" w:eastAsia="Calibri" w:hAnsi="ITC Avant Garde" w:cs="Arial"/>
          <w:b/>
        </w:rPr>
        <w:t>Telefónica</w:t>
      </w:r>
    </w:p>
    <w:p w14:paraId="1A3B4D1D" w14:textId="77777777" w:rsidR="0068402A" w:rsidRPr="008B1E77" w:rsidRDefault="0068402A" w:rsidP="00E11A34">
      <w:pPr>
        <w:spacing w:line="240" w:lineRule="auto"/>
        <w:ind w:left="720"/>
        <w:contextualSpacing/>
        <w:jc w:val="both"/>
        <w:rPr>
          <w:rFonts w:ascii="ITC Avant Garde" w:eastAsia="Calibri" w:hAnsi="ITC Avant Garde" w:cs="Arial"/>
          <w:lang w:val="es-ES"/>
        </w:rPr>
      </w:pPr>
      <w:r w:rsidRPr="008B1E77">
        <w:rPr>
          <w:rFonts w:ascii="ITC Avant Garde" w:eastAsia="Calibri" w:hAnsi="ITC Avant Garde" w:cs="Arial"/>
          <w:lang w:val="es-ES"/>
        </w:rPr>
        <w:t>“El formato estandarizado para la solicitud de aprobación de una tarifa (Anexo B: SOLICITUD ELECTRÓNICA DE AUTORIZACIÓN) entendemos que no es adecuado para considerar las ofertas m</w:t>
      </w:r>
      <w:r w:rsidRPr="008B1E77">
        <w:rPr>
          <w:rFonts w:ascii="ITC Avant Garde" w:eastAsia="Calibri" w:hAnsi="ITC Avant Garde" w:cs="Century Gothic"/>
          <w:lang w:val="es-ES"/>
        </w:rPr>
        <w:t>ó</w:t>
      </w:r>
      <w:r w:rsidRPr="008B1E77">
        <w:rPr>
          <w:rFonts w:ascii="ITC Avant Garde" w:eastAsia="Calibri" w:hAnsi="ITC Avant Garde" w:cs="Arial"/>
          <w:lang w:val="es-ES"/>
        </w:rPr>
        <w:t>viles paquetizadas, que incluyen voz, SMS y datos. El formato parece estar pensado únicamente para servicios individuales y no para ofertas paquetizadas. Sugerimos ampliar el formato para considerar este tipo de ofertas y sus condiciones específicas, así como que el AEP/AEPSM pueda incluir información estimada del uso promedio por cliente de los servicios incluidos en el paquete, cuando estos son ilimitados (voz) o incluyen un tope de consumo (datos)</w:t>
      </w:r>
    </w:p>
    <w:p w14:paraId="700A0169" w14:textId="77777777" w:rsidR="0068402A" w:rsidRPr="008B1E77" w:rsidRDefault="0068402A" w:rsidP="00E11A34">
      <w:pPr>
        <w:spacing w:line="240" w:lineRule="auto"/>
        <w:ind w:left="720"/>
        <w:contextualSpacing/>
        <w:jc w:val="both"/>
        <w:rPr>
          <w:rFonts w:ascii="ITC Avant Garde" w:eastAsia="Calibri" w:hAnsi="ITC Avant Garde" w:cs="Arial"/>
        </w:rPr>
      </w:pPr>
    </w:p>
    <w:p w14:paraId="4AE51BF8"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lang w:val="es-ES"/>
        </w:rPr>
        <w:t>[…]</w:t>
      </w:r>
      <w:r w:rsidRPr="008B1E77">
        <w:rPr>
          <w:rFonts w:ascii="ITC Avant Garde" w:eastAsia="Calibri" w:hAnsi="ITC Avant Garde" w:cs="Arial"/>
        </w:rPr>
        <w:t>los formatos estandarizados deberían incluir específicamente la inclusión de un terminal dentro de un plan. Cuáles son sus condiciones económicas, compromiso de estancia en el plan, importe subvencionado del terminal, etc.</w:t>
      </w:r>
    </w:p>
    <w:p w14:paraId="526ED8A0" w14:textId="77777777" w:rsidR="0068402A" w:rsidRPr="008B1E77" w:rsidRDefault="0068402A" w:rsidP="00E11A34">
      <w:pPr>
        <w:spacing w:line="240" w:lineRule="auto"/>
        <w:ind w:left="720"/>
        <w:contextualSpacing/>
        <w:rPr>
          <w:rFonts w:ascii="ITC Avant Garde" w:eastAsia="Calibri" w:hAnsi="ITC Avant Garde" w:cs="Arial"/>
        </w:rPr>
      </w:pPr>
    </w:p>
    <w:p w14:paraId="017962AC"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De manera análoga, servicios como Claro TV, incluidos en algunos planes incluso de manera gratuita, deben ser incorporados e identificadas sus condiciones económicas, de uso, si cuentan para el consumo del tope de datos, etc.</w:t>
      </w:r>
    </w:p>
    <w:p w14:paraId="28CB0D38" w14:textId="77777777" w:rsidR="0068402A" w:rsidRPr="008B1E77" w:rsidRDefault="0068402A" w:rsidP="00E11A34">
      <w:pPr>
        <w:spacing w:line="240" w:lineRule="auto"/>
        <w:ind w:left="720"/>
        <w:contextualSpacing/>
        <w:jc w:val="both"/>
        <w:rPr>
          <w:rFonts w:ascii="ITC Avant Garde" w:eastAsia="Calibri" w:hAnsi="ITC Avant Garde" w:cs="Arial"/>
        </w:rPr>
      </w:pPr>
    </w:p>
    <w:p w14:paraId="10C6E1AF"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Condiciones específicas de consumo de datos asociadas a navegación por Redes Sociales también deben de ser claramente detalladas e identificadas sus condiciones económicas, de uso, de consumo del tope de datos, etc.</w:t>
      </w:r>
    </w:p>
    <w:p w14:paraId="38CCA85D" w14:textId="77777777" w:rsidR="0068402A" w:rsidRPr="008B1E77" w:rsidRDefault="0068402A" w:rsidP="00E11A34">
      <w:pPr>
        <w:spacing w:line="240" w:lineRule="auto"/>
        <w:ind w:left="720"/>
        <w:contextualSpacing/>
        <w:jc w:val="both"/>
        <w:rPr>
          <w:rFonts w:ascii="ITC Avant Garde" w:eastAsia="Calibri" w:hAnsi="ITC Avant Garde" w:cs="Arial"/>
        </w:rPr>
      </w:pPr>
    </w:p>
    <w:p w14:paraId="1E63D94F"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Tal y como indica el artículo 267 de la LFTyR, el AEP deberá desglosar el precio de los servicios incluidos en un paquete. El AEP deberá, para las ofertas paquetizadas, indicar de la tarifa total del paquete, cómo se reparte ésta entre los diferentes servicios que lo integran. Esto permitirá identificar subsidios cruzados entre servicios. El AEP deberá también explicitar la metodología de reparto que ha seguido para asignar los precios a cada uno de los servicios del paquete.</w:t>
      </w:r>
    </w:p>
    <w:p w14:paraId="77945B80" w14:textId="77777777" w:rsidR="0068402A" w:rsidRPr="008B1E77" w:rsidRDefault="0068402A" w:rsidP="00E11A34">
      <w:pPr>
        <w:spacing w:line="240" w:lineRule="auto"/>
        <w:ind w:left="720"/>
        <w:contextualSpacing/>
        <w:jc w:val="both"/>
        <w:rPr>
          <w:rFonts w:ascii="ITC Avant Garde" w:eastAsia="Calibri" w:hAnsi="ITC Avant Garde" w:cs="Arial"/>
        </w:rPr>
      </w:pPr>
    </w:p>
    <w:p w14:paraId="1187395C"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Sugerimos ampliar el número de estados en los que una tarifa puede encontrarse. De la documentación parece deducirse que una tarifa puede estar en “Tarifa vigente”, “Tarifa suspendida” o “Tarifa cancelada”. Proponemos ampliar el número de estados para considerar la fase de análisis de la prueba pre-lanzamiento, por ejemplo</w:t>
      </w:r>
      <w:r w:rsidR="0025454E">
        <w:rPr>
          <w:rFonts w:ascii="ITC Avant Garde" w:eastAsia="Calibri" w:hAnsi="ITC Avant Garde" w:cs="Arial"/>
        </w:rPr>
        <w:t>,</w:t>
      </w:r>
      <w:r w:rsidRPr="008B1E77">
        <w:rPr>
          <w:rFonts w:ascii="ITC Avant Garde" w:eastAsia="Calibri" w:hAnsi="ITC Avant Garde" w:cs="Arial"/>
        </w:rPr>
        <w:t xml:space="preserve"> añadiendo “Tarifa en fase de análisis” o “Tarifa pre-aprobada”. En este último caso y como se propondrá en el capítulo de propuesta, durante un tiempo se habilitará para que los concesionarios alternativos puedan solicitar la suspensión de la tarifa si tienen evidencias contundentes de que la tarifa no puede ser replicada.”</w:t>
      </w:r>
    </w:p>
    <w:p w14:paraId="0BB03BA4" w14:textId="77777777" w:rsidR="0068402A" w:rsidRPr="008B1E77" w:rsidRDefault="0068402A" w:rsidP="00E11A34">
      <w:pPr>
        <w:spacing w:line="240" w:lineRule="auto"/>
        <w:ind w:left="720"/>
        <w:contextualSpacing/>
        <w:jc w:val="both"/>
        <w:rPr>
          <w:rFonts w:ascii="ITC Avant Garde" w:eastAsia="Calibri" w:hAnsi="ITC Avant Garde" w:cs="Arial"/>
        </w:rPr>
      </w:pPr>
    </w:p>
    <w:p w14:paraId="02ECC56B" w14:textId="77777777" w:rsidR="0068402A" w:rsidRPr="002A27E0" w:rsidRDefault="0068402A" w:rsidP="00E11A34">
      <w:pPr>
        <w:numPr>
          <w:ilvl w:val="0"/>
          <w:numId w:val="5"/>
        </w:numPr>
        <w:spacing w:line="240" w:lineRule="auto"/>
        <w:contextualSpacing/>
        <w:jc w:val="both"/>
        <w:rPr>
          <w:rFonts w:ascii="ITC Avant Garde" w:eastAsia="Calibri" w:hAnsi="ITC Avant Garde" w:cs="Arial"/>
        </w:rPr>
      </w:pPr>
      <w:r w:rsidRPr="008B1E77">
        <w:rPr>
          <w:rFonts w:ascii="ITC Avant Garde" w:eastAsia="Calibri" w:hAnsi="ITC Avant Garde" w:cs="Arial"/>
          <w:b/>
        </w:rPr>
        <w:t xml:space="preserve">Telcel. </w:t>
      </w:r>
      <w:r w:rsidRPr="00DE6B25">
        <w:rPr>
          <w:rFonts w:ascii="ITC Avant Garde" w:eastAsia="Calibri" w:hAnsi="ITC Avant Garde" w:cs="Arial"/>
          <w:u w:val="single"/>
        </w:rPr>
        <w:t>(Sexto, párrafo segundo, Fracción VIII)</w:t>
      </w:r>
    </w:p>
    <w:p w14:paraId="505E4E3F" w14:textId="77777777" w:rsidR="0068402A" w:rsidRPr="008B1E77" w:rsidRDefault="0068402A" w:rsidP="00E11A34">
      <w:pPr>
        <w:spacing w:line="240" w:lineRule="auto"/>
        <w:ind w:left="720"/>
        <w:contextualSpacing/>
        <w:jc w:val="both"/>
        <w:rPr>
          <w:rFonts w:ascii="ITC Avant Garde" w:eastAsia="Calibri" w:hAnsi="ITC Avant Garde" w:cs="Arial"/>
        </w:rPr>
      </w:pPr>
      <w:r w:rsidRPr="00B8283C">
        <w:rPr>
          <w:rFonts w:ascii="ITC Avant Garde" w:eastAsia="Calibri" w:hAnsi="ITC Avant Garde" w:cs="Arial"/>
        </w:rPr>
        <w:t>“Por lo que se refiere a la Fracción VIII del segundo párrafo del presente artículo (Información que el AEP deberá especificar en la Solicitud Electrónica de Autorización), se señala como requisito de la Solicitud Electrónica: “VIII. La petición expresa de la expedición de la constancia de inscripción re</w:t>
      </w:r>
      <w:r w:rsidRPr="008B1E77">
        <w:rPr>
          <w:rFonts w:ascii="ITC Avant Garde" w:eastAsia="Calibri" w:hAnsi="ITC Avant Garde" w:cs="Arial"/>
        </w:rPr>
        <w:t xml:space="preserve">spectiva en el RPC (opcional)”. </w:t>
      </w:r>
    </w:p>
    <w:p w14:paraId="4CEC9F74" w14:textId="77777777" w:rsidR="0068402A" w:rsidRPr="008B1E77" w:rsidRDefault="0068402A" w:rsidP="00E11A34">
      <w:pPr>
        <w:spacing w:line="240" w:lineRule="auto"/>
        <w:ind w:left="720"/>
        <w:contextualSpacing/>
        <w:jc w:val="both"/>
        <w:rPr>
          <w:rFonts w:ascii="ITC Avant Garde" w:eastAsia="Calibri" w:hAnsi="ITC Avant Garde" w:cs="Arial"/>
        </w:rPr>
      </w:pPr>
    </w:p>
    <w:p w14:paraId="2CAE0A72"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 xml:space="preserve">No obstante, no se observa en los formatos del Anexo B un campo específico para la captura de dicha solicitud, aun y cuando ésta sea opcional. </w:t>
      </w:r>
    </w:p>
    <w:p w14:paraId="2BD38112" w14:textId="77777777" w:rsidR="0068402A" w:rsidRPr="008B1E77" w:rsidRDefault="0068402A" w:rsidP="00E11A34">
      <w:pPr>
        <w:spacing w:line="240" w:lineRule="auto"/>
        <w:ind w:left="720"/>
        <w:contextualSpacing/>
        <w:jc w:val="both"/>
        <w:rPr>
          <w:rFonts w:ascii="ITC Avant Garde" w:eastAsia="Calibri" w:hAnsi="ITC Avant Garde" w:cs="Arial"/>
        </w:rPr>
      </w:pPr>
    </w:p>
    <w:p w14:paraId="6C0B5838" w14:textId="77777777" w:rsidR="0068402A" w:rsidRPr="008B1E77" w:rsidRDefault="0068402A" w:rsidP="00E11A34">
      <w:pPr>
        <w:spacing w:line="240" w:lineRule="auto"/>
        <w:ind w:left="720"/>
        <w:contextualSpacing/>
        <w:jc w:val="both"/>
        <w:rPr>
          <w:rFonts w:ascii="ITC Avant Garde" w:eastAsia="Calibri" w:hAnsi="ITC Avant Garde" w:cs="Arial"/>
        </w:rPr>
      </w:pPr>
      <w:r w:rsidRPr="008B1E77">
        <w:rPr>
          <w:rFonts w:ascii="ITC Avant Garde" w:eastAsia="Calibri" w:hAnsi="ITC Avant Garde" w:cs="Arial"/>
        </w:rPr>
        <w:t>El sistema de tarifas vigente, a través del que los Concesionarios y/o Autorizados que no son el AEP solicitan el registro de sus tarifas, sí cuenta con un campo específico para hacer la solicitud a que se refiere la Fracción VIII. Se sugiere traer a los formatos establecidos en el Anexo B dichos campos.”</w:t>
      </w:r>
    </w:p>
    <w:p w14:paraId="0A443D88" w14:textId="77777777" w:rsidR="0068402A" w:rsidRPr="008B1E77" w:rsidRDefault="0068402A" w:rsidP="00E11A34">
      <w:pPr>
        <w:spacing w:line="240" w:lineRule="auto"/>
        <w:ind w:left="720"/>
        <w:contextualSpacing/>
        <w:jc w:val="both"/>
        <w:rPr>
          <w:rFonts w:ascii="ITC Avant Garde" w:eastAsia="Calibri" w:hAnsi="ITC Avant Garde" w:cs="Arial"/>
        </w:rPr>
      </w:pPr>
    </w:p>
    <w:p w14:paraId="76F92E25" w14:textId="77777777" w:rsidR="0068402A" w:rsidRPr="002A27E0" w:rsidRDefault="0068402A" w:rsidP="00E11A34">
      <w:pPr>
        <w:numPr>
          <w:ilvl w:val="0"/>
          <w:numId w:val="5"/>
        </w:numPr>
        <w:spacing w:line="240" w:lineRule="auto"/>
        <w:contextualSpacing/>
        <w:jc w:val="both"/>
        <w:rPr>
          <w:rFonts w:ascii="ITC Avant Garde" w:eastAsia="Calibri" w:hAnsi="ITC Avant Garde" w:cs="Arial"/>
        </w:rPr>
      </w:pPr>
      <w:r w:rsidRPr="008B1E77">
        <w:rPr>
          <w:rFonts w:ascii="ITC Avant Garde" w:eastAsia="Calibri" w:hAnsi="ITC Avant Garde" w:cs="Arial"/>
          <w:b/>
        </w:rPr>
        <w:t>CANIETI.</w:t>
      </w:r>
      <w:r w:rsidRPr="00DE6B25">
        <w:rPr>
          <w:rFonts w:ascii="ITC Avant Garde" w:eastAsia="Calibri" w:hAnsi="ITC Avant Garde" w:cs="Arial"/>
        </w:rPr>
        <w:t xml:space="preserve"> </w:t>
      </w:r>
      <w:r w:rsidRPr="00DE6B25">
        <w:rPr>
          <w:rFonts w:ascii="ITC Avant Garde" w:eastAsia="Calibri" w:hAnsi="ITC Avant Garde" w:cs="Arial"/>
          <w:u w:val="single"/>
        </w:rPr>
        <w:t>(Sexto, párrafo cuarto, Fracción V)</w:t>
      </w:r>
    </w:p>
    <w:p w14:paraId="506C33EE" w14:textId="77777777" w:rsidR="0068402A" w:rsidRPr="00B8283C" w:rsidRDefault="0068402A" w:rsidP="00E11A34">
      <w:pPr>
        <w:spacing w:line="240" w:lineRule="auto"/>
        <w:ind w:left="720"/>
        <w:contextualSpacing/>
        <w:jc w:val="both"/>
        <w:rPr>
          <w:rFonts w:ascii="ITC Avant Garde" w:eastAsia="Calibri" w:hAnsi="ITC Avant Garde" w:cs="Arial"/>
        </w:rPr>
      </w:pPr>
      <w:r w:rsidRPr="00B8283C">
        <w:rPr>
          <w:rFonts w:ascii="ITC Avant Garde" w:eastAsia="Calibri" w:hAnsi="ITC Avant Garde" w:cs="Arial"/>
        </w:rPr>
        <w:t>“A esta fecha el AEP no cuenta con autorización para proveer este servicio al tiempo que tampoco existe un agente con poder sustancial para ese servicio por lo que no existe una razón para incluir una mención específica al servicio de TV restringida.”</w:t>
      </w:r>
    </w:p>
    <w:p w14:paraId="62112047" w14:textId="77777777" w:rsidR="0068402A" w:rsidRPr="00B8283C" w:rsidRDefault="0068402A" w:rsidP="00E11A34">
      <w:pPr>
        <w:spacing w:line="240" w:lineRule="auto"/>
        <w:ind w:left="720"/>
        <w:contextualSpacing/>
        <w:jc w:val="both"/>
        <w:rPr>
          <w:rFonts w:ascii="ITC Avant Garde" w:eastAsia="Calibri" w:hAnsi="ITC Avant Garde" w:cs="Arial"/>
        </w:rPr>
      </w:pPr>
    </w:p>
    <w:p w14:paraId="4610366F" w14:textId="77777777" w:rsidR="0068402A" w:rsidRPr="008B1E77" w:rsidRDefault="0068402A" w:rsidP="00E11A34">
      <w:pPr>
        <w:numPr>
          <w:ilvl w:val="0"/>
          <w:numId w:val="5"/>
        </w:numPr>
        <w:spacing w:line="240" w:lineRule="auto"/>
        <w:contextualSpacing/>
        <w:jc w:val="both"/>
        <w:rPr>
          <w:rFonts w:ascii="ITC Avant Garde" w:eastAsia="Calibri" w:hAnsi="ITC Avant Garde" w:cs="Arial"/>
          <w:b/>
        </w:rPr>
      </w:pPr>
      <w:r w:rsidRPr="008B1E77">
        <w:rPr>
          <w:rFonts w:ascii="ITC Avant Garde" w:eastAsia="Calibri" w:hAnsi="ITC Avant Garde" w:cs="Arial"/>
          <w:b/>
        </w:rPr>
        <w:t>Telcel</w:t>
      </w:r>
    </w:p>
    <w:p w14:paraId="770516B7" w14:textId="77777777" w:rsidR="0068402A" w:rsidRPr="008B1E77" w:rsidRDefault="0068402A" w:rsidP="00E11A34">
      <w:pPr>
        <w:spacing w:line="240" w:lineRule="auto"/>
        <w:ind w:left="720"/>
        <w:contextualSpacing/>
        <w:jc w:val="both"/>
        <w:rPr>
          <w:rFonts w:ascii="ITC Avant Garde" w:eastAsia="Calibri" w:hAnsi="ITC Avant Garde" w:cs="Arial"/>
          <w:b/>
        </w:rPr>
      </w:pPr>
      <w:r w:rsidRPr="008B1E77">
        <w:rPr>
          <w:rFonts w:ascii="ITC Avant Garde" w:eastAsia="Calibri" w:hAnsi="ITC Avant Garde" w:cs="Arial"/>
          <w:b/>
        </w:rPr>
        <w:t>Se muestra una tabla con los comentarios de Telcel.</w:t>
      </w:r>
    </w:p>
    <w:p w14:paraId="194554E2" w14:textId="77777777" w:rsidR="0068402A" w:rsidRPr="008B1E77" w:rsidRDefault="0068402A" w:rsidP="00E11A34">
      <w:pPr>
        <w:spacing w:line="240" w:lineRule="auto"/>
        <w:ind w:left="720"/>
        <w:contextualSpacing/>
        <w:jc w:val="both"/>
        <w:rPr>
          <w:rFonts w:ascii="ITC Avant Garde" w:eastAsia="Calibri" w:hAnsi="ITC Avant Garde" w:cs="Arial"/>
        </w:rPr>
      </w:pPr>
    </w:p>
    <w:tbl>
      <w:tblPr>
        <w:tblStyle w:val="Tablaconcuadrcula"/>
        <w:tblW w:w="0" w:type="auto"/>
        <w:tblLayout w:type="fixed"/>
        <w:tblLook w:val="04A0" w:firstRow="1" w:lastRow="0" w:firstColumn="1" w:lastColumn="0" w:noHBand="0" w:noVBand="1"/>
      </w:tblPr>
      <w:tblGrid>
        <w:gridCol w:w="4248"/>
        <w:gridCol w:w="4580"/>
      </w:tblGrid>
      <w:tr w:rsidR="0068402A" w:rsidRPr="008B1E77" w14:paraId="643C5E23" w14:textId="77777777" w:rsidTr="003C4529">
        <w:tc>
          <w:tcPr>
            <w:tcW w:w="4248" w:type="dxa"/>
          </w:tcPr>
          <w:p w14:paraId="13D612E2"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Anexo B – FORMATO TARIFAS EN GENERAL</w:t>
            </w:r>
          </w:p>
          <w:p w14:paraId="169F2519"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noProof/>
                <w:lang w:eastAsia="es-MX"/>
              </w:rPr>
              <w:drawing>
                <wp:inline distT="0" distB="0" distL="0" distR="0" wp14:anchorId="226F6091" wp14:editId="25D84D67">
                  <wp:extent cx="2253082" cy="71439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75686" cy="721559"/>
                          </a:xfrm>
                          <a:prstGeom prst="rect">
                            <a:avLst/>
                          </a:prstGeom>
                        </pic:spPr>
                      </pic:pic>
                    </a:graphicData>
                  </a:graphic>
                </wp:inline>
              </w:drawing>
            </w:r>
          </w:p>
        </w:tc>
        <w:tc>
          <w:tcPr>
            <w:tcW w:w="4580" w:type="dxa"/>
          </w:tcPr>
          <w:p w14:paraId="725EDE03" w14:textId="77777777" w:rsidR="0068402A" w:rsidRPr="00DE6B25" w:rsidRDefault="0068402A" w:rsidP="00E11A34">
            <w:pPr>
              <w:ind w:left="38"/>
              <w:contextualSpacing/>
              <w:rPr>
                <w:rFonts w:ascii="ITC Avant Garde" w:eastAsia="Calibri" w:hAnsi="ITC Avant Garde" w:cs="Arial"/>
                <w:b/>
                <w:color w:val="auto"/>
              </w:rPr>
            </w:pPr>
            <w:r w:rsidRPr="00DE6B25">
              <w:rPr>
                <w:rFonts w:ascii="ITC Avant Garde" w:eastAsia="Calibri" w:hAnsi="ITC Avant Garde" w:cs="Arial"/>
                <w:b/>
              </w:rPr>
              <w:t>Telcel: Comentario 1</w:t>
            </w:r>
          </w:p>
          <w:p w14:paraId="3C780031"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(Tipo de Registro) </w:t>
            </w:r>
          </w:p>
          <w:p w14:paraId="62AC2F3E"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Existen otros registros que no se pueden agrupar como Tarifa, Promoción o Paquete adicional. En específico, se trata de Beneficios adicionales, matrices de descuento o beneficios en recargas que no son necesariamente una promoción o tarifa. Se sugiere incluir una opción adicional "Otros". </w:t>
            </w:r>
          </w:p>
          <w:p w14:paraId="029D3664" w14:textId="77777777" w:rsidR="0068402A" w:rsidRPr="00DE6B25" w:rsidRDefault="0068402A" w:rsidP="00E11A34">
            <w:pPr>
              <w:ind w:left="38"/>
              <w:contextualSpacing/>
              <w:rPr>
                <w:rFonts w:ascii="ITC Avant Garde" w:eastAsia="Calibri" w:hAnsi="ITC Avant Garde" w:cs="Arial"/>
                <w:color w:val="auto"/>
              </w:rPr>
            </w:pPr>
          </w:p>
        </w:tc>
      </w:tr>
      <w:tr w:rsidR="0068402A" w:rsidRPr="008B1E77" w14:paraId="5F224D8E" w14:textId="77777777" w:rsidTr="003C4529">
        <w:tc>
          <w:tcPr>
            <w:tcW w:w="4248" w:type="dxa"/>
          </w:tcPr>
          <w:p w14:paraId="7AF44D50"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Anexo B – FORMATO TARIFAS EN GENERAL</w:t>
            </w:r>
          </w:p>
          <w:p w14:paraId="0946FCCA"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noProof/>
                <w:lang w:eastAsia="es-MX"/>
              </w:rPr>
              <w:drawing>
                <wp:inline distT="0" distB="0" distL="0" distR="0" wp14:anchorId="761E4121" wp14:editId="01B59198">
                  <wp:extent cx="2457907" cy="23427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28282" cy="250515"/>
                          </a:xfrm>
                          <a:prstGeom prst="rect">
                            <a:avLst/>
                          </a:prstGeom>
                        </pic:spPr>
                      </pic:pic>
                    </a:graphicData>
                  </a:graphic>
                </wp:inline>
              </w:drawing>
            </w:r>
          </w:p>
        </w:tc>
        <w:tc>
          <w:tcPr>
            <w:tcW w:w="4580" w:type="dxa"/>
          </w:tcPr>
          <w:p w14:paraId="035C7547" w14:textId="77777777" w:rsidR="0068402A" w:rsidRPr="00DE6B25" w:rsidRDefault="0068402A" w:rsidP="00E11A34">
            <w:pPr>
              <w:ind w:left="38"/>
              <w:contextualSpacing/>
              <w:rPr>
                <w:rFonts w:ascii="ITC Avant Garde" w:eastAsia="Calibri" w:hAnsi="ITC Avant Garde" w:cs="Arial"/>
                <w:b/>
                <w:color w:val="auto"/>
              </w:rPr>
            </w:pPr>
            <w:r w:rsidRPr="00DE6B25">
              <w:rPr>
                <w:rFonts w:ascii="ITC Avant Garde" w:eastAsia="Calibri" w:hAnsi="ITC Avant Garde" w:cs="Arial"/>
                <w:b/>
              </w:rPr>
              <w:t>Telcel: Comentario 2</w:t>
            </w:r>
          </w:p>
          <w:p w14:paraId="0D0BD87F"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(Señalar Promoción) </w:t>
            </w:r>
          </w:p>
          <w:p w14:paraId="1A7D405A"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En muchas ocasiones, la promoción nace con posterioridad al plan o esquema de cobro. Adicionalmente, la promoción llega a aplicar a una diversidad de planes (pospago) o esquemas de cobro (prepago). El campo sólo permite la captura de un solo folio de registro. Esto es ineficiente y genera una carga importante para ese IFT al tener que revisar 40 veces o más la misma Propuesta Tarifaria en el plazo establecido. Por tal razón, se solicita abrir el campo a una caja de texto libre o permitir seleccionar más de un folio. </w:t>
            </w:r>
          </w:p>
          <w:p w14:paraId="521A89B9" w14:textId="77777777" w:rsidR="0068402A" w:rsidRPr="00DE6B25" w:rsidRDefault="0068402A" w:rsidP="00E11A34">
            <w:pPr>
              <w:ind w:left="38"/>
              <w:contextualSpacing/>
              <w:rPr>
                <w:rFonts w:ascii="ITC Avant Garde" w:eastAsia="Calibri" w:hAnsi="ITC Avant Garde" w:cs="Arial"/>
                <w:color w:val="auto"/>
              </w:rPr>
            </w:pPr>
          </w:p>
        </w:tc>
      </w:tr>
      <w:tr w:rsidR="0068402A" w:rsidRPr="008B1E77" w14:paraId="0E6FD295" w14:textId="77777777" w:rsidTr="003C4529">
        <w:tc>
          <w:tcPr>
            <w:tcW w:w="4248" w:type="dxa"/>
          </w:tcPr>
          <w:p w14:paraId="42062823"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Anexo B – FORMATO TARIFAS EN GENERAL</w:t>
            </w:r>
          </w:p>
          <w:p w14:paraId="013EA19B"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noProof/>
                <w:lang w:eastAsia="es-MX"/>
              </w:rPr>
              <w:drawing>
                <wp:inline distT="0" distB="0" distL="0" distR="0" wp14:anchorId="2D9F1869" wp14:editId="4B7843B8">
                  <wp:extent cx="2797791" cy="535665"/>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4917" cy="552346"/>
                          </a:xfrm>
                          <a:prstGeom prst="rect">
                            <a:avLst/>
                          </a:prstGeom>
                        </pic:spPr>
                      </pic:pic>
                    </a:graphicData>
                  </a:graphic>
                </wp:inline>
              </w:drawing>
            </w:r>
          </w:p>
        </w:tc>
        <w:tc>
          <w:tcPr>
            <w:tcW w:w="4580" w:type="dxa"/>
          </w:tcPr>
          <w:p w14:paraId="5ACA7772" w14:textId="77777777" w:rsidR="0068402A" w:rsidRPr="00DE6B25" w:rsidRDefault="0068402A" w:rsidP="00E11A34">
            <w:pPr>
              <w:ind w:left="38"/>
              <w:contextualSpacing/>
              <w:rPr>
                <w:rFonts w:ascii="ITC Avant Garde" w:eastAsia="Calibri" w:hAnsi="ITC Avant Garde" w:cs="Arial"/>
                <w:b/>
                <w:color w:val="auto"/>
              </w:rPr>
            </w:pPr>
            <w:r w:rsidRPr="00DE6B25">
              <w:rPr>
                <w:rFonts w:ascii="ITC Avant Garde" w:eastAsia="Calibri" w:hAnsi="ITC Avant Garde" w:cs="Arial"/>
                <w:b/>
              </w:rPr>
              <w:t xml:space="preserve">Telcel: Comentario 3 </w:t>
            </w:r>
          </w:p>
          <w:p w14:paraId="24553CD7"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(Vigencia) </w:t>
            </w:r>
          </w:p>
          <w:p w14:paraId="750BBCAC"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Se recomienda usar herramienta de calendario para poder elegir con facilidad la fecha o, en su caso, definir el formato de fecha que se va a utilizar. Por ejemplo: DD/MM/AAAA o MM/DD/AAAA o AAAA/MM/DD etc. </w:t>
            </w:r>
          </w:p>
          <w:p w14:paraId="5E521801" w14:textId="77777777" w:rsidR="0068402A" w:rsidRPr="00DE6B25" w:rsidRDefault="0068402A" w:rsidP="00E11A34">
            <w:pPr>
              <w:ind w:left="38"/>
              <w:contextualSpacing/>
              <w:rPr>
                <w:rFonts w:ascii="ITC Avant Garde" w:eastAsia="Calibri" w:hAnsi="ITC Avant Garde" w:cs="Arial"/>
                <w:color w:val="auto"/>
              </w:rPr>
            </w:pPr>
          </w:p>
        </w:tc>
      </w:tr>
      <w:tr w:rsidR="0068402A" w:rsidRPr="008B1E77" w14:paraId="3D3ECBF9" w14:textId="77777777" w:rsidTr="003C4529">
        <w:tc>
          <w:tcPr>
            <w:tcW w:w="4248" w:type="dxa"/>
          </w:tcPr>
          <w:p w14:paraId="72EE4709"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Anexo B – FORMATO TARIFAS EN GENERAL</w:t>
            </w:r>
          </w:p>
          <w:p w14:paraId="3A282B37"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noProof/>
                <w:lang w:eastAsia="es-MX"/>
              </w:rPr>
              <w:drawing>
                <wp:inline distT="0" distB="0" distL="0" distR="0" wp14:anchorId="5FCAD6F0" wp14:editId="03A4A103">
                  <wp:extent cx="2406701" cy="606847"/>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41669" cy="615664"/>
                          </a:xfrm>
                          <a:prstGeom prst="rect">
                            <a:avLst/>
                          </a:prstGeom>
                        </pic:spPr>
                      </pic:pic>
                    </a:graphicData>
                  </a:graphic>
                </wp:inline>
              </w:drawing>
            </w:r>
          </w:p>
        </w:tc>
        <w:tc>
          <w:tcPr>
            <w:tcW w:w="4580" w:type="dxa"/>
          </w:tcPr>
          <w:p w14:paraId="320EBC11" w14:textId="77777777" w:rsidR="0068402A" w:rsidRPr="00DE6B25" w:rsidRDefault="0068402A" w:rsidP="00E11A34">
            <w:pPr>
              <w:ind w:left="38"/>
              <w:contextualSpacing/>
              <w:rPr>
                <w:rFonts w:ascii="ITC Avant Garde" w:eastAsia="Calibri" w:hAnsi="ITC Avant Garde" w:cs="Arial"/>
                <w:b/>
                <w:color w:val="auto"/>
              </w:rPr>
            </w:pPr>
            <w:r w:rsidRPr="00DE6B25">
              <w:rPr>
                <w:rFonts w:ascii="ITC Avant Garde" w:eastAsia="Calibri" w:hAnsi="ITC Avant Garde" w:cs="Arial"/>
                <w:b/>
              </w:rPr>
              <w:t xml:space="preserve">Telcel: Comentario 4 </w:t>
            </w:r>
          </w:p>
          <w:p w14:paraId="7A519EE8"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(Esquema de Pago) </w:t>
            </w:r>
          </w:p>
          <w:p w14:paraId="284A161B"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En la página 30 del presente documento se incluye un "Formato Tarifas Otros Servicios", no obstante, no se observa en éste una Opción de "Otros" para poder llegar a dicho Formato. Es importante que se aclare para que el flujo sea más sencillo, claro e intuitivo. </w:t>
            </w:r>
          </w:p>
        </w:tc>
      </w:tr>
      <w:tr w:rsidR="0068402A" w:rsidRPr="008B1E77" w14:paraId="5F8F09A6" w14:textId="77777777" w:rsidTr="003C4529">
        <w:tc>
          <w:tcPr>
            <w:tcW w:w="4248" w:type="dxa"/>
          </w:tcPr>
          <w:p w14:paraId="2D23D1D8"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Anexo B – FORMATO TARIFAS TELEFONÍA MÓVIL PREPAGO</w:t>
            </w:r>
          </w:p>
          <w:p w14:paraId="523622C2"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noProof/>
                <w:lang w:eastAsia="es-MX"/>
              </w:rPr>
              <w:drawing>
                <wp:inline distT="0" distB="0" distL="0" distR="0" wp14:anchorId="5DC1B22D" wp14:editId="6ADD4A20">
                  <wp:extent cx="2611527" cy="69312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3692" cy="712283"/>
                          </a:xfrm>
                          <a:prstGeom prst="rect">
                            <a:avLst/>
                          </a:prstGeom>
                        </pic:spPr>
                      </pic:pic>
                    </a:graphicData>
                  </a:graphic>
                </wp:inline>
              </w:drawing>
            </w:r>
          </w:p>
        </w:tc>
        <w:tc>
          <w:tcPr>
            <w:tcW w:w="4580" w:type="dxa"/>
          </w:tcPr>
          <w:p w14:paraId="01E05DC6" w14:textId="77777777" w:rsidR="0068402A" w:rsidRPr="00DE6B25" w:rsidRDefault="0068402A" w:rsidP="00E11A34">
            <w:pPr>
              <w:ind w:left="38"/>
              <w:contextualSpacing/>
              <w:rPr>
                <w:rFonts w:ascii="ITC Avant Garde" w:eastAsia="Calibri" w:hAnsi="ITC Avant Garde" w:cs="Arial"/>
                <w:b/>
                <w:color w:val="auto"/>
              </w:rPr>
            </w:pPr>
            <w:r w:rsidRPr="00DE6B25">
              <w:rPr>
                <w:rFonts w:ascii="ITC Avant Garde" w:eastAsia="Calibri" w:hAnsi="ITC Avant Garde" w:cs="Arial"/>
                <w:b/>
              </w:rPr>
              <w:t xml:space="preserve">Telcel: Comentario 5 </w:t>
            </w:r>
          </w:p>
          <w:p w14:paraId="177A1A9F"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(Saldo promocional por recarga) </w:t>
            </w:r>
          </w:p>
          <w:p w14:paraId="425C0740"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En muchas ocasiones el saldo promocional no es en pesos, sino en unidades de servicio. Por ejemplo, 100 MB o 100 SMS o 1000 MB para uso de alguna(s) rede(s) social(es). En éste sentido, es importante no prever ésta opción como un valor numérico forzosamente, sino que se amplíe a unidades de servicio también. Es decir, dar opción a que se pueda capturar otro tipo de saldos promocionales. </w:t>
            </w:r>
          </w:p>
        </w:tc>
      </w:tr>
      <w:tr w:rsidR="0068402A" w:rsidRPr="008B1E77" w14:paraId="6D819C56" w14:textId="77777777" w:rsidTr="003C4529">
        <w:tc>
          <w:tcPr>
            <w:tcW w:w="4248" w:type="dxa"/>
          </w:tcPr>
          <w:p w14:paraId="0D72189F"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Anexo B – FORMATO TARIFAS TELEFONÍA MÓVIL PREPAGO</w:t>
            </w:r>
          </w:p>
          <w:p w14:paraId="6D275424"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noProof/>
                <w:lang w:eastAsia="es-MX"/>
              </w:rPr>
              <w:drawing>
                <wp:inline distT="0" distB="0" distL="0" distR="0" wp14:anchorId="4671AF67" wp14:editId="1262CCFA">
                  <wp:extent cx="2538375" cy="67371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20341" cy="695468"/>
                          </a:xfrm>
                          <a:prstGeom prst="rect">
                            <a:avLst/>
                          </a:prstGeom>
                        </pic:spPr>
                      </pic:pic>
                    </a:graphicData>
                  </a:graphic>
                </wp:inline>
              </w:drawing>
            </w:r>
          </w:p>
        </w:tc>
        <w:tc>
          <w:tcPr>
            <w:tcW w:w="4580" w:type="dxa"/>
          </w:tcPr>
          <w:p w14:paraId="18D3D4C1" w14:textId="77777777" w:rsidR="0068402A" w:rsidRPr="00DE6B25" w:rsidRDefault="0068402A" w:rsidP="00E11A34">
            <w:pPr>
              <w:ind w:left="38"/>
              <w:contextualSpacing/>
              <w:rPr>
                <w:rFonts w:ascii="ITC Avant Garde" w:eastAsia="Calibri" w:hAnsi="ITC Avant Garde" w:cs="Arial"/>
                <w:b/>
                <w:color w:val="auto"/>
              </w:rPr>
            </w:pPr>
            <w:r w:rsidRPr="00DE6B25">
              <w:rPr>
                <w:rFonts w:ascii="ITC Avant Garde" w:eastAsia="Calibri" w:hAnsi="ITC Avant Garde" w:cs="Arial"/>
                <w:b/>
              </w:rPr>
              <w:t xml:space="preserve">Telcel: Comentario 6 </w:t>
            </w:r>
          </w:p>
          <w:p w14:paraId="1195A457"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(Vigencia del saldo promocional) </w:t>
            </w:r>
          </w:p>
          <w:p w14:paraId="34CE683C"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Finalmente, respecto a la vigencia del saldo promocional, los saldos en unidades de servicio o pesos suelen tener una vigencia distinta. Es importante que se abra para definir la vigencia de cada tipo de saldo promocional. </w:t>
            </w:r>
          </w:p>
        </w:tc>
      </w:tr>
      <w:tr w:rsidR="0068402A" w:rsidRPr="008B1E77" w14:paraId="6C705FF9" w14:textId="77777777" w:rsidTr="003C4529">
        <w:tc>
          <w:tcPr>
            <w:tcW w:w="4248" w:type="dxa"/>
          </w:tcPr>
          <w:p w14:paraId="20578794"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Anexo B – FORMATO TARIFAS TELEFONÍA MÓVIL PREPAGO</w:t>
            </w:r>
          </w:p>
          <w:p w14:paraId="58F907D0"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noProof/>
                <w:lang w:eastAsia="es-MX"/>
              </w:rPr>
              <w:drawing>
                <wp:inline distT="0" distB="0" distL="0" distR="0" wp14:anchorId="735E3C07" wp14:editId="0131D501">
                  <wp:extent cx="2457907" cy="65235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35318" cy="672902"/>
                          </a:xfrm>
                          <a:prstGeom prst="rect">
                            <a:avLst/>
                          </a:prstGeom>
                        </pic:spPr>
                      </pic:pic>
                    </a:graphicData>
                  </a:graphic>
                </wp:inline>
              </w:drawing>
            </w:r>
          </w:p>
        </w:tc>
        <w:tc>
          <w:tcPr>
            <w:tcW w:w="4580" w:type="dxa"/>
          </w:tcPr>
          <w:p w14:paraId="64ADA89A" w14:textId="77777777" w:rsidR="0068402A" w:rsidRPr="00DE6B25" w:rsidRDefault="0068402A" w:rsidP="00E11A34">
            <w:pPr>
              <w:ind w:left="38"/>
              <w:contextualSpacing/>
              <w:rPr>
                <w:rFonts w:ascii="ITC Avant Garde" w:eastAsia="Calibri" w:hAnsi="ITC Avant Garde" w:cs="Arial"/>
                <w:b/>
                <w:color w:val="auto"/>
              </w:rPr>
            </w:pPr>
            <w:r w:rsidRPr="00DE6B25">
              <w:rPr>
                <w:rFonts w:ascii="ITC Avant Garde" w:eastAsia="Calibri" w:hAnsi="ITC Avant Garde" w:cs="Arial"/>
                <w:b/>
              </w:rPr>
              <w:t xml:space="preserve">Telcel: Comentario 7 </w:t>
            </w:r>
          </w:p>
          <w:p w14:paraId="752A0751"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(Saldo total recarga y promocional) </w:t>
            </w:r>
          </w:p>
          <w:p w14:paraId="6867936D"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Por lo que se refiere al "Saldo total", en tanto que el saldo promocional también puede ser en unidades de servicio, se sugiere ampliar para que muestre otros saldos promocionales y no solo la suma de pesos. </w:t>
            </w:r>
          </w:p>
          <w:p w14:paraId="688FB71A" w14:textId="77777777" w:rsidR="0068402A" w:rsidRPr="00DE6B25" w:rsidRDefault="0068402A" w:rsidP="00E11A34">
            <w:pPr>
              <w:ind w:left="38"/>
              <w:contextualSpacing/>
              <w:rPr>
                <w:rFonts w:ascii="ITC Avant Garde" w:eastAsia="Calibri" w:hAnsi="ITC Avant Garde" w:cs="Arial"/>
                <w:color w:val="auto"/>
              </w:rPr>
            </w:pPr>
          </w:p>
        </w:tc>
      </w:tr>
      <w:tr w:rsidR="0068402A" w:rsidRPr="008B1E77" w14:paraId="45CA48CC" w14:textId="77777777" w:rsidTr="003C4529">
        <w:tc>
          <w:tcPr>
            <w:tcW w:w="4248" w:type="dxa"/>
          </w:tcPr>
          <w:p w14:paraId="2E1EB324"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Anexo B – FORMATO TARIFAS TELEFONÍA MÓVIL PREPAGO</w:t>
            </w:r>
          </w:p>
          <w:p w14:paraId="6ACB4444"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noProof/>
                <w:lang w:eastAsia="es-MX"/>
              </w:rPr>
              <w:drawing>
                <wp:inline distT="0" distB="0" distL="0" distR="0" wp14:anchorId="6FC52F99" wp14:editId="7ABFEF2D">
                  <wp:extent cx="2156346" cy="35091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5479" b="-1"/>
                          <a:stretch/>
                        </pic:blipFill>
                        <pic:spPr bwMode="auto">
                          <a:xfrm>
                            <a:off x="0" y="0"/>
                            <a:ext cx="2215576" cy="360554"/>
                          </a:xfrm>
                          <a:prstGeom prst="rect">
                            <a:avLst/>
                          </a:prstGeom>
                          <a:ln>
                            <a:noFill/>
                          </a:ln>
                          <a:extLst>
                            <a:ext uri="{53640926-AAD7-44D8-BBD7-CCE9431645EC}">
                              <a14:shadowObscured xmlns:a14="http://schemas.microsoft.com/office/drawing/2010/main"/>
                            </a:ext>
                          </a:extLst>
                        </pic:spPr>
                      </pic:pic>
                    </a:graphicData>
                  </a:graphic>
                </wp:inline>
              </w:drawing>
            </w:r>
          </w:p>
        </w:tc>
        <w:tc>
          <w:tcPr>
            <w:tcW w:w="4580" w:type="dxa"/>
          </w:tcPr>
          <w:p w14:paraId="1306DCE4" w14:textId="77777777" w:rsidR="0068402A" w:rsidRPr="00DE6B25" w:rsidRDefault="0068402A" w:rsidP="00E11A34">
            <w:pPr>
              <w:ind w:left="38"/>
              <w:contextualSpacing/>
              <w:rPr>
                <w:rFonts w:ascii="ITC Avant Garde" w:eastAsia="Calibri" w:hAnsi="ITC Avant Garde" w:cs="Arial"/>
                <w:b/>
                <w:color w:val="auto"/>
              </w:rPr>
            </w:pPr>
            <w:r w:rsidRPr="00DE6B25">
              <w:rPr>
                <w:rFonts w:ascii="ITC Avant Garde" w:eastAsia="Calibri" w:hAnsi="ITC Avant Garde" w:cs="Arial"/>
                <w:b/>
              </w:rPr>
              <w:t xml:space="preserve">Telcel: Comentario 8 </w:t>
            </w:r>
          </w:p>
          <w:p w14:paraId="0954D7CB"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(Minutos incluidos) </w:t>
            </w:r>
          </w:p>
          <w:p w14:paraId="16E74CBB"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La mayoría de los esquemas de cobro de prepago no incluyen unidades de servicio. En el caso de Telcel, sólo un esquema de cobro incluye canastas de servicios dependiendo del monto de la recarga realizada (Amigo Sin Límite). En todos los demás casos, las recargas de saldo se abonan a su cuenta de Saldo Amigo y, en su caso, otorgan algún tipo de saldo promocional (en pesos o MB). Dichos saldos los usa el usuario para consumir servicios con base en las tarifas aplicables al esquema. Incluso, se cuenta con montos de recarga que otorgan unidades de “créditos” para su uso </w:t>
            </w:r>
          </w:p>
          <w:p w14:paraId="42776E70"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únicamente para la descarga de contenidos. </w:t>
            </w:r>
          </w:p>
          <w:p w14:paraId="7AD4839E"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Por lo anterior, el formato propuesto no es suficiente y permite capturar con claridad los distintos esquemas de cobro que se ofrecen comercialmente o puedan llegar a ofrecer en el futuro. </w:t>
            </w:r>
          </w:p>
        </w:tc>
      </w:tr>
      <w:tr w:rsidR="0068402A" w:rsidRPr="008B1E77" w14:paraId="6977969F" w14:textId="77777777" w:rsidTr="003C4529">
        <w:tc>
          <w:tcPr>
            <w:tcW w:w="4248" w:type="dxa"/>
          </w:tcPr>
          <w:p w14:paraId="7C579272"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Anexo B – FORMATO TARIFAS TELEFONÍA MÓVIL PREPAGO</w:t>
            </w:r>
          </w:p>
          <w:p w14:paraId="469A2589"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noProof/>
                <w:lang w:eastAsia="es-MX"/>
              </w:rPr>
              <w:drawing>
                <wp:inline distT="0" distB="0" distL="0" distR="0" wp14:anchorId="30477AA0" wp14:editId="4138078B">
                  <wp:extent cx="2560320" cy="791596"/>
                  <wp:effectExtent l="0" t="0" r="0"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92175" cy="801445"/>
                          </a:xfrm>
                          <a:prstGeom prst="rect">
                            <a:avLst/>
                          </a:prstGeom>
                        </pic:spPr>
                      </pic:pic>
                    </a:graphicData>
                  </a:graphic>
                </wp:inline>
              </w:drawing>
            </w:r>
          </w:p>
        </w:tc>
        <w:tc>
          <w:tcPr>
            <w:tcW w:w="4580" w:type="dxa"/>
          </w:tcPr>
          <w:p w14:paraId="229ED801" w14:textId="77777777" w:rsidR="0068402A" w:rsidRPr="00DE6B25" w:rsidRDefault="0068402A" w:rsidP="00E11A34">
            <w:pPr>
              <w:ind w:left="38"/>
              <w:contextualSpacing/>
              <w:rPr>
                <w:rFonts w:ascii="ITC Avant Garde" w:eastAsia="Calibri" w:hAnsi="ITC Avant Garde" w:cs="Arial"/>
                <w:b/>
                <w:color w:val="auto"/>
              </w:rPr>
            </w:pPr>
            <w:r w:rsidRPr="00DE6B25">
              <w:rPr>
                <w:rFonts w:ascii="ITC Avant Garde" w:eastAsia="Calibri" w:hAnsi="ITC Avant Garde" w:cs="Arial"/>
                <w:b/>
              </w:rPr>
              <w:t xml:space="preserve">Telcel: Comentario 9 </w:t>
            </w:r>
          </w:p>
          <w:p w14:paraId="42D17308"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(Costo por minuto adicional) </w:t>
            </w:r>
          </w:p>
          <w:p w14:paraId="7836DD7C"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Es importante definir si se trata del precio por minuto adicional "Nacional" únicamente; pues el precio suele variar para los destinos de Larga Distancia Internacional. </w:t>
            </w:r>
          </w:p>
          <w:p w14:paraId="6BDBC73E"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Por otro lado, algunos esquemas de cobro de prepago tienen tarifas dinámicas que van cambiando en virtud del monto de la recarga realizada o saldo acumulado dentro de un periodo de tiempo. Este campo no permite reflejar dichos cambios de tarifa y sus vigencias. </w:t>
            </w:r>
          </w:p>
        </w:tc>
      </w:tr>
      <w:tr w:rsidR="0068402A" w:rsidRPr="008B1E77" w14:paraId="1F6F7610" w14:textId="77777777" w:rsidTr="003C4529">
        <w:tc>
          <w:tcPr>
            <w:tcW w:w="4248" w:type="dxa"/>
          </w:tcPr>
          <w:p w14:paraId="2BDA50C4"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Anexo B – FORMATO TARIFAS TELEFONÍA MÓVIL PREPAGO</w:t>
            </w:r>
          </w:p>
          <w:p w14:paraId="71594478" w14:textId="77777777" w:rsidR="0068402A" w:rsidRPr="00DE6B25" w:rsidRDefault="0068402A" w:rsidP="00E11A34">
            <w:pPr>
              <w:ind w:left="38"/>
              <w:contextualSpacing/>
              <w:jc w:val="center"/>
              <w:rPr>
                <w:rFonts w:ascii="ITC Avant Garde" w:eastAsia="Calibri" w:hAnsi="ITC Avant Garde" w:cs="Arial"/>
                <w:color w:val="auto"/>
              </w:rPr>
            </w:pPr>
            <w:r w:rsidRPr="00DE6B25">
              <w:rPr>
                <w:rFonts w:ascii="ITC Avant Garde" w:eastAsia="Calibri" w:hAnsi="ITC Avant Garde" w:cs="Arial"/>
                <w:noProof/>
                <w:lang w:eastAsia="es-MX"/>
              </w:rPr>
              <w:drawing>
                <wp:inline distT="0" distB="0" distL="0" distR="0" wp14:anchorId="1D863AE9" wp14:editId="418EC733">
                  <wp:extent cx="2179930" cy="114604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15457" cy="1164725"/>
                          </a:xfrm>
                          <a:prstGeom prst="rect">
                            <a:avLst/>
                          </a:prstGeom>
                        </pic:spPr>
                      </pic:pic>
                    </a:graphicData>
                  </a:graphic>
                </wp:inline>
              </w:drawing>
            </w:r>
          </w:p>
        </w:tc>
        <w:tc>
          <w:tcPr>
            <w:tcW w:w="4580" w:type="dxa"/>
          </w:tcPr>
          <w:p w14:paraId="08A4A48F" w14:textId="77777777" w:rsidR="0068402A" w:rsidRPr="00DE6B25" w:rsidRDefault="0068402A" w:rsidP="00E11A34">
            <w:pPr>
              <w:ind w:left="38"/>
              <w:contextualSpacing/>
              <w:rPr>
                <w:rFonts w:ascii="ITC Avant Garde" w:eastAsia="Calibri" w:hAnsi="ITC Avant Garde" w:cs="Arial"/>
                <w:b/>
                <w:color w:val="auto"/>
              </w:rPr>
            </w:pPr>
            <w:r w:rsidRPr="00DE6B25">
              <w:rPr>
                <w:rFonts w:ascii="ITC Avant Garde" w:eastAsia="Calibri" w:hAnsi="ITC Avant Garde" w:cs="Arial"/>
                <w:b/>
              </w:rPr>
              <w:t xml:space="preserve">Telcel: Comentario 10 </w:t>
            </w:r>
          </w:p>
          <w:p w14:paraId="2F49CA42"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(México - Resto del mundo - México) </w:t>
            </w:r>
          </w:p>
          <w:p w14:paraId="3CE10451"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Estas tarifas varían dependiendo del destino de la llamada y desde dónde se inicie (dentro o fuera de México). Se sugiere no incluir estas opciones o, en su defecto, incluir una matriz diferente que permita dar más claridad, ya que ésta sección se entiende se refiere a las características sólo a los minutos incluidos (cuando aplicable), por el monto de la recarga realizada conforme a las características del Esquema de Cobro de prepago que se trate. </w:t>
            </w:r>
          </w:p>
        </w:tc>
      </w:tr>
      <w:tr w:rsidR="0068402A" w:rsidRPr="008B1E77" w14:paraId="1BF96ECE" w14:textId="77777777" w:rsidTr="003C4529">
        <w:tc>
          <w:tcPr>
            <w:tcW w:w="4248" w:type="dxa"/>
          </w:tcPr>
          <w:p w14:paraId="1211071A"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Anexo B – FORMATO TARIFAS TELEFONÍA MÓVIL PREPAGO</w:t>
            </w:r>
          </w:p>
          <w:p w14:paraId="324A2845"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noProof/>
                <w:lang w:eastAsia="es-MX"/>
              </w:rPr>
              <w:drawing>
                <wp:inline distT="0" distB="0" distL="0" distR="0" wp14:anchorId="1D7CBF1B" wp14:editId="55BC1E89">
                  <wp:extent cx="2415654" cy="640294"/>
                  <wp:effectExtent l="0" t="0" r="3810"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41193" cy="647063"/>
                          </a:xfrm>
                          <a:prstGeom prst="rect">
                            <a:avLst/>
                          </a:prstGeom>
                        </pic:spPr>
                      </pic:pic>
                    </a:graphicData>
                  </a:graphic>
                </wp:inline>
              </w:drawing>
            </w:r>
          </w:p>
        </w:tc>
        <w:tc>
          <w:tcPr>
            <w:tcW w:w="4580" w:type="dxa"/>
          </w:tcPr>
          <w:p w14:paraId="61F79EE7" w14:textId="77777777" w:rsidR="0068402A" w:rsidRPr="00DE6B25" w:rsidRDefault="0068402A" w:rsidP="00E11A34">
            <w:pPr>
              <w:ind w:left="38"/>
              <w:contextualSpacing/>
              <w:rPr>
                <w:rFonts w:ascii="ITC Avant Garde" w:eastAsia="Calibri" w:hAnsi="ITC Avant Garde" w:cs="Arial"/>
                <w:b/>
                <w:color w:val="auto"/>
              </w:rPr>
            </w:pPr>
            <w:r w:rsidRPr="00DE6B25">
              <w:rPr>
                <w:rFonts w:ascii="ITC Avant Garde" w:eastAsia="Calibri" w:hAnsi="ITC Avant Garde" w:cs="Arial"/>
                <w:b/>
              </w:rPr>
              <w:t xml:space="preserve">Telcel: Comentario 11 </w:t>
            </w:r>
          </w:p>
          <w:p w14:paraId="7397FAD4"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(Por Segundo) </w:t>
            </w:r>
          </w:p>
          <w:p w14:paraId="287E7AF9"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Aplican mismas observaciones que los Comentarios 8, 9 y 10. </w:t>
            </w:r>
          </w:p>
          <w:p w14:paraId="174061ED" w14:textId="77777777" w:rsidR="0068402A" w:rsidRPr="00DE6B25" w:rsidRDefault="0068402A" w:rsidP="00E11A34">
            <w:pPr>
              <w:ind w:left="38"/>
              <w:contextualSpacing/>
              <w:rPr>
                <w:rFonts w:ascii="ITC Avant Garde" w:eastAsia="Calibri" w:hAnsi="ITC Avant Garde" w:cs="Arial"/>
                <w:color w:val="auto"/>
              </w:rPr>
            </w:pPr>
          </w:p>
        </w:tc>
      </w:tr>
      <w:tr w:rsidR="0068402A" w:rsidRPr="008B1E77" w14:paraId="612BF741" w14:textId="77777777" w:rsidTr="003C4529">
        <w:tc>
          <w:tcPr>
            <w:tcW w:w="4248" w:type="dxa"/>
          </w:tcPr>
          <w:p w14:paraId="4B1CA708"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Anexo B – FORMATO TARIFAS TELEFONÍA MÓVIL PREPAGO</w:t>
            </w:r>
          </w:p>
          <w:p w14:paraId="2540C1B6"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noProof/>
                <w:lang w:eastAsia="es-MX"/>
              </w:rPr>
              <w:drawing>
                <wp:inline distT="0" distB="0" distL="0" distR="0" wp14:anchorId="2CEC62A9" wp14:editId="0391AEA9">
                  <wp:extent cx="2451886" cy="656647"/>
                  <wp:effectExtent l="0" t="0" r="571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2678"/>
                          <a:stretch/>
                        </pic:blipFill>
                        <pic:spPr bwMode="auto">
                          <a:xfrm>
                            <a:off x="0" y="0"/>
                            <a:ext cx="2473941" cy="662554"/>
                          </a:xfrm>
                          <a:prstGeom prst="rect">
                            <a:avLst/>
                          </a:prstGeom>
                          <a:ln>
                            <a:noFill/>
                          </a:ln>
                          <a:extLst>
                            <a:ext uri="{53640926-AAD7-44D8-BBD7-CCE9431645EC}">
                              <a14:shadowObscured xmlns:a14="http://schemas.microsoft.com/office/drawing/2010/main"/>
                            </a:ext>
                          </a:extLst>
                        </pic:spPr>
                      </pic:pic>
                    </a:graphicData>
                  </a:graphic>
                </wp:inline>
              </w:drawing>
            </w:r>
          </w:p>
        </w:tc>
        <w:tc>
          <w:tcPr>
            <w:tcW w:w="4580" w:type="dxa"/>
          </w:tcPr>
          <w:p w14:paraId="40543ADC" w14:textId="77777777" w:rsidR="0068402A" w:rsidRPr="00DE6B25" w:rsidRDefault="0068402A" w:rsidP="00E11A34">
            <w:pPr>
              <w:ind w:left="38"/>
              <w:contextualSpacing/>
              <w:rPr>
                <w:rFonts w:ascii="ITC Avant Garde" w:eastAsia="Calibri" w:hAnsi="ITC Avant Garde" w:cs="Arial"/>
                <w:b/>
                <w:color w:val="auto"/>
              </w:rPr>
            </w:pPr>
            <w:r w:rsidRPr="00DE6B25">
              <w:rPr>
                <w:rFonts w:ascii="ITC Avant Garde" w:eastAsia="Calibri" w:hAnsi="ITC Avant Garde" w:cs="Arial"/>
                <w:b/>
              </w:rPr>
              <w:t xml:space="preserve">Telcel: Comentario 12 </w:t>
            </w:r>
          </w:p>
          <w:p w14:paraId="7A62D84B"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(Por Mensaje de Texto) </w:t>
            </w:r>
          </w:p>
          <w:p w14:paraId="3D10B54D"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Aplican mismas observaciones que los Comentarios 8, 9 y 10. </w:t>
            </w:r>
          </w:p>
          <w:p w14:paraId="45080EC8" w14:textId="77777777" w:rsidR="0068402A" w:rsidRPr="00DE6B25" w:rsidRDefault="0068402A" w:rsidP="00E11A34">
            <w:pPr>
              <w:ind w:left="38"/>
              <w:contextualSpacing/>
              <w:rPr>
                <w:rFonts w:ascii="ITC Avant Garde" w:eastAsia="Calibri" w:hAnsi="ITC Avant Garde" w:cs="Arial"/>
                <w:color w:val="auto"/>
              </w:rPr>
            </w:pPr>
          </w:p>
        </w:tc>
      </w:tr>
      <w:tr w:rsidR="0068402A" w:rsidRPr="008B1E77" w14:paraId="0A89EA2D" w14:textId="77777777" w:rsidTr="003C4529">
        <w:tc>
          <w:tcPr>
            <w:tcW w:w="4248" w:type="dxa"/>
          </w:tcPr>
          <w:p w14:paraId="6EB96854"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Anexo B – FORMATO TARIFAS TELEFONÍA MÓVIL PREPAGO</w:t>
            </w:r>
          </w:p>
          <w:p w14:paraId="59E4580C"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noProof/>
                <w:lang w:eastAsia="es-MX"/>
              </w:rPr>
              <w:drawing>
                <wp:inline distT="0" distB="0" distL="0" distR="0" wp14:anchorId="06E644E4" wp14:editId="4AED9AD8">
                  <wp:extent cx="1770279" cy="468173"/>
                  <wp:effectExtent l="0" t="0" r="1905" b="825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86885" cy="472565"/>
                          </a:xfrm>
                          <a:prstGeom prst="rect">
                            <a:avLst/>
                          </a:prstGeom>
                        </pic:spPr>
                      </pic:pic>
                    </a:graphicData>
                  </a:graphic>
                </wp:inline>
              </w:drawing>
            </w:r>
          </w:p>
        </w:tc>
        <w:tc>
          <w:tcPr>
            <w:tcW w:w="4580" w:type="dxa"/>
          </w:tcPr>
          <w:p w14:paraId="2812B62D" w14:textId="77777777" w:rsidR="0068402A" w:rsidRPr="00DE6B25" w:rsidRDefault="0068402A" w:rsidP="00E11A34">
            <w:pPr>
              <w:ind w:left="38"/>
              <w:contextualSpacing/>
              <w:rPr>
                <w:rFonts w:ascii="ITC Avant Garde" w:eastAsia="Calibri" w:hAnsi="ITC Avant Garde" w:cs="Arial"/>
                <w:b/>
                <w:color w:val="auto"/>
              </w:rPr>
            </w:pPr>
            <w:r w:rsidRPr="00DE6B25">
              <w:rPr>
                <w:rFonts w:ascii="ITC Avant Garde" w:eastAsia="Calibri" w:hAnsi="ITC Avant Garde" w:cs="Arial"/>
                <w:b/>
              </w:rPr>
              <w:t xml:space="preserve">Telcel: Comentario 13 </w:t>
            </w:r>
          </w:p>
          <w:p w14:paraId="70E3B2D0"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(Por Megabyte / Kilobyte) </w:t>
            </w:r>
          </w:p>
          <w:p w14:paraId="6A4FC6ED"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Considerando los esquemas de cobro que sí incluyen canastas de servicios por el monto de la recarga realizada, se sugiere incluir un apartado para los Megabytes incluidos y para la tarifa aplicable al Megabyte o Kilobyte consumido bajo demanda (a granel), cuando los incluidos han sido consumidos en su </w:t>
            </w:r>
          </w:p>
          <w:p w14:paraId="118F6B8F"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totalidad. </w:t>
            </w:r>
          </w:p>
          <w:p w14:paraId="461E1149"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Lo mismo para indicar la cantidad de MB incluidos para el uso de redes sociales, mensajería instantánea y/o alguna otra aplicación OTT que se agregue a la oferta comercial de prepago en el futuro. </w:t>
            </w:r>
          </w:p>
        </w:tc>
      </w:tr>
      <w:tr w:rsidR="0068402A" w:rsidRPr="008B1E77" w14:paraId="0286A143" w14:textId="77777777" w:rsidTr="003C4529">
        <w:tc>
          <w:tcPr>
            <w:tcW w:w="4248" w:type="dxa"/>
          </w:tcPr>
          <w:p w14:paraId="67E96CDA"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Anexo B – FORMATO TARIFAS TELEFONÍA MÓVIL PREPAGO</w:t>
            </w:r>
          </w:p>
          <w:p w14:paraId="0101E35B"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noProof/>
                <w:lang w:eastAsia="es-MX"/>
              </w:rPr>
              <w:drawing>
                <wp:inline distT="0" distB="0" distL="0" distR="0" wp14:anchorId="185A3D44" wp14:editId="58ED29A7">
                  <wp:extent cx="2231409" cy="550415"/>
                  <wp:effectExtent l="0" t="0" r="0" b="254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68891" cy="559660"/>
                          </a:xfrm>
                          <a:prstGeom prst="rect">
                            <a:avLst/>
                          </a:prstGeom>
                        </pic:spPr>
                      </pic:pic>
                    </a:graphicData>
                  </a:graphic>
                </wp:inline>
              </w:drawing>
            </w:r>
          </w:p>
        </w:tc>
        <w:tc>
          <w:tcPr>
            <w:tcW w:w="4580" w:type="dxa"/>
          </w:tcPr>
          <w:p w14:paraId="407BCCB6" w14:textId="77777777" w:rsidR="0068402A" w:rsidRPr="00DE6B25" w:rsidRDefault="0068402A" w:rsidP="00E11A34">
            <w:pPr>
              <w:ind w:left="38"/>
              <w:contextualSpacing/>
              <w:rPr>
                <w:rFonts w:ascii="ITC Avant Garde" w:eastAsia="Calibri" w:hAnsi="ITC Avant Garde" w:cs="Arial"/>
                <w:b/>
                <w:color w:val="auto"/>
              </w:rPr>
            </w:pPr>
            <w:r w:rsidRPr="00DE6B25">
              <w:rPr>
                <w:rFonts w:ascii="ITC Avant Garde" w:eastAsia="Calibri" w:hAnsi="ITC Avant Garde" w:cs="Arial"/>
                <w:b/>
              </w:rPr>
              <w:t xml:space="preserve">Telcel: Comentario 14 </w:t>
            </w:r>
          </w:p>
          <w:p w14:paraId="686933DD"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(Consideraciones del uso de los servicios) </w:t>
            </w:r>
          </w:p>
          <w:p w14:paraId="26F7911C"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Confirmar que se refiere a todas las políticas aplicables y no sólo a la de uso justo. Por ejemplo, de uso de redes sociales, antifraude, uso de servicios sin frontera etc. </w:t>
            </w:r>
          </w:p>
        </w:tc>
      </w:tr>
      <w:tr w:rsidR="0068402A" w:rsidRPr="008B1E77" w14:paraId="72CCCDF4" w14:textId="77777777" w:rsidTr="003C4529">
        <w:tc>
          <w:tcPr>
            <w:tcW w:w="4248" w:type="dxa"/>
          </w:tcPr>
          <w:p w14:paraId="01E542C3"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Anexo B – FORMATO TARIFAS TELEFONÍA MÓVIL PREPAGO</w:t>
            </w:r>
          </w:p>
          <w:p w14:paraId="533EE7E4"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noProof/>
                <w:lang w:eastAsia="es-MX"/>
              </w:rPr>
              <w:drawing>
                <wp:inline distT="0" distB="0" distL="0" distR="0" wp14:anchorId="1D63BE3E" wp14:editId="16860A72">
                  <wp:extent cx="2279176" cy="577745"/>
                  <wp:effectExtent l="0" t="0" r="698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11396" cy="585912"/>
                          </a:xfrm>
                          <a:prstGeom prst="rect">
                            <a:avLst/>
                          </a:prstGeom>
                        </pic:spPr>
                      </pic:pic>
                    </a:graphicData>
                  </a:graphic>
                </wp:inline>
              </w:drawing>
            </w:r>
          </w:p>
        </w:tc>
        <w:tc>
          <w:tcPr>
            <w:tcW w:w="4580" w:type="dxa"/>
          </w:tcPr>
          <w:p w14:paraId="2F52F762" w14:textId="77777777" w:rsidR="0068402A" w:rsidRPr="00DE6B25" w:rsidRDefault="0068402A" w:rsidP="00E11A34">
            <w:pPr>
              <w:ind w:left="38"/>
              <w:contextualSpacing/>
              <w:rPr>
                <w:rFonts w:ascii="ITC Avant Garde" w:eastAsia="Calibri" w:hAnsi="ITC Avant Garde" w:cs="Arial"/>
                <w:b/>
                <w:color w:val="auto"/>
              </w:rPr>
            </w:pPr>
            <w:r w:rsidRPr="00DE6B25">
              <w:rPr>
                <w:rFonts w:ascii="ITC Avant Garde" w:eastAsia="Calibri" w:hAnsi="ITC Avant Garde" w:cs="Arial"/>
                <w:b/>
              </w:rPr>
              <w:t xml:space="preserve">Telcel: Comentario 15 </w:t>
            </w:r>
          </w:p>
          <w:p w14:paraId="1CE92978"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(Descripción de la Tarifa/Promoción) </w:t>
            </w:r>
          </w:p>
          <w:p w14:paraId="37E8A348"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Este es un concepto que probablemente deba ir al inicio de la sección, sólo por claridad. Es más correcto iniciar por la descripción que por las consideraciones especiales de un servicio que el usuario aún no sabe qué es. </w:t>
            </w:r>
          </w:p>
        </w:tc>
      </w:tr>
      <w:tr w:rsidR="0068402A" w:rsidRPr="008B1E77" w14:paraId="26240046" w14:textId="77777777" w:rsidTr="003C4529">
        <w:tc>
          <w:tcPr>
            <w:tcW w:w="4248" w:type="dxa"/>
          </w:tcPr>
          <w:p w14:paraId="360610D0"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Anexo B – FORMATO TARIFAS TELEFONÍA MÓVIL PREPAGO</w:t>
            </w:r>
          </w:p>
          <w:p w14:paraId="21BFC91E"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noProof/>
                <w:lang w:eastAsia="es-MX"/>
              </w:rPr>
              <w:drawing>
                <wp:inline distT="0" distB="0" distL="0" distR="0" wp14:anchorId="2F4B7A8D" wp14:editId="7DA94378">
                  <wp:extent cx="2408830" cy="565454"/>
                  <wp:effectExtent l="0" t="0" r="0"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45174" cy="573986"/>
                          </a:xfrm>
                          <a:prstGeom prst="rect">
                            <a:avLst/>
                          </a:prstGeom>
                        </pic:spPr>
                      </pic:pic>
                    </a:graphicData>
                  </a:graphic>
                </wp:inline>
              </w:drawing>
            </w:r>
          </w:p>
        </w:tc>
        <w:tc>
          <w:tcPr>
            <w:tcW w:w="4580" w:type="dxa"/>
          </w:tcPr>
          <w:p w14:paraId="5593374C" w14:textId="77777777" w:rsidR="0068402A" w:rsidRPr="00DE6B25" w:rsidRDefault="0068402A" w:rsidP="00E11A34">
            <w:pPr>
              <w:ind w:left="38"/>
              <w:contextualSpacing/>
              <w:rPr>
                <w:rFonts w:ascii="ITC Avant Garde" w:eastAsia="Calibri" w:hAnsi="ITC Avant Garde" w:cs="Arial"/>
                <w:b/>
                <w:color w:val="auto"/>
              </w:rPr>
            </w:pPr>
            <w:r w:rsidRPr="00DE6B25">
              <w:rPr>
                <w:rFonts w:ascii="ITC Avant Garde" w:eastAsia="Calibri" w:hAnsi="ITC Avant Garde" w:cs="Arial"/>
                <w:b/>
              </w:rPr>
              <w:t xml:space="preserve">Telcel: Comentario 16 </w:t>
            </w:r>
          </w:p>
          <w:p w14:paraId="0BBD4FAE"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(Penalidades) </w:t>
            </w:r>
          </w:p>
          <w:p w14:paraId="78A67D5B"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En el caso de prepago los esquemas de cobro no manejan penalidades, ya que no están sujetos a la firma de un contrato prestación de servicios; por lo que se siguiere cambiar el término "Penalidades" por "Restricciones". </w:t>
            </w:r>
          </w:p>
        </w:tc>
      </w:tr>
      <w:tr w:rsidR="0068402A" w:rsidRPr="008B1E77" w14:paraId="3BD23EE0" w14:textId="77777777" w:rsidTr="003C4529">
        <w:tc>
          <w:tcPr>
            <w:tcW w:w="4248" w:type="dxa"/>
          </w:tcPr>
          <w:p w14:paraId="4E2B4CC7"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Anexo B – FORMATO TARIFAS TELEFONÍA MÓVIL PREPAGO</w:t>
            </w:r>
          </w:p>
          <w:p w14:paraId="6E2D55D7"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noProof/>
                <w:lang w:eastAsia="es-MX"/>
              </w:rPr>
              <w:drawing>
                <wp:inline distT="0" distB="0" distL="0" distR="0" wp14:anchorId="618E4109" wp14:editId="2961EC95">
                  <wp:extent cx="2326943" cy="392281"/>
                  <wp:effectExtent l="0" t="0" r="0" b="825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92755" cy="403376"/>
                          </a:xfrm>
                          <a:prstGeom prst="rect">
                            <a:avLst/>
                          </a:prstGeom>
                        </pic:spPr>
                      </pic:pic>
                    </a:graphicData>
                  </a:graphic>
                </wp:inline>
              </w:drawing>
            </w:r>
          </w:p>
        </w:tc>
        <w:tc>
          <w:tcPr>
            <w:tcW w:w="4580" w:type="dxa"/>
          </w:tcPr>
          <w:p w14:paraId="5C431A5B" w14:textId="77777777" w:rsidR="0068402A" w:rsidRPr="00DE6B25" w:rsidRDefault="0068402A" w:rsidP="00E11A34">
            <w:pPr>
              <w:ind w:left="38"/>
              <w:contextualSpacing/>
              <w:rPr>
                <w:rFonts w:ascii="ITC Avant Garde" w:eastAsia="Calibri" w:hAnsi="ITC Avant Garde" w:cs="Arial"/>
                <w:b/>
                <w:color w:val="auto"/>
              </w:rPr>
            </w:pPr>
            <w:r w:rsidRPr="00DE6B25">
              <w:rPr>
                <w:rFonts w:ascii="ITC Avant Garde" w:eastAsia="Calibri" w:hAnsi="ITC Avant Garde" w:cs="Arial"/>
                <w:b/>
              </w:rPr>
              <w:t xml:space="preserve">Telcel: Comentario 17 </w:t>
            </w:r>
          </w:p>
          <w:p w14:paraId="1556FBA3"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(Documentación relacionada con las medidas u obligaciones específicas impuestas) </w:t>
            </w:r>
          </w:p>
          <w:p w14:paraId="4500693E"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Con la finalidad alcanzar los objetivos de los Lineamientos y generar una verdadera eficiencia en el procedimiento, se sugiere no dejar éste campo abierto a la carga de un documento y prever una opción a elegir del formato aplicable a la medida u obligación específica. Por ejemplo, seleccionar "Anexo 2 Replicabilidad" y mostrar el formato para que se capture la información correspondiente. Incluso, se pre-llene con la información de folios que al inicio se señala les aplicará la Propuesta Tarifaria. </w:t>
            </w:r>
          </w:p>
        </w:tc>
      </w:tr>
      <w:tr w:rsidR="0068402A" w:rsidRPr="008B1E77" w14:paraId="6CB8B437" w14:textId="77777777" w:rsidTr="003C4529">
        <w:tc>
          <w:tcPr>
            <w:tcW w:w="4248" w:type="dxa"/>
          </w:tcPr>
          <w:p w14:paraId="0BC2D891"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Anexo B – FORMATO TARIFAS TELEFONÍA MÓVIL POSPAGO </w:t>
            </w:r>
          </w:p>
          <w:p w14:paraId="4CFAE733"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noProof/>
                <w:lang w:eastAsia="es-MX"/>
              </w:rPr>
              <w:drawing>
                <wp:inline distT="0" distB="0" distL="0" distR="0" wp14:anchorId="2CBDE2B4" wp14:editId="0BAECD50">
                  <wp:extent cx="2591826" cy="760645"/>
                  <wp:effectExtent l="0" t="0" r="0" b="190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14819" cy="767393"/>
                          </a:xfrm>
                          <a:prstGeom prst="rect">
                            <a:avLst/>
                          </a:prstGeom>
                        </pic:spPr>
                      </pic:pic>
                    </a:graphicData>
                  </a:graphic>
                </wp:inline>
              </w:drawing>
            </w:r>
          </w:p>
          <w:p w14:paraId="50847607"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 </w:t>
            </w:r>
          </w:p>
        </w:tc>
        <w:tc>
          <w:tcPr>
            <w:tcW w:w="4580" w:type="dxa"/>
          </w:tcPr>
          <w:p w14:paraId="04B0D6F8" w14:textId="77777777" w:rsidR="0068402A" w:rsidRPr="00DE6B25" w:rsidRDefault="0068402A" w:rsidP="00E11A34">
            <w:pPr>
              <w:ind w:left="38"/>
              <w:contextualSpacing/>
              <w:rPr>
                <w:rFonts w:ascii="ITC Avant Garde" w:eastAsia="Calibri" w:hAnsi="ITC Avant Garde" w:cs="Arial"/>
                <w:b/>
                <w:color w:val="auto"/>
              </w:rPr>
            </w:pPr>
            <w:r w:rsidRPr="00DE6B25">
              <w:rPr>
                <w:rFonts w:ascii="ITC Avant Garde" w:eastAsia="Calibri" w:hAnsi="ITC Avant Garde" w:cs="Arial"/>
                <w:b/>
              </w:rPr>
              <w:t xml:space="preserve">Telcel: Comentario 18 </w:t>
            </w:r>
          </w:p>
          <w:p w14:paraId="0F339534"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(En caso de seleccionar plan pospago controlado se habilitan lo siguientes campos) </w:t>
            </w:r>
          </w:p>
          <w:p w14:paraId="48EFACB4"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En el caso de los planes tarifarios en la modalidad de consumo controlado, las recargas que el usuario debe hacer para seguir haciendo uso de los servicios agotados dentro del ciclo de facturación corriente, sólo es dinero depositado en una cuenta de saldo para que éste sea usado con base en las tarifas por minuto, SMS, MB, etc. adicional aplicables al plan tarifario. </w:t>
            </w:r>
          </w:p>
          <w:p w14:paraId="2DC153CD"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Resulta en exceso requerir el registro del mismo plan para cada uno de los montos disponibles de recarga de saldo, en el entendido que no generan ningún cambio o diferencia a la oferta comercial en virtud de la recarga. </w:t>
            </w:r>
          </w:p>
        </w:tc>
      </w:tr>
      <w:tr w:rsidR="0068402A" w:rsidRPr="008B1E77" w14:paraId="42BCC54B" w14:textId="77777777" w:rsidTr="003C4529">
        <w:tc>
          <w:tcPr>
            <w:tcW w:w="4248" w:type="dxa"/>
          </w:tcPr>
          <w:p w14:paraId="04E68C88"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Anexo B – FORMATO TARIFAS TELEFONÍA MÓVIL POSPAGO </w:t>
            </w:r>
          </w:p>
          <w:p w14:paraId="1BA9FC46"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noProof/>
                <w:lang w:eastAsia="es-MX"/>
              </w:rPr>
              <w:drawing>
                <wp:inline distT="0" distB="0" distL="0" distR="0" wp14:anchorId="4C073933" wp14:editId="4C2A29C6">
                  <wp:extent cx="2176818" cy="358880"/>
                  <wp:effectExtent l="0" t="0" r="0" b="317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209066" cy="364197"/>
                          </a:xfrm>
                          <a:prstGeom prst="rect">
                            <a:avLst/>
                          </a:prstGeom>
                        </pic:spPr>
                      </pic:pic>
                    </a:graphicData>
                  </a:graphic>
                </wp:inline>
              </w:drawing>
            </w:r>
          </w:p>
        </w:tc>
        <w:tc>
          <w:tcPr>
            <w:tcW w:w="4580" w:type="dxa"/>
          </w:tcPr>
          <w:p w14:paraId="633FCC1D" w14:textId="77777777" w:rsidR="0068402A" w:rsidRPr="00DE6B25" w:rsidRDefault="0068402A" w:rsidP="00E11A34">
            <w:pPr>
              <w:ind w:left="38"/>
              <w:contextualSpacing/>
              <w:rPr>
                <w:rFonts w:ascii="ITC Avant Garde" w:eastAsia="Calibri" w:hAnsi="ITC Avant Garde" w:cs="Arial"/>
                <w:b/>
                <w:color w:val="auto"/>
              </w:rPr>
            </w:pPr>
            <w:r w:rsidRPr="00DE6B25">
              <w:rPr>
                <w:rFonts w:ascii="ITC Avant Garde" w:eastAsia="Calibri" w:hAnsi="ITC Avant Garde" w:cs="Arial"/>
                <w:b/>
              </w:rPr>
              <w:t xml:space="preserve">Telcel: Comentario 19 </w:t>
            </w:r>
          </w:p>
          <w:p w14:paraId="218667B4"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(Líneas incluidas) </w:t>
            </w:r>
          </w:p>
          <w:p w14:paraId="3C451ED6"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En el caso de los servicios móviles, éste es un concepto que no aplica. Aun y cuando, en ocasiones se determina un mínimo de líneas a contratar para obtener una mejor tarifa, eso no significa que el plan las incluya. Únicamente corresponde a un requisito de contratación para obtener una mejor tarifa. Se sugiere eliminar o modificar el concepto a efecto de no generar confusión en los usuarios que consulten el Buscador de Tarifas y de que el Proveedor esté obligado a otorgar condiciones comerciales que no son aplicables. </w:t>
            </w:r>
          </w:p>
        </w:tc>
      </w:tr>
      <w:tr w:rsidR="0068402A" w:rsidRPr="008B1E77" w14:paraId="5FAA7677" w14:textId="77777777" w:rsidTr="003C4529">
        <w:tc>
          <w:tcPr>
            <w:tcW w:w="4248" w:type="dxa"/>
          </w:tcPr>
          <w:p w14:paraId="5EE9A802"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Anexo B – FORMATO TARIFAS TELEFONÍA MÓVIL POSPAGO </w:t>
            </w:r>
          </w:p>
          <w:p w14:paraId="44DF45CB" w14:textId="77777777" w:rsidR="0068402A" w:rsidRPr="00DE6B25" w:rsidRDefault="0068402A" w:rsidP="00E11A34">
            <w:pPr>
              <w:autoSpaceDE w:val="0"/>
              <w:autoSpaceDN w:val="0"/>
              <w:adjustRightInd w:val="0"/>
              <w:spacing w:before="120" w:after="120"/>
              <w:rPr>
                <w:rFonts w:ascii="Candara" w:eastAsia="Calibri" w:hAnsi="Candara" w:cs="Arial"/>
                <w:color w:val="auto"/>
              </w:rPr>
            </w:pPr>
            <w:r w:rsidRPr="00DE6B25">
              <w:rPr>
                <w:rFonts w:ascii="Candara" w:eastAsia="Calibri" w:hAnsi="Candara" w:cs="Arial"/>
                <w:noProof/>
                <w:lang w:eastAsia="es-MX"/>
              </w:rPr>
              <w:drawing>
                <wp:inline distT="0" distB="0" distL="0" distR="0" wp14:anchorId="08917F61" wp14:editId="50D055AC">
                  <wp:extent cx="2287440" cy="309113"/>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347048" cy="317168"/>
                          </a:xfrm>
                          <a:prstGeom prst="rect">
                            <a:avLst/>
                          </a:prstGeom>
                        </pic:spPr>
                      </pic:pic>
                    </a:graphicData>
                  </a:graphic>
                </wp:inline>
              </w:drawing>
            </w:r>
          </w:p>
        </w:tc>
        <w:tc>
          <w:tcPr>
            <w:tcW w:w="4580" w:type="dxa"/>
          </w:tcPr>
          <w:p w14:paraId="44855A42" w14:textId="77777777" w:rsidR="0068402A" w:rsidRPr="00DE6B25" w:rsidRDefault="0068402A" w:rsidP="00E11A34">
            <w:pPr>
              <w:ind w:left="38"/>
              <w:contextualSpacing/>
              <w:rPr>
                <w:rFonts w:ascii="ITC Avant Garde" w:eastAsia="Calibri" w:hAnsi="ITC Avant Garde" w:cs="Arial"/>
                <w:b/>
                <w:color w:val="auto"/>
              </w:rPr>
            </w:pPr>
            <w:r w:rsidRPr="00DE6B25">
              <w:rPr>
                <w:rFonts w:ascii="ITC Avant Garde" w:eastAsia="Calibri" w:hAnsi="ITC Avant Garde" w:cs="Arial"/>
                <w:b/>
              </w:rPr>
              <w:t xml:space="preserve">Telcel: Comentario 20 </w:t>
            </w:r>
          </w:p>
          <w:p w14:paraId="4AE463D4"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(Costo por línea adicional) </w:t>
            </w:r>
          </w:p>
          <w:p w14:paraId="36D68B4A"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Éste es un concepto que no aplica para los servicios móviles, pues no es posible subir a más líneas a un mismo plan o servicio contratado. Cada línea es un contrato nuevo. En el caso de cuentas corporativas o empresariales, si bien una tarifa puede requerir como requisito de contratación un volumen mínimo, las líneas adicionales no tiene un costo diferente o adicional, sencillamente se le otorga la tarifa del plan o servicio contratado. Se sugiere eliminar a efecto de no generar confusiones en los usuarios que consultan el Buscador de Tarifas y de que no re muestren condiciones comerciales distintas a las ofrecidas y/o que puedan generar una desventaja competitiva para el AEP por la forma en que se muestra en el Buscador de Tarifas de ese IFT.</w:t>
            </w:r>
          </w:p>
        </w:tc>
      </w:tr>
      <w:tr w:rsidR="0068402A" w:rsidRPr="008B1E77" w14:paraId="2C6839BD" w14:textId="77777777" w:rsidTr="003C4529">
        <w:tc>
          <w:tcPr>
            <w:tcW w:w="4248" w:type="dxa"/>
          </w:tcPr>
          <w:p w14:paraId="298F923E"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Anexo B – FORMATO TARIFAS TELEFONÍA MÓVIL POSPAGO </w:t>
            </w:r>
          </w:p>
          <w:p w14:paraId="03EA144B" w14:textId="77777777" w:rsidR="0068402A" w:rsidRPr="00DE6B25" w:rsidRDefault="0068402A" w:rsidP="00E11A34">
            <w:pPr>
              <w:autoSpaceDE w:val="0"/>
              <w:autoSpaceDN w:val="0"/>
              <w:adjustRightInd w:val="0"/>
              <w:spacing w:before="120" w:after="120"/>
              <w:rPr>
                <w:rFonts w:ascii="Candara" w:eastAsia="Calibri" w:hAnsi="Candara" w:cs="Arial"/>
                <w:color w:val="auto"/>
              </w:rPr>
            </w:pPr>
            <w:r w:rsidRPr="00DE6B25">
              <w:rPr>
                <w:rFonts w:ascii="Candara" w:eastAsia="Calibri" w:hAnsi="Candara" w:cs="Arial"/>
                <w:noProof/>
                <w:lang w:eastAsia="es-MX"/>
              </w:rPr>
              <w:drawing>
                <wp:inline distT="0" distB="0" distL="0" distR="0" wp14:anchorId="6373927B" wp14:editId="63C76135">
                  <wp:extent cx="1667866" cy="456232"/>
                  <wp:effectExtent l="0" t="0" r="0" b="127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463"/>
                          <a:stretch/>
                        </pic:blipFill>
                        <pic:spPr bwMode="auto">
                          <a:xfrm>
                            <a:off x="0" y="0"/>
                            <a:ext cx="1677633" cy="458904"/>
                          </a:xfrm>
                          <a:prstGeom prst="rect">
                            <a:avLst/>
                          </a:prstGeom>
                          <a:ln>
                            <a:noFill/>
                          </a:ln>
                          <a:extLst>
                            <a:ext uri="{53640926-AAD7-44D8-BBD7-CCE9431645EC}">
                              <a14:shadowObscured xmlns:a14="http://schemas.microsoft.com/office/drawing/2010/main"/>
                            </a:ext>
                          </a:extLst>
                        </pic:spPr>
                      </pic:pic>
                    </a:graphicData>
                  </a:graphic>
                </wp:inline>
              </w:drawing>
            </w:r>
          </w:p>
        </w:tc>
        <w:tc>
          <w:tcPr>
            <w:tcW w:w="4580" w:type="dxa"/>
          </w:tcPr>
          <w:p w14:paraId="46192476" w14:textId="77777777" w:rsidR="0068402A" w:rsidRPr="00DE6B25" w:rsidRDefault="0068402A" w:rsidP="00E11A34">
            <w:pPr>
              <w:ind w:left="38"/>
              <w:contextualSpacing/>
              <w:rPr>
                <w:rFonts w:ascii="ITC Avant Garde" w:eastAsia="Calibri" w:hAnsi="ITC Avant Garde" w:cs="Arial"/>
                <w:b/>
                <w:color w:val="auto"/>
              </w:rPr>
            </w:pPr>
            <w:r w:rsidRPr="00DE6B25">
              <w:rPr>
                <w:rFonts w:ascii="ITC Avant Garde" w:eastAsia="Calibri" w:hAnsi="ITC Avant Garde" w:cs="Arial"/>
                <w:b/>
              </w:rPr>
              <w:t xml:space="preserve">Telcel: Comentario 21 </w:t>
            </w:r>
          </w:p>
          <w:p w14:paraId="4D98AAF1"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(Por Megabyte/Kilobyte) </w:t>
            </w:r>
          </w:p>
          <w:p w14:paraId="74E2C4DA" w14:textId="77777777" w:rsidR="0068402A" w:rsidRPr="00DE6B25" w:rsidRDefault="0068402A" w:rsidP="00E11A34">
            <w:pPr>
              <w:ind w:left="38"/>
              <w:contextualSpacing/>
              <w:rPr>
                <w:rFonts w:ascii="ITC Avant Garde" w:eastAsia="Calibri" w:hAnsi="ITC Avant Garde" w:cs="Arial"/>
                <w:color w:val="auto"/>
              </w:rPr>
            </w:pPr>
            <w:r w:rsidRPr="00DE6B25">
              <w:rPr>
                <w:rFonts w:ascii="ITC Avant Garde" w:eastAsia="Calibri" w:hAnsi="ITC Avant Garde" w:cs="Arial"/>
              </w:rPr>
              <w:t xml:space="preserve">La mayoría de los planes ofrecidos en la oferta de pospago incluyen una canasta de datos. En éste sentido, es importante contar con los espacios para poder señalar los MB incluidos en el plan, así como los escenarios de consumo, por ejemplo: que pueden ser usados en México, EUA o Canadá. </w:t>
            </w:r>
          </w:p>
          <w:p w14:paraId="3AA6CF37" w14:textId="77777777" w:rsidR="0068402A" w:rsidRPr="00DE6B25" w:rsidRDefault="0068402A" w:rsidP="00E11A34">
            <w:pPr>
              <w:ind w:left="38"/>
              <w:contextualSpacing/>
              <w:rPr>
                <w:rFonts w:ascii="Candara" w:eastAsia="Calibri" w:hAnsi="Candara" w:cs="Times New Roman"/>
                <w:color w:val="auto"/>
              </w:rPr>
            </w:pPr>
            <w:r w:rsidRPr="00DE6B25">
              <w:rPr>
                <w:rFonts w:ascii="ITC Avant Garde" w:eastAsia="Calibri" w:hAnsi="ITC Avant Garde" w:cs="Arial"/>
              </w:rPr>
              <w:t>Adicionalmente, es importante señalar que existen planes puros de datos que no sería posible de presentar para su autorización mediante el uso de los formatos en consulta.</w:t>
            </w:r>
            <w:r w:rsidRPr="00DE6B25">
              <w:rPr>
                <w:rFonts w:ascii="Candara" w:eastAsia="Calibri" w:hAnsi="Candara" w:cs="Times New Roman"/>
              </w:rPr>
              <w:t xml:space="preserve"> </w:t>
            </w:r>
          </w:p>
        </w:tc>
      </w:tr>
    </w:tbl>
    <w:p w14:paraId="357BC973" w14:textId="77777777" w:rsidR="0068402A" w:rsidRPr="008B1E77" w:rsidRDefault="0068402A" w:rsidP="00356056">
      <w:pPr>
        <w:spacing w:after="0" w:line="240" w:lineRule="auto"/>
        <w:jc w:val="both"/>
        <w:rPr>
          <w:rFonts w:ascii="Candara" w:eastAsia="Calibri" w:hAnsi="Candara" w:cs="Times New Roman"/>
          <w:color w:val="ED7D31"/>
          <w:lang w:val="es-EC"/>
        </w:rPr>
      </w:pPr>
    </w:p>
    <w:p w14:paraId="68EC06AF" w14:textId="57E7549F" w:rsidR="0025454E" w:rsidRDefault="0068402A" w:rsidP="00DE6B25">
      <w:pPr>
        <w:spacing w:line="240" w:lineRule="auto"/>
        <w:contextualSpacing/>
        <w:jc w:val="both"/>
        <w:rPr>
          <w:rFonts w:ascii="ITC Avant Garde" w:eastAsia="Calibri" w:hAnsi="ITC Avant Garde" w:cs="Arial"/>
        </w:rPr>
      </w:pPr>
      <w:r w:rsidRPr="008B1E77">
        <w:rPr>
          <w:rFonts w:ascii="ITC Avant Garde" w:eastAsia="Calibri" w:hAnsi="ITC Avant Garde" w:cs="Arial"/>
          <w:b/>
        </w:rPr>
        <w:t>Consideraciones del Instituto</w:t>
      </w:r>
      <w:r w:rsidRPr="008B1E77">
        <w:rPr>
          <w:rFonts w:ascii="ITC Avant Garde" w:eastAsia="Calibri" w:hAnsi="ITC Avant Garde" w:cs="Arial"/>
        </w:rPr>
        <w:t xml:space="preserve">. </w:t>
      </w:r>
      <w:r w:rsidR="00AA42A6">
        <w:rPr>
          <w:rFonts w:ascii="ITC Avant Garde" w:eastAsia="Calibri" w:hAnsi="ITC Avant Garde" w:cs="Arial"/>
        </w:rPr>
        <w:t xml:space="preserve">Respecto a </w:t>
      </w:r>
      <w:r w:rsidR="00BC2E82">
        <w:rPr>
          <w:rFonts w:ascii="ITC Avant Garde" w:eastAsia="Calibri" w:hAnsi="ITC Avant Garde" w:cs="Arial"/>
        </w:rPr>
        <w:t xml:space="preserve">que </w:t>
      </w:r>
      <w:r w:rsidR="00AA42A6">
        <w:rPr>
          <w:rFonts w:ascii="ITC Avant Garde" w:eastAsia="Calibri" w:hAnsi="ITC Avant Garde" w:cs="Arial"/>
        </w:rPr>
        <w:t xml:space="preserve">no se contempla en los formatos del Anexo B que puedan capturarse los Folios Electrónicos a los que aplicará una Propuesta Tarifaria, se señala que al estar estos folios relacionados con el Usuario utilizado por el promovente que someta la solicitud de autorización de tarifas, el mismo sistema reconocerá los folios, los cuales estarán a la vista del promovente. </w:t>
      </w:r>
    </w:p>
    <w:p w14:paraId="576BD389" w14:textId="77777777" w:rsidR="0068402A" w:rsidRPr="00B8283C" w:rsidRDefault="0068402A" w:rsidP="00DE6B25">
      <w:pPr>
        <w:spacing w:line="240" w:lineRule="auto"/>
        <w:contextualSpacing/>
        <w:jc w:val="both"/>
        <w:rPr>
          <w:rFonts w:ascii="ITC Avant Garde" w:eastAsia="Calibri" w:hAnsi="ITC Avant Garde" w:cs="Arial"/>
        </w:rPr>
      </w:pPr>
    </w:p>
    <w:p w14:paraId="5E9F1C2A" w14:textId="642879A0" w:rsidR="0068402A" w:rsidRPr="008B1E77" w:rsidRDefault="0068402A" w:rsidP="00841C17">
      <w:pPr>
        <w:spacing w:line="240" w:lineRule="auto"/>
        <w:contextualSpacing/>
        <w:jc w:val="both"/>
        <w:rPr>
          <w:rFonts w:ascii="ITC Avant Garde" w:eastAsia="Calibri" w:hAnsi="ITC Avant Garde" w:cs="Arial"/>
        </w:rPr>
      </w:pPr>
      <w:r w:rsidRPr="008B1E77">
        <w:rPr>
          <w:rFonts w:ascii="ITC Avant Garde" w:eastAsia="Calibri" w:hAnsi="ITC Avant Garde" w:cs="Arial"/>
        </w:rPr>
        <w:t xml:space="preserve">Por otro lado, respecto a la supuesta obligación de requerir nuevamente la autorización del servicio base que ya está registrado junto con los servicios adicionales y/o promociones que se quieran registrar, resulta incorrecta la interpretación pues lo que se señala es que cualquier </w:t>
      </w:r>
      <w:bookmarkStart w:id="1" w:name="_Hlk525655549"/>
      <w:r w:rsidRPr="008B1E77">
        <w:rPr>
          <w:rFonts w:ascii="ITC Avant Garde" w:eastAsia="Calibri" w:hAnsi="ITC Avant Garde" w:cs="Arial"/>
        </w:rPr>
        <w:t>módulo, paquete, servicio y/o cualquier otro equivalente opcional o adicional deberá estar asociado a una tarifa ya registrada</w:t>
      </w:r>
      <w:bookmarkEnd w:id="1"/>
      <w:r w:rsidRPr="008B1E77">
        <w:rPr>
          <w:rFonts w:ascii="ITC Avant Garde" w:eastAsia="Calibri" w:hAnsi="ITC Avant Garde" w:cs="Arial"/>
        </w:rPr>
        <w:t>, como se hace la distinción en el “Formato Tarifas General” Véase lo siguiente como referencia:</w:t>
      </w:r>
    </w:p>
    <w:p w14:paraId="19085898" w14:textId="77777777" w:rsidR="0068402A" w:rsidRPr="008B1E77" w:rsidRDefault="0068402A" w:rsidP="00E11A34">
      <w:pPr>
        <w:spacing w:line="240" w:lineRule="auto"/>
        <w:ind w:left="720"/>
        <w:contextualSpacing/>
        <w:rPr>
          <w:rFonts w:ascii="ITC Avant Garde" w:eastAsia="Calibri" w:hAnsi="ITC Avant Garde" w:cs="Arial"/>
          <w:lang w:val="es-ES"/>
        </w:rPr>
      </w:pPr>
    </w:p>
    <w:p w14:paraId="703B70D2" w14:textId="77777777" w:rsidR="0068402A" w:rsidRPr="002A27E0" w:rsidRDefault="0068402A" w:rsidP="00E11A34">
      <w:pPr>
        <w:spacing w:line="240" w:lineRule="auto"/>
        <w:ind w:left="1560"/>
        <w:contextualSpacing/>
        <w:rPr>
          <w:rFonts w:ascii="ITC Avant Garde" w:eastAsia="Calibri" w:hAnsi="ITC Avant Garde" w:cs="Arial"/>
          <w:lang w:val="es-ES"/>
        </w:rPr>
      </w:pPr>
      <w:r w:rsidRPr="002A27E0">
        <w:rPr>
          <w:rFonts w:ascii="ITC Avant Garde" w:eastAsia="Calibri" w:hAnsi="ITC Avant Garde" w:cs="Arial"/>
          <w:noProof/>
          <w:lang w:eastAsia="es-MX"/>
        </w:rPr>
        <w:drawing>
          <wp:inline distT="0" distB="0" distL="0" distR="0" wp14:anchorId="5469F009" wp14:editId="7F2A5C5D">
            <wp:extent cx="3823534" cy="950976"/>
            <wp:effectExtent l="0" t="0" r="5715"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1116" r="1348"/>
                    <a:stretch/>
                  </pic:blipFill>
                  <pic:spPr bwMode="auto">
                    <a:xfrm>
                      <a:off x="0" y="0"/>
                      <a:ext cx="3838601" cy="954724"/>
                    </a:xfrm>
                    <a:prstGeom prst="rect">
                      <a:avLst/>
                    </a:prstGeom>
                    <a:ln>
                      <a:noFill/>
                    </a:ln>
                    <a:extLst>
                      <a:ext uri="{53640926-AAD7-44D8-BBD7-CCE9431645EC}">
                        <a14:shadowObscured xmlns:a14="http://schemas.microsoft.com/office/drawing/2010/main"/>
                      </a:ext>
                    </a:extLst>
                  </pic:spPr>
                </pic:pic>
              </a:graphicData>
            </a:graphic>
          </wp:inline>
        </w:drawing>
      </w:r>
    </w:p>
    <w:p w14:paraId="201CAD71" w14:textId="34EBAE57" w:rsidR="004344C8" w:rsidRPr="00B8283C" w:rsidRDefault="004344C8" w:rsidP="00DE6B25">
      <w:pPr>
        <w:spacing w:line="240" w:lineRule="auto"/>
        <w:contextualSpacing/>
        <w:jc w:val="both"/>
        <w:rPr>
          <w:rFonts w:ascii="ITC Avant Garde" w:eastAsia="Calibri" w:hAnsi="ITC Avant Garde" w:cs="Arial"/>
        </w:rPr>
      </w:pPr>
      <w:r>
        <w:rPr>
          <w:rFonts w:ascii="ITC Avant Garde" w:eastAsia="Calibri" w:hAnsi="ITC Avant Garde" w:cs="Arial"/>
        </w:rPr>
        <w:t xml:space="preserve">Sobre los comentarios brindados por TELCEL a los formatos del Anexo B, se precisa que las funcionalidades actuales del SERT se mantendrán, por lo que le permitirá cargar su información como </w:t>
      </w:r>
      <w:r w:rsidR="00BC2E82">
        <w:rPr>
          <w:rFonts w:ascii="ITC Avant Garde" w:eastAsia="Calibri" w:hAnsi="ITC Avant Garde" w:cs="Arial"/>
        </w:rPr>
        <w:t>a</w:t>
      </w:r>
      <w:r>
        <w:rPr>
          <w:rFonts w:ascii="ITC Avant Garde" w:eastAsia="Calibri" w:hAnsi="ITC Avant Garde" w:cs="Arial"/>
        </w:rPr>
        <w:t>l día de hoy se opera para efectos del registro. No obstante, es pertinente señalar que cualquier adecuación o cambio a las funcionalidades del SERT excede el alcance de este proyecto.</w:t>
      </w:r>
    </w:p>
    <w:p w14:paraId="073693E2" w14:textId="77777777" w:rsidR="004344C8" w:rsidRPr="00B8283C" w:rsidRDefault="004344C8" w:rsidP="00DE6B25">
      <w:pPr>
        <w:spacing w:line="240" w:lineRule="auto"/>
        <w:contextualSpacing/>
        <w:jc w:val="both"/>
        <w:rPr>
          <w:rFonts w:ascii="ITC Avant Garde" w:eastAsia="Calibri" w:hAnsi="ITC Avant Garde" w:cs="Arial"/>
        </w:rPr>
      </w:pPr>
    </w:p>
    <w:p w14:paraId="53D3F1AF" w14:textId="7FCECA29" w:rsidR="0068402A" w:rsidRPr="002A27E0" w:rsidRDefault="0068402A" w:rsidP="00841C17">
      <w:pPr>
        <w:spacing w:line="240" w:lineRule="auto"/>
        <w:contextualSpacing/>
        <w:jc w:val="both"/>
        <w:rPr>
          <w:rFonts w:ascii="ITC Avant Garde" w:eastAsia="Calibri" w:hAnsi="ITC Avant Garde" w:cs="Arial"/>
          <w:lang w:val="es-ES_tradnl"/>
        </w:rPr>
      </w:pPr>
      <w:r w:rsidRPr="00B8283C">
        <w:rPr>
          <w:rFonts w:ascii="ITC Avant Garde" w:eastAsia="Calibri" w:hAnsi="ITC Avant Garde" w:cs="Arial"/>
        </w:rPr>
        <w:t>Finalmente,</w:t>
      </w:r>
      <w:r w:rsidRPr="00B8283C">
        <w:rPr>
          <w:rFonts w:ascii="ITC Avant Garde" w:eastAsia="Calibri" w:hAnsi="ITC Avant Garde" w:cs="Arial"/>
          <w:b/>
        </w:rPr>
        <w:t xml:space="preserve"> </w:t>
      </w:r>
      <w:r w:rsidRPr="008B1E77">
        <w:rPr>
          <w:rFonts w:ascii="ITC Avant Garde" w:eastAsia="Calibri" w:hAnsi="ITC Avant Garde" w:cs="Arial"/>
        </w:rPr>
        <w:t xml:space="preserve">debe mencionarse que </w:t>
      </w:r>
      <w:r w:rsidRPr="008B1E77">
        <w:rPr>
          <w:rFonts w:ascii="ITC Avant Garde" w:eastAsia="Calibri" w:hAnsi="ITC Avant Garde" w:cs="Arial"/>
          <w:lang w:val="es-ES_tradnl"/>
        </w:rPr>
        <w:t>se determin</w:t>
      </w:r>
      <w:r w:rsidR="004344C8">
        <w:rPr>
          <w:rFonts w:ascii="ITC Avant Garde" w:eastAsia="Calibri" w:hAnsi="ITC Avant Garde" w:cs="Arial"/>
          <w:lang w:val="es-ES_tradnl"/>
        </w:rPr>
        <w:t>ó</w:t>
      </w:r>
      <w:r w:rsidRPr="008B1E77">
        <w:rPr>
          <w:rFonts w:ascii="ITC Avant Garde" w:eastAsia="Calibri" w:hAnsi="ITC Avant Garde" w:cs="Arial"/>
          <w:lang w:val="es-ES_tradnl"/>
        </w:rPr>
        <w:t xml:space="preserve"> técnica y económicamente viable el aprovechamiento del actual Sistema Electrónico de Registro de Tarifas, con algunas adecuaciones, como medio para llevar a cabo la gestión de autorización de tarifas sometidas por los AEP y AEPSM de una manera más eficiente. Así, en virtud de la naturaleza de una propuesta tarifaria en cuanto al contenido de información, los formatos</w:t>
      </w:r>
      <w:r w:rsidRPr="002A27E0">
        <w:rPr>
          <w:rFonts w:ascii="ITC Avant Garde" w:eastAsia="Calibri" w:hAnsi="ITC Avant Garde" w:cs="Arial"/>
          <w:vertAlign w:val="superscript"/>
          <w:lang w:val="es-ES_tradnl"/>
        </w:rPr>
        <w:footnoteReference w:id="1"/>
      </w:r>
      <w:r w:rsidRPr="002A27E0">
        <w:rPr>
          <w:rFonts w:ascii="ITC Avant Garde" w:eastAsia="Calibri" w:hAnsi="ITC Avant Garde" w:cs="Arial"/>
          <w:lang w:val="es-ES_tradnl"/>
        </w:rPr>
        <w:t xml:space="preserve"> ya utilizados para los operadores que no son AEP ni AEPSM cumplen el mismo propósito de presentación de propuestas tarifarias, independientemente del análisis robusto que el Instituto lleve a cabo de manera particular para cada propuesta, por lo que se considera pertinente utilizar los mismos formatos, adicionan</w:t>
      </w:r>
      <w:r w:rsidRPr="00B8283C">
        <w:rPr>
          <w:rFonts w:ascii="ITC Avant Garde" w:eastAsia="Calibri" w:hAnsi="ITC Avant Garde" w:cs="Arial"/>
          <w:lang w:val="es-ES_tradnl"/>
        </w:rPr>
        <w:t>do los campos necesarios para que los AEP y AEPSM puedan someter la información correspondiente a las obligaciones específicas que les sean aplicables, de conformidad con la regulación asimétrica que les haya sido impuesta por el Instituto.</w:t>
      </w:r>
    </w:p>
    <w:p w14:paraId="04EBA357" w14:textId="77777777" w:rsidR="00841C17" w:rsidRPr="00B8283C" w:rsidRDefault="00841C17" w:rsidP="00841C17">
      <w:pPr>
        <w:spacing w:line="240" w:lineRule="auto"/>
        <w:contextualSpacing/>
        <w:jc w:val="both"/>
        <w:rPr>
          <w:rFonts w:ascii="ITC Avant Garde" w:eastAsia="Calibri" w:hAnsi="ITC Avant Garde" w:cs="Arial"/>
          <w:lang w:val="es-ES_tradnl"/>
        </w:rPr>
      </w:pPr>
    </w:p>
    <w:p w14:paraId="5EE5EF22" w14:textId="77777777" w:rsidR="0068402A" w:rsidRPr="008B1E77" w:rsidRDefault="0068402A" w:rsidP="00841C17">
      <w:pPr>
        <w:spacing w:line="240" w:lineRule="auto"/>
        <w:contextualSpacing/>
        <w:jc w:val="both"/>
        <w:rPr>
          <w:rFonts w:ascii="ITC Avant Garde" w:eastAsia="Calibri" w:hAnsi="ITC Avant Garde" w:cs="Arial"/>
          <w:lang w:val="es-ES_tradnl"/>
        </w:rPr>
      </w:pPr>
      <w:r w:rsidRPr="008B1E77">
        <w:rPr>
          <w:rFonts w:ascii="ITC Avant Garde" w:eastAsia="Calibri" w:hAnsi="ITC Avant Garde" w:cs="Arial"/>
          <w:lang w:val="es-ES_tradnl"/>
        </w:rPr>
        <w:t>Por lo anterior, se eliminan los formatos propuestos en el anteproyecto sometido a consulta y se hace referencia a los actualmente utilizados en el SERT.</w:t>
      </w:r>
    </w:p>
    <w:p w14:paraId="34186594" w14:textId="77777777" w:rsidR="00E11A34" w:rsidRPr="008B1E77" w:rsidRDefault="00E11A34" w:rsidP="00DE6B25">
      <w:pPr>
        <w:spacing w:after="0" w:line="240" w:lineRule="auto"/>
        <w:contextualSpacing/>
        <w:jc w:val="both"/>
        <w:rPr>
          <w:rFonts w:ascii="ITC Avant Garde" w:eastAsia="Calibri" w:hAnsi="ITC Avant Garde" w:cs="Arial"/>
          <w:lang w:val="es-ES_tradnl"/>
        </w:rPr>
      </w:pPr>
    </w:p>
    <w:p w14:paraId="26FDBAA1" w14:textId="77777777" w:rsidR="0068402A" w:rsidRPr="00DE6B25" w:rsidRDefault="0068402A" w:rsidP="00DC6893">
      <w:pPr>
        <w:keepNext/>
        <w:keepLines/>
        <w:spacing w:after="0" w:line="240" w:lineRule="auto"/>
        <w:jc w:val="both"/>
        <w:outlineLvl w:val="0"/>
        <w:rPr>
          <w:rFonts w:ascii="ITC Avant Garde" w:eastAsia="Times New Roman" w:hAnsi="ITC Avant Garde" w:cs="Arial"/>
          <w:b/>
          <w:u w:val="single"/>
          <w:lang w:val="es-EC"/>
        </w:rPr>
      </w:pPr>
      <w:r w:rsidRPr="00DE6B25">
        <w:rPr>
          <w:rFonts w:ascii="ITC Avant Garde" w:eastAsia="Times New Roman" w:hAnsi="ITC Avant Garde" w:cs="Arial"/>
          <w:b/>
          <w:u w:val="single"/>
          <w:lang w:val="es-EC"/>
        </w:rPr>
        <w:t>Tema: Temas generales</w:t>
      </w:r>
    </w:p>
    <w:p w14:paraId="6EED807C" w14:textId="77777777" w:rsidR="00535425" w:rsidRPr="00DE6B25" w:rsidRDefault="00535425" w:rsidP="00DC6893">
      <w:pPr>
        <w:keepNext/>
        <w:keepLines/>
        <w:spacing w:after="0" w:line="240" w:lineRule="auto"/>
        <w:jc w:val="both"/>
        <w:outlineLvl w:val="0"/>
        <w:rPr>
          <w:rFonts w:ascii="ITC Avant Garde" w:eastAsia="Times New Roman" w:hAnsi="ITC Avant Garde" w:cs="Arial"/>
          <w:b/>
          <w:u w:val="single"/>
          <w:lang w:val="es-EC"/>
        </w:rPr>
      </w:pPr>
    </w:p>
    <w:p w14:paraId="2867189F" w14:textId="77777777" w:rsidR="0068402A" w:rsidRPr="002A27E0" w:rsidRDefault="0068402A" w:rsidP="00E11A34">
      <w:pPr>
        <w:numPr>
          <w:ilvl w:val="0"/>
          <w:numId w:val="5"/>
        </w:numPr>
        <w:spacing w:line="240" w:lineRule="auto"/>
        <w:contextualSpacing/>
        <w:rPr>
          <w:rFonts w:ascii="ITC Avant Garde" w:eastAsia="Calibri" w:hAnsi="ITC Avant Garde" w:cs="Arial"/>
          <w:b/>
        </w:rPr>
      </w:pPr>
      <w:r w:rsidRPr="002A27E0">
        <w:rPr>
          <w:rFonts w:ascii="ITC Avant Garde" w:eastAsia="Calibri" w:hAnsi="ITC Avant Garde" w:cs="Arial"/>
          <w:b/>
        </w:rPr>
        <w:t>Telefónica</w:t>
      </w:r>
    </w:p>
    <w:p w14:paraId="1628641B" w14:textId="77777777" w:rsidR="00637B6E" w:rsidRDefault="00637B6E" w:rsidP="00E11A34">
      <w:pPr>
        <w:spacing w:line="240" w:lineRule="auto"/>
        <w:ind w:left="720"/>
        <w:contextualSpacing/>
        <w:jc w:val="both"/>
        <w:rPr>
          <w:rFonts w:ascii="ITC Avant Garde" w:eastAsia="Calibri" w:hAnsi="ITC Avant Garde" w:cs="Arial"/>
        </w:rPr>
      </w:pPr>
      <w:r>
        <w:rPr>
          <w:rFonts w:ascii="ITC Avant Garde" w:eastAsia="Calibri" w:hAnsi="ITC Avant Garde" w:cs="Arial"/>
        </w:rPr>
        <w:t>En diversos comentarios insistió en que los lineamientos deben establecer los criterios que el Instituto utilizará para aprobar o no una tarifa, en</w:t>
      </w:r>
      <w:r w:rsidR="00355CE4">
        <w:rPr>
          <w:rFonts w:ascii="ITC Avant Garde" w:eastAsia="Calibri" w:hAnsi="ITC Avant Garde" w:cs="Arial"/>
        </w:rPr>
        <w:t xml:space="preserve"> particular en lo referente a los criterios de replicabilidad económica.</w:t>
      </w:r>
      <w:r w:rsidR="00DB3884">
        <w:rPr>
          <w:rFonts w:ascii="ITC Avant Garde" w:eastAsia="Calibri" w:hAnsi="ITC Avant Garde" w:cs="Arial"/>
        </w:rPr>
        <w:t xml:space="preserve"> Considera que el Instituto se enfoca más en la parte procedimental que en el fondo del análisis de las solicitudes de autorización de las tarifas.</w:t>
      </w:r>
    </w:p>
    <w:p w14:paraId="37C774D2" w14:textId="77777777" w:rsidR="0068402A" w:rsidRPr="008B1E77" w:rsidRDefault="0068402A" w:rsidP="00E11A34">
      <w:pPr>
        <w:spacing w:line="240" w:lineRule="auto"/>
        <w:ind w:left="720"/>
        <w:contextualSpacing/>
        <w:jc w:val="both"/>
        <w:rPr>
          <w:rFonts w:ascii="ITC Avant Garde" w:eastAsia="Calibri" w:hAnsi="ITC Avant Garde" w:cs="Arial"/>
        </w:rPr>
      </w:pPr>
    </w:p>
    <w:p w14:paraId="79D96591" w14:textId="07B2E03A" w:rsidR="0068402A" w:rsidRPr="00B8283C" w:rsidRDefault="0068402A" w:rsidP="00DE6B25">
      <w:pPr>
        <w:spacing w:line="240" w:lineRule="auto"/>
        <w:contextualSpacing/>
        <w:jc w:val="both"/>
        <w:rPr>
          <w:rFonts w:ascii="ITC Avant Garde" w:eastAsia="Calibri" w:hAnsi="ITC Avant Garde" w:cs="Arial"/>
        </w:rPr>
      </w:pPr>
      <w:r w:rsidRPr="008B1E77">
        <w:rPr>
          <w:rFonts w:ascii="ITC Avant Garde" w:eastAsia="Calibri" w:hAnsi="ITC Avant Garde" w:cs="Arial"/>
          <w:b/>
        </w:rPr>
        <w:t>Consideraciones del Instituto</w:t>
      </w:r>
      <w:r w:rsidRPr="008B1E77">
        <w:rPr>
          <w:rFonts w:ascii="ITC Avant Garde" w:eastAsia="Calibri" w:hAnsi="ITC Avant Garde" w:cs="Arial"/>
        </w:rPr>
        <w:t xml:space="preserve">. </w:t>
      </w:r>
      <w:r w:rsidR="00355CE4" w:rsidRPr="003F0C5A">
        <w:rPr>
          <w:rFonts w:ascii="ITC Avant Garde" w:eastAsia="Calibri" w:hAnsi="ITC Avant Garde" w:cs="Arial"/>
        </w:rPr>
        <w:t>Se precisa que el alcance de este anteproyecto no es establecer mandatos adicionales en materia de regulación asimétrica a la ya emitida, sino facilitar la presentación de la información</w:t>
      </w:r>
      <w:r w:rsidR="00DB3884">
        <w:rPr>
          <w:rFonts w:ascii="ITC Avant Garde" w:eastAsia="Calibri" w:hAnsi="ITC Avant Garde" w:cs="Arial"/>
        </w:rPr>
        <w:t>,</w:t>
      </w:r>
      <w:r w:rsidR="00355CE4" w:rsidRPr="003F0C5A">
        <w:rPr>
          <w:rFonts w:ascii="ITC Avant Garde" w:eastAsia="Calibri" w:hAnsi="ITC Avant Garde" w:cs="Arial"/>
        </w:rPr>
        <w:t xml:space="preserve"> que permita el análisis de las Propuestas Tarifarias.</w:t>
      </w:r>
      <w:r w:rsidR="00355CE4">
        <w:rPr>
          <w:rFonts w:ascii="ITC Avant Garde" w:eastAsia="Calibri" w:hAnsi="ITC Avant Garde" w:cs="Arial"/>
        </w:rPr>
        <w:t xml:space="preserve"> </w:t>
      </w:r>
    </w:p>
    <w:p w14:paraId="2C0AF54E" w14:textId="77777777" w:rsidR="0068402A" w:rsidRPr="008B1E77" w:rsidRDefault="0068402A" w:rsidP="00DE6B25">
      <w:pPr>
        <w:spacing w:line="240" w:lineRule="auto"/>
        <w:contextualSpacing/>
        <w:rPr>
          <w:rFonts w:ascii="ITC Avant Garde" w:eastAsia="Calibri" w:hAnsi="ITC Avant Garde" w:cs="Arial"/>
        </w:rPr>
      </w:pPr>
    </w:p>
    <w:p w14:paraId="4FCAFA99" w14:textId="0DA69009" w:rsidR="0068402A" w:rsidRPr="00B8283C" w:rsidRDefault="00DB3884" w:rsidP="00DE6B25">
      <w:pPr>
        <w:spacing w:after="0" w:line="240" w:lineRule="auto"/>
        <w:contextualSpacing/>
        <w:jc w:val="both"/>
        <w:rPr>
          <w:rFonts w:ascii="ITC Avant Garde" w:eastAsia="Calibri" w:hAnsi="ITC Avant Garde" w:cs="Arial"/>
        </w:rPr>
      </w:pPr>
      <w:r>
        <w:rPr>
          <w:rFonts w:ascii="ITC Avant Garde" w:eastAsia="Calibri" w:hAnsi="ITC Avant Garde" w:cs="Arial"/>
        </w:rPr>
        <w:t>En ese sentido, l</w:t>
      </w:r>
      <w:r w:rsidR="0068402A" w:rsidRPr="008B1E77">
        <w:rPr>
          <w:rFonts w:ascii="ITC Avant Garde" w:eastAsia="Calibri" w:hAnsi="ITC Avant Garde" w:cs="Arial"/>
        </w:rPr>
        <w:t>a metodología para llevar a cabo las pruebas de replicabilidad económica y</w:t>
      </w:r>
      <w:r w:rsidR="00355CE4">
        <w:rPr>
          <w:rFonts w:ascii="ITC Avant Garde" w:eastAsia="Calibri" w:hAnsi="ITC Avant Garde" w:cs="Arial"/>
        </w:rPr>
        <w:t>/o</w:t>
      </w:r>
      <w:r w:rsidR="0068402A" w:rsidRPr="008B1E77">
        <w:rPr>
          <w:rFonts w:ascii="ITC Avant Garde" w:eastAsia="Calibri" w:hAnsi="ITC Avant Garde" w:cs="Arial"/>
        </w:rPr>
        <w:t xml:space="preserve"> técnica no son materia de los Lineamientos</w:t>
      </w:r>
      <w:r w:rsidR="00355CE4">
        <w:rPr>
          <w:rFonts w:ascii="ITC Avant Garde" w:eastAsia="Calibri" w:hAnsi="ITC Avant Garde" w:cs="Arial"/>
        </w:rPr>
        <w:t>, pues estos</w:t>
      </w:r>
      <w:r w:rsidR="0068402A" w:rsidRPr="008B1E77">
        <w:rPr>
          <w:rFonts w:ascii="ITC Avant Garde" w:eastAsia="Calibri" w:hAnsi="ITC Avant Garde" w:cs="Arial"/>
        </w:rPr>
        <w:t xml:space="preserve"> pretenden </w:t>
      </w:r>
      <w:r w:rsidR="00BC2E82">
        <w:rPr>
          <w:rFonts w:ascii="ITC Avant Garde" w:eastAsia="Calibri" w:hAnsi="ITC Avant Garde" w:cs="Arial"/>
        </w:rPr>
        <w:t>establecer los procedimientos, plazos, requisitos de información y formatos para ingresar de manera electrónica una solicitud de autorización de tarifas</w:t>
      </w:r>
      <w:r w:rsidR="0068402A" w:rsidRPr="008B1E77">
        <w:rPr>
          <w:rFonts w:ascii="ITC Avant Garde" w:eastAsia="Calibri" w:hAnsi="ITC Avant Garde" w:cs="Arial"/>
        </w:rPr>
        <w:t>.</w:t>
      </w:r>
    </w:p>
    <w:p w14:paraId="44355341" w14:textId="29E986EC" w:rsidR="00C04013" w:rsidRPr="002A27E0" w:rsidRDefault="00C04013" w:rsidP="00DE6B25">
      <w:pPr>
        <w:spacing w:line="240" w:lineRule="auto"/>
        <w:contextualSpacing/>
        <w:jc w:val="both"/>
        <w:rPr>
          <w:rFonts w:ascii="ITC Avant Garde" w:eastAsia="Calibri" w:hAnsi="ITC Avant Garde" w:cs="Arial"/>
        </w:rPr>
      </w:pPr>
    </w:p>
    <w:sectPr w:rsidR="00C04013" w:rsidRPr="002A27E0" w:rsidSect="002829AC">
      <w:footerReference w:type="default" r:id="rId31"/>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0E7E0" w14:textId="77777777" w:rsidR="00A06DF6" w:rsidRDefault="00A06DF6">
      <w:pPr>
        <w:spacing w:after="0" w:line="240" w:lineRule="auto"/>
      </w:pPr>
      <w:r>
        <w:separator/>
      </w:r>
    </w:p>
  </w:endnote>
  <w:endnote w:type="continuationSeparator" w:id="0">
    <w:p w14:paraId="4A888374" w14:textId="77777777" w:rsidR="00A06DF6" w:rsidRDefault="00A06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449072"/>
      <w:docPartObj>
        <w:docPartGallery w:val="Page Numbers (Bottom of Page)"/>
        <w:docPartUnique/>
      </w:docPartObj>
    </w:sdtPr>
    <w:sdtEndPr/>
    <w:sdtContent>
      <w:sdt>
        <w:sdtPr>
          <w:id w:val="-1769616900"/>
          <w:docPartObj>
            <w:docPartGallery w:val="Page Numbers (Top of Page)"/>
            <w:docPartUnique/>
          </w:docPartObj>
        </w:sdtPr>
        <w:sdtEndPr/>
        <w:sdtContent>
          <w:p w14:paraId="423267FC" w14:textId="6CC97A5A" w:rsidR="006E0A29" w:rsidRDefault="006E0A2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F3AA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F3AA5">
              <w:rPr>
                <w:b/>
                <w:bCs/>
                <w:noProof/>
              </w:rPr>
              <w:t>2</w:t>
            </w:r>
            <w:r>
              <w:rPr>
                <w:b/>
                <w:bCs/>
                <w:sz w:val="24"/>
                <w:szCs w:val="24"/>
              </w:rPr>
              <w:fldChar w:fldCharType="end"/>
            </w:r>
          </w:p>
        </w:sdtContent>
      </w:sdt>
    </w:sdtContent>
  </w:sdt>
  <w:p w14:paraId="22CBF9A1" w14:textId="77777777" w:rsidR="006E0A29" w:rsidRDefault="006E0A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28F7B" w14:textId="77777777" w:rsidR="00A06DF6" w:rsidRDefault="00A06DF6">
      <w:pPr>
        <w:spacing w:after="0" w:line="240" w:lineRule="auto"/>
      </w:pPr>
      <w:r>
        <w:separator/>
      </w:r>
    </w:p>
  </w:footnote>
  <w:footnote w:type="continuationSeparator" w:id="0">
    <w:p w14:paraId="057BC975" w14:textId="77777777" w:rsidR="00A06DF6" w:rsidRDefault="00A06DF6">
      <w:pPr>
        <w:spacing w:after="0" w:line="240" w:lineRule="auto"/>
      </w:pPr>
      <w:r>
        <w:continuationSeparator/>
      </w:r>
    </w:p>
  </w:footnote>
  <w:footnote w:id="1">
    <w:p w14:paraId="6E960596" w14:textId="77777777" w:rsidR="006E0A29" w:rsidRPr="0068402A" w:rsidRDefault="006E0A29" w:rsidP="0068402A">
      <w:pPr>
        <w:pStyle w:val="Textonotapie"/>
        <w:jc w:val="both"/>
        <w:rPr>
          <w:rFonts w:cs="Calibri"/>
          <w:sz w:val="18"/>
          <w:szCs w:val="18"/>
        </w:rPr>
      </w:pPr>
      <w:r w:rsidRPr="0068402A">
        <w:rPr>
          <w:rStyle w:val="Refdenotaalpie"/>
          <w:rFonts w:cs="Calibri"/>
        </w:rPr>
        <w:footnoteRef/>
      </w:r>
      <w:r w:rsidRPr="0068402A">
        <w:rPr>
          <w:rFonts w:cs="Calibri"/>
          <w:sz w:val="18"/>
          <w:szCs w:val="18"/>
        </w:rPr>
        <w:t xml:space="preserve"> Emitidos a través del </w:t>
      </w:r>
      <w:r w:rsidRPr="0068402A">
        <w:rPr>
          <w:rFonts w:cs="Calibri"/>
          <w:i/>
          <w:sz w:val="18"/>
          <w:szCs w:val="18"/>
        </w:rPr>
        <w:t xml:space="preserve">“Acuerdo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 </w:t>
      </w:r>
      <w:r w:rsidRPr="0068402A">
        <w:rPr>
          <w:rFonts w:cs="Calibri"/>
          <w:sz w:val="18"/>
          <w:szCs w:val="18"/>
        </w:rPr>
        <w:t>y del</w:t>
      </w:r>
      <w:r w:rsidRPr="0068402A">
        <w:rPr>
          <w:rFonts w:cs="Calibri"/>
          <w:i/>
          <w:sz w:val="18"/>
          <w:szCs w:val="18"/>
        </w:rPr>
        <w:t xml:space="preserve"> “Acuerdo mediante el cual el Pleno del Instituto Federal de Telecomunicaciones aprueba la modificación de los artículos 3, 4, 5, 6 y del Formato B. Formatos Específicos de Registro de Tarifas, así como la adición de los anexos C. Formatos Simplificados de Información y D. Información y Métricas de Formatos de Registro de Tarifas,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E36"/>
    <w:multiLevelType w:val="hybridMultilevel"/>
    <w:tmpl w:val="50C401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344EC1"/>
    <w:multiLevelType w:val="hybridMultilevel"/>
    <w:tmpl w:val="82D23EC8"/>
    <w:lvl w:ilvl="0" w:tplc="CC1E27DA">
      <w:start w:val="1"/>
      <w:numFmt w:val="bullet"/>
      <w:lvlText w:val=""/>
      <w:lvlJc w:val="left"/>
      <w:pPr>
        <w:ind w:left="720" w:hanging="360"/>
      </w:pPr>
      <w:rPr>
        <w:rFonts w:ascii="Symbol" w:hAnsi="Symbol" w:hint="default"/>
        <w:color w:val="000000" w:themeColor="text1"/>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B01471"/>
    <w:multiLevelType w:val="hybridMultilevel"/>
    <w:tmpl w:val="B7AA73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334247"/>
    <w:multiLevelType w:val="hybridMultilevel"/>
    <w:tmpl w:val="C29EC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C697285"/>
    <w:multiLevelType w:val="hybridMultilevel"/>
    <w:tmpl w:val="3362B5FC"/>
    <w:lvl w:ilvl="0" w:tplc="080A000F">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AE0057"/>
    <w:multiLevelType w:val="hybridMultilevel"/>
    <w:tmpl w:val="41EC7C10"/>
    <w:lvl w:ilvl="0" w:tplc="D0DE4AA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AB4670"/>
    <w:multiLevelType w:val="hybridMultilevel"/>
    <w:tmpl w:val="B890DE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5D"/>
    <w:rsid w:val="0001269D"/>
    <w:rsid w:val="00033360"/>
    <w:rsid w:val="00037E3C"/>
    <w:rsid w:val="0005739E"/>
    <w:rsid w:val="000815B1"/>
    <w:rsid w:val="00086044"/>
    <w:rsid w:val="000C1FFA"/>
    <w:rsid w:val="00104DE3"/>
    <w:rsid w:val="00107F27"/>
    <w:rsid w:val="001756BA"/>
    <w:rsid w:val="00194B57"/>
    <w:rsid w:val="001F3AA5"/>
    <w:rsid w:val="001F719B"/>
    <w:rsid w:val="0020475D"/>
    <w:rsid w:val="0025454E"/>
    <w:rsid w:val="00261503"/>
    <w:rsid w:val="002829AC"/>
    <w:rsid w:val="002A1481"/>
    <w:rsid w:val="002A27E0"/>
    <w:rsid w:val="002D01C1"/>
    <w:rsid w:val="002D1DC4"/>
    <w:rsid w:val="00320970"/>
    <w:rsid w:val="00355CE4"/>
    <w:rsid w:val="00356056"/>
    <w:rsid w:val="00397E46"/>
    <w:rsid w:val="003A0D78"/>
    <w:rsid w:val="003A2BA6"/>
    <w:rsid w:val="003C4529"/>
    <w:rsid w:val="0040579E"/>
    <w:rsid w:val="004344C8"/>
    <w:rsid w:val="00472C4B"/>
    <w:rsid w:val="0047632C"/>
    <w:rsid w:val="004A1A47"/>
    <w:rsid w:val="004A7AE1"/>
    <w:rsid w:val="0050032B"/>
    <w:rsid w:val="00507B3C"/>
    <w:rsid w:val="0051542F"/>
    <w:rsid w:val="00535425"/>
    <w:rsid w:val="005476E0"/>
    <w:rsid w:val="00594ACC"/>
    <w:rsid w:val="00597225"/>
    <w:rsid w:val="005A3192"/>
    <w:rsid w:val="005B2F73"/>
    <w:rsid w:val="005D2FF4"/>
    <w:rsid w:val="005E3408"/>
    <w:rsid w:val="0060688C"/>
    <w:rsid w:val="006149C9"/>
    <w:rsid w:val="00637B6E"/>
    <w:rsid w:val="006459BD"/>
    <w:rsid w:val="00646C22"/>
    <w:rsid w:val="00662E99"/>
    <w:rsid w:val="0068402A"/>
    <w:rsid w:val="00697AF6"/>
    <w:rsid w:val="006A0F1D"/>
    <w:rsid w:val="006C5095"/>
    <w:rsid w:val="006D46AC"/>
    <w:rsid w:val="006E0A29"/>
    <w:rsid w:val="006E46CB"/>
    <w:rsid w:val="00707E75"/>
    <w:rsid w:val="007273EA"/>
    <w:rsid w:val="00754867"/>
    <w:rsid w:val="00757127"/>
    <w:rsid w:val="00764F29"/>
    <w:rsid w:val="007E0C25"/>
    <w:rsid w:val="007F56C3"/>
    <w:rsid w:val="007F772B"/>
    <w:rsid w:val="0081089B"/>
    <w:rsid w:val="008223B3"/>
    <w:rsid w:val="0082695F"/>
    <w:rsid w:val="00830026"/>
    <w:rsid w:val="0083717B"/>
    <w:rsid w:val="00841C17"/>
    <w:rsid w:val="00843107"/>
    <w:rsid w:val="00845B62"/>
    <w:rsid w:val="00855B61"/>
    <w:rsid w:val="00870621"/>
    <w:rsid w:val="0089110A"/>
    <w:rsid w:val="0089492E"/>
    <w:rsid w:val="008B1E77"/>
    <w:rsid w:val="008B3A20"/>
    <w:rsid w:val="008D60D3"/>
    <w:rsid w:val="008D6386"/>
    <w:rsid w:val="00950DB0"/>
    <w:rsid w:val="009637FD"/>
    <w:rsid w:val="00A06DF6"/>
    <w:rsid w:val="00A2178F"/>
    <w:rsid w:val="00A31059"/>
    <w:rsid w:val="00A62E43"/>
    <w:rsid w:val="00AA38D1"/>
    <w:rsid w:val="00AA42A6"/>
    <w:rsid w:val="00AB5610"/>
    <w:rsid w:val="00AE5AFF"/>
    <w:rsid w:val="00B21479"/>
    <w:rsid w:val="00B402FA"/>
    <w:rsid w:val="00B57344"/>
    <w:rsid w:val="00B6754A"/>
    <w:rsid w:val="00B8283C"/>
    <w:rsid w:val="00B94DA3"/>
    <w:rsid w:val="00B95666"/>
    <w:rsid w:val="00BC2E82"/>
    <w:rsid w:val="00BC2F98"/>
    <w:rsid w:val="00BE70F0"/>
    <w:rsid w:val="00C04013"/>
    <w:rsid w:val="00C641CE"/>
    <w:rsid w:val="00C73B1F"/>
    <w:rsid w:val="00C85CA6"/>
    <w:rsid w:val="00CA21B1"/>
    <w:rsid w:val="00CB1544"/>
    <w:rsid w:val="00CE32D2"/>
    <w:rsid w:val="00CE4ECA"/>
    <w:rsid w:val="00CF5C5A"/>
    <w:rsid w:val="00CF6EE0"/>
    <w:rsid w:val="00D40183"/>
    <w:rsid w:val="00D44243"/>
    <w:rsid w:val="00D53208"/>
    <w:rsid w:val="00D92AC0"/>
    <w:rsid w:val="00DB3884"/>
    <w:rsid w:val="00DC6893"/>
    <w:rsid w:val="00DD7C48"/>
    <w:rsid w:val="00DE6B25"/>
    <w:rsid w:val="00DF1868"/>
    <w:rsid w:val="00E11A34"/>
    <w:rsid w:val="00E20FBC"/>
    <w:rsid w:val="00E23374"/>
    <w:rsid w:val="00E418DC"/>
    <w:rsid w:val="00E96175"/>
    <w:rsid w:val="00EB3F4C"/>
    <w:rsid w:val="00EE391C"/>
    <w:rsid w:val="00EF638C"/>
    <w:rsid w:val="00F02547"/>
    <w:rsid w:val="00F21D1C"/>
    <w:rsid w:val="00F24187"/>
    <w:rsid w:val="00F53711"/>
    <w:rsid w:val="00F570D9"/>
    <w:rsid w:val="00F6672D"/>
    <w:rsid w:val="00F930DB"/>
    <w:rsid w:val="00FA558C"/>
    <w:rsid w:val="00FE50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0165"/>
  <w15:chartTrackingRefBased/>
  <w15:docId w15:val="{AB362938-43E6-449A-83C1-68D5684A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TC Avant Garde" w:eastAsiaTheme="minorHAnsi" w:hAnsi="ITC Avant Garde"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75D"/>
    <w:rPr>
      <w:rFonts w:asciiTheme="minorHAnsi" w:hAnsiTheme="minorHAnsi"/>
    </w:rPr>
  </w:style>
  <w:style w:type="paragraph" w:styleId="Ttulo1">
    <w:name w:val="heading 1"/>
    <w:basedOn w:val="Normal"/>
    <w:next w:val="Normal"/>
    <w:link w:val="Ttulo1Car"/>
    <w:uiPriority w:val="9"/>
    <w:qFormat/>
    <w:rsid w:val="00E233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233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8402A"/>
    <w:pPr>
      <w:keepNext/>
      <w:keepLines/>
      <w:spacing w:before="40" w:after="0"/>
      <w:outlineLvl w:val="2"/>
    </w:pPr>
    <w:rPr>
      <w:rFonts w:ascii="Calibri Light" w:eastAsia="Times New Roman" w:hAnsi="Calibri Light" w:cs="Times New Roman"/>
      <w:color w:val="1F3763"/>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0475D"/>
    <w:pPr>
      <w:ind w:left="720"/>
      <w:contextualSpacing/>
    </w:pPr>
  </w:style>
  <w:style w:type="character" w:customStyle="1" w:styleId="PrrafodelistaCar">
    <w:name w:val="Párrafo de lista Car"/>
    <w:link w:val="Prrafodelista"/>
    <w:uiPriority w:val="34"/>
    <w:locked/>
    <w:rsid w:val="0020475D"/>
    <w:rPr>
      <w:rFonts w:asciiTheme="minorHAnsi" w:hAnsiTheme="minorHAnsi"/>
    </w:rPr>
  </w:style>
  <w:style w:type="paragraph" w:styleId="Piedepgina">
    <w:name w:val="footer"/>
    <w:basedOn w:val="Normal"/>
    <w:link w:val="PiedepginaCar"/>
    <w:uiPriority w:val="99"/>
    <w:unhideWhenUsed/>
    <w:rsid w:val="002047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475D"/>
    <w:rPr>
      <w:rFonts w:asciiTheme="minorHAnsi" w:hAnsiTheme="minorHAnsi"/>
    </w:rPr>
  </w:style>
  <w:style w:type="table" w:customStyle="1" w:styleId="Tabladelista6concolores11">
    <w:name w:val="Tabla de lista 6 con colores11"/>
    <w:basedOn w:val="Tablanormal"/>
    <w:uiPriority w:val="51"/>
    <w:rsid w:val="0020475D"/>
    <w:pPr>
      <w:spacing w:after="0" w:line="240" w:lineRule="auto"/>
    </w:pPr>
    <w:rPr>
      <w:rFonts w:asciiTheme="minorHAnsi" w:hAnsiTheme="minorHAns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1Car">
    <w:name w:val="Título 1 Car"/>
    <w:basedOn w:val="Fuentedeprrafopredeter"/>
    <w:link w:val="Ttulo1"/>
    <w:uiPriority w:val="9"/>
    <w:rsid w:val="00E2337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E23374"/>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662E99"/>
    <w:rPr>
      <w:sz w:val="16"/>
      <w:szCs w:val="16"/>
    </w:rPr>
  </w:style>
  <w:style w:type="paragraph" w:styleId="Textocomentario">
    <w:name w:val="annotation text"/>
    <w:basedOn w:val="Normal"/>
    <w:link w:val="TextocomentarioCar"/>
    <w:uiPriority w:val="99"/>
    <w:semiHidden/>
    <w:unhideWhenUsed/>
    <w:rsid w:val="00662E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2E99"/>
    <w:rPr>
      <w:rFonts w:asciiTheme="minorHAnsi" w:hAnsiTheme="minorHAnsi"/>
      <w:sz w:val="20"/>
      <w:szCs w:val="20"/>
    </w:rPr>
  </w:style>
  <w:style w:type="paragraph" w:styleId="Asuntodelcomentario">
    <w:name w:val="annotation subject"/>
    <w:basedOn w:val="Textocomentario"/>
    <w:next w:val="Textocomentario"/>
    <w:link w:val="AsuntodelcomentarioCar"/>
    <w:uiPriority w:val="99"/>
    <w:semiHidden/>
    <w:unhideWhenUsed/>
    <w:rsid w:val="00662E99"/>
    <w:rPr>
      <w:b/>
      <w:bCs/>
    </w:rPr>
  </w:style>
  <w:style w:type="character" w:customStyle="1" w:styleId="AsuntodelcomentarioCar">
    <w:name w:val="Asunto del comentario Car"/>
    <w:basedOn w:val="TextocomentarioCar"/>
    <w:link w:val="Asuntodelcomentario"/>
    <w:uiPriority w:val="99"/>
    <w:semiHidden/>
    <w:rsid w:val="00662E99"/>
    <w:rPr>
      <w:rFonts w:asciiTheme="minorHAnsi" w:hAnsiTheme="minorHAnsi"/>
      <w:b/>
      <w:bCs/>
      <w:sz w:val="20"/>
      <w:szCs w:val="20"/>
    </w:rPr>
  </w:style>
  <w:style w:type="paragraph" w:styleId="Textodeglobo">
    <w:name w:val="Balloon Text"/>
    <w:basedOn w:val="Normal"/>
    <w:link w:val="TextodegloboCar"/>
    <w:uiPriority w:val="99"/>
    <w:semiHidden/>
    <w:unhideWhenUsed/>
    <w:rsid w:val="00662E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2E99"/>
    <w:rPr>
      <w:rFonts w:ascii="Segoe UI" w:hAnsi="Segoe UI" w:cs="Segoe UI"/>
      <w:sz w:val="18"/>
      <w:szCs w:val="18"/>
    </w:rPr>
  </w:style>
  <w:style w:type="paragraph" w:customStyle="1" w:styleId="Ttulo31">
    <w:name w:val="Título 31"/>
    <w:basedOn w:val="Normal"/>
    <w:next w:val="Normal"/>
    <w:uiPriority w:val="9"/>
    <w:semiHidden/>
    <w:unhideWhenUsed/>
    <w:qFormat/>
    <w:rsid w:val="0068402A"/>
    <w:pPr>
      <w:keepNext/>
      <w:keepLines/>
      <w:spacing w:before="40" w:after="0"/>
      <w:outlineLvl w:val="2"/>
    </w:pPr>
    <w:rPr>
      <w:rFonts w:ascii="Calibri Light" w:eastAsia="Times New Roman" w:hAnsi="Calibri Light" w:cs="Times New Roman"/>
      <w:color w:val="1F3763"/>
      <w:sz w:val="24"/>
      <w:szCs w:val="24"/>
    </w:rPr>
  </w:style>
  <w:style w:type="numbering" w:customStyle="1" w:styleId="Sinlista1">
    <w:name w:val="Sin lista1"/>
    <w:next w:val="Sinlista"/>
    <w:uiPriority w:val="99"/>
    <w:semiHidden/>
    <w:unhideWhenUsed/>
    <w:rsid w:val="0068402A"/>
  </w:style>
  <w:style w:type="table" w:styleId="Tablaconcuadrcula">
    <w:name w:val="Table Grid"/>
    <w:basedOn w:val="Tablanormal"/>
    <w:uiPriority w:val="39"/>
    <w:rsid w:val="0068402A"/>
    <w:pPr>
      <w:spacing w:after="0" w:line="240" w:lineRule="auto"/>
      <w:jc w:val="both"/>
    </w:pPr>
    <w:rPr>
      <w:rFonts w:ascii="Candara" w:hAnsi="Candara"/>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68402A"/>
    <w:rPr>
      <w:color w:val="0563C1"/>
      <w:u w:val="single"/>
    </w:rPr>
  </w:style>
  <w:style w:type="character" w:customStyle="1" w:styleId="UnresolvedMention">
    <w:name w:val="Unresolved Mention"/>
    <w:basedOn w:val="Fuentedeprrafopredeter"/>
    <w:uiPriority w:val="99"/>
    <w:semiHidden/>
    <w:unhideWhenUsed/>
    <w:rsid w:val="0068402A"/>
    <w:rPr>
      <w:color w:val="605E5C"/>
      <w:shd w:val="clear" w:color="auto" w:fill="E1DFDD"/>
    </w:rPr>
  </w:style>
  <w:style w:type="character" w:customStyle="1" w:styleId="Ttulo3Car">
    <w:name w:val="Título 3 Car"/>
    <w:basedOn w:val="Fuentedeprrafopredeter"/>
    <w:link w:val="Ttulo3"/>
    <w:uiPriority w:val="9"/>
    <w:rsid w:val="0068402A"/>
    <w:rPr>
      <w:rFonts w:ascii="Calibri Light" w:eastAsia="Times New Roman" w:hAnsi="Calibri Light" w:cs="Times New Roman"/>
      <w:color w:val="1F3763"/>
      <w:sz w:val="24"/>
      <w:szCs w:val="24"/>
    </w:rPr>
  </w:style>
  <w:style w:type="paragraph" w:customStyle="1" w:styleId="Normal1">
    <w:name w:val="Normal1"/>
    <w:rsid w:val="0068402A"/>
    <w:rPr>
      <w:rFonts w:ascii="Calibri" w:eastAsia="Calibri" w:hAnsi="Calibri" w:cs="Calibri"/>
      <w:color w:val="000000"/>
      <w:lang w:eastAsia="es-ES"/>
    </w:rPr>
  </w:style>
  <w:style w:type="paragraph" w:styleId="Sinespaciado">
    <w:name w:val="No Spacing"/>
    <w:uiPriority w:val="1"/>
    <w:qFormat/>
    <w:rsid w:val="0068402A"/>
    <w:pPr>
      <w:spacing w:after="0" w:line="240" w:lineRule="auto"/>
    </w:pPr>
    <w:rPr>
      <w:rFonts w:ascii="Calibri" w:eastAsia="Calibri" w:hAnsi="Calibri" w:cs="Times New Roman"/>
    </w:rPr>
  </w:style>
  <w:style w:type="paragraph" w:customStyle="1" w:styleId="Default">
    <w:name w:val="Default"/>
    <w:rsid w:val="0068402A"/>
    <w:pPr>
      <w:autoSpaceDE w:val="0"/>
      <w:autoSpaceDN w:val="0"/>
      <w:adjustRightInd w:val="0"/>
      <w:spacing w:after="0" w:line="240" w:lineRule="auto"/>
    </w:pPr>
    <w:rPr>
      <w:rFonts w:ascii="Arial" w:hAnsi="Arial" w:cs="Arial"/>
      <w:color w:val="000000"/>
      <w:sz w:val="24"/>
      <w:szCs w:val="24"/>
    </w:rPr>
  </w:style>
  <w:style w:type="table" w:customStyle="1" w:styleId="Tabladelista6concolores111">
    <w:name w:val="Tabla de lista 6 con colores111"/>
    <w:basedOn w:val="Tablanormal"/>
    <w:uiPriority w:val="51"/>
    <w:rsid w:val="0068402A"/>
    <w:pPr>
      <w:spacing w:after="0" w:line="240" w:lineRule="auto"/>
    </w:pPr>
    <w:rPr>
      <w:rFonts w:ascii="Calibri" w:hAnsi="Calibri"/>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extonotapie">
    <w:name w:val="footnote text"/>
    <w:basedOn w:val="Normal"/>
    <w:link w:val="TextonotapieCar"/>
    <w:uiPriority w:val="99"/>
    <w:semiHidden/>
    <w:unhideWhenUsed/>
    <w:rsid w:val="0068402A"/>
    <w:pPr>
      <w:spacing w:after="0" w:line="240" w:lineRule="auto"/>
    </w:pPr>
    <w:rPr>
      <w:rFonts w:ascii="Candara" w:hAnsi="Candara"/>
      <w:color w:val="404040"/>
      <w:sz w:val="20"/>
      <w:szCs w:val="20"/>
    </w:rPr>
  </w:style>
  <w:style w:type="character" w:customStyle="1" w:styleId="TextonotapieCar">
    <w:name w:val="Texto nota pie Car"/>
    <w:basedOn w:val="Fuentedeprrafopredeter"/>
    <w:link w:val="Textonotapie"/>
    <w:uiPriority w:val="99"/>
    <w:semiHidden/>
    <w:rsid w:val="0068402A"/>
    <w:rPr>
      <w:rFonts w:ascii="Candara" w:hAnsi="Candara"/>
      <w:color w:val="404040"/>
      <w:sz w:val="20"/>
      <w:szCs w:val="20"/>
    </w:rPr>
  </w:style>
  <w:style w:type="character" w:styleId="Refdenotaalpie">
    <w:name w:val="footnote reference"/>
    <w:basedOn w:val="Fuentedeprrafopredeter"/>
    <w:uiPriority w:val="99"/>
    <w:semiHidden/>
    <w:unhideWhenUsed/>
    <w:rsid w:val="0068402A"/>
    <w:rPr>
      <w:vertAlign w:val="superscript"/>
    </w:rPr>
  </w:style>
  <w:style w:type="paragraph" w:styleId="Encabezado">
    <w:name w:val="header"/>
    <w:basedOn w:val="Normal"/>
    <w:link w:val="EncabezadoCar"/>
    <w:uiPriority w:val="99"/>
    <w:unhideWhenUsed/>
    <w:rsid w:val="0068402A"/>
    <w:pPr>
      <w:tabs>
        <w:tab w:val="center" w:pos="4419"/>
        <w:tab w:val="right" w:pos="8838"/>
      </w:tabs>
      <w:spacing w:after="0" w:line="240" w:lineRule="auto"/>
    </w:pPr>
    <w:rPr>
      <w:rFonts w:ascii="Candara" w:hAnsi="Candara"/>
      <w:color w:val="404040"/>
    </w:rPr>
  </w:style>
  <w:style w:type="character" w:customStyle="1" w:styleId="EncabezadoCar">
    <w:name w:val="Encabezado Car"/>
    <w:basedOn w:val="Fuentedeprrafopredeter"/>
    <w:link w:val="Encabezado"/>
    <w:uiPriority w:val="99"/>
    <w:rsid w:val="0068402A"/>
    <w:rPr>
      <w:rFonts w:ascii="Candara" w:hAnsi="Candara"/>
      <w:color w:val="404040"/>
    </w:rPr>
  </w:style>
  <w:style w:type="character" w:styleId="Hipervnculo">
    <w:name w:val="Hyperlink"/>
    <w:basedOn w:val="Fuentedeprrafopredeter"/>
    <w:uiPriority w:val="99"/>
    <w:semiHidden/>
    <w:unhideWhenUsed/>
    <w:rsid w:val="0068402A"/>
    <w:rPr>
      <w:color w:val="0563C1" w:themeColor="hyperlink"/>
      <w:u w:val="single"/>
    </w:rPr>
  </w:style>
  <w:style w:type="character" w:customStyle="1" w:styleId="Ttulo3Car1">
    <w:name w:val="Título 3 Car1"/>
    <w:basedOn w:val="Fuentedeprrafopredeter"/>
    <w:uiPriority w:val="9"/>
    <w:semiHidden/>
    <w:rsid w:val="0068402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8"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FD35B98907514428905968C64F00757" ma:contentTypeVersion="0" ma:contentTypeDescription="Crear nuevo documento." ma:contentTypeScope="" ma:versionID="f7a75ae963fd4e49eba738334529be9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EF935-B73E-4478-BBC5-4E93F02BC04C}">
  <ds:schemaRefs>
    <ds:schemaRef ds:uri="http://schemas.microsoft.com/sharepoint/v3/contenttype/forms"/>
  </ds:schemaRefs>
</ds:datastoreItem>
</file>

<file path=customXml/itemProps2.xml><?xml version="1.0" encoding="utf-8"?>
<ds:datastoreItem xmlns:ds="http://schemas.openxmlformats.org/officeDocument/2006/customXml" ds:itemID="{A8A17B84-6BD5-4778-B877-B976DAE7E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FA0619-A233-4A4E-87FD-EFC283F5A513}">
  <ds:schemaRefs>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E387FDF-3079-4850-9144-09DE14BB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10574</Words>
  <Characters>58162</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Bueno Ibarra</dc:creator>
  <cp:keywords/>
  <dc:description/>
  <cp:lastModifiedBy>Yaratzet Funes Lopez</cp:lastModifiedBy>
  <cp:revision>3</cp:revision>
  <cp:lastPrinted>2018-12-05T16:04:00Z</cp:lastPrinted>
  <dcterms:created xsi:type="dcterms:W3CDTF">2018-12-05T16:03:00Z</dcterms:created>
  <dcterms:modified xsi:type="dcterms:W3CDTF">2018-12-05T16:04:00Z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0x0101005FD35B98907514428905968C64F00757</vt:lpwstr>
  </property>
</Properties>
</file>