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0"/>
        <w:gridCol w:w="2976"/>
        <w:gridCol w:w="2882"/>
      </w:tblGrid>
      <w:tr w:rsidR="00501ADF" w:rsidRPr="00451B7D" w14:paraId="1488B188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4410292B" w14:textId="22853504" w:rsidR="00501ADF" w:rsidRPr="00451B7D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B08303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42F50ED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4C1E679" w14:textId="77777777" w:rsidR="00910E47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  <w:r w:rsidR="00E022C0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6360D2ED" w14:textId="7C9D45D1" w:rsidR="0068307E" w:rsidRPr="00A60DF4" w:rsidRDefault="005237F5" w:rsidP="00910E4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A60DF4">
              <w:rPr>
                <w:rFonts w:ascii="ITC Avant Garde" w:eastAsia="Calibri" w:hAnsi="ITC Avant Garde" w:cs="Times New Roman"/>
                <w:sz w:val="20"/>
                <w:szCs w:val="20"/>
              </w:rPr>
              <w:t>Anteproyecto de modificación a la Disposición Técnica IFT-011-2017: Especificaciones técnicas de los equipos terminales móviles que puedan hacer uso del espectro radioeléctrico o ser conectados a redes de telecomunicaciones. Parte 2. Equipos terminales móviles que operan en las bandas de 700 MHz, 800 MHz, 850 MHz, 1900 MHz, 1700 MHz/2100 MHz y/o 2500 MHz.</w:t>
            </w:r>
          </w:p>
        </w:tc>
      </w:tr>
      <w:tr w:rsidR="0068307E" w:rsidRPr="00451B7D" w14:paraId="61C511B7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5B0F634E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78618A50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51041D3E" w14:textId="7EFEF4A7" w:rsidR="0068307E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910E47">
              <w:rPr>
                <w:rFonts w:ascii="ITC Avant Garde" w:hAnsi="ITC Avant Garde"/>
                <w:sz w:val="18"/>
                <w:szCs w:val="18"/>
              </w:rPr>
              <w:t>Dra. Nimbe Leonor Ewald Aró</w:t>
            </w:r>
            <w:r w:rsidR="00910E47" w:rsidRPr="00910E47">
              <w:rPr>
                <w:rFonts w:ascii="ITC Avant Garde" w:hAnsi="ITC Avant Garde"/>
                <w:sz w:val="18"/>
                <w:szCs w:val="18"/>
              </w:rPr>
              <w:t>stegui</w:t>
            </w:r>
            <w:r w:rsidR="00910E4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E96D75E" w14:textId="6F63C5B6" w:rsidR="00910E47" w:rsidRPr="00CF3DD0" w:rsidRDefault="00910E47" w:rsidP="00910E47">
            <w:pPr>
              <w:rPr>
                <w:rFonts w:ascii="ITC Avant Garde" w:hAnsi="ITC Avant Garde" w:cstheme="minorHAnsi"/>
                <w:sz w:val="20"/>
                <w:szCs w:val="20"/>
              </w:rPr>
            </w:pPr>
            <w:r w:rsidRPr="00CF3DD0">
              <w:rPr>
                <w:rFonts w:ascii="ITC Avant Garde" w:hAnsi="ITC Avant Garde" w:cstheme="minorHAnsi"/>
                <w:sz w:val="20"/>
                <w:szCs w:val="20"/>
              </w:rPr>
              <w:t>Ing. Horacio Villalobos Tlatempa</w:t>
            </w:r>
            <w:r>
              <w:rPr>
                <w:rFonts w:ascii="ITC Avant Garde" w:hAnsi="ITC Avant Garde" w:cstheme="minorHAnsi"/>
                <w:sz w:val="20"/>
                <w:szCs w:val="20"/>
              </w:rPr>
              <w:t>.</w:t>
            </w:r>
          </w:p>
          <w:p w14:paraId="25E2A8DE" w14:textId="29EBBD6C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10E47">
              <w:rPr>
                <w:rFonts w:ascii="ITC Avant Garde" w:hAnsi="ITC Avant Garde"/>
                <w:b/>
                <w:sz w:val="18"/>
                <w:szCs w:val="18"/>
              </w:rPr>
              <w:t>Teléfono: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10E47" w:rsidRPr="00CF3DD0">
              <w:rPr>
                <w:rFonts w:ascii="ITC Avant Garde" w:hAnsi="ITC Avant Garde" w:cstheme="minorHAnsi"/>
                <w:sz w:val="20"/>
                <w:szCs w:val="20"/>
              </w:rPr>
              <w:t>5015-4382</w:t>
            </w:r>
          </w:p>
          <w:p w14:paraId="03752238" w14:textId="77777777" w:rsidR="0068307E" w:rsidRPr="00910E47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10E47">
              <w:rPr>
                <w:rFonts w:ascii="ITC Avant Garde" w:hAnsi="ITC Avant Garde"/>
                <w:b/>
                <w:sz w:val="18"/>
                <w:szCs w:val="18"/>
              </w:rPr>
              <w:t>Correo electrónico:</w:t>
            </w:r>
          </w:p>
          <w:p w14:paraId="57365ADE" w14:textId="77777777" w:rsidR="00910E47" w:rsidRPr="00CF3DD0" w:rsidRDefault="00EC1660" w:rsidP="00910E47">
            <w:pPr>
              <w:rPr>
                <w:rFonts w:ascii="ITC Avant Garde" w:hAnsi="ITC Avant Garde" w:cstheme="minorHAnsi"/>
                <w:sz w:val="20"/>
                <w:szCs w:val="20"/>
              </w:rPr>
            </w:pPr>
            <w:hyperlink r:id="rId11" w:history="1">
              <w:r w:rsidR="00910E47" w:rsidRPr="00CF3DD0">
                <w:rPr>
                  <w:rStyle w:val="Hipervnculo"/>
                  <w:rFonts w:ascii="ITC Avant Garde" w:hAnsi="ITC Avant Garde" w:cstheme="minorHAnsi"/>
                  <w:sz w:val="20"/>
                  <w:szCs w:val="20"/>
                </w:rPr>
                <w:t>nimbe.ewald@ift.org.mx</w:t>
              </w:r>
            </w:hyperlink>
            <w:r w:rsidR="00910E47" w:rsidRPr="00CF3DD0">
              <w:rPr>
                <w:rFonts w:ascii="ITC Avant Garde" w:hAnsi="ITC Avant Garde" w:cstheme="minorHAnsi"/>
                <w:sz w:val="20"/>
                <w:szCs w:val="20"/>
              </w:rPr>
              <w:t xml:space="preserve"> </w:t>
            </w:r>
          </w:p>
          <w:p w14:paraId="3FAE8274" w14:textId="70306A57" w:rsidR="0068307E" w:rsidRPr="00910E47" w:rsidRDefault="00EC1660" w:rsidP="00910E47">
            <w:pPr>
              <w:rPr>
                <w:rFonts w:ascii="ITC Avant Garde" w:hAnsi="ITC Avant Garde" w:cstheme="minorHAnsi"/>
                <w:sz w:val="20"/>
                <w:szCs w:val="20"/>
              </w:rPr>
            </w:pPr>
            <w:hyperlink r:id="rId12" w:history="1">
              <w:r w:rsidR="00910E47" w:rsidRPr="00CF3DD0">
                <w:rPr>
                  <w:rStyle w:val="Hipervnculo"/>
                  <w:rFonts w:ascii="ITC Avant Garde" w:hAnsi="ITC Avant Garde" w:cstheme="minorHAnsi"/>
                  <w:sz w:val="20"/>
                  <w:szCs w:val="20"/>
                </w:rPr>
                <w:t>horacio.villalobos@ift.org.mx</w:t>
              </w:r>
            </w:hyperlink>
            <w:r w:rsidR="00910E47" w:rsidRPr="00CF3DD0">
              <w:rPr>
                <w:rFonts w:ascii="ITC Avant Garde" w:hAnsi="ITC Avant Garde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4CF7A41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691C87C" w14:textId="1A2A7B58" w:rsidR="0068307E" w:rsidRPr="00451B7D" w:rsidRDefault="00EA353C" w:rsidP="00E022C0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08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 w:rsidR="00E022C0">
              <w:rPr>
                <w:rFonts w:ascii="ITC Avant Garde" w:hAnsi="ITC Avant Garde"/>
                <w:sz w:val="18"/>
                <w:szCs w:val="18"/>
              </w:rPr>
              <w:t>05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 w:rsidR="00E022C0">
              <w:rPr>
                <w:rFonts w:ascii="ITC Avant Garde" w:hAnsi="ITC Avant Garde"/>
                <w:sz w:val="18"/>
                <w:szCs w:val="18"/>
              </w:rPr>
              <w:t>2018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</w:tr>
      <w:tr w:rsidR="0068307E" w:rsidRPr="00451B7D" w14:paraId="0AF74691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60457D0F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64DB91A6" w14:textId="77777777" w:rsidR="0068307E" w:rsidRPr="00451B7D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66F680B" w14:textId="6A524455" w:rsidR="0068307E" w:rsidRPr="00451B7D" w:rsidRDefault="00A60DF4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25/05/2018 a 03/06/2018</w:t>
            </w:r>
          </w:p>
        </w:tc>
      </w:tr>
    </w:tbl>
    <w:p w14:paraId="4B5AD09D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7601E9C1" w14:textId="0BB573C6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446A9369" w14:textId="77777777" w:rsidTr="008A48B0">
        <w:tc>
          <w:tcPr>
            <w:tcW w:w="8828" w:type="dxa"/>
            <w:shd w:val="clear" w:color="auto" w:fill="FFFFFF" w:themeFill="background1"/>
          </w:tcPr>
          <w:p w14:paraId="42717F55" w14:textId="3B3F928D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172EC137" w14:textId="77777777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0A39472" w14:textId="77777777" w:rsidR="00795ED9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>El 19 de abril de 2018 se recibió en el Instituto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Federal de Telecomunicaciones (en lo sucesivo</w:t>
            </w:r>
            <w:r w:rsidR="0052614B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“Instituto”)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un escrito de la Asociación Nacional de Telecomunicaciones (en lo sucesivo, “ANATEL”), mediante el cual hace del con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ocimiento del Instituto que algunos de los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equipos terminales 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móviles de los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socios de ANATEL han llevado a cabo </w:t>
            </w:r>
            <w:r w:rsidR="00952BA6">
              <w:rPr>
                <w:rFonts w:ascii="ITC Avant Garde" w:hAnsi="ITC Avant Garde"/>
                <w:sz w:val="18"/>
                <w:szCs w:val="18"/>
              </w:rPr>
              <w:t>los métodos de prueba establecidos en la DISPOSICIÓN TÉCNICA IFT-011-2017</w:t>
            </w:r>
            <w:r w:rsidR="00952BA6" w:rsidRPr="00952BA6">
              <w:rPr>
                <w:rFonts w:ascii="ITC Avant Garde" w:hAnsi="ITC Avant Garde"/>
                <w:sz w:val="18"/>
                <w:szCs w:val="18"/>
              </w:rPr>
              <w:t>: ESPECIFICACIONES TÉCNICAS DE LOS EQUIPOS TERMINALES MÓVILES QUE PUEDAN HACER USO DEL ESPECTRO RADIOELÉCTRICO O SER CONECTADOS A REDES DE TELECOMUNICACIONES. PARTE 2. EQUIPOS TERMINALES MÓVILES QUE OPERAN EN LAS BANDAS DE 700 MHz, 800 MHz, 850 MHz, 1900 MHz,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 1700 MHz/2100 MHz Y/O 2500 MHz (en lo sucesivo, Disposición Técnica IFT-011-2017) 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y han encontrado que la configuración del analizador de espectro establecida en </w:t>
            </w:r>
            <w:r w:rsidR="00952BA6">
              <w:rPr>
                <w:rFonts w:ascii="ITC Avant Garde" w:hAnsi="ITC Avant Garde"/>
                <w:sz w:val="18"/>
                <w:szCs w:val="18"/>
              </w:rPr>
              <w:t>dicha d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isposición puede impactar en la evaluación de cumplimiento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 de los referidos equipos</w:t>
            </w:r>
            <w:r w:rsidR="00795ED9">
              <w:rPr>
                <w:rFonts w:ascii="ITC Avant Garde" w:hAnsi="ITC Avant Garde"/>
                <w:sz w:val="18"/>
                <w:szCs w:val="18"/>
              </w:rPr>
              <w:t xml:space="preserve"> terminales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5B72DEF3" w14:textId="77777777" w:rsidR="00795ED9" w:rsidRDefault="00795ED9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1BEE23D" w14:textId="5EED6637" w:rsidR="00E022C0" w:rsidRPr="00E022C0" w:rsidRDefault="00795ED9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Lo anterior debido a que en dichos ejercicios de evaluación se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obtuvieron lecturas con mayor nivel de amplitud al utilizar únicamente </w:t>
            </w:r>
            <w:r>
              <w:rPr>
                <w:rFonts w:ascii="ITC Avant Garde" w:hAnsi="ITC Avant Garde"/>
                <w:sz w:val="18"/>
                <w:szCs w:val="18"/>
              </w:rPr>
              <w:t>la configuración de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detector “pico” y traza con “retención máxima de imagen” (max hold), que aquellas obtenidas </w:t>
            </w:r>
            <w:r w:rsidR="00FB3C91">
              <w:rPr>
                <w:rFonts w:ascii="ITC Avant Garde" w:hAnsi="ITC Avant Garde"/>
                <w:sz w:val="18"/>
                <w:szCs w:val="18"/>
              </w:rPr>
              <w:t xml:space="preserve">con una configuración de 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>detector</w:t>
            </w:r>
            <w:r w:rsidR="00FB3C91">
              <w:rPr>
                <w:rFonts w:ascii="ITC Avant Garde" w:hAnsi="ITC Avant Garde"/>
                <w:sz w:val="18"/>
                <w:szCs w:val="18"/>
              </w:rPr>
              <w:t xml:space="preserve"> “RMS” y traza “promedio”. Siendo esta una configuración también incluida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en estándares internacionales.</w:t>
            </w:r>
          </w:p>
          <w:p w14:paraId="3FB95E4C" w14:textId="77777777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2FA0B0A" w14:textId="3D3A2AF2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 xml:space="preserve">Por lo que </w:t>
            </w:r>
            <w:r w:rsidR="00FB3C91">
              <w:rPr>
                <w:rFonts w:ascii="ITC Avant Garde" w:hAnsi="ITC Avant Garde"/>
                <w:sz w:val="18"/>
                <w:szCs w:val="18"/>
              </w:rPr>
              <w:t>proponen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fortalec</w:t>
            </w:r>
            <w:r w:rsidR="00FB3C91">
              <w:rPr>
                <w:rFonts w:ascii="ITC Avant Garde" w:hAnsi="ITC Avant Garde"/>
                <w:sz w:val="18"/>
                <w:szCs w:val="18"/>
              </w:rPr>
              <w:t>er los métodos de prueba de la Disposición Técnica IFT-011-2017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9F5C7C">
              <w:rPr>
                <w:rFonts w:ascii="ITC Avant Garde" w:hAnsi="ITC Avant Garde"/>
                <w:sz w:val="18"/>
                <w:szCs w:val="18"/>
              </w:rPr>
              <w:t xml:space="preserve">robusteciendo </w:t>
            </w:r>
            <w:r w:rsidR="009F5C7C" w:rsidRPr="00E022C0">
              <w:rPr>
                <w:rFonts w:ascii="ITC Avant Garde" w:hAnsi="ITC Avant Garde"/>
                <w:sz w:val="18"/>
                <w:szCs w:val="18"/>
              </w:rPr>
              <w:t>así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el proceso de evaluación de la conformidad de la disposició</w:t>
            </w:r>
            <w:r w:rsidR="009F5C7C">
              <w:rPr>
                <w:rFonts w:ascii="ITC Avant Garde" w:hAnsi="ITC Avant Garde"/>
                <w:sz w:val="18"/>
                <w:szCs w:val="18"/>
              </w:rPr>
              <w:t>n de mérito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, anexando lo que se contempla en el numeral 6.1. del documento </w:t>
            </w:r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“Measurement guidance for certification of licensed digital transmitters, FCC, KDB Publication 971168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”, particularmente a lo que se refiere a:</w:t>
            </w:r>
          </w:p>
          <w:p w14:paraId="43719B82" w14:textId="77777777" w:rsidR="00E022C0" w:rsidRP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D86400C" w14:textId="32030FDE" w:rsidR="00E022C0" w:rsidRPr="00E022C0" w:rsidRDefault="00E022C0" w:rsidP="00E022C0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>Detector = RMS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253D5CA" w14:textId="7F44F59D" w:rsidR="00E022C0" w:rsidRDefault="00E022C0" w:rsidP="00E022C0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lastRenderedPageBreak/>
              <w:t>Traza = Promedio (average)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305FC372" w14:textId="77777777" w:rsidR="0052614B" w:rsidRDefault="0052614B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53D8086" w14:textId="66456CF7" w:rsidR="00E022C0" w:rsidRPr="00E022C0" w:rsidRDefault="009F5C7C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el mismo tenor se manifiesta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la Cámara Nacional de la Industria Electrónica de Telecomunicaciones y Tecnologías de la Información, (en adelante, “CANIETI”)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en su escrito </w:t>
            </w:r>
            <w:r w:rsidR="003D59B8">
              <w:rPr>
                <w:rFonts w:ascii="ITC Avant Garde" w:hAnsi="ITC Avant Garde"/>
                <w:sz w:val="18"/>
                <w:szCs w:val="18"/>
              </w:rPr>
              <w:t>de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fecha 20 de abril de 2018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3785BDC" w14:textId="40994EA8" w:rsidR="00E022C0" w:rsidRPr="00B505DC" w:rsidRDefault="00E022C0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1FC1C84" w14:textId="03C085DC" w:rsidR="00B52348" w:rsidRDefault="00B52348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 xml:space="preserve">Ahora bien,  el procedimiento de la Evaluación de la Conformidad previsto en la Disposición Técnica se lleva a cabo por Organismos de Certificación y Laboratorios de Prueba, siempre y cuando se encuentren en condiciones de realizarla conforme a lo dispuesto en la Disposición Técnica, requiriendo de la acreditación respectiva por un Organismo de Acreditación autorizado por el Instituto y de la autorización respectiva del mismo Instituto en un plazo no mayor a 180 días a partir de la entrada en vigor de la presente disposición. </w:t>
            </w:r>
          </w:p>
          <w:p w14:paraId="0BDBF9DB" w14:textId="77777777" w:rsidR="005237F5" w:rsidRPr="00B52348" w:rsidRDefault="005237F5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FDEADCC" w14:textId="6D002B3E" w:rsidR="00B52348" w:rsidRDefault="00B52348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>En este tenor, es preciso señalar que ya existen Laboratorios de Prueba acreditados en la Disposición Técnica en comento, los cuales realizarán los procedimientos de Evaluación de la Conformidad conforme a lo establecido en la disposición de mérito, y que las diferencias en la configuración del analizador de espectro, en algunos casos, impactarían la conformidad de los Equipos Terminales Móviles respecto a la Disposición Técnica IFT-011-2017 Parte 2. Consecuentemente, lo anterior impactaría el tiempo previsto para obtener el certificado de homologación correspondiente.</w:t>
            </w:r>
          </w:p>
          <w:p w14:paraId="3A87E681" w14:textId="77777777" w:rsidR="005237F5" w:rsidRPr="00B52348" w:rsidRDefault="005237F5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CBE4DA3" w14:textId="7D957882" w:rsidR="00B52348" w:rsidRPr="00B505DC" w:rsidRDefault="00B52348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>Vale la pena resaltar lo manifestado por CANIETI en su escrito de mérito en el sentido que el referido Anteproyecto de modificación no crea nuevas obligaciones y la necesidad de solventar la problemática planteada a la brevedad</w:t>
            </w:r>
            <w:r w:rsidR="005237F5" w:rsidRPr="00B52348">
              <w:rPr>
                <w:rFonts w:ascii="ITC Avant Garde" w:hAnsi="ITC Avant Garde"/>
                <w:sz w:val="18"/>
                <w:szCs w:val="18"/>
              </w:rPr>
              <w:t>: “</w:t>
            </w:r>
            <w:r w:rsidRPr="00B505DC">
              <w:rPr>
                <w:rFonts w:ascii="ITC Avant Garde" w:hAnsi="ITC Avant Garde"/>
                <w:sz w:val="18"/>
                <w:szCs w:val="18"/>
              </w:rPr>
              <w:t>Dado que no se harían cambios ni a los límites ni a las obligaciones establecidos en la Disposición Técnica, consideramos que una aclaración, sin necesidad, en su caso, de Consulta Pública, podría solventar los desafíos que el mercado enfrentaría a la brevedad.”</w:t>
            </w:r>
          </w:p>
          <w:p w14:paraId="546B547A" w14:textId="77777777" w:rsidR="00B52348" w:rsidRPr="00B505DC" w:rsidRDefault="00B52348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31C9EF7" w14:textId="77777777" w:rsidR="00E022C0" w:rsidRDefault="00E022C0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B70C94" w14:textId="53510D4E" w:rsidR="00E022C0" w:rsidRPr="00451B7D" w:rsidRDefault="00E022C0" w:rsidP="00B505DC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A652C">
              <w:rPr>
                <w:rFonts w:ascii="ITC Avant Garde" w:hAnsi="ITC Avant Garde"/>
                <w:sz w:val="18"/>
                <w:szCs w:val="18"/>
              </w:rPr>
              <w:t xml:space="preserve">En ese orden de ideas, analizando y, en su caso, atendiendo a la problemática expuesta, se </w:t>
            </w:r>
            <w:r w:rsidR="009E251C">
              <w:rPr>
                <w:rFonts w:ascii="ITC Avant Garde" w:hAnsi="ITC Avant Garde"/>
                <w:sz w:val="18"/>
                <w:szCs w:val="18"/>
              </w:rPr>
              <w:t>modifican</w:t>
            </w:r>
            <w:r w:rsidRPr="009A652C">
              <w:rPr>
                <w:rFonts w:ascii="ITC Avant Garde" w:hAnsi="ITC Avant Garde"/>
                <w:sz w:val="18"/>
                <w:szCs w:val="18"/>
              </w:rPr>
              <w:t xml:space="preserve"> los numerales 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5.6 párrafo primero; 5.6.1, título, inciso b</w:t>
            </w:r>
            <w:r w:rsidR="00F17C67">
              <w:rPr>
                <w:rFonts w:ascii="ITC Avant Garde" w:hAnsi="ITC Avant Garde"/>
                <w:sz w:val="18"/>
                <w:szCs w:val="18"/>
              </w:rPr>
              <w:t>.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), título, numeral 1 título, fracciones I, III, IV y V</w:t>
            </w:r>
            <w:r w:rsidR="00F17C67">
              <w:rPr>
                <w:rFonts w:ascii="ITC Avant Garde" w:hAnsi="ITC Avant Garde"/>
                <w:sz w:val="18"/>
                <w:szCs w:val="18"/>
              </w:rPr>
              <w:t>,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 xml:space="preserve"> y numeral 2 título, fracciones I, III, IV y V; </w:t>
            </w:r>
            <w:r w:rsidR="00F17C67">
              <w:rPr>
                <w:rFonts w:ascii="ITC Avant Garde" w:hAnsi="ITC Avant Garde"/>
                <w:sz w:val="18"/>
                <w:szCs w:val="18"/>
              </w:rPr>
              <w:t>numeral 5.6.2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, inciso b</w:t>
            </w:r>
            <w:r w:rsidR="00F17C67">
              <w:rPr>
                <w:rFonts w:ascii="ITC Avant Garde" w:hAnsi="ITC Avant Garde"/>
                <w:sz w:val="18"/>
                <w:szCs w:val="18"/>
              </w:rPr>
              <w:t>.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)</w:t>
            </w:r>
            <w:r w:rsidR="00F17C67">
              <w:rPr>
                <w:rFonts w:ascii="ITC Avant Garde" w:hAnsi="ITC Avant Garde"/>
                <w:sz w:val="18"/>
                <w:szCs w:val="18"/>
              </w:rPr>
              <w:t>,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 xml:space="preserve"> fracciones III, IV, V y VI</w:t>
            </w:r>
            <w:r w:rsidR="00F17C67">
              <w:rPr>
                <w:rFonts w:ascii="ITC Avant Garde" w:hAnsi="ITC Avant Garde"/>
                <w:sz w:val="18"/>
                <w:szCs w:val="18"/>
              </w:rPr>
              <w:t>,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 xml:space="preserve"> y </w:t>
            </w:r>
            <w:r w:rsidR="00F17C67">
              <w:rPr>
                <w:rFonts w:ascii="ITC Avant Garde" w:hAnsi="ITC Avant Garde"/>
                <w:sz w:val="18"/>
                <w:szCs w:val="18"/>
              </w:rPr>
              <w:t xml:space="preserve">numeral 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5.6.3, inciso b</w:t>
            </w:r>
            <w:r w:rsidR="00F17C67">
              <w:rPr>
                <w:rFonts w:ascii="ITC Avant Garde" w:hAnsi="ITC Avant Garde"/>
                <w:sz w:val="18"/>
                <w:szCs w:val="18"/>
              </w:rPr>
              <w:t>.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>)</w:t>
            </w:r>
            <w:r w:rsidR="00F17C67">
              <w:rPr>
                <w:rFonts w:ascii="ITC Avant Garde" w:hAnsi="ITC Avant Garde"/>
                <w:sz w:val="18"/>
                <w:szCs w:val="18"/>
              </w:rPr>
              <w:t>,</w:t>
            </w:r>
            <w:r w:rsidR="009A652C" w:rsidRPr="009A652C">
              <w:rPr>
                <w:rFonts w:ascii="ITC Avant Garde" w:hAnsi="ITC Avant Garde"/>
                <w:sz w:val="18"/>
                <w:szCs w:val="18"/>
              </w:rPr>
              <w:t xml:space="preserve"> fracciones III, IV, V y VI de la Disposición Técnica IFT-011-2017 Parte 2.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4CC01DA5" w14:textId="77777777" w:rsidTr="00B41497">
        <w:tc>
          <w:tcPr>
            <w:tcW w:w="8828" w:type="dxa"/>
          </w:tcPr>
          <w:p w14:paraId="47A5F08C" w14:textId="6B71FC6F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4D4990E2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4409F6B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58D5952D" w14:textId="77777777" w:rsidTr="00B41497">
              <w:tc>
                <w:tcPr>
                  <w:tcW w:w="1462" w:type="dxa"/>
                </w:tcPr>
                <w:p w14:paraId="1A480ADE" w14:textId="19FBF03C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 ( </w:t>
                  </w:r>
                  <w:r w:rsid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) No ( </w:t>
                  </w:r>
                  <w:r w:rsidR="00731A3B">
                    <w:rPr>
                      <w:rFonts w:ascii="ITC Avant Garde" w:hAnsi="ITC Avant Garde"/>
                      <w:sz w:val="18"/>
                      <w:szCs w:val="18"/>
                    </w:rPr>
                    <w:t>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4C8D7D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80CE33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17590D8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427C9F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D9062FD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2FB3A48C" w14:textId="1043C299" w:rsidR="00B41497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19BC5EF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0767070" w14:textId="77777777" w:rsidR="00596FDE" w:rsidRPr="00451B7D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6685CE1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13E3117" w14:textId="77777777" w:rsidR="001932FC" w:rsidRPr="00451B7D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9EDF348" w14:textId="2904B22F" w:rsidR="00B41497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34347417" w14:textId="7D9D6B62" w:rsidR="00B505DC" w:rsidRDefault="00B505D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1B2D957A" w14:textId="77777777" w:rsidR="00B505DC" w:rsidRPr="00451B7D" w:rsidRDefault="00B505D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89AE647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lastRenderedPageBreak/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07A6A9B3" w14:textId="77777777" w:rsidTr="003F600A">
        <w:tc>
          <w:tcPr>
            <w:tcW w:w="8828" w:type="dxa"/>
          </w:tcPr>
          <w:p w14:paraId="695C7A4C" w14:textId="60C0AEAD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17425FEB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2593A0C9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68667C9B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3EC73607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B707DB6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451B7D" w14:paraId="7A198942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B8C07A0" w14:textId="74636CFB" w:rsidR="00BE7D1C" w:rsidRPr="00451B7D" w:rsidRDefault="00F82B72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360D5F57" w14:textId="559DFBBE" w:rsidR="00A37B83" w:rsidRPr="00451B7D" w:rsidRDefault="00BA6561" w:rsidP="00BA6561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M</w:t>
                  </w:r>
                  <w:r w:rsidR="00A37B83" w:rsidRPr="00A37B83">
                    <w:rPr>
                      <w:rFonts w:ascii="ITC Avant Garde" w:hAnsi="ITC Avant Garde"/>
                      <w:sz w:val="18"/>
                      <w:szCs w:val="18"/>
                    </w:rPr>
                    <w:t xml:space="preserve">odificación de los numerales 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5.6 párrafo primero; 5.6.1, título, inciso b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), título, numeral 1 título, fracciones I, III, IV y V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 xml:space="preserve"> y numeral 2 título, fracciones I, III, IV y V; 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numeral 5.6.2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, inciso b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 xml:space="preserve"> fracciones III, IV, V y VI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 xml:space="preserve"> y 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 xml:space="preserve">numeral 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5.6.3, inciso b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  <w:r w:rsidR="00F17C6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17C67" w:rsidRPr="009A652C">
                    <w:rPr>
                      <w:rFonts w:ascii="ITC Avant Garde" w:hAnsi="ITC Avant Garde"/>
                      <w:sz w:val="18"/>
                      <w:szCs w:val="18"/>
                    </w:rPr>
                    <w:t xml:space="preserve"> fracciones III, IV, V y VI</w:t>
                  </w:r>
                  <w:r w:rsidR="00A37B83" w:rsidRPr="00A37B83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la Disposición Técnica IFT-011-2017 Parte 2</w:t>
                  </w:r>
                  <w:r w:rsidR="00A37B83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3A0F5AC2" w14:textId="5D838470" w:rsidR="00BE7D1C" w:rsidRPr="00451B7D" w:rsidRDefault="00042010" w:rsidP="00562545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 w:rsidR="00BA6561">
                    <w:rPr>
                      <w:rFonts w:ascii="ITC Avant Garde" w:hAnsi="ITC Avant Garde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no emitir la modificación a la Disposición T</w:t>
                  </w:r>
                  <w:r w:rsidR="00BA6561">
                    <w:rPr>
                      <w:rFonts w:ascii="ITC Avant Garde" w:hAnsi="ITC Avant Garde"/>
                      <w:sz w:val="18"/>
                      <w:szCs w:val="18"/>
                    </w:rPr>
                    <w:t xml:space="preserve">écnica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IFT-011-2017, </w:t>
                  </w:r>
                  <w:r w:rsidR="00B60183">
                    <w:rPr>
                      <w:rFonts w:ascii="ITC Avant Garde" w:hAnsi="ITC Avant Garde"/>
                      <w:sz w:val="18"/>
                      <w:szCs w:val="18"/>
                    </w:rPr>
                    <w:t xml:space="preserve">se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podría</w:t>
                  </w:r>
                  <w:r w:rsidR="00A37B83" w:rsidRP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impactar en la evaluación de</w:t>
                  </w:r>
                  <w:r w:rsidR="00562545">
                    <w:rPr>
                      <w:rFonts w:ascii="ITC Avant Garde" w:hAnsi="ITC Avant Garde"/>
                      <w:sz w:val="18"/>
                      <w:szCs w:val="18"/>
                    </w:rPr>
                    <w:t>l cumplimiento de</w:t>
                  </w:r>
                  <w:r w:rsidR="00A37B83" w:rsidRP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los equipos terminales móviles </w:t>
                  </w:r>
                  <w:r w:rsidR="00562545">
                    <w:rPr>
                      <w:rFonts w:ascii="ITC Avant Garde" w:hAnsi="ITC Avant Garde"/>
                      <w:sz w:val="18"/>
                      <w:szCs w:val="18"/>
                    </w:rPr>
                    <w:t>a homologarse.</w:t>
                  </w:r>
                </w:p>
              </w:tc>
            </w:tr>
            <w:tr w:rsidR="00AD082B" w:rsidRPr="00451B7D" w14:paraId="504B2907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CE1DBE21276A400898FCCE53E09E5F74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40B39F70" w14:textId="10D30035" w:rsidR="00AD082B" w:rsidRPr="00451B7D" w:rsidRDefault="00AD082B" w:rsidP="00AD08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Esquemas voluntarios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45F86C45" w14:textId="5A9E6DF1" w:rsidR="00AD082B" w:rsidRPr="00451B7D" w:rsidRDefault="00846EB0" w:rsidP="00AD082B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846EB0">
                    <w:rPr>
                      <w:rFonts w:ascii="ITC Avant Garde" w:hAnsi="ITC Avant Garde"/>
                      <w:sz w:val="18"/>
                      <w:szCs w:val="18"/>
                    </w:rPr>
                    <w:t>Norma Mexicana (NMX)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1A316B11" w14:textId="14DB5C5E" w:rsidR="00AD082B" w:rsidRDefault="00AD082B" w:rsidP="00AD082B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D6468D">
                    <w:rPr>
                      <w:rFonts w:ascii="ITC Avant Garde" w:hAnsi="ITC Avant Garde"/>
                      <w:sz w:val="18"/>
                      <w:szCs w:val="18"/>
                    </w:rPr>
                    <w:t>La adopción de una Norma Mexicana al ser éstas de carácter voluntario, no generaría la observancia obligatoria y el cumplimiento de la misma, que se requiere.</w:t>
                  </w:r>
                  <w:r w:rsidR="00562545">
                    <w:rPr>
                      <w:rFonts w:ascii="ITC Avant Garde" w:hAnsi="ITC Avant Garde"/>
                      <w:sz w:val="18"/>
                      <w:szCs w:val="18"/>
                    </w:rPr>
                    <w:t xml:space="preserve"> Asimismo, el Instituto no cuenta con atribuciones para emitir NMX.</w:t>
                  </w:r>
                </w:p>
                <w:p w14:paraId="665E7213" w14:textId="1235AF16" w:rsidR="00AD082B" w:rsidRPr="00451B7D" w:rsidRDefault="00AD082B" w:rsidP="00AD082B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el contrario, la modificación a la </w:t>
                  </w:r>
                  <w:r w:rsidRPr="00A37B83">
                    <w:rPr>
                      <w:rFonts w:ascii="ITC Avant Garde" w:hAnsi="ITC Avant Garde"/>
                      <w:sz w:val="18"/>
                      <w:szCs w:val="18"/>
                    </w:rPr>
                    <w:t>Disposición Técnica IFT-011-2017 Parte 2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,  es una </w:t>
                  </w:r>
                  <w:r w:rsidRPr="00D6468D">
                    <w:rPr>
                      <w:rFonts w:ascii="ITC Avant Garde" w:hAnsi="ITC Avant Garde"/>
                      <w:sz w:val="18"/>
                      <w:szCs w:val="18"/>
                    </w:rPr>
                    <w:t>disposición administrativa de carácter general</w:t>
                  </w:r>
                  <w:r w:rsidR="006C7D2C">
                    <w:rPr>
                      <w:rFonts w:ascii="ITC Avant Garde" w:hAnsi="ITC Avant Garde"/>
                      <w:sz w:val="18"/>
                      <w:szCs w:val="18"/>
                    </w:rPr>
                    <w:t xml:space="preserve"> y mandatoria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  <w:tr w:rsidR="00AD082B" w:rsidRPr="00451B7D" w14:paraId="6C041033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-825826257"/>
                  <w:placeholder>
                    <w:docPart w:val="48B09E84E9B34C5192E76998C2BB9A51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6E71E17C" w14:textId="5E337CE1" w:rsidR="00AD082B" w:rsidRPr="00451B7D" w:rsidRDefault="00AD082B" w:rsidP="00AD08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 w:rsidRPr="007430B6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1E43A20" w14:textId="77777777" w:rsidR="00AD082B" w:rsidRPr="00451B7D" w:rsidRDefault="00AD082B" w:rsidP="00AD082B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4B969CA4" w14:textId="77777777" w:rsidR="00AD082B" w:rsidRPr="00451B7D" w:rsidRDefault="00AD082B" w:rsidP="00AD082B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3DD0A069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51FDB038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686C9D4A" w14:textId="77777777" w:rsidTr="003F600A">
        <w:tc>
          <w:tcPr>
            <w:tcW w:w="8828" w:type="dxa"/>
          </w:tcPr>
          <w:p w14:paraId="34F02CB1" w14:textId="324C7F8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4C3C5185" w14:textId="77777777" w:rsidR="00DC4FF6" w:rsidRDefault="00DC4FF6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6970177" w14:textId="7E5AAE4F" w:rsidR="004651E7" w:rsidRDefault="00DC4FF6" w:rsidP="004651E7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a propuesta de modificación a la “DISPOSICIÓN TÉCNICA IFT-011-2017: ESPECIFICACIONES TÉCNICAS DE LOS EQUIPOS TERMINALES MÓVILES QUE PUEDAN HACER USO DEL ESPECTRO RADIOELÉCTRICO O SER CONECTADOS A REDES DE TELECOMUNICACIONES. PARTE 2. EQUIPOS TERMINALES MÓVILES QUE OPERAN EN LAS BANDAS DE 700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800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850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1900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1700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/2100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Y/O 2500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="005237F5">
              <w:rPr>
                <w:rFonts w:ascii="ITC Avant Garde" w:hAnsi="ITC Avant Garde"/>
                <w:sz w:val="18"/>
                <w:szCs w:val="18"/>
              </w:rPr>
              <w:t>”</w:t>
            </w:r>
            <w:r w:rsidR="001B364D" w:rsidRPr="00E022C0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4651E7">
              <w:rPr>
                <w:rFonts w:ascii="ITC Avant Garde" w:hAnsi="ITC Avant Garde"/>
                <w:sz w:val="18"/>
                <w:szCs w:val="18"/>
              </w:rPr>
              <w:t xml:space="preserve">pretende fortalecer los 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métodos de prueba de la regulación, </w:t>
            </w:r>
            <w:r w:rsidR="008B7B6F">
              <w:rPr>
                <w:rFonts w:ascii="ITC Avant Garde" w:hAnsi="ITC Avant Garde"/>
                <w:sz w:val="18"/>
                <w:szCs w:val="18"/>
              </w:rPr>
              <w:t>robusteciendo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 así el proceso de la </w:t>
            </w:r>
            <w:r w:rsidR="004651E7">
              <w:rPr>
                <w:rFonts w:ascii="ITC Avant Garde" w:hAnsi="ITC Avant Garde"/>
                <w:sz w:val="18"/>
                <w:szCs w:val="18"/>
              </w:rPr>
              <w:t>E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valuación de la </w:t>
            </w:r>
            <w:r w:rsidR="004651E7">
              <w:rPr>
                <w:rFonts w:ascii="ITC Avant Garde" w:hAnsi="ITC Avant Garde"/>
                <w:sz w:val="18"/>
                <w:szCs w:val="18"/>
              </w:rPr>
              <w:t>C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>onformidad de la disposición técnica IFT-011-2017 Parte 2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 xml:space="preserve">. Lo anterior, </w:t>
            </w:r>
            <w:r w:rsidR="005237F5">
              <w:rPr>
                <w:rFonts w:ascii="ITC Avant Garde" w:hAnsi="ITC Avant Garde"/>
                <w:sz w:val="18"/>
                <w:szCs w:val="18"/>
              </w:rPr>
              <w:t>analizando y atendiendo, lo planteado</w:t>
            </w:r>
            <w:r w:rsidR="004651E7">
              <w:rPr>
                <w:rFonts w:ascii="ITC Avant Garde" w:hAnsi="ITC Avant Garde"/>
                <w:sz w:val="18"/>
                <w:szCs w:val="18"/>
              </w:rPr>
              <w:t xml:space="preserve"> por la 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>ANATEL y CANIETI</w:t>
            </w:r>
            <w:r w:rsidR="004651E7">
              <w:rPr>
                <w:rFonts w:ascii="ITC Avant Garde" w:hAnsi="ITC Avant Garde"/>
                <w:sz w:val="18"/>
                <w:szCs w:val="18"/>
              </w:rPr>
              <w:t>.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6CF1B4C4" w14:textId="77777777" w:rsidR="005237F5" w:rsidRDefault="005237F5" w:rsidP="004651E7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5780536" w14:textId="4532313A" w:rsidR="00BE7D1C" w:rsidRPr="00451B7D" w:rsidRDefault="004651E7" w:rsidP="00F6458C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unado </w:t>
            </w:r>
            <w:r>
              <w:rPr>
                <w:rFonts w:ascii="ITC Avant Garde" w:hAnsi="ITC Avant Garde"/>
                <w:sz w:val="18"/>
                <w:szCs w:val="18"/>
              </w:rPr>
              <w:t>a lo anterior, es preciso indicar que las referidas modificaciones a l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a </w:t>
            </w:r>
            <w:r>
              <w:rPr>
                <w:rFonts w:ascii="ITC Avant Garde" w:hAnsi="ITC Avant Garde"/>
                <w:sz w:val="18"/>
                <w:szCs w:val="18"/>
              </w:rPr>
              <w:t>disposición</w:t>
            </w:r>
            <w:r w:rsidRPr="000730E6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6458C">
              <w:rPr>
                <w:rFonts w:ascii="ITC Avant Garde" w:hAnsi="ITC Avant Garde"/>
                <w:sz w:val="18"/>
                <w:szCs w:val="18"/>
              </w:rPr>
              <w:t xml:space="preserve">técnica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en comento,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no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representan </w:t>
            </w:r>
            <w:r w:rsidR="008B7B6F">
              <w:rPr>
                <w:rFonts w:ascii="ITC Avant Garde" w:hAnsi="ITC Avant Garde"/>
                <w:sz w:val="18"/>
                <w:szCs w:val="18"/>
              </w:rPr>
              <w:t>ningún incremento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44635">
              <w:rPr>
                <w:rFonts w:ascii="ITC Avant Garde" w:hAnsi="ITC Avant Garde"/>
                <w:sz w:val="18"/>
                <w:szCs w:val="18"/>
              </w:rPr>
              <w:t>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los costos del Laboratorio de Prueba, debido a que el instrumento de medición ya cuenta desde su fabricación con las funcionalidades para realizar la medición con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detector “RMS” y traza “promedio”</w:t>
            </w:r>
            <w:r w:rsidR="00F6458C">
              <w:rPr>
                <w:rFonts w:ascii="ITC Avant Garde" w:hAnsi="ITC Avant Garde"/>
                <w:sz w:val="18"/>
                <w:szCs w:val="18"/>
              </w:rPr>
              <w:t>, objeto de la modificación.</w:t>
            </w:r>
            <w:r w:rsidR="005237F5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6458C">
              <w:rPr>
                <w:rFonts w:ascii="ITC Avant Garde" w:hAnsi="ITC Avant Garde"/>
                <w:sz w:val="18"/>
                <w:szCs w:val="18"/>
              </w:rPr>
              <w:t>Por tanto,</w:t>
            </w:r>
            <w:r w:rsidR="008B7B6F">
              <w:rPr>
                <w:rFonts w:ascii="ITC Avant Garde" w:hAnsi="ITC Avant Garde"/>
                <w:sz w:val="18"/>
                <w:szCs w:val="18"/>
              </w:rPr>
              <w:t xml:space="preserve"> dichas modificaciones no genera</w:t>
            </w:r>
            <w:r w:rsidR="00F6458C">
              <w:rPr>
                <w:rFonts w:ascii="ITC Avant Garde" w:hAnsi="ITC Avant Garde"/>
                <w:sz w:val="18"/>
                <w:szCs w:val="18"/>
              </w:rPr>
              <w:t>n costos, trámites u obligaciones adicionales para llevar a cabo el procedimiento de Evaluación de la Conformidad.</w:t>
            </w:r>
          </w:p>
        </w:tc>
      </w:tr>
    </w:tbl>
    <w:p w14:paraId="1C286EAA" w14:textId="6232C171" w:rsidR="00BE7D1C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p w14:paraId="5033FF37" w14:textId="77777777" w:rsidR="00B505DC" w:rsidRPr="00451B7D" w:rsidRDefault="00B505DC" w:rsidP="00E21B49">
      <w:pPr>
        <w:jc w:val="both"/>
        <w:rPr>
          <w:rFonts w:ascii="ITC Avant Garde" w:hAnsi="ITC Avant Garde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74024075" w14:textId="77777777" w:rsidTr="003949C0">
        <w:tc>
          <w:tcPr>
            <w:tcW w:w="1696" w:type="dxa"/>
            <w:vMerge w:val="restart"/>
          </w:tcPr>
          <w:p w14:paraId="6AAD2E4E" w14:textId="1D718848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0D6462C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74EC5AD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0EC0E926" w14:textId="77777777" w:rsidTr="003949C0">
        <w:tc>
          <w:tcPr>
            <w:tcW w:w="1696" w:type="dxa"/>
            <w:vMerge/>
          </w:tcPr>
          <w:p w14:paraId="156FB4B4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741BF4" w14:textId="1CB96842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7661532D" w14:textId="54FE7A4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39C023BA" w14:textId="77777777" w:rsidTr="003949C0">
        <w:tc>
          <w:tcPr>
            <w:tcW w:w="1696" w:type="dxa"/>
            <w:vMerge/>
          </w:tcPr>
          <w:p w14:paraId="19BD1DC4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72B9C35" w14:textId="75D6CD4F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F1452FB" w14:textId="7D528F5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3489DD52" w14:textId="77777777" w:rsidTr="003949C0">
        <w:tc>
          <w:tcPr>
            <w:tcW w:w="1696" w:type="dxa"/>
            <w:vMerge/>
          </w:tcPr>
          <w:p w14:paraId="1B27676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1B74D56" w14:textId="51C90606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01EB171" w14:textId="057908F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4AD32941" w14:textId="77777777" w:rsidTr="003949C0">
        <w:tc>
          <w:tcPr>
            <w:tcW w:w="1696" w:type="dxa"/>
            <w:vMerge/>
          </w:tcPr>
          <w:p w14:paraId="27FC5F25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7DAD3D4" w14:textId="2094FA05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40FD2722" w14:textId="03F43E8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) No (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21E27DA7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08FB3DBF" w14:textId="7D2B9B6E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20AA8AE7" w14:textId="77777777" w:rsidTr="00A73AD8">
        <w:tc>
          <w:tcPr>
            <w:tcW w:w="8828" w:type="dxa"/>
          </w:tcPr>
          <w:p w14:paraId="297C8634" w14:textId="168C113C" w:rsidR="00B74C55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167DD5A9" w14:textId="77777777" w:rsidR="001963ED" w:rsidRPr="00451B7D" w:rsidRDefault="001963ED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0BC4688" w14:textId="77777777" w:rsidR="00435947" w:rsidRPr="00452A3A" w:rsidRDefault="00435947" w:rsidP="004359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</w:pPr>
            <w:r w:rsidRPr="00452A3A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ETSI EN 301 908-13 V11.1.1 (2016-07). IMT cellular networks; Harmonised Standard covering the essential requirements of article 3.2 of the Directive 2014/53/EU; Part 13: Evolved Universal Terrestrial Radio Access (E-UTRA) User Equipment (UE).</w:t>
            </w:r>
          </w:p>
          <w:p w14:paraId="03054761" w14:textId="77777777" w:rsidR="00435947" w:rsidRPr="00452A3A" w:rsidRDefault="00435947" w:rsidP="004359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</w:pPr>
            <w:r w:rsidRPr="00452A3A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ETSI TS 136 521-1 V13.1.0 (2016-05), LTE; Evolved Universal Terrestrial Radio Access (E-UTRA); User Equipment (UE) conformance specification; Radio transmission and reception; Part 1: Conformance testing (3GPP TS 36.521-1 version 13.1.0 Release 13).</w:t>
            </w:r>
          </w:p>
          <w:p w14:paraId="68A47651" w14:textId="77777777" w:rsidR="0089265F" w:rsidRPr="0089265F" w:rsidRDefault="00435947" w:rsidP="000B45F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9265F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 xml:space="preserve">Measurement guidance for certification of licensed digital transmitters, FCC, KDB Publication 971168. </w:t>
            </w:r>
          </w:p>
          <w:p w14:paraId="29354D1D" w14:textId="448620C8" w:rsidR="00A73AD8" w:rsidRPr="0089265F" w:rsidRDefault="00435947" w:rsidP="000B45F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9265F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IEEE/ANSI C63.26-2015 - American National Standard for Compliance Testing of Transmitters Used in Licensed Radio Services.</w:t>
            </w:r>
          </w:p>
          <w:p w14:paraId="7CDC0B4D" w14:textId="77777777" w:rsidR="00870931" w:rsidRPr="00451B7D" w:rsidRDefault="00870931" w:rsidP="002C7DB3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499F7232" w14:textId="77777777" w:rsidR="0086684A" w:rsidRPr="00451B7D" w:rsidRDefault="0086684A" w:rsidP="00F6458C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F91E" w14:textId="77777777" w:rsidR="00EC1660" w:rsidRDefault="00EC1660" w:rsidP="00501ADF">
      <w:pPr>
        <w:spacing w:after="0" w:line="240" w:lineRule="auto"/>
      </w:pPr>
      <w:r>
        <w:separator/>
      </w:r>
    </w:p>
  </w:endnote>
  <w:endnote w:type="continuationSeparator" w:id="0">
    <w:p w14:paraId="77C2D533" w14:textId="77777777" w:rsidR="00EC1660" w:rsidRDefault="00EC1660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7E92B" w14:textId="73E134D9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B505DC">
              <w:rPr>
                <w:b/>
                <w:bCs/>
                <w:noProof/>
                <w:sz w:val="20"/>
              </w:rPr>
              <w:t>2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8E346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5FD1" w14:textId="77777777" w:rsidR="00EC1660" w:rsidRDefault="00EC1660" w:rsidP="00501ADF">
      <w:pPr>
        <w:spacing w:after="0" w:line="240" w:lineRule="auto"/>
      </w:pPr>
      <w:r>
        <w:separator/>
      </w:r>
    </w:p>
  </w:footnote>
  <w:footnote w:type="continuationSeparator" w:id="0">
    <w:p w14:paraId="4E7A405E" w14:textId="77777777" w:rsidR="00EC1660" w:rsidRDefault="00EC1660" w:rsidP="00501ADF">
      <w:pPr>
        <w:spacing w:after="0" w:line="240" w:lineRule="auto"/>
      </w:pPr>
      <w:r>
        <w:continuationSeparator/>
      </w:r>
    </w:p>
  </w:footnote>
  <w:footnote w:id="1">
    <w:p w14:paraId="05EB7592" w14:textId="77777777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0DA" w14:textId="3228465B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4DAEDD3" wp14:editId="7B4F442D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BD25DC" wp14:editId="5B1C8A6D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672B" w14:textId="2222B65D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5DD1672B" w14:textId="2222B65D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82036" w14:textId="37A00500" w:rsidR="00501ADF" w:rsidRDefault="00501ADF">
    <w:pPr>
      <w:pStyle w:val="Encabezado"/>
    </w:pPr>
  </w:p>
  <w:p w14:paraId="2C48871E" w14:textId="77777777" w:rsidR="00804F49" w:rsidRDefault="00804F49">
    <w:pPr>
      <w:pStyle w:val="Encabezado"/>
    </w:pPr>
  </w:p>
  <w:p w14:paraId="75745905" w14:textId="19BBBECD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23746" wp14:editId="18DF3473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7A2C0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0B880DD4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5C5E"/>
    <w:multiLevelType w:val="hybridMultilevel"/>
    <w:tmpl w:val="A14EBE3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097"/>
    <w:multiLevelType w:val="hybridMultilevel"/>
    <w:tmpl w:val="CBF8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EB5"/>
    <w:multiLevelType w:val="hybridMultilevel"/>
    <w:tmpl w:val="69A207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1FB4"/>
    <w:rsid w:val="00042010"/>
    <w:rsid w:val="00044D30"/>
    <w:rsid w:val="0006478F"/>
    <w:rsid w:val="000706E3"/>
    <w:rsid w:val="000730E6"/>
    <w:rsid w:val="000C16BC"/>
    <w:rsid w:val="000D401B"/>
    <w:rsid w:val="000E6A13"/>
    <w:rsid w:val="000F669B"/>
    <w:rsid w:val="00101E6C"/>
    <w:rsid w:val="0013260B"/>
    <w:rsid w:val="00152659"/>
    <w:rsid w:val="001649B5"/>
    <w:rsid w:val="00177F7B"/>
    <w:rsid w:val="00181A32"/>
    <w:rsid w:val="00184274"/>
    <w:rsid w:val="001932FC"/>
    <w:rsid w:val="001963ED"/>
    <w:rsid w:val="001B364D"/>
    <w:rsid w:val="001B4A51"/>
    <w:rsid w:val="001E26FE"/>
    <w:rsid w:val="00206C6C"/>
    <w:rsid w:val="00211C96"/>
    <w:rsid w:val="00230A23"/>
    <w:rsid w:val="002343C9"/>
    <w:rsid w:val="00244635"/>
    <w:rsid w:val="00244AF5"/>
    <w:rsid w:val="00247B33"/>
    <w:rsid w:val="002801B2"/>
    <w:rsid w:val="00286496"/>
    <w:rsid w:val="00295E97"/>
    <w:rsid w:val="002A0EC3"/>
    <w:rsid w:val="002C7DB3"/>
    <w:rsid w:val="002D28C7"/>
    <w:rsid w:val="0030055F"/>
    <w:rsid w:val="003039BF"/>
    <w:rsid w:val="00323167"/>
    <w:rsid w:val="003244CC"/>
    <w:rsid w:val="00333B41"/>
    <w:rsid w:val="00371162"/>
    <w:rsid w:val="00372BF7"/>
    <w:rsid w:val="003934B9"/>
    <w:rsid w:val="003949C0"/>
    <w:rsid w:val="003A72BC"/>
    <w:rsid w:val="003B24AF"/>
    <w:rsid w:val="003B48A5"/>
    <w:rsid w:val="003D59B8"/>
    <w:rsid w:val="003E1D84"/>
    <w:rsid w:val="003F05E7"/>
    <w:rsid w:val="004226AE"/>
    <w:rsid w:val="004328F9"/>
    <w:rsid w:val="00435947"/>
    <w:rsid w:val="00451B7D"/>
    <w:rsid w:val="004603F7"/>
    <w:rsid w:val="004651E7"/>
    <w:rsid w:val="0049127C"/>
    <w:rsid w:val="004A7C30"/>
    <w:rsid w:val="004B6836"/>
    <w:rsid w:val="004E0AA9"/>
    <w:rsid w:val="004E0DA9"/>
    <w:rsid w:val="00501ADF"/>
    <w:rsid w:val="005237F5"/>
    <w:rsid w:val="0052614B"/>
    <w:rsid w:val="005319D5"/>
    <w:rsid w:val="00562545"/>
    <w:rsid w:val="00596FDE"/>
    <w:rsid w:val="005A06B2"/>
    <w:rsid w:val="005A40FB"/>
    <w:rsid w:val="005B2C92"/>
    <w:rsid w:val="005C1915"/>
    <w:rsid w:val="005C44A8"/>
    <w:rsid w:val="006220C6"/>
    <w:rsid w:val="00623EB8"/>
    <w:rsid w:val="00634DE8"/>
    <w:rsid w:val="00641D09"/>
    <w:rsid w:val="006717D5"/>
    <w:rsid w:val="0068307E"/>
    <w:rsid w:val="006A3A0E"/>
    <w:rsid w:val="006C7D2C"/>
    <w:rsid w:val="006D7556"/>
    <w:rsid w:val="006D7A08"/>
    <w:rsid w:val="007018A1"/>
    <w:rsid w:val="00712636"/>
    <w:rsid w:val="00714252"/>
    <w:rsid w:val="00731A3B"/>
    <w:rsid w:val="0074323F"/>
    <w:rsid w:val="00761C15"/>
    <w:rsid w:val="0076488A"/>
    <w:rsid w:val="007906D0"/>
    <w:rsid w:val="00795ED9"/>
    <w:rsid w:val="007A37D6"/>
    <w:rsid w:val="007B17E6"/>
    <w:rsid w:val="007D4E5B"/>
    <w:rsid w:val="007F37BF"/>
    <w:rsid w:val="00801FED"/>
    <w:rsid w:val="00804F49"/>
    <w:rsid w:val="0081030D"/>
    <w:rsid w:val="008135FB"/>
    <w:rsid w:val="00814A48"/>
    <w:rsid w:val="00827470"/>
    <w:rsid w:val="0084560D"/>
    <w:rsid w:val="00846EB0"/>
    <w:rsid w:val="00862FD0"/>
    <w:rsid w:val="0086684A"/>
    <w:rsid w:val="00870931"/>
    <w:rsid w:val="00876D05"/>
    <w:rsid w:val="0089265F"/>
    <w:rsid w:val="0089367B"/>
    <w:rsid w:val="008A48B0"/>
    <w:rsid w:val="008B7B6F"/>
    <w:rsid w:val="008C76AF"/>
    <w:rsid w:val="008E1AD3"/>
    <w:rsid w:val="008E3011"/>
    <w:rsid w:val="009058DB"/>
    <w:rsid w:val="00910E47"/>
    <w:rsid w:val="00911216"/>
    <w:rsid w:val="009442FD"/>
    <w:rsid w:val="00952BA6"/>
    <w:rsid w:val="009656B1"/>
    <w:rsid w:val="009806B7"/>
    <w:rsid w:val="00986E23"/>
    <w:rsid w:val="009A652C"/>
    <w:rsid w:val="009D10E1"/>
    <w:rsid w:val="009D5C70"/>
    <w:rsid w:val="009D73E5"/>
    <w:rsid w:val="009E251C"/>
    <w:rsid w:val="009F237F"/>
    <w:rsid w:val="009F5C7C"/>
    <w:rsid w:val="00A1622C"/>
    <w:rsid w:val="00A32C22"/>
    <w:rsid w:val="00A37B83"/>
    <w:rsid w:val="00A41F12"/>
    <w:rsid w:val="00A60DF4"/>
    <w:rsid w:val="00A7211D"/>
    <w:rsid w:val="00A73AD8"/>
    <w:rsid w:val="00A81C3A"/>
    <w:rsid w:val="00A855B0"/>
    <w:rsid w:val="00A9784A"/>
    <w:rsid w:val="00AA4CB3"/>
    <w:rsid w:val="00AD082B"/>
    <w:rsid w:val="00B2360F"/>
    <w:rsid w:val="00B24AB5"/>
    <w:rsid w:val="00B32137"/>
    <w:rsid w:val="00B32DDD"/>
    <w:rsid w:val="00B41497"/>
    <w:rsid w:val="00B505DC"/>
    <w:rsid w:val="00B52348"/>
    <w:rsid w:val="00B60183"/>
    <w:rsid w:val="00B6461E"/>
    <w:rsid w:val="00B74C55"/>
    <w:rsid w:val="00B74F10"/>
    <w:rsid w:val="00B77B4B"/>
    <w:rsid w:val="00BA0F10"/>
    <w:rsid w:val="00BA4E93"/>
    <w:rsid w:val="00BA6561"/>
    <w:rsid w:val="00BB73BA"/>
    <w:rsid w:val="00BC2FF7"/>
    <w:rsid w:val="00BE7D1C"/>
    <w:rsid w:val="00BF266B"/>
    <w:rsid w:val="00C37872"/>
    <w:rsid w:val="00C479CA"/>
    <w:rsid w:val="00C53388"/>
    <w:rsid w:val="00C5470D"/>
    <w:rsid w:val="00C74F11"/>
    <w:rsid w:val="00C917FC"/>
    <w:rsid w:val="00CE2EA1"/>
    <w:rsid w:val="00D02DA9"/>
    <w:rsid w:val="00D0386B"/>
    <w:rsid w:val="00D221B5"/>
    <w:rsid w:val="00D23BD5"/>
    <w:rsid w:val="00D31AE9"/>
    <w:rsid w:val="00D459A7"/>
    <w:rsid w:val="00D55CA7"/>
    <w:rsid w:val="00D6468D"/>
    <w:rsid w:val="00D74D81"/>
    <w:rsid w:val="00D84268"/>
    <w:rsid w:val="00DB01FA"/>
    <w:rsid w:val="00DC4FF6"/>
    <w:rsid w:val="00DE6F24"/>
    <w:rsid w:val="00DE75C4"/>
    <w:rsid w:val="00E022C0"/>
    <w:rsid w:val="00E046F4"/>
    <w:rsid w:val="00E16506"/>
    <w:rsid w:val="00E21B49"/>
    <w:rsid w:val="00E27972"/>
    <w:rsid w:val="00E33247"/>
    <w:rsid w:val="00E6080B"/>
    <w:rsid w:val="00E768BA"/>
    <w:rsid w:val="00E8340B"/>
    <w:rsid w:val="00EA353C"/>
    <w:rsid w:val="00EC1660"/>
    <w:rsid w:val="00EC5104"/>
    <w:rsid w:val="00EE6FE8"/>
    <w:rsid w:val="00F03289"/>
    <w:rsid w:val="00F17C67"/>
    <w:rsid w:val="00F31821"/>
    <w:rsid w:val="00F342A4"/>
    <w:rsid w:val="00F6458C"/>
    <w:rsid w:val="00F75427"/>
    <w:rsid w:val="00F75C80"/>
    <w:rsid w:val="00F82B72"/>
    <w:rsid w:val="00F9299E"/>
    <w:rsid w:val="00F94A28"/>
    <w:rsid w:val="00FB158A"/>
    <w:rsid w:val="00FB3C91"/>
    <w:rsid w:val="00FB4FEA"/>
    <w:rsid w:val="00FB58BA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752E5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35947"/>
  </w:style>
  <w:style w:type="character" w:customStyle="1" w:styleId="TextoCar">
    <w:name w:val="Texto Car"/>
    <w:link w:val="Texto"/>
    <w:locked/>
    <w:rsid w:val="00D74D8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D74D8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acio.villalobos@ift.org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mbe.ewald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E1DBE21276A400898FCCE53E09E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0ADC-E502-41F1-BD77-DAC6CFB6B8EE}"/>
      </w:docPartPr>
      <w:docPartBody>
        <w:p w:rsidR="006C6518" w:rsidRDefault="00F85748" w:rsidP="00F85748">
          <w:pPr>
            <w:pStyle w:val="CE1DBE21276A400898FCCE53E09E5F74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8B09E84E9B34C5192E76998C2BB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3E90-D45E-42C1-B48F-2904D3ABCDD2}"/>
      </w:docPartPr>
      <w:docPartBody>
        <w:p w:rsidR="006C6518" w:rsidRDefault="00F85748" w:rsidP="00F85748">
          <w:pPr>
            <w:pStyle w:val="48B09E84E9B34C5192E76998C2BB9A51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024568"/>
    <w:rsid w:val="00055F24"/>
    <w:rsid w:val="000970D1"/>
    <w:rsid w:val="00141273"/>
    <w:rsid w:val="00156B10"/>
    <w:rsid w:val="00162398"/>
    <w:rsid w:val="00204207"/>
    <w:rsid w:val="003442A5"/>
    <w:rsid w:val="00361AF2"/>
    <w:rsid w:val="00504DE3"/>
    <w:rsid w:val="0051743B"/>
    <w:rsid w:val="00540EA6"/>
    <w:rsid w:val="0058081F"/>
    <w:rsid w:val="006020B4"/>
    <w:rsid w:val="00622624"/>
    <w:rsid w:val="0063257F"/>
    <w:rsid w:val="006C6518"/>
    <w:rsid w:val="007118CA"/>
    <w:rsid w:val="00760FAD"/>
    <w:rsid w:val="00895355"/>
    <w:rsid w:val="00963F51"/>
    <w:rsid w:val="00981D52"/>
    <w:rsid w:val="00A80CA9"/>
    <w:rsid w:val="00B05362"/>
    <w:rsid w:val="00B234BA"/>
    <w:rsid w:val="00B53C30"/>
    <w:rsid w:val="00B748CE"/>
    <w:rsid w:val="00BA0351"/>
    <w:rsid w:val="00BD02AE"/>
    <w:rsid w:val="00BD59E5"/>
    <w:rsid w:val="00DB3940"/>
    <w:rsid w:val="00E45723"/>
    <w:rsid w:val="00EB2284"/>
    <w:rsid w:val="00F04DDA"/>
    <w:rsid w:val="00F85748"/>
    <w:rsid w:val="00FD0F29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5748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  <w:style w:type="paragraph" w:customStyle="1" w:styleId="CE1DBE21276A400898FCCE53E09E5F74">
    <w:name w:val="CE1DBE21276A400898FCCE53E09E5F74"/>
    <w:rsid w:val="00F85748"/>
  </w:style>
  <w:style w:type="paragraph" w:customStyle="1" w:styleId="48B09E84E9B34C5192E76998C2BB9A51">
    <w:name w:val="48B09E84E9B34C5192E76998C2BB9A51"/>
    <w:rsid w:val="00F85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1FE03-C580-495B-8ECA-F418121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Josue Teoyotl Calderon</cp:lastModifiedBy>
  <cp:revision>2</cp:revision>
  <dcterms:created xsi:type="dcterms:W3CDTF">2018-05-24T22:28:00Z</dcterms:created>
  <dcterms:modified xsi:type="dcterms:W3CDTF">2018-05-24T22:28:00Z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