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86884" w14:textId="0F54C740" w:rsidR="00E97A2F" w:rsidRPr="003720C7" w:rsidRDefault="00A10DF6" w:rsidP="0069090A">
      <w:pPr>
        <w:spacing w:after="120" w:line="240" w:lineRule="auto"/>
        <w:jc w:val="both"/>
        <w:rPr>
          <w:rFonts w:ascii="ITC Avant Garde" w:hAnsi="ITC Avant Garde"/>
          <w:b/>
        </w:rPr>
      </w:pPr>
      <w:r w:rsidRPr="003720C7">
        <w:rPr>
          <w:rFonts w:ascii="ITC Avant Garde" w:hAnsi="ITC Avant Garde"/>
          <w:b/>
        </w:rPr>
        <w:t>ACUERDO MEDIANTE EL CUAL EL PLENO DEL INSTITUTO FEDERAL</w:t>
      </w:r>
      <w:r w:rsidR="00ED4465">
        <w:rPr>
          <w:rFonts w:ascii="ITC Avant Garde" w:hAnsi="ITC Avant Garde"/>
          <w:b/>
        </w:rPr>
        <w:t xml:space="preserve"> DE TELECOMUNICACIONES EXPIDE LOS </w:t>
      </w:r>
      <w:r w:rsidR="00ED4465" w:rsidRPr="00ED4465">
        <w:rPr>
          <w:rFonts w:ascii="ITC Avant Garde" w:hAnsi="ITC Avant Garde"/>
          <w:b/>
        </w:rPr>
        <w:t>LINEAMIENTOS PARA LA PRESENTACIÓN DE DENUNCIAS DE PRÁCTICAS MONOPÓLICAS Y CONCENTRACIONES ILÍCITAS EN LOS SECTORES DE TELECOMUNICACIONES Y RADIODIFUSIÓN, ANTE LA AUTORIDAD INVESTIGADORA DEL INSTITUTO FEDERAL DE TELECOMUNICACIONES, A TRAVÉS DE MEDIOS ELECTRÓNICOS</w:t>
      </w:r>
      <w:r w:rsidR="003720C7" w:rsidRPr="003720C7">
        <w:rPr>
          <w:rFonts w:ascii="ITC Avant Garde" w:hAnsi="ITC Avant Garde"/>
          <w:b/>
        </w:rPr>
        <w:t>.</w:t>
      </w:r>
    </w:p>
    <w:p w14:paraId="08774C44" w14:textId="11CFD728" w:rsidR="00A10DF6" w:rsidRPr="003720C7" w:rsidRDefault="00A10DF6" w:rsidP="0069090A">
      <w:pPr>
        <w:pStyle w:val="Default"/>
        <w:spacing w:after="120"/>
        <w:jc w:val="center"/>
        <w:rPr>
          <w:rFonts w:ascii="ITC Avant Garde" w:hAnsi="ITC Avant Garde"/>
          <w:b/>
          <w:bCs/>
          <w:color w:val="auto"/>
          <w:sz w:val="22"/>
          <w:szCs w:val="22"/>
          <w:lang w:val="pt-BR"/>
        </w:rPr>
      </w:pPr>
      <w:r w:rsidRPr="002E1A2C">
        <w:rPr>
          <w:rFonts w:ascii="ITC Avant Garde" w:hAnsi="ITC Avant Garde"/>
          <w:b/>
          <w:bCs/>
          <w:color w:val="auto"/>
          <w:sz w:val="22"/>
          <w:szCs w:val="22"/>
          <w:lang w:val="pt-BR"/>
        </w:rPr>
        <w:t>A N T E C E D E N T E S</w:t>
      </w:r>
    </w:p>
    <w:p w14:paraId="63B59408" w14:textId="77777777" w:rsidR="00A10DF6" w:rsidRPr="002E1A2C" w:rsidRDefault="00A10DF6" w:rsidP="0069090A">
      <w:pPr>
        <w:pStyle w:val="Prrafodelista"/>
        <w:spacing w:after="120"/>
        <w:rPr>
          <w:rFonts w:ascii="ITC Avant Garde" w:hAnsi="ITC Avant Garde"/>
          <w:sz w:val="22"/>
          <w:szCs w:val="22"/>
          <w:lang w:eastAsia="es-MX"/>
        </w:rPr>
      </w:pPr>
    </w:p>
    <w:p w14:paraId="47FCF41C" w14:textId="694A1D97" w:rsidR="00A10DF6" w:rsidRDefault="00A10DF6" w:rsidP="0069090A">
      <w:pPr>
        <w:numPr>
          <w:ilvl w:val="0"/>
          <w:numId w:val="1"/>
        </w:numPr>
        <w:spacing w:after="120" w:line="240" w:lineRule="auto"/>
        <w:ind w:left="426" w:right="49" w:hanging="426"/>
        <w:jc w:val="both"/>
        <w:rPr>
          <w:rFonts w:ascii="ITC Avant Garde" w:hAnsi="ITC Avant Garde"/>
          <w:lang w:eastAsia="es-MX"/>
        </w:rPr>
      </w:pPr>
      <w:r w:rsidRPr="002E1A2C">
        <w:rPr>
          <w:rFonts w:ascii="ITC Avant Garde" w:hAnsi="ITC Avant Garde"/>
          <w:lang w:eastAsia="es-MX"/>
        </w:rPr>
        <w:t>Mediante Acuerdo P/IFT/</w:t>
      </w:r>
      <w:r w:rsidR="006D08A8">
        <w:rPr>
          <w:rFonts w:ascii="ITC Avant Garde" w:hAnsi="ITC Avant Garde"/>
          <w:lang w:eastAsia="es-MX"/>
        </w:rPr>
        <w:t>090518</w:t>
      </w:r>
      <w:r w:rsidRPr="002E1A2C">
        <w:rPr>
          <w:rFonts w:ascii="ITC Avant Garde" w:hAnsi="ITC Avant Garde"/>
          <w:lang w:eastAsia="es-MX"/>
        </w:rPr>
        <w:t>/</w:t>
      </w:r>
      <w:r w:rsidR="006D08A8">
        <w:rPr>
          <w:rFonts w:ascii="ITC Avant Garde" w:hAnsi="ITC Avant Garde"/>
          <w:lang w:eastAsia="es-MX"/>
        </w:rPr>
        <w:t>33</w:t>
      </w:r>
      <w:r w:rsidR="00ED4465">
        <w:rPr>
          <w:rFonts w:ascii="ITC Avant Garde" w:hAnsi="ITC Avant Garde"/>
          <w:lang w:eastAsia="es-MX"/>
        </w:rPr>
        <w:t>9</w:t>
      </w:r>
      <w:r w:rsidRPr="002E1A2C">
        <w:rPr>
          <w:rFonts w:ascii="ITC Avant Garde" w:hAnsi="ITC Avant Garde"/>
          <w:lang w:eastAsia="es-MX"/>
        </w:rPr>
        <w:t xml:space="preserve"> de </w:t>
      </w:r>
      <w:r w:rsidR="006D08A8">
        <w:rPr>
          <w:rFonts w:ascii="ITC Avant Garde" w:hAnsi="ITC Avant Garde"/>
          <w:lang w:eastAsia="es-MX"/>
        </w:rPr>
        <w:t>nueve de mayo de dos mil dieciocho</w:t>
      </w:r>
      <w:r w:rsidRPr="002E1A2C">
        <w:rPr>
          <w:rFonts w:ascii="ITC Avant Garde" w:hAnsi="ITC Avant Garde"/>
          <w:lang w:eastAsia="es-MX"/>
        </w:rPr>
        <w:t>, el Pleno del Instituto</w:t>
      </w:r>
      <w:r w:rsidR="00B50FE3">
        <w:rPr>
          <w:rFonts w:ascii="ITC Avant Garde" w:hAnsi="ITC Avant Garde"/>
          <w:lang w:eastAsia="es-MX"/>
        </w:rPr>
        <w:t xml:space="preserve"> Federal de Telecomunicaciones (Instituto)</w:t>
      </w:r>
      <w:r w:rsidRPr="002E1A2C">
        <w:rPr>
          <w:rFonts w:ascii="ITC Avant Garde" w:hAnsi="ITC Avant Garde"/>
          <w:lang w:eastAsia="es-MX"/>
        </w:rPr>
        <w:t xml:space="preserve"> en su XVII Sesión Ordinaria, </w:t>
      </w:r>
      <w:r w:rsidR="00F61C0C" w:rsidRPr="002E1A2C">
        <w:rPr>
          <w:rFonts w:ascii="ITC Avant Garde" w:hAnsi="ITC Avant Garde"/>
          <w:lang w:eastAsia="es-MX"/>
        </w:rPr>
        <w:t xml:space="preserve">determinó </w:t>
      </w:r>
      <w:r w:rsidRPr="002E1A2C">
        <w:rPr>
          <w:rFonts w:ascii="ITC Avant Garde" w:hAnsi="ITC Avant Garde"/>
          <w:lang w:eastAsia="es-MX"/>
        </w:rPr>
        <w:t>someter a consulta pública por un plazo de treinta días hábiles el “</w:t>
      </w:r>
      <w:r w:rsidRPr="002E1A2C">
        <w:rPr>
          <w:rFonts w:ascii="ITC Avant Garde" w:hAnsi="ITC Avant Garde"/>
          <w:i/>
        </w:rPr>
        <w:t xml:space="preserve">Anteproyecto de </w:t>
      </w:r>
      <w:r w:rsidR="00ED4465">
        <w:rPr>
          <w:rFonts w:ascii="ITC Avant Garde" w:hAnsi="ITC Avant Garde"/>
          <w:i/>
        </w:rPr>
        <w:t>Lineamientos para la presentación de denuncias de prácticas monopólicas y concentraciones ilícitas en los sectores de telecomunicaciones y radiodifusión, ante la Autoridad Investigadora del Instituto Federal de Telecomunicaciones</w:t>
      </w:r>
      <w:r w:rsidR="002F23F5">
        <w:rPr>
          <w:rFonts w:ascii="ITC Avant Garde" w:hAnsi="ITC Avant Garde"/>
          <w:i/>
        </w:rPr>
        <w:t>, a través de medios electrónicos</w:t>
      </w:r>
      <w:r w:rsidRPr="002E1A2C">
        <w:rPr>
          <w:rFonts w:ascii="ITC Avant Garde" w:hAnsi="ITC Avant Garde"/>
        </w:rPr>
        <w:t>”</w:t>
      </w:r>
      <w:r w:rsidRPr="002E1A2C">
        <w:rPr>
          <w:rFonts w:ascii="ITC Avant Garde" w:hAnsi="ITC Avant Garde"/>
          <w:lang w:eastAsia="es-MX"/>
        </w:rPr>
        <w:t xml:space="preserve">; </w:t>
      </w:r>
      <w:r w:rsidR="00D7327E">
        <w:rPr>
          <w:rFonts w:ascii="ITC Avant Garde" w:hAnsi="ITC Avant Garde"/>
          <w:bCs/>
          <w:lang w:eastAsia="es-MX"/>
        </w:rPr>
        <w:t xml:space="preserve">y la Autoridad Investigadora, en su calidad de área proponente, ejecutó y procesó la consulta pública, incluyendo la recepción de los comentarios y opiniones que fueron vertidos con motivo de la misma. Dicho acuerdo </w:t>
      </w:r>
      <w:r w:rsidR="00FC2449">
        <w:rPr>
          <w:rFonts w:ascii="ITC Avant Garde" w:hAnsi="ITC Avant Garde"/>
          <w:bCs/>
          <w:lang w:eastAsia="es-MX"/>
        </w:rPr>
        <w:t>señala:</w:t>
      </w:r>
      <w:r w:rsidRPr="002E1A2C">
        <w:rPr>
          <w:rFonts w:ascii="ITC Avant Garde" w:hAnsi="ITC Avant Garde"/>
          <w:lang w:eastAsia="es-MX"/>
        </w:rPr>
        <w:t xml:space="preserve"> </w:t>
      </w:r>
    </w:p>
    <w:p w14:paraId="04EA38AA" w14:textId="78B12375" w:rsidR="00ED4465" w:rsidRDefault="00ED4465" w:rsidP="00ED4465">
      <w:pPr>
        <w:pStyle w:val="Default"/>
        <w:spacing w:after="120"/>
        <w:ind w:left="851" w:right="724"/>
        <w:jc w:val="both"/>
        <w:rPr>
          <w:rFonts w:ascii="ITC Avant Garde" w:hAnsi="ITC Avant Garde"/>
          <w:bCs/>
          <w:i/>
          <w:sz w:val="18"/>
          <w:szCs w:val="18"/>
        </w:rPr>
      </w:pPr>
      <w:r>
        <w:rPr>
          <w:rFonts w:ascii="ITC Avant Garde" w:hAnsi="ITC Avant Garde"/>
          <w:b/>
          <w:bCs/>
          <w:i/>
          <w:sz w:val="18"/>
          <w:szCs w:val="18"/>
        </w:rPr>
        <w:t>“</w:t>
      </w:r>
      <w:r w:rsidRPr="004C6C74">
        <w:rPr>
          <w:rFonts w:ascii="ITC Avant Garde" w:hAnsi="ITC Avant Garde"/>
          <w:b/>
          <w:bCs/>
          <w:i/>
          <w:sz w:val="18"/>
          <w:szCs w:val="18"/>
        </w:rPr>
        <w:t>PRIMERO</w:t>
      </w:r>
      <w:r w:rsidRPr="004C6C74">
        <w:rPr>
          <w:rFonts w:ascii="ITC Avant Garde" w:hAnsi="ITC Avant Garde"/>
          <w:bCs/>
          <w:i/>
          <w:sz w:val="18"/>
          <w:szCs w:val="18"/>
        </w:rPr>
        <w:t>. Se determina someter a consulta pública el “ANTEPROYECTO DE LINEAMIENTOS PARA LA PRESENTACIÓN DE DENUNCIAS DE PRÁCTICAS MONOPÓLICAS Y CONCENTRACIONES ILÍCITAS EN LOS SECTORES DE TELECOMUNICACIONES Y RADIODIFUSIÓN, ANTE LA AUTORIDAD INVESTIGADORA DEL INSTITUTO FEDERAL DE TELECOMUNICACIONES, A TRAVÉS DE MEDIOS ELECTRÓNICOS” (Anexo Único), por un periodo de treinta días hábiles, contados a partir del día hábil siguiente a aquél en que se publique el extracto en el Diario Oficial de la Federación.</w:t>
      </w:r>
    </w:p>
    <w:p w14:paraId="31B7E248" w14:textId="2F3A2D15" w:rsidR="00ED4465" w:rsidRPr="00ED4465" w:rsidRDefault="00ED4465" w:rsidP="00ED4465">
      <w:pPr>
        <w:pStyle w:val="Prrafodelista"/>
        <w:spacing w:after="120"/>
        <w:ind w:left="851" w:right="724"/>
        <w:jc w:val="both"/>
        <w:rPr>
          <w:rFonts w:ascii="ITC Avant Garde" w:hAnsi="ITC Avant Garde"/>
          <w:sz w:val="18"/>
        </w:rPr>
      </w:pPr>
      <w:r w:rsidRPr="00ED4465">
        <w:rPr>
          <w:rFonts w:ascii="ITC Avant Garde" w:hAnsi="ITC Avant Garde"/>
          <w:sz w:val="18"/>
        </w:rPr>
        <w:t>[…]</w:t>
      </w:r>
    </w:p>
    <w:p w14:paraId="6A72D2D6" w14:textId="3FC5225E" w:rsidR="00FC2449" w:rsidRPr="00ED4465" w:rsidRDefault="00ED4465" w:rsidP="00ED4465">
      <w:pPr>
        <w:pStyle w:val="Prrafodelista"/>
        <w:spacing w:after="120"/>
        <w:ind w:left="851" w:right="866"/>
        <w:jc w:val="both"/>
        <w:rPr>
          <w:rFonts w:ascii="ITC Avant Garde" w:hAnsi="ITC Avant Garde"/>
          <w:i/>
          <w:sz w:val="18"/>
          <w:szCs w:val="18"/>
        </w:rPr>
      </w:pPr>
      <w:r w:rsidRPr="00ED4465">
        <w:rPr>
          <w:rFonts w:ascii="ITC Avant Garde" w:hAnsi="ITC Avant Garde" w:cs="Tahoma"/>
          <w:bCs/>
          <w:i/>
          <w:color w:val="000000"/>
          <w:sz w:val="18"/>
          <w:szCs w:val="18"/>
          <w:lang w:eastAsia="es-MX"/>
        </w:rPr>
        <w:t>T</w:t>
      </w:r>
      <w:r w:rsidRPr="00ED4465">
        <w:rPr>
          <w:rFonts w:ascii="ITC Avant Garde" w:hAnsi="ITC Avant Garde" w:cs="Tahoma"/>
          <w:b/>
          <w:bCs/>
          <w:i/>
          <w:color w:val="000000"/>
          <w:sz w:val="18"/>
          <w:szCs w:val="18"/>
          <w:lang w:eastAsia="es-MX"/>
        </w:rPr>
        <w:t>ERCERO.</w:t>
      </w:r>
      <w:r w:rsidRPr="00ED4465">
        <w:rPr>
          <w:rFonts w:ascii="ITC Avant Garde" w:hAnsi="ITC Avant Garde" w:cs="Tahoma"/>
          <w:bCs/>
          <w:i/>
          <w:color w:val="000000"/>
          <w:sz w:val="18"/>
          <w:szCs w:val="18"/>
          <w:lang w:eastAsia="es-MX"/>
        </w:rPr>
        <w:t xml:space="preserve"> La Autoridad Investigadora del Instituto, en su calidad de área proponente, ejecutará y procesará la consulta pública materia del presente Acuerdo.”</w:t>
      </w:r>
    </w:p>
    <w:p w14:paraId="7A4A8399" w14:textId="28ACFCB1" w:rsidR="00FC2449" w:rsidRDefault="00FC2449" w:rsidP="0069090A">
      <w:pPr>
        <w:spacing w:after="120" w:line="240" w:lineRule="auto"/>
        <w:ind w:left="426" w:right="49"/>
        <w:jc w:val="both"/>
        <w:rPr>
          <w:rFonts w:ascii="ITC Avant Garde" w:hAnsi="ITC Avant Garde"/>
          <w:bCs/>
          <w:lang w:eastAsia="es-MX"/>
        </w:rPr>
      </w:pPr>
      <w:r w:rsidRPr="00FC2449">
        <w:rPr>
          <w:rFonts w:ascii="ITC Avant Garde" w:hAnsi="ITC Avant Garde"/>
          <w:bCs/>
          <w:lang w:eastAsia="es-MX"/>
        </w:rPr>
        <w:t>Dicha consulta pública se llevó a cabo por un periodo de treinta días hábiles, mismo que transcurrió del veintiuno de mayo al veintinueve de junio de dos mil dieciocho</w:t>
      </w:r>
      <w:r w:rsidR="00D44310">
        <w:rPr>
          <w:rFonts w:ascii="ITC Avant Garde" w:hAnsi="ITC Avant Garde"/>
          <w:bCs/>
          <w:lang w:eastAsia="es-MX"/>
        </w:rPr>
        <w:t xml:space="preserve">, </w:t>
      </w:r>
      <w:r w:rsidR="008A39FF">
        <w:rPr>
          <w:rFonts w:ascii="ITC Avant Garde" w:hAnsi="ITC Avant Garde"/>
          <w:bCs/>
          <w:lang w:eastAsia="es-MX"/>
        </w:rPr>
        <w:t>la cual inició con su publicación en el Diario Oficial de la Federación el dieciocho de mayo de dos mil dieciocho</w:t>
      </w:r>
      <w:r w:rsidRPr="00FC2449">
        <w:rPr>
          <w:rFonts w:ascii="ITC Avant Garde" w:hAnsi="ITC Avant Garde"/>
          <w:bCs/>
          <w:lang w:eastAsia="es-MX"/>
        </w:rPr>
        <w:t xml:space="preserve">. </w:t>
      </w:r>
    </w:p>
    <w:p w14:paraId="35A4A9CC" w14:textId="5F6EFEEF" w:rsidR="001B2BB6" w:rsidRPr="00020876" w:rsidRDefault="00B50FE3" w:rsidP="0069090A">
      <w:pPr>
        <w:numPr>
          <w:ilvl w:val="0"/>
          <w:numId w:val="1"/>
        </w:numPr>
        <w:spacing w:after="120" w:line="240" w:lineRule="auto"/>
        <w:ind w:left="426" w:right="49" w:hanging="426"/>
        <w:jc w:val="both"/>
        <w:rPr>
          <w:rFonts w:ascii="ITC Avant Garde" w:hAnsi="ITC Avant Garde"/>
          <w:bCs/>
          <w:lang w:eastAsia="es-MX"/>
        </w:rPr>
      </w:pPr>
      <w:r>
        <w:rPr>
          <w:rFonts w:ascii="ITC Avant Garde" w:hAnsi="ITC Avant Garde"/>
          <w:bCs/>
          <w:lang w:eastAsia="es-MX"/>
        </w:rPr>
        <w:t xml:space="preserve">Una vez </w:t>
      </w:r>
      <w:r w:rsidRPr="00FC2449">
        <w:rPr>
          <w:rFonts w:ascii="ITC Avant Garde" w:hAnsi="ITC Avant Garde"/>
          <w:bCs/>
          <w:lang w:eastAsia="es-MX"/>
        </w:rPr>
        <w:t>c</w:t>
      </w:r>
      <w:r w:rsidR="001D03D8">
        <w:rPr>
          <w:rFonts w:ascii="ITC Avant Garde" w:hAnsi="ITC Avant Garde"/>
          <w:bCs/>
          <w:lang w:eastAsia="es-MX"/>
        </w:rPr>
        <w:t>oncluido el periodo de treinta días hábiles para</w:t>
      </w:r>
      <w:r w:rsidRPr="00FC2449">
        <w:rPr>
          <w:rFonts w:ascii="ITC Avant Garde" w:hAnsi="ITC Avant Garde"/>
          <w:bCs/>
          <w:lang w:eastAsia="es-MX"/>
        </w:rPr>
        <w:t xml:space="preserve"> la consulta pública</w:t>
      </w:r>
      <w:r>
        <w:rPr>
          <w:rFonts w:ascii="ITC Avant Garde" w:hAnsi="ITC Avant Garde"/>
          <w:bCs/>
          <w:lang w:eastAsia="es-MX"/>
        </w:rPr>
        <w:t>, l</w:t>
      </w:r>
      <w:r w:rsidRPr="0052418F">
        <w:rPr>
          <w:rFonts w:ascii="ITC Avant Garde" w:hAnsi="ITC Avant Garde"/>
        </w:rPr>
        <w:t>a A</w:t>
      </w:r>
      <w:r>
        <w:rPr>
          <w:rFonts w:ascii="ITC Avant Garde" w:hAnsi="ITC Avant Garde"/>
        </w:rPr>
        <w:t xml:space="preserve">utoridad </w:t>
      </w:r>
      <w:r w:rsidRPr="0052418F">
        <w:rPr>
          <w:rFonts w:ascii="ITC Avant Garde" w:hAnsi="ITC Avant Garde"/>
        </w:rPr>
        <w:t>I</w:t>
      </w:r>
      <w:r>
        <w:rPr>
          <w:rFonts w:ascii="ITC Avant Garde" w:hAnsi="ITC Avant Garde"/>
        </w:rPr>
        <w:t>nvestigadora</w:t>
      </w:r>
      <w:r w:rsidRPr="0052418F">
        <w:rPr>
          <w:rFonts w:ascii="ITC Avant Garde" w:hAnsi="ITC Avant Garde"/>
        </w:rPr>
        <w:t xml:space="preserve"> se encargó de realizar la recepción y recopilación de los comentarios y aportaciones </w:t>
      </w:r>
      <w:r>
        <w:rPr>
          <w:rFonts w:ascii="ITC Avant Garde" w:hAnsi="ITC Avant Garde"/>
        </w:rPr>
        <w:t>y, d</w:t>
      </w:r>
      <w:r>
        <w:rPr>
          <w:rFonts w:ascii="ITC Avant Garde" w:hAnsi="ITC Avant Garde"/>
          <w:bCs/>
          <w:lang w:eastAsia="es-MX"/>
        </w:rPr>
        <w:t xml:space="preserve">e conformidad </w:t>
      </w:r>
      <w:r w:rsidRPr="0052418F">
        <w:rPr>
          <w:rFonts w:ascii="ITC Avant Garde" w:hAnsi="ITC Avant Garde"/>
        </w:rPr>
        <w:t>con</w:t>
      </w:r>
      <w:r>
        <w:rPr>
          <w:rFonts w:ascii="ITC Avant Garde" w:hAnsi="ITC Avant Garde"/>
        </w:rPr>
        <w:t xml:space="preserve"> el artículo 138, fracción II de la Ley Federal de Competencia Económica</w:t>
      </w:r>
      <w:r w:rsidR="00D92E34">
        <w:rPr>
          <w:rFonts w:ascii="ITC Avant Garde" w:hAnsi="ITC Avant Garde"/>
        </w:rPr>
        <w:t xml:space="preserve"> (LFCE)</w:t>
      </w:r>
      <w:r>
        <w:rPr>
          <w:rFonts w:ascii="ITC Avant Garde" w:hAnsi="ITC Avant Garde"/>
        </w:rPr>
        <w:t>,</w:t>
      </w:r>
      <w:r w:rsidR="0069090A">
        <w:rPr>
          <w:rFonts w:ascii="ITC Avant Garde" w:hAnsi="ITC Avant Garde"/>
        </w:rPr>
        <w:t xml:space="preserve"> </w:t>
      </w:r>
      <w:r>
        <w:rPr>
          <w:rFonts w:ascii="ITC Avant Garde" w:hAnsi="ITC Avant Garde"/>
        </w:rPr>
        <w:t>el veinticuatro de agosto de dos mil dieciocho emitió el</w:t>
      </w:r>
      <w:r w:rsidRPr="00B50FE3">
        <w:rPr>
          <w:rFonts w:ascii="ITC Avant Garde" w:hAnsi="ITC Avant Garde"/>
        </w:rPr>
        <w:t xml:space="preserve"> informe</w:t>
      </w:r>
      <w:r w:rsidR="0069090A">
        <w:rPr>
          <w:rFonts w:ascii="ITC Avant Garde" w:hAnsi="ITC Avant Garde"/>
        </w:rPr>
        <w:t xml:space="preserve"> con un resumen de los comentarios recibidos, así como de las consideraciones a los mismos, </w:t>
      </w:r>
      <w:r w:rsidRPr="00B50FE3">
        <w:rPr>
          <w:rFonts w:ascii="ITC Avant Garde" w:hAnsi="ITC Avant Garde"/>
        </w:rPr>
        <w:t xml:space="preserve">el cual </w:t>
      </w:r>
      <w:r>
        <w:rPr>
          <w:rFonts w:ascii="ITC Avant Garde" w:hAnsi="ITC Avant Garde"/>
        </w:rPr>
        <w:t>se publicó</w:t>
      </w:r>
      <w:r w:rsidRPr="00B50FE3">
        <w:rPr>
          <w:rFonts w:ascii="ITC Avant Garde" w:hAnsi="ITC Avant Garde"/>
        </w:rPr>
        <w:t xml:space="preserve"> en </w:t>
      </w:r>
      <w:r w:rsidR="00D44310">
        <w:rPr>
          <w:rFonts w:ascii="ITC Avant Garde" w:hAnsi="ITC Avant Garde"/>
        </w:rPr>
        <w:t xml:space="preserve">la fecha </w:t>
      </w:r>
      <w:r w:rsidR="008A39FF">
        <w:rPr>
          <w:rFonts w:ascii="ITC Avant Garde" w:hAnsi="ITC Avant Garde"/>
        </w:rPr>
        <w:t xml:space="preserve">de emisión en </w:t>
      </w:r>
      <w:r w:rsidRPr="00B50FE3">
        <w:rPr>
          <w:rFonts w:ascii="ITC Avant Garde" w:hAnsi="ITC Avant Garde"/>
        </w:rPr>
        <w:t>el sitio de Internet del Instituto para su difusión general</w:t>
      </w:r>
      <w:r>
        <w:rPr>
          <w:rFonts w:ascii="ITC Avant Garde" w:hAnsi="ITC Avant Garde"/>
        </w:rPr>
        <w:t>.</w:t>
      </w:r>
    </w:p>
    <w:p w14:paraId="329BE3CE" w14:textId="7AA3A3B7" w:rsidR="0011651B" w:rsidRPr="00B84D93" w:rsidRDefault="0011651B" w:rsidP="0069090A">
      <w:pPr>
        <w:numPr>
          <w:ilvl w:val="0"/>
          <w:numId w:val="1"/>
        </w:numPr>
        <w:spacing w:after="120" w:line="240" w:lineRule="auto"/>
        <w:ind w:left="426" w:right="49" w:hanging="426"/>
        <w:jc w:val="both"/>
        <w:rPr>
          <w:rFonts w:ascii="ITC Avant Garde" w:hAnsi="ITC Avant Garde"/>
        </w:rPr>
      </w:pPr>
      <w:r w:rsidRPr="002E1A2C">
        <w:rPr>
          <w:rFonts w:ascii="ITC Avant Garde" w:hAnsi="ITC Avant Garde" w:cs="Arial Unicode MS"/>
          <w:bCs/>
          <w:u w:color="000000"/>
          <w:bdr w:val="nil"/>
          <w:lang w:val="es-ES_tradnl" w:eastAsia="es-MX"/>
        </w:rPr>
        <w:t>Mediante oficio</w:t>
      </w:r>
      <w:r w:rsidR="00C0544A">
        <w:rPr>
          <w:rFonts w:ascii="ITC Avant Garde" w:hAnsi="ITC Avant Garde" w:cs="Arial Unicode MS"/>
          <w:bCs/>
          <w:u w:color="000000"/>
          <w:bdr w:val="nil"/>
          <w:lang w:val="es-ES_tradnl" w:eastAsia="es-MX"/>
        </w:rPr>
        <w:t xml:space="preserve"> número</w:t>
      </w:r>
      <w:r w:rsidRPr="002E1A2C">
        <w:rPr>
          <w:rFonts w:ascii="ITC Avant Garde" w:hAnsi="ITC Avant Garde" w:cs="Arial Unicode MS"/>
          <w:bCs/>
          <w:u w:color="000000"/>
          <w:bdr w:val="nil"/>
          <w:lang w:val="es-ES_tradnl" w:eastAsia="es-MX"/>
        </w:rPr>
        <w:t xml:space="preserve"> IFT/</w:t>
      </w:r>
      <w:r w:rsidR="00756FF2">
        <w:rPr>
          <w:rFonts w:ascii="ITC Avant Garde" w:hAnsi="ITC Avant Garde" w:cs="Arial Unicode MS"/>
          <w:bCs/>
          <w:u w:color="000000"/>
          <w:bdr w:val="nil"/>
          <w:lang w:val="es-ES_tradnl" w:eastAsia="es-MX"/>
        </w:rPr>
        <w:t>110/AI/095/2018</w:t>
      </w:r>
      <w:r w:rsidRPr="002E1A2C">
        <w:rPr>
          <w:rFonts w:ascii="ITC Avant Garde" w:hAnsi="ITC Avant Garde" w:cs="Arial Unicode MS"/>
          <w:bCs/>
          <w:u w:color="000000"/>
          <w:bdr w:val="nil"/>
          <w:lang w:val="es-ES_tradnl" w:eastAsia="es-MX"/>
        </w:rPr>
        <w:t xml:space="preserve"> de </w:t>
      </w:r>
      <w:r w:rsidR="00756FF2">
        <w:rPr>
          <w:rFonts w:ascii="ITC Avant Garde" w:hAnsi="ITC Avant Garde" w:cs="Arial Unicode MS"/>
          <w:bCs/>
          <w:u w:color="000000"/>
          <w:bdr w:val="nil"/>
          <w:lang w:val="es-ES_tradnl" w:eastAsia="es-MX"/>
        </w:rPr>
        <w:t>siete de septiembre de dos mil dieciocho</w:t>
      </w:r>
      <w:r w:rsidRPr="002E1A2C">
        <w:rPr>
          <w:rFonts w:ascii="ITC Avant Garde" w:hAnsi="ITC Avant Garde" w:cs="Arial Unicode MS"/>
          <w:bCs/>
          <w:u w:color="000000"/>
          <w:bdr w:val="nil"/>
          <w:lang w:val="es-ES_tradnl" w:eastAsia="es-MX"/>
        </w:rPr>
        <w:t xml:space="preserve">, </w:t>
      </w:r>
      <w:r w:rsidR="003937E9" w:rsidRPr="002E1A2C">
        <w:rPr>
          <w:rFonts w:ascii="ITC Avant Garde" w:hAnsi="ITC Avant Garde" w:cs="Arial Unicode MS"/>
          <w:bCs/>
          <w:u w:color="000000"/>
          <w:bdr w:val="nil"/>
          <w:lang w:val="es-ES_tradnl" w:eastAsia="es-MX"/>
        </w:rPr>
        <w:t xml:space="preserve">la </w:t>
      </w:r>
      <w:r w:rsidR="007941CB" w:rsidRPr="002E1A2C">
        <w:rPr>
          <w:rFonts w:ascii="ITC Avant Garde" w:hAnsi="ITC Avant Garde" w:cs="Arial Unicode MS"/>
          <w:bCs/>
          <w:u w:color="000000"/>
          <w:bdr w:val="nil"/>
          <w:lang w:val="es-ES_tradnl" w:eastAsia="es-MX"/>
        </w:rPr>
        <w:t xml:space="preserve">Autoridad Investigadora </w:t>
      </w:r>
      <w:r w:rsidRPr="002E1A2C">
        <w:rPr>
          <w:rFonts w:ascii="ITC Avant Garde" w:hAnsi="ITC Avant Garde" w:cs="Arial Unicode MS"/>
          <w:bCs/>
          <w:u w:color="000000"/>
          <w:bdr w:val="nil"/>
          <w:lang w:val="es-ES_tradnl" w:eastAsia="es-MX"/>
        </w:rPr>
        <w:t xml:space="preserve">remitió a la Coordinación General de </w:t>
      </w:r>
      <w:r w:rsidRPr="002E1A2C">
        <w:rPr>
          <w:rFonts w:ascii="ITC Avant Garde" w:hAnsi="ITC Avant Garde" w:cs="Arial Unicode MS"/>
          <w:bCs/>
          <w:u w:color="000000"/>
          <w:bdr w:val="nil"/>
          <w:lang w:val="es-ES_tradnl" w:eastAsia="es-MX"/>
        </w:rPr>
        <w:lastRenderedPageBreak/>
        <w:t>Mejora Regulatoria de este Instituto,</w:t>
      </w:r>
      <w:r w:rsidR="005F3403">
        <w:rPr>
          <w:rFonts w:ascii="ITC Avant Garde" w:hAnsi="ITC Avant Garde" w:cs="Arial Unicode MS"/>
          <w:bCs/>
          <w:u w:color="000000"/>
          <w:bdr w:val="nil"/>
          <w:lang w:val="es-ES_tradnl" w:eastAsia="es-MX"/>
        </w:rPr>
        <w:t xml:space="preserve"> el Proyecto de</w:t>
      </w:r>
      <w:r w:rsidR="0069090A" w:rsidRPr="0069090A">
        <w:rPr>
          <w:rFonts w:ascii="ITC Avant Garde" w:hAnsi="ITC Avant Garde"/>
          <w:lang w:eastAsia="es-MX"/>
        </w:rPr>
        <w:t xml:space="preserve"> </w:t>
      </w:r>
      <w:r w:rsidR="0069090A">
        <w:rPr>
          <w:rFonts w:ascii="ITC Avant Garde" w:hAnsi="ITC Avant Garde"/>
          <w:lang w:eastAsia="es-MX"/>
        </w:rPr>
        <w:t>l</w:t>
      </w:r>
      <w:r w:rsidR="00BA4B4D">
        <w:rPr>
          <w:rFonts w:ascii="ITC Avant Garde" w:hAnsi="ITC Avant Garde"/>
          <w:lang w:eastAsia="es-MX"/>
        </w:rPr>
        <w:t>os</w:t>
      </w:r>
      <w:r w:rsidR="0069090A">
        <w:rPr>
          <w:rFonts w:ascii="ITC Avant Garde" w:hAnsi="ITC Avant Garde"/>
          <w:lang w:eastAsia="es-MX"/>
        </w:rPr>
        <w:t xml:space="preserve"> “</w:t>
      </w:r>
      <w:r w:rsidR="00BA4B4D">
        <w:rPr>
          <w:rFonts w:ascii="ITC Avant Garde" w:hAnsi="ITC Avant Garde"/>
          <w:i/>
        </w:rPr>
        <w:t>Lineamientos para la presentación de denuncias de prácticas monopólicas y concentraciones ilícitas en los sectores de telecomunicaciones y radiodifusión, ante la Autoridad Investigadora del Instituto Federal de Telecomunicaciones</w:t>
      </w:r>
      <w:r w:rsidR="00BA7CEF">
        <w:rPr>
          <w:rFonts w:ascii="ITC Avant Garde" w:hAnsi="ITC Avant Garde"/>
          <w:i/>
        </w:rPr>
        <w:t>, a través de medios electrónicos</w:t>
      </w:r>
      <w:r w:rsidR="0069090A">
        <w:rPr>
          <w:rFonts w:ascii="ITC Avant Garde" w:hAnsi="ITC Avant Garde"/>
        </w:rPr>
        <w:t>”</w:t>
      </w:r>
      <w:r w:rsidRPr="002E1A2C">
        <w:rPr>
          <w:rFonts w:ascii="ITC Avant Garde" w:hAnsi="ITC Avant Garde" w:cs="Arial Unicode MS"/>
          <w:bCs/>
          <w:u w:color="000000"/>
          <w:bdr w:val="nil"/>
          <w:lang w:val="es-ES_tradnl" w:eastAsia="es-MX"/>
        </w:rPr>
        <w:t xml:space="preserve"> </w:t>
      </w:r>
      <w:r w:rsidR="00400560">
        <w:rPr>
          <w:rFonts w:ascii="ITC Avant Garde" w:hAnsi="ITC Avant Garde" w:cs="Arial Unicode MS"/>
          <w:bCs/>
          <w:u w:color="000000"/>
          <w:bdr w:val="nil"/>
          <w:lang w:val="es-ES_tradnl" w:eastAsia="es-MX"/>
        </w:rPr>
        <w:t xml:space="preserve">(Lineamientos) </w:t>
      </w:r>
      <w:r w:rsidR="0069090A">
        <w:rPr>
          <w:rFonts w:ascii="ITC Avant Garde" w:hAnsi="ITC Avant Garde" w:cs="Arial Unicode MS"/>
          <w:bCs/>
          <w:u w:color="000000"/>
          <w:bdr w:val="nil"/>
          <w:lang w:val="es-ES_tradnl" w:eastAsia="es-MX"/>
        </w:rPr>
        <w:t xml:space="preserve">y </w:t>
      </w:r>
      <w:r w:rsidR="00756FF2">
        <w:rPr>
          <w:rFonts w:ascii="ITC Avant Garde" w:hAnsi="ITC Avant Garde"/>
          <w:lang w:eastAsia="es-MX"/>
        </w:rPr>
        <w:t xml:space="preserve">el Análisis de Nulo </w:t>
      </w:r>
      <w:r w:rsidR="0069090A">
        <w:rPr>
          <w:rFonts w:ascii="ITC Avant Garde" w:hAnsi="ITC Avant Garde"/>
          <w:lang w:eastAsia="es-MX"/>
        </w:rPr>
        <w:t>Impacto Regulatorio del proyecto</w:t>
      </w:r>
      <w:r w:rsidR="00756FF2">
        <w:rPr>
          <w:rFonts w:ascii="ITC Avant Garde" w:hAnsi="ITC Avant Garde"/>
        </w:rPr>
        <w:t>, a efecto de solicitar su opinión no vinculante en términos de</w:t>
      </w:r>
      <w:r w:rsidR="0069090A">
        <w:rPr>
          <w:rFonts w:ascii="ITC Avant Garde" w:hAnsi="ITC Avant Garde"/>
        </w:rPr>
        <w:t xml:space="preserve"> lo previsto en</w:t>
      </w:r>
      <w:r w:rsidR="00756FF2">
        <w:rPr>
          <w:rFonts w:ascii="ITC Avant Garde" w:hAnsi="ITC Avant Garde"/>
        </w:rPr>
        <w:t xml:space="preserve"> los Lineamientos de Consulta Pública y Análisis de Impacto Regulatorio del Instituto</w:t>
      </w:r>
      <w:r w:rsidRPr="002E1A2C">
        <w:rPr>
          <w:rFonts w:ascii="ITC Avant Garde" w:hAnsi="ITC Avant Garde" w:cs="Arial Unicode MS"/>
          <w:bCs/>
          <w:u w:color="000000"/>
          <w:bdr w:val="nil"/>
          <w:lang w:val="es-ES_tradnl" w:eastAsia="es-MX"/>
        </w:rPr>
        <w:t>.</w:t>
      </w:r>
    </w:p>
    <w:p w14:paraId="5193D2DA" w14:textId="7220F3E0" w:rsidR="00B84D93" w:rsidRDefault="00B84D93" w:rsidP="0069090A">
      <w:pPr>
        <w:numPr>
          <w:ilvl w:val="0"/>
          <w:numId w:val="1"/>
        </w:numPr>
        <w:spacing w:after="120" w:line="240" w:lineRule="auto"/>
        <w:ind w:left="426" w:right="49" w:hanging="426"/>
        <w:jc w:val="both"/>
        <w:rPr>
          <w:rFonts w:ascii="ITC Avant Garde" w:hAnsi="ITC Avant Garde"/>
        </w:rPr>
      </w:pPr>
      <w:r>
        <w:rPr>
          <w:rFonts w:ascii="ITC Avant Garde" w:hAnsi="ITC Avant Garde"/>
        </w:rPr>
        <w:t>Mediante oficio</w:t>
      </w:r>
      <w:r w:rsidR="00C0544A">
        <w:rPr>
          <w:rFonts w:ascii="ITC Avant Garde" w:hAnsi="ITC Avant Garde"/>
        </w:rPr>
        <w:t xml:space="preserve"> número</w:t>
      </w:r>
      <w:r w:rsidR="0093287A">
        <w:rPr>
          <w:rFonts w:ascii="ITC Avant Garde" w:hAnsi="ITC Avant Garde"/>
        </w:rPr>
        <w:t xml:space="preserve"> IFT/211/CGMR/201/2018 de fecha dos de octubre de dos mil dieciocho</w:t>
      </w:r>
      <w:r>
        <w:rPr>
          <w:rFonts w:ascii="ITC Avant Garde" w:hAnsi="ITC Avant Garde"/>
        </w:rPr>
        <w:t xml:space="preserve"> la Coordinación General de Mejora Regulatoria de este Instituto remitió la opinión no vinculante sobre el Análisis de Nulo Impacto Regulatorio.</w:t>
      </w:r>
    </w:p>
    <w:p w14:paraId="27F8F091" w14:textId="238AB1C4" w:rsidR="00C0544A" w:rsidRDefault="00C0544A" w:rsidP="0069090A">
      <w:pPr>
        <w:numPr>
          <w:ilvl w:val="0"/>
          <w:numId w:val="1"/>
        </w:numPr>
        <w:spacing w:after="120" w:line="240" w:lineRule="auto"/>
        <w:ind w:left="426" w:right="49" w:hanging="426"/>
        <w:jc w:val="both"/>
        <w:rPr>
          <w:rFonts w:ascii="ITC Avant Garde" w:hAnsi="ITC Avant Garde"/>
        </w:rPr>
      </w:pPr>
      <w:r>
        <w:rPr>
          <w:rFonts w:ascii="ITC Avant Garde" w:hAnsi="ITC Avant Garde"/>
        </w:rPr>
        <w:t>Mediante oficio número IFT/110/AI/120/2018 de fecha treinta y uno de octubre de dos mil dieciocho, la Autoridad Investigadora de este Instituto solicitó a la Comisión Federal de Competencia Económica la opinión a que se refiere el artículo 138, fracción I de la LFCE, respecto de</w:t>
      </w:r>
      <w:r w:rsidR="00770226">
        <w:rPr>
          <w:rFonts w:ascii="ITC Avant Garde" w:hAnsi="ITC Avant Garde"/>
        </w:rPr>
        <w:t xml:space="preserve"> los</w:t>
      </w:r>
      <w:r>
        <w:rPr>
          <w:rFonts w:ascii="ITC Avant Garde" w:hAnsi="ITC Avant Garde"/>
        </w:rPr>
        <w:t xml:space="preserve"> Lineamientos.</w:t>
      </w:r>
    </w:p>
    <w:p w14:paraId="039AF4A6" w14:textId="0BFAA864" w:rsidR="00C0544A" w:rsidRPr="002E1A2C" w:rsidRDefault="00C0544A" w:rsidP="0069090A">
      <w:pPr>
        <w:numPr>
          <w:ilvl w:val="0"/>
          <w:numId w:val="1"/>
        </w:numPr>
        <w:spacing w:after="120" w:line="240" w:lineRule="auto"/>
        <w:ind w:left="426" w:right="49" w:hanging="426"/>
        <w:jc w:val="both"/>
        <w:rPr>
          <w:rFonts w:ascii="ITC Avant Garde" w:hAnsi="ITC Avant Garde"/>
        </w:rPr>
      </w:pPr>
      <w:r>
        <w:rPr>
          <w:rFonts w:ascii="ITC Avant Garde" w:hAnsi="ITC Avant Garde"/>
        </w:rPr>
        <w:t>Mediante oficio número ST-CFCE-2018-286 de fecha seis de noviembre de dos mil dieciocho, la Comisión Federal de Competencia Económica respondió el oficio referido en el numeral anterior</w:t>
      </w:r>
      <w:r w:rsidR="008F5825">
        <w:rPr>
          <w:rFonts w:ascii="ITC Avant Garde" w:hAnsi="ITC Avant Garde"/>
        </w:rPr>
        <w:t xml:space="preserve">, haciendo del conocimiento que no tienen comentarios </w:t>
      </w:r>
      <w:r w:rsidR="00F14D72">
        <w:rPr>
          <w:rFonts w:ascii="ITC Avant Garde" w:hAnsi="ITC Avant Garde"/>
        </w:rPr>
        <w:t>de</w:t>
      </w:r>
      <w:r w:rsidR="008F5825">
        <w:rPr>
          <w:rFonts w:ascii="ITC Avant Garde" w:hAnsi="ITC Avant Garde"/>
        </w:rPr>
        <w:t xml:space="preserve"> l</w:t>
      </w:r>
      <w:r w:rsidR="009064B9">
        <w:rPr>
          <w:rFonts w:ascii="ITC Avant Garde" w:hAnsi="ITC Avant Garde"/>
        </w:rPr>
        <w:t>os</w:t>
      </w:r>
      <w:r w:rsidR="008F5825">
        <w:rPr>
          <w:rFonts w:ascii="ITC Avant Garde" w:hAnsi="ITC Avant Garde"/>
        </w:rPr>
        <w:t xml:space="preserve"> </w:t>
      </w:r>
      <w:r w:rsidR="009064B9">
        <w:rPr>
          <w:rFonts w:ascii="ITC Avant Garde" w:hAnsi="ITC Avant Garde"/>
        </w:rPr>
        <w:t>Lineamientos</w:t>
      </w:r>
      <w:r>
        <w:rPr>
          <w:rFonts w:ascii="ITC Avant Garde" w:hAnsi="ITC Avant Garde"/>
        </w:rPr>
        <w:t>.</w:t>
      </w:r>
    </w:p>
    <w:p w14:paraId="7D22A275" w14:textId="5DEE71BC" w:rsidR="00A10DF6" w:rsidRPr="002E1A2C" w:rsidRDefault="00A10DF6" w:rsidP="0069090A">
      <w:pPr>
        <w:spacing w:after="120" w:line="240" w:lineRule="auto"/>
        <w:jc w:val="both"/>
        <w:rPr>
          <w:rFonts w:ascii="ITC Avant Garde" w:eastAsia="Times New Roman" w:hAnsi="ITC Avant Garde" w:cs="Arial"/>
          <w:lang w:eastAsia="es-MX"/>
        </w:rPr>
      </w:pPr>
      <w:r w:rsidRPr="002E1A2C">
        <w:rPr>
          <w:rFonts w:ascii="ITC Avant Garde" w:eastAsia="Times New Roman" w:hAnsi="ITC Avant Garde" w:cs="Arial"/>
          <w:lang w:eastAsia="es-MX"/>
        </w:rPr>
        <w:t xml:space="preserve">En virtud de los </w:t>
      </w:r>
      <w:r w:rsidR="00D667C5" w:rsidRPr="002E1A2C">
        <w:rPr>
          <w:rFonts w:ascii="ITC Avant Garde" w:eastAsia="Times New Roman" w:hAnsi="ITC Avant Garde" w:cs="Arial"/>
          <w:lang w:eastAsia="es-MX"/>
        </w:rPr>
        <w:t>A</w:t>
      </w:r>
      <w:r w:rsidRPr="002E1A2C">
        <w:rPr>
          <w:rFonts w:ascii="ITC Avant Garde" w:eastAsia="Times New Roman" w:hAnsi="ITC Avant Garde" w:cs="Arial"/>
          <w:lang w:eastAsia="es-MX"/>
        </w:rPr>
        <w:t>ntecedentes señalados y,</w:t>
      </w:r>
    </w:p>
    <w:p w14:paraId="2B6040EA" w14:textId="1F8E14B6" w:rsidR="00A10DF6" w:rsidRPr="002E1A2C" w:rsidRDefault="00A10DF6" w:rsidP="0069090A">
      <w:pPr>
        <w:spacing w:after="120" w:line="240" w:lineRule="auto"/>
        <w:jc w:val="center"/>
        <w:rPr>
          <w:rFonts w:ascii="ITC Avant Garde" w:hAnsi="ITC Avant Garde"/>
          <w:b/>
        </w:rPr>
      </w:pPr>
      <w:r w:rsidRPr="002E1A2C">
        <w:rPr>
          <w:rFonts w:ascii="ITC Avant Garde" w:hAnsi="ITC Avant Garde"/>
          <w:b/>
        </w:rPr>
        <w:t>CONSIDERANDO</w:t>
      </w:r>
    </w:p>
    <w:p w14:paraId="7693B375" w14:textId="35DBA6FE" w:rsidR="00A10DF6" w:rsidRPr="002E1A2C" w:rsidRDefault="00A10DF6" w:rsidP="0069090A">
      <w:pPr>
        <w:spacing w:after="120" w:line="240" w:lineRule="auto"/>
        <w:jc w:val="both"/>
        <w:rPr>
          <w:rFonts w:ascii="ITC Avant Garde" w:hAnsi="ITC Avant Garde"/>
        </w:rPr>
      </w:pPr>
      <w:proofErr w:type="gramStart"/>
      <w:r w:rsidRPr="002E1A2C">
        <w:rPr>
          <w:rFonts w:ascii="ITC Avant Garde" w:eastAsia="Arial Unicode MS" w:hAnsi="ITC Avant Garde" w:cs="Times"/>
          <w:b/>
          <w:bdr w:val="nil"/>
          <w:lang w:eastAsia="es-MX"/>
        </w:rPr>
        <w:t>PRIMERO.-</w:t>
      </w:r>
      <w:proofErr w:type="gramEnd"/>
      <w:r w:rsidRPr="002E1A2C">
        <w:rPr>
          <w:rFonts w:ascii="ITC Avant Garde" w:eastAsia="Arial Unicode MS" w:hAnsi="ITC Avant Garde" w:cs="Times"/>
          <w:b/>
          <w:bdr w:val="nil"/>
          <w:lang w:eastAsia="es-MX"/>
        </w:rPr>
        <w:t xml:space="preserve"> Competencia del Instituto.</w:t>
      </w:r>
      <w:r w:rsidRPr="002E1A2C">
        <w:rPr>
          <w:rFonts w:ascii="ITC Avant Garde" w:eastAsia="Arial Unicode MS" w:hAnsi="ITC Avant Garde" w:cs="Arial"/>
          <w:bCs/>
          <w:u w:color="000000"/>
          <w:bdr w:val="nil"/>
          <w:lang w:val="es-ES_tradnl" w:eastAsia="ar-SA"/>
        </w:rPr>
        <w:t xml:space="preserve"> </w:t>
      </w:r>
      <w:r w:rsidRPr="002E1A2C">
        <w:rPr>
          <w:rFonts w:ascii="ITC Avant Garde" w:hAnsi="ITC Avant Garde"/>
        </w:rPr>
        <w:t xml:space="preserve">De conformidad con los artículos 28, </w:t>
      </w:r>
      <w:proofErr w:type="gramStart"/>
      <w:r w:rsidRPr="002E1A2C">
        <w:rPr>
          <w:rFonts w:ascii="ITC Avant Garde" w:hAnsi="ITC Avant Garde"/>
        </w:rPr>
        <w:t>párrafos décimo quinto</w:t>
      </w:r>
      <w:proofErr w:type="gramEnd"/>
      <w:r w:rsidRPr="002E1A2C">
        <w:rPr>
          <w:rFonts w:ascii="ITC Avant Garde" w:hAnsi="ITC Avant Garde"/>
        </w:rPr>
        <w:t xml:space="preserve"> y décimo sexto de la Constitución</w:t>
      </w:r>
      <w:r w:rsidR="00B97C62" w:rsidRPr="002E1A2C">
        <w:rPr>
          <w:rFonts w:ascii="ITC Avant Garde" w:hAnsi="ITC Avant Garde"/>
        </w:rPr>
        <w:t>;</w:t>
      </w:r>
      <w:r w:rsidRPr="002E1A2C">
        <w:rPr>
          <w:rFonts w:ascii="ITC Avant Garde" w:hAnsi="ITC Avant Garde"/>
        </w:rPr>
        <w:t xml:space="preserve"> </w:t>
      </w:r>
      <w:r w:rsidRPr="002E1A2C">
        <w:rPr>
          <w:rFonts w:ascii="ITC Avant Garde" w:hAnsi="ITC Avant Garde"/>
          <w:bCs/>
        </w:rPr>
        <w:t xml:space="preserve">7, párrafos primero y tercero </w:t>
      </w:r>
      <w:r w:rsidRPr="002E1A2C">
        <w:rPr>
          <w:rFonts w:ascii="ITC Avant Garde" w:hAnsi="ITC Avant Garde"/>
        </w:rPr>
        <w:t xml:space="preserve">de la </w:t>
      </w:r>
      <w:r w:rsidR="006779BA" w:rsidRPr="002E1A2C">
        <w:rPr>
          <w:rFonts w:ascii="ITC Avant Garde" w:hAnsi="ITC Avant Garde"/>
        </w:rPr>
        <w:t>Ley Federal de Tele</w:t>
      </w:r>
      <w:r w:rsidR="0069090A">
        <w:rPr>
          <w:rFonts w:ascii="ITC Avant Garde" w:hAnsi="ITC Avant Garde"/>
        </w:rPr>
        <w:t>comunicaciones y Radiodifusión</w:t>
      </w:r>
      <w:r w:rsidR="00B97C62" w:rsidRPr="002E1A2C">
        <w:rPr>
          <w:rFonts w:ascii="ITC Avant Garde" w:hAnsi="ITC Avant Garde"/>
        </w:rPr>
        <w:t>;</w:t>
      </w:r>
      <w:r w:rsidRPr="002E1A2C">
        <w:rPr>
          <w:rFonts w:ascii="ITC Avant Garde" w:hAnsi="ITC Avant Garde"/>
        </w:rPr>
        <w:t xml:space="preserve"> y 5, primer párrafo de la LFCE, el Instituto es un órgano autónomo con personalidad jurídica y patrimonio propio, que tiene por objeto el desarrollo eficiente de la radiodifusión y las telecomunicaciones. </w:t>
      </w:r>
    </w:p>
    <w:p w14:paraId="2E65D1BF" w14:textId="03D9B839" w:rsidR="00A10DF6" w:rsidRDefault="00A10DF6" w:rsidP="0069090A">
      <w:pPr>
        <w:spacing w:after="120" w:line="240" w:lineRule="auto"/>
        <w:jc w:val="both"/>
        <w:rPr>
          <w:rFonts w:ascii="ITC Avant Garde" w:hAnsi="ITC Avant Garde"/>
        </w:rPr>
      </w:pPr>
      <w:r w:rsidRPr="002E1A2C">
        <w:rPr>
          <w:rFonts w:ascii="ITC Avant Garde" w:hAnsi="ITC Avant Garde"/>
        </w:rPr>
        <w:t>Asimismo, es la autoridad en materia de competencia económica en los sectores de radiodifusión y telecomunicaciones, por lo que en éstos ejercerá de forma exclusiva las facultades que el artículo 28 de la Constitución y las leyes establecen para la Comisión Federal de Competencia Económica.</w:t>
      </w:r>
    </w:p>
    <w:p w14:paraId="3663CD5E" w14:textId="68F453F6" w:rsidR="00BF0FB4" w:rsidRDefault="00200A80" w:rsidP="0069090A">
      <w:pPr>
        <w:spacing w:after="120" w:line="240" w:lineRule="auto"/>
        <w:jc w:val="both"/>
        <w:rPr>
          <w:rFonts w:ascii="ITC Avant Garde" w:hAnsi="ITC Avant Garde"/>
        </w:rPr>
      </w:pPr>
      <w:r>
        <w:rPr>
          <w:rFonts w:ascii="ITC Avant Garde" w:hAnsi="ITC Avant Garde"/>
        </w:rPr>
        <w:t>Así, e</w:t>
      </w:r>
      <w:r w:rsidR="00BF0FB4">
        <w:rPr>
          <w:rFonts w:ascii="ITC Avant Garde" w:hAnsi="ITC Avant Garde"/>
        </w:rPr>
        <w:t>n términos de lo dispuesto por el</w:t>
      </w:r>
      <w:r w:rsidR="00BF0FB4" w:rsidRPr="00A14719">
        <w:rPr>
          <w:rFonts w:ascii="ITC Avant Garde" w:hAnsi="ITC Avant Garde"/>
        </w:rPr>
        <w:t xml:space="preserve"> artículo 12, fracción XXII, </w:t>
      </w:r>
      <w:r w:rsidR="00BF0FB4">
        <w:rPr>
          <w:rFonts w:ascii="ITC Avant Garde" w:hAnsi="ITC Avant Garde"/>
        </w:rPr>
        <w:t xml:space="preserve">párrafo </w:t>
      </w:r>
      <w:r w:rsidR="00BF0FB4" w:rsidRPr="00A81AFB">
        <w:rPr>
          <w:rFonts w:ascii="ITC Avant Garde" w:hAnsi="ITC Avant Garde"/>
        </w:rPr>
        <w:t xml:space="preserve">tercero, inciso </w:t>
      </w:r>
      <w:r w:rsidR="00BF0FB4">
        <w:rPr>
          <w:rFonts w:ascii="ITC Avant Garde" w:hAnsi="ITC Avant Garde"/>
        </w:rPr>
        <w:t>b</w:t>
      </w:r>
      <w:r w:rsidR="00BF0FB4" w:rsidRPr="00A81AFB">
        <w:rPr>
          <w:rFonts w:ascii="ITC Avant Garde" w:hAnsi="ITC Avant Garde"/>
        </w:rPr>
        <w:t>)</w:t>
      </w:r>
      <w:r w:rsidR="00BF0FB4">
        <w:rPr>
          <w:rFonts w:ascii="ITC Avant Garde" w:hAnsi="ITC Avant Garde"/>
        </w:rPr>
        <w:t xml:space="preserve">, </w:t>
      </w:r>
      <w:r w:rsidR="00BF0FB4" w:rsidRPr="00A14719">
        <w:rPr>
          <w:rFonts w:ascii="ITC Avant Garde" w:hAnsi="ITC Avant Garde"/>
        </w:rPr>
        <w:t xml:space="preserve">de la LFCE, </w:t>
      </w:r>
      <w:r w:rsidR="00BF0FB4">
        <w:rPr>
          <w:rFonts w:ascii="ITC Avant Garde" w:hAnsi="ITC Avant Garde"/>
        </w:rPr>
        <w:t>en relación con el diverso</w:t>
      </w:r>
      <w:r w:rsidR="00BF0FB4" w:rsidRPr="00A14719">
        <w:rPr>
          <w:rFonts w:ascii="ITC Avant Garde" w:hAnsi="ITC Avant Garde"/>
        </w:rPr>
        <w:t xml:space="preserve"> 187 de las </w:t>
      </w:r>
      <w:r w:rsidR="00BF0FB4" w:rsidRPr="00AB731B">
        <w:rPr>
          <w:rFonts w:ascii="ITC Avant Garde" w:hAnsi="ITC Avant Garde"/>
        </w:rPr>
        <w:t>Disposiciones Regulatorias</w:t>
      </w:r>
      <w:r w:rsidR="00BF0FB4">
        <w:rPr>
          <w:rFonts w:ascii="ITC Avant Garde" w:hAnsi="ITC Avant Garde"/>
        </w:rPr>
        <w:t xml:space="preserve"> </w:t>
      </w:r>
      <w:r w:rsidR="00BF0FB4" w:rsidRPr="00D1467D">
        <w:rPr>
          <w:rFonts w:ascii="ITC Avant Garde" w:hAnsi="ITC Avant Garde"/>
        </w:rPr>
        <w:t>de la Ley Federal de Competencia Económica para los sectores de telecomunicaciones y radiodifusión</w:t>
      </w:r>
      <w:r w:rsidR="00BF0FB4" w:rsidRPr="00A14719">
        <w:rPr>
          <w:rFonts w:ascii="ITC Avant Garde" w:hAnsi="ITC Avant Garde"/>
        </w:rPr>
        <w:t>, el Instituto tiene la atribución de expedir</w:t>
      </w:r>
      <w:r w:rsidR="00BF0FB4">
        <w:rPr>
          <w:rFonts w:ascii="ITC Avant Garde" w:hAnsi="ITC Avant Garde"/>
        </w:rPr>
        <w:t>, previa consulta pública,</w:t>
      </w:r>
      <w:r w:rsidR="00BF0FB4" w:rsidRPr="00A14719">
        <w:rPr>
          <w:rFonts w:ascii="ITC Avant Garde" w:hAnsi="ITC Avant Garde"/>
        </w:rPr>
        <w:t xml:space="preserve"> </w:t>
      </w:r>
      <w:r w:rsidR="0069090A">
        <w:rPr>
          <w:rFonts w:ascii="ITC Avant Garde" w:hAnsi="ITC Avant Garde"/>
        </w:rPr>
        <w:t xml:space="preserve">directrices, </w:t>
      </w:r>
      <w:r w:rsidR="00BF0FB4" w:rsidRPr="00A14719">
        <w:rPr>
          <w:rFonts w:ascii="ITC Avant Garde" w:hAnsi="ITC Avant Garde"/>
        </w:rPr>
        <w:t>guías</w:t>
      </w:r>
      <w:r w:rsidR="0069090A">
        <w:rPr>
          <w:rFonts w:ascii="ITC Avant Garde" w:hAnsi="ITC Avant Garde"/>
        </w:rPr>
        <w:t xml:space="preserve">, </w:t>
      </w:r>
      <w:r w:rsidR="00BF0FB4">
        <w:rPr>
          <w:rFonts w:ascii="ITC Avant Garde" w:hAnsi="ITC Avant Garde"/>
        </w:rPr>
        <w:t xml:space="preserve">lineamientos </w:t>
      </w:r>
      <w:r w:rsidR="0069090A">
        <w:rPr>
          <w:rFonts w:ascii="ITC Avant Garde" w:hAnsi="ITC Avant Garde"/>
        </w:rPr>
        <w:t xml:space="preserve">y criterios técnicos </w:t>
      </w:r>
      <w:r w:rsidR="00BF0FB4">
        <w:rPr>
          <w:rFonts w:ascii="ITC Avant Garde" w:hAnsi="ITC Avant Garde"/>
        </w:rPr>
        <w:t>en materia de investigaciones</w:t>
      </w:r>
      <w:r w:rsidR="00946814">
        <w:rPr>
          <w:rFonts w:ascii="ITC Avant Garde" w:hAnsi="ITC Avant Garde"/>
        </w:rPr>
        <w:t xml:space="preserve"> de prácticas monopólicas y concentraciones ilícitas</w:t>
      </w:r>
      <w:r>
        <w:rPr>
          <w:rFonts w:ascii="ITC Avant Garde" w:hAnsi="ITC Avant Garde"/>
        </w:rPr>
        <w:t>,</w:t>
      </w:r>
      <w:r w:rsidR="00840FB8" w:rsidRPr="00840FB8">
        <w:rPr>
          <w:rFonts w:ascii="ITC Avant Garde" w:hAnsi="ITC Avant Garde"/>
        </w:rPr>
        <w:t xml:space="preserve"> </w:t>
      </w:r>
      <w:r w:rsidR="00840FB8">
        <w:rPr>
          <w:rFonts w:ascii="ITC Avant Garde" w:hAnsi="ITC Avant Garde"/>
        </w:rPr>
        <w:t>entre otras</w:t>
      </w:r>
      <w:r w:rsidR="00BF0FB4" w:rsidRPr="00AB124C">
        <w:rPr>
          <w:rFonts w:ascii="ITC Avant Garde" w:hAnsi="ITC Avant Garde"/>
        </w:rPr>
        <w:t>.</w:t>
      </w:r>
    </w:p>
    <w:p w14:paraId="54D63B6C" w14:textId="1A506404" w:rsidR="00400560" w:rsidRDefault="00BF0FB4" w:rsidP="00400560">
      <w:pPr>
        <w:spacing w:after="120" w:line="240" w:lineRule="auto"/>
        <w:jc w:val="both"/>
        <w:rPr>
          <w:rFonts w:ascii="ITC Avant Garde" w:hAnsi="ITC Avant Garde"/>
        </w:rPr>
      </w:pPr>
      <w:r>
        <w:rPr>
          <w:rFonts w:ascii="ITC Avant Garde" w:hAnsi="ITC Avant Garde"/>
        </w:rPr>
        <w:t>Co</w:t>
      </w:r>
      <w:r w:rsidRPr="009E7FAA">
        <w:rPr>
          <w:rFonts w:ascii="ITC Avant Garde" w:hAnsi="ITC Avant Garde"/>
        </w:rPr>
        <w:t xml:space="preserve">n </w:t>
      </w:r>
      <w:r>
        <w:rPr>
          <w:rFonts w:ascii="ITC Avant Garde" w:hAnsi="ITC Avant Garde"/>
        </w:rPr>
        <w:t>fundamento en el artículo 138 de la LFCE,</w:t>
      </w:r>
      <w:r w:rsidRPr="009E7FAA">
        <w:rPr>
          <w:rFonts w:ascii="ITC Avant Garde" w:hAnsi="ITC Avant Garde"/>
        </w:rPr>
        <w:t xml:space="preserve"> el </w:t>
      </w:r>
      <w:r>
        <w:rPr>
          <w:rFonts w:ascii="ITC Avant Garde" w:hAnsi="ITC Avant Garde"/>
        </w:rPr>
        <w:t xml:space="preserve">Pleno del </w:t>
      </w:r>
      <w:r w:rsidRPr="009E7FAA">
        <w:rPr>
          <w:rFonts w:ascii="ITC Avant Garde" w:hAnsi="ITC Avant Garde"/>
        </w:rPr>
        <w:t xml:space="preserve">Instituto cuenta con atribuciones para emitir el presente Acuerdo, </w:t>
      </w:r>
      <w:r>
        <w:rPr>
          <w:rFonts w:ascii="ITC Avant Garde" w:hAnsi="ITC Avant Garde"/>
        </w:rPr>
        <w:t xml:space="preserve">a efecto expedir </w:t>
      </w:r>
      <w:r w:rsidR="00400560">
        <w:rPr>
          <w:rFonts w:ascii="ITC Avant Garde" w:hAnsi="ITC Avant Garde"/>
          <w:lang w:eastAsia="es-MX"/>
        </w:rPr>
        <w:t>los “</w:t>
      </w:r>
      <w:r w:rsidR="00400560">
        <w:rPr>
          <w:rFonts w:ascii="ITC Avant Garde" w:hAnsi="ITC Avant Garde"/>
          <w:i/>
        </w:rPr>
        <w:t xml:space="preserve">Lineamientos para la presentación de denuncias de prácticas monopólicas y concentraciones </w:t>
      </w:r>
      <w:r w:rsidR="00400560">
        <w:rPr>
          <w:rFonts w:ascii="ITC Avant Garde" w:hAnsi="ITC Avant Garde"/>
          <w:i/>
        </w:rPr>
        <w:lastRenderedPageBreak/>
        <w:t>ilícitas en los sectores de telecomunicaciones y radiodifusión, ante la Autoridad Investigadora del Instituto Federal de Telecomunicaciones</w:t>
      </w:r>
      <w:r w:rsidR="00097CBA">
        <w:rPr>
          <w:rFonts w:ascii="ITC Avant Garde" w:hAnsi="ITC Avant Garde"/>
          <w:i/>
        </w:rPr>
        <w:t>, a través de medios electrónicos</w:t>
      </w:r>
      <w:r w:rsidR="00400560">
        <w:rPr>
          <w:rFonts w:ascii="ITC Avant Garde" w:hAnsi="ITC Avant Garde"/>
        </w:rPr>
        <w:t>”.</w:t>
      </w:r>
    </w:p>
    <w:p w14:paraId="63D8E963" w14:textId="06CCF4CF" w:rsidR="00A10DF6" w:rsidRPr="002E1A2C" w:rsidRDefault="00BF0FB4" w:rsidP="00400560">
      <w:pPr>
        <w:spacing w:after="120" w:line="240" w:lineRule="auto"/>
        <w:jc w:val="both"/>
        <w:rPr>
          <w:rFonts w:asciiTheme="minorHAnsi" w:eastAsiaTheme="minorHAnsi" w:hAnsiTheme="minorHAnsi" w:cstheme="minorBidi"/>
          <w:sz w:val="20"/>
          <w:szCs w:val="20"/>
        </w:rPr>
      </w:pPr>
      <w:proofErr w:type="gramStart"/>
      <w:r>
        <w:rPr>
          <w:rFonts w:ascii="ITC Avant Garde" w:hAnsi="ITC Avant Garde" w:cs="Arial"/>
          <w:b/>
        </w:rPr>
        <w:t>SEGUND</w:t>
      </w:r>
      <w:r w:rsidR="00A10DF6" w:rsidRPr="002E1A2C">
        <w:rPr>
          <w:rFonts w:ascii="ITC Avant Garde" w:hAnsi="ITC Avant Garde" w:cs="Arial"/>
          <w:b/>
        </w:rPr>
        <w:t>O.-</w:t>
      </w:r>
      <w:proofErr w:type="gramEnd"/>
      <w:r w:rsidR="00A10DF6" w:rsidRPr="002E1A2C">
        <w:rPr>
          <w:rFonts w:ascii="ITC Avant Garde" w:hAnsi="ITC Avant Garde" w:cs="Arial"/>
          <w:b/>
        </w:rPr>
        <w:t xml:space="preserve"> </w:t>
      </w:r>
      <w:r w:rsidR="00D92E34">
        <w:rPr>
          <w:rFonts w:ascii="ITC Avant Garde" w:hAnsi="ITC Avant Garde"/>
          <w:b/>
        </w:rPr>
        <w:t>Procedencia</w:t>
      </w:r>
      <w:r w:rsidR="00D92E34" w:rsidRPr="00AB124C">
        <w:rPr>
          <w:rFonts w:ascii="ITC Avant Garde" w:hAnsi="ITC Avant Garde"/>
          <w:b/>
        </w:rPr>
        <w:t xml:space="preserve"> de emitir </w:t>
      </w:r>
      <w:r w:rsidR="00400560">
        <w:rPr>
          <w:rFonts w:ascii="ITC Avant Garde" w:hAnsi="ITC Avant Garde"/>
          <w:b/>
        </w:rPr>
        <w:t>los Lineamientos</w:t>
      </w:r>
      <w:r w:rsidR="00A10DF6" w:rsidRPr="002E1A2C">
        <w:rPr>
          <w:rFonts w:ascii="ITC Avant Garde" w:hAnsi="ITC Avant Garde" w:cs="Arial"/>
          <w:b/>
        </w:rPr>
        <w:t>.</w:t>
      </w:r>
      <w:r w:rsidR="00A10DF6" w:rsidRPr="002E1A2C">
        <w:rPr>
          <w:rFonts w:asciiTheme="minorHAnsi" w:eastAsiaTheme="minorHAnsi" w:hAnsiTheme="minorHAnsi" w:cstheme="minorBidi"/>
          <w:sz w:val="20"/>
          <w:szCs w:val="20"/>
        </w:rPr>
        <w:t xml:space="preserve"> </w:t>
      </w:r>
      <w:r w:rsidR="00C36204" w:rsidRPr="002E1A2C">
        <w:rPr>
          <w:rFonts w:ascii="ITC Avant Garde" w:hAnsi="ITC Avant Garde" w:cs="Arial"/>
        </w:rPr>
        <w:t xml:space="preserve">El </w:t>
      </w:r>
      <w:r w:rsidR="00A10DF6" w:rsidRPr="002E1A2C">
        <w:rPr>
          <w:rFonts w:ascii="ITC Avant Garde" w:hAnsi="ITC Avant Garde" w:cs="Arial"/>
        </w:rPr>
        <w:t>artículo 12, fracció</w:t>
      </w:r>
      <w:r w:rsidR="008942AD">
        <w:rPr>
          <w:rFonts w:ascii="ITC Avant Garde" w:hAnsi="ITC Avant Garde" w:cs="Arial"/>
        </w:rPr>
        <w:t>n XXII, tercer párrafo, inciso b</w:t>
      </w:r>
      <w:r w:rsidR="00A10DF6" w:rsidRPr="002E1A2C">
        <w:rPr>
          <w:rFonts w:ascii="ITC Avant Garde" w:hAnsi="ITC Avant Garde" w:cs="Arial"/>
        </w:rPr>
        <w:t xml:space="preserve">) </w:t>
      </w:r>
      <w:r w:rsidR="00C36204" w:rsidRPr="002E1A2C">
        <w:rPr>
          <w:rFonts w:ascii="ITC Avant Garde" w:hAnsi="ITC Avant Garde" w:cs="Arial"/>
        </w:rPr>
        <w:t xml:space="preserve">de la LFCE </w:t>
      </w:r>
      <w:r w:rsidR="00A10DF6" w:rsidRPr="002E1A2C">
        <w:rPr>
          <w:rFonts w:ascii="ITC Avant Garde" w:hAnsi="ITC Avant Garde" w:cs="Arial"/>
        </w:rPr>
        <w:t xml:space="preserve">señala que el Instituto </w:t>
      </w:r>
      <w:r w:rsidR="008942AD">
        <w:rPr>
          <w:rFonts w:ascii="ITC Avant Garde" w:hAnsi="ITC Avant Garde" w:cs="Arial"/>
        </w:rPr>
        <w:t xml:space="preserve">deberá </w:t>
      </w:r>
      <w:r w:rsidR="00A10DF6" w:rsidRPr="002E1A2C">
        <w:rPr>
          <w:rFonts w:ascii="ITC Avant Garde" w:hAnsi="ITC Avant Garde" w:cs="Arial"/>
        </w:rPr>
        <w:t>emitir</w:t>
      </w:r>
      <w:r w:rsidR="004F2E89">
        <w:rPr>
          <w:rFonts w:ascii="ITC Avant Garde" w:hAnsi="ITC Avant Garde" w:cs="Arial"/>
        </w:rPr>
        <w:t>, entre otros,</w:t>
      </w:r>
      <w:r w:rsidR="00A10DF6" w:rsidRPr="002E1A2C">
        <w:rPr>
          <w:rFonts w:ascii="ITC Avant Garde" w:hAnsi="ITC Avant Garde" w:cs="Arial"/>
        </w:rPr>
        <w:t xml:space="preserve"> </w:t>
      </w:r>
      <w:r w:rsidR="00400560">
        <w:rPr>
          <w:rFonts w:ascii="ITC Avant Garde" w:hAnsi="ITC Avant Garde" w:cs="Arial"/>
        </w:rPr>
        <w:t>lineamientos</w:t>
      </w:r>
      <w:r w:rsidR="008942AD">
        <w:rPr>
          <w:rFonts w:ascii="ITC Avant Garde" w:hAnsi="ITC Avant Garde" w:cs="Arial"/>
        </w:rPr>
        <w:t xml:space="preserve"> en materia de investigaciones de prácticas monopólicas y concentraciones ilícitas,</w:t>
      </w:r>
      <w:r w:rsidR="00CE4A9E" w:rsidRPr="002E1A2C">
        <w:rPr>
          <w:rFonts w:ascii="ITC Avant Garde" w:hAnsi="ITC Avant Garde" w:cs="Arial"/>
        </w:rPr>
        <w:t xml:space="preserve"> cuya revisión deberá llevarse al menos cada cinco años, de conformidad con el segundo párrafo del artículo 138 de la LFCE</w:t>
      </w:r>
      <w:r w:rsidR="00A10DF6" w:rsidRPr="002E1A2C">
        <w:rPr>
          <w:rFonts w:ascii="ITC Avant Garde" w:hAnsi="ITC Avant Garde" w:cs="Arial"/>
        </w:rPr>
        <w:t>.</w:t>
      </w:r>
      <w:r w:rsidR="00A10DF6" w:rsidRPr="002E1A2C">
        <w:rPr>
          <w:rFonts w:asciiTheme="minorHAnsi" w:eastAsiaTheme="minorHAnsi" w:hAnsiTheme="minorHAnsi" w:cstheme="minorBidi"/>
          <w:sz w:val="20"/>
          <w:szCs w:val="20"/>
        </w:rPr>
        <w:t xml:space="preserve"> </w:t>
      </w:r>
    </w:p>
    <w:p w14:paraId="35852D69" w14:textId="44B6687A" w:rsidR="00400560" w:rsidRDefault="00400560" w:rsidP="00400560">
      <w:pPr>
        <w:spacing w:after="120" w:line="240" w:lineRule="auto"/>
        <w:jc w:val="both"/>
        <w:rPr>
          <w:rFonts w:ascii="ITC Avant Garde" w:hAnsi="ITC Avant Garde"/>
        </w:rPr>
      </w:pPr>
      <w:r>
        <w:rPr>
          <w:rFonts w:ascii="ITC Avant Garde" w:hAnsi="ITC Avant Garde"/>
        </w:rPr>
        <w:t xml:space="preserve">En relación con las investigaciones de prácticas monopólicas y concentraciones ilícitas, </w:t>
      </w:r>
      <w:r w:rsidRPr="00BC29F8">
        <w:rPr>
          <w:rFonts w:ascii="ITC Avant Garde" w:hAnsi="ITC Avant Garde"/>
        </w:rPr>
        <w:t xml:space="preserve">resulta </w:t>
      </w:r>
      <w:r>
        <w:rPr>
          <w:rFonts w:ascii="ITC Avant Garde" w:hAnsi="ITC Avant Garde"/>
        </w:rPr>
        <w:t>conveniente</w:t>
      </w:r>
      <w:r w:rsidRPr="00BC29F8">
        <w:rPr>
          <w:rFonts w:ascii="ITC Avant Garde" w:hAnsi="ITC Avant Garde"/>
        </w:rPr>
        <w:t xml:space="preserve"> </w:t>
      </w:r>
      <w:r>
        <w:rPr>
          <w:rFonts w:ascii="ITC Avant Garde" w:hAnsi="ITC Avant Garde"/>
        </w:rPr>
        <w:t>emitir los Lineamientos con la finalidad de establecer los términos aplicables a la</w:t>
      </w:r>
      <w:r w:rsidRPr="00BC29F8">
        <w:rPr>
          <w:rFonts w:ascii="ITC Avant Garde" w:hAnsi="ITC Avant Garde"/>
        </w:rPr>
        <w:t xml:space="preserve"> presentación de denuncias </w:t>
      </w:r>
      <w:r>
        <w:rPr>
          <w:rFonts w:ascii="ITC Avant Garde" w:hAnsi="ITC Avant Garde"/>
        </w:rPr>
        <w:t xml:space="preserve">de prácticas monopólicas y concentraciones ilícitas en los sectores de telecomunicaciones y radiodifusión, a través de medios electrónicos. </w:t>
      </w:r>
    </w:p>
    <w:p w14:paraId="21BC35CC" w14:textId="515D5146" w:rsidR="008D11C8" w:rsidRPr="00503A19" w:rsidRDefault="008D11C8" w:rsidP="00503A19">
      <w:pPr>
        <w:spacing w:after="120" w:line="240" w:lineRule="auto"/>
        <w:jc w:val="both"/>
        <w:rPr>
          <w:rFonts w:ascii="ITC Avant Garde" w:hAnsi="ITC Avant Garde"/>
        </w:rPr>
      </w:pPr>
      <w:r w:rsidRPr="00503A19">
        <w:rPr>
          <w:rFonts w:ascii="ITC Avant Garde" w:hAnsi="ITC Avant Garde"/>
        </w:rPr>
        <w:t>El uso de medios electrónicos para presentar el escrito de denuncia es opcional y se establece con la finalidad de poner a disposición del público en general un mecanismo alternativo que reduzca la carga administrativa y facilite denunciar la probable existencia de conductas antico</w:t>
      </w:r>
      <w:r w:rsidR="00503A19" w:rsidRPr="00503A19">
        <w:rPr>
          <w:rFonts w:ascii="ITC Avant Garde" w:hAnsi="ITC Avant Garde"/>
        </w:rPr>
        <w:t>mpetitivas prohibidas en la LFCE</w:t>
      </w:r>
      <w:r w:rsidRPr="00503A19">
        <w:rPr>
          <w:rFonts w:ascii="ITC Avant Garde" w:hAnsi="ITC Avant Garde"/>
        </w:rPr>
        <w:t xml:space="preserve">, haciendo uso de las tecnologías de la información y comunicaciones. </w:t>
      </w:r>
    </w:p>
    <w:p w14:paraId="4C689D37" w14:textId="5B10F216" w:rsidR="008D11C8" w:rsidRPr="00503A19" w:rsidRDefault="00503A19" w:rsidP="00503A19">
      <w:pPr>
        <w:spacing w:after="120" w:line="240" w:lineRule="auto"/>
        <w:jc w:val="both"/>
        <w:rPr>
          <w:rFonts w:ascii="ITC Avant Garde" w:hAnsi="ITC Avant Garde"/>
        </w:rPr>
      </w:pPr>
      <w:r w:rsidRPr="00503A19">
        <w:rPr>
          <w:rFonts w:ascii="ITC Avant Garde" w:hAnsi="ITC Avant Garde"/>
        </w:rPr>
        <w:t>En este sentido e</w:t>
      </w:r>
      <w:r w:rsidR="008D11C8" w:rsidRPr="00503A19">
        <w:rPr>
          <w:rFonts w:ascii="ITC Avant Garde" w:hAnsi="ITC Avant Garde"/>
        </w:rPr>
        <w:t xml:space="preserve">l denunciante puede optar por presentar el escrito de denuncia a través de medios electrónicos o bien en la oficialía de partes </w:t>
      </w:r>
      <w:r w:rsidR="003239EF">
        <w:rPr>
          <w:rFonts w:ascii="ITC Avant Garde" w:hAnsi="ITC Avant Garde"/>
        </w:rPr>
        <w:t xml:space="preserve">común </w:t>
      </w:r>
      <w:r w:rsidR="008D11C8" w:rsidRPr="00503A19">
        <w:rPr>
          <w:rFonts w:ascii="ITC Avant Garde" w:hAnsi="ITC Avant Garde"/>
        </w:rPr>
        <w:t>del Institu</w:t>
      </w:r>
      <w:r w:rsidRPr="00503A19">
        <w:rPr>
          <w:rFonts w:ascii="ITC Avant Garde" w:hAnsi="ITC Avant Garde"/>
        </w:rPr>
        <w:t>to</w:t>
      </w:r>
      <w:r w:rsidR="008D11C8" w:rsidRPr="00503A19">
        <w:rPr>
          <w:rFonts w:ascii="ITC Avant Garde" w:hAnsi="ITC Avant Garde"/>
        </w:rPr>
        <w:t>.</w:t>
      </w:r>
    </w:p>
    <w:p w14:paraId="562A025A" w14:textId="3374D66E" w:rsidR="008D11C8" w:rsidRPr="00503A19" w:rsidRDefault="008D11C8" w:rsidP="00503A19">
      <w:pPr>
        <w:spacing w:after="120" w:line="240" w:lineRule="auto"/>
        <w:jc w:val="both"/>
        <w:rPr>
          <w:rFonts w:ascii="ITC Avant Garde" w:hAnsi="ITC Avant Garde"/>
        </w:rPr>
      </w:pPr>
      <w:r w:rsidRPr="00503A19">
        <w:rPr>
          <w:rFonts w:ascii="ITC Avant Garde" w:hAnsi="ITC Avant Garde"/>
        </w:rPr>
        <w:t>La presentación de denuncias a través de medios electrónicos será mediante el Sistema Electrónico de Presentación de Denuncias ante la Autoridad Investigadora del Institu</w:t>
      </w:r>
      <w:r w:rsidR="00503A19" w:rsidRPr="00503A19">
        <w:rPr>
          <w:rFonts w:ascii="ITC Avant Garde" w:hAnsi="ITC Avant Garde"/>
        </w:rPr>
        <w:t>to</w:t>
      </w:r>
      <w:r w:rsidRPr="00503A19">
        <w:rPr>
          <w:rFonts w:ascii="ITC Avant Garde" w:hAnsi="ITC Avant Garde"/>
        </w:rPr>
        <w:t>, que podrá utilizarse desde ese momento y hasta la emisión del acuerdo que ordene el inicio de la investigación, deseche la denuncia por notoria improcedencia o la tenga por no presentada, según corresponda, de conformidad con lo dispue</w:t>
      </w:r>
      <w:r w:rsidR="00503A19" w:rsidRPr="00503A19">
        <w:rPr>
          <w:rFonts w:ascii="ITC Avant Garde" w:hAnsi="ITC Avant Garde"/>
        </w:rPr>
        <w:t>sto en el artículo 69 de la LFCE</w:t>
      </w:r>
      <w:r w:rsidRPr="00503A19">
        <w:rPr>
          <w:rFonts w:ascii="ITC Avant Garde" w:hAnsi="ITC Avant Garde"/>
        </w:rPr>
        <w:t>.</w:t>
      </w:r>
    </w:p>
    <w:p w14:paraId="4DB9E76B" w14:textId="14E499DF" w:rsidR="00DF0A8E" w:rsidRPr="002E1A2C" w:rsidRDefault="00DF0A8E" w:rsidP="0069090A">
      <w:pPr>
        <w:pStyle w:val="Default"/>
        <w:tabs>
          <w:tab w:val="left" w:pos="0"/>
        </w:tabs>
        <w:spacing w:after="120"/>
        <w:jc w:val="both"/>
        <w:rPr>
          <w:rFonts w:ascii="ITC Avant Garde" w:hAnsi="ITC Avant Garde"/>
          <w:bCs/>
          <w:color w:val="auto"/>
          <w:sz w:val="22"/>
          <w:szCs w:val="22"/>
          <w:lang w:val="es-ES_tradnl"/>
        </w:rPr>
      </w:pPr>
      <w:r w:rsidRPr="00AB731B">
        <w:rPr>
          <w:rFonts w:ascii="ITC Avant Garde" w:hAnsi="ITC Avant Garde"/>
          <w:bCs/>
          <w:color w:val="auto"/>
          <w:sz w:val="22"/>
          <w:szCs w:val="22"/>
          <w:lang w:val="es-ES_tradnl"/>
        </w:rPr>
        <w:t>Por las razones antes expuestas, con fundamento en los artículos 28, párrafos décimo quinto</w:t>
      </w:r>
      <w:r>
        <w:rPr>
          <w:rFonts w:ascii="ITC Avant Garde" w:hAnsi="ITC Avant Garde"/>
          <w:bCs/>
          <w:color w:val="auto"/>
          <w:sz w:val="22"/>
          <w:szCs w:val="22"/>
          <w:lang w:val="es-ES_tradnl"/>
        </w:rPr>
        <w:t xml:space="preserve"> y</w:t>
      </w:r>
      <w:r w:rsidRPr="00AB731B">
        <w:rPr>
          <w:rFonts w:ascii="ITC Avant Garde" w:hAnsi="ITC Avant Garde"/>
          <w:bCs/>
          <w:color w:val="auto"/>
          <w:sz w:val="22"/>
          <w:szCs w:val="22"/>
          <w:lang w:val="es-ES_tradnl"/>
        </w:rPr>
        <w:t xml:space="preserve"> décimo sexto</w:t>
      </w:r>
      <w:r>
        <w:rPr>
          <w:rFonts w:ascii="ITC Avant Garde" w:hAnsi="ITC Avant Garde"/>
          <w:bCs/>
          <w:color w:val="auto"/>
          <w:sz w:val="22"/>
          <w:szCs w:val="22"/>
          <w:lang w:val="es-ES_tradnl"/>
        </w:rPr>
        <w:t>,</w:t>
      </w:r>
      <w:r w:rsidRPr="00AB731B">
        <w:rPr>
          <w:rFonts w:ascii="ITC Avant Garde" w:hAnsi="ITC Avant Garde"/>
          <w:bCs/>
          <w:color w:val="auto"/>
          <w:sz w:val="22"/>
          <w:szCs w:val="22"/>
          <w:lang w:val="es-ES_tradnl"/>
        </w:rPr>
        <w:t xml:space="preserve"> de la </w:t>
      </w:r>
      <w:r>
        <w:rPr>
          <w:rFonts w:ascii="ITC Avant Garde" w:hAnsi="ITC Avant Garde"/>
          <w:bCs/>
          <w:color w:val="auto"/>
          <w:sz w:val="22"/>
          <w:szCs w:val="22"/>
          <w:lang w:val="es-ES_tradnl"/>
        </w:rPr>
        <w:t>Constitución Política de los Estados Unidos Mexicanos</w:t>
      </w:r>
      <w:r w:rsidRPr="00AB731B">
        <w:rPr>
          <w:rFonts w:ascii="ITC Avant Garde" w:hAnsi="ITC Avant Garde"/>
          <w:bCs/>
          <w:color w:val="auto"/>
          <w:sz w:val="22"/>
          <w:szCs w:val="22"/>
          <w:lang w:val="es-ES_tradnl"/>
        </w:rPr>
        <w:t xml:space="preserve">; 7, párrafos primero y tercero, </w:t>
      </w:r>
      <w:r>
        <w:rPr>
          <w:rFonts w:ascii="ITC Avant Garde" w:hAnsi="ITC Avant Garde"/>
          <w:bCs/>
          <w:color w:val="auto"/>
          <w:sz w:val="22"/>
          <w:szCs w:val="22"/>
          <w:lang w:val="es-ES_tradnl"/>
        </w:rPr>
        <w:t xml:space="preserve">y </w:t>
      </w:r>
      <w:r w:rsidRPr="00AB731B">
        <w:rPr>
          <w:rFonts w:ascii="ITC Avant Garde" w:hAnsi="ITC Avant Garde"/>
          <w:bCs/>
          <w:color w:val="auto"/>
          <w:sz w:val="22"/>
          <w:szCs w:val="22"/>
          <w:lang w:val="es-ES_tradnl"/>
        </w:rPr>
        <w:t>15, fracci</w:t>
      </w:r>
      <w:r>
        <w:rPr>
          <w:rFonts w:ascii="ITC Avant Garde" w:hAnsi="ITC Avant Garde"/>
          <w:bCs/>
          <w:color w:val="auto"/>
          <w:sz w:val="22"/>
          <w:szCs w:val="22"/>
          <w:lang w:val="es-ES_tradnl"/>
        </w:rPr>
        <w:t>ón</w:t>
      </w:r>
      <w:r w:rsidRPr="00AB731B">
        <w:rPr>
          <w:rFonts w:ascii="ITC Avant Garde" w:hAnsi="ITC Avant Garde"/>
          <w:bCs/>
          <w:color w:val="auto"/>
          <w:sz w:val="22"/>
          <w:szCs w:val="22"/>
          <w:lang w:val="es-ES_tradnl"/>
        </w:rPr>
        <w:t xml:space="preserve"> XVIII</w:t>
      </w:r>
      <w:r>
        <w:rPr>
          <w:rFonts w:ascii="ITC Avant Garde" w:hAnsi="ITC Avant Garde"/>
          <w:bCs/>
          <w:color w:val="auto"/>
          <w:sz w:val="22"/>
          <w:szCs w:val="22"/>
          <w:lang w:val="es-ES_tradnl"/>
        </w:rPr>
        <w:t xml:space="preserve">, </w:t>
      </w:r>
      <w:r w:rsidRPr="00AB731B">
        <w:rPr>
          <w:rFonts w:ascii="ITC Avant Garde" w:hAnsi="ITC Avant Garde"/>
          <w:bCs/>
          <w:color w:val="auto"/>
          <w:sz w:val="22"/>
          <w:szCs w:val="22"/>
          <w:lang w:val="es-ES_tradnl"/>
        </w:rPr>
        <w:t xml:space="preserve">de la </w:t>
      </w:r>
      <w:r>
        <w:rPr>
          <w:rFonts w:ascii="ITC Avant Garde" w:hAnsi="ITC Avant Garde"/>
          <w:bCs/>
          <w:color w:val="auto"/>
          <w:sz w:val="22"/>
          <w:szCs w:val="22"/>
          <w:lang w:val="es-ES_tradnl"/>
        </w:rPr>
        <w:t>Ley Federal de Telecomunicaciones y Radiodifusión</w:t>
      </w:r>
      <w:r w:rsidRPr="00AB731B">
        <w:rPr>
          <w:rFonts w:ascii="ITC Avant Garde" w:hAnsi="ITC Avant Garde"/>
          <w:bCs/>
          <w:color w:val="auto"/>
          <w:sz w:val="22"/>
          <w:szCs w:val="22"/>
          <w:lang w:val="es-ES_tradnl"/>
        </w:rPr>
        <w:t>; 5, párrafo</w:t>
      </w:r>
      <w:r w:rsidRPr="00644837">
        <w:rPr>
          <w:rFonts w:ascii="ITC Avant Garde" w:hAnsi="ITC Avant Garde"/>
          <w:bCs/>
          <w:color w:val="auto"/>
          <w:sz w:val="22"/>
          <w:szCs w:val="22"/>
          <w:lang w:val="es-ES_tradnl"/>
        </w:rPr>
        <w:t xml:space="preserve"> </w:t>
      </w:r>
      <w:r w:rsidRPr="00AB731B">
        <w:rPr>
          <w:rFonts w:ascii="ITC Avant Garde" w:hAnsi="ITC Avant Garde"/>
          <w:bCs/>
          <w:color w:val="auto"/>
          <w:sz w:val="22"/>
          <w:szCs w:val="22"/>
          <w:lang w:val="es-ES_tradnl"/>
        </w:rPr>
        <w:t>primer</w:t>
      </w:r>
      <w:r>
        <w:rPr>
          <w:rFonts w:ascii="ITC Avant Garde" w:hAnsi="ITC Avant Garde"/>
          <w:bCs/>
          <w:color w:val="auto"/>
          <w:sz w:val="22"/>
          <w:szCs w:val="22"/>
          <w:lang w:val="es-ES_tradnl"/>
        </w:rPr>
        <w:t>o,</w:t>
      </w:r>
      <w:r w:rsidRPr="00AB731B">
        <w:rPr>
          <w:rFonts w:ascii="ITC Avant Garde" w:hAnsi="ITC Avant Garde"/>
          <w:bCs/>
          <w:color w:val="auto"/>
          <w:sz w:val="22"/>
          <w:szCs w:val="22"/>
          <w:lang w:val="es-ES_tradnl"/>
        </w:rPr>
        <w:t xml:space="preserve"> </w:t>
      </w:r>
      <w:r w:rsidRPr="002E1A2C">
        <w:rPr>
          <w:rFonts w:ascii="ITC Avant Garde" w:hAnsi="ITC Avant Garde"/>
          <w:bCs/>
          <w:color w:val="auto"/>
          <w:sz w:val="22"/>
          <w:szCs w:val="22"/>
          <w:lang w:val="es-ES_tradnl"/>
        </w:rPr>
        <w:t>12, fracción XX</w:t>
      </w:r>
      <w:r>
        <w:rPr>
          <w:rFonts w:ascii="ITC Avant Garde" w:hAnsi="ITC Avant Garde"/>
          <w:bCs/>
          <w:color w:val="auto"/>
          <w:sz w:val="22"/>
          <w:szCs w:val="22"/>
          <w:lang w:val="es-ES_tradnl"/>
        </w:rPr>
        <w:t>II, párrafo tercero, inciso b</w:t>
      </w:r>
      <w:r w:rsidRPr="002E1A2C">
        <w:rPr>
          <w:rFonts w:ascii="ITC Avant Garde" w:hAnsi="ITC Avant Garde"/>
          <w:bCs/>
          <w:color w:val="auto"/>
          <w:sz w:val="22"/>
          <w:szCs w:val="22"/>
          <w:lang w:val="es-ES_tradnl"/>
        </w:rPr>
        <w:t>)</w:t>
      </w:r>
      <w:r>
        <w:rPr>
          <w:rFonts w:ascii="ITC Avant Garde" w:hAnsi="ITC Avant Garde"/>
          <w:bCs/>
          <w:color w:val="auto"/>
          <w:sz w:val="22"/>
          <w:szCs w:val="22"/>
          <w:lang w:val="es-ES_tradnl"/>
        </w:rPr>
        <w:t xml:space="preserve"> y 138, fracción III </w:t>
      </w:r>
      <w:r w:rsidRPr="00AB731B">
        <w:rPr>
          <w:rFonts w:ascii="ITC Avant Garde" w:hAnsi="ITC Avant Garde"/>
          <w:bCs/>
          <w:color w:val="auto"/>
          <w:sz w:val="22"/>
          <w:szCs w:val="22"/>
          <w:lang w:val="es-ES_tradnl"/>
        </w:rPr>
        <w:t xml:space="preserve">de la </w:t>
      </w:r>
      <w:r>
        <w:rPr>
          <w:rFonts w:ascii="ITC Avant Garde" w:hAnsi="ITC Avant Garde"/>
          <w:bCs/>
          <w:color w:val="auto"/>
          <w:sz w:val="22"/>
          <w:szCs w:val="22"/>
          <w:lang w:val="es-ES_tradnl"/>
        </w:rPr>
        <w:t>Ley Federal de Competencia Económica</w:t>
      </w:r>
      <w:r w:rsidRPr="00AB731B">
        <w:rPr>
          <w:rFonts w:ascii="ITC Avant Garde" w:hAnsi="ITC Avant Garde"/>
          <w:bCs/>
          <w:color w:val="auto"/>
          <w:sz w:val="22"/>
          <w:szCs w:val="22"/>
          <w:lang w:val="es-ES_tradnl"/>
        </w:rPr>
        <w:t>; 187 de</w:t>
      </w:r>
      <w:r w:rsidRPr="00AB731B">
        <w:rPr>
          <w:rFonts w:ascii="ITC Avant Garde" w:hAnsi="ITC Avant Garde"/>
          <w:sz w:val="22"/>
          <w:szCs w:val="22"/>
        </w:rPr>
        <w:t xml:space="preserve"> las Disposiciones Regulatorias</w:t>
      </w:r>
      <w:r>
        <w:rPr>
          <w:rFonts w:ascii="ITC Avant Garde" w:hAnsi="ITC Avant Garde"/>
          <w:sz w:val="22"/>
          <w:szCs w:val="22"/>
        </w:rPr>
        <w:t xml:space="preserve"> </w:t>
      </w:r>
      <w:r w:rsidRPr="00D1467D">
        <w:rPr>
          <w:rFonts w:ascii="ITC Avant Garde" w:hAnsi="ITC Avant Garde"/>
          <w:sz w:val="22"/>
          <w:szCs w:val="22"/>
        </w:rPr>
        <w:t>de la Ley Federal de Competencia Económica para los sectores de telecomunicaciones y radiodifusión</w:t>
      </w:r>
      <w:r>
        <w:rPr>
          <w:rFonts w:ascii="ITC Avant Garde" w:hAnsi="ITC Avant Garde"/>
          <w:bCs/>
          <w:color w:val="auto"/>
          <w:sz w:val="22"/>
          <w:szCs w:val="22"/>
          <w:lang w:val="es-ES_tradnl"/>
        </w:rPr>
        <w:t>,</w:t>
      </w:r>
      <w:r w:rsidRPr="00AB731B">
        <w:rPr>
          <w:rFonts w:ascii="ITC Avant Garde" w:hAnsi="ITC Avant Garde"/>
          <w:bCs/>
          <w:color w:val="auto"/>
          <w:sz w:val="22"/>
          <w:szCs w:val="22"/>
          <w:lang w:val="es-ES_tradnl"/>
        </w:rPr>
        <w:t xml:space="preserve"> </w:t>
      </w:r>
      <w:r>
        <w:rPr>
          <w:rFonts w:ascii="ITC Avant Garde" w:hAnsi="ITC Avant Garde"/>
          <w:bCs/>
          <w:color w:val="auto"/>
          <w:sz w:val="22"/>
          <w:szCs w:val="22"/>
          <w:lang w:val="es-ES_tradnl"/>
        </w:rPr>
        <w:t xml:space="preserve">así como </w:t>
      </w:r>
      <w:r w:rsidRPr="00AB731B">
        <w:rPr>
          <w:rFonts w:ascii="ITC Avant Garde" w:hAnsi="ITC Avant Garde"/>
          <w:bCs/>
          <w:color w:val="auto"/>
          <w:sz w:val="22"/>
          <w:szCs w:val="22"/>
          <w:lang w:val="es-ES_tradnl"/>
        </w:rPr>
        <w:t>1, párrafos primero y tercero, 4, fracción I</w:t>
      </w:r>
      <w:r>
        <w:rPr>
          <w:rFonts w:ascii="ITC Avant Garde" w:hAnsi="ITC Avant Garde"/>
          <w:bCs/>
          <w:color w:val="auto"/>
          <w:sz w:val="22"/>
          <w:szCs w:val="22"/>
          <w:lang w:val="es-ES_tradnl"/>
        </w:rPr>
        <w:t>,</w:t>
      </w:r>
      <w:r w:rsidRPr="00AB731B">
        <w:rPr>
          <w:rFonts w:ascii="ITC Avant Garde" w:hAnsi="ITC Avant Garde"/>
          <w:bCs/>
          <w:color w:val="auto"/>
          <w:sz w:val="22"/>
          <w:szCs w:val="22"/>
          <w:lang w:val="es-ES_tradnl"/>
        </w:rPr>
        <w:t xml:space="preserve"> y 6, fracción </w:t>
      </w:r>
      <w:r>
        <w:rPr>
          <w:rFonts w:ascii="ITC Avant Garde" w:hAnsi="ITC Avant Garde"/>
          <w:bCs/>
          <w:color w:val="auto"/>
          <w:sz w:val="22"/>
          <w:szCs w:val="22"/>
          <w:lang w:val="es-ES_tradnl"/>
        </w:rPr>
        <w:t>XXXVIII,</w:t>
      </w:r>
      <w:r w:rsidRPr="00AB731B">
        <w:rPr>
          <w:rFonts w:ascii="ITC Avant Garde" w:hAnsi="ITC Avant Garde"/>
          <w:bCs/>
          <w:color w:val="auto"/>
          <w:sz w:val="22"/>
          <w:szCs w:val="22"/>
          <w:lang w:val="es-ES_tradnl"/>
        </w:rPr>
        <w:t xml:space="preserve"> del Estatuto Orgánico</w:t>
      </w:r>
      <w:r>
        <w:rPr>
          <w:rFonts w:ascii="ITC Avant Garde" w:hAnsi="ITC Avant Garde"/>
          <w:bCs/>
          <w:color w:val="auto"/>
          <w:sz w:val="22"/>
          <w:szCs w:val="22"/>
          <w:lang w:val="es-ES_tradnl"/>
        </w:rPr>
        <w:t xml:space="preserve"> del Instituto Federal de Telecomunicaciones</w:t>
      </w:r>
      <w:r w:rsidRPr="00AB731B">
        <w:rPr>
          <w:rFonts w:ascii="ITC Avant Garde" w:hAnsi="ITC Avant Garde"/>
          <w:bCs/>
          <w:color w:val="auto"/>
          <w:sz w:val="22"/>
          <w:szCs w:val="22"/>
          <w:lang w:val="es-ES_tradnl"/>
        </w:rPr>
        <w:t xml:space="preserve">, el Pleno </w:t>
      </w:r>
      <w:r>
        <w:rPr>
          <w:rFonts w:ascii="ITC Avant Garde" w:hAnsi="ITC Avant Garde"/>
          <w:bCs/>
          <w:color w:val="auto"/>
          <w:sz w:val="22"/>
          <w:szCs w:val="22"/>
          <w:lang w:val="es-ES_tradnl"/>
        </w:rPr>
        <w:t>del Instituto emite</w:t>
      </w:r>
      <w:r w:rsidRPr="00AB731B">
        <w:rPr>
          <w:rFonts w:ascii="ITC Avant Garde" w:hAnsi="ITC Avant Garde"/>
          <w:bCs/>
          <w:color w:val="auto"/>
          <w:sz w:val="22"/>
          <w:szCs w:val="22"/>
          <w:lang w:val="es-ES_tradnl"/>
        </w:rPr>
        <w:t xml:space="preserve"> el siguiente</w:t>
      </w:r>
      <w:r w:rsidR="00503A19">
        <w:rPr>
          <w:rFonts w:ascii="ITC Avant Garde" w:hAnsi="ITC Avant Garde"/>
          <w:bCs/>
          <w:color w:val="auto"/>
          <w:sz w:val="22"/>
          <w:szCs w:val="22"/>
          <w:lang w:val="es-ES_tradnl"/>
        </w:rPr>
        <w:t>:</w:t>
      </w:r>
    </w:p>
    <w:p w14:paraId="3BD96CFE" w14:textId="4919EBC6" w:rsidR="00A10DF6" w:rsidRPr="002E1A2C" w:rsidRDefault="00503A19" w:rsidP="00503A19">
      <w:pPr>
        <w:autoSpaceDE w:val="0"/>
        <w:autoSpaceDN w:val="0"/>
        <w:adjustRightInd w:val="0"/>
        <w:spacing w:after="120" w:line="240" w:lineRule="auto"/>
        <w:jc w:val="center"/>
        <w:rPr>
          <w:rFonts w:ascii="ITC Avant Garde" w:eastAsia="Times New Roman" w:hAnsi="ITC Avant Garde" w:cs="TimesNewRomanPS-BoldMT"/>
          <w:b/>
          <w:bCs/>
          <w:lang w:val="es-ES" w:eastAsia="es-ES"/>
        </w:rPr>
      </w:pPr>
      <w:r>
        <w:rPr>
          <w:rFonts w:ascii="ITC Avant Garde" w:eastAsia="Times New Roman" w:hAnsi="ITC Avant Garde" w:cs="TimesNewRomanPS-BoldMT"/>
          <w:b/>
          <w:bCs/>
          <w:lang w:val="es-ES" w:eastAsia="es-ES"/>
        </w:rPr>
        <w:t>ACUERDO</w:t>
      </w:r>
    </w:p>
    <w:p w14:paraId="06A3A88B" w14:textId="24432FD4" w:rsidR="00841784" w:rsidRPr="008942AD" w:rsidRDefault="006779BA" w:rsidP="0069090A">
      <w:pPr>
        <w:numPr>
          <w:ilvl w:val="0"/>
          <w:numId w:val="2"/>
        </w:numPr>
        <w:tabs>
          <w:tab w:val="left" w:pos="1276"/>
        </w:tabs>
        <w:suppressAutoHyphens/>
        <w:spacing w:after="120" w:line="240" w:lineRule="auto"/>
        <w:ind w:left="0" w:right="49" w:firstLine="0"/>
        <w:jc w:val="both"/>
        <w:rPr>
          <w:rFonts w:ascii="ITC Avant Garde" w:eastAsia="Times New Roman" w:hAnsi="ITC Avant Garde" w:cs="Arial"/>
          <w:lang w:val="es-ES" w:eastAsia="es-ES"/>
        </w:rPr>
      </w:pPr>
      <w:r w:rsidRPr="008942AD">
        <w:rPr>
          <w:rFonts w:ascii="ITC Avant Garde" w:eastAsia="Times New Roman" w:hAnsi="ITC Avant Garde" w:cs="Arial"/>
          <w:lang w:val="es-ES" w:eastAsia="es-ES"/>
        </w:rPr>
        <w:t>Se expide</w:t>
      </w:r>
      <w:r w:rsidR="00400560">
        <w:rPr>
          <w:rFonts w:ascii="ITC Avant Garde" w:eastAsia="Times New Roman" w:hAnsi="ITC Avant Garde" w:cs="Arial"/>
          <w:lang w:val="es-ES" w:eastAsia="es-ES"/>
        </w:rPr>
        <w:t>n</w:t>
      </w:r>
      <w:r w:rsidRPr="008942AD">
        <w:rPr>
          <w:rFonts w:ascii="ITC Avant Garde" w:eastAsia="Times New Roman" w:hAnsi="ITC Avant Garde" w:cs="Arial"/>
          <w:lang w:val="es-ES" w:eastAsia="es-ES"/>
        </w:rPr>
        <w:t xml:space="preserve"> </w:t>
      </w:r>
      <w:r w:rsidR="00400560">
        <w:rPr>
          <w:rFonts w:ascii="ITC Avant Garde" w:hAnsi="ITC Avant Garde"/>
          <w:lang w:eastAsia="es-MX"/>
        </w:rPr>
        <w:t>los “</w:t>
      </w:r>
      <w:r w:rsidR="00400560">
        <w:rPr>
          <w:rFonts w:ascii="ITC Avant Garde" w:hAnsi="ITC Avant Garde"/>
          <w:i/>
        </w:rPr>
        <w:t>Lineamientos para la presentación de denuncias de prácticas monopólicas y concentraciones ilícitas en los sectores de telecomunicaciones y radiodifusión, ante la Autoridad Investigadora del Instituto Federal de Telecomunicaciones</w:t>
      </w:r>
      <w:r w:rsidR="0053704F">
        <w:rPr>
          <w:rFonts w:ascii="ITC Avant Garde" w:hAnsi="ITC Avant Garde"/>
          <w:i/>
        </w:rPr>
        <w:t>, a través de medios electrónicos”,</w:t>
      </w:r>
      <w:r w:rsidRPr="008942AD">
        <w:rPr>
          <w:rFonts w:ascii="ITC Avant Garde" w:eastAsia="Times New Roman" w:hAnsi="ITC Avant Garde" w:cs="Arial"/>
          <w:lang w:val="es-ES" w:eastAsia="es-ES"/>
        </w:rPr>
        <w:t xml:space="preserve"> que se adjunta</w:t>
      </w:r>
      <w:r w:rsidR="00400560">
        <w:rPr>
          <w:rFonts w:ascii="ITC Avant Garde" w:eastAsia="Times New Roman" w:hAnsi="ITC Avant Garde" w:cs="Arial"/>
          <w:lang w:val="es-ES" w:eastAsia="es-ES"/>
        </w:rPr>
        <w:t>n</w:t>
      </w:r>
      <w:r w:rsidRPr="008942AD">
        <w:rPr>
          <w:rFonts w:ascii="ITC Avant Garde" w:eastAsia="Times New Roman" w:hAnsi="ITC Avant Garde" w:cs="Arial"/>
          <w:lang w:val="es-ES" w:eastAsia="es-ES"/>
        </w:rPr>
        <w:t xml:space="preserve"> al presente Acuerdo.</w:t>
      </w:r>
    </w:p>
    <w:p w14:paraId="500B4AFC" w14:textId="21AB273B" w:rsidR="000C15B5" w:rsidRPr="002E1A2C" w:rsidRDefault="006779BA" w:rsidP="0069090A">
      <w:pPr>
        <w:numPr>
          <w:ilvl w:val="0"/>
          <w:numId w:val="2"/>
        </w:numPr>
        <w:tabs>
          <w:tab w:val="left" w:pos="1276"/>
        </w:tabs>
        <w:suppressAutoHyphens/>
        <w:spacing w:after="120" w:line="240" w:lineRule="auto"/>
        <w:ind w:left="0" w:right="49" w:firstLine="0"/>
        <w:jc w:val="both"/>
        <w:rPr>
          <w:rFonts w:ascii="ITC Avant Garde" w:eastAsia="Times New Roman" w:hAnsi="ITC Avant Garde" w:cs="Arial"/>
          <w:lang w:val="es-ES" w:eastAsia="es-ES"/>
        </w:rPr>
      </w:pPr>
      <w:r w:rsidRPr="002E1A2C">
        <w:rPr>
          <w:rFonts w:ascii="ITC Avant Garde" w:eastAsia="Times New Roman" w:hAnsi="ITC Avant Garde" w:cs="Arial"/>
          <w:lang w:val="es-ES" w:eastAsia="es-ES"/>
        </w:rPr>
        <w:t>Publíquese íntegramente en el Diario Oficial de la Federación y en el portal de Internet del Instituto Federal de Telecomunicaciones</w:t>
      </w:r>
      <w:r w:rsidR="00400560">
        <w:rPr>
          <w:rFonts w:ascii="ITC Avant Garde" w:hAnsi="ITC Avant Garde"/>
        </w:rPr>
        <w:t xml:space="preserve"> </w:t>
      </w:r>
      <w:r w:rsidR="00400560">
        <w:rPr>
          <w:rFonts w:ascii="ITC Avant Garde" w:hAnsi="ITC Avant Garde"/>
          <w:lang w:eastAsia="es-MX"/>
        </w:rPr>
        <w:t>los “</w:t>
      </w:r>
      <w:r w:rsidR="00400560">
        <w:rPr>
          <w:rFonts w:ascii="ITC Avant Garde" w:hAnsi="ITC Avant Garde"/>
          <w:i/>
        </w:rPr>
        <w:t>Lineamientos para la presentación de denuncias de prácticas monopólicas y concentraciones ilícitas en los sectores de telecomunicaciones y radiodifusión, ante la Autoridad Investigadora del Instituto Federal de Telecomunicaciones</w:t>
      </w:r>
      <w:r w:rsidR="0053704F">
        <w:rPr>
          <w:rFonts w:ascii="ITC Avant Garde" w:hAnsi="ITC Avant Garde"/>
          <w:i/>
        </w:rPr>
        <w:t>, a través de medios electrónicos</w:t>
      </w:r>
      <w:r w:rsidR="00400560">
        <w:rPr>
          <w:rFonts w:ascii="ITC Avant Garde" w:hAnsi="ITC Avant Garde"/>
        </w:rPr>
        <w:t>”</w:t>
      </w:r>
      <w:r w:rsidR="0053704F">
        <w:rPr>
          <w:rFonts w:ascii="ITC Avant Garde" w:hAnsi="ITC Avant Garde"/>
        </w:rPr>
        <w:t>.</w:t>
      </w:r>
    </w:p>
    <w:p w14:paraId="5C4884DB" w14:textId="38758E33" w:rsidR="000C15B5" w:rsidRDefault="000C15B5" w:rsidP="0069090A">
      <w:pPr>
        <w:spacing w:after="120" w:line="240" w:lineRule="auto"/>
        <w:jc w:val="both"/>
        <w:rPr>
          <w:rFonts w:ascii="ITC Avant Garde" w:hAnsi="ITC Avant Garde"/>
          <w:kern w:val="1"/>
          <w:lang w:val="es-ES" w:eastAsia="ar-SA"/>
        </w:rPr>
      </w:pPr>
    </w:p>
    <w:p w14:paraId="10DD15DE" w14:textId="77777777" w:rsidR="00E05B88" w:rsidRDefault="00E05B88" w:rsidP="0069090A">
      <w:pPr>
        <w:spacing w:after="120" w:line="240" w:lineRule="auto"/>
        <w:jc w:val="both"/>
        <w:rPr>
          <w:rFonts w:ascii="ITC Avant Garde" w:hAnsi="ITC Avant Garde"/>
          <w:kern w:val="1"/>
          <w:lang w:val="es-ES" w:eastAsia="ar-SA"/>
        </w:rPr>
      </w:pPr>
      <w:bookmarkStart w:id="0" w:name="_GoBack"/>
      <w:bookmarkEnd w:id="0"/>
    </w:p>
    <w:p w14:paraId="3DD4ABD2" w14:textId="77777777" w:rsidR="00C40413" w:rsidRPr="00DA3801" w:rsidRDefault="00C40413" w:rsidP="0069090A">
      <w:pPr>
        <w:spacing w:after="120" w:line="240" w:lineRule="auto"/>
        <w:jc w:val="both"/>
        <w:rPr>
          <w:rFonts w:ascii="ITC Avant Garde" w:hAnsi="ITC Avant Garde"/>
          <w:kern w:val="1"/>
          <w:lang w:val="es-ES" w:eastAsia="ar-SA"/>
        </w:rPr>
      </w:pPr>
    </w:p>
    <w:p w14:paraId="26E57D56" w14:textId="77777777" w:rsidR="00E05B88" w:rsidRPr="00846B42" w:rsidRDefault="00E05B88" w:rsidP="00E05B88">
      <w:pPr>
        <w:spacing w:after="0" w:line="240" w:lineRule="auto"/>
        <w:jc w:val="center"/>
        <w:rPr>
          <w:rFonts w:ascii="ITC Avant Garde" w:hAnsi="ITC Avant Garde"/>
          <w:b/>
          <w:bCs/>
        </w:rPr>
      </w:pPr>
      <w:r w:rsidRPr="00846B42">
        <w:rPr>
          <w:rFonts w:ascii="ITC Avant Garde" w:hAnsi="ITC Avant Garde"/>
          <w:b/>
          <w:bCs/>
        </w:rPr>
        <w:t>Gabriel Oswaldo Contreras Saldívar</w:t>
      </w:r>
    </w:p>
    <w:p w14:paraId="4D0624CF" w14:textId="77777777" w:rsidR="00E05B88" w:rsidRPr="00846B42" w:rsidRDefault="00E05B88" w:rsidP="00E05B88">
      <w:pPr>
        <w:spacing w:after="0" w:line="240" w:lineRule="auto"/>
        <w:jc w:val="center"/>
        <w:rPr>
          <w:rFonts w:ascii="ITC Avant Garde" w:hAnsi="ITC Avant Garde"/>
          <w:b/>
          <w:bCs/>
        </w:rPr>
      </w:pPr>
      <w:r w:rsidRPr="00846B42">
        <w:rPr>
          <w:rFonts w:ascii="ITC Avant Garde" w:hAnsi="ITC Avant Garde"/>
          <w:b/>
          <w:bCs/>
        </w:rPr>
        <w:t>Comisionado Presidente</w:t>
      </w:r>
    </w:p>
    <w:p w14:paraId="7FBEE77F" w14:textId="77777777" w:rsidR="00E05B88" w:rsidRPr="00846B42" w:rsidRDefault="00E05B88" w:rsidP="00E05B88">
      <w:pPr>
        <w:spacing w:after="0" w:line="240" w:lineRule="auto"/>
        <w:jc w:val="center"/>
        <w:rPr>
          <w:rFonts w:ascii="ITC Avant Garde" w:hAnsi="ITC Avant Garde"/>
          <w:bCs/>
        </w:rPr>
      </w:pPr>
    </w:p>
    <w:p w14:paraId="59C3EC38" w14:textId="77777777" w:rsidR="00E05B88" w:rsidRDefault="00E05B88" w:rsidP="00E05B88">
      <w:pPr>
        <w:spacing w:after="0" w:line="240" w:lineRule="auto"/>
        <w:jc w:val="center"/>
        <w:rPr>
          <w:rFonts w:ascii="ITC Avant Garde" w:hAnsi="ITC Avant Garde"/>
          <w:bCs/>
        </w:rPr>
      </w:pPr>
    </w:p>
    <w:p w14:paraId="4C4A0E90" w14:textId="77777777" w:rsidR="00E05B88" w:rsidRDefault="00E05B88" w:rsidP="00E05B88">
      <w:pPr>
        <w:spacing w:after="0" w:line="240" w:lineRule="auto"/>
        <w:jc w:val="center"/>
        <w:rPr>
          <w:rFonts w:ascii="ITC Avant Garde" w:hAnsi="ITC Avant Garde"/>
          <w:bCs/>
        </w:rPr>
      </w:pPr>
    </w:p>
    <w:p w14:paraId="501D8B92" w14:textId="77777777" w:rsidR="00E05B88" w:rsidRPr="00846B42" w:rsidRDefault="00E05B88" w:rsidP="00E05B88">
      <w:pPr>
        <w:spacing w:after="0" w:line="240" w:lineRule="auto"/>
        <w:jc w:val="center"/>
        <w:rPr>
          <w:rFonts w:ascii="ITC Avant Garde" w:hAnsi="ITC Avant Garde"/>
          <w:bCs/>
        </w:rPr>
      </w:pPr>
    </w:p>
    <w:p w14:paraId="1880310A" w14:textId="77777777" w:rsidR="00E05B88" w:rsidRPr="00846B42" w:rsidRDefault="00E05B88" w:rsidP="00E05B88">
      <w:pPr>
        <w:spacing w:after="0" w:line="240" w:lineRule="auto"/>
        <w:jc w:val="center"/>
        <w:rPr>
          <w:rFonts w:ascii="ITC Avant Garde" w:hAnsi="ITC Avant Garde"/>
          <w:bCs/>
        </w:rPr>
      </w:pPr>
    </w:p>
    <w:tbl>
      <w:tblPr>
        <w:tblW w:w="5000" w:type="pct"/>
        <w:tblCellMar>
          <w:left w:w="70" w:type="dxa"/>
          <w:right w:w="70" w:type="dxa"/>
        </w:tblCellMar>
        <w:tblLook w:val="04A0" w:firstRow="1" w:lastRow="0" w:firstColumn="1" w:lastColumn="0" w:noHBand="0" w:noVBand="1"/>
      </w:tblPr>
      <w:tblGrid>
        <w:gridCol w:w="3712"/>
        <w:gridCol w:w="1752"/>
        <w:gridCol w:w="3374"/>
      </w:tblGrid>
      <w:tr w:rsidR="00E05B88" w:rsidRPr="00846B42" w14:paraId="05BC35BB" w14:textId="77777777" w:rsidTr="00910CFD">
        <w:trPr>
          <w:trHeight w:val="1729"/>
        </w:trPr>
        <w:tc>
          <w:tcPr>
            <w:tcW w:w="2100" w:type="pct"/>
          </w:tcPr>
          <w:p w14:paraId="08E60DAD" w14:textId="77777777" w:rsidR="00E05B88" w:rsidRPr="00846B42" w:rsidRDefault="00E05B88" w:rsidP="00910CFD">
            <w:pPr>
              <w:spacing w:after="0" w:line="240" w:lineRule="auto"/>
              <w:jc w:val="center"/>
              <w:rPr>
                <w:rFonts w:ascii="ITC Avant Garde" w:hAnsi="ITC Avant Garde"/>
                <w:b/>
                <w:bCs/>
              </w:rPr>
            </w:pPr>
            <w:r w:rsidRPr="00846B42">
              <w:rPr>
                <w:rFonts w:ascii="ITC Avant Garde" w:hAnsi="ITC Avant Garde"/>
                <w:b/>
                <w:bCs/>
              </w:rPr>
              <w:t>María Elena Estavillo Flores Comisionada</w:t>
            </w:r>
          </w:p>
          <w:p w14:paraId="7CA74C6F" w14:textId="77777777" w:rsidR="00E05B88" w:rsidRPr="00846B42" w:rsidRDefault="00E05B88" w:rsidP="00910CFD">
            <w:pPr>
              <w:spacing w:after="0" w:line="240" w:lineRule="auto"/>
              <w:jc w:val="center"/>
              <w:rPr>
                <w:rFonts w:ascii="ITC Avant Garde" w:hAnsi="ITC Avant Garde"/>
                <w:bCs/>
              </w:rPr>
            </w:pPr>
          </w:p>
        </w:tc>
        <w:tc>
          <w:tcPr>
            <w:tcW w:w="991" w:type="pct"/>
          </w:tcPr>
          <w:p w14:paraId="392C2D12" w14:textId="77777777" w:rsidR="00E05B88" w:rsidRPr="00846B42" w:rsidRDefault="00E05B88" w:rsidP="00910CFD">
            <w:pPr>
              <w:spacing w:after="0" w:line="240" w:lineRule="auto"/>
              <w:jc w:val="center"/>
              <w:rPr>
                <w:rFonts w:ascii="ITC Avant Garde" w:hAnsi="ITC Avant Garde"/>
                <w:bCs/>
              </w:rPr>
            </w:pPr>
          </w:p>
        </w:tc>
        <w:tc>
          <w:tcPr>
            <w:tcW w:w="1909" w:type="pct"/>
          </w:tcPr>
          <w:p w14:paraId="6EC9D0FF" w14:textId="77777777" w:rsidR="00E05B88" w:rsidRPr="00846B42" w:rsidRDefault="00E05B88" w:rsidP="00910CFD">
            <w:pPr>
              <w:spacing w:after="0" w:line="240" w:lineRule="auto"/>
              <w:jc w:val="center"/>
              <w:rPr>
                <w:rFonts w:ascii="ITC Avant Garde" w:hAnsi="ITC Avant Garde"/>
                <w:b/>
                <w:bCs/>
              </w:rPr>
            </w:pPr>
            <w:r w:rsidRPr="00846B42">
              <w:rPr>
                <w:rFonts w:ascii="ITC Avant Garde" w:hAnsi="ITC Avant Garde"/>
                <w:b/>
                <w:bCs/>
              </w:rPr>
              <w:t>Mario Germán Fromow Rangel</w:t>
            </w:r>
          </w:p>
          <w:p w14:paraId="4F63AF16" w14:textId="77777777" w:rsidR="00E05B88" w:rsidRPr="00846B42" w:rsidRDefault="00E05B88" w:rsidP="00910CFD">
            <w:pPr>
              <w:spacing w:after="0" w:line="240" w:lineRule="auto"/>
              <w:jc w:val="center"/>
              <w:rPr>
                <w:rFonts w:ascii="ITC Avant Garde" w:hAnsi="ITC Avant Garde"/>
                <w:bCs/>
              </w:rPr>
            </w:pPr>
            <w:r w:rsidRPr="00846B42">
              <w:rPr>
                <w:rFonts w:ascii="ITC Avant Garde" w:hAnsi="ITC Avant Garde"/>
                <w:b/>
                <w:bCs/>
              </w:rPr>
              <w:t>Comisionado</w:t>
            </w:r>
            <w:r w:rsidRPr="00846B42">
              <w:rPr>
                <w:rFonts w:ascii="ITC Avant Garde" w:hAnsi="ITC Avant Garde"/>
                <w:bCs/>
              </w:rPr>
              <w:t xml:space="preserve"> </w:t>
            </w:r>
          </w:p>
          <w:p w14:paraId="3E40C0ED" w14:textId="77777777" w:rsidR="00E05B88" w:rsidRPr="00846B42" w:rsidRDefault="00E05B88" w:rsidP="00910CFD">
            <w:pPr>
              <w:spacing w:after="0" w:line="240" w:lineRule="auto"/>
              <w:jc w:val="center"/>
              <w:rPr>
                <w:rFonts w:ascii="ITC Avant Garde" w:hAnsi="ITC Avant Garde"/>
                <w:bCs/>
              </w:rPr>
            </w:pPr>
          </w:p>
          <w:p w14:paraId="55360715" w14:textId="77777777" w:rsidR="00E05B88" w:rsidRPr="00846B42" w:rsidRDefault="00E05B88" w:rsidP="00910CFD">
            <w:pPr>
              <w:spacing w:after="0" w:line="240" w:lineRule="auto"/>
              <w:jc w:val="center"/>
              <w:rPr>
                <w:rFonts w:ascii="ITC Avant Garde" w:hAnsi="ITC Avant Garde"/>
                <w:bCs/>
              </w:rPr>
            </w:pPr>
          </w:p>
          <w:p w14:paraId="14BA994F" w14:textId="77777777" w:rsidR="00E05B88" w:rsidRPr="00846B42" w:rsidRDefault="00E05B88" w:rsidP="00910CFD">
            <w:pPr>
              <w:spacing w:after="0" w:line="240" w:lineRule="auto"/>
              <w:jc w:val="center"/>
              <w:rPr>
                <w:rFonts w:ascii="ITC Avant Garde" w:hAnsi="ITC Avant Garde"/>
                <w:bCs/>
              </w:rPr>
            </w:pPr>
          </w:p>
          <w:p w14:paraId="559815A8" w14:textId="77777777" w:rsidR="00E05B88" w:rsidRPr="00846B42" w:rsidRDefault="00E05B88" w:rsidP="00910CFD">
            <w:pPr>
              <w:spacing w:after="0" w:line="240" w:lineRule="auto"/>
              <w:jc w:val="center"/>
              <w:rPr>
                <w:rFonts w:ascii="ITC Avant Garde" w:hAnsi="ITC Avant Garde"/>
                <w:bCs/>
              </w:rPr>
            </w:pPr>
          </w:p>
          <w:p w14:paraId="4683C372" w14:textId="77777777" w:rsidR="00E05B88" w:rsidRPr="00846B42" w:rsidRDefault="00E05B88" w:rsidP="00910CFD">
            <w:pPr>
              <w:spacing w:after="0" w:line="240" w:lineRule="auto"/>
              <w:jc w:val="center"/>
              <w:rPr>
                <w:rFonts w:ascii="ITC Avant Garde" w:hAnsi="ITC Avant Garde"/>
                <w:bCs/>
              </w:rPr>
            </w:pPr>
          </w:p>
          <w:p w14:paraId="47EDB817" w14:textId="77777777" w:rsidR="00E05B88" w:rsidRPr="00846B42" w:rsidRDefault="00E05B88" w:rsidP="00910CFD">
            <w:pPr>
              <w:spacing w:after="0" w:line="240" w:lineRule="auto"/>
              <w:rPr>
                <w:rFonts w:ascii="ITC Avant Garde" w:hAnsi="ITC Avant Garde"/>
                <w:bCs/>
              </w:rPr>
            </w:pPr>
          </w:p>
        </w:tc>
      </w:tr>
      <w:tr w:rsidR="00E05B88" w:rsidRPr="00846B42" w14:paraId="19B02C34" w14:textId="77777777" w:rsidTr="00910CFD">
        <w:trPr>
          <w:trHeight w:val="1308"/>
        </w:trPr>
        <w:tc>
          <w:tcPr>
            <w:tcW w:w="2100" w:type="pct"/>
          </w:tcPr>
          <w:p w14:paraId="20660593" w14:textId="77777777" w:rsidR="00E05B88" w:rsidRPr="00846B42" w:rsidRDefault="00E05B88" w:rsidP="00910CFD">
            <w:pPr>
              <w:spacing w:after="0" w:line="240" w:lineRule="auto"/>
              <w:jc w:val="center"/>
              <w:rPr>
                <w:rFonts w:ascii="ITC Avant Garde" w:hAnsi="ITC Avant Garde"/>
                <w:b/>
                <w:bCs/>
              </w:rPr>
            </w:pPr>
            <w:r w:rsidRPr="00846B42">
              <w:rPr>
                <w:rFonts w:ascii="ITC Avant Garde" w:hAnsi="ITC Avant Garde"/>
                <w:b/>
                <w:bCs/>
              </w:rPr>
              <w:t>Adolfo Cuevas Teja</w:t>
            </w:r>
          </w:p>
          <w:p w14:paraId="04F0AC8D" w14:textId="77777777" w:rsidR="00E05B88" w:rsidRPr="00846B42" w:rsidRDefault="00E05B88" w:rsidP="00910CFD">
            <w:pPr>
              <w:spacing w:after="0" w:line="240" w:lineRule="auto"/>
              <w:jc w:val="center"/>
              <w:rPr>
                <w:rFonts w:ascii="ITC Avant Garde" w:hAnsi="ITC Avant Garde"/>
                <w:b/>
                <w:bCs/>
              </w:rPr>
            </w:pPr>
            <w:r w:rsidRPr="00846B42">
              <w:rPr>
                <w:rFonts w:ascii="ITC Avant Garde" w:hAnsi="ITC Avant Garde"/>
                <w:b/>
                <w:bCs/>
              </w:rPr>
              <w:t>Comisionado</w:t>
            </w:r>
          </w:p>
          <w:p w14:paraId="20185007" w14:textId="77777777" w:rsidR="00E05B88" w:rsidRPr="00846B42" w:rsidRDefault="00E05B88" w:rsidP="00910CFD">
            <w:pPr>
              <w:spacing w:after="0" w:line="240" w:lineRule="auto"/>
              <w:jc w:val="center"/>
              <w:rPr>
                <w:rFonts w:ascii="ITC Avant Garde" w:hAnsi="ITC Avant Garde"/>
                <w:bCs/>
              </w:rPr>
            </w:pPr>
          </w:p>
        </w:tc>
        <w:tc>
          <w:tcPr>
            <w:tcW w:w="991" w:type="pct"/>
          </w:tcPr>
          <w:p w14:paraId="5FC2D5DD" w14:textId="77777777" w:rsidR="00E05B88" w:rsidRPr="00846B42" w:rsidRDefault="00E05B88" w:rsidP="00910CFD">
            <w:pPr>
              <w:spacing w:after="0" w:line="240" w:lineRule="auto"/>
              <w:jc w:val="center"/>
              <w:rPr>
                <w:rFonts w:ascii="ITC Avant Garde" w:hAnsi="ITC Avant Garde"/>
                <w:bCs/>
              </w:rPr>
            </w:pPr>
          </w:p>
        </w:tc>
        <w:tc>
          <w:tcPr>
            <w:tcW w:w="1909" w:type="pct"/>
          </w:tcPr>
          <w:p w14:paraId="50935766" w14:textId="77777777" w:rsidR="00E05B88" w:rsidRPr="00846B42" w:rsidRDefault="00E05B88" w:rsidP="00910CFD">
            <w:pPr>
              <w:spacing w:after="0" w:line="240" w:lineRule="auto"/>
              <w:jc w:val="center"/>
              <w:rPr>
                <w:rFonts w:ascii="ITC Avant Garde" w:hAnsi="ITC Avant Garde"/>
                <w:b/>
                <w:bCs/>
              </w:rPr>
            </w:pPr>
            <w:r w:rsidRPr="00846B42">
              <w:rPr>
                <w:rFonts w:ascii="ITC Avant Garde" w:hAnsi="ITC Avant Garde"/>
                <w:b/>
                <w:bCs/>
              </w:rPr>
              <w:t>Javier Juárez Mojica</w:t>
            </w:r>
          </w:p>
          <w:p w14:paraId="3F8CD546" w14:textId="77777777" w:rsidR="00E05B88" w:rsidRPr="00846B42" w:rsidRDefault="00E05B88" w:rsidP="00910CFD">
            <w:pPr>
              <w:spacing w:after="0" w:line="240" w:lineRule="auto"/>
              <w:jc w:val="center"/>
              <w:rPr>
                <w:rFonts w:ascii="ITC Avant Garde" w:hAnsi="ITC Avant Garde"/>
                <w:bCs/>
              </w:rPr>
            </w:pPr>
            <w:r w:rsidRPr="00846B42">
              <w:rPr>
                <w:rFonts w:ascii="ITC Avant Garde" w:hAnsi="ITC Avant Garde"/>
                <w:b/>
                <w:bCs/>
              </w:rPr>
              <w:t>Comisionado</w:t>
            </w:r>
            <w:r w:rsidRPr="00846B42">
              <w:rPr>
                <w:rFonts w:ascii="ITC Avant Garde" w:hAnsi="ITC Avant Garde"/>
                <w:bCs/>
              </w:rPr>
              <w:t xml:space="preserve"> </w:t>
            </w:r>
          </w:p>
          <w:p w14:paraId="18DEA384" w14:textId="77777777" w:rsidR="00E05B88" w:rsidRPr="00846B42" w:rsidRDefault="00E05B88" w:rsidP="00910CFD">
            <w:pPr>
              <w:spacing w:after="0" w:line="240" w:lineRule="auto"/>
              <w:jc w:val="center"/>
              <w:rPr>
                <w:rFonts w:ascii="ITC Avant Garde" w:hAnsi="ITC Avant Garde"/>
                <w:bCs/>
              </w:rPr>
            </w:pPr>
          </w:p>
          <w:p w14:paraId="3033C490" w14:textId="77777777" w:rsidR="00E05B88" w:rsidRPr="00846B42" w:rsidRDefault="00E05B88" w:rsidP="00910CFD">
            <w:pPr>
              <w:spacing w:after="0" w:line="240" w:lineRule="auto"/>
              <w:jc w:val="center"/>
              <w:rPr>
                <w:rFonts w:ascii="ITC Avant Garde" w:hAnsi="ITC Avant Garde"/>
                <w:bCs/>
              </w:rPr>
            </w:pPr>
          </w:p>
          <w:p w14:paraId="4D089856" w14:textId="77777777" w:rsidR="00E05B88" w:rsidRPr="00846B42" w:rsidRDefault="00E05B88" w:rsidP="00910CFD">
            <w:pPr>
              <w:spacing w:after="0" w:line="240" w:lineRule="auto"/>
              <w:jc w:val="center"/>
              <w:rPr>
                <w:rFonts w:ascii="ITC Avant Garde" w:hAnsi="ITC Avant Garde"/>
                <w:bCs/>
              </w:rPr>
            </w:pPr>
          </w:p>
          <w:p w14:paraId="5DC8F4C8" w14:textId="77777777" w:rsidR="00E05B88" w:rsidRPr="00846B42" w:rsidRDefault="00E05B88" w:rsidP="00910CFD">
            <w:pPr>
              <w:spacing w:after="0" w:line="240" w:lineRule="auto"/>
              <w:jc w:val="center"/>
              <w:rPr>
                <w:rFonts w:ascii="ITC Avant Garde" w:hAnsi="ITC Avant Garde"/>
                <w:bCs/>
              </w:rPr>
            </w:pPr>
          </w:p>
          <w:p w14:paraId="016378D2" w14:textId="77777777" w:rsidR="00E05B88" w:rsidRPr="00846B42" w:rsidRDefault="00E05B88" w:rsidP="00910CFD">
            <w:pPr>
              <w:spacing w:after="0" w:line="240" w:lineRule="auto"/>
              <w:jc w:val="center"/>
              <w:rPr>
                <w:rFonts w:ascii="ITC Avant Garde" w:hAnsi="ITC Avant Garde"/>
                <w:bCs/>
              </w:rPr>
            </w:pPr>
          </w:p>
          <w:p w14:paraId="601ED3CC" w14:textId="77777777" w:rsidR="00E05B88" w:rsidRPr="00846B42" w:rsidRDefault="00E05B88" w:rsidP="00910CFD">
            <w:pPr>
              <w:spacing w:after="0" w:line="240" w:lineRule="auto"/>
              <w:jc w:val="center"/>
              <w:rPr>
                <w:rFonts w:ascii="ITC Avant Garde" w:hAnsi="ITC Avant Garde"/>
                <w:bCs/>
              </w:rPr>
            </w:pPr>
          </w:p>
        </w:tc>
      </w:tr>
      <w:tr w:rsidR="00E05B88" w:rsidRPr="00846B42" w14:paraId="29E6609C" w14:textId="77777777" w:rsidTr="00910CFD">
        <w:trPr>
          <w:trHeight w:val="369"/>
        </w:trPr>
        <w:tc>
          <w:tcPr>
            <w:tcW w:w="2100" w:type="pct"/>
            <w:hideMark/>
          </w:tcPr>
          <w:p w14:paraId="169C85D5" w14:textId="77777777" w:rsidR="00E05B88" w:rsidRPr="00846B42" w:rsidRDefault="00E05B88" w:rsidP="00910CFD">
            <w:pPr>
              <w:spacing w:after="0" w:line="240" w:lineRule="auto"/>
              <w:jc w:val="center"/>
              <w:rPr>
                <w:rFonts w:ascii="ITC Avant Garde" w:hAnsi="ITC Avant Garde"/>
                <w:b/>
                <w:bCs/>
              </w:rPr>
            </w:pPr>
            <w:r w:rsidRPr="00846B42">
              <w:rPr>
                <w:rFonts w:ascii="ITC Avant Garde" w:hAnsi="ITC Avant Garde"/>
                <w:b/>
                <w:bCs/>
              </w:rPr>
              <w:t>Arturo Robles Rovalo</w:t>
            </w:r>
          </w:p>
          <w:p w14:paraId="0DC70609" w14:textId="77777777" w:rsidR="00E05B88" w:rsidRPr="00846B42" w:rsidRDefault="00E05B88" w:rsidP="00910CFD">
            <w:pPr>
              <w:spacing w:after="0" w:line="240" w:lineRule="auto"/>
              <w:jc w:val="center"/>
              <w:rPr>
                <w:rFonts w:ascii="ITC Avant Garde" w:hAnsi="ITC Avant Garde"/>
                <w:bCs/>
              </w:rPr>
            </w:pPr>
            <w:r w:rsidRPr="00846B42">
              <w:rPr>
                <w:rFonts w:ascii="ITC Avant Garde" w:hAnsi="ITC Avant Garde"/>
                <w:b/>
                <w:bCs/>
              </w:rPr>
              <w:t>Comisionado</w:t>
            </w:r>
          </w:p>
        </w:tc>
        <w:tc>
          <w:tcPr>
            <w:tcW w:w="991" w:type="pct"/>
          </w:tcPr>
          <w:p w14:paraId="273F4FF4" w14:textId="77777777" w:rsidR="00E05B88" w:rsidRPr="00846B42" w:rsidRDefault="00E05B88" w:rsidP="00910CFD">
            <w:pPr>
              <w:spacing w:after="0" w:line="240" w:lineRule="auto"/>
              <w:jc w:val="center"/>
              <w:rPr>
                <w:rFonts w:ascii="ITC Avant Garde" w:hAnsi="ITC Avant Garde"/>
                <w:bCs/>
              </w:rPr>
            </w:pPr>
          </w:p>
        </w:tc>
        <w:tc>
          <w:tcPr>
            <w:tcW w:w="1909" w:type="pct"/>
          </w:tcPr>
          <w:p w14:paraId="42EAFE76" w14:textId="77777777" w:rsidR="00E05B88" w:rsidRPr="00846B42" w:rsidRDefault="00E05B88" w:rsidP="00910CFD">
            <w:pPr>
              <w:spacing w:after="0" w:line="240" w:lineRule="auto"/>
              <w:jc w:val="center"/>
              <w:rPr>
                <w:rFonts w:ascii="ITC Avant Garde" w:hAnsi="ITC Avant Garde"/>
                <w:b/>
                <w:bCs/>
              </w:rPr>
            </w:pPr>
            <w:r w:rsidRPr="00846B42">
              <w:rPr>
                <w:rFonts w:ascii="ITC Avant Garde" w:hAnsi="ITC Avant Garde"/>
                <w:b/>
                <w:bCs/>
              </w:rPr>
              <w:t>Sóstenes Díaz González</w:t>
            </w:r>
          </w:p>
          <w:p w14:paraId="4C30BEE5" w14:textId="77777777" w:rsidR="00E05B88" w:rsidRPr="00846B42" w:rsidRDefault="00E05B88" w:rsidP="00910CFD">
            <w:pPr>
              <w:spacing w:after="0" w:line="240" w:lineRule="auto"/>
              <w:jc w:val="center"/>
              <w:rPr>
                <w:rFonts w:ascii="ITC Avant Garde" w:hAnsi="ITC Avant Garde"/>
                <w:b/>
                <w:bCs/>
              </w:rPr>
            </w:pPr>
            <w:r w:rsidRPr="00846B42">
              <w:rPr>
                <w:rFonts w:ascii="ITC Avant Garde" w:hAnsi="ITC Avant Garde"/>
                <w:b/>
                <w:bCs/>
              </w:rPr>
              <w:t>Comisionado</w:t>
            </w:r>
          </w:p>
          <w:p w14:paraId="051842B8" w14:textId="77777777" w:rsidR="00E05B88" w:rsidRPr="00846B42" w:rsidRDefault="00E05B88" w:rsidP="00910CFD">
            <w:pPr>
              <w:spacing w:after="0" w:line="240" w:lineRule="auto"/>
              <w:jc w:val="center"/>
              <w:rPr>
                <w:rFonts w:ascii="ITC Avant Garde" w:hAnsi="ITC Avant Garde"/>
                <w:b/>
                <w:bCs/>
              </w:rPr>
            </w:pPr>
          </w:p>
          <w:p w14:paraId="0EC4330F" w14:textId="77777777" w:rsidR="00E05B88" w:rsidRPr="00846B42" w:rsidRDefault="00E05B88" w:rsidP="00910CFD">
            <w:pPr>
              <w:spacing w:after="0" w:line="240" w:lineRule="auto"/>
              <w:jc w:val="center"/>
              <w:rPr>
                <w:rFonts w:ascii="ITC Avant Garde" w:hAnsi="ITC Avant Garde"/>
                <w:b/>
                <w:bCs/>
              </w:rPr>
            </w:pPr>
          </w:p>
          <w:p w14:paraId="17E7925B" w14:textId="77777777" w:rsidR="00E05B88" w:rsidRPr="00846B42" w:rsidRDefault="00E05B88" w:rsidP="00910CFD">
            <w:pPr>
              <w:spacing w:after="0" w:line="240" w:lineRule="auto"/>
              <w:rPr>
                <w:rFonts w:ascii="ITC Avant Garde" w:hAnsi="ITC Avant Garde"/>
                <w:bCs/>
              </w:rPr>
            </w:pPr>
          </w:p>
        </w:tc>
      </w:tr>
    </w:tbl>
    <w:p w14:paraId="3762C9E6" w14:textId="77777777" w:rsidR="00DA3801" w:rsidRPr="00DA3801" w:rsidRDefault="00DA3801" w:rsidP="0069090A">
      <w:pPr>
        <w:spacing w:after="120" w:line="240" w:lineRule="auto"/>
        <w:jc w:val="both"/>
        <w:rPr>
          <w:rFonts w:ascii="ITC Avant Garde" w:hAnsi="ITC Avant Garde" w:cs="Arial"/>
        </w:rPr>
      </w:pPr>
    </w:p>
    <w:sectPr w:rsidR="00DA3801" w:rsidRPr="00DA3801" w:rsidSect="00DA3801">
      <w:footerReference w:type="default" r:id="rId11"/>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8F85F" w14:textId="77777777" w:rsidR="00E12C6D" w:rsidRDefault="00E12C6D" w:rsidP="00A10DF6">
      <w:pPr>
        <w:spacing w:after="0" w:line="240" w:lineRule="auto"/>
      </w:pPr>
      <w:r>
        <w:separator/>
      </w:r>
    </w:p>
  </w:endnote>
  <w:endnote w:type="continuationSeparator" w:id="0">
    <w:p w14:paraId="53BAF08A" w14:textId="77777777" w:rsidR="00E12C6D" w:rsidRDefault="00E12C6D" w:rsidP="00A10DF6">
      <w:pPr>
        <w:spacing w:after="0" w:line="240" w:lineRule="auto"/>
      </w:pPr>
      <w:r>
        <w:continuationSeparator/>
      </w:r>
    </w:p>
  </w:endnote>
  <w:endnote w:type="continuationNotice" w:id="1">
    <w:p w14:paraId="42DEEBEE" w14:textId="77777777" w:rsidR="00E12C6D" w:rsidRDefault="00E12C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altName w:val="Calibri"/>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787055"/>
      <w:docPartObj>
        <w:docPartGallery w:val="Page Numbers (Bottom of Page)"/>
        <w:docPartUnique/>
      </w:docPartObj>
    </w:sdtPr>
    <w:sdtEndPr>
      <w:rPr>
        <w:rFonts w:ascii="ITC Avant Garde" w:hAnsi="ITC Avant Garde"/>
        <w:sz w:val="18"/>
        <w:szCs w:val="18"/>
      </w:rPr>
    </w:sdtEndPr>
    <w:sdtContent>
      <w:sdt>
        <w:sdtPr>
          <w:id w:val="1460138614"/>
          <w:docPartObj>
            <w:docPartGallery w:val="Page Numbers (Top of Page)"/>
            <w:docPartUnique/>
          </w:docPartObj>
        </w:sdtPr>
        <w:sdtEndPr>
          <w:rPr>
            <w:rFonts w:ascii="ITC Avant Garde" w:hAnsi="ITC Avant Garde"/>
            <w:sz w:val="18"/>
            <w:szCs w:val="18"/>
          </w:rPr>
        </w:sdtEndPr>
        <w:sdtContent>
          <w:p w14:paraId="48228482" w14:textId="78F4B33D" w:rsidR="008D11C8" w:rsidRPr="00E97A2F" w:rsidRDefault="008D11C8">
            <w:pPr>
              <w:pStyle w:val="Piedepgina"/>
              <w:jc w:val="right"/>
              <w:rPr>
                <w:rFonts w:ascii="ITC Avant Garde" w:hAnsi="ITC Avant Garde"/>
                <w:sz w:val="18"/>
                <w:szCs w:val="18"/>
              </w:rPr>
            </w:pPr>
            <w:r w:rsidRPr="00E97A2F">
              <w:rPr>
                <w:rFonts w:ascii="ITC Avant Garde" w:hAnsi="ITC Avant Garde"/>
                <w:b/>
                <w:bCs/>
                <w:sz w:val="18"/>
                <w:szCs w:val="18"/>
              </w:rPr>
              <w:fldChar w:fldCharType="begin"/>
            </w:r>
            <w:r w:rsidRPr="00E97A2F">
              <w:rPr>
                <w:rFonts w:ascii="ITC Avant Garde" w:hAnsi="ITC Avant Garde"/>
                <w:b/>
                <w:bCs/>
                <w:sz w:val="18"/>
                <w:szCs w:val="18"/>
              </w:rPr>
              <w:instrText>PAGE</w:instrText>
            </w:r>
            <w:r w:rsidRPr="00E97A2F">
              <w:rPr>
                <w:rFonts w:ascii="ITC Avant Garde" w:hAnsi="ITC Avant Garde"/>
                <w:b/>
                <w:bCs/>
                <w:sz w:val="18"/>
                <w:szCs w:val="18"/>
              </w:rPr>
              <w:fldChar w:fldCharType="separate"/>
            </w:r>
            <w:r w:rsidR="00E05B88">
              <w:rPr>
                <w:rFonts w:ascii="ITC Avant Garde" w:hAnsi="ITC Avant Garde"/>
                <w:b/>
                <w:bCs/>
                <w:noProof/>
                <w:sz w:val="18"/>
                <w:szCs w:val="18"/>
              </w:rPr>
              <w:t>4</w:t>
            </w:r>
            <w:r w:rsidRPr="00E97A2F">
              <w:rPr>
                <w:rFonts w:ascii="ITC Avant Garde" w:hAnsi="ITC Avant Garde"/>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08CFA" w14:textId="77777777" w:rsidR="00E12C6D" w:rsidRDefault="00E12C6D" w:rsidP="00A10DF6">
      <w:pPr>
        <w:spacing w:after="0" w:line="240" w:lineRule="auto"/>
      </w:pPr>
      <w:r>
        <w:separator/>
      </w:r>
    </w:p>
  </w:footnote>
  <w:footnote w:type="continuationSeparator" w:id="0">
    <w:p w14:paraId="715156EB" w14:textId="77777777" w:rsidR="00E12C6D" w:rsidRDefault="00E12C6D" w:rsidP="00A10DF6">
      <w:pPr>
        <w:spacing w:after="0" w:line="240" w:lineRule="auto"/>
      </w:pPr>
      <w:r>
        <w:continuationSeparator/>
      </w:r>
    </w:p>
  </w:footnote>
  <w:footnote w:type="continuationNotice" w:id="1">
    <w:p w14:paraId="54001094" w14:textId="77777777" w:rsidR="00E12C6D" w:rsidRDefault="00E12C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 o:bullet="t">
        <v:imagedata r:id="rId1" o:title="mso4109"/>
      </v:shape>
    </w:pict>
  </w:numPicBullet>
  <w:abstractNum w:abstractNumId="0" w15:restartNumberingAfterBreak="0">
    <w:nsid w:val="0434676C"/>
    <w:multiLevelType w:val="hybridMultilevel"/>
    <w:tmpl w:val="DF9AAF70"/>
    <w:lvl w:ilvl="0" w:tplc="D5607DA0">
      <w:start w:val="1"/>
      <w:numFmt w:val="upperRoman"/>
      <w:lvlText w:val="%1."/>
      <w:lvlJc w:val="left"/>
      <w:pPr>
        <w:ind w:left="1080" w:hanging="720"/>
      </w:pPr>
      <w:rPr>
        <w:rFonts w:cs="Arial"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64796B"/>
    <w:multiLevelType w:val="hybridMultilevel"/>
    <w:tmpl w:val="62E0AF32"/>
    <w:lvl w:ilvl="0" w:tplc="6E9E4458">
      <w:start w:val="1"/>
      <w:numFmt w:val="bullet"/>
      <w:lvlText w:val="-"/>
      <w:lvlJc w:val="left"/>
      <w:pPr>
        <w:ind w:left="720" w:hanging="360"/>
      </w:pPr>
      <w:rPr>
        <w:rFonts w:ascii="Calibri" w:eastAsiaTheme="minorHAnsi" w:hAnsi="Calibri"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6C7F48"/>
    <w:multiLevelType w:val="hybridMultilevel"/>
    <w:tmpl w:val="6100D51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40288E"/>
    <w:multiLevelType w:val="hybridMultilevel"/>
    <w:tmpl w:val="E848C8E6"/>
    <w:lvl w:ilvl="0" w:tplc="8F3C74CA">
      <w:start w:val="1"/>
      <w:numFmt w:val="bullet"/>
      <w:lvlText w:val="-"/>
      <w:lvlJc w:val="left"/>
      <w:pPr>
        <w:ind w:left="720" w:hanging="360"/>
      </w:pPr>
      <w:rPr>
        <w:rFonts w:ascii="Calibri" w:eastAsiaTheme="minorHAnsi" w:hAnsi="Calibri"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406067"/>
    <w:multiLevelType w:val="hybridMultilevel"/>
    <w:tmpl w:val="8BE69C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8A59C5"/>
    <w:multiLevelType w:val="hybridMultilevel"/>
    <w:tmpl w:val="9E58FFBC"/>
    <w:lvl w:ilvl="0" w:tplc="7336580E">
      <w:start w:val="1"/>
      <w:numFmt w:val="lowerRoman"/>
      <w:lvlText w:val="%1."/>
      <w:lvlJc w:val="left"/>
      <w:pPr>
        <w:ind w:left="1080" w:hanging="720"/>
      </w:pPr>
      <w:rPr>
        <w:rFonts w:cs="Arial"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045E21"/>
    <w:multiLevelType w:val="hybridMultilevel"/>
    <w:tmpl w:val="C47091D4"/>
    <w:lvl w:ilvl="0" w:tplc="61AC7854">
      <w:start w:val="1"/>
      <w:numFmt w:val="ordinalText"/>
      <w:lvlText w:val="%1."/>
      <w:lvlJc w:val="left"/>
      <w:pPr>
        <w:ind w:left="2334" w:hanging="207"/>
      </w:pPr>
      <w:rPr>
        <w:rFonts w:ascii="ITC Avant Garde" w:hAnsi="ITC Avant Garde" w:hint="default"/>
        <w:b/>
        <w:i w:val="0"/>
        <w:caps/>
        <w:sz w:val="22"/>
      </w:rPr>
    </w:lvl>
    <w:lvl w:ilvl="1" w:tplc="080A0019" w:tentative="1">
      <w:start w:val="1"/>
      <w:numFmt w:val="lowerLetter"/>
      <w:lvlText w:val="%2."/>
      <w:lvlJc w:val="left"/>
      <w:pPr>
        <w:ind w:left="2847" w:hanging="360"/>
      </w:pPr>
    </w:lvl>
    <w:lvl w:ilvl="2" w:tplc="080A001B" w:tentative="1">
      <w:start w:val="1"/>
      <w:numFmt w:val="lowerRoman"/>
      <w:lvlText w:val="%3."/>
      <w:lvlJc w:val="right"/>
      <w:pPr>
        <w:ind w:left="3567" w:hanging="180"/>
      </w:pPr>
    </w:lvl>
    <w:lvl w:ilvl="3" w:tplc="080A000F" w:tentative="1">
      <w:start w:val="1"/>
      <w:numFmt w:val="decimal"/>
      <w:lvlText w:val="%4."/>
      <w:lvlJc w:val="left"/>
      <w:pPr>
        <w:ind w:left="4287" w:hanging="360"/>
      </w:pPr>
    </w:lvl>
    <w:lvl w:ilvl="4" w:tplc="080A0019" w:tentative="1">
      <w:start w:val="1"/>
      <w:numFmt w:val="lowerLetter"/>
      <w:lvlText w:val="%5."/>
      <w:lvlJc w:val="left"/>
      <w:pPr>
        <w:ind w:left="5007" w:hanging="360"/>
      </w:pPr>
    </w:lvl>
    <w:lvl w:ilvl="5" w:tplc="080A001B" w:tentative="1">
      <w:start w:val="1"/>
      <w:numFmt w:val="lowerRoman"/>
      <w:lvlText w:val="%6."/>
      <w:lvlJc w:val="right"/>
      <w:pPr>
        <w:ind w:left="5727" w:hanging="180"/>
      </w:pPr>
    </w:lvl>
    <w:lvl w:ilvl="6" w:tplc="080A000F" w:tentative="1">
      <w:start w:val="1"/>
      <w:numFmt w:val="decimal"/>
      <w:lvlText w:val="%7."/>
      <w:lvlJc w:val="left"/>
      <w:pPr>
        <w:ind w:left="6447" w:hanging="360"/>
      </w:pPr>
    </w:lvl>
    <w:lvl w:ilvl="7" w:tplc="080A0019" w:tentative="1">
      <w:start w:val="1"/>
      <w:numFmt w:val="lowerLetter"/>
      <w:lvlText w:val="%8."/>
      <w:lvlJc w:val="left"/>
      <w:pPr>
        <w:ind w:left="7167" w:hanging="360"/>
      </w:pPr>
    </w:lvl>
    <w:lvl w:ilvl="8" w:tplc="080A001B" w:tentative="1">
      <w:start w:val="1"/>
      <w:numFmt w:val="lowerRoman"/>
      <w:lvlText w:val="%9."/>
      <w:lvlJc w:val="right"/>
      <w:pPr>
        <w:ind w:left="7887" w:hanging="180"/>
      </w:pPr>
    </w:lvl>
  </w:abstractNum>
  <w:abstractNum w:abstractNumId="7" w15:restartNumberingAfterBreak="0">
    <w:nsid w:val="292B1AA1"/>
    <w:multiLevelType w:val="hybridMultilevel"/>
    <w:tmpl w:val="51B276C4"/>
    <w:lvl w:ilvl="0" w:tplc="CBC01134">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8" w15:restartNumberingAfterBreak="0">
    <w:nsid w:val="453F3D15"/>
    <w:multiLevelType w:val="hybridMultilevel"/>
    <w:tmpl w:val="37D0972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6B37C7C"/>
    <w:multiLevelType w:val="hybridMultilevel"/>
    <w:tmpl w:val="CD420C56"/>
    <w:lvl w:ilvl="0" w:tplc="42D2CF1A">
      <w:start w:val="1"/>
      <w:numFmt w:val="bullet"/>
      <w:lvlText w:val="-"/>
      <w:lvlJc w:val="left"/>
      <w:pPr>
        <w:ind w:left="720" w:hanging="360"/>
      </w:pPr>
      <w:rPr>
        <w:rFonts w:ascii="Calibri" w:eastAsiaTheme="minorHAnsi" w:hAnsi="Calibri"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D7256CC"/>
    <w:multiLevelType w:val="hybridMultilevel"/>
    <w:tmpl w:val="E9A04A80"/>
    <w:lvl w:ilvl="0" w:tplc="A0F2CE9C">
      <w:start w:val="1"/>
      <w:numFmt w:val="bullet"/>
      <w:lvlText w:val="-"/>
      <w:lvlJc w:val="left"/>
      <w:pPr>
        <w:ind w:left="720" w:hanging="360"/>
      </w:pPr>
      <w:rPr>
        <w:rFonts w:ascii="Calibri" w:eastAsiaTheme="minorHAnsi" w:hAnsi="Calibri"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0CF4986"/>
    <w:multiLevelType w:val="hybridMultilevel"/>
    <w:tmpl w:val="62B88296"/>
    <w:lvl w:ilvl="0" w:tplc="30E2C75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C3363A0"/>
    <w:multiLevelType w:val="hybridMultilevel"/>
    <w:tmpl w:val="847A9DE8"/>
    <w:lvl w:ilvl="0" w:tplc="63EE07DA">
      <w:start w:val="1"/>
      <w:numFmt w:val="upperRoman"/>
      <w:lvlText w:val="%1."/>
      <w:lvlJc w:val="left"/>
      <w:pPr>
        <w:ind w:left="1080" w:hanging="720"/>
      </w:pPr>
      <w:rPr>
        <w:rFonts w:cs="Arial" w:hint="default"/>
        <w:b/>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1F672CD"/>
    <w:multiLevelType w:val="hybridMultilevel"/>
    <w:tmpl w:val="4BB00306"/>
    <w:lvl w:ilvl="0" w:tplc="AB3C9E38">
      <w:start w:val="1"/>
      <w:numFmt w:val="upperRoman"/>
      <w:lvlText w:val="%1."/>
      <w:lvlJc w:val="right"/>
      <w:pPr>
        <w:ind w:left="2136" w:hanging="360"/>
      </w:pPr>
      <w:rPr>
        <w:rFonts w:hint="default"/>
        <w:b/>
        <w:i w:val="0"/>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4" w15:restartNumberingAfterBreak="0">
    <w:nsid w:val="7750044A"/>
    <w:multiLevelType w:val="hybridMultilevel"/>
    <w:tmpl w:val="50F432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9CA0752"/>
    <w:multiLevelType w:val="hybridMultilevel"/>
    <w:tmpl w:val="D9D8C958"/>
    <w:lvl w:ilvl="0" w:tplc="B3E4B48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6"/>
  </w:num>
  <w:num w:numId="3">
    <w:abstractNumId w:val="8"/>
  </w:num>
  <w:num w:numId="4">
    <w:abstractNumId w:val="10"/>
  </w:num>
  <w:num w:numId="5">
    <w:abstractNumId w:val="3"/>
  </w:num>
  <w:num w:numId="6">
    <w:abstractNumId w:val="9"/>
  </w:num>
  <w:num w:numId="7">
    <w:abstractNumId w:val="1"/>
  </w:num>
  <w:num w:numId="8">
    <w:abstractNumId w:val="2"/>
  </w:num>
  <w:num w:numId="9">
    <w:abstractNumId w:val="12"/>
  </w:num>
  <w:num w:numId="10">
    <w:abstractNumId w:val="14"/>
  </w:num>
  <w:num w:numId="11">
    <w:abstractNumId w:val="5"/>
  </w:num>
  <w:num w:numId="12">
    <w:abstractNumId w:val="0"/>
  </w:num>
  <w:num w:numId="13">
    <w:abstractNumId w:val="7"/>
  </w:num>
  <w:num w:numId="14">
    <w:abstractNumId w:val="4"/>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DF6"/>
    <w:rsid w:val="00000034"/>
    <w:rsid w:val="0001181D"/>
    <w:rsid w:val="00020876"/>
    <w:rsid w:val="00033263"/>
    <w:rsid w:val="0004116E"/>
    <w:rsid w:val="000560A8"/>
    <w:rsid w:val="00063573"/>
    <w:rsid w:val="00074661"/>
    <w:rsid w:val="00097CBA"/>
    <w:rsid w:val="000C15B5"/>
    <w:rsid w:val="000E0A36"/>
    <w:rsid w:val="000E150F"/>
    <w:rsid w:val="00103A5F"/>
    <w:rsid w:val="00105A43"/>
    <w:rsid w:val="001062CB"/>
    <w:rsid w:val="001129B5"/>
    <w:rsid w:val="001133B9"/>
    <w:rsid w:val="0011651B"/>
    <w:rsid w:val="001176FE"/>
    <w:rsid w:val="001275FE"/>
    <w:rsid w:val="00132656"/>
    <w:rsid w:val="00135D57"/>
    <w:rsid w:val="00141E1D"/>
    <w:rsid w:val="00146F2A"/>
    <w:rsid w:val="00150512"/>
    <w:rsid w:val="0016036C"/>
    <w:rsid w:val="0016517A"/>
    <w:rsid w:val="00171F17"/>
    <w:rsid w:val="00173AC9"/>
    <w:rsid w:val="00186546"/>
    <w:rsid w:val="001903A5"/>
    <w:rsid w:val="0019499C"/>
    <w:rsid w:val="00194FB1"/>
    <w:rsid w:val="001964D7"/>
    <w:rsid w:val="001A466D"/>
    <w:rsid w:val="001B2BB6"/>
    <w:rsid w:val="001B4C0C"/>
    <w:rsid w:val="001C0F42"/>
    <w:rsid w:val="001D03D8"/>
    <w:rsid w:val="001D1179"/>
    <w:rsid w:val="001D347A"/>
    <w:rsid w:val="001D4ED6"/>
    <w:rsid w:val="00200A80"/>
    <w:rsid w:val="00200E67"/>
    <w:rsid w:val="0020469A"/>
    <w:rsid w:val="002055C6"/>
    <w:rsid w:val="00206884"/>
    <w:rsid w:val="00211B0F"/>
    <w:rsid w:val="00217BC0"/>
    <w:rsid w:val="00222B41"/>
    <w:rsid w:val="00230E07"/>
    <w:rsid w:val="00237A1E"/>
    <w:rsid w:val="00250700"/>
    <w:rsid w:val="0027734A"/>
    <w:rsid w:val="0028264C"/>
    <w:rsid w:val="0028448D"/>
    <w:rsid w:val="0028499A"/>
    <w:rsid w:val="002B2AC9"/>
    <w:rsid w:val="002E1A2C"/>
    <w:rsid w:val="002F23F5"/>
    <w:rsid w:val="002F24F1"/>
    <w:rsid w:val="002F5E6C"/>
    <w:rsid w:val="003239EF"/>
    <w:rsid w:val="00335EC3"/>
    <w:rsid w:val="00351990"/>
    <w:rsid w:val="003524E4"/>
    <w:rsid w:val="003553C1"/>
    <w:rsid w:val="003674DA"/>
    <w:rsid w:val="00367FE9"/>
    <w:rsid w:val="003720C7"/>
    <w:rsid w:val="0037675D"/>
    <w:rsid w:val="003770A3"/>
    <w:rsid w:val="003937E9"/>
    <w:rsid w:val="00394D62"/>
    <w:rsid w:val="00396955"/>
    <w:rsid w:val="003A2E55"/>
    <w:rsid w:val="003B5595"/>
    <w:rsid w:val="003C33A9"/>
    <w:rsid w:val="003E152A"/>
    <w:rsid w:val="003E1E2B"/>
    <w:rsid w:val="003F61ED"/>
    <w:rsid w:val="00400560"/>
    <w:rsid w:val="00460A75"/>
    <w:rsid w:val="00474E1D"/>
    <w:rsid w:val="0047693D"/>
    <w:rsid w:val="00484559"/>
    <w:rsid w:val="004A111A"/>
    <w:rsid w:val="004D2403"/>
    <w:rsid w:val="004F2E89"/>
    <w:rsid w:val="004F3231"/>
    <w:rsid w:val="00503A19"/>
    <w:rsid w:val="00505168"/>
    <w:rsid w:val="0053704F"/>
    <w:rsid w:val="005432BC"/>
    <w:rsid w:val="00544A41"/>
    <w:rsid w:val="00554FE0"/>
    <w:rsid w:val="00555C17"/>
    <w:rsid w:val="005718F4"/>
    <w:rsid w:val="005811D3"/>
    <w:rsid w:val="00584CD3"/>
    <w:rsid w:val="00593C68"/>
    <w:rsid w:val="005970E4"/>
    <w:rsid w:val="005B5AC6"/>
    <w:rsid w:val="005B5CF4"/>
    <w:rsid w:val="005E078D"/>
    <w:rsid w:val="005E4186"/>
    <w:rsid w:val="005F3403"/>
    <w:rsid w:val="006026BB"/>
    <w:rsid w:val="00625336"/>
    <w:rsid w:val="0063615E"/>
    <w:rsid w:val="00661D69"/>
    <w:rsid w:val="006779BA"/>
    <w:rsid w:val="00690719"/>
    <w:rsid w:val="00690903"/>
    <w:rsid w:val="0069090A"/>
    <w:rsid w:val="00691F01"/>
    <w:rsid w:val="006A0AD6"/>
    <w:rsid w:val="006A6066"/>
    <w:rsid w:val="006B37CC"/>
    <w:rsid w:val="006D08A8"/>
    <w:rsid w:val="006D093B"/>
    <w:rsid w:val="006D278D"/>
    <w:rsid w:val="006E2F81"/>
    <w:rsid w:val="006E5564"/>
    <w:rsid w:val="007057F9"/>
    <w:rsid w:val="00710698"/>
    <w:rsid w:val="007147EC"/>
    <w:rsid w:val="00735B93"/>
    <w:rsid w:val="00755D59"/>
    <w:rsid w:val="00756FF2"/>
    <w:rsid w:val="007701FA"/>
    <w:rsid w:val="00770226"/>
    <w:rsid w:val="0079386A"/>
    <w:rsid w:val="007941CB"/>
    <w:rsid w:val="007A12C7"/>
    <w:rsid w:val="007D6058"/>
    <w:rsid w:val="007D6163"/>
    <w:rsid w:val="007E2968"/>
    <w:rsid w:val="007E4943"/>
    <w:rsid w:val="007F3F17"/>
    <w:rsid w:val="0080429C"/>
    <w:rsid w:val="00805D55"/>
    <w:rsid w:val="0081197A"/>
    <w:rsid w:val="00834B42"/>
    <w:rsid w:val="00840FB8"/>
    <w:rsid w:val="00841784"/>
    <w:rsid w:val="008436DE"/>
    <w:rsid w:val="00850DA6"/>
    <w:rsid w:val="008524C8"/>
    <w:rsid w:val="00857132"/>
    <w:rsid w:val="008942AD"/>
    <w:rsid w:val="00896E3E"/>
    <w:rsid w:val="00896F27"/>
    <w:rsid w:val="008A265F"/>
    <w:rsid w:val="008A39FF"/>
    <w:rsid w:val="008A41F0"/>
    <w:rsid w:val="008B159F"/>
    <w:rsid w:val="008B246C"/>
    <w:rsid w:val="008C099C"/>
    <w:rsid w:val="008C2388"/>
    <w:rsid w:val="008D11C8"/>
    <w:rsid w:val="008D1AF7"/>
    <w:rsid w:val="008D6969"/>
    <w:rsid w:val="008F5825"/>
    <w:rsid w:val="0090165A"/>
    <w:rsid w:val="009039D0"/>
    <w:rsid w:val="009064B9"/>
    <w:rsid w:val="00913291"/>
    <w:rsid w:val="00930196"/>
    <w:rsid w:val="00931ECB"/>
    <w:rsid w:val="00932733"/>
    <w:rsid w:val="0093287A"/>
    <w:rsid w:val="0093438C"/>
    <w:rsid w:val="00934FB8"/>
    <w:rsid w:val="0093604F"/>
    <w:rsid w:val="00946814"/>
    <w:rsid w:val="0095483E"/>
    <w:rsid w:val="00955BEE"/>
    <w:rsid w:val="009828F4"/>
    <w:rsid w:val="0098357E"/>
    <w:rsid w:val="009863C1"/>
    <w:rsid w:val="00986C42"/>
    <w:rsid w:val="009A41D2"/>
    <w:rsid w:val="009B49B9"/>
    <w:rsid w:val="009B6CC9"/>
    <w:rsid w:val="009B6F8A"/>
    <w:rsid w:val="009C12FA"/>
    <w:rsid w:val="009C33C7"/>
    <w:rsid w:val="009C6D56"/>
    <w:rsid w:val="009F1E21"/>
    <w:rsid w:val="009F3673"/>
    <w:rsid w:val="009F622A"/>
    <w:rsid w:val="00A0752B"/>
    <w:rsid w:val="00A10DF6"/>
    <w:rsid w:val="00A22808"/>
    <w:rsid w:val="00A350A3"/>
    <w:rsid w:val="00A44FDB"/>
    <w:rsid w:val="00A80E9E"/>
    <w:rsid w:val="00AA0802"/>
    <w:rsid w:val="00AB13BB"/>
    <w:rsid w:val="00AC1284"/>
    <w:rsid w:val="00AF5BC1"/>
    <w:rsid w:val="00B021E9"/>
    <w:rsid w:val="00B125CD"/>
    <w:rsid w:val="00B227CB"/>
    <w:rsid w:val="00B36797"/>
    <w:rsid w:val="00B37FA4"/>
    <w:rsid w:val="00B4488F"/>
    <w:rsid w:val="00B50FE3"/>
    <w:rsid w:val="00B630D0"/>
    <w:rsid w:val="00B7432E"/>
    <w:rsid w:val="00B80AC3"/>
    <w:rsid w:val="00B84D93"/>
    <w:rsid w:val="00B92F33"/>
    <w:rsid w:val="00B97C62"/>
    <w:rsid w:val="00BA4B4D"/>
    <w:rsid w:val="00BA7CEF"/>
    <w:rsid w:val="00BB1B64"/>
    <w:rsid w:val="00BB1F91"/>
    <w:rsid w:val="00BC5FAA"/>
    <w:rsid w:val="00BE4B61"/>
    <w:rsid w:val="00BF0FB4"/>
    <w:rsid w:val="00BF693C"/>
    <w:rsid w:val="00C001CB"/>
    <w:rsid w:val="00C0544A"/>
    <w:rsid w:val="00C07734"/>
    <w:rsid w:val="00C1648C"/>
    <w:rsid w:val="00C34B90"/>
    <w:rsid w:val="00C36204"/>
    <w:rsid w:val="00C40413"/>
    <w:rsid w:val="00C447E6"/>
    <w:rsid w:val="00C44AE6"/>
    <w:rsid w:val="00C760AC"/>
    <w:rsid w:val="00C80137"/>
    <w:rsid w:val="00C83F12"/>
    <w:rsid w:val="00CA1CD1"/>
    <w:rsid w:val="00CA3EE7"/>
    <w:rsid w:val="00CA5259"/>
    <w:rsid w:val="00CA565C"/>
    <w:rsid w:val="00CE4A9E"/>
    <w:rsid w:val="00CF2C35"/>
    <w:rsid w:val="00D44310"/>
    <w:rsid w:val="00D458FC"/>
    <w:rsid w:val="00D5519A"/>
    <w:rsid w:val="00D565BB"/>
    <w:rsid w:val="00D667C5"/>
    <w:rsid w:val="00D72432"/>
    <w:rsid w:val="00D7327E"/>
    <w:rsid w:val="00D81F94"/>
    <w:rsid w:val="00D92E34"/>
    <w:rsid w:val="00DA3801"/>
    <w:rsid w:val="00DA79DF"/>
    <w:rsid w:val="00DC0225"/>
    <w:rsid w:val="00DF0A8E"/>
    <w:rsid w:val="00DF0DFA"/>
    <w:rsid w:val="00E0538C"/>
    <w:rsid w:val="00E05B88"/>
    <w:rsid w:val="00E11474"/>
    <w:rsid w:val="00E11DFB"/>
    <w:rsid w:val="00E12C6D"/>
    <w:rsid w:val="00E20953"/>
    <w:rsid w:val="00E45333"/>
    <w:rsid w:val="00E468FF"/>
    <w:rsid w:val="00E65278"/>
    <w:rsid w:val="00E74B1A"/>
    <w:rsid w:val="00E97A2F"/>
    <w:rsid w:val="00EA4D69"/>
    <w:rsid w:val="00EA7F45"/>
    <w:rsid w:val="00ED4465"/>
    <w:rsid w:val="00EE1A51"/>
    <w:rsid w:val="00EE6DD0"/>
    <w:rsid w:val="00EF06D5"/>
    <w:rsid w:val="00F12B00"/>
    <w:rsid w:val="00F13C32"/>
    <w:rsid w:val="00F14D72"/>
    <w:rsid w:val="00F36747"/>
    <w:rsid w:val="00F4603B"/>
    <w:rsid w:val="00F61C0C"/>
    <w:rsid w:val="00F71F7A"/>
    <w:rsid w:val="00F9476C"/>
    <w:rsid w:val="00FB3E13"/>
    <w:rsid w:val="00FB4DDF"/>
    <w:rsid w:val="00FC2449"/>
    <w:rsid w:val="00FC369F"/>
    <w:rsid w:val="00FD44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D714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DF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10DF6"/>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Prrafodelista">
    <w:name w:val="List Paragraph"/>
    <w:aliases w:val="Llista Nivell1,Lista de nivel 1"/>
    <w:basedOn w:val="Normal"/>
    <w:link w:val="PrrafodelistaCar"/>
    <w:uiPriority w:val="34"/>
    <w:qFormat/>
    <w:rsid w:val="00A10DF6"/>
    <w:pPr>
      <w:spacing w:after="0" w:line="240" w:lineRule="auto"/>
      <w:ind w:left="708"/>
    </w:pPr>
    <w:rPr>
      <w:rFonts w:ascii="Arial" w:eastAsia="Times New Roman" w:hAnsi="Arial"/>
      <w:sz w:val="24"/>
      <w:szCs w:val="20"/>
    </w:rPr>
  </w:style>
  <w:style w:type="character" w:customStyle="1" w:styleId="PrrafodelistaCar">
    <w:name w:val="Párrafo de lista Car"/>
    <w:aliases w:val="Llista Nivell1 Car,Lista de nivel 1 Car"/>
    <w:link w:val="Prrafodelista"/>
    <w:uiPriority w:val="34"/>
    <w:locked/>
    <w:rsid w:val="00A10DF6"/>
    <w:rPr>
      <w:rFonts w:ascii="Arial" w:eastAsia="Times New Roman" w:hAnsi="Arial" w:cs="Times New Roman"/>
      <w:sz w:val="24"/>
      <w:szCs w:val="20"/>
    </w:rPr>
  </w:style>
  <w:style w:type="paragraph" w:styleId="Textonotapie">
    <w:name w:val="footnote text"/>
    <w:aliases w:val="Car Car,fn,footnote text,Footnotes,Footnote ak,Footnote Text Char2,Footnote Text Char1 Char1,Footnote Text Char Char Char,Footnote Text Char1 Char Char Char,Footnote Text Char Char Char Char Char,Footnote Text Char,ft,Footnote reference,C"/>
    <w:basedOn w:val="Normal"/>
    <w:link w:val="TextonotapieCar"/>
    <w:uiPriority w:val="99"/>
    <w:unhideWhenUsed/>
    <w:qFormat/>
    <w:rsid w:val="00A10DF6"/>
    <w:pPr>
      <w:spacing w:after="0" w:line="240" w:lineRule="auto"/>
    </w:pPr>
    <w:rPr>
      <w:sz w:val="20"/>
      <w:szCs w:val="20"/>
    </w:rPr>
  </w:style>
  <w:style w:type="character" w:customStyle="1" w:styleId="TextonotapieCar">
    <w:name w:val="Texto nota pie Car"/>
    <w:aliases w:val="Car Car Car,fn Car,footnote text Car,Footnotes Car,Footnote ak Car,Footnote Text Char2 Car,Footnote Text Char1 Char1 Car,Footnote Text Char Char Char Car,Footnote Text Char1 Char Char Char Car,Footnote Text Char Car,ft Car,C Car"/>
    <w:basedOn w:val="Fuentedeprrafopredeter"/>
    <w:link w:val="Textonotapie"/>
    <w:uiPriority w:val="99"/>
    <w:rsid w:val="00A10DF6"/>
    <w:rPr>
      <w:rFonts w:ascii="Calibri" w:eastAsia="Calibri" w:hAnsi="Calibri" w:cs="Times New Roman"/>
      <w:sz w:val="20"/>
      <w:szCs w:val="20"/>
    </w:rPr>
  </w:style>
  <w:style w:type="character" w:styleId="Refdenotaalpie">
    <w:name w:val="footnote reference"/>
    <w:aliases w:val="Ref,de nota al pie,(NECG) Footnote Reference,o,fr,Style 3,Appel note de bas de p,Style 12,Style 124,Ref. de nota al pie 2,Footnotes refss,Texto de nota al pie,Appel note de bas de page"/>
    <w:basedOn w:val="Fuentedeprrafopredeter"/>
    <w:uiPriority w:val="99"/>
    <w:unhideWhenUsed/>
    <w:qFormat/>
    <w:rsid w:val="00A10DF6"/>
    <w:rPr>
      <w:vertAlign w:val="superscript"/>
    </w:rPr>
  </w:style>
  <w:style w:type="character" w:styleId="Refdecomentario">
    <w:name w:val="annotation reference"/>
    <w:basedOn w:val="Fuentedeprrafopredeter"/>
    <w:uiPriority w:val="99"/>
    <w:semiHidden/>
    <w:unhideWhenUsed/>
    <w:rsid w:val="00A10DF6"/>
    <w:rPr>
      <w:sz w:val="16"/>
      <w:szCs w:val="16"/>
    </w:rPr>
  </w:style>
  <w:style w:type="paragraph" w:styleId="Textocomentario">
    <w:name w:val="annotation text"/>
    <w:basedOn w:val="Normal"/>
    <w:link w:val="TextocomentarioCar"/>
    <w:uiPriority w:val="99"/>
    <w:unhideWhenUsed/>
    <w:rsid w:val="00A10DF6"/>
    <w:pPr>
      <w:spacing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A10DF6"/>
    <w:rPr>
      <w:sz w:val="20"/>
      <w:szCs w:val="20"/>
    </w:rPr>
  </w:style>
  <w:style w:type="table" w:styleId="Tablaconcuadrcula">
    <w:name w:val="Table Grid"/>
    <w:basedOn w:val="Tablanormal"/>
    <w:uiPriority w:val="39"/>
    <w:rsid w:val="00A10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6">
    <w:name w:val="Grid Table 4 Accent 6"/>
    <w:basedOn w:val="Tablanormal"/>
    <w:uiPriority w:val="49"/>
    <w:rsid w:val="00A10DF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ROMANOS">
    <w:name w:val="ROMANOS"/>
    <w:basedOn w:val="Normal"/>
    <w:link w:val="ROMANOSCar"/>
    <w:rsid w:val="00A10DF6"/>
    <w:pPr>
      <w:tabs>
        <w:tab w:val="left" w:pos="720"/>
      </w:tabs>
      <w:spacing w:after="101" w:line="216" w:lineRule="exact"/>
      <w:ind w:left="720" w:hanging="432"/>
      <w:jc w:val="both"/>
    </w:pPr>
    <w:rPr>
      <w:rFonts w:ascii="Arial" w:eastAsia="Times New Roman" w:hAnsi="Arial" w:cs="Arial"/>
      <w:sz w:val="18"/>
      <w:szCs w:val="18"/>
      <w:lang w:val="es-ES_tradnl" w:eastAsia="es-ES"/>
    </w:rPr>
  </w:style>
  <w:style w:type="character" w:customStyle="1" w:styleId="ROMANOSCar">
    <w:name w:val="ROMANOS Car"/>
    <w:link w:val="ROMANOS"/>
    <w:locked/>
    <w:rsid w:val="00A10DF6"/>
    <w:rPr>
      <w:rFonts w:ascii="Arial" w:eastAsia="Times New Roman" w:hAnsi="Arial" w:cs="Arial"/>
      <w:sz w:val="18"/>
      <w:szCs w:val="18"/>
      <w:lang w:val="es-ES_tradnl" w:eastAsia="es-ES"/>
    </w:rPr>
  </w:style>
  <w:style w:type="paragraph" w:styleId="Textoindependiente">
    <w:name w:val="Body Text"/>
    <w:basedOn w:val="Normal"/>
    <w:link w:val="TextoindependienteCar"/>
    <w:uiPriority w:val="99"/>
    <w:unhideWhenUsed/>
    <w:rsid w:val="00A10DF6"/>
    <w:pPr>
      <w:spacing w:after="120" w:line="259" w:lineRule="auto"/>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rsid w:val="00A10DF6"/>
  </w:style>
  <w:style w:type="paragraph" w:styleId="Textodeglobo">
    <w:name w:val="Balloon Text"/>
    <w:basedOn w:val="Normal"/>
    <w:link w:val="TextodegloboCar"/>
    <w:uiPriority w:val="99"/>
    <w:semiHidden/>
    <w:unhideWhenUsed/>
    <w:rsid w:val="00A10DF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0DF6"/>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11651B"/>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11651B"/>
    <w:rPr>
      <w:rFonts w:ascii="Calibri" w:eastAsia="Calibri" w:hAnsi="Calibri" w:cs="Times New Roman"/>
      <w:b/>
      <w:bCs/>
      <w:sz w:val="20"/>
      <w:szCs w:val="20"/>
    </w:rPr>
  </w:style>
  <w:style w:type="paragraph" w:styleId="Encabezado">
    <w:name w:val="header"/>
    <w:basedOn w:val="Normal"/>
    <w:link w:val="EncabezadoCar"/>
    <w:uiPriority w:val="99"/>
    <w:unhideWhenUsed/>
    <w:rsid w:val="000000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0034"/>
    <w:rPr>
      <w:rFonts w:ascii="Calibri" w:eastAsia="Calibri" w:hAnsi="Calibri" w:cs="Times New Roman"/>
    </w:rPr>
  </w:style>
  <w:style w:type="paragraph" w:styleId="Piedepgina">
    <w:name w:val="footer"/>
    <w:basedOn w:val="Normal"/>
    <w:link w:val="PiedepginaCar"/>
    <w:uiPriority w:val="99"/>
    <w:unhideWhenUsed/>
    <w:rsid w:val="000000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0034"/>
    <w:rPr>
      <w:rFonts w:ascii="Calibri" w:eastAsia="Calibri" w:hAnsi="Calibri" w:cs="Times New Roman"/>
    </w:rPr>
  </w:style>
  <w:style w:type="paragraph" w:styleId="Revisin">
    <w:name w:val="Revision"/>
    <w:hidden/>
    <w:uiPriority w:val="99"/>
    <w:semiHidden/>
    <w:rsid w:val="007A12C7"/>
    <w:pPr>
      <w:spacing w:after="0" w:line="240" w:lineRule="auto"/>
    </w:pPr>
    <w:rPr>
      <w:rFonts w:ascii="Calibri" w:eastAsia="Calibri" w:hAnsi="Calibri" w:cs="Times New Roman"/>
    </w:rPr>
  </w:style>
  <w:style w:type="character" w:customStyle="1" w:styleId="IFTnormalCar">
    <w:name w:val="IFT normal Car"/>
    <w:basedOn w:val="Fuentedeprrafopredeter"/>
    <w:link w:val="IFTnormal"/>
    <w:locked/>
    <w:rsid w:val="00DA3801"/>
    <w:rPr>
      <w:rFonts w:ascii="ITC Avant Garde" w:hAnsi="ITC Avant Garde"/>
    </w:rPr>
  </w:style>
  <w:style w:type="paragraph" w:customStyle="1" w:styleId="IFTnormal">
    <w:name w:val="IFT normal"/>
    <w:basedOn w:val="Normal"/>
    <w:link w:val="IFTnormalCar"/>
    <w:rsid w:val="00DA3801"/>
    <w:pPr>
      <w:jc w:val="both"/>
    </w:pPr>
    <w:rPr>
      <w:rFonts w:ascii="ITC Avant Garde" w:eastAsiaTheme="minorHAnsi" w:hAnsi="ITC Avant Garde" w:cstheme="minorBidi"/>
    </w:rPr>
  </w:style>
  <w:style w:type="paragraph" w:customStyle="1" w:styleId="Texto">
    <w:name w:val="Texto"/>
    <w:basedOn w:val="Normal"/>
    <w:link w:val="TextoCar"/>
    <w:rsid w:val="00D92E3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D92E34"/>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6909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229555">
      <w:bodyDiv w:val="1"/>
      <w:marLeft w:val="0"/>
      <w:marRight w:val="0"/>
      <w:marTop w:val="0"/>
      <w:marBottom w:val="0"/>
      <w:divBdr>
        <w:top w:val="none" w:sz="0" w:space="0" w:color="auto"/>
        <w:left w:val="none" w:sz="0" w:space="0" w:color="auto"/>
        <w:bottom w:val="none" w:sz="0" w:space="0" w:color="auto"/>
        <w:right w:val="none" w:sz="0" w:space="0" w:color="auto"/>
      </w:divBdr>
    </w:div>
    <w:div w:id="199301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54929-1C92-417E-AC57-722E9D8E32AD}">
  <ds:schemaRefs>
    <ds:schemaRef ds:uri="http://schemas.microsoft.com/sharepoint/v3/contenttype/forms"/>
  </ds:schemaRefs>
</ds:datastoreItem>
</file>

<file path=customXml/itemProps2.xml><?xml version="1.0" encoding="utf-8"?>
<ds:datastoreItem xmlns:ds="http://schemas.openxmlformats.org/officeDocument/2006/customXml" ds:itemID="{6ACD8346-A220-42FE-BE82-69273F5444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06F6BC-8BB4-4901-A01D-9C8DCC375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F1F6787-54DA-4E8E-AEDE-588975277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1435</Words>
  <Characters>7896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2016-11-08T16:31:00Z</cp:lastPrinted>
  <dcterms:created xsi:type="dcterms:W3CDTF">2018-11-07T00:19:00Z</dcterms:created>
  <dcterms:modified xsi:type="dcterms:W3CDTF">2018-11-14T16:37:00Z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