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9"/>
        <w:gridCol w:w="3034"/>
        <w:gridCol w:w="2935"/>
      </w:tblGrid>
      <w:tr w:rsidR="00501ADF" w:rsidRPr="00451B7D" w14:paraId="0B8256DF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7E945B49" w14:textId="77777777" w:rsidR="00160C6C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  <w:r w:rsidR="00160C6C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1C7EFC81" w14:textId="77777777" w:rsidR="0068307E" w:rsidRPr="00451B7D" w:rsidRDefault="00967892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Autoridad Investigadora</w:t>
            </w:r>
          </w:p>
          <w:p w14:paraId="4EA99370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A8A20D4" w14:textId="77777777" w:rsidR="00160C6C" w:rsidRDefault="00D23BD5" w:rsidP="00160C6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  <w:r w:rsidR="00160C6C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001A4980" w14:textId="6C7837BF" w:rsidR="0068307E" w:rsidRPr="00230775" w:rsidRDefault="00230775" w:rsidP="0023077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30775">
              <w:rPr>
                <w:rFonts w:ascii="ITC Avant Garde" w:hAnsi="ITC Avant Garde"/>
                <w:sz w:val="18"/>
                <w:szCs w:val="18"/>
              </w:rPr>
              <w:t>“Anteproyecto de Guía para la presentación de d</w:t>
            </w:r>
            <w:bookmarkStart w:id="0" w:name="_GoBack"/>
            <w:bookmarkEnd w:id="0"/>
            <w:r w:rsidRPr="00230775">
              <w:rPr>
                <w:rFonts w:ascii="ITC Avant Garde" w:hAnsi="ITC Avant Garde"/>
                <w:sz w:val="18"/>
                <w:szCs w:val="18"/>
              </w:rPr>
              <w:t>enuncias de prácticas monopólicas y concentraciones ilícitas en los sectores de telecomunicaciones y radiodifusión”</w:t>
            </w:r>
          </w:p>
        </w:tc>
      </w:tr>
      <w:tr w:rsidR="0068307E" w:rsidRPr="00451B7D" w14:paraId="6C2384B8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224B524D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EA1190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54ABE15" w14:textId="77777777" w:rsidR="0068307E" w:rsidRPr="00451B7D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967892">
              <w:rPr>
                <w:rFonts w:ascii="ITC Avant Garde" w:hAnsi="ITC Avant Garde"/>
                <w:sz w:val="18"/>
                <w:szCs w:val="18"/>
              </w:rPr>
              <w:t>Peregrina Carranza Pérez</w:t>
            </w:r>
          </w:p>
          <w:p w14:paraId="5F6B102E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967892">
              <w:rPr>
                <w:rFonts w:ascii="ITC Avant Garde" w:hAnsi="ITC Avant Garde"/>
                <w:sz w:val="18"/>
                <w:szCs w:val="18"/>
              </w:rPr>
              <w:t>5015-4229</w:t>
            </w:r>
          </w:p>
          <w:p w14:paraId="2958ABC6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Correo electrónico:</w:t>
            </w:r>
            <w:r w:rsidR="009678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hyperlink r:id="rId11" w:history="1">
              <w:r w:rsidR="00160C6C" w:rsidRPr="00601D0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peregrina.carranza@ift.org.mx</w:t>
              </w:r>
            </w:hyperlink>
            <w:r w:rsidR="00160C6C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49C29675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4912E3F0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74BF5B6E" w14:textId="18218AC4" w:rsidR="0068307E" w:rsidRPr="00451B7D" w:rsidRDefault="00967892" w:rsidP="00CC13F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0</w:t>
            </w:r>
            <w:r w:rsidR="00CC13F4">
              <w:rPr>
                <w:rFonts w:ascii="ITC Avant Garde" w:hAnsi="ITC Avant Garde"/>
                <w:sz w:val="18"/>
                <w:szCs w:val="18"/>
              </w:rPr>
              <w:t>4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>
              <w:rPr>
                <w:rFonts w:ascii="ITC Avant Garde" w:hAnsi="ITC Avant Garde"/>
                <w:sz w:val="18"/>
                <w:szCs w:val="18"/>
              </w:rPr>
              <w:t>0</w:t>
            </w:r>
            <w:r w:rsidR="00CC13F4">
              <w:rPr>
                <w:rFonts w:ascii="ITC Avant Garde" w:hAnsi="ITC Avant Garde"/>
                <w:sz w:val="18"/>
                <w:szCs w:val="18"/>
              </w:rPr>
              <w:t>4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>
              <w:rPr>
                <w:rFonts w:ascii="ITC Avant Garde" w:hAnsi="ITC Avant Garde"/>
                <w:sz w:val="18"/>
                <w:szCs w:val="18"/>
              </w:rPr>
              <w:t>2018</w:t>
            </w:r>
          </w:p>
        </w:tc>
      </w:tr>
      <w:tr w:rsidR="0068307E" w:rsidRPr="00451B7D" w14:paraId="58213258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29A76721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162C2034" w14:textId="77777777" w:rsidR="0068307E" w:rsidRPr="00451B7D" w:rsidRDefault="0049127C" w:rsidP="00CC13F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35DC1BBF" w14:textId="00A05271" w:rsidR="0068307E" w:rsidRPr="00451B7D" w:rsidRDefault="00230775" w:rsidP="005D6533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21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05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2018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>
              <w:rPr>
                <w:rFonts w:ascii="ITC Avant Garde" w:hAnsi="ITC Avant Garde"/>
                <w:sz w:val="18"/>
                <w:szCs w:val="18"/>
              </w:rPr>
              <w:t>29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06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2018</w:t>
            </w:r>
          </w:p>
        </w:tc>
      </w:tr>
    </w:tbl>
    <w:p w14:paraId="0C955082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573E4C57" w14:textId="77777777" w:rsidR="001932FC" w:rsidRPr="00451B7D" w:rsidRDefault="001932FC" w:rsidP="00CC13F4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49226E95" w14:textId="77777777" w:rsidTr="008A48B0">
        <w:tc>
          <w:tcPr>
            <w:tcW w:w="8828" w:type="dxa"/>
            <w:shd w:val="clear" w:color="auto" w:fill="FFFFFF" w:themeFill="background1"/>
          </w:tcPr>
          <w:p w14:paraId="0C037987" w14:textId="77777777" w:rsidR="001932FC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7C59F44D" w14:textId="77777777" w:rsidR="00B54A92" w:rsidRPr="00B54A92" w:rsidRDefault="00B54A9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20"/>
                <w:szCs w:val="20"/>
              </w:rPr>
            </w:pPr>
          </w:p>
          <w:p w14:paraId="21FE1A05" w14:textId="77777777" w:rsidR="00B54A92" w:rsidRP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 xml:space="preserve">El Instituto 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 y demás restricciones al funcionamiento eficiente de los mercados. </w:t>
            </w:r>
          </w:p>
          <w:p w14:paraId="2C3908F6" w14:textId="521F883D" w:rsid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 xml:space="preserve">Para cumplir sus funciones como autoridad en materia de competencia económica el Instituto cuenta, 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entre otras unidades administrativas,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con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la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Autoridad Investigadora, encargada de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sustanciar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la investigación que puede iniciar </w:t>
            </w:r>
            <w:r w:rsidR="00CA1FD6">
              <w:rPr>
                <w:rFonts w:ascii="ITC Avant Garde" w:hAnsi="ITC Avant Garde"/>
                <w:sz w:val="18"/>
                <w:szCs w:val="18"/>
              </w:rPr>
              <w:t xml:space="preserve">de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oficio</w:t>
            </w:r>
            <w:r w:rsidR="00CA1FD6">
              <w:rPr>
                <w:rFonts w:ascii="ITC Avant Garde" w:hAnsi="ITC Avant Garde"/>
                <w:sz w:val="18"/>
                <w:szCs w:val="18"/>
              </w:rPr>
              <w:t>,</w:t>
            </w:r>
            <w:r w:rsidR="000E4ED8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a solicitud del Ejecutivo Federal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 o 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>a petición de parte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 (denuncia)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, previa emisión del acuerdo de inicio correspondiente.</w:t>
            </w:r>
          </w:p>
          <w:p w14:paraId="7FC95D99" w14:textId="5BA5CEAD" w:rsidR="00580B49" w:rsidRPr="00B54A92" w:rsidRDefault="000E4ED8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relación a las denuncias, en muchas ocasiones l</w:t>
            </w:r>
            <w:r w:rsidR="00B05D39">
              <w:rPr>
                <w:rFonts w:ascii="ITC Avant Garde" w:hAnsi="ITC Avant Garde"/>
                <w:sz w:val="18"/>
                <w:szCs w:val="18"/>
              </w:rPr>
              <w:t xml:space="preserve">os agentes económicos, los litigantes, las autoridades y el público en general no tienen conocimiento </w:t>
            </w:r>
            <w:r>
              <w:rPr>
                <w:rFonts w:ascii="ITC Avant Garde" w:hAnsi="ITC Avant Garde"/>
                <w:sz w:val="18"/>
                <w:szCs w:val="18"/>
              </w:rPr>
              <w:t>claro sobre</w:t>
            </w:r>
            <w:r w:rsidR="00B05D39">
              <w:rPr>
                <w:rFonts w:ascii="ITC Avant Garde" w:hAnsi="ITC Avant Garde"/>
                <w:sz w:val="18"/>
                <w:szCs w:val="18"/>
              </w:rPr>
              <w:t xml:space="preserve"> cuáles son los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requisitos y </w:t>
            </w:r>
            <w:r w:rsidR="00B05D39">
              <w:rPr>
                <w:rFonts w:ascii="ITC Avant Garde" w:hAnsi="ITC Avant Garde"/>
                <w:sz w:val="18"/>
                <w:szCs w:val="18"/>
              </w:rPr>
              <w:t>elementos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, tanto sustantivos como formales, que debe reunir el 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escrito de denuncia por la probable existencia de una conducta anticompetitiva, ni </w:t>
            </w:r>
            <w:r>
              <w:rPr>
                <w:rFonts w:ascii="ITC Avant Garde" w:hAnsi="ITC Avant Garde"/>
                <w:sz w:val="18"/>
                <w:szCs w:val="18"/>
              </w:rPr>
              <w:t>sobre los documentos idóneos para satisfacerlos</w:t>
            </w:r>
            <w:r w:rsidR="00580B49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0A8B1448" w14:textId="409D5625" w:rsidR="00CA4215" w:rsidRP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>El “</w:t>
            </w:r>
            <w:r>
              <w:rPr>
                <w:rFonts w:ascii="ITC Avant Garde" w:hAnsi="ITC Avant Garde"/>
                <w:sz w:val="18"/>
                <w:szCs w:val="18"/>
              </w:rPr>
              <w:t>A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nteproyecto de guía para la presentación de denuncias de prácticas monopólicas y concentraciones ilícitas en los sectores de telecomunicaciones y radiodifusión” que se somete a consulta pública, tiene como principal objetivo orientar al público en general sobre la presentación de denuncias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de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prácticas monopólicas y concentraciones ilícitas en los sectores de telecomunicaciones y radiodifusión, ante la Autoridad Investigadora del Instituto,</w:t>
            </w:r>
            <w:r w:rsidRPr="00B54A92">
              <w:rPr>
                <w:i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específicamente sobre la información y los documentos adecuados para satisfacer los requisitos establecidos en el artículo 68 de la Ley Federal de Competencia Económica. </w:t>
            </w:r>
          </w:p>
          <w:p w14:paraId="24AAD7B8" w14:textId="42D91B61" w:rsidR="001932FC" w:rsidRPr="00451B7D" w:rsidRDefault="00B54A92" w:rsidP="000E4ED8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>En este sentido, la guía 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34E8FC54" w14:textId="77777777" w:rsidTr="00B41497">
        <w:tc>
          <w:tcPr>
            <w:tcW w:w="8828" w:type="dxa"/>
          </w:tcPr>
          <w:p w14:paraId="48F92192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763AA617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1889B6E8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5818885C" w14:textId="77777777" w:rsidTr="00B41497">
              <w:tc>
                <w:tcPr>
                  <w:tcW w:w="1462" w:type="dxa"/>
                </w:tcPr>
                <w:p w14:paraId="4302A8F5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861445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40340498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6A1068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A840B37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6AEE9D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F4E958E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04CC535D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DA6C41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133E4803" w14:textId="77777777" w:rsidTr="00596FDE">
              <w:tc>
                <w:tcPr>
                  <w:tcW w:w="8602" w:type="dxa"/>
                </w:tcPr>
                <w:p w14:paraId="71BE889D" w14:textId="77777777" w:rsidR="00596FDE" w:rsidRPr="00451B7D" w:rsidRDefault="00596FDE" w:rsidP="00230775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358BE772" w14:textId="77777777" w:rsidR="00596FDE" w:rsidRDefault="00596FDE" w:rsidP="00230775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33AD65B" w14:textId="77777777" w:rsidR="000C16BC" w:rsidRPr="00451B7D" w:rsidRDefault="000C16BC" w:rsidP="00230775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575D6498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924E593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788280C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695872DE" w14:textId="77777777" w:rsidTr="003F600A">
        <w:tc>
          <w:tcPr>
            <w:tcW w:w="8828" w:type="dxa"/>
          </w:tcPr>
          <w:p w14:paraId="4D752090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216F03BD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3AEF31D1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158C5F1E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0556F5B2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741C6E2D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01BB9D40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D80D3B" w:rsidRPr="00451B7D" w14:paraId="1FC55C26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4529C496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No emitir el anteproyecto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6E67924B" w14:textId="3B557A96" w:rsidR="00D80D3B" w:rsidRPr="00451B7D" w:rsidRDefault="00D83CC8" w:rsidP="00A45E7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guía que orient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l público en general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sobre los requisitos previstos en la Ley Federal de Competencia Económica para la presentación de denuncias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prácticas monopólicas y concentraciones ilícitas en los sectores de telecomunicaciones y radiodifusión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ante la Autoridad Investigadora y, que en su caso,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únicamente cuenten con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información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del marco jurídico aplicable.</w:t>
                  </w:r>
                </w:p>
              </w:tc>
              <w:tc>
                <w:tcPr>
                  <w:tcW w:w="3969" w:type="dxa"/>
                </w:tcPr>
                <w:p w14:paraId="1664455A" w14:textId="648A8540" w:rsidR="00D80D3B" w:rsidRDefault="00D80D3B" w:rsidP="00580B4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Dicha alternativa fue descartada, toda vez que el Instituto 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Federal de Telecomunicaciones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tiene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atribución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expedir directrices, guías, lineamientos o criterios técnicos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>, entre otras,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 materia de Investigaciones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, de conformidad con el artículo 12, fracción XXII</w:t>
                  </w:r>
                  <w:r w:rsidR="00202323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la Ley Federal de Competencia Económica. En este sentido, es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pertinente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emitir una guía con fines de orientación sobre los requisitos para la presentación de las denuncias referidas.</w:t>
                  </w:r>
                </w:p>
              </w:tc>
            </w:tr>
            <w:tr w:rsidR="00D80D3B" w:rsidRPr="00451B7D" w14:paraId="7DA9F71C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716CD819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Emitir criterios técnicos, lineamientos o directrices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77AB1D0E" w14:textId="77777777" w:rsidR="00D80D3B" w:rsidRPr="00451B7D" w:rsidRDefault="00D83CC8" w:rsidP="00D83CC8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Emitir criterios técnicos, lineamientos o directrices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7A86AA87" w14:textId="781BF76D" w:rsidR="00754682" w:rsidRDefault="00754682" w:rsidP="0075468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fue descartada, toda vez que los criterios técnicos, lineamientos o directrices tienen como propósito establecer términos, normas, límites, características y/o requisitos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de observancia obligatoria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, lo cual, en su caso, modificaría o adicionaría el marco jurídico aplicable para la presentación de denuncias ante la Autoridad Investigadora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del Instituto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>, situación que no resulta jurídicamente procedente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1B48F468" w14:textId="77777777" w:rsidR="00754682" w:rsidRDefault="00754682" w:rsidP="0075468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8D4FAE5" w14:textId="0532EB7B" w:rsidR="00D80D3B" w:rsidRPr="00451B7D" w:rsidRDefault="00580B49" w:rsidP="00A45E7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Lo anterior, toda vez que los requisitos correspondientes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ya se encuentran previstos en la Ley Federal de Competencia Económica y las Disposiciones Regulatorias 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de la Ley Federal de Competencia Económica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para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los sectores de telecomunicaciones y radiodifusión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se optó por emitir una guía que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por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su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naturaleza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 explique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y orient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al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público en general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sobre los requisitos 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para la presentación de denuncias de prácticas monopólicas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y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concentraciones ilícitas en los sectores de telecomunicaciones y radiodifusión,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previstos en el marco jurídico mencionado.  </w:t>
                  </w:r>
                </w:p>
              </w:tc>
            </w:tr>
          </w:tbl>
          <w:p w14:paraId="7C79D7CB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13B8CB0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3C0D1ED5" w14:textId="77777777" w:rsidTr="003F600A">
        <w:tc>
          <w:tcPr>
            <w:tcW w:w="8828" w:type="dxa"/>
          </w:tcPr>
          <w:p w14:paraId="6490EDD6" w14:textId="77777777" w:rsidR="00BE7D1C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270129E6" w14:textId="77777777" w:rsidR="00373D03" w:rsidRPr="00451B7D" w:rsidRDefault="00373D03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2B124DC" w14:textId="0EFA382F" w:rsidR="00D335D8" w:rsidRDefault="00861445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Como se mencionó al inicio del presente documento, el “</w:t>
            </w:r>
            <w:r w:rsidRPr="00861445">
              <w:rPr>
                <w:rFonts w:ascii="ITC Avant Garde" w:hAnsi="ITC Avant Garde"/>
                <w:i/>
                <w:sz w:val="18"/>
                <w:szCs w:val="18"/>
              </w:rPr>
              <w:t>Anteproyecto de guía para la presentación de denuncias de prácticas monopólicas y concentraciones ilícitas en los sectores de telecomunicaciones y radiodifusión</w:t>
            </w:r>
            <w:r w:rsidRPr="00861445">
              <w:rPr>
                <w:rFonts w:ascii="ITC Avant Garde" w:hAnsi="ITC Avant Garde"/>
                <w:sz w:val="18"/>
                <w:szCs w:val="18"/>
              </w:rPr>
              <w:t>”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tiene como principal objetivo orientar al público en general sobre la presentación de denuncias </w:t>
            </w:r>
            <w:r w:rsidR="00A45E72">
              <w:rPr>
                <w:rFonts w:ascii="ITC Avant Garde" w:hAnsi="ITC Avant Garde"/>
                <w:sz w:val="18"/>
                <w:szCs w:val="18"/>
              </w:rPr>
              <w:t>de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 prácticas monopólicas y concentraciones ilícitas en los sectores de telecomunicaciones y radiodifusión, ante la Autoridad Investigadora del Instituto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 Federal de Telecomunicaciones</w:t>
            </w:r>
            <w:r w:rsidR="00D335D8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0DFF0A1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A1F08C2" w14:textId="64072DC9" w:rsidR="00861445" w:rsidRP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D335D8">
              <w:rPr>
                <w:rFonts w:ascii="ITC Avant Garde" w:hAnsi="ITC Avant Garde"/>
                <w:sz w:val="18"/>
                <w:szCs w:val="18"/>
              </w:rPr>
              <w:t>Espec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íficamente, 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el anteproyecto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orienta sobre la información y los documentos adecuados para satisfacer los requisitos establecidos en el artículo 68 de la Ley Fe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deral de Competencia Económica;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para ello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también aborda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 lo relativo 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las conductas que la Autoridad Investigadora del Instituto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Federal de Telecomunicaciones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puede investigar</w:t>
            </w:r>
            <w:r>
              <w:rPr>
                <w:rFonts w:ascii="ITC Avant Garde" w:hAnsi="ITC Avant Garde"/>
                <w:sz w:val="18"/>
                <w:szCs w:val="18"/>
              </w:rPr>
              <w:t>;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qué debe entenderse por una causa objetiva</w:t>
            </w:r>
            <w:r w:rsidR="00373D03">
              <w:rPr>
                <w:rFonts w:ascii="ITC Avant Garde" w:hAnsi="ITC Avant Garde"/>
                <w:sz w:val="18"/>
                <w:szCs w:val="18"/>
              </w:rPr>
              <w:t>;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las modalidades para iniciar una investigación</w:t>
            </w:r>
            <w:r w:rsidR="00687048">
              <w:rPr>
                <w:rFonts w:ascii="ITC Avant Garde" w:hAnsi="ITC Avant Garde"/>
                <w:sz w:val="18"/>
                <w:szCs w:val="18"/>
              </w:rPr>
              <w:t>; la confidencialidad de la información presentada con el escrito de denuncia; los acuerdos que puede emitir la Autoridad Investigadora del Instituto una vez presentado el escrito de denuncia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, así como la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 posibilidad de presentar reportes de conducta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s </w:t>
            </w:r>
            <w:r w:rsidR="00687048">
              <w:rPr>
                <w:rFonts w:ascii="ITC Avant Garde" w:hAnsi="ITC Avant Garde"/>
                <w:sz w:val="18"/>
                <w:szCs w:val="18"/>
              </w:rPr>
              <w:t>anticompetitivas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39FE421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FF7DF5" w14:textId="1F5E1D7E" w:rsidR="00D80D3B" w:rsidRDefault="00373D03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Así,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el contenido de la guía,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al ser </w:t>
            </w:r>
            <w:r w:rsidR="00087D82">
              <w:rPr>
                <w:rFonts w:ascii="ITC Avant Garde" w:hAnsi="ITC Avant Garde"/>
                <w:sz w:val="18"/>
                <w:szCs w:val="18"/>
              </w:rPr>
              <w:t>un documento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carácter informativo, no constituye una regulación nueva o que modifique o adicione el marco jurídico existente</w:t>
            </w:r>
            <w:r w:rsidR="00A45E72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tampoco lo sustituye ni interpreta, sino que explica y detalla los requisitos de procedibilidad previstos en la Ley Federal de Competencia Económica y en las Disposiciones Regulatorias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de la Ley Federal de Competencia Económica </w:t>
            </w:r>
            <w:r>
              <w:rPr>
                <w:rFonts w:ascii="ITC Avant Garde" w:hAnsi="ITC Avant Garde"/>
                <w:sz w:val="18"/>
                <w:szCs w:val="18"/>
              </w:rPr>
              <w:t>para los sectores de telecomunicaciones y radiodifusión</w:t>
            </w:r>
            <w:r w:rsidR="00D80D3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F901425" w14:textId="77777777" w:rsidR="00D80D3B" w:rsidRDefault="00D80D3B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56197E5" w14:textId="16069E38" w:rsidR="00BE7D1C" w:rsidRPr="00451B7D" w:rsidRDefault="00D80D3B" w:rsidP="001E585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ese sentido, 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al no establecer </w:t>
            </w:r>
            <w:r w:rsidR="001E5855">
              <w:rPr>
                <w:rFonts w:ascii="ITC Avant Garde" w:hAnsi="ITC Avant Garde"/>
                <w:sz w:val="18"/>
                <w:szCs w:val="18"/>
              </w:rPr>
              <w:t>obligacio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n, </w:t>
            </w:r>
            <w:r>
              <w:rPr>
                <w:rFonts w:ascii="ITC Avant Garde" w:hAnsi="ITC Avant Garde"/>
                <w:sz w:val="18"/>
                <w:szCs w:val="18"/>
              </w:rPr>
              <w:t>la guía propuesta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 no genera costos </w:t>
            </w:r>
            <w:r w:rsidR="00202323">
              <w:rPr>
                <w:rFonts w:ascii="ITC Avant Garde" w:hAnsi="ITC Avant Garde"/>
                <w:sz w:val="18"/>
                <w:szCs w:val="18"/>
              </w:rPr>
              <w:t>de cumplimiento</w:t>
            </w:r>
            <w:r w:rsidR="00373D03">
              <w:rPr>
                <w:rFonts w:ascii="ITC Avant Garde" w:hAnsi="ITC Avant Garde"/>
                <w:sz w:val="18"/>
                <w:szCs w:val="18"/>
              </w:rPr>
              <w:t>.</w:t>
            </w:r>
            <w:r w:rsidR="00373D0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</w:tc>
      </w:tr>
    </w:tbl>
    <w:p w14:paraId="5E64A7EB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50C29B2E" w14:textId="77777777" w:rsidTr="003949C0">
        <w:tc>
          <w:tcPr>
            <w:tcW w:w="1696" w:type="dxa"/>
            <w:vMerge w:val="restart"/>
          </w:tcPr>
          <w:p w14:paraId="568ADAB4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7F520A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1F28AC7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18C32FFA" w14:textId="77777777" w:rsidTr="003949C0">
        <w:tc>
          <w:tcPr>
            <w:tcW w:w="1696" w:type="dxa"/>
            <w:vMerge/>
          </w:tcPr>
          <w:p w14:paraId="54C817F7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B4C50EC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59C940AE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416D20B4" w14:textId="77777777" w:rsidTr="003949C0">
        <w:tc>
          <w:tcPr>
            <w:tcW w:w="1696" w:type="dxa"/>
            <w:vMerge/>
          </w:tcPr>
          <w:p w14:paraId="1314385B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9C2A6D2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B867CC4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217913B8" w14:textId="77777777" w:rsidTr="003949C0">
        <w:tc>
          <w:tcPr>
            <w:tcW w:w="1696" w:type="dxa"/>
            <w:vMerge/>
          </w:tcPr>
          <w:p w14:paraId="128C6765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F67448A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7BD3A7A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73D81C64" w14:textId="77777777" w:rsidTr="003949C0">
        <w:tc>
          <w:tcPr>
            <w:tcW w:w="1696" w:type="dxa"/>
            <w:vMerge/>
          </w:tcPr>
          <w:p w14:paraId="3CF63291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BFEAB68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Establece o modifica definiciones, clasificaciones, metodologías, criterios, caracterizaciones o cualquier otro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lastRenderedPageBreak/>
              <w:t>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402A09B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lastRenderedPageBreak/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1445">
              <w:rPr>
                <w:rFonts w:ascii="ITC Avant Garde" w:hAnsi="ITC Avant Garde"/>
                <w:sz w:val="18"/>
                <w:szCs w:val="18"/>
              </w:rPr>
              <w:t>) No (X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44C63079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023E6D73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276E5EA9" w14:textId="77777777" w:rsidTr="00A73AD8">
        <w:tc>
          <w:tcPr>
            <w:tcW w:w="8828" w:type="dxa"/>
          </w:tcPr>
          <w:p w14:paraId="2FF97FF0" w14:textId="77777777" w:rsidR="00B74C55" w:rsidRPr="00451B7D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11ADE5A5" w14:textId="77777777" w:rsidR="00A73AD8" w:rsidRPr="00451B7D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31E4CE3" w14:textId="1D72D5B1" w:rsidR="00870931" w:rsidRPr="000E1E51" w:rsidRDefault="00C33FC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2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https://www.ftc.gov/enforcement/rules/rules-and-guides</w:t>
              </w:r>
            </w:hyperlink>
          </w:p>
          <w:p w14:paraId="2BB7C06B" w14:textId="77777777" w:rsidR="00F8154D" w:rsidRPr="000E1E51" w:rsidRDefault="00C33FC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3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http://ec.europa.eu/competition/antitrust/antitrust_manproc_3_2012_en.pdf</w:t>
              </w:r>
            </w:hyperlink>
          </w:p>
          <w:p w14:paraId="3F44633D" w14:textId="67045181" w:rsidR="00F8154D" w:rsidRPr="000E1E51" w:rsidRDefault="00C33FC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4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http://ec.europa.eu/competition/antitrust/guidance_en.pdf</w:t>
              </w:r>
            </w:hyperlink>
          </w:p>
          <w:p w14:paraId="0F9B15DD" w14:textId="56FC621B" w:rsidR="00F8154D" w:rsidRPr="000E1E51" w:rsidRDefault="00C33FC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5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http://ec.europa.eu/competition/antitrust/legislation/handbook_vol_1_en.pdf</w:t>
              </w:r>
            </w:hyperlink>
            <w:r w:rsidR="00F8154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2B4C9740" w14:textId="200CABDA" w:rsidR="00067CE3" w:rsidRPr="000E1E51" w:rsidRDefault="00C33FCF" w:rsidP="00067C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6" w:history="1">
              <w:r w:rsidR="00067CE3" w:rsidRPr="000E1E51">
                <w:rPr>
                  <w:rStyle w:val="Hipervnculo"/>
                  <w:rFonts w:ascii="ITC Avant Garde" w:hAnsi="ITC Avant Garde"/>
                  <w:sz w:val="20"/>
                </w:rPr>
                <w:t>http://www.fne.gob.cl/servicios/denuncias-y-tramites-online/</w:t>
              </w:r>
            </w:hyperlink>
          </w:p>
          <w:p w14:paraId="539AB38F" w14:textId="7FBFE27F" w:rsidR="00F8154D" w:rsidRPr="000E1E51" w:rsidRDefault="00C33FC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7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http://www.fne.gob.cl/wp-content/uploads/2017/10/Guía-Restricciones-Verticales.pdf</w:t>
              </w:r>
            </w:hyperlink>
            <w:r w:rsidR="00F8154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7F610FAE" w14:textId="166CE928" w:rsidR="00F8154D" w:rsidRPr="000E1E51" w:rsidRDefault="00C33FCF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8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http://www.sic.gov.co/sites/default/files/files/cartillaabogacia.pdf</w:t>
              </w:r>
            </w:hyperlink>
          </w:p>
          <w:p w14:paraId="65166A49" w14:textId="78B19D51" w:rsidR="0001716D" w:rsidRPr="000E1E51" w:rsidRDefault="00C33FCF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9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http://www.sic.gov.co/sites/default/files/files/UNCTAD.pdf</w:t>
              </w:r>
            </w:hyperlink>
            <w:r w:rsidR="0001716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50ED36BE" w14:textId="024943D7" w:rsidR="0001716D" w:rsidRPr="000E1E51" w:rsidRDefault="00C33FCF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0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http://www.sic.gov.co/sites/default/files/files/Manual.pdf</w:t>
              </w:r>
            </w:hyperlink>
          </w:p>
          <w:p w14:paraId="4FBC365E" w14:textId="2BBE1683" w:rsidR="000E1E51" w:rsidRPr="000E1E51" w:rsidRDefault="00C33FC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1" w:history="1">
              <w:r w:rsidR="000E1E51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http://www.sic.gov.co/sites/default/files/files/Guia_OECD.pdf</w:t>
              </w:r>
            </w:hyperlink>
          </w:p>
          <w:p w14:paraId="38E52271" w14:textId="7AEC83D6" w:rsidR="000E1E51" w:rsidRDefault="00C33FC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2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http://www.competitionbureau.gc.ca/eic/site/cb-bc.nsf/eng/02646.html</w:t>
              </w:r>
            </w:hyperlink>
            <w:r w:rsid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5E8A9E87" w14:textId="04311E0A" w:rsidR="000E1E51" w:rsidRDefault="00C33FC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3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http://www.competitionbureau.gc.ca/eic/site/cb-bc.nsf/frm-eng/GHÉT-7TDNA5</w:t>
              </w:r>
            </w:hyperlink>
          </w:p>
          <w:p w14:paraId="18C99865" w14:textId="0EA11C2F" w:rsidR="000E1E51" w:rsidRDefault="00C33FC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4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http://www.competitionbureau.gc.ca/eic/site/cb-bc.nsf/eng/04149.html</w:t>
              </w:r>
            </w:hyperlink>
          </w:p>
          <w:p w14:paraId="029802C6" w14:textId="165AD81D" w:rsidR="000E1E51" w:rsidRDefault="00C33FC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5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http://www.competitionbureau.gc.ca/eic/site/cb-bc.nsf/eng/h_02758.html</w:t>
              </w:r>
            </w:hyperlink>
          </w:p>
          <w:p w14:paraId="05C793F2" w14:textId="06EF82B8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6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http://www.competitionbureau.gc.ca/eic/site/cb-bc.nsf/eng/03797.html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  <w:r w:rsidR="009C67ED" w:rsidRPr="009C67ED">
              <w:rPr>
                <w:rFonts w:ascii="ITC Avant Garde" w:hAnsi="ITC Avant Garde"/>
                <w:sz w:val="20"/>
              </w:rPr>
              <w:t xml:space="preserve"> </w:t>
            </w:r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1190313D" w14:textId="10F7997A" w:rsidR="000E1E51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7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http://www.competitionbureau.gc.ca/eic/site/cb-bc.nsf/vwapj/cb-pam-abuse-market-power-e.pdf/$FILE/cb-pam-abuse-market-power-e.pdf</w:t>
              </w:r>
            </w:hyperlink>
          </w:p>
          <w:p w14:paraId="240DF3BC" w14:textId="40D6710D" w:rsidR="000E1E51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8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http://www.competitionbureau.gc.ca/eic/site/cb-bc.nsf/eng/h_00511.html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7DBBCC98" w14:textId="20E4B33C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9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http://www.competitionbureau.gc.ca/eic/site/cb-bc.nsf/vwapj/cb-pam-abuse-market-power-e.pdf/$FILE/cb-pam-abuse-market-power-e.pdf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00BCC324" w14:textId="002A2517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0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http://www.competitionbureau.gc.ca/eic/site/cb-bc.nsf/eng/02820.html</w:t>
              </w:r>
            </w:hyperlink>
          </w:p>
          <w:p w14:paraId="778B1034" w14:textId="5AA889B3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1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http://www.competitionbureau.gc.ca/eic/site/cb-bc.nsf/vwapj/cb-abuse-of-dominance-provisions-e.pdf/$FILE/cb-abuse-of-dominance-provisions-e.pdf</w:t>
              </w:r>
            </w:hyperlink>
          </w:p>
          <w:p w14:paraId="7203EFC9" w14:textId="3FE35572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2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http://www.competitionbureau.gc.ca/eic/site/cb-bc.nsf/eng/h_00111.html</w:t>
              </w:r>
            </w:hyperlink>
          </w:p>
          <w:p w14:paraId="261EF435" w14:textId="7C430116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3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http://www.competitionbureau.gc.ca/eic/site/cb-bc.nsf/vwapj/cb-pam-restrict-supply-web-e.pdf/$FILE/cb-pam-restrict-supply-web-e.pdf</w:t>
              </w:r>
            </w:hyperlink>
          </w:p>
          <w:p w14:paraId="61AE9439" w14:textId="672DAE2A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4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http://www.competitionbureau.gc.ca/eic/site/cb-bc.nsf/eng/h_00665.html</w:t>
              </w:r>
            </w:hyperlink>
          </w:p>
          <w:p w14:paraId="258E0004" w14:textId="5C91436D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5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http://www.competitionbureau.gc.ca/eic/site/cb-bc.nsf/vwapj/cb-pam-refusal-web-e.pdf/$FILE/cb-pam-refusal-web-e.pdf</w:t>
              </w:r>
            </w:hyperlink>
          </w:p>
          <w:p w14:paraId="39AAD21A" w14:textId="7B2575E9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6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http://www.competitionbureau.gc.ca/eic/site/cb-bc.nsf/eng/h_03210.html</w:t>
              </w:r>
            </w:hyperlink>
          </w:p>
          <w:p w14:paraId="48FE8B1D" w14:textId="0EED2940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7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http://www.competitionbureau.gc.ca/eic/site/cb-bc.nsf/vwapj/cb-pam-price-maintenance-web-e.pdf/$FILE/cb-pam-price-maintenance-web-e.pdf</w:t>
              </w:r>
            </w:hyperlink>
          </w:p>
          <w:p w14:paraId="710FA1CE" w14:textId="1997E263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8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http://www.competitionbureau.gc.ca/eic/site/cb-bc.nsf/vwapj/Competitor-Collaboration-Guidelines-e-2009-12-22.pdf/$FILE/Competitor-Collaboration-Guidelines-e-2009-12-22.pdf</w:t>
              </w:r>
            </w:hyperlink>
          </w:p>
          <w:p w14:paraId="5984A65E" w14:textId="2CDD1D11" w:rsidR="009C67ED" w:rsidRDefault="00C33FCF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9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http://www.competitionbureau.gc.ca/eic/site/cb-bc.nsf/vwapj/Rebates-e.pdf/$file/Rebates-e.pdf</w:t>
              </w:r>
            </w:hyperlink>
          </w:p>
          <w:p w14:paraId="574FB20C" w14:textId="5A556607" w:rsidR="00F8154D" w:rsidRPr="009D3C22" w:rsidRDefault="00C33FCF" w:rsidP="009D3C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40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https://www.ccs.gov.sg/~/media/custom/ccs/files/legislation/ccs%20guidelines/guidelines%20in%20chapters%20with%20layout%20aug%202017/2%20ccs%20guidelines%20on%20the%20section%2034%20prohibition%202016.ashx</w:t>
              </w:r>
            </w:hyperlink>
          </w:p>
        </w:tc>
      </w:tr>
    </w:tbl>
    <w:p w14:paraId="50324D3D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41"/>
      <w:footerReference w:type="default" r:id="rId4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9F6A9" w14:textId="77777777" w:rsidR="00C33FCF" w:rsidRDefault="00C33FCF" w:rsidP="00501ADF">
      <w:pPr>
        <w:spacing w:after="0" w:line="240" w:lineRule="auto"/>
      </w:pPr>
      <w:r>
        <w:separator/>
      </w:r>
    </w:p>
  </w:endnote>
  <w:endnote w:type="continuationSeparator" w:id="0">
    <w:p w14:paraId="08B98DC1" w14:textId="77777777" w:rsidR="00C33FCF" w:rsidRDefault="00C33FCF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65F35" w14:textId="67799766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230775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F6EC3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D28B" w14:textId="77777777" w:rsidR="00C33FCF" w:rsidRDefault="00C33FCF" w:rsidP="00501ADF">
      <w:pPr>
        <w:spacing w:after="0" w:line="240" w:lineRule="auto"/>
      </w:pPr>
      <w:r>
        <w:separator/>
      </w:r>
    </w:p>
  </w:footnote>
  <w:footnote w:type="continuationSeparator" w:id="0">
    <w:p w14:paraId="1AA7C072" w14:textId="77777777" w:rsidR="00C33FCF" w:rsidRDefault="00C33FCF" w:rsidP="00501ADF">
      <w:pPr>
        <w:spacing w:after="0" w:line="240" w:lineRule="auto"/>
      </w:pPr>
      <w:r>
        <w:continuationSeparator/>
      </w:r>
    </w:p>
  </w:footnote>
  <w:footnote w:id="1">
    <w:p w14:paraId="692AB5D3" w14:textId="77777777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D3EA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FFD1A8C" wp14:editId="0BF0650C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613E53" wp14:editId="4DA0BC23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3D755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48F9D9C" w14:textId="77777777" w:rsidR="00501ADF" w:rsidRDefault="00501ADF">
    <w:pPr>
      <w:pStyle w:val="Encabezado"/>
    </w:pPr>
  </w:p>
  <w:p w14:paraId="549E4F33" w14:textId="77777777" w:rsidR="00804F49" w:rsidRDefault="00804F49">
    <w:pPr>
      <w:pStyle w:val="Encabezado"/>
    </w:pPr>
  </w:p>
  <w:p w14:paraId="58513616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5738" wp14:editId="0044C448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6D1B8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3E94CCAC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1716D"/>
    <w:rsid w:val="00021824"/>
    <w:rsid w:val="00021FB4"/>
    <w:rsid w:val="00044D30"/>
    <w:rsid w:val="0006478F"/>
    <w:rsid w:val="00067CE3"/>
    <w:rsid w:val="000774F5"/>
    <w:rsid w:val="00087D82"/>
    <w:rsid w:val="000C16BC"/>
    <w:rsid w:val="000D401B"/>
    <w:rsid w:val="000E1E51"/>
    <w:rsid w:val="000E4ED8"/>
    <w:rsid w:val="000E6A13"/>
    <w:rsid w:val="000F669B"/>
    <w:rsid w:val="00160C6C"/>
    <w:rsid w:val="00177F7B"/>
    <w:rsid w:val="00181A32"/>
    <w:rsid w:val="001932FC"/>
    <w:rsid w:val="001B4A51"/>
    <w:rsid w:val="001B7A1D"/>
    <w:rsid w:val="001C2F18"/>
    <w:rsid w:val="001E26FE"/>
    <w:rsid w:val="001E5855"/>
    <w:rsid w:val="00202323"/>
    <w:rsid w:val="00206C6C"/>
    <w:rsid w:val="00211C96"/>
    <w:rsid w:val="00230775"/>
    <w:rsid w:val="00247B33"/>
    <w:rsid w:val="00267806"/>
    <w:rsid w:val="00286496"/>
    <w:rsid w:val="00295E97"/>
    <w:rsid w:val="002C6F88"/>
    <w:rsid w:val="002D28C7"/>
    <w:rsid w:val="0030055F"/>
    <w:rsid w:val="003039BF"/>
    <w:rsid w:val="00323167"/>
    <w:rsid w:val="00333B41"/>
    <w:rsid w:val="00372BF7"/>
    <w:rsid w:val="00372EB2"/>
    <w:rsid w:val="00373D03"/>
    <w:rsid w:val="003949C0"/>
    <w:rsid w:val="003A72BC"/>
    <w:rsid w:val="003B01F2"/>
    <w:rsid w:val="003B48A5"/>
    <w:rsid w:val="003E1D84"/>
    <w:rsid w:val="003F05E7"/>
    <w:rsid w:val="0041746A"/>
    <w:rsid w:val="004226AE"/>
    <w:rsid w:val="00451B7D"/>
    <w:rsid w:val="004603F7"/>
    <w:rsid w:val="0049127C"/>
    <w:rsid w:val="004A7C30"/>
    <w:rsid w:val="004B6836"/>
    <w:rsid w:val="004E0AA9"/>
    <w:rsid w:val="004E0DA9"/>
    <w:rsid w:val="00501ADF"/>
    <w:rsid w:val="005319D5"/>
    <w:rsid w:val="00580B49"/>
    <w:rsid w:val="00596FDE"/>
    <w:rsid w:val="005A06B2"/>
    <w:rsid w:val="005A40FB"/>
    <w:rsid w:val="005B2C92"/>
    <w:rsid w:val="005C44A8"/>
    <w:rsid w:val="005D6533"/>
    <w:rsid w:val="00600980"/>
    <w:rsid w:val="006220C6"/>
    <w:rsid w:val="00623EB8"/>
    <w:rsid w:val="00634DE8"/>
    <w:rsid w:val="00641D09"/>
    <w:rsid w:val="006717D5"/>
    <w:rsid w:val="0068307E"/>
    <w:rsid w:val="00687048"/>
    <w:rsid w:val="006A3A0E"/>
    <w:rsid w:val="006D7556"/>
    <w:rsid w:val="006D7A08"/>
    <w:rsid w:val="007018A1"/>
    <w:rsid w:val="00712636"/>
    <w:rsid w:val="00714252"/>
    <w:rsid w:val="00733547"/>
    <w:rsid w:val="0074323F"/>
    <w:rsid w:val="00754682"/>
    <w:rsid w:val="0076488A"/>
    <w:rsid w:val="007906D0"/>
    <w:rsid w:val="007A37D6"/>
    <w:rsid w:val="007D4E5B"/>
    <w:rsid w:val="007F249E"/>
    <w:rsid w:val="007F37BF"/>
    <w:rsid w:val="00801FED"/>
    <w:rsid w:val="00804F49"/>
    <w:rsid w:val="008135FB"/>
    <w:rsid w:val="00814A48"/>
    <w:rsid w:val="00827470"/>
    <w:rsid w:val="0084560D"/>
    <w:rsid w:val="00861445"/>
    <w:rsid w:val="0086684A"/>
    <w:rsid w:val="00870931"/>
    <w:rsid w:val="00876D05"/>
    <w:rsid w:val="008A48B0"/>
    <w:rsid w:val="008C76AF"/>
    <w:rsid w:val="008E1AD3"/>
    <w:rsid w:val="008E3011"/>
    <w:rsid w:val="009058DB"/>
    <w:rsid w:val="00911216"/>
    <w:rsid w:val="009442FD"/>
    <w:rsid w:val="009656B1"/>
    <w:rsid w:val="009658FF"/>
    <w:rsid w:val="00967892"/>
    <w:rsid w:val="009806B7"/>
    <w:rsid w:val="00986E23"/>
    <w:rsid w:val="009C67ED"/>
    <w:rsid w:val="009D10E1"/>
    <w:rsid w:val="009D3C22"/>
    <w:rsid w:val="009D5C70"/>
    <w:rsid w:val="009D73E5"/>
    <w:rsid w:val="009F237F"/>
    <w:rsid w:val="00A1622C"/>
    <w:rsid w:val="00A40076"/>
    <w:rsid w:val="00A45E72"/>
    <w:rsid w:val="00A7211D"/>
    <w:rsid w:val="00A73AD8"/>
    <w:rsid w:val="00A81A2D"/>
    <w:rsid w:val="00A81C3A"/>
    <w:rsid w:val="00A855B0"/>
    <w:rsid w:val="00AA4CB3"/>
    <w:rsid w:val="00AD2F3B"/>
    <w:rsid w:val="00B05D39"/>
    <w:rsid w:val="00B2360F"/>
    <w:rsid w:val="00B24AB5"/>
    <w:rsid w:val="00B32137"/>
    <w:rsid w:val="00B32DDD"/>
    <w:rsid w:val="00B41497"/>
    <w:rsid w:val="00B54A92"/>
    <w:rsid w:val="00B6461E"/>
    <w:rsid w:val="00B74C55"/>
    <w:rsid w:val="00B74F10"/>
    <w:rsid w:val="00B77B4B"/>
    <w:rsid w:val="00BA0F10"/>
    <w:rsid w:val="00BA4E93"/>
    <w:rsid w:val="00BB73BA"/>
    <w:rsid w:val="00BC2FF7"/>
    <w:rsid w:val="00BD48DB"/>
    <w:rsid w:val="00BE7D1C"/>
    <w:rsid w:val="00C33FCF"/>
    <w:rsid w:val="00C37872"/>
    <w:rsid w:val="00C53388"/>
    <w:rsid w:val="00C5470D"/>
    <w:rsid w:val="00C917FC"/>
    <w:rsid w:val="00CA1FD6"/>
    <w:rsid w:val="00CA4215"/>
    <w:rsid w:val="00CC13F4"/>
    <w:rsid w:val="00CE2EA1"/>
    <w:rsid w:val="00CF51E4"/>
    <w:rsid w:val="00D02DA9"/>
    <w:rsid w:val="00D0386B"/>
    <w:rsid w:val="00D221B5"/>
    <w:rsid w:val="00D23BD5"/>
    <w:rsid w:val="00D31AE9"/>
    <w:rsid w:val="00D335D8"/>
    <w:rsid w:val="00D55CA7"/>
    <w:rsid w:val="00D80D3B"/>
    <w:rsid w:val="00D83CC8"/>
    <w:rsid w:val="00DB01FA"/>
    <w:rsid w:val="00DE33C2"/>
    <w:rsid w:val="00DE6F24"/>
    <w:rsid w:val="00E046F4"/>
    <w:rsid w:val="00E16506"/>
    <w:rsid w:val="00E21B49"/>
    <w:rsid w:val="00E27972"/>
    <w:rsid w:val="00E353BE"/>
    <w:rsid w:val="00E6080B"/>
    <w:rsid w:val="00E768BA"/>
    <w:rsid w:val="00E8340B"/>
    <w:rsid w:val="00EE6FE8"/>
    <w:rsid w:val="00F03289"/>
    <w:rsid w:val="00F31821"/>
    <w:rsid w:val="00F342A4"/>
    <w:rsid w:val="00F54D63"/>
    <w:rsid w:val="00F75427"/>
    <w:rsid w:val="00F75C80"/>
    <w:rsid w:val="00F8154D"/>
    <w:rsid w:val="00F84A66"/>
    <w:rsid w:val="00F9299E"/>
    <w:rsid w:val="00F94A28"/>
    <w:rsid w:val="00FB158A"/>
    <w:rsid w:val="00FB4FEA"/>
    <w:rsid w:val="00FB58BA"/>
    <w:rsid w:val="00FC0EDB"/>
    <w:rsid w:val="00FE174F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8401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competition/antitrust/antitrust_manproc_3_2012_en.pdf" TargetMode="External"/><Relationship Id="rId18" Type="http://schemas.openxmlformats.org/officeDocument/2006/relationships/hyperlink" Target="http://www.sic.gov.co/sites/default/files/files/cartillaabogacia.pdf" TargetMode="External"/><Relationship Id="rId26" Type="http://schemas.openxmlformats.org/officeDocument/2006/relationships/hyperlink" Target="http://www.competitionbureau.gc.ca/eic/site/cb-bc.nsf/eng/03797.html" TargetMode="External"/><Relationship Id="rId39" Type="http://schemas.openxmlformats.org/officeDocument/2006/relationships/hyperlink" Target="http://www.competitionbureau.gc.ca/eic/site/cb-bc.nsf/vwapj/Rebates-e.pdf/$file/Rebates-e.pdf" TargetMode="External"/><Relationship Id="rId21" Type="http://schemas.openxmlformats.org/officeDocument/2006/relationships/hyperlink" Target="http://www.sic.gov.co/sites/default/files/files/Guia_OECD.pdf" TargetMode="External"/><Relationship Id="rId34" Type="http://schemas.openxmlformats.org/officeDocument/2006/relationships/hyperlink" Target="http://www.competitionbureau.gc.ca/eic/site/cb-bc.nsf/eng/h_00665.html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e.gob.cl/servicios/denuncias-y-tramites-online/" TargetMode="External"/><Relationship Id="rId20" Type="http://schemas.openxmlformats.org/officeDocument/2006/relationships/hyperlink" Target="http://www.sic.gov.co/sites/default/files/files/Manual.pdf" TargetMode="External"/><Relationship Id="rId29" Type="http://schemas.openxmlformats.org/officeDocument/2006/relationships/hyperlink" Target="http://www.competitionbureau.gc.ca/eic/site/cb-bc.nsf/vwapj/cb-pam-abuse-market-power-e.pdf/$FILE/cb-pam-abuse-market-power-e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egrina.carranza@ift.org.mx" TargetMode="External"/><Relationship Id="rId24" Type="http://schemas.openxmlformats.org/officeDocument/2006/relationships/hyperlink" Target="http://www.competitionbureau.gc.ca/eic/site/cb-bc.nsf/eng/04149.html" TargetMode="External"/><Relationship Id="rId32" Type="http://schemas.openxmlformats.org/officeDocument/2006/relationships/hyperlink" Target="http://www.competitionbureau.gc.ca/eic/site/cb-bc.nsf/eng/h_00111.html" TargetMode="External"/><Relationship Id="rId37" Type="http://schemas.openxmlformats.org/officeDocument/2006/relationships/hyperlink" Target="http://www.competitionbureau.gc.ca/eic/site/cb-bc.nsf/vwapj/cb-pam-price-maintenance-web-e.pdf/$FILE/cb-pam-price-maintenance-web-e.pdf" TargetMode="External"/><Relationship Id="rId40" Type="http://schemas.openxmlformats.org/officeDocument/2006/relationships/hyperlink" Target="https://www.ccs.gov.sg/~/media/custom/ccs/files/legislation/ccs%20guidelines/guidelines%20in%20chapters%20with%20layout%20aug%202017/2%20ccs%20guidelines%20on%20the%20section%2034%20prohibition%202016.ash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c.europa.eu/competition/antitrust/legislation/handbook_vol_1_en.pdf" TargetMode="External"/><Relationship Id="rId23" Type="http://schemas.openxmlformats.org/officeDocument/2006/relationships/hyperlink" Target="http://www.competitionbureau.gc.ca/eic/site/cb-bc.nsf/frm-eng/GH&#201;T-7TDNA5" TargetMode="External"/><Relationship Id="rId28" Type="http://schemas.openxmlformats.org/officeDocument/2006/relationships/hyperlink" Target="http://www.competitionbureau.gc.ca/eic/site/cb-bc.nsf/eng/h_00511.html" TargetMode="External"/><Relationship Id="rId36" Type="http://schemas.openxmlformats.org/officeDocument/2006/relationships/hyperlink" Target="http://www.competitionbureau.gc.ca/eic/site/cb-bc.nsf/eng/h_03210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c.gov.co/sites/default/files/files/UNCTAD.pdf" TargetMode="External"/><Relationship Id="rId31" Type="http://schemas.openxmlformats.org/officeDocument/2006/relationships/hyperlink" Target="http://www.competitionbureau.gc.ca/eic/site/cb-bc.nsf/vwapj/cb-abuse-of-dominance-provisions-e.pdf/$FILE/cb-abuse-of-dominance-provisions-e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competition/antitrust/guidance_en.pdf" TargetMode="External"/><Relationship Id="rId22" Type="http://schemas.openxmlformats.org/officeDocument/2006/relationships/hyperlink" Target="http://www.competitionbureau.gc.ca/eic/site/cb-bc.nsf/eng/02646.html" TargetMode="External"/><Relationship Id="rId27" Type="http://schemas.openxmlformats.org/officeDocument/2006/relationships/hyperlink" Target="http://www.competitionbureau.gc.ca/eic/site/cb-bc.nsf/vwapj/cb-pam-abuse-market-power-e.pdf/$FILE/cb-pam-abuse-market-power-e.pdf" TargetMode="External"/><Relationship Id="rId30" Type="http://schemas.openxmlformats.org/officeDocument/2006/relationships/hyperlink" Target="http://www.competitionbureau.gc.ca/eic/site/cb-bc.nsf/eng/02820.html" TargetMode="External"/><Relationship Id="rId35" Type="http://schemas.openxmlformats.org/officeDocument/2006/relationships/hyperlink" Target="http://www.competitionbureau.gc.ca/eic/site/cb-bc.nsf/vwapj/cb-pam-refusal-web-e.pdf/$FILE/cb-pam-refusal-web-e.pdf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tc.gov/enforcement/rules/rules-and-guides" TargetMode="External"/><Relationship Id="rId17" Type="http://schemas.openxmlformats.org/officeDocument/2006/relationships/hyperlink" Target="http://www.fne.gob.cl/wp-content/uploads/2017/10/Gu&#237;a-Restricciones-Verticales.pdf" TargetMode="External"/><Relationship Id="rId25" Type="http://schemas.openxmlformats.org/officeDocument/2006/relationships/hyperlink" Target="http://www.competitionbureau.gc.ca/eic/site/cb-bc.nsf/eng/h_02758.html" TargetMode="External"/><Relationship Id="rId33" Type="http://schemas.openxmlformats.org/officeDocument/2006/relationships/hyperlink" Target="http://www.competitionbureau.gc.ca/eic/site/cb-bc.nsf/vwapj/cb-pam-restrict-supply-web-e.pdf/$FILE/cb-pam-restrict-supply-web-e.pdf" TargetMode="External"/><Relationship Id="rId38" Type="http://schemas.openxmlformats.org/officeDocument/2006/relationships/hyperlink" Target="http://www.competitionbureau.gc.ca/eic/site/cb-bc.nsf/vwapj/Competitor-Collaboration-Guidelines-e-2009-12-22.pdf/$FILE/Competitor-Collaboration-Guidelines-e-2009-12-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D52F1F70D3147B871117FD1E36B4C" ma:contentTypeVersion="0" ma:contentTypeDescription="Crear nuevo documento." ma:contentTypeScope="" ma:versionID="27a96c2f1942c4513954155dc98c08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B480-D6C9-469F-9696-5DFC98CA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B4F07-21E6-411A-8FDD-CE38F623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12148</Characters>
  <Application>Microsoft Office Word</Application>
  <DocSecurity>0</DocSecurity>
  <Lines>220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Alexis Pina Vega</cp:lastModifiedBy>
  <cp:revision>2</cp:revision>
  <cp:lastPrinted>2018-03-02T16:47:00Z</cp:lastPrinted>
  <dcterms:created xsi:type="dcterms:W3CDTF">2018-05-16T23:08:00Z</dcterms:created>
  <dcterms:modified xsi:type="dcterms:W3CDTF">2018-05-16T23:08:00Z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0x010100538D52F1F70D3147B871117FD1E36B4C</vt:lpwstr>
  </property>
</Properties>
</file>