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9"/>
        <w:gridCol w:w="3034"/>
        <w:gridCol w:w="2935"/>
      </w:tblGrid>
      <w:tr w:rsidR="00501ADF" w:rsidRPr="00451B7D" w14:paraId="0B8256DF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7E945B49" w14:textId="77777777" w:rsidR="00160C6C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  <w:r w:rsidR="00160C6C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</w:p>
          <w:p w14:paraId="1C7EFC81" w14:textId="77777777" w:rsidR="0068307E" w:rsidRPr="00451B7D" w:rsidRDefault="00967892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Autoridad Investigadora</w:t>
            </w:r>
          </w:p>
          <w:p w14:paraId="4EA99370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A8A20D4" w14:textId="77777777" w:rsidR="00160C6C" w:rsidRDefault="00D23BD5" w:rsidP="00160C6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  <w:r w:rsidR="00160C6C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</w:p>
          <w:p w14:paraId="001A4980" w14:textId="6C7837BF" w:rsidR="0068307E" w:rsidRPr="00230775" w:rsidRDefault="00230775" w:rsidP="0023077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30775">
              <w:rPr>
                <w:rFonts w:ascii="ITC Avant Garde" w:hAnsi="ITC Avant Garde"/>
                <w:sz w:val="18"/>
                <w:szCs w:val="18"/>
              </w:rPr>
              <w:t>“Anteproyecto de Guía para la presentación de d</w:t>
            </w:r>
            <w:bookmarkStart w:id="0" w:name="_GoBack"/>
            <w:bookmarkEnd w:id="0"/>
            <w:r w:rsidRPr="00230775">
              <w:rPr>
                <w:rFonts w:ascii="ITC Avant Garde" w:hAnsi="ITC Avant Garde"/>
                <w:sz w:val="18"/>
                <w:szCs w:val="18"/>
              </w:rPr>
              <w:t>enuncias de prácticas monopólicas y concentraciones ilícitas en los sectores de telecomunicaciones y radiodifusión”</w:t>
            </w:r>
          </w:p>
        </w:tc>
      </w:tr>
      <w:tr w:rsidR="0068307E" w:rsidRPr="00451B7D" w14:paraId="6C2384B8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224B524D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EA1190C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54ABE15" w14:textId="77777777" w:rsidR="0068307E" w:rsidRPr="00451B7D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967892">
              <w:rPr>
                <w:rFonts w:ascii="ITC Avant Garde" w:hAnsi="ITC Avant Garde"/>
                <w:sz w:val="18"/>
                <w:szCs w:val="18"/>
              </w:rPr>
              <w:t>Peregrina Carranza Pérez</w:t>
            </w:r>
          </w:p>
          <w:p w14:paraId="5F6B102E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967892">
              <w:rPr>
                <w:rFonts w:ascii="ITC Avant Garde" w:hAnsi="ITC Avant Garde"/>
                <w:sz w:val="18"/>
                <w:szCs w:val="18"/>
              </w:rPr>
              <w:t>5015-4229</w:t>
            </w:r>
          </w:p>
          <w:p w14:paraId="2958ABC6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Correo electrónico:</w:t>
            </w:r>
            <w:r w:rsidR="009678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hyperlink r:id="rId11" w:history="1">
              <w:r w:rsidR="00160C6C" w:rsidRPr="00601D0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peregrina.carranza@ift.org.mx</w:t>
              </w:r>
            </w:hyperlink>
            <w:r w:rsidR="00160C6C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49C29675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4912E3F0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74BF5B6E" w14:textId="18218AC4" w:rsidR="0068307E" w:rsidRPr="00451B7D" w:rsidRDefault="00967892" w:rsidP="00CC13F4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0</w:t>
            </w:r>
            <w:r w:rsidR="00CC13F4">
              <w:rPr>
                <w:rFonts w:ascii="ITC Avant Garde" w:hAnsi="ITC Avant Garde"/>
                <w:sz w:val="18"/>
                <w:szCs w:val="18"/>
              </w:rPr>
              <w:t>4</w:t>
            </w:r>
            <w:r w:rsidR="0068307E" w:rsidRPr="00451B7D">
              <w:rPr>
                <w:rFonts w:ascii="ITC Avant Garde" w:hAnsi="ITC Avant Garde"/>
                <w:sz w:val="18"/>
                <w:szCs w:val="18"/>
              </w:rPr>
              <w:t>/</w:t>
            </w:r>
            <w:r>
              <w:rPr>
                <w:rFonts w:ascii="ITC Avant Garde" w:hAnsi="ITC Avant Garde"/>
                <w:sz w:val="18"/>
                <w:szCs w:val="18"/>
              </w:rPr>
              <w:t>0</w:t>
            </w:r>
            <w:r w:rsidR="00CC13F4">
              <w:rPr>
                <w:rFonts w:ascii="ITC Avant Garde" w:hAnsi="ITC Avant Garde"/>
                <w:sz w:val="18"/>
                <w:szCs w:val="18"/>
              </w:rPr>
              <w:t>4</w:t>
            </w:r>
            <w:r w:rsidR="0068307E" w:rsidRPr="00451B7D">
              <w:rPr>
                <w:rFonts w:ascii="ITC Avant Garde" w:hAnsi="ITC Avant Garde"/>
                <w:sz w:val="18"/>
                <w:szCs w:val="18"/>
              </w:rPr>
              <w:t>/</w:t>
            </w:r>
            <w:r>
              <w:rPr>
                <w:rFonts w:ascii="ITC Avant Garde" w:hAnsi="ITC Avant Garde"/>
                <w:sz w:val="18"/>
                <w:szCs w:val="18"/>
              </w:rPr>
              <w:t>2018</w:t>
            </w:r>
          </w:p>
        </w:tc>
      </w:tr>
      <w:tr w:rsidR="0068307E" w:rsidRPr="00451B7D" w14:paraId="58213258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29A76721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162C2034" w14:textId="77777777" w:rsidR="0068307E" w:rsidRPr="00451B7D" w:rsidRDefault="0049127C" w:rsidP="00CC13F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35DC1BBF" w14:textId="00A05271" w:rsidR="0068307E" w:rsidRPr="00451B7D" w:rsidRDefault="00230775" w:rsidP="005D6533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21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05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2018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>
              <w:rPr>
                <w:rFonts w:ascii="ITC Avant Garde" w:hAnsi="ITC Avant Garde"/>
                <w:sz w:val="18"/>
                <w:szCs w:val="18"/>
              </w:rPr>
              <w:t>29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06</w:t>
            </w:r>
            <w:r w:rsidR="005D6533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5D6533">
              <w:rPr>
                <w:rFonts w:ascii="ITC Avant Garde" w:hAnsi="ITC Avant Garde"/>
                <w:sz w:val="18"/>
                <w:szCs w:val="18"/>
              </w:rPr>
              <w:t>2018</w:t>
            </w:r>
          </w:p>
        </w:tc>
      </w:tr>
    </w:tbl>
    <w:p w14:paraId="0C955082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573E4C57" w14:textId="77777777" w:rsidR="001932FC" w:rsidRPr="00451B7D" w:rsidRDefault="001932FC" w:rsidP="00CC13F4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49226E95" w14:textId="77777777" w:rsidTr="008A48B0">
        <w:tc>
          <w:tcPr>
            <w:tcW w:w="8828" w:type="dxa"/>
            <w:shd w:val="clear" w:color="auto" w:fill="FFFFFF" w:themeFill="background1"/>
          </w:tcPr>
          <w:p w14:paraId="0C037987" w14:textId="77777777" w:rsidR="001932FC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7C59F44D" w14:textId="77777777" w:rsidR="00B54A92" w:rsidRPr="00B54A92" w:rsidRDefault="00B54A92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20"/>
                <w:szCs w:val="20"/>
              </w:rPr>
            </w:pPr>
          </w:p>
          <w:p w14:paraId="21FE1A05" w14:textId="77777777" w:rsidR="00B54A92" w:rsidRP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 xml:space="preserve">El Instituto es la autoridad en materia de competencia económica en los sectores de telecomunicaciones y radiodifusión, por lo que en ellos tiene por objeto garantizar la libre competencia y concurrencia, así como prevenir, investigar y combatir las prácticas monopólicas, las concentraciones y demás restricciones al funcionamiento eficiente de los mercados. </w:t>
            </w:r>
          </w:p>
          <w:p w14:paraId="2C3908F6" w14:textId="521F883D" w:rsid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 xml:space="preserve">Para cumplir sus funciones como autoridad en materia de competencia económica el Instituto cuenta, 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entre otras unidades administrativas,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con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la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 Autoridad Investigadora, encargada de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sustanciar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la investigación que puede iniciar </w:t>
            </w:r>
            <w:r w:rsidR="00CA1FD6">
              <w:rPr>
                <w:rFonts w:ascii="ITC Avant Garde" w:hAnsi="ITC Avant Garde"/>
                <w:sz w:val="18"/>
                <w:szCs w:val="18"/>
              </w:rPr>
              <w:t xml:space="preserve">de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oficio</w:t>
            </w:r>
            <w:r w:rsidR="00CA1FD6">
              <w:rPr>
                <w:rFonts w:ascii="ITC Avant Garde" w:hAnsi="ITC Avant Garde"/>
                <w:sz w:val="18"/>
                <w:szCs w:val="18"/>
              </w:rPr>
              <w:t>,</w:t>
            </w:r>
            <w:r w:rsidR="000E4ED8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a solicitud del Ejecutivo Federal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 o 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>a petición de parte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 (denuncia)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, previa emisión del acuerdo de inicio correspondiente.</w:t>
            </w:r>
          </w:p>
          <w:p w14:paraId="7FC95D99" w14:textId="5BA5CEAD" w:rsidR="00580B49" w:rsidRPr="00B54A92" w:rsidRDefault="000E4ED8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relación a las denuncias, en muchas ocasiones l</w:t>
            </w:r>
            <w:r w:rsidR="00B05D39">
              <w:rPr>
                <w:rFonts w:ascii="ITC Avant Garde" w:hAnsi="ITC Avant Garde"/>
                <w:sz w:val="18"/>
                <w:szCs w:val="18"/>
              </w:rPr>
              <w:t xml:space="preserve">os agentes económicos, los litigantes, las autoridades y el público en general no tienen conocimiento </w:t>
            </w:r>
            <w:r>
              <w:rPr>
                <w:rFonts w:ascii="ITC Avant Garde" w:hAnsi="ITC Avant Garde"/>
                <w:sz w:val="18"/>
                <w:szCs w:val="18"/>
              </w:rPr>
              <w:t>claro sobre</w:t>
            </w:r>
            <w:r w:rsidR="00B05D39">
              <w:rPr>
                <w:rFonts w:ascii="ITC Avant Garde" w:hAnsi="ITC Avant Garde"/>
                <w:sz w:val="18"/>
                <w:szCs w:val="18"/>
              </w:rPr>
              <w:t xml:space="preserve"> cuáles son los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requisitos y </w:t>
            </w:r>
            <w:r w:rsidR="00B05D39">
              <w:rPr>
                <w:rFonts w:ascii="ITC Avant Garde" w:hAnsi="ITC Avant Garde"/>
                <w:sz w:val="18"/>
                <w:szCs w:val="18"/>
              </w:rPr>
              <w:t>elementos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, tanto sustantivos como formales, que debe reunir el </w:t>
            </w:r>
            <w:r w:rsidR="00580B49">
              <w:rPr>
                <w:rFonts w:ascii="ITC Avant Garde" w:hAnsi="ITC Avant Garde"/>
                <w:sz w:val="18"/>
                <w:szCs w:val="18"/>
              </w:rPr>
              <w:t xml:space="preserve">escrito de denuncia por la probable existencia de una conducta anticompetitiva, ni </w:t>
            </w:r>
            <w:r>
              <w:rPr>
                <w:rFonts w:ascii="ITC Avant Garde" w:hAnsi="ITC Avant Garde"/>
                <w:sz w:val="18"/>
                <w:szCs w:val="18"/>
              </w:rPr>
              <w:t>sobre los documentos idóneos para satisfacerlos</w:t>
            </w:r>
            <w:r w:rsidR="00580B49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0A8B1448" w14:textId="409D5625" w:rsidR="00CA4215" w:rsidRPr="00B54A92" w:rsidRDefault="00B54A92" w:rsidP="00B54A92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>El “</w:t>
            </w:r>
            <w:r>
              <w:rPr>
                <w:rFonts w:ascii="ITC Avant Garde" w:hAnsi="ITC Avant Garde"/>
                <w:sz w:val="18"/>
                <w:szCs w:val="18"/>
              </w:rPr>
              <w:t>A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nteproyecto de guía para la presentación de denuncias de prácticas monopólicas y concentraciones ilícitas en los sectores de telecomunicaciones y radiodifusión” que se somete a consulta pública, tiene como principal objetivo orientar al público en general sobre la presentación de denuncias </w:t>
            </w:r>
            <w:r w:rsidR="00580B49">
              <w:rPr>
                <w:rFonts w:ascii="ITC Avant Garde" w:hAnsi="ITC Avant Garde"/>
                <w:sz w:val="18"/>
                <w:szCs w:val="18"/>
              </w:rPr>
              <w:t>de</w:t>
            </w:r>
            <w:r w:rsidR="00580B49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>prácticas monopólicas y concentraciones ilícitas en los sectores de telecomunicaciones y radiodifusión, ante la Autoridad Investigadora del Instituto,</w:t>
            </w:r>
            <w:r w:rsidRPr="00B54A92">
              <w:rPr>
                <w:i/>
                <w:sz w:val="18"/>
                <w:szCs w:val="18"/>
              </w:rPr>
              <w:t xml:space="preserve"> </w:t>
            </w:r>
            <w:r w:rsidRPr="00B54A92">
              <w:rPr>
                <w:rFonts w:ascii="ITC Avant Garde" w:hAnsi="ITC Avant Garde"/>
                <w:sz w:val="18"/>
                <w:szCs w:val="18"/>
              </w:rPr>
              <w:t xml:space="preserve">específicamente sobre la información y los documentos adecuados para satisfacer los requisitos establecidos en el artículo 68 de la Ley Federal de Competencia Económica. </w:t>
            </w:r>
          </w:p>
          <w:p w14:paraId="24AAD7B8" w14:textId="42D91B61" w:rsidR="001932FC" w:rsidRPr="00451B7D" w:rsidRDefault="00B54A92" w:rsidP="000E4ED8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54A92">
              <w:rPr>
                <w:rFonts w:ascii="ITC Avant Garde" w:hAnsi="ITC Avant Garde"/>
                <w:sz w:val="18"/>
                <w:szCs w:val="18"/>
              </w:rPr>
              <w:t>En este sentido, la guía no interpreta ni sustituye el marco jurídico aplicable.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34E8FC54" w14:textId="77777777" w:rsidTr="00B41497">
        <w:tc>
          <w:tcPr>
            <w:tcW w:w="8828" w:type="dxa"/>
          </w:tcPr>
          <w:p w14:paraId="48F92192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763AA617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1889B6E8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5818885C" w14:textId="77777777" w:rsidTr="00B41497">
              <w:tc>
                <w:tcPr>
                  <w:tcW w:w="1462" w:type="dxa"/>
                </w:tcPr>
                <w:p w14:paraId="4302A8F5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861445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40340498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6A1068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A840B37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6AEE9D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F4E958E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4CC535D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DA6C41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133E4803" w14:textId="77777777" w:rsidTr="00596FDE">
              <w:tc>
                <w:tcPr>
                  <w:tcW w:w="8602" w:type="dxa"/>
                </w:tcPr>
                <w:p w14:paraId="71BE889D" w14:textId="77777777" w:rsidR="00596FDE" w:rsidRPr="00451B7D" w:rsidRDefault="00596FDE" w:rsidP="00230775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58BE772" w14:textId="77777777" w:rsidR="00596FDE" w:rsidRDefault="00596FDE" w:rsidP="00230775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33AD65B" w14:textId="77777777" w:rsidR="000C16BC" w:rsidRPr="00451B7D" w:rsidRDefault="000C16BC" w:rsidP="00230775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575D6498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924E593" w14:textId="77777777" w:rsidR="00B41497" w:rsidRPr="00451B7D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4788280C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695872DE" w14:textId="77777777" w:rsidTr="003F600A">
        <w:tc>
          <w:tcPr>
            <w:tcW w:w="8828" w:type="dxa"/>
          </w:tcPr>
          <w:p w14:paraId="4D752090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216F03BD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3AEF31D1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158C5F1E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0556F5B2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741C6E2D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01BB9D40" w14:textId="77777777" w:rsidR="00BE7D1C" w:rsidRPr="00451B7D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D80D3B" w:rsidRPr="00451B7D" w14:paraId="1FC55C26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4529C496" w14:textId="77777777" w:rsidR="00D80D3B" w:rsidRDefault="00D80D3B" w:rsidP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No emitir el anteproyecto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6E67924B" w14:textId="3B557A96" w:rsidR="00D80D3B" w:rsidRPr="00451B7D" w:rsidRDefault="00D83CC8" w:rsidP="00A45E7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una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guía que orient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l público en general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sobre los requisitos previstos en la Ley Federal de Competencia Económica para la presentación de denuncias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prácticas monopólicas y concentraciones ilícitas en los sectores de telecomunicaciones y radiodifusión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ante la Autoridad Investigadora y, que en su caso,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únicamente cuenten con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información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del marco jurídico aplicable.</w:t>
                  </w:r>
                </w:p>
              </w:tc>
              <w:tc>
                <w:tcPr>
                  <w:tcW w:w="3969" w:type="dxa"/>
                </w:tcPr>
                <w:p w14:paraId="1664455A" w14:textId="648A8540" w:rsidR="00D80D3B" w:rsidRDefault="00D80D3B" w:rsidP="00580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Dicha alternativa fue descartada, toda vez que el Instituto 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Federal de Telecomunicaciones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tiene la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atribución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de expedir directrices, guías, lineamientos o criterios técnicos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>, entre otras,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en materia de Investigaciones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, de conformidad con el artículo 12, fracción XXII</w:t>
                  </w:r>
                  <w:r w:rsidR="00202323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la Ley Federal de Competencia Económica. En este sentido, es 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 xml:space="preserve">pertinente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emitir una guía con fines de orientación sobre los requisitos para la presentación de las denuncias referidas.</w:t>
                  </w:r>
                </w:p>
              </w:tc>
            </w:tr>
            <w:tr w:rsidR="00D80D3B" w:rsidRPr="00451B7D" w14:paraId="7DA9F71C" w14:textId="77777777" w:rsidTr="003F600A">
              <w:tc>
                <w:tcPr>
                  <w:tcW w:w="18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2EFD9" w:themeFill="accent6" w:themeFillTint="33"/>
                </w:tcPr>
                <w:p w14:paraId="716CD819" w14:textId="77777777" w:rsidR="00D80D3B" w:rsidRDefault="00D80D3B" w:rsidP="00D80D3B">
                  <w:pPr>
                    <w:rPr>
                      <w:rFonts w:ascii="ITC Avant Garde" w:hAnsi="ITC Avant Garde"/>
                      <w:i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Emitir criterios técnicos, lineamientos o directrices</w:t>
                  </w:r>
                  <w:r w:rsidR="00D83CC8">
                    <w:rPr>
                      <w:rFonts w:ascii="ITC Avant Garde" w:hAnsi="ITC Avant Garde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77AB1D0E" w14:textId="77777777" w:rsidR="00D80D3B" w:rsidRPr="00451B7D" w:rsidRDefault="00D83CC8" w:rsidP="00D83CC8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Emitir criterios técnicos, lineamientos o directrices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7A86AA87" w14:textId="781BF76D" w:rsidR="00754682" w:rsidRDefault="00754682" w:rsidP="0075468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fue descartada, toda vez que los criterios técnicos, lineamientos o directrices tienen como propósito establecer términos, normas, límites, características y/o requisitos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de observancia obligatoria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, lo cual, en su caso, modificaría o adicionaría el marco jurídico aplicable para la presentación de denuncias ante la Autoridad Investigadora</w:t>
                  </w:r>
                  <w:r w:rsidR="003B01F2">
                    <w:rPr>
                      <w:rFonts w:ascii="ITC Avant Garde" w:hAnsi="ITC Avant Garde"/>
                      <w:sz w:val="18"/>
                      <w:szCs w:val="18"/>
                    </w:rPr>
                    <w:t xml:space="preserve"> del Instituto</w:t>
                  </w:r>
                  <w:r w:rsidR="00580B49">
                    <w:rPr>
                      <w:rFonts w:ascii="ITC Avant Garde" w:hAnsi="ITC Avant Garde"/>
                      <w:sz w:val="18"/>
                      <w:szCs w:val="18"/>
                    </w:rPr>
                    <w:t>, situación que no resulta jurídicamente procedente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1B48F468" w14:textId="77777777" w:rsidR="00754682" w:rsidRDefault="00754682" w:rsidP="0075468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8D4FAE5" w14:textId="0532EB7B" w:rsidR="00D80D3B" w:rsidRPr="00451B7D" w:rsidRDefault="00580B49" w:rsidP="00A45E7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Lo anterior, toda vez que los requisitos correspondientes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ya se encuentran previstos en la Ley Federal de Competencia Económica y las Disposiciones Regulatorias 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de la Ley Federal de Competencia Económica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para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los sectores de telecomunicaciones y radiodifusión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Por lo tanto,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se optó por emitir una guía que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 xml:space="preserve"> por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su </w:t>
                  </w:r>
                  <w:r w:rsidR="00D83CC8">
                    <w:rPr>
                      <w:rFonts w:ascii="ITC Avant Garde" w:hAnsi="ITC Avant Garde"/>
                      <w:sz w:val="18"/>
                      <w:szCs w:val="18"/>
                    </w:rPr>
                    <w:t>naturaleza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, explique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y orient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al </w:t>
                  </w:r>
                  <w:r w:rsidR="00A45E72">
                    <w:rPr>
                      <w:rFonts w:ascii="ITC Avant Garde" w:hAnsi="ITC Avant Garde"/>
                      <w:sz w:val="18"/>
                      <w:szCs w:val="18"/>
                    </w:rPr>
                    <w:t xml:space="preserve">público en general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sobre los requisitos 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para la presentación de denuncias de prácticas monopólicas 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>y</w:t>
                  </w:r>
                  <w:r w:rsidR="00087D82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concentraciones ilícitas en los sectores de telecomunicaciones y radiodifusión,</w:t>
                  </w:r>
                  <w:r w:rsidR="00754682">
                    <w:rPr>
                      <w:rFonts w:ascii="ITC Avant Garde" w:hAnsi="ITC Avant Garde"/>
                      <w:sz w:val="18"/>
                      <w:szCs w:val="18"/>
                    </w:rPr>
                    <w:t xml:space="preserve"> previstos en el marco jurídico mencionado.  </w:t>
                  </w:r>
                </w:p>
              </w:tc>
            </w:tr>
          </w:tbl>
          <w:p w14:paraId="7C79D7CB" w14:textId="77777777" w:rsidR="00BE7D1C" w:rsidRPr="00451B7D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13B8CB0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3C0D1ED5" w14:textId="77777777" w:rsidTr="003F600A">
        <w:tc>
          <w:tcPr>
            <w:tcW w:w="8828" w:type="dxa"/>
          </w:tcPr>
          <w:p w14:paraId="6490EDD6" w14:textId="77777777" w:rsidR="00BE7D1C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270129E6" w14:textId="77777777" w:rsidR="00373D03" w:rsidRPr="00451B7D" w:rsidRDefault="00373D03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B124DC" w14:textId="0EFA382F" w:rsidR="00D335D8" w:rsidRDefault="00861445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Como se mencionó al inicio del presente documento, el “</w:t>
            </w:r>
            <w:r w:rsidRPr="00861445">
              <w:rPr>
                <w:rFonts w:ascii="ITC Avant Garde" w:hAnsi="ITC Avant Garde"/>
                <w:i/>
                <w:sz w:val="18"/>
                <w:szCs w:val="18"/>
              </w:rPr>
              <w:t>Anteproyecto de guía para la presentación de denuncias de prácticas monopólicas y concentraciones ilícitas en los sectores de telecomunicaciones y radiodifusión</w:t>
            </w:r>
            <w:r w:rsidRPr="00861445">
              <w:rPr>
                <w:rFonts w:ascii="ITC Avant Garde" w:hAnsi="ITC Avant Garde"/>
                <w:sz w:val="18"/>
                <w:szCs w:val="18"/>
              </w:rPr>
              <w:t>”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D335D8" w:rsidRPr="00B54A92">
              <w:rPr>
                <w:rFonts w:ascii="ITC Avant Garde" w:hAnsi="ITC Avant Garde"/>
                <w:sz w:val="18"/>
                <w:szCs w:val="18"/>
              </w:rPr>
              <w:t xml:space="preserve">tiene como principal objetivo orientar al público en general sobre la presentación de denuncias </w:t>
            </w:r>
            <w:r w:rsidR="00A45E72">
              <w:rPr>
                <w:rFonts w:ascii="ITC Avant Garde" w:hAnsi="ITC Avant Garde"/>
                <w:sz w:val="18"/>
                <w:szCs w:val="18"/>
              </w:rPr>
              <w:t>de</w:t>
            </w:r>
            <w:r w:rsidR="00D335D8" w:rsidRPr="00B54A92">
              <w:rPr>
                <w:rFonts w:ascii="ITC Avant Garde" w:hAnsi="ITC Avant Garde"/>
                <w:sz w:val="18"/>
                <w:szCs w:val="18"/>
              </w:rPr>
              <w:t xml:space="preserve"> prácticas monopólicas y concentraciones ilícitas en los sectores de telecomunicaciones y radiodifusión, ante la Autoridad Investigadora del Instituto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 Federal de Telecomunicaciones</w:t>
            </w:r>
            <w:r w:rsidR="00D335D8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0DFF0A1" w14:textId="77777777" w:rsid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A1F08C2" w14:textId="64072DC9" w:rsidR="00861445" w:rsidRP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335D8">
              <w:rPr>
                <w:rFonts w:ascii="ITC Avant Garde" w:hAnsi="ITC Avant Garde"/>
                <w:sz w:val="18"/>
                <w:szCs w:val="18"/>
              </w:rPr>
              <w:t>Espec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íficamente, 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el anteproyecto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orienta sobre la información y los documentos adecuados para satisfacer los requisitos establecidos en el artículo 68 de la Ley Fe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deral de Competencia Económica;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para ello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también aborda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 lo relativo 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las conductas que la Autoridad Investigadora del Instituto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Federal de Telecomunicaciones 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puede investigar</w:t>
            </w:r>
            <w:r>
              <w:rPr>
                <w:rFonts w:ascii="ITC Avant Garde" w:hAnsi="ITC Avant Garde"/>
                <w:sz w:val="18"/>
                <w:szCs w:val="18"/>
              </w:rPr>
              <w:t>;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qué debe entenderse por una causa objetiva</w:t>
            </w:r>
            <w:r w:rsidR="00373D03">
              <w:rPr>
                <w:rFonts w:ascii="ITC Avant Garde" w:hAnsi="ITC Avant Garde"/>
                <w:sz w:val="18"/>
                <w:szCs w:val="18"/>
              </w:rPr>
              <w:t>;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 las modalidades para iniciar una investigación</w:t>
            </w:r>
            <w:r w:rsidR="00687048">
              <w:rPr>
                <w:rFonts w:ascii="ITC Avant Garde" w:hAnsi="ITC Avant Garde"/>
                <w:sz w:val="18"/>
                <w:szCs w:val="18"/>
              </w:rPr>
              <w:t>; la confidencialidad de la información presentada con el escrito de denuncia; los acuerdos que puede emitir la Autoridad Investigadora del Instituto una vez presentado el escrito de denuncia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, así como la</w:t>
            </w:r>
            <w:r w:rsidR="00687048">
              <w:rPr>
                <w:rFonts w:ascii="ITC Avant Garde" w:hAnsi="ITC Avant Garde"/>
                <w:sz w:val="18"/>
                <w:szCs w:val="18"/>
              </w:rPr>
              <w:t xml:space="preserve"> posibilidad de presentar reportes de conducta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 xml:space="preserve">s </w:t>
            </w:r>
            <w:r w:rsidR="00687048">
              <w:rPr>
                <w:rFonts w:ascii="ITC Avant Garde" w:hAnsi="ITC Avant Garde"/>
                <w:sz w:val="18"/>
                <w:szCs w:val="18"/>
              </w:rPr>
              <w:t>anticompetitivas</w:t>
            </w:r>
            <w:r w:rsidRPr="00D335D8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39FE421" w14:textId="77777777" w:rsidR="00D335D8" w:rsidRDefault="00D335D8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7FF7DF5" w14:textId="1F5E1D7E" w:rsidR="00D80D3B" w:rsidRDefault="00373D03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Así,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el contenido de la guía,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al ser </w:t>
            </w:r>
            <w:r w:rsidR="00087D82">
              <w:rPr>
                <w:rFonts w:ascii="ITC Avant Garde" w:hAnsi="ITC Avant Garde"/>
                <w:sz w:val="18"/>
                <w:szCs w:val="18"/>
              </w:rPr>
              <w:t>un documento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carácter informativo, no constituye una regulación nueva o que modifique o adicione el marco jurídico existente</w:t>
            </w:r>
            <w:r w:rsidR="00A45E72">
              <w:rPr>
                <w:rFonts w:ascii="ITC Avant Garde" w:hAnsi="ITC Avant Garde"/>
                <w:sz w:val="18"/>
                <w:szCs w:val="18"/>
              </w:rPr>
              <w:t>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 tampoco lo sustituye ni interpreta, sino que explica y detalla los requisitos de procedibilidad previstos en la Ley Federal de Competencia Económica y en las Disposiciones Regulatorias </w:t>
            </w:r>
            <w:r w:rsidR="00087D82">
              <w:rPr>
                <w:rFonts w:ascii="ITC Avant Garde" w:hAnsi="ITC Avant Garde"/>
                <w:sz w:val="18"/>
                <w:szCs w:val="18"/>
              </w:rPr>
              <w:t xml:space="preserve">de la Ley Federal de Competencia Económica </w:t>
            </w:r>
            <w:r>
              <w:rPr>
                <w:rFonts w:ascii="ITC Avant Garde" w:hAnsi="ITC Avant Garde"/>
                <w:sz w:val="18"/>
                <w:szCs w:val="18"/>
              </w:rPr>
              <w:t>para los sectores de telecomunicaciones y radiodifusión</w:t>
            </w:r>
            <w:r w:rsidR="00D80D3B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F901425" w14:textId="77777777" w:rsidR="00D80D3B" w:rsidRDefault="00D80D3B" w:rsidP="00D80D3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56197E5" w14:textId="16069E38" w:rsidR="00BE7D1C" w:rsidRPr="00451B7D" w:rsidRDefault="00D80D3B" w:rsidP="001E5855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ese sentido, 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al no establecer </w:t>
            </w:r>
            <w:r w:rsidR="001E5855">
              <w:rPr>
                <w:rFonts w:ascii="ITC Avant Garde" w:hAnsi="ITC Avant Garde"/>
                <w:sz w:val="18"/>
                <w:szCs w:val="18"/>
              </w:rPr>
              <w:t>obligacio</w:t>
            </w:r>
            <w:r w:rsidR="00202323">
              <w:rPr>
                <w:rFonts w:ascii="ITC Avant Garde" w:hAnsi="ITC Avant Garde"/>
                <w:sz w:val="18"/>
                <w:szCs w:val="18"/>
              </w:rPr>
              <w:t xml:space="preserve">n, </w:t>
            </w:r>
            <w:r>
              <w:rPr>
                <w:rFonts w:ascii="ITC Avant Garde" w:hAnsi="ITC Avant Garde"/>
                <w:sz w:val="18"/>
                <w:szCs w:val="18"/>
              </w:rPr>
              <w:t>la guía propuesta</w:t>
            </w:r>
            <w:r w:rsidR="00373D03">
              <w:rPr>
                <w:rFonts w:ascii="ITC Avant Garde" w:hAnsi="ITC Avant Garde"/>
                <w:sz w:val="18"/>
                <w:szCs w:val="18"/>
              </w:rPr>
              <w:t xml:space="preserve"> no genera costos </w:t>
            </w:r>
            <w:r w:rsidR="00202323">
              <w:rPr>
                <w:rFonts w:ascii="ITC Avant Garde" w:hAnsi="ITC Avant Garde"/>
                <w:sz w:val="18"/>
                <w:szCs w:val="18"/>
              </w:rPr>
              <w:t>de cumplimiento</w:t>
            </w:r>
            <w:r w:rsidR="00373D03">
              <w:rPr>
                <w:rFonts w:ascii="ITC Avant Garde" w:hAnsi="ITC Avant Garde"/>
                <w:sz w:val="18"/>
                <w:szCs w:val="18"/>
              </w:rPr>
              <w:t>.</w:t>
            </w:r>
            <w:r w:rsidR="00373D0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</w:tc>
      </w:tr>
    </w:tbl>
    <w:p w14:paraId="5E64A7EB" w14:textId="77777777" w:rsidR="00BE7D1C" w:rsidRPr="00451B7D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50C29B2E" w14:textId="77777777" w:rsidTr="003949C0">
        <w:tc>
          <w:tcPr>
            <w:tcW w:w="1696" w:type="dxa"/>
            <w:vMerge w:val="restart"/>
          </w:tcPr>
          <w:p w14:paraId="568ADAB4" w14:textId="77777777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27F520A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01F28AC7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18C32FFA" w14:textId="77777777" w:rsidTr="003949C0">
        <w:tc>
          <w:tcPr>
            <w:tcW w:w="1696" w:type="dxa"/>
            <w:vMerge/>
          </w:tcPr>
          <w:p w14:paraId="54C817F7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B4C50EC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59C940AE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416D20B4" w14:textId="77777777" w:rsidTr="003949C0">
        <w:tc>
          <w:tcPr>
            <w:tcW w:w="1696" w:type="dxa"/>
            <w:vMerge/>
          </w:tcPr>
          <w:p w14:paraId="1314385B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9C2A6D2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1"/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0B867CC4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217913B8" w14:textId="77777777" w:rsidTr="003949C0">
        <w:tc>
          <w:tcPr>
            <w:tcW w:w="1696" w:type="dxa"/>
            <w:vMerge/>
          </w:tcPr>
          <w:p w14:paraId="128C6765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F67448A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27BD3A7A" w14:textId="77777777" w:rsidR="00804F49" w:rsidRPr="00451B7D" w:rsidRDefault="00804F49" w:rsidP="00861445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861445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73D81C64" w14:textId="77777777" w:rsidTr="003949C0">
        <w:tc>
          <w:tcPr>
            <w:tcW w:w="1696" w:type="dxa"/>
            <w:vMerge/>
          </w:tcPr>
          <w:p w14:paraId="3CF63291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BFEAB68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Establece o modifica definiciones, clasificaciones, metodologías, criterios, caracterizaciones o cualquier otro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lastRenderedPageBreak/>
              <w:t>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0402A09B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lastRenderedPageBreak/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61445">
              <w:rPr>
                <w:rFonts w:ascii="ITC Avant Garde" w:hAnsi="ITC Avant Garde"/>
                <w:sz w:val="18"/>
                <w:szCs w:val="18"/>
              </w:rPr>
              <w:t>) No (X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44C63079" w14:textId="77777777" w:rsidR="00E21B49" w:rsidRPr="00451B7D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023E6D73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276E5EA9" w14:textId="77777777" w:rsidTr="00A73AD8">
        <w:tc>
          <w:tcPr>
            <w:tcW w:w="8828" w:type="dxa"/>
          </w:tcPr>
          <w:p w14:paraId="2FF97FF0" w14:textId="77777777" w:rsidR="00B74C55" w:rsidRPr="00451B7D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11ADE5A5" w14:textId="77777777" w:rsidR="00A73AD8" w:rsidRPr="00451B7D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31E4CE3" w14:textId="1D72D5B1" w:rsidR="00870931" w:rsidRPr="000E1E51" w:rsidRDefault="00C33FC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2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https://www.ftc.gov/enforcement/rules/rules-and-guides</w:t>
              </w:r>
            </w:hyperlink>
          </w:p>
          <w:p w14:paraId="2BB7C06B" w14:textId="77777777" w:rsidR="00F8154D" w:rsidRPr="000E1E51" w:rsidRDefault="00C33FC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3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http://ec.europa.eu/competition/antitrust/antitrust_manproc_3_2012_en.pdf</w:t>
              </w:r>
            </w:hyperlink>
          </w:p>
          <w:p w14:paraId="3F44633D" w14:textId="67045181" w:rsidR="00F8154D" w:rsidRPr="000E1E51" w:rsidRDefault="00C33FC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4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http://ec.europa.eu/competition/antitrust/guidance_en.pdf</w:t>
              </w:r>
            </w:hyperlink>
          </w:p>
          <w:p w14:paraId="0F9B15DD" w14:textId="56FC621B" w:rsidR="00F8154D" w:rsidRPr="000E1E51" w:rsidRDefault="00C33FC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5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http://ec.europa.eu/competition/antitrust/legislation/handbook_vol_1_en.pdf</w:t>
              </w:r>
            </w:hyperlink>
            <w:r w:rsidR="00F8154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2B4C9740" w14:textId="200CABDA" w:rsidR="00067CE3" w:rsidRPr="000E1E51" w:rsidRDefault="00C33FCF" w:rsidP="00067CE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6" w:history="1">
              <w:r w:rsidR="00067CE3" w:rsidRPr="000E1E51">
                <w:rPr>
                  <w:rStyle w:val="Hipervnculo"/>
                  <w:rFonts w:ascii="ITC Avant Garde" w:hAnsi="ITC Avant Garde"/>
                  <w:sz w:val="20"/>
                </w:rPr>
                <w:t>http://www.fne.gob.cl/servicios/denuncias-y-tramites-online/</w:t>
              </w:r>
            </w:hyperlink>
          </w:p>
          <w:p w14:paraId="539AB38F" w14:textId="7FBFE27F" w:rsidR="00F8154D" w:rsidRPr="000E1E51" w:rsidRDefault="00C33FCF" w:rsidP="00F8154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7" w:history="1">
              <w:r w:rsidR="00F8154D" w:rsidRPr="000E1E51">
                <w:rPr>
                  <w:rStyle w:val="Hipervnculo"/>
                  <w:rFonts w:ascii="ITC Avant Garde" w:hAnsi="ITC Avant Garde"/>
                  <w:sz w:val="20"/>
                </w:rPr>
                <w:t>http://www.fne.gob.cl/wp-content/uploads/2017/10/Guía-Restricciones-Verticales.pdf</w:t>
              </w:r>
            </w:hyperlink>
            <w:r w:rsidR="00F8154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7F610FAE" w14:textId="166CE928" w:rsidR="00F8154D" w:rsidRPr="000E1E51" w:rsidRDefault="00C33FCF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8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http://www.sic.gov.co/sites/default/files/files/cartillaabogacia.pdf</w:t>
              </w:r>
            </w:hyperlink>
          </w:p>
          <w:p w14:paraId="65166A49" w14:textId="78B19D51" w:rsidR="0001716D" w:rsidRPr="000E1E51" w:rsidRDefault="00C33FCF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19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http://www.sic.gov.co/sites/default/files/files/UNCTAD.pdf</w:t>
              </w:r>
            </w:hyperlink>
            <w:r w:rsidR="0001716D" w:rsidRP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50ED36BE" w14:textId="024943D7" w:rsidR="0001716D" w:rsidRPr="000E1E51" w:rsidRDefault="00C33FCF" w:rsidP="000171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0" w:history="1">
              <w:r w:rsidR="0001716D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http://www.sic.gov.co/sites/default/files/files/Manual.pdf</w:t>
              </w:r>
            </w:hyperlink>
          </w:p>
          <w:p w14:paraId="4FBC365E" w14:textId="2BBE1683" w:rsidR="000E1E51" w:rsidRPr="000E1E51" w:rsidRDefault="00C33FC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1" w:history="1">
              <w:r w:rsidR="000E1E51" w:rsidRPr="000E1E51">
                <w:rPr>
                  <w:rStyle w:val="Hipervnculo"/>
                  <w:rFonts w:ascii="ITC Avant Garde" w:hAnsi="ITC Avant Garde"/>
                  <w:sz w:val="20"/>
                </w:rPr>
                <w:t>http://www.sic.gov.co/sites/default/files/files/Guia_OECD.pdf</w:t>
              </w:r>
            </w:hyperlink>
          </w:p>
          <w:p w14:paraId="38E52271" w14:textId="7AEC83D6" w:rsidR="000E1E51" w:rsidRDefault="00C33FC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2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http://www.competitionbureau.gc.ca/eic/site/cb-bc.nsf/eng/02646.html</w:t>
              </w:r>
            </w:hyperlink>
            <w:r w:rsidR="000E1E51">
              <w:rPr>
                <w:rFonts w:ascii="ITC Avant Garde" w:hAnsi="ITC Avant Garde"/>
                <w:sz w:val="20"/>
              </w:rPr>
              <w:t xml:space="preserve"> </w:t>
            </w:r>
          </w:p>
          <w:p w14:paraId="5E8A9E87" w14:textId="04311E0A" w:rsidR="000E1E51" w:rsidRDefault="00C33FC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3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http://www.competitionbureau.gc.ca/eic/site/cb-bc.nsf/frm-eng/GHÉT-7TDNA5</w:t>
              </w:r>
            </w:hyperlink>
          </w:p>
          <w:p w14:paraId="18C99865" w14:textId="0EA11C2F" w:rsidR="000E1E51" w:rsidRDefault="00C33FC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4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http://www.competitionbureau.gc.ca/eic/site/cb-bc.nsf/eng/04149.html</w:t>
              </w:r>
            </w:hyperlink>
          </w:p>
          <w:p w14:paraId="029802C6" w14:textId="165AD81D" w:rsidR="000E1E51" w:rsidRDefault="00C33FCF" w:rsidP="000E1E5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5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http://www.competitionbureau.gc.ca/eic/site/cb-bc.nsf/eng/h_02758.html</w:t>
              </w:r>
            </w:hyperlink>
          </w:p>
          <w:p w14:paraId="05C793F2" w14:textId="06EF82B8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6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http://www.competitionbureau.gc.ca/eic/site/cb-bc.nsf/eng/03797.html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  <w:r w:rsidR="009C67ED" w:rsidRPr="009C67ED">
              <w:rPr>
                <w:rFonts w:ascii="ITC Avant Garde" w:hAnsi="ITC Avant Garde"/>
                <w:sz w:val="20"/>
              </w:rPr>
              <w:t xml:space="preserve"> </w:t>
            </w:r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1190313D" w14:textId="10F7997A" w:rsidR="000E1E51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7" w:history="1">
              <w:r w:rsidR="000E1E51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http://www.competitionbureau.gc.ca/eic/site/cb-bc.nsf/vwapj/cb-pam-abuse-market-power-e.pdf/$FILE/cb-pam-abuse-market-power-e.pdf</w:t>
              </w:r>
            </w:hyperlink>
          </w:p>
          <w:p w14:paraId="240DF3BC" w14:textId="40D6710D" w:rsidR="000E1E51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8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http://www.competitionbureau.gc.ca/eic/site/cb-bc.nsf/eng/h_00511.html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7DBBCC98" w14:textId="20E4B33C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29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http://www.competitionbureau.gc.ca/eic/site/cb-bc.nsf/vwapj/cb-pam-abuse-market-power-e.pdf/$FILE/cb-pam-abuse-market-power-e.pdf</w:t>
              </w:r>
            </w:hyperlink>
            <w:r w:rsidR="009C67ED">
              <w:rPr>
                <w:rFonts w:ascii="ITC Avant Garde" w:hAnsi="ITC Avant Garde"/>
                <w:sz w:val="20"/>
              </w:rPr>
              <w:t xml:space="preserve"> </w:t>
            </w:r>
          </w:p>
          <w:p w14:paraId="00BCC324" w14:textId="002A2517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0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http://www.competitionbureau.gc.ca/eic/site/cb-bc.nsf/eng/02820.html</w:t>
              </w:r>
            </w:hyperlink>
          </w:p>
          <w:p w14:paraId="778B1034" w14:textId="5AA889B3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1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http://www.competitionbureau.gc.ca/eic/site/cb-bc.nsf/vwapj/cb-abuse-of-dominance-provisions-e.pdf/$FILE/cb-abuse-of-dominance-provisions-e.pdf</w:t>
              </w:r>
            </w:hyperlink>
          </w:p>
          <w:p w14:paraId="7203EFC9" w14:textId="3FE35572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2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http://www.competitionbureau.gc.ca/eic/site/cb-bc.nsf/eng/h_00111.html</w:t>
              </w:r>
            </w:hyperlink>
          </w:p>
          <w:p w14:paraId="261EF435" w14:textId="7C430116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3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http://www.competitionbureau.gc.ca/eic/site/cb-bc.nsf/vwapj/cb-pam-restrict-supply-web-e.pdf/$FILE/cb-pam-restrict-supply-web-e.pdf</w:t>
              </w:r>
            </w:hyperlink>
          </w:p>
          <w:p w14:paraId="61AE9439" w14:textId="672DAE2A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4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http://www.competitionbureau.gc.ca/eic/site/cb-bc.nsf/eng/h_00665.html</w:t>
              </w:r>
            </w:hyperlink>
          </w:p>
          <w:p w14:paraId="258E0004" w14:textId="5C91436D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5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http://www.competitionbureau.gc.ca/eic/site/cb-bc.nsf/vwapj/cb-pam-refusal-web-e.pdf/$FILE/cb-pam-refusal-web-e.pdf</w:t>
              </w:r>
            </w:hyperlink>
          </w:p>
          <w:p w14:paraId="39AAD21A" w14:textId="7B2575E9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6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http://www.competitionbureau.gc.ca/eic/site/cb-bc.nsf/eng/h_03210.html</w:t>
              </w:r>
            </w:hyperlink>
          </w:p>
          <w:p w14:paraId="48FE8B1D" w14:textId="0EED2940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7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http://www.competitionbureau.gc.ca/eic/site/cb-bc.nsf/vwapj/cb-pam-price-maintenance-web-e.pdf/$FILE/cb-pam-price-maintenance-web-e.pdf</w:t>
              </w:r>
            </w:hyperlink>
          </w:p>
          <w:p w14:paraId="710FA1CE" w14:textId="1997E263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8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http://www.competitionbureau.gc.ca/eic/site/cb-bc.nsf/vwapj/Competitor-Collaboration-Guidelines-e-2009-12-22.pdf/$FILE/Competitor-Collaboration-Guidelines-e-2009-12-22.pdf</w:t>
              </w:r>
            </w:hyperlink>
          </w:p>
          <w:p w14:paraId="5984A65E" w14:textId="2CDD1D11" w:rsidR="009C67ED" w:rsidRDefault="00C33FCF" w:rsidP="009C67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39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http://www.competitionbureau.gc.ca/eic/site/cb-bc.nsf/vwapj/Rebates-e.pdf/$file/Rebates-e.pdf</w:t>
              </w:r>
            </w:hyperlink>
          </w:p>
          <w:p w14:paraId="574FB20C" w14:textId="5A556607" w:rsidR="00F8154D" w:rsidRPr="009D3C22" w:rsidRDefault="00C33FCF" w:rsidP="009D3C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20"/>
              </w:rPr>
            </w:pPr>
            <w:hyperlink r:id="rId40" w:history="1">
              <w:r w:rsidR="009C67ED" w:rsidRPr="00601D0A">
                <w:rPr>
                  <w:rStyle w:val="Hipervnculo"/>
                  <w:rFonts w:ascii="ITC Avant Garde" w:hAnsi="ITC Avant Garde"/>
                  <w:sz w:val="20"/>
                </w:rPr>
                <w:t>https://www.ccs.gov.sg/~/media/custom/ccs/files/legislation/ccs%20guidelines/guidelines%20in%20chapters%20with%20layout%20aug%202017/2%20ccs%20guidelines%20on%20the%20section%2034%20prohibition%202016.ashx</w:t>
              </w:r>
            </w:hyperlink>
          </w:p>
        </w:tc>
      </w:tr>
    </w:tbl>
    <w:p w14:paraId="50324D3D" w14:textId="77777777" w:rsidR="0086684A" w:rsidRPr="00451B7D" w:rsidRDefault="0086684A" w:rsidP="0086684A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41"/>
      <w:footerReference w:type="default" r:id="rId4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9F6A9" w14:textId="77777777" w:rsidR="00C33FCF" w:rsidRDefault="00C33FCF" w:rsidP="00501ADF">
      <w:pPr>
        <w:spacing w:after="0" w:line="240" w:lineRule="auto"/>
      </w:pPr>
      <w:r>
        <w:separator/>
      </w:r>
    </w:p>
  </w:endnote>
  <w:endnote w:type="continuationSeparator" w:id="0">
    <w:p w14:paraId="08B98DC1" w14:textId="77777777" w:rsidR="00C33FCF" w:rsidRDefault="00C33FCF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65F35" w14:textId="67799766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230775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CF6EC3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D28B" w14:textId="77777777" w:rsidR="00C33FCF" w:rsidRDefault="00C33FCF" w:rsidP="00501ADF">
      <w:pPr>
        <w:spacing w:after="0" w:line="240" w:lineRule="auto"/>
      </w:pPr>
      <w:r>
        <w:separator/>
      </w:r>
    </w:p>
  </w:footnote>
  <w:footnote w:type="continuationSeparator" w:id="0">
    <w:p w14:paraId="1AA7C072" w14:textId="77777777" w:rsidR="00C33FCF" w:rsidRDefault="00C33FCF" w:rsidP="00501ADF">
      <w:pPr>
        <w:spacing w:after="0" w:line="240" w:lineRule="auto"/>
      </w:pPr>
      <w:r>
        <w:continuationSeparator/>
      </w:r>
    </w:p>
  </w:footnote>
  <w:footnote w:id="1">
    <w:p w14:paraId="692AB5D3" w14:textId="77777777" w:rsidR="008E1AD3" w:rsidRPr="00451B7D" w:rsidRDefault="008E1AD3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</w:t>
      </w:r>
      <w:r w:rsidR="00BA4E93" w:rsidRPr="00451B7D">
        <w:rPr>
          <w:rFonts w:ascii="ITC Avant Garde" w:hAnsi="ITC Avant Garde"/>
          <w:sz w:val="16"/>
          <w:szCs w:val="16"/>
        </w:rPr>
        <w:t xml:space="preserve">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D3EA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FFD1A8C" wp14:editId="0BF0650C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13E53" wp14:editId="4DA0BC23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3D755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48F9D9C" w14:textId="77777777" w:rsidR="00501ADF" w:rsidRDefault="00501ADF">
    <w:pPr>
      <w:pStyle w:val="Encabezado"/>
    </w:pPr>
  </w:p>
  <w:p w14:paraId="549E4F33" w14:textId="77777777" w:rsidR="00804F49" w:rsidRDefault="00804F49">
    <w:pPr>
      <w:pStyle w:val="Encabezado"/>
    </w:pPr>
  </w:p>
  <w:p w14:paraId="58513616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E5738" wp14:editId="0044C448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46D1B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3E94CCAC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1716D"/>
    <w:rsid w:val="00021824"/>
    <w:rsid w:val="00021FB4"/>
    <w:rsid w:val="00044D30"/>
    <w:rsid w:val="0006478F"/>
    <w:rsid w:val="00067CE3"/>
    <w:rsid w:val="000774F5"/>
    <w:rsid w:val="00087D82"/>
    <w:rsid w:val="000C16BC"/>
    <w:rsid w:val="000D401B"/>
    <w:rsid w:val="000E1E51"/>
    <w:rsid w:val="000E4ED8"/>
    <w:rsid w:val="000E6A13"/>
    <w:rsid w:val="000F669B"/>
    <w:rsid w:val="00160C6C"/>
    <w:rsid w:val="00177F7B"/>
    <w:rsid w:val="00181A32"/>
    <w:rsid w:val="001932FC"/>
    <w:rsid w:val="001B4A51"/>
    <w:rsid w:val="001B7A1D"/>
    <w:rsid w:val="001C2F18"/>
    <w:rsid w:val="001E26FE"/>
    <w:rsid w:val="001E5855"/>
    <w:rsid w:val="00202323"/>
    <w:rsid w:val="00206C6C"/>
    <w:rsid w:val="00211C96"/>
    <w:rsid w:val="00230775"/>
    <w:rsid w:val="00247B33"/>
    <w:rsid w:val="00267806"/>
    <w:rsid w:val="00286496"/>
    <w:rsid w:val="00295E97"/>
    <w:rsid w:val="002C6F88"/>
    <w:rsid w:val="002D28C7"/>
    <w:rsid w:val="0030055F"/>
    <w:rsid w:val="003039BF"/>
    <w:rsid w:val="00323167"/>
    <w:rsid w:val="00333B41"/>
    <w:rsid w:val="00372BF7"/>
    <w:rsid w:val="00372EB2"/>
    <w:rsid w:val="00373D03"/>
    <w:rsid w:val="003949C0"/>
    <w:rsid w:val="003A72BC"/>
    <w:rsid w:val="003B01F2"/>
    <w:rsid w:val="003B48A5"/>
    <w:rsid w:val="003E1D84"/>
    <w:rsid w:val="003F05E7"/>
    <w:rsid w:val="0041746A"/>
    <w:rsid w:val="004226AE"/>
    <w:rsid w:val="00451B7D"/>
    <w:rsid w:val="004603F7"/>
    <w:rsid w:val="0049127C"/>
    <w:rsid w:val="004A7C30"/>
    <w:rsid w:val="004B6836"/>
    <w:rsid w:val="004E0AA9"/>
    <w:rsid w:val="004E0DA9"/>
    <w:rsid w:val="00501ADF"/>
    <w:rsid w:val="005319D5"/>
    <w:rsid w:val="00580B49"/>
    <w:rsid w:val="00596FDE"/>
    <w:rsid w:val="005A06B2"/>
    <w:rsid w:val="005A40FB"/>
    <w:rsid w:val="005B2C92"/>
    <w:rsid w:val="005C44A8"/>
    <w:rsid w:val="005D6533"/>
    <w:rsid w:val="00600980"/>
    <w:rsid w:val="006220C6"/>
    <w:rsid w:val="00623EB8"/>
    <w:rsid w:val="00634DE8"/>
    <w:rsid w:val="00641D09"/>
    <w:rsid w:val="006717D5"/>
    <w:rsid w:val="0068307E"/>
    <w:rsid w:val="00687048"/>
    <w:rsid w:val="006A3A0E"/>
    <w:rsid w:val="006D7556"/>
    <w:rsid w:val="006D7A08"/>
    <w:rsid w:val="007018A1"/>
    <w:rsid w:val="00712636"/>
    <w:rsid w:val="00714252"/>
    <w:rsid w:val="00733547"/>
    <w:rsid w:val="0074323F"/>
    <w:rsid w:val="00754682"/>
    <w:rsid w:val="0076488A"/>
    <w:rsid w:val="007906D0"/>
    <w:rsid w:val="007A37D6"/>
    <w:rsid w:val="007D4E5B"/>
    <w:rsid w:val="007F249E"/>
    <w:rsid w:val="007F37BF"/>
    <w:rsid w:val="00801FED"/>
    <w:rsid w:val="00804F49"/>
    <w:rsid w:val="008135FB"/>
    <w:rsid w:val="00814A48"/>
    <w:rsid w:val="00827470"/>
    <w:rsid w:val="0084560D"/>
    <w:rsid w:val="00861445"/>
    <w:rsid w:val="0086684A"/>
    <w:rsid w:val="00870931"/>
    <w:rsid w:val="00876D05"/>
    <w:rsid w:val="008A48B0"/>
    <w:rsid w:val="008C76AF"/>
    <w:rsid w:val="008E1AD3"/>
    <w:rsid w:val="008E3011"/>
    <w:rsid w:val="009058DB"/>
    <w:rsid w:val="00911216"/>
    <w:rsid w:val="009442FD"/>
    <w:rsid w:val="009656B1"/>
    <w:rsid w:val="009658FF"/>
    <w:rsid w:val="00967892"/>
    <w:rsid w:val="009806B7"/>
    <w:rsid w:val="00986E23"/>
    <w:rsid w:val="009C67ED"/>
    <w:rsid w:val="009D10E1"/>
    <w:rsid w:val="009D3C22"/>
    <w:rsid w:val="009D5C70"/>
    <w:rsid w:val="009D73E5"/>
    <w:rsid w:val="009F237F"/>
    <w:rsid w:val="00A1622C"/>
    <w:rsid w:val="00A40076"/>
    <w:rsid w:val="00A45E72"/>
    <w:rsid w:val="00A7211D"/>
    <w:rsid w:val="00A73AD8"/>
    <w:rsid w:val="00A81A2D"/>
    <w:rsid w:val="00A81C3A"/>
    <w:rsid w:val="00A855B0"/>
    <w:rsid w:val="00AA4CB3"/>
    <w:rsid w:val="00AD2F3B"/>
    <w:rsid w:val="00B05D39"/>
    <w:rsid w:val="00B2360F"/>
    <w:rsid w:val="00B24AB5"/>
    <w:rsid w:val="00B32137"/>
    <w:rsid w:val="00B32DDD"/>
    <w:rsid w:val="00B41497"/>
    <w:rsid w:val="00B54A92"/>
    <w:rsid w:val="00B6461E"/>
    <w:rsid w:val="00B74C55"/>
    <w:rsid w:val="00B74F10"/>
    <w:rsid w:val="00B77B4B"/>
    <w:rsid w:val="00BA0F10"/>
    <w:rsid w:val="00BA4E93"/>
    <w:rsid w:val="00BB73BA"/>
    <w:rsid w:val="00BC2FF7"/>
    <w:rsid w:val="00BD48DB"/>
    <w:rsid w:val="00BE7D1C"/>
    <w:rsid w:val="00C33FCF"/>
    <w:rsid w:val="00C37872"/>
    <w:rsid w:val="00C53388"/>
    <w:rsid w:val="00C5470D"/>
    <w:rsid w:val="00C917FC"/>
    <w:rsid w:val="00CA1FD6"/>
    <w:rsid w:val="00CA4215"/>
    <w:rsid w:val="00CC13F4"/>
    <w:rsid w:val="00CE2EA1"/>
    <w:rsid w:val="00CF51E4"/>
    <w:rsid w:val="00D02DA9"/>
    <w:rsid w:val="00D0386B"/>
    <w:rsid w:val="00D221B5"/>
    <w:rsid w:val="00D23BD5"/>
    <w:rsid w:val="00D31AE9"/>
    <w:rsid w:val="00D335D8"/>
    <w:rsid w:val="00D55CA7"/>
    <w:rsid w:val="00D80D3B"/>
    <w:rsid w:val="00D83CC8"/>
    <w:rsid w:val="00DB01FA"/>
    <w:rsid w:val="00DE33C2"/>
    <w:rsid w:val="00DE6F24"/>
    <w:rsid w:val="00E046F4"/>
    <w:rsid w:val="00E16506"/>
    <w:rsid w:val="00E21B49"/>
    <w:rsid w:val="00E27972"/>
    <w:rsid w:val="00E353BE"/>
    <w:rsid w:val="00E6080B"/>
    <w:rsid w:val="00E768BA"/>
    <w:rsid w:val="00E8340B"/>
    <w:rsid w:val="00EE6FE8"/>
    <w:rsid w:val="00F03289"/>
    <w:rsid w:val="00F31821"/>
    <w:rsid w:val="00F342A4"/>
    <w:rsid w:val="00F54D63"/>
    <w:rsid w:val="00F75427"/>
    <w:rsid w:val="00F75C80"/>
    <w:rsid w:val="00F8154D"/>
    <w:rsid w:val="00F84A66"/>
    <w:rsid w:val="00F9299E"/>
    <w:rsid w:val="00F94A28"/>
    <w:rsid w:val="00FB158A"/>
    <w:rsid w:val="00FB4FEA"/>
    <w:rsid w:val="00FB58BA"/>
    <w:rsid w:val="00FC0EDB"/>
    <w:rsid w:val="00FE174F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8401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.europa.eu/competition/antitrust/antitrust_manproc_3_2012_en.pdf" TargetMode="External"/><Relationship Id="rId18" Type="http://schemas.openxmlformats.org/officeDocument/2006/relationships/hyperlink" Target="http://www.sic.gov.co/sites/default/files/files/cartillaabogacia.pdf" TargetMode="External"/><Relationship Id="rId26" Type="http://schemas.openxmlformats.org/officeDocument/2006/relationships/hyperlink" Target="http://www.competitionbureau.gc.ca/eic/site/cb-bc.nsf/eng/03797.html" TargetMode="External"/><Relationship Id="rId39" Type="http://schemas.openxmlformats.org/officeDocument/2006/relationships/hyperlink" Target="http://www.competitionbureau.gc.ca/eic/site/cb-bc.nsf/vwapj/Rebates-e.pdf/$file/Rebates-e.pdf" TargetMode="External"/><Relationship Id="rId21" Type="http://schemas.openxmlformats.org/officeDocument/2006/relationships/hyperlink" Target="http://www.sic.gov.co/sites/default/files/files/Guia_OECD.pdf" TargetMode="External"/><Relationship Id="rId34" Type="http://schemas.openxmlformats.org/officeDocument/2006/relationships/hyperlink" Target="http://www.competitionbureau.gc.ca/eic/site/cb-bc.nsf/eng/h_00665.html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fne.gob.cl/servicios/denuncias-y-tramites-online/" TargetMode="External"/><Relationship Id="rId20" Type="http://schemas.openxmlformats.org/officeDocument/2006/relationships/hyperlink" Target="http://www.sic.gov.co/sites/default/files/files/Manual.pdf" TargetMode="External"/><Relationship Id="rId29" Type="http://schemas.openxmlformats.org/officeDocument/2006/relationships/hyperlink" Target="http://www.competitionbureau.gc.ca/eic/site/cb-bc.nsf/vwapj/cb-pam-abuse-market-power-e.pdf/$FILE/cb-pam-abuse-market-power-e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egrina.carranza@ift.org.mx" TargetMode="External"/><Relationship Id="rId24" Type="http://schemas.openxmlformats.org/officeDocument/2006/relationships/hyperlink" Target="http://www.competitionbureau.gc.ca/eic/site/cb-bc.nsf/eng/04149.html" TargetMode="External"/><Relationship Id="rId32" Type="http://schemas.openxmlformats.org/officeDocument/2006/relationships/hyperlink" Target="http://www.competitionbureau.gc.ca/eic/site/cb-bc.nsf/eng/h_00111.html" TargetMode="External"/><Relationship Id="rId37" Type="http://schemas.openxmlformats.org/officeDocument/2006/relationships/hyperlink" Target="http://www.competitionbureau.gc.ca/eic/site/cb-bc.nsf/vwapj/cb-pam-price-maintenance-web-e.pdf/$FILE/cb-pam-price-maintenance-web-e.pdf" TargetMode="External"/><Relationship Id="rId40" Type="http://schemas.openxmlformats.org/officeDocument/2006/relationships/hyperlink" Target="https://www.ccs.gov.sg/~/media/custom/ccs/files/legislation/ccs%20guidelines/guidelines%20in%20chapters%20with%20layout%20aug%202017/2%20ccs%20guidelines%20on%20the%20section%2034%20prohibition%202016.ash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c.europa.eu/competition/antitrust/legislation/handbook_vol_1_en.pdf" TargetMode="External"/><Relationship Id="rId23" Type="http://schemas.openxmlformats.org/officeDocument/2006/relationships/hyperlink" Target="http://www.competitionbureau.gc.ca/eic/site/cb-bc.nsf/frm-eng/GH&#201;T-7TDNA5" TargetMode="External"/><Relationship Id="rId28" Type="http://schemas.openxmlformats.org/officeDocument/2006/relationships/hyperlink" Target="http://www.competitionbureau.gc.ca/eic/site/cb-bc.nsf/eng/h_00511.html" TargetMode="External"/><Relationship Id="rId36" Type="http://schemas.openxmlformats.org/officeDocument/2006/relationships/hyperlink" Target="http://www.competitionbureau.gc.ca/eic/site/cb-bc.nsf/eng/h_03210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ic.gov.co/sites/default/files/files/UNCTAD.pdf" TargetMode="External"/><Relationship Id="rId31" Type="http://schemas.openxmlformats.org/officeDocument/2006/relationships/hyperlink" Target="http://www.competitionbureau.gc.ca/eic/site/cb-bc.nsf/vwapj/cb-abuse-of-dominance-provisions-e.pdf/$FILE/cb-abuse-of-dominance-provisions-e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competition/antitrust/guidance_en.pdf" TargetMode="External"/><Relationship Id="rId22" Type="http://schemas.openxmlformats.org/officeDocument/2006/relationships/hyperlink" Target="http://www.competitionbureau.gc.ca/eic/site/cb-bc.nsf/eng/02646.html" TargetMode="External"/><Relationship Id="rId27" Type="http://schemas.openxmlformats.org/officeDocument/2006/relationships/hyperlink" Target="http://www.competitionbureau.gc.ca/eic/site/cb-bc.nsf/vwapj/cb-pam-abuse-market-power-e.pdf/$FILE/cb-pam-abuse-market-power-e.pdf" TargetMode="External"/><Relationship Id="rId30" Type="http://schemas.openxmlformats.org/officeDocument/2006/relationships/hyperlink" Target="http://www.competitionbureau.gc.ca/eic/site/cb-bc.nsf/eng/02820.html" TargetMode="External"/><Relationship Id="rId35" Type="http://schemas.openxmlformats.org/officeDocument/2006/relationships/hyperlink" Target="http://www.competitionbureau.gc.ca/eic/site/cb-bc.nsf/vwapj/cb-pam-refusal-web-e.pdf/$FILE/cb-pam-refusal-web-e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tc.gov/enforcement/rules/rules-and-guides" TargetMode="External"/><Relationship Id="rId17" Type="http://schemas.openxmlformats.org/officeDocument/2006/relationships/hyperlink" Target="http://www.fne.gob.cl/wp-content/uploads/2017/10/Gu&#237;a-Restricciones-Verticales.pdf" TargetMode="External"/><Relationship Id="rId25" Type="http://schemas.openxmlformats.org/officeDocument/2006/relationships/hyperlink" Target="http://www.competitionbureau.gc.ca/eic/site/cb-bc.nsf/eng/h_02758.html" TargetMode="External"/><Relationship Id="rId33" Type="http://schemas.openxmlformats.org/officeDocument/2006/relationships/hyperlink" Target="http://www.competitionbureau.gc.ca/eic/site/cb-bc.nsf/vwapj/cb-pam-restrict-supply-web-e.pdf/$FILE/cb-pam-restrict-supply-web-e.pdf" TargetMode="External"/><Relationship Id="rId38" Type="http://schemas.openxmlformats.org/officeDocument/2006/relationships/hyperlink" Target="http://www.competitionbureau.gc.ca/eic/site/cb-bc.nsf/vwapj/Competitor-Collaboration-Guidelines-e-2009-12-22.pdf/$FILE/Competitor-Collaboration-Guidelines-e-2009-12-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8D52F1F70D3147B871117FD1E36B4C" ma:contentTypeVersion="0" ma:contentTypeDescription="Crear nuevo documento." ma:contentTypeScope="" ma:versionID="27a96c2f1942c4513954155dc98c08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B480-D6C9-469F-9696-5DFC98CA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AB4F07-21E6-411A-8FDD-CE38F623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2142</Words>
  <Characters>12148</Characters>
  <Application>Microsoft Office Word</Application>
  <DocSecurity>0</DocSecurity>
  <Lines>220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Alexis Pina Vega</cp:lastModifiedBy>
  <cp:revision>2</cp:revision>
  <cp:lastPrinted>2018-03-02T16:47:00Z</cp:lastPrinted>
  <dcterms:created xsi:type="dcterms:W3CDTF">2018-05-16T23:08:00Z</dcterms:created>
  <dcterms:modified xsi:type="dcterms:W3CDTF">2018-05-16T23:08:00Z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0x010100538D52F1F70D3147B871117FD1E36B4C</vt:lpwstr>
  </property>
</Properties>
</file>