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FB3" w:rsidRPr="00CD2F3E" w:rsidRDefault="006F2FB3" w:rsidP="00CD2F3E">
      <w:pPr>
        <w:pStyle w:val="Ttulo1"/>
        <w:spacing w:after="240"/>
        <w:jc w:val="both"/>
        <w:rPr>
          <w:rFonts w:ascii="ITC Avant Garde" w:eastAsiaTheme="minorHAnsi" w:hAnsi="ITC Avant Garde" w:cs="Arial"/>
          <w:b/>
          <w:bCs/>
          <w:color w:val="auto"/>
          <w:sz w:val="22"/>
          <w:szCs w:val="22"/>
          <w:lang w:eastAsia="es-ES"/>
        </w:rPr>
      </w:pPr>
      <w:r w:rsidRPr="007622C8">
        <w:rPr>
          <w:rFonts w:ascii="ITC Avant Garde" w:eastAsiaTheme="minorHAnsi" w:hAnsi="ITC Avant Garde" w:cs="Arial"/>
          <w:b/>
          <w:bCs/>
          <w:color w:val="auto"/>
          <w:sz w:val="22"/>
          <w:szCs w:val="22"/>
          <w:lang w:eastAsia="es-ES"/>
        </w:rPr>
        <w:t>ACUERDO MEDIANTE EL CUAL EL PLENO DEL INSTITUTO FEDERAL DE TELECOMUNICACIONES DETERMINA SOMETER A CONSULTA PÚBLICA LOS TRÁMITES CONTENIDOS EN LAS DISPOSICIONES DE CARÁCTER GENERAL A CARGO DEL INSTITUTO FEDERAL DE TELECOMUNICACIONES, PARA LA DETECCIÓN DE POSIBLES ÁREAS DE OPORTUNIDAD DE LOS MISMOS</w:t>
      </w:r>
    </w:p>
    <w:p w:rsidR="006F2FB3" w:rsidRPr="00CD2F3E" w:rsidRDefault="006F2FB3" w:rsidP="00CD2F3E">
      <w:pPr>
        <w:pStyle w:val="Ttulo2"/>
        <w:spacing w:after="240"/>
        <w:jc w:val="center"/>
        <w:rPr>
          <w:rFonts w:ascii="ITC Avant Garde" w:hAnsi="ITC Avant Garde"/>
          <w:b/>
          <w:color w:val="auto"/>
          <w:sz w:val="22"/>
          <w:szCs w:val="22"/>
        </w:rPr>
      </w:pPr>
      <w:r w:rsidRPr="007622C8">
        <w:rPr>
          <w:rFonts w:ascii="ITC Avant Garde" w:hAnsi="ITC Avant Garde"/>
          <w:b/>
          <w:color w:val="auto"/>
          <w:sz w:val="22"/>
          <w:szCs w:val="22"/>
        </w:rPr>
        <w:t>ANTECEDENTES</w:t>
      </w:r>
    </w:p>
    <w:p w:rsidR="006F2FB3" w:rsidRPr="00CD2F3E" w:rsidRDefault="006F2FB3" w:rsidP="00CD2F3E">
      <w:pPr>
        <w:numPr>
          <w:ilvl w:val="0"/>
          <w:numId w:val="1"/>
        </w:numPr>
        <w:suppressAutoHyphens/>
        <w:spacing w:after="240" w:line="240" w:lineRule="auto"/>
        <w:jc w:val="both"/>
        <w:rPr>
          <w:rFonts w:ascii="ITC Avant Garde" w:eastAsia="Times New Roman" w:hAnsi="ITC Avant Garde"/>
          <w:kern w:val="2"/>
          <w:lang w:val="es-ES" w:eastAsia="ar-SA"/>
        </w:rPr>
      </w:pPr>
      <w:r w:rsidRPr="007622C8">
        <w:rPr>
          <w:rFonts w:ascii="ITC Avant Garde" w:hAnsi="ITC Avant Garde" w:cs="Arial"/>
          <w:bCs/>
          <w:lang w:eastAsia="es-ES"/>
        </w:rPr>
        <w:t>El 11 de junio de 2013, se publicó en el Diario Oficial de la Federación (en lo sucesivo, el “DOF”) el “</w:t>
      </w:r>
      <w:r w:rsidRPr="007622C8">
        <w:rPr>
          <w:rFonts w:ascii="ITC Avant Garde" w:hAnsi="ITC Avant Garde" w:cs="Arial"/>
          <w:bCs/>
          <w:i/>
          <w:lang w:eastAsia="es-ES"/>
        </w:rPr>
        <w:t>Decreto por el que se reforman y adicionan diversas disposiciones de los artículos 6o., 7o., 27, 28, 73, 78, 94 y 105 de la Constitución Política de los Estados Unidos Mexicanos, en materia de telecomunicaciones”</w:t>
      </w:r>
      <w:r w:rsidRPr="007622C8">
        <w:rPr>
          <w:rFonts w:ascii="ITC Avant Garde" w:hAnsi="ITC Avant Garde" w:cs="Arial"/>
          <w:bCs/>
          <w:lang w:eastAsia="es-ES"/>
        </w:rPr>
        <w:t>,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6F2FB3" w:rsidRPr="00CD2F3E" w:rsidRDefault="006F2FB3" w:rsidP="00CD2F3E">
      <w:pPr>
        <w:numPr>
          <w:ilvl w:val="0"/>
          <w:numId w:val="1"/>
        </w:numPr>
        <w:suppressAutoHyphens/>
        <w:spacing w:after="240" w:line="240" w:lineRule="auto"/>
        <w:jc w:val="both"/>
        <w:rPr>
          <w:rFonts w:ascii="ITC Avant Garde" w:eastAsia="Times New Roman" w:hAnsi="ITC Avant Garde"/>
          <w:kern w:val="2"/>
          <w:lang w:val="es-ES" w:eastAsia="ar-SA"/>
        </w:rPr>
      </w:pPr>
      <w:r w:rsidRPr="007622C8">
        <w:rPr>
          <w:rFonts w:ascii="ITC Avant Garde" w:hAnsi="ITC Avant Garde"/>
        </w:rPr>
        <w:t xml:space="preserve">El 23 de mayo de 2014, se publicó en el DOF el </w:t>
      </w:r>
      <w:r w:rsidRPr="007622C8">
        <w:rPr>
          <w:rFonts w:ascii="ITC Avant Garde" w:hAnsi="ITC Avant Garde"/>
          <w:i/>
        </w:rPr>
        <w:t xml:space="preserve">“Decreto por el que se expide la Ley Federal de Competencia Económica y se reforman y adicionan diversos artículos del Código Penal Federal” </w:t>
      </w:r>
      <w:r w:rsidRPr="007622C8">
        <w:rPr>
          <w:rFonts w:ascii="ITC Avant Garde" w:hAnsi="ITC Avant Garde"/>
        </w:rPr>
        <w:t xml:space="preserve">por virtud del cual se emite la </w:t>
      </w:r>
      <w:r w:rsidRPr="007622C8">
        <w:rPr>
          <w:rFonts w:ascii="ITC Avant Garde" w:hAnsi="ITC Avant Garde"/>
          <w:i/>
        </w:rPr>
        <w:t>Ley Federal de Competencia Económica</w:t>
      </w:r>
      <w:r w:rsidRPr="007622C8">
        <w:rPr>
          <w:rFonts w:ascii="ITC Avant Garde" w:hAnsi="ITC Avant Garde"/>
        </w:rPr>
        <w:t xml:space="preserve"> </w:t>
      </w:r>
      <w:r w:rsidRPr="007622C8">
        <w:rPr>
          <w:rFonts w:ascii="ITC Avant Garde" w:eastAsia="Times New Roman" w:hAnsi="ITC Avant Garde"/>
          <w:kern w:val="2"/>
          <w:lang w:eastAsia="ar-SA"/>
        </w:rPr>
        <w:t>(en lo sucesivo, la “Ley de Competencia”)</w:t>
      </w:r>
      <w:r w:rsidRPr="007622C8">
        <w:rPr>
          <w:rFonts w:ascii="ITC Avant Garde" w:hAnsi="ITC Avant Garde"/>
        </w:rPr>
        <w:t>, mismo que, en términos de lo dispuesto en su</w:t>
      </w:r>
      <w:r w:rsidRPr="007622C8">
        <w:rPr>
          <w:rFonts w:ascii="ITC Avant Garde" w:hAnsi="ITC Avant Garde"/>
          <w:i/>
        </w:rPr>
        <w:t xml:space="preserve"> </w:t>
      </w:r>
      <w:r w:rsidRPr="007622C8">
        <w:rPr>
          <w:rFonts w:ascii="ITC Avant Garde" w:hAnsi="ITC Avant Garde"/>
        </w:rPr>
        <w:t>artículo Primero</w:t>
      </w:r>
      <w:r w:rsidRPr="007622C8">
        <w:rPr>
          <w:rFonts w:ascii="ITC Avant Garde" w:hAnsi="ITC Avant Garde"/>
          <w:i/>
        </w:rPr>
        <w:t xml:space="preserve"> </w:t>
      </w:r>
      <w:r w:rsidRPr="007622C8">
        <w:rPr>
          <w:rFonts w:ascii="ITC Avant Garde" w:hAnsi="ITC Avant Garde"/>
        </w:rPr>
        <w:t>Transitorio entró en vigor al día siguiente de su publicación, esto es, el 24 de mayo de 2014 y el cual</w:t>
      </w:r>
      <w:r w:rsidRPr="007622C8">
        <w:rPr>
          <w:rFonts w:ascii="ITC Avant Garde" w:eastAsia="Times New Roman" w:hAnsi="ITC Avant Garde"/>
          <w:kern w:val="2"/>
          <w:lang w:eastAsia="ar-SA"/>
        </w:rPr>
        <w:t xml:space="preserve"> señala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rsidR="006F2FB3" w:rsidRPr="00CD2F3E" w:rsidRDefault="006F2FB3" w:rsidP="00CD2F3E">
      <w:pPr>
        <w:pStyle w:val="Prrafodelista"/>
        <w:numPr>
          <w:ilvl w:val="0"/>
          <w:numId w:val="1"/>
        </w:numPr>
        <w:spacing w:after="240" w:line="240" w:lineRule="auto"/>
        <w:jc w:val="both"/>
        <w:rPr>
          <w:rFonts w:ascii="ITC Avant Garde" w:hAnsi="ITC Avant Garde"/>
        </w:rPr>
      </w:pPr>
      <w:r w:rsidRPr="007622C8">
        <w:rPr>
          <w:rFonts w:ascii="ITC Avant Garde" w:hAnsi="ITC Avant Garde" w:cs="Arial"/>
          <w:bCs/>
          <w:lang w:eastAsia="es-ES"/>
        </w:rPr>
        <w:t xml:space="preserve">El 14 de julio de 2014, fue publicado en el DOF el </w:t>
      </w:r>
      <w:r w:rsidRPr="007622C8">
        <w:rPr>
          <w:rFonts w:ascii="ITC Avant Garde" w:hAnsi="ITC Avant Garde" w:cs="Arial"/>
          <w:bCs/>
          <w:i/>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622C8">
        <w:rPr>
          <w:rFonts w:ascii="ITC Avant Garde" w:hAnsi="ITC Avant Garde" w:cs="Arial"/>
          <w:bCs/>
          <w:lang w:eastAsia="es-ES"/>
        </w:rPr>
        <w:t>, el cual, en términos de lo dispuesto por su artículo Primero Transitorio, entró en vigor a los 30 (treinta) días naturales siguientes a su publicación en el DOF, esto es el 13 de agosto de 2014.</w:t>
      </w:r>
    </w:p>
    <w:p w:rsidR="006F2FB3" w:rsidRPr="00CD2F3E" w:rsidRDefault="006F2FB3" w:rsidP="00CD2F3E">
      <w:pPr>
        <w:numPr>
          <w:ilvl w:val="0"/>
          <w:numId w:val="1"/>
        </w:numPr>
        <w:spacing w:after="240" w:line="240" w:lineRule="auto"/>
        <w:jc w:val="both"/>
        <w:rPr>
          <w:rFonts w:ascii="ITC Avant Garde" w:hAnsi="ITC Avant Garde" w:cs="Arial"/>
          <w:bCs/>
          <w:lang w:eastAsia="es-ES"/>
        </w:rPr>
      </w:pPr>
      <w:r w:rsidRPr="007622C8">
        <w:rPr>
          <w:rFonts w:ascii="ITC Avant Garde" w:hAnsi="ITC Avant Garde"/>
          <w:lang w:val="es-ES"/>
        </w:rPr>
        <w:t xml:space="preserve">El 4 de septiembre de 2014, se publicó en el DOF el </w:t>
      </w:r>
      <w:r w:rsidRPr="007622C8">
        <w:rPr>
          <w:rFonts w:ascii="ITC Avant Garde" w:hAnsi="ITC Avant Garde"/>
          <w:i/>
          <w:lang w:val="es-ES"/>
        </w:rPr>
        <w:t>“</w:t>
      </w:r>
      <w:r w:rsidRPr="007622C8">
        <w:rPr>
          <w:rFonts w:ascii="ITC Avant Garde" w:hAnsi="ITC Avant Garde"/>
          <w:i/>
          <w:iCs/>
          <w:lang w:val="es-ES"/>
        </w:rPr>
        <w:t>Estatuto Orgánico del Instituto Federal de Telecomunicaciones</w:t>
      </w:r>
      <w:r w:rsidRPr="007622C8">
        <w:rPr>
          <w:rFonts w:ascii="ITC Avant Garde" w:hAnsi="ITC Avant Garde"/>
          <w:i/>
          <w:lang w:val="es-ES"/>
        </w:rPr>
        <w:t>”</w:t>
      </w:r>
      <w:r w:rsidRPr="007622C8">
        <w:rPr>
          <w:rFonts w:ascii="ITC Avant Garde" w:hAnsi="ITC Avant Garde"/>
          <w:lang w:val="es-ES"/>
        </w:rPr>
        <w:t xml:space="preserve"> (en lo sucesivo, el “Estatuto”), mismo que entró en vigor el 26 de septiembre de 2014,</w:t>
      </w:r>
      <w:r w:rsidRPr="007622C8">
        <w:rPr>
          <w:rFonts w:ascii="ITC Avant Garde" w:eastAsia="Times New Roman" w:hAnsi="ITC Avant Garde" w:cs="Arial"/>
          <w:bCs/>
          <w:lang w:eastAsia="es-MX"/>
        </w:rPr>
        <w:t xml:space="preserve"> siendo modificado mediante publicación en el mismo medio de difusión oficial los días 17 de </w:t>
      </w:r>
      <w:r w:rsidRPr="007622C8">
        <w:rPr>
          <w:rFonts w:ascii="ITC Avant Garde" w:eastAsia="Times New Roman" w:hAnsi="ITC Avant Garde" w:cs="Arial"/>
          <w:bCs/>
          <w:lang w:eastAsia="es-MX"/>
        </w:rPr>
        <w:lastRenderedPageBreak/>
        <w:t>octubre del 2014, 17 de octubre de 2016 y 20 de julio de 2017, respectivamente.</w:t>
      </w:r>
    </w:p>
    <w:p w:rsidR="006F2FB3" w:rsidRPr="007622C8" w:rsidRDefault="006F2FB3" w:rsidP="00CD2F3E">
      <w:pPr>
        <w:numPr>
          <w:ilvl w:val="0"/>
          <w:numId w:val="1"/>
        </w:numPr>
        <w:spacing w:after="240" w:line="240" w:lineRule="auto"/>
        <w:jc w:val="both"/>
        <w:rPr>
          <w:rFonts w:ascii="ITC Avant Garde" w:eastAsia="Times New Roman" w:hAnsi="ITC Avant Garde"/>
          <w:kern w:val="2"/>
          <w:lang w:val="es-ES" w:eastAsia="ar-SA"/>
        </w:rPr>
      </w:pPr>
      <w:r w:rsidRPr="007622C8">
        <w:rPr>
          <w:rFonts w:ascii="ITC Avant Garde" w:hAnsi="ITC Avant Garde" w:cs="Arial"/>
          <w:bCs/>
          <w:lang w:eastAsia="es-ES"/>
        </w:rPr>
        <w:t xml:space="preserve">El 12 de enero de 2015, se publicó en el DOF el </w:t>
      </w:r>
      <w:r w:rsidRPr="007622C8">
        <w:rPr>
          <w:rFonts w:ascii="ITC Avant Garde" w:hAnsi="ITC Avant Garde" w:cs="Arial"/>
          <w:bCs/>
          <w:i/>
          <w:lang w:eastAsia="es-ES"/>
        </w:rPr>
        <w:t>“Acuerdo mediante el cual el Pleno del Instituto Federal de Telecomunicaciones expide las Disposiciones Regulatorias de la Ley Federal de Competencia Económica para los sectores de telecomunicaciones y radiodifusión”</w:t>
      </w:r>
      <w:r w:rsidRPr="007622C8">
        <w:rPr>
          <w:rFonts w:ascii="ITC Avant Garde" w:hAnsi="ITC Avant Garde" w:cs="Arial"/>
          <w:bCs/>
          <w:lang w:eastAsia="es-ES"/>
        </w:rPr>
        <w:t>.</w:t>
      </w:r>
    </w:p>
    <w:p w:rsidR="006F2FB3" w:rsidRPr="00CD2F3E" w:rsidRDefault="006F2FB3" w:rsidP="00CD2F3E">
      <w:pPr>
        <w:numPr>
          <w:ilvl w:val="0"/>
          <w:numId w:val="1"/>
        </w:numPr>
        <w:spacing w:after="240" w:line="240" w:lineRule="auto"/>
        <w:jc w:val="both"/>
        <w:rPr>
          <w:rFonts w:ascii="ITC Avant Garde" w:hAnsi="ITC Avant Garde"/>
          <w:b/>
          <w:i/>
        </w:rPr>
      </w:pPr>
      <w:r w:rsidRPr="007622C8">
        <w:rPr>
          <w:rFonts w:ascii="ITC Avant Garde" w:hAnsi="ITC Avant Garde"/>
        </w:rPr>
        <w:t xml:space="preserve">El 8 de noviembre de 2017, se publicó en el DOF el </w:t>
      </w:r>
      <w:r w:rsidRPr="007622C8">
        <w:rPr>
          <w:rFonts w:ascii="ITC Avant Garde" w:hAnsi="ITC Avant Garde"/>
          <w:i/>
        </w:rPr>
        <w:t xml:space="preserve">“Acuerdo mediante el cual el Pleno del Instituto Federal de Telecomunicaciones aprueba y emite los Lineamientos de Consulta Pública y Análisis de Impacto Regulatorio del Instituto Federal de Telecomunicaciones” </w:t>
      </w:r>
      <w:r w:rsidRPr="007622C8">
        <w:rPr>
          <w:rFonts w:ascii="ITC Avant Garde" w:hAnsi="ITC Avant Garde"/>
        </w:rPr>
        <w:t>(en lo sucesivo los “Lineamientos”).</w:t>
      </w:r>
      <w:r w:rsidRPr="007622C8">
        <w:rPr>
          <w:rFonts w:ascii="ITC Avant Garde" w:hAnsi="ITC Avant Garde" w:cs="Arial"/>
          <w:bCs/>
          <w:lang w:eastAsia="es-ES"/>
        </w:rPr>
        <w:t xml:space="preserve"> En términos de lo dispuesto por el artículo Primero Transitorio, los Lineamientos entraron en vigor el 1 de enero de 2018.</w:t>
      </w:r>
    </w:p>
    <w:p w:rsidR="006F2FB3" w:rsidRPr="00CD2F3E" w:rsidRDefault="006F2FB3" w:rsidP="00CD2F3E">
      <w:pPr>
        <w:numPr>
          <w:ilvl w:val="0"/>
          <w:numId w:val="1"/>
        </w:numPr>
        <w:spacing w:after="240" w:line="240" w:lineRule="auto"/>
        <w:jc w:val="both"/>
        <w:rPr>
          <w:rFonts w:ascii="ITC Avant Garde" w:hAnsi="ITC Avant Garde"/>
          <w:b/>
          <w:i/>
        </w:rPr>
      </w:pPr>
      <w:r w:rsidRPr="007622C8">
        <w:rPr>
          <w:rFonts w:ascii="ITC Avant Garde" w:hAnsi="ITC Avant Garde"/>
        </w:rPr>
        <w:t xml:space="preserve">El 18 de mayo de 2018, se publicó en el DOF </w:t>
      </w:r>
      <w:r w:rsidRPr="007622C8">
        <w:rPr>
          <w:rFonts w:ascii="ITC Avant Garde" w:hAnsi="ITC Avant Garde" w:cs="Arial"/>
          <w:bCs/>
          <w:lang w:eastAsia="es-ES"/>
        </w:rPr>
        <w:t xml:space="preserve">el </w:t>
      </w:r>
      <w:r w:rsidRPr="007622C8">
        <w:rPr>
          <w:rFonts w:ascii="ITC Avant Garde" w:hAnsi="ITC Avant Garde" w:cs="Arial"/>
          <w:bCs/>
          <w:i/>
          <w:lang w:eastAsia="es-ES"/>
        </w:rPr>
        <w:t>“Decreto por el que se expide la Ley General de Mejora Regulatoria y se derogan diversas disposiciones de la Ley Federal de Procedimiento Administrativo”</w:t>
      </w:r>
      <w:r w:rsidRPr="007622C8">
        <w:rPr>
          <w:rFonts w:ascii="ITC Avant Garde" w:hAnsi="ITC Avant Garde" w:cs="Arial"/>
          <w:bCs/>
          <w:lang w:eastAsia="es-ES"/>
        </w:rPr>
        <w:t xml:space="preserve">. En términos de lo dispuesto en el artículo Primero Transitorio, entró en vigor al día siguiente de su publicación en el DOF, esto es el </w:t>
      </w:r>
      <w:r w:rsidR="00EB24D7" w:rsidRPr="007622C8">
        <w:rPr>
          <w:rFonts w:ascii="ITC Avant Garde" w:hAnsi="ITC Avant Garde" w:cs="Arial"/>
          <w:bCs/>
          <w:lang w:eastAsia="es-ES"/>
        </w:rPr>
        <w:t>19</w:t>
      </w:r>
      <w:r w:rsidRPr="007622C8">
        <w:rPr>
          <w:rFonts w:ascii="ITC Avant Garde" w:hAnsi="ITC Avant Garde" w:cs="Arial"/>
          <w:bCs/>
          <w:lang w:eastAsia="es-ES"/>
        </w:rPr>
        <w:t xml:space="preserve"> de mayo de 2018. </w:t>
      </w:r>
    </w:p>
    <w:p w:rsidR="006F2FB3" w:rsidRPr="007622C8" w:rsidRDefault="006F2FB3" w:rsidP="00CD2F3E">
      <w:pPr>
        <w:spacing w:after="240" w:line="240" w:lineRule="auto"/>
        <w:jc w:val="both"/>
        <w:rPr>
          <w:rFonts w:ascii="ITC Avant Garde" w:hAnsi="ITC Avant Garde"/>
        </w:rPr>
      </w:pPr>
      <w:r w:rsidRPr="007622C8">
        <w:rPr>
          <w:rFonts w:ascii="ITC Avant Garde" w:hAnsi="ITC Avant Garde"/>
        </w:rPr>
        <w:t xml:space="preserve">En virtud de los antecedentes señalados y, </w:t>
      </w:r>
    </w:p>
    <w:p w:rsidR="00133C84" w:rsidRPr="007622C8" w:rsidRDefault="006F2FB3" w:rsidP="00CD2F3E">
      <w:pPr>
        <w:pStyle w:val="Ttulo2"/>
        <w:spacing w:before="120" w:after="240"/>
        <w:jc w:val="center"/>
        <w:rPr>
          <w:rFonts w:ascii="ITC Avant Garde" w:eastAsia="Times New Roman" w:hAnsi="ITC Avant Garde" w:cstheme="minorBidi"/>
          <w:b/>
          <w:color w:val="auto"/>
          <w:kern w:val="2"/>
          <w:sz w:val="22"/>
          <w:szCs w:val="22"/>
          <w:lang w:val="es-ES" w:eastAsia="ar-SA"/>
        </w:rPr>
      </w:pPr>
      <w:r w:rsidRPr="007622C8">
        <w:rPr>
          <w:rFonts w:ascii="ITC Avant Garde" w:eastAsia="Times New Roman" w:hAnsi="ITC Avant Garde" w:cstheme="minorBidi"/>
          <w:b/>
          <w:color w:val="auto"/>
          <w:kern w:val="2"/>
          <w:sz w:val="22"/>
          <w:szCs w:val="22"/>
          <w:lang w:val="es-ES" w:eastAsia="ar-SA"/>
        </w:rPr>
        <w:t>CONSIDERANDO</w:t>
      </w:r>
    </w:p>
    <w:p w:rsidR="006F2FB3" w:rsidRPr="00CD2F3E" w:rsidRDefault="006F2FB3" w:rsidP="00CD2F3E">
      <w:pPr>
        <w:spacing w:after="240"/>
        <w:jc w:val="both"/>
        <w:rPr>
          <w:rFonts w:ascii="ITC Avant Garde" w:hAnsi="ITC Avant Garde"/>
          <w:i/>
          <w:iCs/>
          <w:lang w:eastAsia="ar-SA"/>
        </w:rPr>
      </w:pPr>
      <w:r w:rsidRPr="007622C8">
        <w:rPr>
          <w:rFonts w:ascii="ITC Avant Garde" w:hAnsi="ITC Avant Garde"/>
          <w:b/>
        </w:rPr>
        <w:t>PRIMERO. - Competencia del Instituto. -</w:t>
      </w:r>
      <w:r w:rsidRPr="007622C8">
        <w:rPr>
          <w:rFonts w:ascii="ITC Avant Garde" w:hAnsi="ITC Avant Garde"/>
          <w:lang w:eastAsia="ar-SA"/>
        </w:rPr>
        <w:t xml:space="preserve"> De conformidad con el párrafo décimo quinto del artículo 28 de la Constitución, el Instituto es un órgano autónomo con personalidad jurídica y patrimonio propios, que tiene por objeto el desarrollo eficiente de la radiodifusión y las telecomunicaciones, conforme a lo dispuesto en la propia Carta Magna y en los términos que fijen las leyes en la materia. </w:t>
      </w:r>
    </w:p>
    <w:p w:rsidR="006F2FB3" w:rsidRPr="007622C8" w:rsidRDefault="006F2FB3" w:rsidP="00CD2F3E">
      <w:pPr>
        <w:suppressAutoHyphens/>
        <w:spacing w:after="240" w:line="240" w:lineRule="auto"/>
        <w:ind w:right="-62"/>
        <w:jc w:val="both"/>
        <w:rPr>
          <w:rFonts w:ascii="ITC Avant Garde" w:eastAsia="Times New Roman" w:hAnsi="ITC Avant Garde"/>
          <w:kern w:val="2"/>
          <w:lang w:eastAsia="ar-SA"/>
        </w:rPr>
      </w:pPr>
      <w:r w:rsidRPr="007622C8">
        <w:rPr>
          <w:rFonts w:ascii="ITC Avant Garde" w:eastAsia="Times New Roman" w:hAnsi="ITC Avant Garde"/>
          <w:kern w:val="2"/>
          <w:lang w:eastAsia="ar-SA"/>
        </w:rPr>
        <w:t xml:space="preserve">Asimismo, de acuerdo a lo dispuesto en el párrafo décimo sexto del artículo 28 Constitucional, el Instituto es también la autoridad en materia de competencia económica de los sectores de radiodifusión y telecomunicaciones, por lo que en éstos ejercerá, en forma exclusiva, las facultades que dicho precepto constitucional y las leyes establecen para la Comisión Federal de Competencia Económica. </w:t>
      </w:r>
    </w:p>
    <w:p w:rsidR="006F2FB3" w:rsidRPr="007622C8" w:rsidRDefault="006F2FB3" w:rsidP="00CD2F3E">
      <w:pPr>
        <w:suppressAutoHyphens/>
        <w:spacing w:after="240" w:line="240" w:lineRule="auto"/>
        <w:ind w:right="-62"/>
        <w:jc w:val="both"/>
        <w:rPr>
          <w:rFonts w:ascii="ITC Avant Garde" w:hAnsi="ITC Avant Garde"/>
        </w:rPr>
      </w:pPr>
      <w:r w:rsidRPr="007622C8">
        <w:rPr>
          <w:rFonts w:ascii="ITC Avant Garde" w:eastAsia="Times New Roman" w:hAnsi="ITC Avant Garde"/>
          <w:kern w:val="2"/>
          <w:lang w:eastAsia="ar-SA"/>
        </w:rPr>
        <w:t>Por su parte, el último párrafo del artículo 25 de la Constitución, en concatenación con los objetivos de los diversos párrafos primero, sexto y noveno, mandata que a fin de promover la competitividad como elemento habilitador de la rectoría del Estado para el desarrollo nacional integral y sustentable, las autoridades de todos los órdenes de gobierno, en el ámbito de su competencia, deberán implementar políticas públicas de mejora regulatoria para la simplificación de regulaciones, trámites, servicios y demás objetivos que establezca la ley general en la materia.</w:t>
      </w:r>
      <w:r w:rsidRPr="007622C8">
        <w:rPr>
          <w:rFonts w:ascii="ITC Avant Garde" w:hAnsi="ITC Avant Garde"/>
        </w:rPr>
        <w:t xml:space="preserve"> </w:t>
      </w:r>
    </w:p>
    <w:p w:rsidR="006F2FB3" w:rsidRPr="007622C8" w:rsidRDefault="006F2FB3" w:rsidP="00CD2F3E">
      <w:pPr>
        <w:suppressAutoHyphens/>
        <w:spacing w:after="240" w:line="240" w:lineRule="auto"/>
        <w:ind w:right="-62"/>
        <w:jc w:val="both"/>
        <w:rPr>
          <w:rFonts w:ascii="ITC Avant Garde" w:eastAsia="Times New Roman" w:hAnsi="ITC Avant Garde"/>
          <w:kern w:val="2"/>
          <w:lang w:eastAsia="ar-SA"/>
        </w:rPr>
      </w:pPr>
      <w:r w:rsidRPr="007622C8">
        <w:rPr>
          <w:rFonts w:ascii="ITC Avant Garde" w:eastAsia="Times New Roman" w:hAnsi="ITC Avant Garde"/>
          <w:kern w:val="2"/>
          <w:lang w:eastAsia="ar-SA"/>
        </w:rPr>
        <w:t xml:space="preserve">Es así que, la Ley General de Mejora Regulatoria (en lo sucesivo, la “Ley General”) establece en su artículo 7, fracciones I, II, IV y V, como principios de la política de </w:t>
      </w:r>
      <w:r w:rsidRPr="007622C8">
        <w:rPr>
          <w:rFonts w:ascii="ITC Avant Garde" w:eastAsia="Times New Roman" w:hAnsi="ITC Avant Garde"/>
          <w:kern w:val="2"/>
          <w:lang w:eastAsia="ar-SA"/>
        </w:rPr>
        <w:lastRenderedPageBreak/>
        <w:t xml:space="preserve">mejora regulatoria, los siguientes: mayores beneficios que costos y el máximo beneficio social, seguridad jurídica que propicie la certidumbre de derechos y obligaciones, coherencia y armonización de las disposiciones que integran el marco regulatorio nacional y simplificación, mejora y no duplicidad en la emisión de regulaciones, trámites y servicios. </w:t>
      </w:r>
    </w:p>
    <w:p w:rsidR="006F2FB3" w:rsidRPr="007622C8" w:rsidRDefault="006F2FB3" w:rsidP="00CD2F3E">
      <w:pPr>
        <w:suppressAutoHyphens/>
        <w:spacing w:after="240" w:line="240" w:lineRule="auto"/>
        <w:ind w:right="-62"/>
        <w:jc w:val="both"/>
        <w:rPr>
          <w:rFonts w:ascii="ITC Avant Garde" w:eastAsia="Times New Roman" w:hAnsi="ITC Avant Garde"/>
          <w:kern w:val="2"/>
          <w:lang w:eastAsia="ar-SA"/>
        </w:rPr>
      </w:pPr>
      <w:r w:rsidRPr="007622C8">
        <w:rPr>
          <w:rFonts w:ascii="ITC Avant Garde" w:eastAsia="Times New Roman" w:hAnsi="ITC Avant Garde"/>
          <w:kern w:val="2"/>
          <w:lang w:eastAsia="ar-SA"/>
        </w:rPr>
        <w:t xml:space="preserve">Asimismo, de conformidad con el artículo 8, fracciones I, II, IV, V, VI, X, XI y XIV, de la disposición legal en comento, se establecen como objetivos de la política de mejora regulatoria: procurar que las regulaciones que se expidan generen beneficios superiores a los costos y produzcan el máximo bienestar para la sociedad; promover la eficacia y eficiencia de la regulación, trámites y servicios de los sujetos obligados; generar seguridad jurídica, claridad y transparencia en la elaboración y aplicación de las regulaciones, trámites y servicios; simplificar y modernizar los trámites y servicios; fomentar una cultura que ponga a las personas como centro de la gestión gubernamental; promover la participación de los sectores público, social, privado y académico en la mejora regulatoria; facilitar a las personas el ejercicio de los derechos y el cumplimiento de sus obligaciones, y coadyuvar en las acciones para reducir el costo económico derivado de los requerimientos de trámites y servicios establecidos por parte de los sujetos obligados. </w:t>
      </w:r>
    </w:p>
    <w:p w:rsidR="006F2FB3" w:rsidRPr="007622C8" w:rsidRDefault="006F2FB3" w:rsidP="00CD2F3E">
      <w:pPr>
        <w:suppressAutoHyphens/>
        <w:spacing w:after="240" w:line="240" w:lineRule="auto"/>
        <w:ind w:right="-62"/>
        <w:jc w:val="both"/>
        <w:rPr>
          <w:rFonts w:ascii="ITC Avant Garde" w:eastAsia="Times New Roman" w:hAnsi="ITC Avant Garde"/>
          <w:kern w:val="2"/>
          <w:lang w:eastAsia="ar-SA"/>
        </w:rPr>
      </w:pPr>
      <w:r w:rsidRPr="007622C8">
        <w:rPr>
          <w:rFonts w:ascii="ITC Avant Garde" w:eastAsia="Times New Roman" w:hAnsi="ITC Avant Garde"/>
          <w:kern w:val="2"/>
          <w:lang w:eastAsia="ar-SA"/>
        </w:rPr>
        <w:t>A mayor abundamiento, en términos de lo señalado por las fracciones XL y XLI del artículo 15, de la Ley Federal de Telecomunicaciones y Radiodifusión (en lo sucesivo, la “Ley”), el Instituto se encuentra facultado para formular, de considerarlo necesario, consultas públicas no vinculatorias, así como establecer disposiciones para sus procesos de mejora regulatoria en materia de telecomunicaciones y radiodifusión. Por su parte, el artículo 51 de la Ley, dispone que cuando el Pleno del Instituto así lo determine, se realizarán consultas públicas bajo los principios de transparencia y participación ciudadana.</w:t>
      </w:r>
    </w:p>
    <w:p w:rsidR="006F2FB3" w:rsidRPr="007622C8" w:rsidRDefault="006F2FB3" w:rsidP="00CD2F3E">
      <w:pPr>
        <w:suppressAutoHyphens/>
        <w:spacing w:after="240" w:line="240" w:lineRule="auto"/>
        <w:ind w:right="-62"/>
        <w:jc w:val="both"/>
        <w:rPr>
          <w:rFonts w:ascii="ITC Avant Garde" w:eastAsia="Times New Roman" w:hAnsi="ITC Avant Garde"/>
          <w:kern w:val="2"/>
          <w:lang w:val="es-ES" w:eastAsia="ar-SA"/>
        </w:rPr>
      </w:pPr>
      <w:r w:rsidRPr="007622C8">
        <w:rPr>
          <w:rFonts w:ascii="ITC Avant Garde" w:eastAsia="Times New Roman" w:hAnsi="ITC Avant Garde"/>
          <w:kern w:val="2"/>
          <w:lang w:val="es-ES" w:eastAsia="ar-SA"/>
        </w:rPr>
        <w:t>En específico, el Instituto, de conformidad con el inciso iv), fracción VIII, del artículo 4 del Estatuto cuenta dentro de su estructura con la Coordinación General de Mejora Regulatoria (en lo sucesivo, la “Coordinación General”), la cual tiene a su cargo el proceso de mejora regulatoria en los sectores regulados por el Instituto. De manera particular, la fracción XIV, del artículo 75 del mencionado ordenamiento, prevé que corresponderá a la citada unidad administrativa, revisar el marco regulatorio, diagnosticar su aplicación y elaborar para consideración del Pleno del Instituto, disposiciones para sus procesos de mejora regulatoria en los sectores de telecomunicaciones y radiodifusión.</w:t>
      </w:r>
    </w:p>
    <w:p w:rsidR="006F2FB3" w:rsidRPr="00CD2F3E" w:rsidRDefault="006F2FB3" w:rsidP="00CD2F3E">
      <w:pPr>
        <w:suppressAutoHyphens/>
        <w:spacing w:after="240" w:line="240" w:lineRule="auto"/>
        <w:ind w:right="-62"/>
        <w:jc w:val="both"/>
        <w:rPr>
          <w:rFonts w:ascii="ITC Avant Garde" w:eastAsia="Times New Roman" w:hAnsi="ITC Avant Garde"/>
          <w:kern w:val="2"/>
          <w:lang w:val="es-ES" w:eastAsia="ar-SA"/>
        </w:rPr>
      </w:pPr>
      <w:r w:rsidRPr="007622C8">
        <w:rPr>
          <w:rFonts w:ascii="ITC Avant Garde" w:eastAsia="Times New Roman" w:hAnsi="ITC Avant Garde"/>
          <w:kern w:val="2"/>
          <w:lang w:val="es-ES" w:eastAsia="ar-SA"/>
        </w:rPr>
        <w:t xml:space="preserve">En razón de lo anterior, la fracción III, del numeral Tercero de los Lineamientos, precisa la facultad del Instituto de realizar Consultas Públicas de Evaluación con la finalidad de recabar información, comentarios, opiniones, aportaciones u otros elementos de análisis por parte de cualquier persona, sobre el efecto de las regulaciones y políticas regulatorias emitidas por el Pleno del Instituto y que se encuentren vigentes, a fin de evaluar </w:t>
      </w:r>
      <w:r w:rsidRPr="007622C8">
        <w:rPr>
          <w:rFonts w:ascii="ITC Avant Garde" w:eastAsia="Times New Roman" w:hAnsi="ITC Avant Garde"/>
          <w:kern w:val="2"/>
          <w:lang w:eastAsia="ar-SA"/>
        </w:rPr>
        <w:t>su eficacia, eficiencia, impacto y permanencia con relación a las circunstancias por las que fueron creadas.</w:t>
      </w:r>
    </w:p>
    <w:p w:rsidR="005D0544" w:rsidRPr="00CD2F3E" w:rsidRDefault="006F2FB3" w:rsidP="00CD2F3E">
      <w:pPr>
        <w:suppressAutoHyphens/>
        <w:spacing w:after="240" w:line="240" w:lineRule="auto"/>
        <w:ind w:right="-62"/>
        <w:jc w:val="both"/>
        <w:rPr>
          <w:rStyle w:val="Ttulo3Car"/>
          <w:rFonts w:ascii="ITC Avant Garde" w:eastAsia="Times New Roman" w:hAnsi="ITC Avant Garde" w:cstheme="minorBidi"/>
          <w:color w:val="auto"/>
          <w:kern w:val="2"/>
          <w:sz w:val="22"/>
          <w:szCs w:val="22"/>
          <w:lang w:val="es-ES" w:eastAsia="ar-SA"/>
        </w:rPr>
      </w:pPr>
      <w:r w:rsidRPr="007622C8">
        <w:rPr>
          <w:rFonts w:ascii="ITC Avant Garde" w:eastAsia="Times New Roman" w:hAnsi="ITC Avant Garde"/>
          <w:kern w:val="2"/>
          <w:lang w:val="es-ES" w:eastAsia="ar-SA"/>
        </w:rPr>
        <w:lastRenderedPageBreak/>
        <w:t xml:space="preserve">Por lo anterior, </w:t>
      </w:r>
      <w:r w:rsidRPr="007622C8">
        <w:rPr>
          <w:rFonts w:ascii="ITC Avant Garde" w:eastAsia="Times New Roman" w:hAnsi="ITC Avant Garde"/>
          <w:kern w:val="2"/>
          <w:lang w:eastAsia="ar-SA"/>
        </w:rPr>
        <w:t>c</w:t>
      </w:r>
      <w:r w:rsidRPr="007622C8">
        <w:rPr>
          <w:rFonts w:ascii="ITC Avant Garde" w:eastAsia="Times New Roman" w:hAnsi="ITC Avant Garde"/>
          <w:kern w:val="2"/>
          <w:lang w:val="es-ES" w:eastAsia="ar-SA"/>
        </w:rPr>
        <w:t>on fundamento en los artículos 6o., 7o. y 28, párrafos décimo quinto, décimo sexto y vigésimo, fracción I de la Constitución Política de los Estados Unidos Mexicanos; 1, 2, 7, 15, fracciones XL y XLI, 17, fracción I, y 51 de la Ley Federal de Telecomunicaciones y Radiodifusión; 5, 12, fracciones X, XXII inciso g) tercer párrafo, XXX, y 138 de la Ley Federal de Competencia Económica; y 1, 4, fracción I, y 6, fracciones XXV, XXXVII y XXXVIII del Estatuto Orgánico del Instituto Federal de Telecomunicaciones, así como la fracción I del numeral Primero y la fracción III del numeral Tercero de los Lineamientos de Consulta Pública y Análisis de Impacto Regulatorio del Instituto Federal de Telecomunicaciones, el Pleno como órgano máximo de gobierno del Instituto, es competente para emitir el presente Acuerdo.</w:t>
      </w:r>
    </w:p>
    <w:p w:rsidR="006F2FB3" w:rsidRPr="00CD2F3E" w:rsidRDefault="006F2FB3" w:rsidP="00CD2F3E">
      <w:pPr>
        <w:spacing w:before="960" w:after="240"/>
        <w:jc w:val="both"/>
        <w:rPr>
          <w:rFonts w:ascii="ITC Avant Garde" w:hAnsi="ITC Avant Garde"/>
          <w:i/>
          <w:lang w:eastAsia="ar-SA"/>
        </w:rPr>
      </w:pPr>
      <w:r w:rsidRPr="007622C8">
        <w:rPr>
          <w:rStyle w:val="Ttulo3Car"/>
          <w:rFonts w:ascii="ITC Avant Garde" w:hAnsi="ITC Avant Garde"/>
          <w:b/>
          <w:color w:val="auto"/>
          <w:sz w:val="22"/>
          <w:szCs w:val="22"/>
        </w:rPr>
        <w:t>SEGUNDO. - Evaluación ex post. -</w:t>
      </w:r>
      <w:r w:rsidRPr="007622C8">
        <w:rPr>
          <w:rFonts w:ascii="ITC Avant Garde" w:hAnsi="ITC Avant Garde"/>
          <w:lang w:eastAsia="ar-SA"/>
        </w:rPr>
        <w:t xml:space="preserve"> El Instituto tiene a su cargo la mejora regulatoria en los sectores de telecomunicaciones y radiodifusión; la cual, es considerada una política pública cuyo objeto, de conformidad con la Organización para la Cooperación y el Desarrollo Económicos (en lo sucesivo, la “OCDE”) es garantizar que las normas y los marcos regulatorios se justifiquen, sean de buena calidad y adecuados para su propósito</w:t>
      </w:r>
      <w:r w:rsidRPr="007622C8">
        <w:rPr>
          <w:rStyle w:val="Refdenotaalpie"/>
          <w:rFonts w:ascii="ITC Avant Garde" w:hAnsi="ITC Avant Garde"/>
          <w:kern w:val="2"/>
          <w:lang w:eastAsia="ar-SA"/>
        </w:rPr>
        <w:footnoteReference w:id="1"/>
      </w:r>
      <w:r w:rsidRPr="007622C8">
        <w:rPr>
          <w:rFonts w:ascii="ITC Avant Garde" w:hAnsi="ITC Avant Garde"/>
          <w:lang w:eastAsia="ar-SA"/>
        </w:rPr>
        <w:t xml:space="preserve">. </w:t>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 xml:space="preserve">En ese tenor, diversos organismos internacionales ven en la mejora regulatoria una política que los gobiernos deben fomentar y practicar para lograr un actuar más efectivo y eficiente. Ésta, se auxilia para su implementación, entre otros, de la evaluación </w:t>
      </w:r>
      <w:r w:rsidRPr="007622C8">
        <w:rPr>
          <w:rFonts w:ascii="ITC Avant Garde" w:hAnsi="ITC Avant Garde"/>
          <w:i/>
          <w:kern w:val="2"/>
          <w:lang w:eastAsia="ar-SA"/>
        </w:rPr>
        <w:t>ex ante</w:t>
      </w:r>
      <w:r w:rsidRPr="007622C8">
        <w:rPr>
          <w:rFonts w:ascii="ITC Avant Garde" w:hAnsi="ITC Avant Garde"/>
          <w:kern w:val="2"/>
          <w:lang w:eastAsia="ar-SA"/>
        </w:rPr>
        <w:t xml:space="preserve"> y </w:t>
      </w:r>
      <w:r w:rsidRPr="007622C8">
        <w:rPr>
          <w:rFonts w:ascii="ITC Avant Garde" w:hAnsi="ITC Avant Garde"/>
          <w:i/>
          <w:kern w:val="2"/>
          <w:lang w:eastAsia="ar-SA"/>
        </w:rPr>
        <w:t xml:space="preserve">ex post </w:t>
      </w:r>
      <w:r w:rsidRPr="007622C8">
        <w:rPr>
          <w:rFonts w:ascii="ITC Avant Garde" w:hAnsi="ITC Avant Garde"/>
          <w:kern w:val="2"/>
          <w:lang w:eastAsia="ar-SA"/>
        </w:rPr>
        <w:t>de las regulaciones, así como de la participación ciudadana a través de las consultas públicas en la elaboración de nuevas disposiciones de carácter general, así como las existentes, generando un vínculo proactivo entre el Gobierno y los regulados.</w:t>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Al efecto, el Consejo de Política y Gobernanza Regulatoria de la OCDE, señaló en el año 2012, dentro de las Recomendaciones del Consejo sobre Política y Gobernanza Regulatoria, la necesidad de los Gobiernos en comprometerse al más alto nivel político con una política expresa de gobierno completo para la calidad regulatoria</w:t>
      </w:r>
      <w:r w:rsidRPr="007622C8">
        <w:rPr>
          <w:rStyle w:val="Refdenotaalpie"/>
          <w:rFonts w:ascii="ITC Avant Garde" w:hAnsi="ITC Avant Garde"/>
          <w:kern w:val="2"/>
          <w:lang w:eastAsia="ar-SA"/>
        </w:rPr>
        <w:footnoteReference w:id="2"/>
      </w:r>
      <w:r w:rsidRPr="007622C8">
        <w:rPr>
          <w:rFonts w:ascii="ITC Avant Garde" w:hAnsi="ITC Avant Garde"/>
          <w:kern w:val="2"/>
          <w:lang w:eastAsia="ar-SA"/>
        </w:rPr>
        <w:t xml:space="preserve">. </w:t>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 xml:space="preserve">Siendo uno de los elementos fundamentales de ésta, mantener un sistema de gestión regulatoria, que incluya la evaluación de impacto ex ante y ex post como elementos fundamentales del proceso de toma de decisiones basado en evidencia. De esta manera, es necesaria la evaluación de las políticas existentes a través del análisis de impacto </w:t>
      </w:r>
      <w:r w:rsidRPr="007622C8">
        <w:rPr>
          <w:rFonts w:ascii="ITC Avant Garde" w:hAnsi="ITC Avant Garde"/>
          <w:i/>
          <w:kern w:val="2"/>
          <w:lang w:eastAsia="ar-SA"/>
        </w:rPr>
        <w:t>ex post</w:t>
      </w:r>
      <w:r w:rsidRPr="007622C8">
        <w:rPr>
          <w:rFonts w:ascii="ITC Avant Garde" w:hAnsi="ITC Avant Garde"/>
          <w:kern w:val="2"/>
          <w:lang w:eastAsia="ar-SA"/>
        </w:rPr>
        <w:t xml:space="preserve"> con la finalidad de asegurar que las regulaciones sean efectivas y eficientes. En algunas circunstancias, los procesos </w:t>
      </w:r>
      <w:r w:rsidRPr="007622C8">
        <w:rPr>
          <w:rFonts w:ascii="ITC Avant Garde" w:hAnsi="ITC Avant Garde"/>
          <w:kern w:val="2"/>
          <w:lang w:eastAsia="ar-SA"/>
        </w:rPr>
        <w:lastRenderedPageBreak/>
        <w:t xml:space="preserve">formales de análisis de impacto </w:t>
      </w:r>
      <w:r w:rsidRPr="007622C8">
        <w:rPr>
          <w:rFonts w:ascii="ITC Avant Garde" w:hAnsi="ITC Avant Garde"/>
          <w:i/>
          <w:kern w:val="2"/>
          <w:lang w:eastAsia="ar-SA"/>
        </w:rPr>
        <w:t xml:space="preserve">ex post </w:t>
      </w:r>
      <w:r w:rsidRPr="007622C8">
        <w:rPr>
          <w:rFonts w:ascii="ITC Avant Garde" w:hAnsi="ITC Avant Garde"/>
          <w:kern w:val="2"/>
          <w:lang w:eastAsia="ar-SA"/>
        </w:rPr>
        <w:t xml:space="preserve">pueden ser más efectivos que el análisis </w:t>
      </w:r>
      <w:r w:rsidRPr="007622C8">
        <w:rPr>
          <w:rFonts w:ascii="ITC Avant Garde" w:hAnsi="ITC Avant Garde"/>
          <w:i/>
          <w:kern w:val="2"/>
          <w:lang w:eastAsia="ar-SA"/>
        </w:rPr>
        <w:t>ex ante</w:t>
      </w:r>
      <w:r w:rsidRPr="007622C8">
        <w:rPr>
          <w:rFonts w:ascii="ITC Avant Garde" w:hAnsi="ITC Avant Garde"/>
          <w:kern w:val="2"/>
          <w:lang w:eastAsia="ar-SA"/>
        </w:rPr>
        <w:t xml:space="preserve"> para informar sobre el debate de políticas en curso </w:t>
      </w:r>
      <w:r w:rsidRPr="007622C8">
        <w:rPr>
          <w:rStyle w:val="Refdenotaalpie"/>
          <w:rFonts w:ascii="ITC Avant Garde" w:hAnsi="ITC Avant Garde"/>
          <w:kern w:val="2"/>
          <w:lang w:eastAsia="ar-SA"/>
        </w:rPr>
        <w:footnoteReference w:id="3"/>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 xml:space="preserve">En razón de la recomendación emitida por el Consejo de Política y Gobernanza Regulatoria de la OCDE sobre efectuar la evaluación de la regulación vigente, como política de mejora regulatoria, es menester precisar que la evaluación </w:t>
      </w:r>
      <w:r w:rsidRPr="007622C8">
        <w:rPr>
          <w:rFonts w:ascii="ITC Avant Garde" w:hAnsi="ITC Avant Garde"/>
          <w:i/>
          <w:kern w:val="2"/>
          <w:lang w:eastAsia="ar-SA"/>
        </w:rPr>
        <w:t>ex post</w:t>
      </w:r>
      <w:r w:rsidRPr="007622C8">
        <w:rPr>
          <w:rFonts w:ascii="ITC Avant Garde" w:hAnsi="ITC Avant Garde"/>
          <w:kern w:val="2"/>
          <w:lang w:eastAsia="ar-SA"/>
        </w:rPr>
        <w:t xml:space="preserve"> se define como la herramienta por medio de la cual, según ese organismo internacional, se lleva a cabo una revisión sistemática del inventario regulatorio para asegurar que las regulaciones se mantienen hasta la fecha, con beneficios mayores a sus costos, son consistentes y cumplen con los objetivos de política previstos</w:t>
      </w:r>
      <w:r w:rsidRPr="007622C8">
        <w:rPr>
          <w:rStyle w:val="Refdenotaalpie"/>
          <w:rFonts w:ascii="ITC Avant Garde" w:hAnsi="ITC Avant Garde"/>
          <w:kern w:val="2"/>
          <w:lang w:eastAsia="ar-SA"/>
        </w:rPr>
        <w:footnoteReference w:id="4"/>
      </w:r>
      <w:r w:rsidRPr="007622C8">
        <w:rPr>
          <w:rFonts w:ascii="ITC Avant Garde" w:hAnsi="ITC Avant Garde"/>
          <w:kern w:val="2"/>
          <w:lang w:eastAsia="ar-SA"/>
        </w:rPr>
        <w:t>. Esto es, si están bien diseñadas y son aptas para el propósito por el cual fueron creadas en razón de los cambios de carácter social, económico, político o tecnológico suscitados con posterioridad a la propia emisión de las regulaciones.</w:t>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 xml:space="preserve">Asimismo, es importante precisar que el papel que desempeña la revisión </w:t>
      </w:r>
      <w:r w:rsidRPr="007622C8">
        <w:rPr>
          <w:rFonts w:ascii="ITC Avant Garde" w:hAnsi="ITC Avant Garde"/>
          <w:i/>
          <w:kern w:val="2"/>
          <w:lang w:eastAsia="ar-SA"/>
        </w:rPr>
        <w:t>ex post</w:t>
      </w:r>
      <w:r w:rsidRPr="007622C8">
        <w:rPr>
          <w:rFonts w:ascii="ITC Avant Garde" w:hAnsi="ITC Avant Garde"/>
          <w:kern w:val="2"/>
          <w:lang w:eastAsia="ar-SA"/>
        </w:rPr>
        <w:t xml:space="preserve"> permite complementar y renovar el ciclo de gobernanza regulatoria, además, implica la necesidad de una interpretación integral. Ello, debido a que las revisiones </w:t>
      </w:r>
      <w:r w:rsidRPr="007622C8">
        <w:rPr>
          <w:rFonts w:ascii="ITC Avant Garde" w:hAnsi="ITC Avant Garde"/>
          <w:i/>
          <w:kern w:val="2"/>
          <w:lang w:eastAsia="ar-SA"/>
        </w:rPr>
        <w:t>ex post</w:t>
      </w:r>
      <w:r w:rsidRPr="007622C8">
        <w:rPr>
          <w:rFonts w:ascii="ITC Avant Garde" w:hAnsi="ITC Avant Garde"/>
          <w:kern w:val="2"/>
          <w:lang w:eastAsia="ar-SA"/>
        </w:rPr>
        <w:t xml:space="preserve"> tienen una simetría con las evaluaciones </w:t>
      </w:r>
      <w:r w:rsidRPr="007622C8">
        <w:rPr>
          <w:rFonts w:ascii="ITC Avant Garde" w:hAnsi="ITC Avant Garde"/>
          <w:i/>
          <w:kern w:val="2"/>
          <w:lang w:eastAsia="ar-SA"/>
        </w:rPr>
        <w:t>ex ante</w:t>
      </w:r>
      <w:r w:rsidRPr="007622C8">
        <w:rPr>
          <w:rFonts w:ascii="ITC Avant Garde" w:hAnsi="ITC Avant Garde"/>
          <w:kern w:val="2"/>
          <w:lang w:eastAsia="ar-SA"/>
        </w:rPr>
        <w:t xml:space="preserve"> al verificar que los objetivos establecidos se han cumplido en la práctica</w:t>
      </w:r>
      <w:r w:rsidRPr="007622C8">
        <w:rPr>
          <w:rStyle w:val="Refdenotaalpie"/>
          <w:rFonts w:ascii="ITC Avant Garde" w:hAnsi="ITC Avant Garde"/>
          <w:kern w:val="2"/>
          <w:lang w:eastAsia="ar-SA"/>
        </w:rPr>
        <w:footnoteReference w:id="5"/>
      </w:r>
      <w:r w:rsidRPr="007622C8">
        <w:rPr>
          <w:rFonts w:ascii="ITC Avant Garde" w:hAnsi="ITC Avant Garde"/>
          <w:kern w:val="2"/>
          <w:lang w:eastAsia="ar-SA"/>
        </w:rPr>
        <w:t xml:space="preserve"> , a fin de identificar problemas aplicativos en el contexto actual de la regulación, así como impactos específicos de rendimiento y cuestiones de interés, y a su vez, implementar mejoras basadas en políticas similares. </w:t>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 xml:space="preserve">Al respecto, la OCDE ha identificado a partir del análisis de prácticas internacionales de evaluación </w:t>
      </w:r>
      <w:r w:rsidRPr="007622C8">
        <w:rPr>
          <w:rFonts w:ascii="ITC Avant Garde" w:hAnsi="ITC Avant Garde"/>
          <w:i/>
          <w:kern w:val="2"/>
          <w:lang w:eastAsia="ar-SA"/>
        </w:rPr>
        <w:t>ex post</w:t>
      </w:r>
      <w:r w:rsidRPr="007622C8">
        <w:rPr>
          <w:rFonts w:ascii="ITC Avant Garde" w:hAnsi="ITC Avant Garde"/>
          <w:kern w:val="2"/>
          <w:lang w:eastAsia="ar-SA"/>
        </w:rPr>
        <w:t xml:space="preserve">, tres enfoques o aproximaciones principales a saber </w:t>
      </w:r>
      <w:r w:rsidRPr="007622C8">
        <w:rPr>
          <w:rStyle w:val="Refdenotaalpie"/>
          <w:rFonts w:ascii="ITC Avant Garde" w:hAnsi="ITC Avant Garde"/>
          <w:kern w:val="2"/>
          <w:lang w:eastAsia="ar-SA"/>
        </w:rPr>
        <w:footnoteReference w:id="6"/>
      </w:r>
      <w:r w:rsidRPr="007622C8">
        <w:rPr>
          <w:rFonts w:ascii="ITC Avant Garde" w:hAnsi="ITC Avant Garde"/>
          <w:kern w:val="2"/>
          <w:lang w:eastAsia="ar-SA"/>
        </w:rPr>
        <w:t>:</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Gestión continúa: es aquel enfoque dirigido a los requisitos administrativos y plantea la utilización de métodos de compensación en la emisión de regulaciones (e.g. one-in one-out);</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Mecanismos de revisión programada: es aquel enfoque en el que la revisión se identifica y plantea con anticipación, por ejemplo, la inclusión de cláusulas de revisión en una regulación al momento de su promulgación, y</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Revisiones ad hoc: es aquel enfoque en el que las revisiones responden a una finalidad específica o involucran un inventario más amplio de regulaciones.</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 xml:space="preserve">La OCDE señala que este enfoque provee una oportunidad periódica para identificar áreas problemáticas actuales de sectores específicos o </w:t>
      </w:r>
      <w:r w:rsidRPr="00CD2F3E">
        <w:rPr>
          <w:rFonts w:ascii="ITC Avant Garde" w:hAnsi="ITC Avant Garde"/>
          <w:bCs/>
        </w:rPr>
        <w:lastRenderedPageBreak/>
        <w:t xml:space="preserve">de la economía en su integridad. De la misma manera, dicho organismo internacional apunta que este tipo de revisiones resulta apropiado para regímenes regulatorios que involucran complejidades e interacciones significativas y/o que son altamente contenciosos. </w:t>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 xml:space="preserve">Al efecto, las herramientas analíticas básicas recomendadas de la evaluación </w:t>
      </w:r>
      <w:r w:rsidRPr="007622C8">
        <w:rPr>
          <w:rFonts w:ascii="ITC Avant Garde" w:hAnsi="ITC Avant Garde"/>
          <w:i/>
          <w:kern w:val="2"/>
          <w:lang w:eastAsia="ar-SA"/>
        </w:rPr>
        <w:t>ex post</w:t>
      </w:r>
      <w:r w:rsidRPr="007622C8">
        <w:rPr>
          <w:rFonts w:ascii="ITC Avant Garde" w:hAnsi="ITC Avant Garde"/>
          <w:kern w:val="2"/>
          <w:lang w:eastAsia="ar-SA"/>
        </w:rPr>
        <w:t xml:space="preserve"> al régimen regulatorio son las siguientes y responden a cuestionamientos precisos, a saber</w:t>
      </w:r>
      <w:r w:rsidRPr="007622C8">
        <w:rPr>
          <w:rStyle w:val="Refdenotaalpie"/>
          <w:rFonts w:ascii="ITC Avant Garde" w:hAnsi="ITC Avant Garde"/>
          <w:kern w:val="2"/>
          <w:lang w:eastAsia="ar-SA"/>
        </w:rPr>
        <w:footnoteReference w:id="7"/>
      </w:r>
      <w:r w:rsidRPr="007622C8">
        <w:rPr>
          <w:rFonts w:ascii="ITC Avant Garde" w:hAnsi="ITC Avant Garde"/>
          <w:kern w:val="2"/>
          <w:lang w:eastAsia="ar-SA"/>
        </w:rPr>
        <w:t>:</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Oportunidad: la revisión debe analizar como un umbral a cumplir, si se mantiene un razonamiento válido para regular;</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Efectividad: la revisión debe determinar si la regulación (o el conjunto de regulaciones) en efecto cumple los objetivos por los cuales fue creada;</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Eficiencia: la revisión debe determinar si la regulación da lugar a costos innecesarios (fuera de aquellos necesarios para alcanzar el objetivo regulatorio) u otros impactos no pretendidos, y</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 xml:space="preserve">Alternativas: la revisión debe considerar si es necesario modificar la regulación o reemplazarla con instrumentos alternativos. </w:t>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Por su parte, el Consejo de Política y Gobernanza Regulatoria advierte la importancia de adherirse, en materia de política regulatoria, a los principios de gobierno abierto, considerando la transparencia y la participación en el proceso regulatorio a fin de asegurar que la regulación se encuentre al servicio del interés público y se consideren las necesidades legítimas de aquellos a quienes concierne y afecta. Esto conlleva a ofrecer oportunidades significativas (incluso en línea) para que el público contribuya al proceso regulatorio en todas sus etapas</w:t>
      </w:r>
      <w:r w:rsidRPr="007622C8">
        <w:rPr>
          <w:rStyle w:val="Refdenotaalpie"/>
          <w:rFonts w:ascii="ITC Avant Garde" w:hAnsi="ITC Avant Garde"/>
          <w:kern w:val="2"/>
          <w:lang w:eastAsia="ar-SA"/>
        </w:rPr>
        <w:footnoteReference w:id="8"/>
      </w:r>
      <w:r w:rsidRPr="007622C8">
        <w:rPr>
          <w:rFonts w:ascii="ITC Avant Garde" w:hAnsi="ITC Avant Garde"/>
          <w:kern w:val="2"/>
          <w:lang w:eastAsia="ar-SA"/>
        </w:rPr>
        <w:t xml:space="preserve">. </w:t>
      </w:r>
    </w:p>
    <w:p w:rsidR="006F2FB3" w:rsidRPr="007622C8" w:rsidRDefault="006F2FB3" w:rsidP="00CD2F3E">
      <w:pPr>
        <w:spacing w:after="240" w:line="240" w:lineRule="auto"/>
        <w:jc w:val="both"/>
        <w:rPr>
          <w:rFonts w:ascii="ITC Avant Garde" w:hAnsi="ITC Avant Garde"/>
          <w:kern w:val="2"/>
          <w:lang w:eastAsia="ar-SA"/>
        </w:rPr>
      </w:pPr>
      <w:r w:rsidRPr="007622C8">
        <w:rPr>
          <w:rFonts w:ascii="ITC Avant Garde" w:hAnsi="ITC Avant Garde"/>
          <w:kern w:val="2"/>
          <w:lang w:eastAsia="ar-SA"/>
        </w:rPr>
        <w:t xml:space="preserve">Derivado de lo anterior, como parte del proceso de evaluación </w:t>
      </w:r>
      <w:r w:rsidRPr="007622C8">
        <w:rPr>
          <w:rFonts w:ascii="ITC Avant Garde" w:hAnsi="ITC Avant Garde"/>
          <w:i/>
          <w:kern w:val="2"/>
          <w:lang w:eastAsia="ar-SA"/>
        </w:rPr>
        <w:t>ex post</w:t>
      </w:r>
      <w:r w:rsidRPr="007622C8">
        <w:rPr>
          <w:rFonts w:ascii="ITC Avant Garde" w:hAnsi="ITC Avant Garde"/>
          <w:kern w:val="2"/>
          <w:lang w:eastAsia="ar-SA"/>
        </w:rPr>
        <w:t xml:space="preserve"> de la regulación, es necesario someter a escrutinio de los interesados, a través de procesos de consulta pública, el régimen jurídico sujeto a evaluación. En este sentido, considerando que la función de la evaluación </w:t>
      </w:r>
      <w:r w:rsidRPr="007622C8">
        <w:rPr>
          <w:rFonts w:ascii="ITC Avant Garde" w:hAnsi="ITC Avant Garde"/>
          <w:i/>
          <w:kern w:val="2"/>
          <w:lang w:eastAsia="ar-SA"/>
        </w:rPr>
        <w:t>ex post</w:t>
      </w:r>
      <w:r w:rsidRPr="007622C8">
        <w:rPr>
          <w:rFonts w:ascii="ITC Avant Garde" w:hAnsi="ITC Avant Garde"/>
          <w:kern w:val="2"/>
          <w:lang w:eastAsia="ar-SA"/>
        </w:rPr>
        <w:t xml:space="preserve"> es evaluar qué tan bien una regulación se ha ejecutado en la práctica, es importante consultar con aquellos directamente afectados</w:t>
      </w:r>
      <w:r w:rsidRPr="007622C8">
        <w:rPr>
          <w:rStyle w:val="Refdenotaalpie"/>
          <w:rFonts w:ascii="ITC Avant Garde" w:hAnsi="ITC Avant Garde"/>
          <w:kern w:val="2"/>
          <w:lang w:eastAsia="ar-SA"/>
        </w:rPr>
        <w:footnoteReference w:id="9"/>
      </w:r>
      <w:r w:rsidRPr="007622C8">
        <w:rPr>
          <w:rFonts w:ascii="ITC Avant Garde" w:hAnsi="ITC Avant Garde"/>
          <w:kern w:val="2"/>
          <w:lang w:eastAsia="ar-SA"/>
        </w:rPr>
        <w:t>. De igual manera, comprometerse con la sociedad civil en general, en lo tocante a la revisión, puede ayudar a equilibrar las preocupaciones acerca de los costos con una mejor apreciación de los beneficios.</w:t>
      </w:r>
    </w:p>
    <w:p w:rsidR="006F2FB3" w:rsidRPr="007622C8" w:rsidRDefault="006F2FB3" w:rsidP="00CD2F3E">
      <w:pPr>
        <w:spacing w:after="240"/>
        <w:jc w:val="both"/>
        <w:rPr>
          <w:rFonts w:ascii="ITC Avant Garde" w:hAnsi="ITC Avant Garde"/>
          <w:i/>
          <w:lang w:eastAsia="ar-SA"/>
        </w:rPr>
      </w:pPr>
      <w:r w:rsidRPr="007622C8">
        <w:rPr>
          <w:rStyle w:val="Ttulo3Car"/>
          <w:rFonts w:ascii="ITC Avant Garde" w:hAnsi="ITC Avant Garde"/>
          <w:b/>
          <w:color w:val="auto"/>
          <w:sz w:val="22"/>
          <w:szCs w:val="22"/>
        </w:rPr>
        <w:t>TERCERO.- Problemática.-</w:t>
      </w:r>
      <w:r w:rsidRPr="007622C8">
        <w:rPr>
          <w:rStyle w:val="Ttulo3Car"/>
          <w:rFonts w:ascii="ITC Avant Garde" w:hAnsi="ITC Avant Garde"/>
          <w:b/>
          <w:color w:val="auto"/>
        </w:rPr>
        <w:t xml:space="preserve"> </w:t>
      </w:r>
      <w:r w:rsidRPr="007622C8">
        <w:rPr>
          <w:rFonts w:ascii="ITC Avant Garde" w:eastAsia="Times New Roman" w:hAnsi="ITC Avant Garde"/>
          <w:lang w:val="es-ES" w:eastAsia="ar-SA"/>
        </w:rPr>
        <w:t xml:space="preserve">El Instituto </w:t>
      </w:r>
      <w:r w:rsidRPr="007622C8">
        <w:rPr>
          <w:rFonts w:ascii="ITC Avant Garde" w:hAnsi="ITC Avant Garde"/>
          <w:lang w:eastAsia="ar-SA"/>
        </w:rPr>
        <w:t xml:space="preserve">de conformidad con lo dispuesto en los artículos 4, fracción VIII, inciso iv), y 75 del Estatuto, cuenta dentro de su estructura orgánica con la Coordinación General, misma que además de tener a su cargo el proceso de mejora regulatoria de este órgano constitucional autónomo, conforma </w:t>
      </w:r>
      <w:r w:rsidRPr="007622C8">
        <w:rPr>
          <w:rFonts w:ascii="ITC Avant Garde" w:hAnsi="ITC Avant Garde"/>
          <w:lang w:eastAsia="ar-SA"/>
        </w:rPr>
        <w:lastRenderedPageBreak/>
        <w:t>y administra el Inventario de Trámites del Instituto (en lo sucesivo, el “Inventario”) en el portal de Internet de este ente gubernamental, el cual, contiene todos los trámites que derivan de las leyes, normas, reglas, lineamientos o disposiciones de carácter general, a cargo de las unidades administrativas de éste.</w:t>
      </w:r>
    </w:p>
    <w:p w:rsidR="006F2FB3" w:rsidRPr="007622C8" w:rsidRDefault="006F2FB3" w:rsidP="00CD2F3E">
      <w:pPr>
        <w:spacing w:after="240" w:line="240" w:lineRule="auto"/>
        <w:jc w:val="both"/>
        <w:rPr>
          <w:rFonts w:ascii="ITC Avant Garde" w:hAnsi="ITC Avant Garde"/>
          <w:bCs/>
          <w:kern w:val="2"/>
          <w:lang w:eastAsia="ar-SA"/>
        </w:rPr>
      </w:pPr>
      <w:r w:rsidRPr="007622C8">
        <w:rPr>
          <w:rFonts w:ascii="ITC Avant Garde" w:hAnsi="ITC Avant Garde"/>
          <w:bCs/>
          <w:kern w:val="2"/>
          <w:lang w:eastAsia="ar-SA"/>
        </w:rPr>
        <w:t xml:space="preserve">Como órgano regulador en el sector de telecomunicaciones y radiodifusión, así como en materia de competencia económica en dichos sectores, el Instituto emite distintas regulaciones, las cuales en la mayor parte de los casos crean trámites y que, de acuerdo a lo señalado por el artículo 3, fracción XXI de la Ley General, se entenderán como </w:t>
      </w:r>
      <w:r w:rsidRPr="007622C8">
        <w:rPr>
          <w:rFonts w:ascii="ITC Avant Garde" w:hAnsi="ITC Avant Garde"/>
          <w:bCs/>
          <w:i/>
          <w:kern w:val="2"/>
          <w:lang w:eastAsia="ar-SA"/>
        </w:rPr>
        <w:t>“[c]ualquier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w:t>
      </w:r>
      <w:r w:rsidRPr="007622C8">
        <w:rPr>
          <w:rFonts w:ascii="ITC Avant Garde" w:hAnsi="ITC Avant Garde"/>
          <w:bCs/>
          <w:kern w:val="2"/>
          <w:lang w:eastAsia="ar-SA"/>
        </w:rPr>
        <w:t>.</w:t>
      </w:r>
    </w:p>
    <w:p w:rsidR="006F2FB3" w:rsidRPr="007622C8" w:rsidRDefault="006F2FB3" w:rsidP="00CD2F3E">
      <w:pPr>
        <w:spacing w:after="240" w:line="240" w:lineRule="auto"/>
        <w:jc w:val="both"/>
        <w:rPr>
          <w:rFonts w:ascii="ITC Avant Garde" w:hAnsi="ITC Avant Garde"/>
          <w:bCs/>
          <w:kern w:val="2"/>
          <w:lang w:eastAsia="ar-SA"/>
        </w:rPr>
      </w:pPr>
      <w:r w:rsidRPr="007622C8">
        <w:rPr>
          <w:rFonts w:ascii="ITC Avant Garde" w:hAnsi="ITC Avant Garde"/>
          <w:bCs/>
          <w:kern w:val="2"/>
          <w:lang w:eastAsia="ar-SA"/>
        </w:rPr>
        <w:t>En razón de lo anterior, con relación a la política de mejora regulatoria para los sectores de las telecomunicaciones y radiodifusión, el Instituto ha empleado algunas metodologías para conocer el impacto de los trámites que tiene a su cargo, a saber:</w:t>
      </w:r>
    </w:p>
    <w:p w:rsidR="006F2FB3" w:rsidRPr="007622C8" w:rsidRDefault="006F2FB3" w:rsidP="00CD2F3E">
      <w:pPr>
        <w:pStyle w:val="Ttulo2"/>
        <w:spacing w:after="240"/>
        <w:rPr>
          <w:rFonts w:ascii="ITC Avant Garde" w:hAnsi="ITC Avant Garde"/>
          <w:b/>
          <w:color w:val="auto"/>
          <w:sz w:val="24"/>
          <w:szCs w:val="24"/>
          <w:lang w:eastAsia="ar-SA"/>
        </w:rPr>
      </w:pPr>
      <w:r w:rsidRPr="007622C8">
        <w:rPr>
          <w:rFonts w:ascii="ITC Avant Garde" w:hAnsi="ITC Avant Garde"/>
          <w:b/>
          <w:color w:val="auto"/>
          <w:sz w:val="24"/>
          <w:szCs w:val="24"/>
          <w:lang w:eastAsia="ar-SA"/>
        </w:rPr>
        <w:t>Modelo de Costeo Estándar</w:t>
      </w:r>
    </w:p>
    <w:p w:rsidR="006F2FB3" w:rsidRPr="007622C8" w:rsidRDefault="006F2FB3" w:rsidP="00CD2F3E">
      <w:pPr>
        <w:spacing w:after="240" w:line="240" w:lineRule="auto"/>
        <w:ind w:left="360"/>
        <w:jc w:val="both"/>
        <w:rPr>
          <w:rFonts w:ascii="ITC Avant Garde" w:hAnsi="ITC Avant Garde"/>
          <w:bCs/>
          <w:kern w:val="2"/>
          <w:lang w:eastAsia="ar-SA"/>
        </w:rPr>
      </w:pPr>
      <w:r w:rsidRPr="007622C8">
        <w:rPr>
          <w:rFonts w:ascii="ITC Avant Garde" w:hAnsi="ITC Avant Garde"/>
          <w:bCs/>
          <w:kern w:val="2"/>
          <w:lang w:eastAsia="ar-SA"/>
        </w:rPr>
        <w:t>El Modelo de Costeo Estándar es una metodología empleada por la mayor parte de los países miembros de la OCDE para medir y reducir la carga administrativa de sus trámites.</w:t>
      </w:r>
    </w:p>
    <w:p w:rsidR="006F2FB3" w:rsidRPr="007622C8" w:rsidRDefault="006F2FB3" w:rsidP="00CD2F3E">
      <w:pPr>
        <w:spacing w:after="240" w:line="240" w:lineRule="auto"/>
        <w:ind w:left="360"/>
        <w:jc w:val="both"/>
        <w:rPr>
          <w:rFonts w:ascii="ITC Avant Garde" w:hAnsi="ITC Avant Garde"/>
          <w:bCs/>
          <w:kern w:val="2"/>
          <w:lang w:eastAsia="ar-SA"/>
        </w:rPr>
      </w:pPr>
      <w:r w:rsidRPr="007622C8">
        <w:rPr>
          <w:rFonts w:ascii="ITC Avant Garde" w:hAnsi="ITC Avant Garde"/>
          <w:bCs/>
          <w:kern w:val="2"/>
          <w:lang w:eastAsia="ar-SA"/>
        </w:rPr>
        <w:t>En razón de ello, el Instituto ha empleado el Modelo de Costeo Estándar (en lo sucesivo, el “MCE”), que consiste en determinar qué tan gravosas son las actividades administrativas estándar</w:t>
      </w:r>
      <w:r w:rsidRPr="007622C8">
        <w:rPr>
          <w:rStyle w:val="Refdenotaalpie"/>
          <w:rFonts w:ascii="ITC Avant Garde" w:hAnsi="ITC Avant Garde"/>
          <w:lang w:eastAsia="ar-SA"/>
        </w:rPr>
        <w:footnoteReference w:id="10"/>
      </w:r>
      <w:r w:rsidRPr="007622C8">
        <w:rPr>
          <w:rFonts w:ascii="ITC Avant Garde" w:hAnsi="ITC Avant Garde"/>
          <w:bCs/>
          <w:kern w:val="2"/>
          <w:lang w:eastAsia="ar-SA"/>
        </w:rPr>
        <w:t xml:space="preserve"> que tiene que realizar un interesado (i.e. empresa) para dar cumplimiento a un trámite en particular, es decir, conocer la carga administrativa asociada a éste, identificando posibles áreas de oportunidad, a efecto de que posteriormente se propongan acciones y estrategias que permitan un mejor uso de los recursos.</w:t>
      </w:r>
    </w:p>
    <w:p w:rsidR="006F2FB3" w:rsidRPr="007622C8" w:rsidRDefault="006F2FB3" w:rsidP="00CD2F3E">
      <w:pPr>
        <w:spacing w:after="240" w:line="240" w:lineRule="auto"/>
        <w:ind w:left="360"/>
        <w:jc w:val="both"/>
        <w:rPr>
          <w:rFonts w:ascii="ITC Avant Garde" w:hAnsi="ITC Avant Garde"/>
          <w:bCs/>
          <w:kern w:val="2"/>
          <w:lang w:eastAsia="ar-SA"/>
        </w:rPr>
      </w:pPr>
      <w:r w:rsidRPr="007622C8">
        <w:rPr>
          <w:rFonts w:ascii="ITC Avant Garde" w:hAnsi="ITC Avant Garde"/>
          <w:bCs/>
          <w:kern w:val="2"/>
          <w:lang w:eastAsia="ar-SA"/>
        </w:rPr>
        <w:t xml:space="preserve">Sin embargo, el MCE no es completo, ya que omite los costos financieros, los costos de oportunidad y el pago de derechos y aprovechamientos, que en su caso, incurre el interesado en el cumplimiento de un trámite, de igual manera no incorpora un enfoque para usuarios ni audiencias sino solamente para empresas. </w:t>
      </w:r>
    </w:p>
    <w:p w:rsidR="007622C8" w:rsidRPr="007622C8" w:rsidRDefault="006F2FB3" w:rsidP="00CD2F3E">
      <w:pPr>
        <w:pStyle w:val="Ttulo2"/>
        <w:spacing w:after="240"/>
        <w:rPr>
          <w:rFonts w:ascii="ITC Avant Garde" w:hAnsi="ITC Avant Garde"/>
          <w:b/>
          <w:color w:val="auto"/>
          <w:sz w:val="24"/>
          <w:szCs w:val="24"/>
          <w:lang w:eastAsia="ar-SA"/>
        </w:rPr>
      </w:pPr>
      <w:r w:rsidRPr="007622C8">
        <w:rPr>
          <w:rFonts w:ascii="ITC Avant Garde" w:hAnsi="ITC Avant Garde"/>
          <w:b/>
          <w:color w:val="auto"/>
          <w:sz w:val="24"/>
          <w:szCs w:val="24"/>
          <w:lang w:eastAsia="ar-SA"/>
        </w:rPr>
        <w:lastRenderedPageBreak/>
        <w:t>Diagramación de los procesos internos relacionados con los trámites del Instituto.</w:t>
      </w:r>
    </w:p>
    <w:p w:rsidR="006F2FB3" w:rsidRPr="007622C8" w:rsidRDefault="006F2FB3" w:rsidP="00CD2F3E">
      <w:pPr>
        <w:spacing w:after="240" w:line="240" w:lineRule="auto"/>
        <w:ind w:left="360"/>
        <w:jc w:val="both"/>
        <w:rPr>
          <w:rFonts w:ascii="ITC Avant Garde" w:hAnsi="ITC Avant Garde"/>
          <w:bCs/>
          <w:kern w:val="2"/>
          <w:lang w:eastAsia="ar-SA"/>
        </w:rPr>
      </w:pPr>
      <w:r w:rsidRPr="007622C8">
        <w:rPr>
          <w:rFonts w:ascii="ITC Avant Garde" w:hAnsi="ITC Avant Garde"/>
          <w:bCs/>
          <w:kern w:val="2"/>
          <w:lang w:eastAsia="ar-SA"/>
        </w:rPr>
        <w:t>El Instituto efectuó, con el apoyo de las unidades administrativas responsables de los trámites, el mapeo y diagramación de los procesos de los trámites contenidos en su Inventario a efecto de identificar y proponer mejoras en su operación.</w:t>
      </w:r>
    </w:p>
    <w:p w:rsidR="006F2FB3" w:rsidRPr="007622C8" w:rsidRDefault="006F2FB3" w:rsidP="00CD2F3E">
      <w:pPr>
        <w:spacing w:after="240" w:line="240" w:lineRule="auto"/>
        <w:ind w:left="360"/>
        <w:jc w:val="both"/>
        <w:rPr>
          <w:rFonts w:ascii="ITC Avant Garde" w:hAnsi="ITC Avant Garde"/>
          <w:bCs/>
          <w:kern w:val="2"/>
          <w:lang w:eastAsia="ar-SA"/>
        </w:rPr>
      </w:pPr>
      <w:r w:rsidRPr="007622C8">
        <w:rPr>
          <w:rFonts w:ascii="ITC Avant Garde" w:hAnsi="ITC Avant Garde"/>
          <w:bCs/>
          <w:kern w:val="2"/>
          <w:lang w:eastAsia="ar-SA"/>
        </w:rPr>
        <w:t>No obstante, al igual que el MCE, la generación de propuestas de optimización de los trámites en el proyecto de Diagramación fueron identificadas desde el interior del Instituto, sin involucrar a la población a la cual se dirigen los trámites.</w:t>
      </w:r>
    </w:p>
    <w:p w:rsidR="006F2FB3" w:rsidRPr="007622C8" w:rsidRDefault="006F2FB3" w:rsidP="00CD2F3E">
      <w:pPr>
        <w:spacing w:after="240" w:line="240" w:lineRule="auto"/>
        <w:jc w:val="both"/>
        <w:rPr>
          <w:rFonts w:ascii="ITC Avant Garde" w:hAnsi="ITC Avant Garde"/>
          <w:bCs/>
          <w:kern w:val="2"/>
          <w:lang w:eastAsia="ar-SA"/>
        </w:rPr>
      </w:pPr>
      <w:r w:rsidRPr="007622C8">
        <w:rPr>
          <w:rFonts w:ascii="ITC Avant Garde" w:hAnsi="ITC Avant Garde"/>
          <w:bCs/>
          <w:kern w:val="2"/>
          <w:lang w:eastAsia="ar-SA"/>
        </w:rPr>
        <w:t>En razón de lo anterior, aún y cuando el Instituto ha efectuado diversas acciones en materia de mejora regulatoria con relación a los trámites a su cargo, se considera necesario fortalecer los esfuerzos realizados para seguir mejorando su regulación a fin de garantizar la eficiente prestación de los servicios públicos de interés general en los sectores de las telecomunicaciones y la radiodifusión, considerando los impactos que éstos tienen en la industria, los usuarios y las audiencias.</w:t>
      </w:r>
    </w:p>
    <w:p w:rsidR="006F2FB3" w:rsidRPr="007622C8" w:rsidRDefault="006F2FB3" w:rsidP="00CD2F3E">
      <w:pPr>
        <w:spacing w:after="240" w:line="240" w:lineRule="auto"/>
        <w:jc w:val="both"/>
        <w:rPr>
          <w:rFonts w:ascii="ITC Avant Garde" w:hAnsi="ITC Avant Garde"/>
          <w:bCs/>
          <w:kern w:val="2"/>
          <w:lang w:eastAsia="ar-SA"/>
        </w:rPr>
      </w:pPr>
      <w:r w:rsidRPr="007622C8">
        <w:rPr>
          <w:rFonts w:ascii="ITC Avant Garde" w:hAnsi="ITC Avant Garde"/>
          <w:bCs/>
          <w:kern w:val="2"/>
          <w:lang w:eastAsia="ar-SA"/>
        </w:rPr>
        <w:t>De esta manera, se considera de especial conveniencia centrar, en primera instancia, el proceso de revisión de la regulación, en aquélla que da origen a los diversos trámites a cargo del Instituto, en razón de ser ésta la figura que constantemente se prevé en la regulación en la materia, además de constituirse como la interacción remota, constante, progresiva y proactiva con sus regulados.</w:t>
      </w:r>
    </w:p>
    <w:p w:rsidR="006F2FB3" w:rsidRPr="007622C8" w:rsidRDefault="006F2FB3" w:rsidP="00CD2F3E">
      <w:pPr>
        <w:spacing w:after="240" w:line="240" w:lineRule="auto"/>
        <w:jc w:val="both"/>
        <w:rPr>
          <w:rFonts w:ascii="ITC Avant Garde" w:hAnsi="ITC Avant Garde"/>
          <w:bCs/>
          <w:kern w:val="2"/>
          <w:lang w:eastAsia="ar-SA"/>
        </w:rPr>
      </w:pPr>
      <w:r w:rsidRPr="007622C8">
        <w:rPr>
          <w:rFonts w:ascii="ITC Avant Garde" w:hAnsi="ITC Avant Garde"/>
          <w:bCs/>
          <w:kern w:val="2"/>
          <w:lang w:eastAsia="ar-SA"/>
        </w:rPr>
        <w:t>Así, el someter a consulta pública los trámites contenidos en el Inventario, así como la identificación de posibles áreas de oportunidad, permitirá contar con un insumo esencial para emprender diversas acciones tendientes a la mejora continua, optimización, simplificación administrativa, mejora regulatoria e implementación de tecnologías de la información, que se refleje en un mejor aprovechamiento de recursos.</w:t>
      </w:r>
    </w:p>
    <w:p w:rsidR="006F2FB3" w:rsidRPr="007622C8" w:rsidRDefault="006F2FB3" w:rsidP="00CD2F3E">
      <w:pPr>
        <w:spacing w:after="240" w:line="240" w:lineRule="auto"/>
        <w:jc w:val="both"/>
        <w:rPr>
          <w:rFonts w:ascii="ITC Avant Garde" w:hAnsi="ITC Avant Garde"/>
          <w:bCs/>
        </w:rPr>
      </w:pPr>
      <w:r w:rsidRPr="007622C8">
        <w:rPr>
          <w:rFonts w:ascii="ITC Avant Garde" w:hAnsi="ITC Avant Garde"/>
          <w:bCs/>
        </w:rPr>
        <w:t>Por su parte, México desde 1994 es parte de los países miembros de la OCDE, la cual tiene como objeto promover políticas que mejoren el bienestar económico y social de las personas alrededor del mundo como es, entre otras, la política de mejora regulatoria.</w:t>
      </w:r>
    </w:p>
    <w:p w:rsidR="006F2FB3" w:rsidRPr="007622C8" w:rsidRDefault="006F2FB3" w:rsidP="00CD2F3E">
      <w:pPr>
        <w:spacing w:after="240" w:line="240" w:lineRule="auto"/>
        <w:jc w:val="both"/>
        <w:rPr>
          <w:rFonts w:ascii="ITC Avant Garde" w:hAnsi="ITC Avant Garde"/>
          <w:bCs/>
        </w:rPr>
      </w:pPr>
      <w:r w:rsidRPr="007622C8">
        <w:rPr>
          <w:rFonts w:ascii="ITC Avant Garde" w:hAnsi="ITC Avant Garde"/>
          <w:bCs/>
        </w:rPr>
        <w:t xml:space="preserve">La política de mejora regulatoria, como se precisó en el Considerando Segundo, tiene por objeto establecer acciones con la finalidad de que tanto el régimen jurídico sujeto a emisión como el vigente, estén debidamente justificados, sean de buena calidad y adecuados para su propósito. En específico, la evaluación </w:t>
      </w:r>
      <w:r w:rsidRPr="007622C8">
        <w:rPr>
          <w:rFonts w:ascii="ITC Avant Garde" w:hAnsi="ITC Avant Garde"/>
          <w:bCs/>
          <w:i/>
        </w:rPr>
        <w:t>ex post</w:t>
      </w:r>
      <w:r w:rsidRPr="007622C8">
        <w:rPr>
          <w:rFonts w:ascii="ITC Avant Garde" w:hAnsi="ITC Avant Garde"/>
          <w:bCs/>
        </w:rPr>
        <w:t>, como mecanismo aplicable en la política de mejora regulatoria asegura que la normativa aplicable, sea efectiva y consistente.</w:t>
      </w:r>
    </w:p>
    <w:p w:rsidR="006F2FB3" w:rsidRPr="007622C8" w:rsidRDefault="006F2FB3" w:rsidP="00CD2F3E">
      <w:pPr>
        <w:spacing w:after="240" w:line="240" w:lineRule="auto"/>
        <w:jc w:val="both"/>
        <w:rPr>
          <w:rFonts w:ascii="ITC Avant Garde" w:hAnsi="ITC Avant Garde"/>
          <w:bCs/>
        </w:rPr>
      </w:pPr>
      <w:r w:rsidRPr="007622C8">
        <w:rPr>
          <w:rFonts w:ascii="ITC Avant Garde" w:hAnsi="ITC Avant Garde"/>
          <w:bCs/>
        </w:rPr>
        <w:t xml:space="preserve">En ese sentido, la OCDE en su </w:t>
      </w:r>
      <w:r w:rsidRPr="007622C8">
        <w:rPr>
          <w:rFonts w:ascii="ITC Avant Garde" w:hAnsi="ITC Avant Garde"/>
          <w:bCs/>
          <w:i/>
        </w:rPr>
        <w:t>Preliminary Draft of the 2018 Regulatory Policy Outlook</w:t>
      </w:r>
      <w:r w:rsidRPr="007622C8">
        <w:rPr>
          <w:rFonts w:ascii="ITC Avant Garde" w:hAnsi="ITC Avant Garde"/>
          <w:bCs/>
        </w:rPr>
        <w:t xml:space="preserve">,  estableció cuatro indicadores para medir la práctica de evaluación </w:t>
      </w:r>
      <w:r w:rsidRPr="007622C8">
        <w:rPr>
          <w:rFonts w:ascii="ITC Avant Garde" w:hAnsi="ITC Avant Garde"/>
          <w:bCs/>
          <w:i/>
        </w:rPr>
        <w:t xml:space="preserve">ex </w:t>
      </w:r>
      <w:r w:rsidRPr="007622C8">
        <w:rPr>
          <w:rFonts w:ascii="ITC Avant Garde" w:hAnsi="ITC Avant Garde"/>
          <w:bCs/>
          <w:i/>
        </w:rPr>
        <w:lastRenderedPageBreak/>
        <w:t>post</w:t>
      </w:r>
      <w:r w:rsidRPr="007622C8">
        <w:rPr>
          <w:rFonts w:ascii="ITC Avant Garde" w:hAnsi="ITC Avant Garde"/>
          <w:bCs/>
        </w:rPr>
        <w:t xml:space="preserve"> de los países miembros, entre otras políticas de mejora regulatoria</w:t>
      </w:r>
      <w:r w:rsidRPr="007622C8">
        <w:rPr>
          <w:rStyle w:val="Refdenotaalpie"/>
          <w:rFonts w:ascii="ITC Avant Garde" w:hAnsi="ITC Avant Garde"/>
          <w:bCs/>
        </w:rPr>
        <w:footnoteReference w:id="11"/>
      </w:r>
      <w:r w:rsidRPr="007622C8">
        <w:rPr>
          <w:rFonts w:ascii="ITC Avant Garde" w:hAnsi="ITC Avant Garde"/>
          <w:bCs/>
        </w:rPr>
        <w:t>, consistentes en los siguientes:</w:t>
      </w:r>
    </w:p>
    <w:p w:rsidR="006F2FB3" w:rsidRPr="007622C8" w:rsidRDefault="006F2FB3" w:rsidP="00CD2F3E">
      <w:pPr>
        <w:numPr>
          <w:ilvl w:val="0"/>
          <w:numId w:val="5"/>
        </w:numPr>
        <w:spacing w:after="240" w:line="240" w:lineRule="auto"/>
        <w:ind w:right="424"/>
        <w:jc w:val="both"/>
        <w:rPr>
          <w:rFonts w:ascii="ITC Avant Garde" w:hAnsi="ITC Avant Garde"/>
          <w:bCs/>
        </w:rPr>
      </w:pPr>
      <w:r w:rsidRPr="007622C8">
        <w:rPr>
          <w:rFonts w:ascii="ITC Avant Garde" w:hAnsi="ITC Avant Garde"/>
          <w:bCs/>
        </w:rPr>
        <w:t>Adopción sistemática: registra los requisitos formales y con qué frecuencia se llevan a cabo en la práctica;</w:t>
      </w:r>
    </w:p>
    <w:p w:rsidR="006F2FB3" w:rsidRPr="007622C8" w:rsidRDefault="006F2FB3" w:rsidP="00CD2F3E">
      <w:pPr>
        <w:numPr>
          <w:ilvl w:val="0"/>
          <w:numId w:val="5"/>
        </w:numPr>
        <w:spacing w:after="240" w:line="240" w:lineRule="auto"/>
        <w:ind w:right="424"/>
        <w:jc w:val="both"/>
        <w:rPr>
          <w:rFonts w:ascii="ITC Avant Garde" w:hAnsi="ITC Avant Garde"/>
          <w:bCs/>
        </w:rPr>
      </w:pPr>
      <w:r w:rsidRPr="007622C8">
        <w:rPr>
          <w:rFonts w:ascii="ITC Avant Garde" w:hAnsi="ITC Avant Garde"/>
          <w:bCs/>
        </w:rPr>
        <w:t>Metodología: mide los métodos utilizados;</w:t>
      </w:r>
    </w:p>
    <w:p w:rsidR="006F2FB3" w:rsidRPr="007622C8" w:rsidRDefault="006F2FB3" w:rsidP="00CD2F3E">
      <w:pPr>
        <w:numPr>
          <w:ilvl w:val="0"/>
          <w:numId w:val="5"/>
        </w:numPr>
        <w:spacing w:after="240" w:line="240" w:lineRule="auto"/>
        <w:ind w:right="424"/>
        <w:jc w:val="both"/>
        <w:rPr>
          <w:rFonts w:ascii="ITC Avant Garde" w:hAnsi="ITC Avant Garde"/>
          <w:bCs/>
        </w:rPr>
      </w:pPr>
      <w:r w:rsidRPr="007622C8">
        <w:rPr>
          <w:rFonts w:ascii="ITC Avant Garde" w:hAnsi="ITC Avant Garde"/>
          <w:bCs/>
        </w:rPr>
        <w:t>Supervisión y Control de Calidad: mide el papel de los órganos de supervisión y las evaluaciones disponibles, y</w:t>
      </w:r>
    </w:p>
    <w:p w:rsidR="006F2FB3" w:rsidRPr="007622C8" w:rsidRDefault="006F2FB3" w:rsidP="00CD2F3E">
      <w:pPr>
        <w:numPr>
          <w:ilvl w:val="0"/>
          <w:numId w:val="5"/>
        </w:numPr>
        <w:spacing w:after="240" w:line="240" w:lineRule="auto"/>
        <w:ind w:right="424"/>
        <w:jc w:val="both"/>
        <w:rPr>
          <w:rFonts w:ascii="ITC Avant Garde" w:hAnsi="ITC Avant Garde"/>
          <w:bCs/>
        </w:rPr>
      </w:pPr>
      <w:r w:rsidRPr="007622C8">
        <w:rPr>
          <w:rFonts w:ascii="ITC Avant Garde" w:hAnsi="ITC Avant Garde"/>
          <w:bCs/>
        </w:rPr>
        <w:t>Transparencia: registra la información que refiere a los principios de gobierno abierto.</w:t>
      </w:r>
    </w:p>
    <w:p w:rsidR="006F2FB3" w:rsidRPr="007622C8" w:rsidRDefault="009F2491" w:rsidP="00CD2F3E">
      <w:pPr>
        <w:spacing w:after="240" w:line="240" w:lineRule="auto"/>
        <w:jc w:val="both"/>
        <w:rPr>
          <w:rFonts w:ascii="ITC Avant Garde" w:hAnsi="ITC Avant Garde"/>
          <w:bCs/>
        </w:rPr>
      </w:pPr>
      <w:r w:rsidRPr="007622C8">
        <w:rPr>
          <w:rFonts w:ascii="ITC Avant Garde" w:hAnsi="ITC Avant Garde"/>
          <w:noProof/>
          <w:lang w:eastAsia="es-MX"/>
        </w:rPr>
        <w:drawing>
          <wp:inline distT="0" distB="0" distL="0" distR="0">
            <wp:extent cx="5962650" cy="3405505"/>
            <wp:effectExtent l="0" t="0" r="0" b="4445"/>
            <wp:docPr id="4" name="Imagen 4" descr="Resultados preliminares de los Indicadores para 2017 de la Encuesta de Política Regulatoria y Gobernanza (iREG) e Indicadores de la OCDE de Política Regulatoria y Gobernanza (iREG) 2015." title="Evaluaciòn Ex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58174" t="31076" r="7278" b="3984"/>
                    <a:stretch>
                      <a:fillRect/>
                    </a:stretch>
                  </pic:blipFill>
                  <pic:spPr bwMode="auto">
                    <a:xfrm>
                      <a:off x="0" y="0"/>
                      <a:ext cx="5962650" cy="3405505"/>
                    </a:xfrm>
                    <a:prstGeom prst="rect">
                      <a:avLst/>
                    </a:prstGeom>
                    <a:noFill/>
                    <a:ln>
                      <a:noFill/>
                    </a:ln>
                  </pic:spPr>
                </pic:pic>
              </a:graphicData>
            </a:graphic>
          </wp:inline>
        </w:drawing>
      </w:r>
      <w:r w:rsidR="006F2FB3" w:rsidRPr="007622C8">
        <w:rPr>
          <w:rFonts w:ascii="ITC Avant Garde" w:hAnsi="ITC Avant Garde"/>
          <w:bCs/>
        </w:rPr>
        <w:t>En razón de la importancia en la implementación de este proceso de mejora regulatoria, a continuación, se muestran las gráficas que reflejan los avances de los países miembros de la OCDE en materia de evaluación ex post, tanto en leyes primarias como en disposiciones reglamentarias.</w:t>
      </w:r>
    </w:p>
    <w:p w:rsidR="009F2491" w:rsidRPr="007622C8" w:rsidRDefault="006F2FB3" w:rsidP="00CD2F3E">
      <w:pPr>
        <w:spacing w:after="240" w:line="240" w:lineRule="auto"/>
        <w:jc w:val="both"/>
        <w:rPr>
          <w:rFonts w:ascii="ITC Avant Garde" w:hAnsi="ITC Avant Garde"/>
          <w:bCs/>
          <w:sz w:val="16"/>
          <w:szCs w:val="16"/>
        </w:rPr>
      </w:pPr>
      <w:r w:rsidRPr="007622C8">
        <w:rPr>
          <w:rFonts w:ascii="ITC Avant Garde" w:hAnsi="ITC Avant Garde"/>
          <w:bCs/>
          <w:sz w:val="16"/>
          <w:szCs w:val="16"/>
        </w:rPr>
        <w:t>Fuente: Resultados preliminares de los Indicadores para 2017 de la Encuesta de Política Regulatoria y Gobernanza (iREG) e Indicadores de la OCDE de Política Regulatoria y Gobernanza (iREG) 2015. En: Preliminary Draft of the 2018 Regulatory Policy Outlook, OECD.</w:t>
      </w:r>
      <w:r w:rsidR="00C1569E" w:rsidRPr="007622C8">
        <w:rPr>
          <w:rFonts w:ascii="ITC Avant Garde" w:hAnsi="ITC Avant Garde"/>
          <w:bCs/>
          <w:sz w:val="16"/>
          <w:szCs w:val="16"/>
        </w:rPr>
        <w:t xml:space="preserve"> </w:t>
      </w:r>
    </w:p>
    <w:p w:rsidR="00C1569E" w:rsidRPr="007622C8" w:rsidRDefault="003D36F2" w:rsidP="00CD2F3E">
      <w:pPr>
        <w:spacing w:after="240" w:line="240" w:lineRule="auto"/>
        <w:jc w:val="both"/>
        <w:rPr>
          <w:rFonts w:ascii="ITC Avant Garde" w:hAnsi="ITC Avant Garde"/>
          <w:bCs/>
          <w:sz w:val="16"/>
          <w:szCs w:val="16"/>
        </w:rPr>
      </w:pPr>
      <w:r w:rsidRPr="007622C8">
        <w:rPr>
          <w:rFonts w:ascii="ITC Avant Garde" w:hAnsi="ITC Avant Garde"/>
          <w:noProof/>
          <w:lang w:eastAsia="es-MX"/>
        </w:rPr>
        <w:lastRenderedPageBreak/>
        <w:drawing>
          <wp:inline distT="0" distB="0" distL="0" distR="0">
            <wp:extent cx="5943600" cy="4362450"/>
            <wp:effectExtent l="0" t="0" r="0" b="0"/>
            <wp:docPr id="3" name="Imagen 3" descr="Resultados preliminares de los Indicadores para 2017 de la Encuesta de Política Regulatoria y Gobernanza (iREG) e Indicadores de la OCDE de Política Regulatoria y Gobernanza (iREG) 2015" title="Composiciòn de indicadores Ex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57895" t="12350" r="7036" b="19559"/>
                    <a:stretch>
                      <a:fillRect/>
                    </a:stretch>
                  </pic:blipFill>
                  <pic:spPr bwMode="auto">
                    <a:xfrm>
                      <a:off x="0" y="0"/>
                      <a:ext cx="5943600" cy="4362450"/>
                    </a:xfrm>
                    <a:prstGeom prst="rect">
                      <a:avLst/>
                    </a:prstGeom>
                    <a:noFill/>
                    <a:ln>
                      <a:noFill/>
                    </a:ln>
                  </pic:spPr>
                </pic:pic>
              </a:graphicData>
            </a:graphic>
          </wp:inline>
        </w:drawing>
      </w:r>
      <w:r w:rsidR="006F2FB3" w:rsidRPr="007622C8">
        <w:rPr>
          <w:rFonts w:ascii="ITC Avant Garde" w:hAnsi="ITC Avant Garde"/>
          <w:bCs/>
          <w:sz w:val="16"/>
          <w:szCs w:val="16"/>
        </w:rPr>
        <w:t>Fuente: Resultados preliminares de los Indicadores para 2017 de la Encuesta de Política Regulatoria y Gobernanza (iREG) e Indicadores de la OCDE de Política Regulatoria y Gobernanza (iREG) 2015. En: Preliminary Draft of the 2018 Regulatory Policy Outlook, OECD.</w:t>
      </w:r>
    </w:p>
    <w:p w:rsidR="006F2FB3" w:rsidRPr="007622C8" w:rsidRDefault="006F2FB3" w:rsidP="00CD2F3E">
      <w:pPr>
        <w:spacing w:after="240" w:line="240" w:lineRule="auto"/>
        <w:jc w:val="both"/>
        <w:rPr>
          <w:rFonts w:ascii="ITC Avant Garde" w:hAnsi="ITC Avant Garde"/>
          <w:bCs/>
        </w:rPr>
      </w:pPr>
      <w:r w:rsidRPr="007622C8">
        <w:rPr>
          <w:rFonts w:ascii="ITC Avant Garde" w:hAnsi="ITC Avant Garde"/>
          <w:bCs/>
        </w:rPr>
        <w:t xml:space="preserve">Como se advierte, México se posiciona como el país miembro de la OCDE con la mayor puntuación en el indicador correlativo a la metodología para el desarrollo de la evaluación </w:t>
      </w:r>
      <w:r w:rsidRPr="007622C8">
        <w:rPr>
          <w:rFonts w:ascii="ITC Avant Garde" w:hAnsi="ITC Avant Garde"/>
          <w:bCs/>
          <w:i/>
        </w:rPr>
        <w:t>ex post</w:t>
      </w:r>
      <w:r w:rsidRPr="007622C8">
        <w:rPr>
          <w:rFonts w:ascii="ITC Avant Garde" w:hAnsi="ITC Avant Garde"/>
          <w:bCs/>
        </w:rPr>
        <w:t>. No obstante, tal situación no ocurre para el caso del indicador respectivo a transparencia en dicho proceso de mejora regulatoria.</w:t>
      </w:r>
    </w:p>
    <w:p w:rsidR="003D36F2" w:rsidRPr="007622C8" w:rsidRDefault="006F2FB3" w:rsidP="00CD2F3E">
      <w:pPr>
        <w:spacing w:after="240" w:line="240" w:lineRule="auto"/>
        <w:jc w:val="both"/>
        <w:rPr>
          <w:rFonts w:ascii="ITC Avant Garde" w:hAnsi="ITC Avant Garde"/>
        </w:rPr>
      </w:pPr>
      <w:r w:rsidRPr="007622C8">
        <w:rPr>
          <w:rFonts w:ascii="ITC Avant Garde" w:hAnsi="ITC Avant Garde"/>
        </w:rPr>
        <w:t>En ese sentido, la presente consulta pública se presenta como un ejercicio de transparencia en el proceso de revisión de la regulación, al involucrar a los sectores competencia del Instituto en la misma, mediante la recepción y análisis de aquellos insumos que reflejen su percepción sobre los trámites contenidos en la regulación a cargo del Instituto.</w:t>
      </w:r>
    </w:p>
    <w:p w:rsidR="006F2FB3" w:rsidRPr="007622C8" w:rsidRDefault="006F2FB3" w:rsidP="00CD2F3E">
      <w:pPr>
        <w:spacing w:after="240"/>
        <w:jc w:val="both"/>
        <w:rPr>
          <w:rFonts w:ascii="ITC Avant Garde" w:hAnsi="ITC Avant Garde"/>
          <w:bCs/>
          <w:i/>
          <w:lang w:eastAsia="ar-SA"/>
        </w:rPr>
      </w:pPr>
      <w:r w:rsidRPr="007622C8">
        <w:rPr>
          <w:rFonts w:ascii="ITC Avant Garde" w:eastAsia="Arial" w:hAnsi="ITC Avant Garde" w:cs="Arial"/>
          <w:b/>
          <w:lang w:val="es-ES_tradnl"/>
        </w:rPr>
        <w:t xml:space="preserve">CUARTO. - Participación ciudadana. - </w:t>
      </w:r>
      <w:r w:rsidRPr="007622C8">
        <w:rPr>
          <w:rFonts w:ascii="ITC Avant Garde" w:eastAsia="Arial" w:hAnsi="ITC Avant Garde" w:cs="Arial"/>
          <w:lang w:val="es-ES_tradnl"/>
        </w:rPr>
        <w:t>En la multicitada Recomendación emitida por el</w:t>
      </w:r>
      <w:r w:rsidRPr="007622C8">
        <w:rPr>
          <w:rFonts w:ascii="ITC Avant Garde" w:eastAsia="Times New Roman" w:hAnsi="ITC Avant Garde"/>
          <w:lang w:eastAsia="ar-SA"/>
        </w:rPr>
        <w:t xml:space="preserve"> </w:t>
      </w:r>
      <w:r w:rsidRPr="007622C8">
        <w:rPr>
          <w:rFonts w:ascii="ITC Avant Garde" w:hAnsi="ITC Avant Garde"/>
          <w:lang w:eastAsia="ar-SA"/>
        </w:rPr>
        <w:t xml:space="preserve">Consejo de Política y Gobernanza Regulatoria en el año 2012, se enfatizó la </w:t>
      </w:r>
      <w:r w:rsidRPr="007622C8">
        <w:rPr>
          <w:rFonts w:ascii="ITC Avant Garde" w:hAnsi="ITC Avant Garde"/>
          <w:bCs/>
          <w:lang w:eastAsia="ar-SA"/>
        </w:rPr>
        <w:t>importancia de adherirse a los principios de gobierno abierto, considerando la transparencia y la participación en el proceso de mejora regulatoria con la finalidad de que el público contribuya en mejorar el régimen jurídico aplicable.</w:t>
      </w:r>
    </w:p>
    <w:p w:rsidR="006F2FB3" w:rsidRPr="007622C8" w:rsidRDefault="006F2FB3" w:rsidP="00CD2F3E">
      <w:pPr>
        <w:shd w:val="clear" w:color="auto" w:fill="FFFFFF"/>
        <w:spacing w:after="240" w:line="240" w:lineRule="auto"/>
        <w:jc w:val="both"/>
        <w:rPr>
          <w:rFonts w:ascii="ITC Avant Garde" w:hAnsi="ITC Avant Garde"/>
          <w:bCs/>
          <w:kern w:val="2"/>
          <w:lang w:eastAsia="ar-SA"/>
        </w:rPr>
      </w:pPr>
      <w:r w:rsidRPr="007622C8">
        <w:rPr>
          <w:rFonts w:ascii="ITC Avant Garde" w:hAnsi="ITC Avant Garde"/>
          <w:bCs/>
          <w:kern w:val="2"/>
          <w:lang w:eastAsia="ar-SA"/>
        </w:rPr>
        <w:lastRenderedPageBreak/>
        <w:t>En ese sentido, en el 2011 se formó la Alianza para el Gobierno Abierto (en lo sucesivo la “AGA”), conformada por 65 países, entre los cuales se encuentra México, y cuyo fin es propiciar compromisos concretos por los gobiernos para promover la transparencia, aumentar la participación ciudadana en los asuntos públicos, combatir la corrupción y aprovechar las nuevas tecnologías para robustecer la gobernanza.</w:t>
      </w:r>
    </w:p>
    <w:p w:rsidR="006F2FB3" w:rsidRPr="007622C8" w:rsidRDefault="006F2FB3" w:rsidP="00CD2F3E">
      <w:pPr>
        <w:shd w:val="clear" w:color="auto" w:fill="FFFFFF"/>
        <w:spacing w:after="240" w:line="240" w:lineRule="auto"/>
        <w:jc w:val="both"/>
        <w:rPr>
          <w:rFonts w:ascii="ITC Avant Garde" w:hAnsi="ITC Avant Garde"/>
          <w:bCs/>
          <w:i/>
          <w:kern w:val="2"/>
          <w:lang w:eastAsia="ar-SA"/>
        </w:rPr>
      </w:pPr>
      <w:r w:rsidRPr="007622C8">
        <w:rPr>
          <w:rFonts w:ascii="ITC Avant Garde" w:hAnsi="ITC Avant Garde"/>
          <w:bCs/>
          <w:kern w:val="2"/>
          <w:lang w:eastAsia="ar-SA"/>
        </w:rPr>
        <w:t>En particular, el gobierno abierto es definido por la OCDE, como una cultura de gobernanza centrada en el ciudadano que utiliza herramientas, políticas y prácticas innovadoras y sostenibles para promover la transparencia, la capacidad de respuesta y la rendición de cuentas del gobierno a fin de fomentar la participación de los interesados en apoyo de la democracia y el crecimiento incluyente</w:t>
      </w:r>
      <w:r w:rsidRPr="007622C8">
        <w:rPr>
          <w:rStyle w:val="Refdenotaalpie"/>
          <w:rFonts w:ascii="ITC Avant Garde" w:hAnsi="ITC Avant Garde"/>
          <w:bCs/>
          <w:kern w:val="2"/>
          <w:lang w:eastAsia="ar-SA"/>
        </w:rPr>
        <w:footnoteReference w:id="12"/>
      </w:r>
      <w:r w:rsidRPr="007622C8">
        <w:rPr>
          <w:rFonts w:ascii="ITC Avant Garde" w:hAnsi="ITC Avant Garde"/>
          <w:bCs/>
          <w:kern w:val="2"/>
          <w:lang w:eastAsia="ar-SA"/>
        </w:rPr>
        <w:t>.</w:t>
      </w:r>
    </w:p>
    <w:p w:rsidR="006F2FB3" w:rsidRPr="007622C8" w:rsidRDefault="006F2FB3" w:rsidP="00CD2F3E">
      <w:pPr>
        <w:shd w:val="clear" w:color="auto" w:fill="FFFFFF"/>
        <w:spacing w:after="240" w:line="240" w:lineRule="auto"/>
        <w:jc w:val="both"/>
        <w:rPr>
          <w:rFonts w:ascii="ITC Avant Garde" w:hAnsi="ITC Avant Garde"/>
          <w:bCs/>
          <w:kern w:val="2"/>
          <w:lang w:eastAsia="ar-SA"/>
        </w:rPr>
      </w:pPr>
      <w:r w:rsidRPr="007622C8">
        <w:rPr>
          <w:rFonts w:ascii="ITC Avant Garde" w:hAnsi="ITC Avant Garde"/>
          <w:bCs/>
          <w:kern w:val="2"/>
          <w:lang w:eastAsia="ar-SA"/>
        </w:rPr>
        <w:t>Al respecto, el Instituto Nacional de Transparencia, Acceso a la Información y Protección de Datos Personales (en lo sucesivo, el “INAI”) desarrolló, a partir de un proceso participativo y deliberativo, las bases teóricas que sustentarían las políticas de Gobierno Abierto para los integrantes del Sistema Nacional de Transparencia, las cuales se plasmaron en el llamado “Modelo de Gobierno Abierto del SNT”,</w:t>
      </w:r>
      <w:r w:rsidRPr="007622C8">
        <w:rPr>
          <w:rFonts w:ascii="ITC Avant Garde" w:hAnsi="ITC Avant Garde"/>
          <w:bCs/>
          <w:i/>
          <w:kern w:val="2"/>
          <w:lang w:eastAsia="ar-SA"/>
        </w:rPr>
        <w:t xml:space="preserve"> </w:t>
      </w:r>
      <w:r w:rsidRPr="007622C8">
        <w:rPr>
          <w:rFonts w:ascii="ITC Avant Garde" w:hAnsi="ITC Avant Garde"/>
          <w:bCs/>
          <w:kern w:val="2"/>
          <w:lang w:eastAsia="ar-SA"/>
        </w:rPr>
        <w:t>en el cual se especificó que los principios que rigen la política pública son: transparencia, rendición de cuentas, participación ciudadana e innovación.</w:t>
      </w:r>
    </w:p>
    <w:p w:rsidR="006F2FB3" w:rsidRPr="007622C8" w:rsidRDefault="006F2FB3" w:rsidP="00CD2F3E">
      <w:pPr>
        <w:shd w:val="clear" w:color="auto" w:fill="FFFFFF"/>
        <w:spacing w:after="240" w:line="240" w:lineRule="auto"/>
        <w:jc w:val="both"/>
        <w:rPr>
          <w:rFonts w:ascii="ITC Avant Garde" w:eastAsia="Times New Roman" w:hAnsi="ITC Avant Garde"/>
          <w:i/>
          <w:kern w:val="2"/>
          <w:lang w:eastAsia="ar-SA"/>
        </w:rPr>
      </w:pPr>
      <w:r w:rsidRPr="007622C8">
        <w:rPr>
          <w:rFonts w:ascii="ITC Avant Garde" w:eastAsia="Times New Roman" w:hAnsi="ITC Avant Garde"/>
          <w:kern w:val="2"/>
          <w:lang w:eastAsia="ar-SA"/>
        </w:rPr>
        <w:t>El principio de participación ciudadana, se define como</w:t>
      </w:r>
      <w:r w:rsidRPr="007622C8">
        <w:rPr>
          <w:rFonts w:ascii="ITC Avant Garde" w:hAnsi="ITC Avant Garde"/>
          <w:bCs/>
          <w:kern w:val="2"/>
          <w:lang w:eastAsia="ar-SA"/>
        </w:rPr>
        <w:t xml:space="preserve"> el instrumento, prácticas y dinámicas mediante las cuales las demandas y las necesidades de la ciudadanía y de los grupos sociales pueden ser incorporadas en los procesos de diseño, decisión, implementación y evaluación de las políticas públicas</w:t>
      </w:r>
      <w:r w:rsidRPr="007622C8">
        <w:rPr>
          <w:rStyle w:val="Refdenotaalpie"/>
          <w:rFonts w:ascii="ITC Avant Garde" w:hAnsi="ITC Avant Garde"/>
          <w:bCs/>
          <w:kern w:val="2"/>
          <w:lang w:eastAsia="ar-SA"/>
        </w:rPr>
        <w:footnoteReference w:id="13"/>
      </w:r>
      <w:r w:rsidRPr="007622C8">
        <w:rPr>
          <w:rFonts w:ascii="ITC Avant Garde" w:hAnsi="ITC Avant Garde"/>
          <w:bCs/>
          <w:kern w:val="2"/>
          <w:lang w:eastAsia="ar-SA"/>
        </w:rPr>
        <w:t>.</w:t>
      </w:r>
    </w:p>
    <w:p w:rsidR="006F2FB3" w:rsidRPr="007622C8" w:rsidRDefault="006F2FB3" w:rsidP="00CD2F3E">
      <w:pPr>
        <w:shd w:val="clear" w:color="auto" w:fill="FFFFFF"/>
        <w:spacing w:after="240" w:line="240" w:lineRule="auto"/>
        <w:jc w:val="both"/>
        <w:rPr>
          <w:rFonts w:ascii="ITC Avant Garde" w:eastAsia="Times New Roman" w:hAnsi="ITC Avant Garde"/>
          <w:kern w:val="2"/>
          <w:lang w:eastAsia="ar-SA"/>
        </w:rPr>
      </w:pPr>
      <w:r w:rsidRPr="007622C8">
        <w:rPr>
          <w:rFonts w:ascii="ITC Avant Garde" w:eastAsia="Times New Roman" w:hAnsi="ITC Avant Garde"/>
          <w:kern w:val="2"/>
          <w:lang w:eastAsia="ar-SA"/>
        </w:rPr>
        <w:t>Así pues, se establecen diversos niveles o grados de participación, diferenciando los siguientes</w:t>
      </w:r>
      <w:r w:rsidRPr="007622C8">
        <w:rPr>
          <w:rStyle w:val="Refdenotaalpie"/>
          <w:rFonts w:ascii="ITC Avant Garde" w:eastAsia="Times New Roman" w:hAnsi="ITC Avant Garde"/>
          <w:kern w:val="2"/>
          <w:lang w:eastAsia="ar-SA"/>
        </w:rPr>
        <w:footnoteReference w:id="14"/>
      </w:r>
      <w:r w:rsidRPr="007622C8">
        <w:rPr>
          <w:rFonts w:ascii="ITC Avant Garde" w:eastAsia="Times New Roman" w:hAnsi="ITC Avant Garde"/>
          <w:kern w:val="2"/>
          <w:lang w:eastAsia="ar-SA"/>
        </w:rPr>
        <w:t>:</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Informativo-asistencial, en donde ésta es meramente receptiva y limitada a recibir y analizar información;</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Consultiva, en donde la participación no sólo es receptiva sino propositiva al estar abierta a la valoración y presentación de propuestas, aunque no impliquen compromiso de cumplimiento;</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Decisiva, en donde la participación es activa al permitir la toma de decisiones, y</w:t>
      </w:r>
    </w:p>
    <w:p w:rsidR="006F2FB3" w:rsidRPr="00CD2F3E" w:rsidRDefault="006F2FB3" w:rsidP="00CD2F3E">
      <w:pPr>
        <w:numPr>
          <w:ilvl w:val="0"/>
          <w:numId w:val="5"/>
        </w:numPr>
        <w:spacing w:after="240" w:line="240" w:lineRule="auto"/>
        <w:ind w:right="424"/>
        <w:jc w:val="both"/>
        <w:rPr>
          <w:rFonts w:ascii="ITC Avant Garde" w:hAnsi="ITC Avant Garde"/>
          <w:bCs/>
        </w:rPr>
      </w:pPr>
      <w:r w:rsidRPr="00CD2F3E">
        <w:rPr>
          <w:rFonts w:ascii="ITC Avant Garde" w:hAnsi="ITC Avant Garde"/>
          <w:bCs/>
        </w:rPr>
        <w:t xml:space="preserve">Ejecutiva, la cual incluye la toma de decisiones, la ejecución y gestión de las mismas. </w:t>
      </w:r>
    </w:p>
    <w:p w:rsidR="006F2FB3" w:rsidRPr="007622C8" w:rsidRDefault="006F2FB3" w:rsidP="00CD2F3E">
      <w:pPr>
        <w:shd w:val="clear" w:color="auto" w:fill="FFFFFF"/>
        <w:spacing w:after="240" w:line="240" w:lineRule="auto"/>
        <w:jc w:val="both"/>
        <w:rPr>
          <w:rFonts w:ascii="ITC Avant Garde" w:eastAsia="Times New Roman" w:hAnsi="ITC Avant Garde"/>
          <w:kern w:val="2"/>
          <w:lang w:eastAsia="ar-SA"/>
        </w:rPr>
      </w:pPr>
      <w:r w:rsidRPr="007622C8">
        <w:rPr>
          <w:rFonts w:ascii="ITC Avant Garde" w:eastAsia="Times New Roman" w:hAnsi="ITC Avant Garde"/>
          <w:kern w:val="2"/>
          <w:lang w:eastAsia="ar-SA"/>
        </w:rPr>
        <w:lastRenderedPageBreak/>
        <w:t>De esta manera, el Instituto busca cumplir con uno de los pilares fundamentales del gobierno abierto y de toda institución democrática del Estado de Derecho, alineándose de igual manera, con dos de los objetivos de la política de mejora regulatoria, según lo dispuesto en el artículo 8, fracciones VI y X de la Ley General, a saber, fomentar una cultura que ponga a las personas como centro de la gestión gubernamental, y promover la participación de los sectores público, social, privado y académico en la mejora regulatoria.</w:t>
      </w:r>
    </w:p>
    <w:p w:rsidR="006F2FB3" w:rsidRPr="007622C8" w:rsidRDefault="006F2FB3" w:rsidP="00CD2F3E">
      <w:pPr>
        <w:shd w:val="clear" w:color="auto" w:fill="FFFFFF"/>
        <w:spacing w:after="240" w:line="240" w:lineRule="auto"/>
        <w:jc w:val="both"/>
        <w:rPr>
          <w:rFonts w:ascii="ITC Avant Garde" w:eastAsia="Times New Roman" w:hAnsi="ITC Avant Garde"/>
          <w:kern w:val="2"/>
          <w:lang w:val="es-ES" w:eastAsia="ar-SA"/>
        </w:rPr>
      </w:pPr>
      <w:r w:rsidRPr="007622C8">
        <w:rPr>
          <w:rFonts w:ascii="ITC Avant Garde" w:eastAsia="Times New Roman" w:hAnsi="ITC Avant Garde"/>
          <w:kern w:val="2"/>
          <w:lang w:eastAsia="ar-SA"/>
        </w:rPr>
        <w:t>C</w:t>
      </w:r>
      <w:r w:rsidRPr="007622C8">
        <w:rPr>
          <w:rFonts w:ascii="ITC Avant Garde" w:eastAsia="Times New Roman" w:hAnsi="ITC Avant Garde"/>
          <w:kern w:val="2"/>
          <w:lang w:val="es-ES" w:eastAsia="ar-SA"/>
        </w:rPr>
        <w:t>on fundamento en los artículos 6o., 7o. y 28, párrafos décimo quinto, décimo sexto y vigésimo, fracción I de la Constitución Política de los Estados Unidos Mexicanos; 1, 2, 7, 15, fracciones XL y XLI, 17, fracción I, y 51 de la Ley Federal de Telecomunicaciones y Radiodifusión; 5, 12, fracción X, XXII inciso g) tercer párrafo, XXX, y 138 de la Ley Federal de Competencia Económica; y 1, 4, fracción I, y 6, fracciones XXV, XXXVII y XXXVIII del Estatuto Orgánico del Instituto Federal de Telecomunicaciones, así como la fracción I del numeral Primero y la fracción III del numeral Tercero de los Lineamientos de Consulta Pública y Análisis de Impacto Regulatorio del Instituto Federal de Telecomunicaciones, el Pleno resuelve emitir el siguiente:</w:t>
      </w:r>
    </w:p>
    <w:p w:rsidR="00C1569E" w:rsidRPr="007622C8" w:rsidRDefault="007E46DF" w:rsidP="00CD2F3E">
      <w:pPr>
        <w:pStyle w:val="Ttulo2"/>
        <w:spacing w:after="240"/>
        <w:jc w:val="center"/>
        <w:rPr>
          <w:rFonts w:ascii="ITC Avant Garde" w:eastAsia="Arial" w:hAnsi="ITC Avant Garde"/>
          <w:b/>
          <w:color w:val="auto"/>
          <w:sz w:val="22"/>
          <w:szCs w:val="22"/>
          <w:lang w:val="es-ES_tradnl"/>
        </w:rPr>
      </w:pPr>
      <w:r w:rsidRPr="007622C8">
        <w:rPr>
          <w:rFonts w:ascii="ITC Avant Garde" w:eastAsia="Arial" w:hAnsi="ITC Avant Garde"/>
          <w:b/>
          <w:color w:val="auto"/>
          <w:sz w:val="22"/>
          <w:szCs w:val="22"/>
          <w:lang w:val="es-ES_tradnl"/>
        </w:rPr>
        <w:t>ACUERD</w:t>
      </w:r>
      <w:r w:rsidR="006F2FB3" w:rsidRPr="007622C8">
        <w:rPr>
          <w:rFonts w:ascii="ITC Avant Garde" w:eastAsia="Arial" w:hAnsi="ITC Avant Garde"/>
          <w:b/>
          <w:color w:val="auto"/>
          <w:sz w:val="22"/>
          <w:szCs w:val="22"/>
          <w:lang w:val="es-ES_tradnl"/>
        </w:rPr>
        <w:t>O</w:t>
      </w:r>
    </w:p>
    <w:p w:rsidR="006F2FB3" w:rsidRPr="007622C8" w:rsidRDefault="006F2FB3" w:rsidP="00CD2F3E">
      <w:pPr>
        <w:spacing w:after="240"/>
        <w:jc w:val="both"/>
        <w:rPr>
          <w:rFonts w:ascii="ITC Avant Garde" w:hAnsi="ITC Avant Garde"/>
          <w:i/>
        </w:rPr>
      </w:pPr>
      <w:r w:rsidRPr="007622C8">
        <w:rPr>
          <w:rFonts w:ascii="ITC Avant Garde" w:hAnsi="ITC Avant Garde"/>
          <w:b/>
        </w:rPr>
        <w:t>PRIMERO. -</w:t>
      </w:r>
      <w:r w:rsidRPr="007622C8">
        <w:rPr>
          <w:rFonts w:ascii="ITC Avant Garde" w:hAnsi="ITC Avant Garde" w:cs="TimesNewRomanPS-BoldMT"/>
          <w:b/>
          <w:bCs/>
        </w:rPr>
        <w:t xml:space="preserve"> </w:t>
      </w:r>
      <w:r w:rsidRPr="007622C8">
        <w:rPr>
          <w:rFonts w:ascii="ITC Avant Garde" w:hAnsi="ITC Avant Garde"/>
        </w:rPr>
        <w:t xml:space="preserve">Se determina someter a consulta pública los trámites contenidos en las disposiciones de carácter general a cargo del Instituto Federal de Telecomunicaciones, para la detección de posibles áreas de oportunidad en los mismos, conforme al </w:t>
      </w:r>
      <w:r w:rsidRPr="007622C8">
        <w:rPr>
          <w:rFonts w:ascii="ITC Avant Garde" w:hAnsi="ITC Avant Garde"/>
          <w:b/>
        </w:rPr>
        <w:t>Documento de trabajo</w:t>
      </w:r>
      <w:r w:rsidRPr="007622C8">
        <w:rPr>
          <w:rFonts w:ascii="ITC Avant Garde" w:hAnsi="ITC Avant Garde"/>
        </w:rPr>
        <w:t xml:space="preserve"> que se adjunta como Anexo Único.</w:t>
      </w:r>
    </w:p>
    <w:p w:rsidR="006F2FB3" w:rsidRPr="007622C8" w:rsidRDefault="006F2FB3" w:rsidP="00CD2F3E">
      <w:pPr>
        <w:suppressAutoHyphens/>
        <w:spacing w:after="240" w:line="240" w:lineRule="auto"/>
        <w:jc w:val="both"/>
        <w:rPr>
          <w:rFonts w:ascii="ITC Avant Garde" w:hAnsi="ITC Avant Garde"/>
        </w:rPr>
      </w:pPr>
      <w:r w:rsidRPr="007622C8">
        <w:rPr>
          <w:rFonts w:ascii="ITC Avant Garde" w:hAnsi="ITC Avant Garde"/>
        </w:rPr>
        <w:t>Dicha consulta pública se realizará durante un plazo de 40 (cuarenta) días hábiles, contados a partir de su publicación en</w:t>
      </w:r>
      <w:r w:rsidRPr="007622C8">
        <w:rPr>
          <w:rFonts w:ascii="ITC Avant Garde" w:hAnsi="ITC Avant Garde"/>
          <w:b/>
        </w:rPr>
        <w:t xml:space="preserve"> </w:t>
      </w:r>
      <w:r w:rsidRPr="007622C8">
        <w:rPr>
          <w:rFonts w:ascii="ITC Avant Garde" w:hAnsi="ITC Avant Garde"/>
        </w:rPr>
        <w:t>el portal de Internet del Instituto Federal de Telecomunicaciones, para que dentro de ese plazo cualquier interesado presente sus comentarios o aportaciones sobre el particular, conforme a la mecánica prevista en el portal de Internet del Instituto.</w:t>
      </w:r>
    </w:p>
    <w:p w:rsidR="006F2FB3" w:rsidRPr="007622C8" w:rsidRDefault="006F2FB3" w:rsidP="00CD2F3E">
      <w:pPr>
        <w:spacing w:after="240"/>
        <w:jc w:val="both"/>
        <w:rPr>
          <w:rFonts w:ascii="ITC Avant Garde" w:hAnsi="ITC Avant Garde"/>
          <w:i/>
        </w:rPr>
      </w:pPr>
      <w:r w:rsidRPr="007622C8">
        <w:rPr>
          <w:rFonts w:ascii="ITC Avant Garde" w:hAnsi="ITC Avant Garde"/>
          <w:b/>
        </w:rPr>
        <w:t>SEGUNDO. -</w:t>
      </w:r>
      <w:r w:rsidRPr="007622C8">
        <w:rPr>
          <w:rFonts w:ascii="ITC Avant Garde" w:hAnsi="ITC Avant Garde" w:cs="TimesNewRomanPS-BoldMT"/>
          <w:b/>
          <w:bCs/>
        </w:rPr>
        <w:t xml:space="preserve"> </w:t>
      </w:r>
      <w:r w:rsidRPr="007622C8">
        <w:rPr>
          <w:rFonts w:ascii="ITC Avant Garde" w:hAnsi="ITC Avant Garde"/>
        </w:rPr>
        <w:t>Se instruye a la Coordinación General de Mejora Regulatoria, ejecute la consulta pública materia del presente Acuerdo, incluyendo la recepción y la atención que corresponda en el ámbito de sus atribuciones, a los comentarios o aportaciones que sean vertidos a propósito del presente proceso consultivo.</w:t>
      </w:r>
    </w:p>
    <w:p w:rsidR="00C1569E" w:rsidRPr="007622C8" w:rsidRDefault="000D6031" w:rsidP="00CD2F3E">
      <w:pPr>
        <w:spacing w:after="240"/>
        <w:rPr>
          <w:rFonts w:ascii="ITC Avant Garde" w:hAnsi="ITC Avant Garde"/>
          <w:bCs/>
          <w:sz w:val="24"/>
          <w:szCs w:val="21"/>
        </w:rPr>
      </w:pPr>
      <w:r w:rsidRPr="007622C8">
        <w:rPr>
          <w:rFonts w:ascii="ITC Avant Garde" w:hAnsi="ITC Avant Garde"/>
          <w:b/>
          <w:lang w:eastAsia="es-MX"/>
        </w:rPr>
        <w:t xml:space="preserve">TERCERO. </w:t>
      </w:r>
      <w:r w:rsidR="006F2FB3" w:rsidRPr="007622C8">
        <w:rPr>
          <w:rFonts w:ascii="ITC Avant Garde" w:hAnsi="ITC Avant Garde"/>
          <w:b/>
          <w:lang w:eastAsia="es-MX"/>
        </w:rPr>
        <w:t xml:space="preserve">- </w:t>
      </w:r>
      <w:r w:rsidR="006F2FB3" w:rsidRPr="007622C8">
        <w:rPr>
          <w:rFonts w:ascii="ITC Avant Garde" w:hAnsi="ITC Avant Garde"/>
          <w:lang w:eastAsia="es-MX"/>
        </w:rPr>
        <w:t>Publíquese en el portal de Internet del Instituto Federal de Telecomunicaciones.</w:t>
      </w:r>
      <w:r w:rsidR="00E407C5" w:rsidRPr="007622C8">
        <w:rPr>
          <w:rFonts w:ascii="ITC Avant Garde" w:hAnsi="ITC Avant Garde"/>
          <w:sz w:val="14"/>
          <w:lang w:val="es-ES" w:eastAsia="es-ES"/>
        </w:rPr>
        <w:t xml:space="preserve"> </w:t>
      </w:r>
    </w:p>
    <w:p w:rsidR="00903D5F" w:rsidRPr="00B567FE" w:rsidRDefault="00054FEF" w:rsidP="00CD48C6">
      <w:pPr>
        <w:spacing w:before="360" w:after="240" w:line="240" w:lineRule="auto"/>
        <w:jc w:val="both"/>
        <w:rPr>
          <w:sz w:val="17"/>
        </w:rPr>
      </w:pPr>
      <w:r w:rsidRPr="007622C8">
        <w:rPr>
          <w:rFonts w:ascii="ITC Avant Garde" w:hAnsi="ITC Avant Garde"/>
          <w:sz w:val="14"/>
          <w:lang w:val="es-ES" w:eastAsia="es-ES"/>
        </w:rPr>
        <w:t xml:space="preserve">El presente Acuerdo fue aprobado por el Pleno del Instituto Federal de Telecomunicaciones en su XXI Sesión Ordinaria celebrada el 20 de junio de 2018, por </w:t>
      </w:r>
      <w:r w:rsidRPr="007622C8">
        <w:rPr>
          <w:rFonts w:ascii="ITC Avant Garde" w:hAnsi="ITC Avant Garde"/>
          <w:bCs/>
          <w:sz w:val="14"/>
          <w:lang w:val="es-ES" w:eastAsia="es-ES"/>
        </w:rPr>
        <w:t>unanimidad</w:t>
      </w:r>
      <w:r w:rsidRPr="007622C8">
        <w:rPr>
          <w:rFonts w:ascii="ITC Avant Garde" w:hAnsi="ITC Avant Garde"/>
          <w:sz w:val="14"/>
          <w:lang w:val="es-ES" w:eastAsia="es-ES"/>
        </w:rPr>
        <w:t xml:space="preserve"> de votos de los Comisionados Gabriel Oswaldo Contreras Saldívar, María Elena Estavillo Flores, </w:t>
      </w:r>
      <w:r w:rsidRPr="007622C8">
        <w:rPr>
          <w:rFonts w:ascii="ITC Avant Garde" w:hAnsi="ITC Avant Garde"/>
          <w:sz w:val="14"/>
          <w:lang w:eastAsia="es-MX"/>
        </w:rPr>
        <w:t>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P/IFT/200618/425.</w:t>
      </w:r>
      <w:r w:rsidR="00133C84" w:rsidRPr="007622C8">
        <w:rPr>
          <w:rFonts w:ascii="ITC Avant Garde" w:hAnsi="ITC Avant Garde"/>
          <w:sz w:val="28"/>
          <w:szCs w:val="28"/>
        </w:rPr>
        <w:t xml:space="preserve"> </w:t>
      </w:r>
      <w:bookmarkStart w:id="0" w:name="_GoBack"/>
      <w:bookmarkEnd w:id="0"/>
    </w:p>
    <w:sectPr w:rsidR="00903D5F" w:rsidRPr="00B567FE" w:rsidSect="00AC1F4B">
      <w:footerReference w:type="default" r:id="rId10"/>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24" w:rsidRDefault="00643E24" w:rsidP="006F2FB3">
      <w:pPr>
        <w:spacing w:after="0" w:line="240" w:lineRule="auto"/>
      </w:pPr>
      <w:r>
        <w:separator/>
      </w:r>
    </w:p>
  </w:endnote>
  <w:endnote w:type="continuationSeparator" w:id="0">
    <w:p w:rsidR="00643E24" w:rsidRDefault="00643E24" w:rsidP="006F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54365"/>
      <w:docPartObj>
        <w:docPartGallery w:val="Page Numbers (Bottom of Page)"/>
        <w:docPartUnique/>
      </w:docPartObj>
    </w:sdtPr>
    <w:sdtEndPr>
      <w:rPr>
        <w:rFonts w:ascii="ITC Avant Garde" w:hAnsi="ITC Avant Garde"/>
        <w:sz w:val="20"/>
        <w:szCs w:val="20"/>
      </w:rPr>
    </w:sdtEndPr>
    <w:sdtContent>
      <w:p w:rsidR="006F2FB3" w:rsidRPr="006F2FB3" w:rsidRDefault="006F2FB3">
        <w:pPr>
          <w:pStyle w:val="Piedepgina"/>
          <w:jc w:val="right"/>
          <w:rPr>
            <w:rFonts w:ascii="ITC Avant Garde" w:hAnsi="ITC Avant Garde"/>
            <w:sz w:val="20"/>
            <w:szCs w:val="20"/>
          </w:rPr>
        </w:pPr>
        <w:r w:rsidRPr="006F2FB3">
          <w:rPr>
            <w:rFonts w:ascii="ITC Avant Garde" w:hAnsi="ITC Avant Garde"/>
            <w:sz w:val="20"/>
            <w:szCs w:val="20"/>
          </w:rPr>
          <w:fldChar w:fldCharType="begin"/>
        </w:r>
        <w:r w:rsidRPr="006F2FB3">
          <w:rPr>
            <w:rFonts w:ascii="ITC Avant Garde" w:hAnsi="ITC Avant Garde"/>
            <w:sz w:val="20"/>
            <w:szCs w:val="20"/>
          </w:rPr>
          <w:instrText>PAGE   \* MERGEFORMAT</w:instrText>
        </w:r>
        <w:r w:rsidRPr="006F2FB3">
          <w:rPr>
            <w:rFonts w:ascii="ITC Avant Garde" w:hAnsi="ITC Avant Garde"/>
            <w:sz w:val="20"/>
            <w:szCs w:val="20"/>
          </w:rPr>
          <w:fldChar w:fldCharType="separate"/>
        </w:r>
        <w:r w:rsidR="00CD48C6" w:rsidRPr="00CD48C6">
          <w:rPr>
            <w:rFonts w:ascii="ITC Avant Garde" w:hAnsi="ITC Avant Garde"/>
            <w:noProof/>
            <w:sz w:val="20"/>
            <w:szCs w:val="20"/>
            <w:lang w:val="es-ES"/>
          </w:rPr>
          <w:t>2</w:t>
        </w:r>
        <w:r w:rsidRPr="006F2FB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24" w:rsidRDefault="00643E24" w:rsidP="006F2FB3">
      <w:pPr>
        <w:spacing w:after="0" w:line="240" w:lineRule="auto"/>
      </w:pPr>
      <w:r>
        <w:separator/>
      </w:r>
    </w:p>
  </w:footnote>
  <w:footnote w:type="continuationSeparator" w:id="0">
    <w:p w:rsidR="00643E24" w:rsidRDefault="00643E24" w:rsidP="006F2FB3">
      <w:pPr>
        <w:spacing w:after="0" w:line="240" w:lineRule="auto"/>
      </w:pPr>
      <w:r>
        <w:continuationSeparator/>
      </w:r>
    </w:p>
  </w:footnote>
  <w:footnote w:id="1">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OCDE, 2012. pp. 21</w:t>
      </w:r>
    </w:p>
  </w:footnote>
  <w:footnote w:id="2">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OCDE, 2012. pp.6</w:t>
      </w:r>
    </w:p>
  </w:footnote>
  <w:footnote w:id="3">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OCDE, 2012. pp.27</w:t>
      </w:r>
    </w:p>
  </w:footnote>
  <w:footnote w:id="4">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OECD, 2017. pp. 3</w:t>
      </w:r>
    </w:p>
  </w:footnote>
  <w:footnote w:id="5">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OECD, 2017. pp. 3</w:t>
      </w:r>
    </w:p>
  </w:footnote>
  <w:footnote w:id="6">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OECD, 2018. pp. 2-3</w:t>
      </w:r>
    </w:p>
  </w:footnote>
  <w:footnote w:id="7">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OECD, 2018. pp. 3-4</w:t>
      </w:r>
    </w:p>
  </w:footnote>
  <w:footnote w:id="8">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OCDE, 2012. pp. 4</w:t>
      </w:r>
    </w:p>
  </w:footnote>
  <w:footnote w:id="9">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OECD, 2018, pp. 23</w:t>
      </w:r>
    </w:p>
  </w:footnote>
  <w:footnote w:id="10">
    <w:p w:rsidR="006F2FB3" w:rsidRPr="001558F6" w:rsidRDefault="006F2FB3" w:rsidP="006F2FB3">
      <w:pPr>
        <w:pStyle w:val="Textonotapie"/>
        <w:jc w:val="both"/>
        <w:rPr>
          <w:rFonts w:ascii="ITC Avant Garde" w:hAnsi="ITC Avant Garde"/>
          <w:bCs/>
          <w:kern w:val="2"/>
          <w:sz w:val="16"/>
          <w:szCs w:val="16"/>
          <w:lang w:eastAsia="ar-SA"/>
        </w:rPr>
      </w:pPr>
      <w:r w:rsidRPr="001558F6">
        <w:rPr>
          <w:rFonts w:ascii="ITC Avant Garde" w:hAnsi="ITC Avant Garde"/>
          <w:bCs/>
          <w:kern w:val="2"/>
          <w:sz w:val="16"/>
          <w:szCs w:val="16"/>
          <w:vertAlign w:val="superscript"/>
          <w:lang w:eastAsia="ar-SA"/>
        </w:rPr>
        <w:footnoteRef/>
      </w:r>
      <w:r w:rsidRPr="001558F6">
        <w:rPr>
          <w:rFonts w:ascii="ITC Avant Garde" w:hAnsi="ITC Avant Garde"/>
          <w:bCs/>
          <w:kern w:val="2"/>
          <w:sz w:val="16"/>
          <w:szCs w:val="16"/>
          <w:lang w:eastAsia="ar-SA"/>
        </w:rPr>
        <w:t xml:space="preserve"> El MCE asume las siguientes actividades estándar: i) lectura y comprensión de requisitos, ii) recolección y generación de información, iii) reuniones con personal y consultores externos, iv) llenado de formatos y reportes, v) realización de escritos, y vi) creación de archivos digitales, tiempo de espera, entre otras.</w:t>
      </w:r>
    </w:p>
  </w:footnote>
  <w:footnote w:id="11">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OCDE, 2018. pp.27</w:t>
      </w:r>
    </w:p>
  </w:footnote>
  <w:footnote w:id="12">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OCDE, 2018. pp. 189</w:t>
      </w:r>
    </w:p>
  </w:footnote>
  <w:footnote w:id="13">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INAI, 2016, pp.19</w:t>
      </w:r>
    </w:p>
  </w:footnote>
  <w:footnote w:id="14">
    <w:p w:rsidR="006F2FB3" w:rsidRDefault="006F2FB3" w:rsidP="006F2FB3">
      <w:pPr>
        <w:pStyle w:val="Textonotapie"/>
      </w:pPr>
      <w:r>
        <w:rPr>
          <w:rStyle w:val="Refdenotaalpie"/>
        </w:rPr>
        <w:footnoteRef/>
      </w:r>
      <w:r>
        <w:t xml:space="preserve"> </w:t>
      </w:r>
      <w:r w:rsidRPr="007F7C92">
        <w:rPr>
          <w:rFonts w:ascii="ITC Avant Garde" w:hAnsi="ITC Avant Garde"/>
          <w:bCs/>
          <w:kern w:val="2"/>
          <w:sz w:val="16"/>
          <w:szCs w:val="16"/>
          <w:lang w:eastAsia="ar-SA"/>
        </w:rPr>
        <w:t xml:space="preserve">J. Ventosa </w:t>
      </w:r>
      <w:r w:rsidR="005D0544" w:rsidRPr="007F7C92">
        <w:rPr>
          <w:rFonts w:ascii="ITC Avant Garde" w:hAnsi="ITC Avant Garde"/>
          <w:bCs/>
          <w:kern w:val="2"/>
          <w:sz w:val="16"/>
          <w:szCs w:val="16"/>
          <w:lang w:eastAsia="ar-SA"/>
        </w:rPr>
        <w:t>Víctor</w:t>
      </w:r>
      <w:r w:rsidRPr="007F7C92">
        <w:rPr>
          <w:rFonts w:ascii="ITC Avant Garde" w:hAnsi="ITC Avant Garde"/>
          <w:bCs/>
          <w:kern w:val="2"/>
          <w:sz w:val="16"/>
          <w:szCs w:val="16"/>
          <w:lang w:eastAsia="ar-SA"/>
        </w:rPr>
        <w:t>, 2016, pp.61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047"/>
    <w:multiLevelType w:val="hybridMultilevel"/>
    <w:tmpl w:val="D220B516"/>
    <w:lvl w:ilvl="0" w:tplc="B52C03FA">
      <w:start w:val="1"/>
      <w:numFmt w:val="decimal"/>
      <w:lvlText w:val="%1."/>
      <w:lvlJc w:val="left"/>
      <w:pPr>
        <w:ind w:left="1481" w:hanging="236"/>
      </w:pPr>
      <w:rPr>
        <w:rFonts w:ascii="ITC Avant Garde" w:eastAsia="ITC Avant Garde" w:hAnsi="ITC Avant Garde" w:cs="ITC Avant Garde" w:hint="default"/>
        <w:w w:val="100"/>
        <w:sz w:val="22"/>
        <w:szCs w:val="22"/>
        <w:lang w:val="es-MX" w:eastAsia="es-MX" w:bidi="es-MX"/>
      </w:rPr>
    </w:lvl>
    <w:lvl w:ilvl="1" w:tplc="0706E1B0">
      <w:numFmt w:val="bullet"/>
      <w:lvlText w:val="•"/>
      <w:lvlJc w:val="left"/>
      <w:pPr>
        <w:ind w:left="2382" w:hanging="236"/>
      </w:pPr>
      <w:rPr>
        <w:rFonts w:hint="default"/>
        <w:lang w:val="es-MX" w:eastAsia="es-MX" w:bidi="es-MX"/>
      </w:rPr>
    </w:lvl>
    <w:lvl w:ilvl="2" w:tplc="BA9CA21E">
      <w:numFmt w:val="bullet"/>
      <w:lvlText w:val="•"/>
      <w:lvlJc w:val="left"/>
      <w:pPr>
        <w:ind w:left="3284" w:hanging="236"/>
      </w:pPr>
      <w:rPr>
        <w:rFonts w:hint="default"/>
        <w:lang w:val="es-MX" w:eastAsia="es-MX" w:bidi="es-MX"/>
      </w:rPr>
    </w:lvl>
    <w:lvl w:ilvl="3" w:tplc="DC043F96">
      <w:numFmt w:val="bullet"/>
      <w:lvlText w:val="•"/>
      <w:lvlJc w:val="left"/>
      <w:pPr>
        <w:ind w:left="4186" w:hanging="236"/>
      </w:pPr>
      <w:rPr>
        <w:rFonts w:hint="default"/>
        <w:lang w:val="es-MX" w:eastAsia="es-MX" w:bidi="es-MX"/>
      </w:rPr>
    </w:lvl>
    <w:lvl w:ilvl="4" w:tplc="B2BA269E">
      <w:numFmt w:val="bullet"/>
      <w:lvlText w:val="•"/>
      <w:lvlJc w:val="left"/>
      <w:pPr>
        <w:ind w:left="5088" w:hanging="236"/>
      </w:pPr>
      <w:rPr>
        <w:rFonts w:hint="default"/>
        <w:lang w:val="es-MX" w:eastAsia="es-MX" w:bidi="es-MX"/>
      </w:rPr>
    </w:lvl>
    <w:lvl w:ilvl="5" w:tplc="D474FCFE">
      <w:numFmt w:val="bullet"/>
      <w:lvlText w:val="•"/>
      <w:lvlJc w:val="left"/>
      <w:pPr>
        <w:ind w:left="5990" w:hanging="236"/>
      </w:pPr>
      <w:rPr>
        <w:rFonts w:hint="default"/>
        <w:lang w:val="es-MX" w:eastAsia="es-MX" w:bidi="es-MX"/>
      </w:rPr>
    </w:lvl>
    <w:lvl w:ilvl="6" w:tplc="38A81808">
      <w:numFmt w:val="bullet"/>
      <w:lvlText w:val="•"/>
      <w:lvlJc w:val="left"/>
      <w:pPr>
        <w:ind w:left="6892" w:hanging="236"/>
      </w:pPr>
      <w:rPr>
        <w:rFonts w:hint="default"/>
        <w:lang w:val="es-MX" w:eastAsia="es-MX" w:bidi="es-MX"/>
      </w:rPr>
    </w:lvl>
    <w:lvl w:ilvl="7" w:tplc="4AA2B492">
      <w:numFmt w:val="bullet"/>
      <w:lvlText w:val="•"/>
      <w:lvlJc w:val="left"/>
      <w:pPr>
        <w:ind w:left="7794" w:hanging="236"/>
      </w:pPr>
      <w:rPr>
        <w:rFonts w:hint="default"/>
        <w:lang w:val="es-MX" w:eastAsia="es-MX" w:bidi="es-MX"/>
      </w:rPr>
    </w:lvl>
    <w:lvl w:ilvl="8" w:tplc="EB0AA77A">
      <w:numFmt w:val="bullet"/>
      <w:lvlText w:val="•"/>
      <w:lvlJc w:val="left"/>
      <w:pPr>
        <w:ind w:left="8696" w:hanging="236"/>
      </w:pPr>
      <w:rPr>
        <w:rFonts w:hint="default"/>
        <w:lang w:val="es-MX" w:eastAsia="es-MX" w:bidi="es-MX"/>
      </w:rPr>
    </w:lvl>
  </w:abstractNum>
  <w:abstractNum w:abstractNumId="1" w15:restartNumberingAfterBreak="0">
    <w:nsid w:val="0B377374"/>
    <w:multiLevelType w:val="hybridMultilevel"/>
    <w:tmpl w:val="980EBEE6"/>
    <w:lvl w:ilvl="0" w:tplc="ADF66972">
      <w:start w:val="1"/>
      <w:numFmt w:val="lowerLetter"/>
      <w:lvlText w:val="%1)"/>
      <w:lvlJc w:val="left"/>
      <w:pPr>
        <w:ind w:left="1841" w:hanging="360"/>
      </w:pPr>
      <w:rPr>
        <w:rFonts w:hint="default"/>
      </w:rPr>
    </w:lvl>
    <w:lvl w:ilvl="1" w:tplc="080A0019">
      <w:start w:val="1"/>
      <w:numFmt w:val="lowerLetter"/>
      <w:lvlText w:val="%2."/>
      <w:lvlJc w:val="left"/>
      <w:pPr>
        <w:ind w:left="2561" w:hanging="360"/>
      </w:pPr>
    </w:lvl>
    <w:lvl w:ilvl="2" w:tplc="080A001B" w:tentative="1">
      <w:start w:val="1"/>
      <w:numFmt w:val="lowerRoman"/>
      <w:lvlText w:val="%3."/>
      <w:lvlJc w:val="right"/>
      <w:pPr>
        <w:ind w:left="3281" w:hanging="180"/>
      </w:pPr>
    </w:lvl>
    <w:lvl w:ilvl="3" w:tplc="080A000F" w:tentative="1">
      <w:start w:val="1"/>
      <w:numFmt w:val="decimal"/>
      <w:lvlText w:val="%4."/>
      <w:lvlJc w:val="left"/>
      <w:pPr>
        <w:ind w:left="4001" w:hanging="360"/>
      </w:pPr>
    </w:lvl>
    <w:lvl w:ilvl="4" w:tplc="080A0019" w:tentative="1">
      <w:start w:val="1"/>
      <w:numFmt w:val="lowerLetter"/>
      <w:lvlText w:val="%5."/>
      <w:lvlJc w:val="left"/>
      <w:pPr>
        <w:ind w:left="4721" w:hanging="360"/>
      </w:pPr>
    </w:lvl>
    <w:lvl w:ilvl="5" w:tplc="080A001B" w:tentative="1">
      <w:start w:val="1"/>
      <w:numFmt w:val="lowerRoman"/>
      <w:lvlText w:val="%6."/>
      <w:lvlJc w:val="right"/>
      <w:pPr>
        <w:ind w:left="5441" w:hanging="180"/>
      </w:pPr>
    </w:lvl>
    <w:lvl w:ilvl="6" w:tplc="080A000F" w:tentative="1">
      <w:start w:val="1"/>
      <w:numFmt w:val="decimal"/>
      <w:lvlText w:val="%7."/>
      <w:lvlJc w:val="left"/>
      <w:pPr>
        <w:ind w:left="6161" w:hanging="360"/>
      </w:pPr>
    </w:lvl>
    <w:lvl w:ilvl="7" w:tplc="080A0019" w:tentative="1">
      <w:start w:val="1"/>
      <w:numFmt w:val="lowerLetter"/>
      <w:lvlText w:val="%8."/>
      <w:lvlJc w:val="left"/>
      <w:pPr>
        <w:ind w:left="6881" w:hanging="360"/>
      </w:pPr>
    </w:lvl>
    <w:lvl w:ilvl="8" w:tplc="080A001B" w:tentative="1">
      <w:start w:val="1"/>
      <w:numFmt w:val="lowerRoman"/>
      <w:lvlText w:val="%9."/>
      <w:lvlJc w:val="right"/>
      <w:pPr>
        <w:ind w:left="7601" w:hanging="180"/>
      </w:pPr>
    </w:lvl>
  </w:abstractNum>
  <w:abstractNum w:abstractNumId="2" w15:restartNumberingAfterBreak="0">
    <w:nsid w:val="11A80527"/>
    <w:multiLevelType w:val="hybridMultilevel"/>
    <w:tmpl w:val="0EB0F752"/>
    <w:lvl w:ilvl="0" w:tplc="A718E25E">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067173"/>
    <w:multiLevelType w:val="hybridMultilevel"/>
    <w:tmpl w:val="0CD6C2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EA2803"/>
    <w:multiLevelType w:val="hybridMultilevel"/>
    <w:tmpl w:val="8D1CD83C"/>
    <w:lvl w:ilvl="0" w:tplc="29C0F64E">
      <w:start w:val="1"/>
      <w:numFmt w:val="lowerRoman"/>
      <w:lvlText w:val="%1)"/>
      <w:lvlJc w:val="left"/>
      <w:pPr>
        <w:ind w:left="1481" w:hanging="236"/>
      </w:pPr>
      <w:rPr>
        <w:rFonts w:ascii="ITC Avant Garde" w:eastAsia="ITC Avant Garde" w:hAnsi="ITC Avant Garde" w:cs="ITC Avant Garde" w:hint="default"/>
        <w:spacing w:val="-2"/>
        <w:w w:val="100"/>
        <w:sz w:val="22"/>
        <w:szCs w:val="22"/>
        <w:lang w:val="es-MX" w:eastAsia="es-MX" w:bidi="es-MX"/>
      </w:rPr>
    </w:lvl>
    <w:lvl w:ilvl="1" w:tplc="96ACAEBC">
      <w:numFmt w:val="bullet"/>
      <w:lvlText w:val="•"/>
      <w:lvlJc w:val="left"/>
      <w:pPr>
        <w:ind w:left="1760" w:hanging="236"/>
      </w:pPr>
      <w:rPr>
        <w:rFonts w:hint="default"/>
        <w:lang w:val="es-MX" w:eastAsia="es-MX" w:bidi="es-MX"/>
      </w:rPr>
    </w:lvl>
    <w:lvl w:ilvl="2" w:tplc="D10EA16A">
      <w:numFmt w:val="bullet"/>
      <w:lvlText w:val="•"/>
      <w:lvlJc w:val="left"/>
      <w:pPr>
        <w:ind w:left="2731" w:hanging="236"/>
      </w:pPr>
      <w:rPr>
        <w:rFonts w:hint="default"/>
        <w:lang w:val="es-MX" w:eastAsia="es-MX" w:bidi="es-MX"/>
      </w:rPr>
    </w:lvl>
    <w:lvl w:ilvl="3" w:tplc="E5966EEE">
      <w:numFmt w:val="bullet"/>
      <w:lvlText w:val="•"/>
      <w:lvlJc w:val="left"/>
      <w:pPr>
        <w:ind w:left="3702" w:hanging="236"/>
      </w:pPr>
      <w:rPr>
        <w:rFonts w:hint="default"/>
        <w:lang w:val="es-MX" w:eastAsia="es-MX" w:bidi="es-MX"/>
      </w:rPr>
    </w:lvl>
    <w:lvl w:ilvl="4" w:tplc="138085FC">
      <w:numFmt w:val="bullet"/>
      <w:lvlText w:val="•"/>
      <w:lvlJc w:val="left"/>
      <w:pPr>
        <w:ind w:left="4673" w:hanging="236"/>
      </w:pPr>
      <w:rPr>
        <w:rFonts w:hint="default"/>
        <w:lang w:val="es-MX" w:eastAsia="es-MX" w:bidi="es-MX"/>
      </w:rPr>
    </w:lvl>
    <w:lvl w:ilvl="5" w:tplc="73C4A52C">
      <w:numFmt w:val="bullet"/>
      <w:lvlText w:val="•"/>
      <w:lvlJc w:val="left"/>
      <w:pPr>
        <w:ind w:left="5644" w:hanging="236"/>
      </w:pPr>
      <w:rPr>
        <w:rFonts w:hint="default"/>
        <w:lang w:val="es-MX" w:eastAsia="es-MX" w:bidi="es-MX"/>
      </w:rPr>
    </w:lvl>
    <w:lvl w:ilvl="6" w:tplc="FD3EC814">
      <w:numFmt w:val="bullet"/>
      <w:lvlText w:val="•"/>
      <w:lvlJc w:val="left"/>
      <w:pPr>
        <w:ind w:left="6615" w:hanging="236"/>
      </w:pPr>
      <w:rPr>
        <w:rFonts w:hint="default"/>
        <w:lang w:val="es-MX" w:eastAsia="es-MX" w:bidi="es-MX"/>
      </w:rPr>
    </w:lvl>
    <w:lvl w:ilvl="7" w:tplc="27BA7CAE">
      <w:numFmt w:val="bullet"/>
      <w:lvlText w:val="•"/>
      <w:lvlJc w:val="left"/>
      <w:pPr>
        <w:ind w:left="7586" w:hanging="236"/>
      </w:pPr>
      <w:rPr>
        <w:rFonts w:hint="default"/>
        <w:lang w:val="es-MX" w:eastAsia="es-MX" w:bidi="es-MX"/>
      </w:rPr>
    </w:lvl>
    <w:lvl w:ilvl="8" w:tplc="B4661B10">
      <w:numFmt w:val="bullet"/>
      <w:lvlText w:val="•"/>
      <w:lvlJc w:val="left"/>
      <w:pPr>
        <w:ind w:left="8557" w:hanging="236"/>
      </w:pPr>
      <w:rPr>
        <w:rFonts w:hint="default"/>
        <w:lang w:val="es-MX" w:eastAsia="es-MX" w:bidi="es-MX"/>
      </w:rPr>
    </w:lvl>
  </w:abstractNum>
  <w:abstractNum w:abstractNumId="5" w15:restartNumberingAfterBreak="0">
    <w:nsid w:val="4D3401CB"/>
    <w:multiLevelType w:val="hybridMultilevel"/>
    <w:tmpl w:val="D11227A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782222"/>
    <w:multiLevelType w:val="hybridMultilevel"/>
    <w:tmpl w:val="5F0CCA68"/>
    <w:lvl w:ilvl="0" w:tplc="A066D8EC">
      <w:start w:val="1"/>
      <w:numFmt w:val="decimal"/>
      <w:lvlText w:val="%1."/>
      <w:lvlJc w:val="left"/>
      <w:pPr>
        <w:ind w:left="1481" w:hanging="312"/>
      </w:pPr>
      <w:rPr>
        <w:rFonts w:ascii="ITC Avant Garde" w:eastAsia="ITC Avant Garde" w:hAnsi="ITC Avant Garde" w:cs="ITC Avant Garde" w:hint="default"/>
        <w:w w:val="100"/>
        <w:sz w:val="22"/>
        <w:szCs w:val="22"/>
        <w:lang w:val="es-MX" w:eastAsia="es-MX" w:bidi="es-MX"/>
      </w:rPr>
    </w:lvl>
    <w:lvl w:ilvl="1" w:tplc="79145256">
      <w:numFmt w:val="bullet"/>
      <w:lvlText w:val="•"/>
      <w:lvlJc w:val="left"/>
      <w:pPr>
        <w:ind w:left="2382" w:hanging="312"/>
      </w:pPr>
      <w:rPr>
        <w:rFonts w:hint="default"/>
        <w:lang w:val="es-MX" w:eastAsia="es-MX" w:bidi="es-MX"/>
      </w:rPr>
    </w:lvl>
    <w:lvl w:ilvl="2" w:tplc="13061DFE">
      <w:numFmt w:val="bullet"/>
      <w:lvlText w:val="•"/>
      <w:lvlJc w:val="left"/>
      <w:pPr>
        <w:ind w:left="3284" w:hanging="312"/>
      </w:pPr>
      <w:rPr>
        <w:rFonts w:hint="default"/>
        <w:lang w:val="es-MX" w:eastAsia="es-MX" w:bidi="es-MX"/>
      </w:rPr>
    </w:lvl>
    <w:lvl w:ilvl="3" w:tplc="1376FE12">
      <w:numFmt w:val="bullet"/>
      <w:lvlText w:val="•"/>
      <w:lvlJc w:val="left"/>
      <w:pPr>
        <w:ind w:left="4186" w:hanging="312"/>
      </w:pPr>
      <w:rPr>
        <w:rFonts w:hint="default"/>
        <w:lang w:val="es-MX" w:eastAsia="es-MX" w:bidi="es-MX"/>
      </w:rPr>
    </w:lvl>
    <w:lvl w:ilvl="4" w:tplc="B99C2632">
      <w:numFmt w:val="bullet"/>
      <w:lvlText w:val="•"/>
      <w:lvlJc w:val="left"/>
      <w:pPr>
        <w:ind w:left="5088" w:hanging="312"/>
      </w:pPr>
      <w:rPr>
        <w:rFonts w:hint="default"/>
        <w:lang w:val="es-MX" w:eastAsia="es-MX" w:bidi="es-MX"/>
      </w:rPr>
    </w:lvl>
    <w:lvl w:ilvl="5" w:tplc="B7F0E0B8">
      <w:numFmt w:val="bullet"/>
      <w:lvlText w:val="•"/>
      <w:lvlJc w:val="left"/>
      <w:pPr>
        <w:ind w:left="5990" w:hanging="312"/>
      </w:pPr>
      <w:rPr>
        <w:rFonts w:hint="default"/>
        <w:lang w:val="es-MX" w:eastAsia="es-MX" w:bidi="es-MX"/>
      </w:rPr>
    </w:lvl>
    <w:lvl w:ilvl="6" w:tplc="92DA40EE">
      <w:numFmt w:val="bullet"/>
      <w:lvlText w:val="•"/>
      <w:lvlJc w:val="left"/>
      <w:pPr>
        <w:ind w:left="6892" w:hanging="312"/>
      </w:pPr>
      <w:rPr>
        <w:rFonts w:hint="default"/>
        <w:lang w:val="es-MX" w:eastAsia="es-MX" w:bidi="es-MX"/>
      </w:rPr>
    </w:lvl>
    <w:lvl w:ilvl="7" w:tplc="448ACB8A">
      <w:numFmt w:val="bullet"/>
      <w:lvlText w:val="•"/>
      <w:lvlJc w:val="left"/>
      <w:pPr>
        <w:ind w:left="7794" w:hanging="312"/>
      </w:pPr>
      <w:rPr>
        <w:rFonts w:hint="default"/>
        <w:lang w:val="es-MX" w:eastAsia="es-MX" w:bidi="es-MX"/>
      </w:rPr>
    </w:lvl>
    <w:lvl w:ilvl="8" w:tplc="0CBC01C8">
      <w:numFmt w:val="bullet"/>
      <w:lvlText w:val="•"/>
      <w:lvlJc w:val="left"/>
      <w:pPr>
        <w:ind w:left="8696" w:hanging="312"/>
      </w:pPr>
      <w:rPr>
        <w:rFonts w:hint="default"/>
        <w:lang w:val="es-MX" w:eastAsia="es-MX" w:bidi="es-MX"/>
      </w:rPr>
    </w:lvl>
  </w:abstractNum>
  <w:abstractNum w:abstractNumId="7" w15:restartNumberingAfterBreak="0">
    <w:nsid w:val="5C6F502E"/>
    <w:multiLevelType w:val="hybridMultilevel"/>
    <w:tmpl w:val="89D2D7D0"/>
    <w:lvl w:ilvl="0" w:tplc="FFF4E3C2">
      <w:numFmt w:val="bullet"/>
      <w:lvlText w:val=""/>
      <w:lvlJc w:val="left"/>
      <w:pPr>
        <w:ind w:left="2200" w:hanging="360"/>
      </w:pPr>
      <w:rPr>
        <w:rFonts w:ascii="Wingdings" w:eastAsia="Wingdings" w:hAnsi="Wingdings" w:cs="Wingdings" w:hint="default"/>
        <w:w w:val="100"/>
        <w:sz w:val="22"/>
        <w:szCs w:val="22"/>
        <w:lang w:val="es-MX" w:eastAsia="es-MX" w:bidi="es-MX"/>
      </w:rPr>
    </w:lvl>
    <w:lvl w:ilvl="1" w:tplc="33F492D0">
      <w:numFmt w:val="bullet"/>
      <w:lvlText w:val="•"/>
      <w:lvlJc w:val="left"/>
      <w:pPr>
        <w:ind w:left="3030" w:hanging="360"/>
      </w:pPr>
      <w:rPr>
        <w:rFonts w:hint="default"/>
        <w:lang w:val="es-MX" w:eastAsia="es-MX" w:bidi="es-MX"/>
      </w:rPr>
    </w:lvl>
    <w:lvl w:ilvl="2" w:tplc="9C3A05EC">
      <w:numFmt w:val="bullet"/>
      <w:lvlText w:val="•"/>
      <w:lvlJc w:val="left"/>
      <w:pPr>
        <w:ind w:left="3860" w:hanging="360"/>
      </w:pPr>
      <w:rPr>
        <w:rFonts w:hint="default"/>
        <w:lang w:val="es-MX" w:eastAsia="es-MX" w:bidi="es-MX"/>
      </w:rPr>
    </w:lvl>
    <w:lvl w:ilvl="3" w:tplc="8130825A">
      <w:numFmt w:val="bullet"/>
      <w:lvlText w:val="•"/>
      <w:lvlJc w:val="left"/>
      <w:pPr>
        <w:ind w:left="4690" w:hanging="360"/>
      </w:pPr>
      <w:rPr>
        <w:rFonts w:hint="default"/>
        <w:lang w:val="es-MX" w:eastAsia="es-MX" w:bidi="es-MX"/>
      </w:rPr>
    </w:lvl>
    <w:lvl w:ilvl="4" w:tplc="5CD26F5E">
      <w:numFmt w:val="bullet"/>
      <w:lvlText w:val="•"/>
      <w:lvlJc w:val="left"/>
      <w:pPr>
        <w:ind w:left="5520" w:hanging="360"/>
      </w:pPr>
      <w:rPr>
        <w:rFonts w:hint="default"/>
        <w:lang w:val="es-MX" w:eastAsia="es-MX" w:bidi="es-MX"/>
      </w:rPr>
    </w:lvl>
    <w:lvl w:ilvl="5" w:tplc="E4A06620">
      <w:numFmt w:val="bullet"/>
      <w:lvlText w:val="•"/>
      <w:lvlJc w:val="left"/>
      <w:pPr>
        <w:ind w:left="6350" w:hanging="360"/>
      </w:pPr>
      <w:rPr>
        <w:rFonts w:hint="default"/>
        <w:lang w:val="es-MX" w:eastAsia="es-MX" w:bidi="es-MX"/>
      </w:rPr>
    </w:lvl>
    <w:lvl w:ilvl="6" w:tplc="3B9E9028">
      <w:numFmt w:val="bullet"/>
      <w:lvlText w:val="•"/>
      <w:lvlJc w:val="left"/>
      <w:pPr>
        <w:ind w:left="7180" w:hanging="360"/>
      </w:pPr>
      <w:rPr>
        <w:rFonts w:hint="default"/>
        <w:lang w:val="es-MX" w:eastAsia="es-MX" w:bidi="es-MX"/>
      </w:rPr>
    </w:lvl>
    <w:lvl w:ilvl="7" w:tplc="D7CC47DC">
      <w:numFmt w:val="bullet"/>
      <w:lvlText w:val="•"/>
      <w:lvlJc w:val="left"/>
      <w:pPr>
        <w:ind w:left="8010" w:hanging="360"/>
      </w:pPr>
      <w:rPr>
        <w:rFonts w:hint="default"/>
        <w:lang w:val="es-MX" w:eastAsia="es-MX" w:bidi="es-MX"/>
      </w:rPr>
    </w:lvl>
    <w:lvl w:ilvl="8" w:tplc="1610DA1C">
      <w:numFmt w:val="bullet"/>
      <w:lvlText w:val="•"/>
      <w:lvlJc w:val="left"/>
      <w:pPr>
        <w:ind w:left="8840" w:hanging="360"/>
      </w:pPr>
      <w:rPr>
        <w:rFonts w:hint="default"/>
        <w:lang w:val="es-MX" w:eastAsia="es-MX" w:bidi="es-MX"/>
      </w:rPr>
    </w:lvl>
  </w:abstractNum>
  <w:abstractNum w:abstractNumId="8" w15:restartNumberingAfterBreak="0">
    <w:nsid w:val="5EB333D5"/>
    <w:multiLevelType w:val="hybridMultilevel"/>
    <w:tmpl w:val="739CBDB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545981"/>
    <w:multiLevelType w:val="hybridMultilevel"/>
    <w:tmpl w:val="E1C01904"/>
    <w:lvl w:ilvl="0" w:tplc="080A0009">
      <w:start w:val="1"/>
      <w:numFmt w:val="bullet"/>
      <w:lvlText w:val=""/>
      <w:lvlJc w:val="left"/>
      <w:pPr>
        <w:ind w:left="784" w:hanging="360"/>
      </w:pPr>
      <w:rPr>
        <w:rFonts w:ascii="Wingdings" w:hAnsi="Wingdings"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3"/>
  </w:num>
  <w:num w:numId="6">
    <w:abstractNumId w:val="0"/>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24"/>
    <w:rsid w:val="00054FEF"/>
    <w:rsid w:val="0006543C"/>
    <w:rsid w:val="000B324F"/>
    <w:rsid w:val="000D6031"/>
    <w:rsid w:val="00133C84"/>
    <w:rsid w:val="00230B0F"/>
    <w:rsid w:val="00236496"/>
    <w:rsid w:val="002D1A0C"/>
    <w:rsid w:val="003374F6"/>
    <w:rsid w:val="003D36F2"/>
    <w:rsid w:val="00450F98"/>
    <w:rsid w:val="00470245"/>
    <w:rsid w:val="004D7AD7"/>
    <w:rsid w:val="004E6443"/>
    <w:rsid w:val="005D0544"/>
    <w:rsid w:val="005F35EF"/>
    <w:rsid w:val="00631560"/>
    <w:rsid w:val="006348E5"/>
    <w:rsid w:val="00643E24"/>
    <w:rsid w:val="006B36AE"/>
    <w:rsid w:val="006F2FB3"/>
    <w:rsid w:val="007622C8"/>
    <w:rsid w:val="00776424"/>
    <w:rsid w:val="007E46DF"/>
    <w:rsid w:val="00851A84"/>
    <w:rsid w:val="0086735D"/>
    <w:rsid w:val="00903D5F"/>
    <w:rsid w:val="009232FD"/>
    <w:rsid w:val="009F2491"/>
    <w:rsid w:val="00A54A8A"/>
    <w:rsid w:val="00A57919"/>
    <w:rsid w:val="00A627A5"/>
    <w:rsid w:val="00AC1F4B"/>
    <w:rsid w:val="00AF4C9B"/>
    <w:rsid w:val="00B567FE"/>
    <w:rsid w:val="00C1569E"/>
    <w:rsid w:val="00CD2F3E"/>
    <w:rsid w:val="00CD48C6"/>
    <w:rsid w:val="00CE5F99"/>
    <w:rsid w:val="00E407C5"/>
    <w:rsid w:val="00E44865"/>
    <w:rsid w:val="00EB24D7"/>
    <w:rsid w:val="00F25421"/>
    <w:rsid w:val="00F87E80"/>
    <w:rsid w:val="00F9430C"/>
    <w:rsid w:val="00FC1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58AF2-25CD-4543-AB68-16C1E14F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3"/>
  </w:style>
  <w:style w:type="paragraph" w:styleId="Ttulo1">
    <w:name w:val="heading 1"/>
    <w:basedOn w:val="Normal"/>
    <w:next w:val="Normal"/>
    <w:link w:val="Ttulo1Car"/>
    <w:uiPriority w:val="1"/>
    <w:qFormat/>
    <w:rsid w:val="000B3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C12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C12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F35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Lista vistosa - Énfasis 11,CNBV Parrafo1"/>
    <w:basedOn w:val="Normal"/>
    <w:link w:val="PrrafodelistaCar"/>
    <w:uiPriority w:val="1"/>
    <w:qFormat/>
    <w:rsid w:val="006F2FB3"/>
    <w:pPr>
      <w:ind w:left="720"/>
      <w:contextualSpacing/>
    </w:pPr>
  </w:style>
  <w:style w:type="character" w:styleId="Refdenotaalpie">
    <w:name w:val="footnote reference"/>
    <w:basedOn w:val="Fuentedeprrafopredeter"/>
    <w:uiPriority w:val="99"/>
    <w:semiHidden/>
    <w:unhideWhenUsed/>
    <w:rsid w:val="006F2FB3"/>
    <w:rPr>
      <w:vertAlign w:val="superscript"/>
    </w:rPr>
  </w:style>
  <w:style w:type="paragraph" w:styleId="Textonotapie">
    <w:name w:val="footnote text"/>
    <w:basedOn w:val="Normal"/>
    <w:link w:val="TextonotapieCar"/>
    <w:uiPriority w:val="99"/>
    <w:semiHidden/>
    <w:unhideWhenUsed/>
    <w:rsid w:val="006F2F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2FB3"/>
    <w:rPr>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link w:val="Prrafodelista"/>
    <w:uiPriority w:val="34"/>
    <w:locked/>
    <w:rsid w:val="006F2FB3"/>
  </w:style>
  <w:style w:type="character" w:customStyle="1" w:styleId="SinespaciadoCar">
    <w:name w:val="Sin espaciado Car"/>
    <w:basedOn w:val="Fuentedeprrafopredeter"/>
    <w:link w:val="Sinespaciado"/>
    <w:uiPriority w:val="1"/>
    <w:locked/>
    <w:rsid w:val="006F2FB3"/>
    <w:rPr>
      <w:rFonts w:ascii="Calibri" w:hAnsi="Calibri"/>
    </w:rPr>
  </w:style>
  <w:style w:type="paragraph" w:styleId="Sinespaciado">
    <w:name w:val="No Spacing"/>
    <w:basedOn w:val="Normal"/>
    <w:link w:val="SinespaciadoCar"/>
    <w:uiPriority w:val="1"/>
    <w:qFormat/>
    <w:rsid w:val="006F2FB3"/>
    <w:pPr>
      <w:spacing w:after="0" w:line="240" w:lineRule="auto"/>
    </w:pPr>
    <w:rPr>
      <w:rFonts w:ascii="Calibri" w:hAnsi="Calibri"/>
    </w:rPr>
  </w:style>
  <w:style w:type="paragraph" w:styleId="Encabezado">
    <w:name w:val="header"/>
    <w:basedOn w:val="Normal"/>
    <w:link w:val="EncabezadoCar"/>
    <w:uiPriority w:val="99"/>
    <w:unhideWhenUsed/>
    <w:rsid w:val="006F2F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FB3"/>
  </w:style>
  <w:style w:type="paragraph" w:styleId="Piedepgina">
    <w:name w:val="footer"/>
    <w:basedOn w:val="Normal"/>
    <w:link w:val="PiedepginaCar"/>
    <w:uiPriority w:val="99"/>
    <w:unhideWhenUsed/>
    <w:rsid w:val="006F2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FB3"/>
  </w:style>
  <w:style w:type="paragraph" w:styleId="Textodeglobo">
    <w:name w:val="Balloon Text"/>
    <w:basedOn w:val="Normal"/>
    <w:link w:val="TextodegloboCar"/>
    <w:uiPriority w:val="99"/>
    <w:semiHidden/>
    <w:unhideWhenUsed/>
    <w:rsid w:val="006B36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6AE"/>
    <w:rPr>
      <w:rFonts w:ascii="Segoe UI" w:hAnsi="Segoe UI" w:cs="Segoe UI"/>
      <w:sz w:val="18"/>
      <w:szCs w:val="18"/>
    </w:rPr>
  </w:style>
  <w:style w:type="character" w:customStyle="1" w:styleId="Ttulo1Car">
    <w:name w:val="Título 1 Car"/>
    <w:basedOn w:val="Fuentedeprrafopredeter"/>
    <w:link w:val="Ttulo1"/>
    <w:uiPriority w:val="9"/>
    <w:rsid w:val="000B324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C126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C126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5F35EF"/>
    <w:rPr>
      <w:rFonts w:asciiTheme="majorHAnsi" w:eastAsiaTheme="majorEastAsia" w:hAnsiTheme="majorHAnsi" w:cstheme="majorBidi"/>
      <w:i/>
      <w:iCs/>
      <w:color w:val="2E74B5" w:themeColor="accent1" w:themeShade="BF"/>
    </w:rPr>
  </w:style>
  <w:style w:type="table" w:customStyle="1" w:styleId="TableNormal">
    <w:name w:val="Table Normal"/>
    <w:uiPriority w:val="2"/>
    <w:semiHidden/>
    <w:unhideWhenUsed/>
    <w:qFormat/>
    <w:rsid w:val="00F254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F25421"/>
    <w:pPr>
      <w:widowControl w:val="0"/>
      <w:autoSpaceDE w:val="0"/>
      <w:autoSpaceDN w:val="0"/>
      <w:spacing w:before="140" w:after="0" w:line="240" w:lineRule="auto"/>
      <w:ind w:left="1481"/>
    </w:pPr>
    <w:rPr>
      <w:rFonts w:ascii="ITC Avant Garde" w:eastAsia="ITC Avant Garde" w:hAnsi="ITC Avant Garde" w:cs="ITC Avant Garde"/>
      <w:lang w:eastAsia="es-MX" w:bidi="es-MX"/>
    </w:rPr>
  </w:style>
  <w:style w:type="paragraph" w:styleId="Textoindependiente">
    <w:name w:val="Body Text"/>
    <w:basedOn w:val="Normal"/>
    <w:link w:val="TextoindependienteCar"/>
    <w:uiPriority w:val="1"/>
    <w:qFormat/>
    <w:rsid w:val="00F25421"/>
    <w:pPr>
      <w:widowControl w:val="0"/>
      <w:autoSpaceDE w:val="0"/>
      <w:autoSpaceDN w:val="0"/>
      <w:spacing w:after="0" w:line="240" w:lineRule="auto"/>
    </w:pPr>
    <w:rPr>
      <w:rFonts w:ascii="ITC Avant Garde" w:eastAsia="ITC Avant Garde" w:hAnsi="ITC Avant Garde" w:cs="ITC Avant Garde"/>
      <w:lang w:eastAsia="es-MX" w:bidi="es-MX"/>
    </w:rPr>
  </w:style>
  <w:style w:type="character" w:customStyle="1" w:styleId="TextoindependienteCar">
    <w:name w:val="Texto independiente Car"/>
    <w:basedOn w:val="Fuentedeprrafopredeter"/>
    <w:link w:val="Textoindependiente"/>
    <w:uiPriority w:val="1"/>
    <w:rsid w:val="00F25421"/>
    <w:rPr>
      <w:rFonts w:ascii="ITC Avant Garde" w:eastAsia="ITC Avant Garde" w:hAnsi="ITC Avant Garde" w:cs="ITC Avant Garde"/>
      <w:lang w:eastAsia="es-MX" w:bidi="es-MX"/>
    </w:rPr>
  </w:style>
  <w:style w:type="paragraph" w:customStyle="1" w:styleId="TableParagraph">
    <w:name w:val="Table Paragraph"/>
    <w:basedOn w:val="Normal"/>
    <w:uiPriority w:val="1"/>
    <w:qFormat/>
    <w:rsid w:val="00F25421"/>
    <w:pPr>
      <w:widowControl w:val="0"/>
      <w:autoSpaceDE w:val="0"/>
      <w:autoSpaceDN w:val="0"/>
      <w:spacing w:after="0" w:line="240" w:lineRule="auto"/>
    </w:pPr>
    <w:rPr>
      <w:rFonts w:ascii="Times New Roman" w:eastAsia="Times New Roman" w:hAnsi="Times New Roman" w:cs="Times New Roman"/>
      <w:lang w:eastAsia="es-MX" w:bidi="es-MX"/>
    </w:rPr>
  </w:style>
  <w:style w:type="character" w:styleId="Hipervnculo">
    <w:name w:val="Hyperlink"/>
    <w:basedOn w:val="Fuentedeprrafopredeter"/>
    <w:uiPriority w:val="99"/>
    <w:unhideWhenUsed/>
    <w:rsid w:val="00F25421"/>
    <w:rPr>
      <w:color w:val="0563C1" w:themeColor="hyperlink"/>
      <w:u w:val="single"/>
    </w:rPr>
  </w:style>
  <w:style w:type="character" w:styleId="Refdecomentario">
    <w:name w:val="annotation reference"/>
    <w:basedOn w:val="Fuentedeprrafopredeter"/>
    <w:uiPriority w:val="99"/>
    <w:semiHidden/>
    <w:unhideWhenUsed/>
    <w:rsid w:val="00F25421"/>
    <w:rPr>
      <w:sz w:val="16"/>
      <w:szCs w:val="16"/>
    </w:rPr>
  </w:style>
  <w:style w:type="paragraph" w:styleId="Textocomentario">
    <w:name w:val="annotation text"/>
    <w:basedOn w:val="Normal"/>
    <w:link w:val="TextocomentarioCar"/>
    <w:uiPriority w:val="99"/>
    <w:semiHidden/>
    <w:unhideWhenUsed/>
    <w:rsid w:val="00F25421"/>
    <w:pPr>
      <w:widowControl w:val="0"/>
      <w:autoSpaceDE w:val="0"/>
      <w:autoSpaceDN w:val="0"/>
      <w:spacing w:after="0" w:line="240" w:lineRule="auto"/>
    </w:pPr>
    <w:rPr>
      <w:rFonts w:ascii="ITC Avant Garde" w:eastAsia="ITC Avant Garde" w:hAnsi="ITC Avant Garde" w:cs="ITC Avant Garde"/>
      <w:sz w:val="20"/>
      <w:szCs w:val="20"/>
      <w:lang w:eastAsia="es-MX" w:bidi="es-MX"/>
    </w:rPr>
  </w:style>
  <w:style w:type="character" w:customStyle="1" w:styleId="TextocomentarioCar">
    <w:name w:val="Texto comentario Car"/>
    <w:basedOn w:val="Fuentedeprrafopredeter"/>
    <w:link w:val="Textocomentario"/>
    <w:uiPriority w:val="99"/>
    <w:semiHidden/>
    <w:rsid w:val="00F25421"/>
    <w:rPr>
      <w:rFonts w:ascii="ITC Avant Garde" w:eastAsia="ITC Avant Garde" w:hAnsi="ITC Avant Garde" w:cs="ITC Avant Garde"/>
      <w:sz w:val="20"/>
      <w:szCs w:val="20"/>
      <w:lang w:eastAsia="es-MX" w:bidi="es-MX"/>
    </w:rPr>
  </w:style>
  <w:style w:type="paragraph" w:styleId="Asuntodelcomentario">
    <w:name w:val="annotation subject"/>
    <w:basedOn w:val="Textocomentario"/>
    <w:next w:val="Textocomentario"/>
    <w:link w:val="AsuntodelcomentarioCar"/>
    <w:uiPriority w:val="99"/>
    <w:semiHidden/>
    <w:unhideWhenUsed/>
    <w:rsid w:val="00F25421"/>
    <w:rPr>
      <w:b/>
      <w:bCs/>
    </w:rPr>
  </w:style>
  <w:style w:type="character" w:customStyle="1" w:styleId="AsuntodelcomentarioCar">
    <w:name w:val="Asunto del comentario Car"/>
    <w:basedOn w:val="TextocomentarioCar"/>
    <w:link w:val="Asuntodelcomentario"/>
    <w:uiPriority w:val="99"/>
    <w:semiHidden/>
    <w:rsid w:val="00F25421"/>
    <w:rPr>
      <w:rFonts w:ascii="ITC Avant Garde" w:eastAsia="ITC Avant Garde" w:hAnsi="ITC Avant Garde" w:cs="ITC Avant Garde"/>
      <w:b/>
      <w:bCs/>
      <w:sz w:val="20"/>
      <w:szCs w:val="20"/>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A51D-F978-452B-908C-2686E8B7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4456</Words>
  <Characters>24508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Sanabria Cedillo</dc:creator>
  <cp:keywords/>
  <dc:description/>
  <cp:lastModifiedBy>Josue Teoyotl Calderon</cp:lastModifiedBy>
  <cp:revision>2</cp:revision>
  <cp:lastPrinted>2018-07-02T22:28:00Z</cp:lastPrinted>
  <dcterms:created xsi:type="dcterms:W3CDTF">2018-07-13T17:45:00Z</dcterms:created>
  <dcterms:modified xsi:type="dcterms:W3CDTF">2018-07-13T17:45:00Z</dcterms:modified>
</cp:coreProperties>
</file>