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A5" w:rsidRDefault="00CC36A5" w:rsidP="00CC36A5">
      <w:pPr>
        <w:spacing w:after="0" w:line="276" w:lineRule="auto"/>
        <w:jc w:val="both"/>
        <w:rPr>
          <w:rFonts w:ascii="ITC Avant Garde" w:eastAsia="Times New Roman" w:hAnsi="ITC Avant Garde"/>
          <w:b/>
          <w:i/>
          <w:sz w:val="24"/>
          <w:szCs w:val="24"/>
        </w:rPr>
      </w:pPr>
      <w:r w:rsidRPr="0053503B">
        <w:rPr>
          <w:rFonts w:ascii="ITC Avant Garde" w:hAnsi="ITC Avant Garde"/>
          <w:b/>
          <w:sz w:val="24"/>
          <w:szCs w:val="24"/>
        </w:rPr>
        <w:t xml:space="preserve">RESPUESTAS GENERALES QUE BRINDA EL INSTITUTO FEDERAL DE TELECOMUNICACIONES A LAS MANIFESTACIONES, OPINIONES, COMENTARIOS Y PROPUESTAS CONCRETAS, PRESENTADAS DURANTE LA CONSULTA PÚBLICA </w:t>
      </w:r>
      <w:r>
        <w:rPr>
          <w:rFonts w:ascii="ITC Avant Garde" w:hAnsi="ITC Avant Garde"/>
          <w:b/>
          <w:sz w:val="24"/>
          <w:szCs w:val="24"/>
        </w:rPr>
        <w:t>SOBRE LAS</w:t>
      </w:r>
      <w:r w:rsidRPr="0053503B">
        <w:rPr>
          <w:rFonts w:ascii="ITC Avant Garde" w:hAnsi="ITC Avant Garde"/>
          <w:b/>
          <w:sz w:val="24"/>
          <w:szCs w:val="24"/>
        </w:rPr>
        <w:t xml:space="preserve"> “</w:t>
      </w:r>
      <w:r w:rsidRPr="0053503B">
        <w:rPr>
          <w:rFonts w:ascii="ITC Avant Garde" w:eastAsia="Times New Roman" w:hAnsi="ITC Avant Garde"/>
          <w:b/>
          <w:i/>
          <w:sz w:val="24"/>
          <w:szCs w:val="24"/>
        </w:rPr>
        <w:t>PROPUESTAS DE CONVENIO</w:t>
      </w:r>
      <w:r>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MARCO DE INTERCONEXIÓN PRESENTADO</w:t>
      </w:r>
      <w:r>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POR EL AGENTE ECONÓMICO PREPONDERANTE EN EL SECTOR DE LAS TELECOMUNICACIONES APLICABLES AL AÑO 2019”.</w:t>
      </w:r>
    </w:p>
    <w:p w:rsidR="00752F35" w:rsidRDefault="00752F35" w:rsidP="00CC36A5">
      <w:pPr>
        <w:spacing w:after="0" w:line="276" w:lineRule="auto"/>
        <w:jc w:val="both"/>
        <w:rPr>
          <w:rFonts w:ascii="ITC Avant Garde" w:eastAsia="Times New Roman" w:hAnsi="ITC Avant Garde"/>
          <w:b/>
          <w:i/>
          <w:sz w:val="24"/>
          <w:szCs w:val="24"/>
        </w:rPr>
      </w:pPr>
    </w:p>
    <w:p w:rsidR="00752F35" w:rsidRPr="00E92CFC" w:rsidRDefault="00752F35" w:rsidP="00752F35">
      <w:pPr>
        <w:spacing w:after="0" w:line="276" w:lineRule="auto"/>
        <w:ind w:left="-6" w:hanging="11"/>
        <w:jc w:val="both"/>
        <w:rPr>
          <w:rFonts w:ascii="ITC Avant Garde" w:hAnsi="ITC Avant Garde" w:cs="ITC Avant Garde"/>
          <w:color w:val="000000"/>
        </w:rPr>
      </w:pPr>
      <w:r>
        <w:rPr>
          <w:rFonts w:ascii="ITC Avant Garde" w:hAnsi="ITC Avant Garde" w:cs="ITC Avant Garde"/>
          <w:b/>
          <w:color w:val="000000"/>
        </w:rPr>
        <w:t xml:space="preserve">Fecha de Elaboración del Informe de Consideraciones sobre los comentarios, opiniones y aportaciones recibidos en relación a la presente Consulta Pública: </w:t>
      </w:r>
      <w:r w:rsidRPr="00E92CFC">
        <w:rPr>
          <w:rFonts w:ascii="ITC Avant Garde" w:hAnsi="ITC Avant Garde" w:cs="ITC Avant Garde"/>
          <w:color w:val="000000"/>
        </w:rPr>
        <w:t>1 de octubre del 2018.</w:t>
      </w:r>
    </w:p>
    <w:p w:rsidR="00752F35" w:rsidRDefault="00752F35" w:rsidP="00CC36A5">
      <w:pPr>
        <w:spacing w:after="0" w:line="276" w:lineRule="auto"/>
        <w:jc w:val="both"/>
        <w:rPr>
          <w:rFonts w:ascii="ITC Avant Garde" w:eastAsia="Times New Roman" w:hAnsi="ITC Avant Garde"/>
          <w:b/>
          <w:i/>
          <w:sz w:val="24"/>
          <w:szCs w:val="24"/>
        </w:rPr>
      </w:pPr>
    </w:p>
    <w:p w:rsidR="00752F35" w:rsidRDefault="00752F35" w:rsidP="00752F35">
      <w:pPr>
        <w:spacing w:after="0" w:line="276" w:lineRule="auto"/>
        <w:ind w:left="-6" w:hanging="11"/>
        <w:jc w:val="both"/>
        <w:rPr>
          <w:rFonts w:ascii="ITC Avant Garde" w:hAnsi="ITC Avant Garde" w:cs="ITC Avant Garde"/>
          <w:b/>
          <w:color w:val="000000"/>
        </w:rPr>
      </w:pPr>
      <w:r>
        <w:rPr>
          <w:rFonts w:ascii="ITC Avant Garde" w:hAnsi="ITC Avant Garde" w:cs="ITC Avant Garde"/>
          <w:b/>
          <w:color w:val="000000"/>
        </w:rPr>
        <w:t>Descripción de la Consulta Pública:</w:t>
      </w:r>
    </w:p>
    <w:p w:rsidR="00752F35" w:rsidRDefault="00752F35" w:rsidP="00752F35">
      <w:pPr>
        <w:spacing w:after="0" w:line="276" w:lineRule="auto"/>
        <w:ind w:left="-6" w:hanging="11"/>
        <w:jc w:val="both"/>
        <w:rPr>
          <w:rFonts w:ascii="ITC Avant Garde" w:hAnsi="ITC Avant Garde" w:cs="ITC Avant Garde"/>
          <w:color w:val="000000"/>
        </w:rPr>
      </w:pPr>
      <w:r>
        <w:rPr>
          <w:rFonts w:ascii="ITC Avant Garde" w:hAnsi="ITC Avant Garde" w:cs="ITC Avant Garde"/>
          <w:color w:val="000000"/>
        </w:rPr>
        <w:t>El Instituto recibió</w:t>
      </w:r>
      <w:r w:rsidRPr="007A5D7A">
        <w:rPr>
          <w:rFonts w:ascii="ITC Avant Garde" w:hAnsi="ITC Avant Garde" w:cs="ITC Avant Garde"/>
          <w:color w:val="000000"/>
        </w:rPr>
        <w:t xml:space="preserve"> los comentarios, opinio</w:t>
      </w:r>
      <w:r>
        <w:rPr>
          <w:rFonts w:ascii="ITC Avant Garde" w:hAnsi="ITC Avant Garde" w:cs="ITC Avant Garde"/>
          <w:color w:val="000000"/>
        </w:rPr>
        <w:t>nes y aportaciones que se tuvieron</w:t>
      </w:r>
      <w:r w:rsidRPr="007A5D7A">
        <w:rPr>
          <w:rFonts w:ascii="ITC Avant Garde" w:hAnsi="ITC Avant Garde" w:cs="ITC Avant Garde"/>
          <w:color w:val="000000"/>
        </w:rPr>
        <w:t xml:space="preserve"> con relación al contenido </w:t>
      </w:r>
      <w:r>
        <w:rPr>
          <w:rFonts w:ascii="ITC Avant Garde" w:hAnsi="ITC Avant Garde" w:cs="ITC Avant Garde"/>
          <w:color w:val="000000"/>
        </w:rPr>
        <w:t xml:space="preserve">de las </w:t>
      </w:r>
      <w:r w:rsidRPr="007A5D7A">
        <w:rPr>
          <w:rFonts w:ascii="ITC Avant Garde" w:hAnsi="ITC Avant Garde" w:cs="ITC Avant Garde"/>
          <w:i/>
          <w:color w:val="000000"/>
        </w:rPr>
        <w:t>“</w:t>
      </w:r>
      <w:r w:rsidRPr="007A5D7A">
        <w:rPr>
          <w:rFonts w:ascii="ITC Avant Garde" w:hAnsi="ITC Avant Garde" w:cs="ITC Avant Garde"/>
          <w:b/>
          <w:bCs/>
          <w:i/>
          <w:color w:val="000000"/>
        </w:rPr>
        <w:t>Propuestas de Convenio Marco de Interconexión presentado por el Agente Económico Preponderante en el Sector de las Telecomunicaciones Aplicables al Año 2019”</w:t>
      </w:r>
      <w:r w:rsidRPr="0053503B">
        <w:rPr>
          <w:rFonts w:ascii="ITC Avant Garde" w:hAnsi="ITC Avant Garde" w:cs="ITC Avant Garde"/>
          <w:b/>
          <w:bCs/>
          <w:color w:val="000000"/>
        </w:rPr>
        <w:t xml:space="preserve"> </w:t>
      </w:r>
      <w:r w:rsidRPr="0053503B">
        <w:rPr>
          <w:rFonts w:ascii="ITC Avant Garde" w:hAnsi="ITC Avant Garde" w:cs="ITC Avant Garde"/>
          <w:bCs/>
          <w:color w:val="000000"/>
        </w:rPr>
        <w:t xml:space="preserve">(en lo sucesivo, </w:t>
      </w:r>
      <w:r w:rsidR="00052652">
        <w:rPr>
          <w:rFonts w:ascii="ITC Avant Garde" w:hAnsi="ITC Avant Garde" w:cs="ITC Avant Garde"/>
          <w:bCs/>
          <w:color w:val="000000"/>
        </w:rPr>
        <w:t>el</w:t>
      </w:r>
      <w:r w:rsidRPr="0053503B">
        <w:rPr>
          <w:rFonts w:ascii="ITC Avant Garde" w:hAnsi="ITC Avant Garde" w:cs="ITC Avant Garde"/>
          <w:bCs/>
          <w:color w:val="000000"/>
        </w:rPr>
        <w:t xml:space="preserve"> </w:t>
      </w:r>
      <w:r w:rsidR="00052652">
        <w:rPr>
          <w:rFonts w:ascii="ITC Avant Garde" w:hAnsi="ITC Avant Garde" w:cs="ITC Avant Garde"/>
          <w:bCs/>
          <w:color w:val="000000"/>
        </w:rPr>
        <w:t>“</w:t>
      </w:r>
      <w:r w:rsidRPr="0053503B">
        <w:rPr>
          <w:rFonts w:ascii="ITC Avant Garde" w:hAnsi="ITC Avant Garde" w:cs="ITC Avant Garde"/>
          <w:bCs/>
          <w:color w:val="000000"/>
        </w:rPr>
        <w:t xml:space="preserve">CMI”) </w:t>
      </w:r>
      <w:r w:rsidRPr="0053503B">
        <w:rPr>
          <w:rFonts w:ascii="ITC Avant Garde" w:hAnsi="ITC Avant Garde" w:cs="ITC Avant Garde"/>
          <w:color w:val="000000"/>
        </w:rPr>
        <w:t>presentada</w:t>
      </w:r>
      <w:r w:rsidR="00867EE5">
        <w:rPr>
          <w:rFonts w:ascii="ITC Avant Garde" w:hAnsi="ITC Avant Garde" w:cs="ITC Avant Garde"/>
          <w:color w:val="000000"/>
        </w:rPr>
        <w:t>s por</w:t>
      </w:r>
      <w:r w:rsidRPr="00E16359">
        <w:rPr>
          <w:rFonts w:ascii="ITC Avant Garde" w:hAnsi="ITC Avant Garde"/>
        </w:rPr>
        <w:t xml:space="preserve"> Teléfonos de México, S.A.B. de C.V. y Teléfonos del Noroeste, S.A. de C.V. (en lo </w:t>
      </w:r>
      <w:r w:rsidR="00891522">
        <w:rPr>
          <w:rFonts w:ascii="ITC Avant Garde" w:hAnsi="ITC Avant Garde"/>
        </w:rPr>
        <w:t>sucesivo, conjuntamente “Telmex”</w:t>
      </w:r>
      <w:r w:rsidRPr="00E16359">
        <w:rPr>
          <w:rFonts w:ascii="ITC Avant Garde" w:hAnsi="ITC Avant Garde"/>
        </w:rPr>
        <w:t>)</w:t>
      </w:r>
      <w:r w:rsidRPr="0053503B">
        <w:rPr>
          <w:rFonts w:ascii="ITC Avant Garde" w:hAnsi="ITC Avant Garde" w:cs="ITC Avant Garde"/>
          <w:color w:val="000000"/>
        </w:rPr>
        <w:t xml:space="preserve"> materia de la consulta pública de mérito, recibidas durante el periodo comprendido del 12 </w:t>
      </w:r>
      <w:r>
        <w:rPr>
          <w:rFonts w:ascii="ITC Avant Garde" w:hAnsi="ITC Avant Garde" w:cs="ITC Avant Garde"/>
          <w:color w:val="000000"/>
        </w:rPr>
        <w:t>de abril al 11 de mayo de 2018 a través de la</w:t>
      </w:r>
      <w:r w:rsidRPr="007A5D7A">
        <w:rPr>
          <w:rFonts w:ascii="ITC Avant Garde" w:hAnsi="ITC Avant Garde" w:cs="ITC Avant Garde"/>
          <w:color w:val="000000"/>
        </w:rPr>
        <w:t xml:space="preserve"> dirección de correo electrónico </w:t>
      </w:r>
      <w:hyperlink r:id="rId8" w:tgtFrame="_blank" w:tooltip="Envío de correo" w:history="1">
        <w:r w:rsidRPr="007A5D7A">
          <w:rPr>
            <w:rFonts w:ascii="ITC Avant Garde" w:hAnsi="ITC Avant Garde" w:cs="ITC Avant Garde"/>
            <w:color w:val="000000"/>
          </w:rPr>
          <w:t>cmi@ift.org.mx</w:t>
        </w:r>
      </w:hyperlink>
      <w:r w:rsidRPr="007A5D7A">
        <w:rPr>
          <w:rFonts w:ascii="ITC Avant Garde" w:hAnsi="ITC Avant Garde" w:cs="ITC Avant Garde"/>
          <w:color w:val="000000"/>
        </w:rPr>
        <w:t>,o bien, mediante escrito presentado en la Oficialía de Partes Común del Instituto ubicada en Insurgentes Sur 1143, colonia Nochebuena, Delegación Benito Juáre</w:t>
      </w:r>
      <w:r w:rsidR="00E10C89">
        <w:rPr>
          <w:rFonts w:ascii="ITC Avant Garde" w:hAnsi="ITC Avant Garde" w:cs="ITC Avant Garde"/>
          <w:color w:val="000000"/>
        </w:rPr>
        <w:t>z, C.P. 03720, Ciudad de México.</w:t>
      </w:r>
    </w:p>
    <w:p w:rsidR="00E10C89" w:rsidRDefault="00E10C89" w:rsidP="00752F35">
      <w:pPr>
        <w:spacing w:after="0" w:line="276" w:lineRule="auto"/>
        <w:ind w:left="-6" w:hanging="11"/>
        <w:jc w:val="both"/>
        <w:rPr>
          <w:rFonts w:ascii="ITC Avant Garde" w:hAnsi="ITC Avant Garde" w:cs="ITC Avant Garde"/>
          <w:color w:val="000000"/>
        </w:rPr>
      </w:pPr>
    </w:p>
    <w:p w:rsidR="00E10C89" w:rsidRDefault="00E10C89" w:rsidP="00E10C89">
      <w:pPr>
        <w:spacing w:after="3" w:line="276" w:lineRule="auto"/>
        <w:ind w:left="-5" w:hanging="10"/>
        <w:jc w:val="both"/>
        <w:rPr>
          <w:rFonts w:ascii="ITC Avant Garde" w:hAnsi="ITC Avant Garde" w:cs="ITC Avant Garde"/>
          <w:b/>
          <w:color w:val="000000"/>
        </w:rPr>
      </w:pPr>
      <w:r w:rsidRPr="003B63F4">
        <w:rPr>
          <w:rFonts w:ascii="ITC Avant Garde" w:hAnsi="ITC Avant Garde" w:cs="ITC Avant Garde"/>
          <w:b/>
          <w:color w:val="000000"/>
        </w:rPr>
        <w:t>Objetivo</w:t>
      </w:r>
      <w:r>
        <w:rPr>
          <w:rFonts w:ascii="ITC Avant Garde" w:hAnsi="ITC Avant Garde" w:cs="ITC Avant Garde"/>
          <w:b/>
          <w:color w:val="000000"/>
        </w:rPr>
        <w:t xml:space="preserve"> de la Consulta Pública:</w:t>
      </w:r>
    </w:p>
    <w:p w:rsidR="00E10C89" w:rsidRDefault="00E10C89" w:rsidP="00E10C89">
      <w:pPr>
        <w:spacing w:after="0" w:line="276" w:lineRule="auto"/>
        <w:ind w:left="-6" w:hanging="11"/>
        <w:jc w:val="both"/>
        <w:rPr>
          <w:rFonts w:ascii="ITC Avant Garde" w:hAnsi="ITC Avant Garde" w:cs="ITC Avant Garde"/>
          <w:color w:val="000000"/>
        </w:rPr>
      </w:pPr>
      <w:r>
        <w:rPr>
          <w:rFonts w:ascii="ITC Avant Garde" w:hAnsi="ITC Avant Garde" w:cs="ITC Avant Garde"/>
          <w:color w:val="000000"/>
        </w:rPr>
        <w:t>El Instituto</w:t>
      </w:r>
      <w:r w:rsidRPr="003B63F4">
        <w:rPr>
          <w:rFonts w:ascii="ITC Avant Garde" w:hAnsi="ITC Avant Garde" w:cs="ITC Avant Garde"/>
          <w:color w:val="000000"/>
        </w:rPr>
        <w:t xml:space="preserve"> convencido de la importancia y relevancia de transparentar su proceso de elaboración </w:t>
      </w:r>
      <w:r>
        <w:rPr>
          <w:rFonts w:ascii="ITC Avant Garde" w:hAnsi="ITC Avant Garde" w:cs="ITC Avant Garde"/>
          <w:color w:val="000000"/>
        </w:rPr>
        <w:t>de nuevas regulaciones, recibió</w:t>
      </w:r>
      <w:r w:rsidRPr="003B63F4">
        <w:rPr>
          <w:rFonts w:ascii="ITC Avant Garde" w:hAnsi="ITC Avant Garde" w:cs="ITC Avant Garde"/>
          <w:color w:val="000000"/>
        </w:rPr>
        <w:t xml:space="preserve"> </w:t>
      </w:r>
      <w:r>
        <w:rPr>
          <w:rFonts w:ascii="ITC Avant Garde" w:hAnsi="ITC Avant Garde" w:cs="ITC Avant Garde"/>
          <w:color w:val="000000"/>
        </w:rPr>
        <w:t xml:space="preserve">los </w:t>
      </w:r>
      <w:r w:rsidRPr="003B63F4">
        <w:rPr>
          <w:rFonts w:ascii="ITC Avant Garde" w:hAnsi="ITC Avant Garde" w:cs="ITC Avant Garde"/>
          <w:color w:val="000000"/>
        </w:rPr>
        <w:t>comentarios, opiniones y aportaciones de cualquier interesado a propósito de las</w:t>
      </w:r>
      <w:r>
        <w:rPr>
          <w:rFonts w:ascii="ITC Avant Garde" w:hAnsi="ITC Avant Garde" w:cs="ITC Avant Garde"/>
          <w:color w:val="000000"/>
        </w:rPr>
        <w:t xml:space="preserve"> </w:t>
      </w:r>
      <w:r w:rsidRPr="0053503B">
        <w:rPr>
          <w:rFonts w:ascii="ITC Avant Garde" w:hAnsi="ITC Avant Garde" w:cs="ITC Avant Garde"/>
          <w:bCs/>
          <w:color w:val="000000"/>
        </w:rPr>
        <w:t>Propuesta</w:t>
      </w:r>
      <w:r w:rsidR="00565F54">
        <w:rPr>
          <w:rFonts w:ascii="ITC Avant Garde" w:hAnsi="ITC Avant Garde" w:cs="ITC Avant Garde"/>
          <w:bCs/>
          <w:color w:val="000000"/>
        </w:rPr>
        <w:t>s</w:t>
      </w:r>
      <w:r w:rsidRPr="0053503B">
        <w:rPr>
          <w:rFonts w:ascii="ITC Avant Garde" w:hAnsi="ITC Avant Garde" w:cs="ITC Avant Garde"/>
          <w:bCs/>
          <w:color w:val="000000"/>
        </w:rPr>
        <w:t xml:space="preserve"> de </w:t>
      </w:r>
      <w:r>
        <w:rPr>
          <w:rFonts w:ascii="ITC Avant Garde" w:hAnsi="ITC Avant Garde" w:cs="ITC Avant Garde"/>
          <w:bCs/>
          <w:color w:val="000000"/>
        </w:rPr>
        <w:t>CMI</w:t>
      </w:r>
      <w:r w:rsidRPr="006F7ACA">
        <w:rPr>
          <w:rFonts w:ascii="ITC Avant Garde" w:hAnsi="ITC Avant Garde" w:cs="ITC Avant Garde"/>
          <w:bCs/>
        </w:rPr>
        <w:t>.</w:t>
      </w:r>
      <w:r>
        <w:rPr>
          <w:rFonts w:ascii="ITC Avant Garde" w:hAnsi="ITC Avant Garde" w:cs="ITC Avant Garde"/>
          <w:b/>
          <w:bCs/>
        </w:rPr>
        <w:t xml:space="preserve"> </w:t>
      </w:r>
      <w:r w:rsidR="00052652">
        <w:rPr>
          <w:rFonts w:ascii="ITC Avant Garde" w:hAnsi="ITC Avant Garde" w:cs="ITC Avant Garde"/>
          <w:color w:val="000000"/>
        </w:rPr>
        <w:t>Dichas propuestas se someten</w:t>
      </w:r>
      <w:r w:rsidRPr="003B63F4">
        <w:rPr>
          <w:rFonts w:ascii="ITC Avant Garde" w:hAnsi="ITC Avant Garde" w:cs="ITC Avant Garde"/>
          <w:color w:val="000000"/>
        </w:rPr>
        <w:t xml:space="preserve"> a consulta pública con base en lo establecido en el artículo 268 de la Ley Federal de Telecomunicaciones y Radiodifusión y de conformidad con </w:t>
      </w:r>
      <w:r w:rsidRPr="005D110C">
        <w:rPr>
          <w:rFonts w:ascii="ITC Avant Garde" w:hAnsi="ITC Avant Garde" w:cs="ITC Avant Garde"/>
          <w:color w:val="000000"/>
        </w:rPr>
        <w:t xml:space="preserve">la </w:t>
      </w:r>
      <w:r w:rsidRPr="005D110C">
        <w:rPr>
          <w:rFonts w:ascii="ITC Avant Garde" w:hAnsi="ITC Avant Garde" w:cs="ITC Avant Garde"/>
          <w:i/>
          <w:color w:val="000000"/>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P/IFT/EXT/060314/76; así como por lo establecido en la </w:t>
      </w:r>
      <w:r w:rsidRPr="005D110C">
        <w:rPr>
          <w:rFonts w:ascii="ITC Avant Garde" w:hAnsi="ITC Avant Garde" w:cs="ITC Avant Garde"/>
          <w:i/>
          <w:color w:val="000000"/>
        </w:rPr>
        <w:t xml:space="preserve">“Resolución mediante la cual el Pleno del Instituto Federal de Telecomunicaciones suprime, modifica y adiciona las medidas impuestas al Agente Económico Preponderante en el sector de </w:t>
      </w:r>
      <w:r w:rsidRPr="005D110C">
        <w:rPr>
          <w:rFonts w:ascii="ITC Avant Garde" w:hAnsi="ITC Avant Garde" w:cs="ITC Avant Garde"/>
          <w:i/>
          <w:color w:val="000000"/>
        </w:rPr>
        <w:lastRenderedPageBreak/>
        <w:t>telecomunicaciones mediante resolución de fecha 6 de marzo de 2014”</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P/IFT/EXT/270217/119.</w:t>
      </w:r>
    </w:p>
    <w:p w:rsidR="00E10C89" w:rsidRPr="003B63F4" w:rsidRDefault="00E10C89" w:rsidP="00E10C89">
      <w:pPr>
        <w:spacing w:after="0" w:line="276" w:lineRule="auto"/>
        <w:ind w:left="-6" w:hanging="11"/>
        <w:jc w:val="both"/>
        <w:rPr>
          <w:rFonts w:ascii="ITC Avant Garde" w:hAnsi="ITC Avant Garde" w:cs="ITC Avant Garde"/>
          <w:color w:val="000000"/>
        </w:rPr>
      </w:pPr>
    </w:p>
    <w:p w:rsidR="00E10C89" w:rsidRDefault="00E10C89" w:rsidP="00E10C89">
      <w:pPr>
        <w:spacing w:after="0" w:line="276" w:lineRule="auto"/>
        <w:ind w:left="-6" w:hanging="11"/>
        <w:jc w:val="both"/>
        <w:rPr>
          <w:rFonts w:ascii="ITC Avant Garde" w:hAnsi="ITC Avant Garde" w:cs="ITC Avant Garde"/>
          <w:color w:val="000000"/>
        </w:rPr>
      </w:pPr>
      <w:bookmarkStart w:id="0" w:name="_GoBack"/>
      <w:r w:rsidRPr="003B63F4">
        <w:rPr>
          <w:rFonts w:ascii="ITC Avant Garde" w:hAnsi="ITC Avant Garde" w:cs="ITC Avant Garde"/>
          <w:color w:val="000000"/>
        </w:rPr>
        <w:t>En virtud de lo anterior, la presente consulta pública tiene el objetivo de contar con mayores elementos que le permitan al Instituto determinar las condiciones bajo las cuales se deberán aprobar los Convenios Marco de Interconexión del Agente Económico Preponderante aplicables durante el año 2019, considerándose que los participantes del sector de las telecomunicaciones son los principales interesados en conocer el presente proceso consultivo y aportar elementos que lo enriquezcan; ello, en virtud de su constante participación en la operación de las redes públicas de telecomunicaciones, así como en la operación y en la prestación de servicios derivados.</w:t>
      </w:r>
    </w:p>
    <w:bookmarkEnd w:id="0"/>
    <w:p w:rsidR="00270544" w:rsidRDefault="00270544" w:rsidP="00E10C89">
      <w:pPr>
        <w:spacing w:after="0" w:line="276" w:lineRule="auto"/>
        <w:ind w:left="-6" w:hanging="11"/>
        <w:jc w:val="both"/>
        <w:rPr>
          <w:rFonts w:ascii="ITC Avant Garde" w:hAnsi="ITC Avant Garde" w:cs="ITC Avant Garde"/>
          <w:color w:val="000000"/>
        </w:rPr>
      </w:pPr>
    </w:p>
    <w:p w:rsidR="00270544" w:rsidRDefault="00270544" w:rsidP="00270544">
      <w:pPr>
        <w:spacing w:after="3" w:line="276" w:lineRule="auto"/>
        <w:ind w:left="-6" w:hanging="11"/>
        <w:jc w:val="both"/>
        <w:rPr>
          <w:rFonts w:ascii="ITC Avant Garde" w:hAnsi="ITC Avant Garde" w:cs="ITC Avant Garde"/>
          <w:b/>
          <w:color w:val="000000"/>
        </w:rPr>
      </w:pPr>
      <w:r>
        <w:rPr>
          <w:rFonts w:ascii="ITC Avant Garde" w:hAnsi="ITC Avant Garde" w:cs="ITC Avant Garde"/>
          <w:b/>
          <w:color w:val="000000"/>
        </w:rPr>
        <w:t xml:space="preserve">Unidad Administrativa que promueve el proyecto: </w:t>
      </w:r>
      <w:r w:rsidRPr="00F7338C">
        <w:rPr>
          <w:rFonts w:ascii="ITC Avant Garde" w:hAnsi="ITC Avant Garde" w:cs="ITC Avant Garde"/>
          <w:color w:val="000000"/>
        </w:rPr>
        <w:t>Unidad de Política Regulatoria.</w:t>
      </w:r>
    </w:p>
    <w:p w:rsidR="00752F35" w:rsidRPr="0053503B" w:rsidRDefault="00752F35" w:rsidP="00CC36A5">
      <w:pPr>
        <w:spacing w:after="0" w:line="276" w:lineRule="auto"/>
        <w:jc w:val="both"/>
        <w:rPr>
          <w:rFonts w:ascii="ITC Avant Garde" w:eastAsia="Times New Roman" w:hAnsi="ITC Avant Garde"/>
          <w:b/>
          <w:i/>
          <w:sz w:val="24"/>
          <w:szCs w:val="24"/>
        </w:rPr>
      </w:pPr>
    </w:p>
    <w:p w:rsidR="00270544" w:rsidRPr="0053503B" w:rsidRDefault="00270544" w:rsidP="00D76852">
      <w:pPr>
        <w:spacing w:after="0" w:line="276" w:lineRule="auto"/>
        <w:ind w:left="-6" w:hanging="11"/>
        <w:jc w:val="both"/>
        <w:rPr>
          <w:rFonts w:ascii="ITC Avant Garde" w:hAnsi="ITC Avant Garde" w:cs="ITC Avant Garde"/>
          <w:color w:val="000000"/>
        </w:rPr>
      </w:pPr>
      <w:r>
        <w:rPr>
          <w:rFonts w:ascii="ITC Avant Garde" w:hAnsi="ITC Avant Garde" w:cs="ITC Avant Garde"/>
          <w:b/>
          <w:color w:val="000000"/>
        </w:rPr>
        <w:t>Participantes de la Consulta Pública:</w:t>
      </w:r>
    </w:p>
    <w:p w:rsidR="000F0A50" w:rsidRPr="00E16359" w:rsidRDefault="000F0A50" w:rsidP="00D76852">
      <w:pPr>
        <w:spacing w:after="0" w:line="276" w:lineRule="auto"/>
        <w:ind w:left="-5"/>
        <w:jc w:val="both"/>
        <w:rPr>
          <w:rFonts w:ascii="ITC Avant Garde" w:hAnsi="ITC Avant Garde"/>
        </w:rPr>
      </w:pPr>
      <w:r w:rsidRPr="00E16359">
        <w:rPr>
          <w:rFonts w:ascii="ITC Avant Garde" w:hAnsi="ITC Avant Garde"/>
        </w:rPr>
        <w:t xml:space="preserve">Durante el periodo de la consulta pública de mérito, se recibieron </w:t>
      </w:r>
      <w:r w:rsidR="00232E63">
        <w:rPr>
          <w:rFonts w:ascii="ITC Avant Garde" w:hAnsi="ITC Avant Garde"/>
        </w:rPr>
        <w:t xml:space="preserve">8 </w:t>
      </w:r>
      <w:r w:rsidRPr="00E16359">
        <w:rPr>
          <w:rFonts w:ascii="ITC Avant Garde" w:hAnsi="ITC Avant Garde"/>
        </w:rPr>
        <w:t>participaciones, por parte de las siguientes personas morales:</w:t>
      </w:r>
    </w:p>
    <w:p w:rsidR="00D06F43" w:rsidRPr="00E16359" w:rsidRDefault="00D06F43" w:rsidP="001D3335">
      <w:pPr>
        <w:spacing w:after="0" w:line="276" w:lineRule="auto"/>
        <w:ind w:left="-5"/>
        <w:jc w:val="both"/>
        <w:rPr>
          <w:rFonts w:ascii="ITC Avant Garde" w:hAnsi="ITC Avant Garde"/>
        </w:rPr>
      </w:pPr>
    </w:p>
    <w:p w:rsidR="0024022F" w:rsidRPr="00E16359" w:rsidRDefault="0024022F" w:rsidP="00C0192C">
      <w:pPr>
        <w:pStyle w:val="Prrafodelista"/>
        <w:numPr>
          <w:ilvl w:val="0"/>
          <w:numId w:val="1"/>
        </w:numPr>
        <w:spacing w:after="0" w:line="276" w:lineRule="auto"/>
        <w:jc w:val="both"/>
        <w:rPr>
          <w:rFonts w:ascii="ITC Avant Garde" w:hAnsi="ITC Avant Garde"/>
        </w:rPr>
      </w:pPr>
      <w:r w:rsidRPr="00E16359">
        <w:rPr>
          <w:rFonts w:ascii="ITC Avant Garde" w:hAnsi="ITC Avant Garde"/>
        </w:rPr>
        <w:t>UC Telecomunicaciones, S.A.P.I. de C.V.</w:t>
      </w:r>
      <w:r w:rsidR="009D2390" w:rsidRPr="00E16359">
        <w:rPr>
          <w:rFonts w:ascii="ITC Avant Garde" w:hAnsi="ITC Avant Garde"/>
        </w:rPr>
        <w:t xml:space="preserve"> (en lo sucesivo, UC Telecom”)</w:t>
      </w:r>
    </w:p>
    <w:p w:rsidR="005B39D0" w:rsidRPr="00E16359" w:rsidRDefault="005B39D0" w:rsidP="00C0192C">
      <w:pPr>
        <w:pStyle w:val="Prrafodelista"/>
        <w:numPr>
          <w:ilvl w:val="0"/>
          <w:numId w:val="1"/>
        </w:numPr>
        <w:spacing w:after="0" w:line="276" w:lineRule="auto"/>
        <w:jc w:val="both"/>
        <w:rPr>
          <w:rFonts w:ascii="ITC Avant Garde" w:hAnsi="ITC Avant Garde"/>
        </w:rPr>
      </w:pPr>
      <w:r w:rsidRPr="00E16359">
        <w:rPr>
          <w:rFonts w:ascii="ITC Avant Garde" w:hAnsi="ITC Avant Garde"/>
        </w:rPr>
        <w:t>Mega Cable, S.A. de C.V. (en lo sucesivo, “Mega Cable”)</w:t>
      </w:r>
    </w:p>
    <w:p w:rsidR="005B39D0" w:rsidRPr="00E16359" w:rsidRDefault="005B39D0" w:rsidP="00C0192C">
      <w:pPr>
        <w:pStyle w:val="Prrafodelista"/>
        <w:numPr>
          <w:ilvl w:val="0"/>
          <w:numId w:val="1"/>
        </w:numPr>
        <w:spacing w:after="0" w:line="276" w:lineRule="auto"/>
        <w:jc w:val="both"/>
        <w:rPr>
          <w:rFonts w:ascii="ITC Avant Garde" w:hAnsi="ITC Avant Garde"/>
        </w:rPr>
      </w:pPr>
      <w:r w:rsidRPr="00E16359">
        <w:rPr>
          <w:rFonts w:ascii="ITC Avant Garde" w:hAnsi="ITC Avant Garde" w:cs="ITC Avant Garde"/>
        </w:rPr>
        <w:t>AT&amp;T Comunicaciones Digitales, S. de R.L. de C.V., Grupo AT&amp;T Celullar, S. de R.L. de C.V., AT&amp;T Norte, S. de R.L. de C.V., AT&amp;T Comercialización Móvil, S. de R.L. de C.V. y AT&amp;T Desarrollo en Comunicaciones de México, S. de R.L. de C.V. (en lo sucesivo, “Grupo AT&amp;T”);</w:t>
      </w:r>
    </w:p>
    <w:p w:rsidR="005B39D0" w:rsidRPr="00E16359" w:rsidRDefault="005B39D0" w:rsidP="00C0192C">
      <w:pPr>
        <w:pStyle w:val="Prrafodelista"/>
        <w:numPr>
          <w:ilvl w:val="0"/>
          <w:numId w:val="1"/>
        </w:numPr>
        <w:spacing w:after="0" w:line="276" w:lineRule="auto"/>
        <w:jc w:val="both"/>
        <w:rPr>
          <w:rFonts w:ascii="ITC Avant Garde" w:hAnsi="ITC Avant Garde"/>
        </w:rPr>
      </w:pPr>
      <w:r w:rsidRPr="00E16359">
        <w:rPr>
          <w:rFonts w:ascii="ITC Avant Garde" w:hAnsi="ITC Avant Garde"/>
        </w:rPr>
        <w:t>Altán Redes, S.A.P.I. de C.V. (en lo sucesivo, “Altán”)</w:t>
      </w:r>
    </w:p>
    <w:p w:rsidR="005B39D0" w:rsidRPr="00E16359" w:rsidRDefault="005B39D0" w:rsidP="00C0192C">
      <w:pPr>
        <w:pStyle w:val="Prrafodelista"/>
        <w:numPr>
          <w:ilvl w:val="0"/>
          <w:numId w:val="1"/>
        </w:numPr>
        <w:spacing w:after="0" w:line="276" w:lineRule="auto"/>
        <w:jc w:val="both"/>
        <w:rPr>
          <w:rFonts w:ascii="ITC Avant Garde" w:hAnsi="ITC Avant Garde"/>
        </w:rPr>
      </w:pPr>
      <w:r w:rsidRPr="00E16359">
        <w:rPr>
          <w:rFonts w:ascii="ITC Avant Garde" w:hAnsi="ITC Avant Garde"/>
        </w:rPr>
        <w:t>Cámara Nacional de la Industria, Electrónica, de Telecomunicaciones y Tecnologías de la Información (en lo sucesivo, “CANIETI”)</w:t>
      </w:r>
    </w:p>
    <w:p w:rsidR="005B39D0" w:rsidRPr="00E16359" w:rsidRDefault="005B39D0" w:rsidP="00C0192C">
      <w:pPr>
        <w:pStyle w:val="Prrafodelista"/>
        <w:numPr>
          <w:ilvl w:val="0"/>
          <w:numId w:val="1"/>
        </w:numPr>
        <w:autoSpaceDE w:val="0"/>
        <w:autoSpaceDN w:val="0"/>
        <w:adjustRightInd w:val="0"/>
        <w:spacing w:after="0" w:line="276" w:lineRule="auto"/>
        <w:jc w:val="both"/>
        <w:rPr>
          <w:rFonts w:ascii="ITC Avant Garde" w:hAnsi="ITC Avant Garde" w:cs="ITC Avant Garde"/>
        </w:rPr>
      </w:pPr>
      <w:r w:rsidRPr="00E16359">
        <w:rPr>
          <w:rFonts w:ascii="ITC Avant Garde" w:hAnsi="ITC Avant Garde" w:cs="ITC Avant Garde"/>
        </w:rPr>
        <w:t>Bestphone, S.A. de C.V., Operbes, S.A. de C.V, Cablevisión, S.A. de C.V., Cable y Comunicación de Campeche, S.A. de C.V., Cablemás Telecomunicaciones, S.A. de C.V., Cablevisión Red, S.A. de C.V, Tele Azteca, S.A. de C.V., Televisión Internacional, S.A. de C.V., México Red de Telecomun</w:t>
      </w:r>
      <w:r w:rsidR="007A4D96" w:rsidRPr="00E16359">
        <w:rPr>
          <w:rFonts w:ascii="ITC Avant Garde" w:hAnsi="ITC Avant Garde" w:cs="ITC Avant Garde"/>
        </w:rPr>
        <w:t>icaciones, S. de R.L. de C.V. y</w:t>
      </w:r>
      <w:r w:rsidRPr="00E16359">
        <w:rPr>
          <w:rFonts w:ascii="ITC Avant Garde" w:hAnsi="ITC Avant Garde" w:cs="ITC Avant Garde"/>
        </w:rPr>
        <w:t xml:space="preserve"> TV Cable de Oriente, S.A. de C.V. (en lo sucesivo, “G</w:t>
      </w:r>
      <w:r w:rsidR="007A4D96" w:rsidRPr="00E16359">
        <w:rPr>
          <w:rFonts w:ascii="ITC Avant Garde" w:hAnsi="ITC Avant Garde" w:cs="ITC Avant Garde"/>
        </w:rPr>
        <w:t>rupo</w:t>
      </w:r>
      <w:r w:rsidRPr="00E16359">
        <w:rPr>
          <w:rFonts w:ascii="ITC Avant Garde" w:hAnsi="ITC Avant Garde" w:cs="ITC Avant Garde"/>
        </w:rPr>
        <w:t xml:space="preserve"> T</w:t>
      </w:r>
      <w:r w:rsidR="007A4D96" w:rsidRPr="00E16359">
        <w:rPr>
          <w:rFonts w:ascii="ITC Avant Garde" w:hAnsi="ITC Avant Garde" w:cs="ITC Avant Garde"/>
        </w:rPr>
        <w:t>elevisa</w:t>
      </w:r>
      <w:r w:rsidRPr="00E16359">
        <w:rPr>
          <w:rFonts w:ascii="ITC Avant Garde" w:hAnsi="ITC Avant Garde" w:cs="ITC Avant Garde"/>
        </w:rPr>
        <w:t>”).</w:t>
      </w:r>
    </w:p>
    <w:p w:rsidR="005B39D0" w:rsidRPr="00E16359" w:rsidRDefault="005B39D0" w:rsidP="00C0192C">
      <w:pPr>
        <w:pStyle w:val="Prrafodelista"/>
        <w:numPr>
          <w:ilvl w:val="0"/>
          <w:numId w:val="1"/>
        </w:numPr>
        <w:spacing w:after="0" w:line="276" w:lineRule="auto"/>
        <w:jc w:val="both"/>
        <w:rPr>
          <w:rFonts w:ascii="ITC Avant Garde" w:hAnsi="ITC Avant Garde"/>
        </w:rPr>
      </w:pPr>
      <w:r w:rsidRPr="00E16359">
        <w:rPr>
          <w:rFonts w:ascii="ITC Avant Garde" w:hAnsi="ITC Avant Garde" w:cs="ITC Avant Garde"/>
        </w:rPr>
        <w:t>Axtel, S.A.B. de C.V. (en lo sucesivo, “Axtel”);</w:t>
      </w:r>
    </w:p>
    <w:p w:rsidR="005B39D0" w:rsidRPr="00E16359" w:rsidRDefault="005B39D0" w:rsidP="00C0192C">
      <w:pPr>
        <w:pStyle w:val="Prrafodelista"/>
        <w:numPr>
          <w:ilvl w:val="0"/>
          <w:numId w:val="1"/>
        </w:numPr>
        <w:spacing w:after="0" w:line="276" w:lineRule="auto"/>
        <w:jc w:val="both"/>
        <w:rPr>
          <w:rFonts w:ascii="ITC Avant Garde" w:hAnsi="ITC Avant Garde"/>
        </w:rPr>
      </w:pPr>
      <w:r w:rsidRPr="00E16359">
        <w:rPr>
          <w:rFonts w:ascii="ITC Avant Garde" w:hAnsi="ITC Avant Garde"/>
        </w:rPr>
        <w:t>Pegaso PCS, S.A. de C.V. (en lo sucesivo, “Telefónica”);</w:t>
      </w:r>
    </w:p>
    <w:p w:rsidR="00974BD9" w:rsidRPr="00E16359" w:rsidRDefault="00974BD9" w:rsidP="001D3335">
      <w:pPr>
        <w:pStyle w:val="Prrafodelista"/>
        <w:spacing w:after="0" w:line="276" w:lineRule="auto"/>
        <w:jc w:val="both"/>
        <w:rPr>
          <w:rFonts w:ascii="ITC Avant Garde" w:hAnsi="ITC Avant Garde"/>
        </w:rPr>
      </w:pPr>
    </w:p>
    <w:p w:rsidR="00C13FCC" w:rsidRPr="00D76852" w:rsidRDefault="00D76852" w:rsidP="00D76852">
      <w:pPr>
        <w:spacing w:after="0" w:line="276" w:lineRule="auto"/>
        <w:jc w:val="both"/>
        <w:rPr>
          <w:rFonts w:ascii="ITC Avant Garde" w:hAnsi="ITC Avant Garde"/>
        </w:rPr>
      </w:pPr>
      <w:r>
        <w:rPr>
          <w:rFonts w:ascii="ITC Avant Garde" w:hAnsi="ITC Avant Garde" w:cs="ITC Avant Garde"/>
          <w:b/>
          <w:color w:val="000000"/>
        </w:rPr>
        <w:t>Respuestas y posicionamientos por parte del Instituto:</w:t>
      </w:r>
    </w:p>
    <w:p w:rsidR="003A7089" w:rsidRPr="00E16359" w:rsidRDefault="00D76852" w:rsidP="001D3335">
      <w:pPr>
        <w:spacing w:after="0" w:line="276" w:lineRule="auto"/>
        <w:ind w:left="-5"/>
        <w:jc w:val="both"/>
        <w:rPr>
          <w:rFonts w:ascii="ITC Avant Garde" w:hAnsi="ITC Avant Garde"/>
        </w:rPr>
      </w:pPr>
      <w:r>
        <w:rPr>
          <w:rFonts w:ascii="ITC Avant Garde" w:hAnsi="ITC Avant Garde"/>
        </w:rPr>
        <w:t>S</w:t>
      </w:r>
      <w:r w:rsidR="000F0A50" w:rsidRPr="00E16359">
        <w:rPr>
          <w:rFonts w:ascii="ITC Avant Garde" w:hAnsi="ITC Avant Garde"/>
        </w:rPr>
        <w:t xml:space="preserve">e señala que </w:t>
      </w:r>
      <w:r w:rsidR="00E22DFC" w:rsidRPr="00E16359">
        <w:rPr>
          <w:rFonts w:ascii="ITC Avant Garde" w:hAnsi="ITC Avant Garde"/>
        </w:rPr>
        <w:t>las presentes Respuestas Generales atienden únicamente lo relacionado con las observaciones realizadas por los concesionarios en la Consulta Pública referente a los asuntos relacionados</w:t>
      </w:r>
      <w:r w:rsidR="00980FFF" w:rsidRPr="00E16359">
        <w:rPr>
          <w:rFonts w:ascii="ITC Avant Garde" w:hAnsi="ITC Avant Garde"/>
        </w:rPr>
        <w:t xml:space="preserve"> con </w:t>
      </w:r>
      <w:r w:rsidR="000F0A50" w:rsidRPr="00E16359">
        <w:rPr>
          <w:rFonts w:ascii="ITC Avant Garde" w:hAnsi="ITC Avant Garde"/>
        </w:rPr>
        <w:t xml:space="preserve">la Propuesta de Convenio Marco de </w:t>
      </w:r>
      <w:r w:rsidR="000F0A50" w:rsidRPr="00E16359">
        <w:rPr>
          <w:rFonts w:ascii="ITC Avant Garde" w:hAnsi="ITC Avant Garde"/>
        </w:rPr>
        <w:lastRenderedPageBreak/>
        <w:t>Interconexión</w:t>
      </w:r>
      <w:r w:rsidR="00EF5580">
        <w:rPr>
          <w:rFonts w:ascii="ITC Avant Garde" w:hAnsi="ITC Avant Garde"/>
        </w:rPr>
        <w:t xml:space="preserve"> </w:t>
      </w:r>
      <w:r w:rsidR="000F0A50" w:rsidRPr="00E16359">
        <w:rPr>
          <w:rFonts w:ascii="ITC Avant Garde" w:hAnsi="ITC Avant Garde"/>
        </w:rPr>
        <w:t>presentada por el Agente Económico Preponderante en el Sector</w:t>
      </w:r>
      <w:r w:rsidR="00B73B6A" w:rsidRPr="00E16359">
        <w:rPr>
          <w:rFonts w:ascii="ITC Avant Garde" w:hAnsi="ITC Avant Garde"/>
        </w:rPr>
        <w:t xml:space="preserve"> de las Telecomunicaciones Fijas</w:t>
      </w:r>
      <w:r w:rsidR="00790738" w:rsidRPr="00E16359">
        <w:rPr>
          <w:rFonts w:ascii="ITC Avant Garde" w:hAnsi="ITC Avant Garde"/>
        </w:rPr>
        <w:t xml:space="preserve"> (en lo sucesivo, el “AEP”)</w:t>
      </w:r>
      <w:r w:rsidR="000F0A50" w:rsidRPr="00E16359">
        <w:rPr>
          <w:rFonts w:ascii="ITC Avant Garde" w:hAnsi="ITC Avant Garde"/>
        </w:rPr>
        <w:t>.</w:t>
      </w:r>
    </w:p>
    <w:p w:rsidR="003A7089" w:rsidRPr="00E16359" w:rsidRDefault="003A7089" w:rsidP="001D3335">
      <w:pPr>
        <w:spacing w:after="0" w:line="276" w:lineRule="auto"/>
        <w:ind w:left="-5"/>
        <w:jc w:val="both"/>
        <w:rPr>
          <w:rFonts w:ascii="ITC Avant Garde" w:hAnsi="ITC Avant Garde"/>
        </w:rPr>
      </w:pPr>
    </w:p>
    <w:p w:rsidR="000F0A50" w:rsidRPr="00E16359" w:rsidRDefault="000F0A50" w:rsidP="001D3335">
      <w:pPr>
        <w:spacing w:after="0" w:line="276" w:lineRule="auto"/>
        <w:ind w:left="-5"/>
        <w:jc w:val="both"/>
        <w:rPr>
          <w:rFonts w:ascii="ITC Avant Garde" w:hAnsi="ITC Avant Garde"/>
        </w:rPr>
      </w:pPr>
      <w:r w:rsidRPr="00E16359">
        <w:rPr>
          <w:rFonts w:ascii="ITC Avant Garde" w:hAnsi="ITC Avant Garde"/>
        </w:rPr>
        <w:t>Por lo anterior, el Instituto emite las siguientes respuestas y consideraciones para cada una d</w:t>
      </w:r>
      <w:r w:rsidR="003D0827" w:rsidRPr="00E16359">
        <w:rPr>
          <w:rFonts w:ascii="ITC Avant Garde" w:hAnsi="ITC Avant Garde"/>
        </w:rPr>
        <w:t>e las participaciones recibidas.</w:t>
      </w:r>
    </w:p>
    <w:p w:rsidR="005D7FD8" w:rsidRPr="00E16359" w:rsidRDefault="005D7FD8" w:rsidP="001D3335">
      <w:pPr>
        <w:spacing w:after="0" w:line="276" w:lineRule="auto"/>
        <w:ind w:left="-5"/>
        <w:jc w:val="both"/>
        <w:rPr>
          <w:rFonts w:ascii="ITC Avant Garde" w:hAnsi="ITC Avant Garde"/>
          <w:b/>
        </w:rPr>
      </w:pPr>
    </w:p>
    <w:p w:rsidR="00376F8B" w:rsidRPr="00E16359" w:rsidRDefault="00376F8B" w:rsidP="001D3335">
      <w:pPr>
        <w:spacing w:after="0" w:line="276" w:lineRule="auto"/>
        <w:ind w:left="-5"/>
        <w:jc w:val="both"/>
        <w:rPr>
          <w:rFonts w:ascii="ITC Avant Garde" w:hAnsi="ITC Avant Garde"/>
          <w:b/>
          <w:u w:val="single"/>
        </w:rPr>
      </w:pPr>
      <w:r w:rsidRPr="00E16359">
        <w:rPr>
          <w:rFonts w:ascii="ITC Avant Garde" w:hAnsi="ITC Avant Garde"/>
          <w:b/>
          <w:u w:val="single"/>
        </w:rPr>
        <w:t xml:space="preserve">COMENTARIOS EMITIDOS A LA PROPUESTA DEL </w:t>
      </w:r>
      <w:r w:rsidR="0058172B" w:rsidRPr="00E16359">
        <w:rPr>
          <w:rFonts w:ascii="ITC Avant Garde" w:hAnsi="ITC Avant Garde"/>
          <w:b/>
          <w:u w:val="single"/>
        </w:rPr>
        <w:t>CMI</w:t>
      </w:r>
    </w:p>
    <w:p w:rsidR="0058172B" w:rsidRPr="00E16359" w:rsidRDefault="0058172B" w:rsidP="001D3335">
      <w:pPr>
        <w:spacing w:after="0" w:line="276" w:lineRule="auto"/>
        <w:ind w:left="-5"/>
        <w:jc w:val="both"/>
        <w:rPr>
          <w:rFonts w:ascii="ITC Avant Garde" w:hAnsi="ITC Avant Garde"/>
        </w:rPr>
      </w:pPr>
    </w:p>
    <w:p w:rsidR="000F0A50" w:rsidRPr="00E16359" w:rsidRDefault="005B2C5C" w:rsidP="001D3335">
      <w:pPr>
        <w:spacing w:after="0" w:line="276" w:lineRule="auto"/>
        <w:ind w:left="-5"/>
        <w:jc w:val="both"/>
        <w:rPr>
          <w:rFonts w:ascii="ITC Avant Garde" w:hAnsi="ITC Avant Garde"/>
          <w:b/>
        </w:rPr>
      </w:pPr>
      <w:r w:rsidRPr="00E16359">
        <w:rPr>
          <w:rFonts w:ascii="ITC Avant Garde" w:hAnsi="ITC Avant Garde"/>
          <w:b/>
        </w:rPr>
        <w:t>Declaraciones</w:t>
      </w:r>
      <w:r w:rsidR="007A4D96" w:rsidRPr="00E16359">
        <w:rPr>
          <w:rFonts w:ascii="ITC Avant Garde" w:hAnsi="ITC Avant Garde"/>
          <w:b/>
        </w:rPr>
        <w:t xml:space="preserve"> </w:t>
      </w:r>
    </w:p>
    <w:p w:rsidR="00A23196" w:rsidRPr="00E16359" w:rsidRDefault="00A23196" w:rsidP="001D3335">
      <w:pPr>
        <w:spacing w:after="0" w:line="276" w:lineRule="auto"/>
        <w:ind w:left="-5"/>
        <w:jc w:val="both"/>
        <w:rPr>
          <w:rFonts w:ascii="ITC Avant Garde" w:hAnsi="ITC Avant Garde"/>
          <w:b/>
          <w:u w:val="single"/>
        </w:rPr>
      </w:pPr>
    </w:p>
    <w:p w:rsidR="00936AA1" w:rsidRPr="00E16359" w:rsidRDefault="00397E34" w:rsidP="001D3335">
      <w:pPr>
        <w:spacing w:after="0" w:line="276" w:lineRule="auto"/>
        <w:ind w:left="-5"/>
        <w:jc w:val="both"/>
        <w:rPr>
          <w:rFonts w:ascii="ITC Avant Garde" w:hAnsi="ITC Avant Garde"/>
          <w:b/>
        </w:rPr>
      </w:pPr>
      <w:r w:rsidRPr="00E16359">
        <w:rPr>
          <w:rFonts w:ascii="ITC Avant Garde" w:hAnsi="ITC Avant Garde"/>
          <w:b/>
        </w:rPr>
        <w:t>GRUPO TELEVISA</w:t>
      </w:r>
      <w:r w:rsidR="00936AA1" w:rsidRPr="00E16359">
        <w:rPr>
          <w:rFonts w:ascii="ITC Avant Garde" w:hAnsi="ITC Avant Garde"/>
          <w:b/>
        </w:rPr>
        <w:t xml:space="preserve"> </w:t>
      </w:r>
    </w:p>
    <w:p w:rsidR="005B2C5C" w:rsidRPr="00E16359" w:rsidRDefault="005B2C5C" w:rsidP="001D3335">
      <w:pPr>
        <w:spacing w:after="0" w:line="276" w:lineRule="auto"/>
        <w:ind w:left="-5"/>
        <w:jc w:val="both"/>
        <w:rPr>
          <w:rFonts w:ascii="ITC Avant Garde" w:hAnsi="ITC Avant Garde"/>
          <w:b/>
        </w:rPr>
      </w:pPr>
    </w:p>
    <w:p w:rsidR="00397E34" w:rsidRPr="00E16359" w:rsidRDefault="009C200B" w:rsidP="001D3335">
      <w:pPr>
        <w:spacing w:after="0" w:line="276" w:lineRule="auto"/>
        <w:ind w:left="-5"/>
        <w:jc w:val="both"/>
        <w:rPr>
          <w:rFonts w:ascii="ITC Avant Garde" w:hAnsi="ITC Avant Garde" w:cs="Calibri"/>
          <w:color w:val="000000"/>
        </w:rPr>
      </w:pPr>
      <w:r w:rsidRPr="00E16359">
        <w:rPr>
          <w:rFonts w:ascii="ITC Avant Garde" w:hAnsi="ITC Avant Garde" w:cs="Calibri"/>
          <w:color w:val="000000"/>
        </w:rPr>
        <w:t>Respecto del</w:t>
      </w:r>
      <w:r w:rsidR="00397E34" w:rsidRPr="00E16359">
        <w:rPr>
          <w:rFonts w:ascii="ITC Avant Garde" w:hAnsi="ITC Avant Garde" w:cs="Calibri"/>
          <w:color w:val="000000"/>
        </w:rPr>
        <w:t xml:space="preserve"> numeral </w:t>
      </w:r>
      <w:r w:rsidR="00D54787" w:rsidRPr="00E16359">
        <w:rPr>
          <w:rFonts w:ascii="ITC Avant Garde" w:hAnsi="ITC Avant Garde" w:cs="Calibri"/>
          <w:color w:val="000000"/>
        </w:rPr>
        <w:t>I, inciso f), s</w:t>
      </w:r>
      <w:r w:rsidR="00DF1583" w:rsidRPr="00E16359">
        <w:rPr>
          <w:rFonts w:ascii="ITC Avant Garde" w:hAnsi="ITC Avant Garde" w:cs="Calibri"/>
          <w:color w:val="000000"/>
        </w:rPr>
        <w:t>olicitó</w:t>
      </w:r>
      <w:r w:rsidR="00397E34" w:rsidRPr="00E16359">
        <w:rPr>
          <w:rFonts w:ascii="ITC Avant Garde" w:hAnsi="ITC Avant Garde" w:cs="Calibri"/>
          <w:color w:val="000000"/>
        </w:rPr>
        <w:t xml:space="preserve"> la eliminación de </w:t>
      </w:r>
      <w:r w:rsidR="00366941" w:rsidRPr="00E16359">
        <w:rPr>
          <w:rFonts w:ascii="ITC Avant Garde" w:hAnsi="ITC Avant Garde" w:cs="Calibri"/>
          <w:color w:val="000000"/>
        </w:rPr>
        <w:t>dicha</w:t>
      </w:r>
      <w:r w:rsidR="00397E34" w:rsidRPr="00E16359">
        <w:rPr>
          <w:rFonts w:ascii="ITC Avant Garde" w:hAnsi="ITC Avant Garde" w:cs="Calibri"/>
          <w:color w:val="000000"/>
        </w:rPr>
        <w:t xml:space="preserve"> Declaración del Convenio por no tener ninguna coherencia legal.</w:t>
      </w:r>
      <w:r w:rsidR="009556A5" w:rsidRPr="00E16359">
        <w:rPr>
          <w:rFonts w:ascii="ITC Avant Garde" w:hAnsi="ITC Avant Garde" w:cs="Calibri"/>
          <w:color w:val="000000"/>
        </w:rPr>
        <w:t xml:space="preserve"> Señala que n</w:t>
      </w:r>
      <w:r w:rsidR="00397E34" w:rsidRPr="00E16359">
        <w:rPr>
          <w:rFonts w:ascii="ITC Avant Garde" w:hAnsi="ITC Avant Garde" w:cs="Calibri"/>
          <w:color w:val="000000"/>
        </w:rPr>
        <w:t>o genera ni establece obligaciones para las partes</w:t>
      </w:r>
      <w:r w:rsidR="009556A5" w:rsidRPr="00E16359">
        <w:rPr>
          <w:rFonts w:ascii="ITC Avant Garde" w:hAnsi="ITC Avant Garde" w:cs="Calibri"/>
          <w:color w:val="000000"/>
        </w:rPr>
        <w:t>, y que además g</w:t>
      </w:r>
      <w:r w:rsidR="00397E34" w:rsidRPr="00E16359">
        <w:rPr>
          <w:rFonts w:ascii="ITC Avant Garde" w:hAnsi="ITC Avant Garde" w:cs="Calibri"/>
          <w:color w:val="000000"/>
        </w:rPr>
        <w:t>enera incertidumbre jurídica a todos los posibles concesionarios solicitantes.</w:t>
      </w:r>
    </w:p>
    <w:p w:rsidR="00F45977" w:rsidRPr="00E16359" w:rsidRDefault="00F45977" w:rsidP="001D3335">
      <w:pPr>
        <w:spacing w:after="0" w:line="276" w:lineRule="auto"/>
        <w:ind w:left="-5"/>
        <w:jc w:val="both"/>
        <w:rPr>
          <w:rFonts w:ascii="ITC Avant Garde" w:hAnsi="ITC Avant Garde" w:cs="Calibri"/>
          <w:color w:val="000000"/>
        </w:rPr>
      </w:pPr>
    </w:p>
    <w:p w:rsidR="00C11BA5" w:rsidRPr="00E16359" w:rsidRDefault="009556A5" w:rsidP="001D3335">
      <w:pPr>
        <w:spacing w:after="0" w:line="276" w:lineRule="auto"/>
        <w:ind w:left="-5"/>
        <w:jc w:val="both"/>
        <w:rPr>
          <w:rFonts w:ascii="ITC Avant Garde" w:hAnsi="ITC Avant Garde" w:cs="Calibri"/>
          <w:color w:val="000000"/>
        </w:rPr>
      </w:pPr>
      <w:r w:rsidRPr="00E16359">
        <w:rPr>
          <w:rFonts w:ascii="ITC Avant Garde" w:hAnsi="ITC Avant Garde" w:cs="Calibri"/>
          <w:color w:val="000000"/>
        </w:rPr>
        <w:t>Con relación al</w:t>
      </w:r>
      <w:r w:rsidR="00433599" w:rsidRPr="00E16359">
        <w:rPr>
          <w:rFonts w:ascii="ITC Avant Garde" w:hAnsi="ITC Avant Garde" w:cs="Calibri"/>
          <w:color w:val="000000"/>
        </w:rPr>
        <w:t xml:space="preserve"> numeral III, inciso c) solicitó</w:t>
      </w:r>
      <w:r w:rsidR="00F45977" w:rsidRPr="00E16359">
        <w:rPr>
          <w:rFonts w:ascii="ITC Avant Garde" w:hAnsi="ITC Avant Garde" w:cs="Calibri"/>
          <w:color w:val="000000"/>
        </w:rPr>
        <w:t xml:space="preserve"> eliminar el texto:</w:t>
      </w:r>
    </w:p>
    <w:p w:rsidR="00C11BA5" w:rsidRPr="00E16359" w:rsidRDefault="00C11BA5" w:rsidP="001D3335">
      <w:pPr>
        <w:spacing w:after="0" w:line="276" w:lineRule="auto"/>
        <w:ind w:left="851" w:right="709"/>
        <w:jc w:val="both"/>
        <w:rPr>
          <w:rFonts w:ascii="ITC Avant Garde" w:hAnsi="ITC Avant Garde" w:cs="Calibri"/>
          <w:color w:val="000000"/>
          <w:sz w:val="18"/>
          <w:szCs w:val="18"/>
        </w:rPr>
      </w:pPr>
    </w:p>
    <w:p w:rsidR="00F45977" w:rsidRPr="00E16359" w:rsidRDefault="00F45977" w:rsidP="001D3335">
      <w:pPr>
        <w:spacing w:after="0" w:line="276" w:lineRule="auto"/>
        <w:ind w:left="851" w:right="709"/>
        <w:jc w:val="both"/>
        <w:rPr>
          <w:rFonts w:ascii="ITC Avant Garde" w:hAnsi="ITC Avant Garde" w:cs="Calibri"/>
          <w:i/>
          <w:color w:val="000000"/>
          <w:sz w:val="18"/>
          <w:szCs w:val="18"/>
        </w:rPr>
      </w:pPr>
      <w:r w:rsidRPr="00E16359">
        <w:rPr>
          <w:rFonts w:ascii="ITC Avant Garde" w:hAnsi="ITC Avant Garde" w:cs="Calibri"/>
          <w:i/>
          <w:color w:val="000000"/>
          <w:sz w:val="18"/>
          <w:szCs w:val="18"/>
        </w:rPr>
        <w:t xml:space="preserve"> "…por lo que están de acuerdo con que el presente Convenio se rija por las declaraciones precedentes y por las siguientes: (…)"</w:t>
      </w:r>
    </w:p>
    <w:p w:rsidR="00F45977" w:rsidRPr="00E16359" w:rsidRDefault="00F45977" w:rsidP="001D3335">
      <w:pPr>
        <w:spacing w:after="0" w:line="276" w:lineRule="auto"/>
        <w:ind w:left="-5"/>
        <w:jc w:val="both"/>
        <w:rPr>
          <w:rFonts w:ascii="ITC Avant Garde" w:hAnsi="ITC Avant Garde" w:cs="Calibri"/>
          <w:color w:val="000000"/>
        </w:rPr>
      </w:pPr>
    </w:p>
    <w:p w:rsidR="00D61F56" w:rsidRPr="00E16359" w:rsidRDefault="00D54787" w:rsidP="001D3335">
      <w:pPr>
        <w:spacing w:after="0" w:line="276" w:lineRule="auto"/>
        <w:ind w:left="-5"/>
        <w:jc w:val="both"/>
        <w:rPr>
          <w:rFonts w:ascii="ITC Avant Garde" w:hAnsi="ITC Avant Garde"/>
          <w:b/>
        </w:rPr>
      </w:pPr>
      <w:r w:rsidRPr="00E16359">
        <w:rPr>
          <w:rFonts w:ascii="ITC Avant Garde" w:hAnsi="ITC Avant Garde"/>
          <w:b/>
        </w:rPr>
        <w:t>ALTÁN, CANIETI Y TELEFÓNICA</w:t>
      </w:r>
    </w:p>
    <w:p w:rsidR="005B2C5C" w:rsidRPr="00E16359" w:rsidRDefault="005B2C5C" w:rsidP="001D3335">
      <w:pPr>
        <w:spacing w:after="0" w:line="276" w:lineRule="auto"/>
        <w:ind w:left="-5"/>
        <w:jc w:val="both"/>
        <w:rPr>
          <w:rFonts w:ascii="ITC Avant Garde" w:hAnsi="ITC Avant Garde"/>
          <w:b/>
        </w:rPr>
      </w:pPr>
    </w:p>
    <w:p w:rsidR="00D54787" w:rsidRPr="00E16359" w:rsidRDefault="00F87726" w:rsidP="001D3335">
      <w:pPr>
        <w:spacing w:after="0" w:line="276" w:lineRule="auto"/>
        <w:jc w:val="both"/>
        <w:rPr>
          <w:rFonts w:ascii="ITC Avant Garde" w:eastAsia="Times New Roman" w:hAnsi="ITC Avant Garde" w:cs="Calibri"/>
          <w:color w:val="000000"/>
          <w:lang w:eastAsia="es-MX"/>
        </w:rPr>
      </w:pPr>
      <w:r w:rsidRPr="00E16359">
        <w:rPr>
          <w:rFonts w:ascii="ITC Avant Garde" w:hAnsi="ITC Avant Garde" w:cs="Calibri"/>
          <w:color w:val="000000"/>
        </w:rPr>
        <w:t>Con relación a</w:t>
      </w:r>
      <w:r w:rsidR="00F47A6B" w:rsidRPr="00E16359">
        <w:rPr>
          <w:rFonts w:ascii="ITC Avant Garde" w:hAnsi="ITC Avant Garde" w:cs="Calibri"/>
          <w:color w:val="000000"/>
        </w:rPr>
        <w:t>l</w:t>
      </w:r>
      <w:r w:rsidR="00D54787" w:rsidRPr="00E16359">
        <w:rPr>
          <w:rFonts w:ascii="ITC Avant Garde" w:hAnsi="ITC Avant Garde" w:cs="Calibri"/>
          <w:color w:val="000000"/>
        </w:rPr>
        <w:t xml:space="preserve"> numeral </w:t>
      </w:r>
      <w:r w:rsidR="003120B2" w:rsidRPr="00E16359">
        <w:rPr>
          <w:rFonts w:ascii="ITC Avant Garde" w:hAnsi="ITC Avant Garde" w:cs="Calibri"/>
          <w:color w:val="000000"/>
        </w:rPr>
        <w:t>III</w:t>
      </w:r>
      <w:r w:rsidR="00DF1583" w:rsidRPr="00E16359">
        <w:rPr>
          <w:rFonts w:ascii="ITC Avant Garde" w:hAnsi="ITC Avant Garde" w:cs="Calibri"/>
          <w:color w:val="000000"/>
        </w:rPr>
        <w:t>, solicitó</w:t>
      </w:r>
      <w:r w:rsidR="0054024B" w:rsidRPr="00E16359">
        <w:rPr>
          <w:rFonts w:ascii="ITC Avant Garde" w:hAnsi="ITC Avant Garde" w:cs="Calibri"/>
          <w:color w:val="000000"/>
        </w:rPr>
        <w:t xml:space="preserve"> </w:t>
      </w:r>
      <w:r w:rsidR="00D54787" w:rsidRPr="00E16359">
        <w:rPr>
          <w:rFonts w:ascii="ITC Avant Garde" w:eastAsia="Times New Roman" w:hAnsi="ITC Avant Garde" w:cs="Calibri"/>
          <w:color w:val="000000"/>
          <w:lang w:eastAsia="es-MX"/>
        </w:rPr>
        <w:t xml:space="preserve">eliminar </w:t>
      </w:r>
      <w:r w:rsidR="00D54787" w:rsidRPr="00E16359">
        <w:rPr>
          <w:rFonts w:ascii="ITC Avant Garde" w:eastAsia="Times New Roman" w:hAnsi="ITC Avant Garde" w:cs="Calibri"/>
          <w:i/>
          <w:color w:val="000000"/>
          <w:lang w:eastAsia="es-MX"/>
        </w:rPr>
        <w:t>“las partes declaran y convienen”,</w:t>
      </w:r>
      <w:r w:rsidR="00D54787" w:rsidRPr="00E16359">
        <w:rPr>
          <w:rFonts w:ascii="ITC Avant Garde" w:eastAsia="Times New Roman" w:hAnsi="ITC Avant Garde" w:cs="Calibri"/>
          <w:color w:val="000000"/>
          <w:lang w:eastAsia="es-MX"/>
        </w:rPr>
        <w:t xml:space="preserve"> toda vez que la misma pretende hacer caer en el error a los concesionarios solicitantes aceptando reservas de derechos y hechos o impugnaciones que en nada se relacionan con los concesionarios solicitantes y únicamente conciernen a Telmex. </w:t>
      </w:r>
    </w:p>
    <w:p w:rsidR="00D54787" w:rsidRPr="00E16359" w:rsidRDefault="00D54787" w:rsidP="001D3335">
      <w:pPr>
        <w:spacing w:after="0" w:line="276" w:lineRule="auto"/>
        <w:jc w:val="both"/>
        <w:rPr>
          <w:rFonts w:ascii="ITC Avant Garde" w:eastAsia="Times New Roman" w:hAnsi="ITC Avant Garde" w:cs="Calibri"/>
          <w:color w:val="000000"/>
          <w:lang w:eastAsia="es-MX"/>
        </w:rPr>
      </w:pPr>
    </w:p>
    <w:p w:rsidR="00B43015" w:rsidRPr="00E16359" w:rsidRDefault="0054024B" w:rsidP="001D3335">
      <w:pPr>
        <w:spacing w:after="0" w:line="276" w:lineRule="auto"/>
        <w:jc w:val="both"/>
        <w:rPr>
          <w:rFonts w:ascii="ITC Avant Garde" w:eastAsia="Times New Roman" w:hAnsi="ITC Avant Garde" w:cs="Calibri"/>
          <w:color w:val="000000"/>
          <w:lang w:eastAsia="es-MX"/>
        </w:rPr>
      </w:pPr>
      <w:r w:rsidRPr="00E16359">
        <w:rPr>
          <w:rFonts w:ascii="ITC Avant Garde" w:eastAsia="Times New Roman" w:hAnsi="ITC Avant Garde" w:cs="Calibri"/>
          <w:color w:val="000000"/>
          <w:lang w:eastAsia="es-MX"/>
        </w:rPr>
        <w:t>Por tanto, pr</w:t>
      </w:r>
      <w:r w:rsidR="00DF1583" w:rsidRPr="00E16359">
        <w:rPr>
          <w:rFonts w:ascii="ITC Avant Garde" w:eastAsia="Times New Roman" w:hAnsi="ITC Avant Garde" w:cs="Calibri"/>
          <w:color w:val="000000"/>
          <w:lang w:eastAsia="es-MX"/>
        </w:rPr>
        <w:t>opusieron</w:t>
      </w:r>
      <w:r w:rsidR="00B43015" w:rsidRPr="00E16359">
        <w:rPr>
          <w:rFonts w:ascii="ITC Avant Garde" w:eastAsia="Times New Roman" w:hAnsi="ITC Avant Garde" w:cs="Calibri"/>
          <w:color w:val="000000"/>
          <w:lang w:eastAsia="es-MX"/>
        </w:rPr>
        <w:t xml:space="preserve"> el</w:t>
      </w:r>
      <w:r w:rsidRPr="00E16359">
        <w:rPr>
          <w:rFonts w:ascii="ITC Avant Garde" w:eastAsia="Times New Roman" w:hAnsi="ITC Avant Garde" w:cs="Calibri"/>
          <w:color w:val="000000"/>
          <w:lang w:eastAsia="es-MX"/>
        </w:rPr>
        <w:t>iminar</w:t>
      </w:r>
      <w:r w:rsidR="003120B2" w:rsidRPr="00E16359">
        <w:rPr>
          <w:rFonts w:ascii="ITC Avant Garde" w:eastAsia="Times New Roman" w:hAnsi="ITC Avant Garde" w:cs="Calibri"/>
          <w:color w:val="000000"/>
          <w:lang w:eastAsia="es-MX"/>
        </w:rPr>
        <w:t xml:space="preserve"> del numeral III, inciso C)</w:t>
      </w:r>
      <w:r w:rsidR="00D54787" w:rsidRPr="00E16359">
        <w:rPr>
          <w:rFonts w:ascii="ITC Avant Garde" w:eastAsia="Times New Roman" w:hAnsi="ITC Avant Garde" w:cs="Calibri"/>
          <w:color w:val="000000"/>
          <w:lang w:eastAsia="es-MX"/>
        </w:rPr>
        <w:t xml:space="preserve"> la parte que s</w:t>
      </w:r>
      <w:r w:rsidR="003120B2" w:rsidRPr="00E16359">
        <w:rPr>
          <w:rFonts w:ascii="ITC Avant Garde" w:eastAsia="Times New Roman" w:hAnsi="ITC Avant Garde" w:cs="Calibri"/>
          <w:color w:val="000000"/>
          <w:lang w:eastAsia="es-MX"/>
        </w:rPr>
        <w:t>igue</w:t>
      </w:r>
      <w:r w:rsidR="00B43015" w:rsidRPr="00E16359">
        <w:rPr>
          <w:rFonts w:ascii="ITC Avant Garde" w:eastAsia="Times New Roman" w:hAnsi="ITC Avant Garde" w:cs="Calibri"/>
          <w:color w:val="000000"/>
          <w:lang w:eastAsia="es-MX"/>
        </w:rPr>
        <w:t>:</w:t>
      </w:r>
    </w:p>
    <w:p w:rsidR="00670B55" w:rsidRPr="00E16359" w:rsidRDefault="00670B55" w:rsidP="001D3335">
      <w:pPr>
        <w:spacing w:after="0" w:line="276" w:lineRule="auto"/>
        <w:jc w:val="both"/>
        <w:rPr>
          <w:rFonts w:ascii="ITC Avant Garde" w:eastAsia="Times New Roman" w:hAnsi="ITC Avant Garde" w:cs="Calibri"/>
          <w:color w:val="000000"/>
          <w:lang w:eastAsia="es-MX"/>
        </w:rPr>
      </w:pPr>
    </w:p>
    <w:p w:rsidR="00D54787" w:rsidRPr="00E16359" w:rsidRDefault="00D54787" w:rsidP="001D3335">
      <w:pPr>
        <w:spacing w:after="0" w:line="276" w:lineRule="auto"/>
        <w:ind w:left="851" w:right="474"/>
        <w:jc w:val="both"/>
        <w:rPr>
          <w:rFonts w:ascii="ITC Avant Garde" w:eastAsia="Times New Roman" w:hAnsi="ITC Avant Garde" w:cs="Calibri"/>
          <w:i/>
          <w:color w:val="000000"/>
          <w:sz w:val="18"/>
          <w:szCs w:val="18"/>
          <w:lang w:eastAsia="es-MX"/>
        </w:rPr>
      </w:pPr>
      <w:r w:rsidRPr="00E16359">
        <w:rPr>
          <w:rFonts w:ascii="ITC Avant Garde" w:eastAsia="Times New Roman" w:hAnsi="ITC Avant Garde" w:cs="Calibri"/>
          <w:i/>
          <w:color w:val="000000"/>
          <w:sz w:val="18"/>
          <w:szCs w:val="18"/>
          <w:lang w:eastAsia="es-MX"/>
        </w:rPr>
        <w:t xml:space="preserve">“c) 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de ___ de interconexión local, __ de __ de ____ de interconexión de larga distancia y celebrar el presente Convenio por virtud del cual se establecen los términos y condiciones de interconexión entre la Red de [ __________ ] con la Red de Telmex, </w:t>
      </w:r>
      <w:r w:rsidRPr="00E16359">
        <w:rPr>
          <w:rFonts w:ascii="ITC Avant Garde" w:eastAsia="Times New Roman" w:hAnsi="ITC Avant Garde" w:cs="Calibri"/>
          <w:i/>
          <w:strike/>
          <w:color w:val="000000"/>
          <w:sz w:val="18"/>
          <w:szCs w:val="18"/>
          <w:lang w:eastAsia="es-MX"/>
        </w:rPr>
        <w:t>por lo que están de acuerdo con que el presente Convenio se rija por las Declaraciones precedentes y por las siguientes”</w:t>
      </w:r>
    </w:p>
    <w:p w:rsidR="00496C1B" w:rsidRPr="00E16359" w:rsidRDefault="002A1BF2" w:rsidP="007A16DD">
      <w:pPr>
        <w:spacing w:after="0" w:line="276" w:lineRule="auto"/>
        <w:ind w:left="-5" w:right="567"/>
        <w:jc w:val="right"/>
        <w:rPr>
          <w:rFonts w:ascii="ITC Avant Garde" w:hAnsi="ITC Avant Garde"/>
          <w:i/>
          <w:sz w:val="18"/>
          <w:szCs w:val="18"/>
        </w:rPr>
      </w:pPr>
      <w:r w:rsidRPr="00E16359">
        <w:rPr>
          <w:rFonts w:ascii="ITC Avant Garde" w:hAnsi="ITC Avant Garde"/>
          <w:i/>
          <w:sz w:val="18"/>
          <w:szCs w:val="18"/>
        </w:rPr>
        <w:t xml:space="preserve"> (énfasis añadido)</w:t>
      </w:r>
    </w:p>
    <w:p w:rsidR="002A1BF2" w:rsidRPr="00E16359" w:rsidRDefault="002A1BF2" w:rsidP="001D3335">
      <w:pPr>
        <w:spacing w:after="0" w:line="276" w:lineRule="auto"/>
        <w:ind w:left="-5"/>
        <w:jc w:val="both"/>
        <w:rPr>
          <w:rFonts w:ascii="ITC Avant Garde" w:hAnsi="ITC Avant Garde"/>
          <w:i/>
          <w:sz w:val="18"/>
          <w:szCs w:val="18"/>
        </w:rPr>
      </w:pPr>
    </w:p>
    <w:p w:rsidR="00F60F40" w:rsidRPr="00E16359" w:rsidRDefault="00F60F40" w:rsidP="001D3335">
      <w:pPr>
        <w:spacing w:after="0" w:line="276" w:lineRule="auto"/>
        <w:ind w:left="-5"/>
        <w:jc w:val="both"/>
        <w:rPr>
          <w:rFonts w:ascii="ITC Avant Garde" w:hAnsi="ITC Avant Garde"/>
          <w:i/>
        </w:rPr>
      </w:pPr>
    </w:p>
    <w:p w:rsidR="005B2C5C" w:rsidRPr="00E16359" w:rsidRDefault="005B2C5C" w:rsidP="001D3335">
      <w:pPr>
        <w:spacing w:after="0" w:line="276" w:lineRule="auto"/>
        <w:ind w:left="-5"/>
        <w:jc w:val="both"/>
        <w:rPr>
          <w:rFonts w:ascii="ITC Avant Garde" w:hAnsi="ITC Avant Garde"/>
        </w:rPr>
      </w:pPr>
    </w:p>
    <w:p w:rsidR="005B2C5C" w:rsidRPr="00E16359" w:rsidRDefault="005B2C5C" w:rsidP="001D3335">
      <w:pPr>
        <w:spacing w:line="276" w:lineRule="auto"/>
        <w:jc w:val="both"/>
        <w:rPr>
          <w:rFonts w:ascii="ITC Avant Garde" w:hAnsi="ITC Avant Garde"/>
          <w:b/>
        </w:rPr>
      </w:pPr>
      <w:r w:rsidRPr="00E16359">
        <w:rPr>
          <w:rFonts w:ascii="ITC Avant Garde" w:hAnsi="ITC Avant Garde"/>
          <w:b/>
        </w:rPr>
        <w:lastRenderedPageBreak/>
        <w:t xml:space="preserve">Consideraciones del Instituto </w:t>
      </w:r>
    </w:p>
    <w:p w:rsidR="00AB67C0" w:rsidRPr="00E16359" w:rsidRDefault="00AB67C0" w:rsidP="001D3335">
      <w:pPr>
        <w:spacing w:after="0" w:line="276" w:lineRule="auto"/>
        <w:ind w:left="-5"/>
        <w:jc w:val="both"/>
        <w:rPr>
          <w:rFonts w:ascii="ITC Avant Garde" w:hAnsi="ITC Avant Garde"/>
          <w:i/>
        </w:rPr>
      </w:pPr>
      <w:r w:rsidRPr="00E16359">
        <w:rPr>
          <w:rFonts w:ascii="ITC Avant Garde" w:hAnsi="ITC Avant Garde"/>
        </w:rPr>
        <w:t>La declaración realizada en el inciso c) no hace mención a una aceptación de reservas de derechos. Asimismo, sobre la supuesta aceptación de los hechos o impugnaciones que pretende hacer caer en el error a los concesionarios solicitantes, se señala que respecto a</w:t>
      </w:r>
      <w:r w:rsidR="007B7D8D" w:rsidRPr="00E16359">
        <w:rPr>
          <w:rFonts w:ascii="ITC Avant Garde" w:hAnsi="ITC Avant Garde"/>
        </w:rPr>
        <w:t xml:space="preserve"> la determinación de</w:t>
      </w:r>
      <w:r w:rsidRPr="00E16359">
        <w:rPr>
          <w:rFonts w:ascii="ITC Avant Garde" w:hAnsi="ITC Avant Garde"/>
        </w:rPr>
        <w:t xml:space="preserve"> que el Convenio se rija por las Declaraciones realizadas por las Partes en la sección correspondiente, de ninguna forma representa una aceptación de las mismas</w:t>
      </w:r>
      <w:r w:rsidR="007B7D8D" w:rsidRPr="00E16359">
        <w:rPr>
          <w:rFonts w:ascii="ITC Avant Garde" w:hAnsi="ITC Avant Garde"/>
        </w:rPr>
        <w:t>,</w:t>
      </w:r>
      <w:r w:rsidRPr="00E16359">
        <w:rPr>
          <w:rFonts w:ascii="ITC Avant Garde" w:hAnsi="ITC Avant Garde"/>
        </w:rPr>
        <w:t xml:space="preserve"> ni se convalida ninguna afirmación hecha de forma unilateral por Telmex, por lo que no es procedente su eliminación del Convenio</w:t>
      </w:r>
      <w:r w:rsidR="007B7D8D" w:rsidRPr="00E16359">
        <w:rPr>
          <w:rFonts w:ascii="ITC Avant Garde" w:hAnsi="ITC Avant Garde"/>
        </w:rPr>
        <w:t>.</w:t>
      </w:r>
    </w:p>
    <w:p w:rsidR="00AB67C0" w:rsidRPr="00E16359" w:rsidRDefault="00AB67C0" w:rsidP="001D3335">
      <w:pPr>
        <w:spacing w:after="0" w:line="276" w:lineRule="auto"/>
        <w:ind w:left="-5"/>
        <w:jc w:val="both"/>
        <w:rPr>
          <w:rFonts w:ascii="ITC Avant Garde" w:hAnsi="ITC Avant Garde"/>
          <w:i/>
        </w:rPr>
      </w:pPr>
    </w:p>
    <w:p w:rsidR="000A371C" w:rsidRPr="00E16359" w:rsidRDefault="00700E1F" w:rsidP="001D3335">
      <w:pPr>
        <w:spacing w:after="0" w:line="276" w:lineRule="auto"/>
        <w:ind w:left="-5"/>
        <w:jc w:val="both"/>
        <w:rPr>
          <w:rFonts w:ascii="ITC Avant Garde" w:hAnsi="ITC Avant Garde"/>
          <w:b/>
          <w:u w:val="single"/>
        </w:rPr>
      </w:pPr>
      <w:r w:rsidRPr="00E16359">
        <w:rPr>
          <w:rFonts w:ascii="ITC Avant Garde" w:hAnsi="ITC Avant Garde"/>
          <w:b/>
          <w:u w:val="single"/>
        </w:rPr>
        <w:t xml:space="preserve">Cláusula primera. Definiciones </w:t>
      </w:r>
    </w:p>
    <w:p w:rsidR="00126392" w:rsidRPr="00E16359" w:rsidRDefault="00126392" w:rsidP="001D3335">
      <w:pPr>
        <w:spacing w:after="0" w:line="276" w:lineRule="auto"/>
        <w:ind w:left="-5"/>
        <w:jc w:val="both"/>
        <w:rPr>
          <w:rFonts w:ascii="ITC Avant Garde" w:hAnsi="ITC Avant Garde" w:cs="Calibri"/>
          <w:color w:val="000000"/>
          <w:sz w:val="20"/>
          <w:szCs w:val="20"/>
        </w:rPr>
      </w:pPr>
    </w:p>
    <w:p w:rsidR="00126392" w:rsidRPr="00E16359" w:rsidRDefault="00126392" w:rsidP="001D3335">
      <w:pPr>
        <w:spacing w:after="0" w:line="276" w:lineRule="auto"/>
        <w:ind w:left="-5"/>
        <w:jc w:val="both"/>
        <w:rPr>
          <w:rFonts w:ascii="ITC Avant Garde" w:hAnsi="ITC Avant Garde"/>
          <w:b/>
        </w:rPr>
      </w:pPr>
      <w:r w:rsidRPr="00E16359">
        <w:rPr>
          <w:rFonts w:ascii="ITC Avant Garde" w:hAnsi="ITC Avant Garde"/>
          <w:b/>
        </w:rPr>
        <w:t>ALTÁN, CANIETI Y TELEFÓNICA</w:t>
      </w:r>
    </w:p>
    <w:p w:rsidR="004F11FF" w:rsidRPr="00E16359" w:rsidRDefault="004F11FF" w:rsidP="001D3335">
      <w:pPr>
        <w:spacing w:after="0" w:line="276" w:lineRule="auto"/>
        <w:ind w:left="-5"/>
        <w:jc w:val="both"/>
        <w:rPr>
          <w:rFonts w:ascii="ITC Avant Garde" w:hAnsi="ITC Avant Garde"/>
          <w:b/>
        </w:rPr>
      </w:pPr>
    </w:p>
    <w:p w:rsidR="0010082D" w:rsidRPr="00E16359" w:rsidRDefault="0010082D" w:rsidP="001D3335">
      <w:pPr>
        <w:spacing w:after="0" w:line="276" w:lineRule="auto"/>
        <w:jc w:val="both"/>
        <w:rPr>
          <w:rFonts w:ascii="ITC Avant Garde" w:hAnsi="ITC Avant Garde"/>
        </w:rPr>
      </w:pPr>
      <w:r w:rsidRPr="00E16359">
        <w:rPr>
          <w:rFonts w:ascii="ITC Avant Garde" w:hAnsi="ITC Avant Garde"/>
        </w:rPr>
        <w:t>Solicita</w:t>
      </w:r>
      <w:r w:rsidR="0093063F" w:rsidRPr="00E16359">
        <w:rPr>
          <w:rFonts w:ascii="ITC Avant Garde" w:hAnsi="ITC Avant Garde"/>
        </w:rPr>
        <w:t>ro</w:t>
      </w:r>
      <w:r w:rsidR="00E63974" w:rsidRPr="00E16359">
        <w:rPr>
          <w:rFonts w:ascii="ITC Avant Garde" w:hAnsi="ITC Avant Garde"/>
        </w:rPr>
        <w:t>n</w:t>
      </w:r>
      <w:r w:rsidRPr="00E16359">
        <w:rPr>
          <w:rFonts w:ascii="ITC Avant Garde" w:hAnsi="ITC Avant Garde"/>
        </w:rPr>
        <w:t xml:space="preserve"> incluir la definición de Servicios de Interconexión</w:t>
      </w:r>
      <w:r w:rsidR="00D832A6" w:rsidRPr="00E16359">
        <w:rPr>
          <w:rFonts w:ascii="ITC Avant Garde" w:hAnsi="ITC Avant Garde"/>
        </w:rPr>
        <w:t>, conforme al artículo 133 de la Ley Federal de Telecomunicaciones y Radiodifusión, (en lo sucesivo, “LFTR”).</w:t>
      </w:r>
      <w:r w:rsidR="007A72A6" w:rsidRPr="00E16359">
        <w:rPr>
          <w:rFonts w:ascii="ITC Avant Garde" w:hAnsi="ITC Avant Garde"/>
        </w:rPr>
        <w:t xml:space="preserve"> que establece</w:t>
      </w:r>
      <w:r w:rsidR="00D832A6" w:rsidRPr="00E16359">
        <w:rPr>
          <w:rFonts w:ascii="ITC Avant Garde" w:hAnsi="ITC Avant Garde"/>
        </w:rPr>
        <w:t xml:space="preserve"> lo siguiente</w:t>
      </w:r>
      <w:r w:rsidRPr="00E16359">
        <w:rPr>
          <w:rFonts w:ascii="ITC Avant Garde" w:hAnsi="ITC Avant Garde"/>
        </w:rPr>
        <w:t>:</w:t>
      </w:r>
    </w:p>
    <w:p w:rsidR="00126392" w:rsidRPr="00E16359" w:rsidRDefault="00126392" w:rsidP="001D3335">
      <w:pPr>
        <w:spacing w:after="0" w:line="276" w:lineRule="auto"/>
        <w:jc w:val="both"/>
        <w:rPr>
          <w:rFonts w:ascii="ITC Avant Garde" w:hAnsi="ITC Avant Garde"/>
        </w:rPr>
      </w:pPr>
    </w:p>
    <w:p w:rsidR="0010082D" w:rsidRPr="00E16359" w:rsidRDefault="0010082D" w:rsidP="001D3335">
      <w:pPr>
        <w:spacing w:after="0" w:line="276" w:lineRule="auto"/>
        <w:ind w:left="851" w:right="709"/>
        <w:jc w:val="both"/>
        <w:rPr>
          <w:rFonts w:ascii="ITC Avant Garde" w:hAnsi="ITC Avant Garde"/>
          <w:sz w:val="18"/>
          <w:szCs w:val="18"/>
        </w:rPr>
      </w:pPr>
      <w:r w:rsidRPr="00E16359">
        <w:rPr>
          <w:rFonts w:ascii="ITC Avant Garde" w:hAnsi="ITC Avant Garde"/>
          <w:i/>
          <w:sz w:val="18"/>
          <w:szCs w:val="18"/>
        </w:rPr>
        <w:t>“…Todos los servicios de interconexión serán obligatorios para el agente económico preponderante, mientras que sólo los servicios de conducción de tráfico, enlaces de transmisión, puertos de acceso y señalización, serán obligatorios para el resto de los concesionarios…”</w:t>
      </w:r>
      <w:r w:rsidRPr="00E16359">
        <w:rPr>
          <w:rFonts w:ascii="ITC Avant Garde" w:hAnsi="ITC Avant Garde"/>
          <w:sz w:val="18"/>
          <w:szCs w:val="18"/>
        </w:rPr>
        <w:t xml:space="preserve"> </w:t>
      </w:r>
    </w:p>
    <w:p w:rsidR="00CF0BAA" w:rsidRPr="00E16359" w:rsidRDefault="00CF0BAA" w:rsidP="001D3335">
      <w:pPr>
        <w:spacing w:after="0" w:line="276" w:lineRule="auto"/>
        <w:ind w:left="-6"/>
        <w:jc w:val="both"/>
        <w:rPr>
          <w:rFonts w:ascii="ITC Avant Garde" w:hAnsi="ITC Avant Garde"/>
          <w:b/>
        </w:rPr>
      </w:pPr>
    </w:p>
    <w:p w:rsidR="00CF0BAA" w:rsidRPr="00E16359" w:rsidRDefault="00CF0BAA" w:rsidP="001D3335">
      <w:pPr>
        <w:spacing w:after="0" w:line="276" w:lineRule="auto"/>
        <w:ind w:left="-6"/>
        <w:jc w:val="both"/>
        <w:rPr>
          <w:rFonts w:ascii="ITC Avant Garde" w:hAnsi="ITC Avant Garde"/>
          <w:b/>
        </w:rPr>
      </w:pPr>
      <w:r w:rsidRPr="00E16359">
        <w:rPr>
          <w:rFonts w:ascii="ITC Avant Garde" w:hAnsi="ITC Avant Garde"/>
          <w:b/>
        </w:rPr>
        <w:t xml:space="preserve">GRUPO TELEVISA </w:t>
      </w:r>
    </w:p>
    <w:p w:rsidR="004F11FF" w:rsidRPr="00E16359" w:rsidRDefault="004F11FF" w:rsidP="001D3335">
      <w:pPr>
        <w:spacing w:after="0" w:line="276" w:lineRule="auto"/>
        <w:ind w:left="-6"/>
        <w:jc w:val="both"/>
        <w:rPr>
          <w:rFonts w:ascii="ITC Avant Garde" w:hAnsi="ITC Avant Garde"/>
          <w:b/>
        </w:rPr>
      </w:pPr>
    </w:p>
    <w:p w:rsidR="00CF0BAA" w:rsidRPr="00E16359" w:rsidRDefault="00CF0BAA" w:rsidP="001D3335">
      <w:pPr>
        <w:spacing w:after="0" w:line="276" w:lineRule="auto"/>
        <w:jc w:val="both"/>
        <w:rPr>
          <w:rFonts w:ascii="ITC Avant Garde" w:eastAsia="Times New Roman" w:hAnsi="ITC Avant Garde" w:cs="Times New Roman"/>
        </w:rPr>
      </w:pPr>
      <w:r w:rsidRPr="00E16359">
        <w:rPr>
          <w:rFonts w:ascii="ITC Avant Garde" w:hAnsi="ITC Avant Garde"/>
        </w:rPr>
        <w:t>Señaló que en</w:t>
      </w:r>
      <w:r w:rsidRPr="00E16359">
        <w:rPr>
          <w:rFonts w:ascii="ITC Avant Garde" w:eastAsia="Times New Roman" w:hAnsi="ITC Avant Garde" w:cs="Times New Roman"/>
        </w:rPr>
        <w:t xml:space="preserve"> el Convenio Marco de Interconexión no se encuentra referencia a la definición de los límites de obligatoriedad de las partes en lo que respecta a los servicios de interconexión, por tanto, solicitó que se añada como definición del servicio de interconexión lo siguiente: </w:t>
      </w:r>
    </w:p>
    <w:p w:rsidR="00CF0BAA" w:rsidRPr="00E16359" w:rsidRDefault="00CF0BAA" w:rsidP="001D3335">
      <w:pPr>
        <w:spacing w:after="0" w:line="276" w:lineRule="auto"/>
        <w:ind w:left="851" w:right="708"/>
        <w:jc w:val="both"/>
        <w:rPr>
          <w:rFonts w:ascii="ITC Avant Garde" w:eastAsia="Times New Roman" w:hAnsi="ITC Avant Garde" w:cs="Times New Roman"/>
        </w:rPr>
      </w:pPr>
    </w:p>
    <w:p w:rsidR="006C00FA" w:rsidRPr="00E16359" w:rsidRDefault="00CF0BAA" w:rsidP="001D3335">
      <w:pPr>
        <w:spacing w:after="0" w:line="276" w:lineRule="auto"/>
        <w:ind w:left="851" w:right="708"/>
        <w:jc w:val="both"/>
        <w:rPr>
          <w:rFonts w:ascii="ITC Avant Garde" w:eastAsia="Times New Roman" w:hAnsi="ITC Avant Garde" w:cs="Times New Roman"/>
          <w:i/>
          <w:sz w:val="18"/>
          <w:szCs w:val="18"/>
        </w:rPr>
      </w:pPr>
      <w:r w:rsidRPr="00E16359">
        <w:rPr>
          <w:rFonts w:ascii="ITC Avant Garde" w:eastAsia="Times New Roman" w:hAnsi="ITC Avant Garde" w:cs="Times New Roman"/>
          <w:i/>
          <w:sz w:val="18"/>
          <w:szCs w:val="18"/>
        </w:rPr>
        <w:t xml:space="preserve">"(...) Todos los servicios serán obligatorios para el agente económico preponderante, mientras que sólo los servicios de conducción de tráfico, enlaces de transmisión, puertos de acceso y señalización, serán obligatorios para el resto de los concesionarios </w:t>
      </w:r>
    </w:p>
    <w:p w:rsidR="006C00FA" w:rsidRPr="00E16359" w:rsidRDefault="006C00FA" w:rsidP="001D3335">
      <w:pPr>
        <w:spacing w:after="0" w:line="276" w:lineRule="auto"/>
        <w:ind w:left="851" w:right="708"/>
        <w:jc w:val="both"/>
        <w:rPr>
          <w:rFonts w:ascii="ITC Avant Garde" w:eastAsia="Times New Roman" w:hAnsi="ITC Avant Garde" w:cs="Times New Roman"/>
          <w:i/>
          <w:sz w:val="18"/>
          <w:szCs w:val="18"/>
        </w:rPr>
      </w:pPr>
    </w:p>
    <w:p w:rsidR="00CF0BAA" w:rsidRPr="00E16359" w:rsidRDefault="00CF0BAA" w:rsidP="001D3335">
      <w:pPr>
        <w:spacing w:after="0" w:line="276" w:lineRule="auto"/>
        <w:ind w:left="851" w:right="708"/>
        <w:jc w:val="both"/>
        <w:rPr>
          <w:rFonts w:ascii="ITC Avant Garde" w:eastAsia="Times New Roman" w:hAnsi="ITC Avant Garde" w:cs="Times New Roman"/>
          <w:i/>
          <w:sz w:val="18"/>
          <w:szCs w:val="18"/>
        </w:rPr>
      </w:pPr>
      <w:r w:rsidRPr="00E16359">
        <w:rPr>
          <w:rFonts w:ascii="ITC Avant Garde" w:eastAsia="Times New Roman" w:hAnsi="ITC Avant Garde" w:cs="Times New Roman"/>
          <w:i/>
          <w:sz w:val="18"/>
          <w:szCs w:val="18"/>
        </w:rPr>
        <w:t>(...)</w:t>
      </w:r>
      <w:r w:rsidR="006C00FA" w:rsidRPr="00E16359">
        <w:rPr>
          <w:rFonts w:ascii="ITC Avant Garde" w:eastAsia="Times New Roman" w:hAnsi="ITC Avant Garde" w:cs="Times New Roman"/>
          <w:i/>
          <w:sz w:val="18"/>
          <w:szCs w:val="18"/>
        </w:rPr>
        <w:t>”</w:t>
      </w:r>
    </w:p>
    <w:p w:rsidR="004F11FF" w:rsidRPr="00E16359" w:rsidRDefault="004F11FF" w:rsidP="001D3335">
      <w:pPr>
        <w:spacing w:line="276" w:lineRule="auto"/>
        <w:jc w:val="both"/>
        <w:rPr>
          <w:rFonts w:ascii="ITC Avant Garde" w:hAnsi="ITC Avant Garde"/>
          <w:b/>
        </w:rPr>
      </w:pPr>
    </w:p>
    <w:p w:rsidR="004F11FF" w:rsidRPr="00E16359" w:rsidRDefault="004F11FF"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563D51" w:rsidRPr="00E16359" w:rsidRDefault="00017CF0" w:rsidP="001D3335">
      <w:pPr>
        <w:spacing w:after="0" w:line="276" w:lineRule="auto"/>
        <w:jc w:val="both"/>
        <w:rPr>
          <w:rFonts w:ascii="ITC Avant Garde" w:hAnsi="ITC Avant Garde"/>
        </w:rPr>
      </w:pPr>
      <w:r w:rsidRPr="00E16359">
        <w:rPr>
          <w:rFonts w:ascii="ITC Avant Garde" w:hAnsi="ITC Avant Garde"/>
        </w:rPr>
        <w:t>Respecto a la modificación propuesta</w:t>
      </w:r>
      <w:r w:rsidR="004C4FBE" w:rsidRPr="00E16359">
        <w:rPr>
          <w:rFonts w:ascii="ITC Avant Garde" w:hAnsi="ITC Avant Garde"/>
        </w:rPr>
        <w:t>,</w:t>
      </w:r>
      <w:r w:rsidR="007E04A4" w:rsidRPr="00E16359">
        <w:rPr>
          <w:rFonts w:ascii="ITC Avant Garde" w:hAnsi="ITC Avant Garde"/>
        </w:rPr>
        <w:t xml:space="preserve"> se señala que las definiciones de los términos aplicables en el Convenio se encuentran sujetas al marco jurídico y regulatorio aplicable, es así que </w:t>
      </w:r>
      <w:r w:rsidR="00563D51" w:rsidRPr="00E16359">
        <w:rPr>
          <w:rFonts w:ascii="ITC Avant Garde" w:hAnsi="ITC Avant Garde"/>
        </w:rPr>
        <w:t xml:space="preserve">la definición de interconexión </w:t>
      </w:r>
      <w:r w:rsidR="00D33A11" w:rsidRPr="00E16359">
        <w:rPr>
          <w:rFonts w:ascii="ITC Avant Garde" w:hAnsi="ITC Avant Garde"/>
        </w:rPr>
        <w:t xml:space="preserve">es acorde con lo dispuesto en la </w:t>
      </w:r>
      <w:r w:rsidR="00905EE3" w:rsidRPr="00E16359">
        <w:rPr>
          <w:rFonts w:ascii="ITC Avant Garde" w:hAnsi="ITC Avant Garde"/>
        </w:rPr>
        <w:t>LFTR.</w:t>
      </w:r>
    </w:p>
    <w:p w:rsidR="005B2E04" w:rsidRPr="00E16359" w:rsidRDefault="005B2E04" w:rsidP="001D3335">
      <w:pPr>
        <w:spacing w:after="0" w:line="276" w:lineRule="auto"/>
        <w:jc w:val="both"/>
        <w:rPr>
          <w:rFonts w:ascii="ITC Avant Garde" w:hAnsi="ITC Avant Garde"/>
        </w:rPr>
      </w:pPr>
    </w:p>
    <w:p w:rsidR="005B2E04" w:rsidRPr="00E16359" w:rsidRDefault="005B2E04" w:rsidP="001D3335">
      <w:pPr>
        <w:spacing w:after="0" w:line="276" w:lineRule="auto"/>
        <w:ind w:left="-6"/>
        <w:jc w:val="both"/>
        <w:rPr>
          <w:rFonts w:ascii="ITC Avant Garde" w:hAnsi="ITC Avant Garde"/>
          <w:b/>
        </w:rPr>
      </w:pPr>
      <w:r w:rsidRPr="00E16359">
        <w:rPr>
          <w:rFonts w:ascii="ITC Avant Garde" w:hAnsi="ITC Avant Garde"/>
          <w:b/>
        </w:rPr>
        <w:t>AT&amp;T</w:t>
      </w:r>
    </w:p>
    <w:p w:rsidR="00184D2A" w:rsidRPr="00E16359" w:rsidRDefault="00184D2A" w:rsidP="001D3335">
      <w:pPr>
        <w:spacing w:after="0" w:line="276" w:lineRule="auto"/>
        <w:ind w:left="-6"/>
        <w:jc w:val="both"/>
        <w:rPr>
          <w:rFonts w:ascii="ITC Avant Garde" w:hAnsi="ITC Avant Garde"/>
          <w:b/>
        </w:rPr>
      </w:pPr>
    </w:p>
    <w:p w:rsidR="00C16794" w:rsidRPr="00E16359" w:rsidRDefault="0093063F" w:rsidP="001D3335">
      <w:pPr>
        <w:spacing w:after="0" w:line="276" w:lineRule="auto"/>
        <w:ind w:left="-6"/>
        <w:jc w:val="both"/>
        <w:rPr>
          <w:rFonts w:ascii="ITC Avant Garde" w:hAnsi="ITC Avant Garde"/>
        </w:rPr>
      </w:pPr>
      <w:r w:rsidRPr="00E16359">
        <w:rPr>
          <w:rFonts w:ascii="ITC Avant Garde" w:hAnsi="ITC Avant Garde"/>
        </w:rPr>
        <w:t>Manifestó</w:t>
      </w:r>
      <w:r w:rsidR="004261F9" w:rsidRPr="00E16359">
        <w:rPr>
          <w:rFonts w:ascii="ITC Avant Garde" w:hAnsi="ITC Avant Garde"/>
        </w:rPr>
        <w:t xml:space="preserve"> que las definiciones </w:t>
      </w:r>
      <w:r w:rsidR="00C75711" w:rsidRPr="00E16359">
        <w:rPr>
          <w:rFonts w:ascii="ITC Avant Garde" w:hAnsi="ITC Avant Garde"/>
        </w:rPr>
        <w:t>sean</w:t>
      </w:r>
      <w:r w:rsidR="004261F9" w:rsidRPr="00E16359">
        <w:rPr>
          <w:rFonts w:ascii="ITC Avant Garde" w:hAnsi="ITC Avant Garde"/>
        </w:rPr>
        <w:t xml:space="preserve"> acorde</w:t>
      </w:r>
      <w:r w:rsidR="00C75711" w:rsidRPr="00E16359">
        <w:rPr>
          <w:rFonts w:ascii="ITC Avant Garde" w:hAnsi="ITC Avant Garde"/>
        </w:rPr>
        <w:t>s con lo establecido en la LFTR</w:t>
      </w:r>
      <w:r w:rsidR="004261F9" w:rsidRPr="00E16359">
        <w:rPr>
          <w:rFonts w:ascii="ITC Avant Garde" w:hAnsi="ITC Avant Garde"/>
        </w:rPr>
        <w:t xml:space="preserve">, por tanto, </w:t>
      </w:r>
      <w:r w:rsidR="00BD6DA0" w:rsidRPr="00E16359">
        <w:rPr>
          <w:rFonts w:ascii="ITC Avant Garde" w:hAnsi="ITC Avant Garde"/>
        </w:rPr>
        <w:t>sugiere</w:t>
      </w:r>
      <w:r w:rsidR="00CF0BAA" w:rsidRPr="00E16359">
        <w:rPr>
          <w:rFonts w:ascii="ITC Avant Garde" w:hAnsi="ITC Avant Garde"/>
        </w:rPr>
        <w:t xml:space="preserve"> incluir en las </w:t>
      </w:r>
      <w:r w:rsidR="00C16794" w:rsidRPr="00E16359">
        <w:rPr>
          <w:rFonts w:ascii="ITC Avant Garde" w:hAnsi="ITC Avant Garde"/>
        </w:rPr>
        <w:t>definiciones</w:t>
      </w:r>
      <w:r w:rsidR="00CF0BAA" w:rsidRPr="00E16359">
        <w:rPr>
          <w:rFonts w:ascii="ITC Avant Garde" w:hAnsi="ITC Avant Garde"/>
        </w:rPr>
        <w:t xml:space="preserve"> de interconexión y punto d</w:t>
      </w:r>
      <w:r w:rsidR="0087676C">
        <w:rPr>
          <w:rFonts w:ascii="ITC Avant Garde" w:hAnsi="ITC Avant Garde"/>
        </w:rPr>
        <w:t>e</w:t>
      </w:r>
      <w:r w:rsidR="00CF0BAA" w:rsidRPr="00E16359">
        <w:rPr>
          <w:rFonts w:ascii="ITC Avant Garde" w:hAnsi="ITC Avant Garde"/>
        </w:rPr>
        <w:t xml:space="preserve"> interconexión, lo siguiente</w:t>
      </w:r>
      <w:r w:rsidR="00C16794" w:rsidRPr="00E16359">
        <w:rPr>
          <w:rFonts w:ascii="ITC Avant Garde" w:hAnsi="ITC Avant Garde"/>
        </w:rPr>
        <w:t>:</w:t>
      </w:r>
    </w:p>
    <w:p w:rsidR="00C16794" w:rsidRPr="00E16359" w:rsidRDefault="00C16794" w:rsidP="001D3335">
      <w:pPr>
        <w:spacing w:after="0" w:line="276" w:lineRule="auto"/>
        <w:ind w:left="-6"/>
        <w:jc w:val="both"/>
        <w:rPr>
          <w:rFonts w:ascii="ITC Avant Garde" w:hAnsi="ITC Avant Garde"/>
          <w:sz w:val="18"/>
          <w:szCs w:val="18"/>
        </w:rPr>
      </w:pPr>
    </w:p>
    <w:p w:rsidR="00C16794" w:rsidRPr="00E16359" w:rsidRDefault="00C16794" w:rsidP="001D3335">
      <w:pPr>
        <w:spacing w:after="0" w:line="276" w:lineRule="auto"/>
        <w:ind w:left="567" w:right="616"/>
        <w:jc w:val="both"/>
        <w:rPr>
          <w:rFonts w:ascii="ITC Avant Garde" w:hAnsi="ITC Avant Garde"/>
          <w:sz w:val="18"/>
          <w:szCs w:val="18"/>
        </w:rPr>
      </w:pPr>
      <w:r w:rsidRPr="00E16359">
        <w:rPr>
          <w:rFonts w:ascii="ITC Avant Garde" w:hAnsi="ITC Avant Garde"/>
          <w:i/>
          <w:sz w:val="18"/>
          <w:szCs w:val="18"/>
        </w:rPr>
        <w:t xml:space="preserve">“Interconexión: Conexión física o </w:t>
      </w:r>
      <w:r w:rsidRPr="00E16359">
        <w:rPr>
          <w:rFonts w:ascii="ITC Avant Garde" w:hAnsi="ITC Avant Garde"/>
          <w:b/>
          <w:i/>
          <w:sz w:val="18"/>
          <w:szCs w:val="18"/>
          <w:u w:val="single"/>
        </w:rPr>
        <w:t>virtual</w:t>
      </w:r>
      <w:r w:rsidRPr="00E16359">
        <w:rPr>
          <w:rFonts w:ascii="ITC Avant Garde" w:hAnsi="ITC Avant Garde"/>
          <w:i/>
          <w:sz w:val="18"/>
          <w:szCs w:val="18"/>
        </w:rPr>
        <w:t xml:space="preserve">, lógica y funcional entre redes públicas de telecomunicaciones que permite la conducción de tráfico entre dichas redes y/o servicios de telecomunicaciones </w:t>
      </w:r>
      <w:r w:rsidRPr="00E16359">
        <w:rPr>
          <w:rFonts w:ascii="ITC Avant Garde" w:hAnsi="ITC Avant Garde"/>
          <w:sz w:val="18"/>
          <w:szCs w:val="18"/>
        </w:rPr>
        <w:t>(...)”</w:t>
      </w:r>
    </w:p>
    <w:p w:rsidR="00993984" w:rsidRPr="00E16359" w:rsidRDefault="00993984" w:rsidP="001D3335">
      <w:pPr>
        <w:spacing w:after="0" w:line="276" w:lineRule="auto"/>
        <w:ind w:left="567" w:right="616"/>
        <w:jc w:val="both"/>
        <w:rPr>
          <w:rFonts w:ascii="ITC Avant Garde" w:hAnsi="ITC Avant Garde"/>
          <w:i/>
          <w:sz w:val="18"/>
          <w:szCs w:val="18"/>
        </w:rPr>
      </w:pPr>
    </w:p>
    <w:p w:rsidR="00993984" w:rsidRPr="00E16359" w:rsidRDefault="00C16794" w:rsidP="001D3335">
      <w:pPr>
        <w:spacing w:after="0" w:line="276" w:lineRule="auto"/>
        <w:ind w:left="567" w:right="616"/>
        <w:jc w:val="both"/>
        <w:rPr>
          <w:rFonts w:ascii="ITC Avant Garde" w:hAnsi="ITC Avant Garde"/>
          <w:i/>
          <w:sz w:val="18"/>
          <w:szCs w:val="18"/>
        </w:rPr>
      </w:pPr>
      <w:r w:rsidRPr="00E16359">
        <w:rPr>
          <w:rFonts w:ascii="ITC Avant Garde" w:hAnsi="ITC Avant Garde"/>
          <w:i/>
          <w:sz w:val="18"/>
          <w:szCs w:val="18"/>
        </w:rPr>
        <w:t xml:space="preserve">“Punto de Interconexión: Punto físico o </w:t>
      </w:r>
      <w:r w:rsidRPr="00E16359">
        <w:rPr>
          <w:rFonts w:ascii="ITC Avant Garde" w:hAnsi="ITC Avant Garde"/>
          <w:b/>
          <w:i/>
          <w:sz w:val="18"/>
          <w:szCs w:val="18"/>
          <w:u w:val="single"/>
        </w:rPr>
        <w:t>virtual</w:t>
      </w:r>
      <w:r w:rsidRPr="00E16359">
        <w:rPr>
          <w:rFonts w:ascii="ITC Avant Garde" w:hAnsi="ITC Avant Garde"/>
          <w:b/>
          <w:i/>
          <w:sz w:val="18"/>
          <w:szCs w:val="18"/>
        </w:rPr>
        <w:t xml:space="preserve"> </w:t>
      </w:r>
      <w:r w:rsidRPr="00E16359">
        <w:rPr>
          <w:rFonts w:ascii="ITC Avant Garde" w:hAnsi="ITC Avant Garde"/>
          <w:i/>
          <w:sz w:val="18"/>
          <w:szCs w:val="18"/>
        </w:rPr>
        <w:t>donde se establece la Interconexión entre redes públicas de telecomunicaciones, para el intercambio de tráfico de interconexión o de tráfico de servi</w:t>
      </w:r>
      <w:r w:rsidR="00993984" w:rsidRPr="00E16359">
        <w:rPr>
          <w:rFonts w:ascii="ITC Avant Garde" w:hAnsi="ITC Avant Garde"/>
          <w:i/>
          <w:sz w:val="18"/>
          <w:szCs w:val="18"/>
        </w:rPr>
        <w:t>cios mayoristas.”</w:t>
      </w:r>
    </w:p>
    <w:p w:rsidR="00993984" w:rsidRPr="00E16359" w:rsidRDefault="00DD27FE" w:rsidP="006C00FA">
      <w:pPr>
        <w:spacing w:after="0" w:line="276" w:lineRule="auto"/>
        <w:ind w:left="567" w:right="616"/>
        <w:jc w:val="right"/>
        <w:rPr>
          <w:rFonts w:ascii="ITC Avant Garde" w:hAnsi="ITC Avant Garde"/>
          <w:i/>
          <w:sz w:val="18"/>
          <w:szCs w:val="18"/>
        </w:rPr>
      </w:pPr>
      <w:r w:rsidRPr="00E16359">
        <w:rPr>
          <w:rFonts w:ascii="ITC Avant Garde" w:hAnsi="ITC Avant Garde"/>
          <w:i/>
          <w:sz w:val="18"/>
          <w:szCs w:val="18"/>
        </w:rPr>
        <w:t xml:space="preserve"> (énfasis añadido) </w:t>
      </w:r>
    </w:p>
    <w:p w:rsidR="00A95F71" w:rsidRPr="00E16359" w:rsidRDefault="00A95F71" w:rsidP="001D3335">
      <w:pPr>
        <w:spacing w:after="0" w:line="276" w:lineRule="auto"/>
        <w:ind w:left="567" w:right="616"/>
        <w:jc w:val="both"/>
        <w:rPr>
          <w:rFonts w:ascii="ITC Avant Garde" w:hAnsi="ITC Avant Garde"/>
          <w:i/>
        </w:rPr>
      </w:pPr>
    </w:p>
    <w:p w:rsidR="007D2D61" w:rsidRPr="00E16359" w:rsidRDefault="007D2D61" w:rsidP="001D3335">
      <w:pPr>
        <w:spacing w:after="0" w:line="276" w:lineRule="auto"/>
        <w:jc w:val="both"/>
        <w:rPr>
          <w:rFonts w:ascii="ITC Avant Garde" w:eastAsia="Times New Roman" w:hAnsi="ITC Avant Garde" w:cs="Times New Roman"/>
          <w:i/>
          <w:sz w:val="18"/>
          <w:szCs w:val="18"/>
        </w:rPr>
      </w:pPr>
    </w:p>
    <w:p w:rsidR="00114691" w:rsidRPr="00E16359" w:rsidRDefault="00813B59" w:rsidP="001D3335">
      <w:pPr>
        <w:spacing w:after="0" w:line="276" w:lineRule="auto"/>
        <w:jc w:val="both"/>
        <w:rPr>
          <w:rFonts w:ascii="ITC Avant Garde" w:eastAsia="Times New Roman" w:hAnsi="ITC Avant Garde" w:cs="Times New Roman"/>
        </w:rPr>
      </w:pPr>
      <w:r w:rsidRPr="00E16359">
        <w:rPr>
          <w:rFonts w:ascii="ITC Avant Garde" w:eastAsia="Times New Roman" w:hAnsi="ITC Avant Garde" w:cs="Times New Roman"/>
        </w:rPr>
        <w:t>Al respecto</w:t>
      </w:r>
      <w:r w:rsidR="00DD27FE" w:rsidRPr="00E16359">
        <w:rPr>
          <w:rFonts w:ascii="ITC Avant Garde" w:eastAsia="Times New Roman" w:hAnsi="ITC Avant Garde" w:cs="Times New Roman"/>
        </w:rPr>
        <w:t xml:space="preserve">, se </w:t>
      </w:r>
      <w:r w:rsidR="00EB77B4" w:rsidRPr="00E16359">
        <w:rPr>
          <w:rFonts w:ascii="ITC Avant Garde" w:eastAsia="Times New Roman" w:hAnsi="ITC Avant Garde" w:cs="Times New Roman"/>
        </w:rPr>
        <w:t>modificaron</w:t>
      </w:r>
      <w:r w:rsidR="000B1156" w:rsidRPr="00E16359">
        <w:rPr>
          <w:rFonts w:ascii="ITC Avant Garde" w:eastAsia="Times New Roman" w:hAnsi="ITC Avant Garde" w:cs="Times New Roman"/>
        </w:rPr>
        <w:t xml:space="preserve"> las</w:t>
      </w:r>
      <w:r w:rsidR="00D34303" w:rsidRPr="00E16359">
        <w:rPr>
          <w:rFonts w:ascii="ITC Avant Garde" w:eastAsia="Times New Roman" w:hAnsi="ITC Avant Garde" w:cs="Times New Roman"/>
        </w:rPr>
        <w:t xml:space="preserve"> definiciones de</w:t>
      </w:r>
      <w:r w:rsidR="00900DCE" w:rsidRPr="00E16359">
        <w:rPr>
          <w:rFonts w:ascii="ITC Avant Garde" w:eastAsia="Times New Roman" w:hAnsi="ITC Avant Garde" w:cs="Times New Roman"/>
        </w:rPr>
        <w:t xml:space="preserve"> Interconexión</w:t>
      </w:r>
      <w:r w:rsidR="00DD27FE" w:rsidRPr="00E16359">
        <w:rPr>
          <w:rFonts w:ascii="ITC Avant Garde" w:eastAsia="Times New Roman" w:hAnsi="ITC Avant Garde" w:cs="Times New Roman"/>
        </w:rPr>
        <w:t xml:space="preserve"> y </w:t>
      </w:r>
      <w:r w:rsidR="00900DCE" w:rsidRPr="00E16359">
        <w:rPr>
          <w:rFonts w:ascii="ITC Avant Garde" w:eastAsia="Times New Roman" w:hAnsi="ITC Avant Garde" w:cs="Times New Roman"/>
        </w:rPr>
        <w:t xml:space="preserve">Punto de Interconexión, </w:t>
      </w:r>
      <w:r w:rsidR="000B1156" w:rsidRPr="00E16359">
        <w:rPr>
          <w:rFonts w:ascii="ITC Avant Garde" w:eastAsia="Times New Roman" w:hAnsi="ITC Avant Garde" w:cs="Times New Roman"/>
        </w:rPr>
        <w:t xml:space="preserve">a efecto de que </w:t>
      </w:r>
      <w:r w:rsidR="00005D20" w:rsidRPr="00E16359">
        <w:rPr>
          <w:rFonts w:ascii="ITC Avant Garde" w:eastAsia="Times New Roman" w:hAnsi="ITC Avant Garde" w:cs="Times New Roman"/>
        </w:rPr>
        <w:t>éstas</w:t>
      </w:r>
      <w:r w:rsidR="000B1156" w:rsidRPr="00E16359">
        <w:rPr>
          <w:rFonts w:ascii="ITC Avant Garde" w:eastAsia="Times New Roman" w:hAnsi="ITC Avant Garde" w:cs="Times New Roman"/>
        </w:rPr>
        <w:t xml:space="preserve"> se apeguen al marco legal y regulatorio vigente, </w:t>
      </w:r>
      <w:r w:rsidR="00CC526C" w:rsidRPr="00E16359">
        <w:rPr>
          <w:rFonts w:ascii="ITC Avant Garde" w:eastAsia="Times New Roman" w:hAnsi="ITC Avant Garde" w:cs="Times New Roman"/>
        </w:rPr>
        <w:t>es decir</w:t>
      </w:r>
      <w:r w:rsidR="008440F7" w:rsidRPr="00E16359">
        <w:rPr>
          <w:rFonts w:ascii="ITC Avant Garde" w:eastAsia="Times New Roman" w:hAnsi="ITC Avant Garde" w:cs="Times New Roman"/>
        </w:rPr>
        <w:t>,</w:t>
      </w:r>
      <w:r w:rsidR="00D34303" w:rsidRPr="00E16359">
        <w:rPr>
          <w:rFonts w:ascii="ITC Avant Garde" w:eastAsia="Times New Roman" w:hAnsi="ITC Avant Garde" w:cs="Times New Roman"/>
        </w:rPr>
        <w:t xml:space="preserve"> </w:t>
      </w:r>
      <w:r w:rsidR="00CC526C" w:rsidRPr="00E16359">
        <w:rPr>
          <w:rFonts w:ascii="ITC Avant Garde" w:eastAsia="Times New Roman" w:hAnsi="ITC Avant Garde" w:cs="Times New Roman"/>
        </w:rPr>
        <w:t xml:space="preserve">conforme a </w:t>
      </w:r>
      <w:r w:rsidR="00D34303" w:rsidRPr="00E16359">
        <w:rPr>
          <w:rFonts w:ascii="ITC Avant Garde" w:eastAsia="Times New Roman" w:hAnsi="ITC Avant Garde" w:cs="Times New Roman"/>
        </w:rPr>
        <w:t xml:space="preserve">la </w:t>
      </w:r>
      <w:r w:rsidR="00DD5F40" w:rsidRPr="00E16359">
        <w:rPr>
          <w:rFonts w:ascii="ITC Avant Garde" w:eastAsia="Times New Roman" w:hAnsi="ITC Avant Garde" w:cs="Times New Roman"/>
        </w:rPr>
        <w:t>LFT</w:t>
      </w:r>
      <w:r w:rsidR="00D34303" w:rsidRPr="00E16359">
        <w:rPr>
          <w:rFonts w:ascii="ITC Avant Garde" w:eastAsia="Times New Roman" w:hAnsi="ITC Avant Garde" w:cs="Times New Roman"/>
        </w:rPr>
        <w:t>R,</w:t>
      </w:r>
      <w:r w:rsidR="00DD27FE" w:rsidRPr="00E16359">
        <w:rPr>
          <w:rFonts w:ascii="ITC Avant Garde" w:eastAsia="Times New Roman" w:hAnsi="ITC Avant Garde" w:cs="Times New Roman"/>
        </w:rPr>
        <w:t xml:space="preserve"> así como lo establecido en el</w:t>
      </w:r>
      <w:r w:rsidR="00E7562C" w:rsidRPr="00E16359">
        <w:rPr>
          <w:rFonts w:ascii="ITC Avant Garde" w:eastAsia="Times New Roman" w:hAnsi="ITC Avant Garde" w:cs="Times New Roman"/>
        </w:rPr>
        <w:t xml:space="preserve"> </w:t>
      </w:r>
      <w:r w:rsidR="00DE5DAA" w:rsidRPr="00E16359">
        <w:rPr>
          <w:rFonts w:ascii="ITC Avant Garde" w:eastAsia="Times New Roman" w:hAnsi="ITC Avant Garde" w:cs="Times New Roman"/>
          <w:bCs/>
          <w:i/>
          <w:lang w:val="es-ES"/>
        </w:rPr>
        <w:t>“Acuerdo</w:t>
      </w:r>
      <w:r w:rsidR="007A1BC6" w:rsidRPr="00E16359">
        <w:rPr>
          <w:rFonts w:ascii="ITC Avant Garde" w:eastAsia="Times New Roman" w:hAnsi="ITC Avant Garde" w:cs="Times New Roman"/>
          <w:bCs/>
          <w:i/>
          <w:lang w:val="es-ES"/>
        </w:rPr>
        <w:t xml:space="preserve">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007A1BC6" w:rsidRPr="00E16359">
        <w:rPr>
          <w:rFonts w:ascii="ITC Avant Garde" w:eastAsia="Times New Roman" w:hAnsi="ITC Avant Garde" w:cs="Times New Roman"/>
          <w:bCs/>
          <w:lang w:val="es-ES"/>
        </w:rPr>
        <w:t>, (en lo sucesivo, el “</w:t>
      </w:r>
      <w:r w:rsidR="00AB5F8C" w:rsidRPr="00E16359">
        <w:rPr>
          <w:rFonts w:ascii="ITC Avant Garde" w:eastAsia="Times New Roman" w:hAnsi="ITC Avant Garde" w:cs="Times New Roman"/>
          <w:bCs/>
          <w:lang w:val="es-ES"/>
        </w:rPr>
        <w:t>Acuerdo de CTM y Tarifas 2018”)</w:t>
      </w:r>
      <w:r w:rsidRPr="00E16359">
        <w:rPr>
          <w:rFonts w:ascii="ITC Avant Garde" w:eastAsia="Times New Roman" w:hAnsi="ITC Avant Garde" w:cs="Times New Roman"/>
          <w:bCs/>
          <w:lang w:val="es-ES"/>
        </w:rPr>
        <w:t>, para quedar</w:t>
      </w:r>
      <w:r w:rsidR="00DB3DD0" w:rsidRPr="00E16359">
        <w:rPr>
          <w:rFonts w:ascii="ITC Avant Garde" w:eastAsia="Times New Roman" w:hAnsi="ITC Avant Garde" w:cs="Times New Roman"/>
          <w:bCs/>
          <w:lang w:val="es-ES"/>
        </w:rPr>
        <w:t xml:space="preserve"> </w:t>
      </w:r>
      <w:r w:rsidR="00AB5F8C" w:rsidRPr="00E16359">
        <w:rPr>
          <w:rFonts w:ascii="ITC Avant Garde" w:eastAsia="Times New Roman" w:hAnsi="ITC Avant Garde" w:cs="Times New Roman"/>
        </w:rPr>
        <w:t>e</w:t>
      </w:r>
      <w:r w:rsidR="004B5319" w:rsidRPr="00E16359">
        <w:rPr>
          <w:rFonts w:ascii="ITC Avant Garde" w:eastAsia="Times New Roman" w:hAnsi="ITC Avant Garde" w:cs="Times New Roman"/>
        </w:rPr>
        <w:t>n los siguientes términos:</w:t>
      </w:r>
      <w:r w:rsidR="00A95F71" w:rsidRPr="00E16359">
        <w:rPr>
          <w:rFonts w:ascii="ITC Avant Garde" w:eastAsia="Times New Roman" w:hAnsi="ITC Avant Garde" w:cs="Times New Roman"/>
        </w:rPr>
        <w:t xml:space="preserve"> </w:t>
      </w:r>
    </w:p>
    <w:p w:rsidR="00071205" w:rsidRPr="00E16359" w:rsidRDefault="00071205" w:rsidP="001D3335">
      <w:pPr>
        <w:spacing w:after="0" w:line="276" w:lineRule="auto"/>
        <w:jc w:val="both"/>
        <w:rPr>
          <w:rFonts w:ascii="ITC Avant Garde" w:eastAsia="Times New Roman" w:hAnsi="ITC Avant Garde" w:cs="Times New Roman"/>
        </w:rPr>
      </w:pPr>
    </w:p>
    <w:tbl>
      <w:tblPr>
        <w:tblW w:w="0" w:type="auto"/>
        <w:tblInd w:w="709" w:type="dxa"/>
        <w:tblCellMar>
          <w:top w:w="113" w:type="dxa"/>
          <w:bottom w:w="113" w:type="dxa"/>
        </w:tblCellMar>
        <w:tblLook w:val="01E0" w:firstRow="1" w:lastRow="1" w:firstColumn="1" w:lastColumn="1" w:noHBand="0" w:noVBand="0"/>
      </w:tblPr>
      <w:tblGrid>
        <w:gridCol w:w="1918"/>
        <w:gridCol w:w="5737"/>
      </w:tblGrid>
      <w:tr w:rsidR="00A95F71" w:rsidRPr="00E16359" w:rsidTr="00134DFB">
        <w:trPr>
          <w:trHeight w:val="2441"/>
        </w:trPr>
        <w:tc>
          <w:tcPr>
            <w:tcW w:w="1918" w:type="dxa"/>
          </w:tcPr>
          <w:p w:rsidR="00A95F71" w:rsidRPr="00E16359" w:rsidRDefault="00A95F71" w:rsidP="001D3335">
            <w:pPr>
              <w:autoSpaceDE w:val="0"/>
              <w:autoSpaceDN w:val="0"/>
              <w:adjustRightInd w:val="0"/>
              <w:spacing w:after="0"/>
              <w:jc w:val="both"/>
              <w:rPr>
                <w:rFonts w:ascii="ITC Avant Garde" w:hAnsi="ITC Avant Garde" w:cs="Arial"/>
                <w:i/>
                <w:sz w:val="18"/>
                <w:szCs w:val="18"/>
              </w:rPr>
            </w:pPr>
          </w:p>
          <w:p w:rsidR="00A95F71" w:rsidRPr="00E16359" w:rsidRDefault="00A95F71" w:rsidP="001D3335">
            <w:pPr>
              <w:autoSpaceDE w:val="0"/>
              <w:autoSpaceDN w:val="0"/>
              <w:adjustRightInd w:val="0"/>
              <w:spacing w:after="0"/>
              <w:jc w:val="both"/>
              <w:rPr>
                <w:rFonts w:ascii="ITC Avant Garde" w:hAnsi="ITC Avant Garde" w:cs="Arial"/>
                <w:i/>
                <w:sz w:val="18"/>
                <w:szCs w:val="18"/>
              </w:rPr>
            </w:pPr>
            <w:r w:rsidRPr="00E16359">
              <w:rPr>
                <w:rFonts w:ascii="ITC Avant Garde" w:hAnsi="ITC Avant Garde" w:cs="Arial"/>
                <w:i/>
                <w:sz w:val="18"/>
                <w:szCs w:val="18"/>
              </w:rPr>
              <w:t>Interconexión</w:t>
            </w:r>
          </w:p>
        </w:tc>
        <w:tc>
          <w:tcPr>
            <w:tcW w:w="5737" w:type="dxa"/>
          </w:tcPr>
          <w:p w:rsidR="00A95F71" w:rsidRPr="00E16359" w:rsidRDefault="00A95F71" w:rsidP="001D3335">
            <w:pPr>
              <w:autoSpaceDE w:val="0"/>
              <w:autoSpaceDN w:val="0"/>
              <w:adjustRightInd w:val="0"/>
              <w:spacing w:after="0"/>
              <w:jc w:val="both"/>
              <w:rPr>
                <w:rFonts w:ascii="ITC Avant Garde" w:hAnsi="ITC Avant Garde" w:cs="Arial"/>
                <w:i/>
                <w:sz w:val="18"/>
                <w:szCs w:val="18"/>
              </w:rPr>
            </w:pPr>
            <w:r w:rsidRPr="00E16359">
              <w:rPr>
                <w:rFonts w:ascii="ITC Avant Garde" w:hAnsi="ITC Avant Garde" w:cs="Arial"/>
                <w:i/>
                <w:sz w:val="18"/>
                <w:szCs w:val="18"/>
              </w:rPr>
              <w:t xml:space="preserve">Conexión física </w:t>
            </w:r>
            <w:r w:rsidRPr="00E16359">
              <w:rPr>
                <w:rFonts w:ascii="ITC Avant Garde" w:hAnsi="ITC Avant Garde" w:cs="Arial"/>
                <w:i/>
                <w:sz w:val="18"/>
                <w:szCs w:val="18"/>
                <w:u w:val="single"/>
              </w:rPr>
              <w:t>o virtual</w:t>
            </w:r>
            <w:r w:rsidRPr="00E16359">
              <w:rPr>
                <w:rFonts w:ascii="ITC Avant Garde" w:hAnsi="ITC Avant Garde" w:cs="Arial"/>
                <w:i/>
                <w:sz w:val="18"/>
                <w:szCs w:val="18"/>
              </w:rPr>
              <w:t xml:space="preserve">,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A95F71" w:rsidRPr="00E16359" w:rsidTr="00134DFB">
        <w:tc>
          <w:tcPr>
            <w:tcW w:w="1918" w:type="dxa"/>
          </w:tcPr>
          <w:p w:rsidR="00A95F71" w:rsidRPr="00E16359" w:rsidRDefault="00A95F71" w:rsidP="001D3335">
            <w:pPr>
              <w:autoSpaceDE w:val="0"/>
              <w:autoSpaceDN w:val="0"/>
              <w:adjustRightInd w:val="0"/>
              <w:spacing w:after="0"/>
              <w:jc w:val="both"/>
              <w:rPr>
                <w:rFonts w:ascii="ITC Avant Garde" w:hAnsi="ITC Avant Garde" w:cs="Arial"/>
                <w:i/>
                <w:sz w:val="18"/>
                <w:szCs w:val="18"/>
              </w:rPr>
            </w:pPr>
            <w:r w:rsidRPr="00E16359">
              <w:rPr>
                <w:rFonts w:ascii="ITC Avant Garde" w:hAnsi="ITC Avant Garde" w:cs="Arial"/>
                <w:i/>
                <w:sz w:val="18"/>
                <w:szCs w:val="18"/>
              </w:rPr>
              <w:t>Punto de Interconexión</w:t>
            </w:r>
          </w:p>
        </w:tc>
        <w:tc>
          <w:tcPr>
            <w:tcW w:w="5737" w:type="dxa"/>
          </w:tcPr>
          <w:p w:rsidR="00A95F71" w:rsidRPr="00E16359" w:rsidRDefault="00A95F71" w:rsidP="001D3335">
            <w:pPr>
              <w:autoSpaceDE w:val="0"/>
              <w:autoSpaceDN w:val="0"/>
              <w:adjustRightInd w:val="0"/>
              <w:spacing w:after="0"/>
              <w:jc w:val="both"/>
              <w:rPr>
                <w:rFonts w:ascii="ITC Avant Garde" w:hAnsi="ITC Avant Garde" w:cs="Arial"/>
                <w:i/>
                <w:sz w:val="18"/>
                <w:szCs w:val="18"/>
              </w:rPr>
            </w:pPr>
            <w:r w:rsidRPr="00E16359">
              <w:rPr>
                <w:rFonts w:ascii="ITC Avant Garde" w:hAnsi="ITC Avant Garde" w:cs="Arial"/>
                <w:i/>
                <w:sz w:val="18"/>
                <w:szCs w:val="18"/>
              </w:rPr>
              <w:t xml:space="preserve">Punto físico </w:t>
            </w:r>
            <w:r w:rsidRPr="00E16359">
              <w:rPr>
                <w:rFonts w:ascii="ITC Avant Garde" w:hAnsi="ITC Avant Garde" w:cs="Arial"/>
                <w:i/>
                <w:sz w:val="18"/>
                <w:szCs w:val="18"/>
                <w:u w:val="single"/>
              </w:rPr>
              <w:t>o virtual</w:t>
            </w:r>
            <w:r w:rsidRPr="00E16359">
              <w:rPr>
                <w:rFonts w:ascii="ITC Avant Garde" w:hAnsi="ITC Avant Garde" w:cs="Arial"/>
                <w:i/>
                <w:sz w:val="18"/>
                <w:szCs w:val="18"/>
              </w:rPr>
              <w:t xml:space="preserve"> donde se establece la Interconexión entre Redes Públicas de Telecomunicaciones para el intercambio de tráfico de interconexión o de tráfico de servicios mayoristas</w:t>
            </w:r>
          </w:p>
        </w:tc>
      </w:tr>
    </w:tbl>
    <w:p w:rsidR="00655C00" w:rsidRPr="00E16359" w:rsidRDefault="00655C00" w:rsidP="001D3335">
      <w:pPr>
        <w:spacing w:after="0" w:line="276" w:lineRule="auto"/>
        <w:ind w:right="567"/>
        <w:jc w:val="both"/>
        <w:rPr>
          <w:rFonts w:ascii="ITC Avant Garde" w:eastAsia="Times New Roman" w:hAnsi="ITC Avant Garde" w:cs="Arial"/>
          <w:iCs/>
          <w:sz w:val="18"/>
          <w:szCs w:val="18"/>
        </w:rPr>
      </w:pPr>
    </w:p>
    <w:p w:rsidR="00A95F71" w:rsidRPr="00E16359" w:rsidRDefault="00655C00" w:rsidP="0047796A">
      <w:pPr>
        <w:spacing w:after="0" w:line="276" w:lineRule="auto"/>
        <w:ind w:right="567"/>
        <w:jc w:val="right"/>
        <w:rPr>
          <w:rFonts w:ascii="ITC Avant Garde" w:eastAsia="Times New Roman" w:hAnsi="ITC Avant Garde" w:cs="Arial"/>
          <w:i/>
          <w:iCs/>
          <w:sz w:val="18"/>
          <w:szCs w:val="18"/>
        </w:rPr>
      </w:pPr>
      <w:r w:rsidRPr="00E16359">
        <w:rPr>
          <w:rFonts w:ascii="ITC Avant Garde" w:eastAsia="Times New Roman" w:hAnsi="ITC Avant Garde" w:cs="Arial"/>
          <w:i/>
          <w:iCs/>
          <w:sz w:val="18"/>
          <w:szCs w:val="18"/>
        </w:rPr>
        <w:t>(</w:t>
      </w:r>
      <w:r w:rsidR="00A95F71" w:rsidRPr="00E16359">
        <w:rPr>
          <w:rFonts w:ascii="ITC Avant Garde" w:eastAsia="Times New Roman" w:hAnsi="ITC Avant Garde" w:cs="Arial"/>
          <w:i/>
          <w:iCs/>
          <w:sz w:val="18"/>
          <w:szCs w:val="18"/>
        </w:rPr>
        <w:t>Énfasis añadido</w:t>
      </w:r>
      <w:r w:rsidRPr="00E16359">
        <w:rPr>
          <w:rFonts w:ascii="ITC Avant Garde" w:eastAsia="Times New Roman" w:hAnsi="ITC Avant Garde" w:cs="Arial"/>
          <w:i/>
          <w:iCs/>
          <w:sz w:val="18"/>
          <w:szCs w:val="18"/>
        </w:rPr>
        <w:t>)</w:t>
      </w:r>
    </w:p>
    <w:p w:rsidR="00721435" w:rsidRPr="00E16359" w:rsidRDefault="00721435" w:rsidP="001D3335">
      <w:pPr>
        <w:spacing w:after="0" w:line="276" w:lineRule="auto"/>
        <w:ind w:left="-6"/>
        <w:jc w:val="both"/>
        <w:rPr>
          <w:rFonts w:ascii="ITC Avant Garde" w:eastAsia="Times New Roman" w:hAnsi="ITC Avant Garde" w:cs="Times New Roman"/>
        </w:rPr>
      </w:pPr>
    </w:p>
    <w:p w:rsidR="00184D2A" w:rsidRPr="00E16359" w:rsidRDefault="00184D2A" w:rsidP="001D3335">
      <w:pPr>
        <w:spacing w:after="0" w:line="276" w:lineRule="auto"/>
        <w:ind w:left="-6"/>
        <w:jc w:val="both"/>
        <w:rPr>
          <w:rFonts w:ascii="ITC Avant Garde" w:eastAsia="Times New Roman" w:hAnsi="ITC Avant Garde" w:cs="Times New Roman"/>
        </w:rPr>
      </w:pPr>
    </w:p>
    <w:p w:rsidR="00184D2A" w:rsidRPr="00E16359" w:rsidRDefault="00184D2A" w:rsidP="001D3335">
      <w:pPr>
        <w:spacing w:after="0" w:line="276" w:lineRule="auto"/>
        <w:ind w:left="-6"/>
        <w:jc w:val="both"/>
        <w:rPr>
          <w:rFonts w:ascii="ITC Avant Garde" w:eastAsia="Times New Roman" w:hAnsi="ITC Avant Garde" w:cs="Times New Roman"/>
        </w:rPr>
      </w:pPr>
    </w:p>
    <w:p w:rsidR="009C6788" w:rsidRPr="00E16359" w:rsidRDefault="00D23825" w:rsidP="001D3335">
      <w:pPr>
        <w:spacing w:after="0" w:line="276" w:lineRule="auto"/>
        <w:ind w:left="-6"/>
        <w:jc w:val="both"/>
        <w:rPr>
          <w:rFonts w:ascii="ITC Avant Garde" w:hAnsi="ITC Avant Garde"/>
          <w:b/>
        </w:rPr>
      </w:pPr>
      <w:r w:rsidRPr="00E16359">
        <w:rPr>
          <w:rFonts w:ascii="ITC Avant Garde" w:hAnsi="ITC Avant Garde"/>
          <w:b/>
        </w:rPr>
        <w:t>ALTÁN</w:t>
      </w:r>
      <w:r w:rsidR="009C6788" w:rsidRPr="00E16359">
        <w:rPr>
          <w:rFonts w:ascii="ITC Avant Garde" w:hAnsi="ITC Avant Garde"/>
          <w:b/>
        </w:rPr>
        <w:t xml:space="preserve"> y CANIETI</w:t>
      </w:r>
    </w:p>
    <w:p w:rsidR="00184D2A" w:rsidRPr="00E16359" w:rsidRDefault="00184D2A" w:rsidP="001D3335">
      <w:pPr>
        <w:spacing w:after="0" w:line="276" w:lineRule="auto"/>
        <w:ind w:left="-6"/>
        <w:jc w:val="both"/>
        <w:rPr>
          <w:rFonts w:ascii="ITC Avant Garde" w:hAnsi="ITC Avant Garde"/>
          <w:b/>
        </w:rPr>
      </w:pPr>
    </w:p>
    <w:p w:rsidR="00D23825" w:rsidRPr="00E16359" w:rsidRDefault="00806CF9" w:rsidP="001D3335">
      <w:pPr>
        <w:spacing w:after="0" w:line="276" w:lineRule="auto"/>
        <w:ind w:left="-6"/>
        <w:jc w:val="both"/>
        <w:rPr>
          <w:rFonts w:ascii="ITC Avant Garde" w:hAnsi="ITC Avant Garde"/>
          <w:b/>
        </w:rPr>
      </w:pPr>
      <w:r w:rsidRPr="00E16359">
        <w:rPr>
          <w:rFonts w:ascii="ITC Avant Garde" w:hAnsi="ITC Avant Garde"/>
        </w:rPr>
        <w:t>Solicitaron</w:t>
      </w:r>
      <w:r w:rsidR="00322853" w:rsidRPr="00E16359">
        <w:rPr>
          <w:rFonts w:ascii="ITC Avant Garde" w:hAnsi="ITC Avant Garde"/>
        </w:rPr>
        <w:t xml:space="preserve"> que con la finalidad de otorgar mayor claridad respecto del principio de </w:t>
      </w:r>
      <w:r w:rsidR="00322853" w:rsidRPr="00E16359">
        <w:rPr>
          <w:rFonts w:ascii="ITC Avant Garde" w:hAnsi="ITC Avant Garde"/>
          <w:i/>
        </w:rPr>
        <w:t>“todo origen, todo destino”,</w:t>
      </w:r>
      <w:r w:rsidRPr="00E16359">
        <w:rPr>
          <w:rFonts w:ascii="ITC Avant Garde" w:hAnsi="ITC Avant Garde"/>
        </w:rPr>
        <w:t xml:space="preserve"> se</w:t>
      </w:r>
      <w:r w:rsidR="00322853" w:rsidRPr="00E16359">
        <w:rPr>
          <w:rFonts w:ascii="ITC Avant Garde" w:hAnsi="ITC Avant Garde"/>
        </w:rPr>
        <w:t xml:space="preserve"> realizar</w:t>
      </w:r>
      <w:r w:rsidRPr="00E16359">
        <w:rPr>
          <w:rFonts w:ascii="ITC Avant Garde" w:hAnsi="ITC Avant Garde"/>
        </w:rPr>
        <w:t>a</w:t>
      </w:r>
      <w:r w:rsidR="00322853" w:rsidRPr="00E16359">
        <w:rPr>
          <w:rFonts w:ascii="ITC Avant Garde" w:hAnsi="ITC Avant Garde"/>
        </w:rPr>
        <w:t xml:space="preserve"> la siguiente modificación </w:t>
      </w:r>
      <w:r w:rsidR="0017616B" w:rsidRPr="00E16359">
        <w:rPr>
          <w:rFonts w:ascii="ITC Avant Garde" w:hAnsi="ITC Avant Garde"/>
        </w:rPr>
        <w:t>en la definición de Servicios de Tránsito</w:t>
      </w:r>
      <w:r w:rsidR="00D23825" w:rsidRPr="00E16359">
        <w:rPr>
          <w:rFonts w:ascii="ITC Avant Garde" w:hAnsi="ITC Avant Garde"/>
        </w:rPr>
        <w:t xml:space="preserve">: </w:t>
      </w:r>
    </w:p>
    <w:p w:rsidR="00D23825" w:rsidRPr="00E16359" w:rsidRDefault="00D23825" w:rsidP="001D3335">
      <w:pPr>
        <w:spacing w:after="0" w:line="276" w:lineRule="auto"/>
        <w:ind w:left="567" w:right="616"/>
        <w:jc w:val="both"/>
        <w:rPr>
          <w:rFonts w:ascii="ITC Avant Garde" w:hAnsi="ITC Avant Garde"/>
          <w:i/>
        </w:rPr>
      </w:pPr>
    </w:p>
    <w:p w:rsidR="00DD5285" w:rsidRPr="00E16359" w:rsidRDefault="00D23825" w:rsidP="001D3335">
      <w:pPr>
        <w:spacing w:after="0" w:line="276" w:lineRule="auto"/>
        <w:ind w:left="567" w:right="616"/>
        <w:jc w:val="both"/>
        <w:rPr>
          <w:rFonts w:ascii="ITC Avant Garde" w:hAnsi="ITC Avant Garde"/>
          <w:i/>
          <w:sz w:val="18"/>
          <w:szCs w:val="18"/>
        </w:rPr>
      </w:pPr>
      <w:r w:rsidRPr="00E16359">
        <w:rPr>
          <w:rFonts w:ascii="ITC Avant Garde" w:hAnsi="ITC Avant Garde"/>
          <w:i/>
          <w:sz w:val="18"/>
          <w:szCs w:val="18"/>
        </w:rPr>
        <w:t xml:space="preserve">“ Servicios de Tránsito: Servicio de Interconexión para el enrutamiento de Tráfico que TELMEX per se o a través de cualquier red perteneciente al Agente Económico Preponderante que se encuentre interconectada de manera directa, provee para la Interconexión de dos o más Redes Públicas de Telecomunicaciones distintas, </w:t>
      </w:r>
      <w:r w:rsidRPr="00E16359">
        <w:rPr>
          <w:rFonts w:ascii="ITC Avant Garde" w:hAnsi="ITC Avant Garde"/>
          <w:i/>
          <w:sz w:val="18"/>
          <w:szCs w:val="18"/>
          <w:u w:val="single"/>
        </w:rPr>
        <w:t>para la</w:t>
      </w:r>
      <w:r w:rsidRPr="00E16359">
        <w:rPr>
          <w:rFonts w:ascii="ITC Avant Garde" w:hAnsi="ITC Avant Garde"/>
          <w:bCs/>
          <w:i/>
          <w:sz w:val="18"/>
          <w:szCs w:val="18"/>
          <w:u w:val="single"/>
        </w:rPr>
        <w:t xml:space="preserve"> terminación de Tráfico en las redes con las que TELMEX o cualquier red  perteneciente al Agente Económico Preponderante se encuentre interconectado de forma directa bidireccional</w:t>
      </w:r>
      <w:r w:rsidRPr="00E16359">
        <w:rPr>
          <w:rFonts w:ascii="ITC Avant Garde" w:hAnsi="ITC Avant Garde"/>
          <w:i/>
          <w:sz w:val="18"/>
          <w:szCs w:val="18"/>
        </w:rPr>
        <w:t>, en los términos de la Condición Octava del Acuerdo de Condiciones Técnicas Mínimas de Interconexión.”</w:t>
      </w:r>
    </w:p>
    <w:p w:rsidR="00D23825" w:rsidRPr="00E16359" w:rsidRDefault="00D23825" w:rsidP="001D3335">
      <w:pPr>
        <w:spacing w:after="0" w:line="276" w:lineRule="auto"/>
        <w:ind w:left="567" w:right="616"/>
        <w:jc w:val="both"/>
        <w:rPr>
          <w:rFonts w:ascii="ITC Avant Garde" w:hAnsi="ITC Avant Garde"/>
          <w:bCs/>
          <w:i/>
          <w:sz w:val="18"/>
          <w:szCs w:val="18"/>
        </w:rPr>
      </w:pPr>
    </w:p>
    <w:p w:rsidR="00D23825" w:rsidRPr="00E16359" w:rsidRDefault="00655C00" w:rsidP="0047796A">
      <w:pPr>
        <w:spacing w:after="0" w:line="276" w:lineRule="auto"/>
        <w:ind w:left="-6" w:right="708"/>
        <w:jc w:val="right"/>
        <w:rPr>
          <w:rFonts w:ascii="ITC Avant Garde" w:hAnsi="ITC Avant Garde"/>
          <w:bCs/>
          <w:i/>
          <w:sz w:val="18"/>
          <w:szCs w:val="18"/>
        </w:rPr>
      </w:pPr>
      <w:r w:rsidRPr="00E16359">
        <w:rPr>
          <w:rFonts w:ascii="ITC Avant Garde" w:hAnsi="ITC Avant Garde"/>
          <w:bCs/>
          <w:i/>
          <w:sz w:val="18"/>
          <w:szCs w:val="18"/>
        </w:rPr>
        <w:t xml:space="preserve"> (Énfasis añadido)</w:t>
      </w:r>
      <w:r w:rsidR="00D23825" w:rsidRPr="00E16359">
        <w:rPr>
          <w:rFonts w:ascii="ITC Avant Garde" w:hAnsi="ITC Avant Garde"/>
          <w:bCs/>
          <w:i/>
          <w:sz w:val="18"/>
          <w:szCs w:val="18"/>
        </w:rPr>
        <w:t xml:space="preserve"> </w:t>
      </w:r>
    </w:p>
    <w:p w:rsidR="00D23825" w:rsidRPr="00E16359" w:rsidRDefault="00D23825" w:rsidP="001D3335">
      <w:pPr>
        <w:spacing w:after="0" w:line="276" w:lineRule="auto"/>
        <w:ind w:left="-6"/>
        <w:jc w:val="both"/>
        <w:rPr>
          <w:rFonts w:ascii="ITC Avant Garde" w:hAnsi="ITC Avant Garde"/>
          <w:bCs/>
          <w:i/>
          <w:sz w:val="18"/>
          <w:szCs w:val="18"/>
        </w:rPr>
      </w:pPr>
    </w:p>
    <w:p w:rsidR="00D23825" w:rsidRPr="00E16359" w:rsidRDefault="002C7D88" w:rsidP="001D3335">
      <w:pPr>
        <w:spacing w:after="0" w:line="276" w:lineRule="auto"/>
        <w:ind w:left="-6"/>
        <w:jc w:val="both"/>
        <w:rPr>
          <w:rFonts w:ascii="ITC Avant Garde" w:hAnsi="ITC Avant Garde"/>
        </w:rPr>
      </w:pPr>
      <w:r w:rsidRPr="00E16359">
        <w:rPr>
          <w:rFonts w:ascii="ITC Avant Garde" w:hAnsi="ITC Avant Garde"/>
        </w:rPr>
        <w:t xml:space="preserve">Asimismo, </w:t>
      </w:r>
      <w:r w:rsidR="009C6788" w:rsidRPr="00E16359">
        <w:rPr>
          <w:rFonts w:ascii="ITC Avant Garde" w:hAnsi="ITC Avant Garde"/>
        </w:rPr>
        <w:t>señala</w:t>
      </w:r>
      <w:r w:rsidR="007A5CD6" w:rsidRPr="00E16359">
        <w:rPr>
          <w:rFonts w:ascii="ITC Avant Garde" w:hAnsi="ITC Avant Garde"/>
        </w:rPr>
        <w:t>ro</w:t>
      </w:r>
      <w:r w:rsidR="009C6788" w:rsidRPr="00E16359">
        <w:rPr>
          <w:rFonts w:ascii="ITC Avant Garde" w:hAnsi="ITC Avant Garde"/>
        </w:rPr>
        <w:t>n</w:t>
      </w:r>
      <w:r w:rsidRPr="00E16359">
        <w:rPr>
          <w:rFonts w:ascii="ITC Avant Garde" w:hAnsi="ITC Avant Garde"/>
        </w:rPr>
        <w:t xml:space="preserve"> </w:t>
      </w:r>
      <w:r w:rsidR="006C00FA" w:rsidRPr="00E16359">
        <w:rPr>
          <w:rFonts w:ascii="ITC Avant Garde" w:hAnsi="ITC Avant Garde"/>
        </w:rPr>
        <w:t xml:space="preserve">que, </w:t>
      </w:r>
      <w:r w:rsidR="009C6788" w:rsidRPr="00E16359">
        <w:rPr>
          <w:rFonts w:ascii="ITC Avant Garde" w:hAnsi="ITC Avant Garde"/>
        </w:rPr>
        <w:t>en la referida</w:t>
      </w:r>
      <w:r w:rsidR="006C00FA" w:rsidRPr="00E16359">
        <w:rPr>
          <w:rFonts w:ascii="ITC Avant Garde" w:hAnsi="ITC Avant Garde"/>
        </w:rPr>
        <w:t xml:space="preserve"> definición</w:t>
      </w:r>
      <w:r w:rsidR="00D23825" w:rsidRPr="00E16359">
        <w:rPr>
          <w:rFonts w:ascii="ITC Avant Garde" w:hAnsi="ITC Avant Garde"/>
        </w:rPr>
        <w:t xml:space="preserve"> se deja en claro la obligación de Telmex a considerar la red de Telnor o cualquier red perteneciente a dicho AEP como una sola.</w:t>
      </w:r>
    </w:p>
    <w:p w:rsidR="008A3ADA" w:rsidRPr="00E16359" w:rsidRDefault="008A3ADA" w:rsidP="001D3335">
      <w:pPr>
        <w:spacing w:after="0" w:line="276" w:lineRule="auto"/>
        <w:ind w:left="-6"/>
        <w:jc w:val="both"/>
        <w:rPr>
          <w:rFonts w:ascii="ITC Avant Garde" w:hAnsi="ITC Avant Garde"/>
        </w:rPr>
      </w:pPr>
    </w:p>
    <w:p w:rsidR="00806CF9" w:rsidRPr="00E16359" w:rsidRDefault="00806CF9"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B420CF" w:rsidRPr="00E16359" w:rsidRDefault="00B420CF" w:rsidP="00B420CF">
      <w:pPr>
        <w:spacing w:after="0" w:line="276" w:lineRule="auto"/>
        <w:jc w:val="both"/>
        <w:rPr>
          <w:rFonts w:ascii="ITC Avant Garde" w:hAnsi="ITC Avant Garde"/>
        </w:rPr>
      </w:pPr>
      <w:r w:rsidRPr="00E16359">
        <w:rPr>
          <w:rFonts w:ascii="ITC Avant Garde" w:hAnsi="ITC Avant Garde"/>
        </w:rPr>
        <w:t xml:space="preserve">Al respecto, </w:t>
      </w:r>
      <w:r w:rsidR="001E4F17" w:rsidRPr="00E16359">
        <w:rPr>
          <w:rFonts w:ascii="ITC Avant Garde" w:hAnsi="ITC Avant Garde"/>
        </w:rPr>
        <w:t>s</w:t>
      </w:r>
      <w:r w:rsidRPr="00E16359">
        <w:rPr>
          <w:rFonts w:ascii="ITC Avant Garde" w:hAnsi="ITC Avant Garde"/>
        </w:rPr>
        <w:t xml:space="preserve">e señala que las definiciones de los términos aplicables en el Convenio se encuentran sujetas al marco jurídico y regulatorio aplicable, es así que la definición de </w:t>
      </w:r>
      <w:r w:rsidR="00D42AAA" w:rsidRPr="00E16359">
        <w:rPr>
          <w:rFonts w:ascii="ITC Avant Garde" w:hAnsi="ITC Avant Garde"/>
        </w:rPr>
        <w:t>tránsito</w:t>
      </w:r>
      <w:r w:rsidRPr="00E16359">
        <w:rPr>
          <w:rFonts w:ascii="ITC Avant Garde" w:hAnsi="ITC Avant Garde"/>
        </w:rPr>
        <w:t xml:space="preserve"> es acorde con lo dispuesto en la LFTR</w:t>
      </w:r>
      <w:r w:rsidR="00D42AAA" w:rsidRPr="00E16359">
        <w:rPr>
          <w:rFonts w:ascii="ITC Avant Garde" w:hAnsi="ITC Avant Garde"/>
        </w:rPr>
        <w:t xml:space="preserve"> y demás disposiciones aplicables</w:t>
      </w:r>
      <w:r w:rsidRPr="00E16359">
        <w:rPr>
          <w:rFonts w:ascii="ITC Avant Garde" w:hAnsi="ITC Avant Garde"/>
        </w:rPr>
        <w:t>.</w:t>
      </w:r>
    </w:p>
    <w:p w:rsidR="00B420CF" w:rsidRPr="00E16359" w:rsidRDefault="00B420CF" w:rsidP="00B420CF">
      <w:pPr>
        <w:spacing w:after="0" w:line="276" w:lineRule="auto"/>
        <w:jc w:val="both"/>
        <w:rPr>
          <w:rFonts w:ascii="ITC Avant Garde" w:hAnsi="ITC Avant Garde"/>
        </w:rPr>
      </w:pPr>
    </w:p>
    <w:p w:rsidR="00B420CF" w:rsidRPr="00E16359" w:rsidRDefault="00D42AAA" w:rsidP="00B420CF">
      <w:pPr>
        <w:spacing w:after="0" w:line="276" w:lineRule="auto"/>
        <w:jc w:val="both"/>
        <w:rPr>
          <w:rFonts w:ascii="ITC Avant Garde" w:hAnsi="ITC Avant Garde"/>
        </w:rPr>
      </w:pPr>
      <w:r w:rsidRPr="00E16359">
        <w:rPr>
          <w:rFonts w:ascii="ITC Avant Garde" w:hAnsi="ITC Avant Garde"/>
        </w:rPr>
        <w:t xml:space="preserve">Asimismo, </w:t>
      </w:r>
      <w:r w:rsidR="00B420CF" w:rsidRPr="00E16359">
        <w:rPr>
          <w:rFonts w:ascii="ITC Avant Garde" w:hAnsi="ITC Avant Garde"/>
        </w:rPr>
        <w:t>si bien es cierto que tanto Telmex como Telnor, como integrantes del AEP, se encuentran obligados a prestar el servicio de tránsito a los concesionarios que así lo soliciten, de conformidad con lo previsto por las Medida</w:t>
      </w:r>
      <w:r w:rsidRPr="00E16359">
        <w:rPr>
          <w:rFonts w:ascii="ITC Avant Garde" w:hAnsi="ITC Avant Garde"/>
        </w:rPr>
        <w:t xml:space="preserve">s </w:t>
      </w:r>
      <w:r w:rsidR="008536BE" w:rsidRPr="00E16359">
        <w:rPr>
          <w:rFonts w:ascii="ITC Avant Garde" w:hAnsi="ITC Avant Garde"/>
        </w:rPr>
        <w:t>Fijas</w:t>
      </w:r>
      <w:r w:rsidR="00B420CF" w:rsidRPr="00E16359">
        <w:rPr>
          <w:rFonts w:ascii="ITC Avant Garde" w:hAnsi="ITC Avant Garde"/>
        </w:rPr>
        <w:t>, estos últimos deben estar interconectados de manera directa con las redes de los integrantes del AEP</w:t>
      </w:r>
      <w:r w:rsidRPr="00E16359">
        <w:rPr>
          <w:rFonts w:ascii="ITC Avant Garde" w:hAnsi="ITC Avant Garde"/>
        </w:rPr>
        <w:t xml:space="preserve"> que les proveerá dicho servicio,</w:t>
      </w:r>
      <w:r w:rsidR="001E4F17" w:rsidRPr="00E16359">
        <w:rPr>
          <w:rFonts w:ascii="ITC Avant Garde" w:hAnsi="ITC Avant Garde"/>
        </w:rPr>
        <w:t xml:space="preserve"> ya sea Telmex o Telnor.</w:t>
      </w:r>
    </w:p>
    <w:p w:rsidR="001F1559" w:rsidRPr="00E16359" w:rsidRDefault="001F1559" w:rsidP="001D3335">
      <w:pPr>
        <w:spacing w:after="0" w:line="276" w:lineRule="auto"/>
        <w:ind w:left="567" w:right="618"/>
        <w:jc w:val="both"/>
        <w:rPr>
          <w:rFonts w:ascii="ITC Avant Garde" w:hAnsi="ITC Avant Garde"/>
          <w:b/>
        </w:rPr>
      </w:pPr>
    </w:p>
    <w:p w:rsidR="007E1B90" w:rsidRPr="00E16359" w:rsidRDefault="00314FEC" w:rsidP="001D3335">
      <w:pPr>
        <w:spacing w:after="0" w:line="276" w:lineRule="auto"/>
        <w:ind w:left="-5"/>
        <w:jc w:val="both"/>
        <w:rPr>
          <w:rFonts w:ascii="ITC Avant Garde" w:hAnsi="ITC Avant Garde"/>
          <w:b/>
          <w:u w:val="single"/>
        </w:rPr>
      </w:pPr>
      <w:r w:rsidRPr="00E16359">
        <w:rPr>
          <w:rFonts w:ascii="ITC Avant Garde" w:hAnsi="ITC Avant Garde"/>
          <w:b/>
          <w:u w:val="single"/>
        </w:rPr>
        <w:t>Cláusula Segunda. Objeto y Generalidades.</w:t>
      </w:r>
    </w:p>
    <w:p w:rsidR="006B7CD8" w:rsidRPr="00E16359" w:rsidRDefault="006B7CD8" w:rsidP="001D3335">
      <w:pPr>
        <w:spacing w:after="0" w:line="276" w:lineRule="auto"/>
        <w:ind w:left="-5"/>
        <w:jc w:val="both"/>
        <w:rPr>
          <w:rFonts w:ascii="ITC Avant Garde" w:hAnsi="ITC Avant Garde"/>
          <w:b/>
          <w:u w:val="single"/>
        </w:rPr>
      </w:pPr>
    </w:p>
    <w:p w:rsidR="0069224D" w:rsidRPr="00E16359" w:rsidRDefault="0069224D" w:rsidP="001D3335">
      <w:pPr>
        <w:spacing w:after="0" w:line="276" w:lineRule="auto"/>
        <w:ind w:left="-5"/>
        <w:jc w:val="both"/>
        <w:rPr>
          <w:rFonts w:ascii="ITC Avant Garde" w:hAnsi="ITC Avant Garde"/>
          <w:b/>
        </w:rPr>
      </w:pPr>
      <w:r w:rsidRPr="00E16359">
        <w:rPr>
          <w:rFonts w:ascii="ITC Avant Garde" w:hAnsi="ITC Avant Garde"/>
          <w:b/>
        </w:rPr>
        <w:t>GRUPO TELEVISA</w:t>
      </w:r>
    </w:p>
    <w:p w:rsidR="006C00FA" w:rsidRPr="00E16359" w:rsidRDefault="006C00FA" w:rsidP="001D3335">
      <w:pPr>
        <w:spacing w:after="0" w:line="276" w:lineRule="auto"/>
        <w:ind w:left="-5"/>
        <w:jc w:val="both"/>
        <w:rPr>
          <w:rFonts w:ascii="ITC Avant Garde" w:hAnsi="ITC Avant Garde"/>
          <w:b/>
        </w:rPr>
      </w:pPr>
    </w:p>
    <w:p w:rsidR="0069224D" w:rsidRPr="00E16359" w:rsidRDefault="0069224D" w:rsidP="001D3335">
      <w:pPr>
        <w:spacing w:after="0" w:line="276" w:lineRule="auto"/>
        <w:ind w:left="-5"/>
        <w:jc w:val="both"/>
        <w:rPr>
          <w:rFonts w:ascii="ITC Avant Garde" w:hAnsi="ITC Avant Garde"/>
        </w:rPr>
      </w:pPr>
      <w:r w:rsidRPr="00E16359">
        <w:rPr>
          <w:rFonts w:ascii="ITC Avant Garde" w:hAnsi="ITC Avant Garde"/>
        </w:rPr>
        <w:tab/>
      </w:r>
      <w:r w:rsidR="008F3C7B" w:rsidRPr="00E16359">
        <w:rPr>
          <w:rFonts w:ascii="ITC Avant Garde" w:hAnsi="ITC Avant Garde"/>
        </w:rPr>
        <w:t>Sobre</w:t>
      </w:r>
      <w:r w:rsidR="00692964" w:rsidRPr="00E16359">
        <w:rPr>
          <w:rFonts w:ascii="ITC Avant Garde" w:hAnsi="ITC Avant Garde"/>
        </w:rPr>
        <w:t xml:space="preserve"> el </w:t>
      </w:r>
      <w:r w:rsidRPr="00E16359">
        <w:rPr>
          <w:rFonts w:ascii="ITC Avant Garde" w:hAnsi="ITC Avant Garde"/>
        </w:rPr>
        <w:t>apartado de Objeto y Generalidades del Convenio,</w:t>
      </w:r>
      <w:r w:rsidR="00702C6D" w:rsidRPr="00E16359">
        <w:rPr>
          <w:rFonts w:ascii="ITC Avant Garde" w:hAnsi="ITC Avant Garde"/>
        </w:rPr>
        <w:t xml:space="preserve"> señala</w:t>
      </w:r>
      <w:r w:rsidRPr="00E16359">
        <w:rPr>
          <w:rFonts w:ascii="ITC Avant Garde" w:hAnsi="ITC Avant Garde"/>
        </w:rPr>
        <w:t xml:space="preserve"> que el CMI establece la interconexión indirecta como una excepción exclusivamente prevista para "anomalías" en la interconexión directa, a pesar de que las normas precitadas la establecen como una regla general.</w:t>
      </w:r>
    </w:p>
    <w:p w:rsidR="0069224D" w:rsidRPr="00E16359" w:rsidRDefault="0069224D" w:rsidP="001D3335">
      <w:pPr>
        <w:spacing w:after="0" w:line="276" w:lineRule="auto"/>
        <w:ind w:left="-5"/>
        <w:jc w:val="both"/>
        <w:rPr>
          <w:rFonts w:ascii="ITC Avant Garde" w:hAnsi="ITC Avant Garde"/>
        </w:rPr>
      </w:pPr>
    </w:p>
    <w:p w:rsidR="0069224D" w:rsidRPr="00E16359" w:rsidRDefault="00783EEA" w:rsidP="001D3335">
      <w:pPr>
        <w:spacing w:after="0" w:line="276" w:lineRule="auto"/>
        <w:ind w:left="-5"/>
        <w:jc w:val="both"/>
        <w:rPr>
          <w:rFonts w:ascii="ITC Avant Garde" w:hAnsi="ITC Avant Garde"/>
        </w:rPr>
      </w:pPr>
      <w:r w:rsidRPr="00E16359">
        <w:rPr>
          <w:rFonts w:ascii="ITC Avant Garde" w:hAnsi="ITC Avant Garde"/>
        </w:rPr>
        <w:lastRenderedPageBreak/>
        <w:t>Por lo tanto, solicitó</w:t>
      </w:r>
      <w:r w:rsidR="0069224D" w:rsidRPr="00E16359">
        <w:rPr>
          <w:rFonts w:ascii="ITC Avant Garde" w:hAnsi="ITC Avant Garde"/>
        </w:rPr>
        <w:t xml:space="preserve"> que el CMI incluya la interconexión indirecta como un caso general y no como una excepción, en línea con las medidas de preponderancia.</w:t>
      </w:r>
    </w:p>
    <w:p w:rsidR="0069224D" w:rsidRPr="00E16359" w:rsidRDefault="0069224D" w:rsidP="001D3335">
      <w:pPr>
        <w:spacing w:after="0" w:line="276" w:lineRule="auto"/>
        <w:ind w:left="-5"/>
        <w:jc w:val="both"/>
        <w:rPr>
          <w:rFonts w:ascii="ITC Avant Garde" w:hAnsi="ITC Avant Garde"/>
          <w:b/>
        </w:rPr>
      </w:pPr>
    </w:p>
    <w:p w:rsidR="00314FEC" w:rsidRPr="00E16359" w:rsidRDefault="00314FEC"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69224D" w:rsidRPr="00E16359" w:rsidRDefault="00040D0D" w:rsidP="001D3335">
      <w:pPr>
        <w:spacing w:after="0" w:line="276" w:lineRule="auto"/>
        <w:ind w:left="-5"/>
        <w:jc w:val="both"/>
        <w:rPr>
          <w:rFonts w:ascii="ITC Avant Garde" w:hAnsi="ITC Avant Garde"/>
        </w:rPr>
      </w:pPr>
      <w:r w:rsidRPr="00E16359">
        <w:rPr>
          <w:rFonts w:ascii="ITC Avant Garde" w:hAnsi="ITC Avant Garde"/>
        </w:rPr>
        <w:t>E</w:t>
      </w:r>
      <w:r w:rsidR="00DE36B0" w:rsidRPr="00E16359">
        <w:rPr>
          <w:rFonts w:ascii="ITC Avant Garde" w:hAnsi="ITC Avant Garde"/>
        </w:rPr>
        <w:t xml:space="preserve">s importante precisar </w:t>
      </w:r>
      <w:r w:rsidR="0069224D" w:rsidRPr="00E16359">
        <w:rPr>
          <w:rFonts w:ascii="ITC Avant Garde" w:hAnsi="ITC Avant Garde"/>
        </w:rPr>
        <w:t>que</w:t>
      </w:r>
      <w:r w:rsidR="006C72E7" w:rsidRPr="00E16359">
        <w:rPr>
          <w:rFonts w:ascii="ITC Avant Garde" w:hAnsi="ITC Avant Garde"/>
        </w:rPr>
        <w:t xml:space="preserve"> no se limita el uso de la interconexión indirecta, simplemente establece su uso en caso de presentarse alguna anormalidad en la red (congestión o desbordes por alto tráfico), asimismo, no restringe su uso a este escenario en ningún momento</w:t>
      </w:r>
      <w:r w:rsidR="00024C8A" w:rsidRPr="00E16359">
        <w:rPr>
          <w:rFonts w:ascii="ITC Avant Garde" w:hAnsi="ITC Avant Garde"/>
        </w:rPr>
        <w:t xml:space="preserve">. </w:t>
      </w:r>
      <w:r w:rsidR="001E4F17" w:rsidRPr="00E16359">
        <w:rPr>
          <w:rFonts w:ascii="ITC Avant Garde" w:hAnsi="ITC Avant Garde"/>
        </w:rPr>
        <w:t>En virtud de lo anterior</w:t>
      </w:r>
      <w:r w:rsidR="00AF1BDD" w:rsidRPr="00E16359">
        <w:rPr>
          <w:rFonts w:ascii="ITC Avant Garde" w:hAnsi="ITC Avant Garde"/>
        </w:rPr>
        <w:t>,</w:t>
      </w:r>
      <w:r w:rsidR="0069224D" w:rsidRPr="00E16359">
        <w:rPr>
          <w:rFonts w:ascii="ITC Avant Garde" w:hAnsi="ITC Avant Garde"/>
        </w:rPr>
        <w:t xml:space="preserve"> </w:t>
      </w:r>
      <w:r w:rsidR="00BB7729" w:rsidRPr="00E16359">
        <w:rPr>
          <w:rFonts w:ascii="ITC Avant Garde" w:hAnsi="ITC Avant Garde"/>
        </w:rPr>
        <w:t>los concesionarios tienen la opción de definir la modalidad de Interconexión que usarán</w:t>
      </w:r>
      <w:r w:rsidR="00D677AC" w:rsidRPr="00E16359">
        <w:rPr>
          <w:rFonts w:ascii="ITC Avant Garde" w:hAnsi="ITC Avant Garde"/>
        </w:rPr>
        <w:t xml:space="preserve"> entre </w:t>
      </w:r>
      <w:r w:rsidR="00024C8A" w:rsidRPr="00E16359">
        <w:rPr>
          <w:rFonts w:ascii="ITC Avant Garde" w:hAnsi="ITC Avant Garde"/>
        </w:rPr>
        <w:t>sus redes.</w:t>
      </w:r>
      <w:r w:rsidR="00D73F29" w:rsidRPr="00E16359">
        <w:rPr>
          <w:rFonts w:ascii="ITC Avant Garde" w:hAnsi="ITC Avant Garde"/>
        </w:rPr>
        <w:t xml:space="preserve"> Es así</w:t>
      </w:r>
      <w:r w:rsidR="00BB7729" w:rsidRPr="00E16359">
        <w:rPr>
          <w:rFonts w:ascii="ITC Avant Garde" w:hAnsi="ITC Avant Garde"/>
        </w:rPr>
        <w:t>,</w:t>
      </w:r>
      <w:r w:rsidR="00D73F29" w:rsidRPr="00E16359">
        <w:rPr>
          <w:rFonts w:ascii="ITC Avant Garde" w:hAnsi="ITC Avant Garde"/>
        </w:rPr>
        <w:t xml:space="preserve"> que el</w:t>
      </w:r>
      <w:r w:rsidR="00B9595C" w:rsidRPr="00E16359">
        <w:rPr>
          <w:rFonts w:ascii="ITC Avant Garde" w:hAnsi="ITC Avant Garde"/>
        </w:rPr>
        <w:t xml:space="preserve"> CMI prevé que en caso de que</w:t>
      </w:r>
      <w:r w:rsidR="00343FF4" w:rsidRPr="00E16359">
        <w:rPr>
          <w:rFonts w:ascii="ITC Avant Garde" w:hAnsi="ITC Avant Garde"/>
        </w:rPr>
        <w:t xml:space="preserve"> los concesionarios</w:t>
      </w:r>
      <w:r w:rsidR="00B9595C" w:rsidRPr="00E16359">
        <w:rPr>
          <w:rFonts w:ascii="ITC Avant Garde" w:hAnsi="ITC Avant Garde"/>
        </w:rPr>
        <w:t xml:space="preserve"> tengan intercone</w:t>
      </w:r>
      <w:r w:rsidR="00343FF4" w:rsidRPr="00E16359">
        <w:rPr>
          <w:rFonts w:ascii="ITC Avant Garde" w:hAnsi="ITC Avant Garde"/>
        </w:rPr>
        <w:t>xión directa y se presentara alguna</w:t>
      </w:r>
      <w:r w:rsidR="00B9595C" w:rsidRPr="00E16359">
        <w:rPr>
          <w:rFonts w:ascii="ITC Avant Garde" w:hAnsi="ITC Avant Garde"/>
        </w:rPr>
        <w:t xml:space="preserve"> anomalí</w:t>
      </w:r>
      <w:r w:rsidR="00BB7729" w:rsidRPr="00E16359">
        <w:rPr>
          <w:rFonts w:ascii="ITC Avant Garde" w:hAnsi="ITC Avant Garde"/>
        </w:rPr>
        <w:t>a</w:t>
      </w:r>
      <w:r w:rsidR="00B9595C" w:rsidRPr="00E16359">
        <w:rPr>
          <w:rFonts w:ascii="ITC Avant Garde" w:hAnsi="ITC Avant Garde"/>
        </w:rPr>
        <w:t>,</w:t>
      </w:r>
      <w:r w:rsidR="00343FF4" w:rsidRPr="00E16359">
        <w:rPr>
          <w:rFonts w:ascii="ITC Avant Garde" w:hAnsi="ITC Avant Garde"/>
        </w:rPr>
        <w:t xml:space="preserve"> que pudiera causar suspensión pa</w:t>
      </w:r>
      <w:r w:rsidR="00E43A54" w:rsidRPr="00E16359">
        <w:rPr>
          <w:rFonts w:ascii="ITC Avant Garde" w:hAnsi="ITC Avant Garde"/>
        </w:rPr>
        <w:t>r</w:t>
      </w:r>
      <w:r w:rsidR="00343FF4" w:rsidRPr="00E16359">
        <w:rPr>
          <w:rFonts w:ascii="ITC Avant Garde" w:hAnsi="ITC Avant Garde"/>
        </w:rPr>
        <w:t xml:space="preserve">cial o total </w:t>
      </w:r>
      <w:r w:rsidR="00E43A54" w:rsidRPr="00E16359">
        <w:rPr>
          <w:rFonts w:ascii="ITC Avant Garde" w:hAnsi="ITC Avant Garde"/>
        </w:rPr>
        <w:t>en la entrega de tráfico, éstos</w:t>
      </w:r>
      <w:r w:rsidR="00BB7729" w:rsidRPr="00E16359">
        <w:rPr>
          <w:rFonts w:ascii="ITC Avant Garde" w:hAnsi="ITC Avant Garde"/>
        </w:rPr>
        <w:t xml:space="preserve"> podrán entregar</w:t>
      </w:r>
      <w:r w:rsidR="00E43A54" w:rsidRPr="00E16359">
        <w:rPr>
          <w:rFonts w:ascii="ITC Avant Garde" w:hAnsi="ITC Avant Garde"/>
        </w:rPr>
        <w:t>lo</w:t>
      </w:r>
      <w:r w:rsidR="00BB7729" w:rsidRPr="00E16359">
        <w:rPr>
          <w:rFonts w:ascii="ITC Avant Garde" w:hAnsi="ITC Avant Garde"/>
        </w:rPr>
        <w:t xml:space="preserve"> por medio del </w:t>
      </w:r>
      <w:r w:rsidR="00E43A54" w:rsidRPr="00E16359">
        <w:rPr>
          <w:rFonts w:ascii="ITC Avant Garde" w:hAnsi="ITC Avant Garde"/>
        </w:rPr>
        <w:t xml:space="preserve">servicio de </w:t>
      </w:r>
      <w:r w:rsidR="00BB7729" w:rsidRPr="00E16359">
        <w:rPr>
          <w:rFonts w:ascii="ITC Avant Garde" w:hAnsi="ITC Avant Garde"/>
        </w:rPr>
        <w:t>tr</w:t>
      </w:r>
      <w:r w:rsidR="00B9595C" w:rsidRPr="00E16359">
        <w:rPr>
          <w:rFonts w:ascii="ITC Avant Garde" w:hAnsi="ITC Avant Garde"/>
        </w:rPr>
        <w:t>ánsit</w:t>
      </w:r>
      <w:r w:rsidR="00BB7729" w:rsidRPr="00E16359">
        <w:rPr>
          <w:rFonts w:ascii="ITC Avant Garde" w:hAnsi="ITC Avant Garde"/>
        </w:rPr>
        <w:t>o de una tercera red.</w:t>
      </w:r>
      <w:r w:rsidR="0069224D" w:rsidRPr="00E16359">
        <w:rPr>
          <w:rFonts w:ascii="ITC Avant Garde" w:hAnsi="ITC Avant Garde"/>
        </w:rPr>
        <w:t xml:space="preserve"> </w:t>
      </w:r>
    </w:p>
    <w:p w:rsidR="00D816F9" w:rsidRPr="00E16359" w:rsidRDefault="00D816F9" w:rsidP="001D3335">
      <w:pPr>
        <w:spacing w:after="0" w:line="276" w:lineRule="auto"/>
        <w:ind w:left="-5"/>
        <w:jc w:val="both"/>
        <w:rPr>
          <w:rFonts w:ascii="ITC Avant Garde" w:hAnsi="ITC Avant Garde"/>
        </w:rPr>
      </w:pPr>
    </w:p>
    <w:p w:rsidR="007E1B90" w:rsidRPr="00E16359" w:rsidRDefault="00B640BA" w:rsidP="001D3335">
      <w:pPr>
        <w:spacing w:after="0" w:line="276" w:lineRule="auto"/>
        <w:ind w:left="-5"/>
        <w:jc w:val="both"/>
        <w:rPr>
          <w:rFonts w:ascii="ITC Avant Garde" w:hAnsi="ITC Avant Garde"/>
          <w:b/>
          <w:u w:val="single"/>
        </w:rPr>
      </w:pPr>
      <w:r w:rsidRPr="00E16359">
        <w:rPr>
          <w:rFonts w:ascii="ITC Avant Garde" w:hAnsi="ITC Avant Garde"/>
          <w:b/>
          <w:u w:val="single"/>
        </w:rPr>
        <w:t>Solicitudes de S</w:t>
      </w:r>
      <w:r w:rsidR="00314FEC" w:rsidRPr="00E16359">
        <w:rPr>
          <w:rFonts w:ascii="ITC Avant Garde" w:hAnsi="ITC Avant Garde"/>
          <w:b/>
          <w:u w:val="single"/>
        </w:rPr>
        <w:t>ervicio</w:t>
      </w:r>
    </w:p>
    <w:p w:rsidR="007E1B90" w:rsidRPr="00E16359" w:rsidRDefault="007E1B90" w:rsidP="001D3335">
      <w:pPr>
        <w:spacing w:after="0" w:line="276" w:lineRule="auto"/>
        <w:ind w:left="-5"/>
        <w:jc w:val="both"/>
        <w:rPr>
          <w:rFonts w:ascii="ITC Avant Garde" w:hAnsi="ITC Avant Garde"/>
        </w:rPr>
      </w:pPr>
    </w:p>
    <w:p w:rsidR="00D816F9" w:rsidRPr="00E16359" w:rsidRDefault="00D816F9" w:rsidP="001D3335">
      <w:pPr>
        <w:spacing w:after="0" w:line="276" w:lineRule="auto"/>
        <w:ind w:left="-5"/>
        <w:jc w:val="both"/>
        <w:rPr>
          <w:rFonts w:ascii="ITC Avant Garde" w:hAnsi="ITC Avant Garde"/>
          <w:b/>
        </w:rPr>
      </w:pPr>
      <w:r w:rsidRPr="00E16359">
        <w:rPr>
          <w:rFonts w:ascii="ITC Avant Garde" w:hAnsi="ITC Avant Garde"/>
          <w:b/>
        </w:rPr>
        <w:t>ALTÁN</w:t>
      </w:r>
      <w:r w:rsidR="00EB10DE" w:rsidRPr="00E16359">
        <w:rPr>
          <w:rFonts w:ascii="ITC Avant Garde" w:hAnsi="ITC Avant Garde"/>
          <w:b/>
        </w:rPr>
        <w:t xml:space="preserve"> Y</w:t>
      </w:r>
      <w:r w:rsidRPr="00E16359">
        <w:rPr>
          <w:rFonts w:ascii="ITC Avant Garde" w:hAnsi="ITC Avant Garde"/>
          <w:b/>
        </w:rPr>
        <w:t xml:space="preserve"> CANIETI </w:t>
      </w:r>
    </w:p>
    <w:p w:rsidR="00B640BA" w:rsidRPr="00E16359" w:rsidRDefault="00B640BA" w:rsidP="001D3335">
      <w:pPr>
        <w:spacing w:after="0" w:line="276" w:lineRule="auto"/>
        <w:ind w:left="-5"/>
        <w:jc w:val="both"/>
        <w:rPr>
          <w:rFonts w:ascii="ITC Avant Garde" w:hAnsi="ITC Avant Garde"/>
          <w:b/>
        </w:rPr>
      </w:pPr>
    </w:p>
    <w:p w:rsidR="00F135C3" w:rsidRPr="00E16359" w:rsidRDefault="00AD1474" w:rsidP="001D3335">
      <w:pPr>
        <w:tabs>
          <w:tab w:val="left" w:pos="8931"/>
        </w:tabs>
        <w:spacing w:after="0" w:line="276" w:lineRule="auto"/>
        <w:ind w:left="-5"/>
        <w:jc w:val="both"/>
        <w:rPr>
          <w:rFonts w:ascii="ITC Avant Garde" w:eastAsia="Times New Roman" w:hAnsi="ITC Avant Garde" w:cs="Times New Roman"/>
          <w:bCs/>
          <w:color w:val="000000"/>
          <w:lang w:eastAsia="es-MX"/>
        </w:rPr>
      </w:pPr>
      <w:r w:rsidRPr="00E16359">
        <w:rPr>
          <w:rFonts w:ascii="ITC Avant Garde" w:hAnsi="ITC Avant Garde"/>
        </w:rPr>
        <w:t>P</w:t>
      </w:r>
      <w:r w:rsidR="00783EEA" w:rsidRPr="00E16359">
        <w:rPr>
          <w:rFonts w:ascii="ITC Avant Garde" w:eastAsia="Times New Roman" w:hAnsi="ITC Avant Garde" w:cs="Times New Roman"/>
          <w:bCs/>
          <w:color w:val="000000"/>
          <w:lang w:eastAsia="es-MX"/>
        </w:rPr>
        <w:t>ropusieron modificar</w:t>
      </w:r>
      <w:r w:rsidR="00B05B0C" w:rsidRPr="00E16359">
        <w:rPr>
          <w:rFonts w:ascii="ITC Avant Garde" w:eastAsia="Times New Roman" w:hAnsi="ITC Avant Garde" w:cs="Times New Roman"/>
          <w:bCs/>
          <w:color w:val="000000"/>
          <w:lang w:eastAsia="es-MX"/>
        </w:rPr>
        <w:t xml:space="preserve"> la</w:t>
      </w:r>
      <w:r w:rsidRPr="00E16359">
        <w:rPr>
          <w:rFonts w:ascii="ITC Avant Garde" w:eastAsia="Times New Roman" w:hAnsi="ITC Avant Garde" w:cs="Times New Roman"/>
          <w:bCs/>
          <w:color w:val="000000"/>
          <w:lang w:eastAsia="es-MX"/>
        </w:rPr>
        <w:t xml:space="preserve"> redacción </w:t>
      </w:r>
      <w:r w:rsidRPr="00E16359">
        <w:rPr>
          <w:rFonts w:ascii="ITC Avant Garde" w:hAnsi="ITC Avant Garde"/>
        </w:rPr>
        <w:t>de la Cláusula Segunda, relativa a las Solicitudes de Servicios,</w:t>
      </w:r>
      <w:r w:rsidR="00783EEA" w:rsidRPr="00E16359">
        <w:rPr>
          <w:rFonts w:ascii="ITC Avant Garde" w:hAnsi="ITC Avant Garde"/>
        </w:rPr>
        <w:t xml:space="preserve"> a efecto de</w:t>
      </w:r>
      <w:r w:rsidR="00F135C3" w:rsidRPr="00E16359">
        <w:rPr>
          <w:rFonts w:ascii="ITC Avant Garde" w:eastAsia="Times New Roman" w:hAnsi="ITC Avant Garde" w:cs="Times New Roman"/>
          <w:bCs/>
          <w:color w:val="000000"/>
          <w:lang w:eastAsia="es-MX"/>
        </w:rPr>
        <w:t xml:space="preserve"> quedar como sigue:</w:t>
      </w:r>
    </w:p>
    <w:p w:rsidR="00F135C3" w:rsidRPr="00E16359" w:rsidRDefault="00F135C3" w:rsidP="001D3335">
      <w:pPr>
        <w:tabs>
          <w:tab w:val="left" w:pos="2520"/>
        </w:tabs>
        <w:ind w:left="567" w:right="900"/>
        <w:jc w:val="both"/>
        <w:rPr>
          <w:rFonts w:ascii="ITC Avant Garde" w:eastAsia="Times New Roman" w:hAnsi="ITC Avant Garde" w:cs="Times New Roman"/>
          <w:i/>
          <w:color w:val="000000"/>
          <w:sz w:val="18"/>
          <w:szCs w:val="18"/>
          <w:lang w:eastAsia="es-MX"/>
        </w:rPr>
      </w:pPr>
    </w:p>
    <w:p w:rsidR="00295507" w:rsidRPr="00E16359" w:rsidRDefault="00B91B20" w:rsidP="001D3335">
      <w:pPr>
        <w:tabs>
          <w:tab w:val="left" w:pos="2520"/>
        </w:tabs>
        <w:ind w:left="567" w:right="900"/>
        <w:jc w:val="both"/>
        <w:rPr>
          <w:rFonts w:ascii="ITC Avant Garde" w:eastAsia="Times New Roman" w:hAnsi="ITC Avant Garde" w:cs="Times New Roman"/>
          <w:i/>
          <w:color w:val="000000"/>
          <w:sz w:val="18"/>
          <w:szCs w:val="18"/>
          <w:lang w:eastAsia="es-MX"/>
        </w:rPr>
      </w:pPr>
      <w:r w:rsidRPr="00E16359">
        <w:rPr>
          <w:rFonts w:ascii="ITC Avant Garde" w:eastAsia="Times New Roman" w:hAnsi="ITC Avant Garde" w:cs="Times New Roman"/>
          <w:i/>
          <w:color w:val="000000"/>
          <w:sz w:val="18"/>
          <w:szCs w:val="18"/>
          <w:lang w:eastAsia="es-MX"/>
        </w:rPr>
        <w:t>“</w:t>
      </w:r>
      <w:r w:rsidR="00F135C3" w:rsidRPr="00E16359">
        <w:rPr>
          <w:rFonts w:ascii="ITC Avant Garde" w:eastAsia="Times New Roman" w:hAnsi="ITC Avant Garde" w:cs="Times New Roman"/>
          <w:i/>
          <w:color w:val="000000"/>
          <w:sz w:val="18"/>
          <w:szCs w:val="18"/>
          <w:lang w:eastAsia="es-MX"/>
        </w:rPr>
        <w:t>(…) Cuando una Solicitud de Servicio de Interconexión que no pueda ser atendida en un Punto de Interconexión solicitado por [ __________ ] por falta de capacidad, será responsabilidad de Telmex responder  a [ __________ ] en un plazo no mayor a 5 días hábiles contados a partir de la fecha de recepción de la solicitud respectiva,  comprometiéndose a habilitar capacidad suficiente para realizar  los Servicios de Interconexión, dentro del mismo punto de interconexión solicitado en un plazo no mayor a 20 (veinte) días hábiles contados a partir de la notificación que Telmex /Telnor realice a ________________,  en los casos donde la infraestructura no permita el crecimiento para establecer una nueva Interconexión con _________________, Telmex deberá  ofrecer una alternativa de Interconexión viable, es decir que la infraestructura se encuentre lista y en operación y que cumpla con las obligaciones previstas en el presente Convenio sin que esto resulte en un costo adicional o diferenciado para su establecimiento, ya sea en la instalación de enlaces o en la prestación de los Servicios de Interconexión, es decir, no implicará ningún tipo de proyecto especial, acondicionamiento o cargo adicional a (_________) al momento de acceder por sus medios propios o arrendados al punto de interconexión alternativo, que siempre deberá estar ubicado dentro de la misma localidad solicitada,  lo anterior, en el entendido de que:</w:t>
      </w:r>
    </w:p>
    <w:p w:rsidR="00295507" w:rsidRPr="00E16359" w:rsidRDefault="00F135C3" w:rsidP="001D3335">
      <w:pPr>
        <w:tabs>
          <w:tab w:val="left" w:pos="2520"/>
        </w:tabs>
        <w:ind w:left="567" w:right="900"/>
        <w:jc w:val="both"/>
        <w:rPr>
          <w:rFonts w:ascii="ITC Avant Garde" w:eastAsia="Times New Roman" w:hAnsi="ITC Avant Garde" w:cs="Times New Roman"/>
          <w:i/>
          <w:color w:val="000000"/>
          <w:sz w:val="18"/>
          <w:szCs w:val="18"/>
          <w:lang w:eastAsia="es-MX"/>
        </w:rPr>
      </w:pPr>
      <w:r w:rsidRPr="00E16359">
        <w:rPr>
          <w:rFonts w:ascii="ITC Avant Garde" w:eastAsia="Times New Roman" w:hAnsi="ITC Avant Garde" w:cs="Times New Roman"/>
          <w:i/>
          <w:color w:val="000000"/>
          <w:sz w:val="18"/>
          <w:szCs w:val="18"/>
          <w:lang w:eastAsia="es-MX"/>
        </w:rPr>
        <w:t xml:space="preserve">i) Si [ __________ ] solicita la interconexión (...) de Telmex a dicha localidad. </w:t>
      </w:r>
      <w:r w:rsidRPr="00E16359">
        <w:rPr>
          <w:rFonts w:ascii="ITC Avant Garde" w:eastAsia="Times New Roman" w:hAnsi="ITC Avant Garde" w:cs="Times New Roman"/>
          <w:i/>
          <w:color w:val="000000"/>
          <w:sz w:val="18"/>
          <w:szCs w:val="18"/>
          <w:lang w:eastAsia="es-MX"/>
        </w:rPr>
        <w:br/>
      </w:r>
      <w:r w:rsidRPr="00E16359">
        <w:rPr>
          <w:rFonts w:ascii="ITC Avant Garde" w:eastAsia="Times New Roman" w:hAnsi="ITC Avant Garde" w:cs="Times New Roman"/>
          <w:i/>
          <w:color w:val="000000"/>
          <w:sz w:val="18"/>
          <w:szCs w:val="18"/>
          <w:lang w:eastAsia="es-MX"/>
        </w:rPr>
        <w:br/>
        <w:t xml:space="preserve">ii) El plazo de 20 días hábiles (...) en operación la infraestructura para la interconexión. </w:t>
      </w:r>
    </w:p>
    <w:p w:rsidR="00F135C3" w:rsidRPr="00E16359" w:rsidRDefault="00F135C3" w:rsidP="001D3335">
      <w:pPr>
        <w:tabs>
          <w:tab w:val="left" w:pos="2520"/>
        </w:tabs>
        <w:ind w:left="567" w:right="900"/>
        <w:jc w:val="both"/>
        <w:rPr>
          <w:rFonts w:ascii="ITC Avant Garde" w:eastAsia="Times New Roman" w:hAnsi="ITC Avant Garde" w:cs="Times New Roman"/>
          <w:i/>
          <w:color w:val="000000"/>
          <w:sz w:val="18"/>
          <w:szCs w:val="18"/>
          <w:lang w:eastAsia="es-MX"/>
        </w:rPr>
      </w:pPr>
      <w:r w:rsidRPr="00E16359">
        <w:rPr>
          <w:rFonts w:ascii="ITC Avant Garde" w:eastAsia="Times New Roman" w:hAnsi="ITC Avant Garde" w:cs="Times New Roman"/>
          <w:i/>
          <w:color w:val="000000"/>
          <w:sz w:val="18"/>
          <w:szCs w:val="18"/>
          <w:lang w:eastAsia="es-MX"/>
        </w:rPr>
        <w:t>iii) En caso de que [ __________ ] no esté listo para recibir los servicios de interconexión en los 20 días hábiles referidos en el numeral anterior, (...) Convenio</w:t>
      </w:r>
      <w:r w:rsidR="00690D52" w:rsidRPr="00E16359">
        <w:rPr>
          <w:rFonts w:ascii="ITC Avant Garde" w:eastAsia="Times New Roman" w:hAnsi="ITC Avant Garde" w:cs="Times New Roman"/>
          <w:i/>
          <w:color w:val="000000"/>
          <w:sz w:val="18"/>
          <w:szCs w:val="18"/>
          <w:lang w:eastAsia="es-MX"/>
        </w:rPr>
        <w:t>.</w:t>
      </w:r>
      <w:r w:rsidR="00B91B20" w:rsidRPr="00E16359">
        <w:rPr>
          <w:rFonts w:ascii="ITC Avant Garde" w:eastAsia="Times New Roman" w:hAnsi="ITC Avant Garde" w:cs="Times New Roman"/>
          <w:i/>
          <w:color w:val="000000"/>
          <w:sz w:val="18"/>
          <w:szCs w:val="18"/>
          <w:lang w:eastAsia="es-MX"/>
        </w:rPr>
        <w:t>”</w:t>
      </w:r>
    </w:p>
    <w:p w:rsidR="004747F0" w:rsidRPr="00E16359" w:rsidRDefault="004747F0" w:rsidP="001D3335">
      <w:pPr>
        <w:tabs>
          <w:tab w:val="left" w:pos="2520"/>
        </w:tabs>
        <w:ind w:left="567" w:right="900"/>
        <w:jc w:val="both"/>
        <w:rPr>
          <w:rFonts w:ascii="ITC Avant Garde" w:eastAsia="Times New Roman" w:hAnsi="ITC Avant Garde" w:cs="Times New Roman"/>
          <w:i/>
          <w:color w:val="000000"/>
          <w:sz w:val="18"/>
          <w:szCs w:val="18"/>
          <w:lang w:eastAsia="es-MX"/>
        </w:rPr>
      </w:pPr>
    </w:p>
    <w:p w:rsidR="004747F0" w:rsidRPr="00E16359" w:rsidRDefault="00467C4C" w:rsidP="001D3335">
      <w:pPr>
        <w:tabs>
          <w:tab w:val="left" w:pos="2520"/>
        </w:tabs>
        <w:ind w:right="900"/>
        <w:jc w:val="both"/>
        <w:rPr>
          <w:rFonts w:ascii="ITC Avant Garde" w:eastAsia="Times New Roman" w:hAnsi="ITC Avant Garde" w:cs="Times New Roman"/>
          <w:color w:val="000000"/>
          <w:lang w:eastAsia="es-MX"/>
        </w:rPr>
      </w:pPr>
      <w:r w:rsidRPr="00E16359">
        <w:rPr>
          <w:rFonts w:ascii="ITC Avant Garde" w:eastAsia="Times New Roman" w:hAnsi="ITC Avant Garde" w:cs="Times New Roman"/>
          <w:color w:val="000000"/>
          <w:lang w:eastAsia="es-MX"/>
        </w:rPr>
        <w:t>Manif</w:t>
      </w:r>
      <w:r w:rsidR="004747F0" w:rsidRPr="00E16359">
        <w:rPr>
          <w:rFonts w:ascii="ITC Avant Garde" w:eastAsia="Times New Roman" w:hAnsi="ITC Avant Garde" w:cs="Times New Roman"/>
          <w:color w:val="000000"/>
          <w:lang w:eastAsia="es-MX"/>
        </w:rPr>
        <w:t>esta</w:t>
      </w:r>
      <w:r w:rsidRPr="00E16359">
        <w:rPr>
          <w:rFonts w:ascii="ITC Avant Garde" w:eastAsia="Times New Roman" w:hAnsi="ITC Avant Garde" w:cs="Times New Roman"/>
          <w:color w:val="000000"/>
          <w:lang w:eastAsia="es-MX"/>
        </w:rPr>
        <w:t>ro</w:t>
      </w:r>
      <w:r w:rsidR="004747F0" w:rsidRPr="00E16359">
        <w:rPr>
          <w:rFonts w:ascii="ITC Avant Garde" w:eastAsia="Times New Roman" w:hAnsi="ITC Avant Garde" w:cs="Times New Roman"/>
          <w:color w:val="000000"/>
          <w:lang w:eastAsia="es-MX"/>
        </w:rPr>
        <w:t>n</w:t>
      </w:r>
      <w:r w:rsidR="00FE7C59" w:rsidRPr="00E16359">
        <w:rPr>
          <w:rFonts w:ascii="ITC Avant Garde" w:eastAsia="Times New Roman" w:hAnsi="ITC Avant Garde" w:cs="Times New Roman"/>
          <w:color w:val="000000"/>
          <w:lang w:eastAsia="es-MX"/>
        </w:rPr>
        <w:t xml:space="preserve"> que cuando se realice una solicitud del Servicio de Interconexión dentro de los puntos ofertados por el AEP, señalados en el Subanexo A-1, deberá ser respondida en un plazo no mayor a 5 días hábiles; y en los supuestos donde el AEP argumente que ésta no puede ser atendida por falta de capacidad, se deberá comprometer a habilitar capacidad dentro del mismo punto de interconexión solicitado en un plazo no mayor a 20 (veinte)días hábiles.</w:t>
      </w:r>
    </w:p>
    <w:p w:rsidR="00F135C3" w:rsidRPr="00E16359" w:rsidRDefault="00F135C3" w:rsidP="001D3335">
      <w:pPr>
        <w:spacing w:after="0" w:line="276" w:lineRule="auto"/>
        <w:ind w:left="-5"/>
        <w:jc w:val="both"/>
        <w:rPr>
          <w:rFonts w:ascii="ITC Avant Garde" w:hAnsi="ITC Avant Garde"/>
        </w:rPr>
      </w:pPr>
    </w:p>
    <w:p w:rsidR="00690D52" w:rsidRPr="00E16359" w:rsidRDefault="00690D52" w:rsidP="001D3335">
      <w:pPr>
        <w:spacing w:after="0" w:line="276" w:lineRule="auto"/>
        <w:ind w:left="-5"/>
        <w:jc w:val="both"/>
        <w:rPr>
          <w:rFonts w:ascii="ITC Avant Garde" w:hAnsi="ITC Avant Garde"/>
          <w:b/>
        </w:rPr>
      </w:pPr>
      <w:r w:rsidRPr="00E16359">
        <w:rPr>
          <w:rFonts w:ascii="ITC Avant Garde" w:hAnsi="ITC Avant Garde"/>
          <w:b/>
        </w:rPr>
        <w:t>MEGACABLE</w:t>
      </w:r>
    </w:p>
    <w:p w:rsidR="00B640BA" w:rsidRPr="00E16359" w:rsidRDefault="00B640BA" w:rsidP="001D3335">
      <w:pPr>
        <w:spacing w:after="0" w:line="276" w:lineRule="auto"/>
        <w:ind w:left="-5"/>
        <w:jc w:val="both"/>
        <w:rPr>
          <w:rFonts w:ascii="ITC Avant Garde" w:hAnsi="ITC Avant Garde"/>
          <w:b/>
        </w:rPr>
      </w:pPr>
    </w:p>
    <w:p w:rsidR="00690D52" w:rsidRPr="00E16359" w:rsidRDefault="002950ED" w:rsidP="001D3335">
      <w:pPr>
        <w:spacing w:after="0" w:line="276" w:lineRule="auto"/>
        <w:ind w:left="-5"/>
        <w:jc w:val="both"/>
        <w:rPr>
          <w:rFonts w:ascii="ITC Avant Garde" w:hAnsi="ITC Avant Garde"/>
        </w:rPr>
      </w:pPr>
      <w:r w:rsidRPr="00E16359">
        <w:rPr>
          <w:rFonts w:ascii="ITC Avant Garde" w:hAnsi="ITC Avant Garde"/>
        </w:rPr>
        <w:t xml:space="preserve">Propone </w:t>
      </w:r>
      <w:r w:rsidR="00690D52" w:rsidRPr="00E16359">
        <w:rPr>
          <w:rFonts w:ascii="ITC Avant Garde" w:hAnsi="ITC Avant Garde"/>
        </w:rPr>
        <w:t xml:space="preserve">la siguiente redacción: </w:t>
      </w:r>
    </w:p>
    <w:p w:rsidR="00690D52" w:rsidRPr="00E16359" w:rsidRDefault="00690D52" w:rsidP="001D3335">
      <w:pPr>
        <w:spacing w:after="0" w:line="276" w:lineRule="auto"/>
        <w:ind w:left="-5"/>
        <w:jc w:val="both"/>
        <w:rPr>
          <w:rFonts w:ascii="ITC Avant Garde" w:hAnsi="ITC Avant Garde"/>
        </w:rPr>
      </w:pPr>
    </w:p>
    <w:p w:rsidR="00690D52" w:rsidRPr="00E16359" w:rsidRDefault="00690D52" w:rsidP="001D3335">
      <w:pPr>
        <w:spacing w:after="0" w:line="276" w:lineRule="auto"/>
        <w:ind w:left="567" w:right="616"/>
        <w:jc w:val="both"/>
        <w:rPr>
          <w:rFonts w:ascii="ITC Avant Garde" w:hAnsi="ITC Avant Garde"/>
          <w:i/>
          <w:sz w:val="18"/>
          <w:szCs w:val="18"/>
        </w:rPr>
      </w:pPr>
      <w:r w:rsidRPr="00E16359">
        <w:rPr>
          <w:rFonts w:ascii="ITC Avant Garde" w:hAnsi="ITC Avant Garde"/>
          <w:i/>
          <w:sz w:val="18"/>
          <w:szCs w:val="18"/>
        </w:rPr>
        <w:t>“(…) Cuando una Solicitud de Servicio de Interconexión que no pueda ser atendida en un Punto de Interconexión solicitado por</w:t>
      </w:r>
      <w:r w:rsidR="00655C00" w:rsidRPr="00E16359">
        <w:rPr>
          <w:rFonts w:ascii="ITC Avant Garde" w:hAnsi="ITC Avant Garde"/>
          <w:i/>
          <w:sz w:val="18"/>
          <w:szCs w:val="18"/>
        </w:rPr>
        <w:t xml:space="preserve"> [ _______</w:t>
      </w:r>
      <w:r w:rsidRPr="00E16359">
        <w:rPr>
          <w:rFonts w:ascii="ITC Avant Garde" w:hAnsi="ITC Avant Garde"/>
          <w:i/>
          <w:sz w:val="18"/>
          <w:szCs w:val="18"/>
        </w:rPr>
        <w:t>] por falta de capacidad, será responsabilidad de Telmex responder  a [ __________ ] en un plazo no mayor a 5 días hábiles contados a partir de la fecha de recepción de la solicitud respectiva,  comprometiéndose a habilitar capacidad suficiente para realizar  los Servicios de Interconexión, dentro del mismo punto de interconexión solicitado en un plazo no mayor a 20 (veinte) días hábiles contando (...)</w:t>
      </w:r>
      <w:r w:rsidR="00872264" w:rsidRPr="00E16359">
        <w:rPr>
          <w:rFonts w:ascii="ITC Avant Garde" w:hAnsi="ITC Avant Garde"/>
          <w:i/>
          <w:sz w:val="18"/>
          <w:szCs w:val="18"/>
        </w:rPr>
        <w:t>”</w:t>
      </w:r>
      <w:r w:rsidRPr="00E16359">
        <w:rPr>
          <w:rFonts w:ascii="ITC Avant Garde" w:hAnsi="ITC Avant Garde"/>
          <w:i/>
          <w:sz w:val="18"/>
          <w:szCs w:val="18"/>
        </w:rPr>
        <w:t xml:space="preserve"> </w:t>
      </w:r>
    </w:p>
    <w:p w:rsidR="007942BD" w:rsidRPr="00E16359" w:rsidRDefault="007942BD" w:rsidP="001D3335">
      <w:pPr>
        <w:spacing w:after="0" w:line="276" w:lineRule="auto"/>
        <w:ind w:left="-5"/>
        <w:jc w:val="both"/>
        <w:rPr>
          <w:rFonts w:ascii="ITC Avant Garde" w:hAnsi="ITC Avant Garde"/>
          <w:b/>
        </w:rPr>
      </w:pPr>
    </w:p>
    <w:p w:rsidR="00690D52" w:rsidRPr="00E16359" w:rsidRDefault="007942BD" w:rsidP="001D3335">
      <w:pPr>
        <w:spacing w:after="0" w:line="276" w:lineRule="auto"/>
        <w:ind w:left="-5"/>
        <w:jc w:val="both"/>
        <w:rPr>
          <w:rFonts w:ascii="ITC Avant Garde" w:hAnsi="ITC Avant Garde"/>
          <w:b/>
        </w:rPr>
      </w:pPr>
      <w:r w:rsidRPr="00E16359">
        <w:rPr>
          <w:rFonts w:ascii="ITC Avant Garde" w:hAnsi="ITC Avant Garde"/>
          <w:b/>
        </w:rPr>
        <w:t>GRUPO TELEVISA</w:t>
      </w:r>
    </w:p>
    <w:p w:rsidR="00B640BA" w:rsidRPr="00E16359" w:rsidRDefault="00B640BA" w:rsidP="001D3335">
      <w:pPr>
        <w:spacing w:after="0" w:line="276" w:lineRule="auto"/>
        <w:ind w:left="-5"/>
        <w:jc w:val="both"/>
        <w:rPr>
          <w:rFonts w:ascii="ITC Avant Garde" w:hAnsi="ITC Avant Garde"/>
          <w:b/>
        </w:rPr>
      </w:pPr>
    </w:p>
    <w:p w:rsidR="00097235" w:rsidRPr="00E16359" w:rsidRDefault="008B3847" w:rsidP="001D3335">
      <w:pPr>
        <w:spacing w:after="0" w:line="276" w:lineRule="auto"/>
        <w:ind w:left="-5"/>
        <w:jc w:val="both"/>
        <w:rPr>
          <w:rFonts w:ascii="ITC Avant Garde" w:hAnsi="ITC Avant Garde"/>
        </w:rPr>
      </w:pPr>
      <w:r w:rsidRPr="00E16359">
        <w:rPr>
          <w:rFonts w:ascii="ITC Avant Garde" w:hAnsi="ITC Avant Garde"/>
        </w:rPr>
        <w:t>P</w:t>
      </w:r>
      <w:r w:rsidR="00097235" w:rsidRPr="00E16359">
        <w:rPr>
          <w:rFonts w:ascii="ITC Avant Garde" w:hAnsi="ITC Avant Garde"/>
        </w:rPr>
        <w:t>rop</w:t>
      </w:r>
      <w:r w:rsidR="00467C4C" w:rsidRPr="00E16359">
        <w:rPr>
          <w:rFonts w:ascii="ITC Avant Garde" w:hAnsi="ITC Avant Garde"/>
        </w:rPr>
        <w:t>uso</w:t>
      </w:r>
      <w:r w:rsidR="00097235" w:rsidRPr="00E16359">
        <w:rPr>
          <w:rFonts w:ascii="ITC Avant Garde" w:hAnsi="ITC Avant Garde"/>
        </w:rPr>
        <w:t xml:space="preserve"> la siguiente modificación:</w:t>
      </w:r>
    </w:p>
    <w:p w:rsidR="00097235" w:rsidRPr="00E16359" w:rsidRDefault="00097235" w:rsidP="001D3335">
      <w:pPr>
        <w:tabs>
          <w:tab w:val="left" w:pos="851"/>
        </w:tabs>
        <w:spacing w:after="0" w:line="276" w:lineRule="auto"/>
        <w:ind w:left="851" w:right="709"/>
        <w:jc w:val="both"/>
        <w:rPr>
          <w:rFonts w:ascii="ITC Avant Garde" w:hAnsi="ITC Avant Garde"/>
          <w:b/>
          <w:i/>
          <w:sz w:val="18"/>
          <w:szCs w:val="18"/>
        </w:rPr>
      </w:pPr>
    </w:p>
    <w:p w:rsidR="00295507" w:rsidRPr="00E16359" w:rsidRDefault="007942BD" w:rsidP="001D3335">
      <w:pPr>
        <w:tabs>
          <w:tab w:val="left" w:pos="851"/>
        </w:tabs>
        <w:spacing w:after="0" w:line="276" w:lineRule="auto"/>
        <w:ind w:left="851" w:right="709"/>
        <w:jc w:val="both"/>
        <w:rPr>
          <w:rFonts w:ascii="ITC Avant Garde" w:hAnsi="ITC Avant Garde"/>
          <w:i/>
          <w:sz w:val="18"/>
          <w:szCs w:val="18"/>
        </w:rPr>
      </w:pPr>
      <w:r w:rsidRPr="00E16359">
        <w:rPr>
          <w:rFonts w:ascii="ITC Avant Garde" w:hAnsi="ITC Avant Garde"/>
          <w:i/>
          <w:sz w:val="18"/>
          <w:szCs w:val="18"/>
        </w:rPr>
        <w:t>"(...) Cuando una Solicitud de Servicio de Interconexión que no pueda ser atendida en un Punto de Interconexión solicitado por [ __________ ] por falta de capacidad, será responsabilidad de Telmex ofrecer a [ __________ ] en un plazo no mayor a 5 días hábiles contados a partir de la fecha de recepción de la solicitud respectiva, una alternativa de Interconexión viable</w:t>
      </w:r>
      <w:r w:rsidR="00295507" w:rsidRPr="00E16359">
        <w:rPr>
          <w:rFonts w:ascii="ITC Avant Garde" w:hAnsi="ITC Avant Garde"/>
          <w:i/>
          <w:sz w:val="18"/>
          <w:szCs w:val="18"/>
        </w:rPr>
        <w:t xml:space="preserve"> </w:t>
      </w:r>
      <w:r w:rsidR="00B91B20" w:rsidRPr="00E16359">
        <w:rPr>
          <w:rFonts w:ascii="ITC Avant Garde" w:hAnsi="ITC Avant Garde"/>
          <w:i/>
          <w:sz w:val="18"/>
          <w:szCs w:val="18"/>
        </w:rPr>
        <w:t>[…]</w:t>
      </w:r>
    </w:p>
    <w:p w:rsidR="00295507" w:rsidRPr="00E16359" w:rsidRDefault="00295507" w:rsidP="001D3335">
      <w:pPr>
        <w:tabs>
          <w:tab w:val="left" w:pos="851"/>
        </w:tabs>
        <w:spacing w:after="0" w:line="276" w:lineRule="auto"/>
        <w:ind w:left="851" w:right="709"/>
        <w:jc w:val="both"/>
        <w:rPr>
          <w:rFonts w:ascii="ITC Avant Garde" w:hAnsi="ITC Avant Garde"/>
          <w:i/>
          <w:sz w:val="18"/>
          <w:szCs w:val="18"/>
        </w:rPr>
      </w:pPr>
    </w:p>
    <w:p w:rsidR="003659BD" w:rsidRPr="00E16359" w:rsidRDefault="007942BD" w:rsidP="001D3335">
      <w:pPr>
        <w:tabs>
          <w:tab w:val="left" w:pos="851"/>
        </w:tabs>
        <w:spacing w:after="0" w:line="276" w:lineRule="auto"/>
        <w:ind w:left="851" w:right="709"/>
        <w:jc w:val="both"/>
        <w:rPr>
          <w:rFonts w:ascii="ITC Avant Garde" w:hAnsi="ITC Avant Garde"/>
          <w:i/>
          <w:sz w:val="18"/>
          <w:szCs w:val="18"/>
        </w:rPr>
      </w:pPr>
      <w:r w:rsidRPr="00E16359">
        <w:rPr>
          <w:rFonts w:ascii="ITC Avant Garde" w:hAnsi="ITC Avant Garde"/>
          <w:i/>
          <w:sz w:val="18"/>
          <w:szCs w:val="18"/>
        </w:rPr>
        <w:t xml:space="preserve">iii) El plazo de 5 días hábiles mencionado para ofrecer la alternativa de interconexión, </w:t>
      </w:r>
      <w:r w:rsidR="00B91B20" w:rsidRPr="00E16359">
        <w:rPr>
          <w:rFonts w:ascii="ITC Avant Garde" w:hAnsi="ITC Avant Garde"/>
          <w:i/>
          <w:sz w:val="18"/>
          <w:szCs w:val="18"/>
        </w:rPr>
        <w:t>[…</w:t>
      </w:r>
      <w:r w:rsidR="00872264" w:rsidRPr="00E16359">
        <w:rPr>
          <w:rFonts w:ascii="ITC Avant Garde" w:hAnsi="ITC Avant Garde"/>
          <w:i/>
          <w:sz w:val="18"/>
          <w:szCs w:val="18"/>
        </w:rPr>
        <w:t>]</w:t>
      </w:r>
    </w:p>
    <w:p w:rsidR="003659BD" w:rsidRPr="00E16359" w:rsidRDefault="003659BD" w:rsidP="001D3335">
      <w:pPr>
        <w:tabs>
          <w:tab w:val="left" w:pos="851"/>
        </w:tabs>
        <w:spacing w:after="0" w:line="276" w:lineRule="auto"/>
        <w:ind w:left="851" w:right="709"/>
        <w:jc w:val="both"/>
        <w:rPr>
          <w:rFonts w:ascii="ITC Avant Garde" w:hAnsi="ITC Avant Garde"/>
          <w:i/>
          <w:sz w:val="18"/>
          <w:szCs w:val="18"/>
        </w:rPr>
      </w:pPr>
    </w:p>
    <w:p w:rsidR="007942BD" w:rsidRPr="00E16359" w:rsidRDefault="007942BD" w:rsidP="001D3335">
      <w:pPr>
        <w:tabs>
          <w:tab w:val="left" w:pos="851"/>
        </w:tabs>
        <w:spacing w:after="0" w:line="276" w:lineRule="auto"/>
        <w:ind w:left="851" w:right="709"/>
        <w:jc w:val="both"/>
        <w:rPr>
          <w:rFonts w:ascii="ITC Avant Garde" w:hAnsi="ITC Avant Garde"/>
          <w:i/>
          <w:sz w:val="18"/>
          <w:szCs w:val="18"/>
        </w:rPr>
      </w:pPr>
      <w:r w:rsidRPr="00E16359">
        <w:rPr>
          <w:rFonts w:ascii="ITC Avant Garde" w:hAnsi="ITC Avant Garde"/>
          <w:i/>
          <w:sz w:val="18"/>
          <w:szCs w:val="18"/>
        </w:rPr>
        <w:t>iv) En caso de que [ __________ ] no esté listo para recibir los servicios de interconexión en los 5 días hábiles referidos en el numeral anterior, las partes acordarán en conjunto una nueva fecha para la entrega de los servicios de interconexión de acuerdo al contenido aplicable del Anexo E “Calidad” del presente convenio</w:t>
      </w:r>
      <w:r w:rsidR="003659BD" w:rsidRPr="00E16359">
        <w:rPr>
          <w:rFonts w:ascii="ITC Avant Garde" w:hAnsi="ITC Avant Garde"/>
          <w:i/>
          <w:sz w:val="18"/>
          <w:szCs w:val="18"/>
        </w:rPr>
        <w:t>”</w:t>
      </w:r>
    </w:p>
    <w:p w:rsidR="00B640BA" w:rsidRPr="00E16359" w:rsidRDefault="00B640BA" w:rsidP="001D3335">
      <w:pPr>
        <w:spacing w:line="276" w:lineRule="auto"/>
        <w:jc w:val="both"/>
        <w:rPr>
          <w:rFonts w:ascii="ITC Avant Garde" w:hAnsi="ITC Avant Garde"/>
          <w:b/>
        </w:rPr>
      </w:pPr>
    </w:p>
    <w:p w:rsidR="00B640BA" w:rsidRPr="00E16359" w:rsidRDefault="00B640BA"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7942BD" w:rsidRPr="00E16359" w:rsidRDefault="008C66ED" w:rsidP="001D3335">
      <w:pPr>
        <w:spacing w:after="0" w:line="276" w:lineRule="auto"/>
        <w:ind w:left="-5"/>
        <w:jc w:val="both"/>
        <w:rPr>
          <w:rFonts w:ascii="ITC Avant Garde" w:hAnsi="ITC Avant Garde"/>
        </w:rPr>
      </w:pPr>
      <w:r w:rsidRPr="00E16359">
        <w:rPr>
          <w:rFonts w:ascii="ITC Avant Garde" w:hAnsi="ITC Avant Garde"/>
        </w:rPr>
        <w:t xml:space="preserve">Respecto de </w:t>
      </w:r>
      <w:r w:rsidR="00BF4317" w:rsidRPr="00E16359">
        <w:rPr>
          <w:rFonts w:ascii="ITC Avant Garde" w:hAnsi="ITC Avant Garde"/>
        </w:rPr>
        <w:t>la modificación sugerida por</w:t>
      </w:r>
      <w:r w:rsidRPr="00E16359">
        <w:rPr>
          <w:rFonts w:ascii="ITC Avant Garde" w:hAnsi="ITC Avant Garde"/>
        </w:rPr>
        <w:t xml:space="preserve"> los concesionarios,</w:t>
      </w:r>
      <w:r w:rsidR="00BB6C4F" w:rsidRPr="00E16359">
        <w:rPr>
          <w:rFonts w:ascii="ITC Avant Garde" w:hAnsi="ITC Avant Garde"/>
        </w:rPr>
        <w:t xml:space="preserve"> se señala </w:t>
      </w:r>
      <w:r w:rsidR="005522D4" w:rsidRPr="00E16359">
        <w:rPr>
          <w:rFonts w:ascii="ITC Avant Garde" w:hAnsi="ITC Avant Garde"/>
        </w:rPr>
        <w:t xml:space="preserve">para evitar retrasos y proporcionar plazos </w:t>
      </w:r>
      <w:r w:rsidR="001E4F17" w:rsidRPr="00E16359">
        <w:rPr>
          <w:rFonts w:ascii="ITC Avant Garde" w:hAnsi="ITC Avant Garde"/>
        </w:rPr>
        <w:t>razonables fueron establecidos aquellos que resultan</w:t>
      </w:r>
      <w:r w:rsidR="005522D4" w:rsidRPr="00E16359">
        <w:rPr>
          <w:rFonts w:ascii="ITC Avant Garde" w:hAnsi="ITC Avant Garde"/>
        </w:rPr>
        <w:t xml:space="preserve"> </w:t>
      </w:r>
      <w:r w:rsidR="007942BD" w:rsidRPr="00E16359">
        <w:rPr>
          <w:rFonts w:ascii="ITC Avant Garde" w:hAnsi="ITC Avant Garde"/>
        </w:rPr>
        <w:t>una práctica común en la industria</w:t>
      </w:r>
      <w:r w:rsidR="00D754F1" w:rsidRPr="00E16359">
        <w:rPr>
          <w:rFonts w:ascii="ITC Avant Garde" w:hAnsi="ITC Avant Garde"/>
        </w:rPr>
        <w:t xml:space="preserve">, motivo por el cual no </w:t>
      </w:r>
      <w:r w:rsidR="003747E4" w:rsidRPr="00E16359">
        <w:rPr>
          <w:rFonts w:ascii="ITC Avant Garde" w:hAnsi="ITC Avant Garde"/>
        </w:rPr>
        <w:t>resulta justificable</w:t>
      </w:r>
      <w:r w:rsidR="001E4F17" w:rsidRPr="00E16359">
        <w:rPr>
          <w:rFonts w:ascii="ITC Avant Garde" w:hAnsi="ITC Avant Garde"/>
        </w:rPr>
        <w:t xml:space="preserve"> la propuesta sugerida por dichos concesionarios</w:t>
      </w:r>
      <w:r w:rsidR="00872264" w:rsidRPr="00E16359">
        <w:rPr>
          <w:rFonts w:ascii="ITC Avant Garde" w:hAnsi="ITC Avant Garde"/>
        </w:rPr>
        <w:t>.</w:t>
      </w:r>
      <w:r w:rsidR="003747E4" w:rsidRPr="00E16359">
        <w:rPr>
          <w:rFonts w:ascii="ITC Avant Garde" w:hAnsi="ITC Avant Garde"/>
        </w:rPr>
        <w:t xml:space="preserve"> </w:t>
      </w:r>
    </w:p>
    <w:p w:rsidR="007942BD" w:rsidRPr="00E16359" w:rsidRDefault="007942BD" w:rsidP="001D3335">
      <w:pPr>
        <w:spacing w:after="0" w:line="276" w:lineRule="auto"/>
        <w:ind w:left="-5"/>
        <w:jc w:val="both"/>
        <w:rPr>
          <w:rFonts w:ascii="ITC Avant Garde" w:hAnsi="ITC Avant Garde"/>
          <w:b/>
        </w:rPr>
      </w:pPr>
    </w:p>
    <w:p w:rsidR="007942BD" w:rsidRPr="00E16359" w:rsidRDefault="00B640BA" w:rsidP="001D3335">
      <w:pPr>
        <w:spacing w:after="0" w:line="276" w:lineRule="auto"/>
        <w:ind w:left="-5"/>
        <w:jc w:val="both"/>
        <w:rPr>
          <w:rFonts w:ascii="ITC Avant Garde" w:hAnsi="ITC Avant Garde"/>
          <w:b/>
          <w:u w:val="single"/>
        </w:rPr>
      </w:pPr>
      <w:r w:rsidRPr="00E16359">
        <w:rPr>
          <w:rFonts w:ascii="ITC Avant Garde" w:hAnsi="ITC Avant Garde"/>
          <w:b/>
          <w:u w:val="single"/>
        </w:rPr>
        <w:t xml:space="preserve">Redundancia y balanceo de Tráfico </w:t>
      </w:r>
    </w:p>
    <w:p w:rsidR="007942BD" w:rsidRPr="00E16359" w:rsidRDefault="007942BD" w:rsidP="001D3335">
      <w:pPr>
        <w:spacing w:after="0" w:line="276" w:lineRule="auto"/>
        <w:ind w:left="-5"/>
        <w:jc w:val="both"/>
        <w:rPr>
          <w:rFonts w:ascii="ITC Avant Garde" w:hAnsi="ITC Avant Garde"/>
          <w:b/>
        </w:rPr>
      </w:pPr>
    </w:p>
    <w:p w:rsidR="00F26A76" w:rsidRPr="00E16359" w:rsidRDefault="00F26A76" w:rsidP="001D3335">
      <w:pPr>
        <w:spacing w:after="0" w:line="276" w:lineRule="auto"/>
        <w:ind w:left="-5"/>
        <w:jc w:val="both"/>
        <w:rPr>
          <w:rFonts w:ascii="ITC Avant Garde" w:hAnsi="ITC Avant Garde"/>
          <w:b/>
        </w:rPr>
      </w:pPr>
      <w:r w:rsidRPr="00E16359">
        <w:rPr>
          <w:rFonts w:ascii="ITC Avant Garde" w:hAnsi="ITC Avant Garde"/>
          <w:b/>
        </w:rPr>
        <w:t xml:space="preserve">ALTÁN Y CANIETI </w:t>
      </w:r>
    </w:p>
    <w:p w:rsidR="009C6428" w:rsidRPr="00E16359" w:rsidRDefault="009C6428" w:rsidP="001D3335">
      <w:pPr>
        <w:spacing w:after="0" w:line="276" w:lineRule="auto"/>
        <w:ind w:left="-5"/>
        <w:jc w:val="both"/>
        <w:rPr>
          <w:rFonts w:ascii="ITC Avant Garde" w:hAnsi="ITC Avant Garde"/>
          <w:b/>
        </w:rPr>
      </w:pPr>
    </w:p>
    <w:p w:rsidR="00F26A76" w:rsidRPr="00E16359" w:rsidRDefault="00D960E3" w:rsidP="001D3335">
      <w:pPr>
        <w:spacing w:after="0" w:line="276" w:lineRule="auto"/>
        <w:jc w:val="both"/>
        <w:rPr>
          <w:rFonts w:ascii="ITC Avant Garde" w:hAnsi="ITC Avant Garde"/>
        </w:rPr>
      </w:pPr>
      <w:r w:rsidRPr="00E16359">
        <w:rPr>
          <w:rFonts w:ascii="ITC Avant Garde" w:hAnsi="ITC Avant Garde"/>
        </w:rPr>
        <w:t>P</w:t>
      </w:r>
      <w:r w:rsidR="00F26A76" w:rsidRPr="00E16359">
        <w:rPr>
          <w:rFonts w:ascii="ITC Avant Garde" w:hAnsi="ITC Avant Garde"/>
        </w:rPr>
        <w:t>ropone</w:t>
      </w:r>
      <w:r w:rsidRPr="00E16359">
        <w:rPr>
          <w:rFonts w:ascii="ITC Avant Garde" w:hAnsi="ITC Avant Garde"/>
        </w:rPr>
        <w:t>n</w:t>
      </w:r>
      <w:r w:rsidR="00F26A76" w:rsidRPr="00E16359">
        <w:rPr>
          <w:rFonts w:ascii="ITC Avant Garde" w:hAnsi="ITC Avant Garde"/>
        </w:rPr>
        <w:t xml:space="preserve"> que se mantenga la redacción del CMI 2018 en los siguientes términos:</w:t>
      </w:r>
    </w:p>
    <w:p w:rsidR="00F26A76" w:rsidRPr="00E16359" w:rsidRDefault="00F26A76" w:rsidP="001D3335">
      <w:pPr>
        <w:spacing w:after="0" w:line="276" w:lineRule="auto"/>
        <w:ind w:left="567" w:right="616"/>
        <w:jc w:val="both"/>
        <w:rPr>
          <w:rFonts w:ascii="ITC Avant Garde" w:hAnsi="ITC Avant Garde"/>
          <w:i/>
          <w:sz w:val="18"/>
          <w:szCs w:val="18"/>
        </w:rPr>
      </w:pPr>
    </w:p>
    <w:p w:rsidR="00F26A76" w:rsidRPr="00E16359" w:rsidRDefault="00F26A76" w:rsidP="001D3335">
      <w:pPr>
        <w:spacing w:after="0" w:line="276" w:lineRule="auto"/>
        <w:ind w:left="851" w:right="616"/>
        <w:jc w:val="both"/>
        <w:rPr>
          <w:rFonts w:ascii="ITC Avant Garde" w:hAnsi="ITC Avant Garde"/>
          <w:i/>
          <w:sz w:val="18"/>
          <w:szCs w:val="18"/>
        </w:rPr>
      </w:pPr>
      <w:r w:rsidRPr="00E16359">
        <w:rPr>
          <w:rFonts w:ascii="ITC Avant Garde" w:hAnsi="ITC Avant Garde"/>
          <w:i/>
          <w:sz w:val="18"/>
          <w:szCs w:val="18"/>
        </w:rPr>
        <w:t>“En caso de habilitarse redundancia entre sitios, los enlaces por sitio deberán estar dimensionados para soportar la carga del otro sitio de modo que, en caso de falla de uno de los sitios, la ocupación de los enlaces de cada sitio no deberá rebasar el 85% (ochenta por ciento) al soportar el tráfico del otro sitio, en cuyo caso se deberá incrementar la capacidad de los enlaces de los sitios redundados para soportar la carga total en caso de falla.”</w:t>
      </w:r>
    </w:p>
    <w:p w:rsidR="00F26A76" w:rsidRPr="00E16359" w:rsidRDefault="00F26A76" w:rsidP="001D3335">
      <w:pPr>
        <w:spacing w:after="0" w:line="276" w:lineRule="auto"/>
        <w:jc w:val="both"/>
        <w:rPr>
          <w:rFonts w:ascii="ITC Avant Garde" w:hAnsi="ITC Avant Garde"/>
          <w:i/>
        </w:rPr>
      </w:pPr>
    </w:p>
    <w:p w:rsidR="0010574D" w:rsidRPr="00E16359" w:rsidRDefault="0010574D" w:rsidP="001D3335">
      <w:pPr>
        <w:spacing w:after="0" w:line="276" w:lineRule="auto"/>
        <w:jc w:val="both"/>
        <w:rPr>
          <w:rFonts w:ascii="ITC Avant Garde" w:hAnsi="ITC Avant Garde"/>
          <w:b/>
        </w:rPr>
      </w:pPr>
      <w:r w:rsidRPr="00E16359">
        <w:rPr>
          <w:rFonts w:ascii="ITC Avant Garde" w:hAnsi="ITC Avant Garde"/>
          <w:b/>
        </w:rPr>
        <w:t>AT&amp;T</w:t>
      </w:r>
    </w:p>
    <w:p w:rsidR="009C6428" w:rsidRPr="00E16359" w:rsidRDefault="009C6428" w:rsidP="001D3335">
      <w:pPr>
        <w:spacing w:after="0" w:line="276" w:lineRule="auto"/>
        <w:jc w:val="both"/>
        <w:rPr>
          <w:rFonts w:ascii="ITC Avant Garde" w:hAnsi="ITC Avant Garde"/>
          <w:b/>
        </w:rPr>
      </w:pPr>
    </w:p>
    <w:p w:rsidR="009C6428" w:rsidRPr="00E16359" w:rsidRDefault="00467C4C" w:rsidP="001D3335">
      <w:pPr>
        <w:spacing w:after="0" w:line="276" w:lineRule="auto"/>
        <w:jc w:val="both"/>
        <w:rPr>
          <w:rFonts w:ascii="ITC Avant Garde" w:hAnsi="ITC Avant Garde"/>
        </w:rPr>
      </w:pPr>
      <w:r w:rsidRPr="00E16359">
        <w:rPr>
          <w:rFonts w:ascii="ITC Avant Garde" w:hAnsi="ITC Avant Garde"/>
        </w:rPr>
        <w:t>Manifestó</w:t>
      </w:r>
      <w:r w:rsidR="0010574D" w:rsidRPr="00E16359">
        <w:rPr>
          <w:rFonts w:ascii="ITC Avant Garde" w:hAnsi="ITC Avant Garde"/>
        </w:rPr>
        <w:t xml:space="preserve"> que la redundancia tiene el propósito de que ante una falla no se pierda el tráfico. Por tanto, si falla un enlace, el otro enlace de redundancia debe operar sin saturarse a un máximo de 85%. En la práctica los enlaces redundantes que operen en forma balanceada no deben rebasar el 42</w:t>
      </w:r>
      <w:r w:rsidR="00292198" w:rsidRPr="00E16359">
        <w:rPr>
          <w:rFonts w:ascii="ITC Avant Garde" w:hAnsi="ITC Avant Garde"/>
        </w:rPr>
        <w:t xml:space="preserve">.5% de ocupación. </w:t>
      </w:r>
    </w:p>
    <w:p w:rsidR="009C6428" w:rsidRPr="00E16359" w:rsidRDefault="009C6428" w:rsidP="001D3335">
      <w:pPr>
        <w:spacing w:after="0" w:line="276" w:lineRule="auto"/>
        <w:jc w:val="both"/>
        <w:rPr>
          <w:rFonts w:ascii="ITC Avant Garde" w:hAnsi="ITC Avant Garde"/>
        </w:rPr>
      </w:pPr>
    </w:p>
    <w:p w:rsidR="0010574D" w:rsidRPr="00E16359" w:rsidRDefault="00292198" w:rsidP="001D3335">
      <w:pPr>
        <w:spacing w:after="0" w:line="276" w:lineRule="auto"/>
        <w:jc w:val="both"/>
        <w:rPr>
          <w:rFonts w:ascii="ITC Avant Garde" w:hAnsi="ITC Avant Garde"/>
        </w:rPr>
      </w:pPr>
      <w:r w:rsidRPr="00E16359">
        <w:rPr>
          <w:rFonts w:ascii="ITC Avant Garde" w:hAnsi="ITC Avant Garde"/>
        </w:rPr>
        <w:t xml:space="preserve">Por tanto, </w:t>
      </w:r>
      <w:r w:rsidR="0010574D" w:rsidRPr="00E16359">
        <w:rPr>
          <w:rFonts w:ascii="ITC Avant Garde" w:hAnsi="ITC Avant Garde"/>
        </w:rPr>
        <w:t>propone la siguiente redacción:</w:t>
      </w:r>
    </w:p>
    <w:p w:rsidR="0010574D" w:rsidRPr="00E16359" w:rsidRDefault="0010574D" w:rsidP="001D3335">
      <w:pPr>
        <w:spacing w:after="0" w:line="276" w:lineRule="auto"/>
        <w:jc w:val="both"/>
        <w:rPr>
          <w:rFonts w:ascii="ITC Avant Garde" w:hAnsi="ITC Avant Garde"/>
        </w:rPr>
      </w:pPr>
    </w:p>
    <w:p w:rsidR="0010574D" w:rsidRPr="00E16359" w:rsidRDefault="0010574D" w:rsidP="001D3335">
      <w:pPr>
        <w:spacing w:after="0" w:line="276" w:lineRule="auto"/>
        <w:ind w:left="851" w:right="709"/>
        <w:jc w:val="both"/>
        <w:rPr>
          <w:rFonts w:ascii="ITC Avant Garde" w:hAnsi="ITC Avant Garde"/>
          <w:i/>
          <w:sz w:val="18"/>
          <w:szCs w:val="18"/>
        </w:rPr>
      </w:pPr>
      <w:r w:rsidRPr="00E16359">
        <w:rPr>
          <w:rFonts w:ascii="ITC Avant Garde" w:hAnsi="ITC Avant Garde"/>
        </w:rPr>
        <w:t>“</w:t>
      </w:r>
      <w:r w:rsidRPr="00E16359">
        <w:rPr>
          <w:rFonts w:ascii="ITC Avant Garde" w:hAnsi="ITC Avant Garde"/>
          <w:i/>
          <w:sz w:val="18"/>
          <w:szCs w:val="18"/>
        </w:rPr>
        <w:t xml:space="preserve">En caso de habilitarse redundancia entre sitios, los enlaces por sitio deberán estar dimensionados para soportar la carga del otro sitio de modo que, en caso de falla de uno de sitios, la ocupación de los enlaces porcada sitio no deberá rebasar el 85% (ochenta por ciento </w:t>
      </w:r>
      <w:r w:rsidR="002D4A88" w:rsidRPr="00E16359">
        <w:rPr>
          <w:rFonts w:ascii="ITC Avant Garde" w:hAnsi="ITC Avant Garde"/>
          <w:i/>
          <w:sz w:val="18"/>
          <w:szCs w:val="18"/>
        </w:rPr>
        <w:t>-</w:t>
      </w:r>
      <w:r w:rsidRPr="00E16359">
        <w:rPr>
          <w:rFonts w:ascii="ITC Avant Garde" w:hAnsi="ITC Avant Garde"/>
          <w:i/>
          <w:sz w:val="18"/>
          <w:szCs w:val="18"/>
        </w:rPr>
        <w:t>sic</w:t>
      </w:r>
      <w:r w:rsidR="002D4A88" w:rsidRPr="00E16359">
        <w:rPr>
          <w:rFonts w:ascii="ITC Avant Garde" w:hAnsi="ITC Avant Garde"/>
          <w:i/>
          <w:sz w:val="18"/>
          <w:szCs w:val="18"/>
        </w:rPr>
        <w:t>-</w:t>
      </w:r>
      <w:r w:rsidRPr="00E16359">
        <w:rPr>
          <w:rFonts w:ascii="ITC Avant Garde" w:hAnsi="ITC Avant Garde"/>
          <w:i/>
          <w:sz w:val="18"/>
          <w:szCs w:val="18"/>
        </w:rPr>
        <w:t>] al soportar el tráfico del otro sitio, en cuyo caso se deberá incrementar la capacidad de los enlaces de los sitios redundados para soportar la carga total en caso de falla. “</w:t>
      </w:r>
    </w:p>
    <w:p w:rsidR="0010574D" w:rsidRPr="00E16359" w:rsidRDefault="0010574D" w:rsidP="001D3335">
      <w:pPr>
        <w:spacing w:after="0" w:line="276" w:lineRule="auto"/>
        <w:ind w:left="851" w:right="709"/>
        <w:jc w:val="both"/>
        <w:rPr>
          <w:rFonts w:ascii="ITC Avant Garde" w:hAnsi="ITC Avant Garde"/>
          <w:b/>
          <w:i/>
          <w:sz w:val="18"/>
          <w:szCs w:val="18"/>
        </w:rPr>
      </w:pPr>
    </w:p>
    <w:p w:rsidR="009C6428" w:rsidRPr="00E16359" w:rsidRDefault="009C6428"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4D4E30" w:rsidRPr="008157AE" w:rsidRDefault="004D4E30" w:rsidP="00E16359">
      <w:pPr>
        <w:spacing w:line="276" w:lineRule="auto"/>
        <w:jc w:val="both"/>
        <w:rPr>
          <w:rFonts w:ascii="ITC Avant Garde" w:hAnsi="ITC Avant Garde"/>
        </w:rPr>
      </w:pPr>
      <w:r w:rsidRPr="00E16359">
        <w:rPr>
          <w:rFonts w:ascii="ITC Avant Garde" w:hAnsi="ITC Avant Garde"/>
        </w:rPr>
        <w:t>Dimensionar un enlace para que soporte su propio tráfico y el perteneciente a otro enlace en caso de presentarse una falla durante la hora de mayor tráfico implica la subutilización del mismo durante la mayor parte del tiempo</w:t>
      </w:r>
      <w:r w:rsidR="00AB5B1F">
        <w:rPr>
          <w:rFonts w:ascii="ITC Avant Garde" w:hAnsi="ITC Avant Garde"/>
        </w:rPr>
        <w:t>.</w:t>
      </w:r>
      <w:r w:rsidRPr="00E16359">
        <w:rPr>
          <w:rFonts w:ascii="ITC Avant Garde" w:hAnsi="ITC Avant Garde"/>
        </w:rPr>
        <w:t xml:space="preserve"> Asimismo, al considerar la temporalidad de una falla y que el único escenario en el que un punto de interconexión no tendrá la capacidad para recibir la totalidad del tráfico del punto con falla es durante la hora de mayor tráfico (hora pico), en el cual solamente podrá recibir el 15% del tráfico</w:t>
      </w:r>
      <w:r w:rsidR="006B5506" w:rsidRPr="00E16359">
        <w:rPr>
          <w:rFonts w:ascii="ITC Avant Garde" w:hAnsi="ITC Avant Garde"/>
        </w:rPr>
        <w:t xml:space="preserve">es importante considerar que una falla puede presentarse en la hora de mayor demanda o en una hora con baja utilización de la red, es así que la capacidad adicional con la que deberán contar los enlaces de interconexión a efecto de utilizarse como enlaces redundantes, debe establecerse para lograr un equilibrio entre la capacidad sin utilizar y disponible todo el tiempo (ociosa), y la capacidad que permita atender la mayor cantidad de tráfico en el peor escenario </w:t>
      </w:r>
      <w:r w:rsidR="006B5506" w:rsidRPr="00E16359">
        <w:rPr>
          <w:rFonts w:ascii="ITC Avant Garde" w:hAnsi="ITC Avant Garde"/>
        </w:rPr>
        <w:lastRenderedPageBreak/>
        <w:t>de falla (la hora pico)</w:t>
      </w:r>
      <w:r w:rsidRPr="00E16359">
        <w:rPr>
          <w:rFonts w:ascii="ITC Avant Garde" w:hAnsi="ITC Avant Garde"/>
        </w:rPr>
        <w:t>,</w:t>
      </w:r>
      <w:r w:rsidR="00AB5B1F">
        <w:rPr>
          <w:rFonts w:ascii="ITC Avant Garde" w:hAnsi="ITC Avant Garde"/>
        </w:rPr>
        <w:t>. Es así que el</w:t>
      </w:r>
      <w:r w:rsidR="006B5506" w:rsidRPr="00E16359">
        <w:rPr>
          <w:rFonts w:ascii="ITC Avant Garde" w:hAnsi="ITC Avant Garde"/>
        </w:rPr>
        <w:t xml:space="preserve"> </w:t>
      </w:r>
      <w:r w:rsidR="006F6E99">
        <w:rPr>
          <w:rFonts w:ascii="ITC Avant Garde" w:hAnsi="ITC Avant Garde"/>
        </w:rPr>
        <w:t>parámetro para disparar el crecimiento de los servicios debe ser la ocupación del 85%</w:t>
      </w:r>
      <w:r w:rsidR="005A1F55">
        <w:rPr>
          <w:rFonts w:ascii="ITC Avant Garde" w:hAnsi="ITC Avant Garde"/>
        </w:rPr>
        <w:t xml:space="preserve"> en hora pico de la capacidad de los enlaces por sitio, toda vez que dicho umbral de capacidad permitirá que se curse la totalidad del tráfico durante la hora de mayor demanda y adicionalmente proporcionará un margen de seguridad del 15% de capacidad, con la que se podrá manejar un 15% más de tráfico.</w:t>
      </w:r>
      <w:r w:rsidR="00F04180">
        <w:rPr>
          <w:rFonts w:ascii="ITC Avant Garde" w:hAnsi="ITC Avant Garde"/>
        </w:rPr>
        <w:t xml:space="preserve"> Por </w:t>
      </w:r>
      <w:r w:rsidR="006B5506" w:rsidRPr="00E16359">
        <w:rPr>
          <w:rFonts w:ascii="ITC Avant Garde" w:hAnsi="ITC Avant Garde"/>
        </w:rPr>
        <w:t>lo anterior</w:t>
      </w:r>
      <w:r w:rsidRPr="00E16359">
        <w:rPr>
          <w:rFonts w:ascii="ITC Avant Garde" w:hAnsi="ITC Avant Garde"/>
        </w:rPr>
        <w:t xml:space="preserve"> </w:t>
      </w:r>
      <w:r w:rsidR="006B5506" w:rsidRPr="00E16359">
        <w:rPr>
          <w:rFonts w:ascii="ITC Avant Garde" w:hAnsi="ITC Avant Garde"/>
        </w:rPr>
        <w:t>no resulta procedente la propuesta de dichos concesionarios en términos señalados.</w:t>
      </w:r>
    </w:p>
    <w:p w:rsidR="004D4E30" w:rsidRPr="00E16359" w:rsidRDefault="004D4E30" w:rsidP="001D3335">
      <w:pPr>
        <w:spacing w:line="276" w:lineRule="auto"/>
        <w:jc w:val="both"/>
        <w:rPr>
          <w:rFonts w:ascii="ITC Avant Garde" w:hAnsi="ITC Avant Garde"/>
        </w:rPr>
      </w:pPr>
    </w:p>
    <w:p w:rsidR="00957004" w:rsidRPr="00E16359" w:rsidRDefault="00957004" w:rsidP="001D3335">
      <w:pPr>
        <w:spacing w:after="0" w:line="276" w:lineRule="auto"/>
        <w:jc w:val="both"/>
        <w:rPr>
          <w:rFonts w:ascii="ITC Avant Garde" w:hAnsi="ITC Avant Garde"/>
          <w:b/>
        </w:rPr>
      </w:pPr>
      <w:r w:rsidRPr="00E16359">
        <w:rPr>
          <w:rFonts w:ascii="ITC Avant Garde" w:hAnsi="ITC Avant Garde"/>
          <w:b/>
        </w:rPr>
        <w:t>UC TELECOM</w:t>
      </w:r>
      <w:r w:rsidR="00500279" w:rsidRPr="00E16359">
        <w:rPr>
          <w:rFonts w:ascii="ITC Avant Garde" w:hAnsi="ITC Avant Garde"/>
          <w:b/>
        </w:rPr>
        <w:t>.</w:t>
      </w:r>
    </w:p>
    <w:p w:rsidR="00012C9B" w:rsidRPr="00E16359" w:rsidRDefault="00012C9B" w:rsidP="001D3335">
      <w:pPr>
        <w:spacing w:after="0" w:line="276" w:lineRule="auto"/>
        <w:jc w:val="both"/>
        <w:rPr>
          <w:rFonts w:ascii="ITC Avant Garde" w:hAnsi="ITC Avant Garde"/>
          <w:b/>
        </w:rPr>
      </w:pPr>
    </w:p>
    <w:p w:rsidR="00957004" w:rsidRPr="00E16359" w:rsidRDefault="00792EFF" w:rsidP="001D3335">
      <w:pPr>
        <w:spacing w:after="0" w:line="276" w:lineRule="auto"/>
        <w:jc w:val="both"/>
        <w:rPr>
          <w:rFonts w:ascii="ITC Avant Garde" w:hAnsi="ITC Avant Garde"/>
        </w:rPr>
      </w:pPr>
      <w:r w:rsidRPr="00E16359">
        <w:rPr>
          <w:rFonts w:ascii="ITC Avant Garde" w:hAnsi="ITC Avant Garde"/>
        </w:rPr>
        <w:t>Señaló</w:t>
      </w:r>
      <w:r w:rsidR="008A4B60" w:rsidRPr="00E16359">
        <w:rPr>
          <w:rFonts w:ascii="ITC Avant Garde" w:hAnsi="ITC Avant Garde"/>
        </w:rPr>
        <w:t xml:space="preserve"> </w:t>
      </w:r>
      <w:r w:rsidR="00905BD4" w:rsidRPr="00E16359">
        <w:rPr>
          <w:rFonts w:ascii="ITC Avant Garde" w:hAnsi="ITC Avant Garde"/>
        </w:rPr>
        <w:t xml:space="preserve">que </w:t>
      </w:r>
      <w:r w:rsidR="00957004" w:rsidRPr="00E16359">
        <w:rPr>
          <w:rFonts w:ascii="ITC Avant Garde" w:hAnsi="ITC Avant Garde"/>
        </w:rPr>
        <w:t>se hace mención de la redundancia entre</w:t>
      </w:r>
      <w:r w:rsidRPr="00E16359">
        <w:rPr>
          <w:rFonts w:ascii="ITC Avant Garde" w:hAnsi="ITC Avant Garde"/>
        </w:rPr>
        <w:t xml:space="preserve"> PDIC por saturación o falla, pero</w:t>
      </w:r>
      <w:r w:rsidR="00957004" w:rsidRPr="00E16359">
        <w:rPr>
          <w:rFonts w:ascii="ITC Avant Garde" w:hAnsi="ITC Avant Garde"/>
        </w:rPr>
        <w:t xml:space="preserve"> no</w:t>
      </w:r>
      <w:r w:rsidR="008A4B60" w:rsidRPr="00E16359">
        <w:rPr>
          <w:rFonts w:ascii="ITC Avant Garde" w:hAnsi="ITC Avant Garde"/>
        </w:rPr>
        <w:t xml:space="preserve"> se especifica si es automático. A</w:t>
      </w:r>
      <w:r w:rsidR="00957004" w:rsidRPr="00E16359">
        <w:rPr>
          <w:rFonts w:ascii="ITC Avant Garde" w:hAnsi="ITC Avant Garde"/>
        </w:rPr>
        <w:t xml:space="preserve">ctualmente se hace de forma manual mediante solicitud expresa al </w:t>
      </w:r>
      <w:r w:rsidR="00500279" w:rsidRPr="00E16359">
        <w:rPr>
          <w:rFonts w:ascii="ITC Avant Garde" w:hAnsi="ITC Avant Garde"/>
        </w:rPr>
        <w:t xml:space="preserve">centro de atención de operadores </w:t>
      </w:r>
      <w:r w:rsidR="00957004" w:rsidRPr="00E16359">
        <w:rPr>
          <w:rFonts w:ascii="ITC Avant Garde" w:hAnsi="ITC Avant Garde"/>
        </w:rPr>
        <w:t>y sin un tiempo determinado para llevarlo a cabo ya que el desborde entre PDIC se hace de forma manual.</w:t>
      </w:r>
    </w:p>
    <w:p w:rsidR="00957004" w:rsidRPr="00E16359" w:rsidRDefault="00957004" w:rsidP="001D3335">
      <w:pPr>
        <w:spacing w:after="0" w:line="276" w:lineRule="auto"/>
        <w:jc w:val="both"/>
        <w:rPr>
          <w:rFonts w:ascii="ITC Avant Garde" w:hAnsi="ITC Avant Garde"/>
        </w:rPr>
      </w:pPr>
    </w:p>
    <w:p w:rsidR="0008190A" w:rsidRPr="00E16359" w:rsidRDefault="00467C4C" w:rsidP="001D3335">
      <w:pPr>
        <w:spacing w:after="0" w:line="276" w:lineRule="auto"/>
        <w:jc w:val="both"/>
        <w:rPr>
          <w:rFonts w:ascii="ITC Avant Garde" w:hAnsi="ITC Avant Garde"/>
        </w:rPr>
      </w:pPr>
      <w:r w:rsidRPr="00E16359">
        <w:rPr>
          <w:rFonts w:ascii="ITC Avant Garde" w:hAnsi="ITC Avant Garde"/>
        </w:rPr>
        <w:t>Señaló</w:t>
      </w:r>
      <w:r w:rsidR="00957004" w:rsidRPr="00E16359">
        <w:rPr>
          <w:rFonts w:ascii="ITC Avant Garde" w:hAnsi="ITC Avant Garde"/>
        </w:rPr>
        <w:t xml:space="preserve"> que se requiere agregar el apartado sobre las fallas derivadas por alto PDD ya que es algo recurrente en centrales de Telmex y de igual forma no existe un desborde automático al presentarse, adicional a que esta falla suele presentarse usualmente en todas las centrales de forma simultánea</w:t>
      </w:r>
      <w:r w:rsidR="00012C9B" w:rsidRPr="00E16359">
        <w:rPr>
          <w:rFonts w:ascii="ITC Avant Garde" w:hAnsi="ITC Avant Garde"/>
        </w:rPr>
        <w:t>.</w:t>
      </w:r>
    </w:p>
    <w:p w:rsidR="00012C9B" w:rsidRPr="00E16359" w:rsidRDefault="00012C9B" w:rsidP="001D3335">
      <w:pPr>
        <w:spacing w:line="276" w:lineRule="auto"/>
        <w:jc w:val="both"/>
        <w:rPr>
          <w:rFonts w:ascii="ITC Avant Garde" w:hAnsi="ITC Avant Garde"/>
          <w:b/>
        </w:rPr>
      </w:pPr>
    </w:p>
    <w:p w:rsidR="00B6189E" w:rsidRPr="00E16359" w:rsidRDefault="00B6189E"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761995" w:rsidRDefault="00A40781" w:rsidP="008157AE">
      <w:pPr>
        <w:spacing w:after="0" w:line="276" w:lineRule="auto"/>
        <w:jc w:val="both"/>
        <w:rPr>
          <w:rFonts w:ascii="ITC Avant Garde" w:hAnsi="ITC Avant Garde"/>
        </w:rPr>
      </w:pPr>
      <w:r w:rsidRPr="00E16359">
        <w:rPr>
          <w:rFonts w:ascii="ITC Avant Garde" w:hAnsi="ITC Avant Garde"/>
        </w:rPr>
        <w:t>En principio es importante señalar</w:t>
      </w:r>
      <w:r w:rsidR="00761995">
        <w:rPr>
          <w:rFonts w:ascii="ITC Avant Garde" w:hAnsi="ITC Avant Garde"/>
        </w:rPr>
        <w:t xml:space="preserve"> </w:t>
      </w:r>
      <w:r w:rsidRPr="00E16359">
        <w:rPr>
          <w:rFonts w:ascii="ITC Avant Garde" w:hAnsi="ITC Avant Garde"/>
        </w:rPr>
        <w:t>que l</w:t>
      </w:r>
      <w:r w:rsidR="00134DFB" w:rsidRPr="00E16359">
        <w:rPr>
          <w:rFonts w:ascii="ITC Avant Garde" w:hAnsi="ITC Avant Garde"/>
        </w:rPr>
        <w:t>os reportes de fallas</w:t>
      </w:r>
      <w:r w:rsidRPr="00E16359">
        <w:rPr>
          <w:rFonts w:ascii="ITC Avant Garde" w:hAnsi="ITC Avant Garde"/>
        </w:rPr>
        <w:t xml:space="preserve"> deben ser</w:t>
      </w:r>
      <w:r w:rsidR="00134DFB" w:rsidRPr="00E16359">
        <w:rPr>
          <w:rFonts w:ascii="ITC Avant Garde" w:hAnsi="ITC Avant Garde"/>
        </w:rPr>
        <w:t xml:space="preserve"> </w:t>
      </w:r>
      <w:r w:rsidR="00D67862" w:rsidRPr="00E16359">
        <w:rPr>
          <w:rFonts w:ascii="ITC Avant Garde" w:hAnsi="ITC Avant Garde"/>
        </w:rPr>
        <w:t>registra</w:t>
      </w:r>
      <w:r w:rsidRPr="00E16359">
        <w:rPr>
          <w:rFonts w:ascii="ITC Avant Garde" w:hAnsi="ITC Avant Garde"/>
        </w:rPr>
        <w:t>dos</w:t>
      </w:r>
      <w:r w:rsidR="00D67862" w:rsidRPr="00E16359">
        <w:rPr>
          <w:rFonts w:ascii="ITC Avant Garde" w:hAnsi="ITC Avant Garde"/>
        </w:rPr>
        <w:t xml:space="preserve"> </w:t>
      </w:r>
      <w:r w:rsidR="00134DFB" w:rsidRPr="00E16359">
        <w:rPr>
          <w:rFonts w:ascii="ITC Avant Garde" w:hAnsi="ITC Avant Garde"/>
        </w:rPr>
        <w:t>mediante el S</w:t>
      </w:r>
      <w:r w:rsidR="00416C70" w:rsidRPr="00E16359">
        <w:rPr>
          <w:rFonts w:ascii="ITC Avant Garde" w:hAnsi="ITC Avant Garde"/>
        </w:rPr>
        <w:t xml:space="preserve">istema </w:t>
      </w:r>
      <w:r w:rsidR="00134DFB" w:rsidRPr="00E16359">
        <w:rPr>
          <w:rFonts w:ascii="ITC Avant Garde" w:hAnsi="ITC Avant Garde"/>
        </w:rPr>
        <w:t>E</w:t>
      </w:r>
      <w:r w:rsidR="00416C70" w:rsidRPr="00E16359">
        <w:rPr>
          <w:rFonts w:ascii="ITC Avant Garde" w:hAnsi="ITC Avant Garde"/>
        </w:rPr>
        <w:t xml:space="preserve">lectrónico de </w:t>
      </w:r>
      <w:r w:rsidR="00134DFB" w:rsidRPr="00E16359">
        <w:rPr>
          <w:rFonts w:ascii="ITC Avant Garde" w:hAnsi="ITC Avant Garde"/>
        </w:rPr>
        <w:t>G</w:t>
      </w:r>
      <w:r w:rsidR="00416C70" w:rsidRPr="00E16359">
        <w:rPr>
          <w:rFonts w:ascii="ITC Avant Garde" w:hAnsi="ITC Avant Garde"/>
        </w:rPr>
        <w:t>estión</w:t>
      </w:r>
      <w:r w:rsidR="00D67862" w:rsidRPr="00E16359">
        <w:rPr>
          <w:rFonts w:ascii="ITC Avant Garde" w:hAnsi="ITC Avant Garde"/>
        </w:rPr>
        <w:t xml:space="preserve"> (SEG)</w:t>
      </w:r>
      <w:r w:rsidR="00761995">
        <w:rPr>
          <w:rFonts w:ascii="ITC Avant Garde" w:hAnsi="ITC Avant Garde"/>
        </w:rPr>
        <w:t xml:space="preserve"> el cual </w:t>
      </w:r>
      <w:r w:rsidR="00761995" w:rsidRPr="00761995">
        <w:rPr>
          <w:rFonts w:ascii="ITC Avant Garde" w:hAnsi="ITC Avant Garde"/>
        </w:rPr>
        <w:t xml:space="preserve"> </w:t>
      </w:r>
      <w:r w:rsidR="00761995" w:rsidRPr="00975D87">
        <w:rPr>
          <w:rFonts w:ascii="ITC Avant Garde" w:hAnsi="ITC Avant Garde"/>
        </w:rPr>
        <w:t>contiene un subsistema de atención de fallas de servicios para el registro, control y seguimiento de los reportes de fallas</w:t>
      </w:r>
      <w:r w:rsidR="00761995">
        <w:rPr>
          <w:rFonts w:ascii="ITC Avant Garde" w:hAnsi="ITC Avant Garde"/>
        </w:rPr>
        <w:t xml:space="preserve"> de servicios de interconexión en donde </w:t>
      </w:r>
      <w:r w:rsidR="00761995" w:rsidRPr="00975D87">
        <w:rPr>
          <w:rFonts w:ascii="ITC Avant Garde" w:hAnsi="ITC Avant Garde"/>
        </w:rPr>
        <w:t xml:space="preserve">Telmex </w:t>
      </w:r>
      <w:r w:rsidR="00761995">
        <w:rPr>
          <w:rFonts w:ascii="ITC Avant Garde" w:hAnsi="ITC Avant Garde"/>
        </w:rPr>
        <w:t>debe garantizar</w:t>
      </w:r>
      <w:r w:rsidR="00761995" w:rsidRPr="00975D87">
        <w:rPr>
          <w:rFonts w:ascii="ITC Avant Garde" w:hAnsi="ITC Avant Garde"/>
        </w:rPr>
        <w:t xml:space="preserve"> que todos los reportes de fallas que le sean presentados, para cada tipo de falla, sean registrados en tiempo real en el SEG y atendidos en estricto orden de arribo</w:t>
      </w:r>
      <w:r w:rsidR="00D873DF" w:rsidRPr="00E16359">
        <w:rPr>
          <w:rFonts w:ascii="ITC Avant Garde" w:hAnsi="ITC Avant Garde"/>
        </w:rPr>
        <w:t xml:space="preserve"> </w:t>
      </w:r>
    </w:p>
    <w:p w:rsidR="00761995" w:rsidRDefault="00761995" w:rsidP="008157AE">
      <w:pPr>
        <w:spacing w:after="0" w:line="276" w:lineRule="auto"/>
        <w:jc w:val="both"/>
        <w:rPr>
          <w:rFonts w:ascii="ITC Avant Garde" w:hAnsi="ITC Avant Garde"/>
        </w:rPr>
      </w:pPr>
    </w:p>
    <w:p w:rsidR="00761995" w:rsidRDefault="00761995" w:rsidP="00761995">
      <w:pPr>
        <w:spacing w:line="276" w:lineRule="auto"/>
        <w:jc w:val="both"/>
        <w:rPr>
          <w:rFonts w:ascii="ITC Avant Garde" w:hAnsi="ITC Avant Garde"/>
        </w:rPr>
      </w:pPr>
      <w:r>
        <w:rPr>
          <w:rFonts w:ascii="ITC Avant Garde" w:hAnsi="ITC Avant Garde"/>
        </w:rPr>
        <w:t>Asimismo</w:t>
      </w:r>
      <w:r w:rsidR="00332CAE">
        <w:rPr>
          <w:rFonts w:ascii="ITC Avant Garde" w:hAnsi="ITC Avant Garde"/>
        </w:rPr>
        <w:t xml:space="preserve">, </w:t>
      </w:r>
      <w:r>
        <w:rPr>
          <w:rFonts w:ascii="ITC Avant Garde" w:hAnsi="ITC Avant Garde"/>
        </w:rPr>
        <w:t xml:space="preserve"> Telmex tendrá habilitado </w:t>
      </w:r>
      <w:r w:rsidRPr="00975D87">
        <w:rPr>
          <w:rFonts w:ascii="ITC Avant Garde" w:hAnsi="ITC Avant Garde"/>
        </w:rPr>
        <w:t xml:space="preserve">un centro telefónico de atención, así como una dirección de correo electrónico, para que en el supuesto de alguna falla o caída del SEG que impida </w:t>
      </w:r>
      <w:r>
        <w:rPr>
          <w:rFonts w:ascii="ITC Avant Garde" w:hAnsi="ITC Avant Garde"/>
        </w:rPr>
        <w:t>al concesionario solicitante</w:t>
      </w:r>
      <w:r w:rsidRPr="00975D87">
        <w:rPr>
          <w:rFonts w:ascii="ITC Avant Garde" w:hAnsi="ITC Avant Garde"/>
        </w:rPr>
        <w:t xml:space="preserve"> registrar sus reportes, éste lo reportará a Telmex mediante llamada telefónica al Centro de Atención a Operadores y</w:t>
      </w:r>
      <w:r>
        <w:rPr>
          <w:rFonts w:ascii="ITC Avant Garde" w:hAnsi="ITC Avant Garde"/>
        </w:rPr>
        <w:t>/o al correo electrónico previ</w:t>
      </w:r>
      <w:r w:rsidRPr="00975D87">
        <w:rPr>
          <w:rFonts w:ascii="ITC Avant Garde" w:hAnsi="ITC Avant Garde"/>
        </w:rPr>
        <w:t>amente habilitado</w:t>
      </w:r>
      <w:r>
        <w:rPr>
          <w:rFonts w:ascii="ITC Avant Garde" w:hAnsi="ITC Avant Garde"/>
        </w:rPr>
        <w:t>,</w:t>
      </w:r>
      <w:r w:rsidRPr="00975D87">
        <w:rPr>
          <w:rFonts w:ascii="ITC Avant Garde" w:hAnsi="ITC Avant Garde"/>
        </w:rPr>
        <w:t xml:space="preserve"> dirigido al responsable de atención de primer nivel, haciendo por estas vías el reporte de la falla que no pudo registrarse en el SEG</w:t>
      </w:r>
      <w:r>
        <w:rPr>
          <w:rFonts w:ascii="ITC Avant Garde" w:hAnsi="ITC Avant Garde"/>
        </w:rPr>
        <w:t>.</w:t>
      </w:r>
    </w:p>
    <w:p w:rsidR="00B878DF" w:rsidRPr="00E16359" w:rsidRDefault="00761995" w:rsidP="00761995">
      <w:pPr>
        <w:spacing w:line="276" w:lineRule="auto"/>
        <w:jc w:val="both"/>
        <w:rPr>
          <w:rFonts w:ascii="ITC Avant Garde" w:hAnsi="ITC Avant Garde"/>
        </w:rPr>
      </w:pPr>
      <w:r>
        <w:rPr>
          <w:rFonts w:ascii="ITC Avant Garde" w:hAnsi="ITC Avant Garde"/>
        </w:rPr>
        <w:t xml:space="preserve">Por último, es importante destacar que, para el caso de las fallas reportadas, el CMi establece </w:t>
      </w:r>
      <w:r w:rsidRPr="00975D87">
        <w:rPr>
          <w:rFonts w:ascii="ITC Avant Garde" w:hAnsi="ITC Avant Garde"/>
        </w:rPr>
        <w:t>los plazos máximos de reparación</w:t>
      </w:r>
      <w:r>
        <w:rPr>
          <w:rFonts w:ascii="ITC Avant Garde" w:hAnsi="ITC Avant Garde"/>
        </w:rPr>
        <w:t>.</w:t>
      </w:r>
      <w:r w:rsidRPr="00975D87">
        <w:rPr>
          <w:rFonts w:ascii="ITC Avant Garde" w:hAnsi="ITC Avant Garde"/>
        </w:rPr>
        <w:t xml:space="preserve"> </w:t>
      </w:r>
    </w:p>
    <w:p w:rsidR="00EC770A" w:rsidRPr="00E16359" w:rsidRDefault="004A4607" w:rsidP="001D3335">
      <w:pPr>
        <w:spacing w:after="0" w:line="276" w:lineRule="auto"/>
        <w:jc w:val="both"/>
        <w:rPr>
          <w:rFonts w:ascii="ITC Avant Garde" w:hAnsi="ITC Avant Garde"/>
          <w:b/>
        </w:rPr>
      </w:pPr>
      <w:r w:rsidRPr="00E16359">
        <w:rPr>
          <w:rFonts w:ascii="ITC Avant Garde" w:hAnsi="ITC Avant Garde"/>
          <w:b/>
        </w:rPr>
        <w:lastRenderedPageBreak/>
        <w:t xml:space="preserve">ALTÁN, CANIETI Y </w:t>
      </w:r>
      <w:r w:rsidR="00EC770A" w:rsidRPr="00E16359">
        <w:rPr>
          <w:rFonts w:ascii="ITC Avant Garde" w:hAnsi="ITC Avant Garde"/>
          <w:b/>
        </w:rPr>
        <w:t>MEGACABLE</w:t>
      </w:r>
    </w:p>
    <w:p w:rsidR="008B22AD" w:rsidRPr="00E16359" w:rsidRDefault="008B22AD" w:rsidP="001D3335">
      <w:pPr>
        <w:spacing w:after="0" w:line="276" w:lineRule="auto"/>
        <w:jc w:val="both"/>
        <w:rPr>
          <w:rFonts w:ascii="ITC Avant Garde" w:hAnsi="ITC Avant Garde"/>
          <w:b/>
        </w:rPr>
      </w:pPr>
    </w:p>
    <w:p w:rsidR="005864AC" w:rsidRPr="00E16359" w:rsidRDefault="00905BD4" w:rsidP="001D3335">
      <w:pPr>
        <w:spacing w:after="0" w:line="276" w:lineRule="auto"/>
        <w:jc w:val="both"/>
        <w:rPr>
          <w:rFonts w:ascii="ITC Avant Garde" w:hAnsi="ITC Avant Garde"/>
        </w:rPr>
      </w:pPr>
      <w:r w:rsidRPr="00E16359">
        <w:rPr>
          <w:rFonts w:ascii="ITC Avant Garde" w:hAnsi="ITC Avant Garde"/>
        </w:rPr>
        <w:t>S</w:t>
      </w:r>
      <w:r w:rsidR="00EC770A" w:rsidRPr="00E16359">
        <w:rPr>
          <w:rFonts w:ascii="ITC Avant Garde" w:hAnsi="ITC Avant Garde"/>
        </w:rPr>
        <w:t>eñala</w:t>
      </w:r>
      <w:r w:rsidR="00467C4C" w:rsidRPr="00E16359">
        <w:rPr>
          <w:rFonts w:ascii="ITC Avant Garde" w:hAnsi="ITC Avant Garde"/>
        </w:rPr>
        <w:t>ro</w:t>
      </w:r>
      <w:r w:rsidR="00E12C9A" w:rsidRPr="00E16359">
        <w:rPr>
          <w:rFonts w:ascii="ITC Avant Garde" w:hAnsi="ITC Avant Garde"/>
        </w:rPr>
        <w:t>n</w:t>
      </w:r>
      <w:r w:rsidR="00EC770A" w:rsidRPr="00E16359">
        <w:rPr>
          <w:rFonts w:ascii="ITC Avant Garde" w:hAnsi="ITC Avant Garde"/>
        </w:rPr>
        <w:t xml:space="preserve"> que actualmente el concesionario solicitante debe construir su enlace por fibra óptica hacia la Central de Interconexión del AEP, el cual a su vez debe construir un enlace también por fibra hacia el punto de presencia del primero. Es decir que en una interconexión de ma</w:t>
      </w:r>
      <w:r w:rsidR="005864AC" w:rsidRPr="00E16359">
        <w:rPr>
          <w:rFonts w:ascii="ITC Avant Garde" w:hAnsi="ITC Avant Garde"/>
        </w:rPr>
        <w:t>nera intrínseca se establecerán dos</w:t>
      </w:r>
      <w:r w:rsidR="00EC770A" w:rsidRPr="00E16359">
        <w:rPr>
          <w:rFonts w:ascii="ITC Avant Garde" w:hAnsi="ITC Avant Garde"/>
        </w:rPr>
        <w:t xml:space="preserve"> enlaces por diferentes rutas de interconexión. </w:t>
      </w:r>
    </w:p>
    <w:p w:rsidR="005864AC" w:rsidRPr="00E16359" w:rsidRDefault="005864AC" w:rsidP="001D3335">
      <w:pPr>
        <w:spacing w:after="0" w:line="276" w:lineRule="auto"/>
        <w:jc w:val="both"/>
        <w:rPr>
          <w:rFonts w:ascii="ITC Avant Garde" w:hAnsi="ITC Avant Garde"/>
        </w:rPr>
      </w:pPr>
    </w:p>
    <w:p w:rsidR="00EC770A" w:rsidRPr="00E16359" w:rsidRDefault="00467C4C" w:rsidP="001D3335">
      <w:pPr>
        <w:spacing w:after="0" w:line="276" w:lineRule="auto"/>
        <w:jc w:val="both"/>
        <w:rPr>
          <w:rFonts w:ascii="ITC Avant Garde" w:hAnsi="ITC Avant Garde"/>
        </w:rPr>
      </w:pPr>
      <w:r w:rsidRPr="00E16359">
        <w:rPr>
          <w:rFonts w:ascii="ITC Avant Garde" w:hAnsi="ITC Avant Garde"/>
        </w:rPr>
        <w:t>Solicitó</w:t>
      </w:r>
      <w:r w:rsidR="00EC770A" w:rsidRPr="00E16359">
        <w:rPr>
          <w:rFonts w:ascii="ITC Avant Garde" w:hAnsi="ITC Avant Garde"/>
        </w:rPr>
        <w:t xml:space="preserve"> establecer en los CMI que esos enlaces no sean unidireccionales, sino bidireccionales, proporcionando de esta manera un nivel de redundancia natural sin incrementar costos ni adición de e</w:t>
      </w:r>
      <w:r w:rsidR="005864AC" w:rsidRPr="00E16359">
        <w:rPr>
          <w:rFonts w:ascii="ITC Avant Garde" w:hAnsi="ITC Avant Garde"/>
        </w:rPr>
        <w:t>quipos para ambas partes.</w:t>
      </w:r>
    </w:p>
    <w:p w:rsidR="005864AC" w:rsidRPr="00E16359" w:rsidRDefault="005864AC" w:rsidP="001D3335">
      <w:pPr>
        <w:spacing w:after="0" w:line="276" w:lineRule="auto"/>
        <w:jc w:val="both"/>
        <w:rPr>
          <w:rFonts w:ascii="ITC Avant Garde" w:hAnsi="ITC Avant Garde"/>
        </w:rPr>
      </w:pPr>
    </w:p>
    <w:p w:rsidR="00EC770A" w:rsidRPr="00E16359" w:rsidRDefault="00F912EF" w:rsidP="001D3335">
      <w:pPr>
        <w:spacing w:after="0" w:line="276" w:lineRule="auto"/>
        <w:jc w:val="both"/>
        <w:rPr>
          <w:rFonts w:ascii="ITC Avant Garde" w:hAnsi="ITC Avant Garde"/>
        </w:rPr>
      </w:pPr>
      <w:r w:rsidRPr="00E16359">
        <w:rPr>
          <w:rFonts w:ascii="ITC Avant Garde" w:hAnsi="ITC Avant Garde"/>
        </w:rPr>
        <w:t>P</w:t>
      </w:r>
      <w:r w:rsidR="00467C4C" w:rsidRPr="00E16359">
        <w:rPr>
          <w:rFonts w:ascii="ITC Avant Garde" w:hAnsi="ITC Avant Garde"/>
        </w:rPr>
        <w:t>ropuso</w:t>
      </w:r>
      <w:r w:rsidR="00EC770A" w:rsidRPr="00E16359">
        <w:rPr>
          <w:rFonts w:ascii="ITC Avant Garde" w:hAnsi="ITC Avant Garde"/>
        </w:rPr>
        <w:t xml:space="preserve"> la siguiente redacción:</w:t>
      </w:r>
    </w:p>
    <w:p w:rsidR="005864AC" w:rsidRPr="00E16359" w:rsidRDefault="005864AC" w:rsidP="001D3335">
      <w:pPr>
        <w:spacing w:after="0" w:line="276" w:lineRule="auto"/>
        <w:jc w:val="both"/>
        <w:rPr>
          <w:rFonts w:ascii="ITC Avant Garde" w:hAnsi="ITC Avant Garde"/>
        </w:rPr>
      </w:pPr>
    </w:p>
    <w:p w:rsidR="00EC770A" w:rsidRPr="00E16359" w:rsidRDefault="00EC770A" w:rsidP="001D3335">
      <w:pPr>
        <w:spacing w:after="0" w:line="276" w:lineRule="auto"/>
        <w:ind w:left="709" w:right="758"/>
        <w:jc w:val="both"/>
        <w:rPr>
          <w:rFonts w:ascii="ITC Avant Garde" w:hAnsi="ITC Avant Garde"/>
          <w:b/>
          <w:i/>
          <w:sz w:val="18"/>
          <w:szCs w:val="18"/>
        </w:rPr>
      </w:pPr>
      <w:r w:rsidRPr="00E16359">
        <w:rPr>
          <w:rFonts w:ascii="ITC Avant Garde" w:hAnsi="ITC Avant Garde"/>
          <w:i/>
          <w:sz w:val="18"/>
          <w:szCs w:val="18"/>
        </w:rPr>
        <w:t xml:space="preserve">“Las Partes están de acuerdo en implementar Servicios de Interconexión directa en al menos 2 (dos) PDICs por cada Parte, </w:t>
      </w:r>
      <w:r w:rsidRPr="00E16359">
        <w:rPr>
          <w:rFonts w:ascii="ITC Avant Garde" w:hAnsi="ITC Avant Garde"/>
          <w:b/>
          <w:i/>
          <w:sz w:val="18"/>
          <w:szCs w:val="18"/>
        </w:rPr>
        <w:t>con enlaces bidireccionales para efectos de garantizar redundancias en el Punto de Interconexión y en los Enlaces de Transmisión, En el caso de falla en un enlace, el segundo enlace, se utilizarán como enlace bidireccional, debiendo restablecer su medio, la parte responsable de este dentro de un plazo no mayor a 48 (cuarenta y ocho) hora</w:t>
      </w:r>
      <w:r w:rsidR="00622EF8" w:rsidRPr="00E16359">
        <w:rPr>
          <w:rFonts w:ascii="ITC Avant Garde" w:hAnsi="ITC Avant Garde"/>
          <w:b/>
          <w:i/>
          <w:sz w:val="18"/>
          <w:szCs w:val="18"/>
        </w:rPr>
        <w:t>s</w:t>
      </w:r>
      <w:r w:rsidRPr="00E16359">
        <w:rPr>
          <w:rFonts w:ascii="ITC Avant Garde" w:hAnsi="ITC Avant Garde"/>
          <w:b/>
          <w:i/>
          <w:sz w:val="18"/>
          <w:szCs w:val="18"/>
        </w:rPr>
        <w:t>.</w:t>
      </w:r>
    </w:p>
    <w:p w:rsidR="00622EF8" w:rsidRPr="00E16359" w:rsidRDefault="00622EF8" w:rsidP="001D3335">
      <w:pPr>
        <w:spacing w:after="0" w:line="276" w:lineRule="auto"/>
        <w:ind w:left="709" w:right="758"/>
        <w:jc w:val="both"/>
        <w:rPr>
          <w:rFonts w:ascii="ITC Avant Garde" w:hAnsi="ITC Avant Garde"/>
          <w:b/>
          <w:i/>
          <w:sz w:val="18"/>
          <w:szCs w:val="18"/>
        </w:rPr>
      </w:pPr>
    </w:p>
    <w:p w:rsidR="00EC770A" w:rsidRPr="00E16359" w:rsidRDefault="00EC770A" w:rsidP="001D3335">
      <w:pPr>
        <w:spacing w:after="0" w:line="276" w:lineRule="auto"/>
        <w:ind w:left="709" w:right="758"/>
        <w:jc w:val="both"/>
        <w:rPr>
          <w:rFonts w:ascii="ITC Avant Garde" w:hAnsi="ITC Avant Garde"/>
          <w:i/>
          <w:sz w:val="18"/>
          <w:szCs w:val="18"/>
        </w:rPr>
      </w:pPr>
      <w:r w:rsidRPr="00E16359">
        <w:rPr>
          <w:rFonts w:ascii="ITC Avant Garde" w:hAnsi="ITC Avant Garde"/>
          <w:i/>
          <w:sz w:val="18"/>
          <w:szCs w:val="18"/>
        </w:rPr>
        <w:t>Para efectos de redundancia local (misma ciudad) o geográfica (distinta ciudad), las partes están de acuerdo en implementar Servicios de Interconexión directa entre 2 sitios distintos de modo que entre dichos sitios siempre se habilitará un balanceo de tráfico entre TELMEX y el CONCESIONARIO. Dicho balanceo permitirá realizar el desborde sobre el sitio redundante disminuyendo la afectación a los servicios cursantes”.</w:t>
      </w:r>
    </w:p>
    <w:p w:rsidR="00622EF8" w:rsidRPr="00E16359" w:rsidRDefault="00622EF8" w:rsidP="0047796A">
      <w:pPr>
        <w:spacing w:after="0" w:line="276" w:lineRule="auto"/>
        <w:ind w:left="709" w:right="758"/>
        <w:jc w:val="right"/>
        <w:rPr>
          <w:rFonts w:ascii="ITC Avant Garde" w:hAnsi="ITC Avant Garde"/>
          <w:i/>
          <w:sz w:val="18"/>
          <w:szCs w:val="18"/>
        </w:rPr>
      </w:pPr>
    </w:p>
    <w:p w:rsidR="00622EF8" w:rsidRPr="00E16359" w:rsidRDefault="00622EF8" w:rsidP="0047796A">
      <w:pPr>
        <w:spacing w:after="0" w:line="276" w:lineRule="auto"/>
        <w:ind w:left="709" w:right="758"/>
        <w:jc w:val="right"/>
        <w:rPr>
          <w:rFonts w:ascii="ITC Avant Garde" w:hAnsi="ITC Avant Garde"/>
          <w:i/>
          <w:sz w:val="18"/>
          <w:szCs w:val="18"/>
        </w:rPr>
      </w:pPr>
      <w:r w:rsidRPr="00E16359">
        <w:rPr>
          <w:rFonts w:ascii="ITC Avant Garde" w:hAnsi="ITC Avant Garde"/>
          <w:i/>
          <w:sz w:val="18"/>
          <w:szCs w:val="18"/>
        </w:rPr>
        <w:t>(énfasis añadido)</w:t>
      </w:r>
    </w:p>
    <w:p w:rsidR="006C7820" w:rsidRPr="00E16359" w:rsidRDefault="006C7820"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A40781" w:rsidRPr="00E16359" w:rsidRDefault="00A40781" w:rsidP="00ED1CDA">
      <w:pPr>
        <w:spacing w:after="0" w:line="276" w:lineRule="auto"/>
        <w:jc w:val="both"/>
        <w:rPr>
          <w:rFonts w:ascii="ITC Avant Garde" w:hAnsi="ITC Avant Garde"/>
        </w:rPr>
      </w:pPr>
      <w:r w:rsidRPr="00E16359">
        <w:rPr>
          <w:rFonts w:ascii="ITC Avant Garde" w:hAnsi="ITC Avant Garde"/>
        </w:rPr>
        <w:t>Los enlaces bidireccionales pueden ser usados en caso de falla, pero actualmente y conforme a lo establecido en el CMI y las prácticas comunes en la industria, así como la seguridad en el transporte del tráfico</w:t>
      </w:r>
      <w:r w:rsidR="00EA280E" w:rsidRPr="00E16359">
        <w:rPr>
          <w:rFonts w:ascii="ITC Avant Garde" w:hAnsi="ITC Avant Garde"/>
        </w:rPr>
        <w:t xml:space="preserve"> al tratarse de redundancia</w:t>
      </w:r>
      <w:r w:rsidRPr="00E16359">
        <w:rPr>
          <w:rFonts w:ascii="ITC Avant Garde" w:hAnsi="ITC Avant Garde"/>
        </w:rPr>
        <w:t>, se mantienen las modalidades de implementación de enlaces de interconexión vigentes.</w:t>
      </w:r>
      <w:r w:rsidRPr="00E16359" w:rsidDel="00A40781">
        <w:rPr>
          <w:rFonts w:ascii="ITC Avant Garde" w:hAnsi="ITC Avant Garde"/>
        </w:rPr>
        <w:t xml:space="preserve"> </w:t>
      </w:r>
    </w:p>
    <w:p w:rsidR="00A40781" w:rsidRPr="00E16359" w:rsidRDefault="00A40781" w:rsidP="00ED1CDA">
      <w:pPr>
        <w:spacing w:after="0" w:line="276" w:lineRule="auto"/>
        <w:jc w:val="both"/>
        <w:rPr>
          <w:rFonts w:ascii="ITC Avant Garde" w:hAnsi="ITC Avant Garde"/>
        </w:rPr>
      </w:pPr>
    </w:p>
    <w:p w:rsidR="00EE038E" w:rsidRPr="00E16359" w:rsidRDefault="00054BE2" w:rsidP="001D3335">
      <w:pPr>
        <w:autoSpaceDE w:val="0"/>
        <w:autoSpaceDN w:val="0"/>
        <w:adjustRightInd w:val="0"/>
        <w:jc w:val="both"/>
        <w:rPr>
          <w:rFonts w:ascii="ITC Avant Garde" w:hAnsi="ITC Avant Garde"/>
          <w:u w:val="single"/>
        </w:rPr>
      </w:pPr>
      <w:r w:rsidRPr="00E16359">
        <w:rPr>
          <w:rFonts w:ascii="ITC Avant Garde" w:hAnsi="ITC Avant Garde"/>
          <w:b/>
          <w:u w:val="single"/>
        </w:rPr>
        <w:t>Cláusula Cuarta</w:t>
      </w:r>
      <w:r w:rsidRPr="00E16359">
        <w:rPr>
          <w:rFonts w:ascii="ITC Avant Garde" w:hAnsi="ITC Avant Garde"/>
          <w:u w:val="single"/>
        </w:rPr>
        <w:t xml:space="preserve">. </w:t>
      </w:r>
      <w:r w:rsidR="00872264" w:rsidRPr="00E16359">
        <w:rPr>
          <w:rFonts w:ascii="ITC Avant Garde" w:hAnsi="ITC Avant Garde"/>
          <w:b/>
          <w:u w:val="single"/>
        </w:rPr>
        <w:t>Contraprestaci</w:t>
      </w:r>
      <w:r w:rsidRPr="00E16359">
        <w:rPr>
          <w:rFonts w:ascii="ITC Avant Garde" w:hAnsi="ITC Avant Garde"/>
          <w:b/>
          <w:u w:val="single"/>
        </w:rPr>
        <w:t>ones</w:t>
      </w:r>
      <w:r w:rsidRPr="00E16359">
        <w:rPr>
          <w:rFonts w:ascii="ITC Avant Garde" w:hAnsi="ITC Avant Garde"/>
          <w:u w:val="single"/>
        </w:rPr>
        <w:t xml:space="preserve"> </w:t>
      </w:r>
    </w:p>
    <w:p w:rsidR="00464799" w:rsidRPr="00E16359" w:rsidRDefault="00A55DB8" w:rsidP="001D3335">
      <w:pPr>
        <w:spacing w:after="0" w:line="276" w:lineRule="auto"/>
        <w:ind w:left="709" w:hanging="709"/>
        <w:jc w:val="both"/>
        <w:rPr>
          <w:rFonts w:ascii="ITC Avant Garde" w:hAnsi="ITC Avant Garde"/>
          <w:b/>
        </w:rPr>
      </w:pPr>
      <w:r w:rsidRPr="00E16359">
        <w:rPr>
          <w:rFonts w:ascii="ITC Avant Garde" w:hAnsi="ITC Avant Garde"/>
          <w:b/>
        </w:rPr>
        <w:t>Tarifas y Formas de Pago</w:t>
      </w:r>
    </w:p>
    <w:p w:rsidR="00464799" w:rsidRPr="00E16359" w:rsidRDefault="00464799" w:rsidP="001D3335">
      <w:pPr>
        <w:spacing w:after="0" w:line="276" w:lineRule="auto"/>
        <w:jc w:val="both"/>
        <w:rPr>
          <w:rFonts w:ascii="ITC Avant Garde" w:hAnsi="ITC Avant Garde"/>
          <w:b/>
        </w:rPr>
      </w:pPr>
    </w:p>
    <w:p w:rsidR="00464799" w:rsidRPr="00E16359" w:rsidRDefault="00786C13" w:rsidP="001D3335">
      <w:pPr>
        <w:spacing w:after="0" w:line="276" w:lineRule="auto"/>
        <w:jc w:val="both"/>
        <w:rPr>
          <w:rFonts w:ascii="ITC Avant Garde" w:hAnsi="ITC Avant Garde"/>
          <w:b/>
        </w:rPr>
      </w:pPr>
      <w:r w:rsidRPr="00E16359">
        <w:rPr>
          <w:rFonts w:ascii="ITC Avant Garde" w:hAnsi="ITC Avant Garde"/>
          <w:b/>
        </w:rPr>
        <w:t>ALTÁN, CANIETI Y TELEFÓNICA</w:t>
      </w:r>
    </w:p>
    <w:p w:rsidR="00786C13" w:rsidRPr="00E16359" w:rsidRDefault="00BE097B" w:rsidP="001D3335">
      <w:pPr>
        <w:spacing w:after="0" w:line="276" w:lineRule="auto"/>
        <w:jc w:val="both"/>
        <w:rPr>
          <w:rFonts w:ascii="ITC Avant Garde" w:hAnsi="ITC Avant Garde"/>
        </w:rPr>
      </w:pPr>
      <w:r w:rsidRPr="00E16359">
        <w:rPr>
          <w:rFonts w:ascii="ITC Avant Garde" w:hAnsi="ITC Avant Garde"/>
        </w:rPr>
        <w:t>Manif</w:t>
      </w:r>
      <w:r w:rsidR="000F7EBF" w:rsidRPr="00E16359">
        <w:rPr>
          <w:rFonts w:ascii="ITC Avant Garde" w:hAnsi="ITC Avant Garde"/>
        </w:rPr>
        <w:t>esta</w:t>
      </w:r>
      <w:r w:rsidRPr="00E16359">
        <w:rPr>
          <w:rFonts w:ascii="ITC Avant Garde" w:hAnsi="ITC Avant Garde"/>
        </w:rPr>
        <w:t>ro</w:t>
      </w:r>
      <w:r w:rsidR="000F7EBF" w:rsidRPr="00E16359">
        <w:rPr>
          <w:rFonts w:ascii="ITC Avant Garde" w:hAnsi="ITC Avant Garde"/>
        </w:rPr>
        <w:t xml:space="preserve">n que </w:t>
      </w:r>
      <w:r w:rsidRPr="00E16359">
        <w:rPr>
          <w:rFonts w:ascii="ITC Avant Garde" w:hAnsi="ITC Avant Garde"/>
        </w:rPr>
        <w:t xml:space="preserve">en </w:t>
      </w:r>
      <w:r w:rsidR="000F7EBF" w:rsidRPr="00E16359">
        <w:rPr>
          <w:rFonts w:ascii="ITC Avant Garde" w:hAnsi="ITC Avant Garde"/>
        </w:rPr>
        <w:t xml:space="preserve">el </w:t>
      </w:r>
      <w:r w:rsidR="00826DAA" w:rsidRPr="00E16359">
        <w:rPr>
          <w:rFonts w:ascii="ITC Avant Garde" w:hAnsi="ITC Avant Garde"/>
        </w:rPr>
        <w:t>numeral 4.1</w:t>
      </w:r>
      <w:r w:rsidR="00786C13" w:rsidRPr="00E16359">
        <w:rPr>
          <w:rFonts w:ascii="ITC Avant Garde" w:hAnsi="ITC Avant Garde"/>
        </w:rPr>
        <w:t>,</w:t>
      </w:r>
      <w:r w:rsidRPr="00E16359">
        <w:rPr>
          <w:rFonts w:ascii="ITC Avant Garde" w:hAnsi="ITC Avant Garde"/>
        </w:rPr>
        <w:t xml:space="preserve"> se</w:t>
      </w:r>
      <w:r w:rsidR="00786C13" w:rsidRPr="00E16359">
        <w:rPr>
          <w:rFonts w:ascii="ITC Avant Garde" w:hAnsi="ITC Avant Garde"/>
        </w:rPr>
        <w:t xml:space="preserve"> </w:t>
      </w:r>
      <w:r w:rsidR="00826DAA" w:rsidRPr="00E16359">
        <w:rPr>
          <w:rFonts w:ascii="ITC Avant Garde" w:hAnsi="ITC Avant Garde"/>
        </w:rPr>
        <w:t>señala</w:t>
      </w:r>
      <w:r w:rsidRPr="00E16359">
        <w:rPr>
          <w:rFonts w:ascii="ITC Avant Garde" w:hAnsi="ITC Avant Garde"/>
        </w:rPr>
        <w:t>n</w:t>
      </w:r>
      <w:r w:rsidR="00826DAA" w:rsidRPr="00E16359">
        <w:rPr>
          <w:rFonts w:ascii="ITC Avant Garde" w:hAnsi="ITC Avant Garde"/>
        </w:rPr>
        <w:t xml:space="preserve"> ciertos principios conforme a los cuales </w:t>
      </w:r>
      <w:r w:rsidR="00786C13" w:rsidRPr="00E16359">
        <w:rPr>
          <w:rFonts w:ascii="ITC Avant Garde" w:hAnsi="ITC Avant Garde"/>
        </w:rPr>
        <w:t>se deberán regir las tarifas aplicables a los Servicios de Interconexión, mismos que se detallan a continuación:</w:t>
      </w:r>
    </w:p>
    <w:p w:rsidR="00786C13" w:rsidRPr="00E16359" w:rsidRDefault="00786C13" w:rsidP="001D3335">
      <w:pPr>
        <w:spacing w:after="0" w:line="276" w:lineRule="auto"/>
        <w:jc w:val="both"/>
        <w:rPr>
          <w:rFonts w:ascii="ITC Avant Garde" w:hAnsi="ITC Avant Garde"/>
        </w:rPr>
      </w:pPr>
    </w:p>
    <w:p w:rsidR="00786C13" w:rsidRPr="00E16359" w:rsidRDefault="00786C13" w:rsidP="001D3335">
      <w:pPr>
        <w:spacing w:after="0" w:line="276" w:lineRule="auto"/>
        <w:jc w:val="both"/>
        <w:rPr>
          <w:rFonts w:ascii="ITC Avant Garde" w:hAnsi="ITC Avant Garde"/>
        </w:rPr>
      </w:pPr>
      <w:r w:rsidRPr="00E16359">
        <w:rPr>
          <w:rFonts w:ascii="ITC Avant Garde" w:hAnsi="ITC Avant Garde"/>
        </w:rPr>
        <w:t>• Sujetarse a lo establecido en el artículo 131 de la Ley</w:t>
      </w:r>
      <w:r w:rsidR="000C2A78" w:rsidRPr="00E16359">
        <w:rPr>
          <w:rFonts w:ascii="ITC Avant Garde" w:hAnsi="ITC Avant Garde"/>
        </w:rPr>
        <w:t>.</w:t>
      </w:r>
    </w:p>
    <w:p w:rsidR="00786C13" w:rsidRPr="00E16359" w:rsidRDefault="00786C13" w:rsidP="001D3335">
      <w:pPr>
        <w:spacing w:after="0" w:line="276" w:lineRule="auto"/>
        <w:jc w:val="both"/>
        <w:rPr>
          <w:rFonts w:ascii="ITC Avant Garde" w:hAnsi="ITC Avant Garde"/>
        </w:rPr>
      </w:pPr>
    </w:p>
    <w:p w:rsidR="00786C13" w:rsidRPr="00E16359" w:rsidRDefault="00786C13" w:rsidP="001D3335">
      <w:pPr>
        <w:spacing w:after="0" w:line="276" w:lineRule="auto"/>
        <w:jc w:val="both"/>
        <w:rPr>
          <w:rFonts w:ascii="ITC Avant Garde" w:hAnsi="ITC Avant Garde"/>
        </w:rPr>
      </w:pPr>
      <w:r w:rsidRPr="00E16359">
        <w:rPr>
          <w:rFonts w:ascii="ITC Avant Garde" w:hAnsi="ITC Avant Garde"/>
        </w:rPr>
        <w:t>• 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rsidR="00786C13" w:rsidRPr="00E16359" w:rsidRDefault="00786C13" w:rsidP="001D3335">
      <w:pPr>
        <w:spacing w:after="0" w:line="276" w:lineRule="auto"/>
        <w:jc w:val="both"/>
        <w:rPr>
          <w:rFonts w:ascii="ITC Avant Garde" w:hAnsi="ITC Avant Garde"/>
        </w:rPr>
      </w:pPr>
    </w:p>
    <w:p w:rsidR="00786C13" w:rsidRPr="00E16359" w:rsidRDefault="00786C13" w:rsidP="001D3335">
      <w:pPr>
        <w:spacing w:after="0" w:line="276" w:lineRule="auto"/>
        <w:jc w:val="both"/>
        <w:rPr>
          <w:rFonts w:ascii="ITC Avant Garde" w:hAnsi="ITC Avant Garde"/>
        </w:rPr>
      </w:pPr>
      <w:r w:rsidRPr="00E16359">
        <w:rPr>
          <w:rFonts w:ascii="ITC Avant Garde" w:hAnsi="ITC Avant Garde"/>
        </w:rPr>
        <w:t>• Permitir recuperar al menos el costo incremental total promedio de largo plazo o el costo incremental de largo plazo puro, según sea el servicio de interconexión de que se trate.</w:t>
      </w:r>
    </w:p>
    <w:p w:rsidR="00786C13" w:rsidRPr="00E16359" w:rsidRDefault="00786C13" w:rsidP="001D3335">
      <w:pPr>
        <w:spacing w:after="0" w:line="276" w:lineRule="auto"/>
        <w:jc w:val="both"/>
        <w:rPr>
          <w:rFonts w:ascii="ITC Avant Garde" w:hAnsi="ITC Avant Garde"/>
        </w:rPr>
      </w:pPr>
    </w:p>
    <w:p w:rsidR="00786C13" w:rsidRPr="00E16359" w:rsidRDefault="00786C13" w:rsidP="001D3335">
      <w:pPr>
        <w:spacing w:after="0" w:line="276" w:lineRule="auto"/>
        <w:jc w:val="both"/>
        <w:rPr>
          <w:rFonts w:ascii="ITC Avant Garde" w:hAnsi="ITC Avant Garde"/>
        </w:rPr>
      </w:pPr>
      <w:r w:rsidRPr="00E16359">
        <w:rPr>
          <w:rFonts w:ascii="ITC Avant Garde" w:hAnsi="ITC Avant Garde"/>
        </w:rPr>
        <w:t>• No deberán contener costos no asociados a la prestación del Servicio de Interconexión relevante.</w:t>
      </w:r>
    </w:p>
    <w:p w:rsidR="00786C13" w:rsidRPr="00E16359" w:rsidRDefault="00786C13" w:rsidP="001D3335">
      <w:pPr>
        <w:spacing w:after="0" w:line="276" w:lineRule="auto"/>
        <w:jc w:val="both"/>
        <w:rPr>
          <w:rFonts w:ascii="ITC Avant Garde" w:hAnsi="ITC Avant Garde"/>
        </w:rPr>
      </w:pPr>
    </w:p>
    <w:p w:rsidR="00786C13" w:rsidRPr="00E16359" w:rsidRDefault="00786C13" w:rsidP="001D3335">
      <w:pPr>
        <w:spacing w:after="0" w:line="276" w:lineRule="auto"/>
        <w:jc w:val="both"/>
        <w:rPr>
          <w:rFonts w:ascii="ITC Avant Garde" w:hAnsi="ITC Avant Garde"/>
        </w:rPr>
      </w:pPr>
      <w:r w:rsidRPr="00E16359">
        <w:rPr>
          <w:rFonts w:ascii="ITC Avant Garde" w:hAnsi="ITC Avant Garde"/>
        </w:rPr>
        <w:t>• No deberán incluir cualquier otro costo fijo o variable que sea recuperado a través del usuario.</w:t>
      </w:r>
    </w:p>
    <w:p w:rsidR="00786C13" w:rsidRPr="00E16359" w:rsidRDefault="00786C13" w:rsidP="001D3335">
      <w:pPr>
        <w:spacing w:after="0" w:line="276" w:lineRule="auto"/>
        <w:jc w:val="both"/>
        <w:rPr>
          <w:rFonts w:ascii="ITC Avant Garde" w:hAnsi="ITC Avant Garde"/>
        </w:rPr>
      </w:pPr>
    </w:p>
    <w:p w:rsidR="00786C13" w:rsidRPr="00E16359" w:rsidRDefault="00C76C06" w:rsidP="001D3335">
      <w:pPr>
        <w:spacing w:after="0" w:line="276" w:lineRule="auto"/>
        <w:jc w:val="both"/>
        <w:rPr>
          <w:rFonts w:ascii="ITC Avant Garde" w:hAnsi="ITC Avant Garde"/>
        </w:rPr>
      </w:pPr>
      <w:r w:rsidRPr="00E16359">
        <w:rPr>
          <w:rFonts w:ascii="ITC Avant Garde" w:hAnsi="ITC Avant Garde"/>
        </w:rPr>
        <w:t>En este sentido</w:t>
      </w:r>
      <w:r w:rsidR="003B5368" w:rsidRPr="00E16359">
        <w:rPr>
          <w:rFonts w:ascii="ITC Avant Garde" w:hAnsi="ITC Avant Garde"/>
        </w:rPr>
        <w:t xml:space="preserve">, </w:t>
      </w:r>
      <w:r w:rsidR="00786C13" w:rsidRPr="00E16359">
        <w:rPr>
          <w:rFonts w:ascii="ITC Avant Garde" w:hAnsi="ITC Avant Garde"/>
        </w:rPr>
        <w:t>solicita</w:t>
      </w:r>
      <w:r w:rsidR="00BE097B" w:rsidRPr="00E16359">
        <w:rPr>
          <w:rFonts w:ascii="ITC Avant Garde" w:hAnsi="ITC Avant Garde"/>
        </w:rPr>
        <w:t>ro</w:t>
      </w:r>
      <w:r w:rsidR="003B5368" w:rsidRPr="00E16359">
        <w:rPr>
          <w:rFonts w:ascii="ITC Avant Garde" w:hAnsi="ITC Avant Garde"/>
        </w:rPr>
        <w:t>n</w:t>
      </w:r>
      <w:r w:rsidR="00786C13" w:rsidRPr="00E16359">
        <w:rPr>
          <w:rFonts w:ascii="ITC Avant Garde" w:hAnsi="ITC Avant Garde"/>
        </w:rPr>
        <w:t xml:space="preserve"> eliminar </w:t>
      </w:r>
      <w:r w:rsidR="000F7EBF" w:rsidRPr="00E16359">
        <w:rPr>
          <w:rFonts w:ascii="ITC Avant Garde" w:hAnsi="ITC Avant Garde"/>
        </w:rPr>
        <w:t>dicho</w:t>
      </w:r>
      <w:r w:rsidR="00786C13" w:rsidRPr="00E16359">
        <w:rPr>
          <w:rFonts w:ascii="ITC Avant Garde" w:hAnsi="ITC Avant Garde"/>
        </w:rPr>
        <w:t xml:space="preserve"> numeral, </w:t>
      </w:r>
      <w:r w:rsidR="000F7EBF" w:rsidRPr="00E16359">
        <w:rPr>
          <w:rFonts w:ascii="ITC Avant Garde" w:hAnsi="ITC Avant Garde"/>
        </w:rPr>
        <w:t>argumentan</w:t>
      </w:r>
      <w:r w:rsidR="00786C13" w:rsidRPr="00E16359">
        <w:rPr>
          <w:rFonts w:ascii="ITC Avant Garde" w:hAnsi="ITC Avant Garde"/>
        </w:rPr>
        <w:t xml:space="preserve"> que las tarifas no deben estar sujetas a principios establecidos por el agente económico preponderante, en todo caso, deberán ser establecidos por el Instituto.</w:t>
      </w:r>
    </w:p>
    <w:p w:rsidR="00826DAA" w:rsidRPr="00E16359" w:rsidRDefault="00826DAA" w:rsidP="001D3335">
      <w:pPr>
        <w:spacing w:after="0" w:line="276" w:lineRule="auto"/>
        <w:jc w:val="both"/>
        <w:rPr>
          <w:rFonts w:ascii="ITC Avant Garde" w:hAnsi="ITC Avant Garde"/>
        </w:rPr>
      </w:pPr>
    </w:p>
    <w:p w:rsidR="000C2A78" w:rsidRPr="00E16359" w:rsidRDefault="000C2A78"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062F2B" w:rsidRPr="00E16359" w:rsidRDefault="006333D9" w:rsidP="001D3335">
      <w:pPr>
        <w:spacing w:after="0" w:line="276" w:lineRule="auto"/>
        <w:jc w:val="both"/>
        <w:rPr>
          <w:shd w:val="clear" w:color="auto" w:fill="FFFFFF"/>
        </w:rPr>
      </w:pPr>
      <w:r w:rsidRPr="00E16359">
        <w:rPr>
          <w:rFonts w:ascii="ITC Avant Garde" w:hAnsi="ITC Avant Garde"/>
        </w:rPr>
        <w:t>Respecto a las</w:t>
      </w:r>
      <w:r w:rsidR="00BC57A0" w:rsidRPr="00E16359">
        <w:rPr>
          <w:rFonts w:ascii="ITC Avant Garde" w:hAnsi="ITC Avant Garde"/>
        </w:rPr>
        <w:t xml:space="preserve"> observaciones realizadas por los concesionarios, es importante señalar que en</w:t>
      </w:r>
      <w:r w:rsidR="00EA280E" w:rsidRPr="00E16359">
        <w:rPr>
          <w:rFonts w:ascii="ITC Avant Garde" w:hAnsi="ITC Avant Garde"/>
        </w:rPr>
        <w:t xml:space="preserve"> efecto el contenido de dicha cláusula es acorde </w:t>
      </w:r>
      <w:r w:rsidR="00183EBD" w:rsidRPr="00E16359">
        <w:rPr>
          <w:rFonts w:ascii="ITC Avant Garde" w:hAnsi="ITC Avant Garde"/>
        </w:rPr>
        <w:t xml:space="preserve">con </w:t>
      </w:r>
      <w:r w:rsidR="00EA280E" w:rsidRPr="00E16359">
        <w:rPr>
          <w:rFonts w:ascii="ITC Avant Garde" w:hAnsi="ITC Avant Garde"/>
        </w:rPr>
        <w:t>la regulación vigente</w:t>
      </w:r>
      <w:r w:rsidR="00183EBD" w:rsidRPr="00E16359">
        <w:rPr>
          <w:rFonts w:ascii="ITC Avant Garde" w:hAnsi="ITC Avant Garde"/>
        </w:rPr>
        <w:t>,</w:t>
      </w:r>
      <w:r w:rsidR="00EA280E" w:rsidRPr="00E16359">
        <w:rPr>
          <w:rFonts w:ascii="ITC Avant Garde" w:hAnsi="ITC Avant Garde"/>
        </w:rPr>
        <w:t xml:space="preserve"> ya que efectivamente las tarifas deben sujetarse a los principios establecidos en dicho numeral, como también lo establece el</w:t>
      </w:r>
      <w:r w:rsidR="00D84B91" w:rsidRPr="00E16359">
        <w:rPr>
          <w:rFonts w:ascii="ITC Avant Garde" w:hAnsi="ITC Avant Garde"/>
        </w:rPr>
        <w:t xml:space="preserve"> </w:t>
      </w:r>
      <w:r w:rsidR="00A30F4A" w:rsidRPr="00E16359">
        <w:rPr>
          <w:rFonts w:ascii="ITC Avant Garde" w:hAnsi="ITC Avant Garde"/>
        </w:rPr>
        <w:t>Acuerdo de C</w:t>
      </w:r>
      <w:r w:rsidR="00D84B91" w:rsidRPr="00E16359">
        <w:rPr>
          <w:rFonts w:ascii="ITC Avant Garde" w:hAnsi="ITC Avant Garde"/>
        </w:rPr>
        <w:t xml:space="preserve">ondiciones </w:t>
      </w:r>
      <w:r w:rsidR="00A30F4A" w:rsidRPr="00E16359">
        <w:rPr>
          <w:rFonts w:ascii="ITC Avant Garde" w:hAnsi="ITC Avant Garde"/>
        </w:rPr>
        <w:t>T</w:t>
      </w:r>
      <w:r w:rsidR="00D84B91" w:rsidRPr="00E16359">
        <w:rPr>
          <w:rFonts w:ascii="ITC Avant Garde" w:hAnsi="ITC Avant Garde"/>
        </w:rPr>
        <w:t>écnicas Mínimas</w:t>
      </w:r>
      <w:r w:rsidR="00A30F4A" w:rsidRPr="00E16359">
        <w:rPr>
          <w:rFonts w:ascii="ITC Avant Garde" w:hAnsi="ITC Avant Garde"/>
        </w:rPr>
        <w:t xml:space="preserve"> y Tarifas</w:t>
      </w:r>
      <w:r w:rsidR="00D84B91" w:rsidRPr="00E16359">
        <w:rPr>
          <w:rFonts w:ascii="ITC Avant Garde" w:hAnsi="ITC Avant Garde"/>
        </w:rPr>
        <w:t xml:space="preserve"> </w:t>
      </w:r>
      <w:r w:rsidR="00C31375" w:rsidRPr="00E16359">
        <w:rPr>
          <w:rFonts w:ascii="ITC Avant Garde" w:hAnsi="ITC Avant Garde"/>
        </w:rPr>
        <w:t xml:space="preserve">para </w:t>
      </w:r>
      <w:r w:rsidR="00D84B91" w:rsidRPr="00E16359">
        <w:rPr>
          <w:rFonts w:ascii="ITC Avant Garde" w:hAnsi="ITC Avant Garde"/>
        </w:rPr>
        <w:t>2019</w:t>
      </w:r>
      <w:r w:rsidR="00A30F4A" w:rsidRPr="00E16359">
        <w:rPr>
          <w:rFonts w:ascii="ITC Avant Garde" w:hAnsi="ITC Avant Garde"/>
        </w:rPr>
        <w:t xml:space="preserve">, </w:t>
      </w:r>
      <w:r w:rsidR="00332CFE" w:rsidRPr="00E16359">
        <w:rPr>
          <w:rFonts w:ascii="ITC Avant Garde" w:hAnsi="ITC Avant Garde"/>
        </w:rPr>
        <w:t xml:space="preserve">publicado en el </w:t>
      </w:r>
      <w:r w:rsidR="00BC57A0" w:rsidRPr="00E16359">
        <w:rPr>
          <w:rFonts w:ascii="ITC Avant Garde" w:hAnsi="ITC Avant Garde"/>
        </w:rPr>
        <w:t xml:space="preserve">Diario Oficial de la Federación el 13 de noviembre de 2018, </w:t>
      </w:r>
      <w:r w:rsidR="00EA280E" w:rsidRPr="00E16359">
        <w:rPr>
          <w:rFonts w:ascii="ITC Avant Garde" w:hAnsi="ITC Avant Garde"/>
        </w:rPr>
        <w:t>por lo que se mantuvo el contenido de dicho numeral en los siguientes</w:t>
      </w:r>
      <w:r w:rsidR="00E66994" w:rsidRPr="00E16359">
        <w:rPr>
          <w:rFonts w:ascii="ITC Avant Garde" w:hAnsi="ITC Avant Garde"/>
        </w:rPr>
        <w:t xml:space="preserve"> términos</w:t>
      </w:r>
      <w:r w:rsidR="00BC57A0" w:rsidRPr="00E16359">
        <w:rPr>
          <w:rFonts w:ascii="ITC Avant Garde" w:hAnsi="ITC Avant Garde"/>
        </w:rPr>
        <w:t>:</w:t>
      </w:r>
    </w:p>
    <w:p w:rsidR="00062F2B" w:rsidRPr="00E16359" w:rsidRDefault="00062F2B" w:rsidP="001D3335">
      <w:pPr>
        <w:pStyle w:val="IFTnormal"/>
        <w:spacing w:after="0"/>
        <w:ind w:left="567" w:right="565"/>
        <w:rPr>
          <w:i/>
          <w:color w:val="auto"/>
          <w:sz w:val="18"/>
          <w:shd w:val="clear" w:color="auto" w:fill="FFFFFF"/>
        </w:rPr>
      </w:pPr>
    </w:p>
    <w:p w:rsidR="00062F2B" w:rsidRPr="00E16359" w:rsidRDefault="00062F2B" w:rsidP="001D3335">
      <w:pPr>
        <w:autoSpaceDE w:val="0"/>
        <w:autoSpaceDN w:val="0"/>
        <w:adjustRightInd w:val="0"/>
        <w:spacing w:line="276" w:lineRule="auto"/>
        <w:ind w:left="567" w:right="565"/>
        <w:jc w:val="both"/>
        <w:rPr>
          <w:rFonts w:ascii="ITC Avant Garde" w:hAnsi="ITC Avant Garde"/>
          <w:i/>
          <w:sz w:val="18"/>
        </w:rPr>
      </w:pPr>
      <w:r w:rsidRPr="00E16359">
        <w:rPr>
          <w:rFonts w:ascii="ITC Avant Garde" w:hAnsi="ITC Avant Garde"/>
          <w:b/>
          <w:i/>
          <w:sz w:val="18"/>
          <w:u w:val="single"/>
        </w:rPr>
        <w:t>“4.1 TARIFAS Y FORMAS DE PAGO</w:t>
      </w:r>
      <w:r w:rsidRPr="00E16359">
        <w:rPr>
          <w:rFonts w:ascii="ITC Avant Garde" w:hAnsi="ITC Avant Garde"/>
          <w:i/>
          <w:sz w:val="18"/>
        </w:rPr>
        <w:t>.</w:t>
      </w:r>
    </w:p>
    <w:p w:rsidR="00062F2B" w:rsidRPr="00E16359" w:rsidRDefault="00062F2B" w:rsidP="001D3335">
      <w:pPr>
        <w:autoSpaceDE w:val="0"/>
        <w:autoSpaceDN w:val="0"/>
        <w:adjustRightInd w:val="0"/>
        <w:spacing w:line="276" w:lineRule="auto"/>
        <w:ind w:left="567" w:right="565"/>
        <w:jc w:val="both"/>
        <w:rPr>
          <w:rFonts w:ascii="ITC Avant Garde" w:hAnsi="ITC Avant Garde"/>
          <w:i/>
          <w:sz w:val="18"/>
        </w:rPr>
      </w:pPr>
      <w:r w:rsidRPr="00E16359">
        <w:rPr>
          <w:rFonts w:ascii="ITC Avant Garde" w:hAnsi="ITC Avant Garde"/>
          <w:i/>
          <w:sz w:val="18"/>
        </w:rPr>
        <w:t>Las tarifas aplicables a los Servicios de Interconexión que se provean las partes deberán cumplir con los siguientes principios:</w:t>
      </w:r>
    </w:p>
    <w:p w:rsidR="00062F2B" w:rsidRPr="00E16359" w:rsidRDefault="00062F2B" w:rsidP="00C0192C">
      <w:pPr>
        <w:numPr>
          <w:ilvl w:val="0"/>
          <w:numId w:val="7"/>
        </w:numPr>
        <w:autoSpaceDE w:val="0"/>
        <w:autoSpaceDN w:val="0"/>
        <w:adjustRightInd w:val="0"/>
        <w:spacing w:line="276" w:lineRule="auto"/>
        <w:ind w:right="565"/>
        <w:jc w:val="both"/>
        <w:rPr>
          <w:rFonts w:ascii="ITC Avant Garde" w:hAnsi="ITC Avant Garde"/>
          <w:i/>
          <w:sz w:val="18"/>
          <w:lang w:val="es-ES"/>
        </w:rPr>
      </w:pPr>
      <w:r w:rsidRPr="00E16359">
        <w:rPr>
          <w:rFonts w:ascii="ITC Avant Garde" w:hAnsi="ITC Avant Garde"/>
          <w:i/>
          <w:sz w:val="18"/>
          <w:lang w:val="es-ES"/>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rsidR="00062F2B" w:rsidRPr="00E16359" w:rsidRDefault="00062F2B" w:rsidP="00C0192C">
      <w:pPr>
        <w:numPr>
          <w:ilvl w:val="0"/>
          <w:numId w:val="7"/>
        </w:numPr>
        <w:autoSpaceDE w:val="0"/>
        <w:autoSpaceDN w:val="0"/>
        <w:adjustRightInd w:val="0"/>
        <w:spacing w:line="276" w:lineRule="auto"/>
        <w:ind w:right="565"/>
        <w:jc w:val="both"/>
        <w:rPr>
          <w:rFonts w:ascii="ITC Avant Garde" w:hAnsi="ITC Avant Garde"/>
          <w:i/>
          <w:sz w:val="18"/>
        </w:rPr>
      </w:pPr>
      <w:r w:rsidRPr="00E16359">
        <w:rPr>
          <w:rFonts w:ascii="ITC Avant Garde" w:hAnsi="ITC Avant Garde"/>
          <w:i/>
          <w:sz w:val="18"/>
        </w:rPr>
        <w:t>Permitir recuperar al menos el costo incremental total promedio de largo plazo o el costo incremental de largo plazo puro, según sea el servicio de interconexión de que se trate.</w:t>
      </w:r>
    </w:p>
    <w:p w:rsidR="00062F2B" w:rsidRPr="00E16359" w:rsidRDefault="00062F2B" w:rsidP="00C0192C">
      <w:pPr>
        <w:numPr>
          <w:ilvl w:val="0"/>
          <w:numId w:val="7"/>
        </w:numPr>
        <w:autoSpaceDE w:val="0"/>
        <w:autoSpaceDN w:val="0"/>
        <w:adjustRightInd w:val="0"/>
        <w:spacing w:line="276" w:lineRule="auto"/>
        <w:ind w:right="565"/>
        <w:jc w:val="both"/>
        <w:rPr>
          <w:rFonts w:ascii="ITC Avant Garde" w:hAnsi="ITC Avant Garde"/>
          <w:i/>
          <w:sz w:val="18"/>
          <w:lang w:val="es-ES"/>
        </w:rPr>
      </w:pPr>
      <w:r w:rsidRPr="00E16359">
        <w:rPr>
          <w:rFonts w:ascii="ITC Avant Garde" w:hAnsi="ITC Avant Garde"/>
          <w:i/>
          <w:sz w:val="18"/>
          <w:lang w:val="es-ES"/>
        </w:rPr>
        <w:t>No deberán contener costos no asociados a la prestación del Servicio de Interconexión relevante.</w:t>
      </w:r>
    </w:p>
    <w:p w:rsidR="00062F2B" w:rsidRPr="00E16359" w:rsidRDefault="00062F2B" w:rsidP="00C0192C">
      <w:pPr>
        <w:numPr>
          <w:ilvl w:val="0"/>
          <w:numId w:val="7"/>
        </w:numPr>
        <w:autoSpaceDE w:val="0"/>
        <w:autoSpaceDN w:val="0"/>
        <w:adjustRightInd w:val="0"/>
        <w:spacing w:line="276" w:lineRule="auto"/>
        <w:ind w:right="565"/>
        <w:jc w:val="both"/>
        <w:rPr>
          <w:rFonts w:ascii="ITC Avant Garde" w:hAnsi="ITC Avant Garde"/>
          <w:i/>
          <w:sz w:val="18"/>
          <w:lang w:val="es-ES"/>
        </w:rPr>
      </w:pPr>
      <w:r w:rsidRPr="00E16359">
        <w:rPr>
          <w:rFonts w:ascii="ITC Avant Garde" w:hAnsi="ITC Avant Garde"/>
          <w:i/>
          <w:sz w:val="18"/>
          <w:lang w:val="es-ES"/>
        </w:rPr>
        <w:lastRenderedPageBreak/>
        <w:t>No deberán incluir cualquier otro costo fijo o variable que sea recuperado a través del usuario.</w:t>
      </w:r>
    </w:p>
    <w:p w:rsidR="00062F2B" w:rsidRPr="00E16359" w:rsidRDefault="00062F2B" w:rsidP="001D3335">
      <w:pPr>
        <w:pStyle w:val="IFTnormal"/>
        <w:spacing w:after="0"/>
        <w:ind w:left="567" w:right="565"/>
        <w:rPr>
          <w:i/>
          <w:color w:val="auto"/>
          <w:sz w:val="18"/>
          <w:shd w:val="clear" w:color="auto" w:fill="FFFFFF"/>
        </w:rPr>
      </w:pPr>
    </w:p>
    <w:p w:rsidR="00155EA7" w:rsidRPr="00E16359" w:rsidRDefault="00155EA7" w:rsidP="001D3335">
      <w:pPr>
        <w:spacing w:after="0" w:line="276" w:lineRule="auto"/>
        <w:jc w:val="both"/>
        <w:rPr>
          <w:rFonts w:ascii="ITC Avant Garde" w:hAnsi="ITC Avant Garde"/>
          <w:b/>
        </w:rPr>
      </w:pPr>
      <w:r w:rsidRPr="00E16359">
        <w:rPr>
          <w:rFonts w:ascii="ITC Avant Garde" w:hAnsi="ITC Avant Garde"/>
          <w:b/>
        </w:rPr>
        <w:t>V</w:t>
      </w:r>
      <w:r w:rsidR="00E66994" w:rsidRPr="00E16359">
        <w:rPr>
          <w:rFonts w:ascii="ITC Avant Garde" w:hAnsi="ITC Avant Garde"/>
          <w:b/>
        </w:rPr>
        <w:t>igencia</w:t>
      </w:r>
    </w:p>
    <w:p w:rsidR="00464799" w:rsidRPr="00E16359" w:rsidRDefault="00464799" w:rsidP="001D3335">
      <w:pPr>
        <w:spacing w:after="0" w:line="276" w:lineRule="auto"/>
        <w:jc w:val="both"/>
        <w:rPr>
          <w:rFonts w:ascii="ITC Avant Garde" w:hAnsi="ITC Avant Garde"/>
        </w:rPr>
      </w:pPr>
    </w:p>
    <w:p w:rsidR="00DB6940" w:rsidRPr="00E16359" w:rsidRDefault="00DB6940" w:rsidP="001D3335">
      <w:pPr>
        <w:spacing w:after="0" w:line="276" w:lineRule="auto"/>
        <w:jc w:val="both"/>
        <w:rPr>
          <w:rFonts w:ascii="ITC Avant Garde" w:hAnsi="ITC Avant Garde"/>
          <w:b/>
        </w:rPr>
      </w:pPr>
      <w:r w:rsidRPr="00E16359">
        <w:rPr>
          <w:rFonts w:ascii="ITC Avant Garde" w:hAnsi="ITC Avant Garde"/>
          <w:b/>
        </w:rPr>
        <w:t>ALTÁN, CANIETI Y TELEFÓNICA</w:t>
      </w:r>
    </w:p>
    <w:p w:rsidR="00D642D6" w:rsidRPr="00E16359" w:rsidRDefault="00D642D6" w:rsidP="001D3335">
      <w:pPr>
        <w:spacing w:after="0" w:line="276" w:lineRule="auto"/>
        <w:jc w:val="both"/>
        <w:rPr>
          <w:rFonts w:ascii="ITC Avant Garde" w:hAnsi="ITC Avant Garde"/>
          <w:b/>
        </w:rPr>
      </w:pPr>
    </w:p>
    <w:p w:rsidR="0047707D" w:rsidRPr="00E16359" w:rsidRDefault="0053579A" w:rsidP="001D3335">
      <w:pPr>
        <w:spacing w:after="0" w:line="276" w:lineRule="auto"/>
        <w:jc w:val="both"/>
        <w:rPr>
          <w:rFonts w:ascii="ITC Avant Garde" w:hAnsi="ITC Avant Garde"/>
        </w:rPr>
      </w:pPr>
      <w:r w:rsidRPr="00E16359">
        <w:rPr>
          <w:rFonts w:ascii="ITC Avant Garde" w:hAnsi="ITC Avant Garde"/>
        </w:rPr>
        <w:t xml:space="preserve">Señalaron </w:t>
      </w:r>
      <w:r w:rsidR="0047707D" w:rsidRPr="00E16359">
        <w:rPr>
          <w:rFonts w:ascii="ITC Avant Garde" w:hAnsi="ITC Avant Garde"/>
        </w:rPr>
        <w:t xml:space="preserve">eliminar el </w:t>
      </w:r>
      <w:r w:rsidRPr="00E16359">
        <w:rPr>
          <w:rFonts w:ascii="ITC Avant Garde" w:hAnsi="ITC Avant Garde"/>
        </w:rPr>
        <w:t>párrafo</w:t>
      </w:r>
      <w:r w:rsidR="0047707D" w:rsidRPr="00E16359">
        <w:rPr>
          <w:rFonts w:ascii="ITC Avant Garde" w:hAnsi="ITC Avant Garde"/>
        </w:rPr>
        <w:t xml:space="preserve"> que</w:t>
      </w:r>
      <w:r w:rsidRPr="00E16359">
        <w:rPr>
          <w:rFonts w:ascii="ITC Avant Garde" w:hAnsi="ITC Avant Garde"/>
        </w:rPr>
        <w:t xml:space="preserve"> establece el principio de retroactividad de las tarifas de interconexión hasta en la fecha en que perdieron vigencia las anteriormente pactadas</w:t>
      </w:r>
      <w:r w:rsidR="007E0851" w:rsidRPr="00E16359">
        <w:rPr>
          <w:rFonts w:ascii="ITC Avant Garde" w:hAnsi="ITC Avant Garde"/>
        </w:rPr>
        <w:t>, mismo que enuncia</w:t>
      </w:r>
      <w:r w:rsidR="0047707D" w:rsidRPr="00E16359">
        <w:rPr>
          <w:rFonts w:ascii="ITC Avant Garde" w:hAnsi="ITC Avant Garde"/>
        </w:rPr>
        <w:t xml:space="preserve"> lo siguiente:</w:t>
      </w:r>
    </w:p>
    <w:p w:rsidR="00545D5F" w:rsidRPr="00E16359" w:rsidRDefault="0047707D" w:rsidP="001D3335">
      <w:pPr>
        <w:spacing w:after="0" w:line="276" w:lineRule="auto"/>
        <w:jc w:val="both"/>
        <w:rPr>
          <w:rFonts w:ascii="ITC Avant Garde" w:hAnsi="ITC Avant Garde"/>
        </w:rPr>
      </w:pPr>
      <w:r w:rsidRPr="00E16359">
        <w:rPr>
          <w:rFonts w:ascii="ITC Avant Garde" w:hAnsi="ITC Avant Garde"/>
        </w:rPr>
        <w:t xml:space="preserve"> </w:t>
      </w:r>
    </w:p>
    <w:p w:rsidR="00545D5F" w:rsidRPr="00E16359" w:rsidRDefault="00545D5F" w:rsidP="001D3335">
      <w:pPr>
        <w:spacing w:after="0" w:line="276" w:lineRule="auto"/>
        <w:ind w:left="567" w:right="758"/>
        <w:jc w:val="both"/>
        <w:rPr>
          <w:rFonts w:ascii="ITC Avant Garde" w:hAnsi="ITC Avant Garde"/>
          <w:i/>
          <w:sz w:val="18"/>
          <w:szCs w:val="18"/>
        </w:rPr>
      </w:pPr>
      <w:r w:rsidRPr="00E16359">
        <w:rPr>
          <w:rFonts w:ascii="ITC Avant Garde" w:hAnsi="ITC Avant Garde"/>
          <w:i/>
          <w:sz w:val="18"/>
          <w:szCs w:val="18"/>
        </w:rPr>
        <w:t>“…Lo anterior, en el entendido de que, una vez que se determinen las nuevas contraprestaciones aplicables, éstas surtirán efecto a partir de la fecha de conclusión de vigencia de las anteriores…”</w:t>
      </w:r>
    </w:p>
    <w:p w:rsidR="00545D5F" w:rsidRPr="00E16359" w:rsidRDefault="00545D5F" w:rsidP="001D3335">
      <w:pPr>
        <w:spacing w:after="0" w:line="276" w:lineRule="auto"/>
        <w:jc w:val="both"/>
        <w:rPr>
          <w:rFonts w:ascii="ITC Avant Garde" w:hAnsi="ITC Avant Garde"/>
        </w:rPr>
      </w:pPr>
    </w:p>
    <w:p w:rsidR="00545D5F" w:rsidRPr="00E16359" w:rsidRDefault="0047707D" w:rsidP="001D3335">
      <w:pPr>
        <w:spacing w:after="0" w:line="276" w:lineRule="auto"/>
        <w:jc w:val="both"/>
        <w:rPr>
          <w:rFonts w:ascii="ITC Avant Garde" w:hAnsi="ITC Avant Garde"/>
        </w:rPr>
      </w:pPr>
      <w:r w:rsidRPr="00E16359">
        <w:rPr>
          <w:rFonts w:ascii="ITC Avant Garde" w:hAnsi="ITC Avant Garde"/>
        </w:rPr>
        <w:t>Asimismo,</w:t>
      </w:r>
      <w:r w:rsidR="00C84EEF" w:rsidRPr="00E16359">
        <w:rPr>
          <w:rFonts w:ascii="ITC Avant Garde" w:hAnsi="ITC Avant Garde"/>
        </w:rPr>
        <w:t xml:space="preserve"> solicitaron </w:t>
      </w:r>
      <w:r w:rsidRPr="00E16359">
        <w:rPr>
          <w:rFonts w:ascii="ITC Avant Garde" w:hAnsi="ITC Avant Garde"/>
        </w:rPr>
        <w:t xml:space="preserve">eliminar </w:t>
      </w:r>
      <w:r w:rsidR="009E4A42" w:rsidRPr="00E16359">
        <w:rPr>
          <w:rFonts w:ascii="ITC Avant Garde" w:hAnsi="ITC Avant Garde"/>
        </w:rPr>
        <w:t>dicha</w:t>
      </w:r>
      <w:r w:rsidR="00545D5F" w:rsidRPr="00E16359">
        <w:rPr>
          <w:rFonts w:ascii="ITC Avant Garde" w:hAnsi="ITC Avant Garde"/>
        </w:rPr>
        <w:t xml:space="preserve"> afirmación</w:t>
      </w:r>
      <w:r w:rsidR="009E4A42" w:rsidRPr="00E16359">
        <w:rPr>
          <w:rFonts w:ascii="ITC Avant Garde" w:hAnsi="ITC Avant Garde"/>
        </w:rPr>
        <w:t>, señalando</w:t>
      </w:r>
      <w:r w:rsidR="00545D5F" w:rsidRPr="00E16359">
        <w:rPr>
          <w:rFonts w:ascii="ITC Avant Garde" w:hAnsi="ITC Avant Garde"/>
        </w:rPr>
        <w:t xml:space="preserve"> que las tarifas de interconexió</w:t>
      </w:r>
      <w:r w:rsidR="003A7D4D" w:rsidRPr="00E16359">
        <w:rPr>
          <w:rFonts w:ascii="ITC Avant Garde" w:hAnsi="ITC Avant Garde"/>
        </w:rPr>
        <w:t>n podrían surtir efectos por los siguientes motivos</w:t>
      </w:r>
      <w:r w:rsidR="00545D5F" w:rsidRPr="00E16359">
        <w:rPr>
          <w:rFonts w:ascii="ITC Avant Garde" w:hAnsi="ITC Avant Garde"/>
        </w:rPr>
        <w:t>:</w:t>
      </w:r>
    </w:p>
    <w:p w:rsidR="00545D5F" w:rsidRPr="00E16359" w:rsidRDefault="00545D5F" w:rsidP="001D3335">
      <w:pPr>
        <w:spacing w:after="0" w:line="276" w:lineRule="auto"/>
        <w:jc w:val="both"/>
        <w:rPr>
          <w:rFonts w:ascii="ITC Avant Garde" w:hAnsi="ITC Avant Garde"/>
        </w:rPr>
      </w:pPr>
    </w:p>
    <w:p w:rsidR="00545D5F" w:rsidRPr="00E16359" w:rsidRDefault="00545D5F" w:rsidP="00C0192C">
      <w:pPr>
        <w:pStyle w:val="Prrafodelista"/>
        <w:numPr>
          <w:ilvl w:val="0"/>
          <w:numId w:val="5"/>
        </w:numPr>
        <w:spacing w:after="0" w:line="276" w:lineRule="auto"/>
        <w:jc w:val="both"/>
        <w:rPr>
          <w:rFonts w:ascii="ITC Avant Garde" w:hAnsi="ITC Avant Garde"/>
        </w:rPr>
      </w:pPr>
      <w:r w:rsidRPr="00E16359">
        <w:rPr>
          <w:rFonts w:ascii="ITC Avant Garde" w:hAnsi="ITC Avant Garde"/>
        </w:rPr>
        <w:t xml:space="preserve">a partir de la fecha que pacten las partes o </w:t>
      </w:r>
    </w:p>
    <w:p w:rsidR="00545D5F" w:rsidRPr="00E16359" w:rsidRDefault="00545D5F" w:rsidP="00C0192C">
      <w:pPr>
        <w:pStyle w:val="Prrafodelista"/>
        <w:numPr>
          <w:ilvl w:val="0"/>
          <w:numId w:val="5"/>
        </w:numPr>
        <w:spacing w:after="0" w:line="276" w:lineRule="auto"/>
        <w:jc w:val="both"/>
        <w:rPr>
          <w:rFonts w:ascii="ITC Avant Garde" w:hAnsi="ITC Avant Garde"/>
        </w:rPr>
      </w:pPr>
      <w:r w:rsidRPr="00E16359">
        <w:rPr>
          <w:rFonts w:ascii="ITC Avant Garde" w:hAnsi="ITC Avant Garde"/>
        </w:rPr>
        <w:t>a partir de la fecha específica que se determine en la resolución administrativa (Instituto) o judicial (en caso de impugnación) según corresponda.</w:t>
      </w:r>
    </w:p>
    <w:p w:rsidR="00545D5F" w:rsidRPr="00E16359" w:rsidRDefault="00545D5F" w:rsidP="001D3335">
      <w:pPr>
        <w:spacing w:after="0" w:line="276" w:lineRule="auto"/>
        <w:jc w:val="both"/>
        <w:rPr>
          <w:rFonts w:ascii="ITC Avant Garde" w:hAnsi="ITC Avant Garde"/>
        </w:rPr>
      </w:pPr>
    </w:p>
    <w:p w:rsidR="003E7BE5" w:rsidRPr="00E16359" w:rsidRDefault="003E7BE5" w:rsidP="001D3335">
      <w:pPr>
        <w:spacing w:after="0" w:line="276" w:lineRule="auto"/>
        <w:jc w:val="both"/>
        <w:rPr>
          <w:rFonts w:ascii="ITC Avant Garde" w:hAnsi="ITC Avant Garde"/>
          <w:b/>
        </w:rPr>
      </w:pPr>
      <w:r w:rsidRPr="00E16359">
        <w:rPr>
          <w:rFonts w:ascii="ITC Avant Garde" w:hAnsi="ITC Avant Garde"/>
          <w:b/>
        </w:rPr>
        <w:t>GRUPO TELEVISA</w:t>
      </w:r>
    </w:p>
    <w:p w:rsidR="00DB3A05" w:rsidRPr="00E16359" w:rsidRDefault="00DB3A05" w:rsidP="001D3335">
      <w:pPr>
        <w:spacing w:after="0" w:line="276" w:lineRule="auto"/>
        <w:jc w:val="both"/>
        <w:rPr>
          <w:rFonts w:ascii="ITC Avant Garde" w:hAnsi="ITC Avant Garde"/>
          <w:b/>
        </w:rPr>
      </w:pPr>
    </w:p>
    <w:p w:rsidR="003E7BE5" w:rsidRPr="00E16359" w:rsidRDefault="00C84EEF" w:rsidP="001D3335">
      <w:pPr>
        <w:spacing w:after="0" w:line="276" w:lineRule="auto"/>
        <w:jc w:val="both"/>
        <w:rPr>
          <w:rFonts w:ascii="ITC Avant Garde" w:hAnsi="ITC Avant Garde"/>
        </w:rPr>
      </w:pPr>
      <w:r w:rsidRPr="00E16359">
        <w:rPr>
          <w:rFonts w:ascii="ITC Avant Garde" w:hAnsi="ITC Avant Garde"/>
        </w:rPr>
        <w:t>S</w:t>
      </w:r>
      <w:r w:rsidR="00CD42F8" w:rsidRPr="00E16359">
        <w:rPr>
          <w:rFonts w:ascii="ITC Avant Garde" w:hAnsi="ITC Avant Garde"/>
        </w:rPr>
        <w:t xml:space="preserve">olicitó eliminar el párrafo segundo de la </w:t>
      </w:r>
      <w:r w:rsidR="00C4779E" w:rsidRPr="00E16359">
        <w:rPr>
          <w:rFonts w:ascii="ITC Avant Garde" w:hAnsi="ITC Avant Garde"/>
        </w:rPr>
        <w:t xml:space="preserve">cláusula cuarta, numeral 4.1.2., al señalar </w:t>
      </w:r>
      <w:r w:rsidR="003E7BE5" w:rsidRPr="00E16359">
        <w:rPr>
          <w:rFonts w:ascii="ITC Avant Garde" w:hAnsi="ITC Avant Garde"/>
        </w:rPr>
        <w:t>que las nuevas contraprestaciones deberán surtir efecto a partir de la firma del Convenio por las partes o, en su caso, a partir de la fecha específica que determina en la resolución administrativa por parte del Instituto o Judicial en caso de impugnación y no a partir de la conclus</w:t>
      </w:r>
      <w:r w:rsidRPr="00E16359">
        <w:rPr>
          <w:rFonts w:ascii="ITC Avant Garde" w:hAnsi="ITC Avant Garde"/>
        </w:rPr>
        <w:t>ión de la vigencia anterior</w:t>
      </w:r>
      <w:r w:rsidR="00C4779E" w:rsidRPr="00E16359">
        <w:rPr>
          <w:rFonts w:ascii="ITC Avant Garde" w:hAnsi="ITC Avant Garde"/>
        </w:rPr>
        <w:t>.</w:t>
      </w:r>
      <w:r w:rsidR="003E7BE5" w:rsidRPr="00E16359">
        <w:rPr>
          <w:rFonts w:ascii="ITC Avant Garde" w:hAnsi="ITC Avant Garde"/>
        </w:rPr>
        <w:t xml:space="preserve"> </w:t>
      </w:r>
    </w:p>
    <w:p w:rsidR="00C2127E" w:rsidRPr="00E16359" w:rsidRDefault="00C2127E" w:rsidP="001D3335">
      <w:pPr>
        <w:spacing w:line="276" w:lineRule="auto"/>
        <w:jc w:val="both"/>
        <w:rPr>
          <w:rFonts w:ascii="ITC Avant Garde" w:hAnsi="ITC Avant Garde"/>
          <w:b/>
        </w:rPr>
      </w:pPr>
    </w:p>
    <w:p w:rsidR="00C2127E" w:rsidRPr="00E16359" w:rsidRDefault="00C2127E"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31747B" w:rsidRDefault="0024733C" w:rsidP="0031747B">
      <w:pPr>
        <w:rPr>
          <w:rFonts w:ascii="Segoe UI Semilight" w:hAnsi="Segoe UI Semilight" w:cs="Segoe UI Semilight"/>
          <w:i/>
          <w:iCs/>
          <w:color w:val="000000"/>
          <w:sz w:val="21"/>
          <w:szCs w:val="21"/>
        </w:rPr>
      </w:pPr>
      <w:r w:rsidRPr="00E16359">
        <w:rPr>
          <w:rFonts w:ascii="ITC Avant Garde" w:hAnsi="ITC Avant Garde" w:cs="Arial"/>
          <w:snapToGrid w:val="0"/>
        </w:rPr>
        <w:t>Al respecto</w:t>
      </w:r>
      <w:r w:rsidR="00C90C45" w:rsidRPr="00E16359">
        <w:rPr>
          <w:rFonts w:ascii="ITC Avant Garde" w:hAnsi="ITC Avant Garde" w:cs="Arial"/>
          <w:snapToGrid w:val="0"/>
        </w:rPr>
        <w:t>,</w:t>
      </w:r>
      <w:r w:rsidR="00762F81" w:rsidRPr="00E16359">
        <w:rPr>
          <w:rFonts w:ascii="ITC Avant Garde" w:hAnsi="ITC Avant Garde" w:cs="Arial"/>
          <w:snapToGrid w:val="0"/>
        </w:rPr>
        <w:t xml:space="preserve"> se señala que, </w:t>
      </w:r>
      <w:r w:rsidR="005D3958" w:rsidRPr="00E16359">
        <w:rPr>
          <w:rFonts w:ascii="ITC Avant Garde" w:hAnsi="ITC Avant Garde" w:cs="Arial"/>
          <w:snapToGrid w:val="0"/>
        </w:rPr>
        <w:t>la modificación propuesta no</w:t>
      </w:r>
      <w:r w:rsidR="000D6B95" w:rsidRPr="00E16359">
        <w:rPr>
          <w:rFonts w:ascii="ITC Avant Garde" w:hAnsi="ITC Avant Garde" w:cs="Arial"/>
          <w:snapToGrid w:val="0"/>
        </w:rPr>
        <w:t xml:space="preserve"> resulta </w:t>
      </w:r>
      <w:r w:rsidR="000658F9">
        <w:rPr>
          <w:rFonts w:ascii="ITC Avant Garde" w:hAnsi="ITC Avant Garde" w:cs="Arial"/>
          <w:snapToGrid w:val="0"/>
        </w:rPr>
        <w:t>procedente</w:t>
      </w:r>
      <w:r w:rsidR="00D126B8" w:rsidRPr="00E16359">
        <w:rPr>
          <w:rFonts w:ascii="ITC Avant Garde" w:hAnsi="ITC Avant Garde" w:cs="Arial"/>
          <w:snapToGrid w:val="0"/>
        </w:rPr>
        <w:t>,</w:t>
      </w:r>
      <w:r w:rsidR="00CB2EC4" w:rsidRPr="00E16359">
        <w:rPr>
          <w:rFonts w:ascii="ITC Avant Garde" w:hAnsi="ITC Avant Garde" w:cs="Arial"/>
          <w:snapToGrid w:val="0"/>
        </w:rPr>
        <w:t xml:space="preserve"> </w:t>
      </w:r>
      <w:r w:rsidR="00A90089">
        <w:rPr>
          <w:rFonts w:ascii="ITC Avant Garde" w:hAnsi="ITC Avant Garde" w:cs="Arial"/>
          <w:snapToGrid w:val="0"/>
        </w:rPr>
        <w:t>toda vez que el numeral 4.1.2 del CMI ya considera la vigencia de las contraprestaciones por acuerdo entre las partes o por resolución administrativa,</w:t>
      </w:r>
    </w:p>
    <w:p w:rsidR="00763FAD" w:rsidRPr="00E16359" w:rsidRDefault="00A2349C" w:rsidP="001D3335">
      <w:pPr>
        <w:spacing w:after="0" w:line="276" w:lineRule="auto"/>
        <w:jc w:val="both"/>
        <w:rPr>
          <w:rFonts w:ascii="ITC Avant Garde" w:hAnsi="ITC Avant Garde"/>
          <w:b/>
          <w:u w:val="single"/>
        </w:rPr>
      </w:pPr>
      <w:r w:rsidRPr="00E16359">
        <w:rPr>
          <w:rFonts w:ascii="ITC Avant Garde" w:hAnsi="ITC Avant Garde"/>
          <w:b/>
          <w:u w:val="single"/>
        </w:rPr>
        <w:t>Facturas Objetadas</w:t>
      </w:r>
    </w:p>
    <w:p w:rsidR="00763FAD" w:rsidRPr="00E16359" w:rsidRDefault="00763FAD" w:rsidP="001D3335">
      <w:pPr>
        <w:spacing w:after="0" w:line="276" w:lineRule="auto"/>
        <w:jc w:val="both"/>
        <w:rPr>
          <w:rFonts w:ascii="ITC Avant Garde" w:hAnsi="ITC Avant Garde"/>
          <w:b/>
        </w:rPr>
      </w:pPr>
    </w:p>
    <w:p w:rsidR="00D8464A" w:rsidRPr="00E16359" w:rsidRDefault="00D8464A" w:rsidP="001D3335">
      <w:pPr>
        <w:spacing w:after="0" w:line="276" w:lineRule="auto"/>
        <w:jc w:val="both"/>
        <w:rPr>
          <w:rFonts w:ascii="ITC Avant Garde" w:hAnsi="ITC Avant Garde"/>
          <w:b/>
        </w:rPr>
      </w:pPr>
      <w:r w:rsidRPr="00E16359">
        <w:rPr>
          <w:rFonts w:ascii="ITC Avant Garde" w:hAnsi="ITC Avant Garde"/>
          <w:b/>
        </w:rPr>
        <w:t>ALTÁN, CANIETI</w:t>
      </w:r>
      <w:r w:rsidR="0071264F" w:rsidRPr="00E16359">
        <w:rPr>
          <w:rFonts w:ascii="ITC Avant Garde" w:hAnsi="ITC Avant Garde"/>
          <w:b/>
        </w:rPr>
        <w:t xml:space="preserve"> </w:t>
      </w:r>
      <w:r w:rsidRPr="00E16359">
        <w:rPr>
          <w:rFonts w:ascii="ITC Avant Garde" w:hAnsi="ITC Avant Garde"/>
          <w:b/>
        </w:rPr>
        <w:t>Y TELEFÓNICA</w:t>
      </w:r>
    </w:p>
    <w:p w:rsidR="001A75A6" w:rsidRPr="00E16359" w:rsidRDefault="001A75A6" w:rsidP="001D3335">
      <w:pPr>
        <w:spacing w:after="0" w:line="276" w:lineRule="auto"/>
        <w:jc w:val="both"/>
        <w:rPr>
          <w:rFonts w:ascii="ITC Avant Garde" w:hAnsi="ITC Avant Garde"/>
          <w:b/>
        </w:rPr>
      </w:pPr>
    </w:p>
    <w:p w:rsidR="00A23E88" w:rsidRPr="00E16359" w:rsidRDefault="001A75A6" w:rsidP="001D3335">
      <w:pPr>
        <w:spacing w:after="0" w:line="276" w:lineRule="auto"/>
        <w:jc w:val="both"/>
        <w:rPr>
          <w:rFonts w:ascii="ITC Avant Garde" w:hAnsi="ITC Avant Garde"/>
        </w:rPr>
      </w:pPr>
      <w:r w:rsidRPr="00E16359">
        <w:rPr>
          <w:rFonts w:ascii="ITC Avant Garde" w:hAnsi="ITC Avant Garde"/>
        </w:rPr>
        <w:lastRenderedPageBreak/>
        <w:t>S</w:t>
      </w:r>
      <w:r w:rsidR="009A1EEB" w:rsidRPr="00E16359">
        <w:rPr>
          <w:rFonts w:ascii="ITC Avant Garde" w:hAnsi="ITC Avant Garde"/>
        </w:rPr>
        <w:t>olicita</w:t>
      </w:r>
      <w:r w:rsidR="009502C2" w:rsidRPr="00E16359">
        <w:rPr>
          <w:rFonts w:ascii="ITC Avant Garde" w:hAnsi="ITC Avant Garde"/>
        </w:rPr>
        <w:t>ro</w:t>
      </w:r>
      <w:r w:rsidR="0071264F" w:rsidRPr="00E16359">
        <w:rPr>
          <w:rFonts w:ascii="ITC Avant Garde" w:hAnsi="ITC Avant Garde"/>
        </w:rPr>
        <w:t>n</w:t>
      </w:r>
      <w:r w:rsidR="009A1EEB" w:rsidRPr="00E16359">
        <w:rPr>
          <w:rFonts w:ascii="ITC Avant Garde" w:hAnsi="ITC Avant Garde"/>
        </w:rPr>
        <w:t xml:space="preserve"> que</w:t>
      </w:r>
      <w:r w:rsidRPr="00E16359">
        <w:rPr>
          <w:rFonts w:ascii="ITC Avant Garde" w:hAnsi="ITC Avant Garde"/>
        </w:rPr>
        <w:t xml:space="preserve"> en las facturas objetadas</w:t>
      </w:r>
      <w:r w:rsidR="009B1779" w:rsidRPr="00E16359">
        <w:rPr>
          <w:rFonts w:ascii="ITC Avant Garde" w:hAnsi="ITC Avant Garde"/>
        </w:rPr>
        <w:t xml:space="preserve"> </w:t>
      </w:r>
      <w:r w:rsidR="00CA6E89" w:rsidRPr="00E16359">
        <w:rPr>
          <w:rFonts w:ascii="ITC Avant Garde" w:hAnsi="ITC Avant Garde"/>
        </w:rPr>
        <w:t>se agregue</w:t>
      </w:r>
      <w:r w:rsidR="009A1EEB" w:rsidRPr="00E16359">
        <w:rPr>
          <w:rFonts w:ascii="ITC Avant Garde" w:hAnsi="ITC Avant Garde"/>
        </w:rPr>
        <w:t xml:space="preserve"> </w:t>
      </w:r>
      <w:r w:rsidR="0071264F" w:rsidRPr="00E16359">
        <w:rPr>
          <w:rFonts w:ascii="ITC Avant Garde" w:hAnsi="ITC Avant Garde"/>
        </w:rPr>
        <w:t>el</w:t>
      </w:r>
      <w:r w:rsidR="009A1EEB" w:rsidRPr="00E16359">
        <w:rPr>
          <w:rFonts w:ascii="ITC Avant Garde" w:hAnsi="ITC Avant Garde"/>
        </w:rPr>
        <w:t xml:space="preserve"> interés base e interés alternativo,</w:t>
      </w:r>
      <w:r w:rsidRPr="00E16359">
        <w:rPr>
          <w:rFonts w:ascii="ITC Avant Garde" w:hAnsi="ITC Avant Garde"/>
        </w:rPr>
        <w:t xml:space="preserve"> en adición a lo establecido en la pro</w:t>
      </w:r>
      <w:r w:rsidR="00A23E88" w:rsidRPr="00E16359">
        <w:rPr>
          <w:rFonts w:ascii="ITC Avant Garde" w:hAnsi="ITC Avant Garde"/>
        </w:rPr>
        <w:t xml:space="preserve">puesta del CMI, </w:t>
      </w:r>
      <w:r w:rsidR="009A1EEB" w:rsidRPr="00E16359">
        <w:rPr>
          <w:rFonts w:ascii="ITC Avant Garde" w:hAnsi="ITC Avant Garde"/>
        </w:rPr>
        <w:t>con el fin de tener un tiempo de respuesta para la resolución de objeción</w:t>
      </w:r>
      <w:r w:rsidR="00A23E88" w:rsidRPr="00E16359">
        <w:rPr>
          <w:rFonts w:ascii="ITC Avant Garde" w:hAnsi="ITC Avant Garde"/>
        </w:rPr>
        <w:t>.</w:t>
      </w:r>
    </w:p>
    <w:p w:rsidR="00A23E88" w:rsidRPr="00E16359" w:rsidRDefault="00A23E88" w:rsidP="001D3335">
      <w:pPr>
        <w:spacing w:after="0" w:line="276" w:lineRule="auto"/>
        <w:jc w:val="both"/>
        <w:rPr>
          <w:rFonts w:ascii="ITC Avant Garde" w:hAnsi="ITC Avant Garde"/>
        </w:rPr>
      </w:pPr>
    </w:p>
    <w:p w:rsidR="009A1EEB" w:rsidRPr="00E16359" w:rsidRDefault="00A23E88" w:rsidP="001D3335">
      <w:pPr>
        <w:spacing w:after="0" w:line="276" w:lineRule="auto"/>
        <w:jc w:val="both"/>
        <w:rPr>
          <w:rFonts w:ascii="ITC Avant Garde" w:hAnsi="ITC Avant Garde"/>
          <w:i/>
        </w:rPr>
      </w:pPr>
      <w:r w:rsidRPr="00E16359">
        <w:rPr>
          <w:rFonts w:ascii="ITC Avant Garde" w:hAnsi="ITC Avant Garde"/>
        </w:rPr>
        <w:t xml:space="preserve">En este sentido, </w:t>
      </w:r>
      <w:r w:rsidR="007B3C8B" w:rsidRPr="00E16359">
        <w:rPr>
          <w:rFonts w:ascii="ITC Avant Garde" w:hAnsi="ITC Avant Garde"/>
        </w:rPr>
        <w:t>propone</w:t>
      </w:r>
      <w:r w:rsidR="00CA6E89" w:rsidRPr="00E16359">
        <w:rPr>
          <w:rFonts w:ascii="ITC Avant Garde" w:hAnsi="ITC Avant Garde"/>
        </w:rPr>
        <w:t>n</w:t>
      </w:r>
      <w:r w:rsidR="007B3C8B" w:rsidRPr="00E16359">
        <w:rPr>
          <w:rFonts w:ascii="ITC Avant Garde" w:hAnsi="ITC Avant Garde"/>
        </w:rPr>
        <w:t xml:space="preserve"> lo siguiente:</w:t>
      </w:r>
      <w:r w:rsidR="009A1EEB" w:rsidRPr="00E16359">
        <w:rPr>
          <w:rFonts w:ascii="ITC Avant Garde" w:hAnsi="ITC Avant Garde"/>
          <w:i/>
        </w:rPr>
        <w:t xml:space="preserve"> </w:t>
      </w:r>
    </w:p>
    <w:p w:rsidR="009A1EEB" w:rsidRPr="00E16359" w:rsidRDefault="009A1EEB" w:rsidP="001D3335">
      <w:pPr>
        <w:spacing w:after="0" w:line="276" w:lineRule="auto"/>
        <w:jc w:val="both"/>
        <w:rPr>
          <w:rFonts w:ascii="ITC Avant Garde" w:hAnsi="ITC Avant Garde"/>
          <w:i/>
        </w:rPr>
      </w:pPr>
    </w:p>
    <w:p w:rsidR="009A1EEB" w:rsidRPr="00E16359" w:rsidRDefault="009A1EEB" w:rsidP="001D3335">
      <w:pPr>
        <w:spacing w:after="0" w:line="276" w:lineRule="auto"/>
        <w:ind w:left="567" w:right="616"/>
        <w:jc w:val="both"/>
        <w:rPr>
          <w:rFonts w:ascii="ITC Avant Garde" w:hAnsi="ITC Avant Garde"/>
          <w:i/>
          <w:sz w:val="18"/>
          <w:szCs w:val="18"/>
        </w:rPr>
      </w:pPr>
      <w:r w:rsidRPr="00E16359">
        <w:rPr>
          <w:rFonts w:ascii="ITC Avant Garde" w:hAnsi="ITC Avant Garde"/>
          <w:i/>
        </w:rPr>
        <w:t>“…</w:t>
      </w:r>
      <w:r w:rsidRPr="00E16359">
        <w:rPr>
          <w:rFonts w:ascii="ITC Avant Garde" w:hAnsi="ITC Avant Garde"/>
          <w:i/>
          <w:sz w:val="18"/>
          <w:szCs w:val="18"/>
        </w:rPr>
        <w:t>Las Facturas Objetadas se sujetarán a lo siguiente:</w:t>
      </w:r>
    </w:p>
    <w:p w:rsidR="009A1EEB" w:rsidRPr="00E16359" w:rsidRDefault="009A1EEB" w:rsidP="001D3335">
      <w:pPr>
        <w:spacing w:after="0" w:line="276" w:lineRule="auto"/>
        <w:ind w:left="567" w:right="616"/>
        <w:jc w:val="both"/>
        <w:rPr>
          <w:rFonts w:ascii="ITC Avant Garde" w:hAnsi="ITC Avant Garde"/>
          <w:i/>
          <w:sz w:val="18"/>
          <w:szCs w:val="18"/>
        </w:rPr>
      </w:pPr>
      <w:r w:rsidRPr="00E16359">
        <w:rPr>
          <w:rFonts w:ascii="ITC Avant Garde" w:hAnsi="ITC Avant Garde"/>
          <w:i/>
          <w:sz w:val="18"/>
          <w:szCs w:val="18"/>
        </w:rPr>
        <w:t>Interés Base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presente Convenio,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o bono o instrumento que el Gobierno Federal coloque en el mercado de dinero que más se aproxime al plazo de 28 días.</w:t>
      </w:r>
    </w:p>
    <w:p w:rsidR="009A1EEB" w:rsidRPr="00E16359" w:rsidRDefault="009A1EEB" w:rsidP="001D3335">
      <w:pPr>
        <w:spacing w:after="0" w:line="276" w:lineRule="auto"/>
        <w:ind w:left="567" w:right="616"/>
        <w:jc w:val="both"/>
        <w:rPr>
          <w:rFonts w:ascii="ITC Avant Garde" w:hAnsi="ITC Avant Garde"/>
          <w:i/>
          <w:sz w:val="18"/>
          <w:szCs w:val="18"/>
        </w:rPr>
      </w:pPr>
    </w:p>
    <w:p w:rsidR="009A1EEB" w:rsidRPr="00E16359" w:rsidRDefault="009A1EEB" w:rsidP="001D3335">
      <w:pPr>
        <w:spacing w:after="0" w:line="276" w:lineRule="auto"/>
        <w:ind w:left="567" w:right="616"/>
        <w:jc w:val="both"/>
        <w:rPr>
          <w:rFonts w:ascii="ITC Avant Garde" w:hAnsi="ITC Avant Garde"/>
          <w:i/>
          <w:sz w:val="18"/>
          <w:szCs w:val="18"/>
        </w:rPr>
      </w:pPr>
      <w:r w:rsidRPr="00E16359">
        <w:rPr>
          <w:rFonts w:ascii="ITC Avant Garde" w:hAnsi="ITC Avant Garde"/>
          <w:i/>
          <w:sz w:val="18"/>
          <w:szCs w:val="18"/>
        </w:rPr>
        <w:t xml:space="preserve"> No obstante,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rsidR="00F97BC7" w:rsidRPr="00E16359" w:rsidRDefault="00F97BC7" w:rsidP="001D3335">
      <w:pPr>
        <w:spacing w:after="0" w:line="276" w:lineRule="auto"/>
        <w:ind w:right="49"/>
        <w:jc w:val="both"/>
        <w:rPr>
          <w:rFonts w:ascii="ITC Avant Garde" w:hAnsi="ITC Avant Garde"/>
        </w:rPr>
      </w:pPr>
    </w:p>
    <w:p w:rsidR="00F97BC7" w:rsidRPr="00E16359" w:rsidRDefault="00F97BC7" w:rsidP="001D3335">
      <w:pPr>
        <w:spacing w:after="0" w:line="276" w:lineRule="auto"/>
        <w:ind w:right="49"/>
        <w:jc w:val="both"/>
        <w:rPr>
          <w:rFonts w:ascii="ITC Avant Garde" w:hAnsi="ITC Avant Garde"/>
          <w:b/>
        </w:rPr>
      </w:pPr>
      <w:r w:rsidRPr="00E16359">
        <w:rPr>
          <w:rFonts w:ascii="ITC Avant Garde" w:hAnsi="ITC Avant Garde"/>
          <w:b/>
        </w:rPr>
        <w:t xml:space="preserve">AXTEL </w:t>
      </w:r>
    </w:p>
    <w:p w:rsidR="00BD6FD5" w:rsidRPr="00E16359" w:rsidRDefault="00BD6FD5" w:rsidP="001D3335">
      <w:pPr>
        <w:spacing w:after="0" w:line="276" w:lineRule="auto"/>
        <w:ind w:right="49"/>
        <w:jc w:val="both"/>
        <w:rPr>
          <w:rFonts w:ascii="ITC Avant Garde" w:hAnsi="ITC Avant Garde"/>
        </w:rPr>
      </w:pPr>
    </w:p>
    <w:p w:rsidR="00B65370" w:rsidRPr="00E16359" w:rsidRDefault="00F97BC7" w:rsidP="001D3335">
      <w:pPr>
        <w:spacing w:after="0" w:line="276" w:lineRule="auto"/>
        <w:ind w:right="49"/>
        <w:jc w:val="both"/>
        <w:rPr>
          <w:rFonts w:ascii="ITC Avant Garde" w:hAnsi="ITC Avant Garde"/>
        </w:rPr>
      </w:pPr>
      <w:r w:rsidRPr="00E16359">
        <w:rPr>
          <w:rFonts w:ascii="ITC Avant Garde" w:hAnsi="ITC Avant Garde"/>
        </w:rPr>
        <w:t xml:space="preserve">Manifestó que </w:t>
      </w:r>
      <w:r w:rsidR="00B65370" w:rsidRPr="00E16359">
        <w:rPr>
          <w:rFonts w:ascii="ITC Avant Garde" w:hAnsi="ITC Avant Garde"/>
        </w:rPr>
        <w:t>se debe</w:t>
      </w:r>
      <w:r w:rsidR="00BD6FD5" w:rsidRPr="00E16359">
        <w:rPr>
          <w:rFonts w:ascii="ITC Avant Garde" w:hAnsi="ITC Avant Garde"/>
        </w:rPr>
        <w:t xml:space="preserve"> establecer una restricción respecto de</w:t>
      </w:r>
      <w:r w:rsidR="00B65370" w:rsidRPr="00E16359">
        <w:rPr>
          <w:rFonts w:ascii="ITC Avant Garde" w:hAnsi="ITC Avant Garde"/>
        </w:rPr>
        <w:t>l tiempo para la revisión de facturas objetadas, con el fin de incentivar el cumplimiento de los plazos establecidos.</w:t>
      </w:r>
    </w:p>
    <w:p w:rsidR="00B65370" w:rsidRPr="00E16359" w:rsidRDefault="00B65370" w:rsidP="001D3335">
      <w:pPr>
        <w:spacing w:after="0" w:line="276" w:lineRule="auto"/>
        <w:ind w:right="49"/>
        <w:jc w:val="both"/>
        <w:rPr>
          <w:rFonts w:ascii="ITC Avant Garde" w:hAnsi="ITC Avant Garde"/>
        </w:rPr>
      </w:pPr>
    </w:p>
    <w:p w:rsidR="00F97BC7" w:rsidRPr="00E16359" w:rsidRDefault="000A71B3" w:rsidP="001D3335">
      <w:pPr>
        <w:spacing w:after="0" w:line="276" w:lineRule="auto"/>
        <w:ind w:right="49"/>
        <w:jc w:val="both"/>
        <w:rPr>
          <w:rFonts w:ascii="ITC Avant Garde" w:hAnsi="ITC Avant Garde"/>
        </w:rPr>
      </w:pPr>
      <w:r w:rsidRPr="00E16359">
        <w:rPr>
          <w:rFonts w:ascii="ITC Avant Garde" w:hAnsi="ITC Avant Garde"/>
        </w:rPr>
        <w:t>En este sentido, propone la siguiente modificación</w:t>
      </w:r>
      <w:r w:rsidR="00F97BC7" w:rsidRPr="00E16359">
        <w:rPr>
          <w:rFonts w:ascii="ITC Avant Garde" w:hAnsi="ITC Avant Garde"/>
        </w:rPr>
        <w:t>:</w:t>
      </w:r>
    </w:p>
    <w:p w:rsidR="00F97BC7" w:rsidRPr="00E16359" w:rsidRDefault="00F97BC7" w:rsidP="001D3335">
      <w:pPr>
        <w:spacing w:after="0" w:line="276" w:lineRule="auto"/>
        <w:ind w:right="49"/>
        <w:jc w:val="both"/>
        <w:rPr>
          <w:rFonts w:ascii="ITC Avant Garde" w:hAnsi="ITC Avant Garde"/>
          <w:i/>
        </w:rPr>
      </w:pPr>
    </w:p>
    <w:p w:rsidR="00F97BC7" w:rsidRPr="00E16359" w:rsidRDefault="00F97BC7" w:rsidP="001D3335">
      <w:pPr>
        <w:spacing w:after="0" w:line="276" w:lineRule="auto"/>
        <w:ind w:left="567" w:right="900"/>
        <w:jc w:val="both"/>
        <w:rPr>
          <w:rFonts w:ascii="ITC Avant Garde" w:hAnsi="ITC Avant Garde"/>
          <w:i/>
          <w:sz w:val="18"/>
          <w:szCs w:val="18"/>
        </w:rPr>
      </w:pPr>
      <w:r w:rsidRPr="00E16359">
        <w:rPr>
          <w:rFonts w:ascii="ITC Avant Garde" w:hAnsi="ITC Avant Garde"/>
          <w:i/>
          <w:sz w:val="18"/>
          <w:szCs w:val="18"/>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w:t>
      </w:r>
      <w:r w:rsidRPr="00E16359">
        <w:rPr>
          <w:rFonts w:ascii="ITC Avant Garde" w:hAnsi="ITC Avant Garde"/>
          <w:i/>
          <w:sz w:val="18"/>
          <w:szCs w:val="18"/>
        </w:rPr>
        <w:lastRenderedPageBreak/>
        <w:t>se realiza dentro de los 18 (dieciocho) días naturales.   siguientes a la fecha de la recepción de la factura de que se trate y de acuerdo con los demás términos y condicione</w:t>
      </w:r>
      <w:r w:rsidR="001F3260" w:rsidRPr="00E16359">
        <w:rPr>
          <w:rFonts w:ascii="ITC Avant Garde" w:hAnsi="ITC Avant Garde"/>
          <w:i/>
          <w:sz w:val="18"/>
          <w:szCs w:val="18"/>
        </w:rPr>
        <w:t>s</w:t>
      </w:r>
      <w:r w:rsidRPr="00E16359">
        <w:rPr>
          <w:rFonts w:ascii="ITC Avant Garde" w:hAnsi="ITC Avant Garde"/>
          <w:i/>
          <w:sz w:val="18"/>
          <w:szCs w:val="18"/>
        </w:rPr>
        <w:t xml:space="preserve"> previstos en el primer párrafo de este inciso.</w:t>
      </w:r>
    </w:p>
    <w:p w:rsidR="00F97BC7" w:rsidRPr="00E16359" w:rsidRDefault="00F97BC7" w:rsidP="001D3335">
      <w:pPr>
        <w:spacing w:after="0" w:line="276" w:lineRule="auto"/>
        <w:ind w:left="567" w:right="900"/>
        <w:jc w:val="both"/>
        <w:rPr>
          <w:rFonts w:ascii="ITC Avant Garde" w:hAnsi="ITC Avant Garde"/>
          <w:i/>
          <w:sz w:val="18"/>
          <w:szCs w:val="18"/>
        </w:rPr>
      </w:pPr>
    </w:p>
    <w:p w:rsidR="00F97BC7" w:rsidRPr="00E16359" w:rsidRDefault="00F97BC7" w:rsidP="001D3335">
      <w:pPr>
        <w:spacing w:after="0" w:line="276" w:lineRule="auto"/>
        <w:ind w:left="567" w:right="900"/>
        <w:jc w:val="both"/>
        <w:rPr>
          <w:rFonts w:ascii="ITC Avant Garde" w:hAnsi="ITC Avant Garde"/>
          <w:i/>
          <w:sz w:val="18"/>
          <w:szCs w:val="18"/>
        </w:rPr>
      </w:pPr>
      <w:r w:rsidRPr="00E16359">
        <w:rPr>
          <w:rFonts w:ascii="ITC Avant Garde" w:hAnsi="ITC Avant Garde"/>
          <w:i/>
          <w:sz w:val="18"/>
          <w:szCs w:val="18"/>
        </w:rPr>
        <w:t>En el entendido que transcurridos los 60 (sesenta) días naturales sin que exista una repuesta de la parte revisora, se entenderá como aceptados los términos bajo los cuales la objeción fue presentada.”</w:t>
      </w:r>
    </w:p>
    <w:p w:rsidR="0018576A" w:rsidRPr="00E16359" w:rsidRDefault="0018576A" w:rsidP="001D3335">
      <w:pPr>
        <w:spacing w:after="0" w:line="276" w:lineRule="auto"/>
        <w:ind w:left="567" w:right="900"/>
        <w:jc w:val="both"/>
        <w:rPr>
          <w:rFonts w:ascii="ITC Avant Garde" w:hAnsi="ITC Avant Garde"/>
          <w:i/>
          <w:sz w:val="18"/>
          <w:szCs w:val="18"/>
        </w:rPr>
      </w:pPr>
    </w:p>
    <w:p w:rsidR="0018576A" w:rsidRPr="00E16359" w:rsidRDefault="0018576A" w:rsidP="001D3335">
      <w:pPr>
        <w:spacing w:after="0" w:line="276" w:lineRule="auto"/>
        <w:ind w:right="49"/>
        <w:jc w:val="both"/>
        <w:rPr>
          <w:rFonts w:ascii="ITC Avant Garde" w:hAnsi="ITC Avant Garde"/>
          <w:b/>
        </w:rPr>
      </w:pPr>
      <w:r w:rsidRPr="00E16359">
        <w:rPr>
          <w:rFonts w:ascii="ITC Avant Garde" w:hAnsi="ITC Avant Garde"/>
          <w:b/>
        </w:rPr>
        <w:t xml:space="preserve">GRUPO TELEVISA </w:t>
      </w:r>
    </w:p>
    <w:p w:rsidR="0018576A" w:rsidRPr="00E16359" w:rsidRDefault="0018576A" w:rsidP="001D3335">
      <w:pPr>
        <w:spacing w:after="0" w:line="276" w:lineRule="auto"/>
        <w:ind w:right="49"/>
        <w:jc w:val="both"/>
        <w:rPr>
          <w:rFonts w:ascii="ITC Avant Garde" w:hAnsi="ITC Avant Garde"/>
          <w:b/>
        </w:rPr>
      </w:pPr>
    </w:p>
    <w:p w:rsidR="0018576A" w:rsidRPr="00E16359" w:rsidRDefault="0018576A" w:rsidP="001D3335">
      <w:pPr>
        <w:spacing w:after="0" w:line="276" w:lineRule="auto"/>
        <w:ind w:right="49"/>
        <w:jc w:val="both"/>
        <w:rPr>
          <w:rFonts w:ascii="ITC Avant Garde" w:hAnsi="ITC Avant Garde"/>
          <w:b/>
        </w:rPr>
      </w:pPr>
      <w:r w:rsidRPr="00E16359">
        <w:rPr>
          <w:rFonts w:ascii="ITC Avant Garde" w:hAnsi="ITC Avant Garde"/>
        </w:rPr>
        <w:t>Solicitó la ampliación del plazo de 18 días naturales a 30 días naturales, tanto para el pago como para la objeción de facturas, con el objetivo de que los concesionarios solicitantes tengan el tiempo suficiente para revisar las facturas y presentar las posibles objeciones</w:t>
      </w:r>
      <w:r w:rsidRPr="00E16359">
        <w:rPr>
          <w:rFonts w:ascii="ITC Avant Garde" w:hAnsi="ITC Avant Garde"/>
          <w:b/>
        </w:rPr>
        <w:t>.</w:t>
      </w:r>
    </w:p>
    <w:p w:rsidR="0018576A" w:rsidRPr="00E16359" w:rsidRDefault="0018576A" w:rsidP="001D3335">
      <w:pPr>
        <w:spacing w:after="0" w:line="276" w:lineRule="auto"/>
        <w:ind w:right="49"/>
        <w:jc w:val="both"/>
        <w:rPr>
          <w:rFonts w:ascii="ITC Avant Garde" w:hAnsi="ITC Avant Garde"/>
          <w:b/>
        </w:rPr>
      </w:pPr>
    </w:p>
    <w:p w:rsidR="00C2127E" w:rsidRPr="00E16359" w:rsidRDefault="00C2127E"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FC706F" w:rsidRPr="00E16359" w:rsidRDefault="003D2920" w:rsidP="00552EB9">
      <w:pPr>
        <w:spacing w:line="276" w:lineRule="auto"/>
        <w:jc w:val="both"/>
        <w:rPr>
          <w:rFonts w:ascii="ITC Avant Garde" w:hAnsi="ITC Avant Garde"/>
        </w:rPr>
      </w:pPr>
      <w:r w:rsidRPr="00E16359">
        <w:rPr>
          <w:rFonts w:ascii="ITC Avant Garde" w:hAnsi="ITC Avant Garde"/>
        </w:rPr>
        <w:t xml:space="preserve">Al respecto, es importante señalar que en el CMI vigente no existe el pago </w:t>
      </w:r>
      <w:r w:rsidR="00552EB9" w:rsidRPr="00E16359">
        <w:rPr>
          <w:rFonts w:ascii="ITC Avant Garde" w:hAnsi="ITC Avant Garde"/>
        </w:rPr>
        <w:t>por facturas objetadas en el que se agregue el interés base e interés alternativo</w:t>
      </w:r>
      <w:r w:rsidR="00FC706F" w:rsidRPr="00E16359">
        <w:rPr>
          <w:rFonts w:ascii="ITC Avant Garde" w:hAnsi="ITC Avant Garde"/>
        </w:rPr>
        <w:t>,</w:t>
      </w:r>
      <w:r w:rsidR="00552EB9" w:rsidRPr="00E16359">
        <w:rPr>
          <w:rFonts w:ascii="ITC Avant Garde" w:hAnsi="ITC Avant Garde"/>
        </w:rPr>
        <w:t xml:space="preserve"> ya que en </w:t>
      </w:r>
      <w:r w:rsidR="00F50FF9" w:rsidRPr="00E16359">
        <w:rPr>
          <w:rFonts w:ascii="ITC Avant Garde" w:hAnsi="ITC Avant Garde"/>
        </w:rPr>
        <w:t>dicho procedimiento</w:t>
      </w:r>
      <w:r w:rsidR="00552EB9" w:rsidRPr="00E16359">
        <w:rPr>
          <w:rFonts w:ascii="ITC Avant Garde" w:hAnsi="ITC Avant Garde"/>
        </w:rPr>
        <w:t xml:space="preserve"> no se considera aplicable el pago de intereses generados, dada la naturaleza recíproca de los servicios de interconexión</w:t>
      </w:r>
      <w:r w:rsidR="00F50FF9" w:rsidRPr="00E16359">
        <w:rPr>
          <w:rFonts w:ascii="ITC Avant Garde" w:hAnsi="ITC Avant Garde"/>
        </w:rPr>
        <w:t xml:space="preserve"> y en virtud de que el procedimiento por facturas objetadas no deriva de la falta o negativa de pago por la prestación de los servicios, sino de la inconformidad en los consumos que se registraron en la facturación correspondiente</w:t>
      </w:r>
      <w:r w:rsidR="00FC706F" w:rsidRPr="00E16359">
        <w:rPr>
          <w:rFonts w:ascii="ITC Avant Garde" w:hAnsi="ITC Avant Garde"/>
        </w:rPr>
        <w:t>.</w:t>
      </w:r>
    </w:p>
    <w:p w:rsidR="00FC706F" w:rsidRPr="00E16359" w:rsidRDefault="00FC706F" w:rsidP="00E16359">
      <w:pPr>
        <w:autoSpaceDE w:val="0"/>
        <w:autoSpaceDN w:val="0"/>
        <w:adjustRightInd w:val="0"/>
        <w:spacing w:after="0"/>
        <w:jc w:val="both"/>
        <w:rPr>
          <w:rFonts w:ascii="ITC Avant Garde" w:hAnsi="ITC Avant Garde"/>
        </w:rPr>
      </w:pPr>
      <w:r w:rsidRPr="00E16359">
        <w:rPr>
          <w:rFonts w:ascii="ITC Avant Garde" w:hAnsi="ITC Avant Garde"/>
        </w:rPr>
        <w:t xml:space="preserve">Es así que el CMI prevé, que la falta de pago de aquellas Facturas Objetadas en proceso de resolución no será considerada como incumplimiento a la obligación del pago de las contraprestaciones correspondientes, hasta en tanto se agote el procedimiento de conciliación de facturas establecido en el CMI, por tal motivo no resulta procedente establecer el pago de Interés base e interés alternativo al caso de facturas objetadas. </w:t>
      </w:r>
    </w:p>
    <w:p w:rsidR="00FC706F" w:rsidRPr="00E16359" w:rsidRDefault="00FC706F" w:rsidP="00E16359">
      <w:pPr>
        <w:autoSpaceDE w:val="0"/>
        <w:autoSpaceDN w:val="0"/>
        <w:adjustRightInd w:val="0"/>
        <w:spacing w:after="0"/>
        <w:jc w:val="both"/>
        <w:rPr>
          <w:rFonts w:ascii="ITC Avant Garde" w:hAnsi="ITC Avant Garde"/>
        </w:rPr>
      </w:pPr>
    </w:p>
    <w:p w:rsidR="00251298" w:rsidRPr="00E16359" w:rsidRDefault="000174F2" w:rsidP="001D3335">
      <w:pPr>
        <w:spacing w:line="276" w:lineRule="auto"/>
        <w:jc w:val="both"/>
        <w:rPr>
          <w:rFonts w:ascii="ITC Avant Garde" w:eastAsia="Avant Garde" w:hAnsi="ITC Avant Garde" w:cs="Avant Garde"/>
          <w:color w:val="000000"/>
          <w:lang w:eastAsia="es-MX"/>
        </w:rPr>
      </w:pPr>
      <w:r w:rsidRPr="00E16359">
        <w:rPr>
          <w:rFonts w:ascii="ITC Avant Garde" w:eastAsia="Avant Garde" w:hAnsi="ITC Avant Garde" w:cs="Avant Garde"/>
          <w:color w:val="000000"/>
          <w:lang w:eastAsia="es-MX"/>
        </w:rPr>
        <w:t xml:space="preserve">Ahora bien, </w:t>
      </w:r>
      <w:r w:rsidR="00251298" w:rsidRPr="00E16359">
        <w:rPr>
          <w:rFonts w:ascii="ITC Avant Garde" w:eastAsia="Avant Garde" w:hAnsi="ITC Avant Garde" w:cs="Avant Garde"/>
          <w:color w:val="000000"/>
          <w:lang w:eastAsia="es-MX"/>
        </w:rPr>
        <w:t>con el fin de incentivar la determinación de la procedencia de una factura dentro del plazo establecido para tal fin, se precis</w:t>
      </w:r>
      <w:r w:rsidR="006C5D14" w:rsidRPr="00E16359">
        <w:rPr>
          <w:rFonts w:ascii="ITC Avant Garde" w:eastAsia="Avant Garde" w:hAnsi="ITC Avant Garde" w:cs="Avant Garde"/>
          <w:color w:val="000000"/>
          <w:lang w:eastAsia="es-MX"/>
        </w:rPr>
        <w:t>ó</w:t>
      </w:r>
      <w:r w:rsidR="00251298" w:rsidRPr="00E16359">
        <w:rPr>
          <w:rFonts w:ascii="ITC Avant Garde" w:eastAsia="Avant Garde" w:hAnsi="ITC Avant Garde" w:cs="Avant Garde"/>
          <w:color w:val="000000"/>
          <w:lang w:eastAsia="es-MX"/>
        </w:rPr>
        <w:t xml:space="preserve"> que se entenderán como aceptados los términos de la objeción si no existe una respuesta de la parte revisora, </w:t>
      </w:r>
      <w:r w:rsidR="006F70D1" w:rsidRPr="00E16359">
        <w:rPr>
          <w:rFonts w:ascii="ITC Avant Garde" w:eastAsia="Avant Garde" w:hAnsi="ITC Avant Garde" w:cs="Avant Garde"/>
          <w:color w:val="000000"/>
          <w:lang w:eastAsia="es-MX"/>
        </w:rPr>
        <w:t>en la parte conducente que establece:</w:t>
      </w:r>
    </w:p>
    <w:p w:rsidR="00251298" w:rsidRPr="00E16359" w:rsidRDefault="00251298" w:rsidP="001D3335">
      <w:pPr>
        <w:pStyle w:val="IFT1"/>
        <w:tabs>
          <w:tab w:val="left" w:pos="426"/>
        </w:tabs>
        <w:spacing w:before="240" w:after="0"/>
        <w:ind w:left="567" w:right="616"/>
        <w:rPr>
          <w:bCs/>
          <w:i/>
          <w:sz w:val="18"/>
          <w:szCs w:val="18"/>
        </w:rPr>
      </w:pPr>
      <w:r w:rsidRPr="00E16359">
        <w:rPr>
          <w:bCs/>
          <w:i/>
          <w:sz w:val="18"/>
          <w:szCs w:val="18"/>
        </w:rPr>
        <w:t>“4.4.3.1.-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p>
    <w:p w:rsidR="00251298" w:rsidRPr="00E16359" w:rsidRDefault="00251298" w:rsidP="001D3335">
      <w:pPr>
        <w:pStyle w:val="IFT1"/>
        <w:tabs>
          <w:tab w:val="left" w:pos="426"/>
        </w:tabs>
        <w:spacing w:before="240" w:after="0"/>
        <w:ind w:left="567" w:right="616"/>
        <w:rPr>
          <w:bCs/>
          <w:i/>
          <w:sz w:val="18"/>
          <w:szCs w:val="18"/>
        </w:rPr>
      </w:pPr>
      <w:r w:rsidRPr="00E16359">
        <w:rPr>
          <w:bCs/>
          <w:i/>
          <w:sz w:val="18"/>
          <w:szCs w:val="18"/>
          <w:u w:val="single"/>
        </w:rPr>
        <w:lastRenderedPageBreak/>
        <w:t>En el entendido que transcurridos los 60 (sesenta) días naturales sin que exista una respuesta de la parte revisora, se entenderá como aceptados los términos bajo los cuales la objeción fue presentada.</w:t>
      </w:r>
      <w:r w:rsidRPr="00E16359">
        <w:rPr>
          <w:bCs/>
          <w:i/>
          <w:sz w:val="18"/>
          <w:szCs w:val="18"/>
        </w:rPr>
        <w:t>”</w:t>
      </w:r>
    </w:p>
    <w:p w:rsidR="00251298" w:rsidRPr="00E16359" w:rsidRDefault="00251298" w:rsidP="00ED1CDA">
      <w:pPr>
        <w:pStyle w:val="IFT1"/>
        <w:tabs>
          <w:tab w:val="left" w:pos="426"/>
        </w:tabs>
        <w:spacing w:before="240" w:after="0"/>
        <w:ind w:left="567" w:right="616"/>
        <w:jc w:val="right"/>
        <w:rPr>
          <w:bCs/>
          <w:i/>
          <w:sz w:val="18"/>
          <w:szCs w:val="18"/>
        </w:rPr>
      </w:pPr>
      <w:r w:rsidRPr="00E16359">
        <w:rPr>
          <w:bCs/>
          <w:i/>
          <w:sz w:val="18"/>
          <w:szCs w:val="18"/>
        </w:rPr>
        <w:t>(Énfasis añadido)</w:t>
      </w:r>
    </w:p>
    <w:p w:rsidR="00251298" w:rsidRPr="00E16359" w:rsidRDefault="00251298" w:rsidP="001D3335">
      <w:pPr>
        <w:spacing w:line="276" w:lineRule="auto"/>
        <w:jc w:val="both"/>
        <w:rPr>
          <w:rFonts w:ascii="ITC Avant Garde" w:eastAsia="Avant Garde" w:hAnsi="ITC Avant Garde" w:cs="Avant Garde"/>
          <w:color w:val="000000"/>
          <w:lang w:eastAsia="es-MX"/>
        </w:rPr>
      </w:pPr>
    </w:p>
    <w:p w:rsidR="0063066D" w:rsidRPr="00E16359" w:rsidRDefault="00552EB9" w:rsidP="001D3335">
      <w:pPr>
        <w:spacing w:after="0" w:line="276" w:lineRule="auto"/>
        <w:ind w:right="49"/>
        <w:jc w:val="both"/>
        <w:rPr>
          <w:rFonts w:ascii="ITC Avant Garde" w:hAnsi="ITC Avant Garde"/>
        </w:rPr>
      </w:pPr>
      <w:r w:rsidRPr="00E16359">
        <w:rPr>
          <w:rFonts w:ascii="ITC Avant Garde" w:hAnsi="ITC Avant Garde"/>
        </w:rPr>
        <w:t xml:space="preserve">Por </w:t>
      </w:r>
      <w:r w:rsidR="00002716" w:rsidRPr="00E16359">
        <w:rPr>
          <w:rFonts w:ascii="ITC Avant Garde" w:hAnsi="ITC Avant Garde"/>
        </w:rPr>
        <w:t>último</w:t>
      </w:r>
      <w:r w:rsidR="00746E19" w:rsidRPr="00E16359">
        <w:rPr>
          <w:rFonts w:ascii="ITC Avant Garde" w:hAnsi="ITC Avant Garde"/>
        </w:rPr>
        <w:t xml:space="preserve">, </w:t>
      </w:r>
      <w:r w:rsidR="00002716" w:rsidRPr="00E16359">
        <w:rPr>
          <w:rFonts w:ascii="ITC Avant Garde" w:hAnsi="ITC Avant Garde"/>
        </w:rPr>
        <w:t>respecto al comentario de</w:t>
      </w:r>
      <w:r w:rsidR="00555A3F" w:rsidRPr="00E16359">
        <w:rPr>
          <w:rFonts w:ascii="ITC Avant Garde" w:hAnsi="ITC Avant Garde"/>
        </w:rPr>
        <w:t xml:space="preserve"> Grupo</w:t>
      </w:r>
      <w:r w:rsidR="00002716" w:rsidRPr="00E16359">
        <w:rPr>
          <w:rFonts w:ascii="ITC Avant Garde" w:hAnsi="ITC Avant Garde"/>
        </w:rPr>
        <w:t xml:space="preserve"> Televisa, se considera que la finalidad de la cláusula en comento es agilizar el procedimiento de objeción de facturas para ambas partes; asimismo, de una revisión de los convenios de interconexión que obran en el Registro Público de Concesiones, se observa que el plazo de 18 (dieciocho) días naturales para la objeción de facturas es una práctica común en la industria, por lo cual no se considera procedente la modificación del numeral en comento.</w:t>
      </w:r>
    </w:p>
    <w:p w:rsidR="0063066D" w:rsidRPr="00E16359" w:rsidRDefault="0063066D" w:rsidP="001D3335">
      <w:pPr>
        <w:spacing w:after="0" w:line="276" w:lineRule="auto"/>
        <w:ind w:right="49"/>
        <w:jc w:val="both"/>
        <w:rPr>
          <w:rFonts w:ascii="ITC Avant Garde" w:hAnsi="ITC Avant Garde"/>
        </w:rPr>
      </w:pPr>
    </w:p>
    <w:p w:rsidR="00746E19" w:rsidRPr="00E16359" w:rsidRDefault="00746E19" w:rsidP="001D3335">
      <w:pPr>
        <w:spacing w:after="0" w:line="276" w:lineRule="auto"/>
        <w:ind w:right="49"/>
        <w:jc w:val="both"/>
        <w:rPr>
          <w:rFonts w:ascii="ITC Avant Garde" w:hAnsi="ITC Avant Garde"/>
          <w:b/>
        </w:rPr>
      </w:pPr>
    </w:p>
    <w:p w:rsidR="00E97E05" w:rsidRPr="00E16359" w:rsidRDefault="00C84246" w:rsidP="001D3335">
      <w:pPr>
        <w:spacing w:after="0" w:line="276" w:lineRule="auto"/>
        <w:ind w:right="49"/>
        <w:jc w:val="both"/>
        <w:rPr>
          <w:rFonts w:ascii="ITC Avant Garde" w:hAnsi="ITC Avant Garde"/>
          <w:b/>
          <w:u w:val="single"/>
        </w:rPr>
      </w:pPr>
      <w:r w:rsidRPr="00E16359">
        <w:rPr>
          <w:rFonts w:ascii="ITC Avant Garde" w:hAnsi="ITC Avant Garde"/>
          <w:b/>
          <w:u w:val="single"/>
        </w:rPr>
        <w:t>Refac</w:t>
      </w:r>
      <w:r w:rsidR="00DD0CC6" w:rsidRPr="00E16359">
        <w:rPr>
          <w:rFonts w:ascii="ITC Avant Garde" w:hAnsi="ITC Avant Garde"/>
          <w:b/>
          <w:u w:val="single"/>
        </w:rPr>
        <w:t>turación y a</w:t>
      </w:r>
      <w:r w:rsidRPr="00E16359">
        <w:rPr>
          <w:rFonts w:ascii="ITC Avant Garde" w:hAnsi="ITC Avant Garde"/>
          <w:b/>
          <w:u w:val="single"/>
        </w:rPr>
        <w:t xml:space="preserve">justes </w:t>
      </w:r>
    </w:p>
    <w:p w:rsidR="005E7019" w:rsidRPr="00E16359" w:rsidRDefault="005E7019" w:rsidP="001D3335">
      <w:pPr>
        <w:spacing w:after="0" w:line="276" w:lineRule="auto"/>
        <w:ind w:right="49"/>
        <w:jc w:val="both"/>
        <w:rPr>
          <w:rFonts w:ascii="ITC Avant Garde" w:hAnsi="ITC Avant Garde"/>
          <w:b/>
        </w:rPr>
      </w:pPr>
    </w:p>
    <w:p w:rsidR="005E7019" w:rsidRPr="00E16359" w:rsidRDefault="00D41653" w:rsidP="001D3335">
      <w:pPr>
        <w:spacing w:after="0" w:line="276" w:lineRule="auto"/>
        <w:ind w:right="49"/>
        <w:jc w:val="both"/>
        <w:rPr>
          <w:rFonts w:ascii="ITC Avant Garde" w:hAnsi="ITC Avant Garde"/>
          <w:b/>
        </w:rPr>
      </w:pPr>
      <w:r w:rsidRPr="00E16359">
        <w:rPr>
          <w:rFonts w:ascii="ITC Avant Garde" w:hAnsi="ITC Avant Garde"/>
          <w:b/>
        </w:rPr>
        <w:t xml:space="preserve">GRUPO TELEVISA </w:t>
      </w:r>
    </w:p>
    <w:p w:rsidR="00EE0F9E" w:rsidRPr="00E16359" w:rsidRDefault="00EE0F9E" w:rsidP="001D3335">
      <w:pPr>
        <w:spacing w:after="0" w:line="276" w:lineRule="auto"/>
        <w:ind w:right="49"/>
        <w:jc w:val="both"/>
        <w:rPr>
          <w:rFonts w:ascii="ITC Avant Garde" w:hAnsi="ITC Avant Garde"/>
          <w:b/>
        </w:rPr>
      </w:pPr>
    </w:p>
    <w:p w:rsidR="00002716" w:rsidRPr="00E16359" w:rsidRDefault="00002716" w:rsidP="00002716">
      <w:pPr>
        <w:spacing w:after="0" w:line="276" w:lineRule="auto"/>
        <w:ind w:right="49"/>
        <w:jc w:val="both"/>
        <w:rPr>
          <w:rFonts w:ascii="ITC Avant Garde" w:hAnsi="ITC Avant Garde"/>
        </w:rPr>
      </w:pPr>
      <w:r w:rsidRPr="00E16359">
        <w:rPr>
          <w:rFonts w:ascii="ITC Avant Garde" w:hAnsi="ITC Avant Garde"/>
        </w:rPr>
        <w:t>Señala que la Cláusula 4.4.5 diferencia en el periodo de tiempo disponible para presentar facturas complementarias entre la parte prestadora y la receptora, 120 días para la primera y 60 días para la segunda. Señala que esta diferenciación parece innecesaria y sugiere un trato desigual entre las partes. En virtud de lo anterior Televisa sugiere que ambos periodos se igualen a 90.</w:t>
      </w:r>
    </w:p>
    <w:p w:rsidR="00002716" w:rsidRPr="00E16359" w:rsidRDefault="00002716" w:rsidP="00002716">
      <w:pPr>
        <w:spacing w:after="0" w:line="276" w:lineRule="auto"/>
        <w:ind w:right="49"/>
        <w:jc w:val="both"/>
        <w:rPr>
          <w:rFonts w:ascii="ITC Avant Garde" w:hAnsi="ITC Avant Garde"/>
        </w:rPr>
      </w:pPr>
    </w:p>
    <w:p w:rsidR="00C2127E" w:rsidRPr="00E16359" w:rsidRDefault="00002716" w:rsidP="001D3335">
      <w:pPr>
        <w:spacing w:line="276" w:lineRule="auto"/>
        <w:jc w:val="both"/>
        <w:rPr>
          <w:rFonts w:ascii="ITC Avant Garde" w:hAnsi="ITC Avant Garde"/>
          <w:b/>
        </w:rPr>
      </w:pPr>
      <w:r w:rsidRPr="00E16359">
        <w:rPr>
          <w:rFonts w:ascii="ITC Avant Garde" w:hAnsi="ITC Avant Garde"/>
        </w:rPr>
        <w:t>Adicionalmente, dicho concesionario propone que para evitar en la medida de lo posible la facturación extemporánea y reclamaciones tardías, se instaure un proceso específico de conciliación mensual de facturas siguiendo el modelo que se sigue en Telefónica de España en su OIR.</w:t>
      </w:r>
    </w:p>
    <w:p w:rsidR="00C2127E" w:rsidRPr="00E16359" w:rsidRDefault="00C2127E"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002716" w:rsidRPr="00E16359" w:rsidRDefault="00002716" w:rsidP="001D3335">
      <w:pPr>
        <w:spacing w:after="0" w:line="276" w:lineRule="auto"/>
        <w:ind w:right="49"/>
        <w:jc w:val="both"/>
        <w:rPr>
          <w:rFonts w:ascii="ITC Avant Garde" w:eastAsia="Avant Garde" w:hAnsi="ITC Avant Garde" w:cs="Avant Garde"/>
          <w:color w:val="000000"/>
          <w:lang w:eastAsia="es-MX"/>
        </w:rPr>
      </w:pPr>
      <w:r w:rsidRPr="00E16359">
        <w:rPr>
          <w:rFonts w:ascii="ITC Avant Garde" w:eastAsia="Avant Garde" w:hAnsi="ITC Avant Garde" w:cs="Avant Garde"/>
          <w:color w:val="000000"/>
          <w:lang w:eastAsia="es-MX"/>
        </w:rPr>
        <w:t>Respecto al comentario anterior, se considera que la finalidad de la cláusula en comento es el que las partes cuenten con el tiempo suficiente para la presentación de facturas complementarias, donde la parte prestadora, dado su carácter de proveedor de servicios mayoristas a múltiples concesionarios, es la más susceptible a omitir o emitir imprecisiones en las mismas, por lo cual no se considera procedente la modificación del numeral en comento.</w:t>
      </w:r>
    </w:p>
    <w:p w:rsidR="00002716" w:rsidRPr="00E16359" w:rsidRDefault="00002716" w:rsidP="001D3335">
      <w:pPr>
        <w:spacing w:after="0" w:line="276" w:lineRule="auto"/>
        <w:ind w:right="49"/>
        <w:jc w:val="both"/>
        <w:rPr>
          <w:rFonts w:ascii="ITC Avant Garde" w:eastAsia="Avant Garde" w:hAnsi="ITC Avant Garde" w:cs="Avant Garde"/>
          <w:color w:val="000000"/>
          <w:lang w:eastAsia="es-MX"/>
        </w:rPr>
      </w:pPr>
    </w:p>
    <w:p w:rsidR="00002716" w:rsidRPr="00E16359" w:rsidRDefault="00002716" w:rsidP="001D3335">
      <w:pPr>
        <w:spacing w:after="0" w:line="276" w:lineRule="auto"/>
        <w:ind w:right="49"/>
        <w:jc w:val="both"/>
        <w:rPr>
          <w:rFonts w:ascii="ITC Avant Garde" w:eastAsia="Avant Garde" w:hAnsi="ITC Avant Garde" w:cs="Avant Garde"/>
          <w:color w:val="000000"/>
          <w:lang w:eastAsia="es-MX"/>
        </w:rPr>
      </w:pPr>
    </w:p>
    <w:p w:rsidR="00002716" w:rsidRPr="00E16359" w:rsidRDefault="00002716" w:rsidP="001D3335">
      <w:pPr>
        <w:spacing w:after="0" w:line="276" w:lineRule="auto"/>
        <w:ind w:right="49"/>
        <w:jc w:val="both"/>
        <w:rPr>
          <w:rFonts w:ascii="ITC Avant Garde" w:eastAsia="Avant Garde" w:hAnsi="ITC Avant Garde" w:cs="Avant Garde"/>
          <w:color w:val="000000"/>
          <w:lang w:eastAsia="es-MX"/>
        </w:rPr>
      </w:pPr>
    </w:p>
    <w:p w:rsidR="00002716" w:rsidRPr="00E16359" w:rsidRDefault="00002716" w:rsidP="001D3335">
      <w:pPr>
        <w:spacing w:after="0" w:line="276" w:lineRule="auto"/>
        <w:ind w:right="49"/>
        <w:jc w:val="both"/>
        <w:rPr>
          <w:rFonts w:ascii="ITC Avant Garde" w:eastAsia="Avant Garde" w:hAnsi="ITC Avant Garde" w:cs="Avant Garde"/>
          <w:color w:val="000000"/>
          <w:lang w:eastAsia="es-MX"/>
        </w:rPr>
      </w:pPr>
    </w:p>
    <w:p w:rsidR="00002716" w:rsidRPr="00E16359" w:rsidRDefault="00002716" w:rsidP="001D3335">
      <w:pPr>
        <w:spacing w:after="0" w:line="276" w:lineRule="auto"/>
        <w:ind w:right="49"/>
        <w:jc w:val="both"/>
        <w:rPr>
          <w:rFonts w:ascii="ITC Avant Garde" w:eastAsia="Avant Garde" w:hAnsi="ITC Avant Garde" w:cs="Avant Garde"/>
          <w:color w:val="000000"/>
          <w:lang w:eastAsia="es-MX"/>
        </w:rPr>
      </w:pPr>
    </w:p>
    <w:p w:rsidR="00D41653" w:rsidRPr="00E16359" w:rsidRDefault="00D41653" w:rsidP="001D3335">
      <w:pPr>
        <w:spacing w:after="0" w:line="276" w:lineRule="auto"/>
        <w:ind w:right="49"/>
        <w:jc w:val="both"/>
        <w:rPr>
          <w:rFonts w:ascii="ITC Avant Garde" w:hAnsi="ITC Avant Garde"/>
          <w:b/>
          <w:u w:val="single"/>
        </w:rPr>
      </w:pPr>
    </w:p>
    <w:p w:rsidR="00A24E7E" w:rsidRPr="00E16359" w:rsidRDefault="009014FD" w:rsidP="001D3335">
      <w:pPr>
        <w:spacing w:after="0" w:line="276" w:lineRule="auto"/>
        <w:ind w:right="49"/>
        <w:jc w:val="both"/>
        <w:rPr>
          <w:rFonts w:ascii="ITC Avant Garde" w:hAnsi="ITC Avant Garde"/>
          <w:b/>
          <w:u w:val="single"/>
        </w:rPr>
      </w:pPr>
      <w:r w:rsidRPr="00E16359">
        <w:rPr>
          <w:rFonts w:ascii="ITC Avant Garde" w:hAnsi="ITC Avant Garde"/>
          <w:b/>
          <w:u w:val="single"/>
        </w:rPr>
        <w:lastRenderedPageBreak/>
        <w:t>Cláusula Quinta. Aspectos Técnicos.</w:t>
      </w:r>
      <w:r w:rsidR="00557164" w:rsidRPr="00E16359">
        <w:rPr>
          <w:rFonts w:ascii="ITC Avant Garde" w:hAnsi="ITC Avant Garde"/>
          <w:b/>
          <w:u w:val="single"/>
        </w:rPr>
        <w:t xml:space="preserve"> </w:t>
      </w:r>
      <w:r w:rsidRPr="00E16359">
        <w:rPr>
          <w:rFonts w:ascii="ITC Avant Garde" w:hAnsi="ITC Avant Garde"/>
          <w:b/>
          <w:u w:val="single"/>
        </w:rPr>
        <w:t xml:space="preserve">Arquitectura Abierta </w:t>
      </w:r>
    </w:p>
    <w:p w:rsidR="00A24E7E" w:rsidRPr="00E16359" w:rsidRDefault="00A24E7E" w:rsidP="001D3335">
      <w:pPr>
        <w:spacing w:after="0" w:line="276" w:lineRule="auto"/>
        <w:ind w:right="49"/>
        <w:jc w:val="both"/>
        <w:rPr>
          <w:rFonts w:ascii="ITC Avant Garde" w:hAnsi="ITC Avant Garde"/>
          <w:b/>
        </w:rPr>
      </w:pPr>
    </w:p>
    <w:p w:rsidR="00A24E7E" w:rsidRPr="00E16359" w:rsidRDefault="00B458E8" w:rsidP="001D3335">
      <w:pPr>
        <w:spacing w:after="0" w:line="276" w:lineRule="auto"/>
        <w:ind w:right="49"/>
        <w:jc w:val="both"/>
        <w:rPr>
          <w:rFonts w:ascii="ITC Avant Garde" w:hAnsi="ITC Avant Garde"/>
          <w:b/>
        </w:rPr>
      </w:pPr>
      <w:r w:rsidRPr="00E16359">
        <w:rPr>
          <w:rFonts w:ascii="ITC Avant Garde" w:hAnsi="ITC Avant Garde"/>
          <w:b/>
        </w:rPr>
        <w:t>ALTÁN Y CANIETI</w:t>
      </w:r>
    </w:p>
    <w:p w:rsidR="00D00920" w:rsidRPr="00E16359" w:rsidRDefault="00D00920" w:rsidP="001D3335">
      <w:pPr>
        <w:spacing w:after="0" w:line="276" w:lineRule="auto"/>
        <w:ind w:right="49"/>
        <w:jc w:val="both"/>
        <w:rPr>
          <w:rFonts w:ascii="ITC Avant Garde" w:hAnsi="ITC Avant Garde"/>
          <w:b/>
        </w:rPr>
      </w:pPr>
    </w:p>
    <w:p w:rsidR="00C03435" w:rsidRPr="00E16359" w:rsidRDefault="00D00920" w:rsidP="001D3335">
      <w:pPr>
        <w:spacing w:after="0" w:line="276" w:lineRule="auto"/>
        <w:ind w:right="49"/>
        <w:jc w:val="both"/>
        <w:rPr>
          <w:rFonts w:ascii="ITC Avant Garde" w:hAnsi="ITC Avant Garde"/>
        </w:rPr>
      </w:pPr>
      <w:r w:rsidRPr="00E16359">
        <w:rPr>
          <w:rFonts w:ascii="ITC Avant Garde" w:hAnsi="ITC Avant Garde"/>
        </w:rPr>
        <w:t>Solicitaron que</w:t>
      </w:r>
      <w:r w:rsidR="00257C09" w:rsidRPr="00E16359">
        <w:rPr>
          <w:rFonts w:ascii="ITC Avant Garde" w:hAnsi="ITC Avant Garde"/>
        </w:rPr>
        <w:t>,</w:t>
      </w:r>
      <w:r w:rsidRPr="00E16359">
        <w:rPr>
          <w:rFonts w:ascii="ITC Avant Garde" w:hAnsi="ITC Avant Garde"/>
        </w:rPr>
        <w:t xml:space="preserve"> </w:t>
      </w:r>
      <w:r w:rsidR="00C03435" w:rsidRPr="00E16359">
        <w:rPr>
          <w:rFonts w:ascii="ITC Avant Garde" w:hAnsi="ITC Avant Garde"/>
        </w:rPr>
        <w:t>en caso de la emisión de nuevas Disposiciones</w:t>
      </w:r>
      <w:r w:rsidR="00CE46C8" w:rsidRPr="00E16359">
        <w:rPr>
          <w:rFonts w:ascii="ITC Avant Garde" w:hAnsi="ITC Avant Garde"/>
        </w:rPr>
        <w:t>,</w:t>
      </w:r>
      <w:r w:rsidR="00676EA0" w:rsidRPr="00E16359">
        <w:rPr>
          <w:rFonts w:ascii="ITC Avant Garde" w:hAnsi="ITC Avant Garde"/>
        </w:rPr>
        <w:t xml:space="preserve"> é</w:t>
      </w:r>
      <w:r w:rsidR="00C03435" w:rsidRPr="00E16359">
        <w:rPr>
          <w:rFonts w:ascii="ITC Avant Garde" w:hAnsi="ITC Avant Garde"/>
        </w:rPr>
        <w:t>stas</w:t>
      </w:r>
      <w:r w:rsidRPr="00E16359">
        <w:rPr>
          <w:rFonts w:ascii="ITC Avant Garde" w:hAnsi="ITC Avant Garde"/>
        </w:rPr>
        <w:t xml:space="preserve"> se apliquen de </w:t>
      </w:r>
      <w:r w:rsidR="00C03435" w:rsidRPr="00E16359">
        <w:rPr>
          <w:rFonts w:ascii="ITC Avant Garde" w:hAnsi="ITC Avant Garde"/>
        </w:rPr>
        <w:t>forma automática por las partes, sin necesidad de realizar adecuaciones al CMI.</w:t>
      </w:r>
    </w:p>
    <w:p w:rsidR="00CD77AE" w:rsidRPr="00E16359" w:rsidRDefault="00CD77AE" w:rsidP="001D3335">
      <w:pPr>
        <w:spacing w:after="0" w:line="276" w:lineRule="auto"/>
        <w:ind w:right="49"/>
        <w:jc w:val="both"/>
        <w:rPr>
          <w:rFonts w:ascii="ITC Avant Garde" w:hAnsi="ITC Avant Garde"/>
        </w:rPr>
      </w:pPr>
    </w:p>
    <w:p w:rsidR="0034510E" w:rsidRPr="00E16359" w:rsidRDefault="00D80325" w:rsidP="001D3335">
      <w:pPr>
        <w:spacing w:after="0" w:line="276" w:lineRule="auto"/>
        <w:ind w:right="49"/>
        <w:jc w:val="both"/>
        <w:rPr>
          <w:rFonts w:ascii="ITC Avant Garde" w:hAnsi="ITC Avant Garde"/>
          <w:b/>
        </w:rPr>
      </w:pPr>
      <w:r w:rsidRPr="00E16359">
        <w:rPr>
          <w:rFonts w:ascii="ITC Avant Garde" w:hAnsi="ITC Avant Garde"/>
          <w:b/>
        </w:rPr>
        <w:t>GRUPO TELEVISA</w:t>
      </w:r>
    </w:p>
    <w:p w:rsidR="00257C09" w:rsidRPr="00E16359" w:rsidRDefault="00257C09" w:rsidP="001D3335">
      <w:pPr>
        <w:spacing w:after="0" w:line="276" w:lineRule="auto"/>
        <w:ind w:right="49"/>
        <w:jc w:val="both"/>
        <w:rPr>
          <w:rFonts w:ascii="ITC Avant Garde" w:hAnsi="ITC Avant Garde"/>
          <w:b/>
        </w:rPr>
      </w:pPr>
    </w:p>
    <w:p w:rsidR="00D80325" w:rsidRPr="00E16359" w:rsidRDefault="00B54300" w:rsidP="001D3335">
      <w:pPr>
        <w:spacing w:after="0" w:line="276" w:lineRule="auto"/>
        <w:ind w:right="49"/>
        <w:jc w:val="both"/>
        <w:rPr>
          <w:rFonts w:ascii="ITC Avant Garde" w:hAnsi="ITC Avant Garde"/>
        </w:rPr>
      </w:pPr>
      <w:r w:rsidRPr="00E16359">
        <w:rPr>
          <w:rFonts w:ascii="ITC Avant Garde" w:hAnsi="ITC Avant Garde"/>
        </w:rPr>
        <w:t>Sugi</w:t>
      </w:r>
      <w:r w:rsidR="00BE523C" w:rsidRPr="00E16359">
        <w:rPr>
          <w:rFonts w:ascii="ITC Avant Garde" w:hAnsi="ITC Avant Garde"/>
        </w:rPr>
        <w:t>rió</w:t>
      </w:r>
      <w:r w:rsidR="00D80325" w:rsidRPr="00E16359">
        <w:rPr>
          <w:rFonts w:ascii="ITC Avant Garde" w:hAnsi="ITC Avant Garde"/>
        </w:rPr>
        <w:t xml:space="preserve"> la siguiente actualización:</w:t>
      </w:r>
    </w:p>
    <w:p w:rsidR="00D80325" w:rsidRPr="00E16359" w:rsidRDefault="00D80325" w:rsidP="001D3335">
      <w:pPr>
        <w:spacing w:after="0" w:line="276" w:lineRule="auto"/>
        <w:ind w:left="709" w:right="616"/>
        <w:jc w:val="both"/>
        <w:rPr>
          <w:rFonts w:ascii="ITC Avant Garde" w:hAnsi="ITC Avant Garde"/>
          <w:i/>
        </w:rPr>
      </w:pPr>
    </w:p>
    <w:p w:rsidR="00D80325" w:rsidRPr="00E16359" w:rsidRDefault="00D80325" w:rsidP="001D3335">
      <w:pPr>
        <w:spacing w:after="0" w:line="276" w:lineRule="auto"/>
        <w:ind w:left="709" w:right="616"/>
        <w:jc w:val="both"/>
        <w:rPr>
          <w:rFonts w:ascii="ITC Avant Garde" w:hAnsi="ITC Avant Garde"/>
          <w:i/>
          <w:sz w:val="18"/>
          <w:szCs w:val="18"/>
        </w:rPr>
      </w:pPr>
      <w:r w:rsidRPr="00E16359">
        <w:rPr>
          <w:rFonts w:ascii="ITC Avant Garde" w:hAnsi="ITC Avant Garde"/>
          <w:i/>
        </w:rPr>
        <w:t>“</w:t>
      </w:r>
      <w:r w:rsidRPr="00E16359">
        <w:rPr>
          <w:rFonts w:ascii="ITC Avant Garde" w:hAnsi="ITC Avant Garde"/>
          <w:i/>
          <w:sz w:val="18"/>
          <w:szCs w:val="18"/>
        </w:rPr>
        <w:t>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w:t>
      </w:r>
      <w:r w:rsidR="00A02326" w:rsidRPr="00E16359">
        <w:rPr>
          <w:rFonts w:ascii="ITC Avant Garde" w:hAnsi="ITC Avant Garde"/>
          <w:i/>
          <w:sz w:val="18"/>
          <w:szCs w:val="18"/>
        </w:rPr>
        <w:t>entales, Disposiciones Técnicas</w:t>
      </w:r>
      <w:r w:rsidRPr="00E16359">
        <w:rPr>
          <w:rFonts w:ascii="ITC Avant Garde" w:hAnsi="ITC Avant Garde"/>
          <w:i/>
          <w:sz w:val="18"/>
          <w:szCs w:val="18"/>
        </w:rPr>
        <w:t xml:space="preserve"> emitidas por el Instituto que se encuentren vigente (sic), del mismo modo en el caso de la emisión de nuevas Disposiciones estas deberán ser aplicadas de forma automática por las partes, sin necesidad de realizar adecuaciones al presente Convenio Marco, Normas Oficiales Mexicanas y demás disposiciones de carácter general que para tal efecto emita el Instituto (...)". </w:t>
      </w:r>
    </w:p>
    <w:p w:rsidR="00D80325" w:rsidRPr="00E16359" w:rsidRDefault="00D80325" w:rsidP="001D3335">
      <w:pPr>
        <w:spacing w:after="0" w:line="276" w:lineRule="auto"/>
        <w:ind w:right="49"/>
        <w:jc w:val="both"/>
        <w:rPr>
          <w:rFonts w:ascii="ITC Avant Garde" w:hAnsi="ITC Avant Garde"/>
          <w:b/>
        </w:rPr>
      </w:pPr>
    </w:p>
    <w:p w:rsidR="0034510E" w:rsidRPr="00E16359" w:rsidRDefault="000A7ED8" w:rsidP="001D3335">
      <w:pPr>
        <w:spacing w:after="0" w:line="276" w:lineRule="auto"/>
        <w:ind w:right="49"/>
        <w:jc w:val="both"/>
        <w:rPr>
          <w:rFonts w:ascii="ITC Avant Garde" w:hAnsi="ITC Avant Garde"/>
          <w:b/>
        </w:rPr>
      </w:pPr>
      <w:r w:rsidRPr="00E16359">
        <w:rPr>
          <w:rFonts w:ascii="ITC Avant Garde" w:hAnsi="ITC Avant Garde"/>
          <w:b/>
        </w:rPr>
        <w:t>MEGACABLE</w:t>
      </w:r>
    </w:p>
    <w:p w:rsidR="00257C09" w:rsidRPr="00E16359" w:rsidRDefault="00257C09" w:rsidP="001D3335">
      <w:pPr>
        <w:spacing w:after="0" w:line="276" w:lineRule="auto"/>
        <w:ind w:right="49"/>
        <w:jc w:val="both"/>
        <w:rPr>
          <w:rFonts w:ascii="ITC Avant Garde" w:hAnsi="ITC Avant Garde"/>
          <w:b/>
        </w:rPr>
      </w:pPr>
    </w:p>
    <w:p w:rsidR="000A7ED8" w:rsidRPr="00E16359" w:rsidRDefault="00EB6942" w:rsidP="001D3335">
      <w:pPr>
        <w:spacing w:after="0" w:line="276" w:lineRule="auto"/>
        <w:ind w:right="49"/>
        <w:jc w:val="both"/>
        <w:rPr>
          <w:rFonts w:ascii="ITC Avant Garde" w:hAnsi="ITC Avant Garde"/>
        </w:rPr>
      </w:pPr>
      <w:r w:rsidRPr="00E16359">
        <w:rPr>
          <w:rFonts w:ascii="ITC Avant Garde" w:hAnsi="ITC Avant Garde"/>
        </w:rPr>
        <w:t>P</w:t>
      </w:r>
      <w:r w:rsidR="00CA4E8B" w:rsidRPr="00E16359">
        <w:rPr>
          <w:rFonts w:ascii="ITC Avant Garde" w:hAnsi="ITC Avant Garde"/>
        </w:rPr>
        <w:t>ropuso</w:t>
      </w:r>
      <w:r w:rsidR="000A7ED8" w:rsidRPr="00E16359">
        <w:rPr>
          <w:rFonts w:ascii="ITC Avant Garde" w:hAnsi="ITC Avant Garde"/>
        </w:rPr>
        <w:t xml:space="preserve"> adicionar un penúltimo párrafo a la cláusula</w:t>
      </w:r>
      <w:r w:rsidR="00305144" w:rsidRPr="00E16359">
        <w:rPr>
          <w:rFonts w:ascii="ITC Avant Garde" w:hAnsi="ITC Avant Garde"/>
        </w:rPr>
        <w:t xml:space="preserve"> de referencia,</w:t>
      </w:r>
      <w:r w:rsidR="000A7ED8" w:rsidRPr="00E16359">
        <w:rPr>
          <w:rFonts w:ascii="ITC Avant Garde" w:hAnsi="ITC Avant Garde"/>
        </w:rPr>
        <w:t xml:space="preserve"> en el cual quede plasmada la obligación de aplicar al presente contrato las Disposiciones Técnicas emitidas por el Instituto que se encuentren vigentes</w:t>
      </w:r>
      <w:r w:rsidR="00F31F56" w:rsidRPr="00E16359">
        <w:rPr>
          <w:rFonts w:ascii="ITC Avant Garde" w:hAnsi="ITC Avant Garde"/>
        </w:rPr>
        <w:t>, de conformidad con la siguiente redacción:</w:t>
      </w:r>
    </w:p>
    <w:p w:rsidR="000A7ED8" w:rsidRPr="00E16359" w:rsidRDefault="000A7ED8" w:rsidP="001D3335">
      <w:pPr>
        <w:spacing w:after="0" w:line="276" w:lineRule="auto"/>
        <w:ind w:left="567" w:right="616"/>
        <w:jc w:val="both"/>
        <w:rPr>
          <w:rFonts w:ascii="ITC Avant Garde" w:hAnsi="ITC Avant Garde"/>
          <w:i/>
          <w:sz w:val="18"/>
          <w:szCs w:val="18"/>
        </w:rPr>
      </w:pPr>
    </w:p>
    <w:p w:rsidR="000A7ED8" w:rsidRPr="00E16359" w:rsidRDefault="000A7ED8" w:rsidP="001D3335">
      <w:pPr>
        <w:spacing w:after="0" w:line="276" w:lineRule="auto"/>
        <w:ind w:left="709" w:right="616"/>
        <w:jc w:val="both"/>
        <w:rPr>
          <w:rFonts w:ascii="ITC Avant Garde" w:hAnsi="ITC Avant Garde"/>
          <w:i/>
          <w:sz w:val="18"/>
          <w:szCs w:val="18"/>
        </w:rPr>
      </w:pPr>
      <w:r w:rsidRPr="00E16359">
        <w:rPr>
          <w:rFonts w:ascii="ITC Avant Garde" w:hAnsi="ITC Avant Garde"/>
          <w:i/>
          <w:sz w:val="18"/>
          <w:szCs w:val="18"/>
        </w:rPr>
        <w:t>“Las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mínimas para la interconexión emitidas por el Instituto, Normas Oficiales Mexicanas y demás disposiciones de carácter general vigentes que para tal efecto emita el Instituto, los cuales deberán ser aplicados de forma automática por las partes, sin necesidad de realizar adecuaciones al Convenio.”</w:t>
      </w:r>
    </w:p>
    <w:p w:rsidR="00732A7F" w:rsidRPr="00E16359" w:rsidRDefault="00732A7F" w:rsidP="001D3335">
      <w:pPr>
        <w:spacing w:line="276" w:lineRule="auto"/>
        <w:ind w:left="709" w:right="616"/>
        <w:jc w:val="both"/>
        <w:rPr>
          <w:rFonts w:ascii="ITC Avant Garde" w:hAnsi="ITC Avant Garde"/>
          <w:b/>
        </w:rPr>
      </w:pPr>
    </w:p>
    <w:p w:rsidR="00155E3E" w:rsidRPr="00E16359" w:rsidRDefault="00732A7F"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0F5949" w:rsidRPr="00E16359" w:rsidRDefault="000F5949" w:rsidP="001D3335">
      <w:pPr>
        <w:spacing w:after="0" w:line="276" w:lineRule="auto"/>
        <w:ind w:right="49"/>
        <w:jc w:val="both"/>
        <w:rPr>
          <w:rFonts w:ascii="ITC Avant Garde" w:hAnsi="ITC Avant Garde"/>
        </w:rPr>
      </w:pPr>
      <w:r w:rsidRPr="00E16359">
        <w:rPr>
          <w:rFonts w:ascii="ITC Avant Garde" w:eastAsia="Avant Garde" w:hAnsi="ITC Avant Garde" w:cs="Avant Garde"/>
          <w:color w:val="000000"/>
          <w:lang w:eastAsia="es-MX"/>
        </w:rPr>
        <w:t>Al respecto, es importante considerar</w:t>
      </w:r>
      <w:r w:rsidR="005B0A25" w:rsidRPr="00E16359">
        <w:rPr>
          <w:rFonts w:ascii="ITC Avant Garde" w:eastAsia="Avant Garde" w:hAnsi="ITC Avant Garde" w:cs="Avant Garde"/>
          <w:color w:val="000000"/>
          <w:lang w:eastAsia="es-MX"/>
        </w:rPr>
        <w:t xml:space="preserve"> que</w:t>
      </w:r>
      <w:r w:rsidRPr="00E16359">
        <w:rPr>
          <w:rFonts w:ascii="ITC Avant Garde" w:eastAsia="Avant Garde" w:hAnsi="ITC Avant Garde" w:cs="Avant Garde"/>
          <w:color w:val="000000"/>
          <w:lang w:eastAsia="es-MX"/>
        </w:rPr>
        <w:t xml:space="preserve"> </w:t>
      </w:r>
      <w:r w:rsidR="00702253" w:rsidRPr="00E16359">
        <w:rPr>
          <w:rFonts w:ascii="ITC Avant Garde" w:eastAsia="Avant Garde" w:hAnsi="ITC Avant Garde" w:cs="Avant Garde"/>
          <w:color w:val="000000"/>
          <w:lang w:eastAsia="es-MX"/>
        </w:rPr>
        <w:t xml:space="preserve">propio CMI prevé dentro de las definiciones </w:t>
      </w:r>
      <w:r w:rsidR="005B0A25" w:rsidRPr="00E16359">
        <w:rPr>
          <w:rFonts w:ascii="ITC Avant Garde" w:eastAsia="Avant Garde" w:hAnsi="ITC Avant Garde" w:cs="Avant Garde"/>
          <w:color w:val="000000"/>
          <w:lang w:eastAsia="es-MX"/>
        </w:rPr>
        <w:t>a las</w:t>
      </w:r>
      <w:r w:rsidR="00702253" w:rsidRPr="00E16359">
        <w:rPr>
          <w:rFonts w:ascii="ITC Avant Garde" w:eastAsia="Avant Garde" w:hAnsi="ITC Avant Garde" w:cs="Avant Garde"/>
          <w:color w:val="000000"/>
          <w:lang w:eastAsia="es-MX"/>
        </w:rPr>
        <w:t xml:space="preserve"> disposiciones técnicas</w:t>
      </w:r>
      <w:r w:rsidR="005B0A25" w:rsidRPr="00E16359">
        <w:rPr>
          <w:rFonts w:ascii="ITC Avant Garde" w:eastAsia="Avant Garde" w:hAnsi="ITC Avant Garde" w:cs="Avant Garde"/>
          <w:color w:val="000000"/>
          <w:lang w:eastAsia="es-MX"/>
        </w:rPr>
        <w:t xml:space="preserve">, </w:t>
      </w:r>
      <w:r w:rsidR="00702253" w:rsidRPr="00E16359">
        <w:rPr>
          <w:rFonts w:ascii="ITC Avant Garde" w:eastAsia="Avant Garde" w:hAnsi="ITC Avant Garde" w:cs="Avant Garde"/>
          <w:color w:val="000000"/>
          <w:lang w:eastAsia="es-MX"/>
        </w:rPr>
        <w:t xml:space="preserve">planes fundamentales y demás </w:t>
      </w:r>
      <w:r w:rsidR="005B0A25" w:rsidRPr="00E16359">
        <w:rPr>
          <w:rFonts w:ascii="ITC Avant Garde" w:eastAsia="Avant Garde" w:hAnsi="ITC Avant Garde" w:cs="Avant Garde"/>
          <w:color w:val="000000"/>
          <w:lang w:eastAsia="es-MX"/>
        </w:rPr>
        <w:t xml:space="preserve">consideradas, la aplicación de </w:t>
      </w:r>
      <w:r w:rsidR="005B0A25" w:rsidRPr="00E16359">
        <w:rPr>
          <w:rFonts w:ascii="ITC Avant Garde" w:hAnsi="ITC Avant Garde"/>
        </w:rPr>
        <w:t>aquellas disposiciones que las modifiquen o sustituyan.</w:t>
      </w:r>
      <w:r w:rsidR="005B0A25" w:rsidRPr="00E16359">
        <w:rPr>
          <w:rFonts w:ascii="ITC Avant Garde" w:eastAsia="Avant Garde" w:hAnsi="ITC Avant Garde" w:cs="Avant Garde"/>
          <w:color w:val="000000"/>
          <w:lang w:eastAsia="es-MX"/>
        </w:rPr>
        <w:t xml:space="preserve"> Asimismo, cabe señalar que,</w:t>
      </w:r>
      <w:r w:rsidR="00E96615" w:rsidRPr="00E16359">
        <w:rPr>
          <w:rFonts w:ascii="ITC Avant Garde" w:eastAsia="Avant Garde" w:hAnsi="ITC Avant Garde" w:cs="Avant Garde"/>
          <w:color w:val="000000"/>
          <w:lang w:eastAsia="es-MX"/>
        </w:rPr>
        <w:t xml:space="preserve"> de conformidad con lo</w:t>
      </w:r>
      <w:r w:rsidR="005B0A25" w:rsidRPr="00E16359">
        <w:rPr>
          <w:rFonts w:ascii="ITC Avant Garde" w:eastAsia="Avant Garde" w:hAnsi="ITC Avant Garde" w:cs="Avant Garde"/>
          <w:color w:val="000000"/>
          <w:lang w:eastAsia="es-MX"/>
        </w:rPr>
        <w:t xml:space="preserve"> establecido en la </w:t>
      </w:r>
      <w:r w:rsidR="005B0A25" w:rsidRPr="00E16359">
        <w:rPr>
          <w:rFonts w:ascii="ITC Avant Garde" w:eastAsia="Avant Garde" w:hAnsi="ITC Avant Garde" w:cs="Avant Garde"/>
          <w:color w:val="000000"/>
          <w:lang w:eastAsia="es-MX"/>
        </w:rPr>
        <w:lastRenderedPageBreak/>
        <w:t>Medida Duodécima</w:t>
      </w:r>
      <w:r w:rsidR="00E96615" w:rsidRPr="00E16359">
        <w:rPr>
          <w:rFonts w:ascii="ITC Avant Garde" w:eastAsia="Avant Garde" w:hAnsi="ITC Avant Garde" w:cs="Avant Garde"/>
          <w:color w:val="000000"/>
          <w:lang w:eastAsia="es-MX"/>
        </w:rPr>
        <w:t xml:space="preserve"> de la Medidas fijas</w:t>
      </w:r>
      <w:r w:rsidR="005B0A25" w:rsidRPr="00E16359">
        <w:rPr>
          <w:rFonts w:ascii="ITC Avant Garde" w:eastAsia="Avant Garde" w:hAnsi="ITC Avant Garde" w:cs="Avant Garde"/>
          <w:color w:val="000000"/>
          <w:lang w:eastAsia="es-MX"/>
        </w:rPr>
        <w:t xml:space="preserve"> </w:t>
      </w:r>
      <w:r w:rsidR="00921FCE" w:rsidRPr="00E16359">
        <w:rPr>
          <w:rFonts w:ascii="ITC Avant Garde" w:eastAsia="Avant Garde" w:hAnsi="ITC Avant Garde" w:cs="Avant Garde"/>
          <w:color w:val="000000"/>
          <w:lang w:eastAsia="es-MX"/>
        </w:rPr>
        <w:t>el AEP</w:t>
      </w:r>
      <w:r w:rsidR="00E96615" w:rsidRPr="00E16359">
        <w:rPr>
          <w:rFonts w:ascii="ITC Avant Garde" w:eastAsia="Avant Garde" w:hAnsi="ITC Avant Garde" w:cs="Avant Garde"/>
          <w:color w:val="000000"/>
          <w:lang w:eastAsia="es-MX"/>
        </w:rPr>
        <w:t xml:space="preserve"> deberá presentar primer trimestre del año su propuesta de CMI para aprobación de Instituto, lo cual permite cumplir con el propósito de revisar anualmente el instrumento regulatorio a efecto </w:t>
      </w:r>
      <w:r w:rsidR="003F6C88" w:rsidRPr="00E16359">
        <w:rPr>
          <w:rFonts w:ascii="ITC Avant Garde" w:eastAsia="Avant Garde" w:hAnsi="ITC Avant Garde" w:cs="Avant Garde"/>
          <w:color w:val="000000"/>
          <w:lang w:eastAsia="es-MX"/>
        </w:rPr>
        <w:t>de precisar</w:t>
      </w:r>
      <w:r w:rsidR="00E96615" w:rsidRPr="00E16359">
        <w:rPr>
          <w:rFonts w:ascii="ITC Avant Garde" w:eastAsia="Avant Garde" w:hAnsi="ITC Avant Garde" w:cs="Avant Garde"/>
          <w:color w:val="000000"/>
          <w:lang w:eastAsia="es-MX"/>
        </w:rPr>
        <w:t xml:space="preserve"> los términos y condiciones, así como ajustarlo al Marco Regulatorio</w:t>
      </w:r>
      <w:r w:rsidR="00416C0D" w:rsidRPr="00E16359">
        <w:rPr>
          <w:rFonts w:ascii="ITC Avant Garde" w:eastAsia="Avant Garde" w:hAnsi="ITC Avant Garde" w:cs="Avant Garde"/>
          <w:color w:val="000000"/>
          <w:lang w:eastAsia="es-MX"/>
        </w:rPr>
        <w:t xml:space="preserve"> vigente</w:t>
      </w:r>
      <w:r w:rsidR="003F6C88">
        <w:rPr>
          <w:rFonts w:ascii="ITC Avant Garde" w:eastAsia="Avant Garde" w:hAnsi="ITC Avant Garde" w:cs="Avant Garde"/>
          <w:color w:val="000000"/>
          <w:lang w:eastAsia="es-MX"/>
        </w:rPr>
        <w:t>.</w:t>
      </w:r>
      <w:r w:rsidR="00E96615" w:rsidRPr="00E16359">
        <w:rPr>
          <w:rFonts w:ascii="ITC Avant Garde" w:eastAsia="Avant Garde" w:hAnsi="ITC Avant Garde" w:cs="Avant Garde"/>
          <w:color w:val="000000"/>
          <w:lang w:eastAsia="es-MX"/>
        </w:rPr>
        <w:t xml:space="preserve"> </w:t>
      </w:r>
      <w:r w:rsidR="00416C0D" w:rsidRPr="00E16359">
        <w:rPr>
          <w:rFonts w:ascii="ITC Avant Garde" w:eastAsia="Avant Garde" w:hAnsi="ITC Avant Garde" w:cs="Avant Garde"/>
          <w:color w:val="000000"/>
          <w:lang w:eastAsia="es-MX"/>
        </w:rPr>
        <w:t>E</w:t>
      </w:r>
      <w:r w:rsidR="00E96615" w:rsidRPr="00E16359">
        <w:rPr>
          <w:rFonts w:ascii="ITC Avant Garde" w:eastAsia="Avant Garde" w:hAnsi="ITC Avant Garde" w:cs="Avant Garde"/>
          <w:color w:val="000000"/>
          <w:lang w:eastAsia="es-MX"/>
        </w:rPr>
        <w:t>n virtud de lo anterior no resultan procedentes las modificaciones propuestas por dichos concesionarios</w:t>
      </w:r>
      <w:r w:rsidRPr="00E16359">
        <w:rPr>
          <w:rFonts w:ascii="ITC Avant Garde" w:hAnsi="ITC Avant Garde"/>
        </w:rPr>
        <w:t>.</w:t>
      </w:r>
    </w:p>
    <w:p w:rsidR="000F5949" w:rsidRPr="00E16359" w:rsidRDefault="000F5949" w:rsidP="001D3335">
      <w:pPr>
        <w:spacing w:after="0" w:line="276" w:lineRule="auto"/>
        <w:ind w:right="49"/>
        <w:jc w:val="both"/>
        <w:rPr>
          <w:rFonts w:ascii="ITC Avant Garde" w:hAnsi="ITC Avant Garde"/>
          <w:i/>
          <w:sz w:val="18"/>
          <w:szCs w:val="18"/>
        </w:rPr>
      </w:pPr>
    </w:p>
    <w:p w:rsidR="00A24E7E" w:rsidRPr="00E16359" w:rsidRDefault="00F22A1B" w:rsidP="001D3335">
      <w:pPr>
        <w:spacing w:after="0" w:line="276" w:lineRule="auto"/>
        <w:ind w:right="49"/>
        <w:jc w:val="both"/>
        <w:rPr>
          <w:rFonts w:ascii="ITC Avant Garde" w:hAnsi="ITC Avant Garde"/>
          <w:b/>
          <w:u w:val="single"/>
        </w:rPr>
      </w:pPr>
      <w:r w:rsidRPr="00E16359">
        <w:rPr>
          <w:rFonts w:ascii="ITC Avant Garde" w:hAnsi="ITC Avant Garde"/>
          <w:b/>
          <w:u w:val="single"/>
        </w:rPr>
        <w:t>Interconexión entre otros concesionarios</w:t>
      </w:r>
    </w:p>
    <w:p w:rsidR="005A2950" w:rsidRPr="00E16359" w:rsidRDefault="005A2950" w:rsidP="001D3335">
      <w:pPr>
        <w:spacing w:after="0" w:line="276" w:lineRule="auto"/>
        <w:ind w:right="49"/>
        <w:jc w:val="both"/>
        <w:rPr>
          <w:rFonts w:ascii="ITC Avant Garde" w:hAnsi="ITC Avant Garde"/>
          <w:b/>
        </w:rPr>
      </w:pPr>
    </w:p>
    <w:p w:rsidR="005A2950" w:rsidRPr="00E16359" w:rsidRDefault="005A2950" w:rsidP="001D3335">
      <w:pPr>
        <w:spacing w:after="0" w:line="276" w:lineRule="auto"/>
        <w:ind w:right="49"/>
        <w:jc w:val="both"/>
        <w:rPr>
          <w:rFonts w:ascii="ITC Avant Garde" w:hAnsi="ITC Avant Garde"/>
          <w:b/>
        </w:rPr>
      </w:pPr>
      <w:r w:rsidRPr="00E16359">
        <w:rPr>
          <w:rFonts w:ascii="ITC Avant Garde" w:hAnsi="ITC Avant Garde"/>
          <w:b/>
        </w:rPr>
        <w:t xml:space="preserve">ALTÁN Y CANIETI </w:t>
      </w:r>
    </w:p>
    <w:p w:rsidR="0081024D" w:rsidRPr="00E16359" w:rsidRDefault="0081024D" w:rsidP="001D3335">
      <w:pPr>
        <w:spacing w:after="0" w:line="276" w:lineRule="auto"/>
        <w:ind w:right="49"/>
        <w:jc w:val="both"/>
        <w:rPr>
          <w:rFonts w:ascii="ITC Avant Garde" w:hAnsi="ITC Avant Garde"/>
          <w:b/>
        </w:rPr>
      </w:pPr>
    </w:p>
    <w:p w:rsidR="00843EAD" w:rsidRPr="00E16359" w:rsidRDefault="00CA4E8B" w:rsidP="001D3335">
      <w:pPr>
        <w:spacing w:after="0" w:line="276" w:lineRule="auto"/>
        <w:ind w:right="49"/>
        <w:jc w:val="both"/>
        <w:rPr>
          <w:rFonts w:ascii="ITC Avant Garde" w:hAnsi="ITC Avant Garde"/>
        </w:rPr>
      </w:pPr>
      <w:r w:rsidRPr="00E16359">
        <w:rPr>
          <w:rFonts w:ascii="ITC Avant Garde" w:hAnsi="ITC Avant Garde"/>
        </w:rPr>
        <w:t>Manif</w:t>
      </w:r>
      <w:r w:rsidR="009A5914" w:rsidRPr="00E16359">
        <w:rPr>
          <w:rFonts w:ascii="ITC Avant Garde" w:hAnsi="ITC Avant Garde"/>
        </w:rPr>
        <w:t>esta</w:t>
      </w:r>
      <w:r w:rsidRPr="00E16359">
        <w:rPr>
          <w:rFonts w:ascii="ITC Avant Garde" w:hAnsi="ITC Avant Garde"/>
        </w:rPr>
        <w:t>ro</w:t>
      </w:r>
      <w:r w:rsidR="00250D15" w:rsidRPr="00E16359">
        <w:rPr>
          <w:rFonts w:ascii="ITC Avant Garde" w:hAnsi="ITC Avant Garde"/>
        </w:rPr>
        <w:t>n</w:t>
      </w:r>
      <w:r w:rsidR="005A2950" w:rsidRPr="00E16359">
        <w:rPr>
          <w:rFonts w:ascii="ITC Avant Garde" w:hAnsi="ITC Avant Garde"/>
        </w:rPr>
        <w:t xml:space="preserve"> que </w:t>
      </w:r>
      <w:r w:rsidR="00456554" w:rsidRPr="00E16359">
        <w:rPr>
          <w:rFonts w:ascii="ITC Avant Garde" w:hAnsi="ITC Avant Garde"/>
        </w:rPr>
        <w:t xml:space="preserve">en el inciso 5.3.1 se debe considerar que </w:t>
      </w:r>
      <w:r w:rsidR="005A2950" w:rsidRPr="00E16359">
        <w:rPr>
          <w:rFonts w:ascii="ITC Avant Garde" w:hAnsi="ITC Avant Garde"/>
        </w:rPr>
        <w:t>la interconexión cruzada no gestionada</w:t>
      </w:r>
      <w:r w:rsidRPr="00E16359">
        <w:rPr>
          <w:rFonts w:ascii="ITC Avant Garde" w:hAnsi="ITC Avant Garde"/>
        </w:rPr>
        <w:t>,</w:t>
      </w:r>
      <w:r w:rsidR="005A2950" w:rsidRPr="00E16359">
        <w:rPr>
          <w:rFonts w:ascii="ITC Avant Garde" w:hAnsi="ITC Avant Garde"/>
        </w:rPr>
        <w:t xml:space="preserve"> se debe ofrecer mediante la instalación de cable de fi</w:t>
      </w:r>
      <w:r w:rsidR="00843EAD" w:rsidRPr="00E16359">
        <w:rPr>
          <w:rFonts w:ascii="ITC Avant Garde" w:hAnsi="ITC Avant Garde"/>
        </w:rPr>
        <w:t>bra óptica o</w:t>
      </w:r>
      <w:r w:rsidR="00D16297" w:rsidRPr="00E16359">
        <w:rPr>
          <w:rFonts w:ascii="ITC Avant Garde" w:hAnsi="ITC Avant Garde"/>
        </w:rPr>
        <w:t xml:space="preserve"> por</w:t>
      </w:r>
      <w:r w:rsidR="00843EAD" w:rsidRPr="00E16359">
        <w:rPr>
          <w:rFonts w:ascii="ITC Avant Garde" w:hAnsi="ITC Avant Garde"/>
        </w:rPr>
        <w:t xml:space="preserve"> el medio que los concesionarios solicitantes</w:t>
      </w:r>
      <w:r w:rsidR="005A2950" w:rsidRPr="00E16359">
        <w:rPr>
          <w:rFonts w:ascii="ITC Avant Garde" w:hAnsi="ITC Avant Garde"/>
        </w:rPr>
        <w:t xml:space="preserve"> acuerden y c</w:t>
      </w:r>
      <w:r w:rsidR="00487EFB" w:rsidRPr="00E16359">
        <w:rPr>
          <w:rFonts w:ascii="ITC Avant Garde" w:hAnsi="ITC Avant Garde"/>
        </w:rPr>
        <w:t>uenten con una Coubicación en la</w:t>
      </w:r>
      <w:r w:rsidR="005A2950" w:rsidRPr="00E16359">
        <w:rPr>
          <w:rFonts w:ascii="ITC Avant Garde" w:hAnsi="ITC Avant Garde"/>
        </w:rPr>
        <w:t xml:space="preserve"> misma central telefónica d</w:t>
      </w:r>
      <w:r w:rsidR="00843EAD" w:rsidRPr="00E16359">
        <w:rPr>
          <w:rFonts w:ascii="ITC Avant Garde" w:hAnsi="ITC Avant Garde"/>
        </w:rPr>
        <w:t>el AEP, mediando solicitud del concesionario solicitante</w:t>
      </w:r>
      <w:r w:rsidR="005A2950" w:rsidRPr="00E16359">
        <w:rPr>
          <w:rFonts w:ascii="ITC Avant Garde" w:hAnsi="ITC Avant Garde"/>
        </w:rPr>
        <w:t xml:space="preserve">. </w:t>
      </w:r>
    </w:p>
    <w:p w:rsidR="00843EAD" w:rsidRPr="00E16359" w:rsidRDefault="00843EAD" w:rsidP="001D3335">
      <w:pPr>
        <w:spacing w:after="0" w:line="276" w:lineRule="auto"/>
        <w:ind w:right="49"/>
        <w:jc w:val="both"/>
        <w:rPr>
          <w:rFonts w:ascii="ITC Avant Garde" w:hAnsi="ITC Avant Garde"/>
        </w:rPr>
      </w:pPr>
    </w:p>
    <w:p w:rsidR="005A2950" w:rsidRPr="00E16359" w:rsidRDefault="00843EAD" w:rsidP="001D3335">
      <w:pPr>
        <w:spacing w:after="0" w:line="276" w:lineRule="auto"/>
        <w:ind w:right="49"/>
        <w:jc w:val="both"/>
        <w:rPr>
          <w:rFonts w:ascii="ITC Avant Garde" w:hAnsi="ITC Avant Garde"/>
        </w:rPr>
      </w:pPr>
      <w:r w:rsidRPr="00E16359">
        <w:rPr>
          <w:rFonts w:ascii="ITC Avant Garde" w:hAnsi="ITC Avant Garde"/>
        </w:rPr>
        <w:t xml:space="preserve">Asimismo, </w:t>
      </w:r>
      <w:r w:rsidR="0081024D" w:rsidRPr="00E16359">
        <w:rPr>
          <w:rFonts w:ascii="ITC Avant Garde" w:hAnsi="ITC Avant Garde"/>
        </w:rPr>
        <w:t>solicitaron</w:t>
      </w:r>
      <w:r w:rsidR="005A2950" w:rsidRPr="00E16359">
        <w:rPr>
          <w:rFonts w:ascii="ITC Avant Garde" w:hAnsi="ITC Avant Garde"/>
        </w:rPr>
        <w:t xml:space="preserve"> establecer un término mínimo por el AEP para que su personal lleve a cabo con </w:t>
      </w:r>
      <w:r w:rsidR="00A53200" w:rsidRPr="00E16359">
        <w:rPr>
          <w:rFonts w:ascii="ITC Avant Garde" w:hAnsi="ITC Avant Garde"/>
        </w:rPr>
        <w:t>personal del concesionario solicitante</w:t>
      </w:r>
      <w:r w:rsidRPr="00E16359">
        <w:rPr>
          <w:rFonts w:ascii="ITC Avant Garde" w:hAnsi="ITC Avant Garde"/>
        </w:rPr>
        <w:t xml:space="preserve"> un levantamiento, </w:t>
      </w:r>
      <w:r w:rsidR="005A2950" w:rsidRPr="00E16359">
        <w:rPr>
          <w:rFonts w:ascii="ITC Avant Garde" w:hAnsi="ITC Avant Garde"/>
        </w:rPr>
        <w:t>con el fin de definir la ruta (escalerillas, ductos, etc.) en donde</w:t>
      </w:r>
      <w:r w:rsidRPr="00E16359">
        <w:rPr>
          <w:rFonts w:ascii="ITC Avant Garde" w:hAnsi="ITC Avant Garde"/>
        </w:rPr>
        <w:t xml:space="preserve"> el</w:t>
      </w:r>
      <w:r w:rsidR="00A53200" w:rsidRPr="00E16359">
        <w:rPr>
          <w:rFonts w:ascii="ITC Avant Garde" w:hAnsi="ITC Avant Garde"/>
        </w:rPr>
        <w:t xml:space="preserve"> concesionario solicitante</w:t>
      </w:r>
      <w:r w:rsidR="005A2950" w:rsidRPr="00E16359">
        <w:rPr>
          <w:rFonts w:ascii="ITC Avant Garde" w:hAnsi="ITC Avant Garde"/>
        </w:rPr>
        <w:t xml:space="preserve"> deberá instalar su cable de fibra óptica.</w:t>
      </w:r>
      <w:r w:rsidR="00A53200" w:rsidRPr="00E16359">
        <w:rPr>
          <w:rFonts w:ascii="ITC Avant Garde" w:hAnsi="ITC Avant Garde"/>
        </w:rPr>
        <w:t>, una vez r</w:t>
      </w:r>
      <w:r w:rsidR="005A2950" w:rsidRPr="00E16359">
        <w:rPr>
          <w:rFonts w:ascii="ITC Avant Garde" w:hAnsi="ITC Avant Garde"/>
        </w:rPr>
        <w:t>ealizado el levantamiento y diagrama, e</w:t>
      </w:r>
      <w:r w:rsidR="00A53200" w:rsidRPr="00E16359">
        <w:rPr>
          <w:rFonts w:ascii="ITC Avant Garde" w:hAnsi="ITC Avant Garde"/>
        </w:rPr>
        <w:t>l AEP debe aprobar para que el concesionario solicitante</w:t>
      </w:r>
      <w:r w:rsidR="005A2950" w:rsidRPr="00E16359">
        <w:rPr>
          <w:rFonts w:ascii="ITC Avant Garde" w:hAnsi="ITC Avant Garde"/>
        </w:rPr>
        <w:t xml:space="preserve"> instale el cable de fibra óptica para llegar a la Coubicación</w:t>
      </w:r>
      <w:r w:rsidR="00A53200" w:rsidRPr="00E16359">
        <w:rPr>
          <w:rFonts w:ascii="ITC Avant Garde" w:hAnsi="ITC Avant Garde"/>
        </w:rPr>
        <w:t>.</w:t>
      </w:r>
    </w:p>
    <w:p w:rsidR="00A53200" w:rsidRPr="00E16359" w:rsidRDefault="00A53200" w:rsidP="001D3335">
      <w:pPr>
        <w:spacing w:after="0" w:line="276" w:lineRule="auto"/>
        <w:ind w:right="49"/>
        <w:jc w:val="both"/>
        <w:rPr>
          <w:rFonts w:ascii="ITC Avant Garde" w:hAnsi="ITC Avant Garde"/>
        </w:rPr>
      </w:pPr>
    </w:p>
    <w:p w:rsidR="005A2950" w:rsidRPr="00E16359" w:rsidRDefault="00A53200" w:rsidP="001D3335">
      <w:pPr>
        <w:spacing w:after="0" w:line="276" w:lineRule="auto"/>
        <w:ind w:right="49"/>
        <w:jc w:val="both"/>
        <w:rPr>
          <w:rFonts w:ascii="ITC Avant Garde" w:hAnsi="ITC Avant Garde"/>
        </w:rPr>
      </w:pPr>
      <w:r w:rsidRPr="00E16359">
        <w:rPr>
          <w:rFonts w:ascii="ITC Avant Garde" w:hAnsi="ITC Avant Garde"/>
        </w:rPr>
        <w:t>Respecto al</w:t>
      </w:r>
      <w:r w:rsidR="005A2950" w:rsidRPr="00E16359">
        <w:rPr>
          <w:rFonts w:ascii="ITC Avant Garde" w:hAnsi="ITC Avant Garde"/>
        </w:rPr>
        <w:t xml:space="preserve"> enlace de transmisión de interconexión no gestionado, </w:t>
      </w:r>
      <w:r w:rsidRPr="00E16359">
        <w:rPr>
          <w:rFonts w:ascii="ITC Avant Garde" w:hAnsi="ITC Avant Garde"/>
        </w:rPr>
        <w:t>señala</w:t>
      </w:r>
      <w:r w:rsidR="00CA4E8B" w:rsidRPr="00E16359">
        <w:rPr>
          <w:rFonts w:ascii="ITC Avant Garde" w:hAnsi="ITC Avant Garde"/>
        </w:rPr>
        <w:t>ro</w:t>
      </w:r>
      <w:r w:rsidRPr="00E16359">
        <w:rPr>
          <w:rFonts w:ascii="ITC Avant Garde" w:hAnsi="ITC Avant Garde"/>
        </w:rPr>
        <w:t xml:space="preserve">n que </w:t>
      </w:r>
      <w:r w:rsidR="005A2950" w:rsidRPr="00E16359">
        <w:rPr>
          <w:rFonts w:ascii="ITC Avant Garde" w:hAnsi="ITC Avant Garde"/>
        </w:rPr>
        <w:t>de</w:t>
      </w:r>
      <w:r w:rsidRPr="00E16359">
        <w:rPr>
          <w:rFonts w:ascii="ITC Avant Garde" w:hAnsi="ITC Avant Garde"/>
        </w:rPr>
        <w:t>be ser responsabilidad del AEP, de igual forma,</w:t>
      </w:r>
      <w:r w:rsidR="005A2950" w:rsidRPr="00E16359">
        <w:rPr>
          <w:rFonts w:ascii="ITC Avant Garde" w:hAnsi="ITC Avant Garde"/>
        </w:rPr>
        <w:t xml:space="preserve"> garantizar que la fibra o el enlace de interconexión no se vea dañada al efectuar alguna actividad de mantenimiento o implementación de nuevo servicio.</w:t>
      </w:r>
    </w:p>
    <w:p w:rsidR="005A2950" w:rsidRPr="00E16359" w:rsidRDefault="005A2950" w:rsidP="001D3335">
      <w:pPr>
        <w:spacing w:after="0" w:line="276" w:lineRule="auto"/>
        <w:ind w:right="49"/>
        <w:jc w:val="both"/>
        <w:rPr>
          <w:rFonts w:ascii="ITC Avant Garde" w:hAnsi="ITC Avant Garde"/>
          <w:b/>
        </w:rPr>
      </w:pPr>
    </w:p>
    <w:p w:rsidR="005E7019" w:rsidRPr="00E16359" w:rsidRDefault="00487EFB" w:rsidP="001D3335">
      <w:pPr>
        <w:spacing w:after="0" w:line="276" w:lineRule="auto"/>
        <w:ind w:right="49"/>
        <w:jc w:val="both"/>
        <w:rPr>
          <w:rFonts w:ascii="ITC Avant Garde" w:hAnsi="ITC Avant Garde"/>
          <w:b/>
        </w:rPr>
      </w:pPr>
      <w:r w:rsidRPr="00E16359">
        <w:rPr>
          <w:rFonts w:ascii="ITC Avant Garde" w:hAnsi="ITC Avant Garde"/>
          <w:b/>
        </w:rPr>
        <w:t>MEGACABLE</w:t>
      </w:r>
    </w:p>
    <w:p w:rsidR="00D209EC" w:rsidRPr="00E16359" w:rsidRDefault="00D209EC" w:rsidP="001D3335">
      <w:pPr>
        <w:spacing w:after="0" w:line="276" w:lineRule="auto"/>
        <w:ind w:right="49"/>
        <w:jc w:val="both"/>
        <w:rPr>
          <w:rFonts w:ascii="ITC Avant Garde" w:hAnsi="ITC Avant Garde"/>
          <w:b/>
        </w:rPr>
      </w:pPr>
    </w:p>
    <w:p w:rsidR="00487EFB" w:rsidRPr="00E16359" w:rsidRDefault="004475CF" w:rsidP="001D3335">
      <w:pPr>
        <w:spacing w:after="0" w:line="276" w:lineRule="auto"/>
        <w:ind w:right="49"/>
        <w:jc w:val="both"/>
        <w:rPr>
          <w:rFonts w:ascii="ITC Avant Garde" w:hAnsi="ITC Avant Garde"/>
        </w:rPr>
      </w:pPr>
      <w:r w:rsidRPr="00E16359">
        <w:rPr>
          <w:rFonts w:ascii="ITC Avant Garde" w:hAnsi="ITC Avant Garde"/>
        </w:rPr>
        <w:t>P</w:t>
      </w:r>
      <w:r w:rsidR="007B7170" w:rsidRPr="00E16359">
        <w:rPr>
          <w:rFonts w:ascii="ITC Avant Garde" w:hAnsi="ITC Avant Garde"/>
        </w:rPr>
        <w:t>ropuso</w:t>
      </w:r>
      <w:r w:rsidR="00487EFB" w:rsidRPr="00E16359">
        <w:rPr>
          <w:rFonts w:ascii="ITC Avant Garde" w:hAnsi="ITC Avant Garde"/>
        </w:rPr>
        <w:t xml:space="preserve"> la siguiente redacción:</w:t>
      </w:r>
    </w:p>
    <w:p w:rsidR="00487EFB" w:rsidRPr="00E16359" w:rsidRDefault="00487EFB" w:rsidP="001D3335">
      <w:pPr>
        <w:spacing w:after="0" w:line="276" w:lineRule="auto"/>
        <w:ind w:right="49"/>
        <w:jc w:val="both"/>
        <w:rPr>
          <w:rFonts w:ascii="ITC Avant Garde" w:hAnsi="ITC Avant Garde"/>
        </w:rPr>
      </w:pPr>
    </w:p>
    <w:p w:rsidR="00487EFB" w:rsidRPr="00E16359" w:rsidRDefault="00487EFB" w:rsidP="001D3335">
      <w:pPr>
        <w:spacing w:after="0" w:line="276" w:lineRule="auto"/>
        <w:ind w:left="709" w:right="758"/>
        <w:jc w:val="both"/>
        <w:rPr>
          <w:rFonts w:ascii="ITC Avant Garde" w:hAnsi="ITC Avant Garde"/>
          <w:i/>
          <w:sz w:val="18"/>
          <w:szCs w:val="18"/>
        </w:rPr>
      </w:pPr>
      <w:r w:rsidRPr="00E16359">
        <w:rPr>
          <w:rFonts w:ascii="ITC Avant Garde" w:hAnsi="ITC Avant Garde"/>
        </w:rPr>
        <w:t>“</w:t>
      </w:r>
      <w:r w:rsidRPr="00E16359">
        <w:rPr>
          <w:rFonts w:ascii="ITC Avant Garde" w:hAnsi="ITC Avant Garde"/>
          <w:i/>
          <w:sz w:val="18"/>
          <w:szCs w:val="18"/>
        </w:rPr>
        <w:t xml:space="preserve">La interconexión cruzada no gestionada se debe ofrecer mediante la instalación de cable de fibra óptica o el medio que los Concesionarios Solicitantes acuerden y cuenten con una Cubicación en el misma central telefónica de Telmex, mediando solicitud del [ _________ ]. A partir de la solicitud, Telmex establecerá en un término no mayor de 5 días, reunión para el levantamiento entre personal de Telmex y [ _________ ], con el fin de definir la ruta (escalerillas, ductos, etc.) en donde el [ _________ ] deberá instalar su cable de fibra óptica. Realizado el levantamiento y diagrama, Telmex debe aprobar el diagrama para que el [ _________ ] instale el cable de fibra óptica para llegar a la Coubicación. Para un enlace de transmisión de interconexión no gestionado, debe ser responsabilidad de Telmex, garantizar que la fibra o el enlace de interconexión no </w:t>
      </w:r>
      <w:r w:rsidRPr="00E16359">
        <w:rPr>
          <w:rFonts w:ascii="ITC Avant Garde" w:hAnsi="ITC Avant Garde"/>
          <w:i/>
          <w:sz w:val="18"/>
          <w:szCs w:val="18"/>
        </w:rPr>
        <w:lastRenderedPageBreak/>
        <w:t>se vean dañada al efectuar alguna actividad de mantenimiento o implementación de nuevo servicio.”</w:t>
      </w:r>
    </w:p>
    <w:p w:rsidR="00732A7F" w:rsidRPr="00E16359" w:rsidRDefault="00732A7F" w:rsidP="001D3335">
      <w:pPr>
        <w:spacing w:line="276" w:lineRule="auto"/>
        <w:jc w:val="both"/>
        <w:rPr>
          <w:rFonts w:ascii="ITC Avant Garde" w:hAnsi="ITC Avant Garde"/>
          <w:b/>
        </w:rPr>
      </w:pPr>
    </w:p>
    <w:p w:rsidR="00732A7F" w:rsidRPr="00E16359" w:rsidRDefault="00732A7F"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DB4FAB" w:rsidRPr="00E16359" w:rsidRDefault="009A1548" w:rsidP="00E16359">
      <w:pPr>
        <w:spacing w:line="276" w:lineRule="auto"/>
        <w:jc w:val="both"/>
        <w:rPr>
          <w:rFonts w:ascii="ITC Avant Garde" w:hAnsi="ITC Avant Garde"/>
        </w:rPr>
      </w:pPr>
      <w:r w:rsidRPr="00E16359">
        <w:rPr>
          <w:rFonts w:ascii="ITC Avant Garde" w:eastAsia="Avant Garde" w:hAnsi="ITC Avant Garde" w:cs="Avant Garde"/>
          <w:color w:val="000000"/>
          <w:lang w:eastAsia="es-MX"/>
        </w:rPr>
        <w:t>Al respecto, es importante precisar que</w:t>
      </w:r>
      <w:r w:rsidR="003C106F" w:rsidRPr="00E16359">
        <w:rPr>
          <w:rFonts w:ascii="ITC Avant Garde" w:eastAsia="Avant Garde" w:hAnsi="ITC Avant Garde" w:cs="Avant Garde"/>
          <w:color w:val="000000"/>
          <w:lang w:eastAsia="es-MX"/>
        </w:rPr>
        <w:t>,</w:t>
      </w:r>
      <w:r w:rsidRPr="00E16359">
        <w:rPr>
          <w:rFonts w:ascii="ITC Avant Garde" w:eastAsia="Avant Garde" w:hAnsi="ITC Avant Garde" w:cs="Avant Garde"/>
          <w:color w:val="000000"/>
          <w:lang w:eastAsia="es-MX"/>
        </w:rPr>
        <w:t xml:space="preserve"> </w:t>
      </w:r>
      <w:r w:rsidRPr="00E16359">
        <w:rPr>
          <w:rFonts w:ascii="ITC Avant Garde" w:hAnsi="ITC Avant Garde"/>
        </w:rPr>
        <w:t>dentro de las mejores prácticas de</w:t>
      </w:r>
      <w:r w:rsidR="003C106F" w:rsidRPr="00E16359">
        <w:rPr>
          <w:rFonts w:ascii="ITC Avant Garde" w:hAnsi="ITC Avant Garde"/>
        </w:rPr>
        <w:t xml:space="preserve">l uso de medios de transmisión </w:t>
      </w:r>
      <w:r w:rsidRPr="00E16359">
        <w:rPr>
          <w:rFonts w:ascii="ITC Avant Garde" w:hAnsi="ITC Avant Garde"/>
        </w:rPr>
        <w:t>se encuentra el uso de fibra,</w:t>
      </w:r>
      <w:r w:rsidR="00416C0D" w:rsidRPr="00E16359">
        <w:rPr>
          <w:rFonts w:ascii="ITC Avant Garde" w:eastAsia="Avant Garde" w:hAnsi="ITC Avant Garde" w:cs="Avant Garde"/>
          <w:color w:val="000000"/>
          <w:lang w:eastAsia="es-MX"/>
        </w:rPr>
        <w:t xml:space="preserve"> ya que </w:t>
      </w:r>
      <w:r w:rsidR="003F7982" w:rsidRPr="00E16359">
        <w:rPr>
          <w:rFonts w:ascii="ITC Avant Garde" w:hAnsi="ITC Avant Garde"/>
        </w:rPr>
        <w:t>establecer un medio de transmisión distinto implicaría un retroceso en la regulación conforme al avance tecnológico</w:t>
      </w:r>
      <w:r w:rsidR="00B176FB" w:rsidRPr="00E16359">
        <w:rPr>
          <w:rFonts w:ascii="ITC Avant Garde" w:hAnsi="ITC Avant Garde"/>
        </w:rPr>
        <w:t>.</w:t>
      </w:r>
      <w:r w:rsidR="003F7982" w:rsidRPr="00E16359">
        <w:rPr>
          <w:rFonts w:ascii="ITC Avant Garde" w:hAnsi="ITC Avant Garde"/>
        </w:rPr>
        <w:t xml:space="preserve"> </w:t>
      </w:r>
      <w:r w:rsidR="00416C0D" w:rsidRPr="00E16359">
        <w:rPr>
          <w:rFonts w:ascii="ITC Avant Garde" w:hAnsi="ITC Avant Garde"/>
        </w:rPr>
        <w:t>Asimismo,</w:t>
      </w:r>
      <w:r w:rsidR="00247FEF" w:rsidRPr="00E16359">
        <w:rPr>
          <w:rFonts w:ascii="ITC Avant Garde" w:hAnsi="ITC Avant Garde"/>
        </w:rPr>
        <w:t xml:space="preserve"> </w:t>
      </w:r>
      <w:r w:rsidR="00416C0D" w:rsidRPr="00E16359">
        <w:rPr>
          <w:rFonts w:ascii="ITC Avant Garde" w:hAnsi="ITC Avant Garde"/>
        </w:rPr>
        <w:t xml:space="preserve">de conformidad con el Acuerdo de Condiciones Técnicas Mínimas y Tarifas para 2019 en la Interconexión cruzada el propietario de las instalaciones </w:t>
      </w:r>
      <w:r w:rsidR="00D33501" w:rsidRPr="00E16359">
        <w:rPr>
          <w:rFonts w:ascii="ITC Avant Garde" w:hAnsi="ITC Avant Garde"/>
        </w:rPr>
        <w:t xml:space="preserve">será el responsable de </w:t>
      </w:r>
      <w:r w:rsidR="00416C0D" w:rsidRPr="00E16359">
        <w:rPr>
          <w:rFonts w:ascii="ITC Avant Garde" w:hAnsi="ITC Avant Garde"/>
        </w:rPr>
        <w:t>proveer las estructuras de soporte y el  medio de transmisión para dicha interconexión</w:t>
      </w:r>
      <w:r w:rsidR="00D33501" w:rsidRPr="00E16359">
        <w:rPr>
          <w:rFonts w:ascii="ITC Avant Garde" w:hAnsi="ITC Avant Garde"/>
        </w:rPr>
        <w:t xml:space="preserve"> y no así el concesionario Solicitante. Por </w:t>
      </w:r>
      <w:r w:rsidR="00E91C5D" w:rsidRPr="00E16359">
        <w:rPr>
          <w:rFonts w:ascii="ITC Avant Garde" w:hAnsi="ITC Avant Garde"/>
        </w:rPr>
        <w:t>último,</w:t>
      </w:r>
      <w:r w:rsidR="00D33501" w:rsidRPr="00E16359">
        <w:rPr>
          <w:rFonts w:ascii="ITC Avant Garde" w:hAnsi="ITC Avant Garde"/>
        </w:rPr>
        <w:t xml:space="preserve"> resulta de importancia destacar que la interconexión deberá ser efectiva conforme a las obligaciones y plazos establecidos en la propia LFTR.</w:t>
      </w:r>
    </w:p>
    <w:p w:rsidR="00DB4FAB" w:rsidRPr="00E16359" w:rsidRDefault="00DB4FAB" w:rsidP="001D3335">
      <w:pPr>
        <w:spacing w:after="0" w:line="276" w:lineRule="auto"/>
        <w:ind w:right="49"/>
        <w:jc w:val="both"/>
        <w:rPr>
          <w:rFonts w:ascii="ITC Avant Garde" w:hAnsi="ITC Avant Garde"/>
          <w:b/>
        </w:rPr>
      </w:pPr>
    </w:p>
    <w:p w:rsidR="002F79FF" w:rsidRPr="00E16359" w:rsidRDefault="000608A8" w:rsidP="001D3335">
      <w:pPr>
        <w:spacing w:after="0" w:line="276" w:lineRule="auto"/>
        <w:ind w:right="49"/>
        <w:jc w:val="both"/>
        <w:rPr>
          <w:rFonts w:ascii="ITC Avant Garde" w:hAnsi="ITC Avant Garde"/>
          <w:b/>
          <w:u w:val="single"/>
        </w:rPr>
      </w:pPr>
      <w:r w:rsidRPr="00E16359">
        <w:rPr>
          <w:rFonts w:ascii="ITC Avant Garde" w:hAnsi="ITC Avant Garde"/>
          <w:b/>
          <w:u w:val="single"/>
        </w:rPr>
        <w:t>Puertos de Acceso</w:t>
      </w:r>
      <w:r w:rsidRPr="00E16359">
        <w:rPr>
          <w:rFonts w:ascii="ITC Avant Garde" w:hAnsi="ITC Avant Garde"/>
          <w:u w:val="single"/>
        </w:rPr>
        <w:t>.</w:t>
      </w:r>
    </w:p>
    <w:p w:rsidR="002F79FF" w:rsidRPr="00E16359" w:rsidRDefault="002F79FF" w:rsidP="001D3335">
      <w:pPr>
        <w:spacing w:after="0" w:line="276" w:lineRule="auto"/>
        <w:ind w:right="618"/>
        <w:jc w:val="both"/>
        <w:rPr>
          <w:rFonts w:ascii="ITC Avant Garde" w:hAnsi="ITC Avant Garde"/>
        </w:rPr>
      </w:pPr>
    </w:p>
    <w:p w:rsidR="00C605D2" w:rsidRPr="00E16359" w:rsidRDefault="00C605D2" w:rsidP="001D3335">
      <w:pPr>
        <w:spacing w:after="0" w:line="276" w:lineRule="auto"/>
        <w:ind w:right="618"/>
        <w:jc w:val="both"/>
        <w:rPr>
          <w:rFonts w:ascii="ITC Avant Garde" w:hAnsi="ITC Avant Garde"/>
          <w:b/>
        </w:rPr>
      </w:pPr>
      <w:r w:rsidRPr="00E16359">
        <w:rPr>
          <w:rFonts w:ascii="ITC Avant Garde" w:hAnsi="ITC Avant Garde"/>
          <w:b/>
        </w:rPr>
        <w:t>ALTÁN Y CANIETI</w:t>
      </w:r>
    </w:p>
    <w:p w:rsidR="001F5B18" w:rsidRPr="00E16359" w:rsidRDefault="001F5B18" w:rsidP="001D3335">
      <w:pPr>
        <w:spacing w:after="0" w:line="276" w:lineRule="auto"/>
        <w:ind w:right="618"/>
        <w:jc w:val="both"/>
        <w:rPr>
          <w:rFonts w:ascii="ITC Avant Garde" w:hAnsi="ITC Avant Garde"/>
          <w:b/>
        </w:rPr>
      </w:pPr>
    </w:p>
    <w:p w:rsidR="00624F63" w:rsidRPr="00E16359" w:rsidRDefault="007B7170" w:rsidP="001D3335">
      <w:pPr>
        <w:pStyle w:val="Default"/>
        <w:jc w:val="both"/>
        <w:rPr>
          <w:rFonts w:ascii="ITC Avant Garde" w:hAnsi="ITC Avant Garde"/>
          <w:sz w:val="22"/>
          <w:szCs w:val="22"/>
        </w:rPr>
      </w:pPr>
      <w:r w:rsidRPr="00E16359">
        <w:rPr>
          <w:rFonts w:ascii="ITC Avant Garde" w:hAnsi="ITC Avant Garde"/>
          <w:sz w:val="22"/>
          <w:szCs w:val="22"/>
        </w:rPr>
        <w:t>Manif</w:t>
      </w:r>
      <w:r w:rsidR="00624F63" w:rsidRPr="00E16359">
        <w:rPr>
          <w:rFonts w:ascii="ITC Avant Garde" w:hAnsi="ITC Avant Garde"/>
          <w:sz w:val="22"/>
          <w:szCs w:val="22"/>
        </w:rPr>
        <w:t>esta</w:t>
      </w:r>
      <w:r w:rsidRPr="00E16359">
        <w:rPr>
          <w:rFonts w:ascii="ITC Avant Garde" w:hAnsi="ITC Avant Garde"/>
          <w:sz w:val="22"/>
          <w:szCs w:val="22"/>
        </w:rPr>
        <w:t>ro</w:t>
      </w:r>
      <w:r w:rsidR="00624F63" w:rsidRPr="00E16359">
        <w:rPr>
          <w:rFonts w:ascii="ITC Avant Garde" w:hAnsi="ITC Avant Garde"/>
          <w:sz w:val="22"/>
          <w:szCs w:val="22"/>
        </w:rPr>
        <w:t xml:space="preserve">n que </w:t>
      </w:r>
      <w:r w:rsidRPr="00E16359">
        <w:rPr>
          <w:rFonts w:ascii="ITC Avant Garde" w:hAnsi="ITC Avant Garde"/>
          <w:sz w:val="22"/>
          <w:szCs w:val="22"/>
        </w:rPr>
        <w:t>el puerto de acceso y</w:t>
      </w:r>
      <w:r w:rsidR="00624F63" w:rsidRPr="00E16359">
        <w:rPr>
          <w:rFonts w:ascii="ITC Avant Garde" w:hAnsi="ITC Avant Garde"/>
          <w:sz w:val="22"/>
          <w:szCs w:val="22"/>
        </w:rPr>
        <w:t xml:space="preserve"> los enlaces dedicados que </w:t>
      </w:r>
      <w:r w:rsidRPr="00E16359">
        <w:rPr>
          <w:rFonts w:ascii="ITC Avant Garde" w:hAnsi="ITC Avant Garde"/>
          <w:sz w:val="22"/>
          <w:szCs w:val="22"/>
        </w:rPr>
        <w:t xml:space="preserve">proporcionará </w:t>
      </w:r>
      <w:r w:rsidR="00624F63" w:rsidRPr="00E16359">
        <w:rPr>
          <w:rFonts w:ascii="ITC Avant Garde" w:hAnsi="ITC Avant Garde"/>
          <w:sz w:val="22"/>
          <w:szCs w:val="22"/>
        </w:rPr>
        <w:t>el AEP, debe</w:t>
      </w:r>
      <w:r w:rsidR="00E27261" w:rsidRPr="00E16359">
        <w:rPr>
          <w:rFonts w:ascii="ITC Avant Garde" w:hAnsi="ITC Avant Garde"/>
          <w:sz w:val="22"/>
          <w:szCs w:val="22"/>
        </w:rPr>
        <w:t>n</w:t>
      </w:r>
      <w:r w:rsidR="00624F63" w:rsidRPr="00E16359">
        <w:rPr>
          <w:rFonts w:ascii="ITC Avant Garde" w:hAnsi="ITC Avant Garde"/>
          <w:sz w:val="22"/>
          <w:szCs w:val="22"/>
        </w:rPr>
        <w:t xml:space="preserve"> tener la capacidad de manejar tráfico telefónico bidireccional sobre el mismo recurso físico, lo cual permitirá un mejor aprovechamiento tanto de la infraestructura física de los elementos, así como una mayor recuperación de la inversión económica que se deba realizar, teniendo como ventaja el fácil escalamiento para la implementación de recursos redundantes con menor inversión y mayores beneficios de despliegue y operación</w:t>
      </w:r>
      <w:r w:rsidR="00E27261" w:rsidRPr="00E16359">
        <w:rPr>
          <w:rFonts w:ascii="ITC Avant Garde" w:hAnsi="ITC Avant Garde"/>
          <w:sz w:val="22"/>
          <w:szCs w:val="22"/>
        </w:rPr>
        <w:t>.</w:t>
      </w:r>
    </w:p>
    <w:p w:rsidR="00624F63" w:rsidRPr="00E16359" w:rsidRDefault="00624F63" w:rsidP="001D3335">
      <w:pPr>
        <w:spacing w:after="0" w:line="276" w:lineRule="auto"/>
        <w:ind w:right="618"/>
        <w:jc w:val="both"/>
        <w:rPr>
          <w:rFonts w:ascii="ITC Avant Garde" w:hAnsi="ITC Avant Garde"/>
        </w:rPr>
      </w:pPr>
    </w:p>
    <w:p w:rsidR="008318FE" w:rsidRPr="00E16359" w:rsidRDefault="00865B95" w:rsidP="001D3335">
      <w:pPr>
        <w:spacing w:after="0" w:line="276" w:lineRule="auto"/>
        <w:ind w:right="618"/>
        <w:jc w:val="both"/>
        <w:rPr>
          <w:rFonts w:ascii="ITC Avant Garde" w:hAnsi="ITC Avant Garde"/>
        </w:rPr>
      </w:pPr>
      <w:r w:rsidRPr="00E16359">
        <w:rPr>
          <w:rFonts w:ascii="ITC Avant Garde" w:hAnsi="ITC Avant Garde"/>
        </w:rPr>
        <w:t>P</w:t>
      </w:r>
      <w:r w:rsidR="008318FE" w:rsidRPr="00E16359">
        <w:rPr>
          <w:rFonts w:ascii="ITC Avant Garde" w:hAnsi="ITC Avant Garde"/>
        </w:rPr>
        <w:t>ro</w:t>
      </w:r>
      <w:r w:rsidR="0075441F" w:rsidRPr="00E16359">
        <w:rPr>
          <w:rFonts w:ascii="ITC Avant Garde" w:hAnsi="ITC Avant Garde"/>
        </w:rPr>
        <w:t>pusieron</w:t>
      </w:r>
      <w:r w:rsidR="008318FE" w:rsidRPr="00E16359">
        <w:rPr>
          <w:rFonts w:ascii="ITC Avant Garde" w:hAnsi="ITC Avant Garde"/>
        </w:rPr>
        <w:t xml:space="preserve"> la siguiente redacción:</w:t>
      </w:r>
    </w:p>
    <w:p w:rsidR="008318FE" w:rsidRPr="00E16359" w:rsidRDefault="008318FE" w:rsidP="001D3335">
      <w:pPr>
        <w:spacing w:after="0" w:line="276" w:lineRule="auto"/>
        <w:ind w:right="618"/>
        <w:jc w:val="both"/>
        <w:rPr>
          <w:rFonts w:ascii="ITC Avant Garde" w:hAnsi="ITC Avant Garde"/>
        </w:rPr>
      </w:pPr>
    </w:p>
    <w:p w:rsidR="008318FE" w:rsidRPr="00E16359" w:rsidRDefault="008318FE" w:rsidP="001D3335">
      <w:pPr>
        <w:spacing w:after="0" w:line="276" w:lineRule="auto"/>
        <w:ind w:left="709" w:right="616"/>
        <w:jc w:val="both"/>
        <w:rPr>
          <w:rFonts w:ascii="ITC Avant Garde" w:hAnsi="ITC Avant Garde"/>
          <w:i/>
          <w:sz w:val="18"/>
          <w:szCs w:val="18"/>
        </w:rPr>
      </w:pPr>
      <w:r w:rsidRPr="00E16359">
        <w:rPr>
          <w:rFonts w:ascii="ITC Avant Garde" w:hAnsi="ITC Avant Garde"/>
        </w:rPr>
        <w:t>“</w:t>
      </w:r>
      <w:r w:rsidRPr="00E16359">
        <w:rPr>
          <w:rFonts w:ascii="ITC Avant Garde" w:hAnsi="ITC Avant Garde"/>
          <w:i/>
          <w:sz w:val="18"/>
          <w:szCs w:val="18"/>
        </w:rPr>
        <w:t>5.4 PUERTOS DE ACCESO. Los Puertos de Acceso que debe proporcionar Telmex deberán permitir la entrega de Tráfico bidireccional de cualquier origen, de cualquier tipo (local, transito, móvil y fijo) y con terminación en cualquier destino nacional comprendido en el área de cobertura concesionada a Telmex. Para clientes diferentes de Telmex la entrega se realizará mediante el Servicio de Tránsito para redes fijas y móviles.”</w:t>
      </w:r>
    </w:p>
    <w:p w:rsidR="008318FE" w:rsidRPr="00E16359" w:rsidRDefault="008318FE" w:rsidP="001D3335">
      <w:pPr>
        <w:spacing w:after="0" w:line="276" w:lineRule="auto"/>
        <w:ind w:left="709" w:right="616"/>
        <w:jc w:val="both"/>
        <w:rPr>
          <w:rFonts w:ascii="ITC Avant Garde" w:hAnsi="ITC Avant Garde"/>
        </w:rPr>
      </w:pPr>
    </w:p>
    <w:p w:rsidR="008318FE" w:rsidRPr="00E16359" w:rsidRDefault="008318FE" w:rsidP="001D3335">
      <w:pPr>
        <w:spacing w:after="0" w:line="276" w:lineRule="auto"/>
        <w:ind w:right="49"/>
        <w:jc w:val="both"/>
        <w:rPr>
          <w:rFonts w:ascii="ITC Avant Garde" w:hAnsi="ITC Avant Garde"/>
        </w:rPr>
      </w:pPr>
      <w:r w:rsidRPr="00E16359">
        <w:rPr>
          <w:rFonts w:ascii="ITC Avant Garde" w:hAnsi="ITC Avant Garde"/>
        </w:rPr>
        <w:t>Solicita</w:t>
      </w:r>
      <w:r w:rsidR="004130E7" w:rsidRPr="00E16359">
        <w:rPr>
          <w:rFonts w:ascii="ITC Avant Garde" w:hAnsi="ITC Avant Garde"/>
        </w:rPr>
        <w:t>ron</w:t>
      </w:r>
      <w:r w:rsidRPr="00E16359">
        <w:rPr>
          <w:rFonts w:ascii="ITC Avant Garde" w:hAnsi="ITC Avant Garde"/>
        </w:rPr>
        <w:t xml:space="preserve"> respetar la redacción del CMI vigente durante el 201</w:t>
      </w:r>
      <w:r w:rsidR="0020168B" w:rsidRPr="00E16359">
        <w:rPr>
          <w:rFonts w:ascii="ITC Avant Garde" w:hAnsi="ITC Avant Garde"/>
        </w:rPr>
        <w:t>8, toda vez que la propuesta de</w:t>
      </w:r>
      <w:r w:rsidRPr="00E16359">
        <w:rPr>
          <w:rFonts w:ascii="ITC Avant Garde" w:hAnsi="ITC Avant Garde"/>
        </w:rPr>
        <w:t xml:space="preserve"> Telmex para el 2019 no es conforme al principio de </w:t>
      </w:r>
      <w:r w:rsidRPr="00E16359">
        <w:rPr>
          <w:rFonts w:ascii="ITC Avant Garde" w:hAnsi="ITC Avant Garde"/>
          <w:i/>
        </w:rPr>
        <w:t>“todo origen, todo destino”</w:t>
      </w:r>
      <w:r w:rsidRPr="00E16359">
        <w:rPr>
          <w:rFonts w:ascii="ITC Avant Garde" w:hAnsi="ITC Avant Garde"/>
        </w:rPr>
        <w:t>, ya que de dicha redacción se entie</w:t>
      </w:r>
      <w:r w:rsidR="0020168B" w:rsidRPr="00E16359">
        <w:rPr>
          <w:rFonts w:ascii="ITC Avant Garde" w:hAnsi="ITC Avant Garde"/>
        </w:rPr>
        <w:t>nde que pretenden disuadir ese</w:t>
      </w:r>
      <w:r w:rsidRPr="00E16359">
        <w:rPr>
          <w:rFonts w:ascii="ITC Avant Garde" w:hAnsi="ITC Avant Garde"/>
        </w:rPr>
        <w:t xml:space="preserve"> principio al hablar de </w:t>
      </w:r>
      <w:r w:rsidRPr="00E16359">
        <w:rPr>
          <w:rFonts w:ascii="ITC Avant Garde" w:hAnsi="ITC Avant Garde"/>
          <w:i/>
        </w:rPr>
        <w:t>“cualquier origen”</w:t>
      </w:r>
      <w:r w:rsidRPr="00E16359">
        <w:rPr>
          <w:rFonts w:ascii="ITC Avant Garde" w:hAnsi="ITC Avant Garde"/>
        </w:rPr>
        <w:t xml:space="preserve"> pero con terminación delimitada al área en cobertura concesionada a Telmex.</w:t>
      </w:r>
    </w:p>
    <w:p w:rsidR="008318FE" w:rsidRPr="00E16359" w:rsidRDefault="008318FE" w:rsidP="001D3335">
      <w:pPr>
        <w:spacing w:after="0" w:line="276" w:lineRule="auto"/>
        <w:ind w:right="49"/>
        <w:jc w:val="both"/>
        <w:rPr>
          <w:rFonts w:ascii="ITC Avant Garde" w:hAnsi="ITC Avant Garde"/>
        </w:rPr>
      </w:pPr>
    </w:p>
    <w:p w:rsidR="008318FE" w:rsidRPr="00E16359" w:rsidRDefault="00865B95" w:rsidP="001D3335">
      <w:pPr>
        <w:spacing w:after="0" w:line="276" w:lineRule="auto"/>
        <w:ind w:right="49"/>
        <w:jc w:val="both"/>
        <w:rPr>
          <w:rFonts w:ascii="ITC Avant Garde" w:hAnsi="ITC Avant Garde"/>
        </w:rPr>
      </w:pPr>
      <w:r w:rsidRPr="00E16359">
        <w:rPr>
          <w:rFonts w:ascii="ITC Avant Garde" w:hAnsi="ITC Avant Garde"/>
        </w:rPr>
        <w:lastRenderedPageBreak/>
        <w:t>Señala</w:t>
      </w:r>
      <w:r w:rsidR="004130E7" w:rsidRPr="00E16359">
        <w:rPr>
          <w:rFonts w:ascii="ITC Avant Garde" w:hAnsi="ITC Avant Garde"/>
        </w:rPr>
        <w:t xml:space="preserve">ron </w:t>
      </w:r>
      <w:r w:rsidRPr="00E16359">
        <w:rPr>
          <w:rFonts w:ascii="ITC Avant Garde" w:hAnsi="ITC Avant Garde"/>
        </w:rPr>
        <w:t>que l</w:t>
      </w:r>
      <w:r w:rsidR="008318FE" w:rsidRPr="00E16359">
        <w:rPr>
          <w:rFonts w:ascii="ITC Avant Garde" w:hAnsi="ITC Avant Garde"/>
        </w:rPr>
        <w:t>o anterior</w:t>
      </w:r>
      <w:r w:rsidRPr="00E16359">
        <w:rPr>
          <w:rFonts w:ascii="ITC Avant Garde" w:hAnsi="ITC Avant Garde"/>
        </w:rPr>
        <w:t xml:space="preserve"> </w:t>
      </w:r>
      <w:r w:rsidR="008318FE" w:rsidRPr="00E16359">
        <w:rPr>
          <w:rFonts w:ascii="ITC Avant Garde" w:hAnsi="ITC Avant Garde"/>
        </w:rPr>
        <w:t>podría ocasionar que Telmex se negara a terminar tráfico en e</w:t>
      </w:r>
      <w:r w:rsidR="00077836" w:rsidRPr="00E16359">
        <w:rPr>
          <w:rFonts w:ascii="ITC Avant Garde" w:hAnsi="ITC Avant Garde"/>
        </w:rPr>
        <w:t>l área de cobertura de Telnor (</w:t>
      </w:r>
      <w:r w:rsidR="00C067B0" w:rsidRPr="00E16359">
        <w:rPr>
          <w:rFonts w:ascii="ITC Avant Garde" w:hAnsi="ITC Avant Garde"/>
        </w:rPr>
        <w:t>como parte integrante del</w:t>
      </w:r>
      <w:r w:rsidR="00077836" w:rsidRPr="00E16359">
        <w:rPr>
          <w:rFonts w:ascii="ITC Avant Garde" w:hAnsi="ITC Avant Garde"/>
        </w:rPr>
        <w:t xml:space="preserve"> AEP), obligando a los c</w:t>
      </w:r>
      <w:r w:rsidR="008318FE" w:rsidRPr="00E16359">
        <w:rPr>
          <w:rFonts w:ascii="ITC Avant Garde" w:hAnsi="ITC Avant Garde"/>
        </w:rPr>
        <w:t>oncesionarios a interconectarse directamente con este último.</w:t>
      </w:r>
    </w:p>
    <w:p w:rsidR="00865B95" w:rsidRPr="00E16359" w:rsidRDefault="00865B95" w:rsidP="001D3335">
      <w:pPr>
        <w:spacing w:after="0" w:line="276" w:lineRule="auto"/>
        <w:jc w:val="both"/>
        <w:rPr>
          <w:rFonts w:ascii="ITC Avant Garde" w:hAnsi="ITC Avant Garde"/>
        </w:rPr>
      </w:pPr>
    </w:p>
    <w:p w:rsidR="008318FE" w:rsidRPr="00E16359" w:rsidRDefault="00865B95" w:rsidP="001D3335">
      <w:pPr>
        <w:spacing w:after="0" w:line="276" w:lineRule="auto"/>
        <w:jc w:val="both"/>
        <w:rPr>
          <w:rFonts w:ascii="ITC Avant Garde" w:hAnsi="ITC Avant Garde"/>
        </w:rPr>
      </w:pPr>
      <w:r w:rsidRPr="00E16359">
        <w:rPr>
          <w:rFonts w:ascii="ITC Avant Garde" w:hAnsi="ITC Avant Garde"/>
        </w:rPr>
        <w:t>D</w:t>
      </w:r>
      <w:r w:rsidR="008318FE" w:rsidRPr="00E16359">
        <w:rPr>
          <w:rFonts w:ascii="ITC Avant Garde" w:hAnsi="ITC Avant Garde"/>
        </w:rPr>
        <w:t>estaca</w:t>
      </w:r>
      <w:r w:rsidR="00077836" w:rsidRPr="00E16359">
        <w:rPr>
          <w:rFonts w:ascii="ITC Avant Garde" w:hAnsi="ITC Avant Garde"/>
        </w:rPr>
        <w:t>n</w:t>
      </w:r>
      <w:r w:rsidR="008318FE" w:rsidRPr="00E16359">
        <w:rPr>
          <w:rFonts w:ascii="ITC Avant Garde" w:hAnsi="ITC Avant Garde"/>
        </w:rPr>
        <w:t xml:space="preserve"> la definición de Servicios de Tránsito del CMI de Telcel propuesto para el 2019, en los siguientes términos:</w:t>
      </w:r>
    </w:p>
    <w:p w:rsidR="008318FE" w:rsidRPr="00E16359" w:rsidRDefault="008318FE" w:rsidP="001D3335">
      <w:pPr>
        <w:spacing w:after="0" w:line="276" w:lineRule="auto"/>
        <w:ind w:right="618"/>
        <w:jc w:val="both"/>
        <w:rPr>
          <w:rFonts w:ascii="ITC Avant Garde" w:hAnsi="ITC Avant Garde"/>
        </w:rPr>
      </w:pPr>
    </w:p>
    <w:p w:rsidR="008318FE" w:rsidRPr="00E16359" w:rsidRDefault="008318FE" w:rsidP="001D3335">
      <w:pPr>
        <w:spacing w:after="0" w:line="276" w:lineRule="auto"/>
        <w:ind w:left="709" w:right="900"/>
        <w:jc w:val="both"/>
        <w:rPr>
          <w:rFonts w:ascii="ITC Avant Garde" w:hAnsi="ITC Avant Garde"/>
          <w:i/>
          <w:sz w:val="18"/>
          <w:szCs w:val="18"/>
        </w:rPr>
      </w:pPr>
      <w:r w:rsidRPr="00E16359">
        <w:rPr>
          <w:rFonts w:ascii="ITC Avant Garde" w:hAnsi="ITC Avant Garde"/>
          <w:i/>
          <w:sz w:val="18"/>
          <w:szCs w:val="18"/>
        </w:rPr>
        <w:t>“Servicio de Interconexión para el enrutamiento de Tráfico que TELCEL per se o a través de cualquier red perteneciente al Agente Económico Preponderante que se encuentre interconectada de manera directa,  provee para la Interconexión de dos o más Redes Públicas de Telecomunicaciones distintas, para la terminación de Tráfico en las redes con las que TELCEL o cualquier red perteneciente al Agente Económico Preponderante se encuentre interconectado de forma directa bidireccional, en los términos de la Condición Octava del Acuerdo de Condiciones Técnicas Mínimas de Interconexión.”</w:t>
      </w:r>
    </w:p>
    <w:p w:rsidR="00C06EB4" w:rsidRPr="00E16359" w:rsidRDefault="00C06EB4" w:rsidP="001D3335">
      <w:pPr>
        <w:spacing w:after="0" w:line="276" w:lineRule="auto"/>
        <w:jc w:val="both"/>
        <w:rPr>
          <w:rFonts w:ascii="ITC Avant Garde" w:hAnsi="ITC Avant Garde"/>
        </w:rPr>
      </w:pPr>
    </w:p>
    <w:p w:rsidR="008318FE" w:rsidRPr="00E16359" w:rsidRDefault="00703E30" w:rsidP="001D3335">
      <w:pPr>
        <w:spacing w:after="0" w:line="276" w:lineRule="auto"/>
        <w:jc w:val="both"/>
        <w:rPr>
          <w:rFonts w:ascii="ITC Avant Garde" w:hAnsi="ITC Avant Garde"/>
        </w:rPr>
      </w:pPr>
      <w:r w:rsidRPr="00E16359">
        <w:rPr>
          <w:rFonts w:ascii="ITC Avant Garde" w:hAnsi="ITC Avant Garde"/>
        </w:rPr>
        <w:t>Manif</w:t>
      </w:r>
      <w:r w:rsidR="00C06EB4" w:rsidRPr="00E16359">
        <w:rPr>
          <w:rFonts w:ascii="ITC Avant Garde" w:hAnsi="ITC Avant Garde"/>
        </w:rPr>
        <w:t>esta</w:t>
      </w:r>
      <w:r w:rsidR="004130E7" w:rsidRPr="00E16359">
        <w:rPr>
          <w:rFonts w:ascii="ITC Avant Garde" w:hAnsi="ITC Avant Garde"/>
        </w:rPr>
        <w:t>ro</w:t>
      </w:r>
      <w:r w:rsidR="00077836" w:rsidRPr="00E16359">
        <w:rPr>
          <w:rFonts w:ascii="ITC Avant Garde" w:hAnsi="ITC Avant Garde"/>
        </w:rPr>
        <w:t>n</w:t>
      </w:r>
      <w:r w:rsidR="00AD1BCE" w:rsidRPr="00E16359">
        <w:rPr>
          <w:rFonts w:ascii="ITC Avant Garde" w:hAnsi="ITC Avant Garde"/>
        </w:rPr>
        <w:t xml:space="preserve"> que </w:t>
      </w:r>
      <w:r w:rsidR="00077836" w:rsidRPr="00E16359">
        <w:rPr>
          <w:rFonts w:ascii="ITC Avant Garde" w:hAnsi="ITC Avant Garde"/>
        </w:rPr>
        <w:t xml:space="preserve">conforme </w:t>
      </w:r>
      <w:r w:rsidR="008318FE" w:rsidRPr="00E16359">
        <w:rPr>
          <w:rFonts w:ascii="ITC Avant Garde" w:hAnsi="ITC Avant Garde"/>
        </w:rPr>
        <w:t>esta definición, se robustece el argumento sobre la obligación de Telmex a considerar la red de Telnor como una sola, pues Telcel al ser parte del AEP, confirma que la terminación del tráfico podrá realizarse en cualquiera de las redes que conformen al AEP.</w:t>
      </w:r>
    </w:p>
    <w:p w:rsidR="00BF0AE9" w:rsidRPr="00E16359" w:rsidRDefault="00BF0AE9" w:rsidP="001D3335">
      <w:pPr>
        <w:spacing w:after="0" w:line="276" w:lineRule="auto"/>
        <w:ind w:right="618"/>
        <w:jc w:val="both"/>
        <w:rPr>
          <w:rFonts w:ascii="ITC Avant Garde" w:hAnsi="ITC Avant Garde"/>
          <w:b/>
        </w:rPr>
      </w:pPr>
    </w:p>
    <w:p w:rsidR="00AD1BCE" w:rsidRPr="00E16359" w:rsidRDefault="00AD1BCE" w:rsidP="001D3335">
      <w:pPr>
        <w:spacing w:after="0" w:line="276" w:lineRule="auto"/>
        <w:ind w:right="618"/>
        <w:jc w:val="both"/>
        <w:rPr>
          <w:rFonts w:ascii="ITC Avant Garde" w:hAnsi="ITC Avant Garde"/>
          <w:b/>
        </w:rPr>
      </w:pPr>
      <w:r w:rsidRPr="00E16359">
        <w:rPr>
          <w:rFonts w:ascii="ITC Avant Garde" w:hAnsi="ITC Avant Garde"/>
          <w:b/>
        </w:rPr>
        <w:t>AT&amp;T</w:t>
      </w:r>
    </w:p>
    <w:p w:rsidR="00C37B4B" w:rsidRPr="00E16359" w:rsidRDefault="00C37B4B" w:rsidP="001D3335">
      <w:pPr>
        <w:spacing w:after="0" w:line="276" w:lineRule="auto"/>
        <w:ind w:right="618"/>
        <w:jc w:val="both"/>
        <w:rPr>
          <w:rFonts w:ascii="ITC Avant Garde" w:hAnsi="ITC Avant Garde"/>
          <w:b/>
        </w:rPr>
      </w:pPr>
    </w:p>
    <w:p w:rsidR="00AD1BCE" w:rsidRPr="00E16359" w:rsidRDefault="004130E7" w:rsidP="001D3335">
      <w:pPr>
        <w:spacing w:after="0" w:line="276" w:lineRule="auto"/>
        <w:jc w:val="both"/>
        <w:rPr>
          <w:rFonts w:ascii="ITC Avant Garde" w:hAnsi="ITC Avant Garde"/>
        </w:rPr>
      </w:pPr>
      <w:r w:rsidRPr="00E16359">
        <w:rPr>
          <w:rFonts w:ascii="ITC Avant Garde" w:hAnsi="ITC Avant Garde"/>
        </w:rPr>
        <w:t>Señaló</w:t>
      </w:r>
      <w:r w:rsidR="00AD1BCE" w:rsidRPr="00E16359">
        <w:rPr>
          <w:rFonts w:ascii="ITC Avant Garde" w:hAnsi="ITC Avant Garde"/>
        </w:rPr>
        <w:t xml:space="preserve"> que debe ser acorde con las resoluciones de tarifas de</w:t>
      </w:r>
      <w:r w:rsidR="00803E99" w:rsidRPr="00E16359">
        <w:rPr>
          <w:rFonts w:ascii="ITC Avant Garde" w:hAnsi="ITC Avant Garde"/>
        </w:rPr>
        <w:t xml:space="preserve"> Interconexión que el Instituto</w:t>
      </w:r>
      <w:r w:rsidR="00AD1BCE" w:rsidRPr="00E16359">
        <w:rPr>
          <w:rFonts w:ascii="ITC Avant Garde" w:hAnsi="ITC Avant Garde"/>
        </w:rPr>
        <w:t xml:space="preserve"> ha emitido, por tanto,</w:t>
      </w:r>
      <w:r w:rsidRPr="00E16359">
        <w:rPr>
          <w:rFonts w:ascii="ITC Avant Garde" w:hAnsi="ITC Avant Garde"/>
        </w:rPr>
        <w:t xml:space="preserve"> propuso</w:t>
      </w:r>
      <w:r w:rsidR="00AD1BCE" w:rsidRPr="00E16359">
        <w:rPr>
          <w:rFonts w:ascii="ITC Avant Garde" w:hAnsi="ITC Avant Garde"/>
        </w:rPr>
        <w:t xml:space="preserve"> la siguiente redacción:</w:t>
      </w:r>
    </w:p>
    <w:p w:rsidR="00AD1BCE" w:rsidRPr="00E16359" w:rsidRDefault="00AD1BCE" w:rsidP="001D3335">
      <w:pPr>
        <w:spacing w:after="0" w:line="276" w:lineRule="auto"/>
        <w:ind w:right="618"/>
        <w:jc w:val="both"/>
        <w:rPr>
          <w:rFonts w:ascii="ITC Avant Garde" w:hAnsi="ITC Avant Garde"/>
          <w:i/>
        </w:rPr>
      </w:pPr>
    </w:p>
    <w:p w:rsidR="00AD1BCE" w:rsidRPr="00E16359" w:rsidRDefault="00AD1BCE" w:rsidP="001D3335">
      <w:pPr>
        <w:spacing w:after="0" w:line="276" w:lineRule="auto"/>
        <w:ind w:left="709" w:right="709"/>
        <w:jc w:val="both"/>
        <w:rPr>
          <w:rFonts w:ascii="ITC Avant Garde" w:hAnsi="ITC Avant Garde"/>
          <w:i/>
          <w:sz w:val="18"/>
          <w:szCs w:val="18"/>
        </w:rPr>
      </w:pPr>
      <w:r w:rsidRPr="00E16359">
        <w:rPr>
          <w:rFonts w:ascii="ITC Avant Garde" w:hAnsi="ITC Avant Garde"/>
          <w:i/>
          <w:sz w:val="18"/>
          <w:szCs w:val="18"/>
        </w:rPr>
        <w:t>“Los Puertos de Acceso no generarán un costo adicional pues éste ya está incluido en la tarifa de Servicios Conmutados de Interconexión.”</w:t>
      </w:r>
    </w:p>
    <w:p w:rsidR="00AD1BCE" w:rsidRPr="00E16359" w:rsidRDefault="00AD1BCE" w:rsidP="001D3335">
      <w:pPr>
        <w:spacing w:after="0" w:line="276" w:lineRule="auto"/>
        <w:ind w:left="709" w:right="709"/>
        <w:jc w:val="both"/>
        <w:rPr>
          <w:rFonts w:ascii="ITC Avant Garde" w:hAnsi="ITC Avant Garde"/>
          <w:b/>
        </w:rPr>
      </w:pPr>
    </w:p>
    <w:p w:rsidR="00C605D2" w:rsidRPr="00E16359" w:rsidRDefault="00BF0AE9" w:rsidP="001D3335">
      <w:pPr>
        <w:spacing w:after="0" w:line="276" w:lineRule="auto"/>
        <w:ind w:right="618"/>
        <w:jc w:val="both"/>
        <w:rPr>
          <w:rFonts w:ascii="ITC Avant Garde" w:hAnsi="ITC Avant Garde"/>
          <w:b/>
        </w:rPr>
      </w:pPr>
      <w:r w:rsidRPr="00E16359">
        <w:rPr>
          <w:rFonts w:ascii="ITC Avant Garde" w:hAnsi="ITC Avant Garde"/>
          <w:b/>
        </w:rPr>
        <w:t>MEGACABLE</w:t>
      </w:r>
    </w:p>
    <w:p w:rsidR="00C37B4B" w:rsidRPr="00E16359" w:rsidRDefault="00C37B4B" w:rsidP="001D3335">
      <w:pPr>
        <w:spacing w:after="0" w:line="276" w:lineRule="auto"/>
        <w:ind w:right="618"/>
        <w:jc w:val="both"/>
        <w:rPr>
          <w:rFonts w:ascii="ITC Avant Garde" w:hAnsi="ITC Avant Garde"/>
          <w:b/>
        </w:rPr>
      </w:pPr>
    </w:p>
    <w:p w:rsidR="00BF0AE9" w:rsidRPr="00E16359" w:rsidRDefault="00B07FFA" w:rsidP="001D3335">
      <w:pPr>
        <w:spacing w:after="0" w:line="276" w:lineRule="auto"/>
        <w:ind w:right="618"/>
        <w:jc w:val="both"/>
        <w:rPr>
          <w:rFonts w:ascii="ITC Avant Garde" w:hAnsi="ITC Avant Garde"/>
        </w:rPr>
      </w:pPr>
      <w:r w:rsidRPr="00E16359">
        <w:rPr>
          <w:rFonts w:ascii="ITC Avant Garde" w:hAnsi="ITC Avant Garde"/>
        </w:rPr>
        <w:t>P</w:t>
      </w:r>
      <w:r w:rsidR="004130E7" w:rsidRPr="00E16359">
        <w:rPr>
          <w:rFonts w:ascii="ITC Avant Garde" w:hAnsi="ITC Avant Garde"/>
        </w:rPr>
        <w:t>ropuso</w:t>
      </w:r>
      <w:r w:rsidR="00BF0AE9" w:rsidRPr="00E16359">
        <w:rPr>
          <w:rFonts w:ascii="ITC Avant Garde" w:hAnsi="ITC Avant Garde"/>
        </w:rPr>
        <w:t xml:space="preserve"> la siguiente redacción:</w:t>
      </w:r>
    </w:p>
    <w:p w:rsidR="00BF0AE9" w:rsidRPr="00E16359" w:rsidRDefault="00BF0AE9" w:rsidP="001D3335">
      <w:pPr>
        <w:spacing w:after="0" w:line="276" w:lineRule="auto"/>
        <w:ind w:right="618"/>
        <w:jc w:val="both"/>
        <w:rPr>
          <w:rFonts w:ascii="ITC Avant Garde" w:hAnsi="ITC Avant Garde"/>
        </w:rPr>
      </w:pPr>
    </w:p>
    <w:p w:rsidR="00BF0AE9" w:rsidRPr="00E16359" w:rsidRDefault="00BF0AE9" w:rsidP="001D3335">
      <w:pPr>
        <w:spacing w:after="0" w:line="276" w:lineRule="auto"/>
        <w:ind w:left="709" w:right="851"/>
        <w:jc w:val="both"/>
        <w:rPr>
          <w:rFonts w:ascii="ITC Avant Garde" w:hAnsi="ITC Avant Garde"/>
          <w:i/>
          <w:sz w:val="18"/>
          <w:szCs w:val="18"/>
        </w:rPr>
      </w:pPr>
      <w:r w:rsidRPr="00E16359">
        <w:rPr>
          <w:rFonts w:ascii="ITC Avant Garde" w:hAnsi="ITC Avant Garde"/>
          <w:i/>
          <w:sz w:val="18"/>
          <w:szCs w:val="18"/>
        </w:rPr>
        <w:t>“5.4 PUERTOS DE ACCESO. Los Puertos de Acceso que debe proporcionar Telmex deberán permitir la entrega de Tráfico bidireccional de cualquier origen, de cualquier tipo (local, transito, móvil y fijo) y con terminación en cualquier destino nacional comprendido en el área de cobertura concesionada a Telmex. Para clientes diferentes de Telmex la entrega se realizará mediante el Servicio de Tránsito para redes fijas y móviles.”</w:t>
      </w:r>
    </w:p>
    <w:p w:rsidR="00BF0AE9" w:rsidRPr="00E16359" w:rsidRDefault="00BF0AE9" w:rsidP="001D3335">
      <w:pPr>
        <w:spacing w:after="0" w:line="276" w:lineRule="auto"/>
        <w:ind w:right="618"/>
        <w:jc w:val="both"/>
        <w:rPr>
          <w:rFonts w:ascii="ITC Avant Garde" w:hAnsi="ITC Avant Garde"/>
        </w:rPr>
      </w:pPr>
    </w:p>
    <w:p w:rsidR="00AD1BCE" w:rsidRPr="00E16359" w:rsidRDefault="00AD1BCE" w:rsidP="001D3335">
      <w:pPr>
        <w:spacing w:after="0" w:line="276" w:lineRule="auto"/>
        <w:ind w:right="618"/>
        <w:jc w:val="both"/>
        <w:rPr>
          <w:rFonts w:ascii="ITC Avant Garde" w:hAnsi="ITC Avant Garde"/>
          <w:b/>
        </w:rPr>
      </w:pPr>
      <w:r w:rsidRPr="00E16359">
        <w:rPr>
          <w:rFonts w:ascii="ITC Avant Garde" w:hAnsi="ITC Avant Garde"/>
          <w:b/>
        </w:rPr>
        <w:t>GRUPO TELEVISA</w:t>
      </w:r>
    </w:p>
    <w:p w:rsidR="00C37B4B" w:rsidRPr="00E16359" w:rsidRDefault="00C37B4B" w:rsidP="001D3335">
      <w:pPr>
        <w:spacing w:after="0" w:line="276" w:lineRule="auto"/>
        <w:ind w:right="618"/>
        <w:jc w:val="both"/>
        <w:rPr>
          <w:rFonts w:ascii="ITC Avant Garde" w:hAnsi="ITC Avant Garde"/>
          <w:b/>
        </w:rPr>
      </w:pPr>
    </w:p>
    <w:p w:rsidR="000A12C6" w:rsidRPr="00E16359" w:rsidRDefault="00C37B4B" w:rsidP="001D3335">
      <w:pPr>
        <w:spacing w:after="0" w:line="276" w:lineRule="auto"/>
        <w:ind w:right="618"/>
        <w:jc w:val="both"/>
        <w:rPr>
          <w:rFonts w:ascii="ITC Avant Garde" w:hAnsi="ITC Avant Garde"/>
        </w:rPr>
      </w:pPr>
      <w:r w:rsidRPr="00E16359">
        <w:rPr>
          <w:rFonts w:ascii="ITC Avant Garde" w:hAnsi="ITC Avant Garde"/>
        </w:rPr>
        <w:t>Solicitó</w:t>
      </w:r>
      <w:r w:rsidR="000A12C6" w:rsidRPr="00E16359">
        <w:rPr>
          <w:rFonts w:ascii="ITC Avant Garde" w:hAnsi="ITC Avant Garde"/>
        </w:rPr>
        <w:t xml:space="preserve"> que los textos mencionados por el AEP, deben ser reintegrados en el documento del CMI, tal como están incluidos en el convenio </w:t>
      </w:r>
      <w:r w:rsidR="00B205F4" w:rsidRPr="00E16359">
        <w:rPr>
          <w:rFonts w:ascii="ITC Avant Garde" w:hAnsi="ITC Avant Garde"/>
        </w:rPr>
        <w:t>2018</w:t>
      </w:r>
      <w:r w:rsidR="000A12C6" w:rsidRPr="00E16359">
        <w:rPr>
          <w:rFonts w:ascii="ITC Avant Garde" w:hAnsi="ITC Avant Garde"/>
        </w:rPr>
        <w:t>.</w:t>
      </w:r>
    </w:p>
    <w:p w:rsidR="00732A7F" w:rsidRPr="00E16359" w:rsidRDefault="00732A7F" w:rsidP="001D3335">
      <w:pPr>
        <w:spacing w:line="276" w:lineRule="auto"/>
        <w:jc w:val="both"/>
        <w:rPr>
          <w:rFonts w:ascii="ITC Avant Garde" w:hAnsi="ITC Avant Garde"/>
          <w:b/>
        </w:rPr>
      </w:pPr>
    </w:p>
    <w:p w:rsidR="00732A7F" w:rsidRPr="00E16359" w:rsidRDefault="00732A7F"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024C8D" w:rsidRPr="00E16359" w:rsidRDefault="00024C8D" w:rsidP="001D3335">
      <w:pPr>
        <w:spacing w:line="276" w:lineRule="auto"/>
        <w:jc w:val="both"/>
        <w:rPr>
          <w:rFonts w:ascii="ITC Avant Garde" w:eastAsia="Avant Garde" w:hAnsi="ITC Avant Garde" w:cs="Avant Garde"/>
          <w:color w:val="000000"/>
          <w:lang w:eastAsia="es-MX"/>
        </w:rPr>
      </w:pPr>
      <w:r w:rsidRPr="00E16359">
        <w:rPr>
          <w:rFonts w:ascii="ITC Avant Garde" w:eastAsia="Avant Garde" w:hAnsi="ITC Avant Garde" w:cs="Avant Garde"/>
          <w:color w:val="000000"/>
          <w:lang w:eastAsia="es-MX"/>
        </w:rPr>
        <w:t>Al respecto, se señala que los puertos deben permitir el intercambio de tráfico de cualquier origen o destino tal como establece la condición cuarta del Acuerdo de CTM:</w:t>
      </w:r>
    </w:p>
    <w:p w:rsidR="00024C8D" w:rsidRPr="00E16359" w:rsidRDefault="00024C8D" w:rsidP="001D3335">
      <w:pPr>
        <w:tabs>
          <w:tab w:val="left" w:pos="8222"/>
        </w:tabs>
        <w:spacing w:after="0" w:line="276" w:lineRule="auto"/>
        <w:ind w:left="567" w:right="850" w:hanging="11"/>
        <w:jc w:val="both"/>
        <w:rPr>
          <w:rFonts w:ascii="ITC Avant Garde" w:hAnsi="ITC Avant Garde"/>
          <w:i/>
          <w:sz w:val="18"/>
          <w:szCs w:val="18"/>
        </w:rPr>
      </w:pPr>
      <w:r w:rsidRPr="00E16359">
        <w:rPr>
          <w:rFonts w:ascii="ITC Avant Garde" w:hAnsi="ITC Avant Garde"/>
          <w:i/>
          <w:sz w:val="18"/>
          <w:szCs w:val="18"/>
        </w:rPr>
        <w:t>“</w:t>
      </w:r>
      <w:r w:rsidRPr="00E16359">
        <w:rPr>
          <w:rFonts w:ascii="ITC Avant Garde" w:hAnsi="ITC Avant Garde"/>
          <w:b/>
          <w:i/>
          <w:sz w:val="18"/>
          <w:szCs w:val="18"/>
        </w:rPr>
        <w:t>CUARTA.</w:t>
      </w:r>
      <w:r w:rsidR="004C5CB1" w:rsidRPr="00E16359">
        <w:rPr>
          <w:rFonts w:ascii="ITC Avant Garde" w:hAnsi="ITC Avant Garde"/>
          <w:b/>
          <w:i/>
          <w:sz w:val="18"/>
          <w:szCs w:val="18"/>
        </w:rPr>
        <w:t xml:space="preserve"> </w:t>
      </w:r>
      <w:r w:rsidRPr="00E16359">
        <w:rPr>
          <w:rFonts w:ascii="ITC Avant Garde" w:hAnsi="ITC Avant Garde"/>
          <w:b/>
          <w:i/>
          <w:sz w:val="18"/>
          <w:szCs w:val="18"/>
        </w:rPr>
        <w:t>-</w:t>
      </w:r>
      <w:r w:rsidRPr="00E16359">
        <w:rPr>
          <w:rFonts w:ascii="ITC Avant Garde" w:hAnsi="ITC Avant Garde"/>
          <w:i/>
          <w:sz w:val="18"/>
          <w:szCs w:val="18"/>
        </w:rPr>
        <w:t xml:space="preserve"> Los concesionarios deberán conducir el tráfico dentro de su red pública de telecomunicaciones hasta los puntos de interconexión donde se realizará el intercambio de tráfico. Para tal efecto, a elección del Concesionario Solicitante el intercambio de tráfico en dichos puntos de interconexión se realizará a través de puertos de acceso y enlaces de transmisión en los cuales </w:t>
      </w:r>
      <w:r w:rsidRPr="00E16359">
        <w:rPr>
          <w:rFonts w:ascii="ITC Avant Garde" w:hAnsi="ITC Avant Garde"/>
          <w:i/>
          <w:sz w:val="18"/>
          <w:szCs w:val="18"/>
          <w:u w:val="single"/>
        </w:rPr>
        <w:t>se permitirá el intercambio de tráfico de cualquier origen o destino dentro del territorio nacional</w:t>
      </w:r>
      <w:r w:rsidRPr="00E16359">
        <w:rPr>
          <w:rFonts w:ascii="ITC Avant Garde" w:hAnsi="ITC Avant Garde"/>
          <w:i/>
          <w:sz w:val="18"/>
          <w:szCs w:val="18"/>
        </w:rPr>
        <w:t>, así como de cualquier tipo (local, entre localidades, tránsito, móvil, fijo).</w:t>
      </w:r>
    </w:p>
    <w:p w:rsidR="00024C8D" w:rsidRPr="00E16359" w:rsidRDefault="00024C8D" w:rsidP="001D3335">
      <w:pPr>
        <w:tabs>
          <w:tab w:val="left" w:pos="8222"/>
        </w:tabs>
        <w:spacing w:after="0" w:line="276" w:lineRule="auto"/>
        <w:ind w:left="567" w:right="850" w:hanging="11"/>
        <w:jc w:val="both"/>
        <w:rPr>
          <w:rFonts w:ascii="ITC Avant Garde" w:hAnsi="ITC Avant Garde"/>
          <w:i/>
          <w:sz w:val="18"/>
          <w:szCs w:val="18"/>
        </w:rPr>
      </w:pPr>
    </w:p>
    <w:p w:rsidR="00024C8D" w:rsidRPr="00E16359" w:rsidRDefault="00024C8D" w:rsidP="001D3335">
      <w:pPr>
        <w:tabs>
          <w:tab w:val="left" w:pos="8222"/>
        </w:tabs>
        <w:spacing w:after="0" w:line="276" w:lineRule="auto"/>
        <w:ind w:left="567" w:right="850" w:hanging="11"/>
        <w:jc w:val="both"/>
        <w:rPr>
          <w:rFonts w:ascii="ITC Avant Garde" w:hAnsi="ITC Avant Garde"/>
          <w:i/>
          <w:sz w:val="18"/>
          <w:szCs w:val="18"/>
        </w:rPr>
      </w:pPr>
      <w:r w:rsidRPr="00E16359">
        <w:rPr>
          <w:rFonts w:ascii="ITC Avant Garde" w:hAnsi="ITC Avant Garde"/>
          <w:i/>
          <w:sz w:val="18"/>
          <w:szCs w:val="18"/>
        </w:rPr>
        <w:t>(…)”</w:t>
      </w:r>
    </w:p>
    <w:p w:rsidR="00024C8D" w:rsidRPr="00E16359" w:rsidRDefault="00024C8D" w:rsidP="00B76F38">
      <w:pPr>
        <w:tabs>
          <w:tab w:val="left" w:pos="8222"/>
        </w:tabs>
        <w:spacing w:after="0" w:line="276" w:lineRule="auto"/>
        <w:ind w:left="567" w:right="850" w:hanging="11"/>
        <w:jc w:val="right"/>
        <w:rPr>
          <w:rFonts w:ascii="ITC Avant Garde" w:hAnsi="ITC Avant Garde"/>
          <w:i/>
          <w:sz w:val="18"/>
          <w:szCs w:val="18"/>
        </w:rPr>
      </w:pPr>
      <w:r w:rsidRPr="00E16359">
        <w:rPr>
          <w:rFonts w:ascii="ITC Avant Garde" w:hAnsi="ITC Avant Garde"/>
          <w:i/>
          <w:sz w:val="18"/>
          <w:szCs w:val="18"/>
        </w:rPr>
        <w:t>(Énfasis añadido)</w:t>
      </w:r>
    </w:p>
    <w:p w:rsidR="00024C8D" w:rsidRPr="00E16359" w:rsidRDefault="00024C8D" w:rsidP="001D3335">
      <w:pPr>
        <w:tabs>
          <w:tab w:val="left" w:pos="8222"/>
        </w:tabs>
        <w:spacing w:after="0" w:line="276" w:lineRule="auto"/>
        <w:ind w:left="567" w:right="850" w:hanging="11"/>
        <w:jc w:val="both"/>
        <w:rPr>
          <w:rFonts w:ascii="ITC Avant Garde" w:hAnsi="ITC Avant Garde"/>
          <w:i/>
          <w:sz w:val="20"/>
          <w:szCs w:val="20"/>
        </w:rPr>
      </w:pPr>
    </w:p>
    <w:p w:rsidR="000E2419" w:rsidRPr="00E16359" w:rsidRDefault="00024C8D" w:rsidP="000E2419">
      <w:pPr>
        <w:spacing w:after="0" w:line="276" w:lineRule="auto"/>
        <w:jc w:val="both"/>
        <w:rPr>
          <w:rFonts w:ascii="ITC Avant Garde" w:hAnsi="ITC Avant Garde"/>
        </w:rPr>
      </w:pPr>
      <w:r w:rsidRPr="00E16359">
        <w:rPr>
          <w:rFonts w:ascii="ITC Avant Garde" w:eastAsia="Avant Garde" w:hAnsi="ITC Avant Garde" w:cs="Avant Garde"/>
          <w:color w:val="000000"/>
          <w:lang w:eastAsia="es-MX"/>
        </w:rPr>
        <w:t xml:space="preserve">Por lo anterior, </w:t>
      </w:r>
      <w:r w:rsidR="000E2419" w:rsidRPr="00E16359">
        <w:rPr>
          <w:rFonts w:ascii="ITC Avant Garde" w:eastAsia="Avant Garde" w:hAnsi="ITC Avant Garde" w:cs="Avant Garde"/>
          <w:color w:val="000000"/>
          <w:lang w:eastAsia="es-MX"/>
        </w:rPr>
        <w:t>el CMI se mantiene conforme a lo establecido en la condición antes señalada.</w:t>
      </w:r>
      <w:r w:rsidR="000E2419" w:rsidRPr="00E16359">
        <w:rPr>
          <w:rFonts w:ascii="ITC Avant Garde" w:hAnsi="ITC Avant Garde"/>
        </w:rPr>
        <w:t xml:space="preserve"> </w:t>
      </w:r>
    </w:p>
    <w:p w:rsidR="004130F2" w:rsidRPr="00E16359" w:rsidRDefault="004130F2" w:rsidP="000E2419">
      <w:pPr>
        <w:spacing w:after="0" w:line="276" w:lineRule="auto"/>
        <w:jc w:val="both"/>
        <w:rPr>
          <w:rFonts w:ascii="ITC Avant Garde" w:hAnsi="ITC Avant Garde"/>
        </w:rPr>
      </w:pPr>
    </w:p>
    <w:p w:rsidR="000E2419" w:rsidRPr="00E16359" w:rsidRDefault="004130F2" w:rsidP="000E2419">
      <w:pPr>
        <w:spacing w:after="0" w:line="276" w:lineRule="auto"/>
        <w:jc w:val="both"/>
        <w:rPr>
          <w:rFonts w:ascii="ITC Avant Garde" w:hAnsi="ITC Avant Garde"/>
        </w:rPr>
      </w:pPr>
      <w:r w:rsidRPr="00E16359">
        <w:rPr>
          <w:rFonts w:ascii="ITC Avant Garde" w:hAnsi="ITC Avant Garde"/>
        </w:rPr>
        <w:t>Por otro lado</w:t>
      </w:r>
      <w:r w:rsidR="000E2419" w:rsidRPr="00E16359">
        <w:rPr>
          <w:rFonts w:ascii="ITC Avant Garde" w:hAnsi="ITC Avant Garde"/>
        </w:rPr>
        <w:t xml:space="preserve">, si bien es cierto que tanto Telmex como Telnor, como integrantes del AEP, se encuentran obligados a prestar el servicio de tránsito a los concesionarios que así lo soliciten, de conformidad con lo previsto por las Medidas FIjas, estos últimos deben estar interconectados de manera directa con las redes de los integrantes del AEP que les proveerá dicho servicio, ya sea Telmex o Telnor. En este sentido, Telmex está obligado a proporcionar la interconexión en aquellos puntos de interconexión establecidos para tal efecto y su vez ofrecer el servicio de tránsito a aquellos Concesionarios que se lo soliciten y con quienes este interconectado de manera directa. </w:t>
      </w:r>
    </w:p>
    <w:p w:rsidR="000E2419" w:rsidRPr="00E16359" w:rsidRDefault="000E2419" w:rsidP="000E2419">
      <w:pPr>
        <w:spacing w:after="0" w:line="276" w:lineRule="auto"/>
        <w:jc w:val="both"/>
        <w:rPr>
          <w:rFonts w:ascii="ITC Avant Garde" w:hAnsi="ITC Avant Garde"/>
        </w:rPr>
      </w:pPr>
    </w:p>
    <w:p w:rsidR="00D247DE" w:rsidRPr="00E16359" w:rsidRDefault="00C86CD2" w:rsidP="000E2419">
      <w:pPr>
        <w:spacing w:line="276" w:lineRule="auto"/>
        <w:jc w:val="both"/>
        <w:rPr>
          <w:rFonts w:ascii="ITC Avant Garde" w:hAnsi="ITC Avant Garde"/>
          <w:u w:val="single"/>
        </w:rPr>
      </w:pPr>
      <w:r w:rsidRPr="00E16359">
        <w:rPr>
          <w:rFonts w:ascii="ITC Avant Garde" w:hAnsi="ITC Avant Garde"/>
          <w:b/>
          <w:u w:val="single"/>
        </w:rPr>
        <w:t>Enlaces Dedicados de Interconexión</w:t>
      </w:r>
      <w:r w:rsidRPr="00E16359">
        <w:rPr>
          <w:rFonts w:ascii="ITC Avant Garde" w:hAnsi="ITC Avant Garde"/>
          <w:u w:val="single"/>
        </w:rPr>
        <w:t>.</w:t>
      </w:r>
    </w:p>
    <w:p w:rsidR="00D247DE" w:rsidRPr="00E16359" w:rsidRDefault="00D247DE" w:rsidP="001D3335">
      <w:pPr>
        <w:spacing w:after="0" w:line="276" w:lineRule="auto"/>
        <w:ind w:right="618"/>
        <w:jc w:val="both"/>
        <w:rPr>
          <w:rFonts w:ascii="ITC Avant Garde" w:hAnsi="ITC Avant Garde"/>
        </w:rPr>
      </w:pPr>
    </w:p>
    <w:p w:rsidR="00D247DE" w:rsidRPr="00E16359" w:rsidRDefault="007A3D2F" w:rsidP="001D3335">
      <w:pPr>
        <w:spacing w:after="0" w:line="276" w:lineRule="auto"/>
        <w:ind w:right="618"/>
        <w:jc w:val="both"/>
        <w:rPr>
          <w:rFonts w:ascii="ITC Avant Garde" w:hAnsi="ITC Avant Garde"/>
          <w:b/>
        </w:rPr>
      </w:pPr>
      <w:r w:rsidRPr="00E16359">
        <w:rPr>
          <w:rFonts w:ascii="ITC Avant Garde" w:hAnsi="ITC Avant Garde"/>
          <w:b/>
        </w:rPr>
        <w:t>ALTÁN, CANIETI Y MEGACABLE</w:t>
      </w:r>
    </w:p>
    <w:p w:rsidR="00EA4ED8" w:rsidRPr="00E16359" w:rsidRDefault="00EA4ED8" w:rsidP="001D3335">
      <w:pPr>
        <w:spacing w:after="0" w:line="276" w:lineRule="auto"/>
        <w:ind w:right="618"/>
        <w:jc w:val="both"/>
        <w:rPr>
          <w:rFonts w:ascii="ITC Avant Garde" w:hAnsi="ITC Avant Garde"/>
          <w:b/>
        </w:rPr>
      </w:pPr>
    </w:p>
    <w:p w:rsidR="007A3D2F" w:rsidRPr="00E16359" w:rsidRDefault="00492C21" w:rsidP="001D3335">
      <w:pPr>
        <w:spacing w:after="0" w:line="276" w:lineRule="auto"/>
        <w:ind w:right="618"/>
        <w:jc w:val="both"/>
        <w:rPr>
          <w:rFonts w:ascii="ITC Avant Garde" w:hAnsi="ITC Avant Garde"/>
        </w:rPr>
      </w:pPr>
      <w:r w:rsidRPr="00E16359">
        <w:rPr>
          <w:rFonts w:ascii="ITC Avant Garde" w:hAnsi="ITC Avant Garde"/>
        </w:rPr>
        <w:t>P</w:t>
      </w:r>
      <w:r w:rsidR="00426E0B" w:rsidRPr="00E16359">
        <w:rPr>
          <w:rFonts w:ascii="ITC Avant Garde" w:hAnsi="ITC Avant Garde"/>
        </w:rPr>
        <w:t>ropusieron</w:t>
      </w:r>
      <w:r w:rsidR="007A3D2F" w:rsidRPr="00E16359">
        <w:rPr>
          <w:rFonts w:ascii="ITC Avant Garde" w:hAnsi="ITC Avant Garde"/>
        </w:rPr>
        <w:t xml:space="preserve"> la siguiente redacción: </w:t>
      </w:r>
    </w:p>
    <w:p w:rsidR="007A3D2F" w:rsidRPr="00E16359" w:rsidRDefault="007A3D2F" w:rsidP="001D3335">
      <w:pPr>
        <w:spacing w:after="0" w:line="276" w:lineRule="auto"/>
        <w:ind w:right="618"/>
        <w:jc w:val="both"/>
        <w:rPr>
          <w:rFonts w:ascii="ITC Avant Garde" w:hAnsi="ITC Avant Garde"/>
        </w:rPr>
      </w:pPr>
    </w:p>
    <w:p w:rsidR="007A3D2F" w:rsidRPr="00E16359" w:rsidRDefault="007A3D2F" w:rsidP="001D3335">
      <w:pPr>
        <w:spacing w:after="0" w:line="276" w:lineRule="auto"/>
        <w:ind w:left="709" w:right="618"/>
        <w:jc w:val="both"/>
        <w:rPr>
          <w:rFonts w:ascii="ITC Avant Garde" w:hAnsi="ITC Avant Garde"/>
          <w:i/>
          <w:sz w:val="18"/>
          <w:szCs w:val="18"/>
        </w:rPr>
      </w:pPr>
      <w:r w:rsidRPr="00E16359">
        <w:rPr>
          <w:rFonts w:ascii="ITC Avant Garde" w:hAnsi="ITC Avant Garde"/>
        </w:rPr>
        <w:t>“</w:t>
      </w:r>
      <w:r w:rsidRPr="00E16359">
        <w:rPr>
          <w:rFonts w:ascii="ITC Avant Garde" w:hAnsi="ITC Avant Garde"/>
          <w:i/>
          <w:sz w:val="18"/>
          <w:szCs w:val="18"/>
        </w:rPr>
        <w:t>5.5. ENLACES DEDICADOS DE INTERCONEXIÓN.</w:t>
      </w:r>
      <w:r w:rsidR="006E2400" w:rsidRPr="00E16359">
        <w:rPr>
          <w:rFonts w:ascii="ITC Avant Garde" w:hAnsi="ITC Avant Garde"/>
          <w:i/>
          <w:sz w:val="18"/>
          <w:szCs w:val="18"/>
        </w:rPr>
        <w:t xml:space="preserve"> Telmex deberá proporcionar a [</w:t>
      </w:r>
      <w:r w:rsidRPr="00E16359">
        <w:rPr>
          <w:rFonts w:ascii="ITC Avant Garde" w:hAnsi="ITC Avant Garde"/>
          <w:i/>
          <w:sz w:val="18"/>
          <w:szCs w:val="18"/>
        </w:rPr>
        <w:t>__________ ] los siguientes tipos de Enlaces Dedicados de  Interconexión: Ethernet de 1 Gbps. Estos enlaces de transmisión de interconexión podrán ser utilizados para conducción de Tráfico Público Conmutado de cualquier tipo ya sea servicio fijo, móvil o de tránsito.</w:t>
      </w:r>
      <w:r w:rsidRPr="00E16359">
        <w:rPr>
          <w:rFonts w:ascii="ITC Avant Garde" w:hAnsi="ITC Avant Garde"/>
          <w:b/>
          <w:i/>
          <w:sz w:val="18"/>
          <w:szCs w:val="18"/>
        </w:rPr>
        <w:t xml:space="preserve"> Y deberán tener la capacidad de ser bidireccionales para efectos de reforzar la redundancia</w:t>
      </w:r>
      <w:r w:rsidRPr="00E16359">
        <w:rPr>
          <w:rFonts w:ascii="ITC Avant Garde" w:hAnsi="ITC Avant Garde"/>
          <w:i/>
          <w:sz w:val="18"/>
          <w:szCs w:val="18"/>
        </w:rPr>
        <w:t>.”</w:t>
      </w:r>
    </w:p>
    <w:p w:rsidR="005F2D08" w:rsidRPr="00E16359" w:rsidRDefault="005F2D08" w:rsidP="00C80D82">
      <w:pPr>
        <w:spacing w:after="0" w:line="276" w:lineRule="auto"/>
        <w:ind w:left="567" w:right="616" w:hanging="11"/>
        <w:jc w:val="right"/>
        <w:rPr>
          <w:rFonts w:ascii="ITC Avant Garde" w:hAnsi="ITC Avant Garde"/>
          <w:i/>
          <w:sz w:val="18"/>
          <w:szCs w:val="18"/>
        </w:rPr>
      </w:pPr>
      <w:r w:rsidRPr="00E16359">
        <w:rPr>
          <w:rFonts w:ascii="ITC Avant Garde" w:hAnsi="ITC Avant Garde"/>
          <w:i/>
          <w:sz w:val="18"/>
          <w:szCs w:val="18"/>
        </w:rPr>
        <w:t>(Énfasis añadido)</w:t>
      </w:r>
    </w:p>
    <w:p w:rsidR="005F2D08" w:rsidRPr="00E16359" w:rsidRDefault="005F2D08" w:rsidP="001D3335">
      <w:pPr>
        <w:spacing w:after="0" w:line="276" w:lineRule="auto"/>
        <w:ind w:left="709" w:right="618"/>
        <w:jc w:val="both"/>
        <w:rPr>
          <w:rFonts w:ascii="ITC Avant Garde" w:hAnsi="ITC Avant Garde"/>
          <w:i/>
          <w:sz w:val="18"/>
          <w:szCs w:val="18"/>
        </w:rPr>
      </w:pPr>
    </w:p>
    <w:p w:rsidR="00EE63E4" w:rsidRPr="00E16359" w:rsidRDefault="00EE63E4" w:rsidP="00EE63E4">
      <w:pPr>
        <w:spacing w:after="0" w:line="276" w:lineRule="auto"/>
        <w:ind w:right="618"/>
        <w:jc w:val="both"/>
        <w:rPr>
          <w:rFonts w:ascii="ITC Avant Garde" w:hAnsi="ITC Avant Garde"/>
          <w:b/>
        </w:rPr>
      </w:pPr>
      <w:r w:rsidRPr="00E16359">
        <w:rPr>
          <w:rFonts w:ascii="ITC Avant Garde" w:hAnsi="ITC Avant Garde"/>
          <w:b/>
        </w:rPr>
        <w:t>AT&amp;T</w:t>
      </w:r>
    </w:p>
    <w:p w:rsidR="00EE63E4" w:rsidRPr="00E16359" w:rsidRDefault="00EE63E4" w:rsidP="00EE63E4">
      <w:pPr>
        <w:spacing w:after="0" w:line="276" w:lineRule="auto"/>
        <w:ind w:right="618"/>
        <w:jc w:val="both"/>
        <w:rPr>
          <w:rFonts w:ascii="ITC Avant Garde" w:hAnsi="ITC Avant Garde"/>
          <w:b/>
        </w:rPr>
      </w:pPr>
    </w:p>
    <w:p w:rsidR="00EE63E4" w:rsidRPr="00E16359" w:rsidRDefault="00EE63E4" w:rsidP="00EE63E4">
      <w:pPr>
        <w:spacing w:after="0" w:line="276" w:lineRule="auto"/>
        <w:jc w:val="both"/>
        <w:rPr>
          <w:rFonts w:ascii="ITC Avant Garde" w:hAnsi="ITC Avant Garde"/>
        </w:rPr>
      </w:pPr>
      <w:r w:rsidRPr="00E16359">
        <w:rPr>
          <w:rFonts w:ascii="ITC Avant Garde" w:hAnsi="ITC Avant Garde"/>
        </w:rPr>
        <w:t>Señaló que debe ser acorde con las resoluciones de tarifas de Interconexión que el Instituto ha emitido, por tanto, propuso la siguiente redacción:</w:t>
      </w:r>
    </w:p>
    <w:p w:rsidR="00EE63E4" w:rsidRPr="00E16359" w:rsidRDefault="00EE63E4" w:rsidP="00EE63E4">
      <w:pPr>
        <w:spacing w:after="0" w:line="276" w:lineRule="auto"/>
        <w:ind w:right="618"/>
        <w:jc w:val="both"/>
        <w:rPr>
          <w:rFonts w:ascii="ITC Avant Garde" w:hAnsi="ITC Avant Garde"/>
          <w:i/>
        </w:rPr>
      </w:pPr>
    </w:p>
    <w:p w:rsidR="00EE63E4" w:rsidRPr="00E16359" w:rsidRDefault="00EE63E4" w:rsidP="00EE63E4">
      <w:pPr>
        <w:spacing w:after="0" w:line="276" w:lineRule="auto"/>
        <w:ind w:left="709" w:right="709"/>
        <w:jc w:val="both"/>
        <w:rPr>
          <w:rFonts w:ascii="ITC Avant Garde" w:hAnsi="ITC Avant Garde"/>
          <w:i/>
          <w:sz w:val="18"/>
          <w:szCs w:val="18"/>
        </w:rPr>
      </w:pPr>
      <w:r w:rsidRPr="00E16359">
        <w:rPr>
          <w:rFonts w:ascii="ITC Avant Garde" w:hAnsi="ITC Avant Garde"/>
          <w:bCs/>
          <w:i/>
          <w:sz w:val="18"/>
          <w:szCs w:val="18"/>
        </w:rPr>
        <w:t>“Tema 1. Puntos de Interconexión.</w:t>
      </w:r>
      <w:r w:rsidRPr="00E16359">
        <w:rPr>
          <w:rFonts w:ascii="ITC Avant Garde" w:hAnsi="ITC Avant Garde"/>
          <w:i/>
          <w:sz w:val="18"/>
          <w:szCs w:val="18"/>
        </w:rPr>
        <w:t xml:space="preserve"> Telmex entrega en el Subanexo A-1 los Puntos de Interconexión Ir, en donde pueda interconectar su Red Pública de Telecomunicaciones en protocolo SIP. Los Puntos de Interconexión deberán ser capaces de atender a todas las regiones de México.”</w:t>
      </w:r>
    </w:p>
    <w:p w:rsidR="00EE63E4" w:rsidRPr="00E16359" w:rsidRDefault="00EE63E4" w:rsidP="001D3335">
      <w:pPr>
        <w:spacing w:line="276" w:lineRule="auto"/>
        <w:jc w:val="both"/>
        <w:rPr>
          <w:rFonts w:ascii="ITC Avant Garde" w:hAnsi="ITC Avant Garde"/>
          <w:b/>
        </w:rPr>
      </w:pPr>
    </w:p>
    <w:p w:rsidR="006E285E" w:rsidRPr="00E16359" w:rsidRDefault="006E285E"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4130F2" w:rsidRPr="00E16359" w:rsidRDefault="004130F2" w:rsidP="004130F2">
      <w:pPr>
        <w:pStyle w:val="IFT1"/>
        <w:spacing w:after="0"/>
        <w:ind w:right="618"/>
        <w:rPr>
          <w:rFonts w:cs="Arial"/>
          <w:iCs w:val="0"/>
        </w:rPr>
      </w:pPr>
      <w:r w:rsidRPr="00E16359">
        <w:rPr>
          <w:rFonts w:cs="Arial"/>
          <w:iCs w:val="0"/>
        </w:rPr>
        <w:t>En este sentido, se mantiene el CMI en los siguientes términos:</w:t>
      </w:r>
    </w:p>
    <w:p w:rsidR="004130F2" w:rsidRPr="00E16359" w:rsidRDefault="004130F2" w:rsidP="004130F2">
      <w:pPr>
        <w:pStyle w:val="IFT1"/>
        <w:spacing w:after="0"/>
        <w:ind w:right="618"/>
        <w:rPr>
          <w:rFonts w:cs="Arial"/>
          <w:iCs w:val="0"/>
        </w:rPr>
      </w:pPr>
    </w:p>
    <w:p w:rsidR="004130F2" w:rsidRPr="00E16359" w:rsidRDefault="004130F2" w:rsidP="004130F2">
      <w:pPr>
        <w:autoSpaceDE w:val="0"/>
        <w:autoSpaceDN w:val="0"/>
        <w:adjustRightInd w:val="0"/>
        <w:spacing w:line="276" w:lineRule="auto"/>
        <w:ind w:left="567" w:right="618"/>
        <w:jc w:val="both"/>
        <w:rPr>
          <w:rFonts w:ascii="ITC Avant Garde" w:hAnsi="ITC Avant Garde"/>
          <w:b/>
          <w:i/>
          <w:sz w:val="18"/>
          <w:szCs w:val="18"/>
        </w:rPr>
      </w:pPr>
      <w:r w:rsidRPr="00E16359">
        <w:rPr>
          <w:rFonts w:ascii="ITC Avant Garde" w:hAnsi="ITC Avant Garde"/>
          <w:i/>
          <w:sz w:val="18"/>
          <w:szCs w:val="18"/>
        </w:rPr>
        <w:t>“</w:t>
      </w:r>
      <w:r w:rsidRPr="00E16359">
        <w:rPr>
          <w:rFonts w:ascii="ITC Avant Garde" w:hAnsi="ITC Avant Garde"/>
          <w:b/>
          <w:i/>
          <w:sz w:val="18"/>
          <w:szCs w:val="18"/>
        </w:rPr>
        <w:t>TEMA 1. Puntos de Interconexión</w:t>
      </w:r>
    </w:p>
    <w:p w:rsidR="004130F2" w:rsidRPr="00E16359" w:rsidRDefault="004130F2" w:rsidP="004130F2">
      <w:pPr>
        <w:autoSpaceDE w:val="0"/>
        <w:autoSpaceDN w:val="0"/>
        <w:adjustRightInd w:val="0"/>
        <w:spacing w:before="120" w:after="0" w:line="276" w:lineRule="auto"/>
        <w:ind w:left="567" w:right="618"/>
        <w:jc w:val="both"/>
        <w:rPr>
          <w:rFonts w:ascii="ITC Avant Garde" w:hAnsi="ITC Avant Garde"/>
          <w:b/>
          <w:i/>
          <w:sz w:val="18"/>
          <w:szCs w:val="18"/>
        </w:rPr>
      </w:pPr>
      <w:r w:rsidRPr="00E16359">
        <w:rPr>
          <w:rFonts w:ascii="ITC Avant Garde" w:hAnsi="ITC Avant Garde" w:cs="Arial"/>
          <w:i/>
          <w:sz w:val="18"/>
          <w:szCs w:val="18"/>
        </w:rPr>
        <w:t>TELMEX</w:t>
      </w:r>
      <w:r w:rsidRPr="00E16359">
        <w:rPr>
          <w:rFonts w:ascii="ITC Avant Garde" w:hAnsi="ITC Avant Garde"/>
          <w:i/>
          <w:sz w:val="18"/>
          <w:szCs w:val="18"/>
        </w:rPr>
        <w:t xml:space="preserve"> entrega en el Sub-Anexo A-1 los Puntos de Interconexión IP, en donde [ __________ ] pueda interconectar su Red Pública de Telecomunicaciones en protocolo SIP. Los Puntos de Interconexión deberán ser capaces de atender </w:t>
      </w:r>
      <w:r w:rsidRPr="00E16359">
        <w:rPr>
          <w:rFonts w:ascii="ITC Avant Garde" w:hAnsi="ITC Avant Garde" w:cs="Arial"/>
          <w:i/>
          <w:sz w:val="18"/>
          <w:szCs w:val="18"/>
        </w:rPr>
        <w:t xml:space="preserve">a </w:t>
      </w:r>
      <w:r w:rsidRPr="00E16359">
        <w:rPr>
          <w:rFonts w:ascii="ITC Avant Garde" w:hAnsi="ITC Avant Garde"/>
          <w:i/>
          <w:sz w:val="18"/>
          <w:szCs w:val="18"/>
          <w:u w:val="single"/>
        </w:rPr>
        <w:t>todas las regiones de México.</w:t>
      </w:r>
      <w:r w:rsidRPr="00E16359">
        <w:rPr>
          <w:rFonts w:ascii="ITC Avant Garde" w:hAnsi="ITC Avant Garde"/>
          <w:b/>
          <w:i/>
          <w:sz w:val="18"/>
          <w:szCs w:val="18"/>
        </w:rPr>
        <w:t xml:space="preserve"> </w:t>
      </w:r>
    </w:p>
    <w:p w:rsidR="004130F2" w:rsidRPr="00E16359" w:rsidRDefault="004130F2" w:rsidP="004130F2">
      <w:pPr>
        <w:autoSpaceDE w:val="0"/>
        <w:autoSpaceDN w:val="0"/>
        <w:adjustRightInd w:val="0"/>
        <w:spacing w:before="120" w:after="0" w:line="276" w:lineRule="auto"/>
        <w:ind w:left="567" w:right="618"/>
        <w:jc w:val="both"/>
        <w:rPr>
          <w:rFonts w:ascii="ITC Avant Garde" w:hAnsi="ITC Avant Garde"/>
          <w:b/>
          <w:i/>
          <w:sz w:val="18"/>
          <w:szCs w:val="18"/>
        </w:rPr>
      </w:pPr>
    </w:p>
    <w:p w:rsidR="005362DD" w:rsidRPr="00E16359" w:rsidRDefault="005362DD" w:rsidP="001D3335">
      <w:pPr>
        <w:spacing w:after="0" w:line="276" w:lineRule="auto"/>
        <w:ind w:right="618"/>
        <w:jc w:val="both"/>
        <w:rPr>
          <w:rFonts w:ascii="ITC Avant Garde" w:hAnsi="ITC Avant Garde"/>
        </w:rPr>
      </w:pPr>
    </w:p>
    <w:p w:rsidR="00BF0AE9" w:rsidRPr="00E16359" w:rsidRDefault="00CA517E" w:rsidP="001D3335">
      <w:pPr>
        <w:spacing w:after="0" w:line="276" w:lineRule="auto"/>
        <w:jc w:val="both"/>
        <w:rPr>
          <w:rFonts w:ascii="ITC Avant Garde" w:hAnsi="ITC Avant Garde"/>
        </w:rPr>
      </w:pPr>
      <w:r w:rsidRPr="00E16359">
        <w:rPr>
          <w:rFonts w:ascii="ITC Avant Garde" w:hAnsi="ITC Avant Garde"/>
        </w:rPr>
        <w:t>Asimismo, se advierte que los enlaces bidireccionales pueden ser usados en caso de falla, con el fin de evitar la pérdida de tráfico. Conforme a</w:t>
      </w:r>
      <w:r w:rsidR="002230A3" w:rsidRPr="00E16359">
        <w:rPr>
          <w:rFonts w:ascii="ITC Avant Garde" w:hAnsi="ITC Avant Garde"/>
        </w:rPr>
        <w:t xml:space="preserve"> las prácticas comunes en la industria, así como la seguridad en el transporte del tráfico, se mantienen las modalidades de implementación de enlaces de interconexión vigentes</w:t>
      </w:r>
      <w:r w:rsidR="00C03698" w:rsidRPr="00E16359">
        <w:rPr>
          <w:rFonts w:ascii="ITC Avant Garde" w:hAnsi="ITC Avant Garde"/>
        </w:rPr>
        <w:t>.</w:t>
      </w:r>
    </w:p>
    <w:p w:rsidR="00EA4ED8" w:rsidRPr="00E16359" w:rsidRDefault="00EA4ED8" w:rsidP="001D3335">
      <w:pPr>
        <w:spacing w:after="0" w:line="276" w:lineRule="auto"/>
        <w:ind w:right="618"/>
        <w:jc w:val="both"/>
        <w:rPr>
          <w:rFonts w:ascii="ITC Avant Garde" w:hAnsi="ITC Avant Garde"/>
          <w:u w:val="single"/>
        </w:rPr>
      </w:pPr>
    </w:p>
    <w:p w:rsidR="00C03698" w:rsidRPr="00E16359" w:rsidRDefault="00EA4ED8" w:rsidP="001D3335">
      <w:pPr>
        <w:spacing w:after="0" w:line="276" w:lineRule="auto"/>
        <w:ind w:right="618"/>
        <w:jc w:val="both"/>
        <w:rPr>
          <w:rFonts w:ascii="ITC Avant Garde" w:hAnsi="ITC Avant Garde"/>
          <w:u w:val="single"/>
        </w:rPr>
      </w:pPr>
      <w:r w:rsidRPr="00E16359">
        <w:rPr>
          <w:rFonts w:ascii="ITC Avant Garde" w:hAnsi="ITC Avant Garde"/>
          <w:b/>
          <w:u w:val="single"/>
        </w:rPr>
        <w:t>Especificaciones Técnicas de los Enlaces Dedicados de Interconexión</w:t>
      </w:r>
      <w:r w:rsidRPr="00E16359">
        <w:rPr>
          <w:rFonts w:ascii="ITC Avant Garde" w:hAnsi="ITC Avant Garde"/>
          <w:u w:val="single"/>
        </w:rPr>
        <w:t>.</w:t>
      </w:r>
    </w:p>
    <w:p w:rsidR="002230A3" w:rsidRPr="00E16359" w:rsidRDefault="002230A3" w:rsidP="001D3335">
      <w:pPr>
        <w:spacing w:after="0" w:line="276" w:lineRule="auto"/>
        <w:ind w:right="618"/>
        <w:jc w:val="both"/>
        <w:rPr>
          <w:rFonts w:ascii="ITC Avant Garde" w:hAnsi="ITC Avant Garde"/>
          <w:b/>
        </w:rPr>
      </w:pPr>
    </w:p>
    <w:p w:rsidR="00C03698" w:rsidRPr="00E16359" w:rsidRDefault="00C03698" w:rsidP="001D3335">
      <w:pPr>
        <w:spacing w:after="0" w:line="276" w:lineRule="auto"/>
        <w:ind w:right="618"/>
        <w:jc w:val="both"/>
        <w:rPr>
          <w:rFonts w:ascii="ITC Avant Garde" w:hAnsi="ITC Avant Garde"/>
          <w:b/>
        </w:rPr>
      </w:pPr>
      <w:r w:rsidRPr="00E16359">
        <w:rPr>
          <w:rFonts w:ascii="ITC Avant Garde" w:hAnsi="ITC Avant Garde"/>
          <w:b/>
        </w:rPr>
        <w:t>ALTÁN, CANIETI Y MEGACABLE</w:t>
      </w:r>
    </w:p>
    <w:p w:rsidR="003453E1" w:rsidRPr="00E16359" w:rsidRDefault="003453E1" w:rsidP="001D3335">
      <w:pPr>
        <w:spacing w:after="0" w:line="276" w:lineRule="auto"/>
        <w:ind w:right="618"/>
        <w:jc w:val="both"/>
        <w:rPr>
          <w:rFonts w:ascii="ITC Avant Garde" w:hAnsi="ITC Avant Garde"/>
          <w:b/>
        </w:rPr>
      </w:pPr>
    </w:p>
    <w:p w:rsidR="00C03698" w:rsidRPr="00E16359" w:rsidRDefault="00426E0B" w:rsidP="001D3335">
      <w:pPr>
        <w:tabs>
          <w:tab w:val="left" w:pos="8364"/>
        </w:tabs>
        <w:spacing w:after="0" w:line="276" w:lineRule="auto"/>
        <w:jc w:val="both"/>
        <w:rPr>
          <w:rFonts w:ascii="ITC Avant Garde" w:hAnsi="ITC Avant Garde"/>
        </w:rPr>
      </w:pPr>
      <w:r w:rsidRPr="00E16359">
        <w:rPr>
          <w:rFonts w:ascii="ITC Avant Garde" w:hAnsi="ITC Avant Garde"/>
        </w:rPr>
        <w:t>Señalaron</w:t>
      </w:r>
      <w:r w:rsidR="005B2F60" w:rsidRPr="00E16359">
        <w:rPr>
          <w:rFonts w:ascii="ITC Avant Garde" w:hAnsi="ITC Avant Garde"/>
        </w:rPr>
        <w:t xml:space="preserve"> que e</w:t>
      </w:r>
      <w:r w:rsidR="00C03698" w:rsidRPr="00E16359">
        <w:rPr>
          <w:rFonts w:ascii="ITC Avant Garde" w:hAnsi="ITC Avant Garde"/>
        </w:rPr>
        <w:t xml:space="preserve">n el punto cuatro, </w:t>
      </w:r>
      <w:r w:rsidR="005B2F60" w:rsidRPr="00E16359">
        <w:rPr>
          <w:rFonts w:ascii="ITC Avant Garde" w:hAnsi="ITC Avant Garde"/>
        </w:rPr>
        <w:t xml:space="preserve">se </w:t>
      </w:r>
      <w:r w:rsidR="00C03698" w:rsidRPr="00E16359">
        <w:rPr>
          <w:rFonts w:ascii="ITC Avant Garde" w:hAnsi="ITC Avant Garde"/>
        </w:rPr>
        <w:t>debe establecer que la interconexión no solo se pueda llevar a cabo a nivel capa física (capa 2) sino también con capa de red (capa 3).</w:t>
      </w:r>
    </w:p>
    <w:p w:rsidR="00C03698" w:rsidRPr="00E16359" w:rsidRDefault="00C03698" w:rsidP="001D3335">
      <w:pPr>
        <w:spacing w:after="0" w:line="276" w:lineRule="auto"/>
        <w:jc w:val="both"/>
        <w:rPr>
          <w:rFonts w:ascii="ITC Avant Garde" w:hAnsi="ITC Avant Garde"/>
        </w:rPr>
      </w:pPr>
    </w:p>
    <w:p w:rsidR="00C03698" w:rsidRPr="00E16359" w:rsidRDefault="006859E4" w:rsidP="001D3335">
      <w:pPr>
        <w:spacing w:after="0" w:line="276" w:lineRule="auto"/>
        <w:jc w:val="both"/>
        <w:rPr>
          <w:rFonts w:ascii="ITC Avant Garde" w:hAnsi="ITC Avant Garde"/>
        </w:rPr>
      </w:pPr>
      <w:r w:rsidRPr="00E16359">
        <w:rPr>
          <w:rFonts w:ascii="ITC Avant Garde" w:hAnsi="ITC Avant Garde"/>
        </w:rPr>
        <w:t>En adición,</w:t>
      </w:r>
      <w:r w:rsidR="00426E0B" w:rsidRPr="00E16359">
        <w:rPr>
          <w:rFonts w:ascii="ITC Avant Garde" w:hAnsi="ITC Avant Garde"/>
        </w:rPr>
        <w:t xml:space="preserve"> solicitaron</w:t>
      </w:r>
      <w:r w:rsidR="0070534C" w:rsidRPr="00E16359">
        <w:rPr>
          <w:rFonts w:ascii="ITC Avant Garde" w:hAnsi="ITC Avant Garde"/>
        </w:rPr>
        <w:t xml:space="preserve"> que</w:t>
      </w:r>
      <w:r w:rsidRPr="00E16359">
        <w:rPr>
          <w:rFonts w:ascii="ITC Avant Garde" w:hAnsi="ITC Avant Garde"/>
        </w:rPr>
        <w:t xml:space="preserve"> e</w:t>
      </w:r>
      <w:r w:rsidR="00C03698" w:rsidRPr="00E16359">
        <w:rPr>
          <w:rFonts w:ascii="ITC Avant Garde" w:hAnsi="ITC Avant Garde"/>
        </w:rPr>
        <w:t xml:space="preserve">n el punto cinco, </w:t>
      </w:r>
      <w:r w:rsidR="0070534C" w:rsidRPr="00E16359">
        <w:rPr>
          <w:rFonts w:ascii="ITC Avant Garde" w:hAnsi="ITC Avant Garde"/>
        </w:rPr>
        <w:t xml:space="preserve">se indique </w:t>
      </w:r>
      <w:r w:rsidR="00C03698" w:rsidRPr="00E16359">
        <w:rPr>
          <w:rFonts w:ascii="ITC Avant Garde" w:hAnsi="ITC Avant Garde"/>
        </w:rPr>
        <w:t>que sea el RFC vigente.</w:t>
      </w:r>
    </w:p>
    <w:p w:rsidR="00C03698" w:rsidRPr="00E16359" w:rsidRDefault="00C03698" w:rsidP="001D3335">
      <w:pPr>
        <w:spacing w:after="0" w:line="276" w:lineRule="auto"/>
        <w:jc w:val="both"/>
        <w:rPr>
          <w:rFonts w:ascii="ITC Avant Garde" w:hAnsi="ITC Avant Garde"/>
        </w:rPr>
      </w:pPr>
    </w:p>
    <w:p w:rsidR="00C03698" w:rsidRPr="00E16359" w:rsidRDefault="00C03698" w:rsidP="001D3335">
      <w:pPr>
        <w:spacing w:after="0" w:line="276" w:lineRule="auto"/>
        <w:jc w:val="both"/>
        <w:rPr>
          <w:rFonts w:ascii="ITC Avant Garde" w:hAnsi="ITC Avant Garde"/>
        </w:rPr>
      </w:pPr>
      <w:r w:rsidRPr="00E16359">
        <w:rPr>
          <w:rFonts w:ascii="ITC Avant Garde" w:hAnsi="ITC Avant Garde"/>
        </w:rPr>
        <w:t>Solicita</w:t>
      </w:r>
      <w:r w:rsidR="00426E0B" w:rsidRPr="00E16359">
        <w:rPr>
          <w:rFonts w:ascii="ITC Avant Garde" w:hAnsi="ITC Avant Garde"/>
        </w:rPr>
        <w:t>ro</w:t>
      </w:r>
      <w:r w:rsidR="008E4983" w:rsidRPr="00E16359">
        <w:rPr>
          <w:rFonts w:ascii="ITC Avant Garde" w:hAnsi="ITC Avant Garde"/>
        </w:rPr>
        <w:t>n</w:t>
      </w:r>
      <w:r w:rsidRPr="00E16359">
        <w:rPr>
          <w:rFonts w:ascii="ITC Avant Garde" w:hAnsi="ITC Avant Garde"/>
        </w:rPr>
        <w:t xml:space="preserve"> incluir los números 800, 900 y Códigos de Servicio Especial mediante protocolo SIP, pues Telmex ha insistido en cursar este tráfico a través de TDM.</w:t>
      </w:r>
    </w:p>
    <w:p w:rsidR="00C03698" w:rsidRPr="00E16359" w:rsidRDefault="00C03698" w:rsidP="001D3335">
      <w:pPr>
        <w:spacing w:after="0" w:line="276" w:lineRule="auto"/>
        <w:jc w:val="both"/>
        <w:rPr>
          <w:rFonts w:ascii="ITC Avant Garde" w:hAnsi="ITC Avant Garde"/>
        </w:rPr>
      </w:pPr>
    </w:p>
    <w:p w:rsidR="00C03698" w:rsidRPr="00E16359" w:rsidRDefault="00C03698" w:rsidP="001D3335">
      <w:pPr>
        <w:spacing w:after="0" w:line="276" w:lineRule="auto"/>
        <w:jc w:val="both"/>
        <w:rPr>
          <w:rFonts w:ascii="ITC Avant Garde" w:hAnsi="ITC Avant Garde"/>
        </w:rPr>
      </w:pPr>
      <w:r w:rsidRPr="00E16359">
        <w:rPr>
          <w:rFonts w:ascii="ITC Avant Garde" w:hAnsi="ITC Avant Garde"/>
        </w:rPr>
        <w:t>Por</w:t>
      </w:r>
      <w:r w:rsidR="00426E0B" w:rsidRPr="00E16359">
        <w:rPr>
          <w:rFonts w:ascii="ITC Avant Garde" w:hAnsi="ITC Avant Garde"/>
        </w:rPr>
        <w:t xml:space="preserve"> tanto, la redacción sugerida fue</w:t>
      </w:r>
      <w:r w:rsidRPr="00E16359">
        <w:rPr>
          <w:rFonts w:ascii="ITC Avant Garde" w:hAnsi="ITC Avant Garde"/>
        </w:rPr>
        <w:t xml:space="preserve"> la siguiente:</w:t>
      </w:r>
    </w:p>
    <w:p w:rsidR="00C03698" w:rsidRPr="00E16359" w:rsidRDefault="00C03698" w:rsidP="001D3335">
      <w:pPr>
        <w:spacing w:after="0" w:line="276" w:lineRule="auto"/>
        <w:ind w:right="618"/>
        <w:jc w:val="both"/>
        <w:rPr>
          <w:rFonts w:ascii="ITC Avant Garde" w:hAnsi="ITC Avant Garde"/>
          <w:b/>
        </w:rPr>
      </w:pPr>
    </w:p>
    <w:p w:rsidR="004F73B2" w:rsidRPr="00E16359" w:rsidRDefault="000A22B8" w:rsidP="001D3335">
      <w:pPr>
        <w:spacing w:after="0" w:line="276" w:lineRule="auto"/>
        <w:ind w:left="851" w:right="567"/>
        <w:jc w:val="both"/>
        <w:rPr>
          <w:rFonts w:ascii="ITC Avant Garde" w:hAnsi="ITC Avant Garde"/>
          <w:i/>
          <w:sz w:val="18"/>
          <w:szCs w:val="18"/>
        </w:rPr>
      </w:pPr>
      <w:r w:rsidRPr="00E16359">
        <w:rPr>
          <w:rFonts w:ascii="ITC Avant Garde" w:hAnsi="ITC Avant Garde"/>
          <w:i/>
          <w:sz w:val="18"/>
          <w:szCs w:val="18"/>
        </w:rPr>
        <w:lastRenderedPageBreak/>
        <w:t xml:space="preserve"> </w:t>
      </w:r>
      <w:r w:rsidR="004F73B2" w:rsidRPr="00E16359">
        <w:rPr>
          <w:rFonts w:ascii="ITC Avant Garde" w:hAnsi="ITC Avant Garde"/>
          <w:i/>
          <w:sz w:val="18"/>
          <w:szCs w:val="18"/>
        </w:rPr>
        <w:t>“Las condiciones mínimas requeridas para el intercambio de tráfico SIP deberán ser las siguientes:</w:t>
      </w:r>
    </w:p>
    <w:p w:rsidR="004F73B2" w:rsidRPr="00E16359" w:rsidRDefault="004F73B2" w:rsidP="001D3335">
      <w:pPr>
        <w:spacing w:after="0" w:line="276" w:lineRule="auto"/>
        <w:ind w:left="851" w:right="567"/>
        <w:jc w:val="both"/>
        <w:rPr>
          <w:rFonts w:ascii="ITC Avant Garde" w:hAnsi="ITC Avant Garde"/>
          <w:i/>
          <w:sz w:val="18"/>
          <w:szCs w:val="18"/>
        </w:rPr>
      </w:pPr>
    </w:p>
    <w:p w:rsidR="004F73B2" w:rsidRPr="00E16359" w:rsidRDefault="004F73B2" w:rsidP="001D3335">
      <w:pPr>
        <w:spacing w:after="0" w:line="276" w:lineRule="auto"/>
        <w:ind w:left="851" w:right="567"/>
        <w:jc w:val="both"/>
        <w:rPr>
          <w:rFonts w:ascii="ITC Avant Garde" w:hAnsi="ITC Avant Garde"/>
          <w:i/>
          <w:sz w:val="18"/>
          <w:szCs w:val="18"/>
        </w:rPr>
      </w:pPr>
      <w:r w:rsidRPr="00E16359">
        <w:rPr>
          <w:rFonts w:ascii="ITC Avant Garde" w:hAnsi="ITC Avant Garde"/>
          <w:i/>
          <w:sz w:val="18"/>
          <w:szCs w:val="18"/>
        </w:rPr>
        <w:t xml:space="preserve"> La interconexión se llevará a cabo a nivel de capa física mediante enlaces ópticos dedicados bajo el estándar Ethernet y en su caso podrán elegir la capa de Red, por lo que las Partes se sujetarán a las características té</w:t>
      </w:r>
      <w:r w:rsidR="00762B24" w:rsidRPr="00E16359">
        <w:rPr>
          <w:rFonts w:ascii="ITC Avant Garde" w:hAnsi="ITC Avant Garde"/>
          <w:i/>
          <w:sz w:val="18"/>
          <w:szCs w:val="18"/>
        </w:rPr>
        <w:t>cnicas indicadas en el Anexo A.</w:t>
      </w:r>
    </w:p>
    <w:p w:rsidR="00762B24" w:rsidRPr="00E16359" w:rsidRDefault="00762B24" w:rsidP="001D3335">
      <w:pPr>
        <w:spacing w:after="0" w:line="276" w:lineRule="auto"/>
        <w:ind w:left="851" w:right="567"/>
        <w:jc w:val="both"/>
        <w:rPr>
          <w:rFonts w:ascii="ITC Avant Garde" w:hAnsi="ITC Avant Garde"/>
          <w:i/>
          <w:sz w:val="18"/>
          <w:szCs w:val="18"/>
        </w:rPr>
      </w:pPr>
    </w:p>
    <w:p w:rsidR="004F73B2" w:rsidRPr="00E16359" w:rsidRDefault="004F73B2" w:rsidP="001D3335">
      <w:pPr>
        <w:spacing w:after="0" w:line="276" w:lineRule="auto"/>
        <w:ind w:left="851" w:right="567"/>
        <w:jc w:val="both"/>
        <w:rPr>
          <w:rFonts w:ascii="ITC Avant Garde" w:hAnsi="ITC Avant Garde"/>
          <w:i/>
          <w:sz w:val="18"/>
          <w:szCs w:val="18"/>
        </w:rPr>
      </w:pPr>
      <w:r w:rsidRPr="00E16359">
        <w:rPr>
          <w:rFonts w:ascii="ITC Avant Garde" w:hAnsi="ITC Avant Garde"/>
          <w:i/>
          <w:sz w:val="18"/>
          <w:szCs w:val="18"/>
        </w:rPr>
        <w:t>En la interconexión se utilizará el protocolo de señalización SIP. En este sentido, las Partes deberán implementar el protocolo SIP conforme a las recomendaciones del Internet Engineering Task Force (IETF, por sus siglas en inglés) y al RFC vigente, para eficiente la Interconexión y con las características técnicas indicadas en el Anexo A.”</w:t>
      </w:r>
    </w:p>
    <w:p w:rsidR="004F73B2" w:rsidRPr="00E16359" w:rsidRDefault="004F73B2" w:rsidP="001D3335">
      <w:pPr>
        <w:spacing w:after="0" w:line="276" w:lineRule="auto"/>
        <w:jc w:val="both"/>
        <w:rPr>
          <w:rFonts w:ascii="ITC Avant Garde" w:hAnsi="ITC Avant Garde"/>
          <w:b/>
          <w:i/>
        </w:rPr>
      </w:pPr>
    </w:p>
    <w:p w:rsidR="000A22B8" w:rsidRPr="00E16359" w:rsidRDefault="000A22B8" w:rsidP="001D3335">
      <w:pPr>
        <w:spacing w:after="0" w:line="276" w:lineRule="auto"/>
        <w:ind w:right="618"/>
        <w:jc w:val="both"/>
        <w:rPr>
          <w:rFonts w:ascii="ITC Avant Garde" w:hAnsi="ITC Avant Garde"/>
        </w:rPr>
      </w:pPr>
    </w:p>
    <w:p w:rsidR="000A22B8" w:rsidRPr="00E16359" w:rsidRDefault="000A22B8" w:rsidP="001D3335">
      <w:pPr>
        <w:tabs>
          <w:tab w:val="left" w:pos="8222"/>
        </w:tabs>
        <w:spacing w:after="0" w:line="276" w:lineRule="auto"/>
        <w:ind w:left="851" w:right="618"/>
        <w:jc w:val="both"/>
        <w:rPr>
          <w:rFonts w:ascii="ITC Avant Garde" w:hAnsi="ITC Avant Garde"/>
          <w:i/>
          <w:sz w:val="18"/>
          <w:szCs w:val="18"/>
        </w:rPr>
      </w:pPr>
      <w:r w:rsidRPr="00E16359">
        <w:rPr>
          <w:rFonts w:ascii="ITC Avant Garde" w:hAnsi="ITC Avant Garde"/>
          <w:i/>
          <w:sz w:val="18"/>
          <w:szCs w:val="18"/>
        </w:rPr>
        <w:t xml:space="preserve">"Telmex deberá, a solicitud de la otra Parte, permitir el intercambio de Tráfico Público en protocolo SIP (Sesión Initiation Protocol), incluyendo el tráfico hacia </w:t>
      </w:r>
      <w:r w:rsidR="00D835CD" w:rsidRPr="00E16359">
        <w:rPr>
          <w:rFonts w:ascii="ITC Avant Garde" w:hAnsi="ITC Avant Garde"/>
          <w:i/>
          <w:sz w:val="18"/>
          <w:szCs w:val="18"/>
        </w:rPr>
        <w:t xml:space="preserve">Conmutado </w:t>
      </w:r>
      <w:r w:rsidRPr="00E16359">
        <w:rPr>
          <w:rFonts w:ascii="ITC Avant Garde" w:hAnsi="ITC Avant Garde"/>
          <w:i/>
          <w:sz w:val="18"/>
          <w:szCs w:val="18"/>
        </w:rPr>
        <w:t>números 800, 900, y Códigos de Servicio Especial"</w:t>
      </w:r>
    </w:p>
    <w:p w:rsidR="000A22B8" w:rsidRPr="00E16359" w:rsidRDefault="000A22B8" w:rsidP="001D3335">
      <w:pPr>
        <w:spacing w:after="0" w:line="276" w:lineRule="auto"/>
        <w:ind w:left="851" w:right="618"/>
        <w:jc w:val="both"/>
        <w:rPr>
          <w:rFonts w:ascii="ITC Avant Garde" w:hAnsi="ITC Avant Garde"/>
          <w:i/>
        </w:rPr>
      </w:pPr>
    </w:p>
    <w:p w:rsidR="006E285E" w:rsidRPr="00E16359" w:rsidRDefault="006E285E"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8F179D" w:rsidRPr="00E16359" w:rsidRDefault="008F179D" w:rsidP="001D3335">
      <w:pPr>
        <w:spacing w:after="0" w:line="276" w:lineRule="auto"/>
        <w:jc w:val="both"/>
        <w:rPr>
          <w:rFonts w:ascii="ITC Avant Garde" w:hAnsi="ITC Avant Garde"/>
        </w:rPr>
      </w:pPr>
      <w:r w:rsidRPr="00E16359">
        <w:rPr>
          <w:rFonts w:ascii="ITC Avant Garde" w:hAnsi="ITC Avant Garde"/>
        </w:rPr>
        <w:t>Al respecto, es conveniente considerar</w:t>
      </w:r>
      <w:r w:rsidR="00EF5C9F" w:rsidRPr="00E16359">
        <w:rPr>
          <w:rFonts w:ascii="ITC Avant Garde" w:hAnsi="ITC Avant Garde"/>
        </w:rPr>
        <w:t xml:space="preserve"> que la interconexión en su modal</w:t>
      </w:r>
      <w:r w:rsidR="006E283C" w:rsidRPr="00E16359">
        <w:rPr>
          <w:rFonts w:ascii="ITC Avant Garde" w:hAnsi="ITC Avant Garde"/>
        </w:rPr>
        <w:t>idad IP se ha llevado de manera eficiente tomando como base principal el RFC 3261</w:t>
      </w:r>
      <w:r w:rsidR="005461A4" w:rsidRPr="00E16359">
        <w:rPr>
          <w:rFonts w:ascii="ITC Avant Garde" w:hAnsi="ITC Avant Garde"/>
        </w:rPr>
        <w:t>, tal como lo establece la condición séptima</w:t>
      </w:r>
      <w:r w:rsidRPr="00E16359">
        <w:rPr>
          <w:rFonts w:ascii="ITC Avant Garde" w:hAnsi="ITC Avant Garde"/>
        </w:rPr>
        <w:t xml:space="preserve"> </w:t>
      </w:r>
      <w:r w:rsidR="003F6373" w:rsidRPr="00E16359">
        <w:rPr>
          <w:rFonts w:ascii="ITC Avant Garde" w:hAnsi="ITC Avant Garde"/>
        </w:rPr>
        <w:t>en el Acuerdo de CTM</w:t>
      </w:r>
      <w:r w:rsidRPr="00E16359">
        <w:rPr>
          <w:rFonts w:ascii="ITC Avant Garde" w:hAnsi="ITC Avant Garde"/>
        </w:rPr>
        <w:t>:</w:t>
      </w:r>
    </w:p>
    <w:p w:rsidR="008F179D" w:rsidRPr="00E16359" w:rsidRDefault="008F179D" w:rsidP="001D3335">
      <w:pPr>
        <w:tabs>
          <w:tab w:val="left" w:pos="851"/>
        </w:tabs>
        <w:spacing w:after="0"/>
        <w:ind w:left="851" w:right="567"/>
        <w:jc w:val="both"/>
        <w:rPr>
          <w:rFonts w:ascii="ITC Avant Garde" w:hAnsi="ITC Avant Garde" w:cs="Arial"/>
          <w:i/>
          <w:sz w:val="18"/>
          <w:szCs w:val="18"/>
        </w:rPr>
      </w:pPr>
    </w:p>
    <w:p w:rsidR="008F179D" w:rsidRPr="00E16359" w:rsidRDefault="008F179D" w:rsidP="001D3335">
      <w:pPr>
        <w:tabs>
          <w:tab w:val="left" w:pos="851"/>
        </w:tabs>
        <w:spacing w:after="0"/>
        <w:ind w:left="851" w:right="567"/>
        <w:jc w:val="both"/>
        <w:rPr>
          <w:rFonts w:ascii="ITC Avant Garde" w:hAnsi="ITC Avant Garde" w:cs="Arial"/>
          <w:i/>
          <w:sz w:val="18"/>
          <w:szCs w:val="18"/>
        </w:rPr>
      </w:pPr>
      <w:r w:rsidRPr="00E16359">
        <w:rPr>
          <w:rFonts w:ascii="ITC Avant Garde" w:hAnsi="ITC Avant Garde" w:cs="Arial"/>
          <w:b/>
          <w:i/>
          <w:sz w:val="18"/>
          <w:szCs w:val="18"/>
        </w:rPr>
        <w:t>“SÉPTIMA. -</w:t>
      </w:r>
      <w:r w:rsidRPr="00E16359">
        <w:rPr>
          <w:rFonts w:ascii="ITC Avant Garde" w:hAnsi="ITC Avant Garde" w:cs="Arial"/>
          <w:i/>
          <w:sz w:val="18"/>
          <w:szCs w:val="18"/>
        </w:rPr>
        <w:t xml:space="preserve"> La interconexión de redes públicas de telecomunicaciones se sujetará a la utilización de los siguientes protocolos de señalización.</w:t>
      </w:r>
    </w:p>
    <w:p w:rsidR="008F179D" w:rsidRPr="00E16359" w:rsidRDefault="008F179D" w:rsidP="001D3335">
      <w:pPr>
        <w:tabs>
          <w:tab w:val="left" w:pos="851"/>
        </w:tabs>
        <w:spacing w:after="0"/>
        <w:ind w:left="851" w:right="567"/>
        <w:jc w:val="both"/>
        <w:rPr>
          <w:rFonts w:ascii="ITC Avant Garde" w:hAnsi="ITC Avant Garde" w:cs="Arial"/>
          <w:i/>
          <w:sz w:val="18"/>
          <w:szCs w:val="18"/>
        </w:rPr>
      </w:pPr>
    </w:p>
    <w:p w:rsidR="008F179D" w:rsidRPr="00E16359" w:rsidRDefault="008F179D" w:rsidP="001D3335">
      <w:pPr>
        <w:tabs>
          <w:tab w:val="left" w:pos="851"/>
        </w:tabs>
        <w:spacing w:after="0"/>
        <w:ind w:left="851" w:right="567"/>
        <w:jc w:val="both"/>
        <w:rPr>
          <w:rFonts w:ascii="ITC Avant Garde" w:hAnsi="ITC Avant Garde" w:cs="Arial"/>
          <w:b/>
          <w:i/>
          <w:sz w:val="18"/>
          <w:szCs w:val="18"/>
        </w:rPr>
      </w:pPr>
      <w:r w:rsidRPr="00E16359">
        <w:rPr>
          <w:rFonts w:ascii="ITC Avant Garde" w:hAnsi="ITC Avant Garde" w:cs="Arial"/>
          <w:b/>
          <w:i/>
          <w:sz w:val="18"/>
          <w:szCs w:val="18"/>
        </w:rPr>
        <w:t>Interconexión IP</w:t>
      </w:r>
    </w:p>
    <w:p w:rsidR="008F179D" w:rsidRPr="00E16359" w:rsidRDefault="008F179D" w:rsidP="001D3335">
      <w:pPr>
        <w:tabs>
          <w:tab w:val="left" w:pos="851"/>
        </w:tabs>
        <w:spacing w:after="0"/>
        <w:ind w:left="851" w:right="567"/>
        <w:jc w:val="both"/>
        <w:rPr>
          <w:rFonts w:ascii="ITC Avant Garde" w:hAnsi="ITC Avant Garde" w:cs="Arial"/>
          <w:i/>
          <w:sz w:val="18"/>
          <w:szCs w:val="18"/>
        </w:rPr>
      </w:pPr>
    </w:p>
    <w:p w:rsidR="008F179D" w:rsidRPr="00E16359" w:rsidRDefault="008F179D" w:rsidP="001D3335">
      <w:pPr>
        <w:tabs>
          <w:tab w:val="left" w:pos="851"/>
        </w:tabs>
        <w:spacing w:after="0"/>
        <w:ind w:left="851" w:right="567"/>
        <w:jc w:val="both"/>
        <w:rPr>
          <w:rFonts w:ascii="ITC Avant Garde" w:hAnsi="ITC Avant Garde" w:cs="Arial"/>
          <w:i/>
          <w:sz w:val="18"/>
          <w:szCs w:val="18"/>
        </w:rPr>
      </w:pPr>
      <w:r w:rsidRPr="00E16359">
        <w:rPr>
          <w:rFonts w:ascii="ITC Avant Garde" w:hAnsi="ITC Avant Garde" w:cs="Arial"/>
          <w:i/>
          <w:sz w:val="18"/>
          <w:szCs w:val="18"/>
        </w:rPr>
        <w:t>El protocolo de señalización SIP-IP será obligatorio para la interconexión directa entre concesionarios y de acuerdo a la Recomendación IETF RFC 3261 y recomendaciones complementarias.”</w:t>
      </w:r>
    </w:p>
    <w:p w:rsidR="00EF5040" w:rsidRPr="00E16359" w:rsidRDefault="00EF5040" w:rsidP="001D3335">
      <w:pPr>
        <w:tabs>
          <w:tab w:val="left" w:pos="851"/>
        </w:tabs>
        <w:spacing w:after="0"/>
        <w:ind w:left="851" w:right="567"/>
        <w:jc w:val="both"/>
        <w:rPr>
          <w:rFonts w:ascii="ITC Avant Garde" w:hAnsi="ITC Avant Garde" w:cs="Arial"/>
          <w:i/>
          <w:sz w:val="18"/>
          <w:szCs w:val="18"/>
        </w:rPr>
      </w:pPr>
    </w:p>
    <w:p w:rsidR="007D1F72" w:rsidRPr="00E16359" w:rsidRDefault="007D1F72" w:rsidP="001D3335">
      <w:pPr>
        <w:spacing w:line="276" w:lineRule="auto"/>
        <w:jc w:val="both"/>
        <w:rPr>
          <w:rFonts w:ascii="ITC Avant Garde" w:eastAsia="Avant Garde" w:hAnsi="ITC Avant Garde" w:cs="Avant Garde"/>
          <w:color w:val="000000"/>
          <w:lang w:eastAsia="es-MX"/>
        </w:rPr>
      </w:pPr>
      <w:r w:rsidRPr="00E16359">
        <w:rPr>
          <w:rFonts w:ascii="ITC Avant Garde" w:eastAsia="Avant Garde" w:hAnsi="ITC Avant Garde" w:cs="Avant Garde"/>
          <w:color w:val="000000"/>
          <w:lang w:eastAsia="es-MX"/>
        </w:rPr>
        <w:t xml:space="preserve">En este sentido, </w:t>
      </w:r>
      <w:r w:rsidR="0055046F" w:rsidRPr="00E16359">
        <w:rPr>
          <w:rFonts w:ascii="ITC Avant Garde" w:eastAsia="Avant Garde" w:hAnsi="ITC Avant Garde" w:cs="Avant Garde"/>
          <w:color w:val="000000"/>
          <w:lang w:eastAsia="es-MX"/>
        </w:rPr>
        <w:t xml:space="preserve">el contenido del CMI es acorde a las disposiciones antes </w:t>
      </w:r>
      <w:r w:rsidR="0041222D" w:rsidRPr="00E16359">
        <w:rPr>
          <w:rFonts w:ascii="ITC Avant Garde" w:eastAsia="Avant Garde" w:hAnsi="ITC Avant Garde" w:cs="Avant Garde"/>
          <w:color w:val="000000"/>
          <w:lang w:eastAsia="es-MX"/>
        </w:rPr>
        <w:t>señaladas.</w:t>
      </w:r>
    </w:p>
    <w:p w:rsidR="001D58CE" w:rsidRPr="00E16359" w:rsidRDefault="001D58CE" w:rsidP="001D3335">
      <w:pPr>
        <w:spacing w:after="0" w:line="276" w:lineRule="auto"/>
        <w:ind w:right="618"/>
        <w:jc w:val="both"/>
        <w:rPr>
          <w:rFonts w:ascii="ITC Avant Garde" w:hAnsi="ITC Avant Garde"/>
          <w:b/>
          <w:i/>
          <w:u w:val="single"/>
        </w:rPr>
      </w:pPr>
    </w:p>
    <w:p w:rsidR="004F73B2" w:rsidRPr="00E16359" w:rsidRDefault="00BD1C14" w:rsidP="001D3335">
      <w:pPr>
        <w:spacing w:after="0" w:line="276" w:lineRule="auto"/>
        <w:ind w:right="618"/>
        <w:jc w:val="both"/>
        <w:rPr>
          <w:rFonts w:ascii="ITC Avant Garde" w:hAnsi="ITC Avant Garde"/>
          <w:b/>
        </w:rPr>
      </w:pPr>
      <w:r w:rsidRPr="00E16359">
        <w:rPr>
          <w:rFonts w:ascii="ITC Avant Garde" w:hAnsi="ITC Avant Garde"/>
          <w:b/>
          <w:u w:val="single"/>
        </w:rPr>
        <w:t>Cambios a la Interconexión</w:t>
      </w:r>
    </w:p>
    <w:p w:rsidR="00C03698" w:rsidRPr="00E16359" w:rsidRDefault="00C03698" w:rsidP="001D3335">
      <w:pPr>
        <w:spacing w:after="0" w:line="276" w:lineRule="auto"/>
        <w:ind w:right="618"/>
        <w:jc w:val="both"/>
        <w:rPr>
          <w:rFonts w:ascii="ITC Avant Garde" w:hAnsi="ITC Avant Garde"/>
          <w:b/>
        </w:rPr>
      </w:pPr>
    </w:p>
    <w:p w:rsidR="00C03698" w:rsidRPr="00E16359" w:rsidRDefault="00112BB2" w:rsidP="001D3335">
      <w:pPr>
        <w:spacing w:after="0" w:line="276" w:lineRule="auto"/>
        <w:ind w:right="618"/>
        <w:jc w:val="both"/>
        <w:rPr>
          <w:rFonts w:ascii="ITC Avant Garde" w:hAnsi="ITC Avant Garde"/>
          <w:b/>
        </w:rPr>
      </w:pPr>
      <w:r w:rsidRPr="00E16359">
        <w:rPr>
          <w:rFonts w:ascii="ITC Avant Garde" w:hAnsi="ITC Avant Garde"/>
          <w:b/>
        </w:rPr>
        <w:t xml:space="preserve">ALTÁN Y CANIETI </w:t>
      </w:r>
    </w:p>
    <w:p w:rsidR="00BD1C14" w:rsidRPr="00E16359" w:rsidRDefault="00BD1C14" w:rsidP="001D3335">
      <w:pPr>
        <w:spacing w:after="0" w:line="276" w:lineRule="auto"/>
        <w:ind w:right="618"/>
        <w:jc w:val="both"/>
        <w:rPr>
          <w:rFonts w:ascii="ITC Avant Garde" w:hAnsi="ITC Avant Garde"/>
          <w:b/>
        </w:rPr>
      </w:pPr>
    </w:p>
    <w:p w:rsidR="00112BB2" w:rsidRPr="00E16359" w:rsidRDefault="0042219B" w:rsidP="001D3335">
      <w:pPr>
        <w:spacing w:after="0" w:line="276" w:lineRule="auto"/>
        <w:ind w:right="618"/>
        <w:jc w:val="both"/>
        <w:rPr>
          <w:rFonts w:ascii="ITC Avant Garde" w:hAnsi="ITC Avant Garde"/>
          <w:bCs/>
        </w:rPr>
      </w:pPr>
      <w:r w:rsidRPr="00E16359">
        <w:rPr>
          <w:rFonts w:ascii="ITC Avant Garde" w:hAnsi="ITC Avant Garde"/>
          <w:bCs/>
        </w:rPr>
        <w:t>P</w:t>
      </w:r>
      <w:r w:rsidR="00426E0B" w:rsidRPr="00E16359">
        <w:rPr>
          <w:rFonts w:ascii="ITC Avant Garde" w:hAnsi="ITC Avant Garde"/>
          <w:bCs/>
        </w:rPr>
        <w:t>ropusiero</w:t>
      </w:r>
      <w:r w:rsidR="000244AA" w:rsidRPr="00E16359">
        <w:rPr>
          <w:rFonts w:ascii="ITC Avant Garde" w:hAnsi="ITC Avant Garde"/>
          <w:bCs/>
        </w:rPr>
        <w:t>n</w:t>
      </w:r>
      <w:r w:rsidR="00112BB2" w:rsidRPr="00E16359">
        <w:rPr>
          <w:rFonts w:ascii="ITC Avant Garde" w:hAnsi="ITC Avant Garde"/>
          <w:bCs/>
        </w:rPr>
        <w:t xml:space="preserve"> la siguiente adecuación:</w:t>
      </w:r>
    </w:p>
    <w:p w:rsidR="00112BB2" w:rsidRPr="00E16359" w:rsidRDefault="00112BB2" w:rsidP="001D3335">
      <w:pPr>
        <w:spacing w:after="0" w:line="276" w:lineRule="auto"/>
        <w:ind w:left="851" w:right="618"/>
        <w:jc w:val="both"/>
        <w:rPr>
          <w:rFonts w:ascii="ITC Avant Garde" w:hAnsi="ITC Avant Garde"/>
          <w:bCs/>
        </w:rPr>
      </w:pPr>
    </w:p>
    <w:p w:rsidR="00112BB2" w:rsidRPr="00E16359" w:rsidRDefault="00112BB2" w:rsidP="001D3335">
      <w:pPr>
        <w:spacing w:after="0" w:line="276" w:lineRule="auto"/>
        <w:ind w:left="851" w:right="618"/>
        <w:jc w:val="both"/>
        <w:rPr>
          <w:rFonts w:ascii="ITC Avant Garde" w:hAnsi="ITC Avant Garde"/>
          <w:i/>
          <w:sz w:val="18"/>
          <w:szCs w:val="18"/>
        </w:rPr>
      </w:pPr>
      <w:r w:rsidRPr="00E16359">
        <w:rPr>
          <w:rFonts w:ascii="ITC Avant Garde" w:hAnsi="ITC Avant Garde"/>
          <w:i/>
          <w:sz w:val="18"/>
          <w:szCs w:val="18"/>
        </w:rPr>
        <w:t>“Las Partes acuerdan que cualquier cambio que pudiera afectar las características técnicas de la Interconexión, deberá ser notificado a la otra Parte, así como al Instituto, al menos con</w:t>
      </w:r>
      <w:r w:rsidRPr="00E16359">
        <w:rPr>
          <w:rFonts w:ascii="ITC Avant Garde" w:hAnsi="ITC Avant Garde"/>
          <w:b/>
          <w:i/>
          <w:sz w:val="18"/>
          <w:szCs w:val="18"/>
        </w:rPr>
        <w:t xml:space="preserve"> </w:t>
      </w:r>
      <w:r w:rsidRPr="00E16359">
        <w:rPr>
          <w:rFonts w:ascii="ITC Avant Garde" w:hAnsi="ITC Avant Garde"/>
          <w:bCs/>
          <w:i/>
          <w:sz w:val="18"/>
          <w:szCs w:val="18"/>
        </w:rPr>
        <w:t>2 (dos)</w:t>
      </w:r>
      <w:r w:rsidRPr="00E16359">
        <w:rPr>
          <w:rFonts w:ascii="ITC Avant Garde" w:hAnsi="ITC Avant Garde"/>
          <w:i/>
          <w:sz w:val="18"/>
          <w:szCs w:val="18"/>
        </w:rPr>
        <w:t xml:space="preserve"> </w:t>
      </w:r>
      <w:r w:rsidRPr="00E16359">
        <w:rPr>
          <w:rFonts w:ascii="ITC Avant Garde" w:hAnsi="ITC Avant Garde"/>
          <w:bCs/>
          <w:i/>
          <w:sz w:val="18"/>
          <w:szCs w:val="18"/>
        </w:rPr>
        <w:t>meses</w:t>
      </w:r>
      <w:r w:rsidRPr="00E16359">
        <w:rPr>
          <w:rFonts w:ascii="ITC Avant Garde" w:hAnsi="ITC Avant Garde"/>
          <w:i/>
          <w:sz w:val="18"/>
          <w:szCs w:val="18"/>
        </w:rPr>
        <w:t xml:space="preserve"> de anticipación a la fecha en que se pretenda realizar.  </w:t>
      </w:r>
      <w:r w:rsidRPr="00E16359">
        <w:rPr>
          <w:rFonts w:ascii="ITC Avant Garde" w:hAnsi="ITC Avant Garde"/>
          <w:bCs/>
          <w:i/>
          <w:sz w:val="18"/>
          <w:szCs w:val="18"/>
        </w:rPr>
        <w:t>Y los mismos solo podrán ser realizados mediante el acuerdo y confirmación de ambas partes</w:t>
      </w:r>
      <w:r w:rsidRPr="00E16359">
        <w:rPr>
          <w:rFonts w:ascii="ITC Avant Garde" w:hAnsi="ITC Avant Garde"/>
          <w:i/>
          <w:sz w:val="18"/>
          <w:szCs w:val="18"/>
        </w:rPr>
        <w:t xml:space="preserve">. Cuando dichos cambios se deriven por decisión exclusiva de uno de las Partes, ésta deberá cubrir </w:t>
      </w:r>
      <w:r w:rsidRPr="00E16359">
        <w:rPr>
          <w:rFonts w:ascii="ITC Avant Garde" w:hAnsi="ITC Avant Garde"/>
          <w:bCs/>
          <w:i/>
          <w:sz w:val="18"/>
          <w:szCs w:val="18"/>
        </w:rPr>
        <w:t>a la contraparte</w:t>
      </w:r>
      <w:r w:rsidRPr="00E16359">
        <w:rPr>
          <w:rFonts w:ascii="ITC Avant Garde" w:hAnsi="ITC Avant Garde"/>
          <w:i/>
          <w:sz w:val="18"/>
          <w:szCs w:val="18"/>
        </w:rPr>
        <w:t xml:space="preserve"> los costos asociados a la adecuación de los Puntos de Interconexión o Enlaces Dedicados de Interconexión necesarios.”</w:t>
      </w:r>
    </w:p>
    <w:p w:rsidR="00112BB2" w:rsidRPr="00E16359" w:rsidRDefault="00112BB2" w:rsidP="001D3335">
      <w:pPr>
        <w:spacing w:after="0" w:line="276" w:lineRule="auto"/>
        <w:ind w:left="851" w:right="618"/>
        <w:jc w:val="both"/>
        <w:rPr>
          <w:rFonts w:ascii="ITC Avant Garde" w:hAnsi="ITC Avant Garde"/>
          <w:b/>
        </w:rPr>
      </w:pPr>
    </w:p>
    <w:p w:rsidR="00112BB2" w:rsidRPr="00E16359" w:rsidRDefault="002A0C46" w:rsidP="001D3335">
      <w:pPr>
        <w:spacing w:after="0" w:line="276" w:lineRule="auto"/>
        <w:ind w:right="618"/>
        <w:jc w:val="both"/>
        <w:rPr>
          <w:rFonts w:ascii="ITC Avant Garde" w:hAnsi="ITC Avant Garde"/>
          <w:b/>
        </w:rPr>
      </w:pPr>
      <w:r w:rsidRPr="00E16359">
        <w:rPr>
          <w:rFonts w:ascii="ITC Avant Garde" w:hAnsi="ITC Avant Garde"/>
          <w:b/>
        </w:rPr>
        <w:t>MEGACABLE</w:t>
      </w:r>
    </w:p>
    <w:p w:rsidR="000A53FB" w:rsidRPr="00E16359" w:rsidRDefault="000A53FB" w:rsidP="001D3335">
      <w:pPr>
        <w:spacing w:after="0" w:line="276" w:lineRule="auto"/>
        <w:ind w:right="618"/>
        <w:jc w:val="both"/>
        <w:rPr>
          <w:rFonts w:ascii="ITC Avant Garde" w:hAnsi="ITC Avant Garde"/>
          <w:b/>
        </w:rPr>
      </w:pPr>
    </w:p>
    <w:p w:rsidR="002A0C46" w:rsidRPr="00E16359" w:rsidRDefault="00DD3BD8" w:rsidP="001D3335">
      <w:pPr>
        <w:spacing w:after="0" w:line="276" w:lineRule="auto"/>
        <w:ind w:right="618"/>
        <w:jc w:val="both"/>
        <w:rPr>
          <w:rFonts w:ascii="ITC Avant Garde" w:hAnsi="ITC Avant Garde"/>
        </w:rPr>
      </w:pPr>
      <w:r w:rsidRPr="00E16359">
        <w:rPr>
          <w:rFonts w:ascii="ITC Avant Garde" w:hAnsi="ITC Avant Garde"/>
        </w:rPr>
        <w:t>P</w:t>
      </w:r>
      <w:r w:rsidR="006B6C7F" w:rsidRPr="00E16359">
        <w:rPr>
          <w:rFonts w:ascii="ITC Avant Garde" w:hAnsi="ITC Avant Garde"/>
        </w:rPr>
        <w:t>ropuso</w:t>
      </w:r>
      <w:r w:rsidRPr="00E16359">
        <w:rPr>
          <w:rFonts w:ascii="ITC Avant Garde" w:hAnsi="ITC Avant Garde"/>
        </w:rPr>
        <w:t xml:space="preserve"> la siguiente redacción</w:t>
      </w:r>
      <w:r w:rsidR="002A0C46" w:rsidRPr="00E16359">
        <w:rPr>
          <w:rFonts w:ascii="ITC Avant Garde" w:hAnsi="ITC Avant Garde"/>
        </w:rPr>
        <w:t>:</w:t>
      </w:r>
    </w:p>
    <w:p w:rsidR="002A0C46" w:rsidRPr="00E16359" w:rsidRDefault="002A0C46" w:rsidP="001D3335">
      <w:pPr>
        <w:spacing w:after="0" w:line="276" w:lineRule="auto"/>
        <w:ind w:left="709" w:right="618"/>
        <w:jc w:val="both"/>
        <w:rPr>
          <w:rFonts w:ascii="ITC Avant Garde" w:hAnsi="ITC Avant Garde"/>
          <w:i/>
          <w:sz w:val="18"/>
          <w:szCs w:val="18"/>
        </w:rPr>
      </w:pPr>
    </w:p>
    <w:p w:rsidR="002A0C46" w:rsidRPr="00E16359" w:rsidRDefault="002A0C46" w:rsidP="001D3335">
      <w:pPr>
        <w:spacing w:after="0" w:line="276" w:lineRule="auto"/>
        <w:ind w:left="709" w:right="618"/>
        <w:jc w:val="both"/>
        <w:rPr>
          <w:rFonts w:ascii="ITC Avant Garde" w:hAnsi="ITC Avant Garde"/>
          <w:i/>
          <w:sz w:val="18"/>
          <w:szCs w:val="18"/>
        </w:rPr>
      </w:pPr>
      <w:r w:rsidRPr="00E16359">
        <w:rPr>
          <w:rFonts w:ascii="ITC Avant Garde" w:hAnsi="ITC Avant Garde"/>
          <w:i/>
          <w:sz w:val="18"/>
          <w:szCs w:val="18"/>
        </w:rPr>
        <w:t xml:space="preserve">“Las Partes acuerdan que cualquier cambio que pudiera afectar las características técnicas de la Interconexión, deberá ser notificado a la otra Parte, así como al Instituto, al menos con </w:t>
      </w:r>
      <w:r w:rsidRPr="00E16359">
        <w:rPr>
          <w:rFonts w:ascii="ITC Avant Garde" w:hAnsi="ITC Avant Garde"/>
          <w:bCs/>
          <w:i/>
          <w:sz w:val="18"/>
          <w:szCs w:val="18"/>
        </w:rPr>
        <w:t>1 (un) mes</w:t>
      </w:r>
      <w:r w:rsidRPr="00E16359">
        <w:rPr>
          <w:rFonts w:ascii="ITC Avant Garde" w:hAnsi="ITC Avant Garde"/>
          <w:i/>
          <w:sz w:val="18"/>
          <w:szCs w:val="18"/>
        </w:rPr>
        <w:t xml:space="preserve"> de anticipación a la fecha en que se pretenda realizar. </w:t>
      </w:r>
      <w:r w:rsidRPr="00E16359">
        <w:rPr>
          <w:rFonts w:ascii="ITC Avant Garde" w:hAnsi="ITC Avant Garde"/>
          <w:bCs/>
          <w:i/>
          <w:sz w:val="18"/>
          <w:szCs w:val="18"/>
        </w:rPr>
        <w:t xml:space="preserve"> Y los mismos sólo podrán ser realizados mediante el acuerdo y confirmación de ambas partes.</w:t>
      </w:r>
      <w:r w:rsidRPr="00E16359">
        <w:rPr>
          <w:rFonts w:ascii="ITC Avant Garde" w:hAnsi="ITC Avant Garde"/>
          <w:i/>
          <w:sz w:val="18"/>
          <w:szCs w:val="18"/>
        </w:rPr>
        <w:t xml:space="preserve"> Cuando (...)”</w:t>
      </w:r>
    </w:p>
    <w:p w:rsidR="002A0C46" w:rsidRPr="00E16359" w:rsidRDefault="002A0C46" w:rsidP="001D3335">
      <w:pPr>
        <w:spacing w:after="0" w:line="276" w:lineRule="auto"/>
        <w:ind w:right="618"/>
        <w:jc w:val="both"/>
        <w:rPr>
          <w:rFonts w:ascii="ITC Avant Garde" w:hAnsi="ITC Avant Garde"/>
          <w:b/>
        </w:rPr>
      </w:pPr>
    </w:p>
    <w:p w:rsidR="006E285E" w:rsidRPr="00E16359" w:rsidRDefault="006E285E"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216478" w:rsidRPr="00E16359" w:rsidRDefault="00216478" w:rsidP="001D3335">
      <w:pPr>
        <w:spacing w:after="0" w:line="276" w:lineRule="auto"/>
        <w:ind w:right="618"/>
        <w:jc w:val="both"/>
        <w:rPr>
          <w:rFonts w:ascii="ITC Avant Garde" w:hAnsi="ITC Avant Garde"/>
        </w:rPr>
      </w:pPr>
    </w:p>
    <w:p w:rsidR="00C73D04" w:rsidRPr="00E16359" w:rsidRDefault="00C73D04" w:rsidP="00C73D04">
      <w:pPr>
        <w:spacing w:after="0" w:line="276" w:lineRule="auto"/>
        <w:ind w:left="-5"/>
        <w:jc w:val="both"/>
        <w:rPr>
          <w:rFonts w:ascii="ITC Avant Garde" w:hAnsi="ITC Avant Garde"/>
        </w:rPr>
      </w:pPr>
      <w:r w:rsidRPr="00E16359">
        <w:rPr>
          <w:rFonts w:ascii="ITC Avant Garde" w:hAnsi="ITC Avant Garde"/>
        </w:rPr>
        <w:t xml:space="preserve">Respecto de la modificación sugerida por los concesionarios, se señala para evitar retrasos y proporcionar plazos razonables fueron establecidos aquellos que resultan una práctica común en la industria, motivo por el cual no resulta justificable la propuesta sugerida por dichos concesionarios. </w:t>
      </w:r>
    </w:p>
    <w:p w:rsidR="00C322CF" w:rsidRPr="00E16359" w:rsidRDefault="00C322CF" w:rsidP="00AE08DC">
      <w:pPr>
        <w:spacing w:after="0" w:line="276" w:lineRule="auto"/>
        <w:ind w:right="618"/>
        <w:jc w:val="both"/>
        <w:rPr>
          <w:rFonts w:ascii="ITC Avant Garde" w:hAnsi="ITC Avant Garde"/>
        </w:rPr>
      </w:pPr>
    </w:p>
    <w:p w:rsidR="00FF2260" w:rsidRPr="00E16359" w:rsidRDefault="00CD74BF" w:rsidP="001D3335">
      <w:pPr>
        <w:spacing w:after="0" w:line="276" w:lineRule="auto"/>
        <w:ind w:right="618"/>
        <w:jc w:val="both"/>
        <w:rPr>
          <w:rFonts w:ascii="ITC Avant Garde" w:hAnsi="ITC Avant Garde"/>
          <w:u w:val="single"/>
        </w:rPr>
      </w:pPr>
      <w:r w:rsidRPr="00E16359">
        <w:rPr>
          <w:rFonts w:ascii="ITC Avant Garde" w:hAnsi="ITC Avant Garde"/>
          <w:b/>
          <w:u w:val="single"/>
        </w:rPr>
        <w:t>Cláusula Séptima. Continuidad de los Servicios de Interconexión en Ventanas de Mantenimiento</w:t>
      </w:r>
      <w:r w:rsidRPr="00E16359">
        <w:rPr>
          <w:rFonts w:ascii="ITC Avant Garde" w:hAnsi="ITC Avant Garde"/>
          <w:u w:val="single"/>
        </w:rPr>
        <w:t>.</w:t>
      </w:r>
    </w:p>
    <w:p w:rsidR="00FF2260" w:rsidRPr="00E16359" w:rsidRDefault="00FF2260" w:rsidP="001D3335">
      <w:pPr>
        <w:spacing w:after="0" w:line="276" w:lineRule="auto"/>
        <w:ind w:right="618"/>
        <w:jc w:val="both"/>
        <w:rPr>
          <w:rFonts w:ascii="ITC Avant Garde" w:hAnsi="ITC Avant Garde"/>
        </w:rPr>
      </w:pPr>
    </w:p>
    <w:p w:rsidR="00FF2260" w:rsidRPr="00E16359" w:rsidRDefault="00FF2260" w:rsidP="001D3335">
      <w:pPr>
        <w:spacing w:after="0" w:line="276" w:lineRule="auto"/>
        <w:ind w:right="618"/>
        <w:jc w:val="both"/>
        <w:rPr>
          <w:rFonts w:ascii="ITC Avant Garde" w:hAnsi="ITC Avant Garde"/>
          <w:b/>
        </w:rPr>
      </w:pPr>
      <w:r w:rsidRPr="00E16359">
        <w:rPr>
          <w:rFonts w:ascii="ITC Avant Garde" w:hAnsi="ITC Avant Garde"/>
          <w:b/>
        </w:rPr>
        <w:t>ALTÁN, CANIETI Y MEGACABLE</w:t>
      </w:r>
    </w:p>
    <w:p w:rsidR="00795EA0" w:rsidRPr="00E16359" w:rsidRDefault="00795EA0" w:rsidP="001D3335">
      <w:pPr>
        <w:spacing w:after="0" w:line="276" w:lineRule="auto"/>
        <w:ind w:right="618"/>
        <w:jc w:val="both"/>
        <w:rPr>
          <w:rFonts w:ascii="ITC Avant Garde" w:hAnsi="ITC Avant Garde"/>
          <w:b/>
        </w:rPr>
      </w:pPr>
    </w:p>
    <w:p w:rsidR="00FF2260" w:rsidRPr="00E16359" w:rsidRDefault="00FF2260" w:rsidP="001D3335">
      <w:pPr>
        <w:spacing w:after="0" w:line="276" w:lineRule="auto"/>
        <w:ind w:right="618"/>
        <w:jc w:val="both"/>
        <w:rPr>
          <w:rFonts w:ascii="ITC Avant Garde" w:hAnsi="ITC Avant Garde"/>
        </w:rPr>
      </w:pPr>
      <w:r w:rsidRPr="00E16359">
        <w:rPr>
          <w:rFonts w:ascii="ITC Avant Garde" w:hAnsi="ITC Avant Garde"/>
        </w:rPr>
        <w:t>Señala</w:t>
      </w:r>
      <w:r w:rsidR="00AB53F1" w:rsidRPr="00E16359">
        <w:rPr>
          <w:rFonts w:ascii="ITC Avant Garde" w:hAnsi="ITC Avant Garde"/>
        </w:rPr>
        <w:t>ro</w:t>
      </w:r>
      <w:r w:rsidRPr="00E16359">
        <w:rPr>
          <w:rFonts w:ascii="ITC Avant Garde" w:hAnsi="ITC Avant Garde"/>
        </w:rPr>
        <w:t>n que es necesario ampliar el plazo de respuesta y aceptación de avisos por parte del AEP a ventanas de mantenimiento, además de clasificarlos, toda vez que se piden respuestas en plazos de 4 horas.</w:t>
      </w:r>
    </w:p>
    <w:p w:rsidR="00FF2260" w:rsidRPr="00E16359" w:rsidRDefault="00FF2260" w:rsidP="001D3335">
      <w:pPr>
        <w:spacing w:after="0" w:line="276" w:lineRule="auto"/>
        <w:ind w:right="618"/>
        <w:jc w:val="both"/>
        <w:rPr>
          <w:rFonts w:ascii="ITC Avant Garde" w:hAnsi="ITC Avant Garde"/>
          <w:bCs/>
        </w:rPr>
      </w:pPr>
    </w:p>
    <w:p w:rsidR="00FF2260" w:rsidRPr="00E16359" w:rsidRDefault="00E055F3" w:rsidP="001D3335">
      <w:pPr>
        <w:spacing w:after="0" w:line="276" w:lineRule="auto"/>
        <w:ind w:right="618"/>
        <w:jc w:val="both"/>
        <w:rPr>
          <w:rFonts w:ascii="ITC Avant Garde" w:hAnsi="ITC Avant Garde"/>
          <w:bCs/>
        </w:rPr>
      </w:pPr>
      <w:r w:rsidRPr="00E16359">
        <w:rPr>
          <w:rFonts w:ascii="ITC Avant Garde" w:hAnsi="ITC Avant Garde"/>
          <w:bCs/>
        </w:rPr>
        <w:t>P</w:t>
      </w:r>
      <w:r w:rsidR="00AB53F1" w:rsidRPr="00E16359">
        <w:rPr>
          <w:rFonts w:ascii="ITC Avant Garde" w:hAnsi="ITC Avant Garde"/>
          <w:bCs/>
        </w:rPr>
        <w:t>ropusieron</w:t>
      </w:r>
      <w:r w:rsidR="00FF2260" w:rsidRPr="00E16359">
        <w:rPr>
          <w:rFonts w:ascii="ITC Avant Garde" w:hAnsi="ITC Avant Garde"/>
          <w:bCs/>
        </w:rPr>
        <w:t xml:space="preserve"> la siguiente adecuación:</w:t>
      </w:r>
    </w:p>
    <w:p w:rsidR="00FF2260" w:rsidRPr="00E16359" w:rsidRDefault="00FF2260" w:rsidP="001D3335">
      <w:pPr>
        <w:spacing w:after="0" w:line="276" w:lineRule="auto"/>
        <w:ind w:right="618"/>
        <w:jc w:val="both"/>
        <w:rPr>
          <w:rFonts w:ascii="ITC Avant Garde" w:hAnsi="ITC Avant Garde"/>
        </w:rPr>
      </w:pPr>
    </w:p>
    <w:p w:rsidR="00FF2260" w:rsidRPr="00E16359" w:rsidRDefault="0025686F" w:rsidP="001D3335">
      <w:pPr>
        <w:spacing w:after="0" w:line="276" w:lineRule="auto"/>
        <w:ind w:left="851" w:right="618"/>
        <w:jc w:val="both"/>
        <w:rPr>
          <w:rFonts w:ascii="ITC Avant Garde" w:hAnsi="ITC Avant Garde"/>
          <w:i/>
          <w:sz w:val="18"/>
          <w:szCs w:val="18"/>
        </w:rPr>
      </w:pPr>
      <w:r w:rsidRPr="00E16359">
        <w:rPr>
          <w:rFonts w:ascii="ITC Avant Garde" w:hAnsi="ITC Avant Garde"/>
          <w:i/>
          <w:sz w:val="18"/>
          <w:szCs w:val="18"/>
        </w:rPr>
        <w:t>“</w:t>
      </w:r>
      <w:r w:rsidR="00FF2260" w:rsidRPr="00E16359">
        <w:rPr>
          <w:rFonts w:ascii="ITC Avant Garde" w:hAnsi="ITC Avant Garde"/>
          <w:i/>
          <w:sz w:val="18"/>
          <w:szCs w:val="18"/>
        </w:rPr>
        <w:t>Las Partes deberán informarse mutuamente con cuando menos</w:t>
      </w:r>
      <w:r w:rsidR="00FF2260" w:rsidRPr="00E16359">
        <w:rPr>
          <w:rFonts w:ascii="ITC Avant Garde" w:hAnsi="ITC Avant Garde"/>
          <w:bCs/>
          <w:i/>
          <w:sz w:val="18"/>
          <w:szCs w:val="18"/>
        </w:rPr>
        <w:t xml:space="preserve"> 5</w:t>
      </w:r>
      <w:r w:rsidR="00FF2260" w:rsidRPr="00E16359">
        <w:rPr>
          <w:rFonts w:ascii="ITC Avant Garde" w:hAnsi="ITC Avant Garde"/>
          <w:i/>
          <w:sz w:val="18"/>
          <w:szCs w:val="18"/>
        </w:rPr>
        <w:t xml:space="preserve"> (cinco) </w:t>
      </w:r>
      <w:r w:rsidR="00FF2260" w:rsidRPr="00E16359">
        <w:rPr>
          <w:rFonts w:ascii="ITC Avant Garde" w:hAnsi="ITC Avant Garde"/>
          <w:bCs/>
          <w:i/>
          <w:sz w:val="18"/>
          <w:szCs w:val="18"/>
        </w:rPr>
        <w:t>días</w:t>
      </w:r>
      <w:r w:rsidR="00FF2260" w:rsidRPr="00E16359">
        <w:rPr>
          <w:rFonts w:ascii="ITC Avant Garde" w:hAnsi="ITC Avant Garde"/>
          <w:i/>
          <w:sz w:val="18"/>
          <w:szCs w:val="18"/>
        </w:rPr>
        <w:t xml:space="preserve"> naturales de anticipación, o antes si es razonablemente posible, acerca de cualquier trabajo, obra o actividad que sea razonablemente previsible que pueda afectar: (...)</w:t>
      </w:r>
    </w:p>
    <w:p w:rsidR="00FF2260" w:rsidRPr="00E16359" w:rsidRDefault="00FF2260" w:rsidP="001D3335">
      <w:pPr>
        <w:spacing w:after="0" w:line="276" w:lineRule="auto"/>
        <w:ind w:left="851" w:right="618"/>
        <w:jc w:val="both"/>
        <w:rPr>
          <w:rFonts w:ascii="ITC Avant Garde" w:hAnsi="ITC Avant Garde"/>
          <w:i/>
          <w:sz w:val="18"/>
          <w:szCs w:val="18"/>
        </w:rPr>
      </w:pPr>
      <w:r w:rsidRPr="00E16359">
        <w:rPr>
          <w:rFonts w:ascii="ITC Avant Garde" w:hAnsi="ITC Avant Garde"/>
          <w:i/>
          <w:sz w:val="18"/>
          <w:szCs w:val="18"/>
        </w:rPr>
        <w:t>La recepción de toda notificación deberá ser confirmada por escrito y deberá contener como mínimo:</w:t>
      </w:r>
    </w:p>
    <w:p w:rsidR="00FF2260" w:rsidRPr="00E16359" w:rsidRDefault="00FF2260" w:rsidP="001D3335">
      <w:pPr>
        <w:spacing w:after="0" w:line="276" w:lineRule="auto"/>
        <w:ind w:left="851" w:right="618"/>
        <w:jc w:val="both"/>
        <w:rPr>
          <w:rFonts w:ascii="ITC Avant Garde" w:hAnsi="ITC Avant Garde"/>
          <w:i/>
          <w:sz w:val="18"/>
          <w:szCs w:val="18"/>
        </w:rPr>
      </w:pPr>
    </w:p>
    <w:p w:rsidR="00FF2260" w:rsidRPr="00E16359" w:rsidRDefault="00FF2260" w:rsidP="001D3335">
      <w:pPr>
        <w:spacing w:after="0" w:line="276" w:lineRule="auto"/>
        <w:ind w:left="851" w:right="618"/>
        <w:jc w:val="both"/>
        <w:rPr>
          <w:rFonts w:ascii="ITC Avant Garde" w:hAnsi="ITC Avant Garde"/>
          <w:i/>
          <w:sz w:val="18"/>
          <w:szCs w:val="18"/>
        </w:rPr>
      </w:pPr>
      <w:r w:rsidRPr="00E16359">
        <w:rPr>
          <w:rFonts w:ascii="ITC Avant Garde" w:hAnsi="ITC Avant Garde"/>
          <w:i/>
          <w:sz w:val="18"/>
          <w:szCs w:val="18"/>
        </w:rPr>
        <w:t>• Nombre y cargo de la persona que recibe la notificación.</w:t>
      </w:r>
    </w:p>
    <w:p w:rsidR="00FF2260" w:rsidRPr="00E16359" w:rsidRDefault="00FF2260" w:rsidP="001D3335">
      <w:pPr>
        <w:spacing w:after="0" w:line="276" w:lineRule="auto"/>
        <w:ind w:left="851" w:right="618"/>
        <w:jc w:val="both"/>
        <w:rPr>
          <w:rFonts w:ascii="ITC Avant Garde" w:hAnsi="ITC Avant Garde"/>
          <w:i/>
          <w:sz w:val="18"/>
          <w:szCs w:val="18"/>
        </w:rPr>
      </w:pPr>
      <w:r w:rsidRPr="00E16359">
        <w:rPr>
          <w:rFonts w:ascii="ITC Avant Garde" w:hAnsi="ITC Avant Garde"/>
          <w:i/>
          <w:sz w:val="18"/>
          <w:szCs w:val="18"/>
        </w:rPr>
        <w:t>• Día y hora de notificación.</w:t>
      </w:r>
    </w:p>
    <w:p w:rsidR="00FF2260" w:rsidRPr="00E16359" w:rsidRDefault="00FF2260" w:rsidP="001D3335">
      <w:pPr>
        <w:spacing w:after="0" w:line="276" w:lineRule="auto"/>
        <w:ind w:left="851" w:right="618"/>
        <w:jc w:val="both"/>
        <w:rPr>
          <w:rFonts w:ascii="ITC Avant Garde" w:hAnsi="ITC Avant Garde"/>
          <w:i/>
          <w:sz w:val="18"/>
          <w:szCs w:val="18"/>
        </w:rPr>
      </w:pPr>
      <w:r w:rsidRPr="00E16359">
        <w:rPr>
          <w:rFonts w:ascii="ITC Avant Garde" w:hAnsi="ITC Avant Garde"/>
          <w:i/>
          <w:sz w:val="18"/>
          <w:szCs w:val="18"/>
        </w:rPr>
        <w:t>• Número(s) telefónicos de coordinación.</w:t>
      </w:r>
      <w:r w:rsidR="0025686F" w:rsidRPr="00E16359">
        <w:rPr>
          <w:rFonts w:ascii="ITC Avant Garde" w:hAnsi="ITC Avant Garde"/>
          <w:i/>
          <w:sz w:val="18"/>
          <w:szCs w:val="18"/>
        </w:rPr>
        <w:t>”</w:t>
      </w:r>
    </w:p>
    <w:p w:rsidR="00FF2260" w:rsidRPr="00E16359" w:rsidRDefault="00FF2260" w:rsidP="001D3335">
      <w:pPr>
        <w:spacing w:after="0" w:line="276" w:lineRule="auto"/>
        <w:ind w:right="618"/>
        <w:jc w:val="both"/>
        <w:rPr>
          <w:rFonts w:ascii="ITC Avant Garde" w:hAnsi="ITC Avant Garde"/>
        </w:rPr>
      </w:pPr>
    </w:p>
    <w:p w:rsidR="0025686F" w:rsidRPr="00E16359" w:rsidRDefault="00AB53F1" w:rsidP="001D3335">
      <w:pPr>
        <w:spacing w:after="0" w:line="276" w:lineRule="auto"/>
        <w:ind w:right="618"/>
        <w:jc w:val="both"/>
        <w:rPr>
          <w:rFonts w:ascii="ITC Avant Garde" w:hAnsi="ITC Avant Garde"/>
        </w:rPr>
      </w:pPr>
      <w:r w:rsidRPr="00E16359">
        <w:rPr>
          <w:rFonts w:ascii="ITC Avant Garde" w:hAnsi="ITC Avant Garde"/>
        </w:rPr>
        <w:t>Solicitaron</w:t>
      </w:r>
      <w:r w:rsidR="00F04F8D" w:rsidRPr="00E16359">
        <w:rPr>
          <w:rFonts w:ascii="ITC Avant Garde" w:hAnsi="ITC Avant Garde"/>
        </w:rPr>
        <w:t xml:space="preserve"> la eliminación de ésta cláusula</w:t>
      </w:r>
      <w:r w:rsidR="00FF2260" w:rsidRPr="00E16359">
        <w:rPr>
          <w:rFonts w:ascii="ITC Avant Garde" w:hAnsi="ITC Avant Garde"/>
        </w:rPr>
        <w:t xml:space="preserve"> que establece las condiciones resolutorias respecto a nuevas condiciones, términos y tarifas, en caso de que se resuelva alguno de los medios de impu</w:t>
      </w:r>
      <w:r w:rsidR="00F04F8D" w:rsidRPr="00E16359">
        <w:rPr>
          <w:rFonts w:ascii="ITC Avant Garde" w:hAnsi="ITC Avant Garde"/>
        </w:rPr>
        <w:t>gnación interpuestos por Telmex.</w:t>
      </w:r>
    </w:p>
    <w:p w:rsidR="00F04F8D" w:rsidRPr="00E16359" w:rsidRDefault="00F04F8D" w:rsidP="001D3335">
      <w:pPr>
        <w:spacing w:after="0" w:line="276" w:lineRule="auto"/>
        <w:ind w:right="618"/>
        <w:jc w:val="both"/>
        <w:rPr>
          <w:rFonts w:ascii="ITC Avant Garde" w:hAnsi="ITC Avant Garde"/>
        </w:rPr>
      </w:pPr>
    </w:p>
    <w:p w:rsidR="006E285E" w:rsidRPr="00E16359" w:rsidRDefault="006E285E" w:rsidP="001D3335">
      <w:pPr>
        <w:spacing w:line="276" w:lineRule="auto"/>
        <w:jc w:val="both"/>
        <w:rPr>
          <w:rFonts w:ascii="ITC Avant Garde" w:hAnsi="ITC Avant Garde"/>
          <w:b/>
        </w:rPr>
      </w:pPr>
      <w:r w:rsidRPr="00E16359">
        <w:rPr>
          <w:rFonts w:ascii="ITC Avant Garde" w:hAnsi="ITC Avant Garde"/>
          <w:b/>
        </w:rPr>
        <w:lastRenderedPageBreak/>
        <w:t xml:space="preserve">Consideraciones del Instituto </w:t>
      </w:r>
    </w:p>
    <w:p w:rsidR="001E4F35" w:rsidRPr="00E16359" w:rsidRDefault="002D3AD4" w:rsidP="008D3DFC">
      <w:pPr>
        <w:pStyle w:val="IFT1"/>
        <w:tabs>
          <w:tab w:val="left" w:pos="426"/>
        </w:tabs>
        <w:spacing w:after="0"/>
        <w:ind w:right="49"/>
      </w:pPr>
      <w:r w:rsidRPr="00E16359">
        <w:t>Respecto a la modificación propuesta, se señala que dichas condiciones se establecieron de conformidad con las prácticas de la industrias</w:t>
      </w:r>
      <w:r w:rsidR="0041222D">
        <w:t>.</w:t>
      </w:r>
      <w:r w:rsidRPr="00E16359">
        <w:t xml:space="preserve"> </w:t>
      </w:r>
      <w:r w:rsidR="0041222D">
        <w:t>E</w:t>
      </w:r>
      <w:r w:rsidRPr="00E16359">
        <w:t>n este sentido, las partes deberán informarse al menos con 2 (dos) días hábiles de anticipación sobre cualquier actividad previsible que pudiera afectar la prestación de los servicios, así como la información sobre la actividad que deberán proporcionarse y tratándose de labores d</w:t>
      </w:r>
      <w:r w:rsidR="008D3DFC" w:rsidRPr="00E16359">
        <w:t>e mantenimiento preventivo las p</w:t>
      </w:r>
      <w:r w:rsidRPr="00E16359">
        <w:t>artes deberán programarse y coordinarse con una anticipación de 8 (ocho) días naturales.</w:t>
      </w:r>
      <w:r w:rsidR="008D3DFC" w:rsidRPr="00E16359">
        <w:t xml:space="preserve"> Lo anterior con el fin de restablecer el servicio y no se afecte a usuarios finales, el numeral de mérito se mantiene en los mismos términos.</w:t>
      </w:r>
    </w:p>
    <w:p w:rsidR="0061385E" w:rsidRPr="00E16359" w:rsidRDefault="001E4F35" w:rsidP="001D3335">
      <w:pPr>
        <w:spacing w:after="0" w:line="276" w:lineRule="auto"/>
        <w:ind w:right="618"/>
        <w:jc w:val="both"/>
        <w:rPr>
          <w:rFonts w:ascii="ITC Avant Garde" w:hAnsi="ITC Avant Garde"/>
        </w:rPr>
      </w:pPr>
      <w:r w:rsidRPr="00E16359">
        <w:rPr>
          <w:rFonts w:ascii="ITC Avant Garde" w:hAnsi="ITC Avant Garde"/>
        </w:rPr>
        <w:t xml:space="preserve"> </w:t>
      </w:r>
    </w:p>
    <w:p w:rsidR="00E407EA" w:rsidRPr="00E16359" w:rsidRDefault="002F247D" w:rsidP="001D3335">
      <w:pPr>
        <w:autoSpaceDE w:val="0"/>
        <w:autoSpaceDN w:val="0"/>
        <w:adjustRightInd w:val="0"/>
        <w:jc w:val="both"/>
        <w:rPr>
          <w:rFonts w:ascii="ITC Avant Garde" w:hAnsi="ITC Avant Garde"/>
          <w:u w:val="single"/>
        </w:rPr>
      </w:pPr>
      <w:r w:rsidRPr="00E16359">
        <w:rPr>
          <w:rFonts w:ascii="ITC Avant Garde" w:hAnsi="ITC Avant Garde"/>
          <w:b/>
          <w:u w:val="single"/>
        </w:rPr>
        <w:t>Cláusula Décima</w:t>
      </w:r>
      <w:r w:rsidRPr="00E16359">
        <w:rPr>
          <w:rFonts w:ascii="ITC Avant Garde" w:hAnsi="ITC Avant Garde"/>
          <w:u w:val="single"/>
        </w:rPr>
        <w:t xml:space="preserve">. </w:t>
      </w:r>
      <w:r w:rsidRPr="00E16359">
        <w:rPr>
          <w:rFonts w:ascii="ITC Avant Garde" w:hAnsi="ITC Avant Garde"/>
          <w:b/>
          <w:u w:val="single"/>
        </w:rPr>
        <w:t>Seguros y Relaciones Laborales</w:t>
      </w:r>
      <w:r w:rsidRPr="00E16359">
        <w:rPr>
          <w:rFonts w:ascii="ITC Avant Garde" w:hAnsi="ITC Avant Garde"/>
          <w:u w:val="single"/>
        </w:rPr>
        <w:t xml:space="preserve">. </w:t>
      </w:r>
    </w:p>
    <w:p w:rsidR="00A379DF" w:rsidRPr="00E16359" w:rsidRDefault="00A379DF" w:rsidP="001D3335">
      <w:pPr>
        <w:spacing w:after="0" w:line="276" w:lineRule="auto"/>
        <w:ind w:left="-5" w:right="49"/>
        <w:jc w:val="both"/>
        <w:rPr>
          <w:rFonts w:ascii="ITC Avant Garde" w:hAnsi="ITC Avant Garde"/>
          <w:b/>
        </w:rPr>
      </w:pPr>
    </w:p>
    <w:p w:rsidR="00E407EA" w:rsidRPr="00E16359" w:rsidRDefault="00E407EA" w:rsidP="001D3335">
      <w:pPr>
        <w:spacing w:after="0" w:line="276" w:lineRule="auto"/>
        <w:ind w:left="-5" w:right="49"/>
        <w:jc w:val="both"/>
        <w:rPr>
          <w:rFonts w:ascii="ITC Avant Garde" w:hAnsi="ITC Avant Garde"/>
          <w:b/>
        </w:rPr>
      </w:pPr>
      <w:r w:rsidRPr="00E16359">
        <w:rPr>
          <w:rFonts w:ascii="ITC Avant Garde" w:hAnsi="ITC Avant Garde"/>
          <w:b/>
        </w:rPr>
        <w:t>GRUPO TELEVISA</w:t>
      </w:r>
    </w:p>
    <w:p w:rsidR="007672C4" w:rsidRPr="00E16359" w:rsidRDefault="007672C4" w:rsidP="001D3335">
      <w:pPr>
        <w:spacing w:after="0" w:line="276" w:lineRule="auto"/>
        <w:ind w:left="-5" w:right="49"/>
        <w:jc w:val="both"/>
        <w:rPr>
          <w:rFonts w:ascii="ITC Avant Garde" w:hAnsi="ITC Avant Garde" w:cs="Arial"/>
          <w:i/>
          <w:sz w:val="18"/>
          <w:szCs w:val="18"/>
        </w:rPr>
      </w:pPr>
    </w:p>
    <w:p w:rsidR="00E407EA" w:rsidRPr="00E16359" w:rsidRDefault="002806E6" w:rsidP="001D3335">
      <w:pPr>
        <w:spacing w:after="0" w:line="276" w:lineRule="auto"/>
        <w:ind w:right="49"/>
        <w:jc w:val="both"/>
        <w:rPr>
          <w:rFonts w:ascii="ITC Avant Garde" w:hAnsi="ITC Avant Garde"/>
        </w:rPr>
      </w:pPr>
      <w:r w:rsidRPr="00E16359">
        <w:rPr>
          <w:rFonts w:ascii="ITC Avant Garde" w:hAnsi="ITC Avant Garde"/>
        </w:rPr>
        <w:t>Propuso</w:t>
      </w:r>
      <w:r w:rsidR="00E407EA" w:rsidRPr="00E16359">
        <w:rPr>
          <w:rFonts w:ascii="ITC Avant Garde" w:hAnsi="ITC Avant Garde"/>
        </w:rPr>
        <w:t xml:space="preserve"> que se elimine la obligatoriedad de establecer los seguros de responsabilidad civil por tratarse de servicios recíprocos y no ser </w:t>
      </w:r>
      <w:r w:rsidR="003D76C6" w:rsidRPr="00E16359">
        <w:rPr>
          <w:rFonts w:ascii="ITC Avant Garde" w:hAnsi="ITC Avant Garde"/>
        </w:rPr>
        <w:t xml:space="preserve">una </w:t>
      </w:r>
      <w:r w:rsidR="00E407EA" w:rsidRPr="00E16359">
        <w:rPr>
          <w:rFonts w:ascii="ITC Avant Garde" w:hAnsi="ITC Avant Garde"/>
        </w:rPr>
        <w:t xml:space="preserve">práctica habitual en el mercado mexicano. </w:t>
      </w:r>
    </w:p>
    <w:p w:rsidR="006E285E" w:rsidRPr="00E16359" w:rsidRDefault="006E285E" w:rsidP="001D3335">
      <w:pPr>
        <w:spacing w:line="276" w:lineRule="auto"/>
        <w:jc w:val="both"/>
        <w:rPr>
          <w:rFonts w:ascii="ITC Avant Garde" w:hAnsi="ITC Avant Garde"/>
          <w:b/>
        </w:rPr>
      </w:pPr>
    </w:p>
    <w:p w:rsidR="006E285E" w:rsidRPr="00E16359" w:rsidRDefault="006E285E"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E008A6" w:rsidRPr="00E16359" w:rsidRDefault="007672C4" w:rsidP="001D3335">
      <w:pPr>
        <w:spacing w:after="0" w:line="276" w:lineRule="auto"/>
        <w:ind w:left="-5" w:right="49"/>
        <w:jc w:val="both"/>
        <w:rPr>
          <w:rFonts w:ascii="ITC Avant Garde" w:hAnsi="ITC Avant Garde"/>
        </w:rPr>
      </w:pPr>
      <w:r w:rsidRPr="00E16359">
        <w:rPr>
          <w:rFonts w:ascii="ITC Avant Garde" w:hAnsi="ITC Avant Garde"/>
        </w:rPr>
        <w:t>Respecto a la modificación solicitada, se señala</w:t>
      </w:r>
      <w:r w:rsidRPr="00E16359">
        <w:rPr>
          <w:rFonts w:ascii="ITC Avant Garde" w:hAnsi="ITC Avant Garde"/>
          <w:lang w:val="es-SV"/>
        </w:rPr>
        <w:t xml:space="preserve"> que es común que en los convenios, se requiera un seguro de responsabilidad civil </w:t>
      </w:r>
      <w:r w:rsidR="009A316B" w:rsidRPr="00E16359">
        <w:rPr>
          <w:rFonts w:ascii="ITC Avant Garde" w:hAnsi="ITC Avant Garde"/>
          <w:lang w:val="es-SV"/>
        </w:rPr>
        <w:t>resultando inclusive</w:t>
      </w:r>
      <w:r w:rsidRPr="00E16359">
        <w:rPr>
          <w:rFonts w:ascii="ITC Avant Garde" w:hAnsi="ITC Avant Garde"/>
          <w:lang w:val="es-SV"/>
        </w:rPr>
        <w:t xml:space="preserve"> idóneo para anticipar cualquier responsabilidad que se pudiera ocasionar con la ejecución del contrato,</w:t>
      </w:r>
      <w:r w:rsidR="00E008A6" w:rsidRPr="00E16359">
        <w:rPr>
          <w:rFonts w:ascii="ITC Avant Garde" w:hAnsi="ITC Avant Garde"/>
          <w:lang w:val="es-SV"/>
        </w:rPr>
        <w:t xml:space="preserve"> se considera que la cláusula de mérito,</w:t>
      </w:r>
      <w:r w:rsidR="00E008A6" w:rsidRPr="00E16359">
        <w:rPr>
          <w:rFonts w:ascii="ITC Avant Garde" w:hAnsi="ITC Avant Garde"/>
        </w:rPr>
        <w:t xml:space="preserve"> permite establecer claramente los términos que deberán cumplir con respecto a la contratación de seguros ante posibles riesgos derivados de las actividades que personal de una de las partes deba realizar en las instalaciones de la otra parte, las cuales puedan ocasionarle un daño a sus instalaciones, cabe mencionar que se considera una buena práctica que las partes se protejan de dichas eventualidades a efecto de no correr el riesgo de que una de ellas no pueda reparar el daño con los recursos que tenga disponibles.</w:t>
      </w:r>
      <w:r w:rsidR="006F6554" w:rsidRPr="00E16359">
        <w:rPr>
          <w:rFonts w:ascii="ITC Avant Garde" w:hAnsi="ITC Avant Garde"/>
        </w:rPr>
        <w:t xml:space="preserve"> Por tal motivo no se considera procedente la solicitud planteada por dicho concesionario.</w:t>
      </w:r>
    </w:p>
    <w:p w:rsidR="00E407EA" w:rsidRPr="00E16359" w:rsidRDefault="00E407EA" w:rsidP="007F1F93">
      <w:pPr>
        <w:spacing w:after="0" w:line="276" w:lineRule="auto"/>
        <w:ind w:left="-5" w:right="49"/>
        <w:jc w:val="both"/>
        <w:rPr>
          <w:rFonts w:ascii="ITC Avant Garde" w:hAnsi="ITC Avant Garde"/>
          <w:u w:val="single"/>
        </w:rPr>
      </w:pPr>
    </w:p>
    <w:p w:rsidR="00E407EA" w:rsidRPr="00E16359" w:rsidRDefault="00BF4761" w:rsidP="001D3335">
      <w:pPr>
        <w:autoSpaceDE w:val="0"/>
        <w:autoSpaceDN w:val="0"/>
        <w:adjustRightInd w:val="0"/>
        <w:jc w:val="both"/>
        <w:rPr>
          <w:rFonts w:ascii="ITC Avant Garde" w:hAnsi="ITC Avant Garde"/>
          <w:b/>
          <w:u w:val="single"/>
        </w:rPr>
      </w:pPr>
      <w:r w:rsidRPr="00E16359">
        <w:rPr>
          <w:rFonts w:ascii="ITC Avant Garde" w:hAnsi="ITC Avant Garde"/>
          <w:b/>
          <w:u w:val="single"/>
        </w:rPr>
        <w:t>Cláusula De</w:t>
      </w:r>
      <w:r w:rsidR="00650CA6" w:rsidRPr="00E16359">
        <w:rPr>
          <w:rFonts w:ascii="ITC Avant Garde" w:hAnsi="ITC Avant Garde"/>
          <w:b/>
          <w:u w:val="single"/>
        </w:rPr>
        <w:t>cimoprimera</w:t>
      </w:r>
      <w:r w:rsidR="00650CA6" w:rsidRPr="00E16359">
        <w:rPr>
          <w:rFonts w:ascii="ITC Avant Garde" w:hAnsi="ITC Avant Garde"/>
          <w:u w:val="single"/>
        </w:rPr>
        <w:t xml:space="preserve">. </w:t>
      </w:r>
      <w:r w:rsidR="00650CA6" w:rsidRPr="00E16359">
        <w:rPr>
          <w:rFonts w:ascii="ITC Avant Garde" w:hAnsi="ITC Avant Garde"/>
          <w:b/>
          <w:u w:val="single"/>
        </w:rPr>
        <w:t>Conductas Fraudulentas.</w:t>
      </w:r>
    </w:p>
    <w:p w:rsidR="00A379DF" w:rsidRPr="00E16359" w:rsidRDefault="00A379DF" w:rsidP="001D3335">
      <w:pPr>
        <w:spacing w:after="0" w:line="276" w:lineRule="auto"/>
        <w:ind w:right="618"/>
        <w:jc w:val="both"/>
        <w:rPr>
          <w:rFonts w:ascii="ITC Avant Garde" w:hAnsi="ITC Avant Garde"/>
          <w:b/>
        </w:rPr>
      </w:pPr>
    </w:p>
    <w:p w:rsidR="00E407EA" w:rsidRPr="00E16359" w:rsidRDefault="00650CA6" w:rsidP="001D3335">
      <w:pPr>
        <w:spacing w:after="0" w:line="276" w:lineRule="auto"/>
        <w:ind w:right="618"/>
        <w:jc w:val="both"/>
        <w:rPr>
          <w:rFonts w:ascii="ITC Avant Garde" w:hAnsi="ITC Avant Garde"/>
          <w:b/>
        </w:rPr>
      </w:pPr>
      <w:r w:rsidRPr="00E16359">
        <w:rPr>
          <w:rFonts w:ascii="ITC Avant Garde" w:hAnsi="ITC Avant Garde"/>
          <w:b/>
        </w:rPr>
        <w:t>GRUPO TELEVISA</w:t>
      </w:r>
    </w:p>
    <w:p w:rsidR="00650CA6" w:rsidRPr="00E16359" w:rsidRDefault="00650CA6" w:rsidP="001D3335">
      <w:pPr>
        <w:spacing w:after="0" w:line="276" w:lineRule="auto"/>
        <w:ind w:right="618"/>
        <w:jc w:val="both"/>
        <w:rPr>
          <w:rFonts w:ascii="ITC Avant Garde" w:hAnsi="ITC Avant Garde"/>
          <w:b/>
        </w:rPr>
      </w:pPr>
    </w:p>
    <w:p w:rsidR="00E407EA" w:rsidRPr="00E16359" w:rsidRDefault="002806E6" w:rsidP="001D3335">
      <w:pPr>
        <w:spacing w:after="0" w:line="276" w:lineRule="auto"/>
        <w:ind w:right="618"/>
        <w:jc w:val="both"/>
        <w:rPr>
          <w:rFonts w:ascii="ITC Avant Garde" w:hAnsi="ITC Avant Garde"/>
        </w:rPr>
      </w:pPr>
      <w:r w:rsidRPr="00E16359">
        <w:rPr>
          <w:rFonts w:ascii="ITC Avant Garde" w:hAnsi="ITC Avant Garde"/>
        </w:rPr>
        <w:t>Sugirió</w:t>
      </w:r>
      <w:r w:rsidR="00E407EA" w:rsidRPr="00E16359">
        <w:rPr>
          <w:rFonts w:ascii="ITC Avant Garde" w:hAnsi="ITC Avant Garde"/>
        </w:rPr>
        <w:t xml:space="preserve"> la siguiente actualización:</w:t>
      </w:r>
    </w:p>
    <w:p w:rsidR="00E407EA" w:rsidRPr="00E16359" w:rsidRDefault="00E407EA" w:rsidP="001D3335">
      <w:pPr>
        <w:spacing w:after="0" w:line="276" w:lineRule="auto"/>
        <w:ind w:right="618"/>
        <w:jc w:val="both"/>
        <w:rPr>
          <w:rFonts w:ascii="ITC Avant Garde" w:hAnsi="ITC Avant Garde"/>
        </w:rPr>
      </w:pPr>
    </w:p>
    <w:p w:rsidR="00E407EA" w:rsidRPr="00E16359" w:rsidRDefault="00E407EA" w:rsidP="001D3335">
      <w:pPr>
        <w:tabs>
          <w:tab w:val="left" w:pos="851"/>
        </w:tabs>
        <w:spacing w:after="0" w:line="276" w:lineRule="auto"/>
        <w:ind w:left="851" w:right="618"/>
        <w:jc w:val="both"/>
        <w:rPr>
          <w:rFonts w:ascii="ITC Avant Garde" w:hAnsi="ITC Avant Garde"/>
          <w:i/>
          <w:sz w:val="18"/>
          <w:szCs w:val="18"/>
        </w:rPr>
      </w:pPr>
      <w:r w:rsidRPr="00E16359">
        <w:rPr>
          <w:rFonts w:ascii="ITC Avant Garde" w:hAnsi="ITC Avant Garde"/>
          <w:i/>
          <w:sz w:val="18"/>
          <w:szCs w:val="18"/>
        </w:rPr>
        <w:lastRenderedPageBreak/>
        <w:t xml:space="preserve">"(...) En caso de que alguna de las Partes detecte que un tercero se encuentra haciendo uso fraudulento de sus Redes Públicas de Telecomunicaciones, la Parte que </w:t>
      </w:r>
      <w:r w:rsidR="001E7C41" w:rsidRPr="00E16359">
        <w:rPr>
          <w:rFonts w:ascii="ITC Avant Garde" w:hAnsi="ITC Avant Garde"/>
          <w:i/>
          <w:sz w:val="18"/>
          <w:szCs w:val="18"/>
        </w:rPr>
        <w:t xml:space="preserve">Lo </w:t>
      </w:r>
      <w:r w:rsidRPr="00E16359">
        <w:rPr>
          <w:rFonts w:ascii="ITC Avant Garde" w:hAnsi="ITC Avant Garde"/>
          <w:i/>
          <w:sz w:val="18"/>
          <w:szCs w:val="18"/>
        </w:rPr>
        <w:t xml:space="preserve">haya detectado se obliga a dar un aviso a la otra en un plazo no mayor a 5 (cinco) días naturales a partir de la fecha en la que se tenga la sospecha de dicha conducta, </w:t>
      </w:r>
      <w:r w:rsidRPr="00E16359">
        <w:rPr>
          <w:rFonts w:ascii="ITC Avant Garde" w:hAnsi="ITC Avant Garde"/>
          <w:b/>
          <w:i/>
          <w:sz w:val="18"/>
          <w:szCs w:val="18"/>
        </w:rPr>
        <w:t>ad</w:t>
      </w:r>
      <w:r w:rsidRPr="00E16359">
        <w:rPr>
          <w:rFonts w:ascii="ITC Avant Garde" w:hAnsi="ITC Avant Garde"/>
          <w:b/>
          <w:bCs/>
          <w:i/>
          <w:sz w:val="18"/>
          <w:szCs w:val="18"/>
        </w:rPr>
        <w:t>juntando de manera oficial los elementos o criterios para que la parte receptora pueda enfocar sus análisis de la detección de la parte que dio aviso</w:t>
      </w:r>
      <w:r w:rsidRPr="00E16359">
        <w:rPr>
          <w:rFonts w:ascii="ITC Avant Garde" w:hAnsi="ITC Avant Garde"/>
          <w:i/>
          <w:sz w:val="18"/>
          <w:szCs w:val="18"/>
        </w:rPr>
        <w:t>.  En este caso</w:t>
      </w:r>
      <w:r w:rsidR="001D7C2E" w:rsidRPr="00E16359">
        <w:rPr>
          <w:rFonts w:ascii="ITC Avant Garde" w:hAnsi="ITC Avant Garde"/>
          <w:i/>
          <w:sz w:val="18"/>
          <w:szCs w:val="18"/>
        </w:rPr>
        <w:t xml:space="preserve"> (</w:t>
      </w:r>
      <w:r w:rsidRPr="00E16359">
        <w:rPr>
          <w:rFonts w:ascii="ITC Avant Garde" w:hAnsi="ITC Avant Garde"/>
          <w:i/>
          <w:sz w:val="18"/>
          <w:szCs w:val="18"/>
        </w:rPr>
        <w:t>...</w:t>
      </w:r>
      <w:r w:rsidR="001D7C2E" w:rsidRPr="00E16359">
        <w:rPr>
          <w:rFonts w:ascii="ITC Avant Garde" w:hAnsi="ITC Avant Garde"/>
          <w:i/>
          <w:sz w:val="18"/>
          <w:szCs w:val="18"/>
        </w:rPr>
        <w:t>)</w:t>
      </w:r>
      <w:r w:rsidRPr="00E16359">
        <w:rPr>
          <w:rFonts w:ascii="ITC Avant Garde" w:hAnsi="ITC Avant Garde"/>
          <w:i/>
          <w:sz w:val="18"/>
          <w:szCs w:val="18"/>
        </w:rPr>
        <w:t>"</w:t>
      </w:r>
    </w:p>
    <w:p w:rsidR="0076572C" w:rsidRPr="00E16359" w:rsidRDefault="0076572C" w:rsidP="001D3335">
      <w:pPr>
        <w:tabs>
          <w:tab w:val="left" w:pos="851"/>
        </w:tabs>
        <w:spacing w:after="0" w:line="276" w:lineRule="auto"/>
        <w:ind w:left="851" w:right="618"/>
        <w:jc w:val="both"/>
        <w:rPr>
          <w:rFonts w:ascii="ITC Avant Garde" w:hAnsi="ITC Avant Garde"/>
          <w:i/>
          <w:sz w:val="18"/>
          <w:szCs w:val="18"/>
        </w:rPr>
      </w:pPr>
    </w:p>
    <w:p w:rsidR="00E407EA" w:rsidRPr="00E16359" w:rsidRDefault="00E407EA" w:rsidP="00650CA6">
      <w:pPr>
        <w:tabs>
          <w:tab w:val="left" w:pos="851"/>
        </w:tabs>
        <w:spacing w:after="0" w:line="276" w:lineRule="auto"/>
        <w:ind w:left="851" w:right="618"/>
        <w:jc w:val="right"/>
        <w:rPr>
          <w:rFonts w:ascii="ITC Avant Garde" w:hAnsi="ITC Avant Garde"/>
          <w:i/>
          <w:sz w:val="18"/>
          <w:szCs w:val="18"/>
        </w:rPr>
      </w:pPr>
      <w:r w:rsidRPr="00E16359">
        <w:rPr>
          <w:rFonts w:ascii="ITC Avant Garde" w:hAnsi="ITC Avant Garde"/>
          <w:i/>
          <w:sz w:val="18"/>
          <w:szCs w:val="18"/>
        </w:rPr>
        <w:t xml:space="preserve"> (énfasis añadido)</w:t>
      </w:r>
    </w:p>
    <w:p w:rsidR="00650CA6" w:rsidRPr="00E16359" w:rsidRDefault="00650CA6" w:rsidP="00650CA6">
      <w:pPr>
        <w:tabs>
          <w:tab w:val="left" w:pos="851"/>
        </w:tabs>
        <w:spacing w:after="0" w:line="276" w:lineRule="auto"/>
        <w:ind w:left="851" w:right="618"/>
        <w:jc w:val="right"/>
        <w:rPr>
          <w:rFonts w:ascii="ITC Avant Garde" w:hAnsi="ITC Avant Garde"/>
          <w:i/>
          <w:sz w:val="18"/>
          <w:szCs w:val="18"/>
        </w:rPr>
      </w:pPr>
    </w:p>
    <w:p w:rsidR="006E285E" w:rsidRPr="00E16359" w:rsidRDefault="006E285E"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3E2ACA" w:rsidRPr="00E16359" w:rsidRDefault="003E2ACA" w:rsidP="003E2ACA">
      <w:pPr>
        <w:spacing w:line="276" w:lineRule="auto"/>
        <w:jc w:val="both"/>
        <w:rPr>
          <w:rFonts w:ascii="ITC Avant Garde" w:eastAsia="Avant Garde" w:hAnsi="ITC Avant Garde" w:cs="Avant Garde"/>
          <w:color w:val="000000"/>
          <w:lang w:eastAsia="es-MX"/>
        </w:rPr>
      </w:pPr>
      <w:r w:rsidRPr="00E16359">
        <w:rPr>
          <w:rFonts w:ascii="ITC Avant Garde" w:eastAsia="Avant Garde" w:hAnsi="ITC Avant Garde" w:cs="Avant Garde"/>
          <w:color w:val="000000"/>
          <w:lang w:eastAsia="es-MX"/>
        </w:rPr>
        <w:t>Al respecto, la Propuesta de CMI establece un plazo de 60 (sesenta) días naturales para allegarse de la información necesaria para identificar y acreditar las conductas fraudulentas. Es así que la parte receptora del aviso cuenta con un plazo para analizar y determinar la exactitud del reporte recibido por lo que no se considera necesario que la parte que notifica deba incluir de manera oficial elementos o criterios para su determinación.</w:t>
      </w:r>
    </w:p>
    <w:p w:rsidR="00FE44A7" w:rsidRPr="00E16359" w:rsidRDefault="00FE44A7" w:rsidP="003E2ACA">
      <w:pPr>
        <w:spacing w:after="0" w:line="276" w:lineRule="auto"/>
        <w:ind w:right="49"/>
        <w:jc w:val="both"/>
        <w:rPr>
          <w:rFonts w:ascii="ITC Avant Garde" w:hAnsi="ITC Avant Garde"/>
          <w:sz w:val="18"/>
          <w:szCs w:val="18"/>
          <w:u w:val="single"/>
        </w:rPr>
      </w:pPr>
    </w:p>
    <w:p w:rsidR="00953E19" w:rsidRPr="00E16359" w:rsidRDefault="001E7C41" w:rsidP="001D3335">
      <w:pPr>
        <w:autoSpaceDE w:val="0"/>
        <w:autoSpaceDN w:val="0"/>
        <w:adjustRightInd w:val="0"/>
        <w:jc w:val="both"/>
        <w:rPr>
          <w:rFonts w:ascii="ITC Avant Garde" w:hAnsi="ITC Avant Garde"/>
          <w:u w:val="single"/>
        </w:rPr>
      </w:pPr>
      <w:r w:rsidRPr="00E16359">
        <w:rPr>
          <w:rFonts w:ascii="ITC Avant Garde" w:hAnsi="ITC Avant Garde"/>
          <w:b/>
          <w:u w:val="single"/>
        </w:rPr>
        <w:t>Cláusula Decimocuarta</w:t>
      </w:r>
      <w:r w:rsidRPr="00E16359">
        <w:rPr>
          <w:rFonts w:ascii="ITC Avant Garde" w:hAnsi="ITC Avant Garde"/>
          <w:u w:val="single"/>
        </w:rPr>
        <w:t xml:space="preserve">. </w:t>
      </w:r>
      <w:r w:rsidRPr="00E16359">
        <w:rPr>
          <w:rFonts w:ascii="ITC Avant Garde" w:hAnsi="ITC Avant Garde"/>
          <w:b/>
          <w:u w:val="single"/>
        </w:rPr>
        <w:t>Rescisión por Incumplimiento a Obligaciones de Pago</w:t>
      </w:r>
      <w:r w:rsidRPr="00E16359">
        <w:rPr>
          <w:rFonts w:ascii="ITC Avant Garde" w:hAnsi="ITC Avant Garde"/>
          <w:u w:val="single"/>
        </w:rPr>
        <w:t>.</w:t>
      </w:r>
    </w:p>
    <w:p w:rsidR="00A379DF" w:rsidRPr="00E16359" w:rsidRDefault="00A379DF" w:rsidP="001D3335">
      <w:pPr>
        <w:autoSpaceDE w:val="0"/>
        <w:autoSpaceDN w:val="0"/>
        <w:adjustRightInd w:val="0"/>
        <w:spacing w:line="276" w:lineRule="auto"/>
        <w:jc w:val="both"/>
        <w:rPr>
          <w:rFonts w:ascii="ITC Avant Garde" w:hAnsi="ITC Avant Garde"/>
          <w:b/>
        </w:rPr>
      </w:pPr>
    </w:p>
    <w:p w:rsidR="007D1768" w:rsidRPr="00E16359" w:rsidRDefault="007D1768" w:rsidP="001D3335">
      <w:pPr>
        <w:autoSpaceDE w:val="0"/>
        <w:autoSpaceDN w:val="0"/>
        <w:adjustRightInd w:val="0"/>
        <w:spacing w:line="276" w:lineRule="auto"/>
        <w:jc w:val="both"/>
        <w:rPr>
          <w:rFonts w:ascii="ITC Avant Garde" w:hAnsi="ITC Avant Garde"/>
          <w:b/>
        </w:rPr>
      </w:pPr>
      <w:r w:rsidRPr="00E16359">
        <w:rPr>
          <w:rFonts w:ascii="ITC Avant Garde" w:hAnsi="ITC Avant Garde"/>
          <w:b/>
        </w:rPr>
        <w:t>GRUPO TELEVISA</w:t>
      </w:r>
    </w:p>
    <w:p w:rsidR="00BE4011" w:rsidRPr="00E16359" w:rsidRDefault="002806E6" w:rsidP="001D3335">
      <w:pPr>
        <w:autoSpaceDE w:val="0"/>
        <w:autoSpaceDN w:val="0"/>
        <w:adjustRightInd w:val="0"/>
        <w:spacing w:line="276" w:lineRule="auto"/>
        <w:jc w:val="both"/>
        <w:rPr>
          <w:rFonts w:ascii="ITC Avant Garde" w:hAnsi="ITC Avant Garde"/>
        </w:rPr>
      </w:pPr>
      <w:r w:rsidRPr="00E16359">
        <w:rPr>
          <w:rFonts w:ascii="ITC Avant Garde" w:hAnsi="ITC Avant Garde"/>
        </w:rPr>
        <w:t>Solicitó</w:t>
      </w:r>
      <w:r w:rsidR="00F84558" w:rsidRPr="00E16359">
        <w:rPr>
          <w:rFonts w:ascii="ITC Avant Garde" w:hAnsi="ITC Avant Garde"/>
        </w:rPr>
        <w:t xml:space="preserve"> que se agregue </w:t>
      </w:r>
      <w:r w:rsidR="00BE4011" w:rsidRPr="00E16359">
        <w:rPr>
          <w:rFonts w:ascii="ITC Avant Garde" w:hAnsi="ITC Avant Garde"/>
        </w:rPr>
        <w:t>que la rescisión por falta de pago, sólo es posible previa autorización del Instituto y sólo cuando se haya determinado un plan de actuación para los usuarios finales.</w:t>
      </w:r>
    </w:p>
    <w:p w:rsidR="006E285E" w:rsidRPr="00E16359" w:rsidRDefault="006E285E"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F56F98" w:rsidRPr="00E16359" w:rsidRDefault="00F56F98" w:rsidP="00F56F98">
      <w:pPr>
        <w:spacing w:after="0" w:line="276" w:lineRule="auto"/>
        <w:ind w:right="49"/>
        <w:jc w:val="both"/>
        <w:rPr>
          <w:rFonts w:ascii="ITC Avant Garde" w:hAnsi="ITC Avant Garde"/>
        </w:rPr>
      </w:pPr>
      <w:r w:rsidRPr="00E16359">
        <w:rPr>
          <w:rFonts w:ascii="ITC Avant Garde" w:hAnsi="ITC Avant Garde"/>
        </w:rPr>
        <w:t>Al respecto</w:t>
      </w:r>
      <w:r w:rsidR="007E7583" w:rsidRPr="00E16359">
        <w:rPr>
          <w:rFonts w:ascii="ITC Avant Garde" w:hAnsi="ITC Avant Garde"/>
        </w:rPr>
        <w:t>, no se considera procedente la modificación solicitada, toda vez</w:t>
      </w:r>
      <w:r w:rsidRPr="00E16359">
        <w:rPr>
          <w:rFonts w:ascii="ITC Avant Garde" w:hAnsi="ITC Avant Garde"/>
        </w:rPr>
        <w:t xml:space="preserve"> que en la Cláusula Décimo Cuarta establece el procedimiento para la rescisión del convenio, en la cual se reconoce la facultad del Instituto para adoptar las medidas pertinentes con el fin de proteger los intereses del público en general, de los Usuarios y de los Suscriptores de las Partes, la cual enuncia:</w:t>
      </w:r>
    </w:p>
    <w:p w:rsidR="00F56F98" w:rsidRPr="00E16359" w:rsidRDefault="00F56F98" w:rsidP="00F56F98">
      <w:pPr>
        <w:spacing w:after="0" w:line="276" w:lineRule="auto"/>
        <w:ind w:right="49"/>
        <w:jc w:val="both"/>
        <w:rPr>
          <w:rFonts w:ascii="ITC Avant Garde" w:hAnsi="ITC Avant Garde"/>
        </w:rPr>
      </w:pPr>
    </w:p>
    <w:p w:rsidR="00F56F98" w:rsidRPr="00E16359" w:rsidRDefault="00F56F98" w:rsidP="00F56F98">
      <w:pPr>
        <w:spacing w:after="0" w:line="276" w:lineRule="auto"/>
        <w:ind w:left="567" w:right="616"/>
        <w:jc w:val="both"/>
        <w:rPr>
          <w:rFonts w:ascii="ITC Avant Garde" w:hAnsi="ITC Avant Garde"/>
          <w:i/>
          <w:sz w:val="18"/>
          <w:szCs w:val="18"/>
        </w:rPr>
      </w:pPr>
      <w:r w:rsidRPr="00E16359">
        <w:rPr>
          <w:rFonts w:ascii="ITC Avant Garde" w:hAnsi="ITC Avant Garde"/>
          <w:i/>
          <w:sz w:val="18"/>
          <w:szCs w:val="18"/>
        </w:rPr>
        <w:t xml:space="preserve">“A partir del momento en que surta efectos la rescisión de este Convenio, en los términos previstos en el mismo, las Partes acuerdan y reconocen que </w:t>
      </w:r>
      <w:r w:rsidRPr="00E16359">
        <w:rPr>
          <w:rFonts w:ascii="ITC Avant Garde" w:hAnsi="ITC Avant Garde"/>
          <w:i/>
          <w:sz w:val="18"/>
          <w:szCs w:val="18"/>
          <w:u w:val="single"/>
        </w:rPr>
        <w:t>el Instituto podrá adoptar las medidas pertinentes para la protección de los intereses del público en general, de los Usuarios y de los Suscriptores de las Partes</w:t>
      </w:r>
      <w:r w:rsidRPr="00E16359">
        <w:rPr>
          <w:rFonts w:ascii="ITC Avant Garde" w:hAnsi="ITC Avant Garde"/>
          <w:i/>
          <w:sz w:val="18"/>
          <w:szCs w:val="18"/>
        </w:rPr>
        <w:t>.”</w:t>
      </w:r>
    </w:p>
    <w:p w:rsidR="00F56F98" w:rsidRPr="00E16359" w:rsidRDefault="00F56F98" w:rsidP="00F56F98">
      <w:pPr>
        <w:spacing w:after="0" w:line="276" w:lineRule="auto"/>
        <w:ind w:left="567" w:right="616"/>
        <w:jc w:val="right"/>
        <w:rPr>
          <w:rFonts w:ascii="ITC Avant Garde" w:hAnsi="ITC Avant Garde"/>
          <w:i/>
          <w:sz w:val="18"/>
          <w:szCs w:val="18"/>
        </w:rPr>
      </w:pPr>
      <w:r w:rsidRPr="00E16359">
        <w:rPr>
          <w:rFonts w:ascii="ITC Avant Garde" w:hAnsi="ITC Avant Garde"/>
          <w:i/>
          <w:sz w:val="18"/>
          <w:szCs w:val="18"/>
        </w:rPr>
        <w:t>(Énfasis añadido)</w:t>
      </w:r>
    </w:p>
    <w:p w:rsidR="00F56F98" w:rsidRPr="00E16359" w:rsidRDefault="00F56F98" w:rsidP="00F56F98">
      <w:pPr>
        <w:spacing w:after="0" w:line="276" w:lineRule="auto"/>
        <w:rPr>
          <w:rFonts w:ascii="ITC Avant Garde" w:hAnsi="ITC Avant Garde"/>
        </w:rPr>
      </w:pPr>
    </w:p>
    <w:p w:rsidR="009C2D94" w:rsidRPr="00E16359" w:rsidRDefault="00896C0E" w:rsidP="002F511F">
      <w:pPr>
        <w:pStyle w:val="IFT1"/>
        <w:tabs>
          <w:tab w:val="left" w:pos="284"/>
          <w:tab w:val="left" w:pos="567"/>
        </w:tabs>
        <w:spacing w:after="0"/>
        <w:rPr>
          <w:rFonts w:cs="Arial"/>
          <w:lang w:eastAsia="es-MX"/>
        </w:rPr>
      </w:pPr>
      <w:r w:rsidRPr="00E16359">
        <w:rPr>
          <w:rFonts w:cs="Arial"/>
          <w:lang w:eastAsia="es-MX"/>
        </w:rPr>
        <w:t>Derivado de lo anterior, si bien es necesario establecer con claridad las causas de rescisión de un contrato, dicho numeral es congruente con el precepto</w:t>
      </w:r>
      <w:r w:rsidR="009C2D94" w:rsidRPr="00E16359">
        <w:rPr>
          <w:rFonts w:cs="Arial"/>
          <w:lang w:eastAsia="es-MX"/>
        </w:rPr>
        <w:t xml:space="preserve"> citado. </w:t>
      </w:r>
      <w:r w:rsidR="002F511F" w:rsidRPr="00E16359">
        <w:rPr>
          <w:rFonts w:cs="Arial"/>
          <w:lang w:eastAsia="es-MX"/>
        </w:rPr>
        <w:t xml:space="preserve">De igual forma, es una práctica común en la industria de las telecomunicaciones en </w:t>
      </w:r>
      <w:r w:rsidR="002F511F" w:rsidRPr="00E16359">
        <w:rPr>
          <w:rFonts w:cs="Arial"/>
          <w:lang w:eastAsia="es-MX"/>
        </w:rPr>
        <w:lastRenderedPageBreak/>
        <w:t>México el establecimiento de dichas cláusulas como se puede observar en los convenios registrados ante el Instituto.</w:t>
      </w:r>
    </w:p>
    <w:p w:rsidR="009C2D94" w:rsidRPr="00E16359" w:rsidRDefault="009C2D94" w:rsidP="002F511F">
      <w:pPr>
        <w:pStyle w:val="IFT1"/>
        <w:tabs>
          <w:tab w:val="left" w:pos="284"/>
          <w:tab w:val="left" w:pos="567"/>
        </w:tabs>
        <w:spacing w:after="0"/>
        <w:rPr>
          <w:rFonts w:cs="Arial"/>
          <w:lang w:eastAsia="es-MX"/>
        </w:rPr>
      </w:pPr>
    </w:p>
    <w:p w:rsidR="002F511F" w:rsidRPr="00E16359" w:rsidRDefault="002F511F" w:rsidP="002F511F">
      <w:pPr>
        <w:pStyle w:val="IFT1"/>
        <w:tabs>
          <w:tab w:val="left" w:pos="284"/>
          <w:tab w:val="left" w:pos="567"/>
        </w:tabs>
        <w:spacing w:after="0"/>
        <w:rPr>
          <w:rFonts w:cs="Arial"/>
          <w:lang w:eastAsia="es-MX"/>
        </w:rPr>
      </w:pPr>
      <w:r w:rsidRPr="00E16359">
        <w:rPr>
          <w:rFonts w:cs="Arial"/>
          <w:lang w:eastAsia="es-MX"/>
        </w:rPr>
        <w:t>Ahora bien</w:t>
      </w:r>
      <w:r w:rsidR="009C2D94" w:rsidRPr="00E16359">
        <w:rPr>
          <w:rFonts w:cs="Arial"/>
          <w:lang w:eastAsia="es-MX"/>
        </w:rPr>
        <w:t xml:space="preserve">, </w:t>
      </w:r>
      <w:r w:rsidRPr="00E16359">
        <w:rPr>
          <w:rFonts w:cs="Arial"/>
          <w:lang w:eastAsia="es-MX"/>
        </w:rPr>
        <w:t>los servicios de telecomunicaciones son de interés público</w:t>
      </w:r>
      <w:r w:rsidR="00FA6A49" w:rsidRPr="00E16359">
        <w:rPr>
          <w:rFonts w:cs="Arial"/>
          <w:lang w:eastAsia="es-MX"/>
        </w:rPr>
        <w:t>, sin emb</w:t>
      </w:r>
      <w:r w:rsidR="009C2D94" w:rsidRPr="00E16359">
        <w:rPr>
          <w:rFonts w:cs="Arial"/>
          <w:lang w:eastAsia="es-MX"/>
        </w:rPr>
        <w:t>a</w:t>
      </w:r>
      <w:r w:rsidR="00FA6A49" w:rsidRPr="00E16359">
        <w:rPr>
          <w:rFonts w:cs="Arial"/>
          <w:lang w:eastAsia="es-MX"/>
        </w:rPr>
        <w:t>r</w:t>
      </w:r>
      <w:r w:rsidR="009C2D94" w:rsidRPr="00E16359">
        <w:rPr>
          <w:rFonts w:cs="Arial"/>
          <w:lang w:eastAsia="es-MX"/>
        </w:rPr>
        <w:t>go,</w:t>
      </w:r>
      <w:r w:rsidRPr="00E16359">
        <w:rPr>
          <w:rFonts w:cs="Arial"/>
          <w:lang w:eastAsia="es-MX"/>
        </w:rPr>
        <w:t xml:space="preserve"> para la prestación de l</w:t>
      </w:r>
      <w:r w:rsidR="009C2D94" w:rsidRPr="00E16359">
        <w:rPr>
          <w:rFonts w:cs="Arial"/>
          <w:lang w:eastAsia="es-MX"/>
        </w:rPr>
        <w:t>os mismos es necesario</w:t>
      </w:r>
      <w:r w:rsidRPr="00E16359">
        <w:rPr>
          <w:rFonts w:cs="Arial"/>
          <w:lang w:eastAsia="es-MX"/>
        </w:rPr>
        <w:t xml:space="preserve"> que se cubran las contraprestaciones aplicables a efecto de que la contraparte pueda recuperar los costos de provisión y pueda asegurar la continuidad en la prestación del servicio, por lo que el incumplimiento en las obligaciones de pago es una causa de rescisión válida, también se observa que se otorga un periodo suficientemente amplio a efecto de que las partes cumplan con sus obligaciones de pago.</w:t>
      </w:r>
    </w:p>
    <w:p w:rsidR="002F511F" w:rsidRPr="00E16359" w:rsidRDefault="002F511F" w:rsidP="002F511F">
      <w:pPr>
        <w:pStyle w:val="IFT1"/>
        <w:tabs>
          <w:tab w:val="left" w:pos="284"/>
          <w:tab w:val="left" w:pos="567"/>
        </w:tabs>
        <w:spacing w:after="0"/>
        <w:rPr>
          <w:rFonts w:cs="Arial"/>
          <w:lang w:eastAsia="es-MX"/>
        </w:rPr>
      </w:pPr>
    </w:p>
    <w:p w:rsidR="002F511F" w:rsidRPr="00E16359" w:rsidRDefault="002F511F" w:rsidP="002F511F">
      <w:pPr>
        <w:pStyle w:val="IFT1"/>
        <w:tabs>
          <w:tab w:val="left" w:pos="284"/>
          <w:tab w:val="left" w:pos="567"/>
        </w:tabs>
        <w:spacing w:after="0"/>
        <w:rPr>
          <w:rFonts w:cs="Arial"/>
          <w:lang w:eastAsia="es-MX"/>
        </w:rPr>
      </w:pPr>
      <w:r w:rsidRPr="00E16359">
        <w:rPr>
          <w:rFonts w:cs="Arial"/>
          <w:lang w:eastAsia="es-MX"/>
        </w:rPr>
        <w:t xml:space="preserve">En el mismo sentido, sobre las causales de rescisión por conductas fraudulentas o por liquidación, insolvencia o quiebra de alguna de las partes, el Instituto observó que es práctica común en la industria la inclusión de causales de rescisión por conductas fraudulentas o quiebra, de lo cual se considera que en caso de presentarse una situación que imposibilite la operación de cualquiera de las partes como en el caso de quiebra o insolvencia, las obligaciones del convenio puedan </w:t>
      </w:r>
      <w:r w:rsidR="007004A0" w:rsidRPr="00E16359">
        <w:rPr>
          <w:rFonts w:cs="Arial"/>
          <w:lang w:eastAsia="es-MX"/>
        </w:rPr>
        <w:t>rescindirse. En virtud de lo anterior no resulta procedente la modificación solicitada.</w:t>
      </w:r>
    </w:p>
    <w:p w:rsidR="002F511F" w:rsidRPr="00E16359" w:rsidRDefault="002F511F" w:rsidP="002F511F">
      <w:pPr>
        <w:pStyle w:val="IFT1"/>
        <w:tabs>
          <w:tab w:val="left" w:pos="284"/>
          <w:tab w:val="left" w:pos="567"/>
        </w:tabs>
        <w:spacing w:after="0"/>
        <w:rPr>
          <w:rFonts w:cs="Arial"/>
          <w:lang w:eastAsia="es-MX"/>
        </w:rPr>
      </w:pPr>
    </w:p>
    <w:p w:rsidR="00684A15" w:rsidRPr="00E16359" w:rsidRDefault="00684A15" w:rsidP="001D3335">
      <w:pPr>
        <w:widowControl w:val="0"/>
        <w:spacing w:line="276" w:lineRule="auto"/>
        <w:jc w:val="both"/>
        <w:rPr>
          <w:rFonts w:ascii="ITC Avant Garde" w:hAnsi="ITC Avant Garde"/>
          <w:u w:val="single"/>
        </w:rPr>
      </w:pPr>
    </w:p>
    <w:p w:rsidR="005E565D" w:rsidRPr="00E16359" w:rsidRDefault="0046495B" w:rsidP="001D3335">
      <w:pPr>
        <w:widowControl w:val="0"/>
        <w:spacing w:line="276" w:lineRule="auto"/>
        <w:jc w:val="both"/>
        <w:rPr>
          <w:rFonts w:ascii="ITC Avant Garde" w:hAnsi="ITC Avant Garde"/>
          <w:b/>
          <w:color w:val="000000"/>
          <w:u w:val="single"/>
        </w:rPr>
      </w:pPr>
      <w:r w:rsidRPr="00E16359">
        <w:rPr>
          <w:rFonts w:ascii="ITC Avant Garde" w:hAnsi="ITC Avant Garde"/>
          <w:b/>
          <w:color w:val="000000"/>
          <w:u w:val="single"/>
        </w:rPr>
        <w:t>Cláusula Decimonovena. Condiciones Resolutorias</w:t>
      </w:r>
    </w:p>
    <w:p w:rsidR="004A7E6D" w:rsidRPr="00E16359" w:rsidRDefault="004A7E6D" w:rsidP="001D3335">
      <w:pPr>
        <w:autoSpaceDE w:val="0"/>
        <w:autoSpaceDN w:val="0"/>
        <w:adjustRightInd w:val="0"/>
        <w:spacing w:line="240" w:lineRule="exact"/>
        <w:jc w:val="both"/>
        <w:rPr>
          <w:rFonts w:ascii="ITC Avant Garde" w:hAnsi="ITC Avant Garde"/>
          <w:b/>
          <w:color w:val="000000"/>
        </w:rPr>
      </w:pPr>
    </w:p>
    <w:p w:rsidR="000C5DDA" w:rsidRPr="00E16359" w:rsidRDefault="00943375" w:rsidP="001D3335">
      <w:pPr>
        <w:autoSpaceDE w:val="0"/>
        <w:autoSpaceDN w:val="0"/>
        <w:adjustRightInd w:val="0"/>
        <w:spacing w:line="240" w:lineRule="exact"/>
        <w:jc w:val="both"/>
        <w:rPr>
          <w:rFonts w:ascii="ITC Avant Garde" w:hAnsi="ITC Avant Garde"/>
          <w:b/>
          <w:color w:val="000000"/>
        </w:rPr>
      </w:pPr>
      <w:r w:rsidRPr="00E16359">
        <w:rPr>
          <w:rFonts w:ascii="ITC Avant Garde" w:hAnsi="ITC Avant Garde"/>
          <w:b/>
          <w:color w:val="000000"/>
        </w:rPr>
        <w:t>ALTÁN, CANIETI Y TELEFÓNICA</w:t>
      </w:r>
    </w:p>
    <w:p w:rsidR="0046495B" w:rsidRPr="00E16359" w:rsidRDefault="0046495B" w:rsidP="001D3335">
      <w:pPr>
        <w:autoSpaceDE w:val="0"/>
        <w:autoSpaceDN w:val="0"/>
        <w:adjustRightInd w:val="0"/>
        <w:spacing w:line="240" w:lineRule="exact"/>
        <w:jc w:val="both"/>
        <w:rPr>
          <w:rFonts w:ascii="ITC Avant Garde" w:hAnsi="ITC Avant Garde"/>
          <w:b/>
          <w:color w:val="000000"/>
        </w:rPr>
      </w:pPr>
    </w:p>
    <w:p w:rsidR="00943375" w:rsidRPr="00E16359" w:rsidRDefault="00943375" w:rsidP="001D3335">
      <w:pPr>
        <w:autoSpaceDE w:val="0"/>
        <w:autoSpaceDN w:val="0"/>
        <w:adjustRightInd w:val="0"/>
        <w:spacing w:line="240" w:lineRule="exact"/>
        <w:jc w:val="both"/>
        <w:rPr>
          <w:rFonts w:ascii="ITC Avant Garde" w:hAnsi="ITC Avant Garde"/>
        </w:rPr>
      </w:pPr>
      <w:r w:rsidRPr="00E16359">
        <w:rPr>
          <w:rFonts w:ascii="ITC Avant Garde" w:hAnsi="ITC Avant Garde"/>
        </w:rPr>
        <w:t>Solicita</w:t>
      </w:r>
      <w:r w:rsidR="002806E6" w:rsidRPr="00E16359">
        <w:rPr>
          <w:rFonts w:ascii="ITC Avant Garde" w:hAnsi="ITC Avant Garde"/>
        </w:rPr>
        <w:t>ro</w:t>
      </w:r>
      <w:r w:rsidR="00F84558" w:rsidRPr="00E16359">
        <w:rPr>
          <w:rFonts w:ascii="ITC Avant Garde" w:hAnsi="ITC Avant Garde"/>
        </w:rPr>
        <w:t>n</w:t>
      </w:r>
      <w:r w:rsidR="00423C0B" w:rsidRPr="00E16359">
        <w:rPr>
          <w:rFonts w:ascii="ITC Avant Garde" w:hAnsi="ITC Avant Garde"/>
        </w:rPr>
        <w:t xml:space="preserve"> la eliminación de la </w:t>
      </w:r>
      <w:r w:rsidRPr="00E16359">
        <w:rPr>
          <w:rFonts w:ascii="ITC Avant Garde" w:hAnsi="ITC Avant Garde"/>
        </w:rPr>
        <w:t>cláusula</w:t>
      </w:r>
      <w:r w:rsidR="00423C0B" w:rsidRPr="00E16359">
        <w:rPr>
          <w:rFonts w:ascii="ITC Avant Garde" w:hAnsi="ITC Avant Garde"/>
        </w:rPr>
        <w:t xml:space="preserve"> decimonovena</w:t>
      </w:r>
      <w:r w:rsidRPr="00E16359">
        <w:rPr>
          <w:rFonts w:ascii="ITC Avant Garde" w:hAnsi="ITC Avant Garde"/>
        </w:rPr>
        <w:t xml:space="preserve"> por las siguientes razones:</w:t>
      </w:r>
    </w:p>
    <w:p w:rsidR="009E78F4" w:rsidRPr="00E16359" w:rsidRDefault="009E78F4" w:rsidP="001D3335">
      <w:pPr>
        <w:autoSpaceDE w:val="0"/>
        <w:autoSpaceDN w:val="0"/>
        <w:adjustRightInd w:val="0"/>
        <w:spacing w:line="240" w:lineRule="exact"/>
        <w:jc w:val="both"/>
        <w:rPr>
          <w:rFonts w:ascii="ITC Avant Garde" w:hAnsi="ITC Avant Garde"/>
        </w:rPr>
      </w:pPr>
    </w:p>
    <w:p w:rsidR="00943375" w:rsidRPr="00E16359" w:rsidRDefault="00423C0B" w:rsidP="00C0192C">
      <w:pPr>
        <w:pStyle w:val="Prrafodelista"/>
        <w:numPr>
          <w:ilvl w:val="0"/>
          <w:numId w:val="6"/>
        </w:numPr>
        <w:autoSpaceDE w:val="0"/>
        <w:autoSpaceDN w:val="0"/>
        <w:adjustRightInd w:val="0"/>
        <w:spacing w:line="276" w:lineRule="auto"/>
        <w:jc w:val="both"/>
        <w:rPr>
          <w:rFonts w:ascii="ITC Avant Garde" w:hAnsi="ITC Avant Garde"/>
          <w:b/>
        </w:rPr>
      </w:pPr>
      <w:r w:rsidRPr="00E16359">
        <w:rPr>
          <w:rFonts w:ascii="ITC Avant Garde" w:hAnsi="ITC Avant Garde"/>
        </w:rPr>
        <w:t>Manifiestan que en d</w:t>
      </w:r>
      <w:r w:rsidR="00943375" w:rsidRPr="00E16359">
        <w:rPr>
          <w:rFonts w:ascii="ITC Avant Garde" w:hAnsi="ITC Avant Garde"/>
        </w:rPr>
        <w:t xml:space="preserve">icha cláusula </w:t>
      </w:r>
      <w:r w:rsidRPr="00E16359">
        <w:rPr>
          <w:rFonts w:ascii="ITC Avant Garde" w:hAnsi="ITC Avant Garde"/>
        </w:rPr>
        <w:t xml:space="preserve">se </w:t>
      </w:r>
      <w:r w:rsidR="00943375" w:rsidRPr="00E16359">
        <w:rPr>
          <w:rFonts w:ascii="ITC Avant Garde" w:hAnsi="ITC Avant Garde"/>
        </w:rPr>
        <w:t>establece que las Partes están de acuerdo en que el Convenio estará vigente mientras Telmex tenga el carácter de Preponderante, sin embargo, la misma pretende hacer caer en el error a los concesionarios solicitantes para aceptar reservas de derechos e impugnaciones que en nada se relacionan con los Concesionarios Solicitantes y únicamente conciernen a Telmex</w:t>
      </w:r>
      <w:r w:rsidR="00943375" w:rsidRPr="00E16359">
        <w:rPr>
          <w:rFonts w:ascii="ITC Avant Garde" w:hAnsi="ITC Avant Garde"/>
          <w:b/>
        </w:rPr>
        <w:t>.</w:t>
      </w:r>
    </w:p>
    <w:p w:rsidR="00943375" w:rsidRPr="00E16359" w:rsidRDefault="00943375" w:rsidP="001D3335">
      <w:pPr>
        <w:pStyle w:val="Prrafodelista"/>
        <w:autoSpaceDE w:val="0"/>
        <w:autoSpaceDN w:val="0"/>
        <w:adjustRightInd w:val="0"/>
        <w:spacing w:line="276" w:lineRule="auto"/>
        <w:jc w:val="both"/>
        <w:rPr>
          <w:rFonts w:ascii="ITC Avant Garde" w:hAnsi="ITC Avant Garde"/>
          <w:b/>
        </w:rPr>
      </w:pPr>
    </w:p>
    <w:p w:rsidR="00943375" w:rsidRPr="00E16359" w:rsidRDefault="00943375" w:rsidP="00C0192C">
      <w:pPr>
        <w:pStyle w:val="Prrafodelista"/>
        <w:numPr>
          <w:ilvl w:val="0"/>
          <w:numId w:val="6"/>
        </w:numPr>
        <w:autoSpaceDE w:val="0"/>
        <w:autoSpaceDN w:val="0"/>
        <w:adjustRightInd w:val="0"/>
        <w:spacing w:line="276" w:lineRule="auto"/>
        <w:jc w:val="both"/>
        <w:rPr>
          <w:rFonts w:ascii="ITC Avant Garde" w:hAnsi="ITC Avant Garde"/>
          <w:b/>
        </w:rPr>
      </w:pPr>
      <w:r w:rsidRPr="00E16359">
        <w:rPr>
          <w:rFonts w:ascii="ITC Avant Garde" w:hAnsi="ITC Avant Garde"/>
        </w:rPr>
        <w:t xml:space="preserve">Asimismo, </w:t>
      </w:r>
      <w:r w:rsidR="00423C0B" w:rsidRPr="00E16359">
        <w:rPr>
          <w:rFonts w:ascii="ITC Avant Garde" w:hAnsi="ITC Avant Garde"/>
        </w:rPr>
        <w:t xml:space="preserve">señalan </w:t>
      </w:r>
      <w:r w:rsidRPr="00E16359">
        <w:rPr>
          <w:rFonts w:ascii="ITC Avant Garde" w:hAnsi="ITC Avant Garde"/>
        </w:rPr>
        <w:t xml:space="preserve">esta cláusula pretende vincular a los concesionarios simulando un acuerdo de voluntades, cuando es una declaración unilateral de Telmex y no de las Partes. </w:t>
      </w:r>
    </w:p>
    <w:p w:rsidR="009E78F4" w:rsidRPr="00E16359" w:rsidRDefault="009E78F4" w:rsidP="009E78F4">
      <w:pPr>
        <w:pStyle w:val="Prrafodelista"/>
        <w:autoSpaceDE w:val="0"/>
        <w:autoSpaceDN w:val="0"/>
        <w:adjustRightInd w:val="0"/>
        <w:spacing w:line="276" w:lineRule="auto"/>
        <w:jc w:val="both"/>
        <w:rPr>
          <w:rFonts w:ascii="ITC Avant Garde" w:hAnsi="ITC Avant Garde"/>
          <w:b/>
        </w:rPr>
      </w:pPr>
    </w:p>
    <w:p w:rsidR="004731C0" w:rsidRPr="00E16359" w:rsidRDefault="004731C0" w:rsidP="001D3335">
      <w:pPr>
        <w:autoSpaceDE w:val="0"/>
        <w:autoSpaceDN w:val="0"/>
        <w:adjustRightInd w:val="0"/>
        <w:spacing w:line="240" w:lineRule="exact"/>
        <w:jc w:val="both"/>
        <w:rPr>
          <w:rFonts w:ascii="ITC Avant Garde" w:hAnsi="ITC Avant Garde"/>
          <w:b/>
        </w:rPr>
      </w:pPr>
      <w:r w:rsidRPr="00E16359">
        <w:rPr>
          <w:rFonts w:ascii="ITC Avant Garde" w:hAnsi="ITC Avant Garde"/>
          <w:b/>
        </w:rPr>
        <w:t>GRUPO TELEVISA</w:t>
      </w:r>
    </w:p>
    <w:p w:rsidR="009E78F4" w:rsidRPr="00E16359" w:rsidRDefault="002806E6" w:rsidP="001D3335">
      <w:pPr>
        <w:autoSpaceDE w:val="0"/>
        <w:autoSpaceDN w:val="0"/>
        <w:adjustRightInd w:val="0"/>
        <w:spacing w:line="276" w:lineRule="auto"/>
        <w:jc w:val="both"/>
        <w:rPr>
          <w:rFonts w:ascii="ITC Avant Garde" w:hAnsi="ITC Avant Garde"/>
        </w:rPr>
      </w:pPr>
      <w:r w:rsidRPr="00E16359">
        <w:rPr>
          <w:rFonts w:ascii="ITC Avant Garde" w:hAnsi="ITC Avant Garde"/>
        </w:rPr>
        <w:lastRenderedPageBreak/>
        <w:t>Solicitó</w:t>
      </w:r>
      <w:r w:rsidR="004731C0" w:rsidRPr="00E16359">
        <w:rPr>
          <w:rFonts w:ascii="ITC Avant Garde" w:hAnsi="ITC Avant Garde"/>
        </w:rPr>
        <w:t xml:space="preserve"> eliminar la Cláusula De</w:t>
      </w:r>
      <w:r w:rsidR="006466E7" w:rsidRPr="00E16359">
        <w:rPr>
          <w:rFonts w:ascii="ITC Avant Garde" w:hAnsi="ITC Avant Garde"/>
        </w:rPr>
        <w:t xml:space="preserve">cimonovena y toda referencia dentro del </w:t>
      </w:r>
      <w:r w:rsidR="004731C0" w:rsidRPr="00E16359">
        <w:rPr>
          <w:rFonts w:ascii="ITC Avant Garde" w:hAnsi="ITC Avant Garde"/>
        </w:rPr>
        <w:t xml:space="preserve">texto </w:t>
      </w:r>
      <w:r w:rsidR="006466E7" w:rsidRPr="00E16359">
        <w:rPr>
          <w:rFonts w:ascii="ITC Avant Garde" w:hAnsi="ITC Avant Garde"/>
        </w:rPr>
        <w:t>en el</w:t>
      </w:r>
      <w:r w:rsidR="004731C0" w:rsidRPr="00E16359">
        <w:rPr>
          <w:rFonts w:ascii="ITC Avant Garde" w:hAnsi="ITC Avant Garde"/>
        </w:rPr>
        <w:t xml:space="preserve"> Convenio donde se mencione que, en caso de qu</w:t>
      </w:r>
      <w:r w:rsidR="009E78F4" w:rsidRPr="00E16359">
        <w:rPr>
          <w:rFonts w:ascii="ITC Avant Garde" w:hAnsi="ITC Avant Garde"/>
        </w:rPr>
        <w:t>e el AEP dejará</w:t>
      </w:r>
      <w:r w:rsidR="00185A23" w:rsidRPr="00E16359">
        <w:rPr>
          <w:rFonts w:ascii="ITC Avant Garde" w:hAnsi="ITC Avant Garde"/>
        </w:rPr>
        <w:t xml:space="preserve"> de serlo, el Instituto</w:t>
      </w:r>
      <w:r w:rsidR="004731C0" w:rsidRPr="00E16359">
        <w:rPr>
          <w:rFonts w:ascii="ITC Avant Garde" w:hAnsi="ITC Avant Garde"/>
        </w:rPr>
        <w:t xml:space="preserve"> impondrá un plan de transición, con sus correspondientes características técnicas y comerciales, en el que se garantice que se tienen en cuenta las inversiones realizadas y su plazo de recuperación, la existencia de alternativas a la infraestructura </w:t>
      </w:r>
      <w:r w:rsidR="006466E7" w:rsidRPr="00E16359">
        <w:rPr>
          <w:rFonts w:ascii="ITC Avant Garde" w:hAnsi="ITC Avant Garde"/>
        </w:rPr>
        <w:t>d</w:t>
      </w:r>
      <w:r w:rsidR="004731C0" w:rsidRPr="00E16359">
        <w:rPr>
          <w:rFonts w:ascii="ITC Avant Garde" w:hAnsi="ITC Avant Garde"/>
        </w:rPr>
        <w:t>el AEP, y la continu</w:t>
      </w:r>
      <w:r w:rsidR="006466E7" w:rsidRPr="00E16359">
        <w:rPr>
          <w:rFonts w:ascii="ITC Avant Garde" w:hAnsi="ITC Avant Garde"/>
        </w:rPr>
        <w:t xml:space="preserve">idad en la </w:t>
      </w:r>
      <w:r w:rsidR="004731C0" w:rsidRPr="00E16359">
        <w:rPr>
          <w:rFonts w:ascii="ITC Avant Garde" w:hAnsi="ITC Avant Garde"/>
        </w:rPr>
        <w:t>prestación de los servicios a los usuarios finales</w:t>
      </w:r>
      <w:r w:rsidR="009E78F4" w:rsidRPr="00E16359">
        <w:rPr>
          <w:rFonts w:ascii="ITC Avant Garde" w:hAnsi="ITC Avant Garde"/>
        </w:rPr>
        <w:t>.</w:t>
      </w:r>
    </w:p>
    <w:p w:rsidR="00D13672" w:rsidRPr="00E16359" w:rsidRDefault="006E285E" w:rsidP="009E3C35">
      <w:pPr>
        <w:spacing w:line="276" w:lineRule="auto"/>
        <w:jc w:val="both"/>
        <w:rPr>
          <w:rFonts w:ascii="ITC Avant Garde" w:hAnsi="ITC Avant Garde"/>
          <w:b/>
        </w:rPr>
      </w:pPr>
      <w:r w:rsidRPr="00E16359">
        <w:rPr>
          <w:rFonts w:ascii="ITC Avant Garde" w:hAnsi="ITC Avant Garde"/>
          <w:b/>
        </w:rPr>
        <w:t xml:space="preserve">Consideraciones del Instituto </w:t>
      </w:r>
    </w:p>
    <w:p w:rsidR="00D84779" w:rsidRPr="00E16359" w:rsidRDefault="008F563E" w:rsidP="00D84779">
      <w:pPr>
        <w:pStyle w:val="IFTnormal"/>
        <w:spacing w:after="0"/>
        <w:rPr>
          <w:iCs/>
          <w:lang w:val="es-ES"/>
        </w:rPr>
      </w:pPr>
      <w:r w:rsidRPr="00E16359">
        <w:rPr>
          <w:iCs/>
          <w:lang w:val="es-ES"/>
        </w:rPr>
        <w:t>Es impor</w:t>
      </w:r>
      <w:r w:rsidR="007004A0" w:rsidRPr="00E16359">
        <w:rPr>
          <w:iCs/>
          <w:lang w:val="es-ES"/>
        </w:rPr>
        <w:t>tante señalar que el contenido de dicha cláusula</w:t>
      </w:r>
      <w:r w:rsidRPr="00E16359">
        <w:rPr>
          <w:iCs/>
          <w:lang w:val="es-ES"/>
        </w:rPr>
        <w:t xml:space="preserve"> cumple</w:t>
      </w:r>
      <w:r w:rsidR="00D84779" w:rsidRPr="00E16359">
        <w:rPr>
          <w:iCs/>
          <w:lang w:val="es-ES"/>
        </w:rPr>
        <w:t xml:space="preserve"> con lo establecido en la ley de la materia vigente, al señalar que una vez que Telmex deje de ser parte integrante del AEP, la negociación de términos, condiciones y tarifas para la prestación de los servicios de interconexión, se realizará de conformidad con lo establecido en el artículo 129 de la LFTR. </w:t>
      </w:r>
    </w:p>
    <w:p w:rsidR="00D84779" w:rsidRPr="00E16359" w:rsidRDefault="00D84779" w:rsidP="00D84779">
      <w:pPr>
        <w:pStyle w:val="IFTnormal"/>
        <w:spacing w:after="0"/>
        <w:rPr>
          <w:iCs/>
          <w:lang w:val="es-ES"/>
        </w:rPr>
      </w:pPr>
    </w:p>
    <w:p w:rsidR="00AF501F" w:rsidRPr="00E16359" w:rsidRDefault="007004A0" w:rsidP="00D84779">
      <w:pPr>
        <w:pStyle w:val="IFTnormal"/>
        <w:spacing w:after="0"/>
        <w:rPr>
          <w:iCs/>
          <w:lang w:val="es-ES"/>
        </w:rPr>
      </w:pPr>
      <w:r w:rsidRPr="00E16359">
        <w:rPr>
          <w:iCs/>
          <w:lang w:val="es-ES"/>
        </w:rPr>
        <w:t>Asimismo</w:t>
      </w:r>
      <w:r w:rsidR="00765516" w:rsidRPr="00E16359">
        <w:rPr>
          <w:iCs/>
          <w:lang w:val="es-ES"/>
        </w:rPr>
        <w:t xml:space="preserve">, </w:t>
      </w:r>
      <w:r w:rsidR="00D84779" w:rsidRPr="00E16359">
        <w:rPr>
          <w:iCs/>
          <w:lang w:val="es-ES"/>
        </w:rPr>
        <w:t>la</w:t>
      </w:r>
      <w:r w:rsidR="00765516" w:rsidRPr="00E16359">
        <w:rPr>
          <w:iCs/>
          <w:lang w:val="es-ES"/>
        </w:rPr>
        <w:t>s Cláusulas 15.2, 18.6 y 18.8 de</w:t>
      </w:r>
      <w:r w:rsidR="00D84779" w:rsidRPr="00E16359">
        <w:rPr>
          <w:iCs/>
          <w:lang w:val="es-ES"/>
        </w:rPr>
        <w:t>l C</w:t>
      </w:r>
      <w:r w:rsidR="00765516" w:rsidRPr="00E16359">
        <w:rPr>
          <w:iCs/>
          <w:lang w:val="es-ES"/>
        </w:rPr>
        <w:t>MI</w:t>
      </w:r>
      <w:r w:rsidR="00D84779" w:rsidRPr="00E16359">
        <w:rPr>
          <w:iCs/>
          <w:lang w:val="es-ES"/>
        </w:rPr>
        <w:t xml:space="preserve"> prevén el supuesto de que en el momento que existan cambios normativos </w:t>
      </w:r>
      <w:r w:rsidR="00D84779" w:rsidRPr="00E16359">
        <w:t xml:space="preserve">o derivados de resoluciones firmes se reflejen oportunamente, en caso de que modifiquen las condiciones de interconexión establecidas en </w:t>
      </w:r>
      <w:r w:rsidR="00DD7B63" w:rsidRPr="00E16359">
        <w:t xml:space="preserve">dicho convenio, </w:t>
      </w:r>
      <w:r w:rsidR="00D84779" w:rsidRPr="00E16359">
        <w:t>con el fin de que los aspectos que no resulten aplicables se consideren inexigibles.</w:t>
      </w:r>
      <w:r w:rsidR="00D84779" w:rsidRPr="00E16359">
        <w:rPr>
          <w:iCs/>
          <w:lang w:val="es-ES"/>
        </w:rPr>
        <w:t xml:space="preserve"> </w:t>
      </w:r>
    </w:p>
    <w:p w:rsidR="00D13672" w:rsidRPr="00E16359" w:rsidRDefault="00D13672" w:rsidP="00D84779">
      <w:pPr>
        <w:pStyle w:val="IFTnormal"/>
        <w:spacing w:after="0"/>
        <w:rPr>
          <w:iCs/>
          <w:lang w:val="es-ES"/>
        </w:rPr>
      </w:pPr>
    </w:p>
    <w:p w:rsidR="00E60FC1" w:rsidRPr="00E16359" w:rsidRDefault="00147ED4" w:rsidP="001D3335">
      <w:pPr>
        <w:autoSpaceDE w:val="0"/>
        <w:autoSpaceDN w:val="0"/>
        <w:adjustRightInd w:val="0"/>
        <w:spacing w:line="276" w:lineRule="auto"/>
        <w:jc w:val="both"/>
        <w:rPr>
          <w:rFonts w:ascii="ITC Avant Garde" w:hAnsi="ITC Avant Garde"/>
          <w:b/>
          <w:u w:val="single"/>
        </w:rPr>
      </w:pPr>
      <w:r w:rsidRPr="00E16359">
        <w:rPr>
          <w:rFonts w:ascii="ITC Avant Garde" w:hAnsi="ITC Avant Garde"/>
          <w:b/>
          <w:u w:val="single"/>
        </w:rPr>
        <w:t>A</w:t>
      </w:r>
      <w:r w:rsidR="00EB03E8" w:rsidRPr="00E16359">
        <w:rPr>
          <w:rFonts w:ascii="ITC Avant Garde" w:hAnsi="ITC Avant Garde"/>
          <w:b/>
          <w:u w:val="single"/>
        </w:rPr>
        <w:t xml:space="preserve">nexo </w:t>
      </w:r>
      <w:r w:rsidRPr="00E16359">
        <w:rPr>
          <w:rFonts w:ascii="ITC Avant Garde" w:hAnsi="ITC Avant Garde"/>
          <w:b/>
          <w:u w:val="single"/>
        </w:rPr>
        <w:t>A</w:t>
      </w:r>
      <w:r w:rsidR="00E7591D" w:rsidRPr="00E16359">
        <w:rPr>
          <w:rFonts w:ascii="ITC Avant Garde" w:hAnsi="ITC Avant Garde"/>
          <w:b/>
          <w:u w:val="single"/>
        </w:rPr>
        <w:t xml:space="preserve">. </w:t>
      </w:r>
      <w:r w:rsidR="00EB03E8" w:rsidRPr="00E16359">
        <w:rPr>
          <w:rFonts w:ascii="ITC Avant Garde" w:hAnsi="ITC Avant Garde"/>
          <w:b/>
          <w:u w:val="single"/>
        </w:rPr>
        <w:t>Acuerdos Técnicos. Ta</w:t>
      </w:r>
      <w:r w:rsidR="00EF3E1A" w:rsidRPr="00E16359">
        <w:rPr>
          <w:rFonts w:ascii="ITC Avant Garde" w:hAnsi="ITC Avant Garde"/>
          <w:b/>
          <w:u w:val="single"/>
        </w:rPr>
        <w:t>blas de Escenarios de Tránsito y Tablas de Intercambio d</w:t>
      </w:r>
      <w:r w:rsidR="00EB03E8" w:rsidRPr="00E16359">
        <w:rPr>
          <w:rFonts w:ascii="ITC Avant Garde" w:hAnsi="ITC Avant Garde"/>
          <w:b/>
          <w:u w:val="single"/>
        </w:rPr>
        <w:t>e Dígitos</w:t>
      </w:r>
    </w:p>
    <w:p w:rsidR="004A7E6D" w:rsidRPr="00E16359" w:rsidRDefault="004A7E6D" w:rsidP="001D3335">
      <w:pPr>
        <w:autoSpaceDE w:val="0"/>
        <w:autoSpaceDN w:val="0"/>
        <w:adjustRightInd w:val="0"/>
        <w:spacing w:line="276" w:lineRule="auto"/>
        <w:jc w:val="both"/>
        <w:rPr>
          <w:rFonts w:ascii="ITC Avant Garde" w:hAnsi="ITC Avant Garde"/>
          <w:b/>
          <w:u w:val="single"/>
        </w:rPr>
      </w:pPr>
    </w:p>
    <w:p w:rsidR="00E7591D" w:rsidRPr="00E16359" w:rsidRDefault="00D16039" w:rsidP="001D3335">
      <w:pPr>
        <w:autoSpaceDE w:val="0"/>
        <w:autoSpaceDN w:val="0"/>
        <w:adjustRightInd w:val="0"/>
        <w:spacing w:line="276" w:lineRule="auto"/>
        <w:jc w:val="both"/>
        <w:rPr>
          <w:rFonts w:ascii="ITC Avant Garde" w:hAnsi="ITC Avant Garde"/>
          <w:b/>
        </w:rPr>
      </w:pPr>
      <w:r w:rsidRPr="00E16359">
        <w:rPr>
          <w:rFonts w:ascii="ITC Avant Garde" w:hAnsi="ITC Avant Garde"/>
          <w:b/>
        </w:rPr>
        <w:t xml:space="preserve">ALTÁN Y CANIETI </w:t>
      </w:r>
    </w:p>
    <w:p w:rsidR="00C50352" w:rsidRPr="00E16359" w:rsidRDefault="00C50352" w:rsidP="001D3335">
      <w:pPr>
        <w:tabs>
          <w:tab w:val="left" w:pos="0"/>
        </w:tabs>
        <w:autoSpaceDE w:val="0"/>
        <w:autoSpaceDN w:val="0"/>
        <w:adjustRightInd w:val="0"/>
        <w:spacing w:line="276" w:lineRule="auto"/>
        <w:jc w:val="both"/>
        <w:rPr>
          <w:rFonts w:ascii="ITC Avant Garde" w:hAnsi="ITC Avant Garde"/>
        </w:rPr>
      </w:pPr>
      <w:r w:rsidRPr="00E16359">
        <w:rPr>
          <w:rFonts w:ascii="ITC Avant Garde" w:hAnsi="ITC Avant Garde"/>
        </w:rPr>
        <w:t>Solicita</w:t>
      </w:r>
      <w:r w:rsidR="002806E6" w:rsidRPr="00E16359">
        <w:rPr>
          <w:rFonts w:ascii="ITC Avant Garde" w:hAnsi="ITC Avant Garde"/>
        </w:rPr>
        <w:t>ro</w:t>
      </w:r>
      <w:r w:rsidR="00D36D1F" w:rsidRPr="00E16359">
        <w:rPr>
          <w:rFonts w:ascii="ITC Avant Garde" w:hAnsi="ITC Avant Garde"/>
        </w:rPr>
        <w:t>n</w:t>
      </w:r>
      <w:r w:rsidRPr="00E16359">
        <w:rPr>
          <w:rFonts w:ascii="ITC Avant Garde" w:hAnsi="ITC Avant Garde"/>
        </w:rPr>
        <w:t xml:space="preserve"> que en el mismo anexo, pero en las tablas “</w:t>
      </w:r>
      <w:r w:rsidRPr="00E16359">
        <w:rPr>
          <w:rFonts w:ascii="ITC Avant Garde" w:hAnsi="ITC Avant Garde"/>
          <w:i/>
        </w:rPr>
        <w:t>Para escenarios de tránsito</w:t>
      </w:r>
      <w:r w:rsidRPr="00E16359">
        <w:rPr>
          <w:rFonts w:ascii="ITC Avant Garde" w:hAnsi="ITC Avant Garde"/>
        </w:rPr>
        <w:t>” y en las tablas de “</w:t>
      </w:r>
      <w:r w:rsidRPr="00E16359">
        <w:rPr>
          <w:rFonts w:ascii="ITC Avant Garde" w:hAnsi="ITC Avant Garde"/>
          <w:i/>
        </w:rPr>
        <w:t>Intercambio de dígitos”</w:t>
      </w:r>
      <w:r w:rsidR="00D36D1F" w:rsidRPr="00E16359">
        <w:rPr>
          <w:rFonts w:ascii="ITC Avant Garde" w:hAnsi="ITC Avant Garde"/>
        </w:rPr>
        <w:t>, adicionar</w:t>
      </w:r>
      <w:r w:rsidRPr="00E16359">
        <w:rPr>
          <w:rFonts w:ascii="ITC Avant Garde" w:hAnsi="ITC Avant Garde"/>
        </w:rPr>
        <w:t xml:space="preserve"> las llamadas a números 200, números 700, así como de llamadas de larga distancia internacional de cobro </w:t>
      </w:r>
      <w:r w:rsidR="00F8661B" w:rsidRPr="00E16359">
        <w:rPr>
          <w:rFonts w:ascii="ITC Avant Garde" w:hAnsi="ITC Avant Garde"/>
        </w:rPr>
        <w:t>revertido.</w:t>
      </w:r>
    </w:p>
    <w:p w:rsidR="00C50352" w:rsidRPr="00E16359" w:rsidRDefault="002806E6" w:rsidP="001D3335">
      <w:pPr>
        <w:tabs>
          <w:tab w:val="left" w:pos="0"/>
        </w:tabs>
        <w:autoSpaceDE w:val="0"/>
        <w:autoSpaceDN w:val="0"/>
        <w:adjustRightInd w:val="0"/>
        <w:spacing w:line="276" w:lineRule="auto"/>
        <w:ind w:right="709"/>
        <w:jc w:val="both"/>
        <w:rPr>
          <w:rFonts w:ascii="ITC Avant Garde" w:hAnsi="ITC Avant Garde"/>
        </w:rPr>
      </w:pPr>
      <w:r w:rsidRPr="00E16359">
        <w:rPr>
          <w:rFonts w:ascii="ITC Avant Garde" w:hAnsi="ITC Avant Garde"/>
        </w:rPr>
        <w:t>La redacción sugerida fue</w:t>
      </w:r>
      <w:r w:rsidR="00C50352" w:rsidRPr="00E16359">
        <w:rPr>
          <w:rFonts w:ascii="ITC Avant Garde" w:hAnsi="ITC Avant Garde"/>
        </w:rPr>
        <w:t>:</w:t>
      </w:r>
    </w:p>
    <w:p w:rsidR="00D16039" w:rsidRPr="00E16359" w:rsidRDefault="00C50352" w:rsidP="001D3335">
      <w:pPr>
        <w:autoSpaceDE w:val="0"/>
        <w:autoSpaceDN w:val="0"/>
        <w:adjustRightInd w:val="0"/>
        <w:spacing w:line="276" w:lineRule="auto"/>
        <w:ind w:left="851" w:right="709"/>
        <w:jc w:val="both"/>
        <w:rPr>
          <w:rFonts w:ascii="ITC Avant Garde" w:hAnsi="ITC Avant Garde"/>
          <w:i/>
          <w:sz w:val="18"/>
          <w:szCs w:val="18"/>
        </w:rPr>
      </w:pPr>
      <w:r w:rsidRPr="00E16359">
        <w:rPr>
          <w:rFonts w:ascii="ITC Avant Garde" w:hAnsi="ITC Avant Garde"/>
          <w:i/>
          <w:sz w:val="18"/>
          <w:szCs w:val="18"/>
        </w:rPr>
        <w:t>"El servicio relacionado con las llamadas a números 200, 700 y llamadas de larga distancia internacional de cobro revertido, o que impliquen cualquier cargo adicional a los usuarios, estará sujeto a lo establecido por los convenios de facturación y cobranza que al efecto establezcan los concesionarios y prestadores de servicio relacionados a dichos números."</w:t>
      </w:r>
    </w:p>
    <w:p w:rsidR="004A7E6D" w:rsidRPr="00E16359" w:rsidRDefault="004A7E6D" w:rsidP="001D3335">
      <w:pPr>
        <w:autoSpaceDE w:val="0"/>
        <w:autoSpaceDN w:val="0"/>
        <w:adjustRightInd w:val="0"/>
        <w:spacing w:line="276" w:lineRule="auto"/>
        <w:ind w:left="851" w:right="709"/>
        <w:jc w:val="both"/>
        <w:rPr>
          <w:rFonts w:ascii="ITC Avant Garde" w:hAnsi="ITC Avant Garde"/>
          <w:i/>
          <w:sz w:val="18"/>
          <w:szCs w:val="18"/>
        </w:rPr>
      </w:pPr>
    </w:p>
    <w:p w:rsidR="009E53DD" w:rsidRPr="00E16359" w:rsidRDefault="009E53DD"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7249E7" w:rsidRPr="00E16359" w:rsidRDefault="00F03785" w:rsidP="001D3335">
      <w:pPr>
        <w:autoSpaceDE w:val="0"/>
        <w:autoSpaceDN w:val="0"/>
        <w:adjustRightInd w:val="0"/>
        <w:spacing w:line="276" w:lineRule="auto"/>
        <w:jc w:val="both"/>
        <w:rPr>
          <w:rFonts w:ascii="ITC Avant Garde" w:hAnsi="ITC Avant Garde"/>
        </w:rPr>
      </w:pPr>
      <w:r w:rsidRPr="008157AE">
        <w:rPr>
          <w:rFonts w:ascii="ITC Avant Garde" w:hAnsi="ITC Avant Garde"/>
        </w:rPr>
        <w:t xml:space="preserve">Al respecto, </w:t>
      </w:r>
      <w:r w:rsidR="00F938F7" w:rsidRPr="008157AE">
        <w:rPr>
          <w:rFonts w:ascii="ITC Avant Garde" w:hAnsi="ITC Avant Garde"/>
        </w:rPr>
        <w:t xml:space="preserve">se señala que el intercambio de dígitos de los casos considerados en el CMI cumple con lo establecido en el </w:t>
      </w:r>
      <w:r w:rsidR="00DC2BFB">
        <w:rPr>
          <w:rFonts w:ascii="ITC Avant Garde" w:hAnsi="ITC Avant Garde"/>
        </w:rPr>
        <w:t xml:space="preserve">Plan Técnico Fundamental de Numeración y en </w:t>
      </w:r>
      <w:r w:rsidR="00DC2BFB">
        <w:rPr>
          <w:rFonts w:ascii="ITC Avant Garde" w:hAnsi="ITC Avant Garde"/>
        </w:rPr>
        <w:lastRenderedPageBreak/>
        <w:t>el Plan Técnico Fundamental de Señalización.</w:t>
      </w:r>
      <w:r w:rsidR="00F938F7" w:rsidRPr="00E16359">
        <w:rPr>
          <w:rFonts w:ascii="ITC Avant Garde" w:hAnsi="ITC Avant Garde"/>
        </w:rPr>
        <w:t xml:space="preserve"> </w:t>
      </w:r>
      <w:r w:rsidR="007249E7" w:rsidRPr="00E16359">
        <w:rPr>
          <w:rFonts w:ascii="ITC Avant Garde" w:hAnsi="ITC Avant Garde"/>
        </w:rPr>
        <w:t>Derivado de lo anterior, el numeral se mantiene en los mismos términos, al ser acorde con el marco regulatorio vigente.</w:t>
      </w:r>
    </w:p>
    <w:p w:rsidR="004A7E6D" w:rsidRPr="00E16359" w:rsidRDefault="004A7E6D" w:rsidP="001D3335">
      <w:pPr>
        <w:autoSpaceDE w:val="0"/>
        <w:autoSpaceDN w:val="0"/>
        <w:adjustRightInd w:val="0"/>
        <w:spacing w:line="276" w:lineRule="auto"/>
        <w:jc w:val="both"/>
        <w:rPr>
          <w:rFonts w:ascii="ITC Avant Garde" w:hAnsi="ITC Avant Garde"/>
          <w:b/>
          <w:u w:val="single"/>
        </w:rPr>
      </w:pPr>
    </w:p>
    <w:p w:rsidR="00746E5B" w:rsidRPr="00E16359" w:rsidRDefault="00FD23C5" w:rsidP="001D3335">
      <w:pPr>
        <w:autoSpaceDE w:val="0"/>
        <w:autoSpaceDN w:val="0"/>
        <w:adjustRightInd w:val="0"/>
        <w:spacing w:line="276" w:lineRule="auto"/>
        <w:jc w:val="both"/>
        <w:rPr>
          <w:rFonts w:ascii="ITC Avant Garde" w:hAnsi="ITC Avant Garde"/>
          <w:b/>
          <w:u w:val="single"/>
        </w:rPr>
      </w:pPr>
      <w:r w:rsidRPr="00E16359">
        <w:rPr>
          <w:rFonts w:ascii="ITC Avant Garde" w:hAnsi="ITC Avant Garde"/>
          <w:b/>
          <w:u w:val="single"/>
        </w:rPr>
        <w:t>A</w:t>
      </w:r>
      <w:r w:rsidR="00D13672" w:rsidRPr="00E16359">
        <w:rPr>
          <w:rFonts w:ascii="ITC Avant Garde" w:hAnsi="ITC Avant Garde"/>
          <w:b/>
          <w:u w:val="single"/>
        </w:rPr>
        <w:t xml:space="preserve">nexo </w:t>
      </w:r>
      <w:r w:rsidR="006D4560" w:rsidRPr="00E16359">
        <w:rPr>
          <w:rFonts w:ascii="ITC Avant Garde" w:hAnsi="ITC Avant Garde"/>
          <w:b/>
          <w:u w:val="single"/>
        </w:rPr>
        <w:t xml:space="preserve">A.1. </w:t>
      </w:r>
      <w:r w:rsidR="00D13672" w:rsidRPr="00E16359">
        <w:rPr>
          <w:rFonts w:ascii="ITC Avant Garde" w:hAnsi="ITC Avant Garde"/>
          <w:b/>
          <w:u w:val="single"/>
        </w:rPr>
        <w:t>Acuerdos Técnicos de Interconexión para Señalización Pausi-Mx. Tema 6. Coubicaciones, Inciso 6.1</w:t>
      </w:r>
    </w:p>
    <w:p w:rsidR="004A7E6D" w:rsidRPr="00E16359" w:rsidRDefault="004A7E6D" w:rsidP="001D3335">
      <w:pPr>
        <w:autoSpaceDE w:val="0"/>
        <w:autoSpaceDN w:val="0"/>
        <w:adjustRightInd w:val="0"/>
        <w:spacing w:line="276" w:lineRule="auto"/>
        <w:jc w:val="both"/>
        <w:rPr>
          <w:rFonts w:ascii="ITC Avant Garde" w:hAnsi="ITC Avant Garde"/>
          <w:b/>
          <w:u w:val="single"/>
        </w:rPr>
      </w:pPr>
    </w:p>
    <w:p w:rsidR="00C8502D" w:rsidRPr="00E16359" w:rsidRDefault="00FC5B44" w:rsidP="001D3335">
      <w:pPr>
        <w:autoSpaceDE w:val="0"/>
        <w:autoSpaceDN w:val="0"/>
        <w:adjustRightInd w:val="0"/>
        <w:spacing w:line="276" w:lineRule="auto"/>
        <w:jc w:val="both"/>
        <w:rPr>
          <w:rFonts w:ascii="ITC Avant Garde" w:hAnsi="ITC Avant Garde"/>
          <w:b/>
        </w:rPr>
      </w:pPr>
      <w:r w:rsidRPr="00E16359">
        <w:rPr>
          <w:rFonts w:ascii="ITC Avant Garde" w:hAnsi="ITC Avant Garde"/>
          <w:b/>
        </w:rPr>
        <w:t>ALTÁN, CANIETI Y MEGACABLE</w:t>
      </w:r>
    </w:p>
    <w:p w:rsidR="003E2F01" w:rsidRPr="00E16359" w:rsidRDefault="00E41B38" w:rsidP="001D3335">
      <w:pPr>
        <w:autoSpaceDE w:val="0"/>
        <w:autoSpaceDN w:val="0"/>
        <w:adjustRightInd w:val="0"/>
        <w:spacing w:line="276" w:lineRule="auto"/>
        <w:jc w:val="both"/>
        <w:rPr>
          <w:rFonts w:ascii="ITC Avant Garde" w:hAnsi="ITC Avant Garde"/>
          <w:bCs/>
        </w:rPr>
      </w:pPr>
      <w:r w:rsidRPr="00E16359">
        <w:rPr>
          <w:rFonts w:ascii="ITC Avant Garde" w:hAnsi="ITC Avant Garde"/>
          <w:bCs/>
        </w:rPr>
        <w:t>P</w:t>
      </w:r>
      <w:r w:rsidR="00387CDB" w:rsidRPr="00E16359">
        <w:rPr>
          <w:rFonts w:ascii="ITC Avant Garde" w:hAnsi="ITC Avant Garde"/>
          <w:bCs/>
        </w:rPr>
        <w:t>ropusieron</w:t>
      </w:r>
      <w:r w:rsidR="003E2F01" w:rsidRPr="00E16359">
        <w:rPr>
          <w:rFonts w:ascii="ITC Avant Garde" w:hAnsi="ITC Avant Garde"/>
          <w:bCs/>
        </w:rPr>
        <w:t xml:space="preserve"> la siguiente redacción:</w:t>
      </w:r>
    </w:p>
    <w:p w:rsidR="003E2F01" w:rsidRPr="00E16359" w:rsidRDefault="003E2F01" w:rsidP="001D3335">
      <w:pPr>
        <w:spacing w:after="0" w:line="276" w:lineRule="auto"/>
        <w:jc w:val="both"/>
        <w:rPr>
          <w:rFonts w:ascii="ITC Avant Garde" w:hAnsi="ITC Avant Garde"/>
        </w:rPr>
      </w:pPr>
    </w:p>
    <w:p w:rsidR="003E2F01" w:rsidRPr="00E16359" w:rsidRDefault="003E2F01" w:rsidP="001D3335">
      <w:pPr>
        <w:spacing w:after="0" w:line="276" w:lineRule="auto"/>
        <w:ind w:left="709" w:right="567"/>
        <w:jc w:val="both"/>
        <w:rPr>
          <w:rFonts w:ascii="ITC Avant Garde" w:hAnsi="ITC Avant Garde"/>
          <w:i/>
          <w:sz w:val="18"/>
          <w:szCs w:val="18"/>
        </w:rPr>
      </w:pPr>
      <w:r w:rsidRPr="00E16359">
        <w:rPr>
          <w:rFonts w:ascii="ITC Avant Garde" w:hAnsi="ITC Avant Garde"/>
          <w:i/>
          <w:sz w:val="18"/>
          <w:szCs w:val="18"/>
        </w:rPr>
        <w:t xml:space="preserve">“Las condiciones técnicas de la Coubicación son: Para cada espacio de Coubicación, la tarifa de arrendamiento garantizará un consumo mensual máximo de acuerdo a lo siguiente: </w:t>
      </w:r>
    </w:p>
    <w:p w:rsidR="003E2F01" w:rsidRPr="00E16359" w:rsidRDefault="003E2F01" w:rsidP="001D3335">
      <w:pPr>
        <w:spacing w:after="0" w:line="276" w:lineRule="auto"/>
        <w:ind w:left="709" w:right="567"/>
        <w:jc w:val="both"/>
        <w:rPr>
          <w:rFonts w:ascii="ITC Avant Garde" w:hAnsi="ITC Avant Garde"/>
          <w:i/>
          <w:sz w:val="18"/>
          <w:szCs w:val="18"/>
        </w:rPr>
      </w:pPr>
      <w:r w:rsidRPr="00E16359">
        <w:rPr>
          <w:rFonts w:ascii="ITC Avant Garde" w:hAnsi="ITC Avant Garde"/>
          <w:i/>
          <w:sz w:val="18"/>
          <w:szCs w:val="18"/>
        </w:rPr>
        <w:t xml:space="preserve">(...) </w:t>
      </w:r>
    </w:p>
    <w:p w:rsidR="003E2F01" w:rsidRPr="00E16359" w:rsidRDefault="003E2F01" w:rsidP="001D3335">
      <w:pPr>
        <w:spacing w:after="0" w:line="276" w:lineRule="auto"/>
        <w:ind w:left="709" w:right="567"/>
        <w:jc w:val="both"/>
        <w:rPr>
          <w:rFonts w:ascii="ITC Avant Garde" w:hAnsi="ITC Avant Garde"/>
          <w:i/>
          <w:sz w:val="18"/>
          <w:szCs w:val="18"/>
        </w:rPr>
      </w:pPr>
      <w:r w:rsidRPr="00E16359">
        <w:rPr>
          <w:rFonts w:ascii="ITC Avant Garde" w:hAnsi="ITC Avant Garde"/>
          <w:i/>
          <w:sz w:val="18"/>
          <w:szCs w:val="18"/>
        </w:rPr>
        <w:t xml:space="preserve">c) Corriente Directa: 48 volts, con 10 Amperes, respaldo de 4 horas y con circuitos redundantes. </w:t>
      </w:r>
    </w:p>
    <w:p w:rsidR="003E2F01" w:rsidRPr="00E16359" w:rsidRDefault="003E2F01" w:rsidP="001D3335">
      <w:pPr>
        <w:spacing w:after="0" w:line="276" w:lineRule="auto"/>
        <w:ind w:left="709" w:right="567"/>
        <w:jc w:val="both"/>
        <w:rPr>
          <w:rFonts w:ascii="ITC Avant Garde" w:hAnsi="ITC Avant Garde"/>
          <w:i/>
          <w:sz w:val="18"/>
          <w:szCs w:val="18"/>
        </w:rPr>
      </w:pPr>
      <w:r w:rsidRPr="00E16359">
        <w:rPr>
          <w:rFonts w:ascii="ITC Avant Garde" w:hAnsi="ITC Avant Garde"/>
          <w:i/>
          <w:sz w:val="18"/>
          <w:szCs w:val="18"/>
        </w:rPr>
        <w:t>d) Corriente Alterna: 10 Amperes, con dos contactos polarizados a 127 volts y con circuitos redundantes. .</w:t>
      </w:r>
    </w:p>
    <w:p w:rsidR="003E2F01" w:rsidRPr="00E16359" w:rsidRDefault="003E2F01" w:rsidP="001D3335">
      <w:pPr>
        <w:spacing w:after="0" w:line="276" w:lineRule="auto"/>
        <w:ind w:left="709" w:right="567"/>
        <w:jc w:val="both"/>
        <w:rPr>
          <w:rFonts w:ascii="ITC Avant Garde" w:hAnsi="ITC Avant Garde"/>
          <w:i/>
          <w:sz w:val="18"/>
          <w:szCs w:val="18"/>
        </w:rPr>
      </w:pPr>
      <w:r w:rsidRPr="00E16359">
        <w:rPr>
          <w:rFonts w:ascii="ITC Avant Garde" w:hAnsi="ITC Avant Garde"/>
          <w:i/>
          <w:sz w:val="18"/>
          <w:szCs w:val="18"/>
        </w:rPr>
        <w:t>o) Mantenimiento Preventivo y correctivo de Espacios de Coubicación;</w:t>
      </w:r>
    </w:p>
    <w:p w:rsidR="003E2F01" w:rsidRPr="00E16359" w:rsidRDefault="003E2F01" w:rsidP="001D3335">
      <w:pPr>
        <w:spacing w:after="0" w:line="276" w:lineRule="auto"/>
        <w:ind w:left="709" w:right="567"/>
        <w:jc w:val="both"/>
        <w:rPr>
          <w:rFonts w:ascii="ITC Avant Garde" w:hAnsi="ITC Avant Garde"/>
          <w:i/>
          <w:sz w:val="18"/>
          <w:szCs w:val="18"/>
        </w:rPr>
      </w:pPr>
    </w:p>
    <w:p w:rsidR="003E2F01" w:rsidRPr="00E16359" w:rsidRDefault="003E2F01" w:rsidP="001D3335">
      <w:pPr>
        <w:spacing w:after="0" w:line="276" w:lineRule="auto"/>
        <w:ind w:left="709" w:right="567"/>
        <w:jc w:val="both"/>
        <w:rPr>
          <w:rFonts w:ascii="ITC Avant Garde" w:hAnsi="ITC Avant Garde"/>
          <w:i/>
          <w:sz w:val="18"/>
          <w:szCs w:val="18"/>
        </w:rPr>
      </w:pPr>
      <w:r w:rsidRPr="00E16359">
        <w:rPr>
          <w:rFonts w:ascii="ITC Avant Garde" w:hAnsi="ITC Avant Garde"/>
          <w:i/>
          <w:sz w:val="18"/>
          <w:szCs w:val="18"/>
        </w:rPr>
        <w:t xml:space="preserve">Por cuestiones de seguridad y operatividad, Telmex proveerá el servicio de labores de mantenimiento preventivo y correctivo, lo cual se encuentra integrado dentro de la tarifa vigente que cobra el AEP. </w:t>
      </w:r>
    </w:p>
    <w:p w:rsidR="003E2F01" w:rsidRPr="00E16359" w:rsidRDefault="003E2F01" w:rsidP="001D3335">
      <w:pPr>
        <w:spacing w:after="0" w:line="276" w:lineRule="auto"/>
        <w:ind w:left="709" w:right="567"/>
        <w:jc w:val="both"/>
        <w:rPr>
          <w:rFonts w:ascii="ITC Avant Garde" w:hAnsi="ITC Avant Garde"/>
          <w:i/>
          <w:sz w:val="18"/>
          <w:szCs w:val="18"/>
        </w:rPr>
      </w:pPr>
      <w:r w:rsidRPr="00E16359">
        <w:rPr>
          <w:rFonts w:ascii="ITC Avant Garde" w:hAnsi="ITC Avant Garde"/>
          <w:i/>
          <w:sz w:val="18"/>
          <w:szCs w:val="18"/>
        </w:rPr>
        <w:t>En caso de que dos concesionarios tengan presencia en un mismo punto de interconexión (...)”</w:t>
      </w:r>
    </w:p>
    <w:p w:rsidR="003E2F01" w:rsidRPr="00E16359" w:rsidRDefault="003E2F01" w:rsidP="001D3335">
      <w:pPr>
        <w:spacing w:after="0" w:line="276" w:lineRule="auto"/>
        <w:jc w:val="both"/>
        <w:rPr>
          <w:rFonts w:ascii="ITC Avant Garde" w:hAnsi="ITC Avant Garde"/>
          <w:b/>
        </w:rPr>
      </w:pPr>
    </w:p>
    <w:p w:rsidR="009E53DD" w:rsidRPr="00E16359" w:rsidRDefault="009E53DD"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136BB1" w:rsidRPr="00E16359" w:rsidRDefault="00136BB1" w:rsidP="003A6606">
      <w:pPr>
        <w:spacing w:after="0" w:line="276" w:lineRule="auto"/>
        <w:jc w:val="both"/>
        <w:rPr>
          <w:rFonts w:ascii="ITC Avant Garde" w:hAnsi="ITC Avant Garde"/>
        </w:rPr>
      </w:pPr>
      <w:r w:rsidRPr="00E16359">
        <w:rPr>
          <w:rFonts w:ascii="ITC Avant Garde" w:hAnsi="ITC Avant Garde"/>
        </w:rPr>
        <w:t xml:space="preserve">Al respecto, </w:t>
      </w:r>
      <w:r w:rsidR="00C8502D" w:rsidRPr="00E16359">
        <w:rPr>
          <w:rFonts w:ascii="ITC Avant Garde" w:hAnsi="ITC Avant Garde"/>
        </w:rPr>
        <w:t xml:space="preserve">resulta </w:t>
      </w:r>
      <w:r w:rsidRPr="00E16359">
        <w:rPr>
          <w:rFonts w:ascii="ITC Avant Garde" w:hAnsi="ITC Avant Garde"/>
        </w:rPr>
        <w:t xml:space="preserve">importante considerar que dichas condiciones se encuentran establecidas en el Acuerdo de CTM, </w:t>
      </w:r>
      <w:r w:rsidR="003A6606">
        <w:rPr>
          <w:rFonts w:ascii="ITC Avant Garde" w:hAnsi="ITC Avant Garde"/>
        </w:rPr>
        <w:t xml:space="preserve">por tanto, el numeral, es acorde </w:t>
      </w:r>
      <w:r w:rsidRPr="00E16359">
        <w:rPr>
          <w:rFonts w:ascii="ITC Avant Garde" w:hAnsi="ITC Avant Garde"/>
        </w:rPr>
        <w:t>al marco regulatorio vigente</w:t>
      </w:r>
      <w:r w:rsidR="003A6606">
        <w:rPr>
          <w:rFonts w:ascii="ITC Avant Garde" w:hAnsi="ITC Avant Garde"/>
        </w:rPr>
        <w:t>.</w:t>
      </w:r>
    </w:p>
    <w:p w:rsidR="00136BB1" w:rsidRPr="00E16359" w:rsidRDefault="00136BB1" w:rsidP="001D3335">
      <w:pPr>
        <w:spacing w:after="0" w:line="276" w:lineRule="auto"/>
        <w:jc w:val="both"/>
        <w:rPr>
          <w:rFonts w:ascii="ITC Avant Garde" w:hAnsi="ITC Avant Garde"/>
          <w:b/>
          <w:u w:val="single"/>
        </w:rPr>
      </w:pPr>
    </w:p>
    <w:p w:rsidR="002434DF" w:rsidRPr="00E16359" w:rsidRDefault="00775EC4" w:rsidP="001D3335">
      <w:pPr>
        <w:autoSpaceDE w:val="0"/>
        <w:autoSpaceDN w:val="0"/>
        <w:adjustRightInd w:val="0"/>
        <w:spacing w:line="276" w:lineRule="auto"/>
        <w:jc w:val="both"/>
        <w:rPr>
          <w:rFonts w:ascii="ITC Avant Garde" w:hAnsi="ITC Avant Garde"/>
          <w:b/>
          <w:u w:val="single"/>
        </w:rPr>
      </w:pPr>
      <w:r w:rsidRPr="00E16359">
        <w:rPr>
          <w:rFonts w:ascii="ITC Avant Garde" w:hAnsi="ITC Avant Garde"/>
          <w:b/>
          <w:u w:val="single"/>
        </w:rPr>
        <w:t>Anexo A.2. Acuerdos Técnicos de Interconexión para Señalización SIP</w:t>
      </w:r>
      <w:r w:rsidRPr="00E16359">
        <w:rPr>
          <w:rFonts w:ascii="ITC Avant Garde" w:hAnsi="ITC Avant Garde"/>
          <w:u w:val="single"/>
        </w:rPr>
        <w:t xml:space="preserve">. </w:t>
      </w:r>
      <w:r w:rsidRPr="00E16359">
        <w:rPr>
          <w:rFonts w:ascii="ITC Avant Garde" w:hAnsi="ITC Avant Garde"/>
          <w:b/>
          <w:u w:val="single"/>
        </w:rPr>
        <w:t>Tema 1. Puntos de Interconexión</w:t>
      </w:r>
    </w:p>
    <w:p w:rsidR="005C1084" w:rsidRPr="00E16359" w:rsidRDefault="005C1084" w:rsidP="001D3335">
      <w:pPr>
        <w:spacing w:after="0" w:line="276" w:lineRule="auto"/>
        <w:jc w:val="both"/>
        <w:rPr>
          <w:rFonts w:ascii="ITC Avant Garde" w:hAnsi="ITC Avant Garde"/>
          <w:b/>
        </w:rPr>
      </w:pPr>
    </w:p>
    <w:p w:rsidR="003E2F01" w:rsidRPr="00E16359" w:rsidRDefault="00ED39CF" w:rsidP="001D3335">
      <w:pPr>
        <w:spacing w:after="0" w:line="276" w:lineRule="auto"/>
        <w:jc w:val="both"/>
        <w:rPr>
          <w:rFonts w:ascii="ITC Avant Garde" w:hAnsi="ITC Avant Garde"/>
          <w:b/>
        </w:rPr>
      </w:pPr>
      <w:r w:rsidRPr="00E16359">
        <w:rPr>
          <w:rFonts w:ascii="ITC Avant Garde" w:hAnsi="ITC Avant Garde"/>
          <w:b/>
        </w:rPr>
        <w:t>ALTÁN, CANIETI Y MEGACABLE</w:t>
      </w:r>
    </w:p>
    <w:p w:rsidR="00B85667" w:rsidRPr="00E16359" w:rsidRDefault="00B85667" w:rsidP="001D3335">
      <w:pPr>
        <w:spacing w:after="0" w:line="276" w:lineRule="auto"/>
        <w:jc w:val="both"/>
        <w:rPr>
          <w:rFonts w:ascii="ITC Avant Garde" w:hAnsi="ITC Avant Garde"/>
          <w:b/>
        </w:rPr>
      </w:pPr>
    </w:p>
    <w:p w:rsidR="00ED39CF" w:rsidRPr="00E16359" w:rsidRDefault="00886B31" w:rsidP="001D3335">
      <w:pPr>
        <w:spacing w:after="0" w:line="276" w:lineRule="auto"/>
        <w:jc w:val="both"/>
        <w:rPr>
          <w:rFonts w:ascii="ITC Avant Garde" w:hAnsi="ITC Avant Garde"/>
        </w:rPr>
      </w:pPr>
      <w:r w:rsidRPr="00E16359">
        <w:rPr>
          <w:rFonts w:ascii="ITC Avant Garde" w:hAnsi="ITC Avant Garde"/>
        </w:rPr>
        <w:t>P</w:t>
      </w:r>
      <w:r w:rsidR="00ED39CF" w:rsidRPr="00E16359">
        <w:rPr>
          <w:rFonts w:ascii="ITC Avant Garde" w:hAnsi="ITC Avant Garde"/>
        </w:rPr>
        <w:t>rop</w:t>
      </w:r>
      <w:r w:rsidR="00E82712" w:rsidRPr="00E16359">
        <w:rPr>
          <w:rFonts w:ascii="ITC Avant Garde" w:hAnsi="ITC Avant Garde"/>
        </w:rPr>
        <w:t>usiero</w:t>
      </w:r>
      <w:r w:rsidRPr="00E16359">
        <w:rPr>
          <w:rFonts w:ascii="ITC Avant Garde" w:hAnsi="ITC Avant Garde"/>
        </w:rPr>
        <w:t>n</w:t>
      </w:r>
      <w:r w:rsidR="00ED39CF" w:rsidRPr="00E16359">
        <w:rPr>
          <w:rFonts w:ascii="ITC Avant Garde" w:hAnsi="ITC Avant Garde"/>
        </w:rPr>
        <w:t xml:space="preserve"> la siguiente adecuación a la redacción:</w:t>
      </w:r>
    </w:p>
    <w:p w:rsidR="001602AB" w:rsidRPr="00E16359" w:rsidRDefault="001602AB" w:rsidP="001D3335">
      <w:pPr>
        <w:spacing w:after="0" w:line="276" w:lineRule="auto"/>
        <w:jc w:val="both"/>
        <w:rPr>
          <w:rFonts w:ascii="ITC Avant Garde" w:hAnsi="ITC Avant Garde"/>
        </w:rPr>
      </w:pPr>
    </w:p>
    <w:p w:rsidR="00ED39CF" w:rsidRPr="00E16359" w:rsidRDefault="001602AB" w:rsidP="001D3335">
      <w:pPr>
        <w:spacing w:after="0" w:line="276" w:lineRule="auto"/>
        <w:ind w:left="851"/>
        <w:jc w:val="both"/>
        <w:rPr>
          <w:rFonts w:ascii="ITC Avant Garde" w:hAnsi="ITC Avant Garde"/>
          <w:i/>
          <w:sz w:val="18"/>
          <w:szCs w:val="18"/>
        </w:rPr>
      </w:pPr>
      <w:r w:rsidRPr="00E16359">
        <w:rPr>
          <w:rFonts w:ascii="ITC Avant Garde" w:hAnsi="ITC Avant Garde"/>
          <w:i/>
          <w:sz w:val="18"/>
          <w:szCs w:val="18"/>
        </w:rPr>
        <w:t>“</w:t>
      </w:r>
      <w:r w:rsidR="00ED39CF" w:rsidRPr="00E16359">
        <w:rPr>
          <w:rFonts w:ascii="ITC Avant Garde" w:hAnsi="ITC Avant Garde"/>
          <w:i/>
          <w:sz w:val="18"/>
          <w:szCs w:val="18"/>
        </w:rPr>
        <w:t>Adicionalmente se utilizan las siguientes normas:</w:t>
      </w:r>
    </w:p>
    <w:p w:rsidR="00ED39CF" w:rsidRPr="00E16359" w:rsidRDefault="00ED39CF" w:rsidP="001D3335">
      <w:pPr>
        <w:spacing w:after="0" w:line="276" w:lineRule="auto"/>
        <w:ind w:left="851"/>
        <w:jc w:val="both"/>
        <w:rPr>
          <w:rFonts w:ascii="ITC Avant Garde" w:hAnsi="ITC Avant Garde"/>
          <w:i/>
          <w:sz w:val="18"/>
          <w:szCs w:val="18"/>
        </w:rPr>
      </w:pPr>
      <w:r w:rsidRPr="00E16359">
        <w:rPr>
          <w:rFonts w:ascii="ITC Avant Garde" w:hAnsi="ITC Avant Garde"/>
          <w:i/>
          <w:sz w:val="18"/>
          <w:szCs w:val="18"/>
        </w:rPr>
        <w:t>La utilización del protocolo UDP (RFC 768) o el TCP (RFC 793)</w:t>
      </w:r>
      <w:r w:rsidR="001602AB" w:rsidRPr="00E16359">
        <w:rPr>
          <w:rFonts w:ascii="ITC Avant Garde" w:hAnsi="ITC Avant Garde"/>
          <w:i/>
          <w:sz w:val="18"/>
          <w:szCs w:val="18"/>
        </w:rPr>
        <w:t>”</w:t>
      </w:r>
    </w:p>
    <w:p w:rsidR="00ED39CF" w:rsidRPr="00E16359" w:rsidRDefault="00ED39CF" w:rsidP="001D3335">
      <w:pPr>
        <w:spacing w:after="0" w:line="276" w:lineRule="auto"/>
        <w:ind w:left="851"/>
        <w:jc w:val="both"/>
        <w:rPr>
          <w:rFonts w:ascii="ITC Avant Garde" w:hAnsi="ITC Avant Garde"/>
          <w:b/>
          <w:sz w:val="18"/>
          <w:szCs w:val="18"/>
        </w:rPr>
      </w:pPr>
    </w:p>
    <w:p w:rsidR="00985A09" w:rsidRPr="00E16359" w:rsidRDefault="00985A09" w:rsidP="001D3335">
      <w:pPr>
        <w:spacing w:after="0" w:line="276" w:lineRule="auto"/>
        <w:jc w:val="both"/>
        <w:rPr>
          <w:rFonts w:ascii="ITC Avant Garde" w:hAnsi="ITC Avant Garde"/>
          <w:b/>
        </w:rPr>
      </w:pPr>
    </w:p>
    <w:p w:rsidR="00147ED4" w:rsidRPr="00E16359" w:rsidRDefault="00045EEC" w:rsidP="001D3335">
      <w:pPr>
        <w:spacing w:after="0" w:line="276" w:lineRule="auto"/>
        <w:jc w:val="both"/>
        <w:rPr>
          <w:rFonts w:ascii="ITC Avant Garde" w:hAnsi="ITC Avant Garde"/>
          <w:b/>
        </w:rPr>
      </w:pPr>
      <w:r w:rsidRPr="00E16359">
        <w:rPr>
          <w:rFonts w:ascii="ITC Avant Garde" w:hAnsi="ITC Avant Garde"/>
          <w:b/>
        </w:rPr>
        <w:t>AT&amp;T</w:t>
      </w:r>
    </w:p>
    <w:p w:rsidR="00B85667" w:rsidRPr="00E16359" w:rsidRDefault="00B85667" w:rsidP="001D3335">
      <w:pPr>
        <w:spacing w:after="0" w:line="276" w:lineRule="auto"/>
        <w:jc w:val="both"/>
        <w:rPr>
          <w:rFonts w:ascii="ITC Avant Garde" w:hAnsi="ITC Avant Garde"/>
          <w:b/>
        </w:rPr>
      </w:pPr>
    </w:p>
    <w:p w:rsidR="002434DF" w:rsidRPr="00E16359" w:rsidRDefault="00886B31" w:rsidP="001D3335">
      <w:pPr>
        <w:spacing w:after="0" w:line="276" w:lineRule="auto"/>
        <w:ind w:left="-5" w:right="49"/>
        <w:jc w:val="both"/>
        <w:rPr>
          <w:rFonts w:ascii="ITC Avant Garde" w:hAnsi="ITC Avant Garde"/>
        </w:rPr>
      </w:pPr>
      <w:r w:rsidRPr="00E16359">
        <w:rPr>
          <w:rFonts w:ascii="ITC Avant Garde" w:hAnsi="ITC Avant Garde"/>
        </w:rPr>
        <w:t>P</w:t>
      </w:r>
      <w:r w:rsidR="007F057C" w:rsidRPr="00E16359">
        <w:rPr>
          <w:rFonts w:ascii="ITC Avant Garde" w:hAnsi="ITC Avant Garde"/>
        </w:rPr>
        <w:t>ropuso</w:t>
      </w:r>
      <w:r w:rsidR="002434DF" w:rsidRPr="00E16359">
        <w:rPr>
          <w:rFonts w:ascii="ITC Avant Garde" w:hAnsi="ITC Avant Garde"/>
        </w:rPr>
        <w:t xml:space="preserve"> la siguiente redacción:</w:t>
      </w:r>
    </w:p>
    <w:p w:rsidR="002434DF" w:rsidRPr="00E16359" w:rsidRDefault="002434DF" w:rsidP="001D3335">
      <w:pPr>
        <w:spacing w:after="0" w:line="276" w:lineRule="auto"/>
        <w:ind w:left="-5" w:right="49"/>
        <w:jc w:val="both"/>
        <w:rPr>
          <w:rFonts w:ascii="ITC Avant Garde" w:hAnsi="ITC Avant Garde"/>
        </w:rPr>
      </w:pPr>
    </w:p>
    <w:p w:rsidR="002434DF" w:rsidRPr="00E16359" w:rsidRDefault="002434DF" w:rsidP="001D3335">
      <w:pPr>
        <w:tabs>
          <w:tab w:val="left" w:pos="851"/>
        </w:tabs>
        <w:spacing w:after="0" w:line="276" w:lineRule="auto"/>
        <w:ind w:left="851" w:right="709"/>
        <w:jc w:val="both"/>
        <w:rPr>
          <w:rFonts w:ascii="ITC Avant Garde" w:hAnsi="ITC Avant Garde"/>
          <w:i/>
          <w:sz w:val="18"/>
          <w:szCs w:val="18"/>
        </w:rPr>
      </w:pPr>
      <w:r w:rsidRPr="00E16359">
        <w:rPr>
          <w:rFonts w:ascii="ITC Avant Garde" w:hAnsi="ITC Avant Garde"/>
          <w:i/>
        </w:rPr>
        <w:t>“</w:t>
      </w:r>
      <w:r w:rsidRPr="00E16359">
        <w:rPr>
          <w:rFonts w:ascii="ITC Avant Garde" w:hAnsi="ITC Avant Garde"/>
          <w:i/>
          <w:sz w:val="18"/>
          <w:szCs w:val="18"/>
        </w:rPr>
        <w:t>Los Puntos de Interconexión IP de la red pública de telecomunicaciones de Telmex para intercambiar tráfico de cualquier origen o destino del territorio nacional mediante protocolo de internet (IP), correspondientes a los servicios de telecomunicaciones fijos estarán ubicados en las ciudades indicadas en el Subanexo A-1.”</w:t>
      </w:r>
    </w:p>
    <w:p w:rsidR="002434DF" w:rsidRPr="00E16359" w:rsidRDefault="002434DF" w:rsidP="001D3335">
      <w:pPr>
        <w:spacing w:after="0" w:line="276" w:lineRule="auto"/>
        <w:ind w:left="-5" w:right="49"/>
        <w:jc w:val="both"/>
        <w:rPr>
          <w:rFonts w:ascii="ITC Avant Garde" w:hAnsi="ITC Avant Garde"/>
          <w:sz w:val="18"/>
          <w:szCs w:val="18"/>
        </w:rPr>
      </w:pPr>
    </w:p>
    <w:p w:rsidR="002434DF" w:rsidRPr="00E16359" w:rsidRDefault="007F057C" w:rsidP="001D3335">
      <w:pPr>
        <w:spacing w:after="0" w:line="276" w:lineRule="auto"/>
        <w:ind w:left="-5" w:right="49"/>
        <w:jc w:val="both"/>
        <w:rPr>
          <w:rFonts w:ascii="ITC Avant Garde" w:hAnsi="ITC Avant Garde"/>
        </w:rPr>
      </w:pPr>
      <w:r w:rsidRPr="00E16359">
        <w:rPr>
          <w:rFonts w:ascii="ITC Avant Garde" w:hAnsi="ITC Avant Garde"/>
        </w:rPr>
        <w:t>Señaló</w:t>
      </w:r>
      <w:r w:rsidR="002434DF" w:rsidRPr="00E16359">
        <w:rPr>
          <w:rFonts w:ascii="ITC Avant Garde" w:hAnsi="ITC Avant Garde"/>
        </w:rPr>
        <w:t xml:space="preserve"> que se pretende eliminar a obligación de intercambiar tráfico de cualquier origen y cualquier destino, obligando a los demás operadores a conectarse en todos los puntos de interconexión de Telmex, lo cual implicaría una enorme afectación para los operadores, además de ir en sentido contrario a la tendencia tecnológica de IP para reducir los puntos de interconexión.</w:t>
      </w:r>
    </w:p>
    <w:p w:rsidR="00F16810" w:rsidRPr="00E16359" w:rsidRDefault="00F16810" w:rsidP="001D3335">
      <w:pPr>
        <w:spacing w:after="0" w:line="276" w:lineRule="auto"/>
        <w:ind w:left="-5" w:right="49"/>
        <w:jc w:val="both"/>
        <w:rPr>
          <w:rFonts w:ascii="ITC Avant Garde" w:hAnsi="ITC Avant Garde"/>
        </w:rPr>
      </w:pPr>
    </w:p>
    <w:p w:rsidR="002434DF" w:rsidRPr="00E16359" w:rsidRDefault="00D63C70" w:rsidP="001D3335">
      <w:pPr>
        <w:autoSpaceDE w:val="0"/>
        <w:autoSpaceDN w:val="0"/>
        <w:adjustRightInd w:val="0"/>
        <w:spacing w:line="276" w:lineRule="auto"/>
        <w:jc w:val="both"/>
        <w:rPr>
          <w:rFonts w:ascii="ITC Avant Garde" w:hAnsi="ITC Avant Garde"/>
          <w:b/>
          <w:u w:val="single"/>
        </w:rPr>
      </w:pPr>
      <w:r w:rsidRPr="00E16359">
        <w:rPr>
          <w:rFonts w:ascii="ITC Avant Garde" w:hAnsi="ITC Avant Garde"/>
          <w:b/>
          <w:u w:val="single"/>
        </w:rPr>
        <w:t xml:space="preserve">Tema 2. Señalización, Inciso 2.1 Protocolo de Señalización </w:t>
      </w:r>
    </w:p>
    <w:p w:rsidR="006D7CE6" w:rsidRPr="00E16359" w:rsidRDefault="007F58BF" w:rsidP="001D3335">
      <w:pPr>
        <w:autoSpaceDE w:val="0"/>
        <w:autoSpaceDN w:val="0"/>
        <w:adjustRightInd w:val="0"/>
        <w:spacing w:line="276" w:lineRule="auto"/>
        <w:jc w:val="both"/>
        <w:rPr>
          <w:rFonts w:ascii="ITC Avant Garde" w:hAnsi="ITC Avant Garde"/>
          <w:b/>
        </w:rPr>
      </w:pPr>
      <w:r w:rsidRPr="00E16359">
        <w:rPr>
          <w:rFonts w:ascii="ITC Avant Garde" w:hAnsi="ITC Avant Garde"/>
          <w:b/>
        </w:rPr>
        <w:t>GRUPO TELEVISA</w:t>
      </w:r>
    </w:p>
    <w:p w:rsidR="007F58BF" w:rsidRPr="00E16359" w:rsidRDefault="00E82712" w:rsidP="001D3335">
      <w:pPr>
        <w:autoSpaceDE w:val="0"/>
        <w:autoSpaceDN w:val="0"/>
        <w:adjustRightInd w:val="0"/>
        <w:spacing w:line="276" w:lineRule="auto"/>
        <w:jc w:val="both"/>
        <w:rPr>
          <w:rFonts w:ascii="ITC Avant Garde" w:hAnsi="ITC Avant Garde"/>
        </w:rPr>
      </w:pPr>
      <w:r w:rsidRPr="00E16359">
        <w:rPr>
          <w:rFonts w:ascii="ITC Avant Garde" w:hAnsi="ITC Avant Garde"/>
        </w:rPr>
        <w:t>Sugirió</w:t>
      </w:r>
      <w:r w:rsidR="007F58BF" w:rsidRPr="00E16359">
        <w:rPr>
          <w:rFonts w:ascii="ITC Avant Garde" w:hAnsi="ITC Avant Garde"/>
        </w:rPr>
        <w:t xml:space="preserve"> agregar al inciso 2.1 Protocolo de señalización lo siguiente:</w:t>
      </w:r>
    </w:p>
    <w:p w:rsidR="007F58BF" w:rsidRPr="00E16359" w:rsidRDefault="007F58BF" w:rsidP="001D3335">
      <w:pPr>
        <w:autoSpaceDE w:val="0"/>
        <w:autoSpaceDN w:val="0"/>
        <w:adjustRightInd w:val="0"/>
        <w:spacing w:line="276" w:lineRule="auto"/>
        <w:ind w:left="851" w:right="709"/>
        <w:jc w:val="both"/>
        <w:rPr>
          <w:rFonts w:ascii="ITC Avant Garde" w:hAnsi="ITC Avant Garde"/>
          <w:i/>
          <w:sz w:val="18"/>
          <w:szCs w:val="18"/>
        </w:rPr>
      </w:pPr>
      <w:r w:rsidRPr="00E16359">
        <w:rPr>
          <w:rFonts w:ascii="ITC Avant Garde" w:hAnsi="ITC Avant Garde"/>
          <w:i/>
          <w:sz w:val="18"/>
          <w:szCs w:val="18"/>
        </w:rPr>
        <w:t>" Los parámetros SDP en donde se tengan sesiones multimedios (video y voz), se respeten tal como son generados desde el origen. Es decir, no se deben modificar los valores en el SDP durante el tránsito, esto es de acuerdo a las condiciones técnicas mínimas y al RFC 4566. Asimismo, si la sesión no requiere el envío de parámetros especiales, se requiere que estos se omitan para evitar problemas de interworking y así se activen previas pruebas de interoperabilidad".</w:t>
      </w:r>
    </w:p>
    <w:p w:rsidR="007F58BF" w:rsidRPr="00E16359" w:rsidRDefault="007F58BF" w:rsidP="001D3335">
      <w:pPr>
        <w:autoSpaceDE w:val="0"/>
        <w:autoSpaceDN w:val="0"/>
        <w:adjustRightInd w:val="0"/>
        <w:spacing w:line="276" w:lineRule="auto"/>
        <w:jc w:val="both"/>
        <w:rPr>
          <w:rFonts w:ascii="ITC Avant Garde" w:hAnsi="ITC Avant Garde"/>
        </w:rPr>
      </w:pPr>
      <w:r w:rsidRPr="00E16359">
        <w:rPr>
          <w:rFonts w:ascii="ITC Avant Garde" w:hAnsi="ITC Avant Garde"/>
        </w:rPr>
        <w:t>A</w:t>
      </w:r>
      <w:r w:rsidR="00596D6A" w:rsidRPr="00E16359">
        <w:rPr>
          <w:rFonts w:ascii="ITC Avant Garde" w:hAnsi="ITC Avant Garde"/>
        </w:rPr>
        <w:t>demás,</w:t>
      </w:r>
      <w:r w:rsidR="00F5613E" w:rsidRPr="00E16359">
        <w:rPr>
          <w:rFonts w:ascii="ITC Avant Garde" w:hAnsi="ITC Avant Garde"/>
        </w:rPr>
        <w:t xml:space="preserve"> sugirió</w:t>
      </w:r>
      <w:r w:rsidR="00406010" w:rsidRPr="00E16359">
        <w:rPr>
          <w:rFonts w:ascii="ITC Avant Garde" w:hAnsi="ITC Avant Garde"/>
        </w:rPr>
        <w:t xml:space="preserve"> incluir</w:t>
      </w:r>
      <w:r w:rsidR="00596D6A" w:rsidRPr="00E16359">
        <w:rPr>
          <w:rFonts w:ascii="ITC Avant Garde" w:hAnsi="ITC Avant Garde"/>
        </w:rPr>
        <w:t xml:space="preserve"> en la norma RFC 3311, </w:t>
      </w:r>
      <w:r w:rsidRPr="00E16359">
        <w:rPr>
          <w:rFonts w:ascii="ITC Avant Garde" w:hAnsi="ITC Avant Garde"/>
        </w:rPr>
        <w:t>lo siguiente:</w:t>
      </w:r>
    </w:p>
    <w:p w:rsidR="007F58BF" w:rsidRPr="00E16359" w:rsidRDefault="007F58BF" w:rsidP="001D3335">
      <w:pPr>
        <w:autoSpaceDE w:val="0"/>
        <w:autoSpaceDN w:val="0"/>
        <w:adjustRightInd w:val="0"/>
        <w:spacing w:line="276" w:lineRule="auto"/>
        <w:ind w:left="851" w:right="709"/>
        <w:jc w:val="both"/>
        <w:rPr>
          <w:rFonts w:ascii="ITC Avant Garde" w:hAnsi="ITC Avant Garde"/>
          <w:i/>
          <w:sz w:val="18"/>
          <w:szCs w:val="18"/>
        </w:rPr>
      </w:pPr>
      <w:r w:rsidRPr="00E16359">
        <w:rPr>
          <w:rFonts w:ascii="ITC Avant Garde" w:hAnsi="ITC Avant Garde"/>
          <w:i/>
          <w:sz w:val="18"/>
          <w:szCs w:val="18"/>
        </w:rPr>
        <w:t>"Se debe considerar el RFC4028 referente a los temporizadores de la expiración de la sesión. Los valores deben ser de acuerdo con la tabla siguiente: (imagen) "</w:t>
      </w:r>
    </w:p>
    <w:p w:rsidR="005C1084" w:rsidRPr="00E16359" w:rsidRDefault="007F58BF" w:rsidP="001D3335">
      <w:pPr>
        <w:autoSpaceDE w:val="0"/>
        <w:autoSpaceDN w:val="0"/>
        <w:adjustRightInd w:val="0"/>
        <w:spacing w:line="276" w:lineRule="auto"/>
        <w:ind w:left="851" w:right="709"/>
        <w:jc w:val="both"/>
        <w:rPr>
          <w:rFonts w:ascii="ITC Avant Garde" w:hAnsi="ITC Avant Garde"/>
          <w:i/>
          <w:sz w:val="18"/>
          <w:szCs w:val="18"/>
        </w:rPr>
      </w:pPr>
      <w:r w:rsidRPr="00E16359">
        <w:rPr>
          <w:rFonts w:ascii="ITC Avant Garde" w:hAnsi="ITC Avant Garde"/>
          <w:i/>
          <w:sz w:val="18"/>
          <w:szCs w:val="18"/>
        </w:rPr>
        <w:t xml:space="preserve">" Para llamadas que son generadas por un usuario que las transfiere a otro carrier (servicio transferencia de llamada) la identificación que presenta el header 'from' no es la del usuario que tiene el servicio y transfiere la llamada al carrier destino, sino es la identificación del abonado que originalmente hace la llamada. En este caso la identificación del número responsable de la llamada, es decir, el número que transfiere al carrier destino, deberá estar contenida en el header 'Diversión' de acuerdo con el RFC 5806. El header 'Diversión' muestra también la razón del desvío de la llamada dentro de las siguientes opciones: número ocupado, desvío incondicional, </w:t>
      </w:r>
      <w:r w:rsidR="001C0234" w:rsidRPr="00E16359">
        <w:rPr>
          <w:rFonts w:ascii="ITC Avant Garde" w:hAnsi="ITC Avant Garde"/>
          <w:i/>
          <w:sz w:val="18"/>
          <w:szCs w:val="18"/>
        </w:rPr>
        <w:t>e</w:t>
      </w:r>
      <w:r w:rsidRPr="00E16359">
        <w:rPr>
          <w:rFonts w:ascii="ITC Avant Garde" w:hAnsi="ITC Avant Garde"/>
          <w:i/>
          <w:sz w:val="18"/>
          <w:szCs w:val="18"/>
        </w:rPr>
        <w:t>n contestación y otras"</w:t>
      </w:r>
    </w:p>
    <w:p w:rsidR="00B85667" w:rsidRPr="00E16359" w:rsidRDefault="00B85667" w:rsidP="001D3335">
      <w:pPr>
        <w:spacing w:line="276" w:lineRule="auto"/>
        <w:jc w:val="both"/>
        <w:rPr>
          <w:rFonts w:ascii="ITC Avant Garde" w:hAnsi="ITC Avant Garde"/>
          <w:b/>
        </w:rPr>
      </w:pPr>
    </w:p>
    <w:p w:rsidR="009E53DD" w:rsidRPr="00E16359" w:rsidRDefault="009E53DD"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8E4A5E" w:rsidRPr="00E16359" w:rsidRDefault="008E4A5E" w:rsidP="008E4A5E">
      <w:pPr>
        <w:spacing w:after="0" w:line="276" w:lineRule="auto"/>
        <w:jc w:val="both"/>
        <w:rPr>
          <w:rFonts w:ascii="ITC Avant Garde" w:hAnsi="ITC Avant Garde"/>
        </w:rPr>
      </w:pPr>
      <w:r w:rsidRPr="00E16359">
        <w:rPr>
          <w:rFonts w:ascii="ITC Avant Garde" w:hAnsi="ITC Avant Garde"/>
        </w:rPr>
        <w:lastRenderedPageBreak/>
        <w:t>Cabe señalar que los protocolos de señalización, se encuentran de conformidad al marco regulatorio vigente, considerando que el Acuerdo de CTM, dispone lo siguiente:</w:t>
      </w:r>
    </w:p>
    <w:p w:rsidR="008E4A5E" w:rsidRPr="00E16359" w:rsidRDefault="008E4A5E" w:rsidP="008E4A5E">
      <w:pPr>
        <w:spacing w:after="0" w:line="276" w:lineRule="auto"/>
        <w:jc w:val="both"/>
        <w:rPr>
          <w:rFonts w:ascii="ITC Avant Garde" w:hAnsi="ITC Avant Garde"/>
          <w:b/>
        </w:rPr>
      </w:pPr>
    </w:p>
    <w:p w:rsidR="008E4A5E" w:rsidRPr="00E16359" w:rsidRDefault="008E4A5E" w:rsidP="008E4A5E">
      <w:pPr>
        <w:tabs>
          <w:tab w:val="left" w:pos="8222"/>
        </w:tabs>
        <w:spacing w:after="0" w:line="276" w:lineRule="auto"/>
        <w:ind w:left="567" w:right="850" w:hanging="11"/>
        <w:jc w:val="both"/>
        <w:rPr>
          <w:rFonts w:ascii="ITC Avant Garde" w:hAnsi="ITC Avant Garde"/>
          <w:i/>
          <w:sz w:val="18"/>
          <w:szCs w:val="18"/>
        </w:rPr>
      </w:pPr>
      <w:r w:rsidRPr="00E16359">
        <w:rPr>
          <w:rFonts w:ascii="ITC Avant Garde" w:hAnsi="ITC Avant Garde"/>
          <w:b/>
          <w:i/>
          <w:sz w:val="18"/>
          <w:szCs w:val="18"/>
        </w:rPr>
        <w:t>“SÉPTIMA. -</w:t>
      </w:r>
      <w:r w:rsidRPr="00E16359">
        <w:rPr>
          <w:rFonts w:ascii="ITC Avant Garde" w:hAnsi="ITC Avant Garde"/>
          <w:i/>
          <w:sz w:val="18"/>
          <w:szCs w:val="18"/>
        </w:rPr>
        <w:t xml:space="preserve"> La interconexión de redes públicas de telecomunicaciones se sujetará a la utilización de los siguientes protocolos de señalización.</w:t>
      </w:r>
    </w:p>
    <w:p w:rsidR="008E4A5E" w:rsidRPr="00E16359" w:rsidRDefault="008E4A5E" w:rsidP="008E4A5E">
      <w:pPr>
        <w:tabs>
          <w:tab w:val="left" w:pos="8222"/>
        </w:tabs>
        <w:spacing w:after="0" w:line="276" w:lineRule="auto"/>
        <w:ind w:left="567" w:right="850" w:hanging="11"/>
        <w:jc w:val="both"/>
        <w:rPr>
          <w:rFonts w:ascii="ITC Avant Garde" w:hAnsi="ITC Avant Garde"/>
          <w:i/>
          <w:sz w:val="18"/>
          <w:szCs w:val="18"/>
        </w:rPr>
      </w:pPr>
    </w:p>
    <w:p w:rsidR="008E4A5E" w:rsidRPr="00E16359" w:rsidRDefault="008E4A5E" w:rsidP="008E4A5E">
      <w:pPr>
        <w:tabs>
          <w:tab w:val="left" w:pos="8222"/>
        </w:tabs>
        <w:spacing w:after="0" w:line="276" w:lineRule="auto"/>
        <w:ind w:left="567" w:right="850" w:hanging="11"/>
        <w:jc w:val="both"/>
        <w:rPr>
          <w:rFonts w:ascii="ITC Avant Garde" w:hAnsi="ITC Avant Garde"/>
          <w:b/>
          <w:i/>
          <w:sz w:val="18"/>
          <w:szCs w:val="18"/>
        </w:rPr>
      </w:pPr>
      <w:r w:rsidRPr="00E16359">
        <w:rPr>
          <w:rFonts w:ascii="ITC Avant Garde" w:hAnsi="ITC Avant Garde"/>
          <w:b/>
          <w:i/>
          <w:sz w:val="18"/>
          <w:szCs w:val="18"/>
        </w:rPr>
        <w:t>Interconexión IP</w:t>
      </w:r>
    </w:p>
    <w:p w:rsidR="008E4A5E" w:rsidRPr="00E16359" w:rsidRDefault="008E4A5E" w:rsidP="008E4A5E">
      <w:pPr>
        <w:tabs>
          <w:tab w:val="left" w:pos="8222"/>
        </w:tabs>
        <w:spacing w:after="0" w:line="276" w:lineRule="auto"/>
        <w:ind w:left="567" w:right="850" w:hanging="11"/>
        <w:jc w:val="both"/>
        <w:rPr>
          <w:rFonts w:ascii="ITC Avant Garde" w:hAnsi="ITC Avant Garde"/>
          <w:i/>
          <w:sz w:val="18"/>
          <w:szCs w:val="18"/>
        </w:rPr>
      </w:pPr>
      <w:r w:rsidRPr="00E16359">
        <w:rPr>
          <w:rFonts w:ascii="ITC Avant Garde" w:hAnsi="ITC Avant Garde"/>
          <w:i/>
          <w:sz w:val="18"/>
          <w:szCs w:val="18"/>
        </w:rPr>
        <w:t>El protocolo de señalización SIP-IP será obligatorio para la interconexión directa entre concesionarios y de acuerdo a la Recomendación IETF RFC 3261 y recomendaciones complementarias…”</w:t>
      </w:r>
    </w:p>
    <w:p w:rsidR="008E4A5E" w:rsidRPr="00E16359" w:rsidRDefault="008E4A5E" w:rsidP="00531B8B">
      <w:pPr>
        <w:spacing w:after="0" w:line="276" w:lineRule="auto"/>
        <w:jc w:val="both"/>
        <w:rPr>
          <w:rFonts w:ascii="ITC Avant Garde" w:hAnsi="ITC Avant Garde"/>
          <w:b/>
          <w:u w:val="single"/>
        </w:rPr>
      </w:pPr>
    </w:p>
    <w:p w:rsidR="008E4A5E" w:rsidRPr="00E16359" w:rsidRDefault="008E4A5E" w:rsidP="008E4A5E">
      <w:pPr>
        <w:spacing w:after="0" w:line="276" w:lineRule="auto"/>
        <w:jc w:val="both"/>
        <w:rPr>
          <w:rFonts w:ascii="ITC Avant Garde" w:hAnsi="ITC Avant Garde"/>
        </w:rPr>
      </w:pPr>
      <w:r w:rsidRPr="00E16359">
        <w:rPr>
          <w:rFonts w:ascii="ITC Avant Garde" w:hAnsi="ITC Avant Garde"/>
        </w:rPr>
        <w:t>Ahora bien, es conveniente considerar que la interconexión en su modalidad IP se ha llevado de manera eficiente tomando como base principal el RFC 3261, tal como lo establece la condición séptima en el Acuerdo de CTM:</w:t>
      </w:r>
    </w:p>
    <w:p w:rsidR="008E4A5E" w:rsidRPr="00E16359" w:rsidRDefault="008E4A5E" w:rsidP="008E4A5E">
      <w:pPr>
        <w:tabs>
          <w:tab w:val="left" w:pos="851"/>
        </w:tabs>
        <w:spacing w:after="0"/>
        <w:ind w:left="851" w:right="567"/>
        <w:jc w:val="both"/>
        <w:rPr>
          <w:rFonts w:ascii="ITC Avant Garde" w:hAnsi="ITC Avant Garde" w:cs="Arial"/>
          <w:i/>
          <w:sz w:val="18"/>
          <w:szCs w:val="18"/>
        </w:rPr>
      </w:pPr>
    </w:p>
    <w:p w:rsidR="008E4A5E" w:rsidRPr="00E16359" w:rsidRDefault="008E4A5E" w:rsidP="00E16359">
      <w:pPr>
        <w:spacing w:line="276" w:lineRule="auto"/>
        <w:jc w:val="both"/>
        <w:rPr>
          <w:rFonts w:ascii="ITC Avant Garde" w:hAnsi="ITC Avant Garde"/>
        </w:rPr>
      </w:pPr>
      <w:r w:rsidRPr="00E16359">
        <w:rPr>
          <w:rFonts w:ascii="ITC Avant Garde" w:eastAsia="Avant Garde" w:hAnsi="ITC Avant Garde" w:cs="Avant Garde"/>
          <w:color w:val="000000"/>
          <w:lang w:eastAsia="es-MX"/>
        </w:rPr>
        <w:t>En este sentido, el contenido del CMI es acorde a la disposición antes señalada y el marco regulatorio vigente.</w:t>
      </w:r>
    </w:p>
    <w:p w:rsidR="008E4A5E" w:rsidRPr="00E16359" w:rsidRDefault="008E4A5E" w:rsidP="008E4A5E">
      <w:pPr>
        <w:spacing w:after="0" w:line="276" w:lineRule="auto"/>
        <w:ind w:left="-5" w:right="49"/>
        <w:jc w:val="both"/>
        <w:rPr>
          <w:rFonts w:ascii="ITC Avant Garde" w:hAnsi="ITC Avant Garde"/>
        </w:rPr>
      </w:pPr>
    </w:p>
    <w:p w:rsidR="00695A7E" w:rsidRPr="00E16359" w:rsidRDefault="00BA5602" w:rsidP="001D3335">
      <w:pPr>
        <w:autoSpaceDE w:val="0"/>
        <w:autoSpaceDN w:val="0"/>
        <w:adjustRightInd w:val="0"/>
        <w:spacing w:line="276" w:lineRule="auto"/>
        <w:jc w:val="both"/>
        <w:rPr>
          <w:rFonts w:ascii="ITC Avant Garde" w:hAnsi="ITC Avant Garde"/>
          <w:b/>
          <w:u w:val="single"/>
        </w:rPr>
      </w:pPr>
      <w:r w:rsidRPr="00E16359">
        <w:rPr>
          <w:rFonts w:ascii="ITC Avant Garde" w:hAnsi="ITC Avant Garde"/>
          <w:b/>
          <w:u w:val="single"/>
        </w:rPr>
        <w:t>Tema 3. Interconexión, Inciso 3.1 Realización Física</w:t>
      </w:r>
    </w:p>
    <w:p w:rsidR="007F58BF" w:rsidRPr="00E16359" w:rsidRDefault="00122697" w:rsidP="001D3335">
      <w:pPr>
        <w:autoSpaceDE w:val="0"/>
        <w:autoSpaceDN w:val="0"/>
        <w:adjustRightInd w:val="0"/>
        <w:spacing w:line="276" w:lineRule="auto"/>
        <w:jc w:val="both"/>
        <w:rPr>
          <w:rFonts w:ascii="ITC Avant Garde" w:hAnsi="ITC Avant Garde"/>
          <w:b/>
        </w:rPr>
      </w:pPr>
      <w:r w:rsidRPr="00E16359">
        <w:rPr>
          <w:rFonts w:ascii="ITC Avant Garde" w:hAnsi="ITC Avant Garde"/>
          <w:b/>
        </w:rPr>
        <w:t>ALTÁN, CANIETI Y MEGACABLE</w:t>
      </w:r>
    </w:p>
    <w:p w:rsidR="00122697" w:rsidRPr="00E16359" w:rsidRDefault="0061385E" w:rsidP="001D3335">
      <w:pPr>
        <w:autoSpaceDE w:val="0"/>
        <w:autoSpaceDN w:val="0"/>
        <w:adjustRightInd w:val="0"/>
        <w:spacing w:line="276" w:lineRule="auto"/>
        <w:jc w:val="both"/>
        <w:rPr>
          <w:rFonts w:ascii="ITC Avant Garde" w:hAnsi="ITC Avant Garde"/>
        </w:rPr>
      </w:pPr>
      <w:r w:rsidRPr="00E16359">
        <w:rPr>
          <w:rFonts w:ascii="ITC Avant Garde" w:hAnsi="ITC Avant Garde"/>
        </w:rPr>
        <w:t>P</w:t>
      </w:r>
      <w:r w:rsidR="00F936B7" w:rsidRPr="00E16359">
        <w:rPr>
          <w:rFonts w:ascii="ITC Avant Garde" w:hAnsi="ITC Avant Garde"/>
        </w:rPr>
        <w:t>ropusieron</w:t>
      </w:r>
      <w:r w:rsidR="00122697" w:rsidRPr="00E16359">
        <w:rPr>
          <w:rFonts w:ascii="ITC Avant Garde" w:hAnsi="ITC Avant Garde"/>
        </w:rPr>
        <w:t xml:space="preserve"> la siguiente adecuación a la redacción:</w:t>
      </w:r>
    </w:p>
    <w:p w:rsidR="00122697" w:rsidRPr="00E16359" w:rsidRDefault="00122697" w:rsidP="001D3335">
      <w:pPr>
        <w:autoSpaceDE w:val="0"/>
        <w:autoSpaceDN w:val="0"/>
        <w:adjustRightInd w:val="0"/>
        <w:spacing w:line="276" w:lineRule="auto"/>
        <w:ind w:left="851" w:right="709"/>
        <w:jc w:val="both"/>
        <w:rPr>
          <w:rFonts w:ascii="ITC Avant Garde" w:hAnsi="ITC Avant Garde"/>
          <w:i/>
          <w:sz w:val="18"/>
          <w:szCs w:val="18"/>
        </w:rPr>
      </w:pPr>
      <w:r w:rsidRPr="00E16359">
        <w:rPr>
          <w:rFonts w:ascii="ITC Avant Garde" w:hAnsi="ITC Avant Garde"/>
          <w:i/>
          <w:sz w:val="18"/>
          <w:szCs w:val="18"/>
        </w:rPr>
        <w:t>“Cada Concesionario proveerá un enlace de fibra óptica tipo monomodo que podrá ser propio o arrendado y un Puerto de Acceso óptico para que se conecte el enlace de la otra parte.</w:t>
      </w:r>
    </w:p>
    <w:p w:rsidR="00122697" w:rsidRPr="00E16359" w:rsidRDefault="00122697" w:rsidP="001D3335">
      <w:pPr>
        <w:autoSpaceDE w:val="0"/>
        <w:autoSpaceDN w:val="0"/>
        <w:adjustRightInd w:val="0"/>
        <w:spacing w:line="276" w:lineRule="auto"/>
        <w:ind w:left="851" w:right="709"/>
        <w:jc w:val="both"/>
        <w:rPr>
          <w:rFonts w:ascii="ITC Avant Garde" w:hAnsi="ITC Avant Garde"/>
          <w:i/>
          <w:sz w:val="18"/>
          <w:szCs w:val="18"/>
        </w:rPr>
      </w:pPr>
      <w:r w:rsidRPr="00E16359">
        <w:rPr>
          <w:rFonts w:ascii="ITC Avant Garde" w:hAnsi="ITC Avant Garde"/>
          <w:i/>
          <w:sz w:val="18"/>
          <w:szCs w:val="18"/>
        </w:rPr>
        <w:t>El enlace será tipo Ethernet dedicado con el estándar lEEE.802.3 versión 2012, con una interfaz activa de cuando menos 1000 Base - LX con un conector LC y un tamaño de trama de 1536 bytes.</w:t>
      </w:r>
    </w:p>
    <w:p w:rsidR="00122697" w:rsidRPr="00E16359" w:rsidRDefault="00122697" w:rsidP="001D3335">
      <w:pPr>
        <w:autoSpaceDE w:val="0"/>
        <w:autoSpaceDN w:val="0"/>
        <w:adjustRightInd w:val="0"/>
        <w:spacing w:line="276" w:lineRule="auto"/>
        <w:ind w:left="851" w:right="709"/>
        <w:jc w:val="both"/>
        <w:rPr>
          <w:rFonts w:ascii="ITC Avant Garde" w:hAnsi="ITC Avant Garde"/>
          <w:i/>
          <w:sz w:val="18"/>
          <w:szCs w:val="18"/>
        </w:rPr>
      </w:pPr>
      <w:r w:rsidRPr="00E16359">
        <w:rPr>
          <w:rFonts w:ascii="ITC Avant Garde" w:hAnsi="ITC Avant Garde"/>
          <w:i/>
          <w:sz w:val="18"/>
          <w:szCs w:val="18"/>
        </w:rPr>
        <w:t>Dentro de la interfaz activa se crecerá la capacidad de manejo de tráfico con incrementos de 10 Mbps o 100 Mbps. Los crecimientos se realizarán al llegar al 85% de ocupación.</w:t>
      </w:r>
    </w:p>
    <w:p w:rsidR="00122697" w:rsidRPr="00E16359" w:rsidRDefault="00122697" w:rsidP="001D3335">
      <w:pPr>
        <w:autoSpaceDE w:val="0"/>
        <w:autoSpaceDN w:val="0"/>
        <w:adjustRightInd w:val="0"/>
        <w:spacing w:line="276" w:lineRule="auto"/>
        <w:ind w:left="851" w:right="709"/>
        <w:jc w:val="both"/>
        <w:rPr>
          <w:rFonts w:ascii="ITC Avant Garde" w:hAnsi="ITC Avant Garde"/>
          <w:i/>
          <w:sz w:val="18"/>
          <w:szCs w:val="18"/>
        </w:rPr>
      </w:pPr>
      <w:r w:rsidRPr="00E16359">
        <w:rPr>
          <w:rFonts w:ascii="ITC Avant Garde" w:hAnsi="ITC Avant Garde"/>
          <w:i/>
          <w:sz w:val="18"/>
          <w:szCs w:val="18"/>
        </w:rPr>
        <w:t>Los puertos de acceso que proporcione el Concesionario Solicitado serán de capacidades acordes a la capacidad del enlace de transmisión de interconexión</w:t>
      </w:r>
    </w:p>
    <w:p w:rsidR="00122697" w:rsidRPr="00E16359" w:rsidRDefault="00122697" w:rsidP="001D3335">
      <w:pPr>
        <w:autoSpaceDE w:val="0"/>
        <w:autoSpaceDN w:val="0"/>
        <w:adjustRightInd w:val="0"/>
        <w:spacing w:line="276" w:lineRule="auto"/>
        <w:ind w:left="851" w:right="709"/>
        <w:jc w:val="both"/>
        <w:rPr>
          <w:rFonts w:ascii="ITC Avant Garde" w:hAnsi="ITC Avant Garde"/>
          <w:i/>
          <w:sz w:val="18"/>
          <w:szCs w:val="18"/>
        </w:rPr>
      </w:pPr>
      <w:r w:rsidRPr="00E16359">
        <w:rPr>
          <w:rFonts w:ascii="ITC Avant Garde" w:hAnsi="ITC Avant Garde"/>
          <w:i/>
          <w:sz w:val="18"/>
          <w:szCs w:val="18"/>
        </w:rPr>
        <w:t>El ____, podrá solicitar a Telmex/Telnor la interconexión de dos redes a nivel físico a través de un punto de demarcación (D</w:t>
      </w:r>
      <w:r w:rsidR="00500FF3" w:rsidRPr="00E16359">
        <w:rPr>
          <w:rFonts w:ascii="ITC Avant Garde" w:hAnsi="ITC Avant Garde"/>
          <w:i/>
          <w:sz w:val="18"/>
          <w:szCs w:val="18"/>
        </w:rPr>
        <w:t xml:space="preserve">FO) el cual será instalado por </w:t>
      </w:r>
      <w:r w:rsidRPr="00E16359">
        <w:rPr>
          <w:rFonts w:ascii="ITC Avant Garde" w:hAnsi="ITC Avant Garde"/>
          <w:i/>
          <w:sz w:val="18"/>
          <w:szCs w:val="18"/>
        </w:rPr>
        <w:t>_________debiendo usar un conector SC/UPC.”</w:t>
      </w:r>
    </w:p>
    <w:p w:rsidR="00A067AE" w:rsidRPr="00E16359" w:rsidRDefault="00A067AE" w:rsidP="00A067AE">
      <w:pPr>
        <w:autoSpaceDE w:val="0"/>
        <w:autoSpaceDN w:val="0"/>
        <w:adjustRightInd w:val="0"/>
        <w:spacing w:line="276" w:lineRule="auto"/>
        <w:ind w:left="851" w:right="709"/>
        <w:jc w:val="right"/>
        <w:rPr>
          <w:rFonts w:ascii="ITC Avant Garde" w:hAnsi="ITC Avant Garde"/>
          <w:i/>
          <w:sz w:val="18"/>
          <w:szCs w:val="18"/>
        </w:rPr>
      </w:pPr>
      <w:r w:rsidRPr="00E16359">
        <w:rPr>
          <w:rFonts w:ascii="ITC Avant Garde" w:hAnsi="ITC Avant Garde"/>
          <w:i/>
          <w:sz w:val="18"/>
          <w:szCs w:val="18"/>
        </w:rPr>
        <w:t>(énfasis añadido)</w:t>
      </w:r>
    </w:p>
    <w:p w:rsidR="00A61632" w:rsidRPr="00E16359" w:rsidRDefault="00A61632" w:rsidP="001D3335">
      <w:pPr>
        <w:spacing w:line="276" w:lineRule="auto"/>
        <w:jc w:val="both"/>
        <w:rPr>
          <w:rFonts w:ascii="ITC Avant Garde" w:hAnsi="ITC Avant Garde"/>
          <w:b/>
        </w:rPr>
      </w:pPr>
    </w:p>
    <w:p w:rsidR="009E53DD" w:rsidRPr="00E16359" w:rsidRDefault="009E53DD"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122697" w:rsidRPr="00E16359" w:rsidRDefault="00CC643D" w:rsidP="001D3335">
      <w:pPr>
        <w:autoSpaceDE w:val="0"/>
        <w:autoSpaceDN w:val="0"/>
        <w:adjustRightInd w:val="0"/>
        <w:spacing w:line="276" w:lineRule="auto"/>
        <w:jc w:val="both"/>
        <w:rPr>
          <w:rFonts w:ascii="ITC Avant Garde" w:hAnsi="ITC Avant Garde"/>
        </w:rPr>
      </w:pPr>
      <w:r w:rsidRPr="00E16359">
        <w:rPr>
          <w:rFonts w:ascii="ITC Avant Garde" w:hAnsi="ITC Avant Garde"/>
        </w:rPr>
        <w:lastRenderedPageBreak/>
        <w:t>En relación a la propuesta de los concesionarios,</w:t>
      </w:r>
      <w:r w:rsidR="00500FF3" w:rsidRPr="00E16359">
        <w:rPr>
          <w:rFonts w:ascii="ITC Avant Garde" w:hAnsi="ITC Avant Garde"/>
        </w:rPr>
        <w:t xml:space="preserve"> es importante señalar</w:t>
      </w:r>
      <w:r w:rsidR="005D1BFA" w:rsidRPr="00E16359">
        <w:rPr>
          <w:rFonts w:ascii="ITC Avant Garde" w:hAnsi="ITC Avant Garde"/>
        </w:rPr>
        <w:t xml:space="preserve"> que los </w:t>
      </w:r>
      <w:r w:rsidR="00500FF3" w:rsidRPr="00E16359">
        <w:rPr>
          <w:rFonts w:ascii="ITC Avant Garde" w:hAnsi="ITC Avant Garde"/>
        </w:rPr>
        <w:t xml:space="preserve">parámetros alusivos </w:t>
      </w:r>
      <w:r w:rsidR="005D1BFA" w:rsidRPr="00E16359">
        <w:rPr>
          <w:rFonts w:ascii="ITC Avant Garde" w:hAnsi="ITC Avant Garde"/>
        </w:rPr>
        <w:t xml:space="preserve">a la solicitud de interconexión de dos redes a nivel físico, </w:t>
      </w:r>
      <w:r w:rsidR="00500FF3" w:rsidRPr="00E16359">
        <w:rPr>
          <w:rFonts w:ascii="ITC Avant Garde" w:hAnsi="ITC Avant Garde"/>
        </w:rPr>
        <w:t xml:space="preserve">se encuentran definidos en el </w:t>
      </w:r>
      <w:r w:rsidR="0055694A" w:rsidRPr="00E16359">
        <w:rPr>
          <w:rFonts w:ascii="ITC Avant Garde" w:hAnsi="ITC Avant Garde"/>
        </w:rPr>
        <w:t>Acuerdo de CTM</w:t>
      </w:r>
      <w:r w:rsidR="005D1BFA" w:rsidRPr="00E16359">
        <w:rPr>
          <w:rFonts w:ascii="ITC Avant Garde" w:hAnsi="ITC Avant Garde"/>
        </w:rPr>
        <w:t>, de modo que no se</w:t>
      </w:r>
      <w:r w:rsidR="001C38B2" w:rsidRPr="00E16359">
        <w:rPr>
          <w:rFonts w:ascii="ITC Avant Garde" w:hAnsi="ITC Avant Garde"/>
        </w:rPr>
        <w:t xml:space="preserve"> consideró</w:t>
      </w:r>
      <w:r w:rsidR="0055694A" w:rsidRPr="00E16359">
        <w:rPr>
          <w:rFonts w:ascii="ITC Avant Garde" w:hAnsi="ITC Avant Garde"/>
        </w:rPr>
        <w:t xml:space="preserve"> </w:t>
      </w:r>
      <w:r w:rsidR="005D1BFA" w:rsidRPr="00E16359">
        <w:rPr>
          <w:rFonts w:ascii="ITC Avant Garde" w:hAnsi="ITC Avant Garde"/>
        </w:rPr>
        <w:t xml:space="preserve">viable agregar </w:t>
      </w:r>
      <w:r w:rsidR="001C38B2" w:rsidRPr="00E16359">
        <w:rPr>
          <w:rFonts w:ascii="ITC Avant Garde" w:hAnsi="ITC Avant Garde"/>
        </w:rPr>
        <w:t>el texto solicitado, toda vez que da existe un marco regulatorio vigente, al cual se le debe dar estricto cumplimiento.</w:t>
      </w:r>
      <w:r w:rsidR="001C38B2" w:rsidRPr="00E16359">
        <w:rPr>
          <w:rStyle w:val="Refdecomentario"/>
        </w:rPr>
        <w:t xml:space="preserve"> </w:t>
      </w:r>
    </w:p>
    <w:p w:rsidR="0069480A" w:rsidRPr="00E16359" w:rsidRDefault="0069480A" w:rsidP="0069480A">
      <w:pPr>
        <w:spacing w:after="0" w:line="276" w:lineRule="auto"/>
        <w:ind w:left="-5" w:right="49"/>
        <w:jc w:val="both"/>
        <w:rPr>
          <w:rFonts w:ascii="ITC Avant Garde" w:hAnsi="ITC Avant Garde"/>
        </w:rPr>
      </w:pPr>
      <w:r w:rsidRPr="00E16359">
        <w:rPr>
          <w:rFonts w:ascii="ITC Avant Garde" w:hAnsi="ITC Avant Garde"/>
        </w:rPr>
        <w:t>No obstante, se señala que los concesionarios podrán de común acuerdo establecer los esquemas de interconexión que mejor convengan conforme a las arquitecturas de sus redes, siempre que estos esquemas les permita llevar a cabo una efectiva y eficaz interconexión e interoperabilidad, lo anterior de conformidad con el artículo 126 de la LFTR.</w:t>
      </w:r>
    </w:p>
    <w:p w:rsidR="00C81A9C" w:rsidRPr="00E16359" w:rsidRDefault="00C81A9C" w:rsidP="001D3335">
      <w:pPr>
        <w:autoSpaceDE w:val="0"/>
        <w:autoSpaceDN w:val="0"/>
        <w:adjustRightInd w:val="0"/>
        <w:spacing w:line="276" w:lineRule="auto"/>
        <w:jc w:val="both"/>
        <w:rPr>
          <w:rFonts w:ascii="ITC Avant Garde" w:hAnsi="ITC Avant Garde"/>
        </w:rPr>
      </w:pPr>
    </w:p>
    <w:p w:rsidR="009C16EC" w:rsidRPr="00E16359" w:rsidRDefault="000819B7" w:rsidP="001D3335">
      <w:pPr>
        <w:autoSpaceDE w:val="0"/>
        <w:autoSpaceDN w:val="0"/>
        <w:adjustRightInd w:val="0"/>
        <w:spacing w:line="276" w:lineRule="auto"/>
        <w:jc w:val="both"/>
        <w:rPr>
          <w:rFonts w:ascii="ITC Avant Garde" w:hAnsi="ITC Avant Garde"/>
          <w:b/>
          <w:u w:val="single"/>
        </w:rPr>
      </w:pPr>
      <w:r w:rsidRPr="00E16359">
        <w:rPr>
          <w:rFonts w:ascii="ITC Avant Garde" w:hAnsi="ITC Avant Garde"/>
          <w:b/>
          <w:u w:val="single"/>
        </w:rPr>
        <w:t>Anexo B. Precios y Tarifas. Servicios Conmutados de Interconexión</w:t>
      </w:r>
    </w:p>
    <w:p w:rsidR="00B85667" w:rsidRPr="00E16359" w:rsidRDefault="00B85667" w:rsidP="001D3335">
      <w:pPr>
        <w:autoSpaceDE w:val="0"/>
        <w:autoSpaceDN w:val="0"/>
        <w:adjustRightInd w:val="0"/>
        <w:spacing w:line="276" w:lineRule="auto"/>
        <w:jc w:val="both"/>
        <w:rPr>
          <w:rFonts w:ascii="ITC Avant Garde" w:hAnsi="ITC Avant Garde"/>
          <w:b/>
        </w:rPr>
      </w:pPr>
    </w:p>
    <w:p w:rsidR="009C16EC" w:rsidRPr="00E16359" w:rsidRDefault="009C16EC" w:rsidP="001D3335">
      <w:pPr>
        <w:autoSpaceDE w:val="0"/>
        <w:autoSpaceDN w:val="0"/>
        <w:adjustRightInd w:val="0"/>
        <w:spacing w:line="276" w:lineRule="auto"/>
        <w:jc w:val="both"/>
        <w:rPr>
          <w:rFonts w:ascii="ITC Avant Garde" w:hAnsi="ITC Avant Garde"/>
          <w:b/>
        </w:rPr>
      </w:pPr>
      <w:r w:rsidRPr="00E16359">
        <w:rPr>
          <w:rFonts w:ascii="ITC Avant Garde" w:hAnsi="ITC Avant Garde"/>
          <w:b/>
        </w:rPr>
        <w:t>AXTEL</w:t>
      </w:r>
    </w:p>
    <w:p w:rsidR="000F26F2" w:rsidRPr="00E16359" w:rsidRDefault="000F26F2" w:rsidP="001D3335">
      <w:pPr>
        <w:autoSpaceDE w:val="0"/>
        <w:autoSpaceDN w:val="0"/>
        <w:adjustRightInd w:val="0"/>
        <w:spacing w:line="276" w:lineRule="auto"/>
        <w:jc w:val="both"/>
        <w:rPr>
          <w:rFonts w:ascii="ITC Avant Garde" w:hAnsi="ITC Avant Garde"/>
        </w:rPr>
      </w:pPr>
      <w:r w:rsidRPr="00E16359">
        <w:rPr>
          <w:rFonts w:ascii="ITC Avant Garde" w:hAnsi="ITC Avant Garde"/>
        </w:rPr>
        <w:t>S</w:t>
      </w:r>
      <w:r w:rsidR="008F31E1" w:rsidRPr="00E16359">
        <w:rPr>
          <w:rFonts w:ascii="ITC Avant Garde" w:hAnsi="ITC Avant Garde"/>
        </w:rPr>
        <w:t>eñaló</w:t>
      </w:r>
      <w:r w:rsidRPr="00E16359">
        <w:rPr>
          <w:rFonts w:ascii="ITC Avant Garde" w:hAnsi="ITC Avant Garde"/>
        </w:rPr>
        <w:t xml:space="preserve"> establecer de manera diferenciada las tarifas de interconexión</w:t>
      </w:r>
      <w:r w:rsidR="00215DBE" w:rsidRPr="00E16359">
        <w:rPr>
          <w:rFonts w:ascii="ITC Avant Garde" w:hAnsi="ITC Avant Garde"/>
        </w:rPr>
        <w:t xml:space="preserve"> que Telmex pagará para tráfico</w:t>
      </w:r>
      <w:r w:rsidRPr="00E16359">
        <w:rPr>
          <w:rFonts w:ascii="ITC Avant Garde" w:hAnsi="ITC Avant Garde"/>
        </w:rPr>
        <w:t xml:space="preserve"> fijo y móvil, toda vez que</w:t>
      </w:r>
      <w:r w:rsidR="008D4D34" w:rsidRPr="00E16359">
        <w:rPr>
          <w:rFonts w:ascii="ITC Avant Garde" w:hAnsi="ITC Avant Garde"/>
        </w:rPr>
        <w:t xml:space="preserve"> en</w:t>
      </w:r>
      <w:r w:rsidRPr="00E16359">
        <w:rPr>
          <w:rFonts w:ascii="ITC Avant Garde" w:hAnsi="ITC Avant Garde"/>
        </w:rPr>
        <w:t xml:space="preserve"> la redacción </w:t>
      </w:r>
      <w:r w:rsidR="008D4D34" w:rsidRPr="00E16359">
        <w:rPr>
          <w:rFonts w:ascii="ITC Avant Garde" w:hAnsi="ITC Avant Garde"/>
        </w:rPr>
        <w:t>se</w:t>
      </w:r>
      <w:r w:rsidRPr="00E16359">
        <w:rPr>
          <w:rFonts w:ascii="ITC Avant Garde" w:hAnsi="ITC Avant Garde"/>
        </w:rPr>
        <w:t xml:space="preserve"> plantea incorrectamente el pago por parte de Telmex de una tarifa única de interconexión para tráfico fijo o móvil.</w:t>
      </w:r>
    </w:p>
    <w:p w:rsidR="008D4D34" w:rsidRPr="00E16359" w:rsidRDefault="00520837" w:rsidP="001D3335">
      <w:pPr>
        <w:autoSpaceDE w:val="0"/>
        <w:autoSpaceDN w:val="0"/>
        <w:adjustRightInd w:val="0"/>
        <w:spacing w:line="276" w:lineRule="auto"/>
        <w:jc w:val="both"/>
        <w:rPr>
          <w:rFonts w:ascii="ITC Avant Garde" w:hAnsi="ITC Avant Garde"/>
        </w:rPr>
      </w:pPr>
      <w:r w:rsidRPr="00E16359">
        <w:rPr>
          <w:rFonts w:ascii="ITC Avant Garde" w:hAnsi="ITC Avant Garde"/>
        </w:rPr>
        <w:t>Asimismo, solicitó</w:t>
      </w:r>
      <w:r w:rsidR="000F26F2" w:rsidRPr="00E16359">
        <w:rPr>
          <w:rFonts w:ascii="ITC Avant Garde" w:hAnsi="ITC Avant Garde"/>
        </w:rPr>
        <w:t xml:space="preserve"> adicionar las tarifas aplicables a la terminación en Operadores Móviles Virtuales Completos</w:t>
      </w:r>
      <w:r w:rsidR="008D4D34" w:rsidRPr="00E16359">
        <w:rPr>
          <w:rFonts w:ascii="ITC Avant Garde" w:hAnsi="ITC Avant Garde"/>
        </w:rPr>
        <w:t>, para quedar como sigue:</w:t>
      </w:r>
    </w:p>
    <w:p w:rsidR="008D4D34" w:rsidRPr="00E16359" w:rsidRDefault="000F26F2" w:rsidP="001D3335">
      <w:pPr>
        <w:autoSpaceDE w:val="0"/>
        <w:autoSpaceDN w:val="0"/>
        <w:adjustRightInd w:val="0"/>
        <w:spacing w:line="276" w:lineRule="auto"/>
        <w:ind w:left="851" w:right="992"/>
        <w:jc w:val="both"/>
        <w:rPr>
          <w:rFonts w:ascii="ITC Avant Garde" w:hAnsi="ITC Avant Garde"/>
          <w:i/>
          <w:sz w:val="18"/>
          <w:szCs w:val="18"/>
        </w:rPr>
      </w:pPr>
      <w:r w:rsidRPr="00E16359">
        <w:rPr>
          <w:rFonts w:ascii="ITC Avant Garde" w:hAnsi="ITC Avant Garde"/>
        </w:rPr>
        <w:t>“</w:t>
      </w:r>
      <w:r w:rsidRPr="00E16359">
        <w:rPr>
          <w:rFonts w:ascii="ITC Avant Garde" w:hAnsi="ITC Avant Garde"/>
          <w:i/>
          <w:sz w:val="18"/>
          <w:szCs w:val="18"/>
        </w:rPr>
        <w:t>Tarifas aplicables para los Servicios Conmutados de Terminación aplicables a la Red del Concesionario Móvil u Operador Móvil Virtual Completo</w:t>
      </w:r>
      <w:r w:rsidR="008D4D34" w:rsidRPr="00E16359">
        <w:rPr>
          <w:rFonts w:ascii="ITC Avant Garde" w:hAnsi="ITC Avant Garde"/>
          <w:i/>
          <w:sz w:val="18"/>
          <w:szCs w:val="18"/>
        </w:rPr>
        <w:t>.</w:t>
      </w:r>
    </w:p>
    <w:p w:rsidR="000F26F2" w:rsidRPr="00E16359" w:rsidRDefault="000F26F2" w:rsidP="001D3335">
      <w:pPr>
        <w:autoSpaceDE w:val="0"/>
        <w:autoSpaceDN w:val="0"/>
        <w:adjustRightInd w:val="0"/>
        <w:spacing w:line="276" w:lineRule="auto"/>
        <w:ind w:left="851" w:right="992"/>
        <w:jc w:val="both"/>
        <w:rPr>
          <w:rFonts w:ascii="ITC Avant Garde" w:hAnsi="ITC Avant Garde"/>
          <w:i/>
          <w:sz w:val="18"/>
          <w:szCs w:val="18"/>
        </w:rPr>
      </w:pPr>
      <w:r w:rsidRPr="00E16359">
        <w:rPr>
          <w:rFonts w:ascii="ITC Avant Garde" w:hAnsi="ITC Avant Garde"/>
          <w:i/>
          <w:sz w:val="18"/>
          <w:szCs w:val="18"/>
        </w:rPr>
        <w:t xml:space="preserve">Telmex pagará al Concesionario u Operador Móvil Completo por Servicios de Terminación Conmutada en Usuarios Móviles del Concesionario </w:t>
      </w:r>
      <w:r w:rsidR="00C70CBA" w:rsidRPr="00E16359">
        <w:rPr>
          <w:rFonts w:ascii="ITC Avant Garde" w:hAnsi="ITC Avant Garde"/>
          <w:i/>
          <w:sz w:val="18"/>
          <w:szCs w:val="18"/>
        </w:rPr>
        <w:t xml:space="preserve">del tipo “El que llama paga” y </w:t>
      </w:r>
      <w:r w:rsidRPr="00E16359">
        <w:rPr>
          <w:rFonts w:ascii="ITC Avant Garde" w:hAnsi="ITC Avant Garde"/>
          <w:i/>
          <w:sz w:val="18"/>
          <w:szCs w:val="18"/>
        </w:rPr>
        <w:t>“El que llama paga Nacional”, la cantidad de $XXX (XXX pesos M.N.), por minuto de interconexión.”</w:t>
      </w:r>
    </w:p>
    <w:p w:rsidR="000F26F2" w:rsidRPr="00E16359" w:rsidRDefault="008F31E1" w:rsidP="001D3335">
      <w:pPr>
        <w:autoSpaceDE w:val="0"/>
        <w:autoSpaceDN w:val="0"/>
        <w:adjustRightInd w:val="0"/>
        <w:spacing w:line="276" w:lineRule="auto"/>
        <w:jc w:val="both"/>
        <w:rPr>
          <w:rFonts w:ascii="ITC Avant Garde" w:hAnsi="ITC Avant Garde"/>
        </w:rPr>
      </w:pPr>
      <w:r w:rsidRPr="00E16359">
        <w:rPr>
          <w:rFonts w:ascii="ITC Avant Garde" w:hAnsi="ITC Avant Garde"/>
        </w:rPr>
        <w:t>Solicitó</w:t>
      </w:r>
      <w:r w:rsidR="000F26F2" w:rsidRPr="00E16359">
        <w:rPr>
          <w:rFonts w:ascii="ITC Avant Garde" w:hAnsi="ITC Avant Garde"/>
        </w:rPr>
        <w:t xml:space="preserve"> que es conveniente señalar de manera explícita los pagos de interconexión que corresponden a los operadores móviles virtuales, para establecer sin ambigüedad que tienen derecho a recibir el pago de interconexión por el tráfico hacia sus propios usuarios de servicio móvil.</w:t>
      </w:r>
    </w:p>
    <w:p w:rsidR="000F26F2" w:rsidRPr="00E16359" w:rsidRDefault="000F26F2" w:rsidP="001D3335">
      <w:pPr>
        <w:autoSpaceDE w:val="0"/>
        <w:autoSpaceDN w:val="0"/>
        <w:adjustRightInd w:val="0"/>
        <w:spacing w:line="276" w:lineRule="auto"/>
        <w:jc w:val="both"/>
        <w:rPr>
          <w:rFonts w:ascii="ITC Avant Garde" w:hAnsi="ITC Avant Garde"/>
        </w:rPr>
      </w:pPr>
      <w:r w:rsidRPr="00E16359">
        <w:rPr>
          <w:rFonts w:ascii="ITC Avant Garde" w:hAnsi="ITC Avant Garde"/>
        </w:rPr>
        <w:t>Fin</w:t>
      </w:r>
      <w:r w:rsidR="009037E0" w:rsidRPr="00E16359">
        <w:rPr>
          <w:rFonts w:ascii="ITC Avant Garde" w:hAnsi="ITC Avant Garde"/>
        </w:rPr>
        <w:t xml:space="preserve">almente, </w:t>
      </w:r>
      <w:r w:rsidR="008F31E1" w:rsidRPr="00E16359">
        <w:rPr>
          <w:rFonts w:ascii="ITC Avant Garde" w:hAnsi="ITC Avant Garde"/>
        </w:rPr>
        <w:t>pidió</w:t>
      </w:r>
      <w:r w:rsidRPr="00E16359">
        <w:rPr>
          <w:rFonts w:ascii="ITC Avant Garde" w:hAnsi="ITC Avant Garde"/>
        </w:rPr>
        <w:t xml:space="preserve"> ha</w:t>
      </w:r>
      <w:r w:rsidR="00C70CBA" w:rsidRPr="00E16359">
        <w:rPr>
          <w:rFonts w:ascii="ITC Avant Garde" w:hAnsi="ITC Avant Garde"/>
        </w:rPr>
        <w:t>cer referencia en el numeral 1 a la aplicación del numeral 4</w:t>
      </w:r>
      <w:r w:rsidRPr="00E16359">
        <w:rPr>
          <w:rFonts w:ascii="ITC Avant Garde" w:hAnsi="ITC Avant Garde"/>
        </w:rPr>
        <w:t xml:space="preserve">, en relación a la reciprocidad e igualdad de términos para las tarifas por servicios conmutados, conforme lo </w:t>
      </w:r>
      <w:r w:rsidR="00C70CBA" w:rsidRPr="00E16359">
        <w:rPr>
          <w:rFonts w:ascii="ITC Avant Garde" w:hAnsi="ITC Avant Garde"/>
        </w:rPr>
        <w:t xml:space="preserve">que </w:t>
      </w:r>
      <w:r w:rsidRPr="00E16359">
        <w:rPr>
          <w:rFonts w:ascii="ITC Avant Garde" w:hAnsi="ITC Avant Garde"/>
        </w:rPr>
        <w:t xml:space="preserve">ha </w:t>
      </w:r>
      <w:r w:rsidR="00C70CBA" w:rsidRPr="00E16359">
        <w:rPr>
          <w:rFonts w:ascii="ITC Avant Garde" w:hAnsi="ITC Avant Garde"/>
        </w:rPr>
        <w:t xml:space="preserve">resuelto con anterioridad </w:t>
      </w:r>
      <w:r w:rsidR="00885423" w:rsidRPr="00E16359">
        <w:rPr>
          <w:rFonts w:ascii="ITC Avant Garde" w:hAnsi="ITC Avant Garde"/>
        </w:rPr>
        <w:t>este Instituto.</w:t>
      </w:r>
    </w:p>
    <w:p w:rsidR="00B85667" w:rsidRPr="00E16359" w:rsidRDefault="00B85667" w:rsidP="001D3335">
      <w:pPr>
        <w:spacing w:line="276" w:lineRule="auto"/>
        <w:jc w:val="both"/>
        <w:rPr>
          <w:rFonts w:ascii="ITC Avant Garde" w:hAnsi="ITC Avant Garde"/>
          <w:b/>
        </w:rPr>
      </w:pPr>
    </w:p>
    <w:p w:rsidR="007B49C8" w:rsidRPr="00E16359" w:rsidRDefault="007B49C8" w:rsidP="007B49C8">
      <w:pPr>
        <w:spacing w:line="276" w:lineRule="auto"/>
        <w:jc w:val="both"/>
        <w:rPr>
          <w:rFonts w:ascii="ITC Avant Garde" w:hAnsi="ITC Avant Garde"/>
        </w:rPr>
      </w:pPr>
      <w:r w:rsidRPr="00E16359">
        <w:rPr>
          <w:rFonts w:ascii="ITC Avant Garde" w:hAnsi="ITC Avant Garde"/>
          <w:b/>
        </w:rPr>
        <w:t xml:space="preserve">Consideraciones del Instituto </w:t>
      </w:r>
    </w:p>
    <w:p w:rsidR="00F31AAE" w:rsidRPr="00E16359" w:rsidRDefault="007B49C8" w:rsidP="007B49C8">
      <w:pPr>
        <w:spacing w:line="276" w:lineRule="auto"/>
        <w:jc w:val="both"/>
        <w:rPr>
          <w:rFonts w:ascii="ITC Avant Garde" w:hAnsi="ITC Avant Garde"/>
          <w:b/>
        </w:rPr>
      </w:pPr>
      <w:r w:rsidRPr="00E16359">
        <w:rPr>
          <w:rFonts w:ascii="ITC Avant Garde" w:hAnsi="ITC Avant Garde"/>
        </w:rPr>
        <w:lastRenderedPageBreak/>
        <w:t>Respecto al solicitud del concesionario</w:t>
      </w:r>
      <w:r w:rsidR="00DF2F9B" w:rsidRPr="00E16359">
        <w:rPr>
          <w:rFonts w:ascii="ITC Avant Garde" w:hAnsi="ITC Avant Garde"/>
        </w:rPr>
        <w:t>, es importante</w:t>
      </w:r>
      <w:r w:rsidRPr="00E16359">
        <w:rPr>
          <w:rFonts w:ascii="ITC Avant Garde" w:hAnsi="ITC Avant Garde"/>
        </w:rPr>
        <w:t xml:space="preserve"> señalar que </w:t>
      </w:r>
      <w:r w:rsidR="00DF2F9B" w:rsidRPr="00E16359">
        <w:rPr>
          <w:rFonts w:ascii="ITC Avant Garde" w:hAnsi="ITC Avant Garde"/>
        </w:rPr>
        <w:t>no se considera</w:t>
      </w:r>
      <w:r w:rsidR="00411E52" w:rsidRPr="00E16359">
        <w:rPr>
          <w:rFonts w:ascii="ITC Avant Garde" w:hAnsi="ITC Avant Garde"/>
        </w:rPr>
        <w:t xml:space="preserve"> razonable</w:t>
      </w:r>
      <w:r w:rsidR="00DF2F9B" w:rsidRPr="00E16359">
        <w:rPr>
          <w:rFonts w:ascii="ITC Avant Garde" w:hAnsi="ITC Avant Garde"/>
        </w:rPr>
        <w:t xml:space="preserve"> agregar las precisiones </w:t>
      </w:r>
      <w:r w:rsidR="00411E52" w:rsidRPr="00E16359">
        <w:rPr>
          <w:rFonts w:ascii="ITC Avant Garde" w:hAnsi="ITC Avant Garde"/>
        </w:rPr>
        <w:t>solicitadas</w:t>
      </w:r>
      <w:r w:rsidR="00DF2F9B" w:rsidRPr="00E16359">
        <w:rPr>
          <w:rFonts w:ascii="ITC Avant Garde" w:hAnsi="ITC Avant Garde"/>
        </w:rPr>
        <w:t xml:space="preserve"> de manera explícita, toda vez que </w:t>
      </w:r>
      <w:r w:rsidR="0013793F" w:rsidRPr="00E16359">
        <w:rPr>
          <w:rFonts w:ascii="ITC Avant Garde" w:hAnsi="ITC Avant Garde"/>
        </w:rPr>
        <w:t xml:space="preserve">un </w:t>
      </w:r>
      <w:r w:rsidR="00F31AAE" w:rsidRPr="00E16359">
        <w:rPr>
          <w:rFonts w:ascii="ITC Avant Garde" w:hAnsi="ITC Avant Garde"/>
        </w:rPr>
        <w:t>O</w:t>
      </w:r>
      <w:r w:rsidR="0013793F" w:rsidRPr="00E16359">
        <w:rPr>
          <w:rFonts w:ascii="ITC Avant Garde" w:hAnsi="ITC Avant Garde"/>
        </w:rPr>
        <w:t xml:space="preserve">perador </w:t>
      </w:r>
      <w:r w:rsidR="00F31AAE" w:rsidRPr="00E16359">
        <w:rPr>
          <w:rFonts w:ascii="ITC Avant Garde" w:hAnsi="ITC Avant Garde"/>
        </w:rPr>
        <w:t>M</w:t>
      </w:r>
      <w:r w:rsidR="0013793F" w:rsidRPr="00E16359">
        <w:rPr>
          <w:rFonts w:ascii="ITC Avant Garde" w:hAnsi="ITC Avant Garde"/>
        </w:rPr>
        <w:t xml:space="preserve">óvil </w:t>
      </w:r>
      <w:r w:rsidR="00F31AAE" w:rsidRPr="00E16359">
        <w:rPr>
          <w:rFonts w:ascii="ITC Avant Garde" w:hAnsi="ITC Avant Garde"/>
        </w:rPr>
        <w:t>V</w:t>
      </w:r>
      <w:r w:rsidR="0013793F" w:rsidRPr="00E16359">
        <w:rPr>
          <w:rFonts w:ascii="ITC Avant Garde" w:hAnsi="ITC Avant Garde"/>
        </w:rPr>
        <w:t>irtual</w:t>
      </w:r>
      <w:r w:rsidR="006103F1" w:rsidRPr="00E16359">
        <w:rPr>
          <w:rFonts w:ascii="ITC Avant Garde" w:hAnsi="ITC Avant Garde"/>
        </w:rPr>
        <w:t xml:space="preserve"> </w:t>
      </w:r>
      <w:r w:rsidR="0013793F" w:rsidRPr="00E16359">
        <w:rPr>
          <w:rFonts w:ascii="ITC Avant Garde" w:hAnsi="ITC Avant Garde"/>
        </w:rPr>
        <w:t>al tener carácte</w:t>
      </w:r>
      <w:r w:rsidR="00F31AAE" w:rsidRPr="00E16359">
        <w:rPr>
          <w:rFonts w:ascii="ITC Avant Garde" w:hAnsi="ITC Avant Garde"/>
        </w:rPr>
        <w:t xml:space="preserve">r </w:t>
      </w:r>
      <w:r w:rsidR="0013793F" w:rsidRPr="00E16359">
        <w:rPr>
          <w:rFonts w:ascii="ITC Avant Garde" w:hAnsi="ITC Avant Garde"/>
        </w:rPr>
        <w:t xml:space="preserve">de </w:t>
      </w:r>
      <w:r w:rsidR="00F31AAE" w:rsidRPr="00E16359">
        <w:rPr>
          <w:rFonts w:ascii="ITC Avant Garde" w:hAnsi="ITC Avant Garde"/>
        </w:rPr>
        <w:t xml:space="preserve">concesionario no </w:t>
      </w:r>
      <w:r w:rsidR="0013793F" w:rsidRPr="00E16359">
        <w:rPr>
          <w:rFonts w:ascii="ITC Avant Garde" w:hAnsi="ITC Avant Garde"/>
        </w:rPr>
        <w:t xml:space="preserve">requiere </w:t>
      </w:r>
      <w:r w:rsidR="00DF2F9B" w:rsidRPr="00E16359">
        <w:rPr>
          <w:rFonts w:ascii="ITC Avant Garde" w:hAnsi="ITC Avant Garde"/>
        </w:rPr>
        <w:t>de las mismas</w:t>
      </w:r>
      <w:r w:rsidR="0013793F" w:rsidRPr="00E16359">
        <w:rPr>
          <w:rFonts w:ascii="ITC Avant Garde" w:hAnsi="ITC Avant Garde"/>
        </w:rPr>
        <w:t>. L</w:t>
      </w:r>
      <w:r w:rsidR="00F31AAE" w:rsidRPr="00E16359">
        <w:rPr>
          <w:rFonts w:ascii="ITC Avant Garde" w:hAnsi="ITC Avant Garde"/>
        </w:rPr>
        <w:t>o anterior</w:t>
      </w:r>
      <w:r w:rsidR="0013793F" w:rsidRPr="00E16359">
        <w:rPr>
          <w:rFonts w:ascii="ITC Avant Garde" w:hAnsi="ITC Avant Garde"/>
        </w:rPr>
        <w:t xml:space="preserve"> es así, </w:t>
      </w:r>
      <w:r w:rsidR="00F31AAE" w:rsidRPr="00E16359">
        <w:rPr>
          <w:rFonts w:ascii="ITC Avant Garde" w:hAnsi="ITC Avant Garde"/>
        </w:rPr>
        <w:t>considerando lo es</w:t>
      </w:r>
      <w:r w:rsidR="006103F1" w:rsidRPr="00E16359">
        <w:rPr>
          <w:rFonts w:ascii="ITC Avant Garde" w:hAnsi="ITC Avant Garde"/>
        </w:rPr>
        <w:t xml:space="preserve">tablecido en los Lineamientos </w:t>
      </w:r>
      <w:r w:rsidR="006103F1" w:rsidRPr="00E16359">
        <w:rPr>
          <w:rFonts w:ascii="ITC Avant Garde" w:hAnsi="ITC Avant Garde"/>
          <w:bCs/>
        </w:rPr>
        <w:t>para la comercialización de servicios móviles por parte de operadores móviles virtuales</w:t>
      </w:r>
      <w:r w:rsidR="006103F1" w:rsidRPr="00E16359">
        <w:rPr>
          <w:rFonts w:ascii="ITC Avant Garde" w:hAnsi="ITC Avant Garde"/>
        </w:rPr>
        <w:t>, en el cual se hace referencia a que</w:t>
      </w:r>
      <w:r w:rsidR="00F31AAE" w:rsidRPr="00E16359">
        <w:rPr>
          <w:rFonts w:ascii="ITC Avant Garde" w:hAnsi="ITC Avant Garde"/>
        </w:rPr>
        <w:t xml:space="preserve"> un O</w:t>
      </w:r>
      <w:r w:rsidR="006103F1" w:rsidRPr="00E16359">
        <w:rPr>
          <w:rFonts w:ascii="ITC Avant Garde" w:hAnsi="ITC Avant Garde"/>
        </w:rPr>
        <w:t xml:space="preserve">perador </w:t>
      </w:r>
      <w:r w:rsidR="00F31AAE" w:rsidRPr="00E16359">
        <w:rPr>
          <w:rFonts w:ascii="ITC Avant Garde" w:hAnsi="ITC Avant Garde"/>
        </w:rPr>
        <w:t>M</w:t>
      </w:r>
      <w:r w:rsidR="006103F1" w:rsidRPr="00E16359">
        <w:rPr>
          <w:rFonts w:ascii="ITC Avant Garde" w:hAnsi="ITC Avant Garde"/>
        </w:rPr>
        <w:t xml:space="preserve">óvil </w:t>
      </w:r>
      <w:r w:rsidR="00F31AAE" w:rsidRPr="00E16359">
        <w:rPr>
          <w:rFonts w:ascii="ITC Avant Garde" w:hAnsi="ITC Avant Garde"/>
        </w:rPr>
        <w:t>V</w:t>
      </w:r>
      <w:r w:rsidR="006103F1" w:rsidRPr="00E16359">
        <w:rPr>
          <w:rFonts w:ascii="ITC Avant Garde" w:hAnsi="ITC Avant Garde"/>
        </w:rPr>
        <w:t>irtual</w:t>
      </w:r>
      <w:r w:rsidR="00F31AAE" w:rsidRPr="00E16359">
        <w:rPr>
          <w:rFonts w:ascii="ITC Avant Garde" w:hAnsi="ITC Avant Garde"/>
        </w:rPr>
        <w:t xml:space="preserve"> que sea concesionario podrá suscribir sus propios convenios de interconexión. </w:t>
      </w:r>
      <w:r w:rsidR="00ED74A1" w:rsidRPr="00E16359">
        <w:rPr>
          <w:rFonts w:ascii="ITC Avant Garde" w:hAnsi="ITC Avant Garde"/>
        </w:rPr>
        <w:t>Asimismo</w:t>
      </w:r>
      <w:r w:rsidR="00F31AAE" w:rsidRPr="00E16359">
        <w:rPr>
          <w:rFonts w:ascii="ITC Avant Garde" w:hAnsi="ITC Avant Garde"/>
        </w:rPr>
        <w:t xml:space="preserve">, </w:t>
      </w:r>
      <w:r w:rsidR="006103F1" w:rsidRPr="00E16359">
        <w:rPr>
          <w:rFonts w:ascii="ITC Avant Garde" w:hAnsi="ITC Avant Garde"/>
        </w:rPr>
        <w:t xml:space="preserve">se encuentra claramente dispuesto que </w:t>
      </w:r>
      <w:r w:rsidR="00F31AAE" w:rsidRPr="00E16359">
        <w:rPr>
          <w:rFonts w:ascii="ITC Avant Garde" w:hAnsi="ITC Avant Garde"/>
        </w:rPr>
        <w:t>cualquier O</w:t>
      </w:r>
      <w:r w:rsidR="006103F1" w:rsidRPr="00E16359">
        <w:rPr>
          <w:rFonts w:ascii="ITC Avant Garde" w:hAnsi="ITC Avant Garde"/>
        </w:rPr>
        <w:t>perador Móvil Virtual</w:t>
      </w:r>
      <w:r w:rsidR="00F31AAE" w:rsidRPr="00E16359">
        <w:rPr>
          <w:rFonts w:ascii="ITC Avant Garde" w:hAnsi="ITC Avant Garde"/>
        </w:rPr>
        <w:t xml:space="preserve"> que sea conce</w:t>
      </w:r>
      <w:r w:rsidR="00344FCD" w:rsidRPr="00E16359">
        <w:rPr>
          <w:rFonts w:ascii="ITC Avant Garde" w:hAnsi="ITC Avant Garde"/>
        </w:rPr>
        <w:t>s</w:t>
      </w:r>
      <w:r w:rsidR="00011E5F" w:rsidRPr="00E16359">
        <w:rPr>
          <w:rFonts w:ascii="ITC Avant Garde" w:hAnsi="ITC Avant Garde"/>
        </w:rPr>
        <w:t>ionario podrá suscribir el CMI.</w:t>
      </w:r>
    </w:p>
    <w:p w:rsidR="00B85667" w:rsidRPr="00E16359" w:rsidRDefault="00B85667" w:rsidP="001D3335">
      <w:pPr>
        <w:autoSpaceDE w:val="0"/>
        <w:autoSpaceDN w:val="0"/>
        <w:adjustRightInd w:val="0"/>
        <w:spacing w:line="276" w:lineRule="auto"/>
        <w:jc w:val="both"/>
        <w:rPr>
          <w:rFonts w:ascii="ITC Avant Garde" w:hAnsi="ITC Avant Garde"/>
          <w:b/>
        </w:rPr>
      </w:pPr>
    </w:p>
    <w:p w:rsidR="000F26F2" w:rsidRPr="00E16359" w:rsidRDefault="00223EB1" w:rsidP="001D3335">
      <w:pPr>
        <w:autoSpaceDE w:val="0"/>
        <w:autoSpaceDN w:val="0"/>
        <w:adjustRightInd w:val="0"/>
        <w:spacing w:line="276" w:lineRule="auto"/>
        <w:jc w:val="both"/>
        <w:rPr>
          <w:rFonts w:ascii="ITC Avant Garde" w:hAnsi="ITC Avant Garde"/>
          <w:b/>
        </w:rPr>
      </w:pPr>
      <w:r w:rsidRPr="00E16359">
        <w:rPr>
          <w:rFonts w:ascii="ITC Avant Garde" w:hAnsi="ITC Avant Garde"/>
          <w:b/>
        </w:rPr>
        <w:t>AT&amp;T</w:t>
      </w:r>
    </w:p>
    <w:p w:rsidR="00223EB1" w:rsidRPr="00E16359" w:rsidRDefault="000C7737" w:rsidP="001D3335">
      <w:pPr>
        <w:autoSpaceDE w:val="0"/>
        <w:autoSpaceDN w:val="0"/>
        <w:adjustRightInd w:val="0"/>
        <w:spacing w:line="276" w:lineRule="auto"/>
        <w:jc w:val="both"/>
        <w:rPr>
          <w:rFonts w:ascii="ITC Avant Garde" w:hAnsi="ITC Avant Garde"/>
        </w:rPr>
      </w:pPr>
      <w:r w:rsidRPr="00E16359">
        <w:rPr>
          <w:rFonts w:ascii="ITC Avant Garde" w:hAnsi="ITC Avant Garde"/>
        </w:rPr>
        <w:t>S</w:t>
      </w:r>
      <w:r w:rsidR="008F31E1" w:rsidRPr="00E16359">
        <w:rPr>
          <w:rFonts w:ascii="ITC Avant Garde" w:hAnsi="ITC Avant Garde"/>
        </w:rPr>
        <w:t>olicitó</w:t>
      </w:r>
      <w:r w:rsidR="00223EB1" w:rsidRPr="00E16359">
        <w:rPr>
          <w:rFonts w:ascii="ITC Avant Garde" w:hAnsi="ITC Avant Garde"/>
        </w:rPr>
        <w:t xml:space="preserve"> agregar nuevamente el punto 1.3, toda vez que esta condición se encuentra establecida en la LFTR, a efecto de quedar como sigue:</w:t>
      </w:r>
    </w:p>
    <w:p w:rsidR="00223EB1" w:rsidRPr="00E16359" w:rsidRDefault="00223EB1" w:rsidP="001D3335">
      <w:pPr>
        <w:autoSpaceDE w:val="0"/>
        <w:autoSpaceDN w:val="0"/>
        <w:adjustRightInd w:val="0"/>
        <w:spacing w:line="276" w:lineRule="auto"/>
        <w:ind w:left="851" w:right="709"/>
        <w:jc w:val="both"/>
        <w:rPr>
          <w:rFonts w:ascii="ITC Avant Garde" w:hAnsi="ITC Avant Garde"/>
          <w:i/>
          <w:sz w:val="18"/>
          <w:szCs w:val="18"/>
        </w:rPr>
      </w:pPr>
      <w:r w:rsidRPr="00E16359">
        <w:rPr>
          <w:rFonts w:ascii="ITC Avant Garde" w:hAnsi="ITC Avant Garde"/>
          <w:sz w:val="18"/>
          <w:szCs w:val="18"/>
        </w:rPr>
        <w:t>“</w:t>
      </w:r>
      <w:r w:rsidRPr="00E16359">
        <w:rPr>
          <w:rFonts w:ascii="ITC Avant Garde" w:hAnsi="ITC Avant Garde"/>
          <w:i/>
          <w:sz w:val="18"/>
          <w:szCs w:val="18"/>
        </w:rPr>
        <w:t>1.3 (____) no pagará servicios de terminación del servicio local en usuarios fijos mientras Telmex tenga el carácter de agente económico preponderante que le fue determinado por el Instituto.”</w:t>
      </w:r>
    </w:p>
    <w:p w:rsidR="00B85667" w:rsidRPr="00E16359" w:rsidRDefault="00B85667" w:rsidP="001D3335">
      <w:pPr>
        <w:spacing w:line="276" w:lineRule="auto"/>
        <w:jc w:val="both"/>
        <w:rPr>
          <w:rFonts w:ascii="ITC Avant Garde" w:hAnsi="ITC Avant Garde"/>
          <w:b/>
        </w:rPr>
      </w:pPr>
    </w:p>
    <w:p w:rsidR="00443888" w:rsidRPr="00E16359" w:rsidRDefault="00443888" w:rsidP="00443888">
      <w:pPr>
        <w:spacing w:line="276" w:lineRule="auto"/>
        <w:jc w:val="both"/>
        <w:rPr>
          <w:rFonts w:ascii="ITC Avant Garde" w:hAnsi="ITC Avant Garde"/>
          <w:b/>
        </w:rPr>
      </w:pPr>
      <w:r w:rsidRPr="00E16359">
        <w:rPr>
          <w:rFonts w:ascii="ITC Avant Garde" w:hAnsi="ITC Avant Garde"/>
          <w:b/>
        </w:rPr>
        <w:t xml:space="preserve">Consideraciones del Instituto </w:t>
      </w:r>
    </w:p>
    <w:p w:rsidR="008F300D" w:rsidRPr="00E16359" w:rsidRDefault="00443888" w:rsidP="008F300D">
      <w:pPr>
        <w:spacing w:line="276" w:lineRule="auto"/>
        <w:jc w:val="both"/>
        <w:rPr>
          <w:rFonts w:ascii="ITC Avant Garde" w:hAnsi="ITC Avant Garde"/>
        </w:rPr>
      </w:pPr>
      <w:r w:rsidRPr="00E16359">
        <w:rPr>
          <w:rFonts w:ascii="ITC Avant Garde" w:hAnsi="ITC Avant Garde"/>
        </w:rPr>
        <w:t>Respecto al comentario vertido por el concesionario</w:t>
      </w:r>
      <w:r w:rsidR="00A25CBF" w:rsidRPr="00E16359">
        <w:rPr>
          <w:rFonts w:ascii="ITC Avant Garde" w:hAnsi="ITC Avant Garde"/>
        </w:rPr>
        <w:t xml:space="preserve">, </w:t>
      </w:r>
      <w:r w:rsidR="00187812" w:rsidRPr="00E16359">
        <w:rPr>
          <w:rFonts w:ascii="ITC Avant Garde" w:hAnsi="ITC Avant Garde"/>
        </w:rPr>
        <w:t>no se considera conveniente agregar la condición so</w:t>
      </w:r>
      <w:r w:rsidR="00E94C86" w:rsidRPr="00E16359">
        <w:rPr>
          <w:rFonts w:ascii="ITC Avant Garde" w:hAnsi="ITC Avant Garde"/>
        </w:rPr>
        <w:t>licitada por el mismo,</w:t>
      </w:r>
      <w:r w:rsidR="00A002FF" w:rsidRPr="00E16359">
        <w:rPr>
          <w:rFonts w:ascii="ITC Avant Garde" w:hAnsi="ITC Avant Garde"/>
        </w:rPr>
        <w:t xml:space="preserve"> toda vez que el </w:t>
      </w:r>
      <w:r w:rsidR="007570F1" w:rsidRPr="00E16359">
        <w:rPr>
          <w:rFonts w:ascii="ITC Avant Garde" w:hAnsi="ITC Avant Garde"/>
        </w:rPr>
        <w:t xml:space="preserve">CMI </w:t>
      </w:r>
      <w:r w:rsidR="00E94C86" w:rsidRPr="00E16359">
        <w:rPr>
          <w:rFonts w:ascii="ITC Avant Garde" w:hAnsi="ITC Avant Garde"/>
        </w:rPr>
        <w:t>se a</w:t>
      </w:r>
      <w:r w:rsidR="00A3049F" w:rsidRPr="00E16359">
        <w:rPr>
          <w:rFonts w:ascii="ITC Avant Garde" w:hAnsi="ITC Avant Garde"/>
        </w:rPr>
        <w:t xml:space="preserve">justó </w:t>
      </w:r>
      <w:r w:rsidR="008F300D" w:rsidRPr="00E16359">
        <w:rPr>
          <w:rFonts w:ascii="ITC Avant Garde" w:hAnsi="ITC Avant Garde"/>
        </w:rPr>
        <w:t>a efecto de dar estricto cumplimiento al</w:t>
      </w:r>
      <w:r w:rsidR="00A3049F" w:rsidRPr="00E16359">
        <w:rPr>
          <w:rFonts w:ascii="ITC Avant Garde" w:hAnsi="ITC Avant Garde"/>
        </w:rPr>
        <w:t xml:space="preserve"> marco regulatorio vigente. En este sentido, </w:t>
      </w:r>
      <w:r w:rsidR="009D37EE" w:rsidRPr="00E16359">
        <w:rPr>
          <w:rFonts w:ascii="ITC Avant Garde" w:hAnsi="ITC Avant Garde"/>
        </w:rPr>
        <w:t xml:space="preserve">es oportuno </w:t>
      </w:r>
      <w:r w:rsidR="008F300D" w:rsidRPr="00E16359">
        <w:rPr>
          <w:rFonts w:ascii="ITC Avant Garde" w:hAnsi="ITC Avant Garde"/>
        </w:rPr>
        <w:t>precisar que el Acuerdo de CTM, dispone:</w:t>
      </w:r>
    </w:p>
    <w:p w:rsidR="000656D3" w:rsidRPr="00E16359" w:rsidRDefault="008F300D" w:rsidP="008F300D">
      <w:pPr>
        <w:spacing w:line="276" w:lineRule="auto"/>
        <w:jc w:val="both"/>
        <w:rPr>
          <w:rFonts w:ascii="ITC Avant Garde" w:hAnsi="ITC Avant Garde"/>
          <w:i/>
          <w:sz w:val="18"/>
          <w:szCs w:val="18"/>
        </w:rPr>
      </w:pPr>
      <w:r w:rsidRPr="00E16359">
        <w:rPr>
          <w:rFonts w:ascii="ITC Avant Garde" w:hAnsi="ITC Avant Garde"/>
          <w:i/>
          <w:sz w:val="18"/>
          <w:szCs w:val="18"/>
        </w:rPr>
        <w:t xml:space="preserve"> </w:t>
      </w:r>
    </w:p>
    <w:p w:rsidR="00FE474A" w:rsidRPr="00E16359" w:rsidRDefault="00C10242" w:rsidP="00C10242">
      <w:pPr>
        <w:autoSpaceDE w:val="0"/>
        <w:autoSpaceDN w:val="0"/>
        <w:adjustRightInd w:val="0"/>
        <w:spacing w:line="276" w:lineRule="auto"/>
        <w:ind w:left="851" w:right="708"/>
        <w:jc w:val="both"/>
        <w:rPr>
          <w:rFonts w:ascii="ITC Avant Garde" w:hAnsi="ITC Avant Garde"/>
          <w:i/>
          <w:sz w:val="18"/>
          <w:szCs w:val="18"/>
        </w:rPr>
      </w:pPr>
      <w:r w:rsidRPr="00E16359">
        <w:rPr>
          <w:rFonts w:ascii="ITC Avant Garde" w:hAnsi="ITC Avant Garde"/>
          <w:i/>
          <w:sz w:val="18"/>
          <w:szCs w:val="18"/>
        </w:rPr>
        <w:t>“</w:t>
      </w:r>
      <w:r w:rsidR="00F43D29" w:rsidRPr="00E16359">
        <w:rPr>
          <w:rFonts w:ascii="ITC Avant Garde" w:hAnsi="ITC Avant Garde"/>
          <w:b/>
          <w:i/>
          <w:sz w:val="18"/>
          <w:szCs w:val="18"/>
        </w:rPr>
        <w:t xml:space="preserve">CUARTO. - </w:t>
      </w:r>
      <w:r w:rsidR="00F43D29" w:rsidRPr="00E16359">
        <w:rPr>
          <w:rFonts w:ascii="ITC Avant Garde" w:hAnsi="ITC Avant Garde"/>
          <w:i/>
          <w:sz w:val="18"/>
          <w:szCs w:val="18"/>
        </w:rPr>
        <w:t xml:space="preserve">Ejecutorias dictadas en los Amparos en Revisión 1306/2017 y 1307/2017 por la Segunda Sala de la Suprema Corte de Justicia de la Nación. </w:t>
      </w:r>
    </w:p>
    <w:p w:rsidR="001259FA" w:rsidRPr="00E16359" w:rsidRDefault="00FE474A" w:rsidP="00C10242">
      <w:pPr>
        <w:autoSpaceDE w:val="0"/>
        <w:autoSpaceDN w:val="0"/>
        <w:adjustRightInd w:val="0"/>
        <w:spacing w:line="276" w:lineRule="auto"/>
        <w:ind w:left="851" w:right="708"/>
        <w:jc w:val="both"/>
        <w:rPr>
          <w:rFonts w:ascii="ITC Avant Garde" w:hAnsi="ITC Avant Garde"/>
          <w:i/>
          <w:sz w:val="18"/>
          <w:szCs w:val="18"/>
        </w:rPr>
      </w:pPr>
      <w:r w:rsidRPr="00E16359">
        <w:rPr>
          <w:rFonts w:ascii="ITC Avant Garde" w:hAnsi="ITC Avant Garde"/>
          <w:i/>
          <w:sz w:val="18"/>
          <w:szCs w:val="18"/>
        </w:rPr>
        <w:t xml:space="preserve"> (…)</w:t>
      </w:r>
    </w:p>
    <w:p w:rsidR="00FE474A" w:rsidRPr="00E16359" w:rsidRDefault="00FE474A" w:rsidP="00FE474A">
      <w:pPr>
        <w:autoSpaceDE w:val="0"/>
        <w:autoSpaceDN w:val="0"/>
        <w:adjustRightInd w:val="0"/>
        <w:spacing w:line="276" w:lineRule="auto"/>
        <w:ind w:left="851" w:right="708"/>
        <w:jc w:val="both"/>
        <w:rPr>
          <w:rFonts w:ascii="ITC Avant Garde" w:hAnsi="ITC Avant Garde"/>
          <w:i/>
          <w:sz w:val="18"/>
          <w:szCs w:val="18"/>
        </w:rPr>
      </w:pPr>
      <w:r w:rsidRPr="00E16359">
        <w:rPr>
          <w:rFonts w:ascii="ITC Avant Garde" w:hAnsi="ITC Avant Garde"/>
          <w:i/>
          <w:sz w:val="18"/>
          <w:szCs w:val="18"/>
        </w:rPr>
        <w:t>En tal virtud y de conformidad con los alcances de las ejecutorias emitidas por la Segunda Sala de la SCJN dentro de los amparos en revisión 1306/2017 y 1307/2017</w:t>
      </w:r>
      <w:r w:rsidRPr="00E16359">
        <w:rPr>
          <w:rFonts w:ascii="ITC Avant Garde" w:hAnsi="ITC Avant Garde"/>
          <w:i/>
          <w:sz w:val="18"/>
          <w:szCs w:val="18"/>
          <w:u w:val="single"/>
        </w:rPr>
        <w:t>, el Instituto debe dejar de aplicar a Telmex y a Telnor</w:t>
      </w:r>
      <w:r w:rsidRPr="00E16359">
        <w:rPr>
          <w:rFonts w:ascii="ITC Avant Garde" w:hAnsi="ITC Avant Garde"/>
          <w:i/>
          <w:sz w:val="18"/>
          <w:szCs w:val="18"/>
        </w:rPr>
        <w:t xml:space="preserve"> el inciso a) del segundo párrafo del artículo 131 de la LFTR, el cual constituye </w:t>
      </w:r>
      <w:r w:rsidRPr="00E16359">
        <w:rPr>
          <w:rFonts w:ascii="ITC Avant Garde" w:hAnsi="ITC Avant Garde"/>
          <w:i/>
          <w:sz w:val="18"/>
          <w:szCs w:val="18"/>
          <w:u w:val="single"/>
        </w:rPr>
        <w:t>la prohibición para que el agente económico preponderante cobre a otros concesionarios por el tráfico que termine en su red,</w:t>
      </w:r>
      <w:r w:rsidRPr="00E16359">
        <w:rPr>
          <w:rFonts w:ascii="ITC Avant Garde" w:hAnsi="ITC Avant Garde"/>
          <w:i/>
          <w:sz w:val="18"/>
          <w:szCs w:val="18"/>
        </w:rPr>
        <w:t xml:space="preserve"> y en ese sentido, fijar la tarifa correspondiente por los servicios de terminación en las redes fijas del AEP.</w:t>
      </w:r>
    </w:p>
    <w:p w:rsidR="00FE474A" w:rsidRPr="00E16359" w:rsidRDefault="00FE474A" w:rsidP="00C10242">
      <w:pPr>
        <w:autoSpaceDE w:val="0"/>
        <w:autoSpaceDN w:val="0"/>
        <w:adjustRightInd w:val="0"/>
        <w:spacing w:line="276" w:lineRule="auto"/>
        <w:ind w:left="851" w:right="708"/>
        <w:jc w:val="both"/>
        <w:rPr>
          <w:rFonts w:ascii="ITC Avant Garde" w:hAnsi="ITC Avant Garde"/>
          <w:sz w:val="18"/>
          <w:szCs w:val="18"/>
        </w:rPr>
      </w:pPr>
      <w:r w:rsidRPr="00E16359">
        <w:rPr>
          <w:rFonts w:ascii="ITC Avant Garde" w:hAnsi="ITC Avant Garde"/>
          <w:sz w:val="18"/>
          <w:szCs w:val="18"/>
        </w:rPr>
        <w:t>(…)”</w:t>
      </w:r>
    </w:p>
    <w:p w:rsidR="00FE474A" w:rsidRPr="00E16359" w:rsidRDefault="00FE474A" w:rsidP="00FE474A">
      <w:pPr>
        <w:autoSpaceDE w:val="0"/>
        <w:autoSpaceDN w:val="0"/>
        <w:adjustRightInd w:val="0"/>
        <w:spacing w:line="276" w:lineRule="auto"/>
        <w:ind w:left="851" w:right="708"/>
        <w:jc w:val="right"/>
        <w:rPr>
          <w:rFonts w:ascii="ITC Avant Garde" w:hAnsi="ITC Avant Garde"/>
          <w:i/>
          <w:sz w:val="18"/>
          <w:szCs w:val="18"/>
        </w:rPr>
      </w:pPr>
      <w:r w:rsidRPr="00E16359">
        <w:rPr>
          <w:rFonts w:ascii="ITC Avant Garde" w:hAnsi="ITC Avant Garde"/>
          <w:i/>
          <w:sz w:val="18"/>
          <w:szCs w:val="18"/>
        </w:rPr>
        <w:t>(énfasis añadido)</w:t>
      </w:r>
    </w:p>
    <w:p w:rsidR="00B85667" w:rsidRPr="00E16359" w:rsidRDefault="00B85667" w:rsidP="001D3335">
      <w:pPr>
        <w:pStyle w:val="Textoindependiente3"/>
        <w:ind w:hanging="1"/>
        <w:jc w:val="both"/>
        <w:rPr>
          <w:rFonts w:ascii="ITC Avant Garde" w:hAnsi="ITC Avant Garde"/>
          <w:sz w:val="22"/>
          <w:szCs w:val="22"/>
          <w:u w:val="single"/>
        </w:rPr>
      </w:pPr>
    </w:p>
    <w:p w:rsidR="00A21451" w:rsidRPr="00E16359" w:rsidRDefault="0013603A" w:rsidP="001D3335">
      <w:pPr>
        <w:pStyle w:val="Textoindependiente3"/>
        <w:ind w:hanging="1"/>
        <w:jc w:val="both"/>
        <w:rPr>
          <w:rFonts w:ascii="ITC Avant Garde" w:hAnsi="ITC Avant Garde"/>
          <w:sz w:val="22"/>
          <w:szCs w:val="22"/>
          <w:u w:val="single"/>
        </w:rPr>
      </w:pPr>
      <w:r w:rsidRPr="00E16359">
        <w:rPr>
          <w:rFonts w:ascii="ITC Avant Garde" w:hAnsi="ITC Avant Garde"/>
          <w:sz w:val="22"/>
          <w:szCs w:val="22"/>
          <w:u w:val="single"/>
        </w:rPr>
        <w:lastRenderedPageBreak/>
        <w:t xml:space="preserve">Anexo B. Servicios Conmutados de Interconexión y </w:t>
      </w:r>
      <w:r w:rsidRPr="00E16359">
        <w:rPr>
          <w:rFonts w:ascii="ITC Avant Garde" w:hAnsi="ITC Avant Garde"/>
          <w:sz w:val="22"/>
          <w:szCs w:val="22"/>
          <w:u w:val="single"/>
          <w:lang w:val="es-MX"/>
        </w:rPr>
        <w:t>Contraprestaciones por Servicios de Tránsito.</w:t>
      </w:r>
    </w:p>
    <w:p w:rsidR="00F31AAE" w:rsidRPr="00E16359" w:rsidRDefault="00F31AAE" w:rsidP="001D3335">
      <w:pPr>
        <w:autoSpaceDE w:val="0"/>
        <w:autoSpaceDN w:val="0"/>
        <w:adjustRightInd w:val="0"/>
        <w:spacing w:line="276" w:lineRule="auto"/>
        <w:jc w:val="both"/>
        <w:rPr>
          <w:rFonts w:ascii="ITC Avant Garde" w:hAnsi="ITC Avant Garde"/>
          <w:b/>
        </w:rPr>
      </w:pPr>
    </w:p>
    <w:p w:rsidR="009C16EC" w:rsidRPr="00E16359" w:rsidRDefault="00D52A0C" w:rsidP="001D3335">
      <w:pPr>
        <w:autoSpaceDE w:val="0"/>
        <w:autoSpaceDN w:val="0"/>
        <w:adjustRightInd w:val="0"/>
        <w:spacing w:line="276" w:lineRule="auto"/>
        <w:jc w:val="both"/>
        <w:rPr>
          <w:rFonts w:ascii="ITC Avant Garde" w:hAnsi="ITC Avant Garde"/>
          <w:b/>
        </w:rPr>
      </w:pPr>
      <w:r w:rsidRPr="00E16359">
        <w:rPr>
          <w:rFonts w:ascii="ITC Avant Garde" w:hAnsi="ITC Avant Garde"/>
          <w:b/>
        </w:rPr>
        <w:t>AXTEL</w:t>
      </w:r>
    </w:p>
    <w:p w:rsidR="00D52A0C" w:rsidRPr="00E16359" w:rsidRDefault="002124DF" w:rsidP="001D3335">
      <w:pPr>
        <w:autoSpaceDE w:val="0"/>
        <w:autoSpaceDN w:val="0"/>
        <w:adjustRightInd w:val="0"/>
        <w:spacing w:line="276" w:lineRule="auto"/>
        <w:jc w:val="both"/>
        <w:rPr>
          <w:rFonts w:ascii="ITC Avant Garde" w:hAnsi="ITC Avant Garde"/>
        </w:rPr>
      </w:pPr>
      <w:r w:rsidRPr="00E16359">
        <w:rPr>
          <w:rFonts w:ascii="ITC Avant Garde" w:hAnsi="ITC Avant Garde"/>
        </w:rPr>
        <w:t>Solicitó</w:t>
      </w:r>
      <w:r w:rsidR="008119EB" w:rsidRPr="00E16359">
        <w:rPr>
          <w:rFonts w:ascii="ITC Avant Garde" w:hAnsi="ITC Avant Garde"/>
        </w:rPr>
        <w:t xml:space="preserve"> </w:t>
      </w:r>
      <w:r w:rsidR="00D52A0C" w:rsidRPr="00E16359">
        <w:rPr>
          <w:rFonts w:ascii="ITC Avant Garde" w:hAnsi="ITC Avant Garde"/>
        </w:rPr>
        <w:t xml:space="preserve">eliminar </w:t>
      </w:r>
      <w:r w:rsidR="00D52A0C" w:rsidRPr="00E16359">
        <w:rPr>
          <w:rFonts w:ascii="ITC Avant Garde" w:hAnsi="ITC Avant Garde"/>
          <w:i/>
        </w:rPr>
        <w:t>“a nivel E1”</w:t>
      </w:r>
      <w:r w:rsidR="00D52A0C" w:rsidRPr="00E16359">
        <w:rPr>
          <w:rFonts w:ascii="ITC Avant Garde" w:hAnsi="ITC Avant Garde"/>
        </w:rPr>
        <w:t xml:space="preserve"> planteado por Telmex en las contraprestaciones por servicios conmutados de interconexión y tránsito sólo incluyen el cargo correspondiente a puertos de acceso a nivel E1.</w:t>
      </w:r>
    </w:p>
    <w:p w:rsidR="00D52A0C" w:rsidRPr="00E16359" w:rsidRDefault="002124DF" w:rsidP="001D3335">
      <w:pPr>
        <w:autoSpaceDE w:val="0"/>
        <w:autoSpaceDN w:val="0"/>
        <w:adjustRightInd w:val="0"/>
        <w:spacing w:line="276" w:lineRule="auto"/>
        <w:jc w:val="both"/>
        <w:rPr>
          <w:rFonts w:ascii="ITC Avant Garde" w:hAnsi="ITC Avant Garde"/>
        </w:rPr>
      </w:pPr>
      <w:r w:rsidRPr="00E16359">
        <w:rPr>
          <w:rFonts w:ascii="ITC Avant Garde" w:hAnsi="ITC Avant Garde"/>
        </w:rPr>
        <w:t>Manifestó</w:t>
      </w:r>
      <w:r w:rsidR="00D52A0C" w:rsidRPr="00E16359">
        <w:rPr>
          <w:rFonts w:ascii="ITC Avant Garde" w:hAnsi="ITC Avant Garde"/>
        </w:rPr>
        <w:t xml:space="preserve"> que las tarifas determinadas por este Instituto ya incluyen el costo de los puertos de acceso y no distinguen entre tecnología, ni capacidad. De no eliminarse la restricción pretendida por Telmex, la interconexión IP o la correspondiente a TDM en capacidades mayores a un E1 podría dar lugar a diferencias respecto a cargos por puertos de acceso.</w:t>
      </w:r>
    </w:p>
    <w:p w:rsidR="002124DF" w:rsidRPr="00E16359" w:rsidRDefault="002124DF" w:rsidP="001D3335">
      <w:pPr>
        <w:spacing w:line="276" w:lineRule="auto"/>
        <w:jc w:val="both"/>
        <w:rPr>
          <w:rFonts w:ascii="ITC Avant Garde" w:hAnsi="ITC Avant Garde"/>
          <w:b/>
        </w:rPr>
      </w:pPr>
    </w:p>
    <w:p w:rsidR="009E53DD" w:rsidRPr="00E16359" w:rsidRDefault="009E53DD"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2F65BA" w:rsidRPr="00E16359" w:rsidRDefault="00161B11" w:rsidP="008B766F">
      <w:pPr>
        <w:spacing w:after="0" w:line="276" w:lineRule="auto"/>
        <w:jc w:val="both"/>
        <w:rPr>
          <w:rFonts w:ascii="ITC Avant Garde" w:hAnsi="ITC Avant Garde"/>
          <w:sz w:val="21"/>
          <w:szCs w:val="21"/>
        </w:rPr>
      </w:pPr>
      <w:r w:rsidRPr="00E16359">
        <w:rPr>
          <w:rFonts w:ascii="ITC Avant Garde" w:hAnsi="ITC Avant Garde"/>
          <w:sz w:val="21"/>
          <w:szCs w:val="21"/>
        </w:rPr>
        <w:t>Al respecto</w:t>
      </w:r>
      <w:r w:rsidR="00112D9F" w:rsidRPr="00E16359">
        <w:rPr>
          <w:rFonts w:ascii="ITC Avant Garde" w:hAnsi="ITC Avant Garde"/>
          <w:sz w:val="21"/>
          <w:szCs w:val="21"/>
        </w:rPr>
        <w:t xml:space="preserve">, </w:t>
      </w:r>
      <w:r w:rsidR="00AF64B4" w:rsidRPr="00E16359">
        <w:rPr>
          <w:rFonts w:ascii="ITC Avant Garde" w:hAnsi="ITC Avant Garde"/>
          <w:sz w:val="21"/>
          <w:szCs w:val="21"/>
        </w:rPr>
        <w:t>es conveniente señalar que</w:t>
      </w:r>
      <w:r w:rsidR="008B766F" w:rsidRPr="00E16359">
        <w:rPr>
          <w:rFonts w:ascii="ITC Avant Garde" w:hAnsi="ITC Avant Garde"/>
          <w:sz w:val="21"/>
          <w:szCs w:val="21"/>
        </w:rPr>
        <w:t>,</w:t>
      </w:r>
      <w:r w:rsidR="000F45E8" w:rsidRPr="00E16359">
        <w:rPr>
          <w:rFonts w:ascii="ITC Avant Garde" w:hAnsi="ITC Avant Garde"/>
          <w:sz w:val="21"/>
          <w:szCs w:val="21"/>
        </w:rPr>
        <w:t xml:space="preserve"> en </w:t>
      </w:r>
      <w:r w:rsidR="00252EC2" w:rsidRPr="00E16359">
        <w:rPr>
          <w:rFonts w:ascii="ITC Avant Garde" w:hAnsi="ITC Avant Garde"/>
          <w:sz w:val="21"/>
          <w:szCs w:val="21"/>
        </w:rPr>
        <w:t>el numeral 5.4 establece que el</w:t>
      </w:r>
      <w:r w:rsidR="00AF64B4" w:rsidRPr="00E16359">
        <w:rPr>
          <w:rFonts w:ascii="ITC Avant Garde" w:hAnsi="ITC Avant Garde"/>
          <w:sz w:val="21"/>
          <w:szCs w:val="21"/>
        </w:rPr>
        <w:t xml:space="preserve"> costo</w:t>
      </w:r>
      <w:r w:rsidR="00252EC2" w:rsidRPr="00E16359">
        <w:rPr>
          <w:rFonts w:ascii="ITC Avant Garde" w:hAnsi="ITC Avant Garde"/>
          <w:sz w:val="21"/>
          <w:szCs w:val="21"/>
        </w:rPr>
        <w:t xml:space="preserve"> del puerto</w:t>
      </w:r>
      <w:r w:rsidR="00AF64B4" w:rsidRPr="00E16359">
        <w:rPr>
          <w:rFonts w:ascii="ITC Avant Garde" w:hAnsi="ITC Avant Garde"/>
          <w:sz w:val="21"/>
          <w:szCs w:val="21"/>
        </w:rPr>
        <w:t xml:space="preserve"> puertos</w:t>
      </w:r>
      <w:r w:rsidR="00252EC2" w:rsidRPr="00E16359">
        <w:rPr>
          <w:rFonts w:ascii="ITC Avant Garde" w:hAnsi="ITC Avant Garde"/>
          <w:sz w:val="21"/>
          <w:szCs w:val="21"/>
        </w:rPr>
        <w:t xml:space="preserve"> </w:t>
      </w:r>
      <w:r w:rsidR="00B85667" w:rsidRPr="00E16359">
        <w:rPr>
          <w:rFonts w:ascii="ITC Avant Garde" w:hAnsi="ITC Avant Garde"/>
          <w:sz w:val="21"/>
          <w:szCs w:val="21"/>
        </w:rPr>
        <w:t xml:space="preserve">se encuentra </w:t>
      </w:r>
      <w:r w:rsidR="002F65BA" w:rsidRPr="00E16359">
        <w:rPr>
          <w:rFonts w:ascii="ITC Avant Garde" w:hAnsi="ITC Avant Garde"/>
          <w:sz w:val="21"/>
          <w:szCs w:val="21"/>
        </w:rPr>
        <w:t>incluido e</w:t>
      </w:r>
      <w:r w:rsidR="00252EC2" w:rsidRPr="00E16359">
        <w:rPr>
          <w:rFonts w:ascii="ITC Avant Garde" w:hAnsi="ITC Avant Garde"/>
          <w:sz w:val="21"/>
          <w:szCs w:val="21"/>
        </w:rPr>
        <w:t>n la tarifa</w:t>
      </w:r>
      <w:r w:rsidR="002F65BA" w:rsidRPr="00E16359">
        <w:rPr>
          <w:rFonts w:ascii="ITC Avant Garde" w:hAnsi="ITC Avant Garde"/>
          <w:sz w:val="21"/>
          <w:szCs w:val="21"/>
        </w:rPr>
        <w:t>.</w:t>
      </w:r>
    </w:p>
    <w:p w:rsidR="0043772C" w:rsidRPr="00E16359" w:rsidRDefault="0043772C" w:rsidP="002F65BA">
      <w:pPr>
        <w:spacing w:after="120"/>
        <w:jc w:val="both"/>
        <w:rPr>
          <w:rFonts w:ascii="ITC Avant Garde" w:hAnsi="ITC Avant Garde"/>
          <w:sz w:val="21"/>
          <w:szCs w:val="21"/>
        </w:rPr>
      </w:pPr>
    </w:p>
    <w:p w:rsidR="004A46CF" w:rsidRPr="00E16359" w:rsidRDefault="004A46CF" w:rsidP="004A46CF">
      <w:pPr>
        <w:tabs>
          <w:tab w:val="left" w:pos="993"/>
        </w:tabs>
        <w:autoSpaceDE w:val="0"/>
        <w:autoSpaceDN w:val="0"/>
        <w:adjustRightInd w:val="0"/>
        <w:ind w:left="993" w:right="708"/>
        <w:jc w:val="both"/>
        <w:rPr>
          <w:rFonts w:ascii="ITC Avant Garde" w:hAnsi="ITC Avant Garde"/>
          <w:i/>
          <w:sz w:val="18"/>
          <w:szCs w:val="18"/>
        </w:rPr>
      </w:pPr>
      <w:r w:rsidRPr="00E16359">
        <w:rPr>
          <w:rFonts w:ascii="ITC Avant Garde" w:hAnsi="ITC Avant Garde"/>
          <w:b/>
          <w:i/>
          <w:sz w:val="18"/>
          <w:szCs w:val="18"/>
        </w:rPr>
        <w:t xml:space="preserve">“5.4 </w:t>
      </w:r>
      <w:r w:rsidRPr="00E16359">
        <w:rPr>
          <w:rFonts w:ascii="ITC Avant Garde" w:hAnsi="ITC Avant Garde"/>
          <w:b/>
          <w:i/>
          <w:sz w:val="18"/>
          <w:szCs w:val="18"/>
          <w:u w:val="single"/>
        </w:rPr>
        <w:t>PUERTOS DE ACCESO</w:t>
      </w:r>
      <w:r w:rsidRPr="00E16359">
        <w:rPr>
          <w:rFonts w:ascii="ITC Avant Garde" w:hAnsi="ITC Avant Garde"/>
          <w:i/>
          <w:sz w:val="18"/>
          <w:szCs w:val="18"/>
        </w:rPr>
        <w:t>.</w:t>
      </w:r>
    </w:p>
    <w:p w:rsidR="004A46CF" w:rsidRPr="00E16359" w:rsidRDefault="004A46CF" w:rsidP="004A46CF">
      <w:pPr>
        <w:tabs>
          <w:tab w:val="left" w:pos="993"/>
        </w:tabs>
        <w:autoSpaceDE w:val="0"/>
        <w:autoSpaceDN w:val="0"/>
        <w:adjustRightInd w:val="0"/>
        <w:ind w:left="993" w:right="708"/>
        <w:jc w:val="both"/>
        <w:rPr>
          <w:rFonts w:ascii="ITC Avant Garde" w:hAnsi="ITC Avant Garde" w:cs="Arial"/>
          <w:i/>
          <w:sz w:val="18"/>
          <w:szCs w:val="18"/>
        </w:rPr>
      </w:pPr>
      <w:r w:rsidRPr="00E16359">
        <w:rPr>
          <w:rFonts w:ascii="ITC Avant Garde" w:hAnsi="ITC Avant Garde" w:cs="Arial"/>
          <w:i/>
          <w:sz w:val="18"/>
          <w:szCs w:val="18"/>
        </w:rPr>
        <w:t>Los Puertos de Acceso no generarán un costo adicional pues éste ya está incluido en la tarifa de los Servicios Conmutados de Interconexión.”</w:t>
      </w:r>
    </w:p>
    <w:p w:rsidR="00645479" w:rsidRPr="00E16359" w:rsidRDefault="00645479" w:rsidP="002F65BA">
      <w:pPr>
        <w:spacing w:after="120"/>
        <w:jc w:val="both"/>
        <w:rPr>
          <w:rFonts w:ascii="ITC Avant Garde" w:hAnsi="ITC Avant Garde"/>
          <w:sz w:val="21"/>
          <w:szCs w:val="21"/>
        </w:rPr>
      </w:pPr>
      <w:r w:rsidRPr="00E16359">
        <w:rPr>
          <w:rFonts w:ascii="ITC Avant Garde" w:hAnsi="ITC Avant Garde"/>
          <w:sz w:val="21"/>
          <w:szCs w:val="21"/>
        </w:rPr>
        <w:t>Ahora bien, d</w:t>
      </w:r>
      <w:r w:rsidR="005400F6" w:rsidRPr="00E16359">
        <w:rPr>
          <w:rFonts w:ascii="ITC Avant Garde" w:hAnsi="ITC Avant Garde"/>
          <w:sz w:val="21"/>
          <w:szCs w:val="21"/>
        </w:rPr>
        <w:t>icho nu</w:t>
      </w:r>
      <w:r w:rsidRPr="00E16359">
        <w:rPr>
          <w:rFonts w:ascii="ITC Avant Garde" w:hAnsi="ITC Avant Garde"/>
          <w:sz w:val="21"/>
          <w:szCs w:val="21"/>
        </w:rPr>
        <w:t xml:space="preserve">meral se encuentra ajustado a </w:t>
      </w:r>
      <w:r w:rsidR="005400F6" w:rsidRPr="00E16359">
        <w:rPr>
          <w:rFonts w:ascii="ITC Avant Garde" w:hAnsi="ITC Avant Garde"/>
          <w:sz w:val="21"/>
          <w:szCs w:val="21"/>
        </w:rPr>
        <w:t>l</w:t>
      </w:r>
      <w:r w:rsidRPr="00E16359">
        <w:rPr>
          <w:rFonts w:ascii="ITC Avant Garde" w:hAnsi="ITC Avant Garde"/>
          <w:sz w:val="21"/>
          <w:szCs w:val="21"/>
        </w:rPr>
        <w:t>o establecido en el Acuerdo de CTM, el cual establece:</w:t>
      </w:r>
    </w:p>
    <w:p w:rsidR="00645479" w:rsidRPr="00E16359" w:rsidRDefault="00645479" w:rsidP="00082A7B">
      <w:pPr>
        <w:spacing w:after="120"/>
        <w:ind w:left="1134" w:right="1134"/>
        <w:jc w:val="both"/>
        <w:rPr>
          <w:rFonts w:ascii="ITC Avant Garde" w:hAnsi="ITC Avant Garde"/>
          <w:i/>
          <w:sz w:val="18"/>
          <w:szCs w:val="18"/>
        </w:rPr>
      </w:pPr>
    </w:p>
    <w:p w:rsidR="00645479" w:rsidRPr="00E16359" w:rsidRDefault="00645479" w:rsidP="00082A7B">
      <w:pPr>
        <w:spacing w:after="120"/>
        <w:ind w:left="1134" w:right="1134"/>
        <w:jc w:val="both"/>
        <w:rPr>
          <w:rFonts w:ascii="ITC Avant Garde" w:hAnsi="ITC Avant Garde"/>
          <w:b/>
          <w:i/>
          <w:sz w:val="18"/>
          <w:szCs w:val="18"/>
          <w:lang w:val="es-ES_tradnl"/>
        </w:rPr>
      </w:pPr>
      <w:r w:rsidRPr="00E16359">
        <w:rPr>
          <w:rFonts w:ascii="ITC Avant Garde" w:hAnsi="ITC Avant Garde"/>
          <w:i/>
          <w:sz w:val="18"/>
          <w:szCs w:val="18"/>
        </w:rPr>
        <w:t>“</w:t>
      </w:r>
      <w:r w:rsidRPr="00E16359">
        <w:rPr>
          <w:rFonts w:ascii="ITC Avant Garde" w:hAnsi="ITC Avant Garde"/>
          <w:b/>
          <w:i/>
          <w:sz w:val="18"/>
          <w:szCs w:val="18"/>
          <w:lang w:val="es-ES_tradnl"/>
        </w:rPr>
        <w:t>CAPÍTULO IV</w:t>
      </w:r>
    </w:p>
    <w:p w:rsidR="00645479" w:rsidRPr="00E16359" w:rsidRDefault="00645479" w:rsidP="00082A7B">
      <w:pPr>
        <w:spacing w:after="120"/>
        <w:ind w:left="1134" w:right="1134"/>
        <w:jc w:val="both"/>
        <w:rPr>
          <w:rFonts w:ascii="ITC Avant Garde" w:hAnsi="ITC Avant Garde"/>
          <w:b/>
          <w:i/>
          <w:sz w:val="18"/>
          <w:szCs w:val="18"/>
        </w:rPr>
      </w:pPr>
      <w:r w:rsidRPr="00E16359">
        <w:rPr>
          <w:rFonts w:ascii="ITC Avant Garde" w:hAnsi="ITC Avant Garde"/>
          <w:b/>
          <w:i/>
          <w:sz w:val="18"/>
          <w:szCs w:val="18"/>
        </w:rPr>
        <w:t>Tarifas de los Servicios de Interconexión Conmutados</w:t>
      </w:r>
    </w:p>
    <w:p w:rsidR="00645479" w:rsidRPr="00E16359" w:rsidRDefault="00645479" w:rsidP="00082A7B">
      <w:pPr>
        <w:spacing w:after="120"/>
        <w:ind w:left="1134" w:right="1134"/>
        <w:jc w:val="both"/>
        <w:rPr>
          <w:rFonts w:ascii="ITC Avant Garde" w:hAnsi="ITC Avant Garde"/>
          <w:i/>
          <w:sz w:val="18"/>
          <w:szCs w:val="18"/>
          <w:lang w:val="es-ES"/>
        </w:rPr>
      </w:pPr>
      <w:r w:rsidRPr="00E16359">
        <w:rPr>
          <w:rFonts w:ascii="ITC Avant Garde" w:hAnsi="ITC Avant Garde"/>
          <w:i/>
          <w:sz w:val="18"/>
          <w:szCs w:val="18"/>
          <w:lang w:val="es-ES"/>
        </w:rPr>
        <w:t>(…)</w:t>
      </w:r>
    </w:p>
    <w:p w:rsidR="00645479" w:rsidRPr="00E16359" w:rsidRDefault="00645479" w:rsidP="00082A7B">
      <w:pPr>
        <w:pStyle w:val="Texto"/>
        <w:spacing w:after="0" w:line="276" w:lineRule="auto"/>
        <w:ind w:left="1134" w:right="1134" w:firstLine="0"/>
        <w:rPr>
          <w:rFonts w:ascii="ITC Avant Garde" w:hAnsi="ITC Avant Garde"/>
          <w:i/>
          <w:szCs w:val="18"/>
        </w:rPr>
      </w:pPr>
      <w:r w:rsidRPr="00E16359">
        <w:rPr>
          <w:rFonts w:ascii="ITC Avant Garde" w:hAnsi="ITC Avant Garde"/>
          <w:i/>
          <w:szCs w:val="18"/>
        </w:rPr>
        <w:t>Las tarifas anteriores ya incluyen el costo correspondiente a los puertos necesarios para la interconexión.”</w:t>
      </w:r>
    </w:p>
    <w:p w:rsidR="00645479" w:rsidRPr="00E16359" w:rsidRDefault="00645479" w:rsidP="00645479">
      <w:pPr>
        <w:spacing w:after="120"/>
        <w:jc w:val="both"/>
        <w:rPr>
          <w:rFonts w:ascii="ITC Avant Garde" w:hAnsi="ITC Avant Garde"/>
          <w:sz w:val="21"/>
          <w:szCs w:val="21"/>
          <w:lang w:val="es-ES"/>
        </w:rPr>
      </w:pPr>
    </w:p>
    <w:p w:rsidR="004A46CF" w:rsidRPr="00E16359" w:rsidRDefault="004A46CF" w:rsidP="002F65BA">
      <w:pPr>
        <w:spacing w:after="120"/>
        <w:jc w:val="both"/>
        <w:rPr>
          <w:rFonts w:ascii="ITC Avant Garde" w:hAnsi="ITC Avant Garde"/>
          <w:sz w:val="21"/>
          <w:szCs w:val="21"/>
        </w:rPr>
      </w:pPr>
      <w:r w:rsidRPr="00E16359">
        <w:rPr>
          <w:rFonts w:ascii="ITC Avant Garde" w:hAnsi="ITC Avant Garde"/>
          <w:sz w:val="21"/>
          <w:szCs w:val="21"/>
        </w:rPr>
        <w:t>Por lo anterior</w:t>
      </w:r>
      <w:r w:rsidR="00235CB0" w:rsidRPr="00E16359">
        <w:rPr>
          <w:rFonts w:ascii="ITC Avant Garde" w:hAnsi="ITC Avant Garde"/>
          <w:sz w:val="21"/>
          <w:szCs w:val="21"/>
        </w:rPr>
        <w:t xml:space="preserve"> y dado que es claro que </w:t>
      </w:r>
      <w:r w:rsidR="004B507E" w:rsidRPr="00E16359">
        <w:rPr>
          <w:rFonts w:ascii="ITC Avant Garde" w:hAnsi="ITC Avant Garde"/>
          <w:sz w:val="21"/>
          <w:szCs w:val="21"/>
        </w:rPr>
        <w:t xml:space="preserve">el numeral se encuentra ajustado </w:t>
      </w:r>
      <w:r w:rsidR="00235CB0" w:rsidRPr="00E16359">
        <w:rPr>
          <w:rFonts w:ascii="ITC Avant Garde" w:hAnsi="ITC Avant Garde"/>
          <w:sz w:val="21"/>
          <w:szCs w:val="21"/>
        </w:rPr>
        <w:t>conforme a</w:t>
      </w:r>
      <w:r w:rsidR="00EC7582" w:rsidRPr="00E16359">
        <w:rPr>
          <w:rFonts w:ascii="ITC Avant Garde" w:hAnsi="ITC Avant Garde"/>
          <w:sz w:val="21"/>
          <w:szCs w:val="21"/>
        </w:rPr>
        <w:t xml:space="preserve"> lo establecido en el marco regulatorio vigente, </w:t>
      </w:r>
      <w:r w:rsidR="00A5030E" w:rsidRPr="00E16359">
        <w:rPr>
          <w:rFonts w:ascii="ITC Avant Garde" w:hAnsi="ITC Avant Garde"/>
          <w:sz w:val="21"/>
          <w:szCs w:val="21"/>
        </w:rPr>
        <w:t>no se considera procedente la solicitud planteada por dicho concesionario</w:t>
      </w:r>
      <w:r w:rsidRPr="00E16359">
        <w:rPr>
          <w:rFonts w:ascii="ITC Avant Garde" w:hAnsi="ITC Avant Garde"/>
          <w:sz w:val="21"/>
          <w:szCs w:val="21"/>
        </w:rPr>
        <w:t>.</w:t>
      </w:r>
      <w:r w:rsidR="00A5030E" w:rsidRPr="00E16359">
        <w:rPr>
          <w:rFonts w:ascii="ITC Avant Garde" w:hAnsi="ITC Avant Garde"/>
          <w:sz w:val="21"/>
          <w:szCs w:val="21"/>
        </w:rPr>
        <w:t xml:space="preserve"> </w:t>
      </w:r>
    </w:p>
    <w:p w:rsidR="005C7995" w:rsidRPr="00E16359" w:rsidRDefault="005C7995" w:rsidP="002F65BA">
      <w:pPr>
        <w:spacing w:after="120"/>
        <w:jc w:val="both"/>
        <w:rPr>
          <w:rFonts w:ascii="ITC Avant Garde" w:hAnsi="ITC Avant Garde"/>
        </w:rPr>
      </w:pPr>
    </w:p>
    <w:p w:rsidR="003343D6" w:rsidRPr="00E16359" w:rsidRDefault="00FD1DDB" w:rsidP="001D3335">
      <w:pPr>
        <w:spacing w:after="0" w:line="240" w:lineRule="auto"/>
        <w:jc w:val="both"/>
        <w:rPr>
          <w:rFonts w:ascii="ITC Avant Garde" w:hAnsi="ITC Avant Garde"/>
          <w:b/>
          <w:u w:val="single"/>
        </w:rPr>
      </w:pPr>
      <w:r w:rsidRPr="00E16359">
        <w:rPr>
          <w:rFonts w:ascii="ITC Avant Garde" w:hAnsi="ITC Avant Garde"/>
          <w:b/>
          <w:u w:val="single"/>
        </w:rPr>
        <w:t>Anexo B. Enlaces Dedicados de Interconexión E1, Servicios de Señalización, Servicios de Coubicación</w:t>
      </w:r>
      <w:r w:rsidRPr="00E16359">
        <w:rPr>
          <w:rFonts w:ascii="ITC Avant Garde" w:hAnsi="ITC Avant Garde"/>
          <w:u w:val="single"/>
        </w:rPr>
        <w:t xml:space="preserve">, </w:t>
      </w:r>
      <w:r w:rsidRPr="00E16359">
        <w:rPr>
          <w:rFonts w:ascii="ITC Avant Garde" w:hAnsi="ITC Avant Garde"/>
          <w:b/>
          <w:u w:val="single"/>
        </w:rPr>
        <w:t xml:space="preserve">Enlaces De Interconexión (E3, Ethernet). </w:t>
      </w:r>
    </w:p>
    <w:p w:rsidR="00D52A0C" w:rsidRPr="00E16359" w:rsidRDefault="00D52A0C" w:rsidP="001D3335">
      <w:pPr>
        <w:autoSpaceDE w:val="0"/>
        <w:autoSpaceDN w:val="0"/>
        <w:adjustRightInd w:val="0"/>
        <w:spacing w:line="276" w:lineRule="auto"/>
        <w:jc w:val="both"/>
        <w:rPr>
          <w:rFonts w:ascii="ITC Avant Garde" w:hAnsi="ITC Avant Garde"/>
          <w:b/>
        </w:rPr>
      </w:pPr>
    </w:p>
    <w:p w:rsidR="009C16EC" w:rsidRPr="00E16359" w:rsidRDefault="001E042E" w:rsidP="001D3335">
      <w:pPr>
        <w:autoSpaceDE w:val="0"/>
        <w:autoSpaceDN w:val="0"/>
        <w:adjustRightInd w:val="0"/>
        <w:spacing w:line="276" w:lineRule="auto"/>
        <w:jc w:val="both"/>
        <w:rPr>
          <w:rFonts w:ascii="ITC Avant Garde" w:hAnsi="ITC Avant Garde"/>
          <w:b/>
        </w:rPr>
      </w:pPr>
      <w:r w:rsidRPr="00E16359">
        <w:rPr>
          <w:rFonts w:ascii="ITC Avant Garde" w:hAnsi="ITC Avant Garde"/>
          <w:b/>
        </w:rPr>
        <w:t>AXTEL</w:t>
      </w:r>
    </w:p>
    <w:p w:rsidR="008119EB" w:rsidRPr="00E16359" w:rsidRDefault="002124DF" w:rsidP="001D3335">
      <w:pPr>
        <w:autoSpaceDE w:val="0"/>
        <w:autoSpaceDN w:val="0"/>
        <w:adjustRightInd w:val="0"/>
        <w:spacing w:line="276" w:lineRule="auto"/>
        <w:jc w:val="both"/>
        <w:rPr>
          <w:rFonts w:ascii="ITC Avant Garde" w:hAnsi="ITC Avant Garde"/>
        </w:rPr>
      </w:pPr>
      <w:r w:rsidRPr="00E16359">
        <w:rPr>
          <w:rFonts w:ascii="ITC Avant Garde" w:hAnsi="ITC Avant Garde"/>
        </w:rPr>
        <w:lastRenderedPageBreak/>
        <w:t>Solicitó</w:t>
      </w:r>
      <w:r w:rsidR="008119EB" w:rsidRPr="00E16359">
        <w:rPr>
          <w:rFonts w:ascii="ITC Avant Garde" w:hAnsi="ITC Avant Garde"/>
        </w:rPr>
        <w:t xml:space="preserve"> no establecer actualización alguna de</w:t>
      </w:r>
      <w:r w:rsidR="00FE3F14" w:rsidRPr="00E16359">
        <w:rPr>
          <w:rFonts w:ascii="ITC Avant Garde" w:hAnsi="ITC Avant Garde"/>
        </w:rPr>
        <w:t xml:space="preserve"> las</w:t>
      </w:r>
      <w:r w:rsidR="008119EB" w:rsidRPr="00E16359">
        <w:rPr>
          <w:rFonts w:ascii="ITC Avant Garde" w:hAnsi="ITC Avant Garde"/>
        </w:rPr>
        <w:t xml:space="preserve"> tarifas relativas a enlaces de interconexión, de señalización y coubicaciones, señala que el Instituto es quien determina el nivel tarifario para los servicios de interconexión, coubicación y enlaces de interconexión a través del modelo de costos.</w:t>
      </w:r>
    </w:p>
    <w:p w:rsidR="005D1AEC" w:rsidRPr="00E16359" w:rsidRDefault="005D1AEC" w:rsidP="005D1AEC">
      <w:pPr>
        <w:spacing w:line="276" w:lineRule="auto"/>
        <w:jc w:val="both"/>
        <w:rPr>
          <w:rFonts w:ascii="ITC Avant Garde" w:hAnsi="ITC Avant Garde"/>
          <w:b/>
        </w:rPr>
      </w:pPr>
      <w:r w:rsidRPr="00E16359">
        <w:rPr>
          <w:rFonts w:ascii="ITC Avant Garde" w:hAnsi="ITC Avant Garde"/>
          <w:b/>
        </w:rPr>
        <w:t xml:space="preserve">Consideraciones del Instituto </w:t>
      </w:r>
    </w:p>
    <w:p w:rsidR="0043772C" w:rsidRPr="00E16359" w:rsidRDefault="009A2FD0" w:rsidP="009A2FD0">
      <w:pPr>
        <w:spacing w:after="0" w:line="276" w:lineRule="auto"/>
        <w:jc w:val="both"/>
        <w:rPr>
          <w:rFonts w:ascii="ITC Avant Garde" w:hAnsi="ITC Avant Garde"/>
        </w:rPr>
      </w:pPr>
      <w:r w:rsidRPr="00E16359">
        <w:rPr>
          <w:rFonts w:ascii="ITC Avant Garde" w:hAnsi="ITC Avant Garde"/>
        </w:rPr>
        <w:t>Respecto al comentario anterior, es oportuno considerar que el CMI vigente eliminó el procedimiento de actualización de las tarifas del servicio Enlaces Dedicados de Interconexión E1, Servicio de Señalización, Servicio de Coubicación, servicio de Enlaces de Interconexión (E3, Ethernet), servicio de coubicación, así como el numeral 8 de Actualización contenida en el numeral 3 del Anexo B, ya que, de conformidad con la LFTR las tarifas aplicables a dichos servicios serán las que resulten de la metodología emitida por este Instituto.</w:t>
      </w:r>
    </w:p>
    <w:p w:rsidR="008B766F" w:rsidRPr="00E16359" w:rsidRDefault="008B766F" w:rsidP="001D3335">
      <w:pPr>
        <w:autoSpaceDE w:val="0"/>
        <w:autoSpaceDN w:val="0"/>
        <w:adjustRightInd w:val="0"/>
        <w:spacing w:line="276" w:lineRule="auto"/>
        <w:jc w:val="both"/>
        <w:rPr>
          <w:rFonts w:ascii="ITC Avant Garde" w:hAnsi="ITC Avant Garde"/>
          <w:b/>
          <w:u w:val="single"/>
        </w:rPr>
      </w:pPr>
    </w:p>
    <w:p w:rsidR="00695A7E" w:rsidRPr="00E16359" w:rsidRDefault="006061B8" w:rsidP="001D3335">
      <w:pPr>
        <w:autoSpaceDE w:val="0"/>
        <w:autoSpaceDN w:val="0"/>
        <w:adjustRightInd w:val="0"/>
        <w:spacing w:line="276" w:lineRule="auto"/>
        <w:jc w:val="both"/>
        <w:rPr>
          <w:rFonts w:ascii="ITC Avant Garde" w:hAnsi="ITC Avant Garde"/>
          <w:u w:val="single"/>
        </w:rPr>
      </w:pPr>
      <w:r w:rsidRPr="00E16359">
        <w:rPr>
          <w:rFonts w:ascii="ITC Avant Garde" w:hAnsi="ITC Avant Garde"/>
          <w:b/>
          <w:u w:val="single"/>
        </w:rPr>
        <w:t>Gastos d</w:t>
      </w:r>
      <w:r w:rsidR="00723D67" w:rsidRPr="00E16359">
        <w:rPr>
          <w:rFonts w:ascii="ITC Avant Garde" w:hAnsi="ITC Avant Garde"/>
          <w:b/>
          <w:u w:val="single"/>
        </w:rPr>
        <w:t>e Instalación</w:t>
      </w:r>
    </w:p>
    <w:p w:rsidR="0076249B" w:rsidRPr="00E16359" w:rsidRDefault="0076249B" w:rsidP="001D3335">
      <w:pPr>
        <w:autoSpaceDE w:val="0"/>
        <w:autoSpaceDN w:val="0"/>
        <w:adjustRightInd w:val="0"/>
        <w:spacing w:line="276" w:lineRule="auto"/>
        <w:jc w:val="both"/>
        <w:rPr>
          <w:rFonts w:ascii="ITC Avant Garde" w:hAnsi="ITC Avant Garde"/>
          <w:b/>
        </w:rPr>
      </w:pPr>
      <w:r w:rsidRPr="00E16359">
        <w:rPr>
          <w:rFonts w:ascii="ITC Avant Garde" w:hAnsi="ITC Avant Garde"/>
          <w:b/>
        </w:rPr>
        <w:t>GRUPO TELEVISA</w:t>
      </w:r>
    </w:p>
    <w:p w:rsidR="0076249B" w:rsidRPr="00E16359" w:rsidRDefault="006070C0" w:rsidP="001D3335">
      <w:pPr>
        <w:autoSpaceDE w:val="0"/>
        <w:autoSpaceDN w:val="0"/>
        <w:adjustRightInd w:val="0"/>
        <w:spacing w:line="276" w:lineRule="auto"/>
        <w:jc w:val="both"/>
        <w:rPr>
          <w:rFonts w:ascii="ITC Avant Garde" w:hAnsi="ITC Avant Garde"/>
        </w:rPr>
      </w:pPr>
      <w:r w:rsidRPr="00E16359">
        <w:rPr>
          <w:rFonts w:ascii="ITC Avant Garde" w:hAnsi="ITC Avant Garde"/>
        </w:rPr>
        <w:t>Señaló</w:t>
      </w:r>
      <w:r w:rsidR="0076249B" w:rsidRPr="00E16359">
        <w:rPr>
          <w:rFonts w:ascii="ITC Avant Garde" w:hAnsi="ITC Avant Garde"/>
        </w:rPr>
        <w:t xml:space="preserve"> </w:t>
      </w:r>
      <w:r w:rsidR="00542FA2" w:rsidRPr="00E16359">
        <w:rPr>
          <w:rFonts w:ascii="ITC Avant Garde" w:hAnsi="ITC Avant Garde"/>
        </w:rPr>
        <w:t>que se deben</w:t>
      </w:r>
      <w:r w:rsidR="0076249B" w:rsidRPr="00E16359">
        <w:rPr>
          <w:rFonts w:ascii="ITC Avant Garde" w:hAnsi="ITC Avant Garde"/>
        </w:rPr>
        <w:t xml:space="preserve"> incluir los precios que sean de aplicación para los s</w:t>
      </w:r>
      <w:r w:rsidR="00542FA2" w:rsidRPr="00E16359">
        <w:rPr>
          <w:rFonts w:ascii="ITC Avant Garde" w:hAnsi="ITC Avant Garde"/>
        </w:rPr>
        <w:t>ervicios prestados por el AEP, toda vez dichos</w:t>
      </w:r>
      <w:r w:rsidR="0076249B" w:rsidRPr="00E16359">
        <w:rPr>
          <w:rFonts w:ascii="ITC Avant Garde" w:hAnsi="ITC Avant Garde"/>
        </w:rPr>
        <w:t xml:space="preserve"> precios deberían seguir un proceso de actualización y aplicación definido.</w:t>
      </w:r>
    </w:p>
    <w:p w:rsidR="0076249B" w:rsidRPr="00E16359" w:rsidRDefault="00394223" w:rsidP="001D3335">
      <w:pPr>
        <w:autoSpaceDE w:val="0"/>
        <w:autoSpaceDN w:val="0"/>
        <w:adjustRightInd w:val="0"/>
        <w:spacing w:line="276" w:lineRule="auto"/>
        <w:jc w:val="both"/>
        <w:rPr>
          <w:rFonts w:ascii="ITC Avant Garde" w:hAnsi="ITC Avant Garde"/>
        </w:rPr>
      </w:pPr>
      <w:r w:rsidRPr="00E16359">
        <w:rPr>
          <w:rFonts w:ascii="ITC Avant Garde" w:hAnsi="ITC Avant Garde"/>
        </w:rPr>
        <w:t>Asimismo, manifestó</w:t>
      </w:r>
      <w:r w:rsidR="0076249B" w:rsidRPr="00E16359">
        <w:rPr>
          <w:rFonts w:ascii="ITC Avant Garde" w:hAnsi="ITC Avant Garde"/>
        </w:rPr>
        <w:t xml:space="preserve"> que el anexo B debería incluir, en las secciones que resulten relevantes, una disposición por la cual un concesionario Solicitante que se compromete a contratar un servicio por un periodo de 24 meses recibe un descuento sobre los gastos de instalación.</w:t>
      </w:r>
    </w:p>
    <w:p w:rsidR="006061B8" w:rsidRPr="00E16359" w:rsidRDefault="006061B8" w:rsidP="001D3335">
      <w:pPr>
        <w:spacing w:line="276" w:lineRule="auto"/>
        <w:jc w:val="both"/>
        <w:rPr>
          <w:rFonts w:ascii="ITC Avant Garde" w:hAnsi="ITC Avant Garde"/>
          <w:b/>
        </w:rPr>
      </w:pPr>
    </w:p>
    <w:p w:rsidR="009E53DD" w:rsidRPr="00E16359" w:rsidRDefault="009E53DD"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A37F5B" w:rsidRPr="00E16359" w:rsidRDefault="00A37F5B" w:rsidP="00A37F5B">
      <w:pPr>
        <w:spacing w:after="0" w:line="276" w:lineRule="auto"/>
        <w:ind w:right="49"/>
        <w:jc w:val="both"/>
        <w:rPr>
          <w:rFonts w:ascii="ITC Avant Garde" w:hAnsi="ITC Avant Garde"/>
        </w:rPr>
      </w:pPr>
      <w:r w:rsidRPr="00E16359">
        <w:rPr>
          <w:rFonts w:ascii="ITC Avant Garde" w:hAnsi="ITC Avant Garde"/>
        </w:rPr>
        <w:t>Al respecto, se señala que la medida Trigésima Séptima de las Medidas Fijas establece:</w:t>
      </w:r>
    </w:p>
    <w:p w:rsidR="00A37F5B" w:rsidRPr="00E16359" w:rsidRDefault="00A37F5B" w:rsidP="00A37F5B">
      <w:pPr>
        <w:spacing w:after="0" w:line="276" w:lineRule="auto"/>
        <w:ind w:right="616"/>
        <w:jc w:val="both"/>
        <w:rPr>
          <w:rFonts w:ascii="ITC Avant Garde" w:hAnsi="ITC Avant Garde"/>
        </w:rPr>
      </w:pPr>
    </w:p>
    <w:p w:rsidR="00A37F5B" w:rsidRPr="00E16359" w:rsidRDefault="00A37F5B" w:rsidP="00A37F5B">
      <w:pPr>
        <w:spacing w:after="0" w:line="276" w:lineRule="auto"/>
        <w:ind w:left="567" w:right="616"/>
        <w:jc w:val="both"/>
        <w:rPr>
          <w:rFonts w:ascii="ITC Avant Garde" w:hAnsi="ITC Avant Garde"/>
          <w:i/>
          <w:sz w:val="18"/>
          <w:szCs w:val="18"/>
        </w:rPr>
      </w:pPr>
      <w:r w:rsidRPr="00E16359">
        <w:rPr>
          <w:rFonts w:ascii="ITC Avant Garde" w:hAnsi="ITC Avant Garde"/>
          <w:i/>
          <w:sz w:val="18"/>
          <w:szCs w:val="18"/>
        </w:rPr>
        <w:t>“TRIGÉSIMA SÉPTIMA.- Las tarifas aplicables al Servicio Mayorista de Enlaces Dedicados se determinarán a partir de un modelo de costos basado en una metodología de costos incrementales promedio de largo plazo, que al efecto emita el Instituto.</w:t>
      </w:r>
      <w:r w:rsidR="00B8387E" w:rsidRPr="00E16359">
        <w:rPr>
          <w:rFonts w:ascii="ITC Avant Garde" w:hAnsi="ITC Avant Garde"/>
          <w:i/>
          <w:sz w:val="18"/>
          <w:szCs w:val="18"/>
        </w:rPr>
        <w:t xml:space="preserve"> (…)</w:t>
      </w:r>
      <w:r w:rsidRPr="00E16359">
        <w:rPr>
          <w:rFonts w:ascii="ITC Avant Garde" w:hAnsi="ITC Avant Garde"/>
          <w:i/>
          <w:sz w:val="18"/>
          <w:szCs w:val="18"/>
        </w:rPr>
        <w:t>”</w:t>
      </w:r>
    </w:p>
    <w:p w:rsidR="00A37F5B" w:rsidRPr="00E16359" w:rsidRDefault="00A37F5B" w:rsidP="00A37F5B">
      <w:pPr>
        <w:spacing w:after="0" w:line="276" w:lineRule="auto"/>
        <w:ind w:left="567" w:right="616"/>
        <w:jc w:val="both"/>
        <w:rPr>
          <w:rFonts w:ascii="ITC Avant Garde" w:hAnsi="ITC Avant Garde"/>
          <w:i/>
          <w:sz w:val="18"/>
          <w:szCs w:val="18"/>
        </w:rPr>
      </w:pPr>
    </w:p>
    <w:p w:rsidR="004539B4" w:rsidRPr="00E16359" w:rsidRDefault="00A32461" w:rsidP="004539B4">
      <w:pPr>
        <w:spacing w:line="276" w:lineRule="auto"/>
        <w:jc w:val="both"/>
        <w:rPr>
          <w:rFonts w:ascii="ITC Avant Garde" w:hAnsi="ITC Avant Garde"/>
        </w:rPr>
      </w:pPr>
      <w:r w:rsidRPr="00E16359">
        <w:rPr>
          <w:rFonts w:ascii="ITC Avant Garde" w:hAnsi="ITC Avant Garde"/>
        </w:rPr>
        <w:t>Asimismo</w:t>
      </w:r>
      <w:r w:rsidR="00D43F29" w:rsidRPr="00E16359">
        <w:rPr>
          <w:rFonts w:ascii="ITC Avant Garde" w:hAnsi="ITC Avant Garde"/>
        </w:rPr>
        <w:t xml:space="preserve">, </w:t>
      </w:r>
      <w:r w:rsidR="004539B4" w:rsidRPr="00E16359">
        <w:rPr>
          <w:rFonts w:ascii="ITC Avant Garde" w:hAnsi="ITC Avant Garde"/>
        </w:rPr>
        <w:t>el Acuerdo de CTM, dispone:</w:t>
      </w:r>
    </w:p>
    <w:p w:rsidR="00AF24E6" w:rsidRPr="00E16359" w:rsidRDefault="004539B4" w:rsidP="004539B4">
      <w:pPr>
        <w:tabs>
          <w:tab w:val="left" w:pos="851"/>
        </w:tabs>
        <w:autoSpaceDE w:val="0"/>
        <w:autoSpaceDN w:val="0"/>
        <w:adjustRightInd w:val="0"/>
        <w:spacing w:line="276" w:lineRule="auto"/>
        <w:ind w:left="851" w:right="708"/>
        <w:jc w:val="both"/>
        <w:rPr>
          <w:rFonts w:ascii="ITC Avant Garde" w:hAnsi="ITC Avant Garde"/>
          <w:i/>
          <w:sz w:val="18"/>
          <w:szCs w:val="18"/>
          <w:lang w:val="es-ES"/>
        </w:rPr>
      </w:pPr>
      <w:r w:rsidRPr="00E16359">
        <w:rPr>
          <w:rFonts w:ascii="ITC Avant Garde" w:hAnsi="ITC Avant Garde"/>
          <w:i/>
          <w:sz w:val="18"/>
          <w:szCs w:val="18"/>
          <w:lang w:val="es-ES"/>
        </w:rPr>
        <w:t>“OCTAVO. –</w:t>
      </w:r>
      <w:r w:rsidR="00AF24E6" w:rsidRPr="00E16359">
        <w:rPr>
          <w:rFonts w:ascii="ITC Avant Garde" w:hAnsi="ITC Avant Garde"/>
          <w:i/>
          <w:sz w:val="18"/>
          <w:szCs w:val="18"/>
          <w:lang w:val="es-ES"/>
        </w:rPr>
        <w:t xml:space="preserve"> </w:t>
      </w:r>
    </w:p>
    <w:p w:rsidR="004539B4" w:rsidRPr="00E16359" w:rsidRDefault="004539B4" w:rsidP="004539B4">
      <w:pPr>
        <w:tabs>
          <w:tab w:val="left" w:pos="851"/>
        </w:tabs>
        <w:autoSpaceDE w:val="0"/>
        <w:autoSpaceDN w:val="0"/>
        <w:adjustRightInd w:val="0"/>
        <w:spacing w:line="276" w:lineRule="auto"/>
        <w:ind w:left="851" w:right="708"/>
        <w:jc w:val="both"/>
        <w:rPr>
          <w:rFonts w:ascii="ITC Avant Garde" w:hAnsi="ITC Avant Garde"/>
          <w:i/>
          <w:sz w:val="18"/>
          <w:szCs w:val="18"/>
          <w:lang w:val="es-ES"/>
        </w:rPr>
      </w:pPr>
      <w:r w:rsidRPr="00E16359">
        <w:rPr>
          <w:rFonts w:ascii="ITC Avant Garde" w:hAnsi="ITC Avant Garde"/>
          <w:i/>
          <w:sz w:val="18"/>
          <w:szCs w:val="18"/>
          <w:lang w:val="es-ES"/>
        </w:rPr>
        <w:t>(…)</w:t>
      </w:r>
    </w:p>
    <w:p w:rsidR="004539B4" w:rsidRPr="00E16359" w:rsidRDefault="004539B4" w:rsidP="004539B4">
      <w:pPr>
        <w:tabs>
          <w:tab w:val="left" w:pos="851"/>
        </w:tabs>
        <w:spacing w:after="120"/>
        <w:ind w:left="851" w:right="708"/>
        <w:jc w:val="both"/>
        <w:rPr>
          <w:rFonts w:ascii="ITC Avant Garde" w:hAnsi="ITC Avant Garde"/>
          <w:i/>
          <w:sz w:val="18"/>
          <w:szCs w:val="18"/>
        </w:rPr>
      </w:pPr>
      <w:r w:rsidRPr="00E16359">
        <w:rPr>
          <w:rFonts w:ascii="ITC Avant Garde" w:hAnsi="ITC Avant Garde"/>
          <w:i/>
          <w:sz w:val="18"/>
          <w:szCs w:val="18"/>
        </w:rPr>
        <w:t>MODELO DE COSTOS DE ENLACES DEDICADOS DE INTERCONEXIÓN.</w:t>
      </w:r>
    </w:p>
    <w:p w:rsidR="004539B4" w:rsidRPr="00E16359" w:rsidRDefault="004539B4" w:rsidP="004539B4">
      <w:pPr>
        <w:tabs>
          <w:tab w:val="left" w:pos="851"/>
        </w:tabs>
        <w:spacing w:after="120"/>
        <w:ind w:left="851" w:right="708"/>
        <w:jc w:val="both"/>
        <w:rPr>
          <w:rFonts w:ascii="ITC Avant Garde" w:hAnsi="ITC Avant Garde"/>
          <w:i/>
          <w:sz w:val="18"/>
          <w:szCs w:val="18"/>
          <w:lang w:val="es-ES_tradnl"/>
        </w:rPr>
      </w:pPr>
      <w:r w:rsidRPr="00E16359">
        <w:rPr>
          <w:rFonts w:ascii="ITC Avant Garde" w:hAnsi="ITC Avant Garde"/>
          <w:i/>
          <w:sz w:val="18"/>
          <w:szCs w:val="18"/>
          <w:lang w:val="es-ES_tradnl"/>
        </w:rPr>
        <w:lastRenderedPageBreak/>
        <w:t>En términos de la Condición Segunda del presente Acuerdo, el servicio de enlaces de transmisión consiste en el establecimiento de enlaces de transmisión físicos o virtuales de cualquier tecnología, a través de los cuales se conduce Tráfico.</w:t>
      </w:r>
    </w:p>
    <w:p w:rsidR="004539B4" w:rsidRPr="00E16359" w:rsidRDefault="004539B4" w:rsidP="004539B4">
      <w:pPr>
        <w:tabs>
          <w:tab w:val="left" w:pos="851"/>
        </w:tabs>
        <w:spacing w:after="120"/>
        <w:ind w:left="851" w:right="708"/>
        <w:jc w:val="both"/>
        <w:rPr>
          <w:rFonts w:ascii="ITC Avant Garde" w:hAnsi="ITC Avant Garde" w:cs="Arial"/>
          <w:i/>
          <w:sz w:val="18"/>
          <w:szCs w:val="18"/>
          <w:lang w:val="es-ES"/>
        </w:rPr>
      </w:pPr>
      <w:r w:rsidRPr="00E16359">
        <w:rPr>
          <w:rFonts w:ascii="ITC Avant Garde" w:hAnsi="ITC Avant Garde"/>
          <w:i/>
          <w:sz w:val="18"/>
          <w:szCs w:val="18"/>
          <w:u w:val="single"/>
          <w:lang w:val="es-ES_tradnl"/>
        </w:rPr>
        <w:t>En este sentido el modelo permite calcular los gastos de instalación</w:t>
      </w:r>
      <w:r w:rsidRPr="00E16359">
        <w:rPr>
          <w:rFonts w:ascii="ITC Avant Garde" w:hAnsi="ITC Avant Garde"/>
          <w:i/>
          <w:sz w:val="18"/>
          <w:szCs w:val="18"/>
          <w:lang w:val="es-ES_tradnl"/>
        </w:rPr>
        <w:t xml:space="preserve"> y las contraprestaciones mensuales correspondientes a los distintos tipos de enlaces dedicados tanto locales como de larga distancia empleados exclusivamente para el transporte de tráfico de interconexión</w:t>
      </w:r>
      <w:r w:rsidRPr="00E16359">
        <w:rPr>
          <w:rFonts w:ascii="ITC Avant Garde" w:hAnsi="ITC Avant Garde" w:cs="Arial"/>
          <w:i/>
          <w:sz w:val="18"/>
          <w:szCs w:val="18"/>
          <w:lang w:val="es-ES"/>
        </w:rPr>
        <w:t xml:space="preserve">. </w:t>
      </w:r>
    </w:p>
    <w:p w:rsidR="004539B4" w:rsidRPr="00E16359" w:rsidRDefault="004539B4" w:rsidP="004539B4">
      <w:pPr>
        <w:tabs>
          <w:tab w:val="left" w:pos="851"/>
        </w:tabs>
        <w:spacing w:after="120"/>
        <w:ind w:left="851" w:right="708"/>
        <w:jc w:val="both"/>
        <w:rPr>
          <w:rFonts w:ascii="ITC Avant Garde" w:hAnsi="ITC Avant Garde" w:cs="Arial"/>
          <w:bCs/>
          <w:i/>
          <w:sz w:val="18"/>
          <w:szCs w:val="18"/>
        </w:rPr>
      </w:pPr>
      <w:r w:rsidRPr="00E16359">
        <w:rPr>
          <w:rFonts w:ascii="ITC Avant Garde" w:hAnsi="ITC Avant Garde" w:cs="Arial"/>
          <w:bCs/>
          <w:i/>
          <w:sz w:val="18"/>
          <w:szCs w:val="18"/>
        </w:rPr>
        <w:t xml:space="preserve">El modelo de costos se elaboró con una metodología CITLP. Bajo esta metodología el modelo calcula las tarifas mayoristas de enlaces dedicados locales, entre localidades e internacionales. </w:t>
      </w:r>
    </w:p>
    <w:p w:rsidR="004539B4" w:rsidRPr="00E16359" w:rsidRDefault="004539B4" w:rsidP="004539B4">
      <w:pPr>
        <w:autoSpaceDE w:val="0"/>
        <w:autoSpaceDN w:val="0"/>
        <w:adjustRightInd w:val="0"/>
        <w:spacing w:line="276" w:lineRule="auto"/>
        <w:jc w:val="both"/>
        <w:rPr>
          <w:rFonts w:ascii="ITC Avant Garde" w:hAnsi="ITC Avant Garde" w:cs="Arial"/>
          <w:bCs/>
          <w:i/>
          <w:sz w:val="18"/>
          <w:szCs w:val="18"/>
        </w:rPr>
      </w:pPr>
    </w:p>
    <w:p w:rsidR="00467421" w:rsidRPr="00E16359" w:rsidRDefault="00723109" w:rsidP="00467421">
      <w:pPr>
        <w:spacing w:after="0" w:line="276" w:lineRule="auto"/>
        <w:ind w:right="49"/>
        <w:jc w:val="both"/>
        <w:rPr>
          <w:rFonts w:ascii="ITC Avant Garde" w:hAnsi="ITC Avant Garde"/>
        </w:rPr>
      </w:pPr>
      <w:r w:rsidRPr="00E16359">
        <w:rPr>
          <w:rFonts w:ascii="ITC Avant Garde" w:hAnsi="ITC Avant Garde"/>
        </w:rPr>
        <w:t xml:space="preserve">Por lo anterior, las tarifas aplicables al servicio de enlaces de interconexión se determinarán a partir de un modelo de costos basado en la metodología de costos incrementales promedio de largo plazo. Asimismo, el no cobrar los costos incurridos por actividades de instalación de un determinado servicio ligado a un tiempo de permanencia concreto, corresponde a una estrategia comercial para atraer clientes e incrementar la venta de determinados servicios. </w:t>
      </w:r>
      <w:r w:rsidR="00D43F29" w:rsidRPr="00E16359">
        <w:rPr>
          <w:rFonts w:ascii="ITC Avant Garde" w:hAnsi="ITC Avant Garde"/>
        </w:rPr>
        <w:t>Es así que,</w:t>
      </w:r>
      <w:r w:rsidR="00370216" w:rsidRPr="00E16359">
        <w:rPr>
          <w:rFonts w:ascii="ITC Avant Garde" w:hAnsi="ITC Avant Garde"/>
        </w:rPr>
        <w:t xml:space="preserve"> no resulta razonable</w:t>
      </w:r>
      <w:r w:rsidR="00D43F29" w:rsidRPr="00E16359">
        <w:rPr>
          <w:rFonts w:ascii="ITC Avant Garde" w:hAnsi="ITC Avant Garde"/>
        </w:rPr>
        <w:t xml:space="preserve"> </w:t>
      </w:r>
      <w:r w:rsidR="00370216" w:rsidRPr="00E16359">
        <w:rPr>
          <w:rFonts w:ascii="ITC Avant Garde" w:hAnsi="ITC Avant Garde"/>
        </w:rPr>
        <w:t xml:space="preserve">considerar descuentos por plazos de contratación, toda vez que </w:t>
      </w:r>
      <w:r w:rsidRPr="00E16359">
        <w:rPr>
          <w:rFonts w:ascii="ITC Avant Garde" w:hAnsi="ITC Avant Garde"/>
        </w:rPr>
        <w:t xml:space="preserve">las tarifas aplicables, se apegan </w:t>
      </w:r>
      <w:r w:rsidR="00370216" w:rsidRPr="00E16359">
        <w:rPr>
          <w:rFonts w:ascii="ITC Avant Garde" w:hAnsi="ITC Avant Garde"/>
        </w:rPr>
        <w:t xml:space="preserve">al </w:t>
      </w:r>
      <w:r w:rsidR="00000542" w:rsidRPr="00E16359">
        <w:rPr>
          <w:rFonts w:ascii="ITC Avant Garde" w:hAnsi="ITC Avant Garde"/>
        </w:rPr>
        <w:t>marco regulatorio vigente</w:t>
      </w:r>
      <w:r w:rsidR="00467421" w:rsidRPr="00E16359">
        <w:rPr>
          <w:rFonts w:ascii="ITC Avant Garde" w:hAnsi="ITC Avant Garde"/>
        </w:rPr>
        <w:t>.</w:t>
      </w:r>
    </w:p>
    <w:p w:rsidR="00467421" w:rsidRPr="00E16359" w:rsidRDefault="00467421" w:rsidP="00467421">
      <w:pPr>
        <w:spacing w:after="0" w:line="276" w:lineRule="auto"/>
        <w:ind w:right="49"/>
        <w:jc w:val="both"/>
        <w:rPr>
          <w:rFonts w:ascii="ITC Avant Garde" w:hAnsi="ITC Avant Garde"/>
        </w:rPr>
      </w:pPr>
    </w:p>
    <w:p w:rsidR="00AC0AEC" w:rsidRPr="00E16359" w:rsidRDefault="006564A6" w:rsidP="00A32461">
      <w:pPr>
        <w:spacing w:after="0" w:line="276" w:lineRule="auto"/>
        <w:ind w:left="709" w:hanging="709"/>
        <w:jc w:val="both"/>
        <w:rPr>
          <w:rFonts w:ascii="ITC Avant Garde" w:hAnsi="ITC Avant Garde"/>
          <w:b/>
          <w:u w:val="single"/>
        </w:rPr>
      </w:pPr>
      <w:r w:rsidRPr="00E16359">
        <w:rPr>
          <w:rFonts w:ascii="ITC Avant Garde" w:hAnsi="ITC Avant Garde"/>
          <w:b/>
          <w:u w:val="single"/>
        </w:rPr>
        <w:t>Anexo E. Calidad. Suministro de Servicios.</w:t>
      </w:r>
      <w:r w:rsidR="008A2342" w:rsidRPr="00E16359">
        <w:rPr>
          <w:rFonts w:ascii="ITC Avant Garde" w:hAnsi="ITC Avant Garde"/>
          <w:b/>
          <w:u w:val="single"/>
        </w:rPr>
        <w:t xml:space="preserve"> Pronó</w:t>
      </w:r>
      <w:r w:rsidRPr="00E16359">
        <w:rPr>
          <w:rFonts w:ascii="ITC Avant Garde" w:hAnsi="ITC Avant Garde"/>
          <w:b/>
          <w:u w:val="single"/>
        </w:rPr>
        <w:t>sticos de Servicios</w:t>
      </w:r>
    </w:p>
    <w:p w:rsidR="00AC0AEC" w:rsidRPr="00E16359" w:rsidRDefault="00AC0AEC" w:rsidP="001D3335">
      <w:pPr>
        <w:pStyle w:val="Textosinformato"/>
        <w:jc w:val="both"/>
        <w:rPr>
          <w:rFonts w:ascii="ITC Avant Garde" w:hAnsi="ITC Avant Garde"/>
          <w:b/>
          <w:sz w:val="22"/>
        </w:rPr>
      </w:pPr>
    </w:p>
    <w:p w:rsidR="00AC0AEC" w:rsidRPr="00E16359" w:rsidRDefault="00AC0AEC" w:rsidP="001D3335">
      <w:pPr>
        <w:pStyle w:val="Textosinformato"/>
        <w:jc w:val="both"/>
        <w:rPr>
          <w:rFonts w:ascii="ITC Avant Garde" w:hAnsi="ITC Avant Garde"/>
          <w:b/>
          <w:sz w:val="22"/>
        </w:rPr>
      </w:pPr>
      <w:r w:rsidRPr="00E16359">
        <w:rPr>
          <w:rFonts w:ascii="ITC Avant Garde" w:hAnsi="ITC Avant Garde"/>
          <w:b/>
          <w:sz w:val="22"/>
        </w:rPr>
        <w:t>AT&amp;T</w:t>
      </w:r>
    </w:p>
    <w:p w:rsidR="00E0287D" w:rsidRPr="00E16359" w:rsidRDefault="00E0287D" w:rsidP="001D3335">
      <w:pPr>
        <w:pStyle w:val="Textosinformato"/>
        <w:jc w:val="both"/>
        <w:rPr>
          <w:rFonts w:ascii="ITC Avant Garde" w:hAnsi="ITC Avant Garde"/>
          <w:b/>
          <w:sz w:val="22"/>
        </w:rPr>
      </w:pPr>
    </w:p>
    <w:p w:rsidR="00505749" w:rsidRPr="00E16359" w:rsidRDefault="006070C0" w:rsidP="001D3335">
      <w:pPr>
        <w:pStyle w:val="Textosinformato"/>
        <w:spacing w:line="276" w:lineRule="auto"/>
        <w:jc w:val="both"/>
        <w:rPr>
          <w:rFonts w:ascii="ITC Avant Garde" w:hAnsi="ITC Avant Garde"/>
          <w:sz w:val="22"/>
          <w:szCs w:val="22"/>
        </w:rPr>
      </w:pPr>
      <w:r w:rsidRPr="00E16359">
        <w:rPr>
          <w:rFonts w:ascii="ITC Avant Garde" w:hAnsi="ITC Avant Garde"/>
          <w:sz w:val="22"/>
          <w:szCs w:val="22"/>
        </w:rPr>
        <w:t>Señaló</w:t>
      </w:r>
      <w:r w:rsidR="00505749" w:rsidRPr="00E16359">
        <w:rPr>
          <w:rFonts w:ascii="ITC Avant Garde" w:hAnsi="ITC Avant Garde"/>
          <w:sz w:val="22"/>
          <w:szCs w:val="22"/>
        </w:rPr>
        <w:t xml:space="preserve"> que en caso de que los servicios solicitados excedan un 20% o más de los pronosticados, los servicios excedentes serán instalados en un plazo definido por mutuo acuerdo esquema de fecha compromiso (due date). Situación que deberá será informada al Instituto, junto con las nuevas fechas de entrega. </w:t>
      </w:r>
    </w:p>
    <w:p w:rsidR="00E0287D" w:rsidRPr="00E16359" w:rsidRDefault="00E0287D" w:rsidP="001D3335">
      <w:pPr>
        <w:pStyle w:val="Textosinformato"/>
        <w:spacing w:line="276" w:lineRule="auto"/>
        <w:jc w:val="both"/>
        <w:rPr>
          <w:rFonts w:ascii="ITC Avant Garde" w:hAnsi="ITC Avant Garde"/>
          <w:sz w:val="22"/>
          <w:szCs w:val="22"/>
        </w:rPr>
      </w:pPr>
    </w:p>
    <w:p w:rsidR="00505749" w:rsidRPr="00E16359" w:rsidRDefault="00505749" w:rsidP="001D3335">
      <w:pPr>
        <w:pStyle w:val="Textosinformato"/>
        <w:spacing w:line="276" w:lineRule="auto"/>
        <w:jc w:val="both"/>
        <w:rPr>
          <w:rFonts w:ascii="ITC Avant Garde" w:hAnsi="ITC Avant Garde"/>
          <w:sz w:val="22"/>
          <w:szCs w:val="22"/>
        </w:rPr>
      </w:pPr>
      <w:r w:rsidRPr="00E16359">
        <w:rPr>
          <w:rFonts w:ascii="ITC Avant Garde" w:hAnsi="ITC Avant Garde"/>
          <w:sz w:val="22"/>
          <w:szCs w:val="22"/>
        </w:rPr>
        <w:t>Lo anterior, dado que los tiempos establecidos en el Convenio Marco (2018) son razonables y es lógico que habiendo facilidades existentes y tratándose solamente de una ampliación que no requiere de instalar hardware, deben ser menores.</w:t>
      </w:r>
    </w:p>
    <w:p w:rsidR="0023119A" w:rsidRPr="00E16359" w:rsidRDefault="0023119A" w:rsidP="001D3335">
      <w:pPr>
        <w:pStyle w:val="Textosinformato"/>
        <w:spacing w:line="276" w:lineRule="auto"/>
        <w:jc w:val="both"/>
        <w:rPr>
          <w:rFonts w:ascii="ITC Avant Garde" w:hAnsi="ITC Avant Garde"/>
          <w:sz w:val="22"/>
          <w:szCs w:val="22"/>
        </w:rPr>
      </w:pPr>
    </w:p>
    <w:p w:rsidR="0023119A" w:rsidRPr="00E16359" w:rsidRDefault="0023119A" w:rsidP="001D3335">
      <w:pPr>
        <w:pStyle w:val="Textosinformato"/>
        <w:spacing w:line="276" w:lineRule="auto"/>
        <w:jc w:val="both"/>
        <w:rPr>
          <w:rFonts w:ascii="ITC Avant Garde" w:hAnsi="ITC Avant Garde"/>
          <w:sz w:val="22"/>
          <w:szCs w:val="22"/>
        </w:rPr>
      </w:pPr>
      <w:r w:rsidRPr="00E16359">
        <w:rPr>
          <w:rFonts w:ascii="ITC Avant Garde" w:hAnsi="ITC Avant Garde"/>
          <w:sz w:val="22"/>
          <w:szCs w:val="22"/>
        </w:rPr>
        <w:t xml:space="preserve">De igual manera, </w:t>
      </w:r>
      <w:r w:rsidR="006070C0" w:rsidRPr="00E16359">
        <w:rPr>
          <w:rFonts w:ascii="ITC Avant Garde" w:hAnsi="ITC Avant Garde"/>
          <w:sz w:val="22"/>
          <w:szCs w:val="22"/>
        </w:rPr>
        <w:t>solicitó</w:t>
      </w:r>
      <w:r w:rsidR="004E7645" w:rsidRPr="00E16359">
        <w:rPr>
          <w:rFonts w:ascii="ITC Avant Garde" w:hAnsi="ITC Avant Garde"/>
          <w:sz w:val="22"/>
          <w:szCs w:val="22"/>
        </w:rPr>
        <w:t xml:space="preserve"> que se modifique la tabl</w:t>
      </w:r>
      <w:r w:rsidR="00E0287D" w:rsidRPr="00E16359">
        <w:rPr>
          <w:rFonts w:ascii="ITC Avant Garde" w:hAnsi="ITC Avant Garde"/>
          <w:sz w:val="22"/>
          <w:szCs w:val="22"/>
        </w:rPr>
        <w:t xml:space="preserve">a 3 del apartado en comento para </w:t>
      </w:r>
      <w:r w:rsidR="004E7645" w:rsidRPr="00E16359">
        <w:rPr>
          <w:rFonts w:ascii="ITC Avant Garde" w:hAnsi="ITC Avant Garde"/>
          <w:sz w:val="22"/>
          <w:szCs w:val="22"/>
        </w:rPr>
        <w:t>quedar como sigue:</w:t>
      </w:r>
    </w:p>
    <w:p w:rsidR="004E7645" w:rsidRPr="00E16359" w:rsidRDefault="004E7645" w:rsidP="001D3335">
      <w:pPr>
        <w:pStyle w:val="Textosinformato"/>
        <w:spacing w:line="276" w:lineRule="auto"/>
        <w:jc w:val="both"/>
        <w:rPr>
          <w:rFonts w:ascii="ITC Avant Garde" w:hAnsi="ITC Avant Garde"/>
          <w:sz w:val="22"/>
          <w:szCs w:val="22"/>
        </w:rPr>
      </w:pPr>
    </w:p>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Tabla 3</w:t>
      </w:r>
    </w:p>
    <w:p w:rsidR="00445B4C" w:rsidRPr="00E16359" w:rsidRDefault="00445B4C" w:rsidP="001D3335">
      <w:pPr>
        <w:pStyle w:val="Textosinformato"/>
        <w:jc w:val="both"/>
        <w:rPr>
          <w:rFonts w:ascii="ITC Avant Garde" w:hAnsi="ITC Avant Garde"/>
          <w:i/>
          <w:sz w:val="18"/>
          <w:szCs w:val="18"/>
        </w:rPr>
      </w:pPr>
    </w:p>
    <w:p w:rsidR="004E7645" w:rsidRPr="00E16359" w:rsidRDefault="004E7645" w:rsidP="001D3335">
      <w:pPr>
        <w:pStyle w:val="Textosinformato"/>
        <w:jc w:val="both"/>
        <w:rPr>
          <w:rFonts w:ascii="ITC Avant Garde" w:hAnsi="ITC Avant Garde"/>
          <w:i/>
          <w:sz w:val="18"/>
          <w:szCs w:val="1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984"/>
        <w:gridCol w:w="2127"/>
      </w:tblGrid>
      <w:tr w:rsidR="004E7645" w:rsidRPr="00E16359" w:rsidTr="00BC31A6">
        <w:tc>
          <w:tcPr>
            <w:tcW w:w="3261" w:type="dxa"/>
            <w:shd w:val="clear" w:color="auto" w:fill="auto"/>
          </w:tcPr>
          <w:p w:rsidR="004E7645" w:rsidRPr="00E16359" w:rsidRDefault="004E7645" w:rsidP="001D3335">
            <w:pPr>
              <w:pStyle w:val="Textosinformato"/>
              <w:jc w:val="both"/>
              <w:rPr>
                <w:rFonts w:ascii="ITC Avant Garde" w:hAnsi="ITC Avant Garde"/>
                <w:i/>
                <w:sz w:val="18"/>
                <w:szCs w:val="18"/>
              </w:rPr>
            </w:pPr>
          </w:p>
        </w:tc>
        <w:tc>
          <w:tcPr>
            <w:tcW w:w="1984"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Facilidad nueva</w:t>
            </w:r>
          </w:p>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(Días hábiles)</w:t>
            </w:r>
          </w:p>
        </w:tc>
        <w:tc>
          <w:tcPr>
            <w:tcW w:w="2127" w:type="dxa"/>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Facilidad existente (ampliación de días hábiles)</w:t>
            </w:r>
          </w:p>
        </w:tc>
      </w:tr>
      <w:tr w:rsidR="004E7645" w:rsidRPr="00E16359" w:rsidTr="00BC31A6">
        <w:tc>
          <w:tcPr>
            <w:tcW w:w="3261"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Puerto de Señalización (PAUSI-MX)</w:t>
            </w:r>
          </w:p>
        </w:tc>
        <w:tc>
          <w:tcPr>
            <w:tcW w:w="1984"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15</w:t>
            </w:r>
          </w:p>
        </w:tc>
        <w:tc>
          <w:tcPr>
            <w:tcW w:w="2127" w:type="dxa"/>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7</w:t>
            </w:r>
          </w:p>
        </w:tc>
      </w:tr>
      <w:tr w:rsidR="004E7645" w:rsidRPr="00E16359" w:rsidTr="00BC31A6">
        <w:tc>
          <w:tcPr>
            <w:tcW w:w="3261"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Puerto de Señalización IP</w:t>
            </w:r>
          </w:p>
        </w:tc>
        <w:tc>
          <w:tcPr>
            <w:tcW w:w="1984"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15</w:t>
            </w:r>
          </w:p>
        </w:tc>
        <w:tc>
          <w:tcPr>
            <w:tcW w:w="2127" w:type="dxa"/>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7</w:t>
            </w:r>
          </w:p>
        </w:tc>
      </w:tr>
      <w:tr w:rsidR="004E7645" w:rsidRPr="00E16359" w:rsidTr="00BC31A6">
        <w:tc>
          <w:tcPr>
            <w:tcW w:w="3261"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Puerto de Acceso IP</w:t>
            </w:r>
          </w:p>
        </w:tc>
        <w:tc>
          <w:tcPr>
            <w:tcW w:w="1984"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15</w:t>
            </w:r>
          </w:p>
        </w:tc>
        <w:tc>
          <w:tcPr>
            <w:tcW w:w="2127" w:type="dxa"/>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7</w:t>
            </w:r>
          </w:p>
        </w:tc>
      </w:tr>
      <w:tr w:rsidR="004E7645" w:rsidRPr="00E16359" w:rsidTr="00BC31A6">
        <w:tc>
          <w:tcPr>
            <w:tcW w:w="3261"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lastRenderedPageBreak/>
              <w:t>Coubicación</w:t>
            </w:r>
          </w:p>
        </w:tc>
        <w:tc>
          <w:tcPr>
            <w:tcW w:w="1984"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15</w:t>
            </w:r>
          </w:p>
        </w:tc>
        <w:tc>
          <w:tcPr>
            <w:tcW w:w="2127" w:type="dxa"/>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No aplica</w:t>
            </w:r>
          </w:p>
        </w:tc>
      </w:tr>
      <w:tr w:rsidR="004E7645" w:rsidRPr="00E16359" w:rsidTr="00BC31A6">
        <w:tc>
          <w:tcPr>
            <w:tcW w:w="3261"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Facturación</w:t>
            </w:r>
          </w:p>
        </w:tc>
        <w:tc>
          <w:tcPr>
            <w:tcW w:w="1984"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15</w:t>
            </w:r>
          </w:p>
        </w:tc>
        <w:tc>
          <w:tcPr>
            <w:tcW w:w="2127" w:type="dxa"/>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10</w:t>
            </w:r>
          </w:p>
        </w:tc>
      </w:tr>
      <w:tr w:rsidR="004E7645" w:rsidRPr="00E16359" w:rsidTr="00BC31A6">
        <w:tc>
          <w:tcPr>
            <w:tcW w:w="3261"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Tránsito</w:t>
            </w:r>
          </w:p>
        </w:tc>
        <w:tc>
          <w:tcPr>
            <w:tcW w:w="1984"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7</w:t>
            </w:r>
          </w:p>
        </w:tc>
        <w:tc>
          <w:tcPr>
            <w:tcW w:w="2127" w:type="dxa"/>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3</w:t>
            </w:r>
          </w:p>
        </w:tc>
      </w:tr>
      <w:tr w:rsidR="004E7645" w:rsidRPr="00E16359" w:rsidTr="00BC31A6">
        <w:tc>
          <w:tcPr>
            <w:tcW w:w="3261" w:type="dxa"/>
            <w:shd w:val="clear" w:color="auto" w:fill="auto"/>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Enlace de Transmisión entre coubicaciones no gestionado</w:t>
            </w:r>
          </w:p>
          <w:p w:rsidR="004E7645" w:rsidRPr="00E16359" w:rsidRDefault="004E7645" w:rsidP="001D3335">
            <w:pPr>
              <w:pStyle w:val="Textosinformato"/>
              <w:jc w:val="both"/>
              <w:rPr>
                <w:rFonts w:ascii="ITC Avant Garde" w:hAnsi="ITC Avant Garde"/>
                <w:i/>
                <w:sz w:val="18"/>
                <w:szCs w:val="18"/>
              </w:rPr>
            </w:pPr>
          </w:p>
        </w:tc>
        <w:tc>
          <w:tcPr>
            <w:tcW w:w="1984" w:type="dxa"/>
            <w:shd w:val="clear" w:color="auto" w:fill="auto"/>
          </w:tcPr>
          <w:p w:rsidR="004E7645" w:rsidRPr="00E16359" w:rsidDel="001B4B67"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15</w:t>
            </w:r>
          </w:p>
        </w:tc>
        <w:tc>
          <w:tcPr>
            <w:tcW w:w="2127" w:type="dxa"/>
          </w:tcPr>
          <w:p w:rsidR="004E7645" w:rsidRPr="00E16359" w:rsidRDefault="004E7645" w:rsidP="001D3335">
            <w:pPr>
              <w:pStyle w:val="Textosinformato"/>
              <w:jc w:val="both"/>
              <w:rPr>
                <w:rFonts w:ascii="ITC Avant Garde" w:hAnsi="ITC Avant Garde"/>
                <w:i/>
                <w:sz w:val="18"/>
                <w:szCs w:val="18"/>
              </w:rPr>
            </w:pPr>
            <w:r w:rsidRPr="00E16359">
              <w:rPr>
                <w:rFonts w:ascii="ITC Avant Garde" w:hAnsi="ITC Avant Garde"/>
                <w:i/>
                <w:sz w:val="18"/>
                <w:szCs w:val="18"/>
              </w:rPr>
              <w:t>No aplica</w:t>
            </w:r>
          </w:p>
        </w:tc>
      </w:tr>
    </w:tbl>
    <w:p w:rsidR="00B4121E" w:rsidRPr="00E16359" w:rsidRDefault="00B4121E" w:rsidP="001D3335">
      <w:pPr>
        <w:spacing w:after="0" w:line="276" w:lineRule="auto"/>
        <w:ind w:left="-6"/>
        <w:jc w:val="both"/>
        <w:rPr>
          <w:rFonts w:ascii="ITC Avant Garde" w:eastAsia="Times New Roman" w:hAnsi="ITC Avant Garde" w:cs="Calibri"/>
          <w:lang w:eastAsia="es-MX"/>
        </w:rPr>
      </w:pPr>
    </w:p>
    <w:p w:rsidR="00445B4C" w:rsidRPr="00E16359" w:rsidRDefault="00445B4C" w:rsidP="001D3335">
      <w:pPr>
        <w:spacing w:after="0" w:line="276" w:lineRule="auto"/>
        <w:ind w:left="-6"/>
        <w:jc w:val="both"/>
        <w:rPr>
          <w:rFonts w:ascii="ITC Avant Garde" w:eastAsia="Times New Roman" w:hAnsi="ITC Avant Garde" w:cs="Calibri"/>
          <w:lang w:eastAsia="es-MX"/>
        </w:rPr>
      </w:pPr>
    </w:p>
    <w:p w:rsidR="00AC0AEC" w:rsidRPr="00E16359" w:rsidRDefault="00424319" w:rsidP="001D3335">
      <w:pPr>
        <w:spacing w:after="0" w:line="276" w:lineRule="auto"/>
        <w:ind w:left="-6"/>
        <w:jc w:val="both"/>
        <w:rPr>
          <w:rFonts w:ascii="ITC Avant Garde" w:hAnsi="ITC Avant Garde"/>
          <w:b/>
        </w:rPr>
      </w:pPr>
      <w:r w:rsidRPr="00E16359">
        <w:rPr>
          <w:rFonts w:ascii="ITC Avant Garde" w:hAnsi="ITC Avant Garde"/>
          <w:b/>
        </w:rPr>
        <w:t>GRUPO TELEVISA</w:t>
      </w:r>
    </w:p>
    <w:p w:rsidR="00135B38" w:rsidRPr="00E16359" w:rsidRDefault="00135B38" w:rsidP="001D3335">
      <w:pPr>
        <w:spacing w:after="0" w:line="276" w:lineRule="auto"/>
        <w:ind w:left="-6"/>
        <w:jc w:val="both"/>
        <w:rPr>
          <w:rFonts w:ascii="ITC Avant Garde" w:hAnsi="ITC Avant Garde"/>
          <w:b/>
        </w:rPr>
      </w:pPr>
    </w:p>
    <w:p w:rsidR="00424319" w:rsidRPr="00E16359" w:rsidRDefault="00B4121E" w:rsidP="001D3335">
      <w:pPr>
        <w:spacing w:after="0" w:line="276" w:lineRule="auto"/>
        <w:ind w:left="-6"/>
        <w:jc w:val="both"/>
        <w:rPr>
          <w:rFonts w:ascii="ITC Avant Garde" w:hAnsi="ITC Avant Garde"/>
        </w:rPr>
      </w:pPr>
      <w:r w:rsidRPr="00E16359">
        <w:rPr>
          <w:rFonts w:ascii="ITC Avant Garde" w:hAnsi="ITC Avant Garde"/>
        </w:rPr>
        <w:t>Solicitó</w:t>
      </w:r>
      <w:r w:rsidR="00424319" w:rsidRPr="00E16359">
        <w:rPr>
          <w:rFonts w:ascii="ITC Avant Garde" w:hAnsi="ITC Avant Garde"/>
        </w:rPr>
        <w:t xml:space="preserve"> eliminar la posibilidad de que la fecha de instalación pueda fijarse por </w:t>
      </w:r>
      <w:r w:rsidR="00424319" w:rsidRPr="00E16359">
        <w:rPr>
          <w:rFonts w:ascii="ITC Avant Garde" w:hAnsi="ITC Avant Garde"/>
          <w:i/>
        </w:rPr>
        <w:t>"mutuo compromiso"</w:t>
      </w:r>
      <w:r w:rsidR="00424319" w:rsidRPr="00E16359">
        <w:rPr>
          <w:rFonts w:ascii="ITC Avant Garde" w:hAnsi="ITC Avant Garde"/>
        </w:rPr>
        <w:t xml:space="preserve"> pues </w:t>
      </w:r>
      <w:r w:rsidR="009E0E37" w:rsidRPr="00E16359">
        <w:rPr>
          <w:rFonts w:ascii="ITC Avant Garde" w:hAnsi="ITC Avant Garde"/>
        </w:rPr>
        <w:t>traduce su significado</w:t>
      </w:r>
      <w:r w:rsidR="00424319" w:rsidRPr="00E16359">
        <w:rPr>
          <w:rFonts w:ascii="ITC Avant Garde" w:hAnsi="ITC Avant Garde"/>
        </w:rPr>
        <w:t>, en los hechos, no fijar una fecha concreta cuyo incumplimiento esté sujeto a pe</w:t>
      </w:r>
      <w:r w:rsidR="009E0E37" w:rsidRPr="00E16359">
        <w:rPr>
          <w:rFonts w:ascii="ITC Avant Garde" w:hAnsi="ITC Avant Garde"/>
        </w:rPr>
        <w:t>nalizaciones. Asimismo, solicitó</w:t>
      </w:r>
      <w:r w:rsidR="00424319" w:rsidRPr="00E16359">
        <w:rPr>
          <w:rFonts w:ascii="ITC Avant Garde" w:hAnsi="ITC Avant Garde"/>
        </w:rPr>
        <w:t xml:space="preserve"> eliminar la obligación de pagar </w:t>
      </w:r>
      <w:r w:rsidR="00424319" w:rsidRPr="00E16359">
        <w:rPr>
          <w:rFonts w:ascii="ITC Avant Garde" w:hAnsi="ITC Avant Garde"/>
          <w:i/>
        </w:rPr>
        <w:t>"gastos de instalación"</w:t>
      </w:r>
      <w:r w:rsidR="00424319" w:rsidRPr="00E16359">
        <w:rPr>
          <w:rFonts w:ascii="ITC Avant Garde" w:hAnsi="ITC Avant Garde"/>
        </w:rPr>
        <w:t xml:space="preserve"> no previstos por las Medidas.</w:t>
      </w:r>
    </w:p>
    <w:p w:rsidR="00424319" w:rsidRPr="00E16359" w:rsidRDefault="00424319" w:rsidP="001D3335">
      <w:pPr>
        <w:spacing w:after="0" w:line="276" w:lineRule="auto"/>
        <w:ind w:left="-6"/>
        <w:jc w:val="both"/>
        <w:rPr>
          <w:rFonts w:ascii="ITC Avant Garde" w:hAnsi="ITC Avant Garde"/>
          <w:b/>
        </w:rPr>
      </w:pPr>
    </w:p>
    <w:p w:rsidR="00AA7478" w:rsidRPr="00E16359" w:rsidRDefault="00135B38" w:rsidP="001D3335">
      <w:pPr>
        <w:spacing w:after="0" w:line="276" w:lineRule="auto"/>
        <w:ind w:left="-5"/>
        <w:jc w:val="both"/>
        <w:rPr>
          <w:rFonts w:ascii="ITC Avant Garde" w:hAnsi="ITC Avant Garde"/>
          <w:b/>
          <w:u w:val="single"/>
        </w:rPr>
      </w:pPr>
      <w:r w:rsidRPr="00E16359">
        <w:rPr>
          <w:rFonts w:ascii="ITC Avant Garde" w:hAnsi="ITC Avant Garde"/>
          <w:b/>
          <w:u w:val="single"/>
        </w:rPr>
        <w:t>Plazos Máximos p</w:t>
      </w:r>
      <w:r w:rsidR="00A4040E" w:rsidRPr="00E16359">
        <w:rPr>
          <w:rFonts w:ascii="ITC Avant Garde" w:hAnsi="ITC Avant Garde"/>
          <w:b/>
          <w:u w:val="single"/>
        </w:rPr>
        <w:t>ara Solución d</w:t>
      </w:r>
      <w:r w:rsidR="00E0287D" w:rsidRPr="00E16359">
        <w:rPr>
          <w:rFonts w:ascii="ITC Avant Garde" w:hAnsi="ITC Avant Garde"/>
          <w:b/>
          <w:u w:val="single"/>
        </w:rPr>
        <w:t>e Fallas</w:t>
      </w:r>
    </w:p>
    <w:p w:rsidR="00845547" w:rsidRPr="00E16359" w:rsidRDefault="00845547" w:rsidP="001D3335">
      <w:pPr>
        <w:spacing w:after="0" w:line="276" w:lineRule="auto"/>
        <w:ind w:left="-5"/>
        <w:jc w:val="both"/>
        <w:rPr>
          <w:rFonts w:ascii="ITC Avant Garde" w:hAnsi="ITC Avant Garde"/>
          <w:b/>
          <w:u w:val="single"/>
        </w:rPr>
      </w:pPr>
    </w:p>
    <w:p w:rsidR="00845547" w:rsidRPr="00E16359" w:rsidRDefault="00A8626C" w:rsidP="001D3335">
      <w:pPr>
        <w:spacing w:after="0" w:line="276" w:lineRule="auto"/>
        <w:ind w:left="-5"/>
        <w:jc w:val="both"/>
        <w:rPr>
          <w:rFonts w:ascii="ITC Avant Garde" w:hAnsi="ITC Avant Garde"/>
          <w:b/>
        </w:rPr>
      </w:pPr>
      <w:r w:rsidRPr="00E16359">
        <w:rPr>
          <w:rFonts w:ascii="ITC Avant Garde" w:hAnsi="ITC Avant Garde"/>
          <w:b/>
        </w:rPr>
        <w:t>AT&amp;T</w:t>
      </w:r>
    </w:p>
    <w:p w:rsidR="00135B38" w:rsidRPr="00E16359" w:rsidRDefault="00135B38" w:rsidP="001D3335">
      <w:pPr>
        <w:spacing w:after="0" w:line="276" w:lineRule="auto"/>
        <w:ind w:left="-5"/>
        <w:jc w:val="both"/>
        <w:rPr>
          <w:rFonts w:ascii="ITC Avant Garde" w:hAnsi="ITC Avant Garde"/>
          <w:b/>
        </w:rPr>
      </w:pPr>
    </w:p>
    <w:p w:rsidR="00A8626C" w:rsidRPr="00E16359" w:rsidRDefault="00616918" w:rsidP="001D3335">
      <w:pPr>
        <w:spacing w:after="0" w:line="276" w:lineRule="auto"/>
        <w:ind w:left="-5"/>
        <w:jc w:val="both"/>
        <w:rPr>
          <w:rFonts w:ascii="ITC Avant Garde" w:hAnsi="ITC Avant Garde"/>
        </w:rPr>
      </w:pPr>
      <w:r w:rsidRPr="00E16359">
        <w:rPr>
          <w:rFonts w:ascii="ITC Avant Garde" w:hAnsi="ITC Avant Garde"/>
        </w:rPr>
        <w:t>Manifestó</w:t>
      </w:r>
      <w:r w:rsidR="00A8626C" w:rsidRPr="00E16359">
        <w:rPr>
          <w:rFonts w:ascii="ITC Avant Garde" w:hAnsi="ITC Avant Garde"/>
        </w:rPr>
        <w:t xml:space="preserve"> que Telmex debe solucionar las fallas reportadas en los plazos de reparación siguientes:</w:t>
      </w:r>
    </w:p>
    <w:p w:rsidR="00A8626C" w:rsidRPr="00E16359" w:rsidRDefault="00A8626C" w:rsidP="001D3335">
      <w:pPr>
        <w:spacing w:after="0" w:line="276" w:lineRule="auto"/>
        <w:ind w:left="-5"/>
        <w:jc w:val="both"/>
        <w:rPr>
          <w:rFonts w:ascii="ITC Avant Garde" w:hAnsi="ITC Avant Garde"/>
        </w:rPr>
      </w:pPr>
    </w:p>
    <w:p w:rsidR="00B773B3" w:rsidRPr="00E16359" w:rsidRDefault="00B773B3" w:rsidP="001D3335">
      <w:pPr>
        <w:spacing w:after="0" w:line="276" w:lineRule="auto"/>
        <w:ind w:left="-5"/>
        <w:jc w:val="both"/>
        <w:rPr>
          <w:rFonts w:ascii="ITC Avant Garde" w:hAnsi="ITC Avant Gard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230"/>
        <w:gridCol w:w="2070"/>
        <w:gridCol w:w="2250"/>
      </w:tblGrid>
      <w:tr w:rsidR="00A8626C" w:rsidRPr="00E16359" w:rsidTr="00A8626C">
        <w:tc>
          <w:tcPr>
            <w:tcW w:w="1701" w:type="dxa"/>
          </w:tcPr>
          <w:p w:rsidR="00A8626C" w:rsidRPr="00E16359" w:rsidRDefault="00A8626C" w:rsidP="001D3335">
            <w:pPr>
              <w:spacing w:after="0" w:line="276" w:lineRule="auto"/>
              <w:ind w:left="-5"/>
              <w:jc w:val="both"/>
              <w:rPr>
                <w:rFonts w:ascii="ITC Avant Garde" w:hAnsi="ITC Avant Garde"/>
                <w:bCs/>
                <w:sz w:val="18"/>
                <w:szCs w:val="18"/>
                <w:lang w:val="es-ES"/>
              </w:rPr>
            </w:pPr>
            <w:r w:rsidRPr="00E16359">
              <w:rPr>
                <w:rFonts w:ascii="ITC Avant Garde" w:hAnsi="ITC Avant Garde"/>
                <w:bCs/>
                <w:sz w:val="18"/>
                <w:szCs w:val="18"/>
                <w:lang w:val="es-ES"/>
              </w:rPr>
              <w:t>Tipo de Servicio</w:t>
            </w:r>
          </w:p>
        </w:tc>
        <w:tc>
          <w:tcPr>
            <w:tcW w:w="2230" w:type="dxa"/>
          </w:tcPr>
          <w:p w:rsidR="00A8626C" w:rsidRPr="00E16359" w:rsidRDefault="00A8626C" w:rsidP="001D3335">
            <w:pPr>
              <w:spacing w:after="0" w:line="276" w:lineRule="auto"/>
              <w:ind w:left="-5"/>
              <w:jc w:val="both"/>
              <w:rPr>
                <w:rFonts w:ascii="ITC Avant Garde" w:hAnsi="ITC Avant Garde"/>
                <w:bCs/>
                <w:sz w:val="18"/>
                <w:szCs w:val="18"/>
                <w:lang w:val="es-ES"/>
              </w:rPr>
            </w:pPr>
            <w:r w:rsidRPr="00E16359">
              <w:rPr>
                <w:rFonts w:ascii="ITC Avant Garde" w:hAnsi="ITC Avant Garde"/>
                <w:bCs/>
                <w:sz w:val="18"/>
                <w:szCs w:val="18"/>
                <w:lang w:val="es-ES"/>
              </w:rPr>
              <w:t>Prioridad 1</w:t>
            </w:r>
            <w:r w:rsidRPr="00E16359">
              <w:rPr>
                <w:rFonts w:ascii="ITC Avant Garde" w:hAnsi="ITC Avant Garde"/>
                <w:bCs/>
                <w:sz w:val="18"/>
                <w:szCs w:val="18"/>
                <w:lang w:val="es-ES"/>
              </w:rPr>
              <w:br/>
              <w:t>(Servicio Totalmente Afectado)</w:t>
            </w:r>
          </w:p>
        </w:tc>
        <w:tc>
          <w:tcPr>
            <w:tcW w:w="2070" w:type="dxa"/>
          </w:tcPr>
          <w:p w:rsidR="00A8626C" w:rsidRPr="00E16359" w:rsidRDefault="00A8626C" w:rsidP="001D3335">
            <w:pPr>
              <w:spacing w:after="0" w:line="276" w:lineRule="auto"/>
              <w:ind w:left="-5"/>
              <w:jc w:val="both"/>
              <w:rPr>
                <w:rFonts w:ascii="ITC Avant Garde" w:hAnsi="ITC Avant Garde"/>
                <w:bCs/>
                <w:sz w:val="18"/>
                <w:szCs w:val="18"/>
                <w:lang w:val="es-ES"/>
              </w:rPr>
            </w:pPr>
            <w:r w:rsidRPr="00E16359">
              <w:rPr>
                <w:rFonts w:ascii="ITC Avant Garde" w:hAnsi="ITC Avant Garde"/>
                <w:bCs/>
                <w:sz w:val="18"/>
                <w:szCs w:val="18"/>
                <w:lang w:val="es-ES"/>
              </w:rPr>
              <w:t>Prioridad 2 (Afectación Parcial)</w:t>
            </w:r>
          </w:p>
        </w:tc>
        <w:tc>
          <w:tcPr>
            <w:tcW w:w="2250" w:type="dxa"/>
          </w:tcPr>
          <w:p w:rsidR="00A8626C" w:rsidRPr="00E16359" w:rsidRDefault="00A8626C" w:rsidP="001D3335">
            <w:pPr>
              <w:spacing w:after="0" w:line="276" w:lineRule="auto"/>
              <w:ind w:left="-5"/>
              <w:jc w:val="both"/>
              <w:rPr>
                <w:rFonts w:ascii="ITC Avant Garde" w:hAnsi="ITC Avant Garde"/>
                <w:bCs/>
                <w:sz w:val="18"/>
                <w:szCs w:val="18"/>
                <w:lang w:val="es-ES"/>
              </w:rPr>
            </w:pPr>
            <w:r w:rsidRPr="00E16359">
              <w:rPr>
                <w:rFonts w:ascii="ITC Avant Garde" w:hAnsi="ITC Avant Garde"/>
                <w:bCs/>
                <w:sz w:val="18"/>
                <w:szCs w:val="18"/>
                <w:lang w:val="es-ES"/>
              </w:rPr>
              <w:t>Prioridad 3</w:t>
            </w:r>
          </w:p>
        </w:tc>
      </w:tr>
      <w:tr w:rsidR="00A8626C" w:rsidRPr="00E16359" w:rsidTr="00C7346B">
        <w:trPr>
          <w:trHeight w:val="480"/>
        </w:trPr>
        <w:tc>
          <w:tcPr>
            <w:tcW w:w="1701" w:type="dxa"/>
          </w:tcPr>
          <w:p w:rsidR="00A8626C" w:rsidRPr="00E16359" w:rsidRDefault="00A8626C" w:rsidP="001D3335">
            <w:pPr>
              <w:spacing w:after="0" w:line="276" w:lineRule="auto"/>
              <w:ind w:left="-5"/>
              <w:jc w:val="both"/>
              <w:rPr>
                <w:rFonts w:ascii="ITC Avant Garde" w:hAnsi="ITC Avant Garde"/>
                <w:bCs/>
                <w:sz w:val="18"/>
                <w:szCs w:val="18"/>
                <w:lang w:val="es-ES"/>
              </w:rPr>
            </w:pPr>
            <w:r w:rsidRPr="00E16359">
              <w:rPr>
                <w:rFonts w:ascii="ITC Avant Garde" w:hAnsi="ITC Avant Garde"/>
                <w:bCs/>
                <w:sz w:val="18"/>
                <w:szCs w:val="18"/>
                <w:lang w:val="es-ES"/>
              </w:rPr>
              <w:t>Interconexión</w:t>
            </w:r>
          </w:p>
          <w:p w:rsidR="00A8626C" w:rsidRPr="00E16359" w:rsidRDefault="00A8626C" w:rsidP="001D3335">
            <w:pPr>
              <w:spacing w:after="0" w:line="276" w:lineRule="auto"/>
              <w:ind w:left="-5"/>
              <w:jc w:val="both"/>
              <w:rPr>
                <w:rFonts w:ascii="ITC Avant Garde" w:hAnsi="ITC Avant Garde"/>
                <w:bCs/>
                <w:sz w:val="18"/>
                <w:szCs w:val="18"/>
                <w:lang w:val="es-ES"/>
              </w:rPr>
            </w:pPr>
          </w:p>
        </w:tc>
        <w:tc>
          <w:tcPr>
            <w:tcW w:w="2230" w:type="dxa"/>
          </w:tcPr>
          <w:p w:rsidR="00A8626C" w:rsidRPr="00E16359" w:rsidRDefault="00A8626C" w:rsidP="001D3335">
            <w:pPr>
              <w:spacing w:after="0" w:line="276" w:lineRule="auto"/>
              <w:ind w:left="-5"/>
              <w:jc w:val="both"/>
              <w:rPr>
                <w:rFonts w:ascii="ITC Avant Garde" w:hAnsi="ITC Avant Garde"/>
                <w:bCs/>
                <w:sz w:val="18"/>
                <w:szCs w:val="18"/>
                <w:lang w:val="es-ES"/>
              </w:rPr>
            </w:pPr>
            <w:r w:rsidRPr="00E16359">
              <w:rPr>
                <w:rFonts w:ascii="ITC Avant Garde" w:hAnsi="ITC Avant Garde"/>
                <w:bCs/>
                <w:sz w:val="18"/>
                <w:szCs w:val="18"/>
                <w:lang w:val="es-ES"/>
              </w:rPr>
              <w:t>1 Hr</w:t>
            </w:r>
          </w:p>
        </w:tc>
        <w:tc>
          <w:tcPr>
            <w:tcW w:w="2070" w:type="dxa"/>
          </w:tcPr>
          <w:p w:rsidR="00A8626C" w:rsidRPr="00E16359" w:rsidRDefault="00A8626C" w:rsidP="001D3335">
            <w:pPr>
              <w:spacing w:after="0" w:line="276" w:lineRule="auto"/>
              <w:ind w:left="-5"/>
              <w:jc w:val="both"/>
              <w:rPr>
                <w:rFonts w:ascii="ITC Avant Garde" w:hAnsi="ITC Avant Garde"/>
                <w:bCs/>
                <w:sz w:val="18"/>
                <w:szCs w:val="18"/>
                <w:lang w:val="es-ES"/>
              </w:rPr>
            </w:pPr>
            <w:r w:rsidRPr="00E16359">
              <w:rPr>
                <w:rFonts w:ascii="ITC Avant Garde" w:hAnsi="ITC Avant Garde"/>
                <w:bCs/>
                <w:sz w:val="18"/>
                <w:szCs w:val="18"/>
                <w:lang w:val="es-ES"/>
              </w:rPr>
              <w:t xml:space="preserve">2Hrs </w:t>
            </w:r>
          </w:p>
        </w:tc>
        <w:tc>
          <w:tcPr>
            <w:tcW w:w="2250" w:type="dxa"/>
          </w:tcPr>
          <w:p w:rsidR="00A8626C" w:rsidRPr="00E16359" w:rsidRDefault="00A8626C" w:rsidP="001D3335">
            <w:pPr>
              <w:spacing w:after="0" w:line="276" w:lineRule="auto"/>
              <w:ind w:left="-5"/>
              <w:jc w:val="both"/>
              <w:rPr>
                <w:rFonts w:ascii="ITC Avant Garde" w:hAnsi="ITC Avant Garde"/>
                <w:bCs/>
                <w:sz w:val="18"/>
                <w:szCs w:val="18"/>
                <w:lang w:val="es-ES"/>
              </w:rPr>
            </w:pPr>
            <w:r w:rsidRPr="00E16359">
              <w:rPr>
                <w:rFonts w:ascii="ITC Avant Garde" w:hAnsi="ITC Avant Garde"/>
                <w:bCs/>
                <w:sz w:val="18"/>
                <w:szCs w:val="18"/>
                <w:lang w:val="es-ES"/>
              </w:rPr>
              <w:t>5 Hrs</w:t>
            </w:r>
          </w:p>
        </w:tc>
      </w:tr>
    </w:tbl>
    <w:p w:rsidR="00A8626C" w:rsidRPr="00E16359" w:rsidRDefault="00A8626C" w:rsidP="001D3335">
      <w:pPr>
        <w:spacing w:after="0" w:line="276" w:lineRule="auto"/>
        <w:ind w:left="-5"/>
        <w:jc w:val="both"/>
        <w:rPr>
          <w:rFonts w:ascii="ITC Avant Garde" w:hAnsi="ITC Avant Garde"/>
        </w:rPr>
      </w:pPr>
    </w:p>
    <w:p w:rsidR="00A8626C" w:rsidRPr="00E16359" w:rsidRDefault="00CA0C9C" w:rsidP="001D3335">
      <w:pPr>
        <w:spacing w:after="0" w:line="276" w:lineRule="auto"/>
        <w:ind w:left="-5"/>
        <w:jc w:val="both"/>
        <w:rPr>
          <w:rFonts w:ascii="ITC Avant Garde" w:hAnsi="ITC Avant Garde"/>
        </w:rPr>
      </w:pPr>
      <w:r w:rsidRPr="00E16359">
        <w:rPr>
          <w:rFonts w:ascii="ITC Avant Garde" w:hAnsi="ITC Avant Garde"/>
        </w:rPr>
        <w:t>Señaló</w:t>
      </w:r>
      <w:r w:rsidR="002E3B4E" w:rsidRPr="00E16359">
        <w:rPr>
          <w:rFonts w:ascii="ITC Avant Garde" w:hAnsi="ITC Avant Garde"/>
        </w:rPr>
        <w:t xml:space="preserve"> </w:t>
      </w:r>
      <w:r w:rsidR="00A8626C" w:rsidRPr="00E16359">
        <w:rPr>
          <w:rFonts w:ascii="ITC Avant Garde" w:hAnsi="ITC Avant Garde"/>
        </w:rPr>
        <w:t>que los tiempos establecidos en el Convenio Marco (2018) son razonables:</w:t>
      </w:r>
    </w:p>
    <w:p w:rsidR="009E53DD" w:rsidRPr="00E16359" w:rsidRDefault="009E53DD" w:rsidP="001D3335">
      <w:pPr>
        <w:spacing w:line="276" w:lineRule="auto"/>
        <w:jc w:val="both"/>
        <w:rPr>
          <w:rFonts w:ascii="ITC Avant Garde" w:hAnsi="ITC Avant Garde"/>
          <w:b/>
        </w:rPr>
      </w:pPr>
    </w:p>
    <w:p w:rsidR="00BE20FC" w:rsidRPr="00E16359" w:rsidRDefault="00425EC9" w:rsidP="001D3335">
      <w:pPr>
        <w:spacing w:after="0" w:line="276" w:lineRule="auto"/>
        <w:ind w:left="-5"/>
        <w:jc w:val="both"/>
        <w:rPr>
          <w:rFonts w:ascii="ITC Avant Garde" w:hAnsi="ITC Avant Garde"/>
          <w:b/>
          <w:color w:val="000000"/>
          <w:u w:val="single"/>
        </w:rPr>
      </w:pPr>
      <w:r w:rsidRPr="00E16359">
        <w:rPr>
          <w:rFonts w:ascii="ITC Avant Garde" w:hAnsi="ITC Avant Garde"/>
          <w:b/>
          <w:u w:val="single"/>
        </w:rPr>
        <w:t xml:space="preserve">Anexo G. </w:t>
      </w:r>
      <w:r w:rsidRPr="00E16359">
        <w:rPr>
          <w:rFonts w:ascii="ITC Avant Garde" w:hAnsi="ITC Avant Garde"/>
          <w:b/>
          <w:color w:val="000000"/>
          <w:u w:val="single"/>
        </w:rPr>
        <w:t>Servicios Mayoristas de Arrendamiento de Enlaces Dedicados de Interconexión.</w:t>
      </w:r>
    </w:p>
    <w:p w:rsidR="00BE20FC" w:rsidRPr="00E16359" w:rsidRDefault="00BE20FC" w:rsidP="001D3335">
      <w:pPr>
        <w:spacing w:after="0" w:line="276" w:lineRule="auto"/>
        <w:ind w:left="-5"/>
        <w:jc w:val="both"/>
        <w:rPr>
          <w:rFonts w:ascii="ITC Avant Garde" w:hAnsi="ITC Avant Garde"/>
          <w:b/>
          <w:color w:val="000000"/>
        </w:rPr>
      </w:pPr>
    </w:p>
    <w:p w:rsidR="00BE20FC" w:rsidRPr="00E16359" w:rsidRDefault="00B72566" w:rsidP="001D3335">
      <w:pPr>
        <w:spacing w:after="0" w:line="276" w:lineRule="auto"/>
        <w:ind w:left="-5"/>
        <w:jc w:val="both"/>
        <w:rPr>
          <w:rFonts w:ascii="ITC Avant Garde" w:hAnsi="ITC Avant Garde"/>
          <w:b/>
        </w:rPr>
      </w:pPr>
      <w:r w:rsidRPr="00E16359">
        <w:rPr>
          <w:rFonts w:ascii="ITC Avant Garde" w:hAnsi="ITC Avant Garde"/>
          <w:b/>
        </w:rPr>
        <w:t>GRUPO TELEVISA</w:t>
      </w:r>
    </w:p>
    <w:p w:rsidR="00135B38" w:rsidRPr="00E16359" w:rsidRDefault="00135B38" w:rsidP="001D3335">
      <w:pPr>
        <w:spacing w:after="0" w:line="276" w:lineRule="auto"/>
        <w:ind w:left="-5"/>
        <w:jc w:val="both"/>
        <w:rPr>
          <w:rFonts w:ascii="ITC Avant Garde" w:hAnsi="ITC Avant Garde"/>
          <w:b/>
        </w:rPr>
      </w:pPr>
    </w:p>
    <w:p w:rsidR="00B72566" w:rsidRPr="00E16359" w:rsidRDefault="00BF06C8" w:rsidP="001D3335">
      <w:pPr>
        <w:spacing w:after="0" w:line="276" w:lineRule="auto"/>
        <w:ind w:left="-5"/>
        <w:jc w:val="both"/>
        <w:rPr>
          <w:rFonts w:ascii="ITC Avant Garde" w:hAnsi="ITC Avant Garde"/>
        </w:rPr>
      </w:pPr>
      <w:r w:rsidRPr="00E16359">
        <w:rPr>
          <w:rFonts w:ascii="ITC Avant Garde" w:hAnsi="ITC Avant Garde"/>
        </w:rPr>
        <w:t>S</w:t>
      </w:r>
      <w:r w:rsidR="00CA0C9C" w:rsidRPr="00E16359">
        <w:rPr>
          <w:rFonts w:ascii="ITC Avant Garde" w:hAnsi="ITC Avant Garde"/>
        </w:rPr>
        <w:t>olicitó</w:t>
      </w:r>
      <w:r w:rsidR="00B72566" w:rsidRPr="00E16359">
        <w:rPr>
          <w:rFonts w:ascii="ITC Avant Garde" w:hAnsi="ITC Avant Garde"/>
        </w:rPr>
        <w:t xml:space="preserve"> que las velocidades incluidas en el CMI sean las mismas que determina el anexo 2 de las medidas de preponderancia, toda vez que bien la medida establece que para Ethernet no hay limitaciones de velocidad, el CMI sólo da a opción de contratar servicios de Ethernet con una velocidad de 1 Gbps</w:t>
      </w:r>
      <w:r w:rsidR="001B047F" w:rsidRPr="00E16359">
        <w:rPr>
          <w:rFonts w:ascii="ITC Avant Garde" w:hAnsi="ITC Avant Garde"/>
        </w:rPr>
        <w:t>.</w:t>
      </w:r>
    </w:p>
    <w:p w:rsidR="009E53DD" w:rsidRPr="00E16359" w:rsidRDefault="009E53DD" w:rsidP="001D3335">
      <w:pPr>
        <w:spacing w:line="276" w:lineRule="auto"/>
        <w:jc w:val="both"/>
        <w:rPr>
          <w:rFonts w:ascii="ITC Avant Garde" w:hAnsi="ITC Avant Garde"/>
          <w:b/>
        </w:rPr>
      </w:pPr>
    </w:p>
    <w:p w:rsidR="0071296B" w:rsidRPr="00E16359" w:rsidRDefault="0071296B" w:rsidP="0071296B">
      <w:pPr>
        <w:spacing w:after="0" w:line="276" w:lineRule="auto"/>
        <w:ind w:left="-5"/>
        <w:jc w:val="both"/>
        <w:rPr>
          <w:rFonts w:ascii="ITC Avant Garde" w:hAnsi="ITC Avant Garde"/>
          <w:b/>
          <w:u w:val="single"/>
        </w:rPr>
      </w:pPr>
      <w:r w:rsidRPr="00E16359">
        <w:rPr>
          <w:rFonts w:ascii="ITC Avant Garde" w:hAnsi="ITC Avant Garde"/>
          <w:b/>
          <w:u w:val="single"/>
        </w:rPr>
        <w:t>Plazos de Entrega</w:t>
      </w:r>
    </w:p>
    <w:p w:rsidR="0071296B" w:rsidRPr="00E16359" w:rsidRDefault="0071296B" w:rsidP="0071296B">
      <w:pPr>
        <w:spacing w:after="0" w:line="276" w:lineRule="auto"/>
        <w:ind w:left="-5"/>
        <w:jc w:val="both"/>
        <w:rPr>
          <w:rFonts w:ascii="ITC Avant Garde" w:hAnsi="ITC Avant Garde"/>
          <w:b/>
        </w:rPr>
      </w:pPr>
    </w:p>
    <w:p w:rsidR="0071296B" w:rsidRPr="00E16359" w:rsidRDefault="0071296B" w:rsidP="0071296B">
      <w:pPr>
        <w:spacing w:after="0" w:line="276" w:lineRule="auto"/>
        <w:ind w:left="-5"/>
        <w:jc w:val="both"/>
        <w:rPr>
          <w:rFonts w:ascii="ITC Avant Garde" w:hAnsi="ITC Avant Garde"/>
          <w:b/>
        </w:rPr>
      </w:pPr>
      <w:r w:rsidRPr="00E16359">
        <w:rPr>
          <w:rFonts w:ascii="ITC Avant Garde" w:hAnsi="ITC Avant Garde"/>
          <w:b/>
        </w:rPr>
        <w:lastRenderedPageBreak/>
        <w:t>AT&amp;T</w:t>
      </w:r>
    </w:p>
    <w:p w:rsidR="0071296B" w:rsidRPr="00E16359" w:rsidRDefault="0071296B" w:rsidP="0071296B">
      <w:pPr>
        <w:spacing w:after="0" w:line="276" w:lineRule="auto"/>
        <w:ind w:left="-5"/>
        <w:jc w:val="both"/>
        <w:rPr>
          <w:rFonts w:ascii="ITC Avant Garde" w:hAnsi="ITC Avant Garde"/>
        </w:rPr>
      </w:pPr>
    </w:p>
    <w:p w:rsidR="0071296B" w:rsidRPr="00E16359" w:rsidRDefault="0071296B" w:rsidP="0071296B">
      <w:pPr>
        <w:spacing w:after="0" w:line="276" w:lineRule="auto"/>
        <w:ind w:left="-5"/>
        <w:jc w:val="both"/>
        <w:rPr>
          <w:rFonts w:ascii="ITC Avant Garde" w:hAnsi="ITC Avant Garde"/>
        </w:rPr>
      </w:pPr>
      <w:r w:rsidRPr="00E16359">
        <w:rPr>
          <w:rFonts w:ascii="ITC Avant Garde" w:hAnsi="ITC Avant Garde"/>
        </w:rPr>
        <w:t>Propuso que se realice un ajuste en los plazos de entrega indicados en la tabla del presente numeral, solicita que se indique que no podrán excederse conforme a lo siguiente:</w:t>
      </w:r>
    </w:p>
    <w:p w:rsidR="0071296B" w:rsidRPr="00E16359" w:rsidRDefault="0071296B" w:rsidP="0071296B">
      <w:pPr>
        <w:spacing w:after="0" w:line="276" w:lineRule="auto"/>
        <w:ind w:left="-5"/>
        <w:jc w:val="both"/>
        <w:rPr>
          <w:rFonts w:ascii="ITC Avant Garde" w:hAnsi="ITC Avant Garde"/>
        </w:rPr>
      </w:pPr>
    </w:p>
    <w:p w:rsidR="0071296B" w:rsidRPr="00E16359" w:rsidRDefault="0071296B" w:rsidP="0071296B">
      <w:pPr>
        <w:spacing w:after="0" w:line="276" w:lineRule="auto"/>
        <w:ind w:left="-5"/>
        <w:jc w:val="both"/>
        <w:rPr>
          <w:rFonts w:ascii="ITC Avant Garde" w:hAnsi="ITC Avant Garde"/>
        </w:rPr>
      </w:pPr>
    </w:p>
    <w:tbl>
      <w:tblPr>
        <w:tblW w:w="0" w:type="auto"/>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1733"/>
      </w:tblGrid>
      <w:tr w:rsidR="0071296B" w:rsidRPr="00E16359" w:rsidTr="0087676C">
        <w:trPr>
          <w:trHeight w:val="779"/>
        </w:trPr>
        <w:tc>
          <w:tcPr>
            <w:tcW w:w="5677" w:type="dxa"/>
            <w:shd w:val="clear" w:color="auto" w:fill="auto"/>
          </w:tcPr>
          <w:p w:rsidR="0071296B" w:rsidRPr="00E16359" w:rsidRDefault="0071296B" w:rsidP="0087676C">
            <w:pPr>
              <w:spacing w:after="0" w:line="276" w:lineRule="auto"/>
              <w:ind w:left="-5"/>
              <w:jc w:val="both"/>
              <w:rPr>
                <w:rFonts w:ascii="ITC Avant Garde" w:hAnsi="ITC Avant Garde"/>
                <w:i/>
                <w:sz w:val="18"/>
                <w:szCs w:val="18"/>
              </w:rPr>
            </w:pPr>
          </w:p>
        </w:tc>
        <w:tc>
          <w:tcPr>
            <w:tcW w:w="1733" w:type="dxa"/>
            <w:shd w:val="clear" w:color="auto" w:fill="auto"/>
          </w:tcPr>
          <w:p w:rsidR="0071296B" w:rsidRPr="00E16359" w:rsidRDefault="0071296B" w:rsidP="0087676C">
            <w:pPr>
              <w:spacing w:after="0" w:line="276" w:lineRule="auto"/>
              <w:ind w:left="-5"/>
              <w:jc w:val="both"/>
              <w:rPr>
                <w:rFonts w:ascii="ITC Avant Garde" w:hAnsi="ITC Avant Garde"/>
                <w:i/>
                <w:sz w:val="18"/>
                <w:szCs w:val="18"/>
              </w:rPr>
            </w:pPr>
            <w:r w:rsidRPr="00E16359">
              <w:rPr>
                <w:rFonts w:ascii="ITC Avant Garde" w:hAnsi="ITC Avant Garde"/>
                <w:i/>
                <w:sz w:val="18"/>
                <w:szCs w:val="18"/>
              </w:rPr>
              <w:t>Días hábiles</w:t>
            </w:r>
          </w:p>
        </w:tc>
      </w:tr>
      <w:tr w:rsidR="0071296B" w:rsidRPr="00E16359" w:rsidTr="0087676C">
        <w:trPr>
          <w:trHeight w:val="733"/>
        </w:trPr>
        <w:tc>
          <w:tcPr>
            <w:tcW w:w="5677" w:type="dxa"/>
            <w:shd w:val="clear" w:color="auto" w:fill="auto"/>
          </w:tcPr>
          <w:p w:rsidR="0071296B" w:rsidRPr="00E16359" w:rsidRDefault="0071296B" w:rsidP="0087676C">
            <w:pPr>
              <w:spacing w:after="0" w:line="276" w:lineRule="auto"/>
              <w:ind w:left="-5"/>
              <w:jc w:val="both"/>
              <w:rPr>
                <w:rFonts w:ascii="ITC Avant Garde" w:hAnsi="ITC Avant Garde"/>
                <w:i/>
                <w:sz w:val="18"/>
                <w:szCs w:val="18"/>
              </w:rPr>
            </w:pPr>
            <w:r w:rsidRPr="00E16359">
              <w:rPr>
                <w:rFonts w:ascii="ITC Avant Garde" w:hAnsi="ITC Avant Garde"/>
                <w:i/>
                <w:sz w:val="18"/>
                <w:szCs w:val="18"/>
              </w:rPr>
              <w:t>Enlaces Dedicados de Interconexión Locales</w:t>
            </w:r>
          </w:p>
        </w:tc>
        <w:tc>
          <w:tcPr>
            <w:tcW w:w="1733" w:type="dxa"/>
            <w:shd w:val="clear" w:color="auto" w:fill="auto"/>
          </w:tcPr>
          <w:p w:rsidR="0071296B" w:rsidRPr="00E16359" w:rsidRDefault="0071296B" w:rsidP="0087676C">
            <w:pPr>
              <w:spacing w:after="0" w:line="276" w:lineRule="auto"/>
              <w:ind w:left="-5"/>
              <w:jc w:val="both"/>
              <w:rPr>
                <w:rFonts w:ascii="ITC Avant Garde" w:hAnsi="ITC Avant Garde"/>
                <w:i/>
                <w:sz w:val="18"/>
                <w:szCs w:val="18"/>
              </w:rPr>
            </w:pPr>
            <w:r w:rsidRPr="00E16359">
              <w:rPr>
                <w:rFonts w:ascii="ITC Avant Garde" w:hAnsi="ITC Avant Garde"/>
                <w:i/>
                <w:sz w:val="18"/>
                <w:szCs w:val="18"/>
              </w:rPr>
              <w:t>15</w:t>
            </w:r>
          </w:p>
        </w:tc>
      </w:tr>
      <w:tr w:rsidR="0071296B" w:rsidRPr="00E16359" w:rsidTr="0087676C">
        <w:trPr>
          <w:trHeight w:val="779"/>
        </w:trPr>
        <w:tc>
          <w:tcPr>
            <w:tcW w:w="5677" w:type="dxa"/>
            <w:shd w:val="clear" w:color="auto" w:fill="auto"/>
          </w:tcPr>
          <w:p w:rsidR="0071296B" w:rsidRPr="00E16359" w:rsidRDefault="0071296B" w:rsidP="0087676C">
            <w:pPr>
              <w:spacing w:after="0" w:line="276" w:lineRule="auto"/>
              <w:ind w:left="-5"/>
              <w:jc w:val="both"/>
              <w:rPr>
                <w:rFonts w:ascii="ITC Avant Garde" w:hAnsi="ITC Avant Garde"/>
                <w:i/>
                <w:sz w:val="18"/>
                <w:szCs w:val="18"/>
              </w:rPr>
            </w:pPr>
            <w:r w:rsidRPr="00E16359">
              <w:rPr>
                <w:rFonts w:ascii="ITC Avant Garde" w:hAnsi="ITC Avant Garde"/>
                <w:i/>
                <w:sz w:val="18"/>
                <w:szCs w:val="18"/>
              </w:rPr>
              <w:t>Enlaces Dedicados de Interconexión Nacionales</w:t>
            </w:r>
          </w:p>
        </w:tc>
        <w:tc>
          <w:tcPr>
            <w:tcW w:w="1733" w:type="dxa"/>
            <w:shd w:val="clear" w:color="auto" w:fill="auto"/>
          </w:tcPr>
          <w:p w:rsidR="0071296B" w:rsidRPr="00E16359" w:rsidRDefault="0071296B" w:rsidP="0087676C">
            <w:pPr>
              <w:spacing w:after="0" w:line="276" w:lineRule="auto"/>
              <w:ind w:left="-5"/>
              <w:jc w:val="both"/>
              <w:rPr>
                <w:rFonts w:ascii="ITC Avant Garde" w:hAnsi="ITC Avant Garde"/>
                <w:i/>
                <w:sz w:val="18"/>
                <w:szCs w:val="18"/>
              </w:rPr>
            </w:pPr>
            <w:r w:rsidRPr="00E16359">
              <w:rPr>
                <w:rFonts w:ascii="ITC Avant Garde" w:hAnsi="ITC Avant Garde"/>
                <w:i/>
                <w:sz w:val="18"/>
                <w:szCs w:val="18"/>
              </w:rPr>
              <w:t>15</w:t>
            </w:r>
          </w:p>
        </w:tc>
      </w:tr>
      <w:tr w:rsidR="0071296B" w:rsidRPr="00E16359" w:rsidTr="0087676C">
        <w:trPr>
          <w:trHeight w:val="779"/>
        </w:trPr>
        <w:tc>
          <w:tcPr>
            <w:tcW w:w="5677" w:type="dxa"/>
            <w:shd w:val="clear" w:color="auto" w:fill="auto"/>
          </w:tcPr>
          <w:p w:rsidR="0071296B" w:rsidRPr="00E16359" w:rsidRDefault="0071296B" w:rsidP="0087676C">
            <w:pPr>
              <w:spacing w:after="0" w:line="276" w:lineRule="auto"/>
              <w:ind w:left="-5"/>
              <w:jc w:val="both"/>
              <w:rPr>
                <w:rFonts w:ascii="ITC Avant Garde" w:hAnsi="ITC Avant Garde"/>
                <w:i/>
                <w:sz w:val="18"/>
                <w:szCs w:val="18"/>
              </w:rPr>
            </w:pPr>
            <w:r w:rsidRPr="00E16359">
              <w:rPr>
                <w:rFonts w:ascii="ITC Avant Garde" w:hAnsi="ITC Avant Garde"/>
                <w:i/>
                <w:sz w:val="18"/>
                <w:szCs w:val="18"/>
              </w:rPr>
              <w:t>Enlace de Transmisión entre coubicaciones gestionado</w:t>
            </w:r>
          </w:p>
        </w:tc>
        <w:tc>
          <w:tcPr>
            <w:tcW w:w="1733" w:type="dxa"/>
            <w:shd w:val="clear" w:color="auto" w:fill="auto"/>
          </w:tcPr>
          <w:p w:rsidR="0071296B" w:rsidRPr="00E16359" w:rsidRDefault="0071296B" w:rsidP="0087676C">
            <w:pPr>
              <w:spacing w:after="0" w:line="276" w:lineRule="auto"/>
              <w:ind w:left="-5"/>
              <w:jc w:val="both"/>
              <w:rPr>
                <w:rFonts w:ascii="ITC Avant Garde" w:hAnsi="ITC Avant Garde"/>
                <w:i/>
                <w:sz w:val="18"/>
                <w:szCs w:val="18"/>
              </w:rPr>
            </w:pPr>
            <w:r w:rsidRPr="00E16359">
              <w:rPr>
                <w:rFonts w:ascii="ITC Avant Garde" w:hAnsi="ITC Avant Garde"/>
                <w:i/>
                <w:sz w:val="18"/>
                <w:szCs w:val="18"/>
              </w:rPr>
              <w:t>15</w:t>
            </w:r>
          </w:p>
        </w:tc>
      </w:tr>
    </w:tbl>
    <w:p w:rsidR="0071296B" w:rsidRPr="00E16359" w:rsidRDefault="0071296B" w:rsidP="0071296B">
      <w:pPr>
        <w:spacing w:after="0" w:line="276" w:lineRule="auto"/>
        <w:ind w:left="-5"/>
        <w:jc w:val="both"/>
        <w:rPr>
          <w:rFonts w:ascii="ITC Avant Garde" w:hAnsi="ITC Avant Garde"/>
        </w:rPr>
      </w:pPr>
    </w:p>
    <w:p w:rsidR="0071296B" w:rsidRPr="00E16359" w:rsidRDefault="0071296B" w:rsidP="0071296B">
      <w:pPr>
        <w:spacing w:after="0" w:line="276" w:lineRule="auto"/>
        <w:ind w:left="-5"/>
        <w:jc w:val="both"/>
        <w:rPr>
          <w:rFonts w:ascii="ITC Avant Garde" w:hAnsi="ITC Avant Garde"/>
        </w:rPr>
      </w:pPr>
      <w:r w:rsidRPr="00E16359">
        <w:rPr>
          <w:rFonts w:ascii="ITC Avant Garde" w:hAnsi="ITC Avant Garde"/>
        </w:rPr>
        <w:t>Señaló que la entrega de enlace con base en fecha compromiso no podrá exceder 25 días hábiles para enlaces locales y de 35 días hábiles para enlaces entre localidades, independientemente de la tecnología, toda vez que los tiempos establecidos en el CMI 2018 son razonables.</w:t>
      </w:r>
    </w:p>
    <w:p w:rsidR="002017A3" w:rsidRPr="00E16359" w:rsidRDefault="002017A3" w:rsidP="00791D87">
      <w:pPr>
        <w:spacing w:after="0" w:line="276" w:lineRule="auto"/>
        <w:jc w:val="both"/>
        <w:rPr>
          <w:rFonts w:ascii="ITC Avant Garde" w:hAnsi="ITC Avant Garde"/>
        </w:rPr>
      </w:pPr>
    </w:p>
    <w:p w:rsidR="00FB58F3" w:rsidRPr="00E16359" w:rsidRDefault="00E968EB" w:rsidP="001D3335">
      <w:pPr>
        <w:spacing w:after="0" w:line="276" w:lineRule="auto"/>
        <w:ind w:left="-5"/>
        <w:jc w:val="both"/>
        <w:rPr>
          <w:rFonts w:ascii="ITC Avant Garde" w:hAnsi="ITC Avant Garde"/>
          <w:b/>
          <w:u w:val="single"/>
        </w:rPr>
      </w:pPr>
      <w:r w:rsidRPr="00E16359">
        <w:rPr>
          <w:rFonts w:ascii="ITC Avant Garde" w:hAnsi="ITC Avant Garde"/>
          <w:b/>
          <w:color w:val="000000"/>
          <w:u w:val="single"/>
        </w:rPr>
        <w:t>Operación y Mantenimiento, Reportes de Afectaciones</w:t>
      </w:r>
    </w:p>
    <w:p w:rsidR="00FB58F3" w:rsidRPr="00E16359" w:rsidRDefault="00FB58F3" w:rsidP="001D3335">
      <w:pPr>
        <w:spacing w:after="0" w:line="276" w:lineRule="auto"/>
        <w:ind w:left="-5"/>
        <w:jc w:val="both"/>
        <w:rPr>
          <w:rFonts w:ascii="ITC Avant Garde" w:hAnsi="ITC Avant Garde"/>
          <w:b/>
        </w:rPr>
      </w:pPr>
    </w:p>
    <w:p w:rsidR="0076528A" w:rsidRPr="00E16359" w:rsidRDefault="007E016A" w:rsidP="001D3335">
      <w:pPr>
        <w:spacing w:after="0" w:line="276" w:lineRule="auto"/>
        <w:ind w:left="-5"/>
        <w:jc w:val="both"/>
        <w:rPr>
          <w:rFonts w:ascii="ITC Avant Garde" w:hAnsi="ITC Avant Garde"/>
          <w:b/>
        </w:rPr>
      </w:pPr>
      <w:r w:rsidRPr="00E16359">
        <w:rPr>
          <w:rFonts w:ascii="ITC Avant Garde" w:hAnsi="ITC Avant Garde"/>
          <w:b/>
        </w:rPr>
        <w:t>AT&amp;T</w:t>
      </w:r>
    </w:p>
    <w:p w:rsidR="004E2628" w:rsidRPr="00E16359" w:rsidRDefault="004E2628" w:rsidP="001D3335">
      <w:pPr>
        <w:spacing w:after="0" w:line="276" w:lineRule="auto"/>
        <w:ind w:left="-5"/>
        <w:jc w:val="both"/>
        <w:rPr>
          <w:rFonts w:ascii="ITC Avant Garde" w:hAnsi="ITC Avant Garde"/>
        </w:rPr>
      </w:pPr>
    </w:p>
    <w:p w:rsidR="007E016A" w:rsidRPr="00E16359" w:rsidRDefault="004E2628" w:rsidP="001D3335">
      <w:pPr>
        <w:spacing w:after="0" w:line="276" w:lineRule="auto"/>
        <w:ind w:left="-5"/>
        <w:jc w:val="both"/>
        <w:rPr>
          <w:rFonts w:ascii="ITC Avant Garde" w:hAnsi="ITC Avant Garde"/>
        </w:rPr>
      </w:pPr>
      <w:r w:rsidRPr="00E16359">
        <w:rPr>
          <w:rFonts w:ascii="ITC Avant Garde" w:hAnsi="ITC Avant Garde"/>
        </w:rPr>
        <w:t>Señaló</w:t>
      </w:r>
      <w:r w:rsidR="007E016A" w:rsidRPr="00E16359">
        <w:rPr>
          <w:rFonts w:ascii="ITC Avant Garde" w:hAnsi="ITC Avant Garde"/>
        </w:rPr>
        <w:t xml:space="preserve"> que los tiempos establecidos en el CMI (2018)</w:t>
      </w:r>
      <w:r w:rsidR="00262536" w:rsidRPr="00E16359">
        <w:rPr>
          <w:rFonts w:ascii="ITC Avant Garde" w:hAnsi="ITC Avant Garde"/>
        </w:rPr>
        <w:t xml:space="preserve"> son razonables y si se eliminarán</w:t>
      </w:r>
      <w:r w:rsidR="007E016A" w:rsidRPr="00E16359">
        <w:rPr>
          <w:rFonts w:ascii="ITC Avant Garde" w:hAnsi="ITC Avant Garde"/>
        </w:rPr>
        <w:t xml:space="preserve"> todas las causas que</w:t>
      </w:r>
      <w:r w:rsidR="00222D02" w:rsidRPr="00E16359">
        <w:rPr>
          <w:rFonts w:ascii="ITC Avant Garde" w:hAnsi="ITC Avant Garde"/>
        </w:rPr>
        <w:t xml:space="preserve"> debe prever Telmex, ya no tendría</w:t>
      </w:r>
      <w:r w:rsidR="007E016A" w:rsidRPr="00E16359">
        <w:rPr>
          <w:rFonts w:ascii="ITC Avant Garde" w:hAnsi="ITC Avant Garde"/>
        </w:rPr>
        <w:t xml:space="preserve"> sentido medir los tiempos, </w:t>
      </w:r>
      <w:r w:rsidR="00404092" w:rsidRPr="00E16359">
        <w:rPr>
          <w:rFonts w:ascii="ITC Avant Garde" w:hAnsi="ITC Avant Garde"/>
        </w:rPr>
        <w:t>por tanto</w:t>
      </w:r>
      <w:r w:rsidR="007E016A" w:rsidRPr="00E16359">
        <w:rPr>
          <w:rFonts w:ascii="ITC Avant Garde" w:hAnsi="ITC Avant Garde"/>
        </w:rPr>
        <w:t>,</w:t>
      </w:r>
      <w:r w:rsidR="00404092" w:rsidRPr="00E16359">
        <w:rPr>
          <w:rFonts w:ascii="ITC Avant Garde" w:hAnsi="ITC Avant Garde"/>
        </w:rPr>
        <w:t xml:space="preserve"> sólo debe eximir de cumplir los tiempos, aquellas</w:t>
      </w:r>
      <w:r w:rsidR="007E016A" w:rsidRPr="00E16359">
        <w:rPr>
          <w:rFonts w:ascii="ITC Avant Garde" w:hAnsi="ITC Avant Garde"/>
        </w:rPr>
        <w:t xml:space="preserve"> causas que no dependen de Telmex; se propone la siguiente redacción:</w:t>
      </w:r>
    </w:p>
    <w:p w:rsidR="007E016A" w:rsidRPr="00E16359" w:rsidRDefault="007E016A" w:rsidP="001D3335">
      <w:pPr>
        <w:spacing w:after="0" w:line="276" w:lineRule="auto"/>
        <w:ind w:left="-5"/>
        <w:jc w:val="both"/>
        <w:rPr>
          <w:rFonts w:ascii="ITC Avant Garde" w:hAnsi="ITC Avant Garde"/>
        </w:rPr>
      </w:pPr>
    </w:p>
    <w:p w:rsidR="007E016A" w:rsidRPr="00E16359" w:rsidRDefault="007E016A" w:rsidP="001D3335">
      <w:pPr>
        <w:spacing w:after="0" w:line="276" w:lineRule="auto"/>
        <w:ind w:left="567" w:right="709"/>
        <w:jc w:val="both"/>
        <w:rPr>
          <w:rFonts w:ascii="ITC Avant Garde" w:hAnsi="ITC Avant Garde"/>
          <w:i/>
          <w:sz w:val="18"/>
          <w:szCs w:val="18"/>
        </w:rPr>
      </w:pPr>
      <w:r w:rsidRPr="00E16359">
        <w:rPr>
          <w:rFonts w:ascii="ITC Avant Garde" w:hAnsi="ITC Avant Garde"/>
        </w:rPr>
        <w:t>“</w:t>
      </w:r>
      <w:r w:rsidRPr="00E16359">
        <w:rPr>
          <w:rFonts w:ascii="ITC Avant Garde" w:hAnsi="ITC Avant Garde"/>
          <w:sz w:val="18"/>
          <w:szCs w:val="18"/>
        </w:rPr>
        <w:t>2</w:t>
      </w:r>
      <w:r w:rsidRPr="00E16359">
        <w:rPr>
          <w:rFonts w:ascii="ITC Avant Garde" w:hAnsi="ITC Avant Garde"/>
          <w:i/>
          <w:sz w:val="18"/>
          <w:szCs w:val="18"/>
        </w:rPr>
        <w:t>.6.2 Los reportes de afectaciones que pudieran ocurrir en la prestación de los Enlaces Dedicados de Interconexión podrán presentarse mediante el Sistema Electrónico de Gestión (SEG), el cual se mantendrá operando las 24 (veinticuatro) horas del día, los 7 (siete) días de la semana.</w:t>
      </w:r>
    </w:p>
    <w:p w:rsidR="007E016A" w:rsidRPr="00E16359" w:rsidRDefault="007E016A" w:rsidP="001D3335">
      <w:pPr>
        <w:spacing w:after="0" w:line="276" w:lineRule="auto"/>
        <w:ind w:left="567" w:right="-283"/>
        <w:jc w:val="both"/>
        <w:rPr>
          <w:rFonts w:ascii="ITC Avant Garde" w:hAnsi="ITC Avant Garde"/>
          <w:i/>
          <w:sz w:val="18"/>
          <w:szCs w:val="18"/>
        </w:rPr>
      </w:pPr>
    </w:p>
    <w:p w:rsidR="00FA0119" w:rsidRPr="00E16359" w:rsidRDefault="00FA0119" w:rsidP="001D3335">
      <w:pPr>
        <w:spacing w:after="0" w:line="276" w:lineRule="auto"/>
        <w:ind w:left="567" w:right="-283"/>
        <w:jc w:val="both"/>
        <w:rPr>
          <w:rFonts w:ascii="ITC Avant Garde" w:hAnsi="ITC Avant Garde"/>
          <w:i/>
          <w:sz w:val="18"/>
          <w:szCs w:val="18"/>
        </w:rPr>
      </w:pPr>
    </w:p>
    <w:p w:rsidR="00FA0119" w:rsidRPr="00E16359" w:rsidRDefault="00FA0119" w:rsidP="001D3335">
      <w:pPr>
        <w:spacing w:after="0" w:line="276" w:lineRule="auto"/>
        <w:ind w:left="567" w:right="-283"/>
        <w:jc w:val="both"/>
        <w:rPr>
          <w:rFonts w:ascii="ITC Avant Garde" w:hAnsi="ITC Avant Garde"/>
          <w:i/>
          <w:sz w:val="18"/>
          <w:szCs w:val="18"/>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467"/>
        <w:gridCol w:w="1510"/>
      </w:tblGrid>
      <w:tr w:rsidR="007E016A" w:rsidRPr="00E16359" w:rsidTr="007E016A">
        <w:trPr>
          <w:cantSplit/>
        </w:trPr>
        <w:tc>
          <w:tcPr>
            <w:tcW w:w="1701" w:type="dxa"/>
          </w:tcPr>
          <w:p w:rsidR="007E016A" w:rsidRPr="00E16359" w:rsidRDefault="007E016A" w:rsidP="001D3335">
            <w:pPr>
              <w:pStyle w:val="Textoindependiente3"/>
              <w:ind w:left="71"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Tipo de</w:t>
            </w:r>
            <w:r w:rsidRPr="00E16359">
              <w:rPr>
                <w:rStyle w:val="Textoennegrita"/>
                <w:rFonts w:ascii="ITC Avant Garde" w:hAnsi="ITC Avant Garde"/>
                <w:i/>
                <w:sz w:val="18"/>
                <w:szCs w:val="18"/>
              </w:rPr>
              <w:br/>
              <w:t>Servicio</w:t>
            </w:r>
          </w:p>
        </w:tc>
        <w:tc>
          <w:tcPr>
            <w:tcW w:w="1701" w:type="dxa"/>
            <w:vAlign w:val="center"/>
          </w:tcPr>
          <w:p w:rsidR="007E016A" w:rsidRPr="00E16359" w:rsidRDefault="007E016A" w:rsidP="001D3335">
            <w:pPr>
              <w:pStyle w:val="Textoindependiente3"/>
              <w:ind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Prioridad 1</w:t>
            </w:r>
          </w:p>
        </w:tc>
        <w:tc>
          <w:tcPr>
            <w:tcW w:w="1467" w:type="dxa"/>
            <w:vAlign w:val="center"/>
          </w:tcPr>
          <w:p w:rsidR="007E016A" w:rsidRPr="00E16359" w:rsidRDefault="007E016A" w:rsidP="001D3335">
            <w:pPr>
              <w:pStyle w:val="Textoindependiente3"/>
              <w:ind w:left="217" w:right="-283" w:hanging="141"/>
              <w:jc w:val="both"/>
              <w:rPr>
                <w:rStyle w:val="Textoennegrita"/>
                <w:rFonts w:ascii="ITC Avant Garde" w:hAnsi="ITC Avant Garde"/>
                <w:i/>
                <w:sz w:val="18"/>
                <w:szCs w:val="18"/>
              </w:rPr>
            </w:pPr>
            <w:r w:rsidRPr="00E16359">
              <w:rPr>
                <w:rStyle w:val="Textoennegrita"/>
                <w:rFonts w:ascii="ITC Avant Garde" w:hAnsi="ITC Avant Garde"/>
                <w:i/>
                <w:sz w:val="18"/>
                <w:szCs w:val="18"/>
              </w:rPr>
              <w:t>Prioridad 2</w:t>
            </w:r>
          </w:p>
        </w:tc>
        <w:tc>
          <w:tcPr>
            <w:tcW w:w="1510" w:type="dxa"/>
            <w:vAlign w:val="center"/>
          </w:tcPr>
          <w:p w:rsidR="007E016A" w:rsidRPr="00E16359" w:rsidRDefault="007E016A" w:rsidP="001D3335">
            <w:pPr>
              <w:pStyle w:val="Textoindependiente3"/>
              <w:ind w:left="162"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Prioridad 3</w:t>
            </w:r>
          </w:p>
        </w:tc>
      </w:tr>
      <w:tr w:rsidR="007E016A" w:rsidRPr="00E16359" w:rsidTr="007E016A">
        <w:trPr>
          <w:trHeight w:val="419"/>
        </w:trPr>
        <w:tc>
          <w:tcPr>
            <w:tcW w:w="1701" w:type="dxa"/>
            <w:vAlign w:val="center"/>
          </w:tcPr>
          <w:p w:rsidR="007E016A" w:rsidRPr="00E16359" w:rsidRDefault="007E016A" w:rsidP="001D3335">
            <w:pPr>
              <w:pStyle w:val="Textoindependiente3"/>
              <w:ind w:left="71"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Interconexión</w:t>
            </w:r>
          </w:p>
        </w:tc>
        <w:tc>
          <w:tcPr>
            <w:tcW w:w="1701" w:type="dxa"/>
            <w:vAlign w:val="center"/>
          </w:tcPr>
          <w:p w:rsidR="007E016A" w:rsidRPr="00E16359" w:rsidRDefault="007E016A" w:rsidP="001D3335">
            <w:pPr>
              <w:pStyle w:val="Textoindependiente3"/>
              <w:ind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 xml:space="preserve"> 1 Hrs</w:t>
            </w:r>
          </w:p>
        </w:tc>
        <w:tc>
          <w:tcPr>
            <w:tcW w:w="1467" w:type="dxa"/>
            <w:vAlign w:val="center"/>
          </w:tcPr>
          <w:p w:rsidR="007E016A" w:rsidRPr="00E16359" w:rsidRDefault="007E016A" w:rsidP="001D3335">
            <w:pPr>
              <w:pStyle w:val="Textoindependiente3"/>
              <w:ind w:left="217" w:right="-283" w:hanging="141"/>
              <w:jc w:val="both"/>
              <w:rPr>
                <w:rStyle w:val="Textoennegrita"/>
                <w:rFonts w:ascii="ITC Avant Garde" w:hAnsi="ITC Avant Garde"/>
                <w:i/>
                <w:sz w:val="18"/>
                <w:szCs w:val="18"/>
              </w:rPr>
            </w:pPr>
            <w:r w:rsidRPr="00E16359">
              <w:rPr>
                <w:rStyle w:val="Textoennegrita"/>
                <w:rFonts w:ascii="ITC Avant Garde" w:hAnsi="ITC Avant Garde"/>
                <w:i/>
                <w:sz w:val="18"/>
                <w:szCs w:val="18"/>
              </w:rPr>
              <w:t>2 Hrs</w:t>
            </w:r>
          </w:p>
        </w:tc>
        <w:tc>
          <w:tcPr>
            <w:tcW w:w="1510" w:type="dxa"/>
            <w:vAlign w:val="center"/>
          </w:tcPr>
          <w:p w:rsidR="007E016A" w:rsidRPr="00E16359" w:rsidRDefault="007E016A" w:rsidP="001D3335">
            <w:pPr>
              <w:pStyle w:val="Textoindependiente3"/>
              <w:ind w:left="162" w:right="-283"/>
              <w:jc w:val="both"/>
              <w:rPr>
                <w:rStyle w:val="Textoennegrita"/>
                <w:rFonts w:ascii="ITC Avant Garde" w:hAnsi="ITC Avant Garde"/>
                <w:i/>
                <w:sz w:val="18"/>
                <w:szCs w:val="18"/>
              </w:rPr>
            </w:pPr>
            <w:r w:rsidRPr="00E16359">
              <w:rPr>
                <w:rStyle w:val="Textoennegrita"/>
                <w:rFonts w:ascii="ITC Avant Garde" w:hAnsi="ITC Avant Garde"/>
                <w:i/>
                <w:sz w:val="18"/>
                <w:szCs w:val="18"/>
              </w:rPr>
              <w:t>5 Hrs</w:t>
            </w:r>
          </w:p>
        </w:tc>
      </w:tr>
    </w:tbl>
    <w:p w:rsidR="007E016A" w:rsidRPr="00E16359" w:rsidRDefault="007E016A" w:rsidP="001D3335">
      <w:pPr>
        <w:spacing w:after="0" w:line="276" w:lineRule="auto"/>
        <w:ind w:left="567" w:right="-283"/>
        <w:jc w:val="both"/>
        <w:rPr>
          <w:rFonts w:ascii="ITC Avant Garde" w:hAnsi="ITC Avant Garde"/>
          <w:i/>
          <w:sz w:val="18"/>
          <w:szCs w:val="18"/>
        </w:rPr>
      </w:pPr>
    </w:p>
    <w:p w:rsidR="007E016A" w:rsidRPr="00E16359" w:rsidRDefault="007E016A" w:rsidP="001D3335">
      <w:pPr>
        <w:spacing w:after="0" w:line="276" w:lineRule="auto"/>
        <w:ind w:left="567" w:right="709"/>
        <w:jc w:val="both"/>
        <w:rPr>
          <w:rFonts w:ascii="ITC Avant Garde" w:hAnsi="ITC Avant Garde"/>
          <w:i/>
          <w:sz w:val="18"/>
          <w:szCs w:val="18"/>
        </w:rPr>
      </w:pPr>
      <w:r w:rsidRPr="00E16359">
        <w:rPr>
          <w:rFonts w:ascii="ITC Avant Garde" w:hAnsi="ITC Avant Garde"/>
          <w:i/>
          <w:sz w:val="18"/>
          <w:szCs w:val="18"/>
        </w:rPr>
        <w:lastRenderedPageBreak/>
        <w:t xml:space="preserve">No se computarán aquellos retrasos que deriven de un caso fortuito o fuerza mayor, ni aquellos no imputables a Telmex, los que de manera enunciativa más no limitativa, pueden consistir en: cortes de fibra óptica o cables por terceros; vandalismo por robo de cable o daño de cable, infraestructura o combustible. Así como los casos atribuibles al concesionario solicitante del servicio respectivo, los que de manera enunciativa más no limitativa, pueden consistir en: negación de accesos a la instalaciones del concesionario, fallas en sus equipos e instalaciones, retrasos de permisos de acceso, tiempo de traslado del personal técnico. Telmex informará al Instituto (en el mes de enero y el mes de julio) sobre aquellas entidades federativas o regiones donde no se computará el tiempo transcurrido entre las 6 pm y las 8 am del día siguiente como consecuencia de la inseguridad existente en dichas zonas.” </w:t>
      </w:r>
    </w:p>
    <w:p w:rsidR="007E016A" w:rsidRPr="00E16359" w:rsidRDefault="007E016A" w:rsidP="001D3335">
      <w:pPr>
        <w:spacing w:after="0" w:line="276" w:lineRule="auto"/>
        <w:ind w:left="567" w:right="-283"/>
        <w:jc w:val="both"/>
        <w:rPr>
          <w:rFonts w:ascii="ITC Avant Garde" w:hAnsi="ITC Avant Garde"/>
          <w:b/>
          <w:sz w:val="18"/>
          <w:szCs w:val="18"/>
        </w:rPr>
      </w:pPr>
    </w:p>
    <w:p w:rsidR="007E016A" w:rsidRPr="00E16359" w:rsidRDefault="00320AAD" w:rsidP="001D3335">
      <w:pPr>
        <w:spacing w:after="0" w:line="276" w:lineRule="auto"/>
        <w:ind w:left="-5"/>
        <w:jc w:val="both"/>
        <w:rPr>
          <w:rFonts w:ascii="ITC Avant Garde" w:hAnsi="ITC Avant Garde"/>
          <w:b/>
        </w:rPr>
      </w:pPr>
      <w:r w:rsidRPr="00E16359">
        <w:rPr>
          <w:rFonts w:ascii="ITC Avant Garde" w:hAnsi="ITC Avant Garde"/>
          <w:b/>
        </w:rPr>
        <w:t>ALTÁN, CANIETI Y TELEFÓNICA</w:t>
      </w:r>
    </w:p>
    <w:p w:rsidR="00135B38" w:rsidRPr="00E16359" w:rsidRDefault="00135B38" w:rsidP="001D3335">
      <w:pPr>
        <w:spacing w:after="0" w:line="276" w:lineRule="auto"/>
        <w:ind w:left="-5"/>
        <w:jc w:val="both"/>
        <w:rPr>
          <w:rFonts w:ascii="ITC Avant Garde" w:hAnsi="ITC Avant Garde"/>
          <w:b/>
        </w:rPr>
      </w:pPr>
    </w:p>
    <w:p w:rsidR="00320AAD" w:rsidRPr="00E16359" w:rsidRDefault="002F407B" w:rsidP="001D3335">
      <w:pPr>
        <w:spacing w:after="0" w:line="276" w:lineRule="auto"/>
        <w:ind w:left="-5"/>
        <w:jc w:val="both"/>
        <w:rPr>
          <w:rFonts w:ascii="ITC Avant Garde" w:hAnsi="ITC Avant Garde"/>
        </w:rPr>
      </w:pPr>
      <w:r w:rsidRPr="00E16359">
        <w:rPr>
          <w:rFonts w:ascii="ITC Avant Garde" w:hAnsi="ITC Avant Garde"/>
        </w:rPr>
        <w:t xml:space="preserve">Solicita que </w:t>
      </w:r>
      <w:r w:rsidR="00320AAD" w:rsidRPr="00E16359">
        <w:rPr>
          <w:rFonts w:ascii="ITC Avant Garde" w:hAnsi="ITC Avant Garde"/>
        </w:rPr>
        <w:t>los plazos</w:t>
      </w:r>
      <w:r w:rsidRPr="00E16359">
        <w:rPr>
          <w:rFonts w:ascii="ITC Avant Garde" w:hAnsi="ITC Avant Garde"/>
        </w:rPr>
        <w:t xml:space="preserve"> y prioridades</w:t>
      </w:r>
      <w:r w:rsidR="00320AAD" w:rsidRPr="00E16359">
        <w:rPr>
          <w:rFonts w:ascii="ITC Avant Garde" w:hAnsi="ITC Avant Garde"/>
        </w:rPr>
        <w:t xml:space="preserve"> para solucionar las afectaciones respecto al Servicio de Arrendamiento de Enlaces </w:t>
      </w:r>
      <w:r w:rsidR="00160B87" w:rsidRPr="00E16359">
        <w:rPr>
          <w:rFonts w:ascii="ITC Avant Garde" w:hAnsi="ITC Avant Garde"/>
        </w:rPr>
        <w:t xml:space="preserve">Dedicados de Interconexión, </w:t>
      </w:r>
      <w:r w:rsidRPr="00E16359">
        <w:rPr>
          <w:rFonts w:ascii="ITC Avant Garde" w:hAnsi="ITC Avant Garde"/>
        </w:rPr>
        <w:t xml:space="preserve">queden </w:t>
      </w:r>
      <w:r w:rsidR="00320AAD" w:rsidRPr="00E16359">
        <w:rPr>
          <w:rFonts w:ascii="ITC Avant Garde" w:hAnsi="ITC Avant Garde"/>
        </w:rPr>
        <w:t>como fue</w:t>
      </w:r>
      <w:r w:rsidRPr="00E16359">
        <w:rPr>
          <w:rFonts w:ascii="ITC Avant Garde" w:hAnsi="ITC Avant Garde"/>
        </w:rPr>
        <w:t>ron</w:t>
      </w:r>
      <w:r w:rsidR="00320AAD" w:rsidRPr="00E16359">
        <w:rPr>
          <w:rFonts w:ascii="ITC Avant Garde" w:hAnsi="ITC Avant Garde"/>
        </w:rPr>
        <w:t xml:space="preserve"> aprobado</w:t>
      </w:r>
      <w:r w:rsidRPr="00E16359">
        <w:rPr>
          <w:rFonts w:ascii="ITC Avant Garde" w:hAnsi="ITC Avant Garde"/>
        </w:rPr>
        <w:t>s</w:t>
      </w:r>
      <w:r w:rsidR="00320AAD" w:rsidRPr="00E16359">
        <w:rPr>
          <w:rFonts w:ascii="ITC Avant Garde" w:hAnsi="ITC Avant Garde"/>
        </w:rPr>
        <w:t xml:space="preserve"> en el Convenio M</w:t>
      </w:r>
      <w:r w:rsidRPr="00E16359">
        <w:rPr>
          <w:rFonts w:ascii="ITC Avant Garde" w:hAnsi="ITC Avant Garde"/>
        </w:rPr>
        <w:t xml:space="preserve">arco de Interconexión para 2018. </w:t>
      </w:r>
      <w:r w:rsidR="00663D7B" w:rsidRPr="00E16359">
        <w:rPr>
          <w:rFonts w:ascii="ITC Avant Garde" w:hAnsi="ITC Avant Garde"/>
        </w:rPr>
        <w:t>Lo anterior,</w:t>
      </w:r>
      <w:r w:rsidR="00320AAD" w:rsidRPr="00E16359">
        <w:rPr>
          <w:rFonts w:ascii="ITC Avant Garde" w:hAnsi="ITC Avant Garde"/>
        </w:rPr>
        <w:t xml:space="preserve"> toda vez que la operación es un tema esencial para que las redes puedan funcionar de forma correcta, de tal forma que no se aprueba el incremento de los tiempos para su solución. </w:t>
      </w:r>
    </w:p>
    <w:p w:rsidR="00320AAD" w:rsidRPr="00E16359" w:rsidRDefault="00320AAD" w:rsidP="001D3335">
      <w:pPr>
        <w:spacing w:after="0" w:line="276" w:lineRule="auto"/>
        <w:ind w:left="-5"/>
        <w:jc w:val="both"/>
        <w:rPr>
          <w:rFonts w:ascii="ITC Avant Garde" w:hAnsi="ITC Avant Garde"/>
        </w:rPr>
      </w:pPr>
    </w:p>
    <w:p w:rsidR="0076528A" w:rsidRPr="00E16359" w:rsidRDefault="00320AAD" w:rsidP="001D3335">
      <w:pPr>
        <w:spacing w:after="0" w:line="276" w:lineRule="auto"/>
        <w:ind w:left="-5"/>
        <w:jc w:val="both"/>
        <w:rPr>
          <w:rFonts w:ascii="ITC Avant Garde" w:hAnsi="ITC Avant Garde"/>
          <w:b/>
        </w:rPr>
      </w:pPr>
      <w:r w:rsidRPr="00E16359">
        <w:rPr>
          <w:rFonts w:ascii="ITC Avant Garde" w:hAnsi="ITC Avant Garde"/>
          <w:b/>
        </w:rPr>
        <w:t>GRUPO TELEVISA</w:t>
      </w:r>
    </w:p>
    <w:p w:rsidR="00135B38" w:rsidRPr="00E16359" w:rsidRDefault="00135B38" w:rsidP="001D3335">
      <w:pPr>
        <w:spacing w:after="0" w:line="276" w:lineRule="auto"/>
        <w:ind w:left="-5"/>
        <w:jc w:val="both"/>
        <w:rPr>
          <w:rFonts w:ascii="ITC Avant Garde" w:hAnsi="ITC Avant Garde"/>
          <w:b/>
        </w:rPr>
      </w:pPr>
    </w:p>
    <w:p w:rsidR="00F973E3" w:rsidRPr="00E16359" w:rsidRDefault="00E14BF7" w:rsidP="001D3335">
      <w:pPr>
        <w:spacing w:after="0" w:line="276" w:lineRule="auto"/>
        <w:ind w:left="-5"/>
        <w:jc w:val="both"/>
        <w:rPr>
          <w:rFonts w:ascii="ITC Avant Garde" w:hAnsi="ITC Avant Garde"/>
        </w:rPr>
      </w:pPr>
      <w:r w:rsidRPr="00E16359">
        <w:rPr>
          <w:rFonts w:ascii="ITC Avant Garde" w:hAnsi="ITC Avant Garde"/>
        </w:rPr>
        <w:t>Solicitó</w:t>
      </w:r>
      <w:r w:rsidR="00320AAD" w:rsidRPr="00E16359">
        <w:rPr>
          <w:rFonts w:ascii="ITC Avant Garde" w:hAnsi="ITC Avant Garde"/>
        </w:rPr>
        <w:t xml:space="preserve"> que se adopten los plazos máximos de reparación de lo</w:t>
      </w:r>
      <w:r w:rsidR="00663D7B" w:rsidRPr="00E16359">
        <w:rPr>
          <w:rFonts w:ascii="ITC Avant Garde" w:hAnsi="ITC Avant Garde"/>
        </w:rPr>
        <w:t>s enlaces de interconexión de la</w:t>
      </w:r>
      <w:r w:rsidR="00320AAD" w:rsidRPr="00E16359">
        <w:rPr>
          <w:rFonts w:ascii="ITC Avant Garde" w:hAnsi="ITC Avant Garde"/>
        </w:rPr>
        <w:t xml:space="preserve"> Medida Vigésima, como los plazos máximos de reparación de fallas en el servicio de interconexión, es decir, por fallas de prioridad 1 en el plazo máximo de reparación sería de 1 hora, mientras que para fallas de prioridad 2 el plazo máximo sería de 2 horas, todos ellos para el 100% de casos resueltos. </w:t>
      </w:r>
    </w:p>
    <w:p w:rsidR="00F973E3" w:rsidRPr="00E16359" w:rsidRDefault="00F973E3" w:rsidP="001D3335">
      <w:pPr>
        <w:spacing w:after="0" w:line="276" w:lineRule="auto"/>
        <w:ind w:left="-5"/>
        <w:jc w:val="both"/>
        <w:rPr>
          <w:rFonts w:ascii="ITC Avant Garde" w:hAnsi="ITC Avant Garde"/>
        </w:rPr>
      </w:pPr>
    </w:p>
    <w:p w:rsidR="00320AAD" w:rsidRPr="00E16359" w:rsidRDefault="00320AAD" w:rsidP="001D3335">
      <w:pPr>
        <w:spacing w:after="0" w:line="276" w:lineRule="auto"/>
        <w:ind w:left="-5"/>
        <w:jc w:val="both"/>
        <w:rPr>
          <w:rFonts w:ascii="ITC Avant Garde" w:hAnsi="ITC Avant Garde"/>
        </w:rPr>
      </w:pPr>
      <w:r w:rsidRPr="00E16359">
        <w:rPr>
          <w:rFonts w:ascii="ITC Avant Garde" w:hAnsi="ITC Avant Garde"/>
        </w:rPr>
        <w:t xml:space="preserve">Adicional, también </w:t>
      </w:r>
      <w:r w:rsidR="009D394F" w:rsidRPr="00E16359">
        <w:rPr>
          <w:rFonts w:ascii="ITC Avant Garde" w:hAnsi="ITC Avant Garde"/>
        </w:rPr>
        <w:t>requirió</w:t>
      </w:r>
      <w:r w:rsidR="00F973E3" w:rsidRPr="00E16359">
        <w:rPr>
          <w:rFonts w:ascii="ITC Avant Garde" w:hAnsi="ITC Avant Garde"/>
        </w:rPr>
        <w:t xml:space="preserve"> </w:t>
      </w:r>
      <w:r w:rsidRPr="00E16359">
        <w:rPr>
          <w:rFonts w:ascii="ITC Avant Garde" w:hAnsi="ITC Avant Garde"/>
        </w:rPr>
        <w:t xml:space="preserve">que se introduzca una penalidad razonable por el incumplimiento de los plazos máximos de reparación. </w:t>
      </w:r>
    </w:p>
    <w:p w:rsidR="00CA2DDA" w:rsidRPr="00E16359" w:rsidRDefault="00CA2DDA" w:rsidP="00CA2DDA">
      <w:pPr>
        <w:spacing w:line="276" w:lineRule="auto"/>
        <w:jc w:val="both"/>
        <w:rPr>
          <w:rFonts w:ascii="ITC Avant Garde" w:hAnsi="ITC Avant Garde"/>
          <w:b/>
        </w:rPr>
      </w:pPr>
    </w:p>
    <w:p w:rsidR="00CA2DDA" w:rsidRPr="00E16359" w:rsidRDefault="00CA2DDA" w:rsidP="00CA2DDA">
      <w:pPr>
        <w:spacing w:line="276" w:lineRule="auto"/>
        <w:jc w:val="both"/>
        <w:rPr>
          <w:rFonts w:ascii="ITC Avant Garde" w:hAnsi="ITC Avant Garde"/>
          <w:b/>
        </w:rPr>
      </w:pPr>
      <w:r w:rsidRPr="00E16359">
        <w:rPr>
          <w:rFonts w:ascii="ITC Avant Garde" w:hAnsi="ITC Avant Garde"/>
          <w:b/>
        </w:rPr>
        <w:t xml:space="preserve">Consideraciones del Instituto </w:t>
      </w:r>
    </w:p>
    <w:p w:rsidR="00CA2DDA" w:rsidRPr="00E16359" w:rsidRDefault="00CA2DDA" w:rsidP="00CA2DDA">
      <w:pPr>
        <w:spacing w:after="0" w:line="276" w:lineRule="auto"/>
        <w:jc w:val="both"/>
        <w:rPr>
          <w:rFonts w:ascii="ITC Avant Garde" w:hAnsi="ITC Avant Garde" w:cs="Times New Roman"/>
        </w:rPr>
      </w:pPr>
      <w:r w:rsidRPr="00E16359">
        <w:rPr>
          <w:rFonts w:ascii="ITC Avant Garde" w:hAnsi="ITC Avant Garde" w:cs="Times New Roman"/>
        </w:rPr>
        <w:t xml:space="preserve">Respecto a las propuestas anteriormente citadas, </w:t>
      </w:r>
      <w:r w:rsidRPr="00E16359">
        <w:rPr>
          <w:rFonts w:ascii="ITC Avant Garde" w:hAnsi="ITC Avant Garde"/>
        </w:rPr>
        <w:t xml:space="preserve">es necesario considerar que los plazos de entrega, los plazos de atención de fallas, los niveles de disponibilidad, entre otros, sean consistentes con lo establecido en las Medidas Fijas, a fin de dar estricto cumplimiento a la regulación y </w:t>
      </w:r>
      <w:r w:rsidRPr="00E16359">
        <w:rPr>
          <w:rFonts w:ascii="ITC Avant Garde" w:hAnsi="ITC Avant Garde" w:cs="Times New Roman"/>
        </w:rPr>
        <w:t>otorgar certeza a los concesionarios respecto a solicitudes de servicios adicionales a lo pronosticado inicialmente,</w:t>
      </w:r>
      <w:r w:rsidRPr="00E16359">
        <w:rPr>
          <w:rFonts w:ascii="ITC Avant Garde" w:hAnsi="ITC Avant Garde"/>
        </w:rPr>
        <w:t xml:space="preserve"> puntualizando que la fecha compromiso </w:t>
      </w:r>
      <w:r w:rsidRPr="00E16359">
        <w:rPr>
          <w:rFonts w:ascii="ITC Avant Garde" w:hAnsi="ITC Avant Garde"/>
          <w:i/>
        </w:rPr>
        <w:t>Due Date</w:t>
      </w:r>
      <w:r w:rsidRPr="00E16359">
        <w:rPr>
          <w:rFonts w:ascii="ITC Avant Garde" w:hAnsi="ITC Avant Garde"/>
        </w:rPr>
        <w:t xml:space="preserve"> solo aplica para los casos de solicitudes no pronosticadas, en este sentido, dicho anexo se modificó </w:t>
      </w:r>
      <w:r w:rsidRPr="00E16359">
        <w:rPr>
          <w:rFonts w:ascii="ITC Avant Garde" w:hAnsi="ITC Avant Garde" w:cs="Times New Roman"/>
        </w:rPr>
        <w:t xml:space="preserve">en el siguiente sentido: </w:t>
      </w:r>
    </w:p>
    <w:p w:rsidR="00CA2DDA" w:rsidRPr="00E16359" w:rsidRDefault="00CA2DDA" w:rsidP="00CA2DDA">
      <w:pPr>
        <w:spacing w:after="0" w:line="276" w:lineRule="auto"/>
        <w:jc w:val="both"/>
        <w:rPr>
          <w:rFonts w:ascii="ITC Avant Garde" w:hAnsi="ITC Avant Garde" w:cs="Times New Roman"/>
        </w:rPr>
      </w:pPr>
    </w:p>
    <w:p w:rsidR="00CA2DDA" w:rsidRPr="00E16359" w:rsidRDefault="00CA2DDA" w:rsidP="00CA2DDA">
      <w:pPr>
        <w:pStyle w:val="Textosinformato"/>
        <w:spacing w:line="276" w:lineRule="auto"/>
        <w:ind w:left="567" w:right="618"/>
        <w:jc w:val="both"/>
        <w:rPr>
          <w:rFonts w:ascii="ITC Avant Garde" w:hAnsi="ITC Avant Garde"/>
          <w:i/>
          <w:sz w:val="18"/>
        </w:rPr>
      </w:pPr>
      <w:r w:rsidRPr="00E16359">
        <w:rPr>
          <w:rFonts w:ascii="ITC Avant Garde" w:hAnsi="ITC Avant Garde"/>
          <w:i/>
          <w:sz w:val="18"/>
        </w:rPr>
        <w:t>“Tabla 3</w:t>
      </w:r>
    </w:p>
    <w:p w:rsidR="00CA2DDA" w:rsidRPr="00E16359" w:rsidRDefault="00CA2DDA" w:rsidP="00CA2DDA">
      <w:pPr>
        <w:pStyle w:val="Textosinformato"/>
        <w:spacing w:line="276" w:lineRule="auto"/>
        <w:ind w:left="567" w:right="618"/>
        <w:jc w:val="both"/>
        <w:rPr>
          <w:rFonts w:ascii="ITC Avant Garde" w:hAnsi="ITC Avant Garde"/>
          <w:i/>
          <w:sz w:val="18"/>
        </w:rPr>
      </w:pPr>
    </w:p>
    <w:p w:rsidR="00CA2DDA" w:rsidRPr="00E16359" w:rsidRDefault="00CA2DDA" w:rsidP="00CA2DDA">
      <w:pPr>
        <w:pStyle w:val="Textosinformato"/>
        <w:spacing w:line="276" w:lineRule="auto"/>
        <w:ind w:left="567" w:right="618"/>
        <w:rPr>
          <w:rFonts w:ascii="ITC Avant Garde" w:hAnsi="ITC Avant Garde"/>
          <w:i/>
          <w:sz w:val="18"/>
          <w:u w:val="single"/>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65"/>
      </w:tblGrid>
      <w:tr w:rsidR="00CA2DDA" w:rsidRPr="00E16359" w:rsidTr="00197E35">
        <w:tc>
          <w:tcPr>
            <w:tcW w:w="3686" w:type="dxa"/>
            <w:tcBorders>
              <w:top w:val="single" w:sz="4" w:space="0" w:color="auto"/>
              <w:left w:val="single" w:sz="4" w:space="0" w:color="auto"/>
              <w:bottom w:val="single" w:sz="4" w:space="0" w:color="auto"/>
              <w:right w:val="single" w:sz="4" w:space="0" w:color="auto"/>
            </w:tcBorders>
          </w:tcPr>
          <w:p w:rsidR="00CA2DDA" w:rsidRPr="00E16359" w:rsidRDefault="00CA2DDA" w:rsidP="0087676C">
            <w:pPr>
              <w:pStyle w:val="Textosinformato"/>
              <w:spacing w:line="276" w:lineRule="auto"/>
              <w:ind w:left="567" w:right="618"/>
              <w:rPr>
                <w:rFonts w:ascii="ITC Avant Garde" w:hAnsi="ITC Avant Garde"/>
                <w:i/>
                <w:sz w:val="18"/>
                <w:u w:val="single"/>
              </w:rPr>
            </w:pPr>
          </w:p>
          <w:p w:rsidR="00CA2DDA" w:rsidRPr="00E16359" w:rsidRDefault="00CA2DDA" w:rsidP="0087676C">
            <w:pPr>
              <w:pStyle w:val="Textosinformato"/>
              <w:spacing w:line="276" w:lineRule="auto"/>
              <w:ind w:left="567" w:right="618"/>
              <w:rPr>
                <w:rFonts w:ascii="ITC Avant Garde" w:hAnsi="ITC Avant Garde"/>
                <w:i/>
                <w:sz w:val="18"/>
                <w:u w:val="single"/>
              </w:rPr>
            </w:pPr>
          </w:p>
        </w:tc>
        <w:tc>
          <w:tcPr>
            <w:tcW w:w="1765" w:type="dxa"/>
            <w:tcBorders>
              <w:top w:val="single" w:sz="4" w:space="0" w:color="auto"/>
              <w:left w:val="single" w:sz="4" w:space="0" w:color="auto"/>
              <w:bottom w:val="single" w:sz="4" w:space="0" w:color="auto"/>
              <w:right w:val="single" w:sz="4" w:space="0" w:color="auto"/>
            </w:tcBorders>
            <w:hideMark/>
          </w:tcPr>
          <w:p w:rsidR="00197E35" w:rsidRDefault="00CA2DDA" w:rsidP="00197E35">
            <w:pPr>
              <w:pStyle w:val="Textosinformato"/>
              <w:spacing w:line="276" w:lineRule="auto"/>
              <w:ind w:left="34"/>
              <w:jc w:val="center"/>
              <w:rPr>
                <w:rFonts w:ascii="ITC Avant Garde" w:hAnsi="ITC Avant Garde"/>
                <w:i/>
                <w:sz w:val="18"/>
                <w:u w:val="single"/>
              </w:rPr>
            </w:pPr>
            <w:r w:rsidRPr="00E16359">
              <w:rPr>
                <w:rFonts w:ascii="ITC Avant Garde" w:hAnsi="ITC Avant Garde"/>
                <w:i/>
                <w:sz w:val="18"/>
                <w:u w:val="single"/>
              </w:rPr>
              <w:t>Facilidad nueva</w:t>
            </w:r>
          </w:p>
          <w:p w:rsidR="00CA2DDA" w:rsidRPr="00E16359" w:rsidRDefault="00CA2DDA" w:rsidP="00197E35">
            <w:pPr>
              <w:pStyle w:val="Textosinformato"/>
              <w:spacing w:line="276" w:lineRule="auto"/>
              <w:ind w:left="34"/>
              <w:jc w:val="center"/>
              <w:rPr>
                <w:rFonts w:ascii="ITC Avant Garde" w:hAnsi="ITC Avant Garde"/>
                <w:i/>
                <w:sz w:val="18"/>
                <w:u w:val="single"/>
              </w:rPr>
            </w:pPr>
            <w:r w:rsidRPr="00E16359">
              <w:rPr>
                <w:rFonts w:ascii="ITC Avant Garde" w:hAnsi="ITC Avant Garde"/>
                <w:i/>
                <w:sz w:val="18"/>
                <w:u w:val="single"/>
              </w:rPr>
              <w:t>(Días hábiles)</w:t>
            </w:r>
          </w:p>
        </w:tc>
      </w:tr>
      <w:tr w:rsidR="00CA2DDA" w:rsidRPr="00E16359" w:rsidTr="00197E35">
        <w:tc>
          <w:tcPr>
            <w:tcW w:w="3686"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Puerto de Señalización (PAUSI-MX)</w:t>
            </w:r>
          </w:p>
        </w:tc>
        <w:tc>
          <w:tcPr>
            <w:tcW w:w="1765"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CA2DDA" w:rsidRPr="00E16359" w:rsidTr="00197E35">
        <w:tc>
          <w:tcPr>
            <w:tcW w:w="3686"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Puerto de Acceso IP</w:t>
            </w:r>
          </w:p>
        </w:tc>
        <w:tc>
          <w:tcPr>
            <w:tcW w:w="1765"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CA2DDA" w:rsidRPr="00E16359" w:rsidTr="00197E35">
        <w:tc>
          <w:tcPr>
            <w:tcW w:w="3686"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Coubicación</w:t>
            </w:r>
          </w:p>
        </w:tc>
        <w:tc>
          <w:tcPr>
            <w:tcW w:w="1765"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CA2DDA" w:rsidRPr="00E16359" w:rsidTr="00197E35">
        <w:tc>
          <w:tcPr>
            <w:tcW w:w="3686"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Facturación</w:t>
            </w:r>
          </w:p>
        </w:tc>
        <w:tc>
          <w:tcPr>
            <w:tcW w:w="1765"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r w:rsidR="00CA2DDA" w:rsidRPr="00E16359" w:rsidTr="00197E35">
        <w:tc>
          <w:tcPr>
            <w:tcW w:w="3686"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Tránsito</w:t>
            </w:r>
          </w:p>
        </w:tc>
        <w:tc>
          <w:tcPr>
            <w:tcW w:w="1765"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7</w:t>
            </w:r>
          </w:p>
        </w:tc>
      </w:tr>
      <w:tr w:rsidR="00CA2DDA" w:rsidRPr="00E16359" w:rsidTr="00197E35">
        <w:tc>
          <w:tcPr>
            <w:tcW w:w="3686"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5" w:right="29" w:hanging="35"/>
              <w:rPr>
                <w:rFonts w:ascii="ITC Avant Garde" w:hAnsi="ITC Avant Garde"/>
                <w:i/>
                <w:sz w:val="18"/>
                <w:u w:val="single"/>
              </w:rPr>
            </w:pPr>
            <w:r w:rsidRPr="00E16359">
              <w:rPr>
                <w:rFonts w:ascii="ITC Avant Garde" w:hAnsi="ITC Avant Garde"/>
                <w:i/>
                <w:sz w:val="18"/>
                <w:u w:val="single"/>
              </w:rPr>
              <w:t>Enlace de Transmisión entre coubicaciones no gestionado</w:t>
            </w:r>
          </w:p>
        </w:tc>
        <w:tc>
          <w:tcPr>
            <w:tcW w:w="1765" w:type="dxa"/>
            <w:tcBorders>
              <w:top w:val="single" w:sz="4" w:space="0" w:color="auto"/>
              <w:left w:val="single" w:sz="4" w:space="0" w:color="auto"/>
              <w:bottom w:val="single" w:sz="4" w:space="0" w:color="auto"/>
              <w:right w:val="single" w:sz="4" w:space="0" w:color="auto"/>
            </w:tcBorders>
            <w:hideMark/>
          </w:tcPr>
          <w:p w:rsidR="00CA2DDA" w:rsidRPr="00E16359" w:rsidRDefault="00CA2DDA" w:rsidP="00197E35">
            <w:pPr>
              <w:pStyle w:val="Textosinformato"/>
              <w:spacing w:line="276" w:lineRule="auto"/>
              <w:ind w:left="34" w:right="40"/>
              <w:jc w:val="center"/>
              <w:rPr>
                <w:rFonts w:ascii="ITC Avant Garde" w:hAnsi="ITC Avant Garde"/>
                <w:i/>
                <w:sz w:val="18"/>
                <w:u w:val="single"/>
              </w:rPr>
            </w:pPr>
            <w:r w:rsidRPr="00E16359">
              <w:rPr>
                <w:rFonts w:ascii="ITC Avant Garde" w:hAnsi="ITC Avant Garde"/>
                <w:i/>
                <w:sz w:val="18"/>
                <w:u w:val="single"/>
              </w:rPr>
              <w:t>15</w:t>
            </w:r>
          </w:p>
        </w:tc>
      </w:tr>
    </w:tbl>
    <w:p w:rsidR="00CA2DDA" w:rsidRPr="00E16359" w:rsidRDefault="00CA2DDA" w:rsidP="00CA2DDA">
      <w:pPr>
        <w:pStyle w:val="Textosinformato"/>
        <w:spacing w:line="276" w:lineRule="auto"/>
        <w:ind w:left="567" w:right="618"/>
        <w:rPr>
          <w:rFonts w:ascii="ITC Avant Garde" w:hAnsi="ITC Avant Garde"/>
          <w:i/>
          <w:sz w:val="18"/>
          <w:u w:val="single"/>
          <w:lang w:val="es-ES"/>
        </w:rPr>
      </w:pPr>
    </w:p>
    <w:p w:rsidR="00CA2DDA" w:rsidRPr="00E16359" w:rsidRDefault="00CA2DDA" w:rsidP="00CA2DDA">
      <w:pPr>
        <w:pStyle w:val="Textosinformato"/>
        <w:spacing w:line="276" w:lineRule="auto"/>
        <w:ind w:left="567" w:right="618"/>
        <w:rPr>
          <w:rFonts w:ascii="ITC Avant Garde" w:hAnsi="ITC Avant Garde"/>
          <w:i/>
          <w:sz w:val="18"/>
          <w:u w:val="single"/>
          <w:lang w:val="es-ES"/>
        </w:rPr>
      </w:pPr>
    </w:p>
    <w:p w:rsidR="00CA2DDA" w:rsidRPr="00E16359" w:rsidRDefault="00CA2DDA" w:rsidP="00CA2DDA">
      <w:pPr>
        <w:pStyle w:val="Textosinformato"/>
        <w:spacing w:line="276" w:lineRule="auto"/>
        <w:ind w:left="567" w:right="618"/>
        <w:rPr>
          <w:rFonts w:ascii="ITC Avant Garde" w:hAnsi="ITC Avant Garde"/>
          <w:i/>
          <w:sz w:val="18"/>
          <w:u w:val="single"/>
          <w:lang w:val="es-ES"/>
        </w:rPr>
      </w:pPr>
      <w:r w:rsidRPr="00E16359">
        <w:rPr>
          <w:rFonts w:ascii="ITC Avant Garde" w:hAnsi="ITC Avant Garde"/>
          <w:i/>
          <w:sz w:val="18"/>
          <w:u w:val="single"/>
          <w:lang w:val="es-ES"/>
        </w:rPr>
        <w:t xml:space="preserve">En caso de que los servicios solicitados excedan un 20% o más de los pronosticados, los servicios excedentes serán instalados en un plazo definido por mutuo acuerdo bajo esquema de fecha compromiso (Due Date). Situación que será informada al Instituto, junto con las nuevas fechas de entrega. </w:t>
      </w:r>
    </w:p>
    <w:p w:rsidR="00CA2DDA" w:rsidRPr="00E16359" w:rsidRDefault="00CA2DDA" w:rsidP="00CA2DDA">
      <w:pPr>
        <w:pStyle w:val="Textosinformato"/>
        <w:spacing w:line="276" w:lineRule="auto"/>
        <w:ind w:left="567" w:right="618"/>
        <w:rPr>
          <w:rFonts w:ascii="ITC Avant Garde" w:hAnsi="ITC Avant Garde"/>
          <w:i/>
          <w:sz w:val="18"/>
          <w:u w:val="single"/>
          <w:lang w:val="es-ES"/>
        </w:rPr>
      </w:pPr>
    </w:p>
    <w:p w:rsidR="00CA2DDA" w:rsidRPr="00E16359" w:rsidRDefault="00CA2DDA" w:rsidP="00CA2DDA">
      <w:pPr>
        <w:pStyle w:val="Textosinformato"/>
        <w:spacing w:line="276" w:lineRule="auto"/>
        <w:ind w:left="567" w:right="618"/>
        <w:rPr>
          <w:rFonts w:ascii="ITC Avant Garde" w:hAnsi="ITC Avant Garde"/>
          <w:i/>
          <w:sz w:val="18"/>
        </w:rPr>
      </w:pPr>
      <w:r w:rsidRPr="00E16359">
        <w:rPr>
          <w:rFonts w:ascii="ITC Avant Garde" w:hAnsi="ITC Avant Garde"/>
          <w:i/>
          <w:sz w:val="18"/>
          <w:lang w:val="es-ES"/>
        </w:rPr>
        <w:t>Cualquier solicitud de servicio (…)”</w:t>
      </w:r>
    </w:p>
    <w:p w:rsidR="00CA2DDA" w:rsidRPr="00E16359" w:rsidRDefault="00CA2DDA" w:rsidP="00CA2DDA">
      <w:pPr>
        <w:spacing w:after="0" w:line="276" w:lineRule="auto"/>
        <w:ind w:right="-93"/>
        <w:jc w:val="both"/>
        <w:rPr>
          <w:rFonts w:ascii="ITC Avant Garde" w:hAnsi="ITC Avant Garde"/>
        </w:rPr>
      </w:pPr>
    </w:p>
    <w:p w:rsidR="00CA2DDA" w:rsidRPr="00E16359" w:rsidRDefault="00CA2DDA" w:rsidP="00CA2DDA">
      <w:pPr>
        <w:spacing w:after="0" w:line="276" w:lineRule="auto"/>
        <w:jc w:val="both"/>
        <w:rPr>
          <w:rFonts w:ascii="ITC Avant Garde" w:hAnsi="ITC Avant Garde"/>
        </w:rPr>
      </w:pPr>
      <w:r w:rsidRPr="00E16359">
        <w:rPr>
          <w:rFonts w:ascii="ITC Avant Garde" w:hAnsi="ITC Avant Garde"/>
        </w:rPr>
        <w:t xml:space="preserve">Ahora bien, respecto al comentario realizado por Grupo Televisa, se señala que, de las cifras de tráfico de interconexión con las que cuenta el Instituto se observa que el volumen de tráfico intercambiado entre los concesionarios puede ser soportado a través de enlaces de 1 Gbps de capacidad, la cual puede irse incrementando mediante el despliegue de enlaces de dicha capacidad. Lo anterior, sin perjuicio de que en revisiones posteriores del CMI el Instituto pueda requerir enlaces de interconexión de mayor capacidad. Asimismo, de acuerdo a lo establecido en el Acuerdo de </w:t>
      </w:r>
      <w:r w:rsidR="000956C7" w:rsidRPr="00E16359">
        <w:rPr>
          <w:rFonts w:ascii="ITC Avant Garde" w:hAnsi="ITC Avant Garde"/>
        </w:rPr>
        <w:t xml:space="preserve">CTM, </w:t>
      </w:r>
      <w:r w:rsidRPr="00E16359">
        <w:rPr>
          <w:rFonts w:ascii="ITC Avant Garde" w:hAnsi="ITC Avant Garde"/>
        </w:rPr>
        <w:t>las nuevas interconexiones, así como los incrementos de capacidad se realizarán a través de interconexión IP, esto es a través de protocolo de señalización SIP. En este sentido no se considera razonable el planteamiento propuesto.</w:t>
      </w:r>
    </w:p>
    <w:p w:rsidR="00432711" w:rsidRPr="00E16359" w:rsidRDefault="00432711" w:rsidP="001D3335">
      <w:pPr>
        <w:spacing w:after="0" w:line="276" w:lineRule="auto"/>
        <w:jc w:val="both"/>
        <w:rPr>
          <w:rFonts w:ascii="ITC Avant Garde" w:hAnsi="ITC Avant Garde"/>
          <w:b/>
          <w:u w:val="single"/>
        </w:rPr>
      </w:pPr>
    </w:p>
    <w:p w:rsidR="00817EB8" w:rsidRPr="00E16359" w:rsidRDefault="007F1C00" w:rsidP="001D3335">
      <w:pPr>
        <w:spacing w:after="0" w:line="276" w:lineRule="auto"/>
        <w:jc w:val="both"/>
        <w:rPr>
          <w:rFonts w:ascii="ITC Avant Garde" w:hAnsi="ITC Avant Garde"/>
          <w:b/>
          <w:u w:val="single"/>
        </w:rPr>
      </w:pPr>
      <w:r w:rsidRPr="00E16359">
        <w:rPr>
          <w:rFonts w:ascii="ITC Avant Garde" w:hAnsi="ITC Avant Garde"/>
          <w:b/>
          <w:u w:val="single"/>
        </w:rPr>
        <w:t>Penalizaciones</w:t>
      </w:r>
    </w:p>
    <w:p w:rsidR="00432711" w:rsidRPr="00E16359" w:rsidRDefault="00432711" w:rsidP="001D3335">
      <w:pPr>
        <w:spacing w:after="0" w:line="276" w:lineRule="auto"/>
        <w:jc w:val="both"/>
        <w:rPr>
          <w:rFonts w:ascii="ITC Avant Garde" w:hAnsi="ITC Avant Garde"/>
          <w:b/>
          <w:u w:val="single"/>
        </w:rPr>
      </w:pPr>
    </w:p>
    <w:p w:rsidR="00817EB8" w:rsidRPr="00E16359" w:rsidRDefault="00817EB8" w:rsidP="001D3335">
      <w:pPr>
        <w:spacing w:after="0" w:line="276" w:lineRule="auto"/>
        <w:jc w:val="both"/>
        <w:rPr>
          <w:rFonts w:ascii="ITC Avant Garde" w:hAnsi="ITC Avant Garde"/>
          <w:b/>
        </w:rPr>
      </w:pPr>
      <w:r w:rsidRPr="00E16359">
        <w:rPr>
          <w:rFonts w:ascii="ITC Avant Garde" w:hAnsi="ITC Avant Garde"/>
          <w:b/>
        </w:rPr>
        <w:t>ÁLTÁN, AT&amp;T Y CANIETI</w:t>
      </w:r>
    </w:p>
    <w:p w:rsidR="00E14BF7" w:rsidRPr="00E16359" w:rsidRDefault="00E14BF7" w:rsidP="001D3335">
      <w:pPr>
        <w:spacing w:after="0" w:line="276" w:lineRule="auto"/>
        <w:jc w:val="both"/>
        <w:rPr>
          <w:rFonts w:ascii="ITC Avant Garde" w:hAnsi="ITC Avant Garde"/>
          <w:b/>
        </w:rPr>
      </w:pPr>
    </w:p>
    <w:p w:rsidR="00817EB8" w:rsidRPr="00E16359" w:rsidRDefault="00E14BF7" w:rsidP="001D3335">
      <w:pPr>
        <w:spacing w:after="0" w:line="276" w:lineRule="auto"/>
        <w:jc w:val="both"/>
        <w:rPr>
          <w:rFonts w:ascii="ITC Avant Garde" w:hAnsi="ITC Avant Garde"/>
        </w:rPr>
      </w:pPr>
      <w:r w:rsidRPr="00E16359">
        <w:rPr>
          <w:rFonts w:ascii="ITC Avant Garde" w:hAnsi="ITC Avant Garde"/>
        </w:rPr>
        <w:t>Sugirieron</w:t>
      </w:r>
      <w:r w:rsidR="00817EB8" w:rsidRPr="00E16359">
        <w:rPr>
          <w:rFonts w:ascii="ITC Avant Garde" w:hAnsi="ITC Avant Garde"/>
        </w:rPr>
        <w:t xml:space="preserve"> que los tiempos establecidos en el Convenio Marco (2018) son razonables, por tanto, mantener la redacción en los siguientes términos:</w:t>
      </w:r>
    </w:p>
    <w:p w:rsidR="00817EB8" w:rsidRPr="00E16359" w:rsidRDefault="00817EB8" w:rsidP="001D3335">
      <w:pPr>
        <w:spacing w:after="0" w:line="276" w:lineRule="auto"/>
        <w:ind w:left="851" w:right="709"/>
        <w:jc w:val="both"/>
        <w:rPr>
          <w:rFonts w:ascii="ITC Avant Garde" w:hAnsi="ITC Avant Garde"/>
          <w:i/>
          <w:sz w:val="18"/>
          <w:szCs w:val="18"/>
        </w:rPr>
      </w:pPr>
    </w:p>
    <w:p w:rsidR="00817EB8" w:rsidRPr="00E16359" w:rsidRDefault="00817EB8" w:rsidP="001D3335">
      <w:pPr>
        <w:spacing w:after="0" w:line="276" w:lineRule="auto"/>
        <w:ind w:left="851" w:right="709"/>
        <w:jc w:val="both"/>
        <w:rPr>
          <w:rFonts w:ascii="ITC Avant Garde" w:hAnsi="ITC Avant Garde"/>
          <w:i/>
          <w:sz w:val="18"/>
          <w:szCs w:val="18"/>
        </w:rPr>
      </w:pPr>
      <w:r w:rsidRPr="00E16359">
        <w:rPr>
          <w:rFonts w:ascii="ITC Avant Garde" w:hAnsi="ITC Avant Garde"/>
          <w:i/>
          <w:sz w:val="18"/>
          <w:szCs w:val="18"/>
        </w:rPr>
        <w:t xml:space="preserve">“La penalización por entregas tardías se calculará considerando el monto </w:t>
      </w:r>
      <w:r w:rsidRPr="00E16359">
        <w:rPr>
          <w:rFonts w:ascii="ITC Avant Garde" w:hAnsi="ITC Avant Garde"/>
          <w:i/>
          <w:sz w:val="18"/>
          <w:szCs w:val="18"/>
          <w:u w:val="single"/>
        </w:rPr>
        <w:t>económico correspondiente al l0% de lo renta mensual del enlace por cada día (hábil) de retraso en lo entrega</w:t>
      </w:r>
      <w:r w:rsidRPr="00E16359">
        <w:rPr>
          <w:rFonts w:ascii="ITC Avant Garde" w:hAnsi="ITC Avant Garde"/>
          <w:i/>
          <w:sz w:val="18"/>
          <w:szCs w:val="18"/>
        </w:rPr>
        <w:t>, respecto a las fechas comprometidas del servicio en cuestión, hasta por un máximo de seis rentas mensuales.”</w:t>
      </w:r>
    </w:p>
    <w:p w:rsidR="00897385" w:rsidRPr="00E16359" w:rsidRDefault="00897385" w:rsidP="00135B38">
      <w:pPr>
        <w:spacing w:after="0" w:line="276" w:lineRule="auto"/>
        <w:ind w:left="851" w:right="709"/>
        <w:jc w:val="right"/>
        <w:rPr>
          <w:rFonts w:ascii="ITC Avant Garde" w:hAnsi="ITC Avant Garde"/>
          <w:i/>
          <w:sz w:val="18"/>
          <w:szCs w:val="18"/>
        </w:rPr>
      </w:pPr>
    </w:p>
    <w:p w:rsidR="00897385" w:rsidRPr="00E16359" w:rsidRDefault="00895C8D" w:rsidP="00135B38">
      <w:pPr>
        <w:spacing w:after="0" w:line="276" w:lineRule="auto"/>
        <w:ind w:left="851" w:right="709"/>
        <w:jc w:val="right"/>
        <w:rPr>
          <w:rFonts w:ascii="ITC Avant Garde" w:hAnsi="ITC Avant Garde"/>
          <w:i/>
          <w:sz w:val="18"/>
          <w:szCs w:val="18"/>
        </w:rPr>
      </w:pPr>
      <w:r w:rsidRPr="00E16359">
        <w:rPr>
          <w:rFonts w:ascii="ITC Avant Garde" w:hAnsi="ITC Avant Garde"/>
          <w:i/>
          <w:sz w:val="18"/>
          <w:szCs w:val="18"/>
        </w:rPr>
        <w:t>(énfa</w:t>
      </w:r>
      <w:r w:rsidR="00897385" w:rsidRPr="00E16359">
        <w:rPr>
          <w:rFonts w:ascii="ITC Avant Garde" w:hAnsi="ITC Avant Garde"/>
          <w:i/>
          <w:sz w:val="18"/>
          <w:szCs w:val="18"/>
        </w:rPr>
        <w:t>sis añadido)</w:t>
      </w:r>
    </w:p>
    <w:p w:rsidR="00817EB8" w:rsidRPr="00E16359" w:rsidRDefault="00817EB8" w:rsidP="001D3335">
      <w:pPr>
        <w:spacing w:after="0" w:line="276" w:lineRule="auto"/>
        <w:jc w:val="both"/>
        <w:rPr>
          <w:rFonts w:ascii="ITC Avant Garde" w:hAnsi="ITC Avant Garde"/>
          <w:b/>
        </w:rPr>
      </w:pPr>
    </w:p>
    <w:p w:rsidR="008E3DC8" w:rsidRPr="00E16359" w:rsidRDefault="008E3DC8" w:rsidP="001D3335">
      <w:pPr>
        <w:spacing w:after="0" w:line="276" w:lineRule="auto"/>
        <w:jc w:val="both"/>
        <w:rPr>
          <w:rFonts w:ascii="ITC Avant Garde" w:hAnsi="ITC Avant Garde"/>
          <w:b/>
        </w:rPr>
      </w:pPr>
      <w:r w:rsidRPr="00E16359">
        <w:rPr>
          <w:rFonts w:ascii="ITC Avant Garde" w:hAnsi="ITC Avant Garde"/>
          <w:b/>
        </w:rPr>
        <w:lastRenderedPageBreak/>
        <w:t>GRUPO TELEVISA</w:t>
      </w:r>
    </w:p>
    <w:p w:rsidR="00135B38" w:rsidRPr="00E16359" w:rsidRDefault="00135B38" w:rsidP="001D3335">
      <w:pPr>
        <w:spacing w:after="0" w:line="276" w:lineRule="auto"/>
        <w:jc w:val="both"/>
        <w:rPr>
          <w:rFonts w:ascii="ITC Avant Garde" w:hAnsi="ITC Avant Garde"/>
          <w:b/>
        </w:rPr>
      </w:pPr>
    </w:p>
    <w:p w:rsidR="008E3DC8" w:rsidRPr="00E16359" w:rsidRDefault="000D7688" w:rsidP="001D3335">
      <w:pPr>
        <w:spacing w:after="0" w:line="276" w:lineRule="auto"/>
        <w:jc w:val="both"/>
        <w:rPr>
          <w:rFonts w:ascii="ITC Avant Garde" w:hAnsi="ITC Avant Garde"/>
        </w:rPr>
      </w:pPr>
      <w:r w:rsidRPr="00E16359">
        <w:rPr>
          <w:rFonts w:ascii="ITC Avant Garde" w:hAnsi="ITC Avant Garde"/>
        </w:rPr>
        <w:t>Propuso</w:t>
      </w:r>
      <w:r w:rsidR="00463C84" w:rsidRPr="00E16359">
        <w:rPr>
          <w:rFonts w:ascii="ITC Avant Garde" w:hAnsi="ITC Avant Garde"/>
        </w:rPr>
        <w:t xml:space="preserve"> que se modifique</w:t>
      </w:r>
      <w:r w:rsidR="008E3DC8" w:rsidRPr="00E16359">
        <w:rPr>
          <w:rFonts w:ascii="ITC Avant Garde" w:hAnsi="ITC Avant Garde"/>
        </w:rPr>
        <w:t xml:space="preserve"> la sección de penalidades por incumplimiento y se incluya de manera explícita una penalidad por indisponibilidad que esté alineada con lo planteado en la Medida Décima de la Declaratoria de Poder Sustancial.</w:t>
      </w:r>
    </w:p>
    <w:p w:rsidR="008E3DC8" w:rsidRPr="00E16359" w:rsidRDefault="008E3DC8" w:rsidP="001D3335">
      <w:pPr>
        <w:spacing w:after="0" w:line="276" w:lineRule="auto"/>
        <w:jc w:val="both"/>
        <w:rPr>
          <w:rFonts w:ascii="ITC Avant Garde" w:hAnsi="ITC Avant Garde"/>
        </w:rPr>
      </w:pPr>
    </w:p>
    <w:p w:rsidR="008E3DC8" w:rsidRPr="00E16359" w:rsidRDefault="000D7688" w:rsidP="001D3335">
      <w:pPr>
        <w:spacing w:after="0" w:line="276" w:lineRule="auto"/>
        <w:jc w:val="both"/>
        <w:rPr>
          <w:rFonts w:ascii="ITC Avant Garde" w:hAnsi="ITC Avant Garde"/>
        </w:rPr>
      </w:pPr>
      <w:r w:rsidRPr="00E16359">
        <w:rPr>
          <w:rFonts w:ascii="ITC Avant Garde" w:hAnsi="ITC Avant Garde"/>
        </w:rPr>
        <w:t>Asimismo, solicitó</w:t>
      </w:r>
      <w:r w:rsidR="008E3DC8" w:rsidRPr="00E16359">
        <w:rPr>
          <w:rFonts w:ascii="ITC Avant Garde" w:hAnsi="ITC Avant Garde"/>
        </w:rPr>
        <w:t xml:space="preserve"> el restablecimiento del texto asociado a las penalidades por entrega tardía de los servicios y enlaces tal como está </w:t>
      </w:r>
      <w:r w:rsidR="00463C84" w:rsidRPr="00E16359">
        <w:rPr>
          <w:rFonts w:ascii="ITC Avant Garde" w:hAnsi="ITC Avant Garde"/>
        </w:rPr>
        <w:t>especificado taxativamente en el</w:t>
      </w:r>
      <w:r w:rsidR="008E3DC8" w:rsidRPr="00E16359">
        <w:rPr>
          <w:rFonts w:ascii="ITC Avant Garde" w:hAnsi="ITC Avant Garde"/>
        </w:rPr>
        <w:t xml:space="preserve"> CMI </w:t>
      </w:r>
      <w:r w:rsidR="00B205F4" w:rsidRPr="00E16359">
        <w:rPr>
          <w:rFonts w:ascii="ITC Avant Garde" w:hAnsi="ITC Avant Garde"/>
        </w:rPr>
        <w:t>2018</w:t>
      </w:r>
      <w:r w:rsidR="008E3DC8" w:rsidRPr="00E16359">
        <w:rPr>
          <w:rFonts w:ascii="ITC Avant Garde" w:hAnsi="ITC Avant Garde"/>
        </w:rPr>
        <w:t>.</w:t>
      </w:r>
    </w:p>
    <w:p w:rsidR="008E3DC8" w:rsidRPr="00E16359" w:rsidRDefault="008E3DC8" w:rsidP="001D3335">
      <w:pPr>
        <w:spacing w:after="0" w:line="276" w:lineRule="auto"/>
        <w:jc w:val="both"/>
        <w:rPr>
          <w:rFonts w:ascii="ITC Avant Garde" w:hAnsi="ITC Avant Garde"/>
        </w:rPr>
      </w:pPr>
    </w:p>
    <w:p w:rsidR="008E3DC8" w:rsidRPr="00E16359" w:rsidRDefault="000D7688" w:rsidP="001D3335">
      <w:pPr>
        <w:spacing w:after="0" w:line="276" w:lineRule="auto"/>
        <w:jc w:val="both"/>
        <w:rPr>
          <w:rFonts w:ascii="ITC Avant Garde" w:hAnsi="ITC Avant Garde"/>
        </w:rPr>
      </w:pPr>
      <w:r w:rsidRPr="00E16359">
        <w:rPr>
          <w:rFonts w:ascii="ITC Avant Garde" w:hAnsi="ITC Avant Garde"/>
        </w:rPr>
        <w:t>Solicitó</w:t>
      </w:r>
      <w:r w:rsidR="00B02DAE" w:rsidRPr="00E16359">
        <w:rPr>
          <w:rFonts w:ascii="ITC Avant Garde" w:hAnsi="ITC Avant Garde"/>
        </w:rPr>
        <w:t xml:space="preserve"> que t</w:t>
      </w:r>
      <w:r w:rsidR="008E3DC8" w:rsidRPr="00E16359">
        <w:rPr>
          <w:rFonts w:ascii="ITC Avant Garde" w:hAnsi="ITC Avant Garde"/>
        </w:rPr>
        <w:t>omando en cuenta que la indemnización debe ser suficiente para cubrir los daños derivados del incumplimiento del AEP</w:t>
      </w:r>
      <w:r w:rsidR="00B02DAE" w:rsidRPr="00E16359">
        <w:rPr>
          <w:rFonts w:ascii="ITC Avant Garde" w:hAnsi="ITC Avant Garde"/>
        </w:rPr>
        <w:t>, se elimine</w:t>
      </w:r>
      <w:r w:rsidR="008E3DC8" w:rsidRPr="00E16359">
        <w:rPr>
          <w:rFonts w:ascii="ITC Avant Garde" w:hAnsi="ITC Avant Garde"/>
        </w:rPr>
        <w:t xml:space="preserve"> dicho límite de la propuesta del AEP.</w:t>
      </w:r>
    </w:p>
    <w:p w:rsidR="00752C9B" w:rsidRPr="00E16359" w:rsidRDefault="00752C9B" w:rsidP="001D3335">
      <w:pPr>
        <w:spacing w:after="0" w:line="276" w:lineRule="auto"/>
        <w:jc w:val="both"/>
        <w:rPr>
          <w:rFonts w:ascii="ITC Avant Garde" w:hAnsi="ITC Avant Garde"/>
        </w:rPr>
      </w:pPr>
    </w:p>
    <w:p w:rsidR="000B4E29" w:rsidRPr="00E16359" w:rsidRDefault="004C7A73" w:rsidP="001D3335">
      <w:pPr>
        <w:spacing w:after="0" w:line="276" w:lineRule="auto"/>
        <w:jc w:val="both"/>
        <w:rPr>
          <w:rFonts w:ascii="ITC Avant Garde" w:hAnsi="ITC Avant Garde"/>
          <w:u w:val="single"/>
        </w:rPr>
      </w:pPr>
      <w:r w:rsidRPr="00E16359">
        <w:rPr>
          <w:rFonts w:ascii="ITC Avant Garde" w:hAnsi="ITC Avant Garde"/>
          <w:b/>
          <w:u w:val="single"/>
        </w:rPr>
        <w:t xml:space="preserve">Enlaces Dedicados </w:t>
      </w:r>
    </w:p>
    <w:p w:rsidR="000B4E29" w:rsidRPr="00E16359" w:rsidRDefault="000B4E29" w:rsidP="001D3335">
      <w:pPr>
        <w:spacing w:after="0" w:line="276" w:lineRule="auto"/>
        <w:jc w:val="both"/>
        <w:rPr>
          <w:rFonts w:ascii="ITC Avant Garde" w:hAnsi="ITC Avant Garde"/>
          <w:b/>
        </w:rPr>
      </w:pPr>
    </w:p>
    <w:p w:rsidR="00817EB8" w:rsidRPr="00E16359" w:rsidRDefault="001F0455" w:rsidP="001D3335">
      <w:pPr>
        <w:spacing w:after="0" w:line="276" w:lineRule="auto"/>
        <w:jc w:val="both"/>
        <w:rPr>
          <w:rFonts w:ascii="ITC Avant Garde" w:hAnsi="ITC Avant Garde"/>
          <w:b/>
        </w:rPr>
      </w:pPr>
      <w:r w:rsidRPr="00E16359">
        <w:rPr>
          <w:rFonts w:ascii="ITC Avant Garde" w:hAnsi="ITC Avant Garde"/>
          <w:b/>
        </w:rPr>
        <w:t>ALTÁN, CANIETI Y TELEFÓNICA</w:t>
      </w:r>
    </w:p>
    <w:p w:rsidR="00135B38" w:rsidRPr="00E16359" w:rsidRDefault="00135B38" w:rsidP="001D3335">
      <w:pPr>
        <w:spacing w:after="0" w:line="276" w:lineRule="auto"/>
        <w:jc w:val="both"/>
        <w:rPr>
          <w:rFonts w:ascii="ITC Avant Garde" w:hAnsi="ITC Avant Garde"/>
          <w:b/>
        </w:rPr>
      </w:pPr>
    </w:p>
    <w:p w:rsidR="001F0455" w:rsidRPr="00E16359" w:rsidRDefault="001F0455" w:rsidP="001D3335">
      <w:pPr>
        <w:spacing w:after="0" w:line="276" w:lineRule="auto"/>
        <w:jc w:val="both"/>
        <w:rPr>
          <w:rFonts w:ascii="ITC Avant Garde" w:hAnsi="ITC Avant Garde"/>
        </w:rPr>
      </w:pPr>
      <w:r w:rsidRPr="00E16359">
        <w:rPr>
          <w:rFonts w:ascii="ITC Avant Garde" w:hAnsi="ITC Avant Garde"/>
        </w:rPr>
        <w:t>Solicita</w:t>
      </w:r>
      <w:r w:rsidR="00357637" w:rsidRPr="00E16359">
        <w:rPr>
          <w:rFonts w:ascii="ITC Avant Garde" w:hAnsi="ITC Avant Garde"/>
        </w:rPr>
        <w:t>ro</w:t>
      </w:r>
      <w:r w:rsidRPr="00E16359">
        <w:rPr>
          <w:rFonts w:ascii="ITC Avant Garde" w:hAnsi="ITC Avant Garde"/>
        </w:rPr>
        <w:t>n que se elimine el numeral 2.7.3, debido a que la pena convencional establecida (1.2% de renta mensual cuando la falla es imputable al Concesionario), es excesiva, unilateral y arbitraria en su determinación ya que Telmex es quien califica los reportes de falla.</w:t>
      </w:r>
    </w:p>
    <w:p w:rsidR="003B7A25" w:rsidRPr="00E16359" w:rsidRDefault="003B7A25" w:rsidP="001D3335">
      <w:pPr>
        <w:spacing w:after="0" w:line="276" w:lineRule="auto"/>
        <w:jc w:val="both"/>
        <w:rPr>
          <w:rFonts w:ascii="ITC Avant Garde" w:hAnsi="ITC Avant Garde"/>
          <w:b/>
        </w:rPr>
      </w:pPr>
    </w:p>
    <w:p w:rsidR="00FA5820" w:rsidRPr="00E16359" w:rsidRDefault="00FA5820" w:rsidP="001D3335">
      <w:pPr>
        <w:spacing w:after="0" w:line="276" w:lineRule="auto"/>
        <w:jc w:val="both"/>
        <w:rPr>
          <w:rFonts w:ascii="ITC Avant Garde" w:hAnsi="ITC Avant Garde"/>
          <w:b/>
        </w:rPr>
      </w:pPr>
      <w:r w:rsidRPr="00E16359">
        <w:rPr>
          <w:rFonts w:ascii="ITC Avant Garde" w:hAnsi="ITC Avant Garde"/>
          <w:b/>
        </w:rPr>
        <w:t>AT&amp;T</w:t>
      </w:r>
    </w:p>
    <w:p w:rsidR="007C2DF2" w:rsidRPr="00E16359" w:rsidRDefault="007C2DF2" w:rsidP="001D3335">
      <w:pPr>
        <w:spacing w:after="0" w:line="276" w:lineRule="auto"/>
        <w:jc w:val="both"/>
        <w:rPr>
          <w:rFonts w:ascii="ITC Avant Garde" w:hAnsi="ITC Avant Garde"/>
          <w:b/>
        </w:rPr>
      </w:pPr>
    </w:p>
    <w:p w:rsidR="004B73DA" w:rsidRPr="00E16359" w:rsidRDefault="00B97A59" w:rsidP="001D3335">
      <w:pPr>
        <w:spacing w:after="0" w:line="276" w:lineRule="auto"/>
        <w:jc w:val="both"/>
        <w:rPr>
          <w:rFonts w:ascii="ITC Avant Garde" w:hAnsi="ITC Avant Garde"/>
        </w:rPr>
      </w:pPr>
      <w:r w:rsidRPr="00E16359">
        <w:rPr>
          <w:rFonts w:ascii="ITC Avant Garde" w:hAnsi="ITC Avant Garde"/>
        </w:rPr>
        <w:t>Señaló</w:t>
      </w:r>
      <w:r w:rsidR="004B73DA" w:rsidRPr="00E16359">
        <w:rPr>
          <w:rFonts w:ascii="ITC Avant Garde" w:hAnsi="ITC Avant Garde"/>
        </w:rPr>
        <w:t xml:space="preserve"> que los tiempos establecidos en el CMI (2018) son razonables, propone la siguiente redacción:</w:t>
      </w:r>
    </w:p>
    <w:p w:rsidR="004B73DA" w:rsidRPr="00E16359" w:rsidRDefault="004B73DA" w:rsidP="001D3335">
      <w:pPr>
        <w:spacing w:after="0" w:line="276" w:lineRule="auto"/>
        <w:jc w:val="both"/>
        <w:rPr>
          <w:rFonts w:ascii="ITC Avant Garde" w:hAnsi="ITC Avant Garde"/>
        </w:rPr>
      </w:pPr>
    </w:p>
    <w:p w:rsidR="004B73DA" w:rsidRPr="00E16359" w:rsidRDefault="004B73DA" w:rsidP="001D3335">
      <w:pPr>
        <w:spacing w:after="0" w:line="276" w:lineRule="auto"/>
        <w:ind w:left="851" w:right="709"/>
        <w:jc w:val="both"/>
        <w:rPr>
          <w:rFonts w:ascii="ITC Avant Garde" w:hAnsi="ITC Avant Garde"/>
          <w:i/>
          <w:sz w:val="18"/>
          <w:szCs w:val="18"/>
        </w:rPr>
      </w:pPr>
      <w:r w:rsidRPr="00E16359">
        <w:rPr>
          <w:rFonts w:ascii="ITC Avant Garde" w:hAnsi="ITC Avant Garde"/>
          <w:i/>
          <w:sz w:val="18"/>
          <w:szCs w:val="18"/>
        </w:rPr>
        <w:t>“2.7.3. En todos aquéllos casos donde se demuestre que la falta es imputable al concesionario solicitante o a su cliente final, el tiempo de indisponibilidad se restará al final del periodo para efectos de cómputo de las penas del trimestre.”</w:t>
      </w:r>
    </w:p>
    <w:p w:rsidR="00FA5820" w:rsidRPr="00E16359" w:rsidRDefault="00FA5820" w:rsidP="001D3335">
      <w:pPr>
        <w:spacing w:after="0" w:line="276" w:lineRule="auto"/>
        <w:jc w:val="both"/>
        <w:rPr>
          <w:rFonts w:ascii="ITC Avant Garde" w:hAnsi="ITC Avant Garde"/>
          <w:b/>
        </w:rPr>
      </w:pPr>
    </w:p>
    <w:p w:rsidR="00B97783" w:rsidRPr="00E16359" w:rsidRDefault="00B97783"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12343C" w:rsidRPr="00E16359" w:rsidRDefault="0012343C" w:rsidP="0012343C">
      <w:pPr>
        <w:pStyle w:val="IFT1"/>
        <w:tabs>
          <w:tab w:val="left" w:pos="426"/>
        </w:tabs>
        <w:autoSpaceDE w:val="0"/>
        <w:autoSpaceDN w:val="0"/>
        <w:adjustRightInd w:val="0"/>
        <w:spacing w:after="0"/>
        <w:ind w:right="49"/>
        <w:rPr>
          <w:rFonts w:cs="Arial"/>
          <w:iCs w:val="0"/>
          <w:sz w:val="18"/>
          <w:szCs w:val="18"/>
        </w:rPr>
      </w:pPr>
    </w:p>
    <w:p w:rsidR="0012343C" w:rsidRPr="00E16359" w:rsidRDefault="0012343C" w:rsidP="0012343C">
      <w:pPr>
        <w:pStyle w:val="IFT1"/>
        <w:tabs>
          <w:tab w:val="left" w:pos="0"/>
          <w:tab w:val="left" w:pos="567"/>
        </w:tabs>
        <w:autoSpaceDE w:val="0"/>
        <w:autoSpaceDN w:val="0"/>
        <w:adjustRightInd w:val="0"/>
        <w:spacing w:after="0"/>
        <w:rPr>
          <w:bCs/>
        </w:rPr>
      </w:pPr>
      <w:r w:rsidRPr="00E16359">
        <w:rPr>
          <w:snapToGrid w:val="0"/>
        </w:rPr>
        <w:t xml:space="preserve">Respecto a las propuestas respecto al tema de las penalizaciones, </w:t>
      </w:r>
      <w:r w:rsidR="00BA1C81" w:rsidRPr="00E16359">
        <w:rPr>
          <w:snapToGrid w:val="0"/>
        </w:rPr>
        <w:t xml:space="preserve">es conveniente precisar que </w:t>
      </w:r>
      <w:r w:rsidRPr="00E16359">
        <w:rPr>
          <w:snapToGrid w:val="0"/>
        </w:rPr>
        <w:t xml:space="preserve">el CMI se ajustó restableciendo la penalidad del 10%, la cual resulta razonable a efecto de reducir los incentivos para incumplir con los plazos de entrega establecidos en el mismo, </w:t>
      </w:r>
      <w:r w:rsidR="00E12CE7" w:rsidRPr="00E16359">
        <w:rPr>
          <w:snapToGrid w:val="0"/>
        </w:rPr>
        <w:t xml:space="preserve">apegándose a lo </w:t>
      </w:r>
      <w:r w:rsidRPr="00E16359">
        <w:rPr>
          <w:snapToGrid w:val="0"/>
        </w:rPr>
        <w:t>es</w:t>
      </w:r>
      <w:r w:rsidR="00E12CE7" w:rsidRPr="00E16359">
        <w:rPr>
          <w:snapToGrid w:val="0"/>
        </w:rPr>
        <w:t>tablecido en las Medidas Fijas.</w:t>
      </w:r>
    </w:p>
    <w:p w:rsidR="0012343C" w:rsidRPr="00E16359" w:rsidRDefault="0012343C" w:rsidP="0012343C">
      <w:pPr>
        <w:pStyle w:val="IFT1"/>
        <w:tabs>
          <w:tab w:val="left" w:pos="426"/>
        </w:tabs>
        <w:autoSpaceDE w:val="0"/>
        <w:autoSpaceDN w:val="0"/>
        <w:adjustRightInd w:val="0"/>
        <w:spacing w:after="0"/>
        <w:ind w:right="49"/>
        <w:rPr>
          <w:snapToGrid w:val="0"/>
        </w:rPr>
      </w:pPr>
    </w:p>
    <w:p w:rsidR="0012343C" w:rsidRPr="00E16359" w:rsidRDefault="00E12CE7" w:rsidP="0012343C">
      <w:pPr>
        <w:pStyle w:val="IFT1"/>
        <w:tabs>
          <w:tab w:val="left" w:pos="0"/>
          <w:tab w:val="left" w:pos="567"/>
        </w:tabs>
        <w:autoSpaceDE w:val="0"/>
        <w:autoSpaceDN w:val="0"/>
        <w:adjustRightInd w:val="0"/>
        <w:spacing w:after="0"/>
        <w:rPr>
          <w:color w:val="1A1A1A"/>
        </w:rPr>
      </w:pPr>
      <w:r w:rsidRPr="00E16359">
        <w:rPr>
          <w:snapToGrid w:val="0"/>
        </w:rPr>
        <w:t>En este sentido</w:t>
      </w:r>
      <w:r w:rsidR="0012343C" w:rsidRPr="00E16359">
        <w:rPr>
          <w:snapToGrid w:val="0"/>
        </w:rPr>
        <w:t xml:space="preserve">, en el numeral 2.7.3 se dispone un monto menor respecto de las penalizaciones, en el caso de que la causa sea imputable al concesionario solicitante </w:t>
      </w:r>
      <w:r w:rsidR="0012343C" w:rsidRPr="00E16359">
        <w:rPr>
          <w:snapToGrid w:val="0"/>
        </w:rPr>
        <w:lastRenderedPageBreak/>
        <w:t>o a su cliente final</w:t>
      </w:r>
      <w:r w:rsidR="0012343C" w:rsidRPr="00E16359">
        <w:rPr>
          <w:color w:val="1A1A1A"/>
        </w:rPr>
        <w:t xml:space="preserve"> a efecto de reducir los incentivos del CS de atribuir dichas fallas a la operación del AEP y que estas tengan impacto en el tiempo de indisponibilidad de un enlace que resulte de una falla atribuible al CS. </w:t>
      </w:r>
    </w:p>
    <w:p w:rsidR="0012343C" w:rsidRPr="00E16359" w:rsidRDefault="0012343C" w:rsidP="0012343C">
      <w:pPr>
        <w:pStyle w:val="IFT1"/>
        <w:tabs>
          <w:tab w:val="left" w:pos="0"/>
          <w:tab w:val="left" w:pos="567"/>
        </w:tabs>
        <w:autoSpaceDE w:val="0"/>
        <w:autoSpaceDN w:val="0"/>
        <w:adjustRightInd w:val="0"/>
        <w:spacing w:after="0"/>
        <w:rPr>
          <w:color w:val="1A1A1A"/>
        </w:rPr>
      </w:pPr>
    </w:p>
    <w:p w:rsidR="003B7A25" w:rsidRPr="00E16359" w:rsidRDefault="003B7A25" w:rsidP="003B7A25">
      <w:pPr>
        <w:spacing w:after="0" w:line="276" w:lineRule="auto"/>
        <w:jc w:val="both"/>
        <w:rPr>
          <w:rFonts w:ascii="ITC Avant Garde" w:hAnsi="ITC Avant Garde"/>
          <w:lang w:val="es-ES_tradnl"/>
        </w:rPr>
      </w:pPr>
    </w:p>
    <w:p w:rsidR="00192287" w:rsidRPr="00E16359" w:rsidRDefault="00FA4EAE" w:rsidP="001D3335">
      <w:pPr>
        <w:pStyle w:val="Textoindependiente"/>
        <w:jc w:val="both"/>
        <w:rPr>
          <w:rFonts w:ascii="ITC Avant Garde" w:hAnsi="ITC Avant Garde"/>
          <w:b/>
          <w:sz w:val="22"/>
          <w:szCs w:val="22"/>
          <w:u w:val="single"/>
        </w:rPr>
      </w:pPr>
      <w:r w:rsidRPr="00E16359">
        <w:rPr>
          <w:rFonts w:ascii="ITC Avant Garde" w:hAnsi="ITC Avant Garde"/>
          <w:b/>
          <w:sz w:val="22"/>
          <w:szCs w:val="22"/>
          <w:u w:val="single"/>
        </w:rPr>
        <w:t>Subanexo G-1. Procedimiento de Entrega / Recepción</w:t>
      </w:r>
    </w:p>
    <w:p w:rsidR="0046469A" w:rsidRPr="00E16359" w:rsidRDefault="0046469A" w:rsidP="001D3335">
      <w:pPr>
        <w:spacing w:after="0" w:line="276" w:lineRule="auto"/>
        <w:ind w:left="-5"/>
        <w:jc w:val="both"/>
        <w:rPr>
          <w:rFonts w:ascii="ITC Avant Garde" w:hAnsi="ITC Avant Garde"/>
          <w:b/>
        </w:rPr>
      </w:pPr>
    </w:p>
    <w:p w:rsidR="00AA7478" w:rsidRPr="00E16359" w:rsidRDefault="00B63578" w:rsidP="001D3335">
      <w:pPr>
        <w:spacing w:after="0" w:line="276" w:lineRule="auto"/>
        <w:ind w:left="-5"/>
        <w:jc w:val="both"/>
        <w:rPr>
          <w:rFonts w:ascii="ITC Avant Garde" w:hAnsi="ITC Avant Garde"/>
          <w:b/>
        </w:rPr>
      </w:pPr>
      <w:r w:rsidRPr="00E16359">
        <w:rPr>
          <w:rFonts w:ascii="ITC Avant Garde" w:hAnsi="ITC Avant Garde"/>
          <w:b/>
        </w:rPr>
        <w:t>ALTÁN, CANIETI Y MEGACABLE</w:t>
      </w:r>
    </w:p>
    <w:p w:rsidR="00873233" w:rsidRPr="00E16359" w:rsidRDefault="00873233" w:rsidP="001D3335">
      <w:pPr>
        <w:spacing w:after="0" w:line="276" w:lineRule="auto"/>
        <w:ind w:left="-5"/>
        <w:jc w:val="both"/>
        <w:rPr>
          <w:rFonts w:ascii="ITC Avant Garde" w:hAnsi="ITC Avant Garde"/>
          <w:b/>
        </w:rPr>
      </w:pPr>
    </w:p>
    <w:p w:rsidR="00B63578" w:rsidRPr="00E16359" w:rsidRDefault="00EF59B3" w:rsidP="001D3335">
      <w:pPr>
        <w:spacing w:after="0" w:line="276" w:lineRule="auto"/>
        <w:ind w:left="-5"/>
        <w:jc w:val="both"/>
        <w:rPr>
          <w:rFonts w:ascii="ITC Avant Garde" w:hAnsi="ITC Avant Garde"/>
        </w:rPr>
      </w:pPr>
      <w:r w:rsidRPr="00E16359">
        <w:rPr>
          <w:rFonts w:ascii="ITC Avant Garde" w:hAnsi="ITC Avant Garde"/>
        </w:rPr>
        <w:t>Propusieron</w:t>
      </w:r>
      <w:r w:rsidR="00B63578" w:rsidRPr="00E16359">
        <w:rPr>
          <w:rFonts w:ascii="ITC Avant Garde" w:hAnsi="ITC Avant Garde"/>
        </w:rPr>
        <w:t xml:space="preserve"> la siguiente adecuación a la redacción:</w:t>
      </w:r>
    </w:p>
    <w:p w:rsidR="00B63578" w:rsidRPr="00E16359" w:rsidRDefault="00B63578" w:rsidP="001D3335">
      <w:pPr>
        <w:spacing w:after="0" w:line="276" w:lineRule="auto"/>
        <w:ind w:left="851" w:right="709"/>
        <w:jc w:val="both"/>
        <w:rPr>
          <w:rFonts w:ascii="ITC Avant Garde" w:hAnsi="ITC Avant Garde"/>
          <w:i/>
          <w:sz w:val="18"/>
          <w:szCs w:val="18"/>
        </w:rPr>
      </w:pPr>
    </w:p>
    <w:p w:rsidR="00B63578" w:rsidRPr="00E16359" w:rsidRDefault="00B63578" w:rsidP="001D3335">
      <w:pPr>
        <w:spacing w:after="0" w:line="276" w:lineRule="auto"/>
        <w:ind w:left="851" w:right="709"/>
        <w:jc w:val="both"/>
        <w:rPr>
          <w:rFonts w:ascii="ITC Avant Garde" w:hAnsi="ITC Avant Garde"/>
          <w:i/>
          <w:sz w:val="18"/>
          <w:szCs w:val="18"/>
        </w:rPr>
      </w:pPr>
      <w:r w:rsidRPr="00E16359">
        <w:rPr>
          <w:rFonts w:ascii="ITC Avant Garde" w:hAnsi="ITC Avant Garde"/>
          <w:i/>
          <w:sz w:val="18"/>
          <w:szCs w:val="18"/>
        </w:rPr>
        <w:t>“Telmex notificará vía correo electrónico o bien, mediante el sistema informático una vez que entre en operación (llamado Sistema Electrónico de Gestión), al Concesionario Solicitante cuando un servicio esté listo para ser entregado, con la finalidad de que ambas partes acuerden la fecha y hora de entrega para realizar las pruebas correspondientes, en el entendido de que las pruebas deberán realizarse dentro de los cinco (5) días hábiles siguientes a la notificación antes citada.</w:t>
      </w:r>
    </w:p>
    <w:p w:rsidR="00B63578" w:rsidRPr="00E16359" w:rsidRDefault="00B63578" w:rsidP="001D3335">
      <w:pPr>
        <w:spacing w:after="0" w:line="276" w:lineRule="auto"/>
        <w:ind w:left="851" w:right="709"/>
        <w:jc w:val="both"/>
        <w:rPr>
          <w:rFonts w:ascii="ITC Avant Garde" w:hAnsi="ITC Avant Garde"/>
          <w:i/>
          <w:sz w:val="18"/>
          <w:szCs w:val="18"/>
        </w:rPr>
      </w:pPr>
    </w:p>
    <w:p w:rsidR="00B63578" w:rsidRPr="00E16359" w:rsidRDefault="00B63578" w:rsidP="001D3335">
      <w:pPr>
        <w:spacing w:after="0" w:line="276" w:lineRule="auto"/>
        <w:ind w:left="851" w:right="709"/>
        <w:jc w:val="both"/>
        <w:rPr>
          <w:rFonts w:ascii="ITC Avant Garde" w:hAnsi="ITC Avant Garde"/>
          <w:i/>
          <w:sz w:val="18"/>
          <w:szCs w:val="18"/>
        </w:rPr>
      </w:pPr>
      <w:r w:rsidRPr="00E16359">
        <w:rPr>
          <w:rFonts w:ascii="ITC Avant Garde" w:hAnsi="ITC Avant Garde"/>
          <w:i/>
          <w:sz w:val="18"/>
          <w:szCs w:val="18"/>
        </w:rPr>
        <w:t xml:space="preserve"> 1. Una vez que Telmex notifique al Concesionario Solicitante que el servicio se encuentra terminado, instalado y listo para realizar las pruebas se detendrá el cómputo del plazo de entrega. Las partes tendrán un plazo de cinco (5) días hábiles para realizar las pruebas de transmisión y concluir la entrega del servicio. En caso de (...)</w:t>
      </w:r>
    </w:p>
    <w:p w:rsidR="00B63578" w:rsidRPr="00E16359" w:rsidRDefault="00B63578" w:rsidP="001D3335">
      <w:pPr>
        <w:spacing w:after="0" w:line="276" w:lineRule="auto"/>
        <w:ind w:left="851" w:right="709"/>
        <w:jc w:val="both"/>
        <w:rPr>
          <w:rFonts w:ascii="ITC Avant Garde" w:hAnsi="ITC Avant Garde"/>
          <w:i/>
          <w:sz w:val="18"/>
          <w:szCs w:val="18"/>
        </w:rPr>
      </w:pPr>
    </w:p>
    <w:p w:rsidR="00B63578" w:rsidRPr="00E16359" w:rsidRDefault="00B63578" w:rsidP="001D3335">
      <w:pPr>
        <w:spacing w:after="0" w:line="276" w:lineRule="auto"/>
        <w:ind w:left="851" w:right="709"/>
        <w:jc w:val="both"/>
        <w:rPr>
          <w:rFonts w:ascii="ITC Avant Garde" w:hAnsi="ITC Avant Garde"/>
          <w:i/>
          <w:sz w:val="18"/>
          <w:szCs w:val="18"/>
        </w:rPr>
      </w:pPr>
      <w:r w:rsidRPr="00E16359">
        <w:rPr>
          <w:rFonts w:ascii="ITC Avant Garde" w:hAnsi="ITC Avant Garde"/>
          <w:i/>
          <w:sz w:val="18"/>
          <w:szCs w:val="18"/>
        </w:rPr>
        <w:t>2. Si dentro del periodo de pruebas de cinco (5) días hábiles el Concesionario Solicitante observa que el servicio presenta fallas o problemas, lo notificará (...)”</w:t>
      </w:r>
    </w:p>
    <w:p w:rsidR="00B63578" w:rsidRPr="00E16359" w:rsidRDefault="00B63578" w:rsidP="001D3335">
      <w:pPr>
        <w:spacing w:after="0" w:line="276" w:lineRule="auto"/>
        <w:ind w:left="851" w:right="709"/>
        <w:jc w:val="both"/>
        <w:rPr>
          <w:rFonts w:ascii="ITC Avant Garde" w:hAnsi="ITC Avant Garde"/>
          <w:i/>
          <w:sz w:val="18"/>
          <w:szCs w:val="18"/>
        </w:rPr>
      </w:pPr>
    </w:p>
    <w:p w:rsidR="000E2C53" w:rsidRPr="00E16359" w:rsidRDefault="005A03E0" w:rsidP="001D3335">
      <w:pPr>
        <w:spacing w:after="0" w:line="276" w:lineRule="auto"/>
        <w:ind w:left="-5"/>
        <w:jc w:val="both"/>
        <w:rPr>
          <w:rFonts w:ascii="ITC Avant Garde" w:hAnsi="ITC Avant Garde"/>
        </w:rPr>
      </w:pPr>
      <w:r w:rsidRPr="00E16359">
        <w:rPr>
          <w:rFonts w:ascii="ITC Avant Garde" w:hAnsi="ITC Avant Garde"/>
        </w:rPr>
        <w:t>Manifestaro</w:t>
      </w:r>
      <w:r w:rsidR="000E2C53" w:rsidRPr="00E16359">
        <w:rPr>
          <w:rFonts w:ascii="ITC Avant Garde" w:hAnsi="ITC Avant Garde"/>
        </w:rPr>
        <w:t>n que el plazo adecuado son cinco días, ya que el corto tiempo no permitiría realizar una planificación de operación entre las partes.</w:t>
      </w:r>
    </w:p>
    <w:p w:rsidR="00052634" w:rsidRPr="00E16359" w:rsidRDefault="00052634" w:rsidP="001D3335">
      <w:pPr>
        <w:spacing w:line="276" w:lineRule="auto"/>
        <w:jc w:val="both"/>
        <w:rPr>
          <w:rFonts w:ascii="ITC Avant Garde" w:hAnsi="ITC Avant Garde"/>
          <w:b/>
        </w:rPr>
      </w:pPr>
    </w:p>
    <w:p w:rsidR="00052634" w:rsidRPr="00E16359" w:rsidRDefault="00052634" w:rsidP="001D3335">
      <w:pPr>
        <w:spacing w:line="276" w:lineRule="auto"/>
        <w:jc w:val="both"/>
        <w:rPr>
          <w:rFonts w:ascii="ITC Avant Garde" w:hAnsi="ITC Avant Garde"/>
          <w:b/>
        </w:rPr>
      </w:pPr>
      <w:r w:rsidRPr="00E16359">
        <w:rPr>
          <w:rFonts w:ascii="ITC Avant Garde" w:hAnsi="ITC Avant Garde"/>
          <w:b/>
        </w:rPr>
        <w:t xml:space="preserve">Consideraciones del Instituto </w:t>
      </w:r>
    </w:p>
    <w:p w:rsidR="00C05C68" w:rsidRPr="00E16359" w:rsidRDefault="00302B9A" w:rsidP="001D3335">
      <w:pPr>
        <w:spacing w:after="0" w:line="276" w:lineRule="auto"/>
        <w:ind w:left="-5"/>
        <w:jc w:val="both"/>
        <w:rPr>
          <w:rFonts w:ascii="ITC Avant Garde" w:hAnsi="ITC Avant Garde"/>
        </w:rPr>
      </w:pPr>
      <w:r w:rsidRPr="00E16359">
        <w:rPr>
          <w:rFonts w:ascii="ITC Avant Garde" w:hAnsi="ITC Avant Garde"/>
        </w:rPr>
        <w:t xml:space="preserve">Respecto </w:t>
      </w:r>
      <w:r w:rsidR="00FA4EAE" w:rsidRPr="00E16359">
        <w:rPr>
          <w:rFonts w:ascii="ITC Avant Garde" w:hAnsi="ITC Avant Garde"/>
        </w:rPr>
        <w:t>al comentario anterior, es conveni</w:t>
      </w:r>
      <w:r w:rsidR="00734A6B" w:rsidRPr="00E16359">
        <w:rPr>
          <w:rFonts w:ascii="ITC Avant Garde" w:hAnsi="ITC Avant Garde"/>
        </w:rPr>
        <w:t>ente cons</w:t>
      </w:r>
      <w:r w:rsidR="00AC79BE" w:rsidRPr="00E16359">
        <w:rPr>
          <w:rFonts w:ascii="ITC Avant Garde" w:hAnsi="ITC Avant Garde"/>
        </w:rPr>
        <w:t>iderar que el plazo para la realización de pruebas debe ser aquél que prevea lo</w:t>
      </w:r>
      <w:r w:rsidR="00FE10E1" w:rsidRPr="00E16359">
        <w:rPr>
          <w:rFonts w:ascii="ITC Avant Garde" w:hAnsi="ITC Avant Garde"/>
        </w:rPr>
        <w:t xml:space="preserve">s mecanismos adecuados para garantizar que el </w:t>
      </w:r>
      <w:r w:rsidR="00AC79BE" w:rsidRPr="00E16359">
        <w:rPr>
          <w:rFonts w:ascii="ITC Avant Garde" w:hAnsi="ITC Avant Garde"/>
        </w:rPr>
        <w:t>p</w:t>
      </w:r>
      <w:r w:rsidR="00FE10E1" w:rsidRPr="00E16359">
        <w:rPr>
          <w:rFonts w:ascii="ITC Avant Garde" w:hAnsi="ITC Avant Garde"/>
        </w:rPr>
        <w:t>r</w:t>
      </w:r>
      <w:r w:rsidR="00AC79BE" w:rsidRPr="00E16359">
        <w:rPr>
          <w:rFonts w:ascii="ITC Avant Garde" w:hAnsi="ITC Avant Garde"/>
        </w:rPr>
        <w:t>ocedim</w:t>
      </w:r>
      <w:r w:rsidR="00FE10E1" w:rsidRPr="00E16359">
        <w:rPr>
          <w:rFonts w:ascii="ITC Avant Garde" w:hAnsi="ITC Avant Garde"/>
        </w:rPr>
        <w:t xml:space="preserve">iento de entrega se lleve correctamente. En este sentido, el plazo que se establece es acorde con las </w:t>
      </w:r>
      <w:r w:rsidR="004A481E" w:rsidRPr="00E16359">
        <w:rPr>
          <w:rFonts w:ascii="ITC Avant Garde" w:hAnsi="ITC Avant Garde"/>
        </w:rPr>
        <w:t>práctica</w:t>
      </w:r>
      <w:r w:rsidR="00FE10E1" w:rsidRPr="00E16359">
        <w:rPr>
          <w:rFonts w:ascii="ITC Avant Garde" w:hAnsi="ITC Avant Garde"/>
        </w:rPr>
        <w:t>s comu</w:t>
      </w:r>
      <w:r w:rsidR="004A481E" w:rsidRPr="00E16359">
        <w:rPr>
          <w:rFonts w:ascii="ITC Avant Garde" w:hAnsi="ITC Avant Garde"/>
        </w:rPr>
        <w:t>n</w:t>
      </w:r>
      <w:r w:rsidR="00FE10E1" w:rsidRPr="00E16359">
        <w:rPr>
          <w:rFonts w:ascii="ITC Avant Garde" w:hAnsi="ITC Avant Garde"/>
        </w:rPr>
        <w:t>es</w:t>
      </w:r>
      <w:r w:rsidR="004A481E" w:rsidRPr="00E16359">
        <w:rPr>
          <w:rFonts w:ascii="ITC Avant Garde" w:hAnsi="ITC Avant Garde"/>
        </w:rPr>
        <w:t xml:space="preserve"> en la industria</w:t>
      </w:r>
      <w:r w:rsidR="00301B3C" w:rsidRPr="00E16359">
        <w:rPr>
          <w:rFonts w:ascii="ITC Avant Garde" w:hAnsi="ITC Avant Garde"/>
        </w:rPr>
        <w:t>.</w:t>
      </w:r>
    </w:p>
    <w:p w:rsidR="00056380" w:rsidRPr="00E16359" w:rsidRDefault="00C96A1D" w:rsidP="001D3335">
      <w:pPr>
        <w:spacing w:after="0" w:line="276" w:lineRule="auto"/>
        <w:ind w:left="-5"/>
        <w:jc w:val="both"/>
        <w:rPr>
          <w:rFonts w:ascii="ITC Avant Garde" w:hAnsi="ITC Avant Garde"/>
        </w:rPr>
      </w:pPr>
      <w:r w:rsidRPr="00E16359">
        <w:rPr>
          <w:rFonts w:ascii="ITC Avant Garde" w:hAnsi="ITC Avant Garde"/>
        </w:rPr>
        <w:t xml:space="preserve"> </w:t>
      </w:r>
    </w:p>
    <w:p w:rsidR="00111DB8" w:rsidRPr="00E16359" w:rsidRDefault="00A56C0A" w:rsidP="001D3335">
      <w:pPr>
        <w:jc w:val="both"/>
        <w:rPr>
          <w:rFonts w:ascii="ITC Avant Garde" w:hAnsi="ITC Avant Garde"/>
          <w:b/>
          <w:u w:val="single"/>
        </w:rPr>
      </w:pPr>
      <w:r w:rsidRPr="00E16359">
        <w:rPr>
          <w:rFonts w:ascii="ITC Avant Garde" w:hAnsi="ITC Avant Garde"/>
          <w:b/>
          <w:u w:val="single"/>
        </w:rPr>
        <w:t>Subanexo “G-4”. Tiempos de Traslado para Atención a</w:t>
      </w:r>
      <w:r w:rsidR="00C96A1D" w:rsidRPr="00E16359">
        <w:rPr>
          <w:rFonts w:ascii="ITC Avant Garde" w:hAnsi="ITC Avant Garde"/>
          <w:b/>
          <w:u w:val="single"/>
        </w:rPr>
        <w:t xml:space="preserve"> Fallas </w:t>
      </w:r>
    </w:p>
    <w:p w:rsidR="00C96A1D" w:rsidRPr="00E16359" w:rsidRDefault="00C96A1D" w:rsidP="001D3335">
      <w:pPr>
        <w:spacing w:after="0" w:line="276" w:lineRule="auto"/>
        <w:ind w:right="616"/>
        <w:jc w:val="both"/>
        <w:rPr>
          <w:rFonts w:ascii="ITC Avant Garde" w:hAnsi="ITC Avant Garde"/>
          <w:b/>
        </w:rPr>
      </w:pPr>
    </w:p>
    <w:p w:rsidR="00AA7478" w:rsidRPr="00E16359" w:rsidRDefault="0027644B" w:rsidP="001D3335">
      <w:pPr>
        <w:spacing w:after="0" w:line="276" w:lineRule="auto"/>
        <w:ind w:right="616"/>
        <w:jc w:val="both"/>
        <w:rPr>
          <w:rFonts w:ascii="ITC Avant Garde" w:hAnsi="ITC Avant Garde"/>
          <w:b/>
        </w:rPr>
      </w:pPr>
      <w:r w:rsidRPr="00E16359">
        <w:rPr>
          <w:rFonts w:ascii="ITC Avant Garde" w:hAnsi="ITC Avant Garde"/>
          <w:b/>
        </w:rPr>
        <w:t>AT&amp;T</w:t>
      </w:r>
    </w:p>
    <w:p w:rsidR="00017FD9" w:rsidRPr="00E16359" w:rsidRDefault="00017FD9" w:rsidP="001D3335">
      <w:pPr>
        <w:spacing w:after="0" w:line="276" w:lineRule="auto"/>
        <w:ind w:right="616"/>
        <w:jc w:val="both"/>
        <w:rPr>
          <w:rFonts w:ascii="ITC Avant Garde" w:hAnsi="ITC Avant Garde"/>
          <w:b/>
        </w:rPr>
      </w:pPr>
    </w:p>
    <w:p w:rsidR="00B775CA" w:rsidRPr="00E16359" w:rsidRDefault="003F1122" w:rsidP="001D3335">
      <w:pPr>
        <w:spacing w:after="0" w:line="240" w:lineRule="auto"/>
        <w:jc w:val="both"/>
        <w:rPr>
          <w:rFonts w:ascii="ITC Avant Garde" w:hAnsi="ITC Avant Garde"/>
        </w:rPr>
      </w:pPr>
      <w:r w:rsidRPr="00E16359">
        <w:rPr>
          <w:rFonts w:ascii="ITC Avant Garde" w:hAnsi="ITC Avant Garde"/>
        </w:rPr>
        <w:t>Señaló</w:t>
      </w:r>
      <w:r w:rsidR="00B775CA" w:rsidRPr="00E16359">
        <w:rPr>
          <w:rFonts w:ascii="ITC Avant Garde" w:hAnsi="ITC Avant Garde"/>
        </w:rPr>
        <w:t xml:space="preserve"> que los tiempos establecidos en el Convenio Marco (2018) son razonables.</w:t>
      </w:r>
    </w:p>
    <w:p w:rsidR="00D8134B" w:rsidRPr="00E16359" w:rsidRDefault="00D8134B" w:rsidP="001D3335">
      <w:pPr>
        <w:spacing w:after="0" w:line="240" w:lineRule="auto"/>
        <w:jc w:val="both"/>
        <w:rPr>
          <w:rFonts w:ascii="ITC Avant Garde" w:hAnsi="ITC Avant Garde"/>
        </w:rPr>
      </w:pPr>
    </w:p>
    <w:p w:rsidR="00052634" w:rsidRPr="00E16359" w:rsidRDefault="00C96A1D" w:rsidP="001D3335">
      <w:pPr>
        <w:spacing w:line="276" w:lineRule="auto"/>
        <w:jc w:val="both"/>
        <w:rPr>
          <w:rFonts w:ascii="ITC Avant Garde" w:hAnsi="ITC Avant Garde"/>
          <w:b/>
        </w:rPr>
      </w:pPr>
      <w:r w:rsidRPr="00E16359">
        <w:rPr>
          <w:rFonts w:ascii="ITC Avant Garde" w:hAnsi="ITC Avant Garde"/>
          <w:b/>
        </w:rPr>
        <w:t>C</w:t>
      </w:r>
      <w:r w:rsidR="00052634" w:rsidRPr="00E16359">
        <w:rPr>
          <w:rFonts w:ascii="ITC Avant Garde" w:hAnsi="ITC Avant Garde"/>
          <w:b/>
        </w:rPr>
        <w:t xml:space="preserve">onsideraciones del Instituto </w:t>
      </w:r>
    </w:p>
    <w:p w:rsidR="006F24C3" w:rsidRDefault="00DB282B" w:rsidP="001D3335">
      <w:pPr>
        <w:spacing w:after="0" w:line="276" w:lineRule="auto"/>
        <w:ind w:left="-5"/>
        <w:jc w:val="both"/>
        <w:rPr>
          <w:rFonts w:ascii="ITC Avant Garde" w:hAnsi="ITC Avant Garde"/>
        </w:rPr>
      </w:pPr>
      <w:r w:rsidRPr="00E16359">
        <w:rPr>
          <w:rFonts w:ascii="ITC Avant Garde" w:hAnsi="ITC Avant Garde"/>
        </w:rPr>
        <w:lastRenderedPageBreak/>
        <w:t xml:space="preserve">Al respecto, se debe considerar que los tiempos de </w:t>
      </w:r>
      <w:r w:rsidR="00C8131A" w:rsidRPr="00E16359">
        <w:rPr>
          <w:rFonts w:ascii="ITC Avant Garde" w:hAnsi="ITC Avant Garde"/>
        </w:rPr>
        <w:t xml:space="preserve">traslado para atención a fallas, se ajustaron a los plazos establecidos en el CMI 2018 y de conformidad </w:t>
      </w:r>
      <w:r w:rsidRPr="00E16359">
        <w:rPr>
          <w:rFonts w:ascii="ITC Avant Garde" w:hAnsi="ITC Avant Garde"/>
        </w:rPr>
        <w:t>con lo establecido en las Medidas Fijas,</w:t>
      </w:r>
      <w:r w:rsidR="007219E9" w:rsidRPr="00E16359">
        <w:rPr>
          <w:rFonts w:ascii="ITC Avant Garde" w:hAnsi="ITC Avant Garde"/>
        </w:rPr>
        <w:t xml:space="preserve"> a efecto de cumplir con lo establecido en el marco regulatorio vigente</w:t>
      </w:r>
      <w:r w:rsidR="004A5EFA" w:rsidRPr="00E16359">
        <w:rPr>
          <w:rFonts w:ascii="ITC Avant Garde" w:hAnsi="ITC Avant Garde"/>
        </w:rPr>
        <w:t>, siendo un i</w:t>
      </w:r>
      <w:r w:rsidR="006F24C3" w:rsidRPr="00E16359">
        <w:rPr>
          <w:rFonts w:ascii="ITC Avant Garde" w:hAnsi="ITC Avant Garde"/>
        </w:rPr>
        <w:t>nstrumento útil y efectivo coadyuvando en la prestación de los servicios.</w:t>
      </w:r>
    </w:p>
    <w:p w:rsidR="006F24C3" w:rsidRDefault="006F24C3" w:rsidP="001D3335">
      <w:pPr>
        <w:spacing w:after="0" w:line="276" w:lineRule="auto"/>
        <w:ind w:left="-5"/>
        <w:jc w:val="both"/>
        <w:rPr>
          <w:rFonts w:ascii="ITC Avant Garde" w:hAnsi="ITC Avant Garde"/>
        </w:rPr>
      </w:pPr>
    </w:p>
    <w:p w:rsidR="00740439" w:rsidRPr="00087F65" w:rsidRDefault="00740439" w:rsidP="001D3335">
      <w:pPr>
        <w:pStyle w:val="IFT1"/>
      </w:pPr>
    </w:p>
    <w:sectPr w:rsidR="00740439" w:rsidRPr="00087F65" w:rsidSect="00EB10DE">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8C5" w:rsidRDefault="00E668C5" w:rsidP="0009111B">
      <w:pPr>
        <w:spacing w:after="0" w:line="240" w:lineRule="auto"/>
      </w:pPr>
      <w:r>
        <w:separator/>
      </w:r>
    </w:p>
  </w:endnote>
  <w:endnote w:type="continuationSeparator" w:id="0">
    <w:p w:rsidR="00E668C5" w:rsidRDefault="00E668C5" w:rsidP="0009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vant Garde">
    <w:altName w:val="Century Gothic"/>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8C5" w:rsidRDefault="00E668C5" w:rsidP="0009111B">
      <w:pPr>
        <w:spacing w:after="0" w:line="240" w:lineRule="auto"/>
      </w:pPr>
      <w:r>
        <w:separator/>
      </w:r>
    </w:p>
  </w:footnote>
  <w:footnote w:type="continuationSeparator" w:id="0">
    <w:p w:rsidR="00E668C5" w:rsidRDefault="00E668C5" w:rsidP="00091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6F7"/>
    <w:multiLevelType w:val="singleLevel"/>
    <w:tmpl w:val="57C8FD10"/>
    <w:lvl w:ilvl="0">
      <w:start w:val="12"/>
      <w:numFmt w:val="none"/>
      <w:lvlText w:val="l)"/>
      <w:lvlJc w:val="left"/>
      <w:pPr>
        <w:tabs>
          <w:tab w:val="num" w:pos="0"/>
        </w:tabs>
        <w:ind w:left="283" w:hanging="283"/>
      </w:pPr>
      <w:rPr>
        <w:rFonts w:cs="Times New Roman" w:hint="default"/>
      </w:rPr>
    </w:lvl>
  </w:abstractNum>
  <w:abstractNum w:abstractNumId="1"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2" w15:restartNumberingAfterBreak="0">
    <w:nsid w:val="1FFC4858"/>
    <w:multiLevelType w:val="hybridMultilevel"/>
    <w:tmpl w:val="A112C22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56292"/>
    <w:multiLevelType w:val="hybridMultilevel"/>
    <w:tmpl w:val="84ECB5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A51777"/>
    <w:multiLevelType w:val="hybridMultilevel"/>
    <w:tmpl w:val="E03C164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2AD0302C"/>
    <w:multiLevelType w:val="hybridMultilevel"/>
    <w:tmpl w:val="3CB2C92E"/>
    <w:lvl w:ilvl="0" w:tplc="E2764B10">
      <w:start w:val="1"/>
      <w:numFmt w:val="low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32F444C"/>
    <w:multiLevelType w:val="singleLevel"/>
    <w:tmpl w:val="AB0C8FEE"/>
    <w:lvl w:ilvl="0">
      <w:start w:val="1"/>
      <w:numFmt w:val="lowerLetter"/>
      <w:lvlText w:val="%1)"/>
      <w:legacy w:legacy="1" w:legacySpace="0" w:legacyIndent="283"/>
      <w:lvlJc w:val="left"/>
      <w:pPr>
        <w:ind w:left="3260" w:hanging="283"/>
      </w:pPr>
      <w:rPr>
        <w:rFonts w:cs="Times New Roman"/>
      </w:rPr>
    </w:lvl>
  </w:abstractNum>
  <w:abstractNum w:abstractNumId="7" w15:restartNumberingAfterBreak="0">
    <w:nsid w:val="55CE1542"/>
    <w:multiLevelType w:val="hybridMultilevel"/>
    <w:tmpl w:val="A99E9866"/>
    <w:lvl w:ilvl="0" w:tplc="1FF2E6A4">
      <w:start w:val="1"/>
      <w:numFmt w:val="lowerRoman"/>
      <w:lvlText w:val="%1."/>
      <w:lvlJc w:val="left"/>
      <w:pPr>
        <w:ind w:left="1500" w:hanging="72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8"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1B6F29"/>
    <w:multiLevelType w:val="hybridMultilevel"/>
    <w:tmpl w:val="A5AC64B8"/>
    <w:lvl w:ilvl="0" w:tplc="048CBF5C">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5D49F0"/>
    <w:multiLevelType w:val="multilevel"/>
    <w:tmpl w:val="E9E20956"/>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Theme="minorHAnsi" w:hAnsiTheme="minorHAnsi" w:cs="Times New Roman" w:hint="default"/>
        <w:strike w:val="0"/>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1" w15:restartNumberingAfterBreak="0">
    <w:nsid w:val="6F205E9A"/>
    <w:multiLevelType w:val="hybridMultilevel"/>
    <w:tmpl w:val="04C09F5A"/>
    <w:lvl w:ilvl="0" w:tplc="0554E6F0">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8"/>
  </w:num>
  <w:num w:numId="2">
    <w:abstractNumId w:val="2"/>
  </w:num>
  <w:num w:numId="3">
    <w:abstractNumId w:val="7"/>
  </w:num>
  <w:num w:numId="4">
    <w:abstractNumId w:val="5"/>
  </w:num>
  <w:num w:numId="5">
    <w:abstractNumId w:val="11"/>
  </w:num>
  <w:num w:numId="6">
    <w:abstractNumId w:val="3"/>
  </w:num>
  <w:num w:numId="7">
    <w:abstractNumId w:val="4"/>
  </w:num>
  <w:num w:numId="8">
    <w:abstractNumId w:val="1"/>
  </w:num>
  <w:num w:numId="9">
    <w:abstractNumId w:val="6"/>
  </w:num>
  <w:num w:numId="10">
    <w:abstractNumId w:val="0"/>
  </w:num>
  <w:num w:numId="11">
    <w:abstractNumId w:val="0"/>
    <w:lvlOverride w:ilvl="0">
      <w:lvl w:ilvl="0">
        <w:start w:val="1"/>
        <w:numFmt w:val="lowerLetter"/>
        <w:lvlText w:val="%1)"/>
        <w:legacy w:legacy="1" w:legacySpace="0" w:legacyIndent="283"/>
        <w:lvlJc w:val="left"/>
        <w:pPr>
          <w:ind w:left="283" w:hanging="283"/>
        </w:pPr>
        <w:rPr>
          <w:rFonts w:cs="Times New Roman"/>
        </w:rPr>
      </w:lvl>
    </w:lvlOverride>
  </w:num>
  <w:num w:numId="12">
    <w:abstractNumId w:val="9"/>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53"/>
    <w:rsid w:val="00000542"/>
    <w:rsid w:val="00000AFA"/>
    <w:rsid w:val="00001018"/>
    <w:rsid w:val="00001190"/>
    <w:rsid w:val="000017B1"/>
    <w:rsid w:val="00002716"/>
    <w:rsid w:val="000052D0"/>
    <w:rsid w:val="00005D20"/>
    <w:rsid w:val="000064EE"/>
    <w:rsid w:val="00006878"/>
    <w:rsid w:val="000069AD"/>
    <w:rsid w:val="00007050"/>
    <w:rsid w:val="000076AE"/>
    <w:rsid w:val="0000774D"/>
    <w:rsid w:val="00007BDC"/>
    <w:rsid w:val="00007C30"/>
    <w:rsid w:val="0001059D"/>
    <w:rsid w:val="00010910"/>
    <w:rsid w:val="00010C4B"/>
    <w:rsid w:val="000113E8"/>
    <w:rsid w:val="0001159F"/>
    <w:rsid w:val="00011977"/>
    <w:rsid w:val="00011E5F"/>
    <w:rsid w:val="00012BEE"/>
    <w:rsid w:val="00012C9B"/>
    <w:rsid w:val="0001416A"/>
    <w:rsid w:val="00015347"/>
    <w:rsid w:val="000156FF"/>
    <w:rsid w:val="00015AF7"/>
    <w:rsid w:val="00015D57"/>
    <w:rsid w:val="00016753"/>
    <w:rsid w:val="000174F2"/>
    <w:rsid w:val="00017877"/>
    <w:rsid w:val="00017CF0"/>
    <w:rsid w:val="00017FD9"/>
    <w:rsid w:val="00021513"/>
    <w:rsid w:val="000222AE"/>
    <w:rsid w:val="0002353B"/>
    <w:rsid w:val="00024364"/>
    <w:rsid w:val="0002441C"/>
    <w:rsid w:val="000244AA"/>
    <w:rsid w:val="00024C8A"/>
    <w:rsid w:val="00024C8D"/>
    <w:rsid w:val="00025864"/>
    <w:rsid w:val="00026376"/>
    <w:rsid w:val="0002693F"/>
    <w:rsid w:val="00026A61"/>
    <w:rsid w:val="000273E3"/>
    <w:rsid w:val="00027AD4"/>
    <w:rsid w:val="000317EA"/>
    <w:rsid w:val="00033DB9"/>
    <w:rsid w:val="0003498E"/>
    <w:rsid w:val="00036596"/>
    <w:rsid w:val="000369F8"/>
    <w:rsid w:val="00037CF6"/>
    <w:rsid w:val="00040909"/>
    <w:rsid w:val="00040D0D"/>
    <w:rsid w:val="00041BC5"/>
    <w:rsid w:val="000426B9"/>
    <w:rsid w:val="00043CAE"/>
    <w:rsid w:val="00045EEC"/>
    <w:rsid w:val="000462A9"/>
    <w:rsid w:val="0004630D"/>
    <w:rsid w:val="000467E1"/>
    <w:rsid w:val="00046F5E"/>
    <w:rsid w:val="0005079D"/>
    <w:rsid w:val="00050B3D"/>
    <w:rsid w:val="00052634"/>
    <w:rsid w:val="00052652"/>
    <w:rsid w:val="00054264"/>
    <w:rsid w:val="00054740"/>
    <w:rsid w:val="00054958"/>
    <w:rsid w:val="00054B78"/>
    <w:rsid w:val="00054BE2"/>
    <w:rsid w:val="00054CCF"/>
    <w:rsid w:val="00055132"/>
    <w:rsid w:val="00055F66"/>
    <w:rsid w:val="00056380"/>
    <w:rsid w:val="000564A7"/>
    <w:rsid w:val="000564D7"/>
    <w:rsid w:val="00056ED5"/>
    <w:rsid w:val="000602EE"/>
    <w:rsid w:val="000605D2"/>
    <w:rsid w:val="000608A8"/>
    <w:rsid w:val="00060C27"/>
    <w:rsid w:val="000617A9"/>
    <w:rsid w:val="00062F2B"/>
    <w:rsid w:val="00063A72"/>
    <w:rsid w:val="00063F9C"/>
    <w:rsid w:val="000649A5"/>
    <w:rsid w:val="000656D3"/>
    <w:rsid w:val="000658F9"/>
    <w:rsid w:val="00065C37"/>
    <w:rsid w:val="000661CC"/>
    <w:rsid w:val="00066A12"/>
    <w:rsid w:val="00067260"/>
    <w:rsid w:val="00067578"/>
    <w:rsid w:val="0007066B"/>
    <w:rsid w:val="00070DD2"/>
    <w:rsid w:val="00070DD4"/>
    <w:rsid w:val="00071205"/>
    <w:rsid w:val="00072942"/>
    <w:rsid w:val="00075E11"/>
    <w:rsid w:val="000770CC"/>
    <w:rsid w:val="000771BF"/>
    <w:rsid w:val="0007762B"/>
    <w:rsid w:val="00077779"/>
    <w:rsid w:val="00077836"/>
    <w:rsid w:val="0008190A"/>
    <w:rsid w:val="000819B7"/>
    <w:rsid w:val="000827BB"/>
    <w:rsid w:val="00082A7B"/>
    <w:rsid w:val="00082D23"/>
    <w:rsid w:val="000831A4"/>
    <w:rsid w:val="000837E1"/>
    <w:rsid w:val="0008428F"/>
    <w:rsid w:val="00084AC9"/>
    <w:rsid w:val="00084E9B"/>
    <w:rsid w:val="00085AE5"/>
    <w:rsid w:val="000878A3"/>
    <w:rsid w:val="00087ED4"/>
    <w:rsid w:val="00087F65"/>
    <w:rsid w:val="00090A9A"/>
    <w:rsid w:val="00090BE6"/>
    <w:rsid w:val="0009111B"/>
    <w:rsid w:val="00092AAC"/>
    <w:rsid w:val="00093DF3"/>
    <w:rsid w:val="000947EB"/>
    <w:rsid w:val="00094EB6"/>
    <w:rsid w:val="000956C7"/>
    <w:rsid w:val="00097235"/>
    <w:rsid w:val="00097852"/>
    <w:rsid w:val="000A01B7"/>
    <w:rsid w:val="000A03A5"/>
    <w:rsid w:val="000A12C6"/>
    <w:rsid w:val="000A13A9"/>
    <w:rsid w:val="000A22B8"/>
    <w:rsid w:val="000A2CA6"/>
    <w:rsid w:val="000A2DC5"/>
    <w:rsid w:val="000A371C"/>
    <w:rsid w:val="000A53FB"/>
    <w:rsid w:val="000A5630"/>
    <w:rsid w:val="000A6164"/>
    <w:rsid w:val="000A69FF"/>
    <w:rsid w:val="000A71B3"/>
    <w:rsid w:val="000A7538"/>
    <w:rsid w:val="000A7ED8"/>
    <w:rsid w:val="000B1156"/>
    <w:rsid w:val="000B1BBB"/>
    <w:rsid w:val="000B27DA"/>
    <w:rsid w:val="000B3162"/>
    <w:rsid w:val="000B4E29"/>
    <w:rsid w:val="000B6102"/>
    <w:rsid w:val="000B72A3"/>
    <w:rsid w:val="000C050F"/>
    <w:rsid w:val="000C1818"/>
    <w:rsid w:val="000C1AD5"/>
    <w:rsid w:val="000C1C01"/>
    <w:rsid w:val="000C22AE"/>
    <w:rsid w:val="000C2A78"/>
    <w:rsid w:val="000C35D9"/>
    <w:rsid w:val="000C5DDA"/>
    <w:rsid w:val="000C6135"/>
    <w:rsid w:val="000C6494"/>
    <w:rsid w:val="000C65C3"/>
    <w:rsid w:val="000C6E80"/>
    <w:rsid w:val="000C7737"/>
    <w:rsid w:val="000D1259"/>
    <w:rsid w:val="000D138C"/>
    <w:rsid w:val="000D146D"/>
    <w:rsid w:val="000D1ADD"/>
    <w:rsid w:val="000D1DF2"/>
    <w:rsid w:val="000D25D9"/>
    <w:rsid w:val="000D33AD"/>
    <w:rsid w:val="000D4DD0"/>
    <w:rsid w:val="000D6889"/>
    <w:rsid w:val="000D6A51"/>
    <w:rsid w:val="000D6B95"/>
    <w:rsid w:val="000D7127"/>
    <w:rsid w:val="000D737B"/>
    <w:rsid w:val="000D7688"/>
    <w:rsid w:val="000D7801"/>
    <w:rsid w:val="000D7AE9"/>
    <w:rsid w:val="000D7C60"/>
    <w:rsid w:val="000D7C7F"/>
    <w:rsid w:val="000E086B"/>
    <w:rsid w:val="000E0FE8"/>
    <w:rsid w:val="000E136E"/>
    <w:rsid w:val="000E1BD9"/>
    <w:rsid w:val="000E2419"/>
    <w:rsid w:val="000E2882"/>
    <w:rsid w:val="000E2C53"/>
    <w:rsid w:val="000E34AB"/>
    <w:rsid w:val="000E3997"/>
    <w:rsid w:val="000E444C"/>
    <w:rsid w:val="000E61A3"/>
    <w:rsid w:val="000E6B4C"/>
    <w:rsid w:val="000E6C0A"/>
    <w:rsid w:val="000E6F59"/>
    <w:rsid w:val="000E77CB"/>
    <w:rsid w:val="000E7884"/>
    <w:rsid w:val="000F0042"/>
    <w:rsid w:val="000F0A50"/>
    <w:rsid w:val="000F0D1C"/>
    <w:rsid w:val="000F12D1"/>
    <w:rsid w:val="000F146C"/>
    <w:rsid w:val="000F269B"/>
    <w:rsid w:val="000F26F2"/>
    <w:rsid w:val="000F28A8"/>
    <w:rsid w:val="000F2F3A"/>
    <w:rsid w:val="000F402E"/>
    <w:rsid w:val="000F42A6"/>
    <w:rsid w:val="000F45E8"/>
    <w:rsid w:val="000F4AF8"/>
    <w:rsid w:val="000F588A"/>
    <w:rsid w:val="000F5949"/>
    <w:rsid w:val="000F6068"/>
    <w:rsid w:val="000F606F"/>
    <w:rsid w:val="000F6789"/>
    <w:rsid w:val="000F694A"/>
    <w:rsid w:val="000F78FC"/>
    <w:rsid w:val="000F7EBF"/>
    <w:rsid w:val="0010082D"/>
    <w:rsid w:val="001013B0"/>
    <w:rsid w:val="0010141E"/>
    <w:rsid w:val="001018EA"/>
    <w:rsid w:val="001021BF"/>
    <w:rsid w:val="0010238D"/>
    <w:rsid w:val="00102AE1"/>
    <w:rsid w:val="00104DE9"/>
    <w:rsid w:val="0010574D"/>
    <w:rsid w:val="00105909"/>
    <w:rsid w:val="00105FFA"/>
    <w:rsid w:val="001071A1"/>
    <w:rsid w:val="00107987"/>
    <w:rsid w:val="00110133"/>
    <w:rsid w:val="00110B62"/>
    <w:rsid w:val="00110F3E"/>
    <w:rsid w:val="0011101B"/>
    <w:rsid w:val="00111DB8"/>
    <w:rsid w:val="001121E4"/>
    <w:rsid w:val="00112893"/>
    <w:rsid w:val="00112BB2"/>
    <w:rsid w:val="00112D9F"/>
    <w:rsid w:val="00113553"/>
    <w:rsid w:val="00113B2A"/>
    <w:rsid w:val="0011405E"/>
    <w:rsid w:val="00114691"/>
    <w:rsid w:val="001154B2"/>
    <w:rsid w:val="0011619B"/>
    <w:rsid w:val="001161CE"/>
    <w:rsid w:val="00117217"/>
    <w:rsid w:val="00117540"/>
    <w:rsid w:val="00117C3B"/>
    <w:rsid w:val="00120287"/>
    <w:rsid w:val="00120F8E"/>
    <w:rsid w:val="00121BD7"/>
    <w:rsid w:val="00121E3A"/>
    <w:rsid w:val="00122519"/>
    <w:rsid w:val="00122697"/>
    <w:rsid w:val="0012330B"/>
    <w:rsid w:val="0012343C"/>
    <w:rsid w:val="00124CBC"/>
    <w:rsid w:val="00124EF6"/>
    <w:rsid w:val="001253B5"/>
    <w:rsid w:val="00125703"/>
    <w:rsid w:val="001259FA"/>
    <w:rsid w:val="00126392"/>
    <w:rsid w:val="001268FC"/>
    <w:rsid w:val="00126B26"/>
    <w:rsid w:val="001327A6"/>
    <w:rsid w:val="00134408"/>
    <w:rsid w:val="00134DFB"/>
    <w:rsid w:val="00135A76"/>
    <w:rsid w:val="00135B38"/>
    <w:rsid w:val="0013603A"/>
    <w:rsid w:val="00136BB1"/>
    <w:rsid w:val="001370DA"/>
    <w:rsid w:val="001373D1"/>
    <w:rsid w:val="0013793F"/>
    <w:rsid w:val="00137A23"/>
    <w:rsid w:val="00140C5E"/>
    <w:rsid w:val="00140F2B"/>
    <w:rsid w:val="0014115B"/>
    <w:rsid w:val="0014225A"/>
    <w:rsid w:val="001437E1"/>
    <w:rsid w:val="00143849"/>
    <w:rsid w:val="001450F3"/>
    <w:rsid w:val="00145295"/>
    <w:rsid w:val="00145407"/>
    <w:rsid w:val="0014585B"/>
    <w:rsid w:val="00145A3B"/>
    <w:rsid w:val="00147A36"/>
    <w:rsid w:val="00147ED4"/>
    <w:rsid w:val="00150C9E"/>
    <w:rsid w:val="001513A8"/>
    <w:rsid w:val="001530F2"/>
    <w:rsid w:val="001536AA"/>
    <w:rsid w:val="00154000"/>
    <w:rsid w:val="001543CC"/>
    <w:rsid w:val="001545C3"/>
    <w:rsid w:val="00155640"/>
    <w:rsid w:val="00155E3E"/>
    <w:rsid w:val="00155EA7"/>
    <w:rsid w:val="0015692A"/>
    <w:rsid w:val="00156E23"/>
    <w:rsid w:val="001602AB"/>
    <w:rsid w:val="00160B87"/>
    <w:rsid w:val="00160C9C"/>
    <w:rsid w:val="00161B11"/>
    <w:rsid w:val="00161B8C"/>
    <w:rsid w:val="00162238"/>
    <w:rsid w:val="001623BA"/>
    <w:rsid w:val="00162E65"/>
    <w:rsid w:val="00164347"/>
    <w:rsid w:val="00164A26"/>
    <w:rsid w:val="00164B9D"/>
    <w:rsid w:val="00164FFB"/>
    <w:rsid w:val="001652D6"/>
    <w:rsid w:val="001665B8"/>
    <w:rsid w:val="001666C3"/>
    <w:rsid w:val="00166CA7"/>
    <w:rsid w:val="00167474"/>
    <w:rsid w:val="00167FDC"/>
    <w:rsid w:val="00170529"/>
    <w:rsid w:val="001733DF"/>
    <w:rsid w:val="00173AD3"/>
    <w:rsid w:val="00173CCB"/>
    <w:rsid w:val="001758E7"/>
    <w:rsid w:val="0017606A"/>
    <w:rsid w:val="0017616B"/>
    <w:rsid w:val="001764C3"/>
    <w:rsid w:val="00176E08"/>
    <w:rsid w:val="001771A4"/>
    <w:rsid w:val="001806FB"/>
    <w:rsid w:val="00181424"/>
    <w:rsid w:val="00181F0C"/>
    <w:rsid w:val="0018264F"/>
    <w:rsid w:val="00183EBD"/>
    <w:rsid w:val="00184437"/>
    <w:rsid w:val="00184D2A"/>
    <w:rsid w:val="0018576A"/>
    <w:rsid w:val="00185A23"/>
    <w:rsid w:val="00185F54"/>
    <w:rsid w:val="001862DC"/>
    <w:rsid w:val="00186EC2"/>
    <w:rsid w:val="0018719D"/>
    <w:rsid w:val="00187812"/>
    <w:rsid w:val="001901BB"/>
    <w:rsid w:val="00190E19"/>
    <w:rsid w:val="001919BB"/>
    <w:rsid w:val="00192287"/>
    <w:rsid w:val="00192560"/>
    <w:rsid w:val="0019311F"/>
    <w:rsid w:val="00193312"/>
    <w:rsid w:val="00193A31"/>
    <w:rsid w:val="00193D3C"/>
    <w:rsid w:val="00193E46"/>
    <w:rsid w:val="00193F01"/>
    <w:rsid w:val="00193FE3"/>
    <w:rsid w:val="001949B4"/>
    <w:rsid w:val="00195CAB"/>
    <w:rsid w:val="0019622F"/>
    <w:rsid w:val="001964FF"/>
    <w:rsid w:val="00196A62"/>
    <w:rsid w:val="00197288"/>
    <w:rsid w:val="00197E35"/>
    <w:rsid w:val="001A0833"/>
    <w:rsid w:val="001A0B25"/>
    <w:rsid w:val="001A0E95"/>
    <w:rsid w:val="001A0FAC"/>
    <w:rsid w:val="001A19D0"/>
    <w:rsid w:val="001A1B07"/>
    <w:rsid w:val="001A257A"/>
    <w:rsid w:val="001A2857"/>
    <w:rsid w:val="001A344E"/>
    <w:rsid w:val="001A3521"/>
    <w:rsid w:val="001A3610"/>
    <w:rsid w:val="001A3BA5"/>
    <w:rsid w:val="001A3F96"/>
    <w:rsid w:val="001A3FEA"/>
    <w:rsid w:val="001A44A1"/>
    <w:rsid w:val="001A56FE"/>
    <w:rsid w:val="001A75A6"/>
    <w:rsid w:val="001A77EC"/>
    <w:rsid w:val="001A7BB3"/>
    <w:rsid w:val="001B0367"/>
    <w:rsid w:val="001B047F"/>
    <w:rsid w:val="001B0A44"/>
    <w:rsid w:val="001B2269"/>
    <w:rsid w:val="001B3760"/>
    <w:rsid w:val="001B3840"/>
    <w:rsid w:val="001B4A87"/>
    <w:rsid w:val="001B50E4"/>
    <w:rsid w:val="001B5A23"/>
    <w:rsid w:val="001C0234"/>
    <w:rsid w:val="001C0F91"/>
    <w:rsid w:val="001C34BB"/>
    <w:rsid w:val="001C38B2"/>
    <w:rsid w:val="001C3F79"/>
    <w:rsid w:val="001C450B"/>
    <w:rsid w:val="001C5744"/>
    <w:rsid w:val="001C5DE9"/>
    <w:rsid w:val="001C69C8"/>
    <w:rsid w:val="001C7039"/>
    <w:rsid w:val="001C7574"/>
    <w:rsid w:val="001C7F16"/>
    <w:rsid w:val="001D0E96"/>
    <w:rsid w:val="001D21CA"/>
    <w:rsid w:val="001D3335"/>
    <w:rsid w:val="001D4267"/>
    <w:rsid w:val="001D49AC"/>
    <w:rsid w:val="001D569D"/>
    <w:rsid w:val="001D58CE"/>
    <w:rsid w:val="001D5A96"/>
    <w:rsid w:val="001D6341"/>
    <w:rsid w:val="001D66A4"/>
    <w:rsid w:val="001D6F5A"/>
    <w:rsid w:val="001D7C2E"/>
    <w:rsid w:val="001E042E"/>
    <w:rsid w:val="001E106F"/>
    <w:rsid w:val="001E26B7"/>
    <w:rsid w:val="001E2947"/>
    <w:rsid w:val="001E2C8D"/>
    <w:rsid w:val="001E3F89"/>
    <w:rsid w:val="001E41EE"/>
    <w:rsid w:val="001E4DE8"/>
    <w:rsid w:val="001E4F17"/>
    <w:rsid w:val="001E4F35"/>
    <w:rsid w:val="001E6D7F"/>
    <w:rsid w:val="001E706A"/>
    <w:rsid w:val="001E7147"/>
    <w:rsid w:val="001E75CB"/>
    <w:rsid w:val="001E7C04"/>
    <w:rsid w:val="001E7C41"/>
    <w:rsid w:val="001F0188"/>
    <w:rsid w:val="001F02EF"/>
    <w:rsid w:val="001F030F"/>
    <w:rsid w:val="001F0455"/>
    <w:rsid w:val="001F0521"/>
    <w:rsid w:val="001F1167"/>
    <w:rsid w:val="001F1559"/>
    <w:rsid w:val="001F16F1"/>
    <w:rsid w:val="001F2B07"/>
    <w:rsid w:val="001F3260"/>
    <w:rsid w:val="001F3BB7"/>
    <w:rsid w:val="001F3FF6"/>
    <w:rsid w:val="001F445F"/>
    <w:rsid w:val="001F4D82"/>
    <w:rsid w:val="001F5525"/>
    <w:rsid w:val="001F5A53"/>
    <w:rsid w:val="001F5B18"/>
    <w:rsid w:val="001F6156"/>
    <w:rsid w:val="001F6677"/>
    <w:rsid w:val="001F7557"/>
    <w:rsid w:val="001F7DEA"/>
    <w:rsid w:val="002008ED"/>
    <w:rsid w:val="00200CCA"/>
    <w:rsid w:val="0020168B"/>
    <w:rsid w:val="002017A3"/>
    <w:rsid w:val="00201977"/>
    <w:rsid w:val="00201CD0"/>
    <w:rsid w:val="00202FF8"/>
    <w:rsid w:val="002040BA"/>
    <w:rsid w:val="0020447F"/>
    <w:rsid w:val="002045B8"/>
    <w:rsid w:val="00205079"/>
    <w:rsid w:val="00205DD1"/>
    <w:rsid w:val="00207E1E"/>
    <w:rsid w:val="00210861"/>
    <w:rsid w:val="0021153D"/>
    <w:rsid w:val="0021175B"/>
    <w:rsid w:val="00211DBD"/>
    <w:rsid w:val="00211E23"/>
    <w:rsid w:val="0021248F"/>
    <w:rsid w:val="002124DF"/>
    <w:rsid w:val="00212FFF"/>
    <w:rsid w:val="00213B69"/>
    <w:rsid w:val="00213D92"/>
    <w:rsid w:val="002144D7"/>
    <w:rsid w:val="00215116"/>
    <w:rsid w:val="00215DBE"/>
    <w:rsid w:val="00216478"/>
    <w:rsid w:val="002165CA"/>
    <w:rsid w:val="00216C5E"/>
    <w:rsid w:val="00216D8C"/>
    <w:rsid w:val="00217073"/>
    <w:rsid w:val="00217704"/>
    <w:rsid w:val="00217B81"/>
    <w:rsid w:val="00217F1E"/>
    <w:rsid w:val="00220185"/>
    <w:rsid w:val="00221848"/>
    <w:rsid w:val="00221FD4"/>
    <w:rsid w:val="00222D02"/>
    <w:rsid w:val="002230A3"/>
    <w:rsid w:val="00223C0F"/>
    <w:rsid w:val="00223DBC"/>
    <w:rsid w:val="00223EB1"/>
    <w:rsid w:val="00224061"/>
    <w:rsid w:val="0022411A"/>
    <w:rsid w:val="0022422B"/>
    <w:rsid w:val="00224513"/>
    <w:rsid w:val="00224E05"/>
    <w:rsid w:val="00224F7C"/>
    <w:rsid w:val="00224F81"/>
    <w:rsid w:val="00225BB9"/>
    <w:rsid w:val="0022707A"/>
    <w:rsid w:val="00227D2A"/>
    <w:rsid w:val="00227DBE"/>
    <w:rsid w:val="00231073"/>
    <w:rsid w:val="00231163"/>
    <w:rsid w:val="0023119A"/>
    <w:rsid w:val="002314E2"/>
    <w:rsid w:val="00231549"/>
    <w:rsid w:val="00231F85"/>
    <w:rsid w:val="00232E63"/>
    <w:rsid w:val="00232FBC"/>
    <w:rsid w:val="0023389B"/>
    <w:rsid w:val="00233CAF"/>
    <w:rsid w:val="00233DDC"/>
    <w:rsid w:val="00235276"/>
    <w:rsid w:val="00235904"/>
    <w:rsid w:val="00235CB0"/>
    <w:rsid w:val="00236996"/>
    <w:rsid w:val="002373D9"/>
    <w:rsid w:val="00237424"/>
    <w:rsid w:val="002376FF"/>
    <w:rsid w:val="0024022F"/>
    <w:rsid w:val="0024043A"/>
    <w:rsid w:val="002406E7"/>
    <w:rsid w:val="00240C35"/>
    <w:rsid w:val="00240E5C"/>
    <w:rsid w:val="0024118A"/>
    <w:rsid w:val="00242A40"/>
    <w:rsid w:val="002434DF"/>
    <w:rsid w:val="00243607"/>
    <w:rsid w:val="00244168"/>
    <w:rsid w:val="00245424"/>
    <w:rsid w:val="00245AF1"/>
    <w:rsid w:val="0024606E"/>
    <w:rsid w:val="00246D38"/>
    <w:rsid w:val="0024733C"/>
    <w:rsid w:val="002475F4"/>
    <w:rsid w:val="00247FEF"/>
    <w:rsid w:val="0025061D"/>
    <w:rsid w:val="00250742"/>
    <w:rsid w:val="00250D15"/>
    <w:rsid w:val="0025124D"/>
    <w:rsid w:val="00251298"/>
    <w:rsid w:val="00251C36"/>
    <w:rsid w:val="00251E1A"/>
    <w:rsid w:val="0025225D"/>
    <w:rsid w:val="002524C3"/>
    <w:rsid w:val="0025276B"/>
    <w:rsid w:val="00252EC2"/>
    <w:rsid w:val="00254428"/>
    <w:rsid w:val="00254C0B"/>
    <w:rsid w:val="002559D8"/>
    <w:rsid w:val="00255F11"/>
    <w:rsid w:val="0025686F"/>
    <w:rsid w:val="00256EE9"/>
    <w:rsid w:val="0025746E"/>
    <w:rsid w:val="00257C09"/>
    <w:rsid w:val="002601DA"/>
    <w:rsid w:val="00261975"/>
    <w:rsid w:val="00261BB6"/>
    <w:rsid w:val="00262536"/>
    <w:rsid w:val="00262703"/>
    <w:rsid w:val="00262BAF"/>
    <w:rsid w:val="00262F5D"/>
    <w:rsid w:val="002632DC"/>
    <w:rsid w:val="002639FF"/>
    <w:rsid w:val="002651D5"/>
    <w:rsid w:val="002651E9"/>
    <w:rsid w:val="00265942"/>
    <w:rsid w:val="002661B8"/>
    <w:rsid w:val="00266697"/>
    <w:rsid w:val="00266710"/>
    <w:rsid w:val="00266A6E"/>
    <w:rsid w:val="0026713B"/>
    <w:rsid w:val="00270139"/>
    <w:rsid w:val="00270219"/>
    <w:rsid w:val="00270544"/>
    <w:rsid w:val="002706AA"/>
    <w:rsid w:val="00272A24"/>
    <w:rsid w:val="00272A30"/>
    <w:rsid w:val="00272E64"/>
    <w:rsid w:val="00273101"/>
    <w:rsid w:val="00274400"/>
    <w:rsid w:val="00274B9B"/>
    <w:rsid w:val="00275577"/>
    <w:rsid w:val="00275678"/>
    <w:rsid w:val="0027644B"/>
    <w:rsid w:val="00276573"/>
    <w:rsid w:val="00276B2B"/>
    <w:rsid w:val="00277204"/>
    <w:rsid w:val="00277D23"/>
    <w:rsid w:val="002806E6"/>
    <w:rsid w:val="0028242C"/>
    <w:rsid w:val="00282504"/>
    <w:rsid w:val="002827DA"/>
    <w:rsid w:val="00282D7A"/>
    <w:rsid w:val="0028314A"/>
    <w:rsid w:val="00283CD9"/>
    <w:rsid w:val="00284107"/>
    <w:rsid w:val="00284138"/>
    <w:rsid w:val="002848DF"/>
    <w:rsid w:val="00284903"/>
    <w:rsid w:val="0028521F"/>
    <w:rsid w:val="00285423"/>
    <w:rsid w:val="00285746"/>
    <w:rsid w:val="00285F7C"/>
    <w:rsid w:val="0028687B"/>
    <w:rsid w:val="00286B7B"/>
    <w:rsid w:val="00287256"/>
    <w:rsid w:val="00290E07"/>
    <w:rsid w:val="00292198"/>
    <w:rsid w:val="00292A60"/>
    <w:rsid w:val="00293AB7"/>
    <w:rsid w:val="002950ED"/>
    <w:rsid w:val="00295507"/>
    <w:rsid w:val="002967DD"/>
    <w:rsid w:val="00296F89"/>
    <w:rsid w:val="00297425"/>
    <w:rsid w:val="00297CB7"/>
    <w:rsid w:val="002A01D5"/>
    <w:rsid w:val="002A0585"/>
    <w:rsid w:val="002A0A9F"/>
    <w:rsid w:val="002A0C46"/>
    <w:rsid w:val="002A1BF2"/>
    <w:rsid w:val="002A1DAE"/>
    <w:rsid w:val="002A23FF"/>
    <w:rsid w:val="002A24BB"/>
    <w:rsid w:val="002A26E3"/>
    <w:rsid w:val="002A3341"/>
    <w:rsid w:val="002A3D8E"/>
    <w:rsid w:val="002A4016"/>
    <w:rsid w:val="002A44E3"/>
    <w:rsid w:val="002A46E1"/>
    <w:rsid w:val="002A5CA4"/>
    <w:rsid w:val="002A7125"/>
    <w:rsid w:val="002A724D"/>
    <w:rsid w:val="002A7673"/>
    <w:rsid w:val="002B371A"/>
    <w:rsid w:val="002B3925"/>
    <w:rsid w:val="002B3CB2"/>
    <w:rsid w:val="002B49DC"/>
    <w:rsid w:val="002B4B8E"/>
    <w:rsid w:val="002B4E52"/>
    <w:rsid w:val="002B56ED"/>
    <w:rsid w:val="002B580A"/>
    <w:rsid w:val="002B5BC7"/>
    <w:rsid w:val="002B5C40"/>
    <w:rsid w:val="002C0684"/>
    <w:rsid w:val="002C068F"/>
    <w:rsid w:val="002C190F"/>
    <w:rsid w:val="002C316E"/>
    <w:rsid w:val="002C44C2"/>
    <w:rsid w:val="002C471A"/>
    <w:rsid w:val="002C4935"/>
    <w:rsid w:val="002C5AEF"/>
    <w:rsid w:val="002C7D88"/>
    <w:rsid w:val="002C7F92"/>
    <w:rsid w:val="002D01A4"/>
    <w:rsid w:val="002D0544"/>
    <w:rsid w:val="002D17AB"/>
    <w:rsid w:val="002D25A2"/>
    <w:rsid w:val="002D2ACF"/>
    <w:rsid w:val="002D30C0"/>
    <w:rsid w:val="002D3810"/>
    <w:rsid w:val="002D3AD4"/>
    <w:rsid w:val="002D421F"/>
    <w:rsid w:val="002D4A88"/>
    <w:rsid w:val="002D4C94"/>
    <w:rsid w:val="002D681F"/>
    <w:rsid w:val="002D68C0"/>
    <w:rsid w:val="002D7AD6"/>
    <w:rsid w:val="002E016E"/>
    <w:rsid w:val="002E072D"/>
    <w:rsid w:val="002E08E2"/>
    <w:rsid w:val="002E0E69"/>
    <w:rsid w:val="002E0F54"/>
    <w:rsid w:val="002E16BA"/>
    <w:rsid w:val="002E2157"/>
    <w:rsid w:val="002E327B"/>
    <w:rsid w:val="002E3B4E"/>
    <w:rsid w:val="002E4075"/>
    <w:rsid w:val="002E4B09"/>
    <w:rsid w:val="002E4FA3"/>
    <w:rsid w:val="002E52F8"/>
    <w:rsid w:val="002E62B9"/>
    <w:rsid w:val="002E63C4"/>
    <w:rsid w:val="002E64B2"/>
    <w:rsid w:val="002E6A30"/>
    <w:rsid w:val="002E6ACF"/>
    <w:rsid w:val="002E77D5"/>
    <w:rsid w:val="002F1462"/>
    <w:rsid w:val="002F1CFD"/>
    <w:rsid w:val="002F1DBE"/>
    <w:rsid w:val="002F1E46"/>
    <w:rsid w:val="002F247D"/>
    <w:rsid w:val="002F353A"/>
    <w:rsid w:val="002F3B13"/>
    <w:rsid w:val="002F3F61"/>
    <w:rsid w:val="002F407B"/>
    <w:rsid w:val="002F41A8"/>
    <w:rsid w:val="002F4BE7"/>
    <w:rsid w:val="002F511F"/>
    <w:rsid w:val="002F5D2A"/>
    <w:rsid w:val="002F5E10"/>
    <w:rsid w:val="002F6331"/>
    <w:rsid w:val="002F65BA"/>
    <w:rsid w:val="002F736D"/>
    <w:rsid w:val="002F77D6"/>
    <w:rsid w:val="002F79FF"/>
    <w:rsid w:val="00300EEE"/>
    <w:rsid w:val="00301370"/>
    <w:rsid w:val="00301B3C"/>
    <w:rsid w:val="00302595"/>
    <w:rsid w:val="00302B9A"/>
    <w:rsid w:val="003041ED"/>
    <w:rsid w:val="0030451A"/>
    <w:rsid w:val="00304C17"/>
    <w:rsid w:val="00305144"/>
    <w:rsid w:val="00306119"/>
    <w:rsid w:val="00306BB4"/>
    <w:rsid w:val="00306C28"/>
    <w:rsid w:val="00306D3D"/>
    <w:rsid w:val="00306E11"/>
    <w:rsid w:val="00307005"/>
    <w:rsid w:val="003071AF"/>
    <w:rsid w:val="0030770D"/>
    <w:rsid w:val="0031114C"/>
    <w:rsid w:val="00311344"/>
    <w:rsid w:val="003120B2"/>
    <w:rsid w:val="00312E24"/>
    <w:rsid w:val="00314FEC"/>
    <w:rsid w:val="0031531F"/>
    <w:rsid w:val="00315BF3"/>
    <w:rsid w:val="003160B9"/>
    <w:rsid w:val="003169A0"/>
    <w:rsid w:val="00316AFB"/>
    <w:rsid w:val="00316FF2"/>
    <w:rsid w:val="0031715A"/>
    <w:rsid w:val="0031747B"/>
    <w:rsid w:val="00317ADA"/>
    <w:rsid w:val="00320AAD"/>
    <w:rsid w:val="00321294"/>
    <w:rsid w:val="0032144F"/>
    <w:rsid w:val="003224A6"/>
    <w:rsid w:val="00322853"/>
    <w:rsid w:val="00323CA8"/>
    <w:rsid w:val="00324394"/>
    <w:rsid w:val="003260B0"/>
    <w:rsid w:val="003264D2"/>
    <w:rsid w:val="00326D0F"/>
    <w:rsid w:val="00327DE8"/>
    <w:rsid w:val="0033003F"/>
    <w:rsid w:val="00331802"/>
    <w:rsid w:val="00331BAB"/>
    <w:rsid w:val="0033266E"/>
    <w:rsid w:val="00332CAE"/>
    <w:rsid w:val="00332CFE"/>
    <w:rsid w:val="003337AB"/>
    <w:rsid w:val="00333B27"/>
    <w:rsid w:val="003343D6"/>
    <w:rsid w:val="00334F53"/>
    <w:rsid w:val="00335868"/>
    <w:rsid w:val="00335A08"/>
    <w:rsid w:val="00335B0A"/>
    <w:rsid w:val="00336437"/>
    <w:rsid w:val="0033676F"/>
    <w:rsid w:val="00336B0E"/>
    <w:rsid w:val="003413E0"/>
    <w:rsid w:val="0034286F"/>
    <w:rsid w:val="00342AD1"/>
    <w:rsid w:val="003439FE"/>
    <w:rsid w:val="00343A11"/>
    <w:rsid w:val="00343FF4"/>
    <w:rsid w:val="00344268"/>
    <w:rsid w:val="003448B5"/>
    <w:rsid w:val="00344EF7"/>
    <w:rsid w:val="00344FCD"/>
    <w:rsid w:val="00344FD5"/>
    <w:rsid w:val="0034510E"/>
    <w:rsid w:val="0034529C"/>
    <w:rsid w:val="003453E1"/>
    <w:rsid w:val="00345818"/>
    <w:rsid w:val="00346048"/>
    <w:rsid w:val="003465EB"/>
    <w:rsid w:val="00346C2B"/>
    <w:rsid w:val="00346C31"/>
    <w:rsid w:val="00346E44"/>
    <w:rsid w:val="0035133D"/>
    <w:rsid w:val="00353790"/>
    <w:rsid w:val="00354618"/>
    <w:rsid w:val="0035656C"/>
    <w:rsid w:val="003566A6"/>
    <w:rsid w:val="00356951"/>
    <w:rsid w:val="00357637"/>
    <w:rsid w:val="00357A72"/>
    <w:rsid w:val="00360419"/>
    <w:rsid w:val="00360A21"/>
    <w:rsid w:val="00361108"/>
    <w:rsid w:val="003620B8"/>
    <w:rsid w:val="00364159"/>
    <w:rsid w:val="003642AC"/>
    <w:rsid w:val="00364408"/>
    <w:rsid w:val="00364E1C"/>
    <w:rsid w:val="00364F64"/>
    <w:rsid w:val="003653E0"/>
    <w:rsid w:val="003659BD"/>
    <w:rsid w:val="00365A2B"/>
    <w:rsid w:val="00366941"/>
    <w:rsid w:val="00370216"/>
    <w:rsid w:val="0037046A"/>
    <w:rsid w:val="0037070B"/>
    <w:rsid w:val="00371D17"/>
    <w:rsid w:val="0037357C"/>
    <w:rsid w:val="003737C7"/>
    <w:rsid w:val="00373C83"/>
    <w:rsid w:val="00373F91"/>
    <w:rsid w:val="003747E4"/>
    <w:rsid w:val="00374B32"/>
    <w:rsid w:val="00375C8B"/>
    <w:rsid w:val="003760CF"/>
    <w:rsid w:val="00376F8B"/>
    <w:rsid w:val="00377F18"/>
    <w:rsid w:val="00380096"/>
    <w:rsid w:val="003807BD"/>
    <w:rsid w:val="00380827"/>
    <w:rsid w:val="00380DD4"/>
    <w:rsid w:val="00381642"/>
    <w:rsid w:val="00381671"/>
    <w:rsid w:val="00381CD3"/>
    <w:rsid w:val="00383360"/>
    <w:rsid w:val="003843C8"/>
    <w:rsid w:val="00384D1B"/>
    <w:rsid w:val="00387CDB"/>
    <w:rsid w:val="00390DE6"/>
    <w:rsid w:val="00392C0A"/>
    <w:rsid w:val="00394223"/>
    <w:rsid w:val="003946D4"/>
    <w:rsid w:val="00394E5A"/>
    <w:rsid w:val="00395A97"/>
    <w:rsid w:val="00396EDB"/>
    <w:rsid w:val="003972BE"/>
    <w:rsid w:val="003977F6"/>
    <w:rsid w:val="00397E34"/>
    <w:rsid w:val="003A00B4"/>
    <w:rsid w:val="003A0932"/>
    <w:rsid w:val="003A0F0A"/>
    <w:rsid w:val="003A0FB9"/>
    <w:rsid w:val="003A1548"/>
    <w:rsid w:val="003A1AB4"/>
    <w:rsid w:val="003A1F7C"/>
    <w:rsid w:val="003A2D7B"/>
    <w:rsid w:val="003A31C8"/>
    <w:rsid w:val="003A33DF"/>
    <w:rsid w:val="003A3F62"/>
    <w:rsid w:val="003A3FBA"/>
    <w:rsid w:val="003A5E2F"/>
    <w:rsid w:val="003A64BC"/>
    <w:rsid w:val="003A6606"/>
    <w:rsid w:val="003A7089"/>
    <w:rsid w:val="003A7492"/>
    <w:rsid w:val="003A76C2"/>
    <w:rsid w:val="003A7757"/>
    <w:rsid w:val="003A7D4D"/>
    <w:rsid w:val="003B0277"/>
    <w:rsid w:val="003B1101"/>
    <w:rsid w:val="003B1508"/>
    <w:rsid w:val="003B3A85"/>
    <w:rsid w:val="003B4A63"/>
    <w:rsid w:val="003B4C5F"/>
    <w:rsid w:val="003B4F8C"/>
    <w:rsid w:val="003B5002"/>
    <w:rsid w:val="003B5368"/>
    <w:rsid w:val="003B56A0"/>
    <w:rsid w:val="003B5AD2"/>
    <w:rsid w:val="003B6731"/>
    <w:rsid w:val="003B6CD5"/>
    <w:rsid w:val="003B7A25"/>
    <w:rsid w:val="003C0388"/>
    <w:rsid w:val="003C106F"/>
    <w:rsid w:val="003C1D20"/>
    <w:rsid w:val="003C509C"/>
    <w:rsid w:val="003C531B"/>
    <w:rsid w:val="003C55ED"/>
    <w:rsid w:val="003C5AFC"/>
    <w:rsid w:val="003C7393"/>
    <w:rsid w:val="003C7B0F"/>
    <w:rsid w:val="003C7BF9"/>
    <w:rsid w:val="003D01ED"/>
    <w:rsid w:val="003D0827"/>
    <w:rsid w:val="003D0F81"/>
    <w:rsid w:val="003D16F4"/>
    <w:rsid w:val="003D1BD8"/>
    <w:rsid w:val="003D26FF"/>
    <w:rsid w:val="003D2920"/>
    <w:rsid w:val="003D475D"/>
    <w:rsid w:val="003D5681"/>
    <w:rsid w:val="003D572C"/>
    <w:rsid w:val="003D5B7B"/>
    <w:rsid w:val="003D5C46"/>
    <w:rsid w:val="003D5ED1"/>
    <w:rsid w:val="003D73D8"/>
    <w:rsid w:val="003D749B"/>
    <w:rsid w:val="003D76C6"/>
    <w:rsid w:val="003E05E8"/>
    <w:rsid w:val="003E195B"/>
    <w:rsid w:val="003E2661"/>
    <w:rsid w:val="003E2ACA"/>
    <w:rsid w:val="003E2F01"/>
    <w:rsid w:val="003E3704"/>
    <w:rsid w:val="003E3789"/>
    <w:rsid w:val="003E3E0E"/>
    <w:rsid w:val="003E40EE"/>
    <w:rsid w:val="003E49FB"/>
    <w:rsid w:val="003E5C3C"/>
    <w:rsid w:val="003E649E"/>
    <w:rsid w:val="003E6594"/>
    <w:rsid w:val="003E74DD"/>
    <w:rsid w:val="003E7775"/>
    <w:rsid w:val="003E7B04"/>
    <w:rsid w:val="003E7BD5"/>
    <w:rsid w:val="003E7BE5"/>
    <w:rsid w:val="003F05C7"/>
    <w:rsid w:val="003F06A0"/>
    <w:rsid w:val="003F0978"/>
    <w:rsid w:val="003F1122"/>
    <w:rsid w:val="003F220C"/>
    <w:rsid w:val="003F24D3"/>
    <w:rsid w:val="003F305A"/>
    <w:rsid w:val="003F3D12"/>
    <w:rsid w:val="003F534B"/>
    <w:rsid w:val="003F58A9"/>
    <w:rsid w:val="003F62D1"/>
    <w:rsid w:val="003F6373"/>
    <w:rsid w:val="003F6398"/>
    <w:rsid w:val="003F645C"/>
    <w:rsid w:val="003F6C88"/>
    <w:rsid w:val="003F6E63"/>
    <w:rsid w:val="003F73B5"/>
    <w:rsid w:val="003F77D9"/>
    <w:rsid w:val="003F7853"/>
    <w:rsid w:val="003F7982"/>
    <w:rsid w:val="003F7D55"/>
    <w:rsid w:val="00402F92"/>
    <w:rsid w:val="00404092"/>
    <w:rsid w:val="00404B32"/>
    <w:rsid w:val="00406010"/>
    <w:rsid w:val="004068FD"/>
    <w:rsid w:val="00406FF3"/>
    <w:rsid w:val="00407627"/>
    <w:rsid w:val="00407652"/>
    <w:rsid w:val="00407DE8"/>
    <w:rsid w:val="00410624"/>
    <w:rsid w:val="004106BC"/>
    <w:rsid w:val="004109B0"/>
    <w:rsid w:val="00410AE5"/>
    <w:rsid w:val="00410E71"/>
    <w:rsid w:val="00411A0D"/>
    <w:rsid w:val="00411E52"/>
    <w:rsid w:val="0041222D"/>
    <w:rsid w:val="004124B1"/>
    <w:rsid w:val="00412FD7"/>
    <w:rsid w:val="004130E7"/>
    <w:rsid w:val="004130F2"/>
    <w:rsid w:val="00413115"/>
    <w:rsid w:val="004132D7"/>
    <w:rsid w:val="004139DE"/>
    <w:rsid w:val="00415868"/>
    <w:rsid w:val="0041595C"/>
    <w:rsid w:val="004161E3"/>
    <w:rsid w:val="00416B60"/>
    <w:rsid w:val="00416C0D"/>
    <w:rsid w:val="00416C70"/>
    <w:rsid w:val="004179F2"/>
    <w:rsid w:val="004201C6"/>
    <w:rsid w:val="00420865"/>
    <w:rsid w:val="00420DE8"/>
    <w:rsid w:val="00421410"/>
    <w:rsid w:val="00421E32"/>
    <w:rsid w:val="0042219B"/>
    <w:rsid w:val="0042223D"/>
    <w:rsid w:val="004226CC"/>
    <w:rsid w:val="00422E2C"/>
    <w:rsid w:val="00423975"/>
    <w:rsid w:val="00423C0B"/>
    <w:rsid w:val="00424319"/>
    <w:rsid w:val="00424533"/>
    <w:rsid w:val="004245D2"/>
    <w:rsid w:val="0042492F"/>
    <w:rsid w:val="00424B80"/>
    <w:rsid w:val="00424CDC"/>
    <w:rsid w:val="004250EF"/>
    <w:rsid w:val="0042513F"/>
    <w:rsid w:val="0042581D"/>
    <w:rsid w:val="00425EC9"/>
    <w:rsid w:val="004261F9"/>
    <w:rsid w:val="00426925"/>
    <w:rsid w:val="00426E0B"/>
    <w:rsid w:val="004275D7"/>
    <w:rsid w:val="004279A9"/>
    <w:rsid w:val="00427BBE"/>
    <w:rsid w:val="00430829"/>
    <w:rsid w:val="004316BD"/>
    <w:rsid w:val="00431C98"/>
    <w:rsid w:val="004322DE"/>
    <w:rsid w:val="00432711"/>
    <w:rsid w:val="00433445"/>
    <w:rsid w:val="00433599"/>
    <w:rsid w:val="004340D6"/>
    <w:rsid w:val="004347F1"/>
    <w:rsid w:val="004349AD"/>
    <w:rsid w:val="00435682"/>
    <w:rsid w:val="00435950"/>
    <w:rsid w:val="00435A48"/>
    <w:rsid w:val="00435DFE"/>
    <w:rsid w:val="00436596"/>
    <w:rsid w:val="004369F8"/>
    <w:rsid w:val="00436E2D"/>
    <w:rsid w:val="0043772C"/>
    <w:rsid w:val="00440332"/>
    <w:rsid w:val="004409D3"/>
    <w:rsid w:val="0044128E"/>
    <w:rsid w:val="00441704"/>
    <w:rsid w:val="004417B0"/>
    <w:rsid w:val="00442142"/>
    <w:rsid w:val="0044262A"/>
    <w:rsid w:val="00442D13"/>
    <w:rsid w:val="00443888"/>
    <w:rsid w:val="0044404B"/>
    <w:rsid w:val="00445B4C"/>
    <w:rsid w:val="00445E7B"/>
    <w:rsid w:val="0044630E"/>
    <w:rsid w:val="0044663D"/>
    <w:rsid w:val="00446A99"/>
    <w:rsid w:val="004475CF"/>
    <w:rsid w:val="004479CA"/>
    <w:rsid w:val="00451C75"/>
    <w:rsid w:val="00452813"/>
    <w:rsid w:val="00453107"/>
    <w:rsid w:val="004539B4"/>
    <w:rsid w:val="00453BC1"/>
    <w:rsid w:val="00454122"/>
    <w:rsid w:val="00454C91"/>
    <w:rsid w:val="00456554"/>
    <w:rsid w:val="004566A5"/>
    <w:rsid w:val="00456765"/>
    <w:rsid w:val="00457668"/>
    <w:rsid w:val="0045790D"/>
    <w:rsid w:val="00460F76"/>
    <w:rsid w:val="004613D4"/>
    <w:rsid w:val="004616CD"/>
    <w:rsid w:val="0046264D"/>
    <w:rsid w:val="00463838"/>
    <w:rsid w:val="00463C84"/>
    <w:rsid w:val="004641D5"/>
    <w:rsid w:val="0046469A"/>
    <w:rsid w:val="00464799"/>
    <w:rsid w:val="0046495B"/>
    <w:rsid w:val="00464AF9"/>
    <w:rsid w:val="0046603C"/>
    <w:rsid w:val="00466ED1"/>
    <w:rsid w:val="00467421"/>
    <w:rsid w:val="004677C9"/>
    <w:rsid w:val="004679ED"/>
    <w:rsid w:val="00467C4C"/>
    <w:rsid w:val="004706EE"/>
    <w:rsid w:val="004711E6"/>
    <w:rsid w:val="0047152B"/>
    <w:rsid w:val="00471C94"/>
    <w:rsid w:val="00472D6B"/>
    <w:rsid w:val="004731C0"/>
    <w:rsid w:val="00473759"/>
    <w:rsid w:val="00473AFA"/>
    <w:rsid w:val="00473C4A"/>
    <w:rsid w:val="00473C7B"/>
    <w:rsid w:val="00474485"/>
    <w:rsid w:val="0047453D"/>
    <w:rsid w:val="004745E9"/>
    <w:rsid w:val="004747F0"/>
    <w:rsid w:val="0047522A"/>
    <w:rsid w:val="00475D0F"/>
    <w:rsid w:val="0047707D"/>
    <w:rsid w:val="0047796A"/>
    <w:rsid w:val="00477BA9"/>
    <w:rsid w:val="00480723"/>
    <w:rsid w:val="004811E0"/>
    <w:rsid w:val="0048204B"/>
    <w:rsid w:val="004827E8"/>
    <w:rsid w:val="004828FB"/>
    <w:rsid w:val="00482A02"/>
    <w:rsid w:val="00483188"/>
    <w:rsid w:val="004837AE"/>
    <w:rsid w:val="0048492B"/>
    <w:rsid w:val="00484E04"/>
    <w:rsid w:val="00485068"/>
    <w:rsid w:val="00485F20"/>
    <w:rsid w:val="00485FA3"/>
    <w:rsid w:val="0048724D"/>
    <w:rsid w:val="00487805"/>
    <w:rsid w:val="00487EFB"/>
    <w:rsid w:val="004908B7"/>
    <w:rsid w:val="00490C71"/>
    <w:rsid w:val="00490CCF"/>
    <w:rsid w:val="00490FE2"/>
    <w:rsid w:val="004923BD"/>
    <w:rsid w:val="00492C21"/>
    <w:rsid w:val="004945A0"/>
    <w:rsid w:val="004947AF"/>
    <w:rsid w:val="00494C60"/>
    <w:rsid w:val="00495DE7"/>
    <w:rsid w:val="00496C1B"/>
    <w:rsid w:val="00496D61"/>
    <w:rsid w:val="00497E0E"/>
    <w:rsid w:val="00497EAD"/>
    <w:rsid w:val="004A068E"/>
    <w:rsid w:val="004A107C"/>
    <w:rsid w:val="004A125C"/>
    <w:rsid w:val="004A2806"/>
    <w:rsid w:val="004A4607"/>
    <w:rsid w:val="004A46CF"/>
    <w:rsid w:val="004A481E"/>
    <w:rsid w:val="004A4C9E"/>
    <w:rsid w:val="004A5189"/>
    <w:rsid w:val="004A5DDE"/>
    <w:rsid w:val="004A5EFA"/>
    <w:rsid w:val="004A6001"/>
    <w:rsid w:val="004A678B"/>
    <w:rsid w:val="004A70FA"/>
    <w:rsid w:val="004A7271"/>
    <w:rsid w:val="004A72E6"/>
    <w:rsid w:val="004A7E6D"/>
    <w:rsid w:val="004B085E"/>
    <w:rsid w:val="004B08BE"/>
    <w:rsid w:val="004B0A79"/>
    <w:rsid w:val="004B0C8F"/>
    <w:rsid w:val="004B0FEC"/>
    <w:rsid w:val="004B1AFD"/>
    <w:rsid w:val="004B1F94"/>
    <w:rsid w:val="004B238F"/>
    <w:rsid w:val="004B25B6"/>
    <w:rsid w:val="004B25F7"/>
    <w:rsid w:val="004B36A9"/>
    <w:rsid w:val="004B39EA"/>
    <w:rsid w:val="004B405B"/>
    <w:rsid w:val="004B4324"/>
    <w:rsid w:val="004B4FD8"/>
    <w:rsid w:val="004B4FDE"/>
    <w:rsid w:val="004B507E"/>
    <w:rsid w:val="004B5319"/>
    <w:rsid w:val="004B5AD7"/>
    <w:rsid w:val="004B64B5"/>
    <w:rsid w:val="004B66A2"/>
    <w:rsid w:val="004B6DA3"/>
    <w:rsid w:val="004B70F9"/>
    <w:rsid w:val="004B73DA"/>
    <w:rsid w:val="004C0207"/>
    <w:rsid w:val="004C2E24"/>
    <w:rsid w:val="004C3BB6"/>
    <w:rsid w:val="004C4FBE"/>
    <w:rsid w:val="004C539E"/>
    <w:rsid w:val="004C5A4B"/>
    <w:rsid w:val="004C5CB1"/>
    <w:rsid w:val="004C6FC2"/>
    <w:rsid w:val="004C7A73"/>
    <w:rsid w:val="004C7D10"/>
    <w:rsid w:val="004D0015"/>
    <w:rsid w:val="004D0B65"/>
    <w:rsid w:val="004D0D08"/>
    <w:rsid w:val="004D1890"/>
    <w:rsid w:val="004D1C9E"/>
    <w:rsid w:val="004D2671"/>
    <w:rsid w:val="004D283A"/>
    <w:rsid w:val="004D3569"/>
    <w:rsid w:val="004D39AD"/>
    <w:rsid w:val="004D3A21"/>
    <w:rsid w:val="004D3C7C"/>
    <w:rsid w:val="004D4E30"/>
    <w:rsid w:val="004D582F"/>
    <w:rsid w:val="004D5FDD"/>
    <w:rsid w:val="004D6BEA"/>
    <w:rsid w:val="004D6DC4"/>
    <w:rsid w:val="004D726D"/>
    <w:rsid w:val="004D77C6"/>
    <w:rsid w:val="004E08DB"/>
    <w:rsid w:val="004E2297"/>
    <w:rsid w:val="004E23F8"/>
    <w:rsid w:val="004E2628"/>
    <w:rsid w:val="004E40D4"/>
    <w:rsid w:val="004E48A7"/>
    <w:rsid w:val="004E57C8"/>
    <w:rsid w:val="004E65D1"/>
    <w:rsid w:val="004E6A23"/>
    <w:rsid w:val="004E6A7D"/>
    <w:rsid w:val="004E7645"/>
    <w:rsid w:val="004E7FF6"/>
    <w:rsid w:val="004F02CD"/>
    <w:rsid w:val="004F02F0"/>
    <w:rsid w:val="004F0E8E"/>
    <w:rsid w:val="004F0F31"/>
    <w:rsid w:val="004F11FF"/>
    <w:rsid w:val="004F273E"/>
    <w:rsid w:val="004F4085"/>
    <w:rsid w:val="004F43CB"/>
    <w:rsid w:val="004F453F"/>
    <w:rsid w:val="004F53F0"/>
    <w:rsid w:val="004F5D03"/>
    <w:rsid w:val="004F6D16"/>
    <w:rsid w:val="004F715B"/>
    <w:rsid w:val="004F733C"/>
    <w:rsid w:val="004F73B2"/>
    <w:rsid w:val="004F748E"/>
    <w:rsid w:val="004F7993"/>
    <w:rsid w:val="00500279"/>
    <w:rsid w:val="00500FF3"/>
    <w:rsid w:val="00501FF6"/>
    <w:rsid w:val="0050210B"/>
    <w:rsid w:val="0050306C"/>
    <w:rsid w:val="0050376D"/>
    <w:rsid w:val="00505749"/>
    <w:rsid w:val="00505924"/>
    <w:rsid w:val="0050634D"/>
    <w:rsid w:val="00506350"/>
    <w:rsid w:val="0050681D"/>
    <w:rsid w:val="00506945"/>
    <w:rsid w:val="00507204"/>
    <w:rsid w:val="00507BB2"/>
    <w:rsid w:val="00511188"/>
    <w:rsid w:val="00511293"/>
    <w:rsid w:val="0051255A"/>
    <w:rsid w:val="00512B43"/>
    <w:rsid w:val="00512D71"/>
    <w:rsid w:val="00512FD8"/>
    <w:rsid w:val="00514A51"/>
    <w:rsid w:val="00514C66"/>
    <w:rsid w:val="00514CA4"/>
    <w:rsid w:val="00515EA2"/>
    <w:rsid w:val="00516139"/>
    <w:rsid w:val="00516399"/>
    <w:rsid w:val="00517425"/>
    <w:rsid w:val="00517D08"/>
    <w:rsid w:val="00520837"/>
    <w:rsid w:val="00521408"/>
    <w:rsid w:val="005217B0"/>
    <w:rsid w:val="005220F7"/>
    <w:rsid w:val="00522BD5"/>
    <w:rsid w:val="00522DE8"/>
    <w:rsid w:val="00525482"/>
    <w:rsid w:val="00527BC5"/>
    <w:rsid w:val="00527BD7"/>
    <w:rsid w:val="00530160"/>
    <w:rsid w:val="00530D15"/>
    <w:rsid w:val="00531B8B"/>
    <w:rsid w:val="00533FE3"/>
    <w:rsid w:val="005345A2"/>
    <w:rsid w:val="00534820"/>
    <w:rsid w:val="00534833"/>
    <w:rsid w:val="0053579A"/>
    <w:rsid w:val="00535A54"/>
    <w:rsid w:val="00536165"/>
    <w:rsid w:val="005362DD"/>
    <w:rsid w:val="00536E52"/>
    <w:rsid w:val="00536EEF"/>
    <w:rsid w:val="00537CDB"/>
    <w:rsid w:val="00537D64"/>
    <w:rsid w:val="005400F6"/>
    <w:rsid w:val="0054024B"/>
    <w:rsid w:val="0054171E"/>
    <w:rsid w:val="005427E8"/>
    <w:rsid w:val="00542FA2"/>
    <w:rsid w:val="00543F36"/>
    <w:rsid w:val="005443AA"/>
    <w:rsid w:val="0054505B"/>
    <w:rsid w:val="00545584"/>
    <w:rsid w:val="00545D5F"/>
    <w:rsid w:val="005461A4"/>
    <w:rsid w:val="00547265"/>
    <w:rsid w:val="005477B5"/>
    <w:rsid w:val="0055046F"/>
    <w:rsid w:val="00550F4D"/>
    <w:rsid w:val="005519F1"/>
    <w:rsid w:val="00551D19"/>
    <w:rsid w:val="00551EEA"/>
    <w:rsid w:val="00552084"/>
    <w:rsid w:val="00552178"/>
    <w:rsid w:val="005522D4"/>
    <w:rsid w:val="00552616"/>
    <w:rsid w:val="00552EB9"/>
    <w:rsid w:val="00553F02"/>
    <w:rsid w:val="00554AAD"/>
    <w:rsid w:val="00554E60"/>
    <w:rsid w:val="00555A3F"/>
    <w:rsid w:val="00556794"/>
    <w:rsid w:val="005568A0"/>
    <w:rsid w:val="0055694A"/>
    <w:rsid w:val="00557164"/>
    <w:rsid w:val="00557725"/>
    <w:rsid w:val="00557B60"/>
    <w:rsid w:val="005604F2"/>
    <w:rsid w:val="00560BFE"/>
    <w:rsid w:val="00560D9F"/>
    <w:rsid w:val="005613A5"/>
    <w:rsid w:val="00561765"/>
    <w:rsid w:val="00562414"/>
    <w:rsid w:val="00562921"/>
    <w:rsid w:val="00562FCF"/>
    <w:rsid w:val="00563D51"/>
    <w:rsid w:val="00564C0F"/>
    <w:rsid w:val="00564F89"/>
    <w:rsid w:val="00565B04"/>
    <w:rsid w:val="00565F54"/>
    <w:rsid w:val="0057094C"/>
    <w:rsid w:val="0057140F"/>
    <w:rsid w:val="00571543"/>
    <w:rsid w:val="00572899"/>
    <w:rsid w:val="0057292C"/>
    <w:rsid w:val="005739EC"/>
    <w:rsid w:val="005748A6"/>
    <w:rsid w:val="00576932"/>
    <w:rsid w:val="00576EB9"/>
    <w:rsid w:val="00577DA6"/>
    <w:rsid w:val="00577F2C"/>
    <w:rsid w:val="0058172B"/>
    <w:rsid w:val="005822F7"/>
    <w:rsid w:val="00583388"/>
    <w:rsid w:val="005834BF"/>
    <w:rsid w:val="00584ED0"/>
    <w:rsid w:val="00584F0C"/>
    <w:rsid w:val="00585B11"/>
    <w:rsid w:val="00585F90"/>
    <w:rsid w:val="00586332"/>
    <w:rsid w:val="005864AC"/>
    <w:rsid w:val="00586768"/>
    <w:rsid w:val="0059030A"/>
    <w:rsid w:val="00590EDB"/>
    <w:rsid w:val="00591D56"/>
    <w:rsid w:val="00591D9C"/>
    <w:rsid w:val="00592282"/>
    <w:rsid w:val="00592639"/>
    <w:rsid w:val="00593F53"/>
    <w:rsid w:val="00594016"/>
    <w:rsid w:val="00594A1A"/>
    <w:rsid w:val="0059582C"/>
    <w:rsid w:val="005962D8"/>
    <w:rsid w:val="00596D6A"/>
    <w:rsid w:val="005A03E0"/>
    <w:rsid w:val="005A0A71"/>
    <w:rsid w:val="005A139A"/>
    <w:rsid w:val="005A1F55"/>
    <w:rsid w:val="005A2950"/>
    <w:rsid w:val="005A3FA3"/>
    <w:rsid w:val="005A4C68"/>
    <w:rsid w:val="005A5541"/>
    <w:rsid w:val="005A5564"/>
    <w:rsid w:val="005A6592"/>
    <w:rsid w:val="005B0A25"/>
    <w:rsid w:val="005B1C02"/>
    <w:rsid w:val="005B1EAB"/>
    <w:rsid w:val="005B2C5C"/>
    <w:rsid w:val="005B2E04"/>
    <w:rsid w:val="005B2F60"/>
    <w:rsid w:val="005B32A5"/>
    <w:rsid w:val="005B37D2"/>
    <w:rsid w:val="005B39D0"/>
    <w:rsid w:val="005B3FB9"/>
    <w:rsid w:val="005B455C"/>
    <w:rsid w:val="005B48DF"/>
    <w:rsid w:val="005B55DE"/>
    <w:rsid w:val="005B5797"/>
    <w:rsid w:val="005B5E6C"/>
    <w:rsid w:val="005B6F44"/>
    <w:rsid w:val="005C0658"/>
    <w:rsid w:val="005C0DFD"/>
    <w:rsid w:val="005C1084"/>
    <w:rsid w:val="005C1765"/>
    <w:rsid w:val="005C1CDB"/>
    <w:rsid w:val="005C1D80"/>
    <w:rsid w:val="005C2861"/>
    <w:rsid w:val="005C2BD9"/>
    <w:rsid w:val="005C3149"/>
    <w:rsid w:val="005C3742"/>
    <w:rsid w:val="005C4323"/>
    <w:rsid w:val="005C4C24"/>
    <w:rsid w:val="005C4E2E"/>
    <w:rsid w:val="005C5079"/>
    <w:rsid w:val="005C50B0"/>
    <w:rsid w:val="005C544E"/>
    <w:rsid w:val="005C58E9"/>
    <w:rsid w:val="005C618B"/>
    <w:rsid w:val="005C64B1"/>
    <w:rsid w:val="005C7144"/>
    <w:rsid w:val="005C7995"/>
    <w:rsid w:val="005D097A"/>
    <w:rsid w:val="005D0A5A"/>
    <w:rsid w:val="005D0D74"/>
    <w:rsid w:val="005D0E8B"/>
    <w:rsid w:val="005D1148"/>
    <w:rsid w:val="005D1AEC"/>
    <w:rsid w:val="005D1BFA"/>
    <w:rsid w:val="005D1E45"/>
    <w:rsid w:val="005D265E"/>
    <w:rsid w:val="005D28DC"/>
    <w:rsid w:val="005D2904"/>
    <w:rsid w:val="005D3958"/>
    <w:rsid w:val="005D425F"/>
    <w:rsid w:val="005D48CD"/>
    <w:rsid w:val="005D49D6"/>
    <w:rsid w:val="005D4D31"/>
    <w:rsid w:val="005D54D8"/>
    <w:rsid w:val="005D6AE0"/>
    <w:rsid w:val="005D6B3B"/>
    <w:rsid w:val="005D6EF3"/>
    <w:rsid w:val="005D73D1"/>
    <w:rsid w:val="005D7FD8"/>
    <w:rsid w:val="005E1220"/>
    <w:rsid w:val="005E1278"/>
    <w:rsid w:val="005E1A58"/>
    <w:rsid w:val="005E1ECF"/>
    <w:rsid w:val="005E1FC0"/>
    <w:rsid w:val="005E2A47"/>
    <w:rsid w:val="005E2F07"/>
    <w:rsid w:val="005E349F"/>
    <w:rsid w:val="005E4831"/>
    <w:rsid w:val="005E52C3"/>
    <w:rsid w:val="005E565D"/>
    <w:rsid w:val="005E576C"/>
    <w:rsid w:val="005E7019"/>
    <w:rsid w:val="005E702D"/>
    <w:rsid w:val="005E7C48"/>
    <w:rsid w:val="005F0766"/>
    <w:rsid w:val="005F179F"/>
    <w:rsid w:val="005F2D08"/>
    <w:rsid w:val="005F3BC5"/>
    <w:rsid w:val="005F5263"/>
    <w:rsid w:val="005F54F8"/>
    <w:rsid w:val="005F5518"/>
    <w:rsid w:val="005F5F7B"/>
    <w:rsid w:val="005F64B9"/>
    <w:rsid w:val="005F6924"/>
    <w:rsid w:val="006000AF"/>
    <w:rsid w:val="0060064C"/>
    <w:rsid w:val="00601A22"/>
    <w:rsid w:val="00603582"/>
    <w:rsid w:val="006042F9"/>
    <w:rsid w:val="00604E22"/>
    <w:rsid w:val="006061B8"/>
    <w:rsid w:val="0060625A"/>
    <w:rsid w:val="006070C0"/>
    <w:rsid w:val="00607EE0"/>
    <w:rsid w:val="00610209"/>
    <w:rsid w:val="006102FB"/>
    <w:rsid w:val="006103F1"/>
    <w:rsid w:val="00610F34"/>
    <w:rsid w:val="00611767"/>
    <w:rsid w:val="00611A71"/>
    <w:rsid w:val="0061329C"/>
    <w:rsid w:val="0061385E"/>
    <w:rsid w:val="00613CAC"/>
    <w:rsid w:val="00613F6D"/>
    <w:rsid w:val="00614421"/>
    <w:rsid w:val="006162B0"/>
    <w:rsid w:val="00616846"/>
    <w:rsid w:val="00616918"/>
    <w:rsid w:val="0061765F"/>
    <w:rsid w:val="00620F70"/>
    <w:rsid w:val="0062140B"/>
    <w:rsid w:val="00622804"/>
    <w:rsid w:val="00622EF8"/>
    <w:rsid w:val="00622F76"/>
    <w:rsid w:val="00624F63"/>
    <w:rsid w:val="0062601A"/>
    <w:rsid w:val="0062612E"/>
    <w:rsid w:val="0062711A"/>
    <w:rsid w:val="0062775B"/>
    <w:rsid w:val="006303CC"/>
    <w:rsid w:val="0063066D"/>
    <w:rsid w:val="006309EC"/>
    <w:rsid w:val="00631070"/>
    <w:rsid w:val="00631B5F"/>
    <w:rsid w:val="006322EC"/>
    <w:rsid w:val="00632350"/>
    <w:rsid w:val="00632858"/>
    <w:rsid w:val="00632F69"/>
    <w:rsid w:val="006333D9"/>
    <w:rsid w:val="00633753"/>
    <w:rsid w:val="00633BF0"/>
    <w:rsid w:val="00633F1E"/>
    <w:rsid w:val="00634CDF"/>
    <w:rsid w:val="00635143"/>
    <w:rsid w:val="0063599A"/>
    <w:rsid w:val="00635C38"/>
    <w:rsid w:val="0063761A"/>
    <w:rsid w:val="00637DA9"/>
    <w:rsid w:val="00637E8E"/>
    <w:rsid w:val="00640494"/>
    <w:rsid w:val="00641193"/>
    <w:rsid w:val="006424C1"/>
    <w:rsid w:val="006434F9"/>
    <w:rsid w:val="0064382A"/>
    <w:rsid w:val="006439F2"/>
    <w:rsid w:val="00644329"/>
    <w:rsid w:val="00645452"/>
    <w:rsid w:val="00645479"/>
    <w:rsid w:val="00645733"/>
    <w:rsid w:val="0064576A"/>
    <w:rsid w:val="00645AE5"/>
    <w:rsid w:val="0064602F"/>
    <w:rsid w:val="006466E7"/>
    <w:rsid w:val="00650CA6"/>
    <w:rsid w:val="006513B5"/>
    <w:rsid w:val="00651472"/>
    <w:rsid w:val="0065252D"/>
    <w:rsid w:val="0065279B"/>
    <w:rsid w:val="00652B14"/>
    <w:rsid w:val="00653522"/>
    <w:rsid w:val="00653DFF"/>
    <w:rsid w:val="00654CF9"/>
    <w:rsid w:val="00655111"/>
    <w:rsid w:val="00655536"/>
    <w:rsid w:val="00655863"/>
    <w:rsid w:val="00655ABE"/>
    <w:rsid w:val="00655C00"/>
    <w:rsid w:val="006564A6"/>
    <w:rsid w:val="006603BF"/>
    <w:rsid w:val="00661323"/>
    <w:rsid w:val="006619EC"/>
    <w:rsid w:val="00661DFE"/>
    <w:rsid w:val="00662A78"/>
    <w:rsid w:val="00662D8A"/>
    <w:rsid w:val="006637F2"/>
    <w:rsid w:val="00663C58"/>
    <w:rsid w:val="00663D7B"/>
    <w:rsid w:val="00666670"/>
    <w:rsid w:val="0066682A"/>
    <w:rsid w:val="00667704"/>
    <w:rsid w:val="00670033"/>
    <w:rsid w:val="006700CA"/>
    <w:rsid w:val="00670B49"/>
    <w:rsid w:val="00670B55"/>
    <w:rsid w:val="00672C35"/>
    <w:rsid w:val="00672F30"/>
    <w:rsid w:val="00674D2B"/>
    <w:rsid w:val="00675BEE"/>
    <w:rsid w:val="00675E0A"/>
    <w:rsid w:val="00676097"/>
    <w:rsid w:val="006764DD"/>
    <w:rsid w:val="0067680C"/>
    <w:rsid w:val="00676EA0"/>
    <w:rsid w:val="006777BD"/>
    <w:rsid w:val="00677CA4"/>
    <w:rsid w:val="00680C1D"/>
    <w:rsid w:val="006820DB"/>
    <w:rsid w:val="00682645"/>
    <w:rsid w:val="0068264D"/>
    <w:rsid w:val="00682906"/>
    <w:rsid w:val="006833DB"/>
    <w:rsid w:val="006835DC"/>
    <w:rsid w:val="00683FCE"/>
    <w:rsid w:val="006844B4"/>
    <w:rsid w:val="00684A15"/>
    <w:rsid w:val="0068562F"/>
    <w:rsid w:val="006859E4"/>
    <w:rsid w:val="00685C90"/>
    <w:rsid w:val="00687C01"/>
    <w:rsid w:val="0069051D"/>
    <w:rsid w:val="0069053F"/>
    <w:rsid w:val="00690795"/>
    <w:rsid w:val="00690903"/>
    <w:rsid w:val="00690D52"/>
    <w:rsid w:val="0069224D"/>
    <w:rsid w:val="00692964"/>
    <w:rsid w:val="00692A18"/>
    <w:rsid w:val="0069413C"/>
    <w:rsid w:val="0069462C"/>
    <w:rsid w:val="006947EB"/>
    <w:rsid w:val="0069480A"/>
    <w:rsid w:val="00695721"/>
    <w:rsid w:val="00695A7E"/>
    <w:rsid w:val="006961B9"/>
    <w:rsid w:val="00696B49"/>
    <w:rsid w:val="006A00CD"/>
    <w:rsid w:val="006A0721"/>
    <w:rsid w:val="006A0F9B"/>
    <w:rsid w:val="006A3935"/>
    <w:rsid w:val="006A3A9E"/>
    <w:rsid w:val="006A66E4"/>
    <w:rsid w:val="006A6C5E"/>
    <w:rsid w:val="006A6FDE"/>
    <w:rsid w:val="006A75AB"/>
    <w:rsid w:val="006A769F"/>
    <w:rsid w:val="006B0520"/>
    <w:rsid w:val="006B0978"/>
    <w:rsid w:val="006B14C7"/>
    <w:rsid w:val="006B2054"/>
    <w:rsid w:val="006B215A"/>
    <w:rsid w:val="006B2309"/>
    <w:rsid w:val="006B2310"/>
    <w:rsid w:val="006B3CEC"/>
    <w:rsid w:val="006B52B5"/>
    <w:rsid w:val="006B5506"/>
    <w:rsid w:val="006B5B82"/>
    <w:rsid w:val="006B61F2"/>
    <w:rsid w:val="006B6880"/>
    <w:rsid w:val="006B6C7F"/>
    <w:rsid w:val="006B6DA3"/>
    <w:rsid w:val="006B6E2C"/>
    <w:rsid w:val="006B7CD8"/>
    <w:rsid w:val="006C00FA"/>
    <w:rsid w:val="006C13AB"/>
    <w:rsid w:val="006C326A"/>
    <w:rsid w:val="006C5271"/>
    <w:rsid w:val="006C5D14"/>
    <w:rsid w:val="006C5DCD"/>
    <w:rsid w:val="006C6181"/>
    <w:rsid w:val="006C72E7"/>
    <w:rsid w:val="006C7820"/>
    <w:rsid w:val="006D0904"/>
    <w:rsid w:val="006D11BC"/>
    <w:rsid w:val="006D11CB"/>
    <w:rsid w:val="006D1832"/>
    <w:rsid w:val="006D1A32"/>
    <w:rsid w:val="006D1AC2"/>
    <w:rsid w:val="006D1EC9"/>
    <w:rsid w:val="006D1F2C"/>
    <w:rsid w:val="006D203D"/>
    <w:rsid w:val="006D2EDC"/>
    <w:rsid w:val="006D381B"/>
    <w:rsid w:val="006D3EFE"/>
    <w:rsid w:val="006D4560"/>
    <w:rsid w:val="006D4842"/>
    <w:rsid w:val="006D4B6F"/>
    <w:rsid w:val="006D5144"/>
    <w:rsid w:val="006D523C"/>
    <w:rsid w:val="006D55C2"/>
    <w:rsid w:val="006D5A38"/>
    <w:rsid w:val="006D5D1E"/>
    <w:rsid w:val="006D6697"/>
    <w:rsid w:val="006D6B0A"/>
    <w:rsid w:val="006D723C"/>
    <w:rsid w:val="006D7CE6"/>
    <w:rsid w:val="006E15C7"/>
    <w:rsid w:val="006E17E3"/>
    <w:rsid w:val="006E2400"/>
    <w:rsid w:val="006E27C9"/>
    <w:rsid w:val="006E283C"/>
    <w:rsid w:val="006E285E"/>
    <w:rsid w:val="006E2BF3"/>
    <w:rsid w:val="006E46E5"/>
    <w:rsid w:val="006E4A63"/>
    <w:rsid w:val="006E5B39"/>
    <w:rsid w:val="006E5F59"/>
    <w:rsid w:val="006E6474"/>
    <w:rsid w:val="006E6612"/>
    <w:rsid w:val="006E671F"/>
    <w:rsid w:val="006E6767"/>
    <w:rsid w:val="006E685C"/>
    <w:rsid w:val="006E73E0"/>
    <w:rsid w:val="006E763C"/>
    <w:rsid w:val="006E7A2D"/>
    <w:rsid w:val="006F24C3"/>
    <w:rsid w:val="006F35BF"/>
    <w:rsid w:val="006F3654"/>
    <w:rsid w:val="006F4E49"/>
    <w:rsid w:val="006F50F1"/>
    <w:rsid w:val="006F6081"/>
    <w:rsid w:val="006F6554"/>
    <w:rsid w:val="006F666A"/>
    <w:rsid w:val="006F6E99"/>
    <w:rsid w:val="006F70D1"/>
    <w:rsid w:val="006F72B2"/>
    <w:rsid w:val="006F7960"/>
    <w:rsid w:val="006F796B"/>
    <w:rsid w:val="006F7999"/>
    <w:rsid w:val="007004A0"/>
    <w:rsid w:val="00700C35"/>
    <w:rsid w:val="00700D87"/>
    <w:rsid w:val="00700E1F"/>
    <w:rsid w:val="0070128B"/>
    <w:rsid w:val="00702253"/>
    <w:rsid w:val="007022C8"/>
    <w:rsid w:val="007028EA"/>
    <w:rsid w:val="00702C6D"/>
    <w:rsid w:val="00703E30"/>
    <w:rsid w:val="00704536"/>
    <w:rsid w:val="00704823"/>
    <w:rsid w:val="0070534C"/>
    <w:rsid w:val="00705E27"/>
    <w:rsid w:val="007118EC"/>
    <w:rsid w:val="0071264F"/>
    <w:rsid w:val="0071296B"/>
    <w:rsid w:val="007139BC"/>
    <w:rsid w:val="00713C26"/>
    <w:rsid w:val="007144F0"/>
    <w:rsid w:val="0071510A"/>
    <w:rsid w:val="00715219"/>
    <w:rsid w:val="00715C63"/>
    <w:rsid w:val="0071685D"/>
    <w:rsid w:val="00716EC1"/>
    <w:rsid w:val="007174FC"/>
    <w:rsid w:val="00717927"/>
    <w:rsid w:val="00717ADA"/>
    <w:rsid w:val="00717EDA"/>
    <w:rsid w:val="00720704"/>
    <w:rsid w:val="007208AE"/>
    <w:rsid w:val="00721435"/>
    <w:rsid w:val="007219E9"/>
    <w:rsid w:val="00721AA7"/>
    <w:rsid w:val="00721DB8"/>
    <w:rsid w:val="00722878"/>
    <w:rsid w:val="00723109"/>
    <w:rsid w:val="00723D67"/>
    <w:rsid w:val="007249E7"/>
    <w:rsid w:val="00724E51"/>
    <w:rsid w:val="00724F34"/>
    <w:rsid w:val="007266E3"/>
    <w:rsid w:val="00730417"/>
    <w:rsid w:val="007307FD"/>
    <w:rsid w:val="0073246C"/>
    <w:rsid w:val="00732A7F"/>
    <w:rsid w:val="00732BD1"/>
    <w:rsid w:val="00733061"/>
    <w:rsid w:val="0073322D"/>
    <w:rsid w:val="00733C32"/>
    <w:rsid w:val="00733FAC"/>
    <w:rsid w:val="00734A6B"/>
    <w:rsid w:val="00734B72"/>
    <w:rsid w:val="00734FC5"/>
    <w:rsid w:val="00735C09"/>
    <w:rsid w:val="00736845"/>
    <w:rsid w:val="00737976"/>
    <w:rsid w:val="00737D96"/>
    <w:rsid w:val="00740439"/>
    <w:rsid w:val="0074114D"/>
    <w:rsid w:val="00741A19"/>
    <w:rsid w:val="00741D6E"/>
    <w:rsid w:val="00744141"/>
    <w:rsid w:val="007448C4"/>
    <w:rsid w:val="00744C5F"/>
    <w:rsid w:val="00746E19"/>
    <w:rsid w:val="00746E5B"/>
    <w:rsid w:val="00746E62"/>
    <w:rsid w:val="007475C5"/>
    <w:rsid w:val="00747A96"/>
    <w:rsid w:val="00747AE1"/>
    <w:rsid w:val="00750862"/>
    <w:rsid w:val="00750D3D"/>
    <w:rsid w:val="00751909"/>
    <w:rsid w:val="00752402"/>
    <w:rsid w:val="00752C9B"/>
    <w:rsid w:val="00752F35"/>
    <w:rsid w:val="0075441F"/>
    <w:rsid w:val="00754B38"/>
    <w:rsid w:val="00754BA4"/>
    <w:rsid w:val="00754F0E"/>
    <w:rsid w:val="00755BCB"/>
    <w:rsid w:val="00755E3B"/>
    <w:rsid w:val="007570F1"/>
    <w:rsid w:val="00757C6C"/>
    <w:rsid w:val="0076000D"/>
    <w:rsid w:val="00761995"/>
    <w:rsid w:val="0076249B"/>
    <w:rsid w:val="00762933"/>
    <w:rsid w:val="00762B24"/>
    <w:rsid w:val="00762C31"/>
    <w:rsid w:val="00762F81"/>
    <w:rsid w:val="007632D8"/>
    <w:rsid w:val="00763FAD"/>
    <w:rsid w:val="0076528A"/>
    <w:rsid w:val="00765516"/>
    <w:rsid w:val="0076572C"/>
    <w:rsid w:val="00765A6C"/>
    <w:rsid w:val="00766517"/>
    <w:rsid w:val="007672C4"/>
    <w:rsid w:val="007672DF"/>
    <w:rsid w:val="00767ED0"/>
    <w:rsid w:val="00770732"/>
    <w:rsid w:val="00771CF7"/>
    <w:rsid w:val="00772130"/>
    <w:rsid w:val="007739BD"/>
    <w:rsid w:val="00773E99"/>
    <w:rsid w:val="007745BD"/>
    <w:rsid w:val="0077465B"/>
    <w:rsid w:val="00774A4C"/>
    <w:rsid w:val="00774D10"/>
    <w:rsid w:val="00775EC4"/>
    <w:rsid w:val="00776785"/>
    <w:rsid w:val="00776EA9"/>
    <w:rsid w:val="00777B1E"/>
    <w:rsid w:val="00777E79"/>
    <w:rsid w:val="00777E9F"/>
    <w:rsid w:val="00781B0A"/>
    <w:rsid w:val="00782569"/>
    <w:rsid w:val="007826B7"/>
    <w:rsid w:val="007829B0"/>
    <w:rsid w:val="0078312E"/>
    <w:rsid w:val="0078386A"/>
    <w:rsid w:val="00783EEA"/>
    <w:rsid w:val="007845D5"/>
    <w:rsid w:val="00784975"/>
    <w:rsid w:val="00786C13"/>
    <w:rsid w:val="00787532"/>
    <w:rsid w:val="00787D3E"/>
    <w:rsid w:val="00790738"/>
    <w:rsid w:val="00791CB0"/>
    <w:rsid w:val="00791D87"/>
    <w:rsid w:val="00792EFF"/>
    <w:rsid w:val="0079419C"/>
    <w:rsid w:val="007942BD"/>
    <w:rsid w:val="00794442"/>
    <w:rsid w:val="007948DB"/>
    <w:rsid w:val="00795EA0"/>
    <w:rsid w:val="00797907"/>
    <w:rsid w:val="007A01CD"/>
    <w:rsid w:val="007A0414"/>
    <w:rsid w:val="007A047B"/>
    <w:rsid w:val="007A069B"/>
    <w:rsid w:val="007A08BF"/>
    <w:rsid w:val="007A0BDD"/>
    <w:rsid w:val="007A1000"/>
    <w:rsid w:val="007A16DD"/>
    <w:rsid w:val="007A1BC6"/>
    <w:rsid w:val="007A2617"/>
    <w:rsid w:val="007A3929"/>
    <w:rsid w:val="007A3D2F"/>
    <w:rsid w:val="007A3E5B"/>
    <w:rsid w:val="007A3FAF"/>
    <w:rsid w:val="007A4D96"/>
    <w:rsid w:val="007A4F80"/>
    <w:rsid w:val="007A5A1A"/>
    <w:rsid w:val="007A5CD6"/>
    <w:rsid w:val="007A5ED7"/>
    <w:rsid w:val="007A64E7"/>
    <w:rsid w:val="007A6DA3"/>
    <w:rsid w:val="007A72A6"/>
    <w:rsid w:val="007A7374"/>
    <w:rsid w:val="007A739F"/>
    <w:rsid w:val="007A73A5"/>
    <w:rsid w:val="007A7DA9"/>
    <w:rsid w:val="007B17C6"/>
    <w:rsid w:val="007B1D3B"/>
    <w:rsid w:val="007B1E3C"/>
    <w:rsid w:val="007B3C8B"/>
    <w:rsid w:val="007B4683"/>
    <w:rsid w:val="007B49C8"/>
    <w:rsid w:val="007B5723"/>
    <w:rsid w:val="007B62DD"/>
    <w:rsid w:val="007B67F6"/>
    <w:rsid w:val="007B6FC7"/>
    <w:rsid w:val="007B7170"/>
    <w:rsid w:val="007B7D8D"/>
    <w:rsid w:val="007C0327"/>
    <w:rsid w:val="007C0F7C"/>
    <w:rsid w:val="007C11C8"/>
    <w:rsid w:val="007C2DF2"/>
    <w:rsid w:val="007C438E"/>
    <w:rsid w:val="007C44EE"/>
    <w:rsid w:val="007C4A38"/>
    <w:rsid w:val="007C4A64"/>
    <w:rsid w:val="007C4DC7"/>
    <w:rsid w:val="007C59D6"/>
    <w:rsid w:val="007D1768"/>
    <w:rsid w:val="007D17A2"/>
    <w:rsid w:val="007D1F72"/>
    <w:rsid w:val="007D2D61"/>
    <w:rsid w:val="007D2FC3"/>
    <w:rsid w:val="007D3302"/>
    <w:rsid w:val="007D358B"/>
    <w:rsid w:val="007D35F8"/>
    <w:rsid w:val="007D3E6D"/>
    <w:rsid w:val="007D4224"/>
    <w:rsid w:val="007D4694"/>
    <w:rsid w:val="007D681D"/>
    <w:rsid w:val="007E016A"/>
    <w:rsid w:val="007E04A4"/>
    <w:rsid w:val="007E0851"/>
    <w:rsid w:val="007E1076"/>
    <w:rsid w:val="007E1080"/>
    <w:rsid w:val="007E1B90"/>
    <w:rsid w:val="007E23F7"/>
    <w:rsid w:val="007E28F1"/>
    <w:rsid w:val="007E4C67"/>
    <w:rsid w:val="007E52F1"/>
    <w:rsid w:val="007E54CF"/>
    <w:rsid w:val="007E5B8D"/>
    <w:rsid w:val="007E5D24"/>
    <w:rsid w:val="007E67AC"/>
    <w:rsid w:val="007E71B1"/>
    <w:rsid w:val="007E7583"/>
    <w:rsid w:val="007F057C"/>
    <w:rsid w:val="007F1C00"/>
    <w:rsid w:val="007F1C47"/>
    <w:rsid w:val="007F1F93"/>
    <w:rsid w:val="007F24AF"/>
    <w:rsid w:val="007F2D0E"/>
    <w:rsid w:val="007F3963"/>
    <w:rsid w:val="007F4529"/>
    <w:rsid w:val="007F49F9"/>
    <w:rsid w:val="007F5391"/>
    <w:rsid w:val="007F58BF"/>
    <w:rsid w:val="007F5EBF"/>
    <w:rsid w:val="007F65A1"/>
    <w:rsid w:val="007F6B75"/>
    <w:rsid w:val="00800038"/>
    <w:rsid w:val="00800665"/>
    <w:rsid w:val="00801A18"/>
    <w:rsid w:val="00802229"/>
    <w:rsid w:val="0080316B"/>
    <w:rsid w:val="00803517"/>
    <w:rsid w:val="00803E99"/>
    <w:rsid w:val="008043A5"/>
    <w:rsid w:val="008048F8"/>
    <w:rsid w:val="00804EA5"/>
    <w:rsid w:val="0080590E"/>
    <w:rsid w:val="00805920"/>
    <w:rsid w:val="0080641F"/>
    <w:rsid w:val="00806CF9"/>
    <w:rsid w:val="008100BB"/>
    <w:rsid w:val="0081024D"/>
    <w:rsid w:val="008119EB"/>
    <w:rsid w:val="00811B01"/>
    <w:rsid w:val="00811E00"/>
    <w:rsid w:val="00811E78"/>
    <w:rsid w:val="008120BA"/>
    <w:rsid w:val="00812EFB"/>
    <w:rsid w:val="00813B59"/>
    <w:rsid w:val="00814267"/>
    <w:rsid w:val="00814496"/>
    <w:rsid w:val="00814553"/>
    <w:rsid w:val="00814A85"/>
    <w:rsid w:val="008157AE"/>
    <w:rsid w:val="00815ACC"/>
    <w:rsid w:val="00816290"/>
    <w:rsid w:val="00816C42"/>
    <w:rsid w:val="0081741D"/>
    <w:rsid w:val="00817EB8"/>
    <w:rsid w:val="008204DC"/>
    <w:rsid w:val="0082137A"/>
    <w:rsid w:val="00821FA8"/>
    <w:rsid w:val="00823CC4"/>
    <w:rsid w:val="00824019"/>
    <w:rsid w:val="00825FB8"/>
    <w:rsid w:val="008260FD"/>
    <w:rsid w:val="00826DAA"/>
    <w:rsid w:val="00826F89"/>
    <w:rsid w:val="008273CB"/>
    <w:rsid w:val="00827623"/>
    <w:rsid w:val="00831238"/>
    <w:rsid w:val="008318FE"/>
    <w:rsid w:val="0084186F"/>
    <w:rsid w:val="00841AE7"/>
    <w:rsid w:val="00841CA6"/>
    <w:rsid w:val="0084207B"/>
    <w:rsid w:val="008422FA"/>
    <w:rsid w:val="00842D8B"/>
    <w:rsid w:val="00843EAD"/>
    <w:rsid w:val="008440F7"/>
    <w:rsid w:val="00844BD9"/>
    <w:rsid w:val="00844CA0"/>
    <w:rsid w:val="00845547"/>
    <w:rsid w:val="0084592F"/>
    <w:rsid w:val="0084603B"/>
    <w:rsid w:val="00846999"/>
    <w:rsid w:val="00846F57"/>
    <w:rsid w:val="008472A6"/>
    <w:rsid w:val="00847D3A"/>
    <w:rsid w:val="00847F38"/>
    <w:rsid w:val="00850EB7"/>
    <w:rsid w:val="00851703"/>
    <w:rsid w:val="008520D0"/>
    <w:rsid w:val="0085304C"/>
    <w:rsid w:val="00853340"/>
    <w:rsid w:val="008536BE"/>
    <w:rsid w:val="00853738"/>
    <w:rsid w:val="00853E3E"/>
    <w:rsid w:val="008541E6"/>
    <w:rsid w:val="00854394"/>
    <w:rsid w:val="008543B5"/>
    <w:rsid w:val="00855C8E"/>
    <w:rsid w:val="00855E65"/>
    <w:rsid w:val="008567E1"/>
    <w:rsid w:val="008568B8"/>
    <w:rsid w:val="008575B5"/>
    <w:rsid w:val="00857DF7"/>
    <w:rsid w:val="00860872"/>
    <w:rsid w:val="0086154E"/>
    <w:rsid w:val="008623D4"/>
    <w:rsid w:val="0086251A"/>
    <w:rsid w:val="00863CE8"/>
    <w:rsid w:val="00864FCE"/>
    <w:rsid w:val="008657AF"/>
    <w:rsid w:val="00865B95"/>
    <w:rsid w:val="00867EE5"/>
    <w:rsid w:val="008706B3"/>
    <w:rsid w:val="0087082F"/>
    <w:rsid w:val="008714F8"/>
    <w:rsid w:val="00871527"/>
    <w:rsid w:val="00871763"/>
    <w:rsid w:val="00872264"/>
    <w:rsid w:val="008723FC"/>
    <w:rsid w:val="00872586"/>
    <w:rsid w:val="00873233"/>
    <w:rsid w:val="008750BA"/>
    <w:rsid w:val="008757FA"/>
    <w:rsid w:val="0087676C"/>
    <w:rsid w:val="00877D4A"/>
    <w:rsid w:val="00881C81"/>
    <w:rsid w:val="008834D2"/>
    <w:rsid w:val="00883941"/>
    <w:rsid w:val="008840C7"/>
    <w:rsid w:val="008848E1"/>
    <w:rsid w:val="00885423"/>
    <w:rsid w:val="0088599A"/>
    <w:rsid w:val="00886B31"/>
    <w:rsid w:val="0088709D"/>
    <w:rsid w:val="00887705"/>
    <w:rsid w:val="00887AEB"/>
    <w:rsid w:val="00887B9E"/>
    <w:rsid w:val="00887F85"/>
    <w:rsid w:val="00890A78"/>
    <w:rsid w:val="00890EA0"/>
    <w:rsid w:val="00890EEC"/>
    <w:rsid w:val="00891522"/>
    <w:rsid w:val="008916CC"/>
    <w:rsid w:val="008925E8"/>
    <w:rsid w:val="00893774"/>
    <w:rsid w:val="00893EBF"/>
    <w:rsid w:val="00894819"/>
    <w:rsid w:val="00894BBF"/>
    <w:rsid w:val="00894F0F"/>
    <w:rsid w:val="00895826"/>
    <w:rsid w:val="00895C8D"/>
    <w:rsid w:val="00896C0E"/>
    <w:rsid w:val="00896F3D"/>
    <w:rsid w:val="00897385"/>
    <w:rsid w:val="008975D9"/>
    <w:rsid w:val="00897765"/>
    <w:rsid w:val="008A0470"/>
    <w:rsid w:val="008A04EB"/>
    <w:rsid w:val="008A06FD"/>
    <w:rsid w:val="008A1029"/>
    <w:rsid w:val="008A15B0"/>
    <w:rsid w:val="008A1A35"/>
    <w:rsid w:val="008A20E6"/>
    <w:rsid w:val="008A2342"/>
    <w:rsid w:val="008A2B31"/>
    <w:rsid w:val="008A3022"/>
    <w:rsid w:val="008A3ADA"/>
    <w:rsid w:val="008A4B60"/>
    <w:rsid w:val="008A57A9"/>
    <w:rsid w:val="008A5EFC"/>
    <w:rsid w:val="008A6845"/>
    <w:rsid w:val="008A6F42"/>
    <w:rsid w:val="008A73EF"/>
    <w:rsid w:val="008B0E7B"/>
    <w:rsid w:val="008B157A"/>
    <w:rsid w:val="008B22AD"/>
    <w:rsid w:val="008B2472"/>
    <w:rsid w:val="008B269D"/>
    <w:rsid w:val="008B3485"/>
    <w:rsid w:val="008B3847"/>
    <w:rsid w:val="008B4258"/>
    <w:rsid w:val="008B43E9"/>
    <w:rsid w:val="008B4CA5"/>
    <w:rsid w:val="008B4D8A"/>
    <w:rsid w:val="008B4D9B"/>
    <w:rsid w:val="008B5566"/>
    <w:rsid w:val="008B567F"/>
    <w:rsid w:val="008B667E"/>
    <w:rsid w:val="008B6828"/>
    <w:rsid w:val="008B766F"/>
    <w:rsid w:val="008C00F7"/>
    <w:rsid w:val="008C0785"/>
    <w:rsid w:val="008C0DBC"/>
    <w:rsid w:val="008C1F10"/>
    <w:rsid w:val="008C3BDA"/>
    <w:rsid w:val="008C3F71"/>
    <w:rsid w:val="008C409A"/>
    <w:rsid w:val="008C5895"/>
    <w:rsid w:val="008C58C7"/>
    <w:rsid w:val="008C5CF5"/>
    <w:rsid w:val="008C5E00"/>
    <w:rsid w:val="008C66ED"/>
    <w:rsid w:val="008C7509"/>
    <w:rsid w:val="008C7828"/>
    <w:rsid w:val="008C7C7B"/>
    <w:rsid w:val="008D20C0"/>
    <w:rsid w:val="008D2951"/>
    <w:rsid w:val="008D2C11"/>
    <w:rsid w:val="008D3085"/>
    <w:rsid w:val="008D3ABE"/>
    <w:rsid w:val="008D3DFC"/>
    <w:rsid w:val="008D4107"/>
    <w:rsid w:val="008D4332"/>
    <w:rsid w:val="008D44BA"/>
    <w:rsid w:val="008D49F5"/>
    <w:rsid w:val="008D4D34"/>
    <w:rsid w:val="008D52ED"/>
    <w:rsid w:val="008D5C86"/>
    <w:rsid w:val="008D70BE"/>
    <w:rsid w:val="008D7187"/>
    <w:rsid w:val="008D79B9"/>
    <w:rsid w:val="008E0864"/>
    <w:rsid w:val="008E1FCF"/>
    <w:rsid w:val="008E255C"/>
    <w:rsid w:val="008E29EA"/>
    <w:rsid w:val="008E3A28"/>
    <w:rsid w:val="008E3DC8"/>
    <w:rsid w:val="008E484B"/>
    <w:rsid w:val="008E4983"/>
    <w:rsid w:val="008E4A5E"/>
    <w:rsid w:val="008E5623"/>
    <w:rsid w:val="008E6174"/>
    <w:rsid w:val="008E660F"/>
    <w:rsid w:val="008E75CF"/>
    <w:rsid w:val="008E7DDE"/>
    <w:rsid w:val="008F179D"/>
    <w:rsid w:val="008F1B6C"/>
    <w:rsid w:val="008F2C5B"/>
    <w:rsid w:val="008F300D"/>
    <w:rsid w:val="008F31E1"/>
    <w:rsid w:val="008F3A2A"/>
    <w:rsid w:val="008F3B4F"/>
    <w:rsid w:val="008F3C7B"/>
    <w:rsid w:val="008F4AD3"/>
    <w:rsid w:val="008F563E"/>
    <w:rsid w:val="008F65D5"/>
    <w:rsid w:val="008F69E4"/>
    <w:rsid w:val="008F7704"/>
    <w:rsid w:val="009004BF"/>
    <w:rsid w:val="00900870"/>
    <w:rsid w:val="00900D19"/>
    <w:rsid w:val="00900DCE"/>
    <w:rsid w:val="009014FD"/>
    <w:rsid w:val="00901C88"/>
    <w:rsid w:val="00902D7A"/>
    <w:rsid w:val="00903061"/>
    <w:rsid w:val="009037D0"/>
    <w:rsid w:val="009037E0"/>
    <w:rsid w:val="00903D46"/>
    <w:rsid w:val="00905BD4"/>
    <w:rsid w:val="00905EE3"/>
    <w:rsid w:val="00906214"/>
    <w:rsid w:val="0090638E"/>
    <w:rsid w:val="00906F91"/>
    <w:rsid w:val="00907DC6"/>
    <w:rsid w:val="0091091C"/>
    <w:rsid w:val="00910A11"/>
    <w:rsid w:val="00911664"/>
    <w:rsid w:val="00911EB8"/>
    <w:rsid w:val="009124F0"/>
    <w:rsid w:val="009133DC"/>
    <w:rsid w:val="0091357C"/>
    <w:rsid w:val="009140C9"/>
    <w:rsid w:val="009148D5"/>
    <w:rsid w:val="00914D39"/>
    <w:rsid w:val="00915466"/>
    <w:rsid w:val="009158BE"/>
    <w:rsid w:val="009176B9"/>
    <w:rsid w:val="0092137F"/>
    <w:rsid w:val="00921FCE"/>
    <w:rsid w:val="0092266A"/>
    <w:rsid w:val="00922F1A"/>
    <w:rsid w:val="00924AEB"/>
    <w:rsid w:val="0092519E"/>
    <w:rsid w:val="0093063F"/>
    <w:rsid w:val="00930D26"/>
    <w:rsid w:val="00930F61"/>
    <w:rsid w:val="009318F1"/>
    <w:rsid w:val="00932899"/>
    <w:rsid w:val="0093485D"/>
    <w:rsid w:val="009356CD"/>
    <w:rsid w:val="00936902"/>
    <w:rsid w:val="00936A1B"/>
    <w:rsid w:val="00936AA1"/>
    <w:rsid w:val="00937239"/>
    <w:rsid w:val="0093794E"/>
    <w:rsid w:val="00941AFC"/>
    <w:rsid w:val="00941C3D"/>
    <w:rsid w:val="009424B5"/>
    <w:rsid w:val="009426E0"/>
    <w:rsid w:val="00943375"/>
    <w:rsid w:val="00943D2C"/>
    <w:rsid w:val="009444C9"/>
    <w:rsid w:val="009449DB"/>
    <w:rsid w:val="00944D55"/>
    <w:rsid w:val="00945174"/>
    <w:rsid w:val="00945F57"/>
    <w:rsid w:val="00946129"/>
    <w:rsid w:val="00946397"/>
    <w:rsid w:val="009466AC"/>
    <w:rsid w:val="00947EFB"/>
    <w:rsid w:val="009502C2"/>
    <w:rsid w:val="009509F3"/>
    <w:rsid w:val="00950C70"/>
    <w:rsid w:val="00951531"/>
    <w:rsid w:val="00952DF5"/>
    <w:rsid w:val="009530D6"/>
    <w:rsid w:val="00953D57"/>
    <w:rsid w:val="00953E19"/>
    <w:rsid w:val="00954F3D"/>
    <w:rsid w:val="009555C0"/>
    <w:rsid w:val="009556A5"/>
    <w:rsid w:val="00956987"/>
    <w:rsid w:val="00957004"/>
    <w:rsid w:val="009606CE"/>
    <w:rsid w:val="00960EA7"/>
    <w:rsid w:val="00962099"/>
    <w:rsid w:val="0096210C"/>
    <w:rsid w:val="009635BE"/>
    <w:rsid w:val="00963798"/>
    <w:rsid w:val="009645D5"/>
    <w:rsid w:val="00964CA9"/>
    <w:rsid w:val="0096516B"/>
    <w:rsid w:val="00970179"/>
    <w:rsid w:val="009709DF"/>
    <w:rsid w:val="0097231A"/>
    <w:rsid w:val="00973AF5"/>
    <w:rsid w:val="00973C2B"/>
    <w:rsid w:val="0097409F"/>
    <w:rsid w:val="009745C2"/>
    <w:rsid w:val="00974BD9"/>
    <w:rsid w:val="0097552D"/>
    <w:rsid w:val="009756BA"/>
    <w:rsid w:val="009761D0"/>
    <w:rsid w:val="00976B4A"/>
    <w:rsid w:val="00976DFE"/>
    <w:rsid w:val="00980FFF"/>
    <w:rsid w:val="009810C0"/>
    <w:rsid w:val="0098173D"/>
    <w:rsid w:val="0098178D"/>
    <w:rsid w:val="00982AE6"/>
    <w:rsid w:val="00982E9F"/>
    <w:rsid w:val="0098472D"/>
    <w:rsid w:val="00985A09"/>
    <w:rsid w:val="0098606A"/>
    <w:rsid w:val="00986D3E"/>
    <w:rsid w:val="00991464"/>
    <w:rsid w:val="00991F2B"/>
    <w:rsid w:val="00992500"/>
    <w:rsid w:val="00992FFA"/>
    <w:rsid w:val="00993322"/>
    <w:rsid w:val="00993984"/>
    <w:rsid w:val="00993BBA"/>
    <w:rsid w:val="00995F39"/>
    <w:rsid w:val="00997EFB"/>
    <w:rsid w:val="009A0E23"/>
    <w:rsid w:val="009A120C"/>
    <w:rsid w:val="009A1548"/>
    <w:rsid w:val="009A1EEB"/>
    <w:rsid w:val="009A2FD0"/>
    <w:rsid w:val="009A3089"/>
    <w:rsid w:val="009A316B"/>
    <w:rsid w:val="009A4106"/>
    <w:rsid w:val="009A4BDC"/>
    <w:rsid w:val="009A55CF"/>
    <w:rsid w:val="009A5914"/>
    <w:rsid w:val="009A5D37"/>
    <w:rsid w:val="009A64F5"/>
    <w:rsid w:val="009A67F9"/>
    <w:rsid w:val="009A7620"/>
    <w:rsid w:val="009A769B"/>
    <w:rsid w:val="009B1376"/>
    <w:rsid w:val="009B1779"/>
    <w:rsid w:val="009B1800"/>
    <w:rsid w:val="009B1F9F"/>
    <w:rsid w:val="009B2308"/>
    <w:rsid w:val="009B2C65"/>
    <w:rsid w:val="009B33F4"/>
    <w:rsid w:val="009B4022"/>
    <w:rsid w:val="009B4D62"/>
    <w:rsid w:val="009B539F"/>
    <w:rsid w:val="009B69BB"/>
    <w:rsid w:val="009B6BED"/>
    <w:rsid w:val="009B78B1"/>
    <w:rsid w:val="009C00AB"/>
    <w:rsid w:val="009C00B1"/>
    <w:rsid w:val="009C16EC"/>
    <w:rsid w:val="009C1F28"/>
    <w:rsid w:val="009C1FAA"/>
    <w:rsid w:val="009C200B"/>
    <w:rsid w:val="009C2D94"/>
    <w:rsid w:val="009C43C1"/>
    <w:rsid w:val="009C4467"/>
    <w:rsid w:val="009C45A3"/>
    <w:rsid w:val="009C48C1"/>
    <w:rsid w:val="009C4CAA"/>
    <w:rsid w:val="009C59C8"/>
    <w:rsid w:val="009C5FEB"/>
    <w:rsid w:val="009C6428"/>
    <w:rsid w:val="009C6788"/>
    <w:rsid w:val="009C733A"/>
    <w:rsid w:val="009D007C"/>
    <w:rsid w:val="009D1337"/>
    <w:rsid w:val="009D18E7"/>
    <w:rsid w:val="009D2390"/>
    <w:rsid w:val="009D37EE"/>
    <w:rsid w:val="009D3860"/>
    <w:rsid w:val="009D394F"/>
    <w:rsid w:val="009D3DC1"/>
    <w:rsid w:val="009D4102"/>
    <w:rsid w:val="009D49F8"/>
    <w:rsid w:val="009D74F7"/>
    <w:rsid w:val="009D7540"/>
    <w:rsid w:val="009E09A6"/>
    <w:rsid w:val="009E0A8B"/>
    <w:rsid w:val="009E0E37"/>
    <w:rsid w:val="009E3A9E"/>
    <w:rsid w:val="009E3C35"/>
    <w:rsid w:val="009E3C4D"/>
    <w:rsid w:val="009E46EC"/>
    <w:rsid w:val="009E4A42"/>
    <w:rsid w:val="009E4C47"/>
    <w:rsid w:val="009E4E0B"/>
    <w:rsid w:val="009E53DD"/>
    <w:rsid w:val="009E5E04"/>
    <w:rsid w:val="009E76B4"/>
    <w:rsid w:val="009E7778"/>
    <w:rsid w:val="009E78F4"/>
    <w:rsid w:val="009F1861"/>
    <w:rsid w:val="009F206A"/>
    <w:rsid w:val="009F38D8"/>
    <w:rsid w:val="009F3AC1"/>
    <w:rsid w:val="009F4650"/>
    <w:rsid w:val="009F4C87"/>
    <w:rsid w:val="009F4E16"/>
    <w:rsid w:val="009F4E6D"/>
    <w:rsid w:val="009F5310"/>
    <w:rsid w:val="009F6EB8"/>
    <w:rsid w:val="009F6F6D"/>
    <w:rsid w:val="009F73D9"/>
    <w:rsid w:val="00A002FF"/>
    <w:rsid w:val="00A00A5B"/>
    <w:rsid w:val="00A00F19"/>
    <w:rsid w:val="00A013E8"/>
    <w:rsid w:val="00A01FC0"/>
    <w:rsid w:val="00A02326"/>
    <w:rsid w:val="00A023F8"/>
    <w:rsid w:val="00A02A54"/>
    <w:rsid w:val="00A034D6"/>
    <w:rsid w:val="00A051D0"/>
    <w:rsid w:val="00A06024"/>
    <w:rsid w:val="00A06421"/>
    <w:rsid w:val="00A067AE"/>
    <w:rsid w:val="00A06835"/>
    <w:rsid w:val="00A06B87"/>
    <w:rsid w:val="00A10D43"/>
    <w:rsid w:val="00A10F6B"/>
    <w:rsid w:val="00A11826"/>
    <w:rsid w:val="00A12373"/>
    <w:rsid w:val="00A123FA"/>
    <w:rsid w:val="00A12717"/>
    <w:rsid w:val="00A132B0"/>
    <w:rsid w:val="00A138EF"/>
    <w:rsid w:val="00A13A4F"/>
    <w:rsid w:val="00A145FF"/>
    <w:rsid w:val="00A1537C"/>
    <w:rsid w:val="00A15562"/>
    <w:rsid w:val="00A1560A"/>
    <w:rsid w:val="00A160BF"/>
    <w:rsid w:val="00A17977"/>
    <w:rsid w:val="00A21159"/>
    <w:rsid w:val="00A21451"/>
    <w:rsid w:val="00A2155B"/>
    <w:rsid w:val="00A21B6F"/>
    <w:rsid w:val="00A22A0A"/>
    <w:rsid w:val="00A22A30"/>
    <w:rsid w:val="00A23196"/>
    <w:rsid w:val="00A2349C"/>
    <w:rsid w:val="00A23E88"/>
    <w:rsid w:val="00A24E7E"/>
    <w:rsid w:val="00A25CBF"/>
    <w:rsid w:val="00A268E3"/>
    <w:rsid w:val="00A26F5D"/>
    <w:rsid w:val="00A3049F"/>
    <w:rsid w:val="00A309C7"/>
    <w:rsid w:val="00A30F1E"/>
    <w:rsid w:val="00A30F4A"/>
    <w:rsid w:val="00A3102A"/>
    <w:rsid w:val="00A3119A"/>
    <w:rsid w:val="00A3178E"/>
    <w:rsid w:val="00A32461"/>
    <w:rsid w:val="00A329B1"/>
    <w:rsid w:val="00A332EE"/>
    <w:rsid w:val="00A33479"/>
    <w:rsid w:val="00A33A9B"/>
    <w:rsid w:val="00A34402"/>
    <w:rsid w:val="00A34934"/>
    <w:rsid w:val="00A36970"/>
    <w:rsid w:val="00A36E01"/>
    <w:rsid w:val="00A36EC1"/>
    <w:rsid w:val="00A379DF"/>
    <w:rsid w:val="00A37D50"/>
    <w:rsid w:val="00A37F5B"/>
    <w:rsid w:val="00A4040E"/>
    <w:rsid w:val="00A40781"/>
    <w:rsid w:val="00A4081C"/>
    <w:rsid w:val="00A42FD2"/>
    <w:rsid w:val="00A43613"/>
    <w:rsid w:val="00A438C6"/>
    <w:rsid w:val="00A43BB1"/>
    <w:rsid w:val="00A43CFF"/>
    <w:rsid w:val="00A44BB3"/>
    <w:rsid w:val="00A4519F"/>
    <w:rsid w:val="00A457EF"/>
    <w:rsid w:val="00A45809"/>
    <w:rsid w:val="00A45D5D"/>
    <w:rsid w:val="00A46BFB"/>
    <w:rsid w:val="00A477FC"/>
    <w:rsid w:val="00A5030E"/>
    <w:rsid w:val="00A5097A"/>
    <w:rsid w:val="00A514DD"/>
    <w:rsid w:val="00A517CD"/>
    <w:rsid w:val="00A53200"/>
    <w:rsid w:val="00A534BC"/>
    <w:rsid w:val="00A5376A"/>
    <w:rsid w:val="00A55DB2"/>
    <w:rsid w:val="00A55DB8"/>
    <w:rsid w:val="00A56C0A"/>
    <w:rsid w:val="00A56ED2"/>
    <w:rsid w:val="00A57ABF"/>
    <w:rsid w:val="00A60518"/>
    <w:rsid w:val="00A61632"/>
    <w:rsid w:val="00A6201D"/>
    <w:rsid w:val="00A636D9"/>
    <w:rsid w:val="00A637AF"/>
    <w:rsid w:val="00A63973"/>
    <w:rsid w:val="00A64048"/>
    <w:rsid w:val="00A641E6"/>
    <w:rsid w:val="00A647B9"/>
    <w:rsid w:val="00A6503F"/>
    <w:rsid w:val="00A65409"/>
    <w:rsid w:val="00A661E1"/>
    <w:rsid w:val="00A66712"/>
    <w:rsid w:val="00A66772"/>
    <w:rsid w:val="00A66AE9"/>
    <w:rsid w:val="00A66F48"/>
    <w:rsid w:val="00A67A5C"/>
    <w:rsid w:val="00A70A5E"/>
    <w:rsid w:val="00A70EB9"/>
    <w:rsid w:val="00A712D6"/>
    <w:rsid w:val="00A71C08"/>
    <w:rsid w:val="00A71C39"/>
    <w:rsid w:val="00A71F6D"/>
    <w:rsid w:val="00A72082"/>
    <w:rsid w:val="00A7294E"/>
    <w:rsid w:val="00A7342E"/>
    <w:rsid w:val="00A73BD7"/>
    <w:rsid w:val="00A7410F"/>
    <w:rsid w:val="00A74BBA"/>
    <w:rsid w:val="00A74F51"/>
    <w:rsid w:val="00A76561"/>
    <w:rsid w:val="00A7723C"/>
    <w:rsid w:val="00A77EDE"/>
    <w:rsid w:val="00A80231"/>
    <w:rsid w:val="00A814C1"/>
    <w:rsid w:val="00A82491"/>
    <w:rsid w:val="00A82DD4"/>
    <w:rsid w:val="00A82E4E"/>
    <w:rsid w:val="00A82EA8"/>
    <w:rsid w:val="00A83818"/>
    <w:rsid w:val="00A83C55"/>
    <w:rsid w:val="00A84651"/>
    <w:rsid w:val="00A8626C"/>
    <w:rsid w:val="00A86FF6"/>
    <w:rsid w:val="00A87C6B"/>
    <w:rsid w:val="00A90089"/>
    <w:rsid w:val="00A90DB4"/>
    <w:rsid w:val="00A910E8"/>
    <w:rsid w:val="00A9144C"/>
    <w:rsid w:val="00A915AE"/>
    <w:rsid w:val="00A91E82"/>
    <w:rsid w:val="00A928AA"/>
    <w:rsid w:val="00A92FDF"/>
    <w:rsid w:val="00A93E5C"/>
    <w:rsid w:val="00A940E6"/>
    <w:rsid w:val="00A9417F"/>
    <w:rsid w:val="00A94AC4"/>
    <w:rsid w:val="00A94EDC"/>
    <w:rsid w:val="00A95BFC"/>
    <w:rsid w:val="00A95F71"/>
    <w:rsid w:val="00A9638E"/>
    <w:rsid w:val="00A97166"/>
    <w:rsid w:val="00AA05F5"/>
    <w:rsid w:val="00AA0FFD"/>
    <w:rsid w:val="00AA1578"/>
    <w:rsid w:val="00AA1773"/>
    <w:rsid w:val="00AA2FE4"/>
    <w:rsid w:val="00AA3A82"/>
    <w:rsid w:val="00AA3A85"/>
    <w:rsid w:val="00AA4B95"/>
    <w:rsid w:val="00AA4E51"/>
    <w:rsid w:val="00AA687D"/>
    <w:rsid w:val="00AA7478"/>
    <w:rsid w:val="00AB0822"/>
    <w:rsid w:val="00AB12F9"/>
    <w:rsid w:val="00AB1D9E"/>
    <w:rsid w:val="00AB1E63"/>
    <w:rsid w:val="00AB2817"/>
    <w:rsid w:val="00AB348E"/>
    <w:rsid w:val="00AB4D42"/>
    <w:rsid w:val="00AB53F1"/>
    <w:rsid w:val="00AB5AC6"/>
    <w:rsid w:val="00AB5B1F"/>
    <w:rsid w:val="00AB5F8C"/>
    <w:rsid w:val="00AB67C0"/>
    <w:rsid w:val="00AB6C2E"/>
    <w:rsid w:val="00AC00BA"/>
    <w:rsid w:val="00AC0AEC"/>
    <w:rsid w:val="00AC0C59"/>
    <w:rsid w:val="00AC120D"/>
    <w:rsid w:val="00AC13A8"/>
    <w:rsid w:val="00AC19DA"/>
    <w:rsid w:val="00AC1A6C"/>
    <w:rsid w:val="00AC309F"/>
    <w:rsid w:val="00AC33B7"/>
    <w:rsid w:val="00AC470D"/>
    <w:rsid w:val="00AC5E28"/>
    <w:rsid w:val="00AC68A2"/>
    <w:rsid w:val="00AC6E18"/>
    <w:rsid w:val="00AC79BE"/>
    <w:rsid w:val="00AC79D0"/>
    <w:rsid w:val="00AD0021"/>
    <w:rsid w:val="00AD023E"/>
    <w:rsid w:val="00AD05B1"/>
    <w:rsid w:val="00AD0E5A"/>
    <w:rsid w:val="00AD1178"/>
    <w:rsid w:val="00AD1474"/>
    <w:rsid w:val="00AD1748"/>
    <w:rsid w:val="00AD1BCE"/>
    <w:rsid w:val="00AD272E"/>
    <w:rsid w:val="00AD2C3A"/>
    <w:rsid w:val="00AD3315"/>
    <w:rsid w:val="00AD337E"/>
    <w:rsid w:val="00AD4D89"/>
    <w:rsid w:val="00AD4F9E"/>
    <w:rsid w:val="00AD5135"/>
    <w:rsid w:val="00AD56CC"/>
    <w:rsid w:val="00AD5EF7"/>
    <w:rsid w:val="00AD64B8"/>
    <w:rsid w:val="00AD6972"/>
    <w:rsid w:val="00AD6A9A"/>
    <w:rsid w:val="00AE08DC"/>
    <w:rsid w:val="00AE0D2E"/>
    <w:rsid w:val="00AE0F44"/>
    <w:rsid w:val="00AE13F4"/>
    <w:rsid w:val="00AE1A49"/>
    <w:rsid w:val="00AE298A"/>
    <w:rsid w:val="00AE2EC8"/>
    <w:rsid w:val="00AE3FCE"/>
    <w:rsid w:val="00AE41BB"/>
    <w:rsid w:val="00AE479E"/>
    <w:rsid w:val="00AE5EF7"/>
    <w:rsid w:val="00AE607E"/>
    <w:rsid w:val="00AE6363"/>
    <w:rsid w:val="00AE7580"/>
    <w:rsid w:val="00AE793C"/>
    <w:rsid w:val="00AE7C5D"/>
    <w:rsid w:val="00AF0701"/>
    <w:rsid w:val="00AF186E"/>
    <w:rsid w:val="00AF1BA6"/>
    <w:rsid w:val="00AF1BDD"/>
    <w:rsid w:val="00AF24E6"/>
    <w:rsid w:val="00AF2739"/>
    <w:rsid w:val="00AF2BAE"/>
    <w:rsid w:val="00AF2D76"/>
    <w:rsid w:val="00AF48F2"/>
    <w:rsid w:val="00AF4F2D"/>
    <w:rsid w:val="00AF501F"/>
    <w:rsid w:val="00AF64B4"/>
    <w:rsid w:val="00AF67F1"/>
    <w:rsid w:val="00B0216E"/>
    <w:rsid w:val="00B02750"/>
    <w:rsid w:val="00B02DAE"/>
    <w:rsid w:val="00B03785"/>
    <w:rsid w:val="00B03EE7"/>
    <w:rsid w:val="00B059D3"/>
    <w:rsid w:val="00B05B0C"/>
    <w:rsid w:val="00B07FFA"/>
    <w:rsid w:val="00B10093"/>
    <w:rsid w:val="00B1061E"/>
    <w:rsid w:val="00B107F6"/>
    <w:rsid w:val="00B11287"/>
    <w:rsid w:val="00B1131A"/>
    <w:rsid w:val="00B11BD4"/>
    <w:rsid w:val="00B120C2"/>
    <w:rsid w:val="00B123FC"/>
    <w:rsid w:val="00B12EEB"/>
    <w:rsid w:val="00B1420E"/>
    <w:rsid w:val="00B153C0"/>
    <w:rsid w:val="00B1574C"/>
    <w:rsid w:val="00B16347"/>
    <w:rsid w:val="00B16BE1"/>
    <w:rsid w:val="00B176FB"/>
    <w:rsid w:val="00B205F4"/>
    <w:rsid w:val="00B20CC8"/>
    <w:rsid w:val="00B22B6A"/>
    <w:rsid w:val="00B23807"/>
    <w:rsid w:val="00B2399F"/>
    <w:rsid w:val="00B247F1"/>
    <w:rsid w:val="00B24D70"/>
    <w:rsid w:val="00B2611F"/>
    <w:rsid w:val="00B270A8"/>
    <w:rsid w:val="00B27EC3"/>
    <w:rsid w:val="00B27FEC"/>
    <w:rsid w:val="00B301BB"/>
    <w:rsid w:val="00B302C6"/>
    <w:rsid w:val="00B31208"/>
    <w:rsid w:val="00B31320"/>
    <w:rsid w:val="00B3165B"/>
    <w:rsid w:val="00B31C72"/>
    <w:rsid w:val="00B327E0"/>
    <w:rsid w:val="00B333C3"/>
    <w:rsid w:val="00B33E97"/>
    <w:rsid w:val="00B3439C"/>
    <w:rsid w:val="00B34D37"/>
    <w:rsid w:val="00B35A73"/>
    <w:rsid w:val="00B365EA"/>
    <w:rsid w:val="00B37769"/>
    <w:rsid w:val="00B37DE6"/>
    <w:rsid w:val="00B37E92"/>
    <w:rsid w:val="00B4063C"/>
    <w:rsid w:val="00B4121E"/>
    <w:rsid w:val="00B4151D"/>
    <w:rsid w:val="00B41726"/>
    <w:rsid w:val="00B420CF"/>
    <w:rsid w:val="00B423C2"/>
    <w:rsid w:val="00B42D3A"/>
    <w:rsid w:val="00B42ED9"/>
    <w:rsid w:val="00B43015"/>
    <w:rsid w:val="00B43727"/>
    <w:rsid w:val="00B444E7"/>
    <w:rsid w:val="00B45738"/>
    <w:rsid w:val="00B458E8"/>
    <w:rsid w:val="00B459AC"/>
    <w:rsid w:val="00B46039"/>
    <w:rsid w:val="00B4663F"/>
    <w:rsid w:val="00B47652"/>
    <w:rsid w:val="00B4774D"/>
    <w:rsid w:val="00B50DF9"/>
    <w:rsid w:val="00B53432"/>
    <w:rsid w:val="00B54300"/>
    <w:rsid w:val="00B54BA6"/>
    <w:rsid w:val="00B55275"/>
    <w:rsid w:val="00B5538B"/>
    <w:rsid w:val="00B55FCC"/>
    <w:rsid w:val="00B57B6D"/>
    <w:rsid w:val="00B60287"/>
    <w:rsid w:val="00B60B95"/>
    <w:rsid w:val="00B6189E"/>
    <w:rsid w:val="00B62225"/>
    <w:rsid w:val="00B6280A"/>
    <w:rsid w:val="00B634E6"/>
    <w:rsid w:val="00B63578"/>
    <w:rsid w:val="00B63591"/>
    <w:rsid w:val="00B63AB0"/>
    <w:rsid w:val="00B63FA1"/>
    <w:rsid w:val="00B640BA"/>
    <w:rsid w:val="00B6430B"/>
    <w:rsid w:val="00B64AA4"/>
    <w:rsid w:val="00B65251"/>
    <w:rsid w:val="00B65370"/>
    <w:rsid w:val="00B656A3"/>
    <w:rsid w:val="00B65EBE"/>
    <w:rsid w:val="00B66F10"/>
    <w:rsid w:val="00B67C2F"/>
    <w:rsid w:val="00B709B6"/>
    <w:rsid w:val="00B71B54"/>
    <w:rsid w:val="00B71BFD"/>
    <w:rsid w:val="00B71D48"/>
    <w:rsid w:val="00B72566"/>
    <w:rsid w:val="00B72725"/>
    <w:rsid w:val="00B73484"/>
    <w:rsid w:val="00B736DB"/>
    <w:rsid w:val="00B73B6A"/>
    <w:rsid w:val="00B74612"/>
    <w:rsid w:val="00B74843"/>
    <w:rsid w:val="00B76F38"/>
    <w:rsid w:val="00B773B3"/>
    <w:rsid w:val="00B775CA"/>
    <w:rsid w:val="00B7778C"/>
    <w:rsid w:val="00B77906"/>
    <w:rsid w:val="00B77E2E"/>
    <w:rsid w:val="00B80443"/>
    <w:rsid w:val="00B80C62"/>
    <w:rsid w:val="00B80E36"/>
    <w:rsid w:val="00B82493"/>
    <w:rsid w:val="00B82865"/>
    <w:rsid w:val="00B8387E"/>
    <w:rsid w:val="00B83DE4"/>
    <w:rsid w:val="00B83DF7"/>
    <w:rsid w:val="00B840AC"/>
    <w:rsid w:val="00B846B3"/>
    <w:rsid w:val="00B85667"/>
    <w:rsid w:val="00B85C4D"/>
    <w:rsid w:val="00B87657"/>
    <w:rsid w:val="00B878DF"/>
    <w:rsid w:val="00B87916"/>
    <w:rsid w:val="00B87AA1"/>
    <w:rsid w:val="00B90E19"/>
    <w:rsid w:val="00B90F61"/>
    <w:rsid w:val="00B919FE"/>
    <w:rsid w:val="00B91B20"/>
    <w:rsid w:val="00B91C63"/>
    <w:rsid w:val="00B9294E"/>
    <w:rsid w:val="00B9295E"/>
    <w:rsid w:val="00B9311F"/>
    <w:rsid w:val="00B93856"/>
    <w:rsid w:val="00B93A47"/>
    <w:rsid w:val="00B94016"/>
    <w:rsid w:val="00B9595C"/>
    <w:rsid w:val="00B96B87"/>
    <w:rsid w:val="00B97783"/>
    <w:rsid w:val="00B97A59"/>
    <w:rsid w:val="00B97B8C"/>
    <w:rsid w:val="00BA0673"/>
    <w:rsid w:val="00BA08BC"/>
    <w:rsid w:val="00BA0C9C"/>
    <w:rsid w:val="00BA1137"/>
    <w:rsid w:val="00BA1A81"/>
    <w:rsid w:val="00BA1C81"/>
    <w:rsid w:val="00BA1D17"/>
    <w:rsid w:val="00BA2C92"/>
    <w:rsid w:val="00BA2D68"/>
    <w:rsid w:val="00BA3330"/>
    <w:rsid w:val="00BA3D02"/>
    <w:rsid w:val="00BA434A"/>
    <w:rsid w:val="00BA4BFB"/>
    <w:rsid w:val="00BA5602"/>
    <w:rsid w:val="00BA5827"/>
    <w:rsid w:val="00BA592C"/>
    <w:rsid w:val="00BA6910"/>
    <w:rsid w:val="00BB0011"/>
    <w:rsid w:val="00BB0679"/>
    <w:rsid w:val="00BB1089"/>
    <w:rsid w:val="00BB1D21"/>
    <w:rsid w:val="00BB1EF1"/>
    <w:rsid w:val="00BB35E8"/>
    <w:rsid w:val="00BB5023"/>
    <w:rsid w:val="00BB5748"/>
    <w:rsid w:val="00BB5C58"/>
    <w:rsid w:val="00BB5DBD"/>
    <w:rsid w:val="00BB65EB"/>
    <w:rsid w:val="00BB6C4F"/>
    <w:rsid w:val="00BB7236"/>
    <w:rsid w:val="00BB74C3"/>
    <w:rsid w:val="00BB7729"/>
    <w:rsid w:val="00BC15DA"/>
    <w:rsid w:val="00BC1F9B"/>
    <w:rsid w:val="00BC28B7"/>
    <w:rsid w:val="00BC31A6"/>
    <w:rsid w:val="00BC3489"/>
    <w:rsid w:val="00BC398A"/>
    <w:rsid w:val="00BC441A"/>
    <w:rsid w:val="00BC4517"/>
    <w:rsid w:val="00BC57A0"/>
    <w:rsid w:val="00BC6D05"/>
    <w:rsid w:val="00BC7194"/>
    <w:rsid w:val="00BC7376"/>
    <w:rsid w:val="00BD1C14"/>
    <w:rsid w:val="00BD2868"/>
    <w:rsid w:val="00BD296B"/>
    <w:rsid w:val="00BD2AEF"/>
    <w:rsid w:val="00BD3D26"/>
    <w:rsid w:val="00BD43D6"/>
    <w:rsid w:val="00BD6DA0"/>
    <w:rsid w:val="00BD6FD5"/>
    <w:rsid w:val="00BD7586"/>
    <w:rsid w:val="00BD75F9"/>
    <w:rsid w:val="00BE01A8"/>
    <w:rsid w:val="00BE06D8"/>
    <w:rsid w:val="00BE097B"/>
    <w:rsid w:val="00BE1A37"/>
    <w:rsid w:val="00BE20FC"/>
    <w:rsid w:val="00BE21F5"/>
    <w:rsid w:val="00BE29A7"/>
    <w:rsid w:val="00BE2AE4"/>
    <w:rsid w:val="00BE4011"/>
    <w:rsid w:val="00BE401F"/>
    <w:rsid w:val="00BE523C"/>
    <w:rsid w:val="00BE5F58"/>
    <w:rsid w:val="00BE6A1D"/>
    <w:rsid w:val="00BE6F95"/>
    <w:rsid w:val="00BE7AC9"/>
    <w:rsid w:val="00BE7B48"/>
    <w:rsid w:val="00BE7C52"/>
    <w:rsid w:val="00BF06C8"/>
    <w:rsid w:val="00BF0AE9"/>
    <w:rsid w:val="00BF10A2"/>
    <w:rsid w:val="00BF151C"/>
    <w:rsid w:val="00BF2599"/>
    <w:rsid w:val="00BF2E59"/>
    <w:rsid w:val="00BF36DC"/>
    <w:rsid w:val="00BF3B85"/>
    <w:rsid w:val="00BF3DBE"/>
    <w:rsid w:val="00BF4317"/>
    <w:rsid w:val="00BF46B1"/>
    <w:rsid w:val="00BF4761"/>
    <w:rsid w:val="00BF4E9C"/>
    <w:rsid w:val="00BF4F68"/>
    <w:rsid w:val="00BF5583"/>
    <w:rsid w:val="00BF5A12"/>
    <w:rsid w:val="00BF6809"/>
    <w:rsid w:val="00BF69FD"/>
    <w:rsid w:val="00C0056A"/>
    <w:rsid w:val="00C00AC0"/>
    <w:rsid w:val="00C01370"/>
    <w:rsid w:val="00C0192C"/>
    <w:rsid w:val="00C03435"/>
    <w:rsid w:val="00C03484"/>
    <w:rsid w:val="00C03698"/>
    <w:rsid w:val="00C0477C"/>
    <w:rsid w:val="00C0540C"/>
    <w:rsid w:val="00C05C68"/>
    <w:rsid w:val="00C067B0"/>
    <w:rsid w:val="00C06EB4"/>
    <w:rsid w:val="00C07668"/>
    <w:rsid w:val="00C07E24"/>
    <w:rsid w:val="00C1008F"/>
    <w:rsid w:val="00C10242"/>
    <w:rsid w:val="00C1138C"/>
    <w:rsid w:val="00C11461"/>
    <w:rsid w:val="00C117AD"/>
    <w:rsid w:val="00C11BA5"/>
    <w:rsid w:val="00C11FE4"/>
    <w:rsid w:val="00C1262E"/>
    <w:rsid w:val="00C1272B"/>
    <w:rsid w:val="00C1300E"/>
    <w:rsid w:val="00C13EC3"/>
    <w:rsid w:val="00C13FCC"/>
    <w:rsid w:val="00C1417E"/>
    <w:rsid w:val="00C149D3"/>
    <w:rsid w:val="00C14FA5"/>
    <w:rsid w:val="00C15039"/>
    <w:rsid w:val="00C1509E"/>
    <w:rsid w:val="00C16794"/>
    <w:rsid w:val="00C167CA"/>
    <w:rsid w:val="00C16DA2"/>
    <w:rsid w:val="00C170BA"/>
    <w:rsid w:val="00C17779"/>
    <w:rsid w:val="00C17966"/>
    <w:rsid w:val="00C17AC8"/>
    <w:rsid w:val="00C17F4D"/>
    <w:rsid w:val="00C20294"/>
    <w:rsid w:val="00C20A86"/>
    <w:rsid w:val="00C2127E"/>
    <w:rsid w:val="00C21B08"/>
    <w:rsid w:val="00C21C1D"/>
    <w:rsid w:val="00C2216A"/>
    <w:rsid w:val="00C227EA"/>
    <w:rsid w:val="00C240D1"/>
    <w:rsid w:val="00C24681"/>
    <w:rsid w:val="00C25433"/>
    <w:rsid w:val="00C254B3"/>
    <w:rsid w:val="00C263F3"/>
    <w:rsid w:val="00C267CA"/>
    <w:rsid w:val="00C27B3E"/>
    <w:rsid w:val="00C30557"/>
    <w:rsid w:val="00C3103B"/>
    <w:rsid w:val="00C31375"/>
    <w:rsid w:val="00C31B18"/>
    <w:rsid w:val="00C322CF"/>
    <w:rsid w:val="00C32430"/>
    <w:rsid w:val="00C34D0E"/>
    <w:rsid w:val="00C3511A"/>
    <w:rsid w:val="00C37B4B"/>
    <w:rsid w:val="00C403D4"/>
    <w:rsid w:val="00C40AFF"/>
    <w:rsid w:val="00C40BAF"/>
    <w:rsid w:val="00C40C80"/>
    <w:rsid w:val="00C40D56"/>
    <w:rsid w:val="00C40E74"/>
    <w:rsid w:val="00C4108C"/>
    <w:rsid w:val="00C4385A"/>
    <w:rsid w:val="00C440F3"/>
    <w:rsid w:val="00C44ACC"/>
    <w:rsid w:val="00C44FF5"/>
    <w:rsid w:val="00C45EA2"/>
    <w:rsid w:val="00C470C1"/>
    <w:rsid w:val="00C47406"/>
    <w:rsid w:val="00C4779E"/>
    <w:rsid w:val="00C47926"/>
    <w:rsid w:val="00C50352"/>
    <w:rsid w:val="00C50C4B"/>
    <w:rsid w:val="00C51535"/>
    <w:rsid w:val="00C51627"/>
    <w:rsid w:val="00C51C47"/>
    <w:rsid w:val="00C52140"/>
    <w:rsid w:val="00C522DD"/>
    <w:rsid w:val="00C52D1B"/>
    <w:rsid w:val="00C539D1"/>
    <w:rsid w:val="00C53D64"/>
    <w:rsid w:val="00C541C3"/>
    <w:rsid w:val="00C54463"/>
    <w:rsid w:val="00C54768"/>
    <w:rsid w:val="00C55ACF"/>
    <w:rsid w:val="00C55E99"/>
    <w:rsid w:val="00C56523"/>
    <w:rsid w:val="00C566A7"/>
    <w:rsid w:val="00C57B11"/>
    <w:rsid w:val="00C57E97"/>
    <w:rsid w:val="00C605D2"/>
    <w:rsid w:val="00C61223"/>
    <w:rsid w:val="00C64362"/>
    <w:rsid w:val="00C6521B"/>
    <w:rsid w:val="00C65369"/>
    <w:rsid w:val="00C66105"/>
    <w:rsid w:val="00C67134"/>
    <w:rsid w:val="00C675AC"/>
    <w:rsid w:val="00C6780D"/>
    <w:rsid w:val="00C67D17"/>
    <w:rsid w:val="00C67EDC"/>
    <w:rsid w:val="00C70CBA"/>
    <w:rsid w:val="00C71503"/>
    <w:rsid w:val="00C7335B"/>
    <w:rsid w:val="00C7346B"/>
    <w:rsid w:val="00C73D04"/>
    <w:rsid w:val="00C74D18"/>
    <w:rsid w:val="00C75711"/>
    <w:rsid w:val="00C75A86"/>
    <w:rsid w:val="00C75D95"/>
    <w:rsid w:val="00C76A41"/>
    <w:rsid w:val="00C76C06"/>
    <w:rsid w:val="00C774FC"/>
    <w:rsid w:val="00C77F6B"/>
    <w:rsid w:val="00C80D82"/>
    <w:rsid w:val="00C80E42"/>
    <w:rsid w:val="00C8131A"/>
    <w:rsid w:val="00C81A9C"/>
    <w:rsid w:val="00C83610"/>
    <w:rsid w:val="00C84246"/>
    <w:rsid w:val="00C84D17"/>
    <w:rsid w:val="00C84D9E"/>
    <w:rsid w:val="00C84EEF"/>
    <w:rsid w:val="00C8502D"/>
    <w:rsid w:val="00C8570D"/>
    <w:rsid w:val="00C86CD2"/>
    <w:rsid w:val="00C909CD"/>
    <w:rsid w:val="00C90C45"/>
    <w:rsid w:val="00C917D2"/>
    <w:rsid w:val="00C929EA"/>
    <w:rsid w:val="00C92EB9"/>
    <w:rsid w:val="00C941D7"/>
    <w:rsid w:val="00C946D7"/>
    <w:rsid w:val="00C94E46"/>
    <w:rsid w:val="00C9526D"/>
    <w:rsid w:val="00C959C9"/>
    <w:rsid w:val="00C96704"/>
    <w:rsid w:val="00C968E1"/>
    <w:rsid w:val="00C96A1D"/>
    <w:rsid w:val="00C97008"/>
    <w:rsid w:val="00C9760A"/>
    <w:rsid w:val="00CA032F"/>
    <w:rsid w:val="00CA0C9C"/>
    <w:rsid w:val="00CA0DCB"/>
    <w:rsid w:val="00CA20C9"/>
    <w:rsid w:val="00CA21CD"/>
    <w:rsid w:val="00CA2262"/>
    <w:rsid w:val="00CA25A9"/>
    <w:rsid w:val="00CA2C57"/>
    <w:rsid w:val="00CA2DDA"/>
    <w:rsid w:val="00CA31DA"/>
    <w:rsid w:val="00CA330C"/>
    <w:rsid w:val="00CA3AD1"/>
    <w:rsid w:val="00CA452B"/>
    <w:rsid w:val="00CA4E8B"/>
    <w:rsid w:val="00CA517E"/>
    <w:rsid w:val="00CA559A"/>
    <w:rsid w:val="00CA5925"/>
    <w:rsid w:val="00CA5CC1"/>
    <w:rsid w:val="00CA66E6"/>
    <w:rsid w:val="00CA6A63"/>
    <w:rsid w:val="00CA6BAB"/>
    <w:rsid w:val="00CA6E89"/>
    <w:rsid w:val="00CB0DF0"/>
    <w:rsid w:val="00CB133C"/>
    <w:rsid w:val="00CB1B2F"/>
    <w:rsid w:val="00CB2EC4"/>
    <w:rsid w:val="00CB30F1"/>
    <w:rsid w:val="00CB3431"/>
    <w:rsid w:val="00CB50BE"/>
    <w:rsid w:val="00CB6BDB"/>
    <w:rsid w:val="00CB7F78"/>
    <w:rsid w:val="00CC1185"/>
    <w:rsid w:val="00CC141D"/>
    <w:rsid w:val="00CC163E"/>
    <w:rsid w:val="00CC18FC"/>
    <w:rsid w:val="00CC20F7"/>
    <w:rsid w:val="00CC2FBD"/>
    <w:rsid w:val="00CC36A5"/>
    <w:rsid w:val="00CC36FC"/>
    <w:rsid w:val="00CC39B5"/>
    <w:rsid w:val="00CC45AC"/>
    <w:rsid w:val="00CC5267"/>
    <w:rsid w:val="00CC526C"/>
    <w:rsid w:val="00CC643D"/>
    <w:rsid w:val="00CD022A"/>
    <w:rsid w:val="00CD083D"/>
    <w:rsid w:val="00CD0CB0"/>
    <w:rsid w:val="00CD14BA"/>
    <w:rsid w:val="00CD19D5"/>
    <w:rsid w:val="00CD26A6"/>
    <w:rsid w:val="00CD2C93"/>
    <w:rsid w:val="00CD2E80"/>
    <w:rsid w:val="00CD2F6C"/>
    <w:rsid w:val="00CD3C30"/>
    <w:rsid w:val="00CD42F8"/>
    <w:rsid w:val="00CD50BF"/>
    <w:rsid w:val="00CD51AD"/>
    <w:rsid w:val="00CD55AF"/>
    <w:rsid w:val="00CD58AD"/>
    <w:rsid w:val="00CD74BF"/>
    <w:rsid w:val="00CD77AE"/>
    <w:rsid w:val="00CD7FD7"/>
    <w:rsid w:val="00CE024B"/>
    <w:rsid w:val="00CE0379"/>
    <w:rsid w:val="00CE0380"/>
    <w:rsid w:val="00CE0831"/>
    <w:rsid w:val="00CE0E96"/>
    <w:rsid w:val="00CE0FFE"/>
    <w:rsid w:val="00CE1024"/>
    <w:rsid w:val="00CE1185"/>
    <w:rsid w:val="00CE1338"/>
    <w:rsid w:val="00CE1367"/>
    <w:rsid w:val="00CE2198"/>
    <w:rsid w:val="00CE265B"/>
    <w:rsid w:val="00CE269A"/>
    <w:rsid w:val="00CE2DDF"/>
    <w:rsid w:val="00CE2F99"/>
    <w:rsid w:val="00CE32AE"/>
    <w:rsid w:val="00CE359C"/>
    <w:rsid w:val="00CE374A"/>
    <w:rsid w:val="00CE46C8"/>
    <w:rsid w:val="00CE5864"/>
    <w:rsid w:val="00CE62B1"/>
    <w:rsid w:val="00CE647B"/>
    <w:rsid w:val="00CE667A"/>
    <w:rsid w:val="00CE66BF"/>
    <w:rsid w:val="00CE6E8F"/>
    <w:rsid w:val="00CE7A89"/>
    <w:rsid w:val="00CF09C5"/>
    <w:rsid w:val="00CF0B80"/>
    <w:rsid w:val="00CF0BAA"/>
    <w:rsid w:val="00CF12DA"/>
    <w:rsid w:val="00CF14CF"/>
    <w:rsid w:val="00CF1AC4"/>
    <w:rsid w:val="00CF1EAE"/>
    <w:rsid w:val="00CF45BB"/>
    <w:rsid w:val="00CF6885"/>
    <w:rsid w:val="00CF69DC"/>
    <w:rsid w:val="00CF6AFD"/>
    <w:rsid w:val="00CF6B2C"/>
    <w:rsid w:val="00CF73D0"/>
    <w:rsid w:val="00CF7762"/>
    <w:rsid w:val="00CF789F"/>
    <w:rsid w:val="00D000A1"/>
    <w:rsid w:val="00D00920"/>
    <w:rsid w:val="00D01921"/>
    <w:rsid w:val="00D02056"/>
    <w:rsid w:val="00D0261D"/>
    <w:rsid w:val="00D02EBF"/>
    <w:rsid w:val="00D03232"/>
    <w:rsid w:val="00D033ED"/>
    <w:rsid w:val="00D03F6B"/>
    <w:rsid w:val="00D0525F"/>
    <w:rsid w:val="00D06D5D"/>
    <w:rsid w:val="00D06DA0"/>
    <w:rsid w:val="00D06F43"/>
    <w:rsid w:val="00D077D8"/>
    <w:rsid w:val="00D07F36"/>
    <w:rsid w:val="00D1256E"/>
    <w:rsid w:val="00D126B8"/>
    <w:rsid w:val="00D13672"/>
    <w:rsid w:val="00D140AE"/>
    <w:rsid w:val="00D15048"/>
    <w:rsid w:val="00D16039"/>
    <w:rsid w:val="00D16297"/>
    <w:rsid w:val="00D16B11"/>
    <w:rsid w:val="00D16BDC"/>
    <w:rsid w:val="00D17857"/>
    <w:rsid w:val="00D17DA3"/>
    <w:rsid w:val="00D17E67"/>
    <w:rsid w:val="00D200A3"/>
    <w:rsid w:val="00D204E7"/>
    <w:rsid w:val="00D209EC"/>
    <w:rsid w:val="00D22B98"/>
    <w:rsid w:val="00D22C7B"/>
    <w:rsid w:val="00D235CE"/>
    <w:rsid w:val="00D23825"/>
    <w:rsid w:val="00D247DE"/>
    <w:rsid w:val="00D24D9D"/>
    <w:rsid w:val="00D263A3"/>
    <w:rsid w:val="00D268F1"/>
    <w:rsid w:val="00D26D56"/>
    <w:rsid w:val="00D2762F"/>
    <w:rsid w:val="00D300E4"/>
    <w:rsid w:val="00D30A44"/>
    <w:rsid w:val="00D313DD"/>
    <w:rsid w:val="00D3241E"/>
    <w:rsid w:val="00D32FE4"/>
    <w:rsid w:val="00D33501"/>
    <w:rsid w:val="00D33A11"/>
    <w:rsid w:val="00D33B44"/>
    <w:rsid w:val="00D34303"/>
    <w:rsid w:val="00D3479B"/>
    <w:rsid w:val="00D35344"/>
    <w:rsid w:val="00D354C9"/>
    <w:rsid w:val="00D36245"/>
    <w:rsid w:val="00D36A7B"/>
    <w:rsid w:val="00D36D1F"/>
    <w:rsid w:val="00D37C89"/>
    <w:rsid w:val="00D40159"/>
    <w:rsid w:val="00D41653"/>
    <w:rsid w:val="00D4253F"/>
    <w:rsid w:val="00D42AAA"/>
    <w:rsid w:val="00D42BD8"/>
    <w:rsid w:val="00D43697"/>
    <w:rsid w:val="00D43F29"/>
    <w:rsid w:val="00D443D7"/>
    <w:rsid w:val="00D448D4"/>
    <w:rsid w:val="00D45714"/>
    <w:rsid w:val="00D473F5"/>
    <w:rsid w:val="00D50EEC"/>
    <w:rsid w:val="00D514F0"/>
    <w:rsid w:val="00D52485"/>
    <w:rsid w:val="00D52A0C"/>
    <w:rsid w:val="00D54601"/>
    <w:rsid w:val="00D54787"/>
    <w:rsid w:val="00D54E89"/>
    <w:rsid w:val="00D55EC2"/>
    <w:rsid w:val="00D56330"/>
    <w:rsid w:val="00D56801"/>
    <w:rsid w:val="00D61F56"/>
    <w:rsid w:val="00D6303E"/>
    <w:rsid w:val="00D63483"/>
    <w:rsid w:val="00D63C70"/>
    <w:rsid w:val="00D642D6"/>
    <w:rsid w:val="00D646C7"/>
    <w:rsid w:val="00D64D0A"/>
    <w:rsid w:val="00D64D2C"/>
    <w:rsid w:val="00D6594A"/>
    <w:rsid w:val="00D664AC"/>
    <w:rsid w:val="00D66516"/>
    <w:rsid w:val="00D675AA"/>
    <w:rsid w:val="00D677AC"/>
    <w:rsid w:val="00D67862"/>
    <w:rsid w:val="00D67CB9"/>
    <w:rsid w:val="00D7062D"/>
    <w:rsid w:val="00D70E56"/>
    <w:rsid w:val="00D728CB"/>
    <w:rsid w:val="00D73D92"/>
    <w:rsid w:val="00D73F29"/>
    <w:rsid w:val="00D74197"/>
    <w:rsid w:val="00D74694"/>
    <w:rsid w:val="00D754F1"/>
    <w:rsid w:val="00D76852"/>
    <w:rsid w:val="00D76BD9"/>
    <w:rsid w:val="00D76CBC"/>
    <w:rsid w:val="00D774EB"/>
    <w:rsid w:val="00D77F84"/>
    <w:rsid w:val="00D80325"/>
    <w:rsid w:val="00D8134B"/>
    <w:rsid w:val="00D816F9"/>
    <w:rsid w:val="00D82179"/>
    <w:rsid w:val="00D832A6"/>
    <w:rsid w:val="00D835CD"/>
    <w:rsid w:val="00D8464A"/>
    <w:rsid w:val="00D84779"/>
    <w:rsid w:val="00D84866"/>
    <w:rsid w:val="00D84B91"/>
    <w:rsid w:val="00D85E3C"/>
    <w:rsid w:val="00D86455"/>
    <w:rsid w:val="00D86718"/>
    <w:rsid w:val="00D873DF"/>
    <w:rsid w:val="00D87DD6"/>
    <w:rsid w:val="00D90821"/>
    <w:rsid w:val="00D90A51"/>
    <w:rsid w:val="00D90BDA"/>
    <w:rsid w:val="00D90F96"/>
    <w:rsid w:val="00D928D1"/>
    <w:rsid w:val="00D93286"/>
    <w:rsid w:val="00D93293"/>
    <w:rsid w:val="00D94C05"/>
    <w:rsid w:val="00D950A3"/>
    <w:rsid w:val="00D960E3"/>
    <w:rsid w:val="00D96F60"/>
    <w:rsid w:val="00D97744"/>
    <w:rsid w:val="00D97759"/>
    <w:rsid w:val="00DA0648"/>
    <w:rsid w:val="00DA1A2D"/>
    <w:rsid w:val="00DA1CD1"/>
    <w:rsid w:val="00DA27B2"/>
    <w:rsid w:val="00DA2AC4"/>
    <w:rsid w:val="00DA331A"/>
    <w:rsid w:val="00DA340D"/>
    <w:rsid w:val="00DA4A35"/>
    <w:rsid w:val="00DA5F88"/>
    <w:rsid w:val="00DA6235"/>
    <w:rsid w:val="00DA6AF5"/>
    <w:rsid w:val="00DA6B5F"/>
    <w:rsid w:val="00DA7651"/>
    <w:rsid w:val="00DA779A"/>
    <w:rsid w:val="00DB0549"/>
    <w:rsid w:val="00DB0A6F"/>
    <w:rsid w:val="00DB15B0"/>
    <w:rsid w:val="00DB282B"/>
    <w:rsid w:val="00DB2B90"/>
    <w:rsid w:val="00DB30AE"/>
    <w:rsid w:val="00DB3A05"/>
    <w:rsid w:val="00DB3BBE"/>
    <w:rsid w:val="00DB3DD0"/>
    <w:rsid w:val="00DB3FB8"/>
    <w:rsid w:val="00DB4097"/>
    <w:rsid w:val="00DB413A"/>
    <w:rsid w:val="00DB4276"/>
    <w:rsid w:val="00DB4BD8"/>
    <w:rsid w:val="00DB4C0C"/>
    <w:rsid w:val="00DB4D62"/>
    <w:rsid w:val="00DB4FAB"/>
    <w:rsid w:val="00DB510A"/>
    <w:rsid w:val="00DB5844"/>
    <w:rsid w:val="00DB66BA"/>
    <w:rsid w:val="00DB6940"/>
    <w:rsid w:val="00DB729C"/>
    <w:rsid w:val="00DC05C2"/>
    <w:rsid w:val="00DC2BFB"/>
    <w:rsid w:val="00DC2D03"/>
    <w:rsid w:val="00DC2F11"/>
    <w:rsid w:val="00DC3527"/>
    <w:rsid w:val="00DC383D"/>
    <w:rsid w:val="00DC3E1A"/>
    <w:rsid w:val="00DC47A7"/>
    <w:rsid w:val="00DC4A3F"/>
    <w:rsid w:val="00DC57C1"/>
    <w:rsid w:val="00DC67FE"/>
    <w:rsid w:val="00DC7401"/>
    <w:rsid w:val="00DC7496"/>
    <w:rsid w:val="00DC7C45"/>
    <w:rsid w:val="00DD03C2"/>
    <w:rsid w:val="00DD0CC6"/>
    <w:rsid w:val="00DD0DE0"/>
    <w:rsid w:val="00DD1DD9"/>
    <w:rsid w:val="00DD209A"/>
    <w:rsid w:val="00DD27FE"/>
    <w:rsid w:val="00DD2D2E"/>
    <w:rsid w:val="00DD3BD8"/>
    <w:rsid w:val="00DD4340"/>
    <w:rsid w:val="00DD4558"/>
    <w:rsid w:val="00DD5285"/>
    <w:rsid w:val="00DD5468"/>
    <w:rsid w:val="00DD5960"/>
    <w:rsid w:val="00DD5F40"/>
    <w:rsid w:val="00DD6DF5"/>
    <w:rsid w:val="00DD70EE"/>
    <w:rsid w:val="00DD7B63"/>
    <w:rsid w:val="00DE0240"/>
    <w:rsid w:val="00DE08EA"/>
    <w:rsid w:val="00DE2CF0"/>
    <w:rsid w:val="00DE36B0"/>
    <w:rsid w:val="00DE522E"/>
    <w:rsid w:val="00DE5517"/>
    <w:rsid w:val="00DE5D72"/>
    <w:rsid w:val="00DE5DAA"/>
    <w:rsid w:val="00DE6CCB"/>
    <w:rsid w:val="00DE7292"/>
    <w:rsid w:val="00DE7C57"/>
    <w:rsid w:val="00DF0401"/>
    <w:rsid w:val="00DF040F"/>
    <w:rsid w:val="00DF1583"/>
    <w:rsid w:val="00DF2563"/>
    <w:rsid w:val="00DF2F9B"/>
    <w:rsid w:val="00DF341A"/>
    <w:rsid w:val="00DF405A"/>
    <w:rsid w:val="00DF4FD3"/>
    <w:rsid w:val="00DF4FE5"/>
    <w:rsid w:val="00DF5C72"/>
    <w:rsid w:val="00DF7A86"/>
    <w:rsid w:val="00DF7C64"/>
    <w:rsid w:val="00E00758"/>
    <w:rsid w:val="00E008A6"/>
    <w:rsid w:val="00E00E5C"/>
    <w:rsid w:val="00E0121C"/>
    <w:rsid w:val="00E02159"/>
    <w:rsid w:val="00E0287D"/>
    <w:rsid w:val="00E02ED5"/>
    <w:rsid w:val="00E03248"/>
    <w:rsid w:val="00E0430F"/>
    <w:rsid w:val="00E055F3"/>
    <w:rsid w:val="00E05A68"/>
    <w:rsid w:val="00E05BF5"/>
    <w:rsid w:val="00E06217"/>
    <w:rsid w:val="00E101BE"/>
    <w:rsid w:val="00E10C89"/>
    <w:rsid w:val="00E10DD2"/>
    <w:rsid w:val="00E11CBF"/>
    <w:rsid w:val="00E12C9A"/>
    <w:rsid w:val="00E12CE7"/>
    <w:rsid w:val="00E13973"/>
    <w:rsid w:val="00E14BF7"/>
    <w:rsid w:val="00E151D0"/>
    <w:rsid w:val="00E16359"/>
    <w:rsid w:val="00E1695B"/>
    <w:rsid w:val="00E17F3D"/>
    <w:rsid w:val="00E202B5"/>
    <w:rsid w:val="00E211BE"/>
    <w:rsid w:val="00E225B4"/>
    <w:rsid w:val="00E227A0"/>
    <w:rsid w:val="00E22A77"/>
    <w:rsid w:val="00E22AAF"/>
    <w:rsid w:val="00E22BB8"/>
    <w:rsid w:val="00E22DFC"/>
    <w:rsid w:val="00E2470C"/>
    <w:rsid w:val="00E251C3"/>
    <w:rsid w:val="00E25675"/>
    <w:rsid w:val="00E26580"/>
    <w:rsid w:val="00E26909"/>
    <w:rsid w:val="00E27261"/>
    <w:rsid w:val="00E31AC4"/>
    <w:rsid w:val="00E32B8E"/>
    <w:rsid w:val="00E32C3D"/>
    <w:rsid w:val="00E350FF"/>
    <w:rsid w:val="00E35C57"/>
    <w:rsid w:val="00E3689D"/>
    <w:rsid w:val="00E37140"/>
    <w:rsid w:val="00E372D4"/>
    <w:rsid w:val="00E3772C"/>
    <w:rsid w:val="00E3789A"/>
    <w:rsid w:val="00E407EA"/>
    <w:rsid w:val="00E41147"/>
    <w:rsid w:val="00E41B38"/>
    <w:rsid w:val="00E41EF9"/>
    <w:rsid w:val="00E43655"/>
    <w:rsid w:val="00E43A54"/>
    <w:rsid w:val="00E43A77"/>
    <w:rsid w:val="00E44B87"/>
    <w:rsid w:val="00E457C2"/>
    <w:rsid w:val="00E45A40"/>
    <w:rsid w:val="00E45C02"/>
    <w:rsid w:val="00E469A8"/>
    <w:rsid w:val="00E4787A"/>
    <w:rsid w:val="00E47B4D"/>
    <w:rsid w:val="00E47F2C"/>
    <w:rsid w:val="00E506DE"/>
    <w:rsid w:val="00E51C2D"/>
    <w:rsid w:val="00E52E9B"/>
    <w:rsid w:val="00E53078"/>
    <w:rsid w:val="00E53148"/>
    <w:rsid w:val="00E5464F"/>
    <w:rsid w:val="00E5519F"/>
    <w:rsid w:val="00E55521"/>
    <w:rsid w:val="00E57897"/>
    <w:rsid w:val="00E57CD0"/>
    <w:rsid w:val="00E601CD"/>
    <w:rsid w:val="00E60FC1"/>
    <w:rsid w:val="00E60FE0"/>
    <w:rsid w:val="00E61082"/>
    <w:rsid w:val="00E61A34"/>
    <w:rsid w:val="00E61EA5"/>
    <w:rsid w:val="00E625A2"/>
    <w:rsid w:val="00E62F83"/>
    <w:rsid w:val="00E63974"/>
    <w:rsid w:val="00E63C17"/>
    <w:rsid w:val="00E64F90"/>
    <w:rsid w:val="00E6518C"/>
    <w:rsid w:val="00E667D2"/>
    <w:rsid w:val="00E668C5"/>
    <w:rsid w:val="00E66994"/>
    <w:rsid w:val="00E66D91"/>
    <w:rsid w:val="00E675DF"/>
    <w:rsid w:val="00E6786D"/>
    <w:rsid w:val="00E67BB1"/>
    <w:rsid w:val="00E67CE1"/>
    <w:rsid w:val="00E67D3E"/>
    <w:rsid w:val="00E70786"/>
    <w:rsid w:val="00E70854"/>
    <w:rsid w:val="00E714B0"/>
    <w:rsid w:val="00E71A53"/>
    <w:rsid w:val="00E7330E"/>
    <w:rsid w:val="00E73A06"/>
    <w:rsid w:val="00E74053"/>
    <w:rsid w:val="00E74AEE"/>
    <w:rsid w:val="00E7544C"/>
    <w:rsid w:val="00E7562C"/>
    <w:rsid w:val="00E75841"/>
    <w:rsid w:val="00E7591D"/>
    <w:rsid w:val="00E76AB1"/>
    <w:rsid w:val="00E76DDF"/>
    <w:rsid w:val="00E80A76"/>
    <w:rsid w:val="00E81072"/>
    <w:rsid w:val="00E812EE"/>
    <w:rsid w:val="00E818F1"/>
    <w:rsid w:val="00E81E2C"/>
    <w:rsid w:val="00E82712"/>
    <w:rsid w:val="00E8335E"/>
    <w:rsid w:val="00E84373"/>
    <w:rsid w:val="00E8478B"/>
    <w:rsid w:val="00E84FF4"/>
    <w:rsid w:val="00E86BBE"/>
    <w:rsid w:val="00E87566"/>
    <w:rsid w:val="00E90206"/>
    <w:rsid w:val="00E915C3"/>
    <w:rsid w:val="00E91C5D"/>
    <w:rsid w:val="00E91F19"/>
    <w:rsid w:val="00E9334F"/>
    <w:rsid w:val="00E940CB"/>
    <w:rsid w:val="00E94C86"/>
    <w:rsid w:val="00E94CFE"/>
    <w:rsid w:val="00E95B6F"/>
    <w:rsid w:val="00E96615"/>
    <w:rsid w:val="00E968EB"/>
    <w:rsid w:val="00E97738"/>
    <w:rsid w:val="00E97E05"/>
    <w:rsid w:val="00EA0C49"/>
    <w:rsid w:val="00EA1AF8"/>
    <w:rsid w:val="00EA27C4"/>
    <w:rsid w:val="00EA280E"/>
    <w:rsid w:val="00EA288A"/>
    <w:rsid w:val="00EA42BA"/>
    <w:rsid w:val="00EA4ED8"/>
    <w:rsid w:val="00EA6EB3"/>
    <w:rsid w:val="00EA79BA"/>
    <w:rsid w:val="00EB0314"/>
    <w:rsid w:val="00EB03E8"/>
    <w:rsid w:val="00EB0581"/>
    <w:rsid w:val="00EB10DE"/>
    <w:rsid w:val="00EB142F"/>
    <w:rsid w:val="00EB2203"/>
    <w:rsid w:val="00EB250F"/>
    <w:rsid w:val="00EB2514"/>
    <w:rsid w:val="00EB2AC0"/>
    <w:rsid w:val="00EB32F2"/>
    <w:rsid w:val="00EB37D9"/>
    <w:rsid w:val="00EB4756"/>
    <w:rsid w:val="00EB475F"/>
    <w:rsid w:val="00EB5478"/>
    <w:rsid w:val="00EB66BA"/>
    <w:rsid w:val="00EB6942"/>
    <w:rsid w:val="00EB6CAA"/>
    <w:rsid w:val="00EB738F"/>
    <w:rsid w:val="00EB77B4"/>
    <w:rsid w:val="00EB7827"/>
    <w:rsid w:val="00EC0722"/>
    <w:rsid w:val="00EC08BA"/>
    <w:rsid w:val="00EC0A2A"/>
    <w:rsid w:val="00EC1363"/>
    <w:rsid w:val="00EC1F67"/>
    <w:rsid w:val="00EC32D4"/>
    <w:rsid w:val="00EC39A4"/>
    <w:rsid w:val="00EC3EF1"/>
    <w:rsid w:val="00EC4193"/>
    <w:rsid w:val="00EC5633"/>
    <w:rsid w:val="00EC56B7"/>
    <w:rsid w:val="00EC5BE1"/>
    <w:rsid w:val="00EC67CF"/>
    <w:rsid w:val="00EC6812"/>
    <w:rsid w:val="00EC7582"/>
    <w:rsid w:val="00EC770A"/>
    <w:rsid w:val="00ED02AD"/>
    <w:rsid w:val="00ED0685"/>
    <w:rsid w:val="00ED16D4"/>
    <w:rsid w:val="00ED1768"/>
    <w:rsid w:val="00ED1CDA"/>
    <w:rsid w:val="00ED216C"/>
    <w:rsid w:val="00ED30A2"/>
    <w:rsid w:val="00ED327F"/>
    <w:rsid w:val="00ED39CF"/>
    <w:rsid w:val="00ED3D72"/>
    <w:rsid w:val="00ED3DED"/>
    <w:rsid w:val="00ED4460"/>
    <w:rsid w:val="00ED47DA"/>
    <w:rsid w:val="00ED4F12"/>
    <w:rsid w:val="00ED5810"/>
    <w:rsid w:val="00ED6E1F"/>
    <w:rsid w:val="00ED704B"/>
    <w:rsid w:val="00ED749C"/>
    <w:rsid w:val="00ED74A1"/>
    <w:rsid w:val="00ED7598"/>
    <w:rsid w:val="00EE038E"/>
    <w:rsid w:val="00EE093D"/>
    <w:rsid w:val="00EE0F9E"/>
    <w:rsid w:val="00EE119A"/>
    <w:rsid w:val="00EE260E"/>
    <w:rsid w:val="00EE2653"/>
    <w:rsid w:val="00EE2851"/>
    <w:rsid w:val="00EE2FF5"/>
    <w:rsid w:val="00EE3046"/>
    <w:rsid w:val="00EE3487"/>
    <w:rsid w:val="00EE34EA"/>
    <w:rsid w:val="00EE395B"/>
    <w:rsid w:val="00EE45CB"/>
    <w:rsid w:val="00EE5148"/>
    <w:rsid w:val="00EE63E4"/>
    <w:rsid w:val="00EE6CA8"/>
    <w:rsid w:val="00EE7287"/>
    <w:rsid w:val="00EF10FF"/>
    <w:rsid w:val="00EF1CE9"/>
    <w:rsid w:val="00EF26CE"/>
    <w:rsid w:val="00EF303D"/>
    <w:rsid w:val="00EF30BC"/>
    <w:rsid w:val="00EF3E1A"/>
    <w:rsid w:val="00EF4377"/>
    <w:rsid w:val="00EF4795"/>
    <w:rsid w:val="00EF5040"/>
    <w:rsid w:val="00EF5580"/>
    <w:rsid w:val="00EF5668"/>
    <w:rsid w:val="00EF59B3"/>
    <w:rsid w:val="00EF5C02"/>
    <w:rsid w:val="00EF5C9F"/>
    <w:rsid w:val="00EF74A4"/>
    <w:rsid w:val="00EF7A56"/>
    <w:rsid w:val="00EF7B75"/>
    <w:rsid w:val="00F0109D"/>
    <w:rsid w:val="00F017C7"/>
    <w:rsid w:val="00F0308A"/>
    <w:rsid w:val="00F03785"/>
    <w:rsid w:val="00F03AB3"/>
    <w:rsid w:val="00F04180"/>
    <w:rsid w:val="00F041F2"/>
    <w:rsid w:val="00F04C6C"/>
    <w:rsid w:val="00F04F8D"/>
    <w:rsid w:val="00F05206"/>
    <w:rsid w:val="00F05927"/>
    <w:rsid w:val="00F07811"/>
    <w:rsid w:val="00F10221"/>
    <w:rsid w:val="00F10B7E"/>
    <w:rsid w:val="00F11EF7"/>
    <w:rsid w:val="00F1248D"/>
    <w:rsid w:val="00F129C4"/>
    <w:rsid w:val="00F129FC"/>
    <w:rsid w:val="00F12D2C"/>
    <w:rsid w:val="00F12D8B"/>
    <w:rsid w:val="00F130DC"/>
    <w:rsid w:val="00F135C3"/>
    <w:rsid w:val="00F14597"/>
    <w:rsid w:val="00F14F02"/>
    <w:rsid w:val="00F15059"/>
    <w:rsid w:val="00F15DE7"/>
    <w:rsid w:val="00F16405"/>
    <w:rsid w:val="00F16592"/>
    <w:rsid w:val="00F16810"/>
    <w:rsid w:val="00F17C61"/>
    <w:rsid w:val="00F21EDF"/>
    <w:rsid w:val="00F22A1B"/>
    <w:rsid w:val="00F23293"/>
    <w:rsid w:val="00F2399E"/>
    <w:rsid w:val="00F25D92"/>
    <w:rsid w:val="00F26A76"/>
    <w:rsid w:val="00F30962"/>
    <w:rsid w:val="00F30D8D"/>
    <w:rsid w:val="00F31191"/>
    <w:rsid w:val="00F31990"/>
    <w:rsid w:val="00F31AAE"/>
    <w:rsid w:val="00F31BDC"/>
    <w:rsid w:val="00F31F56"/>
    <w:rsid w:val="00F32A0E"/>
    <w:rsid w:val="00F33106"/>
    <w:rsid w:val="00F33955"/>
    <w:rsid w:val="00F34B65"/>
    <w:rsid w:val="00F366FF"/>
    <w:rsid w:val="00F369FC"/>
    <w:rsid w:val="00F372A4"/>
    <w:rsid w:val="00F37927"/>
    <w:rsid w:val="00F4008D"/>
    <w:rsid w:val="00F407E5"/>
    <w:rsid w:val="00F40B84"/>
    <w:rsid w:val="00F416C7"/>
    <w:rsid w:val="00F41DD2"/>
    <w:rsid w:val="00F422F9"/>
    <w:rsid w:val="00F42EC0"/>
    <w:rsid w:val="00F43D29"/>
    <w:rsid w:val="00F451CF"/>
    <w:rsid w:val="00F45977"/>
    <w:rsid w:val="00F45A45"/>
    <w:rsid w:val="00F45D2D"/>
    <w:rsid w:val="00F45D75"/>
    <w:rsid w:val="00F46048"/>
    <w:rsid w:val="00F47A6B"/>
    <w:rsid w:val="00F47F86"/>
    <w:rsid w:val="00F50FF9"/>
    <w:rsid w:val="00F512C8"/>
    <w:rsid w:val="00F51B6D"/>
    <w:rsid w:val="00F526CF"/>
    <w:rsid w:val="00F5303D"/>
    <w:rsid w:val="00F530D2"/>
    <w:rsid w:val="00F53C90"/>
    <w:rsid w:val="00F549B6"/>
    <w:rsid w:val="00F5613E"/>
    <w:rsid w:val="00F56F98"/>
    <w:rsid w:val="00F6060B"/>
    <w:rsid w:val="00F60F40"/>
    <w:rsid w:val="00F612EC"/>
    <w:rsid w:val="00F61586"/>
    <w:rsid w:val="00F61D23"/>
    <w:rsid w:val="00F63B51"/>
    <w:rsid w:val="00F64326"/>
    <w:rsid w:val="00F649C2"/>
    <w:rsid w:val="00F65471"/>
    <w:rsid w:val="00F65D4F"/>
    <w:rsid w:val="00F660CB"/>
    <w:rsid w:val="00F66570"/>
    <w:rsid w:val="00F67223"/>
    <w:rsid w:val="00F673FF"/>
    <w:rsid w:val="00F67DDD"/>
    <w:rsid w:val="00F7087F"/>
    <w:rsid w:val="00F71948"/>
    <w:rsid w:val="00F72D4C"/>
    <w:rsid w:val="00F74A55"/>
    <w:rsid w:val="00F75157"/>
    <w:rsid w:val="00F765C8"/>
    <w:rsid w:val="00F77354"/>
    <w:rsid w:val="00F77F39"/>
    <w:rsid w:val="00F8034F"/>
    <w:rsid w:val="00F81E60"/>
    <w:rsid w:val="00F82662"/>
    <w:rsid w:val="00F836A6"/>
    <w:rsid w:val="00F84558"/>
    <w:rsid w:val="00F84D21"/>
    <w:rsid w:val="00F8529D"/>
    <w:rsid w:val="00F863FC"/>
    <w:rsid w:val="00F86411"/>
    <w:rsid w:val="00F8659F"/>
    <w:rsid w:val="00F8661B"/>
    <w:rsid w:val="00F868E5"/>
    <w:rsid w:val="00F86E29"/>
    <w:rsid w:val="00F87726"/>
    <w:rsid w:val="00F879D6"/>
    <w:rsid w:val="00F87D7A"/>
    <w:rsid w:val="00F9003A"/>
    <w:rsid w:val="00F90744"/>
    <w:rsid w:val="00F909E4"/>
    <w:rsid w:val="00F912EF"/>
    <w:rsid w:val="00F91D3F"/>
    <w:rsid w:val="00F920C4"/>
    <w:rsid w:val="00F924E0"/>
    <w:rsid w:val="00F936B7"/>
    <w:rsid w:val="00F938F7"/>
    <w:rsid w:val="00F94FF6"/>
    <w:rsid w:val="00F95D8A"/>
    <w:rsid w:val="00F973A4"/>
    <w:rsid w:val="00F973E3"/>
    <w:rsid w:val="00F97BC7"/>
    <w:rsid w:val="00F97FF1"/>
    <w:rsid w:val="00FA0119"/>
    <w:rsid w:val="00FA0199"/>
    <w:rsid w:val="00FA05F2"/>
    <w:rsid w:val="00FA183F"/>
    <w:rsid w:val="00FA1992"/>
    <w:rsid w:val="00FA28F2"/>
    <w:rsid w:val="00FA2FCD"/>
    <w:rsid w:val="00FA36F8"/>
    <w:rsid w:val="00FA3872"/>
    <w:rsid w:val="00FA3A60"/>
    <w:rsid w:val="00FA4AE2"/>
    <w:rsid w:val="00FA4D66"/>
    <w:rsid w:val="00FA4E48"/>
    <w:rsid w:val="00FA4EAE"/>
    <w:rsid w:val="00FA5820"/>
    <w:rsid w:val="00FA6A49"/>
    <w:rsid w:val="00FA6F4F"/>
    <w:rsid w:val="00FA6FE5"/>
    <w:rsid w:val="00FB020D"/>
    <w:rsid w:val="00FB0396"/>
    <w:rsid w:val="00FB060D"/>
    <w:rsid w:val="00FB0967"/>
    <w:rsid w:val="00FB0B0B"/>
    <w:rsid w:val="00FB1A5E"/>
    <w:rsid w:val="00FB2EEF"/>
    <w:rsid w:val="00FB31A3"/>
    <w:rsid w:val="00FB367A"/>
    <w:rsid w:val="00FB3D11"/>
    <w:rsid w:val="00FB3E7F"/>
    <w:rsid w:val="00FB40AC"/>
    <w:rsid w:val="00FB4537"/>
    <w:rsid w:val="00FB4911"/>
    <w:rsid w:val="00FB4969"/>
    <w:rsid w:val="00FB58F3"/>
    <w:rsid w:val="00FB6A5B"/>
    <w:rsid w:val="00FB7897"/>
    <w:rsid w:val="00FC0A5A"/>
    <w:rsid w:val="00FC0C14"/>
    <w:rsid w:val="00FC2058"/>
    <w:rsid w:val="00FC2756"/>
    <w:rsid w:val="00FC41A1"/>
    <w:rsid w:val="00FC562B"/>
    <w:rsid w:val="00FC5AA7"/>
    <w:rsid w:val="00FC5B44"/>
    <w:rsid w:val="00FC6384"/>
    <w:rsid w:val="00FC67A5"/>
    <w:rsid w:val="00FC706F"/>
    <w:rsid w:val="00FD0ACA"/>
    <w:rsid w:val="00FD1DDB"/>
    <w:rsid w:val="00FD1EA3"/>
    <w:rsid w:val="00FD2281"/>
    <w:rsid w:val="00FD23C5"/>
    <w:rsid w:val="00FD27EF"/>
    <w:rsid w:val="00FD2841"/>
    <w:rsid w:val="00FD29ED"/>
    <w:rsid w:val="00FD2D7B"/>
    <w:rsid w:val="00FD3328"/>
    <w:rsid w:val="00FD3B9A"/>
    <w:rsid w:val="00FD3F57"/>
    <w:rsid w:val="00FD5A72"/>
    <w:rsid w:val="00FD6D7C"/>
    <w:rsid w:val="00FD79C2"/>
    <w:rsid w:val="00FE0090"/>
    <w:rsid w:val="00FE10E1"/>
    <w:rsid w:val="00FE1DD9"/>
    <w:rsid w:val="00FE2327"/>
    <w:rsid w:val="00FE322F"/>
    <w:rsid w:val="00FE35CE"/>
    <w:rsid w:val="00FE37A6"/>
    <w:rsid w:val="00FE3F14"/>
    <w:rsid w:val="00FE3F17"/>
    <w:rsid w:val="00FE44A7"/>
    <w:rsid w:val="00FE474A"/>
    <w:rsid w:val="00FE5906"/>
    <w:rsid w:val="00FE59D6"/>
    <w:rsid w:val="00FE7C59"/>
    <w:rsid w:val="00FE7FC7"/>
    <w:rsid w:val="00FF1C93"/>
    <w:rsid w:val="00FF2260"/>
    <w:rsid w:val="00FF252B"/>
    <w:rsid w:val="00FF2760"/>
    <w:rsid w:val="00FF3349"/>
    <w:rsid w:val="00FF4139"/>
    <w:rsid w:val="00FF61D5"/>
    <w:rsid w:val="00FF6249"/>
    <w:rsid w:val="00FF6B27"/>
    <w:rsid w:val="00FF7314"/>
    <w:rsid w:val="00FF7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901E"/>
  <w15:chartTrackingRefBased/>
  <w15:docId w15:val="{EA6A3386-81E0-4289-9C61-4D69B119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A74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7745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qFormat/>
    <w:rsid w:val="00FD1EA3"/>
    <w:pPr>
      <w:autoSpaceDE w:val="0"/>
      <w:autoSpaceDN w:val="0"/>
      <w:spacing w:after="0" w:line="240" w:lineRule="auto"/>
      <w:ind w:left="360"/>
      <w:outlineLvl w:val="3"/>
    </w:pPr>
    <w:rPr>
      <w:rFonts w:ascii="CG Times" w:eastAsia="Times New Roman" w:hAnsi="CG Times" w:cs="Times New Roman"/>
      <w:noProof/>
      <w:sz w:val="20"/>
      <w:szCs w:val="24"/>
      <w:u w:val="single"/>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5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Párrafo de tabla"/>
    <w:basedOn w:val="Normal"/>
    <w:link w:val="PrrafodelistaCar"/>
    <w:uiPriority w:val="34"/>
    <w:qFormat/>
    <w:rsid w:val="009A5D37"/>
    <w:pPr>
      <w:ind w:left="720"/>
      <w:contextualSpacing/>
    </w:pPr>
  </w:style>
  <w:style w:type="paragraph" w:styleId="Encabezado">
    <w:name w:val="header"/>
    <w:basedOn w:val="Normal"/>
    <w:link w:val="EncabezadoCar"/>
    <w:uiPriority w:val="99"/>
    <w:unhideWhenUsed/>
    <w:rsid w:val="00091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11B"/>
  </w:style>
  <w:style w:type="paragraph" w:styleId="Piedepgina">
    <w:name w:val="footer"/>
    <w:basedOn w:val="Normal"/>
    <w:link w:val="PiedepginaCar"/>
    <w:uiPriority w:val="99"/>
    <w:unhideWhenUsed/>
    <w:rsid w:val="00091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11B"/>
  </w:style>
  <w:style w:type="paragraph" w:customStyle="1" w:styleId="Default">
    <w:name w:val="Default"/>
    <w:rsid w:val="00A82E4E"/>
    <w:pPr>
      <w:autoSpaceDE w:val="0"/>
      <w:autoSpaceDN w:val="0"/>
      <w:adjustRightInd w:val="0"/>
      <w:spacing w:after="0" w:line="240" w:lineRule="auto"/>
    </w:pPr>
    <w:rPr>
      <w:rFonts w:ascii="Century Gothic" w:hAnsi="Century Gothic" w:cs="Century Gothic"/>
      <w:color w:val="000000"/>
      <w:sz w:val="24"/>
      <w:szCs w:val="24"/>
    </w:rPr>
  </w:style>
  <w:style w:type="paragraph" w:styleId="Sinespaciado">
    <w:name w:val="No Spacing"/>
    <w:uiPriority w:val="1"/>
    <w:qFormat/>
    <w:rsid w:val="00231F85"/>
    <w:pPr>
      <w:spacing w:after="0" w:line="240" w:lineRule="auto"/>
    </w:pPr>
  </w:style>
  <w:style w:type="paragraph" w:customStyle="1" w:styleId="IFT1">
    <w:name w:val="IFT 1"/>
    <w:basedOn w:val="Normal"/>
    <w:link w:val="IFT1Car"/>
    <w:qFormat/>
    <w:rsid w:val="00C20A86"/>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C20A86"/>
    <w:rPr>
      <w:rFonts w:ascii="ITC Avant Garde" w:eastAsia="Times New Roman" w:hAnsi="ITC Avant Garde" w:cs="Times New Roman"/>
      <w:iCs/>
    </w:rPr>
  </w:style>
  <w:style w:type="paragraph" w:customStyle="1" w:styleId="CM18">
    <w:name w:val="CM18"/>
    <w:basedOn w:val="Default"/>
    <w:next w:val="Default"/>
    <w:uiPriority w:val="99"/>
    <w:rsid w:val="009E3C4D"/>
    <w:rPr>
      <w:rFonts w:ascii="Arial" w:hAnsi="Arial" w:cs="Arial"/>
      <w:color w:val="auto"/>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6D4B6F"/>
  </w:style>
  <w:style w:type="character" w:styleId="Refdecomentario">
    <w:name w:val="annotation reference"/>
    <w:basedOn w:val="Fuentedeprrafopredeter"/>
    <w:unhideWhenUsed/>
    <w:rsid w:val="00AD64B8"/>
    <w:rPr>
      <w:sz w:val="16"/>
      <w:szCs w:val="16"/>
    </w:rPr>
  </w:style>
  <w:style w:type="paragraph" w:styleId="Textocomentario">
    <w:name w:val="annotation text"/>
    <w:basedOn w:val="Normal"/>
    <w:link w:val="TextocomentarioCar"/>
    <w:uiPriority w:val="99"/>
    <w:unhideWhenUsed/>
    <w:rsid w:val="00AD64B8"/>
    <w:pPr>
      <w:spacing w:line="240" w:lineRule="auto"/>
    </w:pPr>
    <w:rPr>
      <w:sz w:val="20"/>
      <w:szCs w:val="20"/>
    </w:rPr>
  </w:style>
  <w:style w:type="character" w:customStyle="1" w:styleId="TextocomentarioCar">
    <w:name w:val="Texto comentario Car"/>
    <w:basedOn w:val="Fuentedeprrafopredeter"/>
    <w:link w:val="Textocomentario"/>
    <w:uiPriority w:val="99"/>
    <w:rsid w:val="00AD64B8"/>
    <w:rPr>
      <w:sz w:val="20"/>
      <w:szCs w:val="20"/>
    </w:rPr>
  </w:style>
  <w:style w:type="paragraph" w:styleId="Asuntodelcomentario">
    <w:name w:val="annotation subject"/>
    <w:basedOn w:val="Textocomentario"/>
    <w:next w:val="Textocomentario"/>
    <w:link w:val="AsuntodelcomentarioCar"/>
    <w:uiPriority w:val="99"/>
    <w:semiHidden/>
    <w:unhideWhenUsed/>
    <w:rsid w:val="00AD64B8"/>
    <w:rPr>
      <w:b/>
      <w:bCs/>
    </w:rPr>
  </w:style>
  <w:style w:type="character" w:customStyle="1" w:styleId="AsuntodelcomentarioCar">
    <w:name w:val="Asunto del comentario Car"/>
    <w:basedOn w:val="TextocomentarioCar"/>
    <w:link w:val="Asuntodelcomentario"/>
    <w:uiPriority w:val="99"/>
    <w:semiHidden/>
    <w:rsid w:val="00AD64B8"/>
    <w:rPr>
      <w:b/>
      <w:bCs/>
      <w:sz w:val="20"/>
      <w:szCs w:val="20"/>
    </w:rPr>
  </w:style>
  <w:style w:type="paragraph" w:styleId="Textodeglobo">
    <w:name w:val="Balloon Text"/>
    <w:basedOn w:val="Normal"/>
    <w:link w:val="TextodegloboCar"/>
    <w:uiPriority w:val="99"/>
    <w:semiHidden/>
    <w:unhideWhenUsed/>
    <w:rsid w:val="00AD6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64B8"/>
    <w:rPr>
      <w:rFonts w:ascii="Segoe UI" w:hAnsi="Segoe UI" w:cs="Segoe UI"/>
      <w:sz w:val="18"/>
      <w:szCs w:val="18"/>
    </w:rPr>
  </w:style>
  <w:style w:type="paragraph" w:styleId="Textosinformato">
    <w:name w:val="Plain Text"/>
    <w:basedOn w:val="Normal"/>
    <w:link w:val="TextosinformatoCar"/>
    <w:rsid w:val="00747AE1"/>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747AE1"/>
    <w:rPr>
      <w:rFonts w:ascii="Courier New" w:eastAsia="Times New Roman" w:hAnsi="Courier New" w:cs="Courier New"/>
      <w:sz w:val="20"/>
      <w:szCs w:val="20"/>
      <w:lang w:eastAsia="es-ES"/>
    </w:rPr>
  </w:style>
  <w:style w:type="paragraph" w:styleId="Textoindependiente3">
    <w:name w:val="Body Text 3"/>
    <w:basedOn w:val="Normal"/>
    <w:link w:val="Textoindependiente3Car"/>
    <w:rsid w:val="00A534BC"/>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rsid w:val="00A534BC"/>
    <w:rPr>
      <w:rFonts w:ascii="Arial" w:eastAsia="Times New Roman" w:hAnsi="Arial" w:cs="Arial"/>
      <w:b/>
      <w:bCs/>
      <w:sz w:val="20"/>
      <w:szCs w:val="24"/>
      <w:lang w:val="es-ES" w:eastAsia="es-ES"/>
    </w:rPr>
  </w:style>
  <w:style w:type="character" w:styleId="Textoennegrita">
    <w:name w:val="Strong"/>
    <w:qFormat/>
    <w:rsid w:val="00A534BC"/>
    <w:rPr>
      <w:rFonts w:ascii="Arial" w:hAnsi="Arial" w:cs="Times New Roman"/>
      <w:b/>
    </w:rPr>
  </w:style>
  <w:style w:type="paragraph" w:customStyle="1" w:styleId="Texto">
    <w:name w:val="Texto"/>
    <w:basedOn w:val="Normal"/>
    <w:link w:val="TextoCar"/>
    <w:uiPriority w:val="99"/>
    <w:rsid w:val="0037357C"/>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37357C"/>
    <w:rPr>
      <w:rFonts w:ascii="Arial" w:eastAsia="Times New Roman" w:hAnsi="Arial" w:cs="Times New Roman"/>
      <w:sz w:val="18"/>
      <w:szCs w:val="20"/>
      <w:lang w:val="es-ES" w:eastAsia="es-ES"/>
    </w:rPr>
  </w:style>
  <w:style w:type="paragraph" w:customStyle="1" w:styleId="ROMANOS">
    <w:name w:val="ROMANOS"/>
    <w:basedOn w:val="Normal"/>
    <w:link w:val="ROMANOSCar"/>
    <w:rsid w:val="0037357C"/>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character" w:customStyle="1" w:styleId="ROMANOSCar">
    <w:name w:val="ROMANOS Car"/>
    <w:link w:val="ROMANOS"/>
    <w:locked/>
    <w:rsid w:val="0037357C"/>
    <w:rPr>
      <w:rFonts w:ascii="Arial" w:eastAsia="Times New Roman" w:hAnsi="Arial" w:cs="Times New Roman"/>
      <w:sz w:val="18"/>
      <w:szCs w:val="18"/>
      <w:lang w:val="es-ES" w:eastAsia="es-ES"/>
    </w:rPr>
  </w:style>
  <w:style w:type="character" w:customStyle="1" w:styleId="Ttulo4Car">
    <w:name w:val="Título 4 Car"/>
    <w:basedOn w:val="Fuentedeprrafopredeter"/>
    <w:link w:val="Ttulo4"/>
    <w:rsid w:val="00FD1EA3"/>
    <w:rPr>
      <w:rFonts w:ascii="CG Times" w:eastAsia="Times New Roman" w:hAnsi="CG Times" w:cs="Times New Roman"/>
      <w:noProof/>
      <w:sz w:val="20"/>
      <w:szCs w:val="24"/>
      <w:u w:val="single"/>
      <w:lang w:val="en-US"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38082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380827"/>
    <w:rPr>
      <w:rFonts w:ascii="Times New Roman" w:eastAsia="Times New Roman" w:hAnsi="Times New Roman" w:cs="Times New Roman"/>
      <w:sz w:val="20"/>
      <w:szCs w:val="20"/>
      <w:lang w:val="es-ES" w:eastAsia="es-ES"/>
    </w:rPr>
  </w:style>
  <w:style w:type="character" w:styleId="Refdenotaalpie">
    <w:name w:val="footnote reference"/>
    <w:aliases w:val="Ref,de nota al pie,(NECG) Footnote Reference,o,fr,Style 3,Appel note de bas de p,Style 12,Style 124,Ref. de nota al pie 2,Style 6,Footnote Reference Superscript"/>
    <w:uiPriority w:val="99"/>
    <w:qFormat/>
    <w:rsid w:val="00380827"/>
    <w:rPr>
      <w:rFonts w:cs="Times New Roman"/>
      <w:vertAlign w:val="superscript"/>
    </w:rPr>
  </w:style>
  <w:style w:type="paragraph" w:customStyle="1" w:styleId="Prrafodelista1">
    <w:name w:val="Párrafo de lista1"/>
    <w:basedOn w:val="Normal"/>
    <w:uiPriority w:val="99"/>
    <w:qFormat/>
    <w:rsid w:val="00140C5E"/>
    <w:pPr>
      <w:spacing w:after="0" w:line="240" w:lineRule="auto"/>
      <w:ind w:left="708"/>
    </w:pPr>
    <w:rPr>
      <w:rFonts w:ascii="Times New Roman" w:eastAsia="Times New Roman" w:hAnsi="Times New Roman" w:cs="Times New Roman"/>
      <w:sz w:val="24"/>
      <w:szCs w:val="24"/>
      <w:lang w:val="es-ES" w:eastAsia="es-ES"/>
    </w:rPr>
  </w:style>
  <w:style w:type="paragraph" w:customStyle="1" w:styleId="IFTnormal">
    <w:name w:val="IFT normal"/>
    <w:basedOn w:val="Normal"/>
    <w:link w:val="IFTnormalCar"/>
    <w:qFormat/>
    <w:rsid w:val="00114691"/>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114691"/>
    <w:rPr>
      <w:rFonts w:ascii="ITC Avant Garde" w:eastAsia="Calibri" w:hAnsi="ITC Avant Garde" w:cs="Arial"/>
      <w:color w:val="000000"/>
      <w:lang w:val="es-ES_tradnl" w:eastAsia="es-ES"/>
    </w:rPr>
  </w:style>
  <w:style w:type="paragraph" w:styleId="Revisin">
    <w:name w:val="Revision"/>
    <w:hidden/>
    <w:uiPriority w:val="99"/>
    <w:semiHidden/>
    <w:rsid w:val="00433445"/>
    <w:pPr>
      <w:spacing w:after="0" w:line="240" w:lineRule="auto"/>
    </w:pPr>
  </w:style>
  <w:style w:type="paragraph" w:customStyle="1" w:styleId="Ttulo10">
    <w:name w:val="Título1"/>
    <w:basedOn w:val="Normal"/>
    <w:link w:val="TtuloCar1"/>
    <w:qFormat/>
    <w:locked/>
    <w:rsid w:val="00EB32F2"/>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TtuloCar1">
    <w:name w:val="Título Car1"/>
    <w:link w:val="Ttulo10"/>
    <w:locked/>
    <w:rsid w:val="00EB32F2"/>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AA7478"/>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192287"/>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192287"/>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7745BD"/>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Fuentedeprrafopredeter"/>
    <w:rsid w:val="0031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877">
      <w:bodyDiv w:val="1"/>
      <w:marLeft w:val="0"/>
      <w:marRight w:val="0"/>
      <w:marTop w:val="0"/>
      <w:marBottom w:val="0"/>
      <w:divBdr>
        <w:top w:val="none" w:sz="0" w:space="0" w:color="auto"/>
        <w:left w:val="none" w:sz="0" w:space="0" w:color="auto"/>
        <w:bottom w:val="none" w:sz="0" w:space="0" w:color="auto"/>
        <w:right w:val="none" w:sz="0" w:space="0" w:color="auto"/>
      </w:divBdr>
    </w:div>
    <w:div w:id="47608866">
      <w:bodyDiv w:val="1"/>
      <w:marLeft w:val="0"/>
      <w:marRight w:val="0"/>
      <w:marTop w:val="0"/>
      <w:marBottom w:val="0"/>
      <w:divBdr>
        <w:top w:val="none" w:sz="0" w:space="0" w:color="auto"/>
        <w:left w:val="none" w:sz="0" w:space="0" w:color="auto"/>
        <w:bottom w:val="none" w:sz="0" w:space="0" w:color="auto"/>
        <w:right w:val="none" w:sz="0" w:space="0" w:color="auto"/>
      </w:divBdr>
    </w:div>
    <w:div w:id="60686337">
      <w:bodyDiv w:val="1"/>
      <w:marLeft w:val="0"/>
      <w:marRight w:val="0"/>
      <w:marTop w:val="0"/>
      <w:marBottom w:val="0"/>
      <w:divBdr>
        <w:top w:val="none" w:sz="0" w:space="0" w:color="auto"/>
        <w:left w:val="none" w:sz="0" w:space="0" w:color="auto"/>
        <w:bottom w:val="none" w:sz="0" w:space="0" w:color="auto"/>
        <w:right w:val="none" w:sz="0" w:space="0" w:color="auto"/>
      </w:divBdr>
    </w:div>
    <w:div w:id="79298685">
      <w:bodyDiv w:val="1"/>
      <w:marLeft w:val="0"/>
      <w:marRight w:val="0"/>
      <w:marTop w:val="0"/>
      <w:marBottom w:val="0"/>
      <w:divBdr>
        <w:top w:val="none" w:sz="0" w:space="0" w:color="auto"/>
        <w:left w:val="none" w:sz="0" w:space="0" w:color="auto"/>
        <w:bottom w:val="none" w:sz="0" w:space="0" w:color="auto"/>
        <w:right w:val="none" w:sz="0" w:space="0" w:color="auto"/>
      </w:divBdr>
    </w:div>
    <w:div w:id="109672169">
      <w:bodyDiv w:val="1"/>
      <w:marLeft w:val="0"/>
      <w:marRight w:val="0"/>
      <w:marTop w:val="0"/>
      <w:marBottom w:val="0"/>
      <w:divBdr>
        <w:top w:val="none" w:sz="0" w:space="0" w:color="auto"/>
        <w:left w:val="none" w:sz="0" w:space="0" w:color="auto"/>
        <w:bottom w:val="none" w:sz="0" w:space="0" w:color="auto"/>
        <w:right w:val="none" w:sz="0" w:space="0" w:color="auto"/>
      </w:divBdr>
    </w:div>
    <w:div w:id="155154005">
      <w:bodyDiv w:val="1"/>
      <w:marLeft w:val="0"/>
      <w:marRight w:val="0"/>
      <w:marTop w:val="0"/>
      <w:marBottom w:val="0"/>
      <w:divBdr>
        <w:top w:val="none" w:sz="0" w:space="0" w:color="auto"/>
        <w:left w:val="none" w:sz="0" w:space="0" w:color="auto"/>
        <w:bottom w:val="none" w:sz="0" w:space="0" w:color="auto"/>
        <w:right w:val="none" w:sz="0" w:space="0" w:color="auto"/>
      </w:divBdr>
    </w:div>
    <w:div w:id="217784701">
      <w:bodyDiv w:val="1"/>
      <w:marLeft w:val="0"/>
      <w:marRight w:val="0"/>
      <w:marTop w:val="0"/>
      <w:marBottom w:val="0"/>
      <w:divBdr>
        <w:top w:val="none" w:sz="0" w:space="0" w:color="auto"/>
        <w:left w:val="none" w:sz="0" w:space="0" w:color="auto"/>
        <w:bottom w:val="none" w:sz="0" w:space="0" w:color="auto"/>
        <w:right w:val="none" w:sz="0" w:space="0" w:color="auto"/>
      </w:divBdr>
    </w:div>
    <w:div w:id="220018305">
      <w:bodyDiv w:val="1"/>
      <w:marLeft w:val="0"/>
      <w:marRight w:val="0"/>
      <w:marTop w:val="0"/>
      <w:marBottom w:val="0"/>
      <w:divBdr>
        <w:top w:val="none" w:sz="0" w:space="0" w:color="auto"/>
        <w:left w:val="none" w:sz="0" w:space="0" w:color="auto"/>
        <w:bottom w:val="none" w:sz="0" w:space="0" w:color="auto"/>
        <w:right w:val="none" w:sz="0" w:space="0" w:color="auto"/>
      </w:divBdr>
    </w:div>
    <w:div w:id="224267821">
      <w:bodyDiv w:val="1"/>
      <w:marLeft w:val="0"/>
      <w:marRight w:val="0"/>
      <w:marTop w:val="0"/>
      <w:marBottom w:val="0"/>
      <w:divBdr>
        <w:top w:val="none" w:sz="0" w:space="0" w:color="auto"/>
        <w:left w:val="none" w:sz="0" w:space="0" w:color="auto"/>
        <w:bottom w:val="none" w:sz="0" w:space="0" w:color="auto"/>
        <w:right w:val="none" w:sz="0" w:space="0" w:color="auto"/>
      </w:divBdr>
    </w:div>
    <w:div w:id="227691187">
      <w:bodyDiv w:val="1"/>
      <w:marLeft w:val="0"/>
      <w:marRight w:val="0"/>
      <w:marTop w:val="0"/>
      <w:marBottom w:val="0"/>
      <w:divBdr>
        <w:top w:val="none" w:sz="0" w:space="0" w:color="auto"/>
        <w:left w:val="none" w:sz="0" w:space="0" w:color="auto"/>
        <w:bottom w:val="none" w:sz="0" w:space="0" w:color="auto"/>
        <w:right w:val="none" w:sz="0" w:space="0" w:color="auto"/>
      </w:divBdr>
    </w:div>
    <w:div w:id="242103311">
      <w:bodyDiv w:val="1"/>
      <w:marLeft w:val="0"/>
      <w:marRight w:val="0"/>
      <w:marTop w:val="0"/>
      <w:marBottom w:val="0"/>
      <w:divBdr>
        <w:top w:val="none" w:sz="0" w:space="0" w:color="auto"/>
        <w:left w:val="none" w:sz="0" w:space="0" w:color="auto"/>
        <w:bottom w:val="none" w:sz="0" w:space="0" w:color="auto"/>
        <w:right w:val="none" w:sz="0" w:space="0" w:color="auto"/>
      </w:divBdr>
    </w:div>
    <w:div w:id="272565933">
      <w:bodyDiv w:val="1"/>
      <w:marLeft w:val="0"/>
      <w:marRight w:val="0"/>
      <w:marTop w:val="0"/>
      <w:marBottom w:val="0"/>
      <w:divBdr>
        <w:top w:val="none" w:sz="0" w:space="0" w:color="auto"/>
        <w:left w:val="none" w:sz="0" w:space="0" w:color="auto"/>
        <w:bottom w:val="none" w:sz="0" w:space="0" w:color="auto"/>
        <w:right w:val="none" w:sz="0" w:space="0" w:color="auto"/>
      </w:divBdr>
    </w:div>
    <w:div w:id="293027498">
      <w:bodyDiv w:val="1"/>
      <w:marLeft w:val="0"/>
      <w:marRight w:val="0"/>
      <w:marTop w:val="0"/>
      <w:marBottom w:val="0"/>
      <w:divBdr>
        <w:top w:val="none" w:sz="0" w:space="0" w:color="auto"/>
        <w:left w:val="none" w:sz="0" w:space="0" w:color="auto"/>
        <w:bottom w:val="none" w:sz="0" w:space="0" w:color="auto"/>
        <w:right w:val="none" w:sz="0" w:space="0" w:color="auto"/>
      </w:divBdr>
    </w:div>
    <w:div w:id="293293327">
      <w:bodyDiv w:val="1"/>
      <w:marLeft w:val="0"/>
      <w:marRight w:val="0"/>
      <w:marTop w:val="0"/>
      <w:marBottom w:val="0"/>
      <w:divBdr>
        <w:top w:val="none" w:sz="0" w:space="0" w:color="auto"/>
        <w:left w:val="none" w:sz="0" w:space="0" w:color="auto"/>
        <w:bottom w:val="none" w:sz="0" w:space="0" w:color="auto"/>
        <w:right w:val="none" w:sz="0" w:space="0" w:color="auto"/>
      </w:divBdr>
    </w:div>
    <w:div w:id="300044057">
      <w:bodyDiv w:val="1"/>
      <w:marLeft w:val="0"/>
      <w:marRight w:val="0"/>
      <w:marTop w:val="0"/>
      <w:marBottom w:val="0"/>
      <w:divBdr>
        <w:top w:val="none" w:sz="0" w:space="0" w:color="auto"/>
        <w:left w:val="none" w:sz="0" w:space="0" w:color="auto"/>
        <w:bottom w:val="none" w:sz="0" w:space="0" w:color="auto"/>
        <w:right w:val="none" w:sz="0" w:space="0" w:color="auto"/>
      </w:divBdr>
    </w:div>
    <w:div w:id="316374148">
      <w:bodyDiv w:val="1"/>
      <w:marLeft w:val="0"/>
      <w:marRight w:val="0"/>
      <w:marTop w:val="0"/>
      <w:marBottom w:val="0"/>
      <w:divBdr>
        <w:top w:val="none" w:sz="0" w:space="0" w:color="auto"/>
        <w:left w:val="none" w:sz="0" w:space="0" w:color="auto"/>
        <w:bottom w:val="none" w:sz="0" w:space="0" w:color="auto"/>
        <w:right w:val="none" w:sz="0" w:space="0" w:color="auto"/>
      </w:divBdr>
    </w:div>
    <w:div w:id="329450723">
      <w:bodyDiv w:val="1"/>
      <w:marLeft w:val="0"/>
      <w:marRight w:val="0"/>
      <w:marTop w:val="0"/>
      <w:marBottom w:val="0"/>
      <w:divBdr>
        <w:top w:val="none" w:sz="0" w:space="0" w:color="auto"/>
        <w:left w:val="none" w:sz="0" w:space="0" w:color="auto"/>
        <w:bottom w:val="none" w:sz="0" w:space="0" w:color="auto"/>
        <w:right w:val="none" w:sz="0" w:space="0" w:color="auto"/>
      </w:divBdr>
    </w:div>
    <w:div w:id="352000991">
      <w:bodyDiv w:val="1"/>
      <w:marLeft w:val="0"/>
      <w:marRight w:val="0"/>
      <w:marTop w:val="0"/>
      <w:marBottom w:val="0"/>
      <w:divBdr>
        <w:top w:val="none" w:sz="0" w:space="0" w:color="auto"/>
        <w:left w:val="none" w:sz="0" w:space="0" w:color="auto"/>
        <w:bottom w:val="none" w:sz="0" w:space="0" w:color="auto"/>
        <w:right w:val="none" w:sz="0" w:space="0" w:color="auto"/>
      </w:divBdr>
    </w:div>
    <w:div w:id="356547483">
      <w:bodyDiv w:val="1"/>
      <w:marLeft w:val="0"/>
      <w:marRight w:val="0"/>
      <w:marTop w:val="0"/>
      <w:marBottom w:val="0"/>
      <w:divBdr>
        <w:top w:val="none" w:sz="0" w:space="0" w:color="auto"/>
        <w:left w:val="none" w:sz="0" w:space="0" w:color="auto"/>
        <w:bottom w:val="none" w:sz="0" w:space="0" w:color="auto"/>
        <w:right w:val="none" w:sz="0" w:space="0" w:color="auto"/>
      </w:divBdr>
    </w:div>
    <w:div w:id="387653506">
      <w:bodyDiv w:val="1"/>
      <w:marLeft w:val="0"/>
      <w:marRight w:val="0"/>
      <w:marTop w:val="0"/>
      <w:marBottom w:val="0"/>
      <w:divBdr>
        <w:top w:val="none" w:sz="0" w:space="0" w:color="auto"/>
        <w:left w:val="none" w:sz="0" w:space="0" w:color="auto"/>
        <w:bottom w:val="none" w:sz="0" w:space="0" w:color="auto"/>
        <w:right w:val="none" w:sz="0" w:space="0" w:color="auto"/>
      </w:divBdr>
    </w:div>
    <w:div w:id="398404362">
      <w:bodyDiv w:val="1"/>
      <w:marLeft w:val="0"/>
      <w:marRight w:val="0"/>
      <w:marTop w:val="0"/>
      <w:marBottom w:val="0"/>
      <w:divBdr>
        <w:top w:val="none" w:sz="0" w:space="0" w:color="auto"/>
        <w:left w:val="none" w:sz="0" w:space="0" w:color="auto"/>
        <w:bottom w:val="none" w:sz="0" w:space="0" w:color="auto"/>
        <w:right w:val="none" w:sz="0" w:space="0" w:color="auto"/>
      </w:divBdr>
    </w:div>
    <w:div w:id="457917350">
      <w:bodyDiv w:val="1"/>
      <w:marLeft w:val="0"/>
      <w:marRight w:val="0"/>
      <w:marTop w:val="0"/>
      <w:marBottom w:val="0"/>
      <w:divBdr>
        <w:top w:val="none" w:sz="0" w:space="0" w:color="auto"/>
        <w:left w:val="none" w:sz="0" w:space="0" w:color="auto"/>
        <w:bottom w:val="none" w:sz="0" w:space="0" w:color="auto"/>
        <w:right w:val="none" w:sz="0" w:space="0" w:color="auto"/>
      </w:divBdr>
    </w:div>
    <w:div w:id="488909610">
      <w:bodyDiv w:val="1"/>
      <w:marLeft w:val="0"/>
      <w:marRight w:val="0"/>
      <w:marTop w:val="0"/>
      <w:marBottom w:val="0"/>
      <w:divBdr>
        <w:top w:val="none" w:sz="0" w:space="0" w:color="auto"/>
        <w:left w:val="none" w:sz="0" w:space="0" w:color="auto"/>
        <w:bottom w:val="none" w:sz="0" w:space="0" w:color="auto"/>
        <w:right w:val="none" w:sz="0" w:space="0" w:color="auto"/>
      </w:divBdr>
    </w:div>
    <w:div w:id="518472593">
      <w:bodyDiv w:val="1"/>
      <w:marLeft w:val="0"/>
      <w:marRight w:val="0"/>
      <w:marTop w:val="0"/>
      <w:marBottom w:val="0"/>
      <w:divBdr>
        <w:top w:val="none" w:sz="0" w:space="0" w:color="auto"/>
        <w:left w:val="none" w:sz="0" w:space="0" w:color="auto"/>
        <w:bottom w:val="none" w:sz="0" w:space="0" w:color="auto"/>
        <w:right w:val="none" w:sz="0" w:space="0" w:color="auto"/>
      </w:divBdr>
    </w:div>
    <w:div w:id="558171071">
      <w:bodyDiv w:val="1"/>
      <w:marLeft w:val="0"/>
      <w:marRight w:val="0"/>
      <w:marTop w:val="0"/>
      <w:marBottom w:val="0"/>
      <w:divBdr>
        <w:top w:val="none" w:sz="0" w:space="0" w:color="auto"/>
        <w:left w:val="none" w:sz="0" w:space="0" w:color="auto"/>
        <w:bottom w:val="none" w:sz="0" w:space="0" w:color="auto"/>
        <w:right w:val="none" w:sz="0" w:space="0" w:color="auto"/>
      </w:divBdr>
    </w:div>
    <w:div w:id="560286456">
      <w:bodyDiv w:val="1"/>
      <w:marLeft w:val="0"/>
      <w:marRight w:val="0"/>
      <w:marTop w:val="0"/>
      <w:marBottom w:val="0"/>
      <w:divBdr>
        <w:top w:val="none" w:sz="0" w:space="0" w:color="auto"/>
        <w:left w:val="none" w:sz="0" w:space="0" w:color="auto"/>
        <w:bottom w:val="none" w:sz="0" w:space="0" w:color="auto"/>
        <w:right w:val="none" w:sz="0" w:space="0" w:color="auto"/>
      </w:divBdr>
    </w:div>
    <w:div w:id="561796839">
      <w:bodyDiv w:val="1"/>
      <w:marLeft w:val="0"/>
      <w:marRight w:val="0"/>
      <w:marTop w:val="0"/>
      <w:marBottom w:val="0"/>
      <w:divBdr>
        <w:top w:val="none" w:sz="0" w:space="0" w:color="auto"/>
        <w:left w:val="none" w:sz="0" w:space="0" w:color="auto"/>
        <w:bottom w:val="none" w:sz="0" w:space="0" w:color="auto"/>
        <w:right w:val="none" w:sz="0" w:space="0" w:color="auto"/>
      </w:divBdr>
    </w:div>
    <w:div w:id="573861061">
      <w:bodyDiv w:val="1"/>
      <w:marLeft w:val="0"/>
      <w:marRight w:val="0"/>
      <w:marTop w:val="0"/>
      <w:marBottom w:val="0"/>
      <w:divBdr>
        <w:top w:val="none" w:sz="0" w:space="0" w:color="auto"/>
        <w:left w:val="none" w:sz="0" w:space="0" w:color="auto"/>
        <w:bottom w:val="none" w:sz="0" w:space="0" w:color="auto"/>
        <w:right w:val="none" w:sz="0" w:space="0" w:color="auto"/>
      </w:divBdr>
    </w:div>
    <w:div w:id="575167075">
      <w:bodyDiv w:val="1"/>
      <w:marLeft w:val="0"/>
      <w:marRight w:val="0"/>
      <w:marTop w:val="0"/>
      <w:marBottom w:val="0"/>
      <w:divBdr>
        <w:top w:val="none" w:sz="0" w:space="0" w:color="auto"/>
        <w:left w:val="none" w:sz="0" w:space="0" w:color="auto"/>
        <w:bottom w:val="none" w:sz="0" w:space="0" w:color="auto"/>
        <w:right w:val="none" w:sz="0" w:space="0" w:color="auto"/>
      </w:divBdr>
    </w:div>
    <w:div w:id="582909075">
      <w:bodyDiv w:val="1"/>
      <w:marLeft w:val="0"/>
      <w:marRight w:val="0"/>
      <w:marTop w:val="0"/>
      <w:marBottom w:val="0"/>
      <w:divBdr>
        <w:top w:val="none" w:sz="0" w:space="0" w:color="auto"/>
        <w:left w:val="none" w:sz="0" w:space="0" w:color="auto"/>
        <w:bottom w:val="none" w:sz="0" w:space="0" w:color="auto"/>
        <w:right w:val="none" w:sz="0" w:space="0" w:color="auto"/>
      </w:divBdr>
    </w:div>
    <w:div w:id="595596249">
      <w:bodyDiv w:val="1"/>
      <w:marLeft w:val="0"/>
      <w:marRight w:val="0"/>
      <w:marTop w:val="0"/>
      <w:marBottom w:val="0"/>
      <w:divBdr>
        <w:top w:val="none" w:sz="0" w:space="0" w:color="auto"/>
        <w:left w:val="none" w:sz="0" w:space="0" w:color="auto"/>
        <w:bottom w:val="none" w:sz="0" w:space="0" w:color="auto"/>
        <w:right w:val="none" w:sz="0" w:space="0" w:color="auto"/>
      </w:divBdr>
    </w:div>
    <w:div w:id="692850134">
      <w:bodyDiv w:val="1"/>
      <w:marLeft w:val="0"/>
      <w:marRight w:val="0"/>
      <w:marTop w:val="0"/>
      <w:marBottom w:val="0"/>
      <w:divBdr>
        <w:top w:val="none" w:sz="0" w:space="0" w:color="auto"/>
        <w:left w:val="none" w:sz="0" w:space="0" w:color="auto"/>
        <w:bottom w:val="none" w:sz="0" w:space="0" w:color="auto"/>
        <w:right w:val="none" w:sz="0" w:space="0" w:color="auto"/>
      </w:divBdr>
    </w:div>
    <w:div w:id="735250308">
      <w:bodyDiv w:val="1"/>
      <w:marLeft w:val="0"/>
      <w:marRight w:val="0"/>
      <w:marTop w:val="0"/>
      <w:marBottom w:val="0"/>
      <w:divBdr>
        <w:top w:val="none" w:sz="0" w:space="0" w:color="auto"/>
        <w:left w:val="none" w:sz="0" w:space="0" w:color="auto"/>
        <w:bottom w:val="none" w:sz="0" w:space="0" w:color="auto"/>
        <w:right w:val="none" w:sz="0" w:space="0" w:color="auto"/>
      </w:divBdr>
    </w:div>
    <w:div w:id="744912468">
      <w:bodyDiv w:val="1"/>
      <w:marLeft w:val="0"/>
      <w:marRight w:val="0"/>
      <w:marTop w:val="0"/>
      <w:marBottom w:val="0"/>
      <w:divBdr>
        <w:top w:val="none" w:sz="0" w:space="0" w:color="auto"/>
        <w:left w:val="none" w:sz="0" w:space="0" w:color="auto"/>
        <w:bottom w:val="none" w:sz="0" w:space="0" w:color="auto"/>
        <w:right w:val="none" w:sz="0" w:space="0" w:color="auto"/>
      </w:divBdr>
    </w:div>
    <w:div w:id="777993780">
      <w:bodyDiv w:val="1"/>
      <w:marLeft w:val="0"/>
      <w:marRight w:val="0"/>
      <w:marTop w:val="0"/>
      <w:marBottom w:val="0"/>
      <w:divBdr>
        <w:top w:val="none" w:sz="0" w:space="0" w:color="auto"/>
        <w:left w:val="none" w:sz="0" w:space="0" w:color="auto"/>
        <w:bottom w:val="none" w:sz="0" w:space="0" w:color="auto"/>
        <w:right w:val="none" w:sz="0" w:space="0" w:color="auto"/>
      </w:divBdr>
    </w:div>
    <w:div w:id="863053804">
      <w:bodyDiv w:val="1"/>
      <w:marLeft w:val="0"/>
      <w:marRight w:val="0"/>
      <w:marTop w:val="0"/>
      <w:marBottom w:val="0"/>
      <w:divBdr>
        <w:top w:val="none" w:sz="0" w:space="0" w:color="auto"/>
        <w:left w:val="none" w:sz="0" w:space="0" w:color="auto"/>
        <w:bottom w:val="none" w:sz="0" w:space="0" w:color="auto"/>
        <w:right w:val="none" w:sz="0" w:space="0" w:color="auto"/>
      </w:divBdr>
    </w:div>
    <w:div w:id="871721361">
      <w:bodyDiv w:val="1"/>
      <w:marLeft w:val="0"/>
      <w:marRight w:val="0"/>
      <w:marTop w:val="0"/>
      <w:marBottom w:val="0"/>
      <w:divBdr>
        <w:top w:val="none" w:sz="0" w:space="0" w:color="auto"/>
        <w:left w:val="none" w:sz="0" w:space="0" w:color="auto"/>
        <w:bottom w:val="none" w:sz="0" w:space="0" w:color="auto"/>
        <w:right w:val="none" w:sz="0" w:space="0" w:color="auto"/>
      </w:divBdr>
    </w:div>
    <w:div w:id="893199099">
      <w:bodyDiv w:val="1"/>
      <w:marLeft w:val="0"/>
      <w:marRight w:val="0"/>
      <w:marTop w:val="0"/>
      <w:marBottom w:val="0"/>
      <w:divBdr>
        <w:top w:val="none" w:sz="0" w:space="0" w:color="auto"/>
        <w:left w:val="none" w:sz="0" w:space="0" w:color="auto"/>
        <w:bottom w:val="none" w:sz="0" w:space="0" w:color="auto"/>
        <w:right w:val="none" w:sz="0" w:space="0" w:color="auto"/>
      </w:divBdr>
    </w:div>
    <w:div w:id="894394800">
      <w:bodyDiv w:val="1"/>
      <w:marLeft w:val="0"/>
      <w:marRight w:val="0"/>
      <w:marTop w:val="0"/>
      <w:marBottom w:val="0"/>
      <w:divBdr>
        <w:top w:val="none" w:sz="0" w:space="0" w:color="auto"/>
        <w:left w:val="none" w:sz="0" w:space="0" w:color="auto"/>
        <w:bottom w:val="none" w:sz="0" w:space="0" w:color="auto"/>
        <w:right w:val="none" w:sz="0" w:space="0" w:color="auto"/>
      </w:divBdr>
    </w:div>
    <w:div w:id="944195929">
      <w:bodyDiv w:val="1"/>
      <w:marLeft w:val="0"/>
      <w:marRight w:val="0"/>
      <w:marTop w:val="0"/>
      <w:marBottom w:val="0"/>
      <w:divBdr>
        <w:top w:val="none" w:sz="0" w:space="0" w:color="auto"/>
        <w:left w:val="none" w:sz="0" w:space="0" w:color="auto"/>
        <w:bottom w:val="none" w:sz="0" w:space="0" w:color="auto"/>
        <w:right w:val="none" w:sz="0" w:space="0" w:color="auto"/>
      </w:divBdr>
    </w:div>
    <w:div w:id="947277082">
      <w:bodyDiv w:val="1"/>
      <w:marLeft w:val="0"/>
      <w:marRight w:val="0"/>
      <w:marTop w:val="0"/>
      <w:marBottom w:val="0"/>
      <w:divBdr>
        <w:top w:val="none" w:sz="0" w:space="0" w:color="auto"/>
        <w:left w:val="none" w:sz="0" w:space="0" w:color="auto"/>
        <w:bottom w:val="none" w:sz="0" w:space="0" w:color="auto"/>
        <w:right w:val="none" w:sz="0" w:space="0" w:color="auto"/>
      </w:divBdr>
    </w:div>
    <w:div w:id="955214224">
      <w:bodyDiv w:val="1"/>
      <w:marLeft w:val="0"/>
      <w:marRight w:val="0"/>
      <w:marTop w:val="0"/>
      <w:marBottom w:val="0"/>
      <w:divBdr>
        <w:top w:val="none" w:sz="0" w:space="0" w:color="auto"/>
        <w:left w:val="none" w:sz="0" w:space="0" w:color="auto"/>
        <w:bottom w:val="none" w:sz="0" w:space="0" w:color="auto"/>
        <w:right w:val="none" w:sz="0" w:space="0" w:color="auto"/>
      </w:divBdr>
    </w:div>
    <w:div w:id="960913654">
      <w:bodyDiv w:val="1"/>
      <w:marLeft w:val="0"/>
      <w:marRight w:val="0"/>
      <w:marTop w:val="0"/>
      <w:marBottom w:val="0"/>
      <w:divBdr>
        <w:top w:val="none" w:sz="0" w:space="0" w:color="auto"/>
        <w:left w:val="none" w:sz="0" w:space="0" w:color="auto"/>
        <w:bottom w:val="none" w:sz="0" w:space="0" w:color="auto"/>
        <w:right w:val="none" w:sz="0" w:space="0" w:color="auto"/>
      </w:divBdr>
    </w:div>
    <w:div w:id="991060502">
      <w:bodyDiv w:val="1"/>
      <w:marLeft w:val="0"/>
      <w:marRight w:val="0"/>
      <w:marTop w:val="0"/>
      <w:marBottom w:val="0"/>
      <w:divBdr>
        <w:top w:val="none" w:sz="0" w:space="0" w:color="auto"/>
        <w:left w:val="none" w:sz="0" w:space="0" w:color="auto"/>
        <w:bottom w:val="none" w:sz="0" w:space="0" w:color="auto"/>
        <w:right w:val="none" w:sz="0" w:space="0" w:color="auto"/>
      </w:divBdr>
    </w:div>
    <w:div w:id="1058936499">
      <w:bodyDiv w:val="1"/>
      <w:marLeft w:val="0"/>
      <w:marRight w:val="0"/>
      <w:marTop w:val="0"/>
      <w:marBottom w:val="0"/>
      <w:divBdr>
        <w:top w:val="none" w:sz="0" w:space="0" w:color="auto"/>
        <w:left w:val="none" w:sz="0" w:space="0" w:color="auto"/>
        <w:bottom w:val="none" w:sz="0" w:space="0" w:color="auto"/>
        <w:right w:val="none" w:sz="0" w:space="0" w:color="auto"/>
      </w:divBdr>
    </w:div>
    <w:div w:id="1066878881">
      <w:bodyDiv w:val="1"/>
      <w:marLeft w:val="0"/>
      <w:marRight w:val="0"/>
      <w:marTop w:val="0"/>
      <w:marBottom w:val="0"/>
      <w:divBdr>
        <w:top w:val="none" w:sz="0" w:space="0" w:color="auto"/>
        <w:left w:val="none" w:sz="0" w:space="0" w:color="auto"/>
        <w:bottom w:val="none" w:sz="0" w:space="0" w:color="auto"/>
        <w:right w:val="none" w:sz="0" w:space="0" w:color="auto"/>
      </w:divBdr>
    </w:div>
    <w:div w:id="1081828355">
      <w:bodyDiv w:val="1"/>
      <w:marLeft w:val="0"/>
      <w:marRight w:val="0"/>
      <w:marTop w:val="0"/>
      <w:marBottom w:val="0"/>
      <w:divBdr>
        <w:top w:val="none" w:sz="0" w:space="0" w:color="auto"/>
        <w:left w:val="none" w:sz="0" w:space="0" w:color="auto"/>
        <w:bottom w:val="none" w:sz="0" w:space="0" w:color="auto"/>
        <w:right w:val="none" w:sz="0" w:space="0" w:color="auto"/>
      </w:divBdr>
    </w:div>
    <w:div w:id="1102336340">
      <w:bodyDiv w:val="1"/>
      <w:marLeft w:val="0"/>
      <w:marRight w:val="0"/>
      <w:marTop w:val="0"/>
      <w:marBottom w:val="0"/>
      <w:divBdr>
        <w:top w:val="none" w:sz="0" w:space="0" w:color="auto"/>
        <w:left w:val="none" w:sz="0" w:space="0" w:color="auto"/>
        <w:bottom w:val="none" w:sz="0" w:space="0" w:color="auto"/>
        <w:right w:val="none" w:sz="0" w:space="0" w:color="auto"/>
      </w:divBdr>
    </w:div>
    <w:div w:id="1190220857">
      <w:bodyDiv w:val="1"/>
      <w:marLeft w:val="0"/>
      <w:marRight w:val="0"/>
      <w:marTop w:val="0"/>
      <w:marBottom w:val="0"/>
      <w:divBdr>
        <w:top w:val="none" w:sz="0" w:space="0" w:color="auto"/>
        <w:left w:val="none" w:sz="0" w:space="0" w:color="auto"/>
        <w:bottom w:val="none" w:sz="0" w:space="0" w:color="auto"/>
        <w:right w:val="none" w:sz="0" w:space="0" w:color="auto"/>
      </w:divBdr>
    </w:div>
    <w:div w:id="1211722439">
      <w:bodyDiv w:val="1"/>
      <w:marLeft w:val="0"/>
      <w:marRight w:val="0"/>
      <w:marTop w:val="0"/>
      <w:marBottom w:val="0"/>
      <w:divBdr>
        <w:top w:val="none" w:sz="0" w:space="0" w:color="auto"/>
        <w:left w:val="none" w:sz="0" w:space="0" w:color="auto"/>
        <w:bottom w:val="none" w:sz="0" w:space="0" w:color="auto"/>
        <w:right w:val="none" w:sz="0" w:space="0" w:color="auto"/>
      </w:divBdr>
    </w:div>
    <w:div w:id="1254818394">
      <w:bodyDiv w:val="1"/>
      <w:marLeft w:val="0"/>
      <w:marRight w:val="0"/>
      <w:marTop w:val="0"/>
      <w:marBottom w:val="0"/>
      <w:divBdr>
        <w:top w:val="none" w:sz="0" w:space="0" w:color="auto"/>
        <w:left w:val="none" w:sz="0" w:space="0" w:color="auto"/>
        <w:bottom w:val="none" w:sz="0" w:space="0" w:color="auto"/>
        <w:right w:val="none" w:sz="0" w:space="0" w:color="auto"/>
      </w:divBdr>
    </w:div>
    <w:div w:id="1256279974">
      <w:bodyDiv w:val="1"/>
      <w:marLeft w:val="0"/>
      <w:marRight w:val="0"/>
      <w:marTop w:val="0"/>
      <w:marBottom w:val="0"/>
      <w:divBdr>
        <w:top w:val="none" w:sz="0" w:space="0" w:color="auto"/>
        <w:left w:val="none" w:sz="0" w:space="0" w:color="auto"/>
        <w:bottom w:val="none" w:sz="0" w:space="0" w:color="auto"/>
        <w:right w:val="none" w:sz="0" w:space="0" w:color="auto"/>
      </w:divBdr>
    </w:div>
    <w:div w:id="1259560715">
      <w:bodyDiv w:val="1"/>
      <w:marLeft w:val="0"/>
      <w:marRight w:val="0"/>
      <w:marTop w:val="0"/>
      <w:marBottom w:val="0"/>
      <w:divBdr>
        <w:top w:val="none" w:sz="0" w:space="0" w:color="auto"/>
        <w:left w:val="none" w:sz="0" w:space="0" w:color="auto"/>
        <w:bottom w:val="none" w:sz="0" w:space="0" w:color="auto"/>
        <w:right w:val="none" w:sz="0" w:space="0" w:color="auto"/>
      </w:divBdr>
    </w:div>
    <w:div w:id="1319842954">
      <w:bodyDiv w:val="1"/>
      <w:marLeft w:val="0"/>
      <w:marRight w:val="0"/>
      <w:marTop w:val="0"/>
      <w:marBottom w:val="0"/>
      <w:divBdr>
        <w:top w:val="none" w:sz="0" w:space="0" w:color="auto"/>
        <w:left w:val="none" w:sz="0" w:space="0" w:color="auto"/>
        <w:bottom w:val="none" w:sz="0" w:space="0" w:color="auto"/>
        <w:right w:val="none" w:sz="0" w:space="0" w:color="auto"/>
      </w:divBdr>
    </w:div>
    <w:div w:id="1335841747">
      <w:bodyDiv w:val="1"/>
      <w:marLeft w:val="0"/>
      <w:marRight w:val="0"/>
      <w:marTop w:val="0"/>
      <w:marBottom w:val="0"/>
      <w:divBdr>
        <w:top w:val="none" w:sz="0" w:space="0" w:color="auto"/>
        <w:left w:val="none" w:sz="0" w:space="0" w:color="auto"/>
        <w:bottom w:val="none" w:sz="0" w:space="0" w:color="auto"/>
        <w:right w:val="none" w:sz="0" w:space="0" w:color="auto"/>
      </w:divBdr>
    </w:div>
    <w:div w:id="1374768811">
      <w:bodyDiv w:val="1"/>
      <w:marLeft w:val="0"/>
      <w:marRight w:val="0"/>
      <w:marTop w:val="0"/>
      <w:marBottom w:val="0"/>
      <w:divBdr>
        <w:top w:val="none" w:sz="0" w:space="0" w:color="auto"/>
        <w:left w:val="none" w:sz="0" w:space="0" w:color="auto"/>
        <w:bottom w:val="none" w:sz="0" w:space="0" w:color="auto"/>
        <w:right w:val="none" w:sz="0" w:space="0" w:color="auto"/>
      </w:divBdr>
    </w:div>
    <w:div w:id="1464736106">
      <w:bodyDiv w:val="1"/>
      <w:marLeft w:val="0"/>
      <w:marRight w:val="0"/>
      <w:marTop w:val="0"/>
      <w:marBottom w:val="0"/>
      <w:divBdr>
        <w:top w:val="none" w:sz="0" w:space="0" w:color="auto"/>
        <w:left w:val="none" w:sz="0" w:space="0" w:color="auto"/>
        <w:bottom w:val="none" w:sz="0" w:space="0" w:color="auto"/>
        <w:right w:val="none" w:sz="0" w:space="0" w:color="auto"/>
      </w:divBdr>
    </w:div>
    <w:div w:id="1468008515">
      <w:bodyDiv w:val="1"/>
      <w:marLeft w:val="0"/>
      <w:marRight w:val="0"/>
      <w:marTop w:val="0"/>
      <w:marBottom w:val="0"/>
      <w:divBdr>
        <w:top w:val="none" w:sz="0" w:space="0" w:color="auto"/>
        <w:left w:val="none" w:sz="0" w:space="0" w:color="auto"/>
        <w:bottom w:val="none" w:sz="0" w:space="0" w:color="auto"/>
        <w:right w:val="none" w:sz="0" w:space="0" w:color="auto"/>
      </w:divBdr>
    </w:div>
    <w:div w:id="1481726136">
      <w:bodyDiv w:val="1"/>
      <w:marLeft w:val="0"/>
      <w:marRight w:val="0"/>
      <w:marTop w:val="0"/>
      <w:marBottom w:val="0"/>
      <w:divBdr>
        <w:top w:val="none" w:sz="0" w:space="0" w:color="auto"/>
        <w:left w:val="none" w:sz="0" w:space="0" w:color="auto"/>
        <w:bottom w:val="none" w:sz="0" w:space="0" w:color="auto"/>
        <w:right w:val="none" w:sz="0" w:space="0" w:color="auto"/>
      </w:divBdr>
    </w:div>
    <w:div w:id="1481727521">
      <w:bodyDiv w:val="1"/>
      <w:marLeft w:val="0"/>
      <w:marRight w:val="0"/>
      <w:marTop w:val="0"/>
      <w:marBottom w:val="0"/>
      <w:divBdr>
        <w:top w:val="none" w:sz="0" w:space="0" w:color="auto"/>
        <w:left w:val="none" w:sz="0" w:space="0" w:color="auto"/>
        <w:bottom w:val="none" w:sz="0" w:space="0" w:color="auto"/>
        <w:right w:val="none" w:sz="0" w:space="0" w:color="auto"/>
      </w:divBdr>
    </w:div>
    <w:div w:id="1532844122">
      <w:bodyDiv w:val="1"/>
      <w:marLeft w:val="0"/>
      <w:marRight w:val="0"/>
      <w:marTop w:val="0"/>
      <w:marBottom w:val="0"/>
      <w:divBdr>
        <w:top w:val="none" w:sz="0" w:space="0" w:color="auto"/>
        <w:left w:val="none" w:sz="0" w:space="0" w:color="auto"/>
        <w:bottom w:val="none" w:sz="0" w:space="0" w:color="auto"/>
        <w:right w:val="none" w:sz="0" w:space="0" w:color="auto"/>
      </w:divBdr>
    </w:div>
    <w:div w:id="1538542018">
      <w:bodyDiv w:val="1"/>
      <w:marLeft w:val="0"/>
      <w:marRight w:val="0"/>
      <w:marTop w:val="0"/>
      <w:marBottom w:val="0"/>
      <w:divBdr>
        <w:top w:val="none" w:sz="0" w:space="0" w:color="auto"/>
        <w:left w:val="none" w:sz="0" w:space="0" w:color="auto"/>
        <w:bottom w:val="none" w:sz="0" w:space="0" w:color="auto"/>
        <w:right w:val="none" w:sz="0" w:space="0" w:color="auto"/>
      </w:divBdr>
    </w:div>
    <w:div w:id="1545606176">
      <w:bodyDiv w:val="1"/>
      <w:marLeft w:val="0"/>
      <w:marRight w:val="0"/>
      <w:marTop w:val="0"/>
      <w:marBottom w:val="0"/>
      <w:divBdr>
        <w:top w:val="none" w:sz="0" w:space="0" w:color="auto"/>
        <w:left w:val="none" w:sz="0" w:space="0" w:color="auto"/>
        <w:bottom w:val="none" w:sz="0" w:space="0" w:color="auto"/>
        <w:right w:val="none" w:sz="0" w:space="0" w:color="auto"/>
      </w:divBdr>
    </w:div>
    <w:div w:id="1545949896">
      <w:bodyDiv w:val="1"/>
      <w:marLeft w:val="0"/>
      <w:marRight w:val="0"/>
      <w:marTop w:val="0"/>
      <w:marBottom w:val="0"/>
      <w:divBdr>
        <w:top w:val="none" w:sz="0" w:space="0" w:color="auto"/>
        <w:left w:val="none" w:sz="0" w:space="0" w:color="auto"/>
        <w:bottom w:val="none" w:sz="0" w:space="0" w:color="auto"/>
        <w:right w:val="none" w:sz="0" w:space="0" w:color="auto"/>
      </w:divBdr>
    </w:div>
    <w:div w:id="1558466545">
      <w:bodyDiv w:val="1"/>
      <w:marLeft w:val="0"/>
      <w:marRight w:val="0"/>
      <w:marTop w:val="0"/>
      <w:marBottom w:val="0"/>
      <w:divBdr>
        <w:top w:val="none" w:sz="0" w:space="0" w:color="auto"/>
        <w:left w:val="none" w:sz="0" w:space="0" w:color="auto"/>
        <w:bottom w:val="none" w:sz="0" w:space="0" w:color="auto"/>
        <w:right w:val="none" w:sz="0" w:space="0" w:color="auto"/>
      </w:divBdr>
    </w:div>
    <w:div w:id="1597900262">
      <w:bodyDiv w:val="1"/>
      <w:marLeft w:val="0"/>
      <w:marRight w:val="0"/>
      <w:marTop w:val="0"/>
      <w:marBottom w:val="0"/>
      <w:divBdr>
        <w:top w:val="none" w:sz="0" w:space="0" w:color="auto"/>
        <w:left w:val="none" w:sz="0" w:space="0" w:color="auto"/>
        <w:bottom w:val="none" w:sz="0" w:space="0" w:color="auto"/>
        <w:right w:val="none" w:sz="0" w:space="0" w:color="auto"/>
      </w:divBdr>
    </w:div>
    <w:div w:id="1606382815">
      <w:bodyDiv w:val="1"/>
      <w:marLeft w:val="0"/>
      <w:marRight w:val="0"/>
      <w:marTop w:val="0"/>
      <w:marBottom w:val="0"/>
      <w:divBdr>
        <w:top w:val="none" w:sz="0" w:space="0" w:color="auto"/>
        <w:left w:val="none" w:sz="0" w:space="0" w:color="auto"/>
        <w:bottom w:val="none" w:sz="0" w:space="0" w:color="auto"/>
        <w:right w:val="none" w:sz="0" w:space="0" w:color="auto"/>
      </w:divBdr>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
    <w:div w:id="1675841981">
      <w:bodyDiv w:val="1"/>
      <w:marLeft w:val="0"/>
      <w:marRight w:val="0"/>
      <w:marTop w:val="0"/>
      <w:marBottom w:val="0"/>
      <w:divBdr>
        <w:top w:val="none" w:sz="0" w:space="0" w:color="auto"/>
        <w:left w:val="none" w:sz="0" w:space="0" w:color="auto"/>
        <w:bottom w:val="none" w:sz="0" w:space="0" w:color="auto"/>
        <w:right w:val="none" w:sz="0" w:space="0" w:color="auto"/>
      </w:divBdr>
    </w:div>
    <w:div w:id="1685131374">
      <w:bodyDiv w:val="1"/>
      <w:marLeft w:val="0"/>
      <w:marRight w:val="0"/>
      <w:marTop w:val="0"/>
      <w:marBottom w:val="0"/>
      <w:divBdr>
        <w:top w:val="none" w:sz="0" w:space="0" w:color="auto"/>
        <w:left w:val="none" w:sz="0" w:space="0" w:color="auto"/>
        <w:bottom w:val="none" w:sz="0" w:space="0" w:color="auto"/>
        <w:right w:val="none" w:sz="0" w:space="0" w:color="auto"/>
      </w:divBdr>
    </w:div>
    <w:div w:id="1694838620">
      <w:bodyDiv w:val="1"/>
      <w:marLeft w:val="0"/>
      <w:marRight w:val="0"/>
      <w:marTop w:val="0"/>
      <w:marBottom w:val="0"/>
      <w:divBdr>
        <w:top w:val="none" w:sz="0" w:space="0" w:color="auto"/>
        <w:left w:val="none" w:sz="0" w:space="0" w:color="auto"/>
        <w:bottom w:val="none" w:sz="0" w:space="0" w:color="auto"/>
        <w:right w:val="none" w:sz="0" w:space="0" w:color="auto"/>
      </w:divBdr>
    </w:div>
    <w:div w:id="1702363666">
      <w:bodyDiv w:val="1"/>
      <w:marLeft w:val="0"/>
      <w:marRight w:val="0"/>
      <w:marTop w:val="0"/>
      <w:marBottom w:val="0"/>
      <w:divBdr>
        <w:top w:val="none" w:sz="0" w:space="0" w:color="auto"/>
        <w:left w:val="none" w:sz="0" w:space="0" w:color="auto"/>
        <w:bottom w:val="none" w:sz="0" w:space="0" w:color="auto"/>
        <w:right w:val="none" w:sz="0" w:space="0" w:color="auto"/>
      </w:divBdr>
    </w:div>
    <w:div w:id="1743916029">
      <w:bodyDiv w:val="1"/>
      <w:marLeft w:val="0"/>
      <w:marRight w:val="0"/>
      <w:marTop w:val="0"/>
      <w:marBottom w:val="0"/>
      <w:divBdr>
        <w:top w:val="none" w:sz="0" w:space="0" w:color="auto"/>
        <w:left w:val="none" w:sz="0" w:space="0" w:color="auto"/>
        <w:bottom w:val="none" w:sz="0" w:space="0" w:color="auto"/>
        <w:right w:val="none" w:sz="0" w:space="0" w:color="auto"/>
      </w:divBdr>
    </w:div>
    <w:div w:id="1774669942">
      <w:bodyDiv w:val="1"/>
      <w:marLeft w:val="0"/>
      <w:marRight w:val="0"/>
      <w:marTop w:val="0"/>
      <w:marBottom w:val="0"/>
      <w:divBdr>
        <w:top w:val="none" w:sz="0" w:space="0" w:color="auto"/>
        <w:left w:val="none" w:sz="0" w:space="0" w:color="auto"/>
        <w:bottom w:val="none" w:sz="0" w:space="0" w:color="auto"/>
        <w:right w:val="none" w:sz="0" w:space="0" w:color="auto"/>
      </w:divBdr>
    </w:div>
    <w:div w:id="1810051329">
      <w:bodyDiv w:val="1"/>
      <w:marLeft w:val="0"/>
      <w:marRight w:val="0"/>
      <w:marTop w:val="0"/>
      <w:marBottom w:val="0"/>
      <w:divBdr>
        <w:top w:val="none" w:sz="0" w:space="0" w:color="auto"/>
        <w:left w:val="none" w:sz="0" w:space="0" w:color="auto"/>
        <w:bottom w:val="none" w:sz="0" w:space="0" w:color="auto"/>
        <w:right w:val="none" w:sz="0" w:space="0" w:color="auto"/>
      </w:divBdr>
    </w:div>
    <w:div w:id="1825580676">
      <w:bodyDiv w:val="1"/>
      <w:marLeft w:val="0"/>
      <w:marRight w:val="0"/>
      <w:marTop w:val="0"/>
      <w:marBottom w:val="0"/>
      <w:divBdr>
        <w:top w:val="none" w:sz="0" w:space="0" w:color="auto"/>
        <w:left w:val="none" w:sz="0" w:space="0" w:color="auto"/>
        <w:bottom w:val="none" w:sz="0" w:space="0" w:color="auto"/>
        <w:right w:val="none" w:sz="0" w:space="0" w:color="auto"/>
      </w:divBdr>
    </w:div>
    <w:div w:id="1837916672">
      <w:bodyDiv w:val="1"/>
      <w:marLeft w:val="0"/>
      <w:marRight w:val="0"/>
      <w:marTop w:val="0"/>
      <w:marBottom w:val="0"/>
      <w:divBdr>
        <w:top w:val="none" w:sz="0" w:space="0" w:color="auto"/>
        <w:left w:val="none" w:sz="0" w:space="0" w:color="auto"/>
        <w:bottom w:val="none" w:sz="0" w:space="0" w:color="auto"/>
        <w:right w:val="none" w:sz="0" w:space="0" w:color="auto"/>
      </w:divBdr>
    </w:div>
    <w:div w:id="1852992556">
      <w:bodyDiv w:val="1"/>
      <w:marLeft w:val="0"/>
      <w:marRight w:val="0"/>
      <w:marTop w:val="0"/>
      <w:marBottom w:val="0"/>
      <w:divBdr>
        <w:top w:val="none" w:sz="0" w:space="0" w:color="auto"/>
        <w:left w:val="none" w:sz="0" w:space="0" w:color="auto"/>
        <w:bottom w:val="none" w:sz="0" w:space="0" w:color="auto"/>
        <w:right w:val="none" w:sz="0" w:space="0" w:color="auto"/>
      </w:divBdr>
    </w:div>
    <w:div w:id="20426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E23A-E6BA-490A-A052-146D7F12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13772</Words>
  <Characters>75750</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Alberto Martinez Carcamo</dc:creator>
  <cp:keywords/>
  <dc:description/>
  <cp:lastModifiedBy>Adriana Williams Hernandez</cp:lastModifiedBy>
  <cp:revision>16</cp:revision>
  <dcterms:created xsi:type="dcterms:W3CDTF">2019-04-29T21:24:00Z</dcterms:created>
  <dcterms:modified xsi:type="dcterms:W3CDTF">2019-04-30T18:11:00Z</dcterms:modified>
</cp:coreProperties>
</file>