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9946F" w14:textId="4E4B3475" w:rsidR="00AE7499" w:rsidRPr="0053503B" w:rsidRDefault="00AE7499" w:rsidP="00421913">
      <w:pPr>
        <w:spacing w:after="0" w:line="276" w:lineRule="auto"/>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TELECOMUNICACIONES APLICABLES AL AÑO 2019”.</w:t>
      </w:r>
    </w:p>
    <w:p w14:paraId="73400171" w14:textId="77777777" w:rsidR="00320377" w:rsidRDefault="00320377" w:rsidP="00C41FE0">
      <w:pPr>
        <w:spacing w:after="0" w:line="276" w:lineRule="auto"/>
        <w:ind w:left="-6" w:hanging="11"/>
        <w:rPr>
          <w:rFonts w:ascii="ITC Avant Garde" w:hAnsi="ITC Avant Garde" w:cs="ITC Avant Garde"/>
          <w:b/>
          <w:color w:val="000000"/>
        </w:rPr>
      </w:pPr>
    </w:p>
    <w:p w14:paraId="35DE78F8" w14:textId="54D10F2D" w:rsidR="00C41FE0" w:rsidRPr="00E92CFC" w:rsidRDefault="00C41FE0" w:rsidP="00C41FE0">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 xml:space="preserve">Fecha de Elaboración del Informe de Consideraciones sobre los comentarios, opiniones y </w:t>
      </w:r>
      <w:r w:rsidR="00E92CFC">
        <w:rPr>
          <w:rFonts w:ascii="ITC Avant Garde" w:hAnsi="ITC Avant Garde" w:cs="ITC Avant Garde"/>
          <w:b/>
          <w:color w:val="000000"/>
        </w:rPr>
        <w:t xml:space="preserve">aportaciones recibidos en relación a la presente Consulta Pública: </w:t>
      </w:r>
      <w:r w:rsidR="00E92CFC" w:rsidRPr="00E92CFC">
        <w:rPr>
          <w:rFonts w:ascii="ITC Avant Garde" w:hAnsi="ITC Avant Garde" w:cs="ITC Avant Garde"/>
          <w:color w:val="000000"/>
        </w:rPr>
        <w:t>1 de octubre del 2018.</w:t>
      </w:r>
    </w:p>
    <w:p w14:paraId="77B95808" w14:textId="77777777" w:rsidR="00C41FE0" w:rsidRDefault="00C41FE0" w:rsidP="0093058C">
      <w:pPr>
        <w:spacing w:after="0" w:line="276" w:lineRule="auto"/>
        <w:ind w:left="-6" w:hanging="11"/>
        <w:rPr>
          <w:rFonts w:ascii="ITC Avant Garde" w:hAnsi="ITC Avant Garde" w:cs="ITC Avant Garde"/>
          <w:b/>
          <w:color w:val="000000"/>
        </w:rPr>
      </w:pPr>
    </w:p>
    <w:p w14:paraId="0BF0C212" w14:textId="32D3859B" w:rsidR="0093058C" w:rsidRDefault="0093058C" w:rsidP="0093058C">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7193D11" w14:textId="79B82ED3" w:rsidR="00AE7499" w:rsidRDefault="007A5D7A" w:rsidP="00124FE9">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 Marco de Interconexión presentado por el Agente Económico Preponderante en el Sector de las Telecomunicaciones Aplicables al Año 2019</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F3E32" w:rsidRPr="0053503B">
        <w:rPr>
          <w:rFonts w:ascii="ITC Avant Garde" w:hAnsi="ITC Avant Garde" w:cs="ITC Avant Garde"/>
          <w:bCs/>
          <w:color w:val="000000"/>
        </w:rPr>
        <w:t xml:space="preserve">la </w:t>
      </w:r>
      <w:r w:rsidR="00AE7499" w:rsidRPr="0053503B">
        <w:rPr>
          <w:rFonts w:ascii="ITC Avant Garde" w:hAnsi="ITC Avant Garde" w:cs="ITC Avant Garde"/>
          <w:bCs/>
          <w:color w:val="000000"/>
        </w:rPr>
        <w:t>“</w:t>
      </w:r>
      <w:r w:rsidR="00AF3E32" w:rsidRPr="0053503B">
        <w:rPr>
          <w:rFonts w:ascii="ITC Avant Garde" w:hAnsi="ITC Avant Garde" w:cs="ITC Avant Garde"/>
          <w:bCs/>
          <w:color w:val="000000"/>
        </w:rPr>
        <w:t xml:space="preserve">Propuesta de </w:t>
      </w:r>
      <w:r w:rsidR="00AE7499" w:rsidRPr="0053503B">
        <w:rPr>
          <w:rFonts w:ascii="ITC Avant Garde" w:hAnsi="ITC Avant Garde" w:cs="ITC Avant Garde"/>
          <w:bCs/>
          <w:color w:val="000000"/>
        </w:rPr>
        <w:t xml:space="preserve">CMI”) </w:t>
      </w:r>
      <w:r w:rsidR="00AE7499" w:rsidRPr="0053503B">
        <w:rPr>
          <w:rFonts w:ascii="ITC Avant Garde" w:hAnsi="ITC Avant Garde" w:cs="ITC Avant Garde"/>
          <w:color w:val="000000"/>
        </w:rPr>
        <w:t xml:space="preserve">presentada por Radiomóvil Dipsa, S.A. de C.V. (en adelante, “Telcel”) materia de la consulta pública de mérito, recibidas durante el periodo comprendido del 12 </w:t>
      </w:r>
      <w:r w:rsidR="00124FE9">
        <w:rPr>
          <w:rFonts w:ascii="ITC Avant Garde" w:hAnsi="ITC Avant Garde" w:cs="ITC Avant Garde"/>
          <w:color w:val="000000"/>
        </w:rPr>
        <w:t xml:space="preserve">de abril al 11 de mayo de 2018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124FE9" w:rsidRPr="007A5D7A">
        <w:rPr>
          <w:rFonts w:ascii="ITC Avant Garde" w:hAnsi="ITC Avant Garde" w:cs="ITC Avant Garde"/>
          <w:color w:val="000000"/>
        </w:rPr>
        <w:t>,o bien, mediante escrito presentado en la Oficialía de Partes Común del Instituto ubicada en Insurgentes Sur 1143, colonia Nochebuena, Delegación Benito Juárez, C.P. 03720, Ciudad de México,</w:t>
      </w:r>
    </w:p>
    <w:p w14:paraId="5F58CC2F" w14:textId="6C9E1717" w:rsidR="006D6308" w:rsidRDefault="006D6308" w:rsidP="00421913">
      <w:pPr>
        <w:spacing w:after="0" w:line="276" w:lineRule="auto"/>
        <w:ind w:left="-6" w:hanging="11"/>
        <w:rPr>
          <w:rFonts w:ascii="ITC Avant Garde" w:hAnsi="ITC Avant Garde" w:cs="ITC Avant Garde"/>
          <w:color w:val="000000"/>
        </w:rPr>
      </w:pPr>
    </w:p>
    <w:p w14:paraId="573BAA7E" w14:textId="621CCE43" w:rsidR="003B63F4" w:rsidRDefault="003B63F4" w:rsidP="003B63F4">
      <w:pPr>
        <w:spacing w:after="3"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2B057A9" w14:textId="35409C27" w:rsidR="003B63F4" w:rsidRDefault="003B63F4" w:rsidP="00D6542C">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 el artículo 268 de la Ley Federal de Telecomunicaciones y Radiodifusión 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establecido en la </w:t>
      </w:r>
      <w:r w:rsidRPr="005D110C">
        <w:rPr>
          <w:rFonts w:ascii="ITC Avant Garde" w:hAnsi="ITC Avant Garde" w:cs="ITC Avant Garde"/>
          <w:i/>
          <w:color w:val="000000"/>
        </w:rPr>
        <w:t xml:space="preserve">“Resolución mediante la cual el Pleno del Instituto Federal de Telecomunicaciones suprime, modifica y adiciona las medidas impuestas al Agente Económico Preponderante en el sector de telecomunicaciones mediante </w:t>
      </w:r>
      <w:r w:rsidRPr="005D110C">
        <w:rPr>
          <w:rFonts w:ascii="ITC Avant Garde" w:hAnsi="ITC Avant Garde" w:cs="ITC Avant Garde"/>
          <w:i/>
          <w:color w:val="000000"/>
        </w:rPr>
        <w:lastRenderedPageBreak/>
        <w:t>resolución de fecha 6 de marzo de 2014”</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P/IFT/EXT/270217/119.</w:t>
      </w:r>
    </w:p>
    <w:p w14:paraId="200B53DD" w14:textId="77777777" w:rsidR="00274978" w:rsidRPr="003B63F4" w:rsidRDefault="00274978" w:rsidP="00D6542C">
      <w:pPr>
        <w:spacing w:after="0" w:line="276" w:lineRule="auto"/>
        <w:ind w:left="-6" w:hanging="11"/>
        <w:rPr>
          <w:rFonts w:ascii="ITC Avant Garde" w:hAnsi="ITC Avant Garde" w:cs="ITC Avant Garde"/>
          <w:color w:val="000000"/>
        </w:rPr>
      </w:pPr>
    </w:p>
    <w:p w14:paraId="28BC6C47" w14:textId="77777777" w:rsidR="00C27606" w:rsidRDefault="00C27606" w:rsidP="00C27606">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presente consulta pública tiene el objetivo de contar con mayores elementos que le permitan al Instituto determinar las condiciones bajo las cuales se deberán aprobar los Convenios Marco de Interconexión del Agente Económico Preponderante aplicables durante el año 2019, considerándose que los participantes del sector de las telecomunicaciones son los principales interesados en conocer el presente proceso consultivo y aportar elementos que lo enriquezcan; ello, en virtud de su constante participación en la operación de las redes públicas de telecomunicaciones, así como en la operación y en la prestación de servicios derivados.</w:t>
      </w:r>
    </w:p>
    <w:p w14:paraId="760595F5" w14:textId="4F56D775" w:rsidR="00024950" w:rsidRDefault="00024950" w:rsidP="003B63F4">
      <w:pPr>
        <w:spacing w:after="3" w:line="276" w:lineRule="auto"/>
        <w:ind w:left="-5" w:hanging="10"/>
        <w:rPr>
          <w:rFonts w:ascii="ITC Avant Garde" w:hAnsi="ITC Avant Garde" w:cs="ITC Avant Garde"/>
          <w:color w:val="000000"/>
        </w:rPr>
      </w:pPr>
      <w:bookmarkStart w:id="0" w:name="_GoBack"/>
      <w:bookmarkEnd w:id="0"/>
    </w:p>
    <w:p w14:paraId="48712C73" w14:textId="6356CF17" w:rsidR="00024950" w:rsidRDefault="00024950" w:rsidP="00024950">
      <w:pPr>
        <w:spacing w:after="3" w:line="276" w:lineRule="auto"/>
        <w:ind w:left="-5" w:hanging="10"/>
        <w:rPr>
          <w:rFonts w:ascii="ITC Avant Garde" w:hAnsi="ITC Avant Garde" w:cs="ITC Avant Garde"/>
          <w:b/>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51947C4B" w14:textId="77777777" w:rsidR="00024950" w:rsidRPr="003B63F4" w:rsidRDefault="00024950" w:rsidP="003B63F4">
      <w:pPr>
        <w:spacing w:after="3" w:line="276" w:lineRule="auto"/>
        <w:ind w:left="-5" w:hanging="10"/>
        <w:rPr>
          <w:rFonts w:ascii="ITC Avant Garde" w:hAnsi="ITC Avant Garde" w:cs="ITC Avant Garde"/>
          <w:color w:val="000000"/>
        </w:rPr>
      </w:pPr>
    </w:p>
    <w:p w14:paraId="4F12B402" w14:textId="17458ABA" w:rsidR="003B63F4" w:rsidRPr="0053503B" w:rsidRDefault="007A7B89" w:rsidP="00421913">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Participantes de la Consulta Pública:</w:t>
      </w:r>
    </w:p>
    <w:p w14:paraId="6BE93492" w14:textId="3100852D" w:rsidR="00AE7499" w:rsidRPr="0053503B" w:rsidRDefault="00AE7499" w:rsidP="00421913">
      <w:pPr>
        <w:spacing w:after="3"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blica de mérito, se recibieron 7</w:t>
      </w:r>
      <w:r w:rsidRPr="0053503B">
        <w:rPr>
          <w:rFonts w:ascii="ITC Avant Garde" w:hAnsi="ITC Avant Garde" w:cs="ITC Avant Garde"/>
          <w:color w:val="000000"/>
        </w:rPr>
        <w:t xml:space="preserve"> participaciones, por parte de las siguientes personas morales:</w:t>
      </w:r>
    </w:p>
    <w:p w14:paraId="6C92A71E" w14:textId="77777777" w:rsidR="00AE7499" w:rsidRPr="0053503B" w:rsidRDefault="00AE7499" w:rsidP="00421913">
      <w:pPr>
        <w:spacing w:after="3" w:line="276" w:lineRule="auto"/>
        <w:ind w:left="-5" w:hanging="10"/>
        <w:rPr>
          <w:rFonts w:ascii="ITC Avant Garde" w:hAnsi="ITC Avant Garde" w:cs="ITC Avant Garde"/>
          <w:color w:val="000000"/>
        </w:rPr>
      </w:pPr>
    </w:p>
    <w:p w14:paraId="51222142" w14:textId="77777777" w:rsidR="00AE7499" w:rsidRPr="0053503B" w:rsidRDefault="00AE7499" w:rsidP="00421913">
      <w:pPr>
        <w:pStyle w:val="ListBulletCompact"/>
        <w:spacing w:line="276" w:lineRule="auto"/>
        <w:rPr>
          <w:rFonts w:ascii="ITC Avant Garde" w:hAnsi="ITC Avant Garde"/>
          <w:lang w:val="es-ES"/>
        </w:rPr>
      </w:pPr>
      <w:r w:rsidRPr="0053503B">
        <w:rPr>
          <w:rFonts w:ascii="ITC Avant Garde" w:hAnsi="ITC Avant Garde"/>
          <w:lang w:val="es-ES"/>
        </w:rPr>
        <w:t>Mega Cable, S.A. de C.V. (en lo sucesivo, “Megacable”)</w:t>
      </w:r>
    </w:p>
    <w:p w14:paraId="2562C874" w14:textId="77777777" w:rsidR="00AE7499" w:rsidRPr="0053503B" w:rsidRDefault="00AE7499" w:rsidP="00421913">
      <w:pPr>
        <w:pStyle w:val="Listaconvietas"/>
        <w:spacing w:line="276" w:lineRule="auto"/>
        <w:rPr>
          <w:rFonts w:ascii="ITC Avant Garde" w:hAnsi="ITC Avant Garde" w:cs="Times New Roman"/>
          <w:lang w:val="es-ES"/>
        </w:rPr>
      </w:pPr>
      <w:r w:rsidRPr="0053503B">
        <w:rPr>
          <w:rFonts w:ascii="ITC Avant Garde" w:hAnsi="ITC Avant Garde" w:cs="Times New Roman"/>
          <w:lang w:val="es-ES"/>
        </w:rPr>
        <w:t>Cámara Nacional de la Industria Electrónica, de Telecomunicaciones y Tecnologías de la Información (en lo sucesivo, “CANIETI”)</w:t>
      </w:r>
    </w:p>
    <w:p w14:paraId="59B0DE0F" w14:textId="77777777" w:rsidR="00AE7499" w:rsidRPr="0053503B" w:rsidRDefault="00AE7499" w:rsidP="00421913">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Altán Redes, S.A.P.I. de C.V. (en lo sucesivo, “Altán”)</w:t>
      </w:r>
    </w:p>
    <w:p w14:paraId="7143D012" w14:textId="77777777" w:rsidR="00AE7499" w:rsidRPr="0053503B" w:rsidRDefault="00AE7499" w:rsidP="00421913">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3503B">
        <w:rPr>
          <w:rFonts w:ascii="ITC Avant Garde" w:eastAsiaTheme="minorHAnsi" w:hAnsi="ITC Avant Garde" w:cs="ITC Avant Garde"/>
          <w:lang w:eastAsia="en-US"/>
        </w:rPr>
        <w:t>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(en lo sucesivo, “Grupo Televisa”)</w:t>
      </w:r>
    </w:p>
    <w:p w14:paraId="51922E96" w14:textId="77777777" w:rsidR="00AE7499" w:rsidRPr="0053503B" w:rsidRDefault="00AE7499" w:rsidP="00421913">
      <w:pPr>
        <w:pStyle w:val="Listaconvietas"/>
        <w:autoSpaceDE w:val="0"/>
        <w:autoSpaceDN w:val="0"/>
        <w:adjustRightInd w:val="0"/>
        <w:spacing w:after="0" w:line="276" w:lineRule="auto"/>
        <w:rPr>
          <w:rFonts w:ascii="ITC Avant Garde" w:hAnsi="ITC Avant Garde"/>
        </w:rPr>
      </w:pPr>
      <w:r w:rsidRPr="0053503B">
        <w:rPr>
          <w:rFonts w:ascii="ITC Avant Garde" w:hAnsi="ITC Avant Garde"/>
        </w:rPr>
        <w:t>Grupo de Telecomunicaciones Mexicanas, S.A. de C.V. y Pegaso PCS, S.A. de C.V. (en lo sucesivo, “Telefónica”)</w:t>
      </w:r>
    </w:p>
    <w:p w14:paraId="701207A2" w14:textId="1BF4F2DA" w:rsidR="00AE7499" w:rsidRDefault="00AE7499" w:rsidP="00421913">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3503B">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 (en lo sucesivo conjuntamente, “AT&amp;T”)</w:t>
      </w:r>
    </w:p>
    <w:p w14:paraId="1F154587" w14:textId="727939C8" w:rsidR="00FE6D47" w:rsidRPr="0053503B" w:rsidRDefault="00FE6D47" w:rsidP="00421913">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UC Telecomunicaciones S.A.P.I. de C.V.</w:t>
      </w:r>
      <w:r w:rsidR="000E1588">
        <w:rPr>
          <w:rFonts w:ascii="ITC Avant Garde" w:eastAsiaTheme="minorHAnsi" w:hAnsi="ITC Avant Garde" w:cs="ITC Avant Garde"/>
          <w:lang w:eastAsia="en-US"/>
        </w:rPr>
        <w:t xml:space="preserve"> (en lo sucesivo, “UC”)</w:t>
      </w:r>
      <w:r>
        <w:rPr>
          <w:rFonts w:ascii="ITC Avant Garde" w:eastAsiaTheme="minorHAnsi" w:hAnsi="ITC Avant Garde" w:cs="ITC Avant Garde"/>
          <w:lang w:eastAsia="en-US"/>
        </w:rPr>
        <w:t xml:space="preserve"> </w:t>
      </w:r>
    </w:p>
    <w:p w14:paraId="7EBBB534" w14:textId="77777777" w:rsidR="00AE7499" w:rsidRPr="0053503B" w:rsidRDefault="00AE7499" w:rsidP="00421913">
      <w:pPr>
        <w:pStyle w:val="Listaconvietas"/>
        <w:numPr>
          <w:ilvl w:val="0"/>
          <w:numId w:val="0"/>
        </w:numPr>
        <w:autoSpaceDE w:val="0"/>
        <w:autoSpaceDN w:val="0"/>
        <w:adjustRightInd w:val="0"/>
        <w:spacing w:after="0" w:line="276" w:lineRule="auto"/>
        <w:ind w:left="720"/>
        <w:rPr>
          <w:rFonts w:ascii="ITC Avant Garde" w:hAnsi="ITC Avant Garde" w:cs="ITC Avant Garde"/>
        </w:rPr>
      </w:pPr>
    </w:p>
    <w:p w14:paraId="260490B2" w14:textId="2C13363C" w:rsidR="00502BF7" w:rsidRPr="0053503B" w:rsidRDefault="00502BF7" w:rsidP="00502BF7">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27F34FC7" w14:textId="0B7753E4" w:rsidR="00AE7499" w:rsidRPr="0053503B" w:rsidRDefault="00AE7499" w:rsidP="00421913">
      <w:pPr>
        <w:spacing w:after="0" w:line="276" w:lineRule="auto"/>
        <w:rPr>
          <w:rFonts w:ascii="ITC Avant Garde" w:hAnsi="ITC Avant Garde" w:cs="ITC Avant Garde"/>
        </w:rPr>
      </w:pPr>
      <w:r w:rsidRPr="0053503B">
        <w:rPr>
          <w:rFonts w:ascii="ITC Avant Garde" w:hAnsi="ITC Avant Garde" w:cs="ITC Avant Garde"/>
        </w:rPr>
        <w:t>Se señala que las presentes Respuestas Generales atiende</w:t>
      </w:r>
      <w:r w:rsidR="008B5C23">
        <w:rPr>
          <w:rFonts w:ascii="ITC Avant Garde" w:hAnsi="ITC Avant Garde" w:cs="ITC Avant Garde"/>
        </w:rPr>
        <w:t>n</w:t>
      </w:r>
      <w:r w:rsidRPr="0053503B">
        <w:rPr>
          <w:rFonts w:ascii="ITC Avant Garde" w:hAnsi="ITC Avant Garde" w:cs="ITC Avant Garde"/>
        </w:rPr>
        <w:t xml:space="preserve"> únicamente lo relacionado con las observaciones realizadas por los concesionarios en la Consulta Pública referente a los asuntos relacionados con la Propuesta de Convenio Marco </w:t>
      </w:r>
      <w:r w:rsidRPr="0053503B">
        <w:rPr>
          <w:rFonts w:ascii="ITC Avant Garde" w:hAnsi="ITC Avant Garde" w:cs="ITC Avant Garde"/>
        </w:rPr>
        <w:lastRenderedPageBreak/>
        <w:t>de Interconexión presentada por el Agente Económico Preponderante en el Sector de las Telecomunicaciones Móvil</w:t>
      </w:r>
      <w:r w:rsidR="003D79A2">
        <w:rPr>
          <w:rFonts w:ascii="ITC Avant Garde" w:hAnsi="ITC Avant Garde" w:cs="ITC Avant Garde"/>
        </w:rPr>
        <w:t xml:space="preserve"> </w:t>
      </w:r>
      <w:r w:rsidR="003D79A2" w:rsidRPr="00E16359">
        <w:rPr>
          <w:rFonts w:ascii="ITC Avant Garde" w:hAnsi="ITC Avant Garde"/>
        </w:rPr>
        <w:t>(en lo sucesivo, el “AEP”)</w:t>
      </w:r>
      <w:r w:rsidRPr="0053503B">
        <w:rPr>
          <w:rFonts w:ascii="ITC Avant Garde" w:hAnsi="ITC Avant Garde" w:cs="ITC Avant Garde"/>
        </w:rPr>
        <w:t>.</w:t>
      </w:r>
    </w:p>
    <w:p w14:paraId="3C485B77" w14:textId="77777777" w:rsidR="00AE7499" w:rsidRPr="0053503B" w:rsidRDefault="00AE7499" w:rsidP="00421913">
      <w:pPr>
        <w:spacing w:after="0" w:line="276" w:lineRule="auto"/>
        <w:ind w:left="10"/>
        <w:rPr>
          <w:rFonts w:ascii="ITC Avant Garde" w:hAnsi="ITC Avant Garde"/>
        </w:rPr>
      </w:pPr>
    </w:p>
    <w:p w14:paraId="3EE9AA5D" w14:textId="1CEB9206" w:rsidR="00AE7499" w:rsidRDefault="00AE7499" w:rsidP="00421913">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Por lo anterior, el Instituto emite las siguientes respuestas y consideraciones para cada una de las participaciones recibidas:  </w:t>
      </w:r>
    </w:p>
    <w:p w14:paraId="1A071634" w14:textId="77777777" w:rsidR="00962266" w:rsidRDefault="00962266" w:rsidP="00421913">
      <w:pPr>
        <w:spacing w:after="0" w:line="276" w:lineRule="auto"/>
        <w:ind w:left="-5"/>
        <w:rPr>
          <w:rFonts w:ascii="ITC Avant Garde" w:eastAsia="Avant Garde" w:hAnsi="ITC Avant Garde" w:cs="Avant Garde"/>
          <w:color w:val="000000"/>
          <w:lang w:eastAsia="es-MX"/>
        </w:rPr>
      </w:pPr>
    </w:p>
    <w:p w14:paraId="0CFF8637" w14:textId="3994ECFC" w:rsidR="00962266" w:rsidRPr="00377423" w:rsidRDefault="00377423" w:rsidP="00962266">
      <w:pPr>
        <w:spacing w:line="276" w:lineRule="auto"/>
        <w:rPr>
          <w:rFonts w:ascii="ITC Avant Garde" w:hAnsi="ITC Avant Garde"/>
          <w:b/>
          <w:sz w:val="24"/>
          <w:u w:val="single"/>
        </w:rPr>
      </w:pPr>
      <w:r w:rsidRPr="00377423">
        <w:rPr>
          <w:rFonts w:ascii="ITC Avant Garde" w:hAnsi="ITC Avant Garde"/>
          <w:b/>
          <w:sz w:val="24"/>
          <w:u w:val="single"/>
        </w:rPr>
        <w:t>Convenio Marco de Interconexión</w:t>
      </w:r>
    </w:p>
    <w:p w14:paraId="601DCF61" w14:textId="49BCCA5E" w:rsidR="00AE7499" w:rsidRPr="00377423" w:rsidRDefault="00AE7499" w:rsidP="00421913">
      <w:pPr>
        <w:spacing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72A9AC1A"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CANIETI, ALTÁN, TELEVISA Y TELFÓNICA </w:t>
      </w:r>
    </w:p>
    <w:p w14:paraId="723C68EA" w14:textId="37DC7C1F" w:rsidR="00AE7499" w:rsidRPr="0053503B" w:rsidRDefault="00AE7499" w:rsidP="00421913">
      <w:pPr>
        <w:spacing w:after="0" w:line="276" w:lineRule="auto"/>
        <w:ind w:left="10"/>
        <w:rPr>
          <w:rFonts w:ascii="ITC Avant Garde" w:hAnsi="ITC Avant Garde"/>
        </w:rPr>
      </w:pPr>
      <w:r w:rsidRPr="0053503B">
        <w:rPr>
          <w:rFonts w:ascii="ITC Avant Garde" w:hAnsi="ITC Avant Garde"/>
        </w:rPr>
        <w:t xml:space="preserve">Solicitan añadir la precisión </w:t>
      </w:r>
      <w:r w:rsidR="00582F2C">
        <w:rPr>
          <w:rFonts w:ascii="ITC Avant Garde" w:hAnsi="ITC Avant Garde"/>
        </w:rPr>
        <w:t>de los servicios de interconexión que son obligatorios para el AEP y el resto de los CS.</w:t>
      </w:r>
      <w:r w:rsidRPr="0053503B">
        <w:rPr>
          <w:rFonts w:ascii="ITC Avant Garde" w:hAnsi="ITC Avant Garde"/>
        </w:rPr>
        <w:t xml:space="preserve"> </w:t>
      </w:r>
    </w:p>
    <w:p w14:paraId="41641762" w14:textId="20928136" w:rsidR="00AE7499" w:rsidRPr="0053503B" w:rsidRDefault="00AE7499" w:rsidP="00421913">
      <w:pPr>
        <w:spacing w:after="0" w:line="276" w:lineRule="auto"/>
        <w:ind w:right="616"/>
        <w:rPr>
          <w:rFonts w:ascii="ITC Avant Garde" w:hAnsi="ITC Avant Garde"/>
          <w:b/>
          <w:sz w:val="20"/>
          <w:szCs w:val="20"/>
        </w:rPr>
      </w:pPr>
    </w:p>
    <w:p w14:paraId="37E1D60E"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6B5CC48C" w14:textId="434CC6A2" w:rsidR="008B5C23" w:rsidRDefault="008B5C23" w:rsidP="00421913">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la precisión solicitada es acorde al artículo 133 de la LFTR, </w:t>
      </w:r>
      <w:r w:rsidR="00582F2C">
        <w:rPr>
          <w:rFonts w:ascii="ITC Avant Garde" w:eastAsia="Avant Garde" w:hAnsi="ITC Avant Garde" w:cs="Avant Garde"/>
          <w:color w:val="000000"/>
          <w:lang w:eastAsia="es-MX"/>
        </w:rPr>
        <w:t xml:space="preserve">se modificó </w:t>
      </w:r>
      <w:r>
        <w:rPr>
          <w:rFonts w:ascii="ITC Avant Garde" w:eastAsia="Avant Garde" w:hAnsi="ITC Avant Garde" w:cs="Avant Garde"/>
          <w:color w:val="000000"/>
          <w:lang w:eastAsia="es-MX"/>
        </w:rPr>
        <w:t xml:space="preserve">la definición de “Servicios de Interconexión” </w:t>
      </w:r>
      <w:r w:rsidR="00582F2C">
        <w:rPr>
          <w:rFonts w:ascii="ITC Avant Garde" w:eastAsia="Avant Garde" w:hAnsi="ITC Avant Garde" w:cs="Avant Garde"/>
          <w:color w:val="000000"/>
          <w:lang w:eastAsia="es-MX"/>
        </w:rPr>
        <w:t>a efecto de precisar que todos los servicios son</w:t>
      </w:r>
      <w:r>
        <w:rPr>
          <w:rFonts w:ascii="ITC Avant Garde" w:eastAsia="Avant Garde" w:hAnsi="ITC Avant Garde" w:cs="Avant Garde"/>
          <w:color w:val="000000"/>
          <w:lang w:eastAsia="es-MX"/>
        </w:rPr>
        <w:t xml:space="preserve"> obligatorios para el AEP, mientras que los servicios de conducción de tráfico, enlaces de transmisión, puertos de acceso y señalización serán obligatorios para el resto de los concesionarios, tal como se muestra a continuación:</w:t>
      </w:r>
    </w:p>
    <w:p w14:paraId="7CDE39F2" w14:textId="67939A23" w:rsidR="00935B3E" w:rsidRDefault="00935B3E" w:rsidP="00421913">
      <w:pPr>
        <w:spacing w:after="0" w:line="276" w:lineRule="auto"/>
        <w:ind w:left="-5"/>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BE5F6A" w:rsidRPr="00BE5F6A" w14:paraId="0AFCDBC3" w14:textId="77777777" w:rsidTr="00C36A6A">
        <w:tc>
          <w:tcPr>
            <w:tcW w:w="2660" w:type="dxa"/>
            <w:shd w:val="clear" w:color="auto" w:fill="auto"/>
          </w:tcPr>
          <w:p w14:paraId="57751AB9" w14:textId="77777777" w:rsidR="00BE5F6A" w:rsidRPr="00BE5F6A" w:rsidRDefault="00BE5F6A" w:rsidP="00BE5F6A">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“Servicios de</w:t>
            </w:r>
          </w:p>
          <w:p w14:paraId="428F13CF" w14:textId="77777777" w:rsidR="00BE5F6A" w:rsidRPr="00BE5F6A" w:rsidRDefault="00BE5F6A" w:rsidP="00BE5F6A">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318" w:type="dxa"/>
            <w:shd w:val="clear" w:color="auto" w:fill="auto"/>
          </w:tcPr>
          <w:p w14:paraId="66036161" w14:textId="77777777" w:rsidR="00BE5F6A" w:rsidRDefault="00BE5F6A" w:rsidP="00BE5F6A">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 xml:space="preserve">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r w:rsidRPr="00FE37D2">
              <w:rPr>
                <w:rFonts w:ascii="ITC Avant Garde" w:hAnsi="ITC Avant Garde"/>
                <w:i/>
                <w:sz w:val="18"/>
                <w:szCs w:val="18"/>
                <w:u w:val="single"/>
              </w:rPr>
              <w:t>Conforme a los artículos 127 y 133 de la Ley, todos los servicios de interconexión serán obligatorios para el Agente Económico Preponderante, mientras que los servicios de conducción de tráfico, enlaces de transmisión, puertos de acceso y señalización serán obligatorios para el resto de los concesionarios</w:t>
            </w:r>
            <w:r w:rsidRPr="00FE37D2">
              <w:rPr>
                <w:rFonts w:ascii="ITC Avant Garde" w:hAnsi="ITC Avant Garde"/>
                <w:i/>
                <w:sz w:val="18"/>
                <w:szCs w:val="18"/>
              </w:rPr>
              <w:t>”</w:t>
            </w:r>
          </w:p>
          <w:p w14:paraId="05F7B58F" w14:textId="04345090" w:rsidR="00FE37D2" w:rsidRPr="00BE5F6A" w:rsidRDefault="00FE37D2" w:rsidP="00BE5F6A">
            <w:pPr>
              <w:spacing w:after="0" w:line="276" w:lineRule="auto"/>
              <w:ind w:left="567" w:right="616" w:hanging="11"/>
              <w:rPr>
                <w:rFonts w:ascii="ITC Avant Garde" w:hAnsi="ITC Avant Garde"/>
                <w:i/>
                <w:sz w:val="18"/>
                <w:szCs w:val="18"/>
              </w:rPr>
            </w:pPr>
          </w:p>
        </w:tc>
      </w:tr>
    </w:tbl>
    <w:p w14:paraId="21876CC8" w14:textId="77777777" w:rsidR="00BE5F6A" w:rsidRPr="00BE5F6A" w:rsidRDefault="00BE5F6A" w:rsidP="00FE37D2">
      <w:pPr>
        <w:spacing w:after="0" w:line="276" w:lineRule="auto"/>
        <w:ind w:left="567" w:right="616" w:hanging="11"/>
        <w:jc w:val="right"/>
        <w:rPr>
          <w:rFonts w:ascii="ITC Avant Garde" w:hAnsi="ITC Avant Garde"/>
          <w:i/>
          <w:sz w:val="18"/>
          <w:szCs w:val="18"/>
        </w:rPr>
      </w:pPr>
      <w:r w:rsidRPr="00BE5F6A">
        <w:rPr>
          <w:rFonts w:ascii="ITC Avant Garde" w:hAnsi="ITC Avant Garde"/>
          <w:i/>
          <w:sz w:val="18"/>
          <w:szCs w:val="18"/>
        </w:rPr>
        <w:t>(Énfasis añadido)</w:t>
      </w:r>
    </w:p>
    <w:p w14:paraId="6C57EB96" w14:textId="68F73F12" w:rsidR="00AE7499" w:rsidRPr="0053503B" w:rsidRDefault="00AE7499" w:rsidP="00421913">
      <w:pPr>
        <w:spacing w:after="0" w:line="276" w:lineRule="auto"/>
        <w:ind w:left="10"/>
        <w:rPr>
          <w:rFonts w:ascii="ITC Avant Garde" w:hAnsi="ITC Avant Garde"/>
          <w:sz w:val="18"/>
          <w:szCs w:val="18"/>
        </w:rPr>
      </w:pPr>
    </w:p>
    <w:p w14:paraId="03F5D2F4"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CANIETI, ALTÁN</w:t>
      </w:r>
    </w:p>
    <w:p w14:paraId="08AA9F0E" w14:textId="76ACC9AE" w:rsidR="00AE7499" w:rsidRPr="0053503B" w:rsidRDefault="00AE7499" w:rsidP="00421913">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Solicitan modificar la </w:t>
      </w:r>
      <w:r w:rsidR="00362954" w:rsidRPr="0053503B">
        <w:rPr>
          <w:rFonts w:ascii="ITC Avant Garde" w:eastAsia="Avant Garde" w:hAnsi="ITC Avant Garde" w:cs="Avant Garde"/>
          <w:color w:val="000000"/>
          <w:lang w:eastAsia="es-MX"/>
        </w:rPr>
        <w:t>definición</w:t>
      </w:r>
      <w:r w:rsidRPr="0053503B">
        <w:rPr>
          <w:rFonts w:ascii="ITC Avant Garde" w:eastAsia="Avant Garde" w:hAnsi="ITC Avant Garde" w:cs="Avant Garde"/>
          <w:color w:val="000000"/>
          <w:lang w:eastAsia="es-MX"/>
        </w:rPr>
        <w:t xml:space="preserve"> de </w:t>
      </w:r>
      <w:r w:rsidR="00362954" w:rsidRPr="0053503B">
        <w:rPr>
          <w:rFonts w:ascii="ITC Avant Garde" w:eastAsia="Avant Garde" w:hAnsi="ITC Avant Garde" w:cs="Avant Garde"/>
          <w:color w:val="000000"/>
          <w:lang w:eastAsia="es-MX"/>
        </w:rPr>
        <w:t xml:space="preserve">“Contrato SIEMC” ya que </w:t>
      </w:r>
      <w:r w:rsidR="006C382F">
        <w:rPr>
          <w:rFonts w:ascii="ITC Avant Garde" w:eastAsia="Avant Garde" w:hAnsi="ITC Avant Garde" w:cs="Avant Garde"/>
          <w:color w:val="000000"/>
          <w:lang w:eastAsia="es-MX"/>
        </w:rPr>
        <w:t xml:space="preserve">agregar a </w:t>
      </w:r>
      <w:r w:rsidR="00362954" w:rsidRPr="0053503B">
        <w:rPr>
          <w:rFonts w:ascii="ITC Avant Garde" w:eastAsia="Avant Garde" w:hAnsi="ITC Avant Garde" w:cs="Avant Garde"/>
          <w:color w:val="000000"/>
          <w:lang w:eastAsia="es-MX"/>
        </w:rPr>
        <w:t>la misma</w:t>
      </w:r>
      <w:r w:rsidR="006C382F">
        <w:rPr>
          <w:rFonts w:ascii="ITC Avant Garde" w:eastAsia="Avant Garde" w:hAnsi="ITC Avant Garde" w:cs="Avant Garde"/>
          <w:color w:val="000000"/>
          <w:lang w:eastAsia="es-MX"/>
        </w:rPr>
        <w:t xml:space="preserve"> las palabras “Persona a Persona”</w:t>
      </w:r>
      <w:r w:rsidR="00362954" w:rsidRPr="0053503B">
        <w:rPr>
          <w:rFonts w:ascii="ITC Avant Garde" w:eastAsia="Avant Garde" w:hAnsi="ITC Avant Garde" w:cs="Avant Garde"/>
          <w:color w:val="000000"/>
          <w:lang w:eastAsia="es-MX"/>
        </w:rPr>
        <w:t xml:space="preserve"> </w:t>
      </w:r>
      <w:r w:rsidR="006C382F">
        <w:rPr>
          <w:rFonts w:ascii="ITC Avant Garde" w:eastAsia="Avant Garde" w:hAnsi="ITC Avant Garde" w:cs="Avant Garde"/>
          <w:color w:val="000000"/>
          <w:lang w:eastAsia="es-MX"/>
        </w:rPr>
        <w:t>implicaría que Telcel pretende tener exclusividad</w:t>
      </w:r>
      <w:r w:rsidR="00362954" w:rsidRPr="0053503B">
        <w:rPr>
          <w:rFonts w:ascii="ITC Avant Garde" w:eastAsia="Avant Garde" w:hAnsi="ITC Avant Garde" w:cs="Avant Garde"/>
          <w:color w:val="000000"/>
          <w:lang w:eastAsia="es-MX"/>
        </w:rPr>
        <w:t xml:space="preserve"> </w:t>
      </w:r>
      <w:r w:rsidR="006C382F">
        <w:rPr>
          <w:rFonts w:ascii="ITC Avant Garde" w:eastAsia="Avant Garde" w:hAnsi="ITC Avant Garde" w:cs="Avant Garde"/>
          <w:color w:val="000000"/>
          <w:lang w:eastAsia="es-MX"/>
        </w:rPr>
        <w:t>en</w:t>
      </w:r>
      <w:r w:rsidR="00362954" w:rsidRPr="0053503B">
        <w:rPr>
          <w:rFonts w:ascii="ITC Avant Garde" w:eastAsia="Avant Garde" w:hAnsi="ITC Avant Garde" w:cs="Avant Garde"/>
          <w:color w:val="000000"/>
          <w:lang w:eastAsia="es-MX"/>
        </w:rPr>
        <w:t xml:space="preserve"> la prestación de servicios de valor agregado</w:t>
      </w:r>
      <w:r w:rsidR="006C382F">
        <w:rPr>
          <w:rFonts w:ascii="ITC Avant Garde" w:eastAsia="Avant Garde" w:hAnsi="ITC Avant Garde" w:cs="Avant Garde"/>
          <w:color w:val="000000"/>
          <w:lang w:eastAsia="es-MX"/>
        </w:rPr>
        <w:t xml:space="preserve"> que implique la terminación de </w:t>
      </w:r>
      <w:r w:rsidR="006C382F">
        <w:rPr>
          <w:rFonts w:ascii="ITC Avant Garde" w:eastAsia="Avant Garde" w:hAnsi="ITC Avant Garde" w:cs="Avant Garde"/>
          <w:color w:val="000000"/>
          <w:lang w:eastAsia="es-MX"/>
        </w:rPr>
        <w:lastRenderedPageBreak/>
        <w:t xml:space="preserve">mensajes cortos en </w:t>
      </w:r>
      <w:r w:rsidR="00362954" w:rsidRPr="0053503B">
        <w:rPr>
          <w:rFonts w:ascii="ITC Avant Garde" w:eastAsia="Avant Garde" w:hAnsi="ITC Avant Garde" w:cs="Avant Garde"/>
          <w:color w:val="000000"/>
          <w:lang w:eastAsia="es-MX"/>
        </w:rPr>
        <w:t>sus usuarios</w:t>
      </w:r>
      <w:r w:rsidR="001E52EC">
        <w:rPr>
          <w:rFonts w:ascii="ITC Avant Garde" w:eastAsia="Avant Garde" w:hAnsi="ITC Avant Garde" w:cs="Avant Garde"/>
          <w:color w:val="000000"/>
          <w:lang w:eastAsia="es-MX"/>
        </w:rPr>
        <w:t xml:space="preserve">, </w:t>
      </w:r>
      <w:r w:rsidR="001E52EC" w:rsidRPr="00522E26">
        <w:rPr>
          <w:rFonts w:ascii="ITC Avant Garde" w:eastAsia="Avant Garde" w:hAnsi="ITC Avant Garde" w:cs="Avant Garde"/>
          <w:color w:val="000000"/>
          <w:lang w:eastAsia="es-MX"/>
        </w:rPr>
        <w:t>así como en los servicios con carácter comercial, publicitario, informativo o similar a estos</w:t>
      </w:r>
      <w:r w:rsidR="00362954" w:rsidRPr="0053503B">
        <w:rPr>
          <w:rFonts w:ascii="ITC Avant Garde" w:eastAsia="Avant Garde" w:hAnsi="ITC Avant Garde" w:cs="Avant Garde"/>
          <w:color w:val="000000"/>
          <w:lang w:eastAsia="es-MX"/>
        </w:rPr>
        <w:t xml:space="preserve">. </w:t>
      </w:r>
      <w:r w:rsidR="00617D0B">
        <w:rPr>
          <w:rFonts w:ascii="ITC Avant Garde" w:eastAsia="Avant Garde" w:hAnsi="ITC Avant Garde" w:cs="Avant Garde"/>
          <w:color w:val="000000"/>
          <w:lang w:eastAsia="es-MX"/>
        </w:rPr>
        <w:t>Derivado de lo anterior, p</w:t>
      </w:r>
      <w:r w:rsidR="00362954" w:rsidRPr="0053503B">
        <w:rPr>
          <w:rFonts w:ascii="ITC Avant Garde" w:eastAsia="Avant Garde" w:hAnsi="ITC Avant Garde" w:cs="Avant Garde"/>
          <w:color w:val="000000"/>
          <w:lang w:eastAsia="es-MX"/>
        </w:rPr>
        <w:t>roponen el siguiente cambio:</w:t>
      </w:r>
    </w:p>
    <w:p w14:paraId="14A48958" w14:textId="77777777" w:rsidR="00AE7499" w:rsidRPr="0053503B" w:rsidRDefault="00AE7499" w:rsidP="00421913">
      <w:pPr>
        <w:spacing w:after="0" w:line="276" w:lineRule="auto"/>
        <w:ind w:left="-5"/>
        <w:rPr>
          <w:rFonts w:ascii="ITC Avant Garde" w:eastAsia="Avant Garde" w:hAnsi="ITC Avant Garde" w:cs="Avant Garde"/>
          <w:color w:val="000000"/>
          <w:lang w:eastAsia="es-MX"/>
        </w:rPr>
      </w:pPr>
    </w:p>
    <w:p w14:paraId="0735C3B9" w14:textId="048E6916" w:rsidR="00AE7499" w:rsidRPr="00782C23" w:rsidRDefault="00362954"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r w:rsidR="00AE7499" w:rsidRPr="00782C23">
        <w:rPr>
          <w:rFonts w:ascii="ITC Avant Garde" w:hAnsi="ITC Avant Garde"/>
          <w:i/>
          <w:sz w:val="18"/>
          <w:szCs w:val="18"/>
        </w:rPr>
        <w:t>Es el Contrato para la prestación del Servicio de Intercambio de Mensajes Cortos que establece los términos y condiciones de dicho servicio, cuyo modelo se agrega al presente Convenio como Anexo “G”.</w:t>
      </w:r>
      <w:r w:rsidRPr="00782C23">
        <w:rPr>
          <w:rFonts w:ascii="ITC Avant Garde" w:hAnsi="ITC Avant Garde"/>
          <w:i/>
          <w:sz w:val="18"/>
          <w:szCs w:val="18"/>
        </w:rPr>
        <w:t>”</w:t>
      </w:r>
    </w:p>
    <w:p w14:paraId="34A24003" w14:textId="5DD0A62F" w:rsidR="00AE7499" w:rsidRDefault="00AE7499" w:rsidP="00421913">
      <w:pPr>
        <w:spacing w:after="0" w:line="276" w:lineRule="auto"/>
        <w:ind w:right="616"/>
        <w:rPr>
          <w:rFonts w:ascii="ITC Avant Garde" w:hAnsi="ITC Avant Garde"/>
          <w:sz w:val="20"/>
          <w:szCs w:val="20"/>
        </w:rPr>
      </w:pPr>
    </w:p>
    <w:p w14:paraId="4DD920BB" w14:textId="794F3657" w:rsidR="001E52EC" w:rsidRPr="00522E26" w:rsidRDefault="001E52EC" w:rsidP="001E52EC">
      <w:pPr>
        <w:spacing w:line="276" w:lineRule="auto"/>
        <w:rPr>
          <w:rFonts w:ascii="ITC Avant Garde" w:eastAsia="Avant Garde" w:hAnsi="ITC Avant Garde" w:cs="Avant Garde"/>
          <w:color w:val="000000"/>
          <w:lang w:eastAsia="es-MX"/>
        </w:rPr>
      </w:pPr>
      <w:r w:rsidRPr="001E52EC">
        <w:rPr>
          <w:rFonts w:ascii="ITC Avant Garde" w:eastAsia="Avant Garde" w:hAnsi="ITC Avant Garde" w:cs="Avant Garde"/>
          <w:color w:val="000000"/>
          <w:lang w:eastAsia="es-MX"/>
        </w:rPr>
        <w:t>En el mismo sentido</w:t>
      </w:r>
      <w:r>
        <w:rPr>
          <w:rFonts w:ascii="ITC Avant Garde" w:eastAsia="Avant Garde" w:hAnsi="ITC Avant Garde" w:cs="Avant Garde"/>
          <w:color w:val="000000"/>
          <w:lang w:eastAsia="es-MX"/>
        </w:rPr>
        <w:t>, solicitan la modificación de la definición de</w:t>
      </w:r>
      <w:r w:rsidRPr="001E52EC">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“Spam</w:t>
      </w:r>
      <w:r w:rsidRPr="00522E26">
        <w:rPr>
          <w:rFonts w:ascii="ITC Avant Garde" w:eastAsia="Avant Garde" w:hAnsi="ITC Avant Garde" w:cs="Avant Garde"/>
          <w:color w:val="000000"/>
          <w:lang w:eastAsia="es-MX"/>
        </w:rPr>
        <w:t xml:space="preserve">”. </w:t>
      </w:r>
    </w:p>
    <w:p w14:paraId="1DC98193" w14:textId="77777777" w:rsidR="001E52EC" w:rsidRPr="00522E26" w:rsidRDefault="001E52EC" w:rsidP="001E52EC">
      <w:pPr>
        <w:spacing w:after="0" w:line="276" w:lineRule="auto"/>
        <w:ind w:left="567" w:right="616" w:hanging="11"/>
        <w:rPr>
          <w:rFonts w:ascii="ITC Avant Garde" w:hAnsi="ITC Avant Garde"/>
          <w:i/>
          <w:sz w:val="18"/>
          <w:szCs w:val="18"/>
        </w:rPr>
      </w:pPr>
      <w:r w:rsidRPr="00522E26">
        <w:rPr>
          <w:rFonts w:ascii="ITC Avant Garde" w:hAnsi="ITC Avant Garde"/>
          <w:i/>
          <w:sz w:val="18"/>
          <w:szCs w:val="18"/>
        </w:rPr>
        <w:t xml:space="preserve"> “Spam: Aquellos mensajes enviados en forma individual o masiva, cuyo contenido sea de carácter comercial, publicitario, informativo o de naturaleza similar, </w:t>
      </w:r>
      <w:r w:rsidRPr="00522E26">
        <w:rPr>
          <w:rFonts w:ascii="ITC Avant Garde" w:hAnsi="ITC Avant Garde"/>
          <w:i/>
          <w:sz w:val="18"/>
          <w:szCs w:val="18"/>
          <w:u w:val="single"/>
        </w:rPr>
        <w:t>no solicitados o autorizados por el usuario destino</w:t>
      </w:r>
      <w:r w:rsidRPr="00522E26">
        <w:rPr>
          <w:rFonts w:ascii="ITC Avant Garde" w:hAnsi="ITC Avant Garde"/>
          <w:i/>
          <w:sz w:val="18"/>
          <w:szCs w:val="18"/>
        </w:rPr>
        <w:t xml:space="preserve"> en términos de lo dispuesto por el presente Convenio y/o las disposiciones aplicables, sin importar el equipo y medio tecnológico a través de los cuales hayan sido originados.”</w:t>
      </w:r>
    </w:p>
    <w:p w14:paraId="567C9D7F" w14:textId="77777777" w:rsidR="001E52EC" w:rsidRPr="00782C23" w:rsidRDefault="001E52EC" w:rsidP="001E52EC">
      <w:pPr>
        <w:spacing w:after="0" w:line="276" w:lineRule="auto"/>
        <w:ind w:left="567" w:right="616" w:hanging="11"/>
        <w:jc w:val="right"/>
        <w:rPr>
          <w:rFonts w:ascii="ITC Avant Garde" w:hAnsi="ITC Avant Garde"/>
          <w:i/>
          <w:sz w:val="18"/>
          <w:szCs w:val="18"/>
        </w:rPr>
      </w:pPr>
      <w:r w:rsidRPr="00522E26">
        <w:rPr>
          <w:rFonts w:ascii="ITC Avant Garde" w:hAnsi="ITC Avant Garde"/>
          <w:i/>
          <w:sz w:val="18"/>
          <w:szCs w:val="18"/>
        </w:rPr>
        <w:t>(Énfasis añadido)</w:t>
      </w:r>
    </w:p>
    <w:p w14:paraId="288434B7" w14:textId="3E48EF56" w:rsidR="001E52EC" w:rsidRDefault="001E52EC" w:rsidP="00421913">
      <w:pPr>
        <w:spacing w:after="0" w:line="276" w:lineRule="auto"/>
        <w:ind w:right="616"/>
        <w:rPr>
          <w:rFonts w:ascii="ITC Avant Garde" w:hAnsi="ITC Avant Garde"/>
          <w:sz w:val="20"/>
          <w:szCs w:val="20"/>
        </w:rPr>
      </w:pPr>
    </w:p>
    <w:p w14:paraId="5C1EBB18" w14:textId="6CAAA206" w:rsidR="001E52EC" w:rsidRPr="00E37612" w:rsidRDefault="001E52EC" w:rsidP="001E52E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s</w:t>
      </w:r>
      <w:r w:rsidRPr="0053503B">
        <w:rPr>
          <w:rFonts w:ascii="ITC Avant Garde" w:eastAsia="Avant Garde" w:hAnsi="ITC Avant Garde" w:cs="Avant Garde"/>
          <w:color w:val="000000"/>
          <w:lang w:eastAsia="es-MX"/>
        </w:rPr>
        <w:t>eñalan que la inclusión de la palabra “Móvil” en la definición de “Código de Identificación”, “Código Malicioso”, “Equipo Terminal Móvil”, “SIEMC”, “Usuario”, “Usuario Destino”</w:t>
      </w:r>
      <w:r>
        <w:rPr>
          <w:rFonts w:ascii="ITC Avant Garde" w:eastAsia="Avant Garde" w:hAnsi="ITC Avant Garde" w:cs="Avant Garde"/>
          <w:color w:val="000000"/>
          <w:lang w:eastAsia="es-MX"/>
        </w:rPr>
        <w:t>,</w:t>
      </w:r>
      <w:r w:rsidRPr="0053503B">
        <w:rPr>
          <w:rFonts w:ascii="ITC Avant Garde" w:eastAsia="Avant Garde" w:hAnsi="ITC Avant Garde" w:cs="Avant Garde"/>
          <w:color w:val="000000"/>
          <w:lang w:eastAsia="es-MX"/>
        </w:rPr>
        <w:t xml:space="preserve"> “Usuario Origen”</w:t>
      </w:r>
      <w:r>
        <w:rPr>
          <w:rFonts w:ascii="ITC Avant Garde" w:eastAsia="Avant Garde" w:hAnsi="ITC Avant Garde" w:cs="Avant Garde"/>
          <w:color w:val="000000"/>
          <w:lang w:eastAsia="es-MX"/>
        </w:rPr>
        <w:t xml:space="preserve">, “Prácticas Prohibidas” y, en general cualquier referencia a la prestación del servicio de mensajes cortos únicamente en equipos terminales móviles o entre redes móviles </w:t>
      </w:r>
      <w:r w:rsidRPr="0053503B">
        <w:rPr>
          <w:rFonts w:ascii="ITC Avant Garde" w:eastAsia="Avant Garde" w:hAnsi="ITC Avant Garde" w:cs="Avant Garde"/>
          <w:color w:val="000000"/>
          <w:lang w:eastAsia="es-MX"/>
        </w:rPr>
        <w:t xml:space="preserve">excluye la prestación del servicio de mensajes </w:t>
      </w:r>
      <w:r w:rsidRPr="00E37612">
        <w:rPr>
          <w:rFonts w:ascii="ITC Avant Garde" w:eastAsia="Avant Garde" w:hAnsi="ITC Avant Garde" w:cs="Avant Garde"/>
          <w:color w:val="000000"/>
          <w:lang w:eastAsia="es-MX"/>
        </w:rPr>
        <w:t>cortos a equipos terminales fijos que tengan la capacidad de enviar y recibir SMS (Short Message Services o mensajes cortos), por lo cual solicitan su eliminación en diversas cláusulas del Anexo G.</w:t>
      </w:r>
    </w:p>
    <w:p w14:paraId="246735FA" w14:textId="77777777" w:rsidR="001E52EC" w:rsidRPr="0053503B" w:rsidRDefault="001E52EC" w:rsidP="00421913">
      <w:pPr>
        <w:spacing w:after="0" w:line="276" w:lineRule="auto"/>
        <w:ind w:right="616"/>
        <w:rPr>
          <w:rFonts w:ascii="ITC Avant Garde" w:hAnsi="ITC Avant Garde"/>
          <w:sz w:val="20"/>
          <w:szCs w:val="20"/>
        </w:rPr>
      </w:pPr>
    </w:p>
    <w:p w14:paraId="4F7E8895"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39CEF7BA" w14:textId="2EEE31A8" w:rsidR="00EE38FE" w:rsidRDefault="00AF3E32" w:rsidP="002E403D">
      <w:pPr>
        <w:spacing w:after="0" w:line="276" w:lineRule="auto"/>
        <w:ind w:left="-5"/>
        <w:rPr>
          <w:rFonts w:ascii="ITC Avant Garde" w:hAnsi="ITC Avant Garde"/>
          <w:i/>
          <w:sz w:val="18"/>
          <w:szCs w:val="18"/>
        </w:rPr>
      </w:pPr>
      <w:r w:rsidRPr="0053503B">
        <w:rPr>
          <w:rFonts w:ascii="ITC Avant Garde" w:eastAsia="Avant Garde" w:hAnsi="ITC Avant Garde" w:cs="Avant Garde"/>
          <w:color w:val="000000"/>
          <w:lang w:eastAsia="es-MX"/>
        </w:rPr>
        <w:t>S</w:t>
      </w:r>
      <w:r w:rsidR="00362954" w:rsidRPr="0053503B">
        <w:rPr>
          <w:rFonts w:ascii="ITC Avant Garde" w:eastAsia="Avant Garde" w:hAnsi="ITC Avant Garde" w:cs="Avant Garde"/>
          <w:color w:val="000000"/>
          <w:lang w:eastAsia="es-MX"/>
        </w:rPr>
        <w:t xml:space="preserve">e modificó la Propuesta de CMI en su conjunto ya que </w:t>
      </w:r>
      <w:r w:rsidR="002E403D">
        <w:rPr>
          <w:rFonts w:ascii="ITC Avant Garde" w:eastAsia="Avant Garde" w:hAnsi="ITC Avant Garde" w:cs="Avant Garde"/>
          <w:color w:val="000000"/>
          <w:lang w:eastAsia="es-MX"/>
        </w:rPr>
        <w:t>conforme al marco regulatorio vigente la prestación d</w:t>
      </w:r>
      <w:r w:rsidR="00362954" w:rsidRPr="0053503B">
        <w:rPr>
          <w:rFonts w:ascii="ITC Avant Garde" w:eastAsia="Avant Garde" w:hAnsi="ITC Avant Garde" w:cs="Avant Garde"/>
          <w:color w:val="000000"/>
          <w:lang w:eastAsia="es-MX"/>
        </w:rPr>
        <w:t>el servicio de mensajes cortos</w:t>
      </w:r>
      <w:r w:rsidR="002E403D">
        <w:rPr>
          <w:rFonts w:ascii="ITC Avant Garde" w:eastAsia="Avant Garde" w:hAnsi="ITC Avant Garde" w:cs="Avant Garde"/>
          <w:color w:val="000000"/>
          <w:lang w:eastAsia="es-MX"/>
        </w:rPr>
        <w:t xml:space="preserve"> no se encuentra limitada a </w:t>
      </w:r>
      <w:r w:rsidR="00362954" w:rsidRPr="0053503B">
        <w:rPr>
          <w:rFonts w:ascii="ITC Avant Garde" w:eastAsia="Avant Garde" w:hAnsi="ITC Avant Garde" w:cs="Avant Garde"/>
          <w:color w:val="000000"/>
          <w:lang w:eastAsia="es-MX"/>
        </w:rPr>
        <w:t>entre personas y entre terminales móviles</w:t>
      </w:r>
      <w:r w:rsidR="002E403D">
        <w:rPr>
          <w:rFonts w:ascii="ITC Avant Garde" w:eastAsia="Avant Garde" w:hAnsi="ITC Avant Garde" w:cs="Avant Garde"/>
          <w:color w:val="000000"/>
          <w:lang w:eastAsia="es-MX"/>
        </w:rPr>
        <w:t>.</w:t>
      </w:r>
    </w:p>
    <w:p w14:paraId="7CBFF73F" w14:textId="77777777" w:rsidR="00EE38FE" w:rsidRDefault="00EE38FE" w:rsidP="00421913">
      <w:pPr>
        <w:spacing w:after="0" w:line="276" w:lineRule="auto"/>
        <w:ind w:left="-5"/>
        <w:rPr>
          <w:rFonts w:ascii="ITC Avant Garde" w:eastAsia="Avant Garde" w:hAnsi="ITC Avant Garde" w:cs="Avant Garde"/>
          <w:color w:val="000000"/>
          <w:lang w:eastAsia="es-MX"/>
        </w:rPr>
      </w:pPr>
    </w:p>
    <w:p w14:paraId="2FDDBF0E" w14:textId="5126B9C1" w:rsidR="00362954" w:rsidRDefault="002E403D" w:rsidP="002E403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 se modificó</w:t>
      </w:r>
      <w:r w:rsidR="005D3784">
        <w:rPr>
          <w:rFonts w:ascii="ITC Avant Garde" w:eastAsia="Avant Garde" w:hAnsi="ITC Avant Garde" w:cs="Avant Garde"/>
          <w:color w:val="000000"/>
          <w:lang w:eastAsia="es-MX"/>
        </w:rPr>
        <w:t xml:space="preserve"> la definición de Contrato SIEMC en los siguientes términos:</w:t>
      </w:r>
    </w:p>
    <w:p w14:paraId="33417C15" w14:textId="77777777" w:rsidR="002E403D" w:rsidRPr="0053503B" w:rsidRDefault="002E403D" w:rsidP="002E403D">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47"/>
        <w:gridCol w:w="6191"/>
      </w:tblGrid>
      <w:tr w:rsidR="008D3FAB" w:rsidRPr="008D3FAB" w14:paraId="0E8D857A" w14:textId="77777777" w:rsidTr="002E403D">
        <w:tc>
          <w:tcPr>
            <w:tcW w:w="2647" w:type="dxa"/>
            <w:shd w:val="clear" w:color="auto" w:fill="auto"/>
          </w:tcPr>
          <w:p w14:paraId="6F6B2ABE" w14:textId="77777777" w:rsidR="008D3FAB" w:rsidRPr="008D3FAB" w:rsidRDefault="008D3FAB" w:rsidP="008D3FAB">
            <w:pPr>
              <w:spacing w:after="0" w:line="276" w:lineRule="auto"/>
              <w:ind w:left="567" w:right="616" w:hanging="11"/>
              <w:rPr>
                <w:rFonts w:ascii="ITC Avant Garde" w:hAnsi="ITC Avant Garde"/>
                <w:i/>
                <w:sz w:val="18"/>
                <w:szCs w:val="18"/>
              </w:rPr>
            </w:pPr>
            <w:r w:rsidRPr="008D3FAB">
              <w:rPr>
                <w:rFonts w:ascii="ITC Avant Garde" w:hAnsi="ITC Avant Garde"/>
                <w:i/>
                <w:sz w:val="18"/>
                <w:szCs w:val="18"/>
              </w:rPr>
              <w:t>“Contrato SIEMC</w:t>
            </w:r>
          </w:p>
        </w:tc>
        <w:tc>
          <w:tcPr>
            <w:tcW w:w="6191" w:type="dxa"/>
            <w:shd w:val="clear" w:color="auto" w:fill="auto"/>
          </w:tcPr>
          <w:p w14:paraId="7D53AFD5" w14:textId="77777777" w:rsidR="008D3FAB" w:rsidRPr="008D3FAB" w:rsidRDefault="008D3FAB" w:rsidP="008D3FAB">
            <w:pPr>
              <w:spacing w:after="0" w:line="276" w:lineRule="auto"/>
              <w:ind w:left="567" w:right="616" w:hanging="11"/>
              <w:rPr>
                <w:rFonts w:ascii="ITC Avant Garde" w:hAnsi="ITC Avant Garde"/>
                <w:i/>
                <w:sz w:val="18"/>
                <w:szCs w:val="18"/>
              </w:rPr>
            </w:pPr>
            <w:r w:rsidRPr="008D3FAB">
              <w:rPr>
                <w:rFonts w:ascii="ITC Avant Garde" w:hAnsi="ITC Avant Garde"/>
                <w:i/>
                <w:sz w:val="18"/>
                <w:szCs w:val="18"/>
              </w:rPr>
              <w:t xml:space="preserve">Es el </w:t>
            </w:r>
            <w:r w:rsidRPr="008D3FAB">
              <w:rPr>
                <w:rFonts w:ascii="ITC Avant Garde" w:hAnsi="ITC Avant Garde"/>
                <w:i/>
                <w:strike/>
                <w:sz w:val="18"/>
                <w:szCs w:val="18"/>
              </w:rPr>
              <w:t>Contrato</w:t>
            </w:r>
            <w:r w:rsidRPr="008D3FAB">
              <w:rPr>
                <w:rFonts w:ascii="ITC Avant Garde" w:hAnsi="ITC Avant Garde"/>
                <w:i/>
                <w:sz w:val="18"/>
                <w:szCs w:val="18"/>
              </w:rPr>
              <w:t xml:space="preserve"> </w:t>
            </w:r>
            <w:r w:rsidRPr="008D3FAB">
              <w:rPr>
                <w:rFonts w:ascii="ITC Avant Garde" w:hAnsi="ITC Avant Garde"/>
                <w:i/>
                <w:sz w:val="18"/>
                <w:szCs w:val="18"/>
                <w:u w:val="single"/>
              </w:rPr>
              <w:t>Anexo G</w:t>
            </w:r>
            <w:r w:rsidRPr="008D3FAB">
              <w:rPr>
                <w:rFonts w:ascii="ITC Avant Garde" w:hAnsi="ITC Avant Garde"/>
                <w:i/>
                <w:sz w:val="18"/>
                <w:szCs w:val="18"/>
              </w:rPr>
              <w:t xml:space="preserve"> para la prestación del Servicio de Intercambio de Mensajes Cortos </w:t>
            </w:r>
            <w:r w:rsidRPr="008D3FAB">
              <w:rPr>
                <w:rFonts w:ascii="ITC Avant Garde" w:hAnsi="ITC Avant Garde"/>
                <w:i/>
                <w:strike/>
                <w:sz w:val="18"/>
                <w:szCs w:val="18"/>
              </w:rPr>
              <w:t>Persona a Persona</w:t>
            </w:r>
            <w:r w:rsidRPr="008D3FAB">
              <w:rPr>
                <w:rFonts w:ascii="ITC Avant Garde" w:hAnsi="ITC Avant Garde"/>
                <w:i/>
                <w:sz w:val="18"/>
                <w:szCs w:val="18"/>
              </w:rPr>
              <w:t xml:space="preserve"> que establece los términos y condiciones de dicho servicio, </w:t>
            </w:r>
            <w:r w:rsidRPr="008D3FAB">
              <w:rPr>
                <w:rFonts w:ascii="ITC Avant Garde" w:hAnsi="ITC Avant Garde"/>
                <w:i/>
                <w:strike/>
                <w:sz w:val="18"/>
                <w:szCs w:val="18"/>
              </w:rPr>
              <w:t>cuyo modelo se agrega al presente Convenio como Anexo “G”</w:t>
            </w:r>
            <w:r w:rsidRPr="008D3FAB">
              <w:rPr>
                <w:rFonts w:ascii="ITC Avant Garde" w:hAnsi="ITC Avant Garde"/>
                <w:i/>
                <w:sz w:val="18"/>
                <w:szCs w:val="18"/>
              </w:rPr>
              <w:t>.”</w:t>
            </w:r>
          </w:p>
        </w:tc>
      </w:tr>
    </w:tbl>
    <w:p w14:paraId="66465FFA" w14:textId="77777777" w:rsidR="008D3FAB" w:rsidRPr="008D3FAB" w:rsidRDefault="008D3FAB" w:rsidP="008D3FAB">
      <w:pPr>
        <w:spacing w:after="0" w:line="276" w:lineRule="auto"/>
        <w:ind w:left="567" w:right="616" w:hanging="11"/>
        <w:jc w:val="right"/>
        <w:rPr>
          <w:rFonts w:ascii="ITC Avant Garde" w:hAnsi="ITC Avant Garde"/>
          <w:i/>
          <w:sz w:val="18"/>
          <w:szCs w:val="18"/>
        </w:rPr>
      </w:pPr>
      <w:r w:rsidRPr="008D3FAB">
        <w:rPr>
          <w:rFonts w:ascii="ITC Avant Garde" w:hAnsi="ITC Avant Garde"/>
          <w:i/>
          <w:sz w:val="18"/>
          <w:szCs w:val="18"/>
        </w:rPr>
        <w:t>(Énfasis añadido)</w:t>
      </w:r>
    </w:p>
    <w:p w14:paraId="72CE4CF4" w14:textId="3AB1F0C2" w:rsidR="008D3FAB" w:rsidRPr="002A1E28" w:rsidRDefault="002A1E28" w:rsidP="00E11E32">
      <w:pPr>
        <w:spacing w:line="276" w:lineRule="auto"/>
        <w:rPr>
          <w:rFonts w:ascii="ITC Avant Garde" w:hAnsi="ITC Avant Garde"/>
        </w:rPr>
      </w:pPr>
      <w:r w:rsidRPr="002A1E28">
        <w:rPr>
          <w:rFonts w:ascii="ITC Avant Garde" w:hAnsi="ITC Avant Garde"/>
        </w:rPr>
        <w:t>Así como diversas cláusulas del Anexo G</w:t>
      </w:r>
      <w:r>
        <w:rPr>
          <w:rFonts w:ascii="ITC Avant Garde" w:hAnsi="ITC Avant Garde"/>
        </w:rPr>
        <w:t xml:space="preserve">, eliminando las referencias a la prestación del servicio únicamente entre terminales móviles y entre redes móviles de telecomunicaciones. Lo anterior, considerando que la prestación del servicio de mensajes cortos se puede realizar a través de redes fijas y conforme el marco </w:t>
      </w:r>
      <w:r>
        <w:rPr>
          <w:rFonts w:ascii="ITC Avant Garde" w:hAnsi="ITC Avant Garde"/>
        </w:rPr>
        <w:lastRenderedPageBreak/>
        <w:t>regulatorio vigente. Dichas modificaciones forman parte del Anexo I de la resolución mediante la cual se modifica y autoriza al AEP las condiciones del CMI aplicable del 1 de enero al 31 de diciembre de 2019.</w:t>
      </w:r>
    </w:p>
    <w:p w14:paraId="529FC07D" w14:textId="1D982F31" w:rsidR="00AE7499" w:rsidRPr="00E11E32" w:rsidRDefault="00AE7499" w:rsidP="00E11E32">
      <w:pPr>
        <w:spacing w:line="276" w:lineRule="auto"/>
        <w:rPr>
          <w:rFonts w:ascii="ITC Avant Garde" w:hAnsi="ITC Avant Garde"/>
          <w:b/>
        </w:rPr>
      </w:pPr>
      <w:r w:rsidRPr="00E11E32">
        <w:rPr>
          <w:rFonts w:ascii="ITC Avant Garde" w:hAnsi="ITC Avant Garde"/>
          <w:b/>
        </w:rPr>
        <w:t>AXTEL</w:t>
      </w:r>
    </w:p>
    <w:p w14:paraId="35A1CC82" w14:textId="54DEFCF7" w:rsidR="00AE7499" w:rsidRPr="0053503B" w:rsidRDefault="00E93EFF"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 modificar la definición de “Concesionario Mayorista Móvil”</w:t>
      </w:r>
      <w:r w:rsidR="00D11114">
        <w:rPr>
          <w:rFonts w:ascii="ITC Avant Garde" w:eastAsia="Avant Garde" w:hAnsi="ITC Avant Garde" w:cs="Avant Garde"/>
          <w:color w:val="000000"/>
          <w:lang w:eastAsia="es-MX"/>
        </w:rPr>
        <w:t>,</w:t>
      </w:r>
      <w:r w:rsidRPr="0053503B">
        <w:rPr>
          <w:rFonts w:ascii="ITC Avant Garde" w:eastAsia="Avant Garde" w:hAnsi="ITC Avant Garde" w:cs="Avant Garde"/>
          <w:color w:val="000000"/>
          <w:lang w:eastAsia="es-MX"/>
        </w:rPr>
        <w:t xml:space="preserve"> ya que el Convenio Marco de Interconexión (en lo sucesivo, el “CMI”) debe establecer las condiciones de interconexión para cualquier concesionario con derecho a ello</w:t>
      </w:r>
      <w:r w:rsidR="00464891">
        <w:rPr>
          <w:rFonts w:ascii="ITC Avant Garde" w:eastAsia="Avant Garde" w:hAnsi="ITC Avant Garde" w:cs="Avant Garde"/>
          <w:color w:val="000000"/>
          <w:lang w:eastAsia="es-MX"/>
        </w:rPr>
        <w:t xml:space="preserve"> sin importar el Concesionario Mayorista Móvil que proporcione la </w:t>
      </w:r>
      <w:r w:rsidR="00234B57">
        <w:rPr>
          <w:rFonts w:ascii="ITC Avant Garde" w:eastAsia="Avant Garde" w:hAnsi="ITC Avant Garde" w:cs="Avant Garde"/>
          <w:color w:val="000000"/>
          <w:lang w:eastAsia="es-MX"/>
        </w:rPr>
        <w:t>capacidad.</w:t>
      </w:r>
    </w:p>
    <w:p w14:paraId="1B2F7650"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355D9869" w14:textId="1631DC34" w:rsidR="00F05241" w:rsidRPr="002E403D" w:rsidRDefault="002E403D" w:rsidP="002E403D">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00F05241" w:rsidRPr="0053503B">
        <w:rPr>
          <w:rFonts w:ascii="ITC Avant Garde" w:eastAsia="Avant Garde" w:hAnsi="ITC Avant Garde" w:cs="Avant Garde"/>
          <w:color w:val="000000"/>
          <w:lang w:eastAsia="es-MX"/>
        </w:rPr>
        <w:t xml:space="preserve">e conformidad con el </w:t>
      </w:r>
      <w:r w:rsidR="00F05241" w:rsidRPr="0053503B">
        <w:rPr>
          <w:rFonts w:ascii="ITC Avant Garde" w:eastAsia="Avant Garde" w:hAnsi="ITC Avant Garde" w:cs="Avant Garde"/>
          <w:i/>
          <w:color w:val="000000"/>
          <w:lang w:eastAsia="es-MX"/>
        </w:rPr>
        <w:t>“ACUERDO MEDIANTE EL CUAL EL PLENO DEL INSTITUTO FEDERAL DE TELECOMUNICACIONES EMITE LOS LINEAMIENTOS PARA LA COMERCIALIZACIÓN DE SERVICIOS MÓVILES POR PARTE DE OPERADORES MÓVILES VIRTUALES”</w:t>
      </w:r>
      <w:r>
        <w:rPr>
          <w:rFonts w:ascii="ITC Avant Garde" w:eastAsia="Avant Garde" w:hAnsi="ITC Avant Garde" w:cs="Avant Garde"/>
          <w:color w:val="000000"/>
          <w:lang w:eastAsia="es-MX"/>
        </w:rPr>
        <w:t>, aquellos operadores móviles virtuales que sean concesionarios y operen una red pública de telecomunicaciones podrán solicitar sus propios acuerdos de interconexión con otros concesionarios.</w:t>
      </w:r>
    </w:p>
    <w:p w14:paraId="44C7D1C0" w14:textId="787813D0" w:rsidR="000A1D96" w:rsidRPr="002E403D" w:rsidRDefault="002E403D" w:rsidP="002E403D">
      <w:pPr>
        <w:spacing w:line="276" w:lineRule="auto"/>
        <w:rPr>
          <w:rFonts w:ascii="ITC Avant Garde" w:hAnsi="ITC Avant Garde"/>
          <w:b/>
          <w:sz w:val="20"/>
          <w:szCs w:val="20"/>
        </w:rPr>
      </w:pPr>
      <w:r>
        <w:rPr>
          <w:rFonts w:ascii="ITC Avant Garde" w:eastAsia="Avant Garde" w:hAnsi="ITC Avant Garde" w:cs="Avant Garde"/>
          <w:color w:val="000000"/>
          <w:lang w:eastAsia="es-MX"/>
        </w:rPr>
        <w:t>En este sentido, se eliminó</w:t>
      </w:r>
      <w:r w:rsidRPr="0053503B">
        <w:rPr>
          <w:rFonts w:ascii="ITC Avant Garde" w:eastAsia="Avant Garde" w:hAnsi="ITC Avant Garde" w:cs="Avant Garde"/>
          <w:color w:val="000000"/>
          <w:lang w:eastAsia="es-MX"/>
        </w:rPr>
        <w:t xml:space="preserve"> la definición de “Concesionario Mayorista Móvil” </w:t>
      </w:r>
      <w:r>
        <w:rPr>
          <w:rFonts w:ascii="ITC Avant Garde" w:eastAsia="Avant Garde" w:hAnsi="ITC Avant Garde" w:cs="Avant Garde"/>
          <w:color w:val="000000"/>
          <w:lang w:eastAsia="es-MX"/>
        </w:rPr>
        <w:t>ya que</w:t>
      </w:r>
      <w:r>
        <w:rPr>
          <w:rFonts w:ascii="ITC Avant Garde" w:hAnsi="ITC Avant Garde"/>
          <w:b/>
          <w:sz w:val="20"/>
          <w:szCs w:val="20"/>
        </w:rPr>
        <w:t xml:space="preserve"> </w:t>
      </w:r>
      <w:r>
        <w:rPr>
          <w:rFonts w:ascii="ITC Avant Garde" w:eastAsia="Avant Garde" w:hAnsi="ITC Avant Garde" w:cs="Avant Garde"/>
          <w:color w:val="000000"/>
          <w:lang w:eastAsia="es-MX"/>
        </w:rPr>
        <w:t>cualquier concesionario que opere</w:t>
      </w:r>
      <w:r w:rsidR="000A1D96" w:rsidRPr="0053503B">
        <w:rPr>
          <w:rFonts w:ascii="ITC Avant Garde" w:eastAsia="Avant Garde" w:hAnsi="ITC Avant Garde" w:cs="Avant Garde"/>
          <w:color w:val="000000"/>
          <w:lang w:eastAsia="es-MX"/>
        </w:rPr>
        <w:t xml:space="preserve"> una red pública de telecomunicaciones podrá suscribir el Convenio.</w:t>
      </w:r>
    </w:p>
    <w:p w14:paraId="5250A720" w14:textId="77777777" w:rsidR="00AE7499" w:rsidRPr="00E11E32" w:rsidRDefault="00AE7499" w:rsidP="00D874E8">
      <w:pPr>
        <w:spacing w:line="276" w:lineRule="auto"/>
        <w:rPr>
          <w:rFonts w:ascii="ITC Avant Garde" w:hAnsi="ITC Avant Garde"/>
          <w:b/>
        </w:rPr>
      </w:pPr>
      <w:r w:rsidRPr="00E11E32">
        <w:rPr>
          <w:rFonts w:ascii="ITC Avant Garde" w:hAnsi="ITC Avant Garde"/>
          <w:b/>
        </w:rPr>
        <w:t>AT&amp;T</w:t>
      </w:r>
    </w:p>
    <w:p w14:paraId="55D46931" w14:textId="227479B5" w:rsidR="00AE7499" w:rsidRPr="0053503B" w:rsidRDefault="002427FE"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Solicita modificar las </w:t>
      </w:r>
      <w:r w:rsidR="00D874E8">
        <w:rPr>
          <w:rFonts w:ascii="ITC Avant Garde" w:eastAsia="Avant Garde" w:hAnsi="ITC Avant Garde" w:cs="Avant Garde"/>
          <w:color w:val="000000"/>
          <w:lang w:eastAsia="es-MX"/>
        </w:rPr>
        <w:t>definiciones de “Interconexión” y</w:t>
      </w:r>
      <w:r w:rsidRPr="0053503B">
        <w:rPr>
          <w:rFonts w:ascii="ITC Avant Garde" w:eastAsia="Avant Garde" w:hAnsi="ITC Avant Garde" w:cs="Avant Garde"/>
          <w:color w:val="000000"/>
          <w:lang w:eastAsia="es-MX"/>
        </w:rPr>
        <w:t xml:space="preserve"> “Punto de Interconexión”</w:t>
      </w:r>
      <w:r w:rsidR="00D874E8">
        <w:rPr>
          <w:rFonts w:ascii="ITC Avant Garde" w:eastAsia="Avant Garde" w:hAnsi="ITC Avant Garde" w:cs="Avant Garde"/>
          <w:color w:val="000000"/>
          <w:lang w:eastAsia="es-MX"/>
        </w:rPr>
        <w:t xml:space="preserve"> ya que pueden existir interconexiones virtuales. Asimismo, solicita modificar la definición de “Servicios Auxiliares Conexos” ya que estos no necesariamente son provistos por un concesionario.</w:t>
      </w:r>
    </w:p>
    <w:p w14:paraId="50D46DB8"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0081FB6C" w14:textId="095390AB" w:rsidR="00AE7499" w:rsidRDefault="002E403D"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modificaron</w:t>
      </w:r>
      <w:r w:rsidR="00AE7499" w:rsidRPr="0053503B">
        <w:rPr>
          <w:rFonts w:ascii="ITC Avant Garde" w:eastAsia="Avant Garde" w:hAnsi="ITC Avant Garde" w:cs="Avant Garde"/>
          <w:color w:val="000000"/>
          <w:lang w:eastAsia="es-MX"/>
        </w:rPr>
        <w:t xml:space="preserve"> las definiciones de </w:t>
      </w:r>
      <w:r w:rsidR="002427FE" w:rsidRPr="0053503B">
        <w:rPr>
          <w:rFonts w:ascii="ITC Avant Garde" w:eastAsia="Avant Garde" w:hAnsi="ITC Avant Garde" w:cs="Avant Garde"/>
          <w:color w:val="000000"/>
          <w:lang w:eastAsia="es-MX"/>
        </w:rPr>
        <w:t>“I</w:t>
      </w:r>
      <w:r w:rsidR="00AE7499" w:rsidRPr="0053503B">
        <w:rPr>
          <w:rFonts w:ascii="ITC Avant Garde" w:eastAsia="Avant Garde" w:hAnsi="ITC Avant Garde" w:cs="Avant Garde"/>
          <w:color w:val="000000"/>
          <w:lang w:eastAsia="es-MX"/>
        </w:rPr>
        <w:t xml:space="preserve">nterconexión, </w:t>
      </w:r>
      <w:r w:rsidR="002427FE" w:rsidRPr="0053503B">
        <w:rPr>
          <w:rFonts w:ascii="ITC Avant Garde" w:eastAsia="Avant Garde" w:hAnsi="ITC Avant Garde" w:cs="Avant Garde"/>
          <w:color w:val="000000"/>
          <w:lang w:eastAsia="es-MX"/>
        </w:rPr>
        <w:t>“P</w:t>
      </w:r>
      <w:r w:rsidR="00AE7499" w:rsidRPr="0053503B">
        <w:rPr>
          <w:rFonts w:ascii="ITC Avant Garde" w:eastAsia="Avant Garde" w:hAnsi="ITC Avant Garde" w:cs="Avant Garde"/>
          <w:color w:val="000000"/>
          <w:lang w:eastAsia="es-MX"/>
        </w:rPr>
        <w:t>unto de interconexión</w:t>
      </w:r>
      <w:r w:rsidR="002427FE" w:rsidRPr="0053503B">
        <w:rPr>
          <w:rFonts w:ascii="ITC Avant Garde" w:eastAsia="Avant Garde" w:hAnsi="ITC Avant Garde" w:cs="Avant Garde"/>
          <w:color w:val="000000"/>
          <w:lang w:eastAsia="es-MX"/>
        </w:rPr>
        <w:t>”</w:t>
      </w:r>
      <w:r w:rsidR="00AE7499" w:rsidRPr="0053503B">
        <w:rPr>
          <w:rFonts w:ascii="ITC Avant Garde" w:eastAsia="Avant Garde" w:hAnsi="ITC Avant Garde" w:cs="Avant Garde"/>
          <w:color w:val="000000"/>
          <w:lang w:eastAsia="es-MX"/>
        </w:rPr>
        <w:t xml:space="preserve"> y </w:t>
      </w:r>
      <w:r w:rsidR="002427FE" w:rsidRPr="0053503B">
        <w:rPr>
          <w:rFonts w:ascii="ITC Avant Garde" w:eastAsia="Avant Garde" w:hAnsi="ITC Avant Garde" w:cs="Avant Garde"/>
          <w:color w:val="000000"/>
          <w:lang w:eastAsia="es-MX"/>
        </w:rPr>
        <w:t>“</w:t>
      </w:r>
      <w:r w:rsidR="00AE7499" w:rsidRPr="0053503B">
        <w:rPr>
          <w:rFonts w:ascii="ITC Avant Garde" w:eastAsia="Avant Garde" w:hAnsi="ITC Avant Garde" w:cs="Avant Garde"/>
          <w:color w:val="000000"/>
          <w:lang w:eastAsia="es-MX"/>
        </w:rPr>
        <w:t>Servicios Auxiliares Conexos</w:t>
      </w:r>
      <w:r w:rsidR="002427FE" w:rsidRPr="0053503B">
        <w:rPr>
          <w:rFonts w:ascii="ITC Avant Garde" w:eastAsia="Avant Garde" w:hAnsi="ITC Avant Garde" w:cs="Avant Garde"/>
          <w:color w:val="000000"/>
          <w:lang w:eastAsia="es-MX"/>
        </w:rPr>
        <w:t>”</w:t>
      </w:r>
      <w:r w:rsidR="00AE7499" w:rsidRPr="0053503B">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con</w:t>
      </w:r>
      <w:r w:rsidR="00AE7499"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la LFTR y e</w:t>
      </w:r>
      <w:r w:rsidR="002427FE" w:rsidRPr="0053503B">
        <w:rPr>
          <w:rFonts w:ascii="ITC Avant Garde" w:eastAsia="Avant Garde" w:hAnsi="ITC Avant Garde" w:cs="Avant Garde"/>
          <w:color w:val="000000"/>
          <w:lang w:eastAsia="es-MX"/>
        </w:rPr>
        <w:t xml:space="preserve">l </w:t>
      </w:r>
      <w:r w:rsidR="00E15044" w:rsidRPr="0053503B">
        <w:rPr>
          <w:rFonts w:ascii="ITC Avant Garde" w:eastAsia="Avant Garde" w:hAnsi="ITC Avant Garde" w:cs="Avant Garde"/>
          <w:color w:val="000000"/>
          <w:lang w:eastAsia="es-MX"/>
        </w:rPr>
        <w:t>Anexo 1</w:t>
      </w:r>
      <w:r>
        <w:rPr>
          <w:rFonts w:ascii="ITC Avant Garde" w:eastAsia="Avant Garde" w:hAnsi="ITC Avant Garde" w:cs="Avant Garde"/>
          <w:color w:val="000000"/>
          <w:lang w:eastAsia="es-MX"/>
        </w:rPr>
        <w:t xml:space="preserve"> </w:t>
      </w:r>
      <w:r w:rsidRPr="002E403D">
        <w:rPr>
          <w:rFonts w:ascii="ITC Avant Garde" w:eastAsia="Avant Garde" w:hAnsi="ITC Avant Garde" w:cs="Avant Garde"/>
          <w:i/>
          <w:color w:val="000000"/>
          <w:lang w:eastAsia="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r w:rsidRPr="002E403D">
        <w:rPr>
          <w:rFonts w:ascii="ITC Avant Garde" w:eastAsia="Avant Garde" w:hAnsi="ITC Avant Garde" w:cs="Avant Garde"/>
          <w:color w:val="000000"/>
          <w:lang w:eastAsia="es-MX"/>
        </w:rPr>
        <w:t xml:space="preserve"> </w:t>
      </w:r>
      <w:r w:rsidRPr="0053503B">
        <w:rPr>
          <w:rFonts w:ascii="ITC Avant Garde" w:eastAsia="Avant Garde" w:hAnsi="ITC Avant Garde" w:cs="Avant Garde"/>
          <w:color w:val="000000"/>
          <w:lang w:eastAsia="es-MX"/>
        </w:rPr>
        <w:t>(en lo s</w:t>
      </w:r>
      <w:r>
        <w:rPr>
          <w:rFonts w:ascii="ITC Avant Garde" w:eastAsia="Avant Garde" w:hAnsi="ITC Avant Garde" w:cs="Avant Garde"/>
          <w:color w:val="000000"/>
          <w:lang w:eastAsia="es-MX"/>
        </w:rPr>
        <w:t>ucesivo, las “Medidas Móviles”)</w:t>
      </w:r>
      <w:r w:rsidR="00E15044" w:rsidRPr="0053503B">
        <w:rPr>
          <w:rFonts w:ascii="ITC Avant Garde" w:eastAsia="Avant Garde" w:hAnsi="ITC Avant Garde" w:cs="Avant Garde"/>
          <w:color w:val="000000"/>
          <w:lang w:eastAsia="es-MX"/>
        </w:rPr>
        <w:t xml:space="preserve"> de la </w:t>
      </w:r>
      <w:r w:rsidR="00E15044" w:rsidRPr="0053503B">
        <w:rPr>
          <w:rFonts w:ascii="ITC Avant Garde" w:eastAsia="Avant Garde" w:hAnsi="ITC Avant Garde" w:cs="Avant Garde"/>
          <w:i/>
          <w:color w:val="000000"/>
          <w:lang w:eastAsia="es-MX"/>
        </w:rPr>
        <w:t xml:space="preserve">“RESOLUCIÓN MEDIANTE LA CUAL EL PLENO DEL INSTITUTO FEDERAL DE TELECOMUNICACIONES SUPRIME, MODIFICA Y ADICIONA LAS MEDIDAS </w:t>
      </w:r>
      <w:r w:rsidR="00E15044" w:rsidRPr="0053503B">
        <w:rPr>
          <w:rFonts w:ascii="ITC Avant Garde" w:eastAsia="Avant Garde" w:hAnsi="ITC Avant Garde" w:cs="Avant Garde"/>
          <w:i/>
          <w:color w:val="000000"/>
          <w:lang w:eastAsia="es-MX"/>
        </w:rPr>
        <w:lastRenderedPageBreak/>
        <w:t>IMPUESTAS AL AGENTE ECONÓMICO PREPONDERANTE EN EL SECTOR DE TELECOMUNICACIONES MEDIANTE RESOLUCIÓN DE FECHA 6 DE MARZO DE 2014”</w:t>
      </w:r>
      <w:r>
        <w:rPr>
          <w:rFonts w:ascii="ITC Avant Garde" w:eastAsia="Avant Garde" w:hAnsi="ITC Avant Garde" w:cs="Avant Garde"/>
          <w:i/>
          <w:color w:val="000000"/>
          <w:lang w:eastAsia="es-MX"/>
        </w:rPr>
        <w:t xml:space="preserve"> </w:t>
      </w:r>
      <w:r w:rsidRPr="002E403D">
        <w:rPr>
          <w:rFonts w:ascii="ITC Avant Garde" w:eastAsia="Avant Garde" w:hAnsi="ITC Avant Garde" w:cs="Avant Garde"/>
          <w:color w:val="000000"/>
          <w:lang w:eastAsia="es-MX"/>
        </w:rPr>
        <w:t>(e</w:t>
      </w:r>
      <w:r w:rsidR="00007B1B">
        <w:rPr>
          <w:rFonts w:ascii="ITC Avant Garde" w:eastAsia="Avant Garde" w:hAnsi="ITC Avant Garde" w:cs="Avant Garde"/>
          <w:color w:val="000000"/>
          <w:lang w:eastAsia="es-MX"/>
        </w:rPr>
        <w:t>n lo sucesivo, la Resolución Bienal</w:t>
      </w:r>
      <w:r w:rsidRPr="002E403D">
        <w:rPr>
          <w:rFonts w:ascii="ITC Avant Garde" w:eastAsia="Avant Garde" w:hAnsi="ITC Avant Garde" w:cs="Avant Garde"/>
          <w:color w:val="000000"/>
          <w:lang w:eastAsia="es-MX"/>
        </w:rPr>
        <w:t>)</w:t>
      </w:r>
      <w:r w:rsidR="00E15044" w:rsidRPr="002E403D">
        <w:rPr>
          <w:rFonts w:ascii="ITC Avant Garde" w:eastAsia="Avant Garde" w:hAnsi="ITC Avant Garde" w:cs="Avant Garde"/>
          <w:color w:val="000000"/>
          <w:lang w:eastAsia="es-MX"/>
        </w:rPr>
        <w:t xml:space="preserve"> </w:t>
      </w:r>
      <w:r w:rsidR="009C3200" w:rsidRPr="002E403D">
        <w:rPr>
          <w:rFonts w:ascii="ITC Avant Garde" w:eastAsia="Avant Garde" w:hAnsi="ITC Avant Garde" w:cs="Avant Garde"/>
          <w:color w:val="000000"/>
          <w:lang w:eastAsia="es-MX"/>
        </w:rPr>
        <w:t>en</w:t>
      </w:r>
      <w:r w:rsidR="009C3200">
        <w:rPr>
          <w:rFonts w:ascii="ITC Avant Garde" w:eastAsia="Avant Garde" w:hAnsi="ITC Avant Garde" w:cs="Avant Garde"/>
          <w:color w:val="000000"/>
          <w:lang w:eastAsia="es-MX"/>
        </w:rPr>
        <w:t xml:space="preserve"> los siguientes términos:</w:t>
      </w:r>
    </w:p>
    <w:tbl>
      <w:tblPr>
        <w:tblW w:w="0" w:type="auto"/>
        <w:tblInd w:w="284" w:type="dxa"/>
        <w:tblLook w:val="04A0" w:firstRow="1" w:lastRow="0" w:firstColumn="1" w:lastColumn="0" w:noHBand="0" w:noVBand="1"/>
      </w:tblPr>
      <w:tblGrid>
        <w:gridCol w:w="2389"/>
        <w:gridCol w:w="5691"/>
      </w:tblGrid>
      <w:tr w:rsidR="00D874E8" w:rsidRPr="00136019" w14:paraId="373588B7" w14:textId="77777777" w:rsidTr="000B226B">
        <w:tc>
          <w:tcPr>
            <w:tcW w:w="2389" w:type="dxa"/>
            <w:shd w:val="clear" w:color="auto" w:fill="auto"/>
          </w:tcPr>
          <w:p w14:paraId="75B32B48" w14:textId="044BB493" w:rsidR="00D874E8" w:rsidRPr="00D874E8" w:rsidRDefault="0092442D" w:rsidP="000B226B">
            <w:pPr>
              <w:spacing w:after="0" w:line="276" w:lineRule="auto"/>
              <w:ind w:left="32" w:right="160" w:hanging="32"/>
              <w:rPr>
                <w:rFonts w:ascii="ITC Avant Garde" w:hAnsi="ITC Avant Garde"/>
                <w:i/>
                <w:sz w:val="18"/>
                <w:szCs w:val="18"/>
              </w:rPr>
            </w:pPr>
            <w:r>
              <w:rPr>
                <w:rFonts w:ascii="ITC Avant Garde" w:hAnsi="ITC Avant Garde"/>
                <w:i/>
                <w:sz w:val="18"/>
                <w:szCs w:val="18"/>
              </w:rPr>
              <w:t>“</w:t>
            </w:r>
            <w:r w:rsidR="00D874E8" w:rsidRPr="00D874E8">
              <w:rPr>
                <w:rFonts w:ascii="ITC Avant Garde" w:hAnsi="ITC Avant Garde"/>
                <w:i/>
                <w:sz w:val="18"/>
                <w:szCs w:val="18"/>
              </w:rPr>
              <w:t>Interconexión</w:t>
            </w:r>
          </w:p>
        </w:tc>
        <w:tc>
          <w:tcPr>
            <w:tcW w:w="5691" w:type="dxa"/>
            <w:shd w:val="clear" w:color="auto" w:fill="auto"/>
          </w:tcPr>
          <w:p w14:paraId="7590727F" w14:textId="1F706F89" w:rsidR="00D874E8" w:rsidRPr="00D874E8" w:rsidRDefault="00D874E8" w:rsidP="000B226B">
            <w:pPr>
              <w:spacing w:after="0" w:line="276" w:lineRule="auto"/>
              <w:ind w:left="55" w:right="83"/>
              <w:rPr>
                <w:rFonts w:ascii="ITC Avant Garde" w:hAnsi="ITC Avant Garde"/>
                <w:i/>
                <w:sz w:val="18"/>
                <w:szCs w:val="18"/>
              </w:rPr>
            </w:pPr>
            <w:r w:rsidRPr="00D874E8">
              <w:rPr>
                <w:rFonts w:ascii="ITC Avant Garde" w:hAnsi="ITC Avant Garde"/>
                <w:i/>
                <w:sz w:val="18"/>
                <w:szCs w:val="18"/>
              </w:rPr>
              <w:t xml:space="preserve">Conexión física </w:t>
            </w:r>
            <w:r w:rsidRPr="00D874E8">
              <w:rPr>
                <w:rFonts w:ascii="ITC Avant Garde" w:hAnsi="ITC Avant Garde"/>
                <w:i/>
                <w:sz w:val="18"/>
                <w:szCs w:val="18"/>
                <w:u w:val="single"/>
              </w:rPr>
              <w:t>o virtual</w:t>
            </w:r>
            <w:r w:rsidRPr="00D874E8">
              <w:rPr>
                <w:rFonts w:ascii="ITC Avant Garde" w:hAnsi="ITC Avant Garde"/>
                <w:i/>
                <w:sz w:val="18"/>
                <w:szCs w:val="18"/>
              </w:rPr>
              <w:t>,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0092442D">
              <w:rPr>
                <w:rFonts w:ascii="ITC Avant Garde" w:hAnsi="ITC Avant Garde"/>
                <w:i/>
                <w:sz w:val="18"/>
                <w:szCs w:val="18"/>
              </w:rPr>
              <w:t>”</w:t>
            </w:r>
          </w:p>
          <w:p w14:paraId="41857064" w14:textId="77777777" w:rsidR="00D874E8" w:rsidRPr="00D874E8" w:rsidRDefault="00D874E8" w:rsidP="000B226B">
            <w:pPr>
              <w:spacing w:after="0" w:line="276" w:lineRule="auto"/>
              <w:ind w:left="55" w:right="83"/>
              <w:rPr>
                <w:rFonts w:ascii="ITC Avant Garde" w:hAnsi="ITC Avant Garde"/>
                <w:i/>
                <w:sz w:val="18"/>
                <w:szCs w:val="18"/>
              </w:rPr>
            </w:pPr>
          </w:p>
        </w:tc>
      </w:tr>
      <w:tr w:rsidR="00D874E8" w:rsidRPr="00136019" w14:paraId="0E29A4F5" w14:textId="77777777" w:rsidTr="000B226B">
        <w:tc>
          <w:tcPr>
            <w:tcW w:w="2389" w:type="dxa"/>
            <w:shd w:val="clear" w:color="auto" w:fill="auto"/>
          </w:tcPr>
          <w:p w14:paraId="48C7995C" w14:textId="1C3205C3" w:rsidR="00D874E8" w:rsidRPr="00D874E8" w:rsidRDefault="0092442D" w:rsidP="000B226B">
            <w:pPr>
              <w:spacing w:after="0" w:line="276" w:lineRule="auto"/>
              <w:ind w:left="32" w:right="160" w:hanging="32"/>
              <w:rPr>
                <w:rFonts w:ascii="ITC Avant Garde" w:hAnsi="ITC Avant Garde"/>
                <w:i/>
                <w:sz w:val="18"/>
                <w:szCs w:val="18"/>
              </w:rPr>
            </w:pPr>
            <w:r>
              <w:rPr>
                <w:rFonts w:ascii="ITC Avant Garde" w:hAnsi="ITC Avant Garde"/>
                <w:i/>
                <w:sz w:val="18"/>
                <w:szCs w:val="18"/>
                <w:lang w:val="es-ES"/>
              </w:rPr>
              <w:t>“</w:t>
            </w:r>
            <w:r w:rsidR="000B226B">
              <w:rPr>
                <w:rFonts w:ascii="ITC Avant Garde" w:hAnsi="ITC Avant Garde"/>
                <w:i/>
                <w:sz w:val="18"/>
                <w:szCs w:val="18"/>
              </w:rPr>
              <w:t xml:space="preserve">Punto de </w:t>
            </w:r>
            <w:r w:rsidR="00D874E8" w:rsidRPr="00D874E8">
              <w:rPr>
                <w:rFonts w:ascii="ITC Avant Garde" w:hAnsi="ITC Avant Garde"/>
                <w:i/>
                <w:sz w:val="18"/>
                <w:szCs w:val="18"/>
              </w:rPr>
              <w:t>Interconexión</w:t>
            </w:r>
          </w:p>
        </w:tc>
        <w:tc>
          <w:tcPr>
            <w:tcW w:w="5691" w:type="dxa"/>
            <w:shd w:val="clear" w:color="auto" w:fill="auto"/>
          </w:tcPr>
          <w:p w14:paraId="2C532E72" w14:textId="346974BD" w:rsidR="00D874E8" w:rsidRPr="00D874E8" w:rsidRDefault="00D874E8" w:rsidP="000B226B">
            <w:pPr>
              <w:spacing w:after="0" w:line="276" w:lineRule="auto"/>
              <w:ind w:left="55" w:right="83"/>
              <w:rPr>
                <w:rFonts w:ascii="ITC Avant Garde" w:hAnsi="ITC Avant Garde"/>
                <w:i/>
                <w:sz w:val="18"/>
                <w:szCs w:val="18"/>
              </w:rPr>
            </w:pPr>
            <w:r w:rsidRPr="00D874E8">
              <w:rPr>
                <w:rFonts w:ascii="ITC Avant Garde" w:hAnsi="ITC Avant Garde"/>
                <w:i/>
                <w:sz w:val="18"/>
                <w:szCs w:val="18"/>
              </w:rPr>
              <w:t xml:space="preserve">Punto físico </w:t>
            </w:r>
            <w:r w:rsidRPr="0092442D">
              <w:rPr>
                <w:rFonts w:ascii="ITC Avant Garde" w:hAnsi="ITC Avant Garde"/>
                <w:i/>
                <w:sz w:val="18"/>
                <w:szCs w:val="18"/>
                <w:u w:val="single"/>
              </w:rPr>
              <w:t>o virtual</w:t>
            </w:r>
            <w:r w:rsidRPr="00D874E8">
              <w:rPr>
                <w:rFonts w:ascii="ITC Avant Garde" w:hAnsi="ITC Avant Garde"/>
                <w:i/>
                <w:sz w:val="18"/>
                <w:szCs w:val="18"/>
              </w:rPr>
              <w:t xml:space="preserve"> donde se establece la Interconexión entre Redes Públicas de Telecomunicaciones para el intercambio de tráfico de interconexión o de tráfico de servicios mayoristas.</w:t>
            </w:r>
            <w:r w:rsidR="0092442D">
              <w:rPr>
                <w:rFonts w:ascii="ITC Avant Garde" w:hAnsi="ITC Avant Garde"/>
                <w:i/>
                <w:sz w:val="18"/>
                <w:szCs w:val="18"/>
              </w:rPr>
              <w:t>”</w:t>
            </w:r>
          </w:p>
        </w:tc>
      </w:tr>
    </w:tbl>
    <w:p w14:paraId="643054C9" w14:textId="5941AA10" w:rsidR="00D874E8" w:rsidRDefault="00D874E8" w:rsidP="00421913">
      <w:pPr>
        <w:spacing w:line="276" w:lineRule="auto"/>
        <w:rPr>
          <w:rFonts w:ascii="ITC Avant Garde" w:eastAsia="Avant Garde" w:hAnsi="ITC Avant Garde" w:cs="Avant Garde"/>
          <w:color w:val="000000"/>
          <w:lang w:val="es-ES" w:eastAsia="es-MX"/>
        </w:rPr>
      </w:pPr>
    </w:p>
    <w:tbl>
      <w:tblPr>
        <w:tblW w:w="0" w:type="auto"/>
        <w:tblInd w:w="284" w:type="dxa"/>
        <w:tblLook w:val="04A0" w:firstRow="1" w:lastRow="0" w:firstColumn="1" w:lastColumn="0" w:noHBand="0" w:noVBand="1"/>
      </w:tblPr>
      <w:tblGrid>
        <w:gridCol w:w="2339"/>
        <w:gridCol w:w="5741"/>
      </w:tblGrid>
      <w:tr w:rsidR="00D874E8" w:rsidRPr="00136019" w14:paraId="50E1550B" w14:textId="77777777" w:rsidTr="000B226B">
        <w:tc>
          <w:tcPr>
            <w:tcW w:w="2339" w:type="dxa"/>
            <w:shd w:val="clear" w:color="auto" w:fill="auto"/>
          </w:tcPr>
          <w:p w14:paraId="461A9697" w14:textId="494C28EB" w:rsidR="00D874E8" w:rsidRPr="00D874E8" w:rsidRDefault="0092442D" w:rsidP="000B226B">
            <w:pPr>
              <w:spacing w:after="0" w:line="276" w:lineRule="auto"/>
              <w:ind w:left="32" w:right="160" w:hanging="32"/>
              <w:rPr>
                <w:rFonts w:ascii="ITC Avant Garde" w:hAnsi="ITC Avant Garde"/>
                <w:i/>
                <w:sz w:val="18"/>
                <w:szCs w:val="18"/>
              </w:rPr>
            </w:pPr>
            <w:r>
              <w:rPr>
                <w:rFonts w:ascii="ITC Avant Garde" w:hAnsi="ITC Avant Garde"/>
                <w:i/>
                <w:sz w:val="18"/>
                <w:szCs w:val="18"/>
                <w:lang w:val="es-ES"/>
              </w:rPr>
              <w:t>“</w:t>
            </w:r>
            <w:r w:rsidR="000B226B">
              <w:rPr>
                <w:rFonts w:ascii="ITC Avant Garde" w:hAnsi="ITC Avant Garde"/>
                <w:i/>
                <w:sz w:val="18"/>
                <w:szCs w:val="18"/>
              </w:rPr>
              <w:t xml:space="preserve">Servicios Auxiliares </w:t>
            </w:r>
            <w:r w:rsidR="00D874E8" w:rsidRPr="00D874E8">
              <w:rPr>
                <w:rFonts w:ascii="ITC Avant Garde" w:hAnsi="ITC Avant Garde"/>
                <w:i/>
                <w:sz w:val="18"/>
                <w:szCs w:val="18"/>
              </w:rPr>
              <w:t>Conexos</w:t>
            </w:r>
          </w:p>
        </w:tc>
        <w:tc>
          <w:tcPr>
            <w:tcW w:w="5741" w:type="dxa"/>
            <w:shd w:val="clear" w:color="auto" w:fill="auto"/>
          </w:tcPr>
          <w:p w14:paraId="050FF973" w14:textId="16BCCD1F" w:rsidR="00D874E8" w:rsidRPr="00D874E8" w:rsidRDefault="00D874E8" w:rsidP="000B226B">
            <w:pPr>
              <w:spacing w:after="0" w:line="276" w:lineRule="auto"/>
              <w:ind w:left="55" w:right="83"/>
              <w:rPr>
                <w:rFonts w:ascii="ITC Avant Garde" w:hAnsi="ITC Avant Garde"/>
                <w:i/>
                <w:sz w:val="18"/>
                <w:szCs w:val="18"/>
              </w:rPr>
            </w:pPr>
            <w:r w:rsidRPr="00D874E8">
              <w:rPr>
                <w:rFonts w:ascii="ITC Avant Garde" w:hAnsi="ITC Avant Garde"/>
                <w:i/>
                <w:sz w:val="18"/>
                <w:szCs w:val="18"/>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de Facturación y Cobranza, y los demás que se requieran para permitir a los Usuarios de un Concesionario comunicarse con los Usuarios de otro Concesionario y tener acceso a los servicios suministrados por este último o por algún otro </w:t>
            </w:r>
            <w:r w:rsidR="0092442D" w:rsidRPr="000B226B">
              <w:rPr>
                <w:rFonts w:ascii="ITC Avant Garde" w:hAnsi="ITC Avant Garde"/>
                <w:i/>
                <w:sz w:val="18"/>
                <w:szCs w:val="18"/>
              </w:rPr>
              <w:t>concesionario</w:t>
            </w:r>
            <w:r w:rsidR="0092442D">
              <w:rPr>
                <w:rFonts w:ascii="ITC Avant Garde" w:hAnsi="ITC Avant Garde"/>
                <w:i/>
                <w:sz w:val="18"/>
                <w:szCs w:val="18"/>
              </w:rPr>
              <w:t xml:space="preserve"> </w:t>
            </w:r>
            <w:r w:rsidRPr="000B226B">
              <w:rPr>
                <w:rFonts w:ascii="ITC Avant Garde" w:hAnsi="ITC Avant Garde"/>
                <w:i/>
                <w:strike/>
                <w:sz w:val="18"/>
                <w:szCs w:val="18"/>
              </w:rPr>
              <w:t>proveedor</w:t>
            </w:r>
            <w:r w:rsidRPr="000B226B">
              <w:rPr>
                <w:rFonts w:ascii="ITC Avant Garde" w:hAnsi="ITC Avant Garde"/>
                <w:i/>
                <w:sz w:val="18"/>
                <w:szCs w:val="18"/>
              </w:rPr>
              <w:t xml:space="preserve"> </w:t>
            </w:r>
            <w:r w:rsidRPr="00D874E8">
              <w:rPr>
                <w:rFonts w:ascii="ITC Avant Garde" w:hAnsi="ITC Avant Garde"/>
                <w:i/>
                <w:sz w:val="18"/>
                <w:szCs w:val="18"/>
              </w:rPr>
              <w:t>autorizado al efecto.</w:t>
            </w:r>
            <w:r w:rsidR="0092442D">
              <w:rPr>
                <w:rFonts w:ascii="ITC Avant Garde" w:hAnsi="ITC Avant Garde"/>
                <w:i/>
                <w:sz w:val="18"/>
                <w:szCs w:val="18"/>
              </w:rPr>
              <w:t>”</w:t>
            </w:r>
          </w:p>
        </w:tc>
      </w:tr>
    </w:tbl>
    <w:p w14:paraId="1EFD6FC9" w14:textId="77777777" w:rsidR="0092442D" w:rsidRDefault="0092442D" w:rsidP="0092442D">
      <w:pPr>
        <w:spacing w:after="0" w:line="276" w:lineRule="auto"/>
        <w:ind w:left="567" w:right="616" w:hanging="11"/>
        <w:jc w:val="right"/>
        <w:rPr>
          <w:rFonts w:ascii="ITC Avant Garde" w:hAnsi="ITC Avant Garde"/>
          <w:i/>
          <w:sz w:val="18"/>
          <w:szCs w:val="18"/>
        </w:rPr>
      </w:pPr>
    </w:p>
    <w:p w14:paraId="4725FFB4" w14:textId="5F3F6B1F" w:rsidR="00D874E8" w:rsidRPr="0092442D" w:rsidRDefault="0092442D" w:rsidP="0092442D">
      <w:pPr>
        <w:spacing w:after="0" w:line="276" w:lineRule="auto"/>
        <w:ind w:left="567" w:right="616" w:hanging="11"/>
        <w:jc w:val="right"/>
        <w:rPr>
          <w:rFonts w:ascii="ITC Avant Garde" w:hAnsi="ITC Avant Garde"/>
          <w:i/>
          <w:sz w:val="18"/>
          <w:szCs w:val="18"/>
        </w:rPr>
      </w:pPr>
      <w:r w:rsidRPr="0092442D">
        <w:rPr>
          <w:rFonts w:ascii="ITC Avant Garde" w:hAnsi="ITC Avant Garde"/>
          <w:i/>
          <w:sz w:val="18"/>
          <w:szCs w:val="18"/>
        </w:rPr>
        <w:t>(Énfasis añadido)</w:t>
      </w:r>
    </w:p>
    <w:p w14:paraId="15970DF7" w14:textId="05753118"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AT&amp;T</w:t>
      </w:r>
    </w:p>
    <w:p w14:paraId="5EFF8B41" w14:textId="7A228063" w:rsidR="00AE7499" w:rsidRPr="0053503B" w:rsidRDefault="00AE7499"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Señala que </w:t>
      </w:r>
      <w:r w:rsidR="005C300E" w:rsidRPr="0053503B">
        <w:rPr>
          <w:rFonts w:ascii="ITC Avant Garde" w:eastAsia="Avant Garde" w:hAnsi="ITC Avant Garde" w:cs="Avant Garde"/>
          <w:color w:val="000000"/>
          <w:lang w:eastAsia="es-MX"/>
        </w:rPr>
        <w:t>es una obligación del Agente Económico Preponderante (en lo sucesivo, el “AEP”</w:t>
      </w:r>
      <w:r w:rsidR="00291A08" w:rsidRPr="0053503B">
        <w:rPr>
          <w:rFonts w:ascii="ITC Avant Garde" w:eastAsia="Avant Garde" w:hAnsi="ITC Avant Garde" w:cs="Avant Garde"/>
          <w:color w:val="000000"/>
          <w:lang w:eastAsia="es-MX"/>
        </w:rPr>
        <w:t>) permitir</w:t>
      </w:r>
      <w:r w:rsidR="005C300E" w:rsidRPr="0053503B">
        <w:rPr>
          <w:rFonts w:ascii="ITC Avant Garde" w:eastAsia="Avant Garde" w:hAnsi="ITC Avant Garde" w:cs="Avant Garde"/>
          <w:color w:val="000000"/>
          <w:lang w:eastAsia="es-MX"/>
        </w:rPr>
        <w:t xml:space="preserve"> el “Uso Compartido de Infraestructura”</w:t>
      </w:r>
      <w:r w:rsidR="00291A08" w:rsidRPr="0053503B">
        <w:rPr>
          <w:rFonts w:ascii="ITC Avant Garde" w:eastAsia="Avant Garde" w:hAnsi="ITC Avant Garde" w:cs="Avant Garde"/>
          <w:color w:val="000000"/>
          <w:lang w:eastAsia="es-MX"/>
        </w:rPr>
        <w:t>, por lo cual Telcel no puede decidir a discreción si esto es “técnicamente factible”</w:t>
      </w:r>
      <w:r w:rsidR="00971CC6" w:rsidRPr="0053503B">
        <w:rPr>
          <w:rFonts w:ascii="ITC Avant Garde" w:eastAsia="Avant Garde" w:hAnsi="ITC Avant Garde" w:cs="Avant Garde"/>
          <w:color w:val="000000"/>
          <w:lang w:eastAsia="es-MX"/>
        </w:rPr>
        <w:t xml:space="preserve"> ya que vuelve inoperante la cláusula.</w:t>
      </w:r>
      <w:r w:rsidR="005C300E" w:rsidRPr="0053503B">
        <w:rPr>
          <w:rFonts w:ascii="ITC Avant Garde" w:eastAsia="Avant Garde" w:hAnsi="ITC Avant Garde" w:cs="Avant Garde"/>
          <w:color w:val="000000"/>
          <w:lang w:eastAsia="es-MX"/>
        </w:rPr>
        <w:t xml:space="preserve"> </w:t>
      </w:r>
    </w:p>
    <w:p w14:paraId="0C8E2FBE" w14:textId="41730A94" w:rsidR="00AE7499"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6EA2B340" w14:textId="48C13EC3" w:rsidR="00007B1B" w:rsidRPr="009C3200" w:rsidRDefault="00007B1B" w:rsidP="00007B1B">
      <w:pPr>
        <w:spacing w:before="240" w:after="0" w:line="276" w:lineRule="auto"/>
        <w:ind w:right="49"/>
        <w:rPr>
          <w:bCs/>
          <w:i/>
          <w:sz w:val="18"/>
          <w:szCs w:val="18"/>
        </w:rPr>
      </w:pPr>
      <w:r>
        <w:rPr>
          <w:rFonts w:ascii="ITC Avant Garde" w:hAnsi="ITC Avant Garde" w:cs="Arial"/>
          <w:lang w:eastAsia="es-MX"/>
        </w:rPr>
        <w:t xml:space="preserve">De acuerdo a lo establecido en el artículo 138 de la LFTR es obligación del AEP la celebración de acuerdos para compartición de sitios de coubicación y uso compartido de infraestructura. Conforme lo anterior se elimina la precisión realizada por Telcel en el sentido de que se realizará cuando esto sea </w:t>
      </w:r>
      <w:r>
        <w:rPr>
          <w:rFonts w:ascii="ITC Avant Garde" w:hAnsi="ITC Avant Garde" w:cs="Arial"/>
          <w:lang w:eastAsia="es-MX"/>
        </w:rPr>
        <w:lastRenderedPageBreak/>
        <w:t>“técnicamente factible” ya que dicha condición resulta ambigua al no establecer criterios claros sobre los aspectos que se considerarán para determinar dicha condición.</w:t>
      </w:r>
    </w:p>
    <w:p w14:paraId="4A7019DF" w14:textId="77777777" w:rsidR="00030226" w:rsidRPr="009C3200" w:rsidRDefault="00030226" w:rsidP="00030226">
      <w:pPr>
        <w:pStyle w:val="IFT1"/>
        <w:tabs>
          <w:tab w:val="left" w:pos="426"/>
        </w:tabs>
        <w:spacing w:after="0"/>
        <w:ind w:left="567" w:right="616"/>
        <w:rPr>
          <w:bCs/>
          <w:i/>
          <w:sz w:val="18"/>
          <w:szCs w:val="18"/>
          <w:highlight w:val="yellow"/>
        </w:rPr>
      </w:pPr>
    </w:p>
    <w:p w14:paraId="0B81AD35" w14:textId="53434CB7" w:rsidR="00962266" w:rsidRPr="00377423" w:rsidRDefault="00AE7499" w:rsidP="00421913">
      <w:pPr>
        <w:spacing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r w:rsidR="00377423" w:rsidRPr="00377423">
        <w:rPr>
          <w:rFonts w:ascii="ITC Avant Garde" w:eastAsia="Avant Garde" w:hAnsi="ITC Avant Garde" w:cs="Avant Garde"/>
          <w:b/>
          <w:color w:val="000000"/>
          <w:sz w:val="24"/>
          <w:szCs w:val="24"/>
          <w:u w:val="single"/>
          <w:lang w:eastAsia="es-MX"/>
        </w:rPr>
        <w:t>.</w:t>
      </w:r>
    </w:p>
    <w:p w14:paraId="58593D3E" w14:textId="2A1194AB"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 2.1 Objeto y Generalidades del Convenio</w:t>
      </w:r>
      <w:r w:rsidR="00962266">
        <w:rPr>
          <w:rFonts w:ascii="ITC Avant Garde" w:eastAsia="Avant Garde" w:hAnsi="ITC Avant Garde" w:cs="Avant Garde"/>
          <w:b/>
          <w:color w:val="000000"/>
          <w:lang w:eastAsia="es-MX"/>
        </w:rPr>
        <w:t>:</w:t>
      </w:r>
    </w:p>
    <w:p w14:paraId="728F6689"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TELEVISA</w:t>
      </w:r>
    </w:p>
    <w:p w14:paraId="025D8F02" w14:textId="07FB94E5" w:rsidR="00AE7499" w:rsidRPr="0053503B" w:rsidRDefault="00AE7499" w:rsidP="00421913">
      <w:pPr>
        <w:spacing w:line="276" w:lineRule="auto"/>
        <w:rPr>
          <w:rFonts w:ascii="ITC Avant Garde" w:hAnsi="ITC Avant Garde"/>
        </w:rPr>
      </w:pPr>
      <w:r w:rsidRPr="002244A8">
        <w:rPr>
          <w:rFonts w:ascii="ITC Avant Garde" w:hAnsi="ITC Avant Garde"/>
        </w:rPr>
        <w:t>Proponen</w:t>
      </w:r>
      <w:r w:rsidR="00CF5EA4" w:rsidRPr="002244A8">
        <w:rPr>
          <w:rFonts w:ascii="ITC Avant Garde" w:hAnsi="ITC Avant Garde"/>
        </w:rPr>
        <w:t xml:space="preserve"> eliminar </w:t>
      </w:r>
      <w:r w:rsidRPr="002244A8">
        <w:rPr>
          <w:rFonts w:ascii="ITC Avant Garde" w:hAnsi="ITC Avant Garde"/>
        </w:rPr>
        <w:t xml:space="preserve">el siguiente </w:t>
      </w:r>
      <w:r w:rsidR="00CF5EA4" w:rsidRPr="002244A8">
        <w:rPr>
          <w:rFonts w:ascii="ITC Avant Garde" w:hAnsi="ITC Avant Garde"/>
        </w:rPr>
        <w:t>párrafo</w:t>
      </w:r>
      <w:r w:rsidR="00EC31E4" w:rsidRPr="002244A8">
        <w:rPr>
          <w:rFonts w:ascii="ITC Avant Garde" w:hAnsi="ITC Avant Garde"/>
        </w:rPr>
        <w:t xml:space="preserve"> del numeral</w:t>
      </w:r>
      <w:r w:rsidRPr="002244A8">
        <w:rPr>
          <w:rFonts w:ascii="ITC Avant Garde" w:hAnsi="ITC Avant Garde"/>
        </w:rPr>
        <w:t xml:space="preserve"> 2.1</w:t>
      </w:r>
      <w:r w:rsidR="003533ED" w:rsidRPr="002244A8">
        <w:rPr>
          <w:rFonts w:ascii="ITC Avant Garde" w:hAnsi="ITC Avant Garde"/>
        </w:rPr>
        <w:t>,</w:t>
      </w:r>
      <w:r w:rsidR="00EC31E4" w:rsidRPr="002244A8">
        <w:rPr>
          <w:rFonts w:ascii="ITC Avant Garde" w:hAnsi="ITC Avant Garde"/>
        </w:rPr>
        <w:t xml:space="preserve"> ya que </w:t>
      </w:r>
      <w:r w:rsidR="00FB15AF" w:rsidRPr="002244A8">
        <w:rPr>
          <w:rFonts w:ascii="ITC Avant Garde" w:hAnsi="ITC Avant Garde"/>
        </w:rPr>
        <w:t xml:space="preserve">señalan que </w:t>
      </w:r>
      <w:r w:rsidR="00EC31E4" w:rsidRPr="002244A8">
        <w:rPr>
          <w:rFonts w:ascii="ITC Avant Garde" w:hAnsi="ITC Avant Garde"/>
        </w:rPr>
        <w:t>el mismo no permite a un Operador Móvil Virtual (en lo sucesivo “OMV”) que también preste servicios telefónicos fijos acceder a las condiciones de interconexión para servicios móviles establecidas en el CMI:</w:t>
      </w:r>
      <w:r w:rsidR="00EC31E4" w:rsidRPr="0053503B">
        <w:rPr>
          <w:rFonts w:ascii="ITC Avant Garde" w:hAnsi="ITC Avant Garde"/>
        </w:rPr>
        <w:t xml:space="preserve">  </w:t>
      </w:r>
    </w:p>
    <w:p w14:paraId="5A43EF4E" w14:textId="556344C2" w:rsidR="00AE7499" w:rsidRPr="00421913" w:rsidRDefault="00782C23" w:rsidP="00421913">
      <w:pPr>
        <w:spacing w:after="0" w:line="276" w:lineRule="auto"/>
        <w:ind w:left="567" w:right="616" w:hanging="11"/>
        <w:rPr>
          <w:rFonts w:ascii="ITC Avant Garde" w:hAnsi="ITC Avant Garde"/>
          <w:i/>
          <w:strike/>
          <w:sz w:val="18"/>
          <w:szCs w:val="18"/>
        </w:rPr>
      </w:pPr>
      <w:r>
        <w:rPr>
          <w:rFonts w:ascii="ITC Avant Garde" w:hAnsi="ITC Avant Garde"/>
          <w:i/>
          <w:strike/>
          <w:sz w:val="18"/>
          <w:szCs w:val="18"/>
        </w:rPr>
        <w:t>“</w:t>
      </w:r>
      <w:r w:rsidR="00AE7499" w:rsidRPr="00421913">
        <w:rPr>
          <w:rFonts w:ascii="ITC Avant Garde" w:hAnsi="ITC Avant Garde"/>
          <w:i/>
          <w:strike/>
          <w:sz w:val="18"/>
          <w:szCs w:val="18"/>
        </w:rPr>
        <w:t>Los Operadores Móviles Virtuales que sean titulares de una Concesión para la prestación del servicio local fijo podrán celebrar el presente Convenio con TELCEL para el intercambio de tráfico entre la red del Servicio Local Móvil de TELCEL y la red del Servicio Local Fijo de dicho Concesionario</w:t>
      </w:r>
      <w:r>
        <w:rPr>
          <w:rFonts w:ascii="ITC Avant Garde" w:hAnsi="ITC Avant Garde"/>
          <w:i/>
          <w:strike/>
          <w:sz w:val="18"/>
          <w:szCs w:val="18"/>
        </w:rPr>
        <w:t>”</w:t>
      </w:r>
    </w:p>
    <w:p w14:paraId="7B406A49" w14:textId="77777777" w:rsidR="00AE7499" w:rsidRPr="0053503B" w:rsidRDefault="00AE7499" w:rsidP="00421913">
      <w:pPr>
        <w:spacing w:after="0" w:line="276" w:lineRule="auto"/>
        <w:ind w:right="616"/>
        <w:rPr>
          <w:rFonts w:ascii="ITC Avant Garde" w:hAnsi="ITC Avant Garde"/>
          <w:strike/>
          <w:sz w:val="20"/>
          <w:szCs w:val="20"/>
        </w:rPr>
      </w:pPr>
    </w:p>
    <w:p w14:paraId="6B4FC95E" w14:textId="5F52BCE4"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AXTEL</w:t>
      </w:r>
    </w:p>
    <w:p w14:paraId="6EED0578" w14:textId="7536F16D" w:rsidR="00AE7499" w:rsidRPr="0053503B" w:rsidRDefault="00011FF8"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Señala que conforme a </w:t>
      </w:r>
      <w:r w:rsidRPr="00695BC6">
        <w:rPr>
          <w:rFonts w:ascii="ITC Avant Garde" w:eastAsia="Avant Garde" w:hAnsi="ITC Avant Garde" w:cs="Avant Garde"/>
          <w:color w:val="000000"/>
          <w:lang w:eastAsia="es-MX"/>
        </w:rPr>
        <w:t xml:space="preserve">los Lineamientos de </w:t>
      </w:r>
      <w:r w:rsidR="00787A6B" w:rsidRPr="00695BC6">
        <w:rPr>
          <w:rFonts w:ascii="ITC Avant Garde" w:eastAsia="Avant Garde" w:hAnsi="ITC Avant Garde" w:cs="Avant Garde"/>
          <w:color w:val="000000"/>
          <w:lang w:eastAsia="es-MX"/>
        </w:rPr>
        <w:t>OMV,</w:t>
      </w:r>
      <w:r w:rsidR="00787A6B">
        <w:rPr>
          <w:rFonts w:ascii="ITC Avant Garde" w:eastAsia="Avant Garde" w:hAnsi="ITC Avant Garde" w:cs="Avant Garde"/>
          <w:color w:val="000000"/>
          <w:lang w:eastAsia="es-MX"/>
        </w:rPr>
        <w:t xml:space="preserve"> los Operadores Móviles Virtuales</w:t>
      </w:r>
      <w:r w:rsidR="00C041E4" w:rsidRPr="0053503B">
        <w:rPr>
          <w:rFonts w:ascii="ITC Avant Garde" w:eastAsia="Avant Garde" w:hAnsi="ITC Avant Garde" w:cs="Avant Garde"/>
          <w:color w:val="000000"/>
          <w:lang w:eastAsia="es-MX"/>
        </w:rPr>
        <w:t xml:space="preserve"> que sean concesionarios tienen derecho a celebrar sus propios acuerdos de interconexión</w:t>
      </w:r>
      <w:r w:rsidR="004D25BC" w:rsidRPr="0053503B">
        <w:rPr>
          <w:rFonts w:ascii="ITC Avant Garde" w:eastAsia="Avant Garde" w:hAnsi="ITC Avant Garde" w:cs="Avant Garde"/>
          <w:color w:val="000000"/>
          <w:lang w:eastAsia="es-MX"/>
        </w:rPr>
        <w:t>,</w:t>
      </w:r>
      <w:r w:rsidR="00C041E4" w:rsidRPr="0053503B">
        <w:rPr>
          <w:rFonts w:ascii="ITC Avant Garde" w:eastAsia="Avant Garde" w:hAnsi="ITC Avant Garde" w:cs="Avant Garde"/>
          <w:color w:val="000000"/>
          <w:lang w:eastAsia="es-MX"/>
        </w:rPr>
        <w:t xml:space="preserve"> por </w:t>
      </w:r>
      <w:r w:rsidR="004D25BC" w:rsidRPr="0053503B">
        <w:rPr>
          <w:rFonts w:ascii="ITC Avant Garde" w:eastAsia="Avant Garde" w:hAnsi="ITC Avant Garde" w:cs="Avant Garde"/>
          <w:color w:val="000000"/>
          <w:lang w:eastAsia="es-MX"/>
        </w:rPr>
        <w:t>lo cual solicita</w:t>
      </w:r>
      <w:r w:rsidR="00C041E4" w:rsidRPr="0053503B">
        <w:rPr>
          <w:rFonts w:ascii="ITC Avant Garde" w:eastAsia="Avant Garde" w:hAnsi="ITC Avant Garde" w:cs="Avant Garde"/>
          <w:color w:val="000000"/>
          <w:lang w:eastAsia="es-MX"/>
        </w:rPr>
        <w:t xml:space="preserve"> la </w:t>
      </w:r>
      <w:r w:rsidR="004D25BC" w:rsidRPr="0053503B">
        <w:rPr>
          <w:rFonts w:ascii="ITC Avant Garde" w:eastAsia="Avant Garde" w:hAnsi="ITC Avant Garde" w:cs="Avant Garde"/>
          <w:color w:val="000000"/>
          <w:lang w:eastAsia="es-MX"/>
        </w:rPr>
        <w:t>siguiente m</w:t>
      </w:r>
      <w:r w:rsidR="00B01AC7" w:rsidRPr="0053503B">
        <w:rPr>
          <w:rFonts w:ascii="ITC Avant Garde" w:eastAsia="Avant Garde" w:hAnsi="ITC Avant Garde" w:cs="Avant Garde"/>
          <w:color w:val="000000"/>
          <w:lang w:eastAsia="es-MX"/>
        </w:rPr>
        <w:t>odificación para evitar que</w:t>
      </w:r>
      <w:r w:rsidR="004D25BC" w:rsidRPr="0053503B">
        <w:rPr>
          <w:rFonts w:ascii="ITC Avant Garde" w:eastAsia="Avant Garde" w:hAnsi="ITC Avant Garde" w:cs="Avant Garde"/>
          <w:color w:val="000000"/>
          <w:lang w:eastAsia="es-MX"/>
        </w:rPr>
        <w:t xml:space="preserve"> sea limitado o negado</w:t>
      </w:r>
      <w:r w:rsidR="00B01AC7" w:rsidRPr="0053503B">
        <w:rPr>
          <w:rFonts w:ascii="ITC Avant Garde" w:eastAsia="Avant Garde" w:hAnsi="ITC Avant Garde" w:cs="Avant Garde"/>
          <w:color w:val="000000"/>
          <w:lang w:eastAsia="es-MX"/>
        </w:rPr>
        <w:t xml:space="preserve"> este derecho</w:t>
      </w:r>
      <w:r w:rsidR="004D25BC" w:rsidRPr="0053503B">
        <w:rPr>
          <w:rFonts w:ascii="ITC Avant Garde" w:eastAsia="Avant Garde" w:hAnsi="ITC Avant Garde" w:cs="Avant Garde"/>
          <w:color w:val="000000"/>
          <w:lang w:eastAsia="es-MX"/>
        </w:rPr>
        <w:t>:</w:t>
      </w:r>
    </w:p>
    <w:p w14:paraId="15F7C335" w14:textId="30A26FE1" w:rsidR="00AE7499" w:rsidRDefault="00AE7499"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“Los Operadores Móviles Virtuales que sean titulares de una Concesión que ampare la prestación del servicio local </w:t>
      </w:r>
      <w:r w:rsidRPr="00787A6B">
        <w:rPr>
          <w:rFonts w:ascii="ITC Avant Garde" w:hAnsi="ITC Avant Garde"/>
          <w:i/>
          <w:sz w:val="18"/>
          <w:szCs w:val="18"/>
          <w:u w:val="single"/>
        </w:rPr>
        <w:t>móvil</w:t>
      </w:r>
      <w:r w:rsidRPr="00782C23">
        <w:rPr>
          <w:rFonts w:ascii="ITC Avant Garde" w:hAnsi="ITC Avant Garde"/>
          <w:i/>
          <w:sz w:val="18"/>
          <w:szCs w:val="18"/>
        </w:rPr>
        <w:t xml:space="preserve">, podrán celebrar el presente Convenio con TELCEL para el intercambio de tráfico </w:t>
      </w:r>
      <w:r w:rsidRPr="00787A6B">
        <w:rPr>
          <w:rFonts w:ascii="ITC Avant Garde" w:hAnsi="ITC Avant Garde"/>
          <w:i/>
          <w:sz w:val="18"/>
          <w:szCs w:val="18"/>
          <w:u w:val="single"/>
        </w:rPr>
        <w:t xml:space="preserve">móvil </w:t>
      </w:r>
      <w:r w:rsidRPr="00782C23">
        <w:rPr>
          <w:rFonts w:ascii="ITC Avant Garde" w:hAnsi="ITC Avant Garde"/>
          <w:i/>
          <w:sz w:val="18"/>
          <w:szCs w:val="18"/>
        </w:rPr>
        <w:t xml:space="preserve">entre la red del Servicio Local Móvil de TELCEL y la </w:t>
      </w:r>
      <w:r w:rsidRPr="00787A6B">
        <w:rPr>
          <w:rFonts w:ascii="ITC Avant Garde" w:hAnsi="ITC Avant Garde"/>
          <w:i/>
          <w:sz w:val="18"/>
          <w:szCs w:val="18"/>
          <w:u w:val="single"/>
        </w:rPr>
        <w:t>red pública de telecomunicaciones</w:t>
      </w:r>
      <w:r w:rsidRPr="00782C23">
        <w:rPr>
          <w:rFonts w:ascii="ITC Avant Garde" w:hAnsi="ITC Avant Garde"/>
          <w:i/>
          <w:sz w:val="18"/>
          <w:szCs w:val="18"/>
        </w:rPr>
        <w:t xml:space="preserve"> de dicho Concesionario </w:t>
      </w:r>
      <w:r w:rsidRPr="00787A6B">
        <w:rPr>
          <w:rFonts w:ascii="ITC Avant Garde" w:hAnsi="ITC Avant Garde"/>
          <w:i/>
          <w:sz w:val="18"/>
          <w:szCs w:val="18"/>
          <w:u w:val="single"/>
        </w:rPr>
        <w:t>en su carácter de Operador Móvil Virtual Completo</w:t>
      </w:r>
      <w:r w:rsidRPr="00782C23">
        <w:rPr>
          <w:rFonts w:ascii="ITC Avant Garde" w:hAnsi="ITC Avant Garde"/>
          <w:i/>
          <w:sz w:val="18"/>
          <w:szCs w:val="18"/>
        </w:rPr>
        <w:t xml:space="preserve">.” </w:t>
      </w:r>
    </w:p>
    <w:p w14:paraId="62AAD8A9" w14:textId="691C95E1" w:rsidR="00787A6B" w:rsidRPr="00782C23" w:rsidRDefault="00787A6B" w:rsidP="00787A6B">
      <w:pPr>
        <w:spacing w:after="0" w:line="276" w:lineRule="auto"/>
        <w:ind w:left="567" w:right="616" w:hanging="11"/>
        <w:jc w:val="right"/>
        <w:rPr>
          <w:rFonts w:ascii="ITC Avant Garde" w:hAnsi="ITC Avant Garde"/>
          <w:i/>
          <w:sz w:val="18"/>
          <w:szCs w:val="18"/>
        </w:rPr>
      </w:pPr>
      <w:r>
        <w:rPr>
          <w:rFonts w:ascii="ITC Avant Garde" w:hAnsi="ITC Avant Garde"/>
          <w:i/>
          <w:sz w:val="18"/>
          <w:szCs w:val="18"/>
        </w:rPr>
        <w:t>(Énfasis añadido)</w:t>
      </w:r>
    </w:p>
    <w:p w14:paraId="5D089069" w14:textId="77777777" w:rsidR="00AE7499" w:rsidRPr="0053503B" w:rsidRDefault="00AE7499" w:rsidP="00421913">
      <w:pPr>
        <w:spacing w:after="0" w:line="276" w:lineRule="auto"/>
        <w:ind w:left="567" w:right="616" w:hanging="11"/>
        <w:rPr>
          <w:rFonts w:ascii="ITC Avant Garde" w:hAnsi="ITC Avant Garde"/>
        </w:rPr>
      </w:pPr>
    </w:p>
    <w:p w14:paraId="5E4FBB55" w14:textId="77777777" w:rsidR="003676A8" w:rsidRPr="0053503B" w:rsidRDefault="003676A8" w:rsidP="00421913">
      <w:pPr>
        <w:spacing w:line="276" w:lineRule="auto"/>
        <w:rPr>
          <w:rFonts w:ascii="ITC Avant Garde" w:hAnsi="ITC Avant Garde"/>
          <w:b/>
        </w:rPr>
      </w:pPr>
      <w:r w:rsidRPr="0053503B">
        <w:rPr>
          <w:rFonts w:ascii="ITC Avant Garde" w:hAnsi="ITC Avant Garde"/>
          <w:b/>
        </w:rPr>
        <w:t xml:space="preserve">Consideraciones del Instituto </w:t>
      </w:r>
    </w:p>
    <w:p w14:paraId="33D299E0" w14:textId="6DE5E9E1" w:rsidR="003676A8" w:rsidRPr="0053503B" w:rsidRDefault="00DF63FC"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003676A8" w:rsidRPr="0053503B">
        <w:rPr>
          <w:rFonts w:ascii="ITC Avant Garde" w:eastAsia="Avant Garde" w:hAnsi="ITC Avant Garde" w:cs="Avant Garde"/>
          <w:color w:val="000000"/>
          <w:lang w:eastAsia="es-MX"/>
        </w:rPr>
        <w:t>e conformidad con los Lineamientos de OMV</w:t>
      </w:r>
      <w:r w:rsidR="00695BC6">
        <w:rPr>
          <w:rFonts w:ascii="ITC Avant Garde" w:eastAsia="Avant Garde" w:hAnsi="ITC Avant Garde" w:cs="Avant Garde"/>
          <w:color w:val="000000"/>
          <w:lang w:eastAsia="es-MX"/>
        </w:rPr>
        <w:t>,</w:t>
      </w:r>
      <w:r w:rsidR="003676A8" w:rsidRPr="0053503B">
        <w:rPr>
          <w:rFonts w:ascii="ITC Avant Garde" w:eastAsia="Avant Garde" w:hAnsi="ITC Avant Garde" w:cs="Avant Garde"/>
          <w:color w:val="000000"/>
          <w:lang w:eastAsia="es-MX"/>
        </w:rPr>
        <w:t xml:space="preserve"> cualquier concesionario que opere una red pública de telecomunicaciones podrá celebrar sus pro</w:t>
      </w:r>
      <w:r>
        <w:rPr>
          <w:rFonts w:ascii="ITC Avant Garde" w:eastAsia="Avant Garde" w:hAnsi="ITC Avant Garde" w:cs="Avant Garde"/>
          <w:color w:val="000000"/>
          <w:lang w:eastAsia="es-MX"/>
        </w:rPr>
        <w:t xml:space="preserve">pios convenios de interconexión, en este sentido, la precisión realizada por Telcel no </w:t>
      </w:r>
      <w:r w:rsidR="00D851E6">
        <w:rPr>
          <w:rFonts w:ascii="ITC Avant Garde" w:eastAsia="Avant Garde" w:hAnsi="ITC Avant Garde" w:cs="Avant Garde"/>
          <w:color w:val="000000"/>
          <w:lang w:eastAsia="es-MX"/>
        </w:rPr>
        <w:t>tiene</w:t>
      </w:r>
      <w:r>
        <w:rPr>
          <w:rFonts w:ascii="ITC Avant Garde" w:eastAsia="Avant Garde" w:hAnsi="ITC Avant Garde" w:cs="Avant Garde"/>
          <w:color w:val="000000"/>
          <w:lang w:eastAsia="es-MX"/>
        </w:rPr>
        <w:t xml:space="preserve"> </w:t>
      </w:r>
      <w:r w:rsidR="00DB5AB6">
        <w:rPr>
          <w:rFonts w:ascii="ITC Avant Garde" w:eastAsia="Avant Garde" w:hAnsi="ITC Avant Garde" w:cs="Avant Garde"/>
          <w:color w:val="000000"/>
          <w:lang w:eastAsia="es-MX"/>
        </w:rPr>
        <w:t xml:space="preserve">sustento </w:t>
      </w:r>
      <w:r>
        <w:rPr>
          <w:rFonts w:ascii="ITC Avant Garde" w:eastAsia="Avant Garde" w:hAnsi="ITC Avant Garde" w:cs="Avant Garde"/>
          <w:color w:val="000000"/>
          <w:lang w:eastAsia="es-MX"/>
        </w:rPr>
        <w:t>por lo que se eliminó dicha precisión.</w:t>
      </w:r>
    </w:p>
    <w:p w14:paraId="0C160941" w14:textId="3A201BEC" w:rsidR="00AE7499" w:rsidRPr="0053503B" w:rsidRDefault="00BD3F2A"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2.1</w:t>
      </w:r>
      <w:r w:rsidR="00377423">
        <w:rPr>
          <w:rFonts w:ascii="ITC Avant Garde" w:eastAsia="Avant Garde" w:hAnsi="ITC Avant Garde" w:cs="Avant Garde"/>
          <w:b/>
          <w:color w:val="000000"/>
          <w:lang w:eastAsia="es-MX"/>
        </w:rPr>
        <w:t xml:space="preserve"> Lista de Anexos.</w:t>
      </w:r>
    </w:p>
    <w:p w14:paraId="446DB9B0"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p>
    <w:p w14:paraId="6BCEA52C" w14:textId="358A425A" w:rsidR="0030107D" w:rsidRPr="003C0740" w:rsidRDefault="0030107D" w:rsidP="00421913">
      <w:pPr>
        <w:spacing w:line="276" w:lineRule="auto"/>
        <w:rPr>
          <w:rFonts w:ascii="ITC Avant Garde" w:eastAsia="Avant Garde" w:hAnsi="ITC Avant Garde" w:cs="Avant Garde"/>
          <w:color w:val="000000"/>
          <w:lang w:eastAsia="es-MX"/>
        </w:rPr>
      </w:pPr>
      <w:r w:rsidRPr="003C0740">
        <w:rPr>
          <w:rFonts w:ascii="ITC Avant Garde" w:eastAsia="Avant Garde" w:hAnsi="ITC Avant Garde" w:cs="Avant Garde"/>
          <w:color w:val="000000"/>
          <w:lang w:eastAsia="es-MX"/>
        </w:rPr>
        <w:lastRenderedPageBreak/>
        <w:t xml:space="preserve">Señalan que el cambio del título del </w:t>
      </w:r>
      <w:r w:rsidR="00007436" w:rsidRPr="003C0740">
        <w:rPr>
          <w:rFonts w:ascii="ITC Avant Garde" w:eastAsia="Avant Garde" w:hAnsi="ITC Avant Garde" w:cs="Avant Garde"/>
          <w:color w:val="000000"/>
          <w:lang w:eastAsia="es-MX"/>
        </w:rPr>
        <w:t>“</w:t>
      </w:r>
      <w:r w:rsidRPr="003C0740">
        <w:rPr>
          <w:rFonts w:ascii="ITC Avant Garde" w:eastAsia="Avant Garde" w:hAnsi="ITC Avant Garde" w:cs="Avant Garde"/>
          <w:color w:val="000000"/>
          <w:lang w:eastAsia="es-MX"/>
        </w:rPr>
        <w:t>Anexo G</w:t>
      </w:r>
      <w:r w:rsidR="00007436" w:rsidRPr="003C0740">
        <w:rPr>
          <w:rFonts w:ascii="ITC Avant Garde" w:eastAsia="Avant Garde" w:hAnsi="ITC Avant Garde" w:cs="Avant Garde"/>
          <w:color w:val="000000"/>
          <w:lang w:eastAsia="es-MX"/>
        </w:rPr>
        <w:t>”</w:t>
      </w:r>
      <w:r w:rsidRPr="003C0740">
        <w:rPr>
          <w:rFonts w:ascii="ITC Avant Garde" w:eastAsia="Avant Garde" w:hAnsi="ITC Avant Garde" w:cs="Avant Garde"/>
          <w:color w:val="000000"/>
          <w:lang w:eastAsia="es-MX"/>
        </w:rPr>
        <w:t xml:space="preserve"> </w:t>
      </w:r>
      <w:r w:rsidR="001F269F" w:rsidRPr="003C0740">
        <w:rPr>
          <w:rFonts w:ascii="ITC Avant Garde" w:eastAsia="Avant Garde" w:hAnsi="ITC Avant Garde" w:cs="Avant Garde"/>
          <w:color w:val="000000"/>
          <w:lang w:eastAsia="es-MX"/>
        </w:rPr>
        <w:t>implica que el Contrato SIEMC no fo</w:t>
      </w:r>
      <w:r w:rsidR="009D590E" w:rsidRPr="003C0740">
        <w:rPr>
          <w:rFonts w:ascii="ITC Avant Garde" w:eastAsia="Avant Garde" w:hAnsi="ITC Avant Garde" w:cs="Avant Garde"/>
          <w:color w:val="000000"/>
          <w:lang w:eastAsia="es-MX"/>
        </w:rPr>
        <w:t>rme parte del CMI, además de</w:t>
      </w:r>
      <w:r w:rsidR="001F269F" w:rsidRPr="003C0740">
        <w:rPr>
          <w:rFonts w:ascii="ITC Avant Garde" w:eastAsia="Avant Garde" w:hAnsi="ITC Avant Garde" w:cs="Avant Garde"/>
          <w:color w:val="000000"/>
          <w:lang w:eastAsia="es-MX"/>
        </w:rPr>
        <w:t xml:space="preserve"> reserva</w:t>
      </w:r>
      <w:r w:rsidR="009D590E" w:rsidRPr="003C0740">
        <w:rPr>
          <w:rFonts w:ascii="ITC Avant Garde" w:eastAsia="Avant Garde" w:hAnsi="ITC Avant Garde" w:cs="Avant Garde"/>
          <w:color w:val="000000"/>
          <w:lang w:eastAsia="es-MX"/>
        </w:rPr>
        <w:t>r</w:t>
      </w:r>
      <w:r w:rsidR="001F269F" w:rsidRPr="003C0740">
        <w:rPr>
          <w:rFonts w:ascii="ITC Avant Garde" w:eastAsia="Avant Garde" w:hAnsi="ITC Avant Garde" w:cs="Avant Garde"/>
          <w:color w:val="000000"/>
          <w:lang w:eastAsia="es-MX"/>
        </w:rPr>
        <w:t xml:space="preserve"> a Telcel </w:t>
      </w:r>
      <w:r w:rsidR="00007436" w:rsidRPr="003C0740">
        <w:rPr>
          <w:rFonts w:ascii="ITC Avant Garde" w:eastAsia="Avant Garde" w:hAnsi="ITC Avant Garde" w:cs="Avant Garde"/>
          <w:color w:val="000000"/>
          <w:lang w:eastAsia="es-MX"/>
        </w:rPr>
        <w:t>la exclusividad para la prestación de servicios de valor agregado que impliquen el envío de mensajes cortos desde aplicaciones a sus usuarios. Derivado de lo anterior, solicitan la siguiente modificación:</w:t>
      </w:r>
    </w:p>
    <w:p w14:paraId="0AC45AB0" w14:textId="367C3204" w:rsidR="00AE7499" w:rsidRPr="00782C23" w:rsidRDefault="00007436" w:rsidP="00421913">
      <w:pPr>
        <w:spacing w:after="0" w:line="276" w:lineRule="auto"/>
        <w:ind w:left="567" w:right="616" w:hanging="11"/>
        <w:rPr>
          <w:rFonts w:ascii="ITC Avant Garde" w:hAnsi="ITC Avant Garde"/>
          <w:i/>
          <w:sz w:val="18"/>
          <w:szCs w:val="18"/>
        </w:rPr>
      </w:pPr>
      <w:r w:rsidRPr="003C0740">
        <w:rPr>
          <w:rFonts w:ascii="ITC Avant Garde" w:hAnsi="ITC Avant Garde"/>
          <w:i/>
          <w:sz w:val="18"/>
          <w:szCs w:val="18"/>
        </w:rPr>
        <w:t xml:space="preserve"> </w:t>
      </w:r>
      <w:r w:rsidR="00AE7499" w:rsidRPr="003C0740">
        <w:rPr>
          <w:rFonts w:ascii="ITC Avant Garde" w:hAnsi="ITC Avant Garde"/>
          <w:i/>
          <w:sz w:val="18"/>
          <w:szCs w:val="18"/>
        </w:rPr>
        <w:t>“G” Contrato para el Servicio de Intercambio Electrónico de Mensajes Cortos (SIEMC)</w:t>
      </w:r>
    </w:p>
    <w:p w14:paraId="29D7CBC9" w14:textId="77777777" w:rsidR="00AE7499" w:rsidRPr="0053503B" w:rsidRDefault="00AE7499" w:rsidP="00421913">
      <w:pPr>
        <w:spacing w:after="0" w:line="276" w:lineRule="auto"/>
        <w:ind w:left="567" w:right="616" w:hanging="11"/>
        <w:rPr>
          <w:rFonts w:ascii="ITC Avant Garde" w:eastAsia="Avant Garde" w:hAnsi="ITC Avant Garde" w:cs="Avant Garde"/>
          <w:b/>
          <w:color w:val="000000"/>
          <w:lang w:eastAsia="es-MX"/>
        </w:rPr>
      </w:pPr>
    </w:p>
    <w:p w14:paraId="56B19A30"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1C3CB29C" w14:textId="563C6AC5" w:rsidR="0012361B" w:rsidRDefault="0012361B" w:rsidP="00421913">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Se modifica </w:t>
      </w:r>
      <w:r w:rsidR="003F5286" w:rsidRPr="0053503B">
        <w:rPr>
          <w:rFonts w:ascii="ITC Avant Garde" w:eastAsia="Avant Garde" w:hAnsi="ITC Avant Garde" w:cs="Avant Garde"/>
          <w:color w:val="000000"/>
          <w:lang w:eastAsia="es-MX"/>
        </w:rPr>
        <w:t xml:space="preserve">el título del Anexo G y </w:t>
      </w:r>
      <w:r w:rsidRPr="0053503B">
        <w:rPr>
          <w:rFonts w:ascii="ITC Avant Garde" w:eastAsia="Avant Garde" w:hAnsi="ITC Avant Garde" w:cs="Avant Garde"/>
          <w:color w:val="000000"/>
          <w:lang w:eastAsia="es-MX"/>
        </w:rPr>
        <w:t xml:space="preserve">la Propuesta de CMI en su conjunto </w:t>
      </w:r>
      <w:r w:rsidR="00D851E6">
        <w:rPr>
          <w:rFonts w:ascii="ITC Avant Garde" w:eastAsia="Avant Garde" w:hAnsi="ITC Avant Garde" w:cs="Avant Garde"/>
          <w:color w:val="000000"/>
          <w:lang w:eastAsia="es-MX"/>
        </w:rPr>
        <w:t xml:space="preserve">eliminando  la precisión respecto a que </w:t>
      </w:r>
      <w:r w:rsidRPr="0053503B">
        <w:rPr>
          <w:rFonts w:ascii="ITC Avant Garde" w:eastAsia="Avant Garde" w:hAnsi="ITC Avant Garde" w:cs="Avant Garde"/>
          <w:color w:val="000000"/>
          <w:lang w:eastAsia="es-MX"/>
        </w:rPr>
        <w:t>el servicio de mensajes cortos se prestará exclusivamente entre personas y entre terminales móviles</w:t>
      </w:r>
      <w:r w:rsidR="00D851E6">
        <w:rPr>
          <w:rFonts w:ascii="ITC Avant Garde" w:eastAsia="Avant Garde" w:hAnsi="ITC Avant Garde" w:cs="Avant Garde"/>
          <w:color w:val="000000"/>
          <w:lang w:eastAsia="es-MX"/>
        </w:rPr>
        <w:t xml:space="preserve"> ya que dicha precisión no se encuentra considerada en</w:t>
      </w:r>
      <w:r w:rsidRPr="0053503B">
        <w:rPr>
          <w:rFonts w:ascii="ITC Avant Garde" w:eastAsia="Avant Garde" w:hAnsi="ITC Avant Garde" w:cs="Avant Garde"/>
          <w:color w:val="000000"/>
          <w:lang w:eastAsia="es-MX"/>
        </w:rPr>
        <w:t xml:space="preserve"> la Ley Federal de Telecomunicaciones y Radiodifusión (en los sucesivo, la “LFTR”). Asimismo, se elimina cualquier criterio que no otorgue certeza sobre la prestación de este servicio.</w:t>
      </w:r>
      <w:r w:rsidR="00AE65A0">
        <w:rPr>
          <w:rFonts w:ascii="ITC Avant Garde" w:eastAsia="Avant Garde" w:hAnsi="ITC Avant Garde" w:cs="Avant Garde"/>
          <w:color w:val="000000"/>
          <w:lang w:eastAsia="es-MX"/>
        </w:rPr>
        <w:t xml:space="preserve"> Por lo anterior, se modifica el numeral 2.2 en los siguientes términos:</w:t>
      </w:r>
    </w:p>
    <w:p w14:paraId="3A44569E" w14:textId="6ABBBF51" w:rsidR="00AE65A0" w:rsidRDefault="00AE65A0" w:rsidP="00421913">
      <w:pPr>
        <w:spacing w:after="0" w:line="276" w:lineRule="auto"/>
        <w:ind w:left="-5"/>
        <w:rPr>
          <w:rFonts w:ascii="ITC Avant Garde" w:eastAsia="Avant Garde" w:hAnsi="ITC Avant Garde" w:cs="Avant Garde"/>
          <w:color w:val="000000"/>
          <w:lang w:eastAsia="es-MX"/>
        </w:rPr>
      </w:pPr>
    </w:p>
    <w:p w14:paraId="3FA7710D" w14:textId="501482B4" w:rsidR="00AE65A0" w:rsidRDefault="00BD6B27" w:rsidP="00AE65A0">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00AE65A0" w:rsidRPr="00AE65A0">
        <w:rPr>
          <w:rFonts w:ascii="ITC Avant Garde" w:hAnsi="ITC Avant Garde"/>
          <w:i/>
          <w:sz w:val="18"/>
          <w:szCs w:val="18"/>
        </w:rPr>
        <w:t>“G”</w:t>
      </w:r>
      <w:r w:rsidR="00AE65A0" w:rsidRPr="00AE65A0">
        <w:rPr>
          <w:rFonts w:ascii="ITC Avant Garde" w:hAnsi="ITC Avant Garde"/>
          <w:i/>
          <w:sz w:val="18"/>
          <w:szCs w:val="18"/>
        </w:rPr>
        <w:tab/>
      </w:r>
      <w:r w:rsidR="00AE65A0" w:rsidRPr="00AE65A0">
        <w:rPr>
          <w:rFonts w:ascii="ITC Avant Garde" w:hAnsi="ITC Avant Garde"/>
          <w:i/>
          <w:strike/>
          <w:sz w:val="18"/>
          <w:szCs w:val="18"/>
        </w:rPr>
        <w:t>Modelo del Contrato para el</w:t>
      </w:r>
      <w:r w:rsidR="00AE65A0" w:rsidRPr="00AE65A0">
        <w:rPr>
          <w:rFonts w:ascii="ITC Avant Garde" w:hAnsi="ITC Avant Garde"/>
          <w:i/>
          <w:sz w:val="18"/>
          <w:szCs w:val="18"/>
        </w:rPr>
        <w:t xml:space="preserve"> Servicio de Intercambio </w:t>
      </w:r>
      <w:r w:rsidR="00AE65A0" w:rsidRPr="00AE65A0">
        <w:rPr>
          <w:rFonts w:ascii="ITC Avant Garde" w:hAnsi="ITC Avant Garde"/>
          <w:i/>
          <w:strike/>
          <w:sz w:val="18"/>
          <w:szCs w:val="18"/>
        </w:rPr>
        <w:t>Electrónico</w:t>
      </w:r>
      <w:r w:rsidR="00AE65A0" w:rsidRPr="00AE65A0">
        <w:rPr>
          <w:rFonts w:ascii="ITC Avant Garde" w:hAnsi="ITC Avant Garde"/>
          <w:i/>
          <w:sz w:val="18"/>
          <w:szCs w:val="18"/>
        </w:rPr>
        <w:t xml:space="preserve"> de Mensajes Cortos </w:t>
      </w:r>
      <w:r w:rsidR="00AE65A0" w:rsidRPr="00AE65A0">
        <w:rPr>
          <w:rFonts w:ascii="ITC Avant Garde" w:hAnsi="ITC Avant Garde"/>
          <w:i/>
          <w:strike/>
          <w:sz w:val="18"/>
          <w:szCs w:val="18"/>
        </w:rPr>
        <w:t>Persona a Persona</w:t>
      </w:r>
      <w:r w:rsidR="00AE65A0" w:rsidRPr="00AE65A0">
        <w:rPr>
          <w:rFonts w:ascii="ITC Avant Garde" w:hAnsi="ITC Avant Garde"/>
          <w:i/>
          <w:sz w:val="18"/>
          <w:szCs w:val="18"/>
        </w:rPr>
        <w:t xml:space="preserve"> (SIEMC)</w:t>
      </w:r>
      <w:r>
        <w:rPr>
          <w:rFonts w:ascii="ITC Avant Garde" w:hAnsi="ITC Avant Garde"/>
          <w:i/>
          <w:sz w:val="18"/>
          <w:szCs w:val="18"/>
        </w:rPr>
        <w:t>”</w:t>
      </w:r>
    </w:p>
    <w:p w14:paraId="3DE7116D" w14:textId="64945ADC" w:rsidR="00BD6B27" w:rsidRDefault="00BD6B27" w:rsidP="00AE65A0">
      <w:pPr>
        <w:spacing w:after="0" w:line="276" w:lineRule="auto"/>
        <w:ind w:left="567" w:right="616" w:hanging="11"/>
        <w:rPr>
          <w:rFonts w:ascii="ITC Avant Garde" w:hAnsi="ITC Avant Garde"/>
          <w:i/>
          <w:sz w:val="18"/>
          <w:szCs w:val="18"/>
        </w:rPr>
      </w:pPr>
    </w:p>
    <w:p w14:paraId="2A6EA914" w14:textId="085CEB1B" w:rsidR="00BD6B27" w:rsidRPr="00AE65A0" w:rsidRDefault="00BD6B27" w:rsidP="00BD6B27">
      <w:pPr>
        <w:spacing w:after="0" w:line="276" w:lineRule="auto"/>
        <w:ind w:left="567" w:right="616" w:hanging="11"/>
        <w:jc w:val="right"/>
        <w:rPr>
          <w:rFonts w:ascii="ITC Avant Garde" w:hAnsi="ITC Avant Garde"/>
          <w:i/>
          <w:sz w:val="18"/>
          <w:szCs w:val="18"/>
        </w:rPr>
      </w:pPr>
      <w:r>
        <w:rPr>
          <w:rFonts w:ascii="ITC Avant Garde" w:hAnsi="ITC Avant Garde"/>
          <w:i/>
          <w:sz w:val="18"/>
          <w:szCs w:val="18"/>
        </w:rPr>
        <w:t>(Énfasis añadido)</w:t>
      </w:r>
    </w:p>
    <w:p w14:paraId="311AA70F" w14:textId="400C78A5" w:rsidR="00AE7499" w:rsidRPr="0053503B" w:rsidRDefault="00AE7499" w:rsidP="00421913">
      <w:pPr>
        <w:spacing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2.4.1 Falta de Capacidad Atribuible a Telcel</w:t>
      </w:r>
      <w:r w:rsidR="00962266" w:rsidRPr="00CA6D48">
        <w:rPr>
          <w:rFonts w:ascii="ITC Avant Garde" w:eastAsia="Avant Garde" w:hAnsi="ITC Avant Garde" w:cs="Avant Garde"/>
          <w:b/>
          <w:color w:val="000000"/>
          <w:lang w:eastAsia="es-MX"/>
        </w:rPr>
        <w:t>:</w:t>
      </w:r>
    </w:p>
    <w:p w14:paraId="6687B500"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MEGACABLE</w:t>
      </w:r>
    </w:p>
    <w:p w14:paraId="66FA083A" w14:textId="7A52DC20" w:rsidR="003039C2" w:rsidRPr="0053503B" w:rsidRDefault="000B4E10"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garantizar</w:t>
      </w:r>
      <w:r w:rsidR="003039C2" w:rsidRPr="0053503B">
        <w:rPr>
          <w:rFonts w:ascii="ITC Avant Garde" w:eastAsia="Avant Garde" w:hAnsi="ITC Avant Garde" w:cs="Avant Garde"/>
          <w:color w:val="000000"/>
          <w:lang w:eastAsia="es-MX"/>
        </w:rPr>
        <w:t xml:space="preserve"> la capacidad para la interconexión directa</w:t>
      </w:r>
      <w:r w:rsidR="006A3325" w:rsidRPr="0053503B">
        <w:rPr>
          <w:rFonts w:ascii="ITC Avant Garde" w:eastAsia="Avant Garde" w:hAnsi="ITC Avant Garde" w:cs="Avant Garde"/>
          <w:color w:val="000000"/>
          <w:lang w:eastAsia="es-MX"/>
        </w:rPr>
        <w:t xml:space="preserve"> sin permitir la interconexión indirecta ya que </w:t>
      </w:r>
      <w:r w:rsidRPr="0053503B">
        <w:rPr>
          <w:rFonts w:ascii="ITC Avant Garde" w:eastAsia="Avant Garde" w:hAnsi="ITC Avant Garde" w:cs="Avant Garde"/>
          <w:color w:val="000000"/>
          <w:lang w:eastAsia="es-MX"/>
        </w:rPr>
        <w:t xml:space="preserve">ésta requiere una inversión adicional. Asimismo, solicitan que se proporcione la opción de interconexión directa en otro punto sin que esto </w:t>
      </w:r>
      <w:r w:rsidR="008E585E" w:rsidRPr="0053503B">
        <w:rPr>
          <w:rFonts w:ascii="ITC Avant Garde" w:eastAsia="Avant Garde" w:hAnsi="ITC Avant Garde" w:cs="Avant Garde"/>
          <w:color w:val="000000"/>
          <w:lang w:eastAsia="es-MX"/>
        </w:rPr>
        <w:t>represente un incremento en el costo. Derivado de lo anterior, proponen la siguiente modificación:</w:t>
      </w:r>
      <w:r w:rsidRPr="0053503B">
        <w:rPr>
          <w:rFonts w:ascii="ITC Avant Garde" w:eastAsia="Avant Garde" w:hAnsi="ITC Avant Garde" w:cs="Avant Garde"/>
          <w:color w:val="000000"/>
          <w:lang w:eastAsia="es-MX"/>
        </w:rPr>
        <w:t xml:space="preserve"> </w:t>
      </w:r>
    </w:p>
    <w:p w14:paraId="1771EB48" w14:textId="67469670" w:rsidR="00AE7499" w:rsidRDefault="008E585E"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 </w:t>
      </w:r>
      <w:r w:rsidR="00AE7499" w:rsidRPr="00782C23">
        <w:rPr>
          <w:rFonts w:ascii="ITC Avant Garde" w:hAnsi="ITC Avant Garde"/>
          <w:i/>
          <w:sz w:val="18"/>
          <w:szCs w:val="18"/>
        </w:rPr>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directa viable </w:t>
      </w:r>
      <w:r w:rsidR="00AE7499" w:rsidRPr="00782C23">
        <w:rPr>
          <w:rFonts w:ascii="ITC Avant Garde" w:hAnsi="ITC Avant Garde"/>
          <w:i/>
          <w:sz w:val="18"/>
          <w:szCs w:val="18"/>
          <w:u w:val="single"/>
        </w:rPr>
        <w:t>en la misma localidad o en su caso realizar las adecuaciones necesarias para poder soportar la capacidad requerida</w:t>
      </w:r>
      <w:r w:rsidR="00AE7499" w:rsidRPr="00782C23">
        <w:rPr>
          <w:rFonts w:ascii="ITC Avant Garde" w:hAnsi="ITC Avant Garde"/>
          <w:i/>
          <w:sz w:val="18"/>
          <w:szCs w:val="18"/>
        </w:rPr>
        <w:t xml:space="preserve">, y que cumpla con las obligaciones previstas en el presente Convenio sin que esto resulte en un costo adicional </w:t>
      </w:r>
      <w:r w:rsidR="00AE7499" w:rsidRPr="00782C23">
        <w:rPr>
          <w:rFonts w:ascii="ITC Avant Garde" w:hAnsi="ITC Avant Garde"/>
          <w:i/>
          <w:sz w:val="18"/>
          <w:szCs w:val="18"/>
          <w:u w:val="single"/>
        </w:rPr>
        <w:t>para el Concesionario Solicitante</w:t>
      </w:r>
      <w:r w:rsidR="00AE7499" w:rsidRPr="00782C23">
        <w:rPr>
          <w:rFonts w:ascii="ITC Avant Garde" w:hAnsi="ITC Avant Garde"/>
          <w:i/>
          <w:sz w:val="18"/>
          <w:szCs w:val="18"/>
        </w:rPr>
        <w:t xml:space="preserve"> o diferenciado para su establecimiento en la prestación de los Servicios de Interconexión.”</w:t>
      </w:r>
    </w:p>
    <w:p w14:paraId="1A062553" w14:textId="379D3274" w:rsidR="00087E37" w:rsidRPr="00782C23" w:rsidRDefault="00087E37" w:rsidP="00087E37">
      <w:pPr>
        <w:spacing w:after="0" w:line="276" w:lineRule="auto"/>
        <w:ind w:left="567" w:right="616" w:hanging="11"/>
        <w:jc w:val="right"/>
        <w:rPr>
          <w:rFonts w:ascii="ITC Avant Garde" w:hAnsi="ITC Avant Garde"/>
          <w:i/>
          <w:sz w:val="18"/>
          <w:szCs w:val="18"/>
        </w:rPr>
      </w:pPr>
      <w:r>
        <w:rPr>
          <w:rFonts w:ascii="ITC Avant Garde" w:hAnsi="ITC Avant Garde"/>
          <w:i/>
          <w:sz w:val="18"/>
          <w:szCs w:val="18"/>
        </w:rPr>
        <w:t>(Énfasis añadido)</w:t>
      </w:r>
    </w:p>
    <w:p w14:paraId="085BF7C2" w14:textId="77777777" w:rsidR="00AE7499" w:rsidRPr="0053503B" w:rsidRDefault="00AE7499" w:rsidP="00421913">
      <w:pPr>
        <w:spacing w:after="0" w:line="276" w:lineRule="auto"/>
        <w:ind w:left="567" w:right="616" w:hanging="11"/>
        <w:rPr>
          <w:rFonts w:ascii="ITC Avant Garde" w:hAnsi="ITC Avant Garde"/>
          <w:i/>
          <w:sz w:val="20"/>
          <w:szCs w:val="20"/>
        </w:rPr>
      </w:pPr>
    </w:p>
    <w:p w14:paraId="6E481E7D" w14:textId="25814936" w:rsidR="00AE7499" w:rsidRDefault="00AE7499" w:rsidP="00A46D85">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AT&amp;T</w:t>
      </w:r>
    </w:p>
    <w:p w14:paraId="0D52FBF9" w14:textId="12E195D9" w:rsidR="00A60DE2" w:rsidRPr="0053503B" w:rsidRDefault="00A60DE2" w:rsidP="00421913">
      <w:pPr>
        <w:spacing w:after="0" w:line="276" w:lineRule="auto"/>
        <w:ind w:right="616"/>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 xml:space="preserve">Señala que cuando Telcel no cuente con capacidad en algún punto de interconexión (PDIC), éste debe otorgar facilidades en algún otro PDIC que se encuentre operando </w:t>
      </w:r>
      <w:r w:rsidR="00BB15A9" w:rsidRPr="0053503B">
        <w:rPr>
          <w:rFonts w:ascii="ITC Avant Garde" w:eastAsia="Avant Garde" w:hAnsi="ITC Avant Garde" w:cs="Avant Garde"/>
          <w:color w:val="000000"/>
          <w:lang w:eastAsia="es-MX"/>
        </w:rPr>
        <w:t>con el fin de evitar que otras alternativas pudieran tener costos y tiempos de instalación</w:t>
      </w:r>
      <w:r w:rsidR="00CF0D8B" w:rsidRPr="0053503B">
        <w:rPr>
          <w:rFonts w:ascii="ITC Avant Garde" w:eastAsia="Avant Garde" w:hAnsi="ITC Avant Garde" w:cs="Avant Garde"/>
          <w:color w:val="000000"/>
          <w:lang w:eastAsia="es-MX"/>
        </w:rPr>
        <w:t xml:space="preserve"> que hagan inviable su utilización.</w:t>
      </w:r>
    </w:p>
    <w:p w14:paraId="54E024F3" w14:textId="77777777" w:rsidR="00A60DE2" w:rsidRPr="0053503B" w:rsidRDefault="00A60DE2" w:rsidP="00421913">
      <w:pPr>
        <w:spacing w:after="0" w:line="276" w:lineRule="auto"/>
        <w:ind w:right="616"/>
        <w:rPr>
          <w:rFonts w:ascii="ITC Avant Garde" w:eastAsia="Avant Garde" w:hAnsi="ITC Avant Garde" w:cs="Avant Garde"/>
          <w:color w:val="000000"/>
          <w:lang w:eastAsia="es-MX"/>
        </w:rPr>
      </w:pPr>
    </w:p>
    <w:p w14:paraId="401DBFC3"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50526B43" w14:textId="140364D1" w:rsidR="00AE7499" w:rsidRPr="0053503B" w:rsidRDefault="00377423" w:rsidP="00421913">
      <w:pPr>
        <w:spacing w:after="0" w:line="276" w:lineRule="auto"/>
        <w:ind w:right="616"/>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003A189F" w:rsidRPr="0053503B">
        <w:rPr>
          <w:rFonts w:ascii="ITC Avant Garde" w:eastAsia="Avant Garde" w:hAnsi="ITC Avant Garde" w:cs="Avant Garde"/>
          <w:color w:val="000000"/>
          <w:lang w:eastAsia="es-MX"/>
        </w:rPr>
        <w:t xml:space="preserve">e conformidad con el artículo 6 del </w:t>
      </w:r>
      <w:r w:rsidR="007054C4" w:rsidRPr="0053503B">
        <w:rPr>
          <w:rFonts w:ascii="ITC Avant Garde" w:eastAsia="Avant Garde" w:hAnsi="ITC Avant Garde" w:cs="Avant Garde"/>
          <w:color w:val="000000"/>
          <w:lang w:eastAsia="es-MX"/>
        </w:rPr>
        <w:t>Plan de Interconexión, el cual establece:</w:t>
      </w:r>
    </w:p>
    <w:p w14:paraId="4EA7D022" w14:textId="1B5D6B46" w:rsidR="007054C4" w:rsidRPr="0053503B" w:rsidRDefault="007054C4" w:rsidP="00421913">
      <w:pPr>
        <w:spacing w:after="0" w:line="276" w:lineRule="auto"/>
        <w:ind w:right="616"/>
        <w:rPr>
          <w:rFonts w:ascii="ITC Avant Garde" w:eastAsia="Avant Garde" w:hAnsi="ITC Avant Garde" w:cs="Avant Garde"/>
          <w:color w:val="000000"/>
          <w:lang w:eastAsia="es-MX"/>
        </w:rPr>
      </w:pPr>
    </w:p>
    <w:p w14:paraId="217210F6" w14:textId="04A3E8D2" w:rsidR="007054C4" w:rsidRPr="00782C23" w:rsidRDefault="007054C4"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“Artículo 6. En la Interconexión que lleven a cabo los Concesionarios deberán observar al menos las siguientes condiciones: </w:t>
      </w:r>
    </w:p>
    <w:p w14:paraId="300175E6" w14:textId="724D5672" w:rsidR="007054C4" w:rsidRPr="00782C23" w:rsidRDefault="007054C4" w:rsidP="00421913">
      <w:pPr>
        <w:pStyle w:val="Prrafodelista"/>
        <w:numPr>
          <w:ilvl w:val="0"/>
          <w:numId w:val="3"/>
        </w:numPr>
        <w:spacing w:after="0" w:line="276" w:lineRule="auto"/>
        <w:ind w:right="616"/>
        <w:rPr>
          <w:rFonts w:ascii="ITC Avant Garde" w:hAnsi="ITC Avant Garde"/>
          <w:i/>
          <w:sz w:val="18"/>
          <w:szCs w:val="18"/>
        </w:rPr>
      </w:pPr>
      <w:r w:rsidRPr="00782C23">
        <w:rPr>
          <w:rFonts w:ascii="ITC Avant Garde" w:hAnsi="ITC Avant Garde"/>
          <w:i/>
          <w:sz w:val="18"/>
          <w:szCs w:val="18"/>
        </w:rPr>
        <w:t xml:space="preserve">Técnicas. </w:t>
      </w:r>
    </w:p>
    <w:p w14:paraId="4C72FC7E" w14:textId="77777777" w:rsidR="007054C4" w:rsidRPr="00782C23" w:rsidRDefault="007054C4" w:rsidP="00421913">
      <w:pPr>
        <w:pStyle w:val="Prrafodelista"/>
        <w:spacing w:after="0" w:line="276" w:lineRule="auto"/>
        <w:ind w:left="1276" w:right="616" w:firstLine="0"/>
        <w:rPr>
          <w:rFonts w:ascii="ITC Avant Garde" w:hAnsi="ITC Avant Garde"/>
          <w:i/>
          <w:sz w:val="18"/>
          <w:szCs w:val="18"/>
        </w:rPr>
      </w:pPr>
    </w:p>
    <w:p w14:paraId="0FDB49BF" w14:textId="66281B15" w:rsidR="007054C4" w:rsidRPr="00782C23" w:rsidRDefault="007054C4"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2BA3F462" w14:textId="77777777" w:rsidR="007054C4" w:rsidRPr="00782C23" w:rsidRDefault="007054C4" w:rsidP="00421913">
      <w:pPr>
        <w:spacing w:after="0" w:line="276" w:lineRule="auto"/>
        <w:ind w:left="567" w:right="616" w:hanging="11"/>
        <w:rPr>
          <w:rFonts w:ascii="ITC Avant Garde" w:hAnsi="ITC Avant Garde"/>
          <w:i/>
          <w:sz w:val="18"/>
          <w:szCs w:val="18"/>
        </w:rPr>
      </w:pPr>
    </w:p>
    <w:p w14:paraId="6AA8E8CB" w14:textId="4BE321D4" w:rsidR="007054C4" w:rsidRPr="00782C23" w:rsidRDefault="007054C4"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c) La descripción de diagramas de Interconexión de las RPTs involucradas. </w:t>
      </w:r>
      <w:r w:rsidRPr="00782C23">
        <w:rPr>
          <w:rFonts w:ascii="ITC Avant Garde" w:hAnsi="ITC Avant Garde"/>
          <w:i/>
          <w:sz w:val="18"/>
          <w:szCs w:val="18"/>
          <w:u w:val="single"/>
        </w:rPr>
        <w:t xml:space="preserve">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63958DC4" w14:textId="7B6C8A8A" w:rsidR="007054C4" w:rsidRPr="00782C23" w:rsidRDefault="007054C4" w:rsidP="00421913">
      <w:pPr>
        <w:spacing w:after="0" w:line="276" w:lineRule="auto"/>
        <w:ind w:left="567" w:right="616" w:hanging="11"/>
        <w:rPr>
          <w:rFonts w:ascii="ITC Avant Garde" w:hAnsi="ITC Avant Garde"/>
          <w:i/>
          <w:sz w:val="18"/>
          <w:szCs w:val="18"/>
        </w:rPr>
      </w:pPr>
    </w:p>
    <w:p w14:paraId="0E0BD762" w14:textId="0AFBA69D" w:rsidR="007054C4" w:rsidRPr="00782C23" w:rsidRDefault="007054C4"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73338C08" w14:textId="4409D98A" w:rsidR="007054C4" w:rsidRPr="00782C23" w:rsidRDefault="007054C4"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69E90D81" w14:textId="77777777" w:rsidR="007054C4" w:rsidRPr="0053503B" w:rsidRDefault="007054C4" w:rsidP="00421913">
      <w:pPr>
        <w:spacing w:after="0" w:line="276" w:lineRule="auto"/>
        <w:ind w:right="616"/>
        <w:rPr>
          <w:rFonts w:ascii="ITC Avant Garde" w:eastAsia="Avant Garde" w:hAnsi="ITC Avant Garde" w:cs="Avant Garde"/>
          <w:color w:val="000000"/>
          <w:lang w:eastAsia="es-MX"/>
        </w:rPr>
      </w:pPr>
    </w:p>
    <w:p w14:paraId="747230F6" w14:textId="09621CB4" w:rsidR="007054C4" w:rsidRPr="0053503B" w:rsidRDefault="004A4642" w:rsidP="00421913">
      <w:pPr>
        <w:spacing w:after="0" w:line="276" w:lineRule="auto"/>
        <w:ind w:right="616"/>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Por lo cual</w:t>
      </w:r>
      <w:r w:rsidR="00CD2651">
        <w:rPr>
          <w:rFonts w:ascii="ITC Avant Garde" w:eastAsia="Avant Garde" w:hAnsi="ITC Avant Garde" w:cs="Avant Garde"/>
          <w:color w:val="000000"/>
          <w:lang w:eastAsia="es-MX"/>
        </w:rPr>
        <w:t>,</w:t>
      </w:r>
      <w:r w:rsidRPr="0053503B">
        <w:rPr>
          <w:rFonts w:ascii="ITC Avant Garde" w:eastAsia="Avant Garde" w:hAnsi="ITC Avant Garde" w:cs="Avant Garde"/>
          <w:color w:val="000000"/>
          <w:lang w:eastAsia="es-MX"/>
        </w:rPr>
        <w:t xml:space="preserve"> Telcel no puede ofrecer una modalidad de interconexión diferente a la </w:t>
      </w:r>
      <w:r w:rsidR="0049237C" w:rsidRPr="0053503B">
        <w:rPr>
          <w:rFonts w:ascii="ITC Avant Garde" w:eastAsia="Avant Garde" w:hAnsi="ITC Avant Garde" w:cs="Avant Garde"/>
          <w:color w:val="000000"/>
          <w:lang w:eastAsia="es-MX"/>
        </w:rPr>
        <w:t xml:space="preserve">solicitada por el concesionario. </w:t>
      </w:r>
      <w:r w:rsidR="00377423">
        <w:rPr>
          <w:rFonts w:ascii="ITC Avant Garde" w:eastAsia="Avant Garde" w:hAnsi="ITC Avant Garde" w:cs="Avant Garde"/>
          <w:color w:val="000000"/>
          <w:lang w:eastAsia="es-MX"/>
        </w:rPr>
        <w:t>En este sentido, se modificó el numeral 2.4.1 en el siguiente sentido</w:t>
      </w:r>
      <w:r w:rsidR="00BE640A" w:rsidRPr="0053503B">
        <w:rPr>
          <w:rFonts w:ascii="ITC Avant Garde" w:eastAsia="Avant Garde" w:hAnsi="ITC Avant Garde" w:cs="Avant Garde"/>
          <w:color w:val="000000"/>
          <w:lang w:eastAsia="es-MX"/>
        </w:rPr>
        <w:t>:</w:t>
      </w:r>
    </w:p>
    <w:p w14:paraId="4471287F" w14:textId="442B706B" w:rsidR="00BE640A" w:rsidRPr="00782C23" w:rsidRDefault="00BE640A" w:rsidP="00421913">
      <w:pPr>
        <w:spacing w:after="0" w:line="276" w:lineRule="auto"/>
        <w:ind w:right="616"/>
        <w:rPr>
          <w:rFonts w:ascii="ITC Avant Garde" w:eastAsia="Avant Garde" w:hAnsi="ITC Avant Garde" w:cs="Avant Garde"/>
          <w:color w:val="000000"/>
          <w:sz w:val="18"/>
          <w:szCs w:val="18"/>
          <w:lang w:eastAsia="es-MX"/>
        </w:rPr>
      </w:pPr>
    </w:p>
    <w:p w14:paraId="6855E6C2" w14:textId="3BE28D44" w:rsidR="00BE640A" w:rsidRPr="00782C23" w:rsidRDefault="00BE640A"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“2.4.1 Falta de capacidad atribuible a Telcel.</w:t>
      </w:r>
    </w:p>
    <w:p w14:paraId="2FA72368" w14:textId="77777777" w:rsidR="00BE640A" w:rsidRPr="00782C23" w:rsidRDefault="00BE640A" w:rsidP="00421913">
      <w:pPr>
        <w:spacing w:after="0" w:line="276" w:lineRule="auto"/>
        <w:ind w:left="567" w:right="616" w:hanging="11"/>
        <w:rPr>
          <w:rFonts w:ascii="ITC Avant Garde" w:hAnsi="ITC Avant Garde"/>
          <w:i/>
          <w:sz w:val="18"/>
          <w:szCs w:val="18"/>
        </w:rPr>
      </w:pPr>
    </w:p>
    <w:p w14:paraId="42828EEC" w14:textId="71892ED3" w:rsidR="00BE640A" w:rsidRPr="00782C23" w:rsidRDefault="00BE640A"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w:t>
      </w:r>
      <w:r w:rsidR="00727C3D" w:rsidRPr="00782C23">
        <w:rPr>
          <w:rFonts w:ascii="ITC Avant Garde" w:hAnsi="ITC Avant Garde"/>
          <w:i/>
          <w:sz w:val="18"/>
          <w:szCs w:val="18"/>
        </w:rPr>
        <w:t xml:space="preserve"> </w:t>
      </w:r>
      <w:r w:rsidR="00727C3D" w:rsidRPr="00782C23">
        <w:rPr>
          <w:rFonts w:ascii="ITC Avant Garde" w:hAnsi="ITC Avant Garde"/>
          <w:i/>
          <w:strike/>
          <w:sz w:val="18"/>
          <w:szCs w:val="18"/>
        </w:rPr>
        <w:t>directa o indirecta</w:t>
      </w:r>
      <w:r w:rsidRPr="00782C23">
        <w:rPr>
          <w:rFonts w:ascii="ITC Avant Garde" w:hAnsi="ITC Avant Garde"/>
          <w:i/>
          <w:sz w:val="18"/>
          <w:szCs w:val="18"/>
        </w:rPr>
        <w:t xml:space="preserve"> viable, </w:t>
      </w:r>
      <w:r w:rsidRPr="00782C23">
        <w:rPr>
          <w:rFonts w:ascii="ITC Avant Garde" w:hAnsi="ITC Avant Garde"/>
          <w:i/>
          <w:sz w:val="18"/>
          <w:szCs w:val="18"/>
          <w:u w:val="single"/>
        </w:rPr>
        <w:t>es decir que la infraestructura se encuentre lista y en operación</w:t>
      </w:r>
      <w:r w:rsidRPr="00782C23">
        <w:rPr>
          <w:rFonts w:ascii="ITC Avant Garde" w:hAnsi="ITC Avant Garde"/>
          <w:i/>
          <w:sz w:val="18"/>
          <w:szCs w:val="18"/>
        </w:rPr>
        <w:t xml:space="preserve"> y que cumpla con las obligaciones previstas en el presente Convenio sin que esto resulte en un costo adicional o diferenciado para su establecimiento en la prestación de los Servicios de Interconexión.</w:t>
      </w:r>
    </w:p>
    <w:p w14:paraId="36D651A2" w14:textId="57068CCA" w:rsidR="009236B3" w:rsidRPr="00782C23" w:rsidRDefault="009236B3" w:rsidP="00421913">
      <w:pPr>
        <w:spacing w:after="0" w:line="276" w:lineRule="auto"/>
        <w:ind w:left="567" w:right="616" w:hanging="11"/>
        <w:rPr>
          <w:rFonts w:ascii="ITC Avant Garde" w:hAnsi="ITC Avant Garde"/>
          <w:i/>
          <w:sz w:val="18"/>
          <w:szCs w:val="18"/>
        </w:rPr>
      </w:pPr>
    </w:p>
    <w:p w14:paraId="0157832A" w14:textId="644BE8D3" w:rsidR="009236B3" w:rsidRPr="00782C23" w:rsidRDefault="009236B3" w:rsidP="00421913">
      <w:pPr>
        <w:spacing w:after="0" w:line="276" w:lineRule="auto"/>
        <w:ind w:left="567" w:right="616" w:hanging="11"/>
        <w:rPr>
          <w:rFonts w:ascii="ITC Avant Garde" w:hAnsi="ITC Avant Garde"/>
          <w:i/>
          <w:sz w:val="18"/>
          <w:szCs w:val="18"/>
        </w:rPr>
      </w:pPr>
      <w:r w:rsidRPr="00782C23">
        <w:rPr>
          <w:rFonts w:ascii="ITC Avant Garde" w:hAnsi="ITC Avant Garde"/>
          <w:i/>
          <w:strike/>
          <w:sz w:val="18"/>
          <w:szCs w:val="18"/>
        </w:rPr>
        <w:t>Lo anterior en el entendido de que TELCEL en todo momento tratará de ofrecer, como primera solución alternativa, Interconexión directa en otro Punto de Interconexión de los previstos en el Acuerdo de Puntos de Interconexión, en tanto ello resulte técnicamente factible, sin perjuicio del derecho del CONCESIONARIO de optar por la prestación de servicios de Interconexión indirecta</w:t>
      </w:r>
      <w:r w:rsidRPr="00782C23">
        <w:rPr>
          <w:rFonts w:ascii="ITC Avant Garde" w:hAnsi="ITC Avant Garde"/>
          <w:i/>
          <w:sz w:val="18"/>
          <w:szCs w:val="18"/>
        </w:rPr>
        <w:t>.”</w:t>
      </w:r>
    </w:p>
    <w:p w14:paraId="4F2FCF10" w14:textId="78278A40" w:rsidR="009236B3" w:rsidRPr="00782C23" w:rsidRDefault="009236B3" w:rsidP="00421913">
      <w:pPr>
        <w:spacing w:after="0" w:line="276" w:lineRule="auto"/>
        <w:ind w:left="567" w:right="616" w:hanging="11"/>
        <w:rPr>
          <w:rFonts w:ascii="ITC Avant Garde" w:hAnsi="ITC Avant Garde"/>
          <w:i/>
          <w:sz w:val="18"/>
          <w:szCs w:val="18"/>
        </w:rPr>
      </w:pPr>
    </w:p>
    <w:p w14:paraId="1FEFB99B" w14:textId="01449B6A" w:rsidR="009236B3" w:rsidRPr="00782C23" w:rsidRDefault="009236B3"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590182D1" w14:textId="13F3C982" w:rsidR="00BE640A" w:rsidRPr="0053503B" w:rsidRDefault="00BE640A" w:rsidP="00421913">
      <w:pPr>
        <w:spacing w:after="0" w:line="276" w:lineRule="auto"/>
        <w:ind w:right="616"/>
        <w:rPr>
          <w:rFonts w:ascii="ITC Avant Garde" w:eastAsia="Avant Garde" w:hAnsi="ITC Avant Garde" w:cs="Avant Garde"/>
          <w:color w:val="000000"/>
          <w:lang w:eastAsia="es-MX"/>
        </w:rPr>
      </w:pPr>
    </w:p>
    <w:p w14:paraId="1A0AE9B1" w14:textId="3E3BAE5F"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lastRenderedPageBreak/>
        <w:t>2.4.2 Redundancia y Balanceo de Tráfico</w:t>
      </w:r>
      <w:r w:rsidR="00CD2651">
        <w:rPr>
          <w:rFonts w:ascii="ITC Avant Garde" w:eastAsia="Avant Garde" w:hAnsi="ITC Avant Garde" w:cs="Avant Garde"/>
          <w:b/>
          <w:color w:val="000000"/>
          <w:lang w:eastAsia="es-MX"/>
        </w:rPr>
        <w:t xml:space="preserve"> y 2.2 del Anexo E</w:t>
      </w:r>
      <w:r w:rsidR="00377423">
        <w:rPr>
          <w:rFonts w:ascii="ITC Avant Garde" w:eastAsia="Avant Garde" w:hAnsi="ITC Avant Garde" w:cs="Avant Garde"/>
          <w:b/>
          <w:color w:val="000000"/>
          <w:lang w:eastAsia="es-MX"/>
        </w:rPr>
        <w:t>.</w:t>
      </w:r>
    </w:p>
    <w:p w14:paraId="2FB3EBD1"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AT&amp;T</w:t>
      </w:r>
    </w:p>
    <w:p w14:paraId="15632017" w14:textId="2A9AA7D3" w:rsidR="003F1D8E" w:rsidRDefault="00BA59CA" w:rsidP="003F1D8E">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mantener los términ</w:t>
      </w:r>
      <w:r w:rsidR="007F0687">
        <w:rPr>
          <w:rFonts w:ascii="ITC Avant Garde" w:eastAsia="Avant Garde" w:hAnsi="ITC Avant Garde" w:cs="Avant Garde"/>
          <w:color w:val="000000"/>
          <w:lang w:eastAsia="es-MX"/>
        </w:rPr>
        <w:t>os del CMI vigente respecto al</w:t>
      </w:r>
      <w:r>
        <w:rPr>
          <w:rFonts w:ascii="ITC Avant Garde" w:eastAsia="Avant Garde" w:hAnsi="ITC Avant Garde" w:cs="Avant Garde"/>
          <w:color w:val="000000"/>
          <w:lang w:eastAsia="es-MX"/>
        </w:rPr>
        <w:t xml:space="preserve"> numeral</w:t>
      </w:r>
      <w:r w:rsidR="007F0687">
        <w:rPr>
          <w:rFonts w:ascii="ITC Avant Garde" w:eastAsia="Avant Garde" w:hAnsi="ITC Avant Garde" w:cs="Avant Garde"/>
          <w:color w:val="000000"/>
          <w:lang w:eastAsia="es-MX"/>
        </w:rPr>
        <w:t xml:space="preserve"> 2.4.2</w:t>
      </w:r>
      <w:r>
        <w:rPr>
          <w:rFonts w:ascii="ITC Avant Garde" w:eastAsia="Avant Garde" w:hAnsi="ITC Avant Garde" w:cs="Avant Garde"/>
          <w:color w:val="000000"/>
          <w:lang w:eastAsia="es-MX"/>
        </w:rPr>
        <w:t xml:space="preserve"> y al 2.2 del Anexo E ya que, en caso de falla de uno de los enlaces de interconexión, el otro enlace no podrá soportar la carga de ambos por estar dimensionado al 85% de capacidad, ocasionando el desborde del tráfico.</w:t>
      </w:r>
      <w:r w:rsidR="003F1D8E">
        <w:rPr>
          <w:rFonts w:ascii="ITC Avant Garde" w:eastAsia="Avant Garde" w:hAnsi="ITC Avant Garde" w:cs="Avant Garde"/>
          <w:color w:val="000000"/>
          <w:lang w:eastAsia="es-MX"/>
        </w:rPr>
        <w:t xml:space="preserve"> Asimismo, AT&amp;T señala que los enlaces redundantes que operen de forma balanceada no deben rebasar el 42.5% de ocupación. </w:t>
      </w:r>
    </w:p>
    <w:p w14:paraId="463ED108" w14:textId="5632B6E2" w:rsidR="00AE7499"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0A35FA96" w14:textId="1C1B672C" w:rsidR="00A27C22" w:rsidRPr="00FF03AB" w:rsidRDefault="00A27C22" w:rsidP="00FF03AB">
      <w:pPr>
        <w:spacing w:line="276" w:lineRule="auto"/>
        <w:rPr>
          <w:rFonts w:ascii="ITC Avant Garde" w:eastAsia="Avant Garde" w:hAnsi="ITC Avant Garde" w:cs="Avant Garde"/>
          <w:color w:val="000000"/>
          <w:lang w:eastAsia="es-MX"/>
        </w:rPr>
      </w:pPr>
      <w:r w:rsidRPr="00FF03AB">
        <w:rPr>
          <w:rFonts w:ascii="ITC Avant Garde" w:eastAsia="Avant Garde" w:hAnsi="ITC Avant Garde" w:cs="Avant Garde"/>
          <w:color w:val="000000"/>
          <w:lang w:eastAsia="es-MX"/>
        </w:rPr>
        <w:t>El parámetro para disparar el crecimiento de los servicios debe ser la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p>
    <w:p w14:paraId="13A33E61" w14:textId="70877AA8" w:rsidR="00A27C22" w:rsidRPr="00FF03AB" w:rsidRDefault="00A27C22" w:rsidP="00FF03AB">
      <w:pPr>
        <w:spacing w:line="276" w:lineRule="auto"/>
        <w:rPr>
          <w:rFonts w:ascii="ITC Avant Garde" w:eastAsia="Avant Garde" w:hAnsi="ITC Avant Garde" w:cs="Avant Garde"/>
          <w:color w:val="000000"/>
          <w:lang w:eastAsia="es-MX"/>
        </w:rPr>
      </w:pPr>
      <w:r w:rsidRPr="00FF03AB">
        <w:rPr>
          <w:rFonts w:ascii="ITC Avant Garde" w:eastAsia="Avant Garde" w:hAnsi="ITC Avant Garde" w:cs="Avant Garde"/>
          <w:color w:val="000000"/>
          <w:lang w:eastAsia="es-MX"/>
        </w:rPr>
        <w:t xml:space="preserve">En este sentido, </w:t>
      </w:r>
      <w:r w:rsidR="00085622" w:rsidRPr="00FF03AB">
        <w:rPr>
          <w:rFonts w:ascii="ITC Avant Garde" w:eastAsia="Avant Garde" w:hAnsi="ITC Avant Garde" w:cs="Avant Garde"/>
          <w:color w:val="000000"/>
          <w:lang w:eastAsia="es-MX"/>
        </w:rPr>
        <w:t>al considerar</w:t>
      </w:r>
      <w:r w:rsidRPr="00FF03AB">
        <w:rPr>
          <w:rFonts w:ascii="ITC Avant Garde" w:eastAsia="Avant Garde" w:hAnsi="ITC Avant Garde" w:cs="Avant Garde"/>
          <w:color w:val="000000"/>
          <w:lang w:eastAsia="es-MX"/>
        </w:rPr>
        <w:t xml:space="preserve"> el carácter temporal de una falla y que el único escenario en el que un</w:t>
      </w:r>
      <w:r w:rsidR="00085622" w:rsidRPr="00FF03AB">
        <w:rPr>
          <w:rFonts w:ascii="ITC Avant Garde" w:eastAsia="Avant Garde" w:hAnsi="ITC Avant Garde" w:cs="Avant Garde"/>
          <w:color w:val="000000"/>
          <w:lang w:eastAsia="es-MX"/>
        </w:rPr>
        <w:t xml:space="preserve"> punto de interconexión no tendrá</w:t>
      </w:r>
      <w:r w:rsidRPr="00FF03AB">
        <w:rPr>
          <w:rFonts w:ascii="ITC Avant Garde" w:eastAsia="Avant Garde" w:hAnsi="ITC Avant Garde" w:cs="Avant Garde"/>
          <w:color w:val="000000"/>
          <w:lang w:eastAsia="es-MX"/>
        </w:rPr>
        <w:t xml:space="preserve"> la capacidad de recibir la totalidad de t</w:t>
      </w:r>
      <w:r w:rsidR="00085622" w:rsidRPr="00FF03AB">
        <w:rPr>
          <w:rFonts w:ascii="ITC Avant Garde" w:eastAsia="Avant Garde" w:hAnsi="ITC Avant Garde" w:cs="Avant Garde"/>
          <w:color w:val="000000"/>
          <w:lang w:eastAsia="es-MX"/>
        </w:rPr>
        <w:t>ráfico del punto con falla será</w:t>
      </w:r>
      <w:r w:rsidRPr="00FF03AB">
        <w:rPr>
          <w:rFonts w:ascii="ITC Avant Garde" w:eastAsia="Avant Garde" w:hAnsi="ITC Avant Garde" w:cs="Avant Garde"/>
          <w:color w:val="000000"/>
          <w:lang w:eastAsia="es-MX"/>
        </w:rPr>
        <w:t xml:space="preserve"> durante la hora de mayor tráfico (hora pico) y</w:t>
      </w:r>
      <w:r w:rsidR="00085622" w:rsidRPr="00FF03AB">
        <w:rPr>
          <w:rFonts w:ascii="ITC Avant Garde" w:eastAsia="Avant Garde" w:hAnsi="ITC Avant Garde" w:cs="Avant Garde"/>
          <w:color w:val="000000"/>
          <w:lang w:eastAsia="es-MX"/>
        </w:rPr>
        <w:t>,</w:t>
      </w:r>
      <w:r w:rsidRPr="00FF03AB">
        <w:rPr>
          <w:rFonts w:ascii="ITC Avant Garde" w:eastAsia="Avant Garde" w:hAnsi="ITC Avant Garde" w:cs="Avant Garde"/>
          <w:color w:val="000000"/>
          <w:lang w:eastAsia="es-MX"/>
        </w:rPr>
        <w:t xml:space="preserve"> que aún bajo este escenario, el enlace redundante podrá tomar un 15% de tráfico adicional, se considera procedente la modificación realizada por Telcel en el sentido de considerar un incremento de capacidad  de los enlaces de interconexión por sitio al alcanzar el</w:t>
      </w:r>
      <w:r w:rsidR="00085622" w:rsidRPr="00FF03AB">
        <w:rPr>
          <w:rFonts w:ascii="ITC Avant Garde" w:eastAsia="Avant Garde" w:hAnsi="ITC Avant Garde" w:cs="Avant Garde"/>
          <w:color w:val="000000"/>
          <w:lang w:eastAsia="es-MX"/>
        </w:rPr>
        <w:t xml:space="preserve"> 85% de utilización del mismo.</w:t>
      </w:r>
    </w:p>
    <w:p w14:paraId="4FC4A0E5" w14:textId="3712EA74" w:rsidR="00FF03AB" w:rsidRPr="00FF03AB" w:rsidRDefault="00085622" w:rsidP="00FF03AB">
      <w:pPr>
        <w:spacing w:line="276" w:lineRule="auto"/>
        <w:rPr>
          <w:rFonts w:ascii="ITC Avant Garde" w:eastAsia="Avant Garde" w:hAnsi="ITC Avant Garde" w:cs="Avant Garde"/>
          <w:color w:val="000000"/>
          <w:lang w:eastAsia="es-MX"/>
        </w:rPr>
      </w:pPr>
      <w:r w:rsidRPr="00FF03AB">
        <w:rPr>
          <w:rFonts w:ascii="ITC Avant Garde" w:eastAsia="Avant Garde" w:hAnsi="ITC Avant Garde" w:cs="Avant Garde"/>
          <w:color w:val="000000"/>
          <w:lang w:eastAsia="es-MX"/>
        </w:rPr>
        <w:t>Sin embargo</w:t>
      </w:r>
      <w:r w:rsidR="00A27C22" w:rsidRPr="00FF03AB">
        <w:rPr>
          <w:rFonts w:ascii="ITC Avant Garde" w:eastAsia="Avant Garde" w:hAnsi="ITC Avant Garde" w:cs="Avant Garde"/>
          <w:color w:val="000000"/>
          <w:lang w:eastAsia="es-MX"/>
        </w:rPr>
        <w:t xml:space="preserve">, se requiere precisar que el aumento de la capacidad debe realizarse en los servicios y no únicamente en los enlaces </w:t>
      </w:r>
      <w:r w:rsidR="00FF03AB" w:rsidRPr="00FF03AB">
        <w:rPr>
          <w:rFonts w:ascii="ITC Avant Garde" w:eastAsia="Avant Garde" w:hAnsi="ITC Avant Garde" w:cs="Avant Garde"/>
          <w:color w:val="000000"/>
          <w:lang w:eastAsia="es-MX"/>
        </w:rPr>
        <w:t xml:space="preserve">tal </w:t>
      </w:r>
      <w:r w:rsidR="00A27C22" w:rsidRPr="00FF03AB">
        <w:rPr>
          <w:rFonts w:ascii="ITC Avant Garde" w:eastAsia="Avant Garde" w:hAnsi="ITC Avant Garde" w:cs="Avant Garde"/>
          <w:color w:val="000000"/>
          <w:lang w:eastAsia="es-MX"/>
        </w:rPr>
        <w:t xml:space="preserve">como lo establece Telcel, puesto que el </w:t>
      </w:r>
      <w:r w:rsidR="00FF03AB" w:rsidRPr="00FF03AB">
        <w:rPr>
          <w:rFonts w:ascii="ITC Avant Garde" w:eastAsia="Avant Garde" w:hAnsi="ITC Avant Garde" w:cs="Avant Garde"/>
          <w:color w:val="000000"/>
          <w:lang w:eastAsia="es-MX"/>
        </w:rPr>
        <w:t>crecimiento también requerirá la</w:t>
      </w:r>
      <w:r w:rsidR="00A27C22" w:rsidRPr="00FF03AB">
        <w:rPr>
          <w:rFonts w:ascii="ITC Avant Garde" w:eastAsia="Avant Garde" w:hAnsi="ITC Avant Garde" w:cs="Avant Garde"/>
          <w:color w:val="000000"/>
          <w:lang w:eastAsia="es-MX"/>
        </w:rPr>
        <w:t xml:space="preserve"> configuración de los puertos y/o en su defecto nuevos puertos de interconexión. Asimismo, no es procedente la precisión realizada por Telcel referente a que la afectación del servicio dependerá de la hora y del tiempo que tome la reparación del mismo, ya que los plazos máximos para solución de fallas están especificados en la cláusula 8.1, la cual establece que los servicios se deben regularizar en un tiempo inferior a 1 hora a partir de la presentación del reporte y, en el caso de afectación parcial, el periodo máximo de reparación será de 3 horas a partir </w:t>
      </w:r>
      <w:r w:rsidR="00FF03AB">
        <w:rPr>
          <w:rFonts w:ascii="ITC Avant Garde" w:eastAsia="Avant Garde" w:hAnsi="ITC Avant Garde" w:cs="Avant Garde"/>
          <w:color w:val="000000"/>
          <w:lang w:eastAsia="es-MX"/>
        </w:rPr>
        <w:t>de la presentación del reporte. Por lo anterior, se modifican</w:t>
      </w:r>
      <w:r w:rsidR="00FF03AB" w:rsidRPr="00FF03AB">
        <w:rPr>
          <w:rFonts w:ascii="ITC Avant Garde" w:eastAsia="Avant Garde" w:hAnsi="ITC Avant Garde" w:cs="Avant Garde"/>
          <w:color w:val="000000"/>
          <w:lang w:eastAsia="es-MX"/>
        </w:rPr>
        <w:t xml:space="preserve"> </w:t>
      </w:r>
      <w:r w:rsidR="00FF03AB">
        <w:rPr>
          <w:rFonts w:ascii="ITC Avant Garde" w:eastAsia="Avant Garde" w:hAnsi="ITC Avant Garde" w:cs="Avant Garde"/>
          <w:color w:val="000000"/>
          <w:lang w:eastAsia="es-MX"/>
        </w:rPr>
        <w:t>los numerales 2.4.2 y 3.1 del Subanexo “A” así como el</w:t>
      </w:r>
      <w:r w:rsidR="00FF03AB" w:rsidRPr="00FF03AB">
        <w:rPr>
          <w:rFonts w:ascii="ITC Avant Garde" w:eastAsia="Avant Garde" w:hAnsi="ITC Avant Garde" w:cs="Avant Garde"/>
          <w:color w:val="000000"/>
          <w:lang w:eastAsia="es-MX"/>
        </w:rPr>
        <w:t xml:space="preserve"> 2.2 del Subanexo “E” en los siguientes términos:</w:t>
      </w:r>
    </w:p>
    <w:p w14:paraId="729ED15E" w14:textId="29B695C5" w:rsidR="00A27C22" w:rsidRDefault="00FF03AB" w:rsidP="00FF03AB">
      <w:pPr>
        <w:spacing w:after="0" w:line="276" w:lineRule="auto"/>
        <w:ind w:left="567" w:right="616" w:hanging="11"/>
        <w:rPr>
          <w:rFonts w:ascii="ITC Avant Garde" w:hAnsi="ITC Avant Garde"/>
          <w:i/>
          <w:sz w:val="18"/>
          <w:szCs w:val="18"/>
        </w:rPr>
      </w:pPr>
      <w:r w:rsidRPr="00FF03AB">
        <w:rPr>
          <w:rFonts w:ascii="ITC Avant Garde" w:hAnsi="ITC Avant Garde"/>
          <w:i/>
          <w:sz w:val="18"/>
          <w:szCs w:val="18"/>
        </w:rPr>
        <w:t>“</w:t>
      </w:r>
      <w:r w:rsidRPr="00FF03AB">
        <w:rPr>
          <w:rFonts w:ascii="ITC Avant Garde" w:hAnsi="ITC Avant Garde"/>
          <w:i/>
          <w:strike/>
          <w:sz w:val="18"/>
          <w:szCs w:val="18"/>
        </w:rPr>
        <w:t>En caso de habilitarse redundancia entre sitios,</w:t>
      </w:r>
      <w:r w:rsidRPr="00C723A6">
        <w:rPr>
          <w:rFonts w:ascii="ITC Avant Garde" w:hAnsi="ITC Avant Garde"/>
          <w:i/>
          <w:sz w:val="18"/>
          <w:szCs w:val="18"/>
        </w:rPr>
        <w:t xml:space="preserve"> L</w:t>
      </w:r>
      <w:r w:rsidRPr="00FF03AB">
        <w:rPr>
          <w:rFonts w:ascii="ITC Avant Garde" w:hAnsi="ITC Avant Garde"/>
          <w:i/>
          <w:sz w:val="18"/>
          <w:szCs w:val="18"/>
        </w:rPr>
        <w:t xml:space="preserve">os enlaces por sitio deberán estar dimensionados para soportar en la hora pico un máximo de 85% (ochenta y cinco por ciento) de </w:t>
      </w:r>
      <w:r w:rsidRPr="00FF03AB">
        <w:rPr>
          <w:rFonts w:ascii="ITC Avant Garde" w:hAnsi="ITC Avant Garde"/>
          <w:i/>
          <w:strike/>
          <w:sz w:val="18"/>
          <w:szCs w:val="18"/>
        </w:rPr>
        <w:t>ocupación</w:t>
      </w:r>
      <w:r>
        <w:rPr>
          <w:rFonts w:ascii="ITC Avant Garde" w:hAnsi="ITC Avant Garde"/>
          <w:i/>
          <w:sz w:val="18"/>
          <w:szCs w:val="18"/>
        </w:rPr>
        <w:t xml:space="preserve"> </w:t>
      </w:r>
      <w:r w:rsidRPr="00FF03AB">
        <w:rPr>
          <w:rFonts w:ascii="ITC Avant Garde" w:hAnsi="ITC Avant Garde"/>
          <w:i/>
          <w:sz w:val="18"/>
          <w:szCs w:val="18"/>
          <w:u w:val="single"/>
        </w:rPr>
        <w:t>carga</w:t>
      </w:r>
      <w:r w:rsidRPr="00FF03AB">
        <w:rPr>
          <w:rFonts w:ascii="ITC Avant Garde" w:hAnsi="ITC Avant Garde"/>
          <w:i/>
          <w:sz w:val="18"/>
          <w:szCs w:val="18"/>
        </w:rPr>
        <w:t xml:space="preserve">, siendo éste el parámetro para </w:t>
      </w:r>
      <w:r w:rsidRPr="00C723A6">
        <w:rPr>
          <w:rFonts w:ascii="ITC Avant Garde" w:hAnsi="ITC Avant Garde"/>
          <w:i/>
          <w:strike/>
          <w:sz w:val="18"/>
          <w:szCs w:val="18"/>
        </w:rPr>
        <w:t>determinar</w:t>
      </w:r>
      <w:r w:rsidRPr="00FF03AB">
        <w:rPr>
          <w:rFonts w:ascii="ITC Avant Garde" w:hAnsi="ITC Avant Garde"/>
          <w:i/>
          <w:sz w:val="18"/>
          <w:szCs w:val="18"/>
        </w:rPr>
        <w:t xml:space="preserve"> </w:t>
      </w:r>
      <w:r w:rsidRPr="00C723A6">
        <w:rPr>
          <w:rFonts w:ascii="ITC Avant Garde" w:hAnsi="ITC Avant Garde"/>
          <w:i/>
          <w:sz w:val="18"/>
          <w:szCs w:val="18"/>
          <w:u w:val="single"/>
        </w:rPr>
        <w:t>disparar</w:t>
      </w:r>
      <w:r w:rsidRPr="00FF03AB">
        <w:rPr>
          <w:rFonts w:ascii="ITC Avant Garde" w:hAnsi="ITC Avant Garde"/>
          <w:i/>
          <w:sz w:val="18"/>
          <w:szCs w:val="18"/>
        </w:rPr>
        <w:t xml:space="preserve"> el crecimiento de los </w:t>
      </w:r>
      <w:r w:rsidRPr="00C723A6">
        <w:rPr>
          <w:rFonts w:ascii="ITC Avant Garde" w:hAnsi="ITC Avant Garde"/>
          <w:i/>
          <w:strike/>
          <w:sz w:val="18"/>
          <w:szCs w:val="18"/>
        </w:rPr>
        <w:t>enlaces</w:t>
      </w:r>
      <w:r w:rsidR="00C723A6">
        <w:rPr>
          <w:rFonts w:ascii="ITC Avant Garde" w:hAnsi="ITC Avant Garde"/>
          <w:i/>
          <w:sz w:val="18"/>
          <w:szCs w:val="18"/>
        </w:rPr>
        <w:t xml:space="preserve"> </w:t>
      </w:r>
      <w:r w:rsidRPr="00C723A6">
        <w:rPr>
          <w:rFonts w:ascii="ITC Avant Garde" w:hAnsi="ITC Avant Garde"/>
          <w:i/>
          <w:sz w:val="18"/>
          <w:szCs w:val="18"/>
          <w:u w:val="single"/>
        </w:rPr>
        <w:t>servicios.</w:t>
      </w:r>
      <w:r w:rsidR="00C723A6">
        <w:rPr>
          <w:rFonts w:ascii="ITC Avant Garde" w:hAnsi="ITC Avant Garde"/>
          <w:i/>
          <w:sz w:val="18"/>
          <w:szCs w:val="18"/>
        </w:rPr>
        <w:t>, C</w:t>
      </w:r>
      <w:r w:rsidRPr="00FF03AB">
        <w:rPr>
          <w:rFonts w:ascii="ITC Avant Garde" w:hAnsi="ITC Avant Garde"/>
          <w:i/>
          <w:sz w:val="18"/>
          <w:szCs w:val="18"/>
        </w:rPr>
        <w:t xml:space="preserve">on lo anterior, en caso de falla de uno de los </w:t>
      </w:r>
      <w:r w:rsidRPr="00C723A6">
        <w:rPr>
          <w:rFonts w:ascii="ITC Avant Garde" w:hAnsi="ITC Avant Garde"/>
          <w:i/>
          <w:strike/>
          <w:sz w:val="18"/>
          <w:szCs w:val="18"/>
        </w:rPr>
        <w:t>PDIC</w:t>
      </w:r>
      <w:r w:rsidR="00C723A6">
        <w:rPr>
          <w:rFonts w:ascii="ITC Avant Garde" w:hAnsi="ITC Avant Garde"/>
          <w:i/>
          <w:sz w:val="18"/>
          <w:szCs w:val="18"/>
        </w:rPr>
        <w:t xml:space="preserve"> </w:t>
      </w:r>
      <w:r w:rsidRPr="00C723A6">
        <w:rPr>
          <w:rFonts w:ascii="ITC Avant Garde" w:hAnsi="ITC Avant Garde"/>
          <w:i/>
          <w:sz w:val="18"/>
          <w:szCs w:val="18"/>
          <w:u w:val="single"/>
        </w:rPr>
        <w:lastRenderedPageBreak/>
        <w:t>sitios</w:t>
      </w:r>
      <w:r w:rsidRPr="00FF03AB">
        <w:rPr>
          <w:rFonts w:ascii="ITC Avant Garde" w:hAnsi="ITC Avant Garde"/>
          <w:i/>
          <w:sz w:val="18"/>
          <w:szCs w:val="18"/>
        </w:rPr>
        <w:t xml:space="preserve">, el tráfico de </w:t>
      </w:r>
      <w:r w:rsidRPr="00C723A6">
        <w:rPr>
          <w:rFonts w:ascii="ITC Avant Garde" w:hAnsi="ITC Avant Garde"/>
          <w:i/>
          <w:strike/>
          <w:sz w:val="18"/>
          <w:szCs w:val="18"/>
        </w:rPr>
        <w:t>este</w:t>
      </w:r>
      <w:r w:rsidRPr="00FF03AB">
        <w:rPr>
          <w:rFonts w:ascii="ITC Avant Garde" w:hAnsi="ITC Avant Garde"/>
          <w:i/>
          <w:sz w:val="18"/>
          <w:szCs w:val="18"/>
        </w:rPr>
        <w:t xml:space="preserve"> se </w:t>
      </w:r>
      <w:r w:rsidRPr="00C723A6">
        <w:rPr>
          <w:rFonts w:ascii="ITC Avant Garde" w:hAnsi="ITC Avant Garde"/>
          <w:i/>
          <w:strike/>
          <w:sz w:val="18"/>
          <w:szCs w:val="18"/>
        </w:rPr>
        <w:t>direccionará</w:t>
      </w:r>
      <w:r w:rsidRPr="00FF03AB">
        <w:rPr>
          <w:rFonts w:ascii="ITC Avant Garde" w:hAnsi="ITC Avant Garde"/>
          <w:i/>
          <w:sz w:val="18"/>
          <w:szCs w:val="18"/>
        </w:rPr>
        <w:t xml:space="preserve"> </w:t>
      </w:r>
      <w:r w:rsidRPr="00C723A6">
        <w:rPr>
          <w:rFonts w:ascii="ITC Avant Garde" w:hAnsi="ITC Avant Garde"/>
          <w:i/>
          <w:sz w:val="18"/>
          <w:szCs w:val="18"/>
          <w:u w:val="single"/>
        </w:rPr>
        <w:t>enrutará</w:t>
      </w:r>
      <w:r w:rsidRPr="00FF03AB">
        <w:rPr>
          <w:rFonts w:ascii="ITC Avant Garde" w:hAnsi="ITC Avant Garde"/>
          <w:i/>
          <w:sz w:val="18"/>
          <w:szCs w:val="18"/>
        </w:rPr>
        <w:t xml:space="preserve"> al enlace en servicio, </w:t>
      </w:r>
      <w:r w:rsidRPr="00C723A6">
        <w:rPr>
          <w:rFonts w:ascii="ITC Avant Garde" w:hAnsi="ITC Avant Garde"/>
          <w:i/>
          <w:strike/>
          <w:sz w:val="18"/>
          <w:szCs w:val="18"/>
        </w:rPr>
        <w:t>disminuyendo o en su caso eliminando la afectación a los servicios</w:t>
      </w:r>
      <w:r w:rsidR="00C723A6">
        <w:rPr>
          <w:rFonts w:ascii="ITC Avant Garde" w:hAnsi="ITC Avant Garde"/>
          <w:i/>
          <w:sz w:val="18"/>
          <w:szCs w:val="18"/>
        </w:rPr>
        <w:t xml:space="preserve"> </w:t>
      </w:r>
      <w:r w:rsidRPr="00C723A6">
        <w:rPr>
          <w:rFonts w:ascii="ITC Avant Garde" w:hAnsi="ITC Avant Garde"/>
          <w:i/>
          <w:sz w:val="18"/>
          <w:szCs w:val="18"/>
          <w:u w:val="single"/>
        </w:rPr>
        <w:t>previniendo la afectación del servicio</w:t>
      </w:r>
      <w:r w:rsidRPr="00FF03AB">
        <w:rPr>
          <w:rFonts w:ascii="ITC Avant Garde" w:hAnsi="ITC Avant Garde"/>
          <w:i/>
          <w:sz w:val="18"/>
          <w:szCs w:val="18"/>
        </w:rPr>
        <w:t>.”</w:t>
      </w:r>
    </w:p>
    <w:p w14:paraId="5C9C6C9F" w14:textId="77777777" w:rsidR="003700E4" w:rsidRDefault="003700E4" w:rsidP="00FF03AB">
      <w:pPr>
        <w:spacing w:after="0" w:line="276" w:lineRule="auto"/>
        <w:ind w:left="567" w:right="616" w:hanging="11"/>
        <w:rPr>
          <w:rFonts w:ascii="ITC Avant Garde" w:hAnsi="ITC Avant Garde"/>
          <w:i/>
          <w:sz w:val="18"/>
          <w:szCs w:val="18"/>
        </w:rPr>
      </w:pPr>
    </w:p>
    <w:p w14:paraId="784C7F25" w14:textId="77777777" w:rsidR="003700E4" w:rsidRPr="00614DE2" w:rsidRDefault="003700E4" w:rsidP="003700E4">
      <w:pPr>
        <w:spacing w:after="0" w:line="276" w:lineRule="auto"/>
        <w:ind w:left="567" w:right="616" w:hanging="11"/>
        <w:jc w:val="right"/>
        <w:rPr>
          <w:rFonts w:ascii="ITC Avant Garde" w:hAnsi="ITC Avant Garde"/>
          <w:i/>
          <w:sz w:val="18"/>
          <w:szCs w:val="18"/>
        </w:rPr>
      </w:pPr>
      <w:r>
        <w:rPr>
          <w:rFonts w:ascii="ITC Avant Garde" w:hAnsi="ITC Avant Garde"/>
          <w:i/>
          <w:sz w:val="18"/>
          <w:szCs w:val="18"/>
        </w:rPr>
        <w:t>(Énfasis añadido)</w:t>
      </w:r>
    </w:p>
    <w:p w14:paraId="258538D8" w14:textId="77777777" w:rsidR="00A27C22" w:rsidRPr="0053503B" w:rsidRDefault="00A27C22" w:rsidP="00D851E6">
      <w:pPr>
        <w:spacing w:after="0" w:line="276" w:lineRule="auto"/>
        <w:rPr>
          <w:rFonts w:ascii="ITC Avant Garde" w:hAnsi="ITC Avant Garde"/>
          <w:b/>
        </w:rPr>
      </w:pPr>
    </w:p>
    <w:p w14:paraId="07A2074E" w14:textId="1E500062" w:rsidR="009A3D2D" w:rsidRDefault="00377423" w:rsidP="009A3D2D">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UC Telecomunicaciones</w:t>
      </w:r>
    </w:p>
    <w:p w14:paraId="6DFEE55E" w14:textId="63FA4B9D" w:rsidR="009A3D2D" w:rsidRDefault="009A3D2D" w:rsidP="009A3D2D">
      <w:r>
        <w:rPr>
          <w:rFonts w:ascii="ITC Avant Garde" w:eastAsia="Avant Garde" w:hAnsi="ITC Avant Garde" w:cs="Avant Garde"/>
          <w:color w:val="000000"/>
          <w:lang w:eastAsia="es-MX"/>
        </w:rPr>
        <w:t>Señalan que en este apartado no se menciona si el desborde se efectúa de forma automática o manual. Asimismo, solicitan</w:t>
      </w:r>
      <w:r w:rsidR="00377423">
        <w:rPr>
          <w:rFonts w:ascii="ITC Avant Garde" w:eastAsia="Avant Garde" w:hAnsi="ITC Avant Garde" w:cs="Avant Garde"/>
          <w:color w:val="000000"/>
          <w:lang w:eastAsia="es-MX"/>
        </w:rPr>
        <w:t xml:space="preserve"> un apar</w:t>
      </w:r>
      <w:r>
        <w:rPr>
          <w:rFonts w:ascii="ITC Avant Garde" w:eastAsia="Avant Garde" w:hAnsi="ITC Avant Garde" w:cs="Avant Garde"/>
          <w:color w:val="000000"/>
          <w:lang w:eastAsia="es-MX"/>
        </w:rPr>
        <w:t>tado por fallas derivadas de un alto Post Dial Delay (PDD) así como incluir las recomendaciones RFC 3261 y 2543 en el anexo técnico.</w:t>
      </w:r>
    </w:p>
    <w:p w14:paraId="499AC719" w14:textId="77777777" w:rsidR="009A3D2D" w:rsidRPr="0053503B" w:rsidRDefault="009A3D2D" w:rsidP="009A3D2D">
      <w:pPr>
        <w:spacing w:line="276" w:lineRule="auto"/>
        <w:rPr>
          <w:rFonts w:ascii="ITC Avant Garde" w:hAnsi="ITC Avant Garde"/>
          <w:b/>
        </w:rPr>
      </w:pPr>
      <w:r w:rsidRPr="0053503B">
        <w:rPr>
          <w:rFonts w:ascii="ITC Avant Garde" w:hAnsi="ITC Avant Garde"/>
          <w:b/>
        </w:rPr>
        <w:t xml:space="preserve">Consideraciones del Instituto </w:t>
      </w:r>
    </w:p>
    <w:p w14:paraId="4B1BA6F8" w14:textId="2FE1CE58" w:rsidR="00962266" w:rsidRDefault="00377423" w:rsidP="009A3D2D">
      <w:pPr>
        <w:spacing w:line="276" w:lineRule="auto"/>
        <w:rPr>
          <w:rFonts w:ascii="ITC Avant Garde" w:eastAsia="Avant Garde" w:hAnsi="ITC Avant Garde" w:cs="Avant Garde"/>
          <w:b/>
          <w:color w:val="000000"/>
          <w:lang w:eastAsia="es-MX"/>
        </w:rPr>
      </w:pPr>
      <w:r>
        <w:rPr>
          <w:rFonts w:ascii="ITC Avant Garde" w:hAnsi="ITC Avant Garde"/>
        </w:rPr>
        <w:t xml:space="preserve">Las recomendaciones </w:t>
      </w:r>
      <w:r w:rsidR="00AD177A">
        <w:rPr>
          <w:rFonts w:ascii="ITC Avant Garde" w:hAnsi="ITC Avant Garde"/>
        </w:rPr>
        <w:t xml:space="preserve">relativas a </w:t>
      </w:r>
      <w:r>
        <w:rPr>
          <w:rFonts w:ascii="ITC Avant Garde" w:hAnsi="ITC Avant Garde"/>
        </w:rPr>
        <w:t>la utilización de parámetros y encabezados del protocolo SIP (</w:t>
      </w:r>
      <w:r>
        <w:rPr>
          <w:rFonts w:ascii="ITC Avant Garde" w:hAnsi="ITC Avant Garde"/>
          <w:i/>
        </w:rPr>
        <w:t xml:space="preserve">de sus siglas en inglés Session Initiation Protocol) </w:t>
      </w:r>
      <w:r w:rsidR="00AD177A">
        <w:rPr>
          <w:rFonts w:ascii="ITC Avant Garde" w:hAnsi="ITC Avant Garde"/>
        </w:rPr>
        <w:t xml:space="preserve">se encuentran contenidas en el Acuerdo de CTM, por lo cual lo señalado en este comentario excede el alcance del CMI. </w:t>
      </w:r>
    </w:p>
    <w:p w14:paraId="50C148AD" w14:textId="14B7FEB1"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2.4.3 Pronóstico de Demanda</w:t>
      </w:r>
      <w:r w:rsidR="00AD177A">
        <w:rPr>
          <w:rFonts w:ascii="ITC Avant Garde" w:eastAsia="Avant Garde" w:hAnsi="ITC Avant Garde" w:cs="Avant Garde"/>
          <w:b/>
          <w:color w:val="000000"/>
          <w:lang w:eastAsia="es-MX"/>
        </w:rPr>
        <w:t>.</w:t>
      </w:r>
      <w:r w:rsidRPr="0053503B">
        <w:rPr>
          <w:rFonts w:ascii="ITC Avant Garde" w:eastAsia="Avant Garde" w:hAnsi="ITC Avant Garde" w:cs="Avant Garde"/>
          <w:b/>
          <w:color w:val="000000"/>
          <w:lang w:eastAsia="es-MX"/>
        </w:rPr>
        <w:t xml:space="preserve"> </w:t>
      </w:r>
    </w:p>
    <w:p w14:paraId="220DF5E2"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AT&amp;T </w:t>
      </w:r>
    </w:p>
    <w:p w14:paraId="0C9E9B33" w14:textId="1C8B67BC" w:rsidR="00AE7499" w:rsidRPr="0053503B" w:rsidRDefault="00FE086E"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Señala que la obligación de recibir tráfico de terminación y de ofrecer interconexión directa aplica a todos los concesionarios, por lo cual se debe eliminar la necesidad de entregar pronósticos de demanda </w:t>
      </w:r>
      <w:r w:rsidR="008D49DA" w:rsidRPr="0053503B">
        <w:rPr>
          <w:rFonts w:ascii="ITC Avant Garde" w:eastAsia="Avant Garde" w:hAnsi="ITC Avant Garde" w:cs="Avant Garde"/>
          <w:color w:val="000000"/>
          <w:lang w:eastAsia="es-MX"/>
        </w:rPr>
        <w:t>o establecer esta</w:t>
      </w:r>
      <w:r w:rsidR="00CE105C" w:rsidRPr="0053503B">
        <w:rPr>
          <w:rFonts w:ascii="ITC Avant Garde" w:eastAsia="Avant Garde" w:hAnsi="ITC Avant Garde" w:cs="Avant Garde"/>
          <w:color w:val="000000"/>
          <w:lang w:eastAsia="es-MX"/>
        </w:rPr>
        <w:t xml:space="preserve"> obligación para las partes interconectadas.</w:t>
      </w:r>
    </w:p>
    <w:p w14:paraId="3BB49A91"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396DFAF9" w14:textId="3D820EE2" w:rsidR="00203837" w:rsidRPr="00AD177A" w:rsidRDefault="00AD177A" w:rsidP="00421913">
      <w:pPr>
        <w:spacing w:line="276" w:lineRule="auto"/>
        <w:rPr>
          <w:rFonts w:ascii="ITC Avant Garde" w:hAnsi="ITC Avant Garde"/>
        </w:rPr>
      </w:pPr>
      <w:r>
        <w:rPr>
          <w:rFonts w:ascii="ITC Avant Garde" w:hAnsi="ITC Avant Garde"/>
        </w:rPr>
        <w:t xml:space="preserve">Dado </w:t>
      </w:r>
      <w:r w:rsidR="00AE7499" w:rsidRPr="0053503B">
        <w:rPr>
          <w:rFonts w:ascii="ITC Avant Garde" w:hAnsi="ITC Avant Garde"/>
        </w:rPr>
        <w:t>que la obligación de entregar pronósticos de demanda de servicios de interconexión debe establecerse para las pa</w:t>
      </w:r>
      <w:r w:rsidR="007B09EC">
        <w:rPr>
          <w:rFonts w:ascii="ITC Avant Garde" w:hAnsi="ITC Avant Garde"/>
        </w:rPr>
        <w:t xml:space="preserve">rtes interconectadas </w:t>
      </w:r>
      <w:r>
        <w:rPr>
          <w:rFonts w:ascii="ITC Avant Garde" w:hAnsi="ITC Avant Garde"/>
        </w:rPr>
        <w:t xml:space="preserve">a efecto de que se puedan realizar expansiones de capacidad conforme el tráfico proyectado y con ello se realice un eficiente intercambio de tráfico, se establece la obligación de entregar los pronósticos de demanda para ambas partes </w:t>
      </w:r>
      <w:r w:rsidR="00203837" w:rsidRPr="0053503B">
        <w:rPr>
          <w:rFonts w:ascii="ITC Avant Garde" w:eastAsia="Avant Garde" w:hAnsi="ITC Avant Garde" w:cs="Avant Garde"/>
          <w:color w:val="000000"/>
          <w:lang w:eastAsia="es-MX"/>
        </w:rPr>
        <w:t>en los siguientes términos:</w:t>
      </w:r>
    </w:p>
    <w:p w14:paraId="1A29F154" w14:textId="68D496DB" w:rsidR="00203837" w:rsidRPr="00782C23" w:rsidRDefault="005A79C7"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r w:rsidR="00203837" w:rsidRPr="00782C23">
        <w:rPr>
          <w:rFonts w:ascii="ITC Avant Garde" w:hAnsi="ITC Avant Garde"/>
          <w:i/>
          <w:sz w:val="18"/>
          <w:szCs w:val="18"/>
        </w:rPr>
        <w:t>2.4.3 Pronóstico de Demanda de Servicios de Interconexión</w:t>
      </w:r>
    </w:p>
    <w:p w14:paraId="27192E73" w14:textId="77777777" w:rsidR="00203837" w:rsidRPr="00782C23" w:rsidRDefault="00203837" w:rsidP="00421913">
      <w:pPr>
        <w:spacing w:after="0" w:line="276" w:lineRule="auto"/>
        <w:ind w:left="567" w:right="616" w:hanging="11"/>
        <w:rPr>
          <w:rFonts w:ascii="ITC Avant Garde" w:hAnsi="ITC Avant Garde"/>
          <w:i/>
          <w:sz w:val="18"/>
          <w:szCs w:val="18"/>
        </w:rPr>
      </w:pPr>
    </w:p>
    <w:p w14:paraId="561BD232" w14:textId="1FCBB17E" w:rsidR="00203837" w:rsidRPr="00782C23" w:rsidRDefault="00203837"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Dentro del mes siguiente a la fecha de firma del presente Convenio </w:t>
      </w:r>
      <w:r w:rsidRPr="00782C23">
        <w:rPr>
          <w:rFonts w:ascii="ITC Avant Garde" w:hAnsi="ITC Avant Garde"/>
          <w:i/>
          <w:sz w:val="18"/>
          <w:szCs w:val="18"/>
          <w:u w:val="single"/>
        </w:rPr>
        <w:t>las Partes</w:t>
      </w:r>
      <w:r w:rsidRPr="00782C23">
        <w:rPr>
          <w:rFonts w:ascii="ITC Avant Garde" w:hAnsi="ITC Avant Garde"/>
          <w:i/>
          <w:sz w:val="18"/>
          <w:szCs w:val="18"/>
        </w:rPr>
        <w:t xml:space="preserve"> </w:t>
      </w:r>
      <w:r w:rsidRPr="00782C23">
        <w:rPr>
          <w:rFonts w:ascii="ITC Avant Garde" w:hAnsi="ITC Avant Garde"/>
          <w:i/>
          <w:strike/>
          <w:sz w:val="18"/>
          <w:szCs w:val="18"/>
        </w:rPr>
        <w:t>el CONCESIONARIO</w:t>
      </w:r>
      <w:r w:rsidRPr="00782C23">
        <w:rPr>
          <w:rFonts w:ascii="ITC Avant Garde" w:hAnsi="ITC Avant Garde"/>
          <w:i/>
          <w:sz w:val="18"/>
          <w:szCs w:val="18"/>
        </w:rPr>
        <w:t xml:space="preserve"> deberán proporcionarse </w:t>
      </w:r>
      <w:r w:rsidRPr="00782C23">
        <w:rPr>
          <w:rFonts w:ascii="ITC Avant Garde" w:hAnsi="ITC Avant Garde"/>
          <w:i/>
          <w:sz w:val="18"/>
          <w:szCs w:val="18"/>
          <w:u w:val="single"/>
        </w:rPr>
        <w:t>mutuamente</w:t>
      </w:r>
      <w:r w:rsidRPr="00782C23">
        <w:rPr>
          <w:rFonts w:ascii="ITC Avant Garde" w:hAnsi="ITC Avant Garde"/>
          <w:i/>
          <w:sz w:val="18"/>
          <w:szCs w:val="18"/>
        </w:rPr>
        <w:t xml:space="preserv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045BA83A" w14:textId="77777777" w:rsidR="00203837" w:rsidRPr="00782C23" w:rsidRDefault="00203837" w:rsidP="00421913">
      <w:pPr>
        <w:spacing w:after="0" w:line="276" w:lineRule="auto"/>
        <w:ind w:left="567" w:right="616" w:hanging="11"/>
        <w:rPr>
          <w:rFonts w:ascii="ITC Avant Garde" w:hAnsi="ITC Avant Garde"/>
          <w:i/>
          <w:sz w:val="18"/>
          <w:szCs w:val="18"/>
        </w:rPr>
      </w:pPr>
    </w:p>
    <w:p w14:paraId="4B51674D" w14:textId="3EAC41AD" w:rsidR="00203837" w:rsidRPr="00782C23" w:rsidRDefault="00203837"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Posteriormente, en su caso, </w:t>
      </w:r>
      <w:r w:rsidRPr="00782C23">
        <w:rPr>
          <w:rFonts w:ascii="ITC Avant Garde" w:hAnsi="ITC Avant Garde"/>
          <w:i/>
          <w:sz w:val="18"/>
          <w:szCs w:val="18"/>
          <w:u w:val="single"/>
        </w:rPr>
        <w:t>las Partes</w:t>
      </w:r>
      <w:r w:rsidRPr="00782C23">
        <w:rPr>
          <w:rFonts w:ascii="ITC Avant Garde" w:hAnsi="ITC Avant Garde"/>
          <w:i/>
          <w:sz w:val="18"/>
          <w:szCs w:val="18"/>
        </w:rPr>
        <w:t xml:space="preserve"> </w:t>
      </w:r>
      <w:r w:rsidRPr="00782C23">
        <w:rPr>
          <w:rFonts w:ascii="ITC Avant Garde" w:hAnsi="ITC Avant Garde"/>
          <w:i/>
          <w:strike/>
          <w:sz w:val="18"/>
          <w:szCs w:val="18"/>
        </w:rPr>
        <w:t>el CONCESIONARIO</w:t>
      </w:r>
      <w:r w:rsidRPr="00782C23">
        <w:rPr>
          <w:rFonts w:ascii="ITC Avant Garde" w:hAnsi="ITC Avant Garde"/>
          <w:i/>
          <w:sz w:val="18"/>
          <w:szCs w:val="18"/>
        </w:rPr>
        <w:t xml:space="preserve"> entregarán en los meses de julio y diciembre, su Pronóstico de Demanda de Servicios de Interconexión para el primer y segundo semestre del año calendario siguiente, mismos que deberán ser ratificados por el CONCESIONARIO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los cuales serán entregados en la fecha que sea acordada por las Partes. </w:t>
      </w:r>
    </w:p>
    <w:p w14:paraId="716055D2" w14:textId="17C9608A" w:rsidR="005A79C7" w:rsidRPr="00782C23" w:rsidRDefault="005A79C7" w:rsidP="00421913">
      <w:pPr>
        <w:spacing w:after="0" w:line="276" w:lineRule="auto"/>
        <w:ind w:left="567" w:right="616" w:hanging="11"/>
        <w:rPr>
          <w:rFonts w:ascii="ITC Avant Garde" w:hAnsi="ITC Avant Garde"/>
          <w:i/>
          <w:sz w:val="18"/>
          <w:szCs w:val="18"/>
        </w:rPr>
      </w:pPr>
    </w:p>
    <w:p w14:paraId="23893C5E" w14:textId="26993E0F" w:rsidR="005A79C7" w:rsidRPr="00782C23" w:rsidRDefault="005A79C7"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5FEE9732" w14:textId="53FEDC86" w:rsidR="005A79C7" w:rsidRPr="00782C23" w:rsidRDefault="005A79C7"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7A357564" w14:textId="6FE566C0" w:rsidR="00203837" w:rsidRPr="0053503B" w:rsidRDefault="00203837" w:rsidP="00D851E6">
      <w:pPr>
        <w:spacing w:after="0" w:line="276" w:lineRule="auto"/>
        <w:rPr>
          <w:rFonts w:ascii="ITC Avant Garde" w:eastAsia="Avant Garde" w:hAnsi="ITC Avant Garde" w:cs="Avant Garde"/>
          <w:color w:val="000000"/>
          <w:lang w:val="es-ES" w:eastAsia="es-MX"/>
        </w:rPr>
      </w:pPr>
    </w:p>
    <w:p w14:paraId="318444F6" w14:textId="47972A34" w:rsidR="00AE7499" w:rsidRPr="00E37612" w:rsidRDefault="00AE7499" w:rsidP="00421913">
      <w:pPr>
        <w:spacing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 xml:space="preserve">Cláusula Cuarta Contraprestaciones </w:t>
      </w:r>
    </w:p>
    <w:p w14:paraId="3A566643" w14:textId="7EBA23DE" w:rsidR="00AE7499" w:rsidRPr="0053503B" w:rsidRDefault="00962266"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4.1 Tarifas y Formas de Pago:</w:t>
      </w:r>
    </w:p>
    <w:p w14:paraId="1F9DEA77"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7CA10E40" w14:textId="2E749972" w:rsidR="00AE7499" w:rsidRPr="0053503B" w:rsidRDefault="00AE7499"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Sugiere</w:t>
      </w:r>
      <w:r w:rsidR="00AF0F57" w:rsidRPr="0053503B">
        <w:rPr>
          <w:rFonts w:ascii="ITC Avant Garde" w:eastAsia="Avant Garde" w:hAnsi="ITC Avant Garde" w:cs="Avant Garde"/>
          <w:color w:val="000000"/>
          <w:lang w:eastAsia="es-MX"/>
        </w:rPr>
        <w:t>n</w:t>
      </w:r>
      <w:r w:rsidR="001907D9" w:rsidRPr="0053503B">
        <w:rPr>
          <w:rFonts w:ascii="ITC Avant Garde" w:eastAsia="Avant Garde" w:hAnsi="ITC Avant Garde" w:cs="Avant Garde"/>
          <w:color w:val="000000"/>
          <w:lang w:eastAsia="es-MX"/>
        </w:rPr>
        <w:t xml:space="preserve"> eliminar el numeral 4.1</w:t>
      </w:r>
      <w:r w:rsidRPr="0053503B">
        <w:rPr>
          <w:rFonts w:ascii="ITC Avant Garde" w:eastAsia="Avant Garde" w:hAnsi="ITC Avant Garde" w:cs="Avant Garde"/>
          <w:color w:val="000000"/>
          <w:lang w:eastAsia="es-MX"/>
        </w:rPr>
        <w:t xml:space="preserve"> debido a que las tar</w:t>
      </w:r>
      <w:r w:rsidR="001907D9" w:rsidRPr="0053503B">
        <w:rPr>
          <w:rFonts w:ascii="ITC Avant Garde" w:eastAsia="Avant Garde" w:hAnsi="ITC Avant Garde" w:cs="Avant Garde"/>
          <w:color w:val="000000"/>
          <w:lang w:eastAsia="es-MX"/>
        </w:rPr>
        <w:t xml:space="preserve">ifas no deben estar regidas por principios </w:t>
      </w:r>
      <w:r w:rsidR="00BA0DFB" w:rsidRPr="0053503B">
        <w:rPr>
          <w:rFonts w:ascii="ITC Avant Garde" w:eastAsia="Avant Garde" w:hAnsi="ITC Avant Garde" w:cs="Avant Garde"/>
          <w:color w:val="000000"/>
          <w:lang w:eastAsia="es-MX"/>
        </w:rPr>
        <w:t>establecidos por el AEP. E</w:t>
      </w:r>
      <w:r w:rsidRPr="0053503B">
        <w:rPr>
          <w:rFonts w:ascii="ITC Avant Garde" w:eastAsia="Avant Garde" w:hAnsi="ITC Avant Garde" w:cs="Avant Garde"/>
          <w:color w:val="000000"/>
          <w:lang w:eastAsia="es-MX"/>
        </w:rPr>
        <w:t>n todo caso</w:t>
      </w:r>
      <w:r w:rsidR="00BA0DFB" w:rsidRPr="0053503B">
        <w:rPr>
          <w:rFonts w:ascii="ITC Avant Garde" w:eastAsia="Avant Garde" w:hAnsi="ITC Avant Garde" w:cs="Avant Garde"/>
          <w:color w:val="000000"/>
          <w:lang w:eastAsia="es-MX"/>
        </w:rPr>
        <w:t>, esto</w:t>
      </w:r>
      <w:r w:rsidR="004465F9" w:rsidRPr="0053503B">
        <w:rPr>
          <w:rFonts w:ascii="ITC Avant Garde" w:eastAsia="Avant Garde" w:hAnsi="ITC Avant Garde" w:cs="Avant Garde"/>
          <w:color w:val="000000"/>
          <w:lang w:eastAsia="es-MX"/>
        </w:rPr>
        <w:t>s deberán</w:t>
      </w:r>
      <w:r w:rsidR="00AD177A">
        <w:rPr>
          <w:rFonts w:ascii="ITC Avant Garde" w:eastAsia="Avant Garde" w:hAnsi="ITC Avant Garde" w:cs="Avant Garde"/>
          <w:color w:val="000000"/>
          <w:lang w:eastAsia="es-MX"/>
        </w:rPr>
        <w:t xml:space="preserve"> ser establecido</w:t>
      </w:r>
      <w:r w:rsidRPr="0053503B">
        <w:rPr>
          <w:rFonts w:ascii="ITC Avant Garde" w:eastAsia="Avant Garde" w:hAnsi="ITC Avant Garde" w:cs="Avant Garde"/>
          <w:color w:val="000000"/>
          <w:lang w:eastAsia="es-MX"/>
        </w:rPr>
        <w:t xml:space="preserve">s por el Instituto. </w:t>
      </w:r>
    </w:p>
    <w:p w14:paraId="49ACA19D"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7EC0E151" w14:textId="7BCEC59F" w:rsidR="00AE7499" w:rsidRPr="0053503B" w:rsidRDefault="00FB7E95"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 fin de incluir lo establecido</w:t>
      </w:r>
      <w:r w:rsidR="00AE7499" w:rsidRPr="0053503B">
        <w:rPr>
          <w:rFonts w:ascii="ITC Avant Garde" w:eastAsia="Avant Garde" w:hAnsi="ITC Avant Garde" w:cs="Avant Garde"/>
          <w:color w:val="000000"/>
          <w:lang w:eastAsia="es-MX"/>
        </w:rPr>
        <w:t xml:space="preserve"> en el </w:t>
      </w:r>
      <w:r w:rsidR="00AE7499" w:rsidRPr="0053503B">
        <w:rPr>
          <w:rFonts w:ascii="ITC Avant Garde" w:eastAsia="Avant Garde" w:hAnsi="ITC Avant Garde" w:cs="Avant Garde"/>
          <w:i/>
          <w:color w:val="000000"/>
          <w:lang w:eastAsia="es-MX"/>
        </w:rPr>
        <w:t>“ACUERDO MEDIANTE EL CUAL EL PLENO DEL INSTITUTO FEDERAL DE TELECOMUNICACIONES EMITE LA METODOLOGÍA PARA EL CÁLCULO DE COSTOS DE INTERCONEXIÓN DE CONFORMIDAD CON LA LEY FEDERAL DE TELECOMUNICACIONES Y RADIODIFUSIÓN”</w:t>
      </w:r>
      <w:r w:rsidR="00AE7499" w:rsidRPr="0053503B">
        <w:rPr>
          <w:rFonts w:ascii="ITC Avant Garde" w:eastAsia="Avant Garde" w:hAnsi="ITC Avant Garde" w:cs="Avant Garde"/>
          <w:color w:val="000000"/>
          <w:lang w:eastAsia="es-MX"/>
        </w:rPr>
        <w:t>, se modifica el numeral en cuestión en los siguientes términos:</w:t>
      </w:r>
    </w:p>
    <w:p w14:paraId="4890E619" w14:textId="77777777" w:rsidR="00AE7499" w:rsidRPr="00782C23" w:rsidRDefault="00AE7499"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“Las tarifas aplicables a los Servicios de Interconexión que se provean las Partes deberán cumplir con los siguientes principios:</w:t>
      </w:r>
    </w:p>
    <w:p w14:paraId="79D828B7" w14:textId="77777777" w:rsidR="00AE7499" w:rsidRPr="00782C23" w:rsidRDefault="00AE7499" w:rsidP="00421913">
      <w:pPr>
        <w:spacing w:after="0" w:line="276" w:lineRule="auto"/>
        <w:ind w:left="567" w:right="616" w:hanging="11"/>
        <w:rPr>
          <w:rFonts w:ascii="ITC Avant Garde" w:hAnsi="ITC Avant Garde"/>
          <w:i/>
          <w:sz w:val="18"/>
          <w:szCs w:val="18"/>
        </w:rPr>
      </w:pPr>
    </w:p>
    <w:p w14:paraId="097FA2E5" w14:textId="77777777" w:rsidR="00AE7499" w:rsidRPr="00782C23" w:rsidRDefault="00AE7499" w:rsidP="00421913">
      <w:pPr>
        <w:pStyle w:val="Prrafodelista"/>
        <w:numPr>
          <w:ilvl w:val="0"/>
          <w:numId w:val="2"/>
        </w:numPr>
        <w:spacing w:after="0" w:line="276" w:lineRule="auto"/>
        <w:ind w:right="616"/>
        <w:rPr>
          <w:rFonts w:ascii="ITC Avant Garde" w:hAnsi="ITC Avant Garde"/>
          <w:i/>
          <w:sz w:val="18"/>
          <w:szCs w:val="18"/>
        </w:rPr>
      </w:pPr>
      <w:r w:rsidRPr="00782C23">
        <w:rPr>
          <w:rFonts w:ascii="ITC Avant Garde" w:hAnsi="ITC Avant Garde"/>
          <w:i/>
          <w:sz w:val="18"/>
          <w:szCs w:val="18"/>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098EDE2" w14:textId="77777777" w:rsidR="00AE7499" w:rsidRPr="00782C23" w:rsidRDefault="00AE7499" w:rsidP="00421913">
      <w:pPr>
        <w:spacing w:after="0" w:line="276" w:lineRule="auto"/>
        <w:ind w:left="567" w:right="616" w:hanging="11"/>
        <w:rPr>
          <w:rFonts w:ascii="ITC Avant Garde" w:hAnsi="ITC Avant Garde"/>
          <w:i/>
          <w:sz w:val="18"/>
          <w:szCs w:val="18"/>
        </w:rPr>
      </w:pPr>
    </w:p>
    <w:p w14:paraId="05EA9D8B" w14:textId="77777777" w:rsidR="00AE7499" w:rsidRPr="00782C23" w:rsidRDefault="00AE7499" w:rsidP="00421913">
      <w:pPr>
        <w:pStyle w:val="Prrafodelista"/>
        <w:numPr>
          <w:ilvl w:val="0"/>
          <w:numId w:val="2"/>
        </w:numPr>
        <w:spacing w:after="0" w:line="276" w:lineRule="auto"/>
        <w:ind w:right="616"/>
        <w:rPr>
          <w:rFonts w:ascii="ITC Avant Garde" w:hAnsi="ITC Avant Garde"/>
          <w:i/>
          <w:sz w:val="18"/>
          <w:szCs w:val="18"/>
          <w:u w:val="single"/>
        </w:rPr>
      </w:pPr>
      <w:r w:rsidRPr="00782C23">
        <w:rPr>
          <w:rFonts w:ascii="ITC Avant Garde" w:hAnsi="ITC Avant Garde"/>
          <w:i/>
          <w:sz w:val="18"/>
          <w:szCs w:val="18"/>
          <w:u w:val="single"/>
        </w:rPr>
        <w:t>Permitir recuperar al menos el costo incremental total promedio de largo plazo o el costo incremental de largo plazo puro, según sea el servicio de interconexión de que se trate.</w:t>
      </w:r>
    </w:p>
    <w:p w14:paraId="14AA97F2" w14:textId="77777777" w:rsidR="00AE7499" w:rsidRPr="00782C23" w:rsidRDefault="00AE7499" w:rsidP="00421913">
      <w:pPr>
        <w:spacing w:after="0" w:line="276" w:lineRule="auto"/>
        <w:ind w:left="567" w:right="616" w:hanging="11"/>
        <w:rPr>
          <w:rFonts w:ascii="ITC Avant Garde" w:hAnsi="ITC Avant Garde"/>
          <w:i/>
          <w:sz w:val="18"/>
          <w:szCs w:val="18"/>
        </w:rPr>
      </w:pPr>
    </w:p>
    <w:p w14:paraId="6F93D199" w14:textId="77777777" w:rsidR="00AE7499" w:rsidRPr="00782C23" w:rsidRDefault="00AE7499" w:rsidP="00421913">
      <w:pPr>
        <w:pStyle w:val="Prrafodelista"/>
        <w:numPr>
          <w:ilvl w:val="0"/>
          <w:numId w:val="2"/>
        </w:numPr>
        <w:spacing w:after="0" w:line="276" w:lineRule="auto"/>
        <w:ind w:right="616"/>
        <w:rPr>
          <w:rFonts w:ascii="ITC Avant Garde" w:hAnsi="ITC Avant Garde"/>
          <w:i/>
          <w:sz w:val="18"/>
          <w:szCs w:val="18"/>
        </w:rPr>
      </w:pPr>
      <w:r w:rsidRPr="00782C23">
        <w:rPr>
          <w:rFonts w:ascii="ITC Avant Garde" w:hAnsi="ITC Avant Garde"/>
          <w:i/>
          <w:sz w:val="18"/>
          <w:szCs w:val="18"/>
        </w:rPr>
        <w:t>No deberán contener costos no asociados a la prestación del Servicio de Interconexión relevante.</w:t>
      </w:r>
    </w:p>
    <w:p w14:paraId="14DCBB60" w14:textId="77777777" w:rsidR="00AE7499" w:rsidRPr="00782C23" w:rsidRDefault="00AE7499" w:rsidP="00421913">
      <w:pPr>
        <w:spacing w:after="0" w:line="276" w:lineRule="auto"/>
        <w:ind w:left="567" w:right="616" w:hanging="11"/>
        <w:rPr>
          <w:rFonts w:ascii="ITC Avant Garde" w:hAnsi="ITC Avant Garde"/>
          <w:i/>
          <w:sz w:val="18"/>
          <w:szCs w:val="18"/>
        </w:rPr>
      </w:pPr>
    </w:p>
    <w:p w14:paraId="730D0101" w14:textId="77777777" w:rsidR="00AE7499" w:rsidRPr="00782C23" w:rsidRDefault="00AE7499" w:rsidP="00421913">
      <w:pPr>
        <w:pStyle w:val="Prrafodelista"/>
        <w:numPr>
          <w:ilvl w:val="0"/>
          <w:numId w:val="2"/>
        </w:numPr>
        <w:spacing w:after="0" w:line="276" w:lineRule="auto"/>
        <w:ind w:right="616"/>
        <w:rPr>
          <w:rFonts w:ascii="ITC Avant Garde" w:hAnsi="ITC Avant Garde"/>
          <w:i/>
          <w:sz w:val="18"/>
          <w:szCs w:val="18"/>
        </w:rPr>
      </w:pPr>
      <w:r w:rsidRPr="00782C23">
        <w:rPr>
          <w:rFonts w:ascii="ITC Avant Garde" w:hAnsi="ITC Avant Garde"/>
          <w:i/>
          <w:sz w:val="18"/>
          <w:szCs w:val="18"/>
        </w:rPr>
        <w:t>No deberán incluir cualquier otro costo fijo o variable que sea recuperado a través del usuario.”</w:t>
      </w:r>
    </w:p>
    <w:p w14:paraId="54EC66DE" w14:textId="77777777" w:rsidR="00AE7499" w:rsidRPr="00782C23" w:rsidRDefault="00AE7499" w:rsidP="00421913">
      <w:pPr>
        <w:pStyle w:val="Prrafodelista"/>
        <w:spacing w:line="276" w:lineRule="auto"/>
        <w:rPr>
          <w:rFonts w:ascii="ITC Avant Garde" w:hAnsi="ITC Avant Garde"/>
          <w:i/>
          <w:sz w:val="18"/>
          <w:szCs w:val="18"/>
        </w:rPr>
      </w:pPr>
    </w:p>
    <w:p w14:paraId="0C3334E2" w14:textId="77777777" w:rsidR="00AE7499" w:rsidRPr="00782C23" w:rsidRDefault="00AE7499" w:rsidP="00421913">
      <w:pPr>
        <w:spacing w:after="0" w:line="276" w:lineRule="auto"/>
        <w:ind w:right="616"/>
        <w:jc w:val="right"/>
        <w:rPr>
          <w:rFonts w:ascii="ITC Avant Garde" w:hAnsi="ITC Avant Garde"/>
          <w:i/>
          <w:sz w:val="18"/>
          <w:szCs w:val="18"/>
        </w:rPr>
      </w:pPr>
      <w:r w:rsidRPr="00782C23">
        <w:rPr>
          <w:rFonts w:ascii="ITC Avant Garde" w:hAnsi="ITC Avant Garde"/>
          <w:i/>
          <w:sz w:val="18"/>
          <w:szCs w:val="18"/>
        </w:rPr>
        <w:t>(Énfasis añadido)</w:t>
      </w:r>
    </w:p>
    <w:p w14:paraId="23807A99" w14:textId="77777777" w:rsidR="00AE7499" w:rsidRPr="0053503B" w:rsidRDefault="00AE7499" w:rsidP="00B4572B">
      <w:pPr>
        <w:spacing w:after="0" w:line="276" w:lineRule="auto"/>
        <w:rPr>
          <w:rFonts w:ascii="ITC Avant Garde" w:eastAsia="Avant Garde" w:hAnsi="ITC Avant Garde" w:cs="Avant Garde"/>
          <w:color w:val="000000"/>
          <w:lang w:eastAsia="es-MX"/>
        </w:rPr>
      </w:pPr>
    </w:p>
    <w:p w14:paraId="12EC17C7" w14:textId="66199E94"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4.1.2 Vigencia</w:t>
      </w:r>
      <w:r w:rsidR="00AD177A">
        <w:rPr>
          <w:rFonts w:ascii="ITC Avant Garde" w:eastAsia="Avant Garde" w:hAnsi="ITC Avant Garde" w:cs="Avant Garde"/>
          <w:b/>
          <w:color w:val="000000"/>
          <w:lang w:eastAsia="es-MX"/>
        </w:rPr>
        <w:t>.</w:t>
      </w:r>
    </w:p>
    <w:p w14:paraId="0658D8C1" w14:textId="3FC9C62C" w:rsidR="00AE7499" w:rsidRPr="0053503B" w:rsidRDefault="007F263D"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ALTÁN,</w:t>
      </w:r>
      <w:r w:rsidR="00AE7499" w:rsidRPr="0053503B">
        <w:rPr>
          <w:rFonts w:ascii="ITC Avant Garde" w:eastAsia="Avant Garde" w:hAnsi="ITC Avant Garde" w:cs="Avant Garde"/>
          <w:b/>
          <w:color w:val="000000"/>
          <w:lang w:eastAsia="es-MX"/>
        </w:rPr>
        <w:t xml:space="preserve"> TELEFÓNICA</w:t>
      </w:r>
      <w:r>
        <w:rPr>
          <w:rFonts w:ascii="ITC Avant Garde" w:eastAsia="Avant Garde" w:hAnsi="ITC Avant Garde" w:cs="Avant Garde"/>
          <w:b/>
          <w:color w:val="000000"/>
          <w:lang w:eastAsia="es-MX"/>
        </w:rPr>
        <w:t>, TELEVISA</w:t>
      </w:r>
    </w:p>
    <w:p w14:paraId="19802514" w14:textId="603E8A7D" w:rsidR="00AE7499" w:rsidRPr="0053503B" w:rsidRDefault="0056395C"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eliminar el párrafo</w:t>
      </w:r>
      <w:r w:rsidR="00AD177A">
        <w:rPr>
          <w:rFonts w:ascii="ITC Avant Garde" w:eastAsia="Avant Garde" w:hAnsi="ITC Avant Garde" w:cs="Avant Garde"/>
          <w:color w:val="000000"/>
          <w:lang w:eastAsia="es-MX"/>
        </w:rPr>
        <w:t xml:space="preserve"> en el que se señala que “</w:t>
      </w:r>
      <w:r w:rsidR="00AD177A" w:rsidRPr="00AD177A">
        <w:rPr>
          <w:rFonts w:ascii="ITC Avant Garde" w:hAnsi="ITC Avant Garde"/>
          <w:i/>
        </w:rPr>
        <w:t>en el entendido de que, una vez que se determinen las nuevas contraprestaciones aplicables, éstas surtirán efecto a partir de la fecha de conclusión de vigencia de las anteriores…”</w:t>
      </w:r>
      <w:r w:rsidR="007732A8" w:rsidRPr="00AD177A">
        <w:rPr>
          <w:rFonts w:ascii="ITC Avant Garde" w:eastAsia="Avant Garde" w:hAnsi="ITC Avant Garde" w:cs="Avant Garde"/>
          <w:color w:val="000000"/>
          <w:lang w:eastAsia="es-MX"/>
        </w:rPr>
        <w:t>,</w:t>
      </w:r>
      <w:r w:rsidRPr="00AD177A">
        <w:rPr>
          <w:rFonts w:ascii="ITC Avant Garde" w:eastAsia="Avant Garde" w:hAnsi="ITC Avant Garde" w:cs="Avant Garde"/>
          <w:color w:val="000000"/>
          <w:lang w:eastAsia="es-MX"/>
        </w:rPr>
        <w:t xml:space="preserve"> y</w:t>
      </w:r>
      <w:r w:rsidRPr="0053503B">
        <w:rPr>
          <w:rFonts w:ascii="ITC Avant Garde" w:eastAsia="Avant Garde" w:hAnsi="ITC Avant Garde" w:cs="Avant Garde"/>
          <w:color w:val="000000"/>
          <w:lang w:eastAsia="es-MX"/>
        </w:rPr>
        <w:t xml:space="preserve">a que establece el principio de retroactividad de las tarifas de interconexión hasta la fecha </w:t>
      </w:r>
      <w:r w:rsidR="00546C27">
        <w:rPr>
          <w:rFonts w:ascii="ITC Avant Garde" w:eastAsia="Avant Garde" w:hAnsi="ITC Avant Garde" w:cs="Avant Garde"/>
          <w:color w:val="000000"/>
          <w:lang w:eastAsia="es-MX"/>
        </w:rPr>
        <w:t xml:space="preserve">en </w:t>
      </w:r>
      <w:r w:rsidRPr="0053503B">
        <w:rPr>
          <w:rFonts w:ascii="ITC Avant Garde" w:eastAsia="Avant Garde" w:hAnsi="ITC Avant Garde" w:cs="Avant Garde"/>
          <w:color w:val="000000"/>
          <w:lang w:eastAsia="es-MX"/>
        </w:rPr>
        <w:t>que perdieron vige</w:t>
      </w:r>
      <w:r w:rsidR="00AD177A">
        <w:rPr>
          <w:rFonts w:ascii="ITC Avant Garde" w:eastAsia="Avant Garde" w:hAnsi="ITC Avant Garde" w:cs="Avant Garde"/>
          <w:color w:val="000000"/>
          <w:lang w:eastAsia="es-MX"/>
        </w:rPr>
        <w:t>ncia las anteriormente pactadas.</w:t>
      </w:r>
    </w:p>
    <w:p w14:paraId="51CDD1F6" w14:textId="10AB4DD1" w:rsidR="00AE7499" w:rsidRPr="0053503B" w:rsidRDefault="004119C4"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Sin e</w:t>
      </w:r>
      <w:r w:rsidR="00AD177A">
        <w:rPr>
          <w:rFonts w:ascii="ITC Avant Garde" w:eastAsia="Avant Garde" w:hAnsi="ITC Avant Garde" w:cs="Avant Garde"/>
          <w:color w:val="000000"/>
          <w:lang w:eastAsia="es-MX"/>
        </w:rPr>
        <w:t>mbargo, é</w:t>
      </w:r>
      <w:r w:rsidR="009D2889" w:rsidRPr="0053503B">
        <w:rPr>
          <w:rFonts w:ascii="ITC Avant Garde" w:eastAsia="Avant Garde" w:hAnsi="ITC Avant Garde" w:cs="Avant Garde"/>
          <w:color w:val="000000"/>
          <w:lang w:eastAsia="es-MX"/>
        </w:rPr>
        <w:t xml:space="preserve">sta podría surtir efecto </w:t>
      </w:r>
      <w:r w:rsidRPr="0053503B">
        <w:rPr>
          <w:rFonts w:ascii="ITC Avant Garde" w:eastAsia="Avant Garde" w:hAnsi="ITC Avant Garde" w:cs="Avant Garde"/>
          <w:color w:val="000000"/>
          <w:lang w:eastAsia="es-MX"/>
        </w:rPr>
        <w:t>a partir de la fecha que pacten las partes o a partir de la fecha que se determine en la resolución administrativa o judicial</w:t>
      </w:r>
      <w:r w:rsidR="009D2889" w:rsidRPr="0053503B">
        <w:rPr>
          <w:rFonts w:ascii="ITC Avant Garde" w:eastAsia="Avant Garde" w:hAnsi="ITC Avant Garde" w:cs="Avant Garde"/>
          <w:color w:val="000000"/>
          <w:lang w:eastAsia="es-MX"/>
        </w:rPr>
        <w:t xml:space="preserve"> segú</w:t>
      </w:r>
      <w:r w:rsidR="007F263D">
        <w:rPr>
          <w:rFonts w:ascii="ITC Avant Garde" w:eastAsia="Avant Garde" w:hAnsi="ITC Avant Garde" w:cs="Avant Garde"/>
          <w:color w:val="000000"/>
          <w:lang w:eastAsia="es-MX"/>
        </w:rPr>
        <w:t>n corresponda</w:t>
      </w:r>
      <w:r w:rsidR="00AE7499" w:rsidRPr="0053503B">
        <w:rPr>
          <w:rFonts w:ascii="ITC Avant Garde" w:eastAsia="Avant Garde" w:hAnsi="ITC Avant Garde" w:cs="Avant Garde"/>
          <w:color w:val="000000"/>
          <w:lang w:eastAsia="es-MX"/>
        </w:rPr>
        <w:t xml:space="preserve">, y no a partir de la conclusión de la vigencia anterior. </w:t>
      </w:r>
    </w:p>
    <w:p w14:paraId="5FFC9A17"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1DD5C440" w14:textId="0B97B19C" w:rsidR="00AE7499" w:rsidRPr="0053503B" w:rsidRDefault="00981B43"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el numeral 4.1.2 del CMI se establece:</w:t>
      </w:r>
    </w:p>
    <w:p w14:paraId="68956A9B" w14:textId="18E26F47" w:rsidR="00981B43" w:rsidRDefault="00981B43" w:rsidP="00981B43">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981B43">
        <w:rPr>
          <w:rFonts w:ascii="ITC Avant Garde" w:hAnsi="ITC Avant Garde"/>
          <w:i/>
          <w:sz w:val="18"/>
          <w:szCs w:val="18"/>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w:t>
      </w:r>
      <w:r w:rsidRPr="00981B43">
        <w:rPr>
          <w:rFonts w:ascii="ITC Avant Garde" w:hAnsi="ITC Avant Garde"/>
          <w:i/>
          <w:sz w:val="18"/>
          <w:szCs w:val="18"/>
          <w:u w:val="single"/>
        </w:rPr>
        <w:t>Las nuevas contraprestaciones estarán expresadas al valor de la fecha en que fuesen determinadas, salvo que las Partes hubiesen pactado algo distinto, o bien, en caso de resolución administrativa, salvo que el Instituto, hubiese establecido una fecha distinta.</w:t>
      </w:r>
      <w:r>
        <w:rPr>
          <w:rFonts w:ascii="ITC Avant Garde" w:hAnsi="ITC Avant Garde"/>
          <w:i/>
          <w:sz w:val="18"/>
          <w:szCs w:val="18"/>
        </w:rPr>
        <w:t>”</w:t>
      </w:r>
      <w:r w:rsidRPr="00981B43">
        <w:rPr>
          <w:rFonts w:ascii="ITC Avant Garde" w:hAnsi="ITC Avant Garde"/>
          <w:i/>
          <w:sz w:val="18"/>
          <w:szCs w:val="18"/>
        </w:rPr>
        <w:t xml:space="preserve"> </w:t>
      </w:r>
    </w:p>
    <w:p w14:paraId="5641CFC2" w14:textId="77777777" w:rsidR="00981B43" w:rsidRDefault="00981B43" w:rsidP="00981B43">
      <w:pPr>
        <w:spacing w:after="0" w:line="276" w:lineRule="auto"/>
        <w:ind w:left="567" w:right="616" w:hanging="11"/>
        <w:rPr>
          <w:rFonts w:ascii="ITC Avant Garde" w:hAnsi="ITC Avant Garde"/>
          <w:i/>
          <w:sz w:val="18"/>
          <w:szCs w:val="18"/>
        </w:rPr>
      </w:pPr>
    </w:p>
    <w:p w14:paraId="129954DD" w14:textId="245E823C" w:rsidR="00C07D03" w:rsidRDefault="00981B43" w:rsidP="00981B43">
      <w:pPr>
        <w:spacing w:after="0" w:line="276" w:lineRule="auto"/>
        <w:ind w:left="6372" w:right="616" w:hanging="11"/>
        <w:rPr>
          <w:rFonts w:ascii="ITC Avant Garde" w:hAnsi="ITC Avant Garde"/>
          <w:i/>
          <w:sz w:val="18"/>
          <w:szCs w:val="18"/>
        </w:rPr>
      </w:pPr>
      <w:r>
        <w:rPr>
          <w:rFonts w:ascii="ITC Avant Garde" w:hAnsi="ITC Avant Garde"/>
          <w:i/>
          <w:sz w:val="18"/>
          <w:szCs w:val="18"/>
        </w:rPr>
        <w:t xml:space="preserve">     </w:t>
      </w:r>
      <w:r w:rsidR="00C07D03">
        <w:rPr>
          <w:rFonts w:ascii="ITC Avant Garde" w:hAnsi="ITC Avant Garde"/>
          <w:i/>
          <w:sz w:val="18"/>
          <w:szCs w:val="18"/>
        </w:rPr>
        <w:t>(Énfasis añadido)</w:t>
      </w:r>
    </w:p>
    <w:p w14:paraId="3FA69DBF" w14:textId="1239A2F9" w:rsidR="00C07D03" w:rsidRDefault="00C07D03" w:rsidP="00D851E6">
      <w:pPr>
        <w:spacing w:after="0" w:line="276" w:lineRule="auto"/>
        <w:rPr>
          <w:rFonts w:ascii="ITC Avant Garde" w:eastAsia="Avant Garde" w:hAnsi="ITC Avant Garde" w:cs="Avant Garde"/>
          <w:b/>
          <w:color w:val="000000"/>
          <w:lang w:eastAsia="es-MX"/>
        </w:rPr>
      </w:pPr>
    </w:p>
    <w:p w14:paraId="22B36AFB" w14:textId="01EA5287" w:rsidR="005E4869" w:rsidRPr="0053503B" w:rsidRDefault="005E4869" w:rsidP="005E4869">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este sentido, el CMI ya considera la vigencia de las contraprestaciones por acuerdo entre las partes o por resolución administrativa.</w:t>
      </w:r>
    </w:p>
    <w:p w14:paraId="2CD68D6A" w14:textId="64EECE80"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4.1.4 Otras Contraprestaciones</w:t>
      </w:r>
      <w:r w:rsidR="00B4572B">
        <w:rPr>
          <w:rFonts w:ascii="ITC Avant Garde" w:eastAsia="Avant Garde" w:hAnsi="ITC Avant Garde" w:cs="Avant Garde"/>
          <w:b/>
          <w:color w:val="000000"/>
          <w:lang w:eastAsia="es-MX"/>
        </w:rPr>
        <w:t>.</w:t>
      </w:r>
    </w:p>
    <w:p w14:paraId="3DFBDDE5" w14:textId="66BFBFD5"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652F48F6" w14:textId="55084E7A" w:rsidR="007B182F" w:rsidRPr="0053503B" w:rsidRDefault="00BD25AB"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establecer</w:t>
      </w:r>
      <w:r w:rsidR="007B182F" w:rsidRPr="0053503B">
        <w:rPr>
          <w:rFonts w:ascii="ITC Avant Garde" w:eastAsia="Avant Garde" w:hAnsi="ITC Avant Garde" w:cs="Avant Garde"/>
          <w:color w:val="000000"/>
          <w:lang w:eastAsia="es-MX"/>
        </w:rPr>
        <w:t xml:space="preserve"> la obligación de Telcel de ofrecer los servicios que preste a otro concesionario bajo los mismos términos y en condiciones de trato no discriminatorio, incluyendo tarifas </w:t>
      </w:r>
      <w:r w:rsidR="00552301" w:rsidRPr="0053503B">
        <w:rPr>
          <w:rFonts w:ascii="ITC Avant Garde" w:eastAsia="Avant Garde" w:hAnsi="ITC Avant Garde" w:cs="Avant Garde"/>
          <w:color w:val="000000"/>
          <w:lang w:eastAsia="es-MX"/>
        </w:rPr>
        <w:t>y contrap</w:t>
      </w:r>
      <w:r w:rsidR="00D800C1" w:rsidRPr="0053503B">
        <w:rPr>
          <w:rFonts w:ascii="ITC Avant Garde" w:eastAsia="Avant Garde" w:hAnsi="ITC Avant Garde" w:cs="Avant Garde"/>
          <w:color w:val="000000"/>
          <w:lang w:eastAsia="es-MX"/>
        </w:rPr>
        <w:t xml:space="preserve">restaciones, sin que se limite a que las partes puedan pactar una contraprestación diferente. </w:t>
      </w:r>
      <w:r w:rsidR="00A066E5">
        <w:rPr>
          <w:rFonts w:ascii="ITC Avant Garde" w:eastAsia="Avant Garde" w:hAnsi="ITC Avant Garde" w:cs="Avant Garde"/>
          <w:color w:val="000000"/>
          <w:lang w:eastAsia="es-MX"/>
        </w:rPr>
        <w:t>Asimismo, solicitan</w:t>
      </w:r>
      <w:r w:rsidR="00D800C1" w:rsidRPr="00855633">
        <w:rPr>
          <w:rFonts w:ascii="ITC Avant Garde" w:eastAsia="Avant Garde" w:hAnsi="ITC Avant Garde" w:cs="Avant Garde"/>
          <w:color w:val="000000"/>
          <w:lang w:eastAsia="es-MX"/>
        </w:rPr>
        <w:t xml:space="preserve"> precisar </w:t>
      </w:r>
      <w:r w:rsidR="00D800C1" w:rsidRPr="00855633">
        <w:rPr>
          <w:rFonts w:ascii="ITC Avant Garde" w:eastAsia="Avant Garde" w:hAnsi="ITC Avant Garde" w:cs="Avant Garde"/>
          <w:color w:val="000000"/>
          <w:lang w:eastAsia="es-MX"/>
        </w:rPr>
        <w:lastRenderedPageBreak/>
        <w:t>que los puertos de interconexión no tienen costo o bien, que el precio establecido ya incluye el costo</w:t>
      </w:r>
      <w:r w:rsidR="00FD4E42" w:rsidRPr="00855633">
        <w:rPr>
          <w:rFonts w:ascii="ITC Avant Garde" w:eastAsia="Avant Garde" w:hAnsi="ITC Avant Garde" w:cs="Avant Garde"/>
          <w:color w:val="000000"/>
          <w:lang w:eastAsia="es-MX"/>
        </w:rPr>
        <w:t xml:space="preserve"> de los mismos, por lo cual proponen el siguiente cambio:</w:t>
      </w:r>
    </w:p>
    <w:p w14:paraId="7B1A6CF9" w14:textId="66C604C2" w:rsidR="00AE7499" w:rsidRPr="00782C23" w:rsidRDefault="00FD4E42"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 </w:t>
      </w:r>
      <w:r w:rsidR="00AE7499" w:rsidRPr="00782C23">
        <w:rPr>
          <w:rFonts w:ascii="ITC Avant Garde" w:hAnsi="ITC Avant Garde"/>
          <w:i/>
          <w:sz w:val="18"/>
          <w:szCs w:val="18"/>
        </w:rPr>
        <w:t xml:space="preserve">“…4.1.4 Otras Contraprestaciones. Ambas Partes aceptan que cuando se solicite a TELCEL un servicio de interconexión que no cuente con tarifa acordada a la firma de este Convenio y que TELCEL esté ofreciendo a otro concesionario, TELCEL deberá proveerlos, </w:t>
      </w:r>
      <w:r w:rsidR="00AE7499" w:rsidRPr="00782C23">
        <w:rPr>
          <w:rFonts w:ascii="ITC Avant Garde" w:hAnsi="ITC Avant Garde"/>
          <w:i/>
          <w:sz w:val="18"/>
          <w:szCs w:val="18"/>
          <w:u w:val="single"/>
        </w:rPr>
        <w:t>respetando el principio de trato no discriminatorio</w:t>
      </w:r>
      <w:r w:rsidR="00AE7499" w:rsidRPr="00782C23">
        <w:rPr>
          <w:rFonts w:ascii="ITC Avant Garde" w:hAnsi="ITC Avant Garde"/>
          <w:i/>
          <w:sz w:val="18"/>
          <w:szCs w:val="18"/>
        </w:rPr>
        <w:t xml:space="preserve"> y en el plazo acordado para atender las Solicitudes de Servicios de Interconexión, con independencia de que las Partes acuerden una contraprestación para estos servicios. En caso de que las Partes no lleguen a un acuerdo, solicitarán al Instituto definir las tarifas que deban ser aplicables de conformidad con la Ley…”</w:t>
      </w:r>
    </w:p>
    <w:p w14:paraId="55B16A81" w14:textId="3A50669D" w:rsidR="00FD4E42" w:rsidRPr="00782C23" w:rsidRDefault="00FD4E42"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3FD37EE0" w14:textId="77777777" w:rsidR="00AE7499" w:rsidRPr="0053503B" w:rsidRDefault="00AE7499" w:rsidP="00421913">
      <w:pPr>
        <w:spacing w:after="0" w:line="276" w:lineRule="auto"/>
        <w:ind w:right="616"/>
        <w:rPr>
          <w:rFonts w:ascii="ITC Avant Garde" w:hAnsi="ITC Avant Garde"/>
          <w:i/>
          <w:sz w:val="20"/>
          <w:szCs w:val="20"/>
        </w:rPr>
      </w:pPr>
    </w:p>
    <w:p w14:paraId="2FB72FDE"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21B41EFB" w14:textId="5FBE945A" w:rsidR="00AE7499" w:rsidRPr="0053503B" w:rsidRDefault="00B4572B" w:rsidP="001C1DBC">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Conforme lo establecido en</w:t>
      </w:r>
      <w:r w:rsidR="00AE7499" w:rsidRPr="0053503B">
        <w:rPr>
          <w:rFonts w:ascii="ITC Avant Garde" w:eastAsia="Avant Garde" w:hAnsi="ITC Avant Garde" w:cs="Avant Garde"/>
          <w:color w:val="000000"/>
          <w:lang w:eastAsia="es-MX"/>
        </w:rPr>
        <w:t xml:space="preserve"> la Medida Undécima de las Medidas Móviles, en la cual se establece el </w:t>
      </w:r>
      <w:r w:rsidR="00577F91">
        <w:rPr>
          <w:rFonts w:ascii="ITC Avant Garde" w:eastAsia="Avant Garde" w:hAnsi="ITC Avant Garde" w:cs="Avant Garde"/>
          <w:color w:val="000000"/>
          <w:lang w:eastAsia="es-MX"/>
        </w:rPr>
        <w:t>derecho de los concesionarios a</w:t>
      </w:r>
      <w:r w:rsidR="00AE7499" w:rsidRPr="0053503B">
        <w:rPr>
          <w:rFonts w:ascii="ITC Avant Garde" w:eastAsia="Avant Garde" w:hAnsi="ITC Avant Garde" w:cs="Avant Garde"/>
          <w:color w:val="000000"/>
          <w:lang w:eastAsia="es-MX"/>
        </w:rPr>
        <w:t xml:space="preserve"> recibir un trato no discriminatorio en la provisión de Servici</w:t>
      </w:r>
      <w:r>
        <w:rPr>
          <w:rFonts w:ascii="ITC Avant Garde" w:eastAsia="Avant Garde" w:hAnsi="ITC Avant Garde" w:cs="Avant Garde"/>
          <w:color w:val="000000"/>
          <w:lang w:eastAsia="es-MX"/>
        </w:rPr>
        <w:t>os de Interconexión, se modificó</w:t>
      </w:r>
      <w:r w:rsidR="00AE7499" w:rsidRPr="0053503B">
        <w:rPr>
          <w:rFonts w:ascii="ITC Avant Garde" w:eastAsia="Avant Garde" w:hAnsi="ITC Avant Garde" w:cs="Avant Garde"/>
          <w:color w:val="000000"/>
          <w:lang w:eastAsia="es-MX"/>
        </w:rPr>
        <w:t xml:space="preserve"> el numeral en cuestión en los siguientes términos:</w:t>
      </w:r>
    </w:p>
    <w:p w14:paraId="4C2B8606" w14:textId="0051F7A3" w:rsidR="00AE7499" w:rsidRPr="00782C23" w:rsidRDefault="00AE7499"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“4.1.4 Otras Contraprestaciones. Ambas Partes aceptan que cuando se solicite a TELCEL un servicio de interconexión que no cuente con tarifa acordada a la firma de este Convenio y que TELCEL esté ofreciendo a otro concesionario, TELCEL deberá proveerlos, </w:t>
      </w:r>
      <w:r w:rsidRPr="00782C23">
        <w:rPr>
          <w:rFonts w:ascii="ITC Avant Garde" w:hAnsi="ITC Avant Garde"/>
          <w:i/>
          <w:sz w:val="18"/>
          <w:szCs w:val="18"/>
          <w:u w:val="single"/>
        </w:rPr>
        <w:t xml:space="preserve">respetando el principio de trato no </w:t>
      </w:r>
      <w:r w:rsidR="009627BF" w:rsidRPr="00782C23">
        <w:rPr>
          <w:rFonts w:ascii="ITC Avant Garde" w:hAnsi="ITC Avant Garde"/>
          <w:i/>
          <w:sz w:val="18"/>
          <w:szCs w:val="18"/>
          <w:u w:val="single"/>
        </w:rPr>
        <w:t>discriminatorio</w:t>
      </w:r>
      <w:r w:rsidRPr="00782C23">
        <w:rPr>
          <w:rFonts w:ascii="ITC Avant Garde" w:hAnsi="ITC Avant Garde"/>
          <w:i/>
          <w:sz w:val="18"/>
          <w:szCs w:val="18"/>
          <w:u w:val="single"/>
        </w:rPr>
        <w:t xml:space="preserve"> y</w:t>
      </w:r>
      <w:r w:rsidRPr="00782C23">
        <w:rPr>
          <w:rFonts w:ascii="ITC Avant Garde" w:hAnsi="ITC Avant Garde"/>
          <w:i/>
          <w:sz w:val="18"/>
          <w:szCs w:val="18"/>
        </w:rPr>
        <w:t xml:space="preserve"> en el plazo acordado para atender las Solicitudes de Servicios de Interconexión, con independencia de que las Partes acuerden una contraprestación para estos servicios. En caso de que las Partes no lleguen a un acuerdo, solicitarán al Instituto definir las tarifas que deban ser aplicables de conformidad con la Ley.”</w:t>
      </w:r>
    </w:p>
    <w:p w14:paraId="3CC178F5" w14:textId="77777777" w:rsidR="00AE7499" w:rsidRPr="00782C23" w:rsidRDefault="00AE7499" w:rsidP="00421913">
      <w:pPr>
        <w:spacing w:after="0" w:line="276" w:lineRule="auto"/>
        <w:ind w:left="567" w:right="616" w:hanging="11"/>
        <w:rPr>
          <w:rFonts w:ascii="ITC Avant Garde" w:hAnsi="ITC Avant Garde"/>
          <w:i/>
          <w:sz w:val="18"/>
          <w:szCs w:val="18"/>
        </w:rPr>
      </w:pPr>
    </w:p>
    <w:p w14:paraId="654A349B" w14:textId="0BCA30E1" w:rsidR="00AE7499" w:rsidRDefault="00AE7499"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66C1D07F" w14:textId="77777777" w:rsidR="001C1DBC" w:rsidRPr="00782C23" w:rsidRDefault="001C1DBC" w:rsidP="00421913">
      <w:pPr>
        <w:spacing w:after="0" w:line="276" w:lineRule="auto"/>
        <w:ind w:left="567" w:right="616" w:hanging="11"/>
        <w:jc w:val="right"/>
        <w:rPr>
          <w:rFonts w:ascii="ITC Avant Garde" w:hAnsi="ITC Avant Garde"/>
          <w:i/>
          <w:sz w:val="18"/>
          <w:szCs w:val="18"/>
        </w:rPr>
      </w:pPr>
    </w:p>
    <w:p w14:paraId="40F5258B" w14:textId="5F5DEB8B" w:rsidR="001C1DBC" w:rsidRDefault="001C1DBC" w:rsidP="001C1DBC">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Asimismo, </w:t>
      </w:r>
      <w:r w:rsidR="00B4572B">
        <w:rPr>
          <w:rFonts w:ascii="ITC Avant Garde" w:eastAsia="Avant Garde" w:hAnsi="ITC Avant Garde" w:cs="Avant Garde"/>
          <w:color w:val="000000"/>
          <w:lang w:eastAsia="es-MX"/>
        </w:rPr>
        <w:t xml:space="preserve">respecto a </w:t>
      </w:r>
      <w:r>
        <w:rPr>
          <w:rFonts w:ascii="ITC Avant Garde" w:eastAsia="Avant Garde" w:hAnsi="ITC Avant Garde" w:cs="Avant Garde"/>
          <w:color w:val="000000"/>
          <w:lang w:eastAsia="es-MX"/>
        </w:rPr>
        <w:t>que los puertos d</w:t>
      </w:r>
      <w:r w:rsidR="00B4572B">
        <w:rPr>
          <w:rFonts w:ascii="ITC Avant Garde" w:eastAsia="Avant Garde" w:hAnsi="ITC Avant Garde" w:cs="Avant Garde"/>
          <w:color w:val="000000"/>
          <w:lang w:eastAsia="es-MX"/>
        </w:rPr>
        <w:t>e interconexión no tienen costo,</w:t>
      </w:r>
      <w:r>
        <w:rPr>
          <w:rFonts w:ascii="ITC Avant Garde" w:eastAsia="Avant Garde" w:hAnsi="ITC Avant Garde" w:cs="Avant Garde"/>
          <w:color w:val="000000"/>
          <w:lang w:eastAsia="es-MX"/>
        </w:rPr>
        <w:t xml:space="preserve"> el numeral 5.4</w:t>
      </w:r>
      <w:r w:rsidRPr="0053503B">
        <w:rPr>
          <w:rFonts w:ascii="ITC Avant Garde" w:eastAsia="Avant Garde" w:hAnsi="ITC Avant Garde" w:cs="Avant Garde"/>
          <w:color w:val="000000"/>
          <w:lang w:eastAsia="es-MX"/>
        </w:rPr>
        <w:t xml:space="preserve"> establece que el costo del puerto está incluid</w:t>
      </w:r>
      <w:r>
        <w:rPr>
          <w:rFonts w:ascii="ITC Avant Garde" w:eastAsia="Avant Garde" w:hAnsi="ITC Avant Garde" w:cs="Avant Garde"/>
          <w:color w:val="000000"/>
          <w:lang w:eastAsia="es-MX"/>
        </w:rPr>
        <w:t>o en la tarifa de interconexión</w:t>
      </w:r>
      <w:r w:rsidR="00A066E5">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tal como se muestra a continuación:</w:t>
      </w:r>
    </w:p>
    <w:p w14:paraId="17AE10E0" w14:textId="77777777" w:rsidR="001C1DBC" w:rsidRPr="00AF502C" w:rsidRDefault="001C1DBC" w:rsidP="001C1DB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AF502C">
        <w:rPr>
          <w:rFonts w:ascii="ITC Avant Garde" w:hAnsi="ITC Avant Garde"/>
          <w:i/>
          <w:sz w:val="18"/>
          <w:szCs w:val="18"/>
        </w:rPr>
        <w:t>Los Puertos de Acceso no generarán un costo adicional, pues éste ya está incluido en la tarifa de los Servicios Conmutados de Interconexión.</w:t>
      </w:r>
      <w:r>
        <w:rPr>
          <w:rFonts w:ascii="ITC Avant Garde" w:hAnsi="ITC Avant Garde"/>
          <w:i/>
          <w:sz w:val="18"/>
          <w:szCs w:val="18"/>
        </w:rPr>
        <w:t>”</w:t>
      </w:r>
    </w:p>
    <w:p w14:paraId="6AD103D6" w14:textId="34689126" w:rsidR="00AE7499" w:rsidRPr="00D9173E" w:rsidRDefault="00AE7499" w:rsidP="00B4572B">
      <w:pPr>
        <w:spacing w:after="0" w:line="276" w:lineRule="auto"/>
        <w:rPr>
          <w:rFonts w:ascii="ITC Avant Garde" w:eastAsia="Avant Garde" w:hAnsi="ITC Avant Garde" w:cs="Avant Garde"/>
          <w:b/>
          <w:color w:val="000000"/>
          <w:lang w:eastAsia="es-MX"/>
        </w:rPr>
      </w:pPr>
    </w:p>
    <w:p w14:paraId="105DF7CE" w14:textId="722C5727" w:rsidR="00AE7499" w:rsidRPr="0053503B" w:rsidRDefault="00B4572B"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7FF863C9"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771920EF" w14:textId="1DD5864E" w:rsidR="00AE7499" w:rsidRPr="0053503B" w:rsidRDefault="00095A2C"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Con el fin de tener un tiempo de respuesta para la resolución de objeciones, solicitan que en las Facturas Objetadas </w:t>
      </w:r>
      <w:r w:rsidR="00B4572B">
        <w:rPr>
          <w:rFonts w:ascii="ITC Avant Garde" w:eastAsia="Avant Garde" w:hAnsi="ITC Avant Garde" w:cs="Avant Garde"/>
          <w:color w:val="000000"/>
          <w:lang w:eastAsia="es-MX"/>
        </w:rPr>
        <w:t>se considere</w:t>
      </w:r>
      <w:r w:rsidR="00B639ED" w:rsidRPr="0053503B">
        <w:rPr>
          <w:rFonts w:ascii="ITC Avant Garde" w:eastAsia="Avant Garde" w:hAnsi="ITC Avant Garde" w:cs="Avant Garde"/>
          <w:color w:val="000000"/>
          <w:lang w:eastAsia="es-MX"/>
        </w:rPr>
        <w:t xml:space="preserve"> </w:t>
      </w:r>
      <w:r w:rsidR="007C78FF" w:rsidRPr="0053503B">
        <w:rPr>
          <w:rFonts w:ascii="ITC Avant Garde" w:eastAsia="Avant Garde" w:hAnsi="ITC Avant Garde" w:cs="Avant Garde"/>
          <w:color w:val="000000"/>
          <w:lang w:eastAsia="es-MX"/>
        </w:rPr>
        <w:t xml:space="preserve">tanto el interés base como el interés alternativo </w:t>
      </w:r>
      <w:r w:rsidR="00B639ED" w:rsidRPr="0053503B">
        <w:rPr>
          <w:rFonts w:ascii="ITC Avant Garde" w:eastAsia="Avant Garde" w:hAnsi="ITC Avant Garde" w:cs="Avant Garde"/>
          <w:color w:val="000000"/>
          <w:lang w:eastAsia="es-MX"/>
        </w:rPr>
        <w:t xml:space="preserve">en adición a lo establecido </w:t>
      </w:r>
      <w:r w:rsidR="0084221C" w:rsidRPr="0053503B">
        <w:rPr>
          <w:rFonts w:ascii="ITC Avant Garde" w:eastAsia="Avant Garde" w:hAnsi="ITC Avant Garde" w:cs="Avant Garde"/>
          <w:color w:val="000000"/>
          <w:lang w:eastAsia="es-MX"/>
        </w:rPr>
        <w:t>en la propuesta</w:t>
      </w:r>
      <w:r w:rsidR="00BE323A" w:rsidRPr="0053503B">
        <w:rPr>
          <w:rFonts w:ascii="ITC Avant Garde" w:eastAsia="Avant Garde" w:hAnsi="ITC Avant Garde" w:cs="Avant Garde"/>
          <w:color w:val="000000"/>
          <w:lang w:eastAsia="es-MX"/>
        </w:rPr>
        <w:t xml:space="preserve"> de CMI.</w:t>
      </w:r>
    </w:p>
    <w:p w14:paraId="5817BA4B"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AXTEL</w:t>
      </w:r>
    </w:p>
    <w:p w14:paraId="164EE166" w14:textId="605D9045" w:rsidR="004309F6" w:rsidRPr="0053503B" w:rsidRDefault="004309F6"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Con el fin de incentivar el cumplimiento de los</w:t>
      </w:r>
      <w:r w:rsidR="009214ED">
        <w:rPr>
          <w:rFonts w:ascii="ITC Avant Garde" w:eastAsia="Avant Garde" w:hAnsi="ITC Avant Garde" w:cs="Avant Garde"/>
          <w:color w:val="000000"/>
          <w:lang w:eastAsia="es-MX"/>
        </w:rPr>
        <w:t xml:space="preserve"> plazos de revisión de facturas</w:t>
      </w:r>
      <w:r w:rsidR="00503423">
        <w:rPr>
          <w:rFonts w:ascii="ITC Avant Garde" w:eastAsia="Avant Garde" w:hAnsi="ITC Avant Garde" w:cs="Avant Garde"/>
          <w:color w:val="000000"/>
          <w:lang w:eastAsia="es-MX"/>
        </w:rPr>
        <w:t>,</w:t>
      </w:r>
      <w:r w:rsidR="00557E73" w:rsidRPr="0053503B">
        <w:rPr>
          <w:rFonts w:ascii="ITC Avant Garde" w:eastAsia="Avant Garde" w:hAnsi="ITC Avant Garde" w:cs="Avant Garde"/>
          <w:color w:val="000000"/>
          <w:lang w:eastAsia="es-MX"/>
        </w:rPr>
        <w:t xml:space="preserve"> se debe establecer </w:t>
      </w:r>
      <w:r w:rsidR="00A54607" w:rsidRPr="0053503B">
        <w:rPr>
          <w:rFonts w:ascii="ITC Avant Garde" w:eastAsia="Avant Garde" w:hAnsi="ITC Avant Garde" w:cs="Avant Garde"/>
          <w:color w:val="000000"/>
          <w:lang w:eastAsia="es-MX"/>
        </w:rPr>
        <w:t xml:space="preserve">una restricción en el tiempo para </w:t>
      </w:r>
      <w:r w:rsidR="009214ED">
        <w:rPr>
          <w:rFonts w:ascii="ITC Avant Garde" w:eastAsia="Avant Garde" w:hAnsi="ITC Avant Garde" w:cs="Avant Garde"/>
          <w:color w:val="000000"/>
          <w:lang w:eastAsia="es-MX"/>
        </w:rPr>
        <w:t xml:space="preserve">realizar </w:t>
      </w:r>
      <w:r w:rsidR="006A05B6">
        <w:rPr>
          <w:rFonts w:ascii="ITC Avant Garde" w:eastAsia="Avant Garde" w:hAnsi="ITC Avant Garde" w:cs="Avant Garde"/>
          <w:color w:val="000000"/>
          <w:lang w:eastAsia="es-MX"/>
        </w:rPr>
        <w:t>esta actividad</w:t>
      </w:r>
      <w:r w:rsidR="00A54607" w:rsidRPr="0053503B">
        <w:rPr>
          <w:rFonts w:ascii="ITC Avant Garde" w:eastAsia="Avant Garde" w:hAnsi="ITC Avant Garde" w:cs="Avant Garde"/>
          <w:color w:val="000000"/>
          <w:lang w:eastAsia="es-MX"/>
        </w:rPr>
        <w:t xml:space="preserve"> por lo cual proponen la siguiente modificación:</w:t>
      </w:r>
    </w:p>
    <w:p w14:paraId="7EF916F3" w14:textId="4456128C" w:rsidR="00AE7499" w:rsidRPr="00782C23" w:rsidRDefault="00A54607"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 </w:t>
      </w:r>
      <w:r w:rsidR="00AE7499" w:rsidRPr="00782C23">
        <w:rPr>
          <w:rFonts w:ascii="ITC Avant Garde" w:hAnsi="ITC Avant Garde"/>
          <w:i/>
          <w:sz w:val="18"/>
          <w:szCs w:val="18"/>
        </w:rPr>
        <w:t>“En el entendido que transcurridos los 60 (sesenta) días naturales sin que exista una repuesta de la parte revisora, se entenderá como aceptados los términos bajo los cuales la objeción fue presentada.”</w:t>
      </w:r>
    </w:p>
    <w:p w14:paraId="34F25C31" w14:textId="77777777" w:rsidR="00AE7499" w:rsidRPr="0053503B" w:rsidRDefault="00AE7499" w:rsidP="00421913">
      <w:pPr>
        <w:spacing w:after="0" w:line="276" w:lineRule="auto"/>
        <w:ind w:left="567" w:right="616" w:hanging="11"/>
        <w:rPr>
          <w:rFonts w:ascii="ITC Avant Garde" w:hAnsi="ITC Avant Garde"/>
          <w:i/>
          <w:sz w:val="20"/>
          <w:szCs w:val="20"/>
        </w:rPr>
      </w:pPr>
    </w:p>
    <w:p w14:paraId="3A6415E7" w14:textId="238E2D63" w:rsidR="005C5CF6" w:rsidRPr="00B4572B" w:rsidRDefault="00B4572B" w:rsidP="00B4572B">
      <w:pPr>
        <w:spacing w:line="276" w:lineRule="auto"/>
        <w:rPr>
          <w:rFonts w:ascii="ITC Avant Garde" w:hAnsi="ITC Avant Garde"/>
          <w:b/>
        </w:rPr>
      </w:pPr>
      <w:r>
        <w:rPr>
          <w:rFonts w:ascii="ITC Avant Garde" w:hAnsi="ITC Avant Garde"/>
          <w:b/>
        </w:rPr>
        <w:t xml:space="preserve">Consideraciones del Instituto </w:t>
      </w:r>
    </w:p>
    <w:p w14:paraId="14F76E41" w14:textId="47B01258" w:rsidR="00AE7499" w:rsidRDefault="00B4572B"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w:t>
      </w:r>
      <w:r w:rsidR="00AE7499" w:rsidRPr="0053503B">
        <w:rPr>
          <w:rFonts w:ascii="ITC Avant Garde" w:eastAsia="Avant Garde" w:hAnsi="ITC Avant Garde" w:cs="Avant Garde"/>
          <w:color w:val="000000"/>
          <w:lang w:eastAsia="es-MX"/>
        </w:rPr>
        <w:t>on el fin de incentivar la determinación de la procedencia de una factura dentro del plazo esta</w:t>
      </w:r>
      <w:r>
        <w:rPr>
          <w:rFonts w:ascii="ITC Avant Garde" w:eastAsia="Avant Garde" w:hAnsi="ITC Avant Garde" w:cs="Avant Garde"/>
          <w:color w:val="000000"/>
          <w:lang w:eastAsia="es-MX"/>
        </w:rPr>
        <w:t>blecido para tal fin, se precisó en el CMI</w:t>
      </w:r>
      <w:r w:rsidR="00AE7499" w:rsidRPr="0053503B">
        <w:rPr>
          <w:rFonts w:ascii="ITC Avant Garde" w:eastAsia="Avant Garde" w:hAnsi="ITC Avant Garde" w:cs="Avant Garde"/>
          <w:color w:val="000000"/>
          <w:lang w:eastAsia="es-MX"/>
        </w:rPr>
        <w:t xml:space="preserve"> que se entenderán como aceptados los términos de la objeción si no existe una</w:t>
      </w:r>
      <w:r w:rsidR="002A0B24">
        <w:rPr>
          <w:rFonts w:ascii="ITC Avant Garde" w:eastAsia="Avant Garde" w:hAnsi="ITC Avant Garde" w:cs="Avant Garde"/>
          <w:color w:val="000000"/>
          <w:lang w:eastAsia="es-MX"/>
        </w:rPr>
        <w:t xml:space="preserve"> respuesta de la parte revisora, </w:t>
      </w:r>
      <w:r>
        <w:rPr>
          <w:rFonts w:ascii="ITC Avant Garde" w:eastAsia="Avant Garde" w:hAnsi="ITC Avant Garde" w:cs="Avant Garde"/>
          <w:color w:val="000000"/>
          <w:lang w:eastAsia="es-MX"/>
        </w:rPr>
        <w:t>dentro del plazo de 60 días naturales, en el siguiente sentido</w:t>
      </w:r>
      <w:r w:rsidR="002A0B24">
        <w:rPr>
          <w:rFonts w:ascii="ITC Avant Garde" w:eastAsia="Avant Garde" w:hAnsi="ITC Avant Garde" w:cs="Avant Garde"/>
          <w:color w:val="000000"/>
          <w:lang w:eastAsia="es-MX"/>
        </w:rPr>
        <w:t>:</w:t>
      </w:r>
    </w:p>
    <w:p w14:paraId="216F0BDF" w14:textId="77777777" w:rsidR="002A0B24" w:rsidRPr="001409CC" w:rsidRDefault="002A0B24" w:rsidP="002A0B24">
      <w:pPr>
        <w:pStyle w:val="IFT1"/>
        <w:tabs>
          <w:tab w:val="left" w:pos="426"/>
        </w:tabs>
        <w:spacing w:before="240" w:after="0"/>
        <w:ind w:left="567" w:right="616"/>
        <w:rPr>
          <w:bCs/>
          <w:i/>
          <w:sz w:val="18"/>
          <w:szCs w:val="18"/>
        </w:rPr>
      </w:pPr>
      <w:r>
        <w:rPr>
          <w:bCs/>
          <w:i/>
          <w:sz w:val="18"/>
          <w:szCs w:val="18"/>
        </w:rPr>
        <w:t>“</w:t>
      </w:r>
      <w:r w:rsidRPr="001409CC">
        <w:rPr>
          <w:bCs/>
          <w:i/>
          <w:sz w:val="18"/>
          <w:szCs w:val="18"/>
        </w:rPr>
        <w:t>4.4.3.1.-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3C273C5C" w14:textId="77777777" w:rsidR="002A0B24" w:rsidRDefault="002A0B24" w:rsidP="002A0B24">
      <w:pPr>
        <w:pStyle w:val="IFT1"/>
        <w:tabs>
          <w:tab w:val="left" w:pos="426"/>
        </w:tabs>
        <w:spacing w:before="240" w:after="0"/>
        <w:ind w:left="567" w:right="616"/>
        <w:rPr>
          <w:bCs/>
          <w:i/>
          <w:sz w:val="18"/>
          <w:szCs w:val="18"/>
        </w:rPr>
      </w:pPr>
      <w:r w:rsidRPr="001409CC">
        <w:rPr>
          <w:bCs/>
          <w:i/>
          <w:sz w:val="18"/>
          <w:szCs w:val="18"/>
          <w:u w:val="single"/>
        </w:rPr>
        <w:t>En el entendido que transcurridos los 60 (sesenta) días naturales sin que exista una re</w:t>
      </w:r>
      <w:r>
        <w:rPr>
          <w:bCs/>
          <w:i/>
          <w:sz w:val="18"/>
          <w:szCs w:val="18"/>
          <w:u w:val="single"/>
        </w:rPr>
        <w:t>s</w:t>
      </w:r>
      <w:r w:rsidRPr="001409CC">
        <w:rPr>
          <w:bCs/>
          <w:i/>
          <w:sz w:val="18"/>
          <w:szCs w:val="18"/>
          <w:u w:val="single"/>
        </w:rPr>
        <w:t>puesta de la parte revisora, se entenderá como aceptados los términos bajo los cuales la objeción fue presentada.</w:t>
      </w:r>
      <w:r>
        <w:rPr>
          <w:bCs/>
          <w:i/>
          <w:sz w:val="18"/>
          <w:szCs w:val="18"/>
        </w:rPr>
        <w:t>”</w:t>
      </w:r>
    </w:p>
    <w:p w14:paraId="484360CD" w14:textId="77777777" w:rsidR="002A0B24" w:rsidRPr="001409CC" w:rsidRDefault="002A0B24" w:rsidP="002A0B24">
      <w:pPr>
        <w:pStyle w:val="IFT1"/>
        <w:tabs>
          <w:tab w:val="left" w:pos="426"/>
        </w:tabs>
        <w:spacing w:before="240" w:after="0"/>
        <w:ind w:left="567" w:right="616"/>
        <w:jc w:val="right"/>
        <w:rPr>
          <w:bCs/>
          <w:i/>
          <w:sz w:val="18"/>
          <w:szCs w:val="18"/>
        </w:rPr>
      </w:pPr>
      <w:r w:rsidRPr="001409CC">
        <w:rPr>
          <w:bCs/>
          <w:i/>
          <w:sz w:val="18"/>
          <w:szCs w:val="18"/>
        </w:rPr>
        <w:t>(Énfasis añadido)</w:t>
      </w:r>
    </w:p>
    <w:p w14:paraId="2EAC420F" w14:textId="77777777" w:rsidR="002A0B24" w:rsidRPr="0053503B" w:rsidRDefault="002A0B24" w:rsidP="00B4572B">
      <w:pPr>
        <w:spacing w:after="0" w:line="276" w:lineRule="auto"/>
        <w:rPr>
          <w:rFonts w:ascii="ITC Avant Garde" w:eastAsia="Avant Garde" w:hAnsi="ITC Avant Garde" w:cs="Avant Garde"/>
          <w:color w:val="000000"/>
          <w:lang w:eastAsia="es-MX"/>
        </w:rPr>
      </w:pPr>
    </w:p>
    <w:p w14:paraId="7B676FCD" w14:textId="17F902D8"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sidR="00962266">
        <w:rPr>
          <w:rFonts w:ascii="ITC Avant Garde" w:eastAsia="Avant Garde" w:hAnsi="ITC Avant Garde" w:cs="Avant Garde"/>
          <w:b/>
          <w:color w:val="000000"/>
          <w:lang w:eastAsia="es-MX"/>
        </w:rPr>
        <w:t>.3</w:t>
      </w:r>
      <w:r w:rsidR="00B4572B">
        <w:rPr>
          <w:rFonts w:ascii="ITC Avant Garde" w:eastAsia="Avant Garde" w:hAnsi="ITC Avant Garde" w:cs="Avant Garde"/>
          <w:b/>
          <w:color w:val="000000"/>
          <w:lang w:eastAsia="es-MX"/>
        </w:rPr>
        <w:t>.2 Pagos Recibidos en Exceso.</w:t>
      </w:r>
    </w:p>
    <w:p w14:paraId="4A38FD97"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TELEVISA Y TELEFÓNICA</w:t>
      </w:r>
    </w:p>
    <w:p w14:paraId="076555E9" w14:textId="77777777" w:rsidR="00AE7499" w:rsidRPr="0053503B" w:rsidRDefault="00AE7499"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mantener el plazo de 60 días para la devolución de pagos recibidos en exceso ya que este es el plazo que normalmente se utiliza en este tipo de prácticas.</w:t>
      </w:r>
    </w:p>
    <w:p w14:paraId="559D8D22"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183C21C1" w14:textId="3F7C8A3A" w:rsidR="00AE7499" w:rsidRPr="0053503B" w:rsidRDefault="00B4572B"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el plazo de 30 días establecido en el CMI para la devolución de pagos es una obligación recíproca </w:t>
      </w:r>
      <w:r w:rsidR="00D51C26" w:rsidRPr="0053503B">
        <w:rPr>
          <w:rFonts w:ascii="ITC Avant Garde" w:eastAsia="Avant Garde" w:hAnsi="ITC Avant Garde" w:cs="Avant Garde"/>
          <w:color w:val="000000"/>
          <w:lang w:eastAsia="es-MX"/>
        </w:rPr>
        <w:t>para las partes que susc</w:t>
      </w:r>
      <w:r w:rsidR="00387BE6" w:rsidRPr="0053503B">
        <w:rPr>
          <w:rFonts w:ascii="ITC Avant Garde" w:eastAsia="Avant Garde" w:hAnsi="ITC Avant Garde" w:cs="Avant Garde"/>
          <w:color w:val="000000"/>
          <w:lang w:eastAsia="es-MX"/>
        </w:rPr>
        <w:t>riben el convenio</w:t>
      </w:r>
      <w:r>
        <w:rPr>
          <w:rFonts w:ascii="ITC Avant Garde" w:eastAsia="Avant Garde" w:hAnsi="ITC Avant Garde" w:cs="Avant Garde"/>
          <w:color w:val="000000"/>
          <w:lang w:eastAsia="es-MX"/>
        </w:rPr>
        <w:t xml:space="preserve"> y resulta en un plazo menor para la devolución de pagos recibidos en exceso se considera que el plazo establecido es suficiente para la devolución de pagos</w:t>
      </w:r>
      <w:r w:rsidR="007457C7" w:rsidRPr="0053503B">
        <w:rPr>
          <w:rFonts w:ascii="ITC Avant Garde" w:eastAsia="Avant Garde" w:hAnsi="ITC Avant Garde" w:cs="Avant Garde"/>
          <w:color w:val="000000"/>
          <w:lang w:eastAsia="es-MX"/>
        </w:rPr>
        <w:t>.</w:t>
      </w:r>
    </w:p>
    <w:p w14:paraId="30DC8520" w14:textId="786E86E9" w:rsidR="00AE7499" w:rsidRPr="0053503B" w:rsidRDefault="00B4572B"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Numeral </w:t>
      </w:r>
      <w:r w:rsidR="00AE7499" w:rsidRPr="0053503B">
        <w:rPr>
          <w:rFonts w:ascii="ITC Avant Garde" w:eastAsia="Avant Garde" w:hAnsi="ITC Avant Garde" w:cs="Avant Garde"/>
          <w:b/>
          <w:color w:val="000000"/>
          <w:lang w:eastAsia="es-MX"/>
        </w:rPr>
        <w:t>4.4.4.2</w:t>
      </w:r>
      <w:r>
        <w:rPr>
          <w:rFonts w:ascii="ITC Avant Garde" w:eastAsia="Avant Garde" w:hAnsi="ITC Avant Garde" w:cs="Avant Garde"/>
          <w:b/>
          <w:color w:val="000000"/>
          <w:lang w:eastAsia="es-MX"/>
        </w:rPr>
        <w:t>.</w:t>
      </w:r>
    </w:p>
    <w:p w14:paraId="16EBE203"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TELEVISA </w:t>
      </w:r>
    </w:p>
    <w:p w14:paraId="67FCBB1D" w14:textId="7FD64F5B" w:rsidR="00AE7499" w:rsidRPr="00B4572B" w:rsidRDefault="001D5251"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Señala que el Convenio de Interconexión de Telmex y Telnor no considera un factor de</w:t>
      </w:r>
      <w:r w:rsidR="001243E7" w:rsidRPr="0053503B">
        <w:rPr>
          <w:rFonts w:ascii="ITC Avant Garde" w:eastAsia="Avant Garde" w:hAnsi="ITC Avant Garde" w:cs="Avant Garde"/>
          <w:color w:val="000000"/>
          <w:lang w:eastAsia="es-MX"/>
        </w:rPr>
        <w:t xml:space="preserve"> 3</w:t>
      </w:r>
      <w:r w:rsidRPr="0053503B">
        <w:rPr>
          <w:rFonts w:ascii="ITC Avant Garde" w:eastAsia="Avant Garde" w:hAnsi="ITC Avant Garde" w:cs="Avant Garde"/>
          <w:color w:val="000000"/>
          <w:lang w:eastAsia="es-MX"/>
        </w:rPr>
        <w:t xml:space="preserve"> veces la Tasa de Interés Interbancaria de Equilibrio (TIIE) para </w:t>
      </w:r>
      <w:r w:rsidR="003F1CA8">
        <w:rPr>
          <w:rFonts w:ascii="ITC Avant Garde" w:eastAsia="Avant Garde" w:hAnsi="ITC Avant Garde" w:cs="Avant Garde"/>
          <w:color w:val="000000"/>
          <w:lang w:eastAsia="es-MX"/>
        </w:rPr>
        <w:t xml:space="preserve">la </w:t>
      </w:r>
      <w:r w:rsidRPr="0053503B">
        <w:rPr>
          <w:rFonts w:ascii="ITC Avant Garde" w:eastAsia="Avant Garde" w:hAnsi="ITC Avant Garde" w:cs="Avant Garde"/>
          <w:color w:val="000000"/>
          <w:lang w:eastAsia="es-MX"/>
        </w:rPr>
        <w:t>aplicación de interese</w:t>
      </w:r>
      <w:r w:rsidR="00B4572B">
        <w:rPr>
          <w:rFonts w:ascii="ITC Avant Garde" w:eastAsia="Avant Garde" w:hAnsi="ITC Avant Garde" w:cs="Avant Garde"/>
          <w:color w:val="000000"/>
          <w:lang w:eastAsia="es-MX"/>
        </w:rPr>
        <w:t>s</w:t>
      </w:r>
      <w:r w:rsidRPr="0053503B">
        <w:rPr>
          <w:rFonts w:ascii="ITC Avant Garde" w:eastAsia="Avant Garde" w:hAnsi="ITC Avant Garde" w:cs="Avant Garde"/>
          <w:color w:val="000000"/>
          <w:lang w:eastAsia="es-MX"/>
        </w:rPr>
        <w:t xml:space="preserve"> moratorios, por lo cual no es justificable que Telcel </w:t>
      </w:r>
      <w:r w:rsidR="001243E7" w:rsidRPr="0053503B">
        <w:rPr>
          <w:rFonts w:ascii="ITC Avant Garde" w:eastAsia="Avant Garde" w:hAnsi="ITC Avant Garde" w:cs="Avant Garde"/>
          <w:color w:val="000000"/>
          <w:lang w:eastAsia="es-MX"/>
        </w:rPr>
        <w:t xml:space="preserve">imponga esta tasa. Derivado de lo anterior, solicita la </w:t>
      </w:r>
      <w:r w:rsidR="00B4572B">
        <w:rPr>
          <w:rFonts w:ascii="ITC Avant Garde" w:eastAsia="Avant Garde" w:hAnsi="ITC Avant Garde" w:cs="Avant Garde"/>
          <w:color w:val="000000"/>
          <w:lang w:eastAsia="es-MX"/>
        </w:rPr>
        <w:t xml:space="preserve">reducción de la tasa anual de intereses moratorios a una vez la </w:t>
      </w:r>
      <w:r w:rsidR="00277CBB">
        <w:rPr>
          <w:rFonts w:ascii="ITC Avant Garde" w:eastAsia="Avant Garde" w:hAnsi="ITC Avant Garde" w:cs="Avant Garde"/>
          <w:color w:val="000000"/>
          <w:lang w:eastAsia="es-MX"/>
        </w:rPr>
        <w:t>TIIE</w:t>
      </w:r>
      <w:r w:rsidR="00B4572B">
        <w:rPr>
          <w:rFonts w:ascii="ITC Avant Garde" w:eastAsia="Avant Garde" w:hAnsi="ITC Avant Garde" w:cs="Avant Garde"/>
          <w:color w:val="000000"/>
          <w:lang w:eastAsia="es-MX"/>
        </w:rPr>
        <w:t>.</w:t>
      </w:r>
    </w:p>
    <w:p w14:paraId="65A32BB6"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4B22B629" w14:textId="75D04FDD" w:rsidR="00AE7499" w:rsidRPr="0053503B" w:rsidRDefault="00B4572B"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color w:val="000000"/>
          <w:lang w:eastAsia="es-MX"/>
        </w:rPr>
        <w:t xml:space="preserve">Dado que </w:t>
      </w:r>
      <w:r w:rsidR="007B75AC" w:rsidRPr="0053503B">
        <w:rPr>
          <w:rFonts w:ascii="ITC Avant Garde" w:eastAsia="Avant Garde" w:hAnsi="ITC Avant Garde" w:cs="Avant Garde"/>
          <w:color w:val="000000"/>
          <w:lang w:eastAsia="es-MX"/>
        </w:rPr>
        <w:t>e</w:t>
      </w:r>
      <w:r w:rsidR="00BE03ED" w:rsidRPr="0053503B">
        <w:rPr>
          <w:rFonts w:ascii="ITC Avant Garde" w:eastAsia="Avant Garde" w:hAnsi="ITC Avant Garde" w:cs="Avant Garde"/>
          <w:color w:val="000000"/>
          <w:lang w:eastAsia="es-MX"/>
        </w:rPr>
        <w:t xml:space="preserve">l objetivo de establecer una tasa de interés moratorio </w:t>
      </w:r>
      <w:r>
        <w:rPr>
          <w:rFonts w:ascii="ITC Avant Garde" w:eastAsia="Avant Garde" w:hAnsi="ITC Avant Garde" w:cs="Avant Garde"/>
          <w:color w:val="000000"/>
          <w:lang w:eastAsia="es-MX"/>
        </w:rPr>
        <w:t xml:space="preserve">es la de incentivar el pago de las contraprestaciones dentro del plazo establecido para tal efecto, se considera que la tasa anual señalada </w:t>
      </w:r>
      <w:r w:rsidR="00BE03ED" w:rsidRPr="0053503B">
        <w:rPr>
          <w:rFonts w:ascii="ITC Avant Garde" w:eastAsia="Avant Garde" w:hAnsi="ITC Avant Garde" w:cs="Avant Garde"/>
          <w:color w:val="000000"/>
          <w:lang w:eastAsia="es-MX"/>
        </w:rPr>
        <w:t xml:space="preserve">de 3 veces la TIIE </w:t>
      </w:r>
      <w:r w:rsidR="00277CBB">
        <w:rPr>
          <w:rFonts w:ascii="ITC Avant Garde" w:eastAsia="Avant Garde" w:hAnsi="ITC Avant Garde" w:cs="Avant Garde"/>
          <w:color w:val="000000"/>
          <w:lang w:eastAsia="es-MX"/>
        </w:rPr>
        <w:t xml:space="preserve">es adecuada considerando </w:t>
      </w:r>
      <w:r w:rsidR="007B75AC" w:rsidRPr="0053503B">
        <w:rPr>
          <w:rFonts w:ascii="ITC Avant Garde" w:eastAsia="Avant Garde" w:hAnsi="ITC Avant Garde" w:cs="Avant Garde"/>
          <w:color w:val="000000"/>
          <w:lang w:eastAsia="es-MX"/>
        </w:rPr>
        <w:t xml:space="preserve">que </w:t>
      </w:r>
      <w:r w:rsidR="00277CBB">
        <w:rPr>
          <w:rFonts w:ascii="ITC Avant Garde" w:eastAsia="Avant Garde" w:hAnsi="ITC Avant Garde" w:cs="Avant Garde"/>
          <w:color w:val="000000"/>
          <w:lang w:eastAsia="es-MX"/>
        </w:rPr>
        <w:t xml:space="preserve">la prestación de </w:t>
      </w:r>
      <w:r w:rsidR="007B75AC" w:rsidRPr="0053503B">
        <w:rPr>
          <w:rFonts w:ascii="ITC Avant Garde" w:eastAsia="Avant Garde" w:hAnsi="ITC Avant Garde" w:cs="Avant Garde"/>
          <w:color w:val="000000"/>
          <w:lang w:eastAsia="es-MX"/>
        </w:rPr>
        <w:t xml:space="preserve">los servicios de interconexión </w:t>
      </w:r>
      <w:r w:rsidR="00277CBB">
        <w:rPr>
          <w:rFonts w:ascii="ITC Avant Garde" w:eastAsia="Avant Garde" w:hAnsi="ITC Avant Garde" w:cs="Avant Garde"/>
          <w:color w:val="000000"/>
          <w:lang w:eastAsia="es-MX"/>
        </w:rPr>
        <w:t xml:space="preserve">no se verá interrumpida aun cuando exista un retraso en el pago de las contraprestaciones correspondientes. </w:t>
      </w:r>
    </w:p>
    <w:p w14:paraId="0DB31E76" w14:textId="736675DC" w:rsidR="00AE7499" w:rsidRPr="002C4823" w:rsidRDefault="00AE7499" w:rsidP="00421913">
      <w:pPr>
        <w:spacing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58446BF8" w14:textId="1D935531" w:rsidR="00AE7499" w:rsidRPr="0053503B" w:rsidRDefault="002C4823" w:rsidP="00421913">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5.1 Arquitectura Abierta.</w:t>
      </w:r>
    </w:p>
    <w:p w14:paraId="53EEDFEF"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p>
    <w:p w14:paraId="109D08D9" w14:textId="53EA5285" w:rsidR="00845140" w:rsidRPr="0053503B" w:rsidRDefault="00845140" w:rsidP="00421913">
      <w:pPr>
        <w:spacing w:line="276" w:lineRule="auto"/>
        <w:rPr>
          <w:rFonts w:ascii="ITC Avant Garde" w:eastAsia="Avant Garde" w:hAnsi="ITC Avant Garde" w:cs="Avant Garde"/>
          <w:color w:val="000000"/>
          <w:lang w:eastAsia="es-MX"/>
        </w:rPr>
      </w:pPr>
      <w:r w:rsidRPr="00C90970">
        <w:rPr>
          <w:rFonts w:ascii="ITC Avant Garde" w:eastAsia="Avant Garde" w:hAnsi="ITC Avant Garde" w:cs="Avant Garde"/>
          <w:color w:val="000000"/>
          <w:lang w:eastAsia="es-MX"/>
        </w:rPr>
        <w:t>Solicitan la aplicación automática de nuevas Disposiciones sin la nece</w:t>
      </w:r>
      <w:r w:rsidR="00B94D46" w:rsidRPr="00C90970">
        <w:rPr>
          <w:rFonts w:ascii="ITC Avant Garde" w:eastAsia="Avant Garde" w:hAnsi="ITC Avant Garde" w:cs="Avant Garde"/>
          <w:color w:val="000000"/>
          <w:lang w:eastAsia="es-MX"/>
        </w:rPr>
        <w:t>sidad de realizar adecuaciones a</w:t>
      </w:r>
      <w:r w:rsidRPr="00C90970">
        <w:rPr>
          <w:rFonts w:ascii="ITC Avant Garde" w:eastAsia="Avant Garde" w:hAnsi="ITC Avant Garde" w:cs="Avant Garde"/>
          <w:color w:val="000000"/>
          <w:lang w:eastAsia="es-MX"/>
        </w:rPr>
        <w:t>l CMI.</w:t>
      </w:r>
      <w:r w:rsidRPr="0053503B">
        <w:rPr>
          <w:rFonts w:ascii="ITC Avant Garde" w:eastAsia="Avant Garde" w:hAnsi="ITC Avant Garde" w:cs="Avant Garde"/>
          <w:color w:val="000000"/>
          <w:lang w:eastAsia="es-MX"/>
        </w:rPr>
        <w:t xml:space="preserve"> </w:t>
      </w:r>
    </w:p>
    <w:p w14:paraId="5A3FA1E6" w14:textId="77777777" w:rsidR="00AE7499" w:rsidRPr="0053503B" w:rsidRDefault="00AE7499" w:rsidP="00421913">
      <w:pPr>
        <w:spacing w:line="276" w:lineRule="auto"/>
        <w:rPr>
          <w:rFonts w:ascii="ITC Avant Garde" w:hAnsi="ITC Avant Garde"/>
          <w:b/>
        </w:rPr>
      </w:pPr>
      <w:r w:rsidRPr="0053503B">
        <w:rPr>
          <w:rFonts w:ascii="ITC Avant Garde" w:hAnsi="ITC Avant Garde"/>
          <w:b/>
        </w:rPr>
        <w:t xml:space="preserve">Consideraciones del Instituto </w:t>
      </w:r>
    </w:p>
    <w:p w14:paraId="5632DA28" w14:textId="16635759" w:rsidR="00AE7499" w:rsidRPr="0053503B" w:rsidRDefault="006145A3" w:rsidP="00421913">
      <w:pPr>
        <w:spacing w:line="276" w:lineRule="auto"/>
        <w:rPr>
          <w:rFonts w:ascii="ITC Avant Garde" w:eastAsia="Avant Garde" w:hAnsi="ITC Avant Garde" w:cs="Avant Garde"/>
          <w:color w:val="000000"/>
          <w:lang w:eastAsia="es-MX"/>
        </w:rPr>
      </w:pPr>
      <w:r w:rsidRPr="00C90970">
        <w:rPr>
          <w:rFonts w:ascii="ITC Avant Garde" w:eastAsia="Avant Garde" w:hAnsi="ITC Avant Garde" w:cs="Avant Garde"/>
          <w:color w:val="000000"/>
          <w:lang w:eastAsia="es-MX"/>
        </w:rPr>
        <w:t xml:space="preserve">Con el fin de brindar certidumbre </w:t>
      </w:r>
      <w:r w:rsidR="00B94D46" w:rsidRPr="00C90970">
        <w:rPr>
          <w:rFonts w:ascii="ITC Avant Garde" w:eastAsia="Avant Garde" w:hAnsi="ITC Avant Garde" w:cs="Avant Garde"/>
          <w:color w:val="000000"/>
          <w:lang w:eastAsia="es-MX"/>
        </w:rPr>
        <w:t xml:space="preserve">a los concesionarios sobre </w:t>
      </w:r>
      <w:r w:rsidRPr="00C90970">
        <w:rPr>
          <w:rFonts w:ascii="ITC Avant Garde" w:eastAsia="Avant Garde" w:hAnsi="ITC Avant Garde" w:cs="Avant Garde"/>
          <w:color w:val="000000"/>
          <w:lang w:eastAsia="es-MX"/>
        </w:rPr>
        <w:t>la prestación de los servicios de interconexión</w:t>
      </w:r>
      <w:r w:rsidR="00B94D46" w:rsidRPr="00C90970">
        <w:rPr>
          <w:rFonts w:ascii="ITC Avant Garde" w:eastAsia="Avant Garde" w:hAnsi="ITC Avant Garde" w:cs="Avant Garde"/>
          <w:color w:val="000000"/>
          <w:lang w:eastAsia="es-MX"/>
        </w:rPr>
        <w:t xml:space="preserve"> en caso de</w:t>
      </w:r>
      <w:r w:rsidRPr="00C90970">
        <w:rPr>
          <w:rFonts w:ascii="ITC Avant Garde" w:eastAsia="Avant Garde" w:hAnsi="ITC Avant Garde" w:cs="Avant Garde"/>
          <w:color w:val="000000"/>
          <w:lang w:eastAsia="es-MX"/>
        </w:rPr>
        <w:t xml:space="preserve"> emisión de </w:t>
      </w:r>
      <w:r w:rsidR="0080309E" w:rsidRPr="00C90970">
        <w:rPr>
          <w:rFonts w:ascii="ITC Avant Garde" w:eastAsia="Avant Garde" w:hAnsi="ITC Avant Garde" w:cs="Avant Garde"/>
          <w:color w:val="000000"/>
          <w:lang w:eastAsia="es-MX"/>
        </w:rPr>
        <w:t>nuevas disposiciones, se realizan diversas modificaciones</w:t>
      </w:r>
      <w:r w:rsidR="00B94D46" w:rsidRPr="00C90970">
        <w:rPr>
          <w:rFonts w:ascii="ITC Avant Garde" w:eastAsia="Avant Garde" w:hAnsi="ITC Avant Garde" w:cs="Avant Garde"/>
          <w:color w:val="000000"/>
          <w:lang w:eastAsia="es-MX"/>
        </w:rPr>
        <w:t xml:space="preserve"> en la Propuesta del CMI:</w:t>
      </w:r>
      <w:r w:rsidR="0080309E" w:rsidRPr="0053503B">
        <w:rPr>
          <w:rFonts w:ascii="ITC Avant Garde" w:eastAsia="Avant Garde" w:hAnsi="ITC Avant Garde" w:cs="Avant Garde"/>
          <w:color w:val="000000"/>
          <w:lang w:eastAsia="es-MX"/>
        </w:rPr>
        <w:t xml:space="preserve"> </w:t>
      </w:r>
    </w:p>
    <w:tbl>
      <w:tblPr>
        <w:tblW w:w="0" w:type="auto"/>
        <w:tblInd w:w="284" w:type="dxa"/>
        <w:tblLook w:val="04A0" w:firstRow="1" w:lastRow="0" w:firstColumn="1" w:lastColumn="0" w:noHBand="0" w:noVBand="1"/>
      </w:tblPr>
      <w:tblGrid>
        <w:gridCol w:w="2373"/>
        <w:gridCol w:w="5848"/>
      </w:tblGrid>
      <w:tr w:rsidR="008C68A4" w:rsidRPr="0053503B" w14:paraId="3C82FF0E" w14:textId="77777777" w:rsidTr="002C4823">
        <w:tc>
          <w:tcPr>
            <w:tcW w:w="2373" w:type="dxa"/>
            <w:shd w:val="clear" w:color="auto" w:fill="auto"/>
          </w:tcPr>
          <w:p w14:paraId="67D3C3F0" w14:textId="26855436" w:rsidR="008C68A4" w:rsidRPr="00782C23" w:rsidRDefault="008C68A4" w:rsidP="002C4823">
            <w:pPr>
              <w:spacing w:after="0" w:line="276" w:lineRule="auto"/>
              <w:ind w:left="35"/>
              <w:rPr>
                <w:rFonts w:ascii="ITC Avant Garde" w:hAnsi="ITC Avant Garde"/>
                <w:i/>
                <w:sz w:val="18"/>
                <w:szCs w:val="18"/>
              </w:rPr>
            </w:pPr>
            <w:r w:rsidRPr="00782C23">
              <w:rPr>
                <w:rFonts w:ascii="ITC Avant Garde" w:hAnsi="ITC Avant Garde"/>
                <w:i/>
                <w:sz w:val="18"/>
                <w:szCs w:val="18"/>
              </w:rPr>
              <w:t xml:space="preserve">“Acuerdo de Condiciones Técnicas Mínimas de Interconexión </w:t>
            </w:r>
          </w:p>
          <w:p w14:paraId="4210C0E7" w14:textId="77777777" w:rsidR="008C68A4" w:rsidRPr="00782C23" w:rsidRDefault="008C68A4" w:rsidP="002C4823">
            <w:pPr>
              <w:spacing w:after="0" w:line="276" w:lineRule="auto"/>
              <w:ind w:left="35"/>
              <w:rPr>
                <w:rFonts w:ascii="ITC Avant Garde" w:hAnsi="ITC Avant Garde"/>
                <w:i/>
                <w:sz w:val="18"/>
                <w:szCs w:val="18"/>
              </w:rPr>
            </w:pPr>
          </w:p>
        </w:tc>
        <w:tc>
          <w:tcPr>
            <w:tcW w:w="5848" w:type="dxa"/>
            <w:shd w:val="clear" w:color="auto" w:fill="auto"/>
          </w:tcPr>
          <w:p w14:paraId="17C53B48" w14:textId="219EB5EF" w:rsidR="008C68A4" w:rsidRPr="00782C23" w:rsidRDefault="008C68A4" w:rsidP="002C4823">
            <w:pPr>
              <w:spacing w:after="0" w:line="276" w:lineRule="auto"/>
              <w:ind w:left="35"/>
              <w:rPr>
                <w:rFonts w:ascii="ITC Avant Garde" w:hAnsi="ITC Avant Garde"/>
                <w:i/>
                <w:sz w:val="18"/>
                <w:szCs w:val="18"/>
              </w:rPr>
            </w:pPr>
            <w:r w:rsidRPr="00782C23">
              <w:rPr>
                <w:rFonts w:ascii="ITC Avant Garde" w:hAnsi="ITC Avant Garde"/>
                <w:i/>
                <w:sz w:val="18"/>
                <w:szCs w:val="18"/>
              </w:rPr>
              <w:t xml:space="preserve">Es el “Acuerdo mediante el cual el Pleno del Instituto Federal de Telecomunicaciones establece las condiciones técnicas mínimas para la interconexión entre concesionarios que operen redes públicas de telecomunicaciones”, </w:t>
            </w:r>
            <w:r w:rsidRPr="0049506A">
              <w:rPr>
                <w:rFonts w:ascii="ITC Avant Garde" w:hAnsi="ITC Avant Garde"/>
                <w:i/>
                <w:sz w:val="18"/>
                <w:szCs w:val="18"/>
                <w:u w:val="single"/>
              </w:rPr>
              <w:t>vigente a la fecha de suscripción del presente convenio</w:t>
            </w:r>
            <w:r w:rsidRPr="00782C23">
              <w:rPr>
                <w:rFonts w:ascii="ITC Avant Garde" w:hAnsi="ITC Avant Garde"/>
                <w:i/>
                <w:sz w:val="18"/>
                <w:szCs w:val="18"/>
              </w:rPr>
              <w:t>.”</w:t>
            </w:r>
          </w:p>
          <w:p w14:paraId="047FF913" w14:textId="77777777" w:rsidR="008C68A4" w:rsidRPr="00782C23" w:rsidRDefault="008C68A4" w:rsidP="002C4823">
            <w:pPr>
              <w:spacing w:after="0" w:line="276" w:lineRule="auto"/>
              <w:ind w:left="35"/>
              <w:rPr>
                <w:rFonts w:ascii="ITC Avant Garde" w:hAnsi="ITC Avant Garde"/>
                <w:i/>
                <w:sz w:val="18"/>
                <w:szCs w:val="18"/>
              </w:rPr>
            </w:pPr>
          </w:p>
        </w:tc>
      </w:tr>
    </w:tbl>
    <w:p w14:paraId="382D3446" w14:textId="77777777" w:rsidR="0049506A" w:rsidRPr="00782C23" w:rsidRDefault="0049506A" w:rsidP="0049506A">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7C1AB4EA" w14:textId="77777777" w:rsidR="008C68A4" w:rsidRPr="0053503B" w:rsidRDefault="008C68A4" w:rsidP="00421913">
      <w:pPr>
        <w:spacing w:line="276" w:lineRule="auto"/>
        <w:rPr>
          <w:rFonts w:ascii="ITC Avant Garde" w:eastAsia="Avant Garde" w:hAnsi="ITC Avant Garde" w:cs="Avant Garde"/>
          <w:color w:val="000000"/>
          <w:lang w:val="es-ES_tradnl" w:eastAsia="es-MX"/>
        </w:rPr>
      </w:pPr>
    </w:p>
    <w:p w14:paraId="52298541" w14:textId="2D0C4D40" w:rsidR="000D240B" w:rsidRPr="00782C23" w:rsidRDefault="000D240B"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“Código de Identificación: Número que asigna cada una de las Partes a los Equipos Terminales  de sus Usuarios, el cual para efectos de la prestación del SIEMC, estará compuesto por el número de directorio de 10 dígitos que les ha sido asignado a cada uno de los Equipos Terminales  de sus Usuarios para la utilización de servicios de voz, conforme al formato de número nacional según lo señala el Plan Técnico Fundamental de Numeración publicado en el Diario Oficial de la Federación (DOF) el 21 de junio de 1996 y modificado el 12 de noviembre de 2014 </w:t>
      </w:r>
      <w:r w:rsidRPr="00782C23">
        <w:rPr>
          <w:rFonts w:ascii="ITC Avant Garde" w:hAnsi="ITC Avant Garde"/>
          <w:i/>
          <w:sz w:val="18"/>
          <w:szCs w:val="18"/>
          <w:u w:val="single"/>
        </w:rPr>
        <w:t>o aquel que lo modifique o sustituya</w:t>
      </w:r>
      <w:r w:rsidRPr="00782C23">
        <w:rPr>
          <w:rFonts w:ascii="ITC Avant Garde" w:hAnsi="ITC Avant Garde"/>
          <w:i/>
          <w:sz w:val="18"/>
          <w:szCs w:val="18"/>
        </w:rPr>
        <w:t xml:space="preserve">. La </w:t>
      </w:r>
      <w:r w:rsidRPr="00782C23">
        <w:rPr>
          <w:rFonts w:ascii="ITC Avant Garde" w:hAnsi="ITC Avant Garde"/>
          <w:i/>
          <w:sz w:val="18"/>
          <w:szCs w:val="18"/>
        </w:rPr>
        <w:lastRenderedPageBreak/>
        <w:t>validación de dichos Códigos de Identificación entre las Partes se llevará a cabo en los términos establecidos para tales efectos en el Acuerdo Técnico.”</w:t>
      </w:r>
    </w:p>
    <w:p w14:paraId="4BFC4ED1" w14:textId="4691F872" w:rsidR="002B339C" w:rsidRPr="00782C23" w:rsidRDefault="002B339C"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7B66526A" w14:textId="1F74969C" w:rsidR="000D240B" w:rsidRPr="00782C23" w:rsidRDefault="000D240B" w:rsidP="00421913">
      <w:pPr>
        <w:spacing w:after="0" w:line="276" w:lineRule="auto"/>
        <w:ind w:left="567" w:right="616" w:hanging="11"/>
        <w:rPr>
          <w:rFonts w:ascii="ITC Avant Garde" w:hAnsi="ITC Avant Garde"/>
          <w:i/>
          <w:sz w:val="18"/>
          <w:szCs w:val="18"/>
        </w:rPr>
      </w:pPr>
    </w:p>
    <w:p w14:paraId="02988008" w14:textId="302F3A74" w:rsidR="000D240B" w:rsidRPr="00782C23" w:rsidRDefault="000D240B"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“SEGUNDA.  CÓDIGO DE IDENTIFICACIÓN DE LOS USUARIOS.</w:t>
      </w:r>
    </w:p>
    <w:p w14:paraId="1E7A5B6F" w14:textId="68F51124" w:rsidR="000D240B" w:rsidRPr="00782C23" w:rsidRDefault="000D240B"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La identificación de los Usuarios se realizará a través de los Códigos de Identificación que asigne cada una de las Partes a los Equipos Terminales Móviles de sus Usuarios. Para tales efectos, las Partes acuerdan que el Código de Identificación de los Equipos Terminales Móviles que se intercambiarán para efectos del SIEMC, estará integrado por el número de directorio de 10 dígitos que les ha sido asignado para la utilización de servicios de voz conforme al formato de número nacional que señala el Plan Técnico Fundamental de Numeración publicado en el Diario Oficial de la Federación (DOF) el 21 de junio de 1996 y modificado el 12 de noviembre de 2014 </w:t>
      </w:r>
      <w:r w:rsidRPr="00782C23">
        <w:rPr>
          <w:rFonts w:ascii="ITC Avant Garde" w:hAnsi="ITC Avant Garde"/>
          <w:i/>
          <w:sz w:val="18"/>
          <w:szCs w:val="18"/>
          <w:u w:val="single"/>
        </w:rPr>
        <w:t>o aquel que lo modifique o sustituya</w:t>
      </w:r>
      <w:r w:rsidRPr="00782C23">
        <w:rPr>
          <w:rFonts w:ascii="ITC Avant Garde" w:hAnsi="ITC Avant Garde"/>
          <w:i/>
          <w:sz w:val="18"/>
          <w:szCs w:val="18"/>
        </w:rPr>
        <w:t>.”</w:t>
      </w:r>
    </w:p>
    <w:p w14:paraId="1C9F8937" w14:textId="087D0004" w:rsidR="002B339C" w:rsidRPr="00782C23" w:rsidRDefault="002B339C"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519FE060" w14:textId="261C42AB" w:rsidR="00782C23" w:rsidRDefault="00782C23" w:rsidP="002C4823">
      <w:pPr>
        <w:spacing w:after="0" w:line="276" w:lineRule="auto"/>
        <w:rPr>
          <w:rFonts w:ascii="ITC Avant Garde" w:eastAsia="Avant Garde" w:hAnsi="ITC Avant Garde" w:cs="Avant Garde"/>
          <w:b/>
          <w:color w:val="000000"/>
          <w:lang w:eastAsia="es-MX"/>
        </w:rPr>
      </w:pPr>
    </w:p>
    <w:p w14:paraId="1DA31C03" w14:textId="25366F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5.4 Puertos de Acceso y Señalización y Anexo B</w:t>
      </w:r>
      <w:r w:rsidR="009B2DD6">
        <w:rPr>
          <w:rFonts w:ascii="ITC Avant Garde" w:eastAsia="Avant Garde" w:hAnsi="ITC Avant Garde" w:cs="Avant Garde"/>
          <w:b/>
          <w:color w:val="000000"/>
          <w:lang w:eastAsia="es-MX"/>
        </w:rPr>
        <w:t>.</w:t>
      </w:r>
      <w:r w:rsidRPr="0053503B">
        <w:rPr>
          <w:rFonts w:ascii="ITC Avant Garde" w:eastAsia="Avant Garde" w:hAnsi="ITC Avant Garde" w:cs="Avant Garde"/>
          <w:b/>
          <w:color w:val="000000"/>
          <w:lang w:eastAsia="es-MX"/>
        </w:rPr>
        <w:t xml:space="preserve"> Precios y Tarifas</w:t>
      </w:r>
      <w:r w:rsidR="002C4823">
        <w:rPr>
          <w:rFonts w:ascii="ITC Avant Garde" w:eastAsia="Avant Garde" w:hAnsi="ITC Avant Garde" w:cs="Avant Garde"/>
          <w:b/>
          <w:color w:val="000000"/>
          <w:lang w:eastAsia="es-MX"/>
        </w:rPr>
        <w:t>.</w:t>
      </w:r>
    </w:p>
    <w:p w14:paraId="15765B8F"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57FCE4D3" w14:textId="52DD068E" w:rsidR="003A409F" w:rsidRPr="0053503B" w:rsidRDefault="003A409F"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Solicitan que el numeral en cuestión señale que los puertos de interconexión </w:t>
      </w:r>
      <w:r w:rsidR="002C4823">
        <w:rPr>
          <w:rFonts w:ascii="ITC Avant Garde" w:eastAsia="Avant Garde" w:hAnsi="ITC Avant Garde" w:cs="Avant Garde"/>
          <w:color w:val="000000"/>
          <w:lang w:eastAsia="es-MX"/>
        </w:rPr>
        <w:t>no tendrán</w:t>
      </w:r>
      <w:r w:rsidRPr="0053503B">
        <w:rPr>
          <w:rFonts w:ascii="ITC Avant Garde" w:eastAsia="Avant Garde" w:hAnsi="ITC Avant Garde" w:cs="Avant Garde"/>
          <w:color w:val="000000"/>
          <w:lang w:eastAsia="es-MX"/>
        </w:rPr>
        <w:t xml:space="preserve"> costo o bien, que el precio establecido ya incluye el </w:t>
      </w:r>
      <w:r w:rsidR="002C4823">
        <w:rPr>
          <w:rFonts w:ascii="ITC Avant Garde" w:eastAsia="Avant Garde" w:hAnsi="ITC Avant Garde" w:cs="Avant Garde"/>
          <w:color w:val="000000"/>
          <w:lang w:eastAsia="es-MX"/>
        </w:rPr>
        <w:t>mismo</w:t>
      </w:r>
      <w:r w:rsidRPr="0053503B">
        <w:rPr>
          <w:rFonts w:ascii="ITC Avant Garde" w:eastAsia="Avant Garde" w:hAnsi="ITC Avant Garde" w:cs="Avant Garde"/>
          <w:color w:val="000000"/>
          <w:lang w:eastAsia="es-MX"/>
        </w:rPr>
        <w:t>.</w:t>
      </w:r>
    </w:p>
    <w:p w14:paraId="1347CCC0" w14:textId="77777777" w:rsidR="003A409F" w:rsidRPr="0053503B" w:rsidRDefault="003A409F" w:rsidP="00421913">
      <w:pPr>
        <w:spacing w:line="276" w:lineRule="auto"/>
        <w:rPr>
          <w:rFonts w:ascii="ITC Avant Garde" w:hAnsi="ITC Avant Garde"/>
          <w:b/>
        </w:rPr>
      </w:pPr>
      <w:r w:rsidRPr="0053503B">
        <w:rPr>
          <w:rFonts w:ascii="ITC Avant Garde" w:hAnsi="ITC Avant Garde"/>
          <w:b/>
        </w:rPr>
        <w:t xml:space="preserve">Consideraciones del Instituto </w:t>
      </w:r>
    </w:p>
    <w:p w14:paraId="18D73638" w14:textId="08BEB708" w:rsidR="003A409F" w:rsidRDefault="002C4823"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w:t>
      </w:r>
      <w:r w:rsidR="003A409F" w:rsidRPr="0053503B">
        <w:rPr>
          <w:rFonts w:ascii="ITC Avant Garde" w:eastAsia="Avant Garde" w:hAnsi="ITC Avant Garde" w:cs="Avant Garde"/>
          <w:color w:val="000000"/>
          <w:lang w:eastAsia="es-MX"/>
        </w:rPr>
        <w:t xml:space="preserve"> el numeral en cuestión </w:t>
      </w:r>
      <w:r>
        <w:rPr>
          <w:rFonts w:ascii="ITC Avant Garde" w:eastAsia="Avant Garde" w:hAnsi="ITC Avant Garde" w:cs="Avant Garde"/>
          <w:color w:val="000000"/>
          <w:lang w:eastAsia="es-MX"/>
        </w:rPr>
        <w:t xml:space="preserve">se </w:t>
      </w:r>
      <w:r w:rsidR="003A409F" w:rsidRPr="0053503B">
        <w:rPr>
          <w:rFonts w:ascii="ITC Avant Garde" w:eastAsia="Avant Garde" w:hAnsi="ITC Avant Garde" w:cs="Avant Garde"/>
          <w:color w:val="000000"/>
          <w:lang w:eastAsia="es-MX"/>
        </w:rPr>
        <w:t>establece que el costo del puerto está incluid</w:t>
      </w:r>
      <w:r w:rsidR="006E4D22">
        <w:rPr>
          <w:rFonts w:ascii="ITC Avant Garde" w:eastAsia="Avant Garde" w:hAnsi="ITC Avant Garde" w:cs="Avant Garde"/>
          <w:color w:val="000000"/>
          <w:lang w:eastAsia="es-MX"/>
        </w:rPr>
        <w:t>o en la tarifa de interconexión</w:t>
      </w:r>
      <w:r w:rsidR="003B4052">
        <w:rPr>
          <w:rFonts w:ascii="ITC Avant Garde" w:eastAsia="Avant Garde" w:hAnsi="ITC Avant Garde" w:cs="Avant Garde"/>
          <w:color w:val="000000"/>
          <w:lang w:eastAsia="es-MX"/>
        </w:rPr>
        <w:t>,</w:t>
      </w:r>
      <w:r w:rsidR="006E4D22">
        <w:rPr>
          <w:rFonts w:ascii="ITC Avant Garde" w:eastAsia="Avant Garde" w:hAnsi="ITC Avant Garde" w:cs="Avant Garde"/>
          <w:color w:val="000000"/>
          <w:lang w:eastAsia="es-MX"/>
        </w:rPr>
        <w:t xml:space="preserve"> tal como se muestra a continuación:</w:t>
      </w:r>
    </w:p>
    <w:p w14:paraId="4765CF24" w14:textId="3AD905DC" w:rsidR="00AF502C" w:rsidRPr="00AF502C" w:rsidRDefault="00AF502C" w:rsidP="00AF502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AF502C">
        <w:rPr>
          <w:rFonts w:ascii="ITC Avant Garde" w:hAnsi="ITC Avant Garde"/>
          <w:i/>
          <w:sz w:val="18"/>
          <w:szCs w:val="18"/>
        </w:rPr>
        <w:t>Los Puertos de Acceso no generarán un costo adicional, pues éste ya está incluido en la tarifa de los Servicios Conmutados de Interconexión.</w:t>
      </w:r>
      <w:r>
        <w:rPr>
          <w:rFonts w:ascii="ITC Avant Garde" w:hAnsi="ITC Avant Garde"/>
          <w:i/>
          <w:sz w:val="18"/>
          <w:szCs w:val="18"/>
        </w:rPr>
        <w:t>”</w:t>
      </w:r>
    </w:p>
    <w:p w14:paraId="789E9D00" w14:textId="77777777" w:rsidR="00B22686" w:rsidRDefault="00B22686" w:rsidP="00421913">
      <w:pPr>
        <w:spacing w:line="276" w:lineRule="auto"/>
        <w:rPr>
          <w:rFonts w:ascii="ITC Avant Garde" w:eastAsia="Avant Garde" w:hAnsi="ITC Avant Garde" w:cs="Avant Garde"/>
          <w:b/>
          <w:color w:val="000000"/>
          <w:lang w:eastAsia="es-MX"/>
        </w:rPr>
      </w:pPr>
    </w:p>
    <w:p w14:paraId="3A7FC401" w14:textId="2AE0440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5.6 Tránsito</w:t>
      </w:r>
    </w:p>
    <w:p w14:paraId="528F2A76"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595CD160" w14:textId="5D03A2DB" w:rsidR="00AE7499" w:rsidRPr="0053503B" w:rsidRDefault="00B00CDD"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Con el fin de que el servicio de tránsito se preste en las mejores condiciones de calidad y que se garantice la continuidad de los servicios, proponen adicionar la siguiente condición:</w:t>
      </w:r>
    </w:p>
    <w:p w14:paraId="58D927EA" w14:textId="77777777" w:rsidR="00AE7499" w:rsidRPr="00782C23" w:rsidRDefault="00AE7499"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“…Sin excepción alguna, todo el tráfico que se entregue en cualquier Punto de Interconexión de TELCEL para el Servicio de Tránsito, deberá ser llevado por TELCEL hasta el Punto de Interconexión del otro concesionario, más cercano al destino de la llamada…”</w:t>
      </w:r>
    </w:p>
    <w:p w14:paraId="1DDD2642" w14:textId="77777777" w:rsidR="00AE7499" w:rsidRPr="0053503B" w:rsidRDefault="00AE7499" w:rsidP="00421913">
      <w:pPr>
        <w:spacing w:after="0" w:line="276" w:lineRule="auto"/>
        <w:rPr>
          <w:rFonts w:ascii="ITC Avant Garde" w:eastAsia="Times New Roman" w:hAnsi="ITC Avant Garde" w:cs="Arial"/>
          <w:color w:val="000000"/>
          <w:sz w:val="16"/>
          <w:szCs w:val="16"/>
          <w:lang w:eastAsia="es-MX"/>
        </w:rPr>
      </w:pPr>
    </w:p>
    <w:p w14:paraId="4872D529" w14:textId="77777777" w:rsidR="00405F7D" w:rsidRPr="0053503B" w:rsidRDefault="00405F7D" w:rsidP="00421913">
      <w:pPr>
        <w:spacing w:line="276" w:lineRule="auto"/>
        <w:rPr>
          <w:rFonts w:ascii="ITC Avant Garde" w:hAnsi="ITC Avant Garde"/>
          <w:b/>
        </w:rPr>
      </w:pPr>
      <w:r w:rsidRPr="0053503B">
        <w:rPr>
          <w:rFonts w:ascii="ITC Avant Garde" w:hAnsi="ITC Avant Garde"/>
          <w:b/>
        </w:rPr>
        <w:t xml:space="preserve">Consideraciones del Instituto </w:t>
      </w:r>
    </w:p>
    <w:p w14:paraId="700D070A" w14:textId="731533AF" w:rsidR="00405F7D" w:rsidRPr="0053503B" w:rsidRDefault="0066742D" w:rsidP="00421913">
      <w:pPr>
        <w:spacing w:line="276" w:lineRule="auto"/>
        <w:rPr>
          <w:rFonts w:ascii="ITC Avant Garde" w:eastAsia="Avant Garde" w:hAnsi="ITC Avant Garde" w:cs="Avant Garde"/>
          <w:color w:val="000000"/>
          <w:lang w:eastAsia="es-MX"/>
        </w:rPr>
      </w:pPr>
      <w:r w:rsidRPr="003A22A4">
        <w:rPr>
          <w:rFonts w:ascii="ITC Avant Garde" w:eastAsia="Avant Garde" w:hAnsi="ITC Avant Garde" w:cs="Avant Garde"/>
          <w:color w:val="000000"/>
          <w:lang w:eastAsia="es-MX"/>
        </w:rPr>
        <w:lastRenderedPageBreak/>
        <w:t>Conforme lo establecido en</w:t>
      </w:r>
      <w:r w:rsidR="007727C0" w:rsidRPr="003A22A4">
        <w:rPr>
          <w:rFonts w:ascii="ITC Avant Garde" w:eastAsia="Avant Garde" w:hAnsi="ITC Avant Garde" w:cs="Avant Garde"/>
          <w:color w:val="000000"/>
          <w:lang w:eastAsia="es-MX"/>
        </w:rPr>
        <w:t xml:space="preserve"> la con</w:t>
      </w:r>
      <w:r w:rsidR="001A451B" w:rsidRPr="003A22A4">
        <w:rPr>
          <w:rFonts w:ascii="ITC Avant Garde" w:eastAsia="Avant Garde" w:hAnsi="ITC Avant Garde" w:cs="Avant Garde"/>
          <w:color w:val="000000"/>
          <w:lang w:eastAsia="es-MX"/>
        </w:rPr>
        <w:t xml:space="preserve">dición cuarta del </w:t>
      </w:r>
      <w:r w:rsidR="0080473F" w:rsidRPr="003A22A4">
        <w:rPr>
          <w:rFonts w:ascii="ITC Avant Garde" w:eastAsia="Avant Garde" w:hAnsi="ITC Avant Garde" w:cs="Avant Garde"/>
          <w:color w:val="000000"/>
          <w:lang w:eastAsia="es-MX"/>
        </w:rPr>
        <w:t xml:space="preserve">Acuerdo de </w:t>
      </w:r>
      <w:r w:rsidR="001A451B" w:rsidRPr="003A22A4">
        <w:rPr>
          <w:rFonts w:ascii="ITC Avant Garde" w:eastAsia="Avant Garde" w:hAnsi="ITC Avant Garde" w:cs="Avant Garde"/>
          <w:color w:val="000000"/>
          <w:lang w:eastAsia="es-MX"/>
        </w:rPr>
        <w:t>CTM</w:t>
      </w:r>
      <w:r w:rsidRPr="003A22A4">
        <w:rPr>
          <w:rFonts w:ascii="ITC Avant Garde" w:eastAsia="Avant Garde" w:hAnsi="ITC Avant Garde" w:cs="Avant Garde"/>
          <w:color w:val="000000"/>
          <w:lang w:eastAsia="es-MX"/>
        </w:rPr>
        <w:t>, misma que señala</w:t>
      </w:r>
      <w:r w:rsidR="001A451B" w:rsidRPr="003A22A4">
        <w:rPr>
          <w:rFonts w:ascii="ITC Avant Garde" w:eastAsia="Avant Garde" w:hAnsi="ITC Avant Garde" w:cs="Avant Garde"/>
          <w:color w:val="000000"/>
          <w:lang w:eastAsia="es-MX"/>
        </w:rPr>
        <w:t>:</w:t>
      </w:r>
    </w:p>
    <w:p w14:paraId="337C9559" w14:textId="0E1A815E" w:rsidR="007727C0" w:rsidRPr="00782C23" w:rsidRDefault="007727C0"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“CUARTA.-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w:t>
      </w:r>
      <w:r w:rsidRPr="00782C23">
        <w:rPr>
          <w:rFonts w:ascii="ITC Avant Garde" w:hAnsi="ITC Avant Garde"/>
          <w:i/>
          <w:sz w:val="18"/>
          <w:szCs w:val="18"/>
          <w:u w:val="single"/>
        </w:rPr>
        <w:t>se permitirá el intercambio de tráfico de cualquier origen o destino dentro del territorio nacional</w:t>
      </w:r>
      <w:r w:rsidRPr="00782C23">
        <w:rPr>
          <w:rFonts w:ascii="ITC Avant Garde" w:hAnsi="ITC Avant Garde"/>
          <w:i/>
          <w:sz w:val="18"/>
          <w:szCs w:val="18"/>
        </w:rPr>
        <w:t>, así como de cualquier tipo (local, entre localidades, tránsito, móvil, fijo).</w:t>
      </w:r>
    </w:p>
    <w:p w14:paraId="6B9C6A66" w14:textId="29E1A2BB" w:rsidR="007727C0" w:rsidRPr="00782C23" w:rsidRDefault="007727C0"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502CA085" w14:textId="777E7205" w:rsidR="007727C0" w:rsidRPr="00782C23" w:rsidRDefault="007727C0" w:rsidP="00421913">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350C0768" w14:textId="6462E22A" w:rsidR="007727C0" w:rsidRPr="0053503B" w:rsidRDefault="007727C0" w:rsidP="00421913">
      <w:pPr>
        <w:spacing w:after="0" w:line="276" w:lineRule="auto"/>
        <w:ind w:left="567" w:right="616" w:hanging="11"/>
        <w:rPr>
          <w:rFonts w:ascii="ITC Avant Garde" w:hAnsi="ITC Avant Garde"/>
          <w:i/>
          <w:sz w:val="20"/>
          <w:szCs w:val="20"/>
        </w:rPr>
      </w:pPr>
    </w:p>
    <w:p w14:paraId="408B616A" w14:textId="2DE8E0C3" w:rsidR="001A451B" w:rsidRPr="00F413E3" w:rsidRDefault="0066742D" w:rsidP="00F413E3">
      <w:pPr>
        <w:spacing w:line="276" w:lineRule="auto"/>
        <w:rPr>
          <w:rFonts w:ascii="ITC Avant Garde" w:eastAsia="Avant Garde" w:hAnsi="ITC Avant Garde" w:cs="Avant Garde"/>
          <w:color w:val="000000"/>
          <w:lang w:eastAsia="es-MX"/>
        </w:rPr>
      </w:pPr>
      <w:r w:rsidRPr="00F413E3">
        <w:rPr>
          <w:rFonts w:ascii="ITC Avant Garde" w:eastAsia="Avant Garde" w:hAnsi="ITC Avant Garde" w:cs="Avant Garde"/>
          <w:color w:val="000000"/>
          <w:lang w:eastAsia="es-MX"/>
        </w:rPr>
        <w:t>El intercambio de tráfico se deberá realizar en los puntos de interconexión, y a elección del Concesionario Solicitante los puertos de acceso y los enlaces de transmisión permitirán el intercambio de tráfico de cualquier origen o destino dentro del territorio nacional.</w:t>
      </w:r>
    </w:p>
    <w:p w14:paraId="5A036351" w14:textId="77777777" w:rsidR="0066742D" w:rsidRPr="0066742D" w:rsidRDefault="0066742D" w:rsidP="0066742D">
      <w:pPr>
        <w:spacing w:after="0" w:line="276" w:lineRule="auto"/>
        <w:ind w:right="616"/>
        <w:rPr>
          <w:rFonts w:ascii="ITC Avant Garde" w:hAnsi="ITC Avant Garde"/>
          <w:sz w:val="20"/>
          <w:szCs w:val="20"/>
        </w:rPr>
      </w:pPr>
    </w:p>
    <w:p w14:paraId="48117B2E" w14:textId="77C84F5D"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 xml:space="preserve">5.7.4 Realización Física de la Señalización </w:t>
      </w:r>
    </w:p>
    <w:p w14:paraId="61AF7F4E"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p>
    <w:p w14:paraId="115F2311" w14:textId="2AE5F7A4" w:rsidR="000D07DD" w:rsidRPr="0053503B" w:rsidRDefault="000D07DD"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que se haga referencia a la señalización número siete (SS7) solamente cuando ésta sea aplicable.</w:t>
      </w:r>
    </w:p>
    <w:p w14:paraId="44B94373" w14:textId="77777777" w:rsidR="008127CD" w:rsidRPr="0053503B" w:rsidRDefault="008127CD" w:rsidP="00421913">
      <w:pPr>
        <w:spacing w:line="276" w:lineRule="auto"/>
        <w:rPr>
          <w:rFonts w:ascii="ITC Avant Garde" w:hAnsi="ITC Avant Garde"/>
          <w:b/>
        </w:rPr>
      </w:pPr>
      <w:r w:rsidRPr="0053503B">
        <w:rPr>
          <w:rFonts w:ascii="ITC Avant Garde" w:hAnsi="ITC Avant Garde"/>
          <w:b/>
        </w:rPr>
        <w:t xml:space="preserve">Consideraciones del Instituto </w:t>
      </w:r>
    </w:p>
    <w:p w14:paraId="535A27E4" w14:textId="2DCC5E5E" w:rsidR="008127CD" w:rsidRPr="0053503B" w:rsidRDefault="003C6124"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El CMI considera únicamente el mantenimiento de interconexiones realizadas bajo el protocolo de señalización </w:t>
      </w:r>
      <w:r w:rsidR="0067320F">
        <w:rPr>
          <w:rFonts w:ascii="ITC Avant Garde" w:eastAsia="Avant Garde" w:hAnsi="ITC Avant Garde" w:cs="Avant Garde"/>
          <w:color w:val="000000"/>
          <w:lang w:eastAsia="es-MX"/>
        </w:rPr>
        <w:t>SS7 (Sistema de Señalización 7)</w:t>
      </w:r>
      <w:r>
        <w:rPr>
          <w:rFonts w:ascii="ITC Avant Garde" w:eastAsia="Avant Garde" w:hAnsi="ITC Avant Garde" w:cs="Avant Garde"/>
          <w:color w:val="000000"/>
          <w:lang w:eastAsia="es-MX"/>
        </w:rPr>
        <w:t xml:space="preserve"> por lo cual, únicamente se hace referencia cuando dicho protocolo resulta aplicable.</w:t>
      </w:r>
    </w:p>
    <w:p w14:paraId="20D5B1AC" w14:textId="5738FC15" w:rsidR="00AE7499" w:rsidRPr="00E37612" w:rsidRDefault="00AE7499" w:rsidP="00421913">
      <w:pPr>
        <w:spacing w:line="276" w:lineRule="auto"/>
        <w:rPr>
          <w:rFonts w:ascii="ITC Avant Garde" w:eastAsia="Avant Garde" w:hAnsi="ITC Avant Garde" w:cs="Avant Garde"/>
          <w:b/>
          <w:color w:val="000000"/>
          <w:szCs w:val="24"/>
          <w:u w:val="single"/>
          <w:lang w:eastAsia="es-MX"/>
        </w:rPr>
      </w:pPr>
      <w:r w:rsidRPr="00E37612">
        <w:rPr>
          <w:rFonts w:ascii="ITC Avant Garde" w:eastAsia="Avant Garde" w:hAnsi="ITC Avant Garde" w:cs="Avant Garde"/>
          <w:b/>
          <w:color w:val="000000"/>
          <w:szCs w:val="24"/>
          <w:u w:val="single"/>
          <w:lang w:eastAsia="es-MX"/>
        </w:rPr>
        <w:t>C</w:t>
      </w:r>
      <w:r w:rsidR="00A6454C" w:rsidRPr="00E37612">
        <w:rPr>
          <w:rFonts w:ascii="ITC Avant Garde" w:eastAsia="Avant Garde" w:hAnsi="ITC Avant Garde" w:cs="Avant Garde"/>
          <w:b/>
          <w:color w:val="000000"/>
          <w:szCs w:val="24"/>
          <w:u w:val="single"/>
          <w:lang w:eastAsia="es-MX"/>
        </w:rPr>
        <w:t>láusula Sexta. Responsabilidades</w:t>
      </w:r>
    </w:p>
    <w:p w14:paraId="410DC769" w14:textId="7B23E78D" w:rsidR="00AE7499" w:rsidRPr="00A65AF2" w:rsidRDefault="00AE7499" w:rsidP="00421913">
      <w:pPr>
        <w:spacing w:line="276" w:lineRule="auto"/>
        <w:rPr>
          <w:rFonts w:ascii="ITC Avant Garde" w:eastAsia="Avant Garde" w:hAnsi="ITC Avant Garde" w:cs="Avant Garde"/>
          <w:b/>
          <w:color w:val="000000"/>
          <w:lang w:eastAsia="es-MX"/>
        </w:rPr>
      </w:pPr>
      <w:r w:rsidRPr="00A65AF2">
        <w:rPr>
          <w:rFonts w:ascii="ITC Avant Garde" w:eastAsia="Avant Garde" w:hAnsi="ITC Avant Garde" w:cs="Avant Garde"/>
          <w:b/>
          <w:color w:val="000000"/>
          <w:lang w:eastAsia="es-MX"/>
        </w:rPr>
        <w:t xml:space="preserve">6.2 Calidad de los Servicios de Interconexión </w:t>
      </w:r>
    </w:p>
    <w:p w14:paraId="48A7DC43"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A65AF2">
        <w:rPr>
          <w:rFonts w:ascii="ITC Avant Garde" w:eastAsia="Avant Garde" w:hAnsi="ITC Avant Garde" w:cs="Avant Garde"/>
          <w:b/>
          <w:color w:val="000000"/>
          <w:lang w:eastAsia="es-MX"/>
        </w:rPr>
        <w:t>CANIETI, ALTÁN</w:t>
      </w:r>
    </w:p>
    <w:p w14:paraId="6AB9DD5D" w14:textId="49F8944C" w:rsidR="00AE7499" w:rsidRPr="0053503B" w:rsidRDefault="00394184" w:rsidP="00421913">
      <w:pPr>
        <w:spacing w:line="276" w:lineRule="auto"/>
        <w:rPr>
          <w:rFonts w:ascii="ITC Avant Garde" w:hAnsi="ITC Avant Garde"/>
        </w:rPr>
      </w:pPr>
      <w:r w:rsidRPr="0053503B">
        <w:rPr>
          <w:rFonts w:ascii="ITC Avant Garde" w:hAnsi="ITC Avant Garde"/>
        </w:rPr>
        <w:t xml:space="preserve">Señalan que </w:t>
      </w:r>
      <w:r w:rsidR="00E84BD4">
        <w:rPr>
          <w:rFonts w:ascii="ITC Avant Garde" w:hAnsi="ITC Avant Garde"/>
        </w:rPr>
        <w:t>a pesar de</w:t>
      </w:r>
      <w:r w:rsidR="00E84BD4" w:rsidRPr="0053503B">
        <w:rPr>
          <w:rFonts w:ascii="ITC Avant Garde" w:hAnsi="ITC Avant Garde"/>
        </w:rPr>
        <w:t xml:space="preserve"> hace</w:t>
      </w:r>
      <w:r w:rsidR="00E84BD4">
        <w:rPr>
          <w:rFonts w:ascii="ITC Avant Garde" w:hAnsi="ITC Avant Garde"/>
        </w:rPr>
        <w:t>r</w:t>
      </w:r>
      <w:r w:rsidR="00E84BD4" w:rsidRPr="0053503B">
        <w:rPr>
          <w:rFonts w:ascii="ITC Avant Garde" w:hAnsi="ITC Avant Garde"/>
        </w:rPr>
        <w:t xml:space="preserve"> referencia al numeral 2.4 “Solicitudes de servicio”</w:t>
      </w:r>
      <w:r w:rsidR="00E84BD4">
        <w:rPr>
          <w:rFonts w:ascii="ITC Avant Garde" w:hAnsi="ITC Avant Garde"/>
        </w:rPr>
        <w:t xml:space="preserve">, </w:t>
      </w:r>
      <w:r w:rsidRPr="0053503B">
        <w:rPr>
          <w:rFonts w:ascii="ITC Avant Garde" w:hAnsi="ITC Avant Garde"/>
        </w:rPr>
        <w:t xml:space="preserve">en este numeral hace falta una sección para el crecimiento de la capacidad </w:t>
      </w:r>
      <w:r w:rsidR="0068188E" w:rsidRPr="0053503B">
        <w:rPr>
          <w:rFonts w:ascii="ITC Avant Garde" w:hAnsi="ITC Avant Garde"/>
        </w:rPr>
        <w:t>para satisfacer la demanda de servicios de interconexión</w:t>
      </w:r>
      <w:r w:rsidR="00B90609">
        <w:rPr>
          <w:rFonts w:ascii="ITC Avant Garde" w:hAnsi="ITC Avant Garde"/>
        </w:rPr>
        <w:t>.</w:t>
      </w:r>
      <w:r w:rsidR="0068188E" w:rsidRPr="0053503B">
        <w:rPr>
          <w:rFonts w:ascii="ITC Avant Garde" w:hAnsi="ITC Avant Garde"/>
        </w:rPr>
        <w:t xml:space="preserve"> </w:t>
      </w:r>
    </w:p>
    <w:p w14:paraId="54173309" w14:textId="77777777" w:rsidR="0075148C" w:rsidRPr="0053503B" w:rsidRDefault="0075148C" w:rsidP="00421913">
      <w:pPr>
        <w:spacing w:line="276" w:lineRule="auto"/>
        <w:rPr>
          <w:rFonts w:ascii="ITC Avant Garde" w:hAnsi="ITC Avant Garde"/>
          <w:b/>
        </w:rPr>
      </w:pPr>
      <w:r w:rsidRPr="0053503B">
        <w:rPr>
          <w:rFonts w:ascii="ITC Avant Garde" w:hAnsi="ITC Avant Garde"/>
          <w:b/>
        </w:rPr>
        <w:t xml:space="preserve">Consideraciones del Instituto </w:t>
      </w:r>
    </w:p>
    <w:p w14:paraId="762DBF77" w14:textId="47F6F7C6" w:rsidR="0075148C" w:rsidRPr="0053503B" w:rsidRDefault="00B90609"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Al respecto se señala que el CMI</w:t>
      </w:r>
      <w:r w:rsidR="0075148C" w:rsidRPr="0053503B">
        <w:rPr>
          <w:rFonts w:ascii="ITC Avant Garde" w:eastAsia="Avant Garde" w:hAnsi="ITC Avant Garde" w:cs="Avant Garde"/>
          <w:color w:val="000000"/>
          <w:lang w:eastAsia="es-MX"/>
        </w:rPr>
        <w:t xml:space="preserve"> ya considera una sección de </w:t>
      </w:r>
      <w:r w:rsidR="00FB476F" w:rsidRPr="0053503B">
        <w:rPr>
          <w:rFonts w:ascii="ITC Avant Garde" w:eastAsia="Avant Garde" w:hAnsi="ITC Avant Garde" w:cs="Avant Garde"/>
          <w:color w:val="000000"/>
          <w:lang w:eastAsia="es-MX"/>
        </w:rPr>
        <w:t>crecimiento de capacidad en el numeral 5.7.3, el cual establece:</w:t>
      </w:r>
    </w:p>
    <w:p w14:paraId="337553B0" w14:textId="19EA20B4" w:rsidR="00FB476F" w:rsidRPr="00782C23" w:rsidRDefault="00FB476F" w:rsidP="00421913">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lastRenderedPageBreak/>
        <w:t>“Los incrementos de capacidad de los Enlaces de Transmisión de Interconexión, para un nuevo enlace en un mismo Punto de Interconexión, se realizarán una vez que se alcance la ocupación del 85% (ochenta y cinco por ciento) de la capacidad instalada en dicho Enlace de Transmisión de Interconexión. El crecimiento de capacidad de Enlaces de Transmisión de Interconexión se hará mediante la habilitación de un puerto adicional en el mismo Punto de Interconexión o, si esto ya no resultare técnicamente factible, en otro Punto de Interconexión en el que el CONCESIONARIO ya se encuentre interconectado en IP.”</w:t>
      </w:r>
    </w:p>
    <w:p w14:paraId="5704E90F" w14:textId="77777777" w:rsidR="0075148C" w:rsidRPr="0053503B" w:rsidRDefault="0075148C" w:rsidP="00C766A7">
      <w:pPr>
        <w:spacing w:after="0" w:line="276" w:lineRule="auto"/>
        <w:rPr>
          <w:rFonts w:ascii="ITC Avant Garde" w:eastAsia="Avant Garde" w:hAnsi="ITC Avant Garde" w:cs="Avant Garde"/>
          <w:b/>
          <w:color w:val="000000"/>
          <w:lang w:eastAsia="es-MX"/>
        </w:rPr>
      </w:pPr>
    </w:p>
    <w:p w14:paraId="776E2F9E" w14:textId="06F69EF1" w:rsidR="00AE7499" w:rsidRPr="00B84989" w:rsidRDefault="00AE7499" w:rsidP="00421913">
      <w:pPr>
        <w:spacing w:line="276" w:lineRule="auto"/>
        <w:rPr>
          <w:rFonts w:ascii="ITC Avant Garde" w:eastAsia="Avant Garde" w:hAnsi="ITC Avant Garde" w:cs="Avant Garde"/>
          <w:b/>
          <w:color w:val="000000"/>
          <w:u w:val="single"/>
          <w:lang w:eastAsia="es-MX"/>
        </w:rPr>
      </w:pPr>
      <w:r w:rsidRPr="00B84989">
        <w:rPr>
          <w:rFonts w:ascii="ITC Avant Garde" w:eastAsia="Avant Garde" w:hAnsi="ITC Avant Garde" w:cs="Avant Garde"/>
          <w:b/>
          <w:color w:val="000000"/>
          <w:u w:val="single"/>
          <w:lang w:eastAsia="es-MX"/>
        </w:rPr>
        <w:t>Cláusula Décimo Segunda</w:t>
      </w:r>
      <w:r w:rsidR="0025641D" w:rsidRPr="00B84989">
        <w:rPr>
          <w:rFonts w:ascii="ITC Avant Garde" w:eastAsia="Avant Garde" w:hAnsi="ITC Avant Garde" w:cs="Avant Garde"/>
          <w:b/>
          <w:color w:val="000000"/>
          <w:u w:val="single"/>
          <w:lang w:eastAsia="es-MX"/>
        </w:rPr>
        <w:t>.</w:t>
      </w:r>
      <w:r w:rsidRPr="00B84989">
        <w:rPr>
          <w:rFonts w:ascii="ITC Avant Garde" w:eastAsia="Avant Garde" w:hAnsi="ITC Avant Garde" w:cs="Avant Garde"/>
          <w:b/>
          <w:color w:val="000000"/>
          <w:u w:val="single"/>
          <w:lang w:eastAsia="es-MX"/>
        </w:rPr>
        <w:t xml:space="preserve"> Conductas Fraudulentas</w:t>
      </w:r>
    </w:p>
    <w:p w14:paraId="5925C3BF" w14:textId="77777777" w:rsidR="00AE7499" w:rsidRPr="0053503B" w:rsidRDefault="00AE7499" w:rsidP="00421913">
      <w:pPr>
        <w:spacing w:line="276" w:lineRule="auto"/>
        <w:rPr>
          <w:rFonts w:ascii="ITC Avant Garde" w:eastAsia="Avant Garde" w:hAnsi="ITC Avant Garde" w:cs="Avant Garde"/>
          <w:b/>
          <w:color w:val="000000"/>
          <w:lang w:eastAsia="es-MX"/>
        </w:rPr>
      </w:pPr>
      <w:r w:rsidRPr="00B84989">
        <w:rPr>
          <w:rFonts w:ascii="ITC Avant Garde" w:eastAsia="Avant Garde" w:hAnsi="ITC Avant Garde" w:cs="Avant Garde"/>
          <w:b/>
          <w:color w:val="000000"/>
          <w:lang w:eastAsia="es-MX"/>
        </w:rPr>
        <w:t>TELEVISA</w:t>
      </w:r>
    </w:p>
    <w:p w14:paraId="2F344756" w14:textId="620F5038" w:rsidR="00BA0DD3" w:rsidRPr="0053503B" w:rsidRDefault="00111259" w:rsidP="00C60D37">
      <w:pPr>
        <w:spacing w:line="276" w:lineRule="auto"/>
        <w:rPr>
          <w:rFonts w:ascii="ITC Avant Garde" w:hAnsi="ITC Avant Garde"/>
          <w:b/>
        </w:rPr>
      </w:pPr>
      <w:r w:rsidRPr="0053503B">
        <w:rPr>
          <w:rFonts w:ascii="ITC Avant Garde" w:eastAsia="Avant Garde" w:hAnsi="ITC Avant Garde" w:cs="Avant Garde"/>
          <w:color w:val="000000"/>
          <w:lang w:eastAsia="es-MX"/>
        </w:rPr>
        <w:t>Menciona que se debe</w:t>
      </w:r>
      <w:r w:rsidR="00AE7499" w:rsidRPr="0053503B">
        <w:rPr>
          <w:rFonts w:ascii="ITC Avant Garde" w:eastAsia="Avant Garde" w:hAnsi="ITC Avant Garde" w:cs="Avant Garde"/>
          <w:color w:val="000000"/>
          <w:lang w:eastAsia="es-MX"/>
        </w:rPr>
        <w:t xml:space="preserve"> evitar cualquier tipo de ambigüedades que lleven a interpretaci</w:t>
      </w:r>
      <w:r w:rsidR="002A0A4E" w:rsidRPr="0053503B">
        <w:rPr>
          <w:rFonts w:ascii="ITC Avant Garde" w:eastAsia="Avant Garde" w:hAnsi="ITC Avant Garde" w:cs="Avant Garde"/>
          <w:color w:val="000000"/>
          <w:lang w:eastAsia="es-MX"/>
        </w:rPr>
        <w:t>ones unilaterales, por lo cual se</w:t>
      </w:r>
      <w:r w:rsidR="00AE7499" w:rsidRPr="0053503B">
        <w:rPr>
          <w:rFonts w:ascii="ITC Avant Garde" w:eastAsia="Avant Garde" w:hAnsi="ITC Avant Garde" w:cs="Avant Garde"/>
          <w:color w:val="000000"/>
          <w:lang w:eastAsia="es-MX"/>
        </w:rPr>
        <w:t xml:space="preserve"> debe</w:t>
      </w:r>
      <w:r w:rsidR="002A0A4E" w:rsidRPr="0053503B">
        <w:rPr>
          <w:rFonts w:ascii="ITC Avant Garde" w:eastAsia="Avant Garde" w:hAnsi="ITC Avant Garde" w:cs="Avant Garde"/>
          <w:color w:val="000000"/>
          <w:lang w:eastAsia="es-MX"/>
        </w:rPr>
        <w:t>n</w:t>
      </w:r>
      <w:r w:rsidR="00AE7499" w:rsidRPr="0053503B">
        <w:rPr>
          <w:rFonts w:ascii="ITC Avant Garde" w:eastAsia="Avant Garde" w:hAnsi="ITC Avant Garde" w:cs="Avant Garde"/>
          <w:color w:val="000000"/>
          <w:lang w:eastAsia="es-MX"/>
        </w:rPr>
        <w:t xml:space="preserve"> incluir elementos que </w:t>
      </w:r>
      <w:r w:rsidRPr="0053503B">
        <w:rPr>
          <w:rFonts w:ascii="ITC Avant Garde" w:eastAsia="Avant Garde" w:hAnsi="ITC Avant Garde" w:cs="Avant Garde"/>
          <w:color w:val="000000"/>
          <w:lang w:eastAsia="es-MX"/>
        </w:rPr>
        <w:t>permitan establecer</w:t>
      </w:r>
      <w:r w:rsidR="00AE7499" w:rsidRPr="0053503B">
        <w:rPr>
          <w:rFonts w:ascii="ITC Avant Garde" w:eastAsia="Avant Garde" w:hAnsi="ITC Avant Garde" w:cs="Avant Garde"/>
          <w:color w:val="000000"/>
          <w:lang w:eastAsia="es-MX"/>
        </w:rPr>
        <w:t xml:space="preserve"> </w:t>
      </w:r>
      <w:r w:rsidR="002A0A4E" w:rsidRPr="0053503B">
        <w:rPr>
          <w:rFonts w:ascii="ITC Avant Garde" w:eastAsia="Avant Garde" w:hAnsi="ITC Avant Garde" w:cs="Avant Garde"/>
          <w:color w:val="000000"/>
          <w:lang w:eastAsia="es-MX"/>
        </w:rPr>
        <w:t>juicios de valor respecto a</w:t>
      </w:r>
      <w:r w:rsidR="00AE7499" w:rsidRPr="0053503B">
        <w:rPr>
          <w:rFonts w:ascii="ITC Avant Garde" w:eastAsia="Avant Garde" w:hAnsi="ITC Avant Garde" w:cs="Avant Garde"/>
          <w:color w:val="000000"/>
          <w:lang w:eastAsia="es-MX"/>
        </w:rPr>
        <w:t xml:space="preserve"> las conducta</w:t>
      </w:r>
      <w:r w:rsidR="004E7717">
        <w:rPr>
          <w:rFonts w:ascii="ITC Avant Garde" w:eastAsia="Avant Garde" w:hAnsi="ITC Avant Garde" w:cs="Avant Garde"/>
          <w:color w:val="000000"/>
          <w:lang w:eastAsia="es-MX"/>
        </w:rPr>
        <w:t>s fraudulentas. Por</w:t>
      </w:r>
      <w:r w:rsidRPr="0053503B">
        <w:rPr>
          <w:rFonts w:ascii="ITC Avant Garde" w:eastAsia="Avant Garde" w:hAnsi="ITC Avant Garde" w:cs="Avant Garde"/>
          <w:color w:val="000000"/>
          <w:lang w:eastAsia="es-MX"/>
        </w:rPr>
        <w:t xml:space="preserve"> lo anterior, solicita la modificación</w:t>
      </w:r>
      <w:r w:rsidR="00C60D37">
        <w:rPr>
          <w:rFonts w:ascii="ITC Avant Garde" w:eastAsia="Avant Garde" w:hAnsi="ITC Avant Garde" w:cs="Avant Garde"/>
          <w:color w:val="000000"/>
          <w:lang w:eastAsia="es-MX"/>
        </w:rPr>
        <w:t xml:space="preserve"> de la Cláusula Decimosegunda para que, cuando alguna de las Partes detecte que un tercero se encuentra haciendo uso fraudulento de sus redes públicas de telecomunicaciones y dé aviso a la otra en dicho aviso se adjunte de manera oficial los elementos o criterios para que la parte receptora del aviso pueda enfocar sus análisis de la detección correspondiente.</w:t>
      </w:r>
      <w:r w:rsidR="00C60D37" w:rsidRPr="0053503B">
        <w:rPr>
          <w:rFonts w:ascii="ITC Avant Garde" w:hAnsi="ITC Avant Garde"/>
          <w:b/>
        </w:rPr>
        <w:t xml:space="preserve"> </w:t>
      </w:r>
    </w:p>
    <w:p w14:paraId="03E39A35" w14:textId="7D833FD2" w:rsidR="00BA0DD3" w:rsidRPr="0053503B" w:rsidRDefault="00BA0DD3" w:rsidP="00421913">
      <w:pPr>
        <w:spacing w:line="276" w:lineRule="auto"/>
        <w:rPr>
          <w:rFonts w:ascii="ITC Avant Garde" w:hAnsi="ITC Avant Garde"/>
          <w:b/>
        </w:rPr>
      </w:pPr>
      <w:r w:rsidRPr="0053503B">
        <w:rPr>
          <w:rFonts w:ascii="ITC Avant Garde" w:hAnsi="ITC Avant Garde"/>
          <w:b/>
        </w:rPr>
        <w:t xml:space="preserve">Consideraciones del Instituto </w:t>
      </w:r>
    </w:p>
    <w:p w14:paraId="4AC28588" w14:textId="590E20EC" w:rsidR="00C60D37" w:rsidRDefault="00C60D37" w:rsidP="00421913">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Al respecto se señala que el CMI establece un plazo de 60 (sesenta) días naturales para allegarse de la información necesaria para identificar y acreditar las conductas fraudulentas. Es así que la parte receptora del aviso cuenta con un plazo para analizar y determinar la exactitud del reporte recibido por lo que no se considera necesario que la parte que notifica deba incluir de manera oficial elementos o criterios para su determinación.</w:t>
      </w:r>
    </w:p>
    <w:p w14:paraId="7B0AB3DE" w14:textId="01F43ADA" w:rsidR="005B09AB" w:rsidRPr="00E37612" w:rsidRDefault="005B09AB" w:rsidP="005B09AB">
      <w:pPr>
        <w:spacing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Anexo A. Acuerdos Técnicos</w:t>
      </w:r>
    </w:p>
    <w:p w14:paraId="28301C0A" w14:textId="2E344E65" w:rsidR="005B09AB" w:rsidRDefault="00C766A7" w:rsidP="005B09AB">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4.2 Mantenimiento Programado.</w:t>
      </w:r>
    </w:p>
    <w:p w14:paraId="29493700" w14:textId="28CC3AB2" w:rsidR="005B09AB" w:rsidRPr="0053503B" w:rsidRDefault="005B09AB" w:rsidP="005B09AB">
      <w:pPr>
        <w:spacing w:line="276" w:lineRule="auto"/>
        <w:rPr>
          <w:rFonts w:ascii="ITC Avant Garde" w:eastAsia="Avant Garde" w:hAnsi="ITC Avant Garde" w:cs="Avant Garde"/>
          <w:b/>
          <w:color w:val="000000"/>
          <w:lang w:eastAsia="es-MX"/>
        </w:rPr>
      </w:pPr>
      <w:r w:rsidRPr="00334332">
        <w:rPr>
          <w:rFonts w:ascii="ITC Avant Garde" w:eastAsia="Avant Garde" w:hAnsi="ITC Avant Garde" w:cs="Avant Garde"/>
          <w:b/>
          <w:color w:val="000000"/>
          <w:lang w:eastAsia="es-MX"/>
        </w:rPr>
        <w:t>CANIETI, ALTÁN</w:t>
      </w:r>
      <w:r w:rsidR="002676C9">
        <w:rPr>
          <w:rFonts w:ascii="ITC Avant Garde" w:eastAsia="Avant Garde" w:hAnsi="ITC Avant Garde" w:cs="Avant Garde"/>
          <w:b/>
          <w:color w:val="000000"/>
          <w:lang w:eastAsia="es-MX"/>
        </w:rPr>
        <w:t>, MEGACABLE</w:t>
      </w:r>
    </w:p>
    <w:p w14:paraId="78CFC7F3" w14:textId="5B70B7DD" w:rsidR="005B09AB" w:rsidRDefault="009C03D2" w:rsidP="005B09AB">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la información de la ventana de mantenimiento no es suficiente para comprender el cambio y prevenir </w:t>
      </w:r>
      <w:r w:rsidR="00D17A27">
        <w:rPr>
          <w:rFonts w:ascii="ITC Avant Garde" w:eastAsia="Avant Garde" w:hAnsi="ITC Avant Garde" w:cs="Avant Garde"/>
          <w:color w:val="000000"/>
          <w:lang w:eastAsia="es-MX"/>
        </w:rPr>
        <w:t>afectaciones. Asimismo, se deben limitar las notificaciones con af</w:t>
      </w:r>
      <w:r w:rsidR="00EE2A0A">
        <w:rPr>
          <w:rFonts w:ascii="ITC Avant Garde" w:eastAsia="Avant Garde" w:hAnsi="ITC Avant Garde" w:cs="Avant Garde"/>
          <w:color w:val="000000"/>
          <w:lang w:eastAsia="es-MX"/>
        </w:rPr>
        <w:t>ectación por lo cual proponen adicionar el tiempo real de</w:t>
      </w:r>
      <w:r w:rsidR="00AA789B">
        <w:rPr>
          <w:rFonts w:ascii="ITC Avant Garde" w:eastAsia="Avant Garde" w:hAnsi="ITC Avant Garde" w:cs="Avant Garde"/>
          <w:color w:val="000000"/>
          <w:lang w:eastAsia="es-MX"/>
        </w:rPr>
        <w:t xml:space="preserve"> afectación del mantenimiento, </w:t>
      </w:r>
      <w:r w:rsidR="00EE2A0A">
        <w:rPr>
          <w:rFonts w:ascii="ITC Avant Garde" w:eastAsia="Avant Garde" w:hAnsi="ITC Avant Garde" w:cs="Avant Garde"/>
          <w:color w:val="000000"/>
          <w:lang w:eastAsia="es-MX"/>
        </w:rPr>
        <w:t>establecer el objetivo de la ventana de mantenimiento</w:t>
      </w:r>
      <w:r w:rsidR="00AA789B">
        <w:rPr>
          <w:rFonts w:ascii="ITC Avant Garde" w:eastAsia="Avant Garde" w:hAnsi="ITC Avant Garde" w:cs="Avant Garde"/>
          <w:color w:val="000000"/>
          <w:lang w:eastAsia="es-MX"/>
        </w:rPr>
        <w:t xml:space="preserve"> y establece</w:t>
      </w:r>
      <w:r w:rsidR="00190825">
        <w:rPr>
          <w:rFonts w:ascii="ITC Avant Garde" w:eastAsia="Avant Garde" w:hAnsi="ITC Avant Garde" w:cs="Avant Garde"/>
          <w:color w:val="000000"/>
          <w:lang w:eastAsia="es-MX"/>
        </w:rPr>
        <w:t>r un contacto telefónico para dar</w:t>
      </w:r>
      <w:r w:rsidR="00AA789B">
        <w:rPr>
          <w:rFonts w:ascii="ITC Avant Garde" w:eastAsia="Avant Garde" w:hAnsi="ITC Avant Garde" w:cs="Avant Garde"/>
          <w:color w:val="000000"/>
          <w:lang w:eastAsia="es-MX"/>
        </w:rPr>
        <w:t xml:space="preserve"> aviso en caso de afectaciones.</w:t>
      </w:r>
    </w:p>
    <w:p w14:paraId="4886F95C" w14:textId="77777777" w:rsidR="009E393F" w:rsidRPr="0053503B" w:rsidRDefault="009E393F" w:rsidP="009E393F">
      <w:pPr>
        <w:spacing w:line="276" w:lineRule="auto"/>
        <w:rPr>
          <w:rFonts w:ascii="ITC Avant Garde" w:hAnsi="ITC Avant Garde"/>
          <w:b/>
        </w:rPr>
      </w:pPr>
      <w:r w:rsidRPr="0053503B">
        <w:rPr>
          <w:rFonts w:ascii="ITC Avant Garde" w:hAnsi="ITC Avant Garde"/>
          <w:b/>
        </w:rPr>
        <w:t xml:space="preserve">Consideraciones del Instituto </w:t>
      </w:r>
    </w:p>
    <w:p w14:paraId="6D35EB0B" w14:textId="5953733D" w:rsidR="009E393F" w:rsidRDefault="006409B8" w:rsidP="009E393F">
      <w:pPr>
        <w:spacing w:line="276" w:lineRule="auto"/>
        <w:rPr>
          <w:rFonts w:ascii="ITC Avant Garde" w:eastAsia="Avant Garde" w:hAnsi="ITC Avant Garde" w:cs="Avant Garde"/>
          <w:color w:val="000000"/>
          <w:lang w:eastAsia="es-MX"/>
        </w:rPr>
      </w:pPr>
      <w:r w:rsidRPr="006409B8">
        <w:rPr>
          <w:rFonts w:ascii="ITC Avant Garde" w:eastAsia="Avant Garde" w:hAnsi="ITC Avant Garde" w:cs="Avant Garde"/>
          <w:color w:val="000000"/>
          <w:lang w:eastAsia="es-MX"/>
        </w:rPr>
        <w:lastRenderedPageBreak/>
        <w:t xml:space="preserve">Al respecto se señala que </w:t>
      </w:r>
      <w:r>
        <w:rPr>
          <w:rFonts w:ascii="ITC Avant Garde" w:eastAsia="Avant Garde" w:hAnsi="ITC Avant Garde" w:cs="Avant Garde"/>
          <w:color w:val="000000"/>
          <w:lang w:eastAsia="es-MX"/>
        </w:rPr>
        <w:t xml:space="preserve">el CMI establece la información </w:t>
      </w:r>
      <w:r w:rsidRPr="00477220">
        <w:rPr>
          <w:rFonts w:ascii="ITC Avant Garde" w:eastAsia="Avant Garde" w:hAnsi="ITC Avant Garde" w:cs="Avant Garde"/>
          <w:color w:val="000000"/>
          <w:u w:val="single"/>
          <w:lang w:eastAsia="es-MX"/>
        </w:rPr>
        <w:t>mínima</w:t>
      </w:r>
      <w:r>
        <w:rPr>
          <w:rFonts w:ascii="ITC Avant Garde" w:eastAsia="Avant Garde" w:hAnsi="ITC Avant Garde" w:cs="Avant Garde"/>
          <w:color w:val="000000"/>
          <w:lang w:eastAsia="es-MX"/>
        </w:rPr>
        <w:t xml:space="preserve"> que </w:t>
      </w:r>
      <w:r w:rsidR="00477220">
        <w:rPr>
          <w:rFonts w:ascii="ITC Avant Garde" w:eastAsia="Avant Garde" w:hAnsi="ITC Avant Garde" w:cs="Avant Garde"/>
          <w:color w:val="000000"/>
          <w:lang w:eastAsia="es-MX"/>
        </w:rPr>
        <w:t>debe contener</w:t>
      </w:r>
      <w:r>
        <w:rPr>
          <w:rFonts w:ascii="ITC Avant Garde" w:eastAsia="Avant Garde" w:hAnsi="ITC Avant Garde" w:cs="Avant Garde"/>
          <w:color w:val="000000"/>
          <w:lang w:eastAsia="es-MX"/>
        </w:rPr>
        <w:t xml:space="preserve"> la notificación de una ventana de mantenimient</w:t>
      </w:r>
      <w:r w:rsidR="00477220">
        <w:rPr>
          <w:rFonts w:ascii="ITC Avant Garde" w:eastAsia="Avant Garde" w:hAnsi="ITC Avant Garde" w:cs="Avant Garde"/>
          <w:color w:val="000000"/>
          <w:lang w:eastAsia="es-MX"/>
        </w:rPr>
        <w:t>o, incluyendo la probable afectación o efectos en la red del otro concesionario y acciones preventivas en caso de contingencia, dicha información es suficiente para comprender el cambio y prevenir afectaciones. En el mismo sentido, se debe incluir el tiempo estimado de duración del mantenimiento, y en la recepción de la notificación se deberán incluir los números telefónicos para coordinar la actividad.</w:t>
      </w:r>
    </w:p>
    <w:p w14:paraId="19D2E750" w14:textId="163A2E34" w:rsidR="00477220" w:rsidRDefault="00477220" w:rsidP="009E393F">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Es así que la información señalada en el comentario anterior se encuentra incluida en el CMI. </w:t>
      </w:r>
    </w:p>
    <w:p w14:paraId="71F95714" w14:textId="1AD282D1" w:rsidR="00B0375C" w:rsidRPr="00BD2E6D" w:rsidRDefault="00B0375C" w:rsidP="00B0375C">
      <w:pPr>
        <w:spacing w:line="276" w:lineRule="auto"/>
        <w:rPr>
          <w:rFonts w:ascii="ITC Avant Garde" w:eastAsia="Avant Garde" w:hAnsi="ITC Avant Garde" w:cs="Avant Garde"/>
          <w:b/>
          <w:color w:val="000000"/>
          <w:lang w:eastAsia="es-MX"/>
        </w:rPr>
      </w:pPr>
      <w:r w:rsidRPr="00BD2E6D">
        <w:rPr>
          <w:rFonts w:ascii="ITC Avant Garde" w:eastAsia="Avant Garde" w:hAnsi="ITC Avant Garde" w:cs="Avant Garde"/>
          <w:b/>
          <w:color w:val="000000"/>
          <w:lang w:eastAsia="es-MX"/>
        </w:rPr>
        <w:t xml:space="preserve">A.2 </w:t>
      </w:r>
      <w:r w:rsidR="00C766A7">
        <w:rPr>
          <w:rFonts w:ascii="ITC Avant Garde" w:eastAsia="Avant Garde" w:hAnsi="ITC Avant Garde" w:cs="Avant Garde"/>
          <w:b/>
          <w:color w:val="000000"/>
          <w:lang w:eastAsia="es-MX"/>
        </w:rPr>
        <w:t>Protocolo de Señalización.</w:t>
      </w:r>
    </w:p>
    <w:p w14:paraId="6D39C3AC" w14:textId="123D272D" w:rsidR="001D046B" w:rsidRPr="0053503B" w:rsidRDefault="001D046B" w:rsidP="001D046B">
      <w:pPr>
        <w:spacing w:line="276" w:lineRule="auto"/>
        <w:rPr>
          <w:rFonts w:ascii="ITC Avant Garde" w:eastAsia="Avant Garde" w:hAnsi="ITC Avant Garde" w:cs="Avant Garde"/>
          <w:b/>
          <w:color w:val="000000"/>
          <w:lang w:eastAsia="es-MX"/>
        </w:rPr>
      </w:pPr>
      <w:r w:rsidRPr="00BD2E6D">
        <w:rPr>
          <w:rFonts w:ascii="ITC Avant Garde" w:eastAsia="Avant Garde" w:hAnsi="ITC Avant Garde" w:cs="Avant Garde"/>
          <w:b/>
          <w:color w:val="000000"/>
          <w:lang w:eastAsia="es-MX"/>
        </w:rPr>
        <w:t>AT&amp;T</w:t>
      </w:r>
    </w:p>
    <w:p w14:paraId="5C149F55" w14:textId="126681F7" w:rsidR="001D046B" w:rsidRDefault="001D046B" w:rsidP="001D046B">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mantener los términos del CMI vigente respecto</w:t>
      </w:r>
      <w:r w:rsidR="00A2728A">
        <w:rPr>
          <w:rFonts w:ascii="ITC Avant Garde" w:eastAsia="Avant Garde" w:hAnsi="ITC Avant Garde" w:cs="Avant Garde"/>
          <w:color w:val="000000"/>
          <w:lang w:eastAsia="es-MX"/>
        </w:rPr>
        <w:t xml:space="preserve"> al numeral 3.1 (</w:t>
      </w:r>
      <w:r>
        <w:rPr>
          <w:rFonts w:ascii="ITC Avant Garde" w:eastAsia="Avant Garde" w:hAnsi="ITC Avant Garde" w:cs="Avant Garde"/>
          <w:color w:val="000000"/>
          <w:lang w:eastAsia="es-MX"/>
        </w:rPr>
        <w:t>Tema 3</w:t>
      </w:r>
      <w:r w:rsidR="00A2728A">
        <w:rPr>
          <w:rFonts w:ascii="ITC Avant Garde" w:eastAsia="Avant Garde" w:hAnsi="ITC Avant Garde" w:cs="Avant Garde"/>
          <w:color w:val="000000"/>
          <w:lang w:eastAsia="es-MX"/>
        </w:rPr>
        <w:t>) de este Anexo</w:t>
      </w:r>
      <w:r>
        <w:rPr>
          <w:rFonts w:ascii="ITC Avant Garde" w:eastAsia="Avant Garde" w:hAnsi="ITC Avant Garde" w:cs="Avant Garde"/>
          <w:color w:val="000000"/>
          <w:lang w:eastAsia="es-MX"/>
        </w:rPr>
        <w:t xml:space="preserve"> ya que, en caso de falla de uno de los enlaces de i</w:t>
      </w:r>
      <w:r w:rsidR="00A2728A">
        <w:rPr>
          <w:rFonts w:ascii="ITC Avant Garde" w:eastAsia="Avant Garde" w:hAnsi="ITC Avant Garde" w:cs="Avant Garde"/>
          <w:color w:val="000000"/>
          <w:lang w:eastAsia="es-MX"/>
        </w:rPr>
        <w:t>nterconexión, el otro enlace debe operar sin satura</w:t>
      </w:r>
      <w:r w:rsidR="00D851E6">
        <w:rPr>
          <w:rFonts w:ascii="ITC Avant Garde" w:eastAsia="Avant Garde" w:hAnsi="ITC Avant Garde" w:cs="Avant Garde"/>
          <w:color w:val="000000"/>
          <w:lang w:eastAsia="es-MX"/>
        </w:rPr>
        <w:t>r</w:t>
      </w:r>
      <w:r w:rsidR="00A2728A">
        <w:rPr>
          <w:rFonts w:ascii="ITC Avant Garde" w:eastAsia="Avant Garde" w:hAnsi="ITC Avant Garde" w:cs="Avant Garde"/>
          <w:color w:val="000000"/>
          <w:lang w:eastAsia="es-MX"/>
        </w:rPr>
        <w:t xml:space="preserve">se a un máximo de 85%. Asimismo, los enlaces redundantes que operen de forma balanceada no deben rebasar el 42.5% de ocupación. </w:t>
      </w:r>
    </w:p>
    <w:p w14:paraId="6ACF4586" w14:textId="77777777" w:rsidR="001D046B" w:rsidRPr="0053503B" w:rsidRDefault="001D046B" w:rsidP="001D046B">
      <w:pPr>
        <w:spacing w:line="276" w:lineRule="auto"/>
        <w:rPr>
          <w:rFonts w:ascii="ITC Avant Garde" w:hAnsi="ITC Avant Garde"/>
          <w:b/>
        </w:rPr>
      </w:pPr>
      <w:r w:rsidRPr="0053503B">
        <w:rPr>
          <w:rFonts w:ascii="ITC Avant Garde" w:hAnsi="ITC Avant Garde"/>
          <w:b/>
        </w:rPr>
        <w:t xml:space="preserve">Consideraciones del Instituto </w:t>
      </w:r>
    </w:p>
    <w:p w14:paraId="1152058D" w14:textId="66942161" w:rsidR="00793D7D" w:rsidRDefault="00793D7D" w:rsidP="00793D7D">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Como ya se mencionó anteriormente, e</w:t>
      </w:r>
      <w:r w:rsidRPr="00FF03AB">
        <w:rPr>
          <w:rFonts w:ascii="ITC Avant Garde" w:eastAsia="Avant Garde" w:hAnsi="ITC Avant Garde" w:cs="Avant Garde"/>
          <w:color w:val="000000"/>
          <w:lang w:eastAsia="es-MX"/>
        </w:rPr>
        <w:t>l parámetro para disparar el crecimiento de los servicios debe ser la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r>
        <w:rPr>
          <w:rFonts w:ascii="ITC Avant Garde" w:eastAsia="Avant Garde" w:hAnsi="ITC Avant Garde" w:cs="Avant Garde"/>
          <w:color w:val="000000"/>
          <w:lang w:eastAsia="es-MX"/>
        </w:rPr>
        <w:t xml:space="preserve"> </w:t>
      </w:r>
      <w:r w:rsidR="00D851E6">
        <w:rPr>
          <w:rFonts w:ascii="ITC Avant Garde" w:eastAsia="Avant Garde" w:hAnsi="ITC Avant Garde" w:cs="Avant Garde"/>
          <w:color w:val="000000"/>
          <w:lang w:eastAsia="es-MX"/>
        </w:rPr>
        <w:t>Asimismo</w:t>
      </w:r>
      <w:r w:rsidRPr="00FF03AB">
        <w:rPr>
          <w:rFonts w:ascii="ITC Avant Garde" w:eastAsia="Avant Garde" w:hAnsi="ITC Avant Garde" w:cs="Avant Garde"/>
          <w:color w:val="000000"/>
          <w:lang w:eastAsia="es-MX"/>
        </w:rPr>
        <w:t>, se precisa que el aumento de la capacidad debe realizarse en los servicios y no únicamente en los enlaces, puesto que el crecimiento también requerirá la configuración de los puertos y/o en su defecto nuevos puertos de interconexión</w:t>
      </w:r>
      <w:r w:rsidR="00D851E6">
        <w:rPr>
          <w:rFonts w:ascii="ITC Avant Garde" w:eastAsia="Avant Garde" w:hAnsi="ITC Avant Garde" w:cs="Avant Garde"/>
          <w:color w:val="000000"/>
          <w:lang w:eastAsia="es-MX"/>
        </w:rPr>
        <w:t>, por lo que el CMI se modificó en el siguiente sentido:</w:t>
      </w:r>
    </w:p>
    <w:p w14:paraId="07FBB8DF" w14:textId="77777777" w:rsidR="00D851E6" w:rsidRPr="00493F88" w:rsidRDefault="00D851E6" w:rsidP="00D851E6">
      <w:pPr>
        <w:pStyle w:val="IFT1"/>
        <w:tabs>
          <w:tab w:val="left" w:pos="426"/>
        </w:tabs>
        <w:spacing w:before="240" w:after="0"/>
        <w:ind w:left="567" w:right="616"/>
        <w:rPr>
          <w:bCs/>
          <w:i/>
          <w:sz w:val="18"/>
          <w:szCs w:val="18"/>
        </w:rPr>
      </w:pPr>
      <w:r w:rsidRPr="00074FFA">
        <w:rPr>
          <w:bCs/>
          <w:i/>
          <w:sz w:val="18"/>
          <w:szCs w:val="18"/>
        </w:rPr>
        <w:t>“Los enlaces por sitio deberán estar dimensionados para soportar en la hora pico un máximo de 85% (ochenta y cinco por ciento) de carga, siendo éste el parámetro para disparar el crecimiento de los servicios. Con lo anterior, en caso de falla de uno de los sitios, el tráfico de se enrutará al enlace en servicio, previniendo la afectación del servicio.”</w:t>
      </w:r>
    </w:p>
    <w:p w14:paraId="3679C15B" w14:textId="77777777" w:rsidR="00D851E6" w:rsidRDefault="00D851E6" w:rsidP="00D851E6">
      <w:pPr>
        <w:spacing w:after="0" w:line="276" w:lineRule="auto"/>
        <w:rPr>
          <w:rFonts w:ascii="ITC Avant Garde" w:eastAsia="Avant Garde" w:hAnsi="ITC Avant Garde" w:cs="Avant Garde"/>
          <w:color w:val="000000"/>
          <w:lang w:eastAsia="es-MX"/>
        </w:rPr>
      </w:pPr>
    </w:p>
    <w:p w14:paraId="7EFAEB14" w14:textId="5E3423E6" w:rsidR="00793D7D" w:rsidRPr="00FF03AB" w:rsidRDefault="00793D7D" w:rsidP="00793D7D">
      <w:pPr>
        <w:spacing w:line="276" w:lineRule="auto"/>
        <w:rPr>
          <w:rFonts w:ascii="ITC Avant Garde" w:eastAsia="Avant Garde" w:hAnsi="ITC Avant Garde" w:cs="Avant Garde"/>
          <w:color w:val="000000"/>
          <w:lang w:eastAsia="es-MX"/>
        </w:rPr>
      </w:pPr>
      <w:r w:rsidRPr="00FF03AB">
        <w:rPr>
          <w:rFonts w:ascii="ITC Avant Garde" w:eastAsia="Avant Garde" w:hAnsi="ITC Avant Garde" w:cs="Avant Garde"/>
          <w:color w:val="000000"/>
          <w:lang w:eastAsia="es-MX"/>
        </w:rPr>
        <w:t xml:space="preserve">Asimismo, no es procedente la precisión realizada por Telcel referente a que la afectación del servicio dependerá de la hora y del tiempo que tome la reparación del mismo, ya que los plazos máximos para solución de fallas están especificados en la cláusula 8.1, la cual establece que los servicios se deben regularizar en un tiempo inferior a 1 hora a partir de la presentación del reporte y, en el caso de </w:t>
      </w:r>
      <w:r w:rsidRPr="00FF03AB">
        <w:rPr>
          <w:rFonts w:ascii="ITC Avant Garde" w:eastAsia="Avant Garde" w:hAnsi="ITC Avant Garde" w:cs="Avant Garde"/>
          <w:color w:val="000000"/>
          <w:lang w:eastAsia="es-MX"/>
        </w:rPr>
        <w:lastRenderedPageBreak/>
        <w:t xml:space="preserve">afectación parcial, el periodo máximo de reparación será de 3 horas a partir </w:t>
      </w:r>
      <w:r>
        <w:rPr>
          <w:rFonts w:ascii="ITC Avant Garde" w:eastAsia="Avant Garde" w:hAnsi="ITC Avant Garde" w:cs="Avant Garde"/>
          <w:color w:val="000000"/>
          <w:lang w:eastAsia="es-MX"/>
        </w:rPr>
        <w:t>de la presentación del reporte. Por lo anterior, se modifican</w:t>
      </w:r>
      <w:r w:rsidRPr="00FF03A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los numerales 2.4.2 y 3.1 del Subanexo “A” así como el</w:t>
      </w:r>
      <w:r w:rsidRPr="00FF03AB">
        <w:rPr>
          <w:rFonts w:ascii="ITC Avant Garde" w:eastAsia="Avant Garde" w:hAnsi="ITC Avant Garde" w:cs="Avant Garde"/>
          <w:color w:val="000000"/>
          <w:lang w:eastAsia="es-MX"/>
        </w:rPr>
        <w:t xml:space="preserve"> 2.2 del Subanexo “E” en los siguientes términos:</w:t>
      </w:r>
    </w:p>
    <w:p w14:paraId="7B196056" w14:textId="77777777" w:rsidR="00793D7D" w:rsidRDefault="00793D7D" w:rsidP="00793D7D">
      <w:pPr>
        <w:spacing w:after="0" w:line="276" w:lineRule="auto"/>
        <w:ind w:left="567" w:right="616" w:hanging="11"/>
        <w:rPr>
          <w:rFonts w:ascii="ITC Avant Garde" w:hAnsi="ITC Avant Garde"/>
          <w:i/>
          <w:sz w:val="18"/>
          <w:szCs w:val="18"/>
        </w:rPr>
      </w:pPr>
      <w:r w:rsidRPr="00FF03AB">
        <w:rPr>
          <w:rFonts w:ascii="ITC Avant Garde" w:hAnsi="ITC Avant Garde"/>
          <w:i/>
          <w:sz w:val="18"/>
          <w:szCs w:val="18"/>
        </w:rPr>
        <w:t>“</w:t>
      </w:r>
      <w:r w:rsidRPr="00FF03AB">
        <w:rPr>
          <w:rFonts w:ascii="ITC Avant Garde" w:hAnsi="ITC Avant Garde"/>
          <w:i/>
          <w:strike/>
          <w:sz w:val="18"/>
          <w:szCs w:val="18"/>
        </w:rPr>
        <w:t>En caso de habilitarse redundancia entre sitios,</w:t>
      </w:r>
      <w:r w:rsidRPr="00C723A6">
        <w:rPr>
          <w:rFonts w:ascii="ITC Avant Garde" w:hAnsi="ITC Avant Garde"/>
          <w:i/>
          <w:sz w:val="18"/>
          <w:szCs w:val="18"/>
        </w:rPr>
        <w:t xml:space="preserve"> L</w:t>
      </w:r>
      <w:r w:rsidRPr="00FF03AB">
        <w:rPr>
          <w:rFonts w:ascii="ITC Avant Garde" w:hAnsi="ITC Avant Garde"/>
          <w:i/>
          <w:sz w:val="18"/>
          <w:szCs w:val="18"/>
        </w:rPr>
        <w:t xml:space="preserve">os enlaces por sitio deberán estar dimensionados para soportar en la hora pico un máximo de 85% (ochenta y cinco por ciento) de </w:t>
      </w:r>
      <w:r w:rsidRPr="00FF03AB">
        <w:rPr>
          <w:rFonts w:ascii="ITC Avant Garde" w:hAnsi="ITC Avant Garde"/>
          <w:i/>
          <w:strike/>
          <w:sz w:val="18"/>
          <w:szCs w:val="18"/>
        </w:rPr>
        <w:t>ocupación</w:t>
      </w:r>
      <w:r>
        <w:rPr>
          <w:rFonts w:ascii="ITC Avant Garde" w:hAnsi="ITC Avant Garde"/>
          <w:i/>
          <w:sz w:val="18"/>
          <w:szCs w:val="18"/>
        </w:rPr>
        <w:t xml:space="preserve"> </w:t>
      </w:r>
      <w:r w:rsidRPr="00FF03AB">
        <w:rPr>
          <w:rFonts w:ascii="ITC Avant Garde" w:hAnsi="ITC Avant Garde"/>
          <w:i/>
          <w:sz w:val="18"/>
          <w:szCs w:val="18"/>
          <w:u w:val="single"/>
        </w:rPr>
        <w:t>carga</w:t>
      </w:r>
      <w:r w:rsidRPr="00FF03AB">
        <w:rPr>
          <w:rFonts w:ascii="ITC Avant Garde" w:hAnsi="ITC Avant Garde"/>
          <w:i/>
          <w:sz w:val="18"/>
          <w:szCs w:val="18"/>
        </w:rPr>
        <w:t xml:space="preserve">, siendo éste el parámetro para </w:t>
      </w:r>
      <w:r w:rsidRPr="00C723A6">
        <w:rPr>
          <w:rFonts w:ascii="ITC Avant Garde" w:hAnsi="ITC Avant Garde"/>
          <w:i/>
          <w:strike/>
          <w:sz w:val="18"/>
          <w:szCs w:val="18"/>
        </w:rPr>
        <w:t>determinar</w:t>
      </w:r>
      <w:r w:rsidRPr="00FF03AB">
        <w:rPr>
          <w:rFonts w:ascii="ITC Avant Garde" w:hAnsi="ITC Avant Garde"/>
          <w:i/>
          <w:sz w:val="18"/>
          <w:szCs w:val="18"/>
        </w:rPr>
        <w:t xml:space="preserve"> </w:t>
      </w:r>
      <w:r w:rsidRPr="00C723A6">
        <w:rPr>
          <w:rFonts w:ascii="ITC Avant Garde" w:hAnsi="ITC Avant Garde"/>
          <w:i/>
          <w:sz w:val="18"/>
          <w:szCs w:val="18"/>
          <w:u w:val="single"/>
        </w:rPr>
        <w:t>disparar</w:t>
      </w:r>
      <w:r w:rsidRPr="00FF03AB">
        <w:rPr>
          <w:rFonts w:ascii="ITC Avant Garde" w:hAnsi="ITC Avant Garde"/>
          <w:i/>
          <w:sz w:val="18"/>
          <w:szCs w:val="18"/>
        </w:rPr>
        <w:t xml:space="preserve"> el crecimiento de los </w:t>
      </w:r>
      <w:r w:rsidRPr="00C723A6">
        <w:rPr>
          <w:rFonts w:ascii="ITC Avant Garde" w:hAnsi="ITC Avant Garde"/>
          <w:i/>
          <w:strike/>
          <w:sz w:val="18"/>
          <w:szCs w:val="18"/>
        </w:rPr>
        <w:t>enlaces</w:t>
      </w:r>
      <w:r>
        <w:rPr>
          <w:rFonts w:ascii="ITC Avant Garde" w:hAnsi="ITC Avant Garde"/>
          <w:i/>
          <w:sz w:val="18"/>
          <w:szCs w:val="18"/>
        </w:rPr>
        <w:t xml:space="preserve"> </w:t>
      </w:r>
      <w:r w:rsidRPr="00C723A6">
        <w:rPr>
          <w:rFonts w:ascii="ITC Avant Garde" w:hAnsi="ITC Avant Garde"/>
          <w:i/>
          <w:sz w:val="18"/>
          <w:szCs w:val="18"/>
          <w:u w:val="single"/>
        </w:rPr>
        <w:t>servicios.</w:t>
      </w:r>
      <w:r>
        <w:rPr>
          <w:rFonts w:ascii="ITC Avant Garde" w:hAnsi="ITC Avant Garde"/>
          <w:i/>
          <w:sz w:val="18"/>
          <w:szCs w:val="18"/>
        </w:rPr>
        <w:t>, C</w:t>
      </w:r>
      <w:r w:rsidRPr="00FF03AB">
        <w:rPr>
          <w:rFonts w:ascii="ITC Avant Garde" w:hAnsi="ITC Avant Garde"/>
          <w:i/>
          <w:sz w:val="18"/>
          <w:szCs w:val="18"/>
        </w:rPr>
        <w:t xml:space="preserve">on lo anterior, en caso de falla de uno de los </w:t>
      </w:r>
      <w:r w:rsidRPr="00C723A6">
        <w:rPr>
          <w:rFonts w:ascii="ITC Avant Garde" w:hAnsi="ITC Avant Garde"/>
          <w:i/>
          <w:strike/>
          <w:sz w:val="18"/>
          <w:szCs w:val="18"/>
        </w:rPr>
        <w:t>PDIC</w:t>
      </w:r>
      <w:r>
        <w:rPr>
          <w:rFonts w:ascii="ITC Avant Garde" w:hAnsi="ITC Avant Garde"/>
          <w:i/>
          <w:sz w:val="18"/>
          <w:szCs w:val="18"/>
        </w:rPr>
        <w:t xml:space="preserve"> </w:t>
      </w:r>
      <w:r w:rsidRPr="00C723A6">
        <w:rPr>
          <w:rFonts w:ascii="ITC Avant Garde" w:hAnsi="ITC Avant Garde"/>
          <w:i/>
          <w:sz w:val="18"/>
          <w:szCs w:val="18"/>
          <w:u w:val="single"/>
        </w:rPr>
        <w:t>sitios</w:t>
      </w:r>
      <w:r w:rsidRPr="00FF03AB">
        <w:rPr>
          <w:rFonts w:ascii="ITC Avant Garde" w:hAnsi="ITC Avant Garde"/>
          <w:i/>
          <w:sz w:val="18"/>
          <w:szCs w:val="18"/>
        </w:rPr>
        <w:t xml:space="preserve">, el tráfico de </w:t>
      </w:r>
      <w:r w:rsidRPr="00C723A6">
        <w:rPr>
          <w:rFonts w:ascii="ITC Avant Garde" w:hAnsi="ITC Avant Garde"/>
          <w:i/>
          <w:strike/>
          <w:sz w:val="18"/>
          <w:szCs w:val="18"/>
        </w:rPr>
        <w:t>este</w:t>
      </w:r>
      <w:r w:rsidRPr="00FF03AB">
        <w:rPr>
          <w:rFonts w:ascii="ITC Avant Garde" w:hAnsi="ITC Avant Garde"/>
          <w:i/>
          <w:sz w:val="18"/>
          <w:szCs w:val="18"/>
        </w:rPr>
        <w:t xml:space="preserve"> se </w:t>
      </w:r>
      <w:r w:rsidRPr="00C723A6">
        <w:rPr>
          <w:rFonts w:ascii="ITC Avant Garde" w:hAnsi="ITC Avant Garde"/>
          <w:i/>
          <w:strike/>
          <w:sz w:val="18"/>
          <w:szCs w:val="18"/>
        </w:rPr>
        <w:t>direccionará</w:t>
      </w:r>
      <w:r w:rsidRPr="00FF03AB">
        <w:rPr>
          <w:rFonts w:ascii="ITC Avant Garde" w:hAnsi="ITC Avant Garde"/>
          <w:i/>
          <w:sz w:val="18"/>
          <w:szCs w:val="18"/>
        </w:rPr>
        <w:t xml:space="preserve"> </w:t>
      </w:r>
      <w:r w:rsidRPr="00C723A6">
        <w:rPr>
          <w:rFonts w:ascii="ITC Avant Garde" w:hAnsi="ITC Avant Garde"/>
          <w:i/>
          <w:sz w:val="18"/>
          <w:szCs w:val="18"/>
          <w:u w:val="single"/>
        </w:rPr>
        <w:t>enrutará</w:t>
      </w:r>
      <w:r w:rsidRPr="00FF03AB">
        <w:rPr>
          <w:rFonts w:ascii="ITC Avant Garde" w:hAnsi="ITC Avant Garde"/>
          <w:i/>
          <w:sz w:val="18"/>
          <w:szCs w:val="18"/>
        </w:rPr>
        <w:t xml:space="preserve"> al enlace en servicio, </w:t>
      </w:r>
      <w:r w:rsidRPr="00C723A6">
        <w:rPr>
          <w:rFonts w:ascii="ITC Avant Garde" w:hAnsi="ITC Avant Garde"/>
          <w:i/>
          <w:strike/>
          <w:sz w:val="18"/>
          <w:szCs w:val="18"/>
        </w:rPr>
        <w:t>disminuyendo o en su caso eliminando la afectación a los servicios</w:t>
      </w:r>
      <w:r>
        <w:rPr>
          <w:rFonts w:ascii="ITC Avant Garde" w:hAnsi="ITC Avant Garde"/>
          <w:i/>
          <w:sz w:val="18"/>
          <w:szCs w:val="18"/>
        </w:rPr>
        <w:t xml:space="preserve"> </w:t>
      </w:r>
      <w:r w:rsidRPr="00C723A6">
        <w:rPr>
          <w:rFonts w:ascii="ITC Avant Garde" w:hAnsi="ITC Avant Garde"/>
          <w:i/>
          <w:sz w:val="18"/>
          <w:szCs w:val="18"/>
          <w:u w:val="single"/>
        </w:rPr>
        <w:t>previniendo la afectación del servicio</w:t>
      </w:r>
      <w:r w:rsidRPr="00FF03AB">
        <w:rPr>
          <w:rFonts w:ascii="ITC Avant Garde" w:hAnsi="ITC Avant Garde"/>
          <w:i/>
          <w:sz w:val="18"/>
          <w:szCs w:val="18"/>
        </w:rPr>
        <w:t>.”</w:t>
      </w:r>
    </w:p>
    <w:p w14:paraId="1791D009" w14:textId="77777777" w:rsidR="00793D7D" w:rsidRDefault="00793D7D" w:rsidP="00793D7D">
      <w:pPr>
        <w:spacing w:after="0" w:line="276" w:lineRule="auto"/>
        <w:ind w:left="567" w:right="616" w:hanging="11"/>
        <w:rPr>
          <w:rFonts w:ascii="ITC Avant Garde" w:hAnsi="ITC Avant Garde"/>
          <w:i/>
          <w:sz w:val="18"/>
          <w:szCs w:val="18"/>
        </w:rPr>
      </w:pPr>
    </w:p>
    <w:p w14:paraId="4FE6A86F" w14:textId="77777777" w:rsidR="00793D7D" w:rsidRPr="00614DE2" w:rsidRDefault="00793D7D" w:rsidP="00793D7D">
      <w:pPr>
        <w:spacing w:after="0" w:line="276" w:lineRule="auto"/>
        <w:ind w:left="567" w:right="616" w:hanging="11"/>
        <w:jc w:val="right"/>
        <w:rPr>
          <w:rFonts w:ascii="ITC Avant Garde" w:hAnsi="ITC Avant Garde"/>
          <w:i/>
          <w:sz w:val="18"/>
          <w:szCs w:val="18"/>
        </w:rPr>
      </w:pPr>
      <w:r>
        <w:rPr>
          <w:rFonts w:ascii="ITC Avant Garde" w:hAnsi="ITC Avant Garde"/>
          <w:i/>
          <w:sz w:val="18"/>
          <w:szCs w:val="18"/>
        </w:rPr>
        <w:t>(Énfasis añadido)</w:t>
      </w:r>
    </w:p>
    <w:p w14:paraId="5065D218" w14:textId="77777777" w:rsidR="001D046B" w:rsidRDefault="001D046B" w:rsidP="00C766A7">
      <w:pPr>
        <w:spacing w:after="0" w:line="276" w:lineRule="auto"/>
        <w:rPr>
          <w:rFonts w:ascii="ITC Avant Garde" w:eastAsia="Avant Garde" w:hAnsi="ITC Avant Garde" w:cs="Avant Garde"/>
          <w:b/>
          <w:color w:val="000000"/>
          <w:lang w:eastAsia="es-MX"/>
        </w:rPr>
      </w:pPr>
    </w:p>
    <w:p w14:paraId="736E0248" w14:textId="77777777" w:rsidR="00515D35" w:rsidRPr="0053503B" w:rsidRDefault="00515D35" w:rsidP="00515D35">
      <w:pPr>
        <w:spacing w:line="276" w:lineRule="auto"/>
        <w:rPr>
          <w:rFonts w:ascii="ITC Avant Garde" w:eastAsia="Avant Garde" w:hAnsi="ITC Avant Garde" w:cs="Avant Garde"/>
          <w:b/>
          <w:color w:val="000000"/>
          <w:lang w:eastAsia="es-MX"/>
        </w:rPr>
      </w:pPr>
      <w:r w:rsidRPr="00BA59CA">
        <w:rPr>
          <w:rFonts w:ascii="ITC Avant Garde" w:eastAsia="Avant Garde" w:hAnsi="ITC Avant Garde" w:cs="Avant Garde"/>
          <w:b/>
          <w:color w:val="000000"/>
          <w:lang w:eastAsia="es-MX"/>
        </w:rPr>
        <w:t>CANIETI, ALTÁN</w:t>
      </w:r>
    </w:p>
    <w:p w14:paraId="359360E7" w14:textId="55490083" w:rsidR="00B0375C" w:rsidRDefault="00FD4462" w:rsidP="00FD4462">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Solicitan que se soporte el protocolo TCP (Transport Control Protocol) para el transporte de SIP ya que algunos </w:t>
      </w:r>
      <w:r w:rsidR="004508DB">
        <w:rPr>
          <w:rFonts w:ascii="ITC Avant Garde" w:eastAsia="Avant Garde" w:hAnsi="ITC Avant Garde" w:cs="Avant Garde"/>
          <w:color w:val="000000"/>
          <w:lang w:eastAsia="es-MX"/>
        </w:rPr>
        <w:t>paquetes</w:t>
      </w:r>
      <w:r>
        <w:rPr>
          <w:rFonts w:ascii="ITC Avant Garde" w:eastAsia="Avant Garde" w:hAnsi="ITC Avant Garde" w:cs="Avant Garde"/>
          <w:color w:val="000000"/>
          <w:lang w:eastAsia="es-MX"/>
        </w:rPr>
        <w:t xml:space="preserve"> lo </w:t>
      </w:r>
      <w:r w:rsidR="004508DB">
        <w:rPr>
          <w:rFonts w:ascii="ITC Avant Garde" w:eastAsia="Avant Garde" w:hAnsi="ITC Avant Garde" w:cs="Avant Garde"/>
          <w:color w:val="000000"/>
          <w:lang w:eastAsia="es-MX"/>
        </w:rPr>
        <w:t>requieren debido a su tamaño.</w:t>
      </w:r>
    </w:p>
    <w:p w14:paraId="3A366EE4" w14:textId="5E827E7A" w:rsidR="001422A0" w:rsidRDefault="001422A0" w:rsidP="001422A0">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4F3AFDF6" w14:textId="5A9B9250" w:rsidR="001422A0" w:rsidRPr="0053503B" w:rsidRDefault="001422A0" w:rsidP="001422A0">
      <w:pPr>
        <w:spacing w:line="276" w:lineRule="auto"/>
        <w:rPr>
          <w:rFonts w:ascii="ITC Avant Garde" w:eastAsia="Avant Garde" w:hAnsi="ITC Avant Garde" w:cs="Avant Garde"/>
          <w:b/>
          <w:color w:val="000000"/>
          <w:lang w:eastAsia="es-MX"/>
        </w:rPr>
      </w:pPr>
      <w:r>
        <w:rPr>
          <w:rFonts w:ascii="ITC Avant Garde" w:eastAsia="Avant Garde" w:hAnsi="ITC Avant Garde" w:cs="Avant Garde"/>
          <w:color w:val="000000"/>
          <w:lang w:eastAsia="es-MX"/>
        </w:rPr>
        <w:t>Señala que no todos los equipos del concesionario solicitante soportan IPv6, por lo cual la u</w:t>
      </w:r>
      <w:r w:rsidR="00A557FD">
        <w:rPr>
          <w:rFonts w:ascii="ITC Avant Garde" w:eastAsia="Avant Garde" w:hAnsi="ITC Avant Garde" w:cs="Avant Garde"/>
          <w:color w:val="000000"/>
          <w:lang w:eastAsia="es-MX"/>
        </w:rPr>
        <w:t>tilización de IPv4 y/o IPv6 deberá ser</w:t>
      </w:r>
      <w:r>
        <w:rPr>
          <w:rFonts w:ascii="ITC Avant Garde" w:eastAsia="Avant Garde" w:hAnsi="ITC Avant Garde" w:cs="Avant Garde"/>
          <w:color w:val="000000"/>
          <w:lang w:eastAsia="es-MX"/>
        </w:rPr>
        <w:t xml:space="preserve"> de común acuerdo entre las partes. Asimismo, señala que se deben considerar otras normas técnicas RFC</w:t>
      </w:r>
      <w:r w:rsidR="00A557FD">
        <w:rPr>
          <w:rFonts w:ascii="ITC Avant Garde" w:eastAsia="Avant Garde" w:hAnsi="ITC Avant Garde" w:cs="Avant Garde"/>
          <w:color w:val="000000"/>
          <w:lang w:eastAsia="es-MX"/>
        </w:rPr>
        <w:t xml:space="preserve"> (Request for Comments)</w:t>
      </w:r>
      <w:r>
        <w:rPr>
          <w:rFonts w:ascii="ITC Avant Garde" w:eastAsia="Avant Garde" w:hAnsi="ITC Avant Garde" w:cs="Avant Garde"/>
          <w:color w:val="000000"/>
          <w:lang w:eastAsia="es-MX"/>
        </w:rPr>
        <w:t xml:space="preserve"> para garantizar una </w:t>
      </w:r>
      <w:r w:rsidR="00A557FD">
        <w:rPr>
          <w:rFonts w:ascii="ITC Avant Garde" w:eastAsia="Avant Garde" w:hAnsi="ITC Avant Garde" w:cs="Avant Garde"/>
          <w:color w:val="000000"/>
          <w:lang w:eastAsia="es-MX"/>
        </w:rPr>
        <w:t xml:space="preserve">óptima </w:t>
      </w:r>
      <w:r>
        <w:rPr>
          <w:rFonts w:ascii="ITC Avant Garde" w:eastAsia="Avant Garde" w:hAnsi="ITC Avant Garde" w:cs="Avant Garde"/>
          <w:color w:val="000000"/>
          <w:lang w:eastAsia="es-MX"/>
        </w:rPr>
        <w:t xml:space="preserve">prestación del servicio a los usuarios, por lo cual sugiere los siguientes RFC: </w:t>
      </w:r>
      <w:r w:rsidR="00A557FD">
        <w:rPr>
          <w:rFonts w:ascii="ITC Avant Garde" w:eastAsia="Avant Garde" w:hAnsi="ITC Avant Garde" w:cs="Avant Garde"/>
          <w:color w:val="000000"/>
          <w:lang w:eastAsia="es-MX"/>
        </w:rPr>
        <w:t>4028, 3323, 3325, 3326, 4566 y 5009.</w:t>
      </w:r>
    </w:p>
    <w:p w14:paraId="4147D2FB" w14:textId="77777777" w:rsidR="00334332" w:rsidRPr="0053503B" w:rsidRDefault="00334332" w:rsidP="00334332">
      <w:pPr>
        <w:spacing w:line="276" w:lineRule="auto"/>
        <w:rPr>
          <w:rFonts w:ascii="ITC Avant Garde" w:hAnsi="ITC Avant Garde"/>
          <w:b/>
        </w:rPr>
      </w:pPr>
      <w:r w:rsidRPr="0053503B">
        <w:rPr>
          <w:rFonts w:ascii="ITC Avant Garde" w:hAnsi="ITC Avant Garde"/>
          <w:b/>
        </w:rPr>
        <w:t xml:space="preserve">Consideraciones del Instituto </w:t>
      </w:r>
    </w:p>
    <w:p w14:paraId="0EE9FAD1" w14:textId="372A1112" w:rsidR="00334332" w:rsidRDefault="00C8574B" w:rsidP="00C8574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Al respecto se señala que, la utilización del protocolo TCP para el transporte de SIP, así como los RFC relacionados con dicho protocolo y la utilización de IPv4 e IPv6 no forman parte del alcance del CMI. </w:t>
      </w:r>
    </w:p>
    <w:p w14:paraId="4D4D856D" w14:textId="77777777" w:rsidR="00C8574B" w:rsidRDefault="00C8574B" w:rsidP="00336F2A">
      <w:pPr>
        <w:spacing w:after="0" w:line="276" w:lineRule="auto"/>
        <w:rPr>
          <w:rFonts w:ascii="ITC Avant Garde" w:eastAsia="Avant Garde" w:hAnsi="ITC Avant Garde" w:cs="Avant Garde"/>
          <w:color w:val="000000"/>
          <w:lang w:eastAsia="es-MX"/>
        </w:rPr>
      </w:pPr>
    </w:p>
    <w:p w14:paraId="3576D40C" w14:textId="5395F001" w:rsidR="00E52AC1" w:rsidRPr="00E37612" w:rsidRDefault="00E52AC1" w:rsidP="00E52AC1">
      <w:pPr>
        <w:spacing w:line="276" w:lineRule="auto"/>
        <w:rPr>
          <w:rFonts w:ascii="ITC Avant Garde" w:eastAsia="Avant Garde" w:hAnsi="ITC Avant Garde" w:cs="Avant Garde"/>
          <w:b/>
          <w:color w:val="000000"/>
          <w:sz w:val="24"/>
          <w:szCs w:val="24"/>
          <w:u w:val="single"/>
          <w:lang w:eastAsia="es-MX"/>
        </w:rPr>
      </w:pPr>
      <w:r w:rsidRPr="00E37612">
        <w:rPr>
          <w:rFonts w:ascii="ITC Avant Garde" w:eastAsia="Avant Garde" w:hAnsi="ITC Avant Garde" w:cs="Avant Garde"/>
          <w:b/>
          <w:color w:val="000000"/>
          <w:sz w:val="24"/>
          <w:szCs w:val="24"/>
          <w:u w:val="single"/>
          <w:lang w:eastAsia="es-MX"/>
        </w:rPr>
        <w:t>Anexo B. Precios y Tarifas</w:t>
      </w:r>
    </w:p>
    <w:p w14:paraId="79C4BBC3" w14:textId="78726CA1" w:rsidR="00E52AC1" w:rsidRDefault="008F7721" w:rsidP="00E52AC1">
      <w:pPr>
        <w:spacing w:line="276" w:lineRule="auto"/>
        <w:rPr>
          <w:rFonts w:ascii="ITC Avant Garde" w:eastAsia="Avant Garde" w:hAnsi="ITC Avant Garde" w:cs="Avant Garde"/>
          <w:b/>
          <w:color w:val="000000"/>
          <w:lang w:eastAsia="es-MX"/>
        </w:rPr>
      </w:pPr>
      <w:r w:rsidRPr="00DD7D8F">
        <w:rPr>
          <w:rFonts w:ascii="ITC Avant Garde" w:eastAsia="Avant Garde" w:hAnsi="ITC Avant Garde" w:cs="Avant Garde"/>
          <w:b/>
          <w:color w:val="000000"/>
          <w:lang w:eastAsia="es-MX"/>
        </w:rPr>
        <w:t>AXTEL</w:t>
      </w:r>
    </w:p>
    <w:p w14:paraId="70828297" w14:textId="29E61AB5" w:rsidR="00DE32C2" w:rsidRPr="000B59EC" w:rsidRDefault="000B59EC" w:rsidP="000B59EC">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agregar un párrafo para el cálculo de las contraprestaciones conforme la duración real de las llamadas, sumar la duración de las mismas y multiplicar los minutos equivalentes en dicha suma por la tarifa correspondiente </w:t>
      </w:r>
      <w:r w:rsidR="00834729">
        <w:rPr>
          <w:rFonts w:ascii="ITC Avant Garde" w:eastAsia="Avant Garde" w:hAnsi="ITC Avant Garde" w:cs="Avant Garde"/>
          <w:color w:val="000000"/>
          <w:lang w:eastAsia="es-MX"/>
        </w:rPr>
        <w:t>para incorporar condiciones de reciprocidad e igualdad de términos en la aplicación de tarifas por servicios conmutados</w:t>
      </w:r>
      <w:r>
        <w:rPr>
          <w:rFonts w:ascii="ITC Avant Garde" w:eastAsia="Avant Garde" w:hAnsi="ITC Avant Garde" w:cs="Avant Garde"/>
          <w:color w:val="000000"/>
          <w:lang w:eastAsia="es-MX"/>
        </w:rPr>
        <w:t>.</w:t>
      </w:r>
    </w:p>
    <w:p w14:paraId="17619F9F" w14:textId="763F2BDC" w:rsidR="00DE32C2" w:rsidRPr="0053503B" w:rsidRDefault="00DE32C2" w:rsidP="00DE32C2">
      <w:pPr>
        <w:spacing w:line="276" w:lineRule="auto"/>
        <w:rPr>
          <w:rFonts w:ascii="ITC Avant Garde" w:hAnsi="ITC Avant Garde"/>
          <w:b/>
        </w:rPr>
      </w:pPr>
      <w:r w:rsidRPr="0053503B">
        <w:rPr>
          <w:rFonts w:ascii="ITC Avant Garde" w:hAnsi="ITC Avant Garde"/>
          <w:b/>
        </w:rPr>
        <w:t xml:space="preserve">Consideraciones del Instituto </w:t>
      </w:r>
    </w:p>
    <w:p w14:paraId="1100FBAE" w14:textId="5BD18012" w:rsidR="00B67FF5" w:rsidRDefault="000B59EC" w:rsidP="00DE32C2">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 xml:space="preserve">Se modificó el Anexo B a efecto de </w:t>
      </w:r>
      <w:r w:rsidR="005335F5">
        <w:rPr>
          <w:rFonts w:ascii="ITC Avant Garde" w:eastAsia="Avant Garde" w:hAnsi="ITC Avant Garde" w:cs="Avant Garde"/>
          <w:color w:val="000000"/>
          <w:lang w:eastAsia="es-MX"/>
        </w:rPr>
        <w:t xml:space="preserve">precisar </w:t>
      </w:r>
      <w:r>
        <w:rPr>
          <w:rFonts w:ascii="ITC Avant Garde" w:eastAsia="Avant Garde" w:hAnsi="ITC Avant Garde" w:cs="Avant Garde"/>
          <w:color w:val="000000"/>
          <w:lang w:eastAsia="es-MX"/>
        </w:rPr>
        <w:t>la metodología para el cálculo de las contraprestaciones en el siguiente sentido:</w:t>
      </w:r>
    </w:p>
    <w:p w14:paraId="65430789" w14:textId="702D15E6" w:rsidR="00D37183" w:rsidRDefault="00B67FF5" w:rsidP="00DD7D8F">
      <w:pPr>
        <w:spacing w:after="0" w:line="276" w:lineRule="auto"/>
        <w:ind w:left="567" w:right="616" w:hanging="11"/>
        <w:rPr>
          <w:rFonts w:ascii="ITC Avant Garde" w:hAnsi="ITC Avant Garde"/>
          <w:i/>
          <w:sz w:val="18"/>
          <w:szCs w:val="18"/>
        </w:rPr>
      </w:pPr>
      <w:r>
        <w:rPr>
          <w:rFonts w:ascii="ITC Avant Garde" w:hAnsi="ITC Avant Garde"/>
          <w:i/>
          <w:sz w:val="18"/>
          <w:szCs w:val="18"/>
        </w:rPr>
        <w:t xml:space="preserve"> </w:t>
      </w:r>
      <w:r w:rsidR="00D37183">
        <w:rPr>
          <w:rFonts w:ascii="ITC Avant Garde" w:hAnsi="ITC Avant Garde"/>
          <w:i/>
          <w:sz w:val="18"/>
          <w:szCs w:val="18"/>
        </w:rPr>
        <w:t>“</w:t>
      </w:r>
      <w:r w:rsidR="00D37183" w:rsidRPr="00D37183">
        <w:rPr>
          <w:rFonts w:ascii="ITC Avant Garde" w:hAnsi="ITC Avant Garde"/>
          <w:i/>
          <w:sz w:val="18"/>
          <w:szCs w:val="18"/>
        </w:rPr>
        <w:t>En la aplicación de la</w:t>
      </w:r>
      <w:r w:rsidR="00D37183">
        <w:rPr>
          <w:rFonts w:ascii="ITC Avant Garde" w:hAnsi="ITC Avant Garde"/>
          <w:i/>
          <w:sz w:val="18"/>
          <w:szCs w:val="18"/>
        </w:rPr>
        <w:t>s</w:t>
      </w:r>
      <w:r w:rsidR="00D37183" w:rsidRPr="00D37183">
        <w:rPr>
          <w:rFonts w:ascii="ITC Avant Garde" w:hAnsi="ITC Avant Garde"/>
          <w:i/>
          <w:sz w:val="18"/>
          <w:szCs w:val="18"/>
        </w:rPr>
        <w:t xml:space="preserve"> tarifas a que se refieren los incisos A y B, los CONCESIONARIOS calcularán las contraprestaciones que deberán pagarse por servicios de terminación,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00D37183">
        <w:rPr>
          <w:rFonts w:ascii="ITC Avant Garde" w:hAnsi="ITC Avant Garde"/>
          <w:i/>
          <w:sz w:val="18"/>
          <w:szCs w:val="18"/>
        </w:rPr>
        <w:t>”</w:t>
      </w:r>
    </w:p>
    <w:p w14:paraId="234D1EA7" w14:textId="77777777" w:rsidR="005F673E" w:rsidRDefault="005F673E" w:rsidP="00336F2A">
      <w:pPr>
        <w:spacing w:after="0" w:line="276" w:lineRule="auto"/>
        <w:rPr>
          <w:rFonts w:ascii="ITC Avant Garde" w:hAnsi="ITC Avant Garde"/>
          <w:i/>
          <w:sz w:val="18"/>
          <w:szCs w:val="18"/>
        </w:rPr>
      </w:pPr>
    </w:p>
    <w:p w14:paraId="411A8B88" w14:textId="7CE61F56" w:rsidR="00DD7D8F" w:rsidRDefault="00DD7D8F" w:rsidP="00DD7D8F">
      <w:pPr>
        <w:spacing w:line="276" w:lineRule="auto"/>
        <w:rPr>
          <w:rFonts w:ascii="ITC Avant Garde" w:eastAsia="Avant Garde" w:hAnsi="ITC Avant Garde" w:cs="Avant Garde"/>
          <w:b/>
          <w:color w:val="000000"/>
          <w:lang w:eastAsia="es-MX"/>
        </w:rPr>
      </w:pPr>
      <w:r w:rsidRPr="00011E52">
        <w:rPr>
          <w:rFonts w:ascii="ITC Avant Garde" w:eastAsia="Avant Garde" w:hAnsi="ITC Avant Garde" w:cs="Avant Garde"/>
          <w:b/>
          <w:color w:val="000000"/>
          <w:lang w:eastAsia="es-MX"/>
        </w:rPr>
        <w:t>AXTEL</w:t>
      </w:r>
    </w:p>
    <w:p w14:paraId="1A44165C" w14:textId="18475D22" w:rsidR="00DD7D8F" w:rsidRDefault="00DD7D8F" w:rsidP="004957E8">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w:t>
      </w:r>
      <w:r w:rsidR="00300EA5">
        <w:rPr>
          <w:rFonts w:ascii="ITC Avant Garde" w:eastAsia="Avant Garde" w:hAnsi="ITC Avant Garde" w:cs="Avant Garde"/>
          <w:color w:val="000000"/>
          <w:lang w:eastAsia="es-MX"/>
        </w:rPr>
        <w:t>los OMV tienen</w:t>
      </w:r>
      <w:r w:rsidR="00685002">
        <w:rPr>
          <w:rFonts w:ascii="ITC Avant Garde" w:eastAsia="Avant Garde" w:hAnsi="ITC Avant Garde" w:cs="Avant Garde"/>
          <w:color w:val="000000"/>
          <w:lang w:eastAsia="es-MX"/>
        </w:rPr>
        <w:t xml:space="preserve"> el derecho a recibir el pago por el</w:t>
      </w:r>
      <w:r w:rsidR="00300EA5">
        <w:rPr>
          <w:rFonts w:ascii="ITC Avant Garde" w:eastAsia="Avant Garde" w:hAnsi="ITC Avant Garde" w:cs="Avant Garde"/>
          <w:color w:val="000000"/>
          <w:lang w:eastAsia="es-MX"/>
        </w:rPr>
        <w:t xml:space="preserve"> tráfico de interconexión hacia sus usuarios</w:t>
      </w:r>
      <w:r w:rsidR="00685002">
        <w:rPr>
          <w:rFonts w:ascii="ITC Avant Garde" w:eastAsia="Avant Garde" w:hAnsi="ITC Avant Garde" w:cs="Avant Garde"/>
          <w:color w:val="000000"/>
          <w:lang w:eastAsia="es-MX"/>
        </w:rPr>
        <w:t>,</w:t>
      </w:r>
      <w:r w:rsidR="00300EA5">
        <w:rPr>
          <w:rFonts w:ascii="ITC Avant Garde" w:eastAsia="Avant Garde" w:hAnsi="ITC Avant Garde" w:cs="Avant Garde"/>
          <w:color w:val="000000"/>
          <w:lang w:eastAsia="es-MX"/>
        </w:rPr>
        <w:t xml:space="preserve"> </w:t>
      </w:r>
      <w:r w:rsidR="00685002">
        <w:rPr>
          <w:rFonts w:ascii="ITC Avant Garde" w:eastAsia="Avant Garde" w:hAnsi="ITC Avant Garde" w:cs="Avant Garde"/>
          <w:color w:val="000000"/>
          <w:lang w:eastAsia="es-MX"/>
        </w:rPr>
        <w:t>por lo cual sol</w:t>
      </w:r>
      <w:r w:rsidR="00845D36">
        <w:rPr>
          <w:rFonts w:ascii="ITC Avant Garde" w:eastAsia="Avant Garde" w:hAnsi="ITC Avant Garde" w:cs="Avant Garde"/>
          <w:color w:val="000000"/>
          <w:lang w:eastAsia="es-MX"/>
        </w:rPr>
        <w:t xml:space="preserve">icita añadir </w:t>
      </w:r>
      <w:r w:rsidR="003275DB">
        <w:rPr>
          <w:rFonts w:ascii="ITC Avant Garde" w:eastAsia="Avant Garde" w:hAnsi="ITC Avant Garde" w:cs="Avant Garde"/>
          <w:color w:val="000000"/>
          <w:lang w:eastAsia="es-MX"/>
        </w:rPr>
        <w:t>el siguiente texto: “</w:t>
      </w:r>
      <w:r w:rsidR="003275DB" w:rsidRPr="003275DB">
        <w:rPr>
          <w:rFonts w:ascii="ITC Avant Garde" w:eastAsia="Avant Garde" w:hAnsi="ITC Avant Garde" w:cs="Avant Garde"/>
          <w:i/>
          <w:color w:val="000000"/>
          <w:lang w:eastAsia="es-MX"/>
        </w:rPr>
        <w:t xml:space="preserve">TELCEL pagará al CONCESIONARIO por Servicios de Terminación Conmutada en Usuarios Móviles del CONCESIONARIO del tipo “El que llama paga” y/o “El que llama paga nacional”, </w:t>
      </w:r>
      <w:r w:rsidR="003275DB" w:rsidRPr="003275DB">
        <w:rPr>
          <w:rFonts w:ascii="ITC Avant Garde" w:eastAsia="Avant Garde" w:hAnsi="ITC Avant Garde" w:cs="Avant Garde"/>
          <w:i/>
          <w:color w:val="000000"/>
          <w:u w:val="single"/>
          <w:lang w:eastAsia="es-MX"/>
        </w:rPr>
        <w:t>incluyendo aquellos concesionarios que en su calidad de Operador Móvil Virtual Completo hayan celebrado el presente convenio</w:t>
      </w:r>
      <w:r w:rsidR="003275DB">
        <w:rPr>
          <w:rFonts w:ascii="ITC Avant Garde" w:eastAsia="Avant Garde" w:hAnsi="ITC Avant Garde" w:cs="Avant Garde"/>
          <w:i/>
          <w:color w:val="000000"/>
          <w:u w:val="single"/>
          <w:lang w:eastAsia="es-MX"/>
        </w:rPr>
        <w:t>”</w:t>
      </w:r>
      <w:r w:rsidR="003275DB">
        <w:rPr>
          <w:rFonts w:ascii="ITC Avant Garde" w:eastAsia="Avant Garde" w:hAnsi="ITC Avant Garde" w:cs="Avant Garde"/>
          <w:i/>
          <w:color w:val="000000"/>
          <w:lang w:eastAsia="es-MX"/>
        </w:rPr>
        <w:t xml:space="preserve">, </w:t>
      </w:r>
      <w:r w:rsidR="00845D36">
        <w:rPr>
          <w:rFonts w:ascii="ITC Avant Garde" w:eastAsia="Avant Garde" w:hAnsi="ITC Avant Garde" w:cs="Avant Garde"/>
          <w:color w:val="000000"/>
          <w:lang w:eastAsia="es-MX"/>
        </w:rPr>
        <w:t>al i</w:t>
      </w:r>
      <w:r w:rsidR="00BE668C">
        <w:rPr>
          <w:rFonts w:ascii="ITC Avant Garde" w:eastAsia="Avant Garde" w:hAnsi="ITC Avant Garde" w:cs="Avant Garde"/>
          <w:color w:val="000000"/>
          <w:lang w:eastAsia="es-MX"/>
        </w:rPr>
        <w:t>nciso B (numeral i) del Anexo B.</w:t>
      </w:r>
    </w:p>
    <w:p w14:paraId="00644CE2" w14:textId="2EF4A72D" w:rsidR="00BE668C" w:rsidRDefault="00BE668C" w:rsidP="00BE668C">
      <w:pPr>
        <w:spacing w:line="276" w:lineRule="auto"/>
        <w:rPr>
          <w:rFonts w:ascii="ITC Avant Garde" w:eastAsia="Avant Garde" w:hAnsi="ITC Avant Garde" w:cs="Avant Garde"/>
          <w:color w:val="000000"/>
          <w:lang w:eastAsia="es-MX"/>
        </w:rPr>
      </w:pPr>
      <w:r w:rsidRPr="00BE668C">
        <w:rPr>
          <w:rFonts w:ascii="ITC Avant Garde" w:eastAsia="Avant Garde" w:hAnsi="ITC Avant Garde" w:cs="Avant Garde"/>
          <w:color w:val="000000"/>
          <w:lang w:eastAsia="es-MX"/>
        </w:rPr>
        <w:t>Asimismo, solicita realizar las modificaciones necesarias al Anexo G para establecer los derechos y obligaciones de los OMV, ya que estos tienen el derecho a cobrar por los servicios de interconexión.</w:t>
      </w:r>
    </w:p>
    <w:p w14:paraId="7FBC899D" w14:textId="27C92A16" w:rsidR="00AC72E8" w:rsidRPr="0063056D" w:rsidRDefault="00D25D70" w:rsidP="00AC72E8">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Adicionalmente, como comentario general Axtel </w:t>
      </w:r>
      <w:r w:rsidR="00AC72E8">
        <w:rPr>
          <w:rFonts w:ascii="ITC Avant Garde" w:eastAsia="Avant Garde" w:hAnsi="ITC Avant Garde" w:cs="Avant Garde"/>
          <w:color w:val="000000"/>
          <w:lang w:eastAsia="es-MX"/>
        </w:rPr>
        <w:t xml:space="preserve">señala que el CMI debe permitir la interconexión con concesionarios que brinden el servicio de telefonía y banda ancha móvil bajo la modalidad de OMV. Asimismo, se deben considerar los esquemas técnicos o administrativos que permitan identificar a las distintas redes de los concesionarios mayoristas que un OMV completo puede operar. Asimismo, se deben especificar las tarifas que los OMV completos cobrarán a efecto de reconocer su derecho a establecer sus propios acuerdos de interconexión de conformidad con el artículo 15 de los Lineamientos de OMV. </w:t>
      </w:r>
    </w:p>
    <w:p w14:paraId="5F0CEC3D" w14:textId="77777777" w:rsidR="00D25D70" w:rsidRDefault="00D25D70" w:rsidP="00D25D70">
      <w:pPr>
        <w:spacing w:after="0" w:line="276" w:lineRule="auto"/>
        <w:rPr>
          <w:rFonts w:ascii="ITC Avant Garde" w:hAnsi="ITC Avant Garde"/>
          <w:b/>
        </w:rPr>
      </w:pPr>
    </w:p>
    <w:p w14:paraId="25E3F8BD" w14:textId="613C3D6A" w:rsidR="00743756" w:rsidRPr="0053503B" w:rsidRDefault="00743756" w:rsidP="00743756">
      <w:pPr>
        <w:spacing w:line="276" w:lineRule="auto"/>
        <w:rPr>
          <w:rFonts w:ascii="ITC Avant Garde" w:hAnsi="ITC Avant Garde"/>
          <w:b/>
        </w:rPr>
      </w:pPr>
      <w:r w:rsidRPr="0053503B">
        <w:rPr>
          <w:rFonts w:ascii="ITC Avant Garde" w:hAnsi="ITC Avant Garde"/>
          <w:b/>
        </w:rPr>
        <w:t xml:space="preserve">Consideraciones del Instituto </w:t>
      </w:r>
    </w:p>
    <w:p w14:paraId="35CA20D6" w14:textId="1303A04D" w:rsidR="00743756" w:rsidRDefault="004957E8" w:rsidP="004957E8">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00743756" w:rsidRPr="00FC7674">
        <w:rPr>
          <w:rFonts w:ascii="ITC Avant Garde" w:eastAsia="Avant Garde" w:hAnsi="ITC Avant Garde" w:cs="Avant Garde"/>
          <w:color w:val="000000"/>
          <w:lang w:eastAsia="es-MX"/>
        </w:rPr>
        <w:t>e conformidad con los Lineamientos de OMV, cualquier concesionario que opere una red pública de telecomunicaciones podrá celebrar sus pro</w:t>
      </w:r>
      <w:r w:rsidR="0050121C" w:rsidRPr="00FC7674">
        <w:rPr>
          <w:rFonts w:ascii="ITC Avant Garde" w:eastAsia="Avant Garde" w:hAnsi="ITC Avant Garde" w:cs="Avant Garde"/>
          <w:color w:val="000000"/>
          <w:lang w:eastAsia="es-MX"/>
        </w:rPr>
        <w:t>pios convenios de interconexión:</w:t>
      </w:r>
    </w:p>
    <w:p w14:paraId="49B9DCFD" w14:textId="77777777" w:rsidR="0050121C" w:rsidRPr="00782C23" w:rsidRDefault="0050121C" w:rsidP="0050121C">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r w:rsidRPr="00782C23">
        <w:rPr>
          <w:rFonts w:ascii="ITC Avant Garde" w:hAnsi="ITC Avant Garde"/>
          <w:b/>
          <w:i/>
          <w:sz w:val="18"/>
          <w:szCs w:val="18"/>
        </w:rPr>
        <w:t>Artículo 15</w:t>
      </w:r>
      <w:r w:rsidRPr="00782C23">
        <w:rPr>
          <w:rFonts w:ascii="ITC Avant Garde" w:hAnsi="ITC Avant Garde"/>
          <w:i/>
          <w:sz w:val="18"/>
          <w:szCs w:val="18"/>
        </w:rPr>
        <w:t xml:space="preserve">. </w:t>
      </w:r>
      <w:r w:rsidRPr="00782C23">
        <w:rPr>
          <w:rFonts w:ascii="ITC Avant Garde" w:hAnsi="ITC Avant Garde"/>
          <w:i/>
          <w:sz w:val="18"/>
          <w:szCs w:val="18"/>
          <w:u w:val="single"/>
        </w:rPr>
        <w:t>Aquellos Operadores Móviles Virtuales que sean concesionarios y operen una Red Pública de Telecomunicaciones, podrán solicitar sus propios acuerdos de interconexión con otros concesionarios.</w:t>
      </w:r>
      <w:r w:rsidRPr="00782C23">
        <w:rPr>
          <w:rFonts w:ascii="ITC Avant Garde" w:hAnsi="ITC Avant Garde"/>
          <w:i/>
          <w:sz w:val="18"/>
          <w:szCs w:val="18"/>
        </w:rPr>
        <w:t xml:space="preserve"> Asimismo, estarán obligados a interconectar sus redes con las de otros concesionarios en condiciones no discriminatorias, transparentes y basadas en criterios objetivos y en estricto cumplimiento a lo dispuesto en la Ley. En tal </w:t>
      </w:r>
      <w:r w:rsidRPr="00782C23">
        <w:rPr>
          <w:rFonts w:ascii="ITC Avant Garde" w:hAnsi="ITC Avant Garde"/>
          <w:i/>
          <w:sz w:val="18"/>
          <w:szCs w:val="18"/>
        </w:rPr>
        <w:lastRenderedPageBreak/>
        <w:t>caso, el pago y cobro por la interconexión con los concesionarios terceros, corresponderá al Operador Móvil Virtual.</w:t>
      </w:r>
    </w:p>
    <w:p w14:paraId="43732F98" w14:textId="4CC834E3" w:rsidR="0050121C" w:rsidRPr="00782C23" w:rsidRDefault="004957E8" w:rsidP="0050121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0050121C" w:rsidRPr="00782C23">
        <w:rPr>
          <w:rFonts w:ascii="ITC Avant Garde" w:hAnsi="ITC Avant Garde"/>
          <w:i/>
          <w:sz w:val="18"/>
          <w:szCs w:val="18"/>
        </w:rPr>
        <w:t>”</w:t>
      </w:r>
    </w:p>
    <w:p w14:paraId="34F5BF26" w14:textId="77777777" w:rsidR="0050121C" w:rsidRPr="00782C23" w:rsidRDefault="0050121C" w:rsidP="0050121C">
      <w:pPr>
        <w:spacing w:after="0" w:line="276" w:lineRule="auto"/>
        <w:ind w:left="567" w:right="616" w:hanging="11"/>
        <w:rPr>
          <w:rFonts w:ascii="ITC Avant Garde" w:hAnsi="ITC Avant Garde"/>
          <w:i/>
          <w:sz w:val="18"/>
          <w:szCs w:val="18"/>
        </w:rPr>
      </w:pPr>
    </w:p>
    <w:p w14:paraId="52B2E1FB" w14:textId="3DCDE603" w:rsidR="0050121C" w:rsidRDefault="0050121C" w:rsidP="0050121C">
      <w:pPr>
        <w:spacing w:after="0" w:line="276" w:lineRule="auto"/>
        <w:ind w:left="567" w:right="616" w:hanging="11"/>
        <w:jc w:val="right"/>
        <w:rPr>
          <w:rFonts w:ascii="ITC Avant Garde" w:hAnsi="ITC Avant Garde"/>
          <w:i/>
          <w:sz w:val="18"/>
          <w:szCs w:val="18"/>
        </w:rPr>
      </w:pPr>
      <w:r w:rsidRPr="00782C23">
        <w:rPr>
          <w:rFonts w:ascii="ITC Avant Garde" w:hAnsi="ITC Avant Garde"/>
          <w:i/>
          <w:sz w:val="18"/>
          <w:szCs w:val="18"/>
        </w:rPr>
        <w:t>(Énfasis añadido)</w:t>
      </w:r>
    </w:p>
    <w:p w14:paraId="1EFDE5CC" w14:textId="77777777" w:rsidR="004957E8" w:rsidRPr="00782C23" w:rsidRDefault="004957E8" w:rsidP="0050121C">
      <w:pPr>
        <w:spacing w:after="0" w:line="276" w:lineRule="auto"/>
        <w:ind w:left="567" w:right="616" w:hanging="11"/>
        <w:jc w:val="right"/>
        <w:rPr>
          <w:rFonts w:ascii="ITC Avant Garde" w:hAnsi="ITC Avant Garde"/>
          <w:i/>
          <w:sz w:val="18"/>
          <w:szCs w:val="18"/>
        </w:rPr>
      </w:pPr>
    </w:p>
    <w:p w14:paraId="001E3A47" w14:textId="687F07C6" w:rsidR="00011E52" w:rsidRDefault="004957E8" w:rsidP="004957E8">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este sentido, los OMV que pueden celebrar convenios de interconexión </w:t>
      </w:r>
      <w:r w:rsidR="00D25D70">
        <w:rPr>
          <w:rFonts w:ascii="ITC Avant Garde" w:eastAsia="Avant Garde" w:hAnsi="ITC Avant Garde" w:cs="Avant Garde"/>
          <w:color w:val="000000"/>
          <w:lang w:eastAsia="es-MX"/>
        </w:rPr>
        <w:t xml:space="preserve">al ser concesionarios de redes públicas de telecomunicaciones, </w:t>
      </w:r>
      <w:r>
        <w:rPr>
          <w:rFonts w:ascii="ITC Avant Garde" w:eastAsia="Avant Garde" w:hAnsi="ITC Avant Garde" w:cs="Avant Garde"/>
          <w:color w:val="000000"/>
          <w:lang w:eastAsia="es-MX"/>
        </w:rPr>
        <w:t>se encuentran contenidos en el CMI, por lo que no es necesaria la precisión solicitada.</w:t>
      </w:r>
    </w:p>
    <w:p w14:paraId="43B61BDB" w14:textId="12A1FF13" w:rsidR="00AC72E8" w:rsidRPr="00E66533" w:rsidRDefault="00D25D70" w:rsidP="00AC72E8">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Respecto, a</w:t>
      </w:r>
      <w:r w:rsidR="00AC72E8">
        <w:rPr>
          <w:rFonts w:ascii="ITC Avant Garde" w:eastAsia="Avant Garde" w:hAnsi="ITC Avant Garde" w:cs="Avant Garde"/>
          <w:color w:val="000000"/>
          <w:lang w:eastAsia="es-MX"/>
        </w:rPr>
        <w:t>l establecimiento de los esquemas técnicos o administrativos que permitan identificar a las distintas redes de los OMV</w:t>
      </w:r>
      <w:r>
        <w:rPr>
          <w:rFonts w:ascii="ITC Avant Garde" w:eastAsia="Avant Garde" w:hAnsi="ITC Avant Garde" w:cs="Avant Garde"/>
          <w:color w:val="000000"/>
          <w:lang w:eastAsia="es-MX"/>
        </w:rPr>
        <w:t xml:space="preserve"> se señala que</w:t>
      </w:r>
      <w:r w:rsidR="00AC72E8">
        <w:rPr>
          <w:rFonts w:ascii="ITC Avant Garde" w:eastAsia="Avant Garde" w:hAnsi="ITC Avant Garde" w:cs="Avant Garde"/>
          <w:color w:val="000000"/>
          <w:lang w:eastAsia="es-MX"/>
        </w:rPr>
        <w:t xml:space="preserve"> excede el alcance de</w:t>
      </w:r>
      <w:r>
        <w:rPr>
          <w:rFonts w:ascii="ITC Avant Garde" w:eastAsia="Avant Garde" w:hAnsi="ITC Avant Garde" w:cs="Avant Garde"/>
          <w:color w:val="000000"/>
          <w:lang w:eastAsia="es-MX"/>
        </w:rPr>
        <w:t>l contenido del CMI</w:t>
      </w:r>
      <w:r w:rsidR="00AC72E8">
        <w:rPr>
          <w:rFonts w:ascii="ITC Avant Garde" w:eastAsia="Avant Garde" w:hAnsi="ITC Avant Garde" w:cs="Avant Garde"/>
          <w:color w:val="000000"/>
          <w:lang w:eastAsia="es-MX"/>
        </w:rPr>
        <w:t xml:space="preserve">, ya que </w:t>
      </w:r>
      <w:r>
        <w:rPr>
          <w:rFonts w:ascii="ITC Avant Garde" w:eastAsia="Avant Garde" w:hAnsi="ITC Avant Garde" w:cs="Avant Garde"/>
          <w:color w:val="000000"/>
          <w:lang w:eastAsia="es-MX"/>
        </w:rPr>
        <w:t xml:space="preserve">la identificación de redes de los OMV no se encuentra dentro del alcance del mismo. </w:t>
      </w:r>
    </w:p>
    <w:p w14:paraId="2F46A1B3" w14:textId="77777777" w:rsidR="00AC72E8" w:rsidRDefault="00AC72E8" w:rsidP="00D25D70">
      <w:pPr>
        <w:spacing w:after="0" w:line="276" w:lineRule="auto"/>
        <w:rPr>
          <w:rFonts w:ascii="ITC Avant Garde" w:eastAsia="Avant Garde" w:hAnsi="ITC Avant Garde" w:cs="Avant Garde"/>
          <w:color w:val="000000"/>
          <w:lang w:eastAsia="es-MX"/>
        </w:rPr>
      </w:pPr>
    </w:p>
    <w:p w14:paraId="1F0EDA6E" w14:textId="77777777" w:rsidR="00011E52" w:rsidRDefault="00011E52" w:rsidP="00011E52">
      <w:pPr>
        <w:spacing w:line="276" w:lineRule="auto"/>
        <w:rPr>
          <w:rFonts w:ascii="ITC Avant Garde" w:eastAsia="Avant Garde" w:hAnsi="ITC Avant Garde" w:cs="Avant Garde"/>
          <w:b/>
          <w:color w:val="000000"/>
          <w:lang w:eastAsia="es-MX"/>
        </w:rPr>
      </w:pPr>
      <w:r w:rsidRPr="00011E52">
        <w:rPr>
          <w:rFonts w:ascii="ITC Avant Garde" w:eastAsia="Avant Garde" w:hAnsi="ITC Avant Garde" w:cs="Avant Garde"/>
          <w:b/>
          <w:color w:val="000000"/>
          <w:lang w:eastAsia="es-MX"/>
        </w:rPr>
        <w:t>AXTEL</w:t>
      </w:r>
    </w:p>
    <w:p w14:paraId="49900A77" w14:textId="2030719C" w:rsidR="00931A4C" w:rsidRDefault="00011E52" w:rsidP="0014683C">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14683C">
        <w:rPr>
          <w:rFonts w:ascii="ITC Avant Garde" w:eastAsia="Avant Garde" w:hAnsi="ITC Avant Garde" w:cs="Avant Garde"/>
          <w:color w:val="000000"/>
          <w:lang w:eastAsia="es-MX"/>
        </w:rPr>
        <w:t>obre la actualización de las contraprestaciones de los servicios de coubicación conforme el Índice Nacional de Precios al Consumidor s</w:t>
      </w:r>
      <w:r>
        <w:rPr>
          <w:rFonts w:ascii="ITC Avant Garde" w:eastAsia="Avant Garde" w:hAnsi="ITC Avant Garde" w:cs="Avant Garde"/>
          <w:color w:val="000000"/>
          <w:lang w:eastAsia="es-MX"/>
        </w:rPr>
        <w:t>eñala que no es necesario establecer condiciones de actualización de precios ya que el Instituto es quien determina las tarifas para los servicios de interconexión, coubicación y enlaces de interconexión a través de modelos de costos.</w:t>
      </w:r>
      <w:r w:rsidR="008F1D18">
        <w:rPr>
          <w:rFonts w:ascii="ITC Avant Garde" w:eastAsia="Avant Garde" w:hAnsi="ITC Avant Garde" w:cs="Avant Garde"/>
          <w:color w:val="000000"/>
          <w:lang w:eastAsia="es-MX"/>
        </w:rPr>
        <w:t xml:space="preserve"> Además, el incremento de los costos de interconexión representa una práctica de estrangulamiento de márgenes</w:t>
      </w:r>
      <w:r w:rsidR="007218D7">
        <w:rPr>
          <w:rFonts w:ascii="ITC Avant Garde" w:eastAsia="Avant Garde" w:hAnsi="ITC Avant Garde" w:cs="Avant Garde"/>
          <w:color w:val="000000"/>
          <w:lang w:eastAsia="es-MX"/>
        </w:rPr>
        <w:t>,</w:t>
      </w:r>
      <w:r w:rsidR="00682597">
        <w:rPr>
          <w:rFonts w:ascii="ITC Avant Garde" w:eastAsia="Avant Garde" w:hAnsi="ITC Avant Garde" w:cs="Avant Garde"/>
          <w:color w:val="000000"/>
          <w:lang w:eastAsia="es-MX"/>
        </w:rPr>
        <w:t xml:space="preserve"> </w:t>
      </w:r>
      <w:r w:rsidR="00931A4C">
        <w:rPr>
          <w:rFonts w:ascii="ITC Avant Garde" w:eastAsia="Avant Garde" w:hAnsi="ITC Avant Garde" w:cs="Avant Garde"/>
          <w:color w:val="000000"/>
          <w:lang w:eastAsia="es-MX"/>
        </w:rPr>
        <w:t>por lo cual</w:t>
      </w:r>
      <w:r w:rsidR="00B83084">
        <w:rPr>
          <w:rFonts w:ascii="ITC Avant Garde" w:eastAsia="Avant Garde" w:hAnsi="ITC Avant Garde" w:cs="Avant Garde"/>
          <w:color w:val="000000"/>
          <w:lang w:eastAsia="es-MX"/>
        </w:rPr>
        <w:t xml:space="preserve"> </w:t>
      </w:r>
      <w:r w:rsidR="007218D7">
        <w:rPr>
          <w:rFonts w:ascii="ITC Avant Garde" w:eastAsia="Avant Garde" w:hAnsi="ITC Avant Garde" w:cs="Avant Garde"/>
          <w:color w:val="000000"/>
          <w:lang w:eastAsia="es-MX"/>
        </w:rPr>
        <w:t>solicita suprimir el siguiente párrafo</w:t>
      </w:r>
      <w:r w:rsidR="00931A4C">
        <w:rPr>
          <w:rFonts w:ascii="ITC Avant Garde" w:eastAsia="Avant Garde" w:hAnsi="ITC Avant Garde" w:cs="Avant Garde"/>
          <w:color w:val="000000"/>
          <w:lang w:eastAsia="es-MX"/>
        </w:rPr>
        <w:t xml:space="preserve"> del Anexo B (numeral 3)</w:t>
      </w:r>
      <w:r w:rsidR="00B83084">
        <w:rPr>
          <w:rFonts w:ascii="ITC Avant Garde" w:eastAsia="Avant Garde" w:hAnsi="ITC Avant Garde" w:cs="Avant Garde"/>
          <w:color w:val="000000"/>
          <w:lang w:eastAsia="es-MX"/>
        </w:rPr>
        <w:t xml:space="preserve"> para evitar que el AEP incremente</w:t>
      </w:r>
      <w:r w:rsidR="008F1D18">
        <w:rPr>
          <w:rFonts w:ascii="ITC Avant Garde" w:eastAsia="Avant Garde" w:hAnsi="ITC Avant Garde" w:cs="Avant Garde"/>
          <w:color w:val="000000"/>
          <w:lang w:eastAsia="es-MX"/>
        </w:rPr>
        <w:t xml:space="preserve"> las ta</w:t>
      </w:r>
      <w:r w:rsidR="0014683C">
        <w:rPr>
          <w:rFonts w:ascii="ITC Avant Garde" w:eastAsia="Avant Garde" w:hAnsi="ITC Avant Garde" w:cs="Avant Garde"/>
          <w:color w:val="000000"/>
          <w:lang w:eastAsia="es-MX"/>
        </w:rPr>
        <w:t xml:space="preserve">rifas: </w:t>
      </w:r>
    </w:p>
    <w:p w14:paraId="7D4200C6" w14:textId="77777777" w:rsidR="00931A4C" w:rsidRPr="0014683C" w:rsidRDefault="00931A4C" w:rsidP="00931A4C">
      <w:pPr>
        <w:spacing w:line="276" w:lineRule="auto"/>
        <w:rPr>
          <w:rFonts w:ascii="ITC Avant Garde" w:hAnsi="ITC Avant Garde"/>
          <w:b/>
        </w:rPr>
      </w:pPr>
      <w:r w:rsidRPr="0014683C">
        <w:rPr>
          <w:rFonts w:ascii="ITC Avant Garde" w:hAnsi="ITC Avant Garde"/>
          <w:b/>
        </w:rPr>
        <w:t xml:space="preserve">Consideraciones del Instituto </w:t>
      </w:r>
    </w:p>
    <w:p w14:paraId="4C22A92A" w14:textId="10C26E4E" w:rsidR="00DD7D8F" w:rsidRPr="0014683C" w:rsidRDefault="0014683C" w:rsidP="004957E8">
      <w:pPr>
        <w:spacing w:line="276" w:lineRule="auto"/>
        <w:rPr>
          <w:rFonts w:ascii="ITC Avant Garde" w:eastAsia="Avant Garde" w:hAnsi="ITC Avant Garde" w:cs="Avant Garde"/>
          <w:color w:val="000000"/>
          <w:lang w:eastAsia="es-MX"/>
        </w:rPr>
      </w:pPr>
      <w:r w:rsidRPr="00FB748E">
        <w:rPr>
          <w:rFonts w:ascii="ITC Avant Garde" w:eastAsia="Avant Garde" w:hAnsi="ITC Avant Garde" w:cs="Avant Garde"/>
          <w:color w:val="000000"/>
          <w:lang w:eastAsia="es-MX"/>
        </w:rPr>
        <w:t>Se eliminó dicha actualización de conformidad con el CMI vigente.</w:t>
      </w:r>
    </w:p>
    <w:p w14:paraId="0F3C33EC" w14:textId="056464DA" w:rsidR="005A6DCA" w:rsidRPr="00E37612" w:rsidRDefault="005A6DCA" w:rsidP="005A6DCA">
      <w:pPr>
        <w:spacing w:line="276" w:lineRule="auto"/>
        <w:rPr>
          <w:rFonts w:ascii="ITC Avant Garde" w:eastAsia="Avant Garde" w:hAnsi="ITC Avant Garde" w:cs="Avant Garde"/>
          <w:b/>
          <w:color w:val="000000"/>
          <w:sz w:val="24"/>
          <w:szCs w:val="24"/>
          <w:u w:val="single"/>
          <w:lang w:eastAsia="es-MX"/>
        </w:rPr>
      </w:pPr>
      <w:r w:rsidRPr="00E37612">
        <w:rPr>
          <w:rFonts w:ascii="ITC Avant Garde" w:eastAsia="Avant Garde" w:hAnsi="ITC Avant Garde" w:cs="Avant Garde"/>
          <w:b/>
          <w:color w:val="000000"/>
          <w:sz w:val="24"/>
          <w:szCs w:val="24"/>
          <w:u w:val="single"/>
          <w:lang w:eastAsia="es-MX"/>
        </w:rPr>
        <w:t>Anexo E. Calidad</w:t>
      </w:r>
    </w:p>
    <w:p w14:paraId="13A08F26" w14:textId="110388DE" w:rsidR="005A6DCA" w:rsidRDefault="0014683C" w:rsidP="005A6DCA">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3.1 Atención de Fallas.</w:t>
      </w:r>
    </w:p>
    <w:p w14:paraId="13B12DF1" w14:textId="3F40D5DE" w:rsidR="005A6DCA" w:rsidRPr="0053503B" w:rsidRDefault="005A6DCA" w:rsidP="005A6DCA">
      <w:pPr>
        <w:spacing w:line="276" w:lineRule="auto"/>
        <w:rPr>
          <w:rFonts w:ascii="ITC Avant Garde" w:eastAsia="Avant Garde" w:hAnsi="ITC Avant Garde" w:cs="Avant Garde"/>
          <w:color w:val="000000"/>
          <w:lang w:eastAsia="es-MX"/>
        </w:rPr>
      </w:pPr>
      <w:r w:rsidRPr="00165E48">
        <w:rPr>
          <w:rFonts w:ascii="ITC Avant Garde" w:eastAsia="Avant Garde" w:hAnsi="ITC Avant Garde" w:cs="Avant Garde"/>
          <w:b/>
          <w:color w:val="000000"/>
          <w:lang w:eastAsia="es-MX"/>
        </w:rPr>
        <w:t>CANIETI, ALTÁN</w:t>
      </w:r>
      <w:r w:rsidR="00774BC4" w:rsidRPr="00165E48">
        <w:rPr>
          <w:rFonts w:ascii="ITC Avant Garde" w:eastAsia="Avant Garde" w:hAnsi="ITC Avant Garde" w:cs="Avant Garde"/>
          <w:b/>
          <w:color w:val="000000"/>
          <w:lang w:eastAsia="es-MX"/>
        </w:rPr>
        <w:t xml:space="preserve">, </w:t>
      </w:r>
      <w:r w:rsidR="007906BC" w:rsidRPr="00165E48">
        <w:rPr>
          <w:rFonts w:ascii="ITC Avant Garde" w:eastAsia="Avant Garde" w:hAnsi="ITC Avant Garde" w:cs="Avant Garde"/>
          <w:b/>
          <w:color w:val="000000"/>
          <w:lang w:eastAsia="es-MX"/>
        </w:rPr>
        <w:t>AXTEL</w:t>
      </w:r>
      <w:r w:rsidR="00E25FDE" w:rsidRPr="00165E48">
        <w:rPr>
          <w:rFonts w:ascii="ITC Avant Garde" w:eastAsia="Avant Garde" w:hAnsi="ITC Avant Garde" w:cs="Avant Garde"/>
          <w:b/>
          <w:color w:val="000000"/>
          <w:lang w:eastAsia="es-MX"/>
        </w:rPr>
        <w:t xml:space="preserve"> y AT&amp;T</w:t>
      </w:r>
    </w:p>
    <w:p w14:paraId="6686E3F4" w14:textId="5B1CFED0" w:rsidR="00BA0DD3" w:rsidRDefault="005A6DCA" w:rsidP="005A6DCA">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Solicitan </w:t>
      </w:r>
      <w:r w:rsidR="008C6898">
        <w:rPr>
          <w:rFonts w:ascii="ITC Avant Garde" w:eastAsia="Avant Garde" w:hAnsi="ITC Avant Garde" w:cs="Avant Garde"/>
          <w:color w:val="000000"/>
          <w:lang w:eastAsia="es-MX"/>
        </w:rPr>
        <w:t xml:space="preserve">la eliminación del último párrafo de este numeral respecto a la pena convencional </w:t>
      </w:r>
      <w:r w:rsidR="0014683C">
        <w:rPr>
          <w:rFonts w:ascii="ITC Avant Garde" w:eastAsia="Avant Garde" w:hAnsi="ITC Avant Garde" w:cs="Avant Garde"/>
          <w:color w:val="000000"/>
          <w:lang w:eastAsia="es-MX"/>
        </w:rPr>
        <w:t xml:space="preserve">en caso de que el número de fallas reportadas por el Concesionario resulte en un porcentaje igual o mayor al 10% de eventos imputables a dicho concesionario, </w:t>
      </w:r>
      <w:r w:rsidR="008C6898">
        <w:rPr>
          <w:rFonts w:ascii="ITC Avant Garde" w:eastAsia="Avant Garde" w:hAnsi="ITC Avant Garde" w:cs="Avant Garde"/>
          <w:color w:val="000000"/>
          <w:lang w:eastAsia="es-MX"/>
        </w:rPr>
        <w:t>por considerarlo excesivo, unilateral y arbitrario ya que Telcel es quien califica los reportes de falla.</w:t>
      </w:r>
      <w:r w:rsidR="00774BC4">
        <w:rPr>
          <w:rFonts w:ascii="ITC Avant Garde" w:eastAsia="Avant Garde" w:hAnsi="ITC Avant Garde" w:cs="Avant Garde"/>
          <w:color w:val="000000"/>
          <w:lang w:eastAsia="es-MX"/>
        </w:rPr>
        <w:t xml:space="preserve"> Además, AT&amp;T señala que Telcel envía su tráfico por medio del servicio de tránsito de Telmex, por lo cual no es posible determinar el origen de una falla si esta no es reportada por ambos operadores de manera simultánea.</w:t>
      </w:r>
    </w:p>
    <w:p w14:paraId="05C4F939" w14:textId="77777777" w:rsidR="00C361D8" w:rsidRPr="0053503B" w:rsidRDefault="00C361D8" w:rsidP="00C361D8">
      <w:pPr>
        <w:spacing w:line="276" w:lineRule="auto"/>
        <w:rPr>
          <w:rFonts w:ascii="ITC Avant Garde" w:hAnsi="ITC Avant Garde"/>
          <w:b/>
        </w:rPr>
      </w:pPr>
      <w:r w:rsidRPr="0053503B">
        <w:rPr>
          <w:rFonts w:ascii="ITC Avant Garde" w:hAnsi="ITC Avant Garde"/>
          <w:b/>
        </w:rPr>
        <w:lastRenderedPageBreak/>
        <w:t xml:space="preserve">Consideraciones del Instituto </w:t>
      </w:r>
    </w:p>
    <w:p w14:paraId="67553A69" w14:textId="5043F282" w:rsidR="005D5169" w:rsidRDefault="00C361D8" w:rsidP="005D5169">
      <w:pPr>
        <w:spacing w:line="276" w:lineRule="auto"/>
        <w:rPr>
          <w:rFonts w:ascii="ITC Avant Garde" w:eastAsia="Avant Garde" w:hAnsi="ITC Avant Garde" w:cs="Avant Garde"/>
          <w:color w:val="000000"/>
          <w:lang w:eastAsia="es-MX"/>
        </w:rPr>
      </w:pPr>
      <w:r w:rsidRPr="00C361D8">
        <w:rPr>
          <w:rFonts w:ascii="ITC Avant Garde" w:eastAsia="Avant Garde" w:hAnsi="ITC Avant Garde" w:cs="Avant Garde"/>
          <w:color w:val="000000"/>
          <w:lang w:eastAsia="es-MX"/>
        </w:rPr>
        <w:t xml:space="preserve">Se </w:t>
      </w:r>
      <w:r w:rsidR="0014683C">
        <w:rPr>
          <w:rFonts w:ascii="ITC Avant Garde" w:eastAsia="Avant Garde" w:hAnsi="ITC Avant Garde" w:cs="Avant Garde"/>
          <w:color w:val="000000"/>
          <w:lang w:eastAsia="es-MX"/>
        </w:rPr>
        <w:t xml:space="preserve">eliminó la penalización </w:t>
      </w:r>
      <w:r w:rsidRPr="00C361D8">
        <w:rPr>
          <w:rFonts w:ascii="ITC Avant Garde" w:eastAsia="Avant Garde" w:hAnsi="ITC Avant Garde" w:cs="Avant Garde"/>
          <w:color w:val="000000"/>
          <w:lang w:eastAsia="es-MX"/>
        </w:rPr>
        <w:t>por reportes de fallas imputables al concesionario ya que</w:t>
      </w:r>
      <w:r w:rsidR="00930D74">
        <w:rPr>
          <w:rFonts w:ascii="ITC Avant Garde" w:eastAsia="Avant Garde" w:hAnsi="ITC Avant Garde" w:cs="Avant Garde"/>
          <w:color w:val="000000"/>
          <w:lang w:eastAsia="es-MX"/>
        </w:rPr>
        <w:t xml:space="preserve"> el servicio d</w:t>
      </w:r>
      <w:r w:rsidR="0014683C">
        <w:rPr>
          <w:rFonts w:ascii="ITC Avant Garde" w:eastAsia="Avant Garde" w:hAnsi="ITC Avant Garde" w:cs="Avant Garde"/>
          <w:color w:val="000000"/>
          <w:lang w:eastAsia="es-MX"/>
        </w:rPr>
        <w:t>e interconexión es recíproco por lo que las penalizaciones deben aplicarse a las partes que s</w:t>
      </w:r>
      <w:r w:rsidR="005D5169">
        <w:rPr>
          <w:rFonts w:ascii="ITC Avant Garde" w:eastAsia="Avant Garde" w:hAnsi="ITC Avant Garde" w:cs="Avant Garde"/>
          <w:color w:val="000000"/>
          <w:lang w:eastAsia="es-MX"/>
        </w:rPr>
        <w:t>uscriben el Convenio.</w:t>
      </w:r>
    </w:p>
    <w:p w14:paraId="5838A1B2" w14:textId="77777777" w:rsidR="00FE2CD0" w:rsidRDefault="00FE2CD0" w:rsidP="00FE2CD0">
      <w:pPr>
        <w:pStyle w:val="IFT1"/>
        <w:tabs>
          <w:tab w:val="left" w:pos="426"/>
        </w:tabs>
        <w:spacing w:after="0"/>
        <w:ind w:left="567" w:right="618"/>
        <w:rPr>
          <w:bCs/>
          <w:i/>
          <w:sz w:val="18"/>
          <w:szCs w:val="18"/>
        </w:rPr>
      </w:pPr>
      <w:r>
        <w:rPr>
          <w:bCs/>
          <w:i/>
          <w:sz w:val="18"/>
          <w:szCs w:val="18"/>
        </w:rPr>
        <w:t>“</w:t>
      </w:r>
      <w:r w:rsidRPr="006B770D">
        <w:rPr>
          <w:bCs/>
          <w:i/>
          <w:sz w:val="18"/>
          <w:szCs w:val="18"/>
        </w:rPr>
        <w:t>3.1 Atención de Fallas.</w:t>
      </w:r>
    </w:p>
    <w:p w14:paraId="0F9FFE1D" w14:textId="77777777" w:rsidR="00FE2CD0" w:rsidRPr="006B770D" w:rsidRDefault="00FE2CD0" w:rsidP="00FE2CD0">
      <w:pPr>
        <w:pStyle w:val="IFT1"/>
        <w:tabs>
          <w:tab w:val="left" w:pos="426"/>
        </w:tabs>
        <w:spacing w:after="0"/>
        <w:ind w:left="567" w:right="618"/>
        <w:rPr>
          <w:bCs/>
          <w:i/>
          <w:sz w:val="18"/>
          <w:szCs w:val="18"/>
        </w:rPr>
      </w:pPr>
      <w:r>
        <w:rPr>
          <w:bCs/>
          <w:i/>
          <w:sz w:val="18"/>
          <w:szCs w:val="18"/>
        </w:rPr>
        <w:t>(…)</w:t>
      </w:r>
    </w:p>
    <w:p w14:paraId="07E446DA" w14:textId="77777777" w:rsidR="00FE2CD0" w:rsidRPr="006B770D" w:rsidRDefault="00FE2CD0" w:rsidP="00FE2CD0">
      <w:pPr>
        <w:pStyle w:val="IFT1"/>
        <w:tabs>
          <w:tab w:val="left" w:pos="426"/>
        </w:tabs>
        <w:spacing w:after="0"/>
        <w:ind w:left="567" w:right="618"/>
        <w:rPr>
          <w:bCs/>
          <w:i/>
          <w:sz w:val="18"/>
          <w:szCs w:val="18"/>
        </w:rPr>
      </w:pPr>
      <w:r w:rsidRPr="006B770D">
        <w:rPr>
          <w:bCs/>
          <w:i/>
          <w:sz w:val="18"/>
          <w:szCs w:val="18"/>
        </w:rPr>
        <w:t>Es necesario que los reportes de falla realizados por parte del CONCESIONARIO se realicen una vez que éste hubiere ejecutado un análisis de falla al interior de su red, generando la información técnica que enfoque el análisis de la falla hacia la red de TELCEL.</w:t>
      </w:r>
    </w:p>
    <w:p w14:paraId="5B7EC208" w14:textId="77777777" w:rsidR="00FE2CD0" w:rsidRDefault="00FE2CD0" w:rsidP="00FE2CD0">
      <w:pPr>
        <w:pStyle w:val="IFT1"/>
        <w:tabs>
          <w:tab w:val="left" w:pos="426"/>
        </w:tabs>
        <w:spacing w:after="0"/>
        <w:ind w:left="567" w:right="618"/>
        <w:rPr>
          <w:bCs/>
          <w:i/>
          <w:sz w:val="18"/>
          <w:szCs w:val="18"/>
        </w:rPr>
      </w:pPr>
      <w:r w:rsidRPr="006B770D">
        <w:rPr>
          <w:bCs/>
          <w:i/>
          <w:strike/>
          <w:sz w:val="18"/>
          <w:szCs w:val="18"/>
        </w:rPr>
        <w:t>Si el número de fallas reportadas por el CONCESIONARIO en un periodo de 30 (treinta) días naturales resulta en un porcentaje igual o superior al 10% (diez por ciento) de eventos imputables al propio CONCESIONARIO TELCEL estará facultado para aplicar una pena convencional correspondiente a dichos reportes realizados sin análisis previo por parte del CONCESIONARIO, penalidad que equivaldrá al 5% (cinco por ciento) de los consumos por servicios de interconexión del mes del que se trate.</w:t>
      </w:r>
      <w:r>
        <w:rPr>
          <w:bCs/>
          <w:i/>
          <w:sz w:val="18"/>
          <w:szCs w:val="18"/>
        </w:rPr>
        <w:t>”</w:t>
      </w:r>
    </w:p>
    <w:p w14:paraId="28E68686" w14:textId="77777777" w:rsidR="00FE2CD0" w:rsidRPr="006B770D" w:rsidRDefault="00FE2CD0" w:rsidP="00FE2CD0">
      <w:pPr>
        <w:pStyle w:val="IFT1"/>
        <w:tabs>
          <w:tab w:val="left" w:pos="426"/>
        </w:tabs>
        <w:spacing w:before="240" w:after="0"/>
        <w:ind w:left="567" w:right="616"/>
        <w:jc w:val="right"/>
        <w:rPr>
          <w:bCs/>
          <w:i/>
          <w:sz w:val="18"/>
          <w:szCs w:val="18"/>
        </w:rPr>
      </w:pPr>
      <w:r>
        <w:rPr>
          <w:bCs/>
          <w:i/>
          <w:sz w:val="18"/>
          <w:szCs w:val="18"/>
        </w:rPr>
        <w:t>(Énfasis añadido)</w:t>
      </w:r>
    </w:p>
    <w:p w14:paraId="357B24B9" w14:textId="77777777" w:rsidR="00FE2CD0" w:rsidRDefault="00FE2CD0" w:rsidP="00336F2A">
      <w:pPr>
        <w:spacing w:after="0" w:line="276" w:lineRule="auto"/>
        <w:rPr>
          <w:rFonts w:ascii="ITC Avant Garde" w:eastAsia="Avant Garde" w:hAnsi="ITC Avant Garde" w:cs="Avant Garde"/>
          <w:b/>
          <w:color w:val="000000"/>
          <w:u w:val="single"/>
          <w:lang w:eastAsia="es-MX"/>
        </w:rPr>
      </w:pPr>
    </w:p>
    <w:p w14:paraId="1E2424AB" w14:textId="1CFD1E2B" w:rsidR="002F2A6B" w:rsidRPr="002A1E28" w:rsidRDefault="00AE7499" w:rsidP="00421913">
      <w:pPr>
        <w:spacing w:line="276" w:lineRule="auto"/>
        <w:rPr>
          <w:rFonts w:ascii="ITC Avant Garde" w:eastAsia="Avant Garde" w:hAnsi="ITC Avant Garde" w:cs="Avant Garde"/>
          <w:b/>
          <w:color w:val="000000"/>
          <w:sz w:val="24"/>
          <w:szCs w:val="24"/>
          <w:u w:val="single"/>
          <w:lang w:eastAsia="es-MX"/>
        </w:rPr>
      </w:pPr>
      <w:r w:rsidRPr="002A1E28">
        <w:rPr>
          <w:rFonts w:ascii="ITC Avant Garde" w:eastAsia="Avant Garde" w:hAnsi="ITC Avant Garde" w:cs="Avant Garde"/>
          <w:b/>
          <w:color w:val="000000"/>
          <w:sz w:val="24"/>
          <w:szCs w:val="24"/>
          <w:u w:val="single"/>
          <w:lang w:eastAsia="es-MX"/>
        </w:rPr>
        <w:t>Anexo G</w:t>
      </w:r>
      <w:r w:rsidR="002F2A6B" w:rsidRPr="002A1E28">
        <w:rPr>
          <w:rFonts w:ascii="ITC Avant Garde" w:eastAsia="Avant Garde" w:hAnsi="ITC Avant Garde" w:cs="Avant Garde"/>
          <w:b/>
          <w:color w:val="000000"/>
          <w:sz w:val="24"/>
          <w:szCs w:val="24"/>
          <w:u w:val="single"/>
          <w:lang w:eastAsia="es-MX"/>
        </w:rPr>
        <w:t>. Servicio de Intercambio Electrónico de Mensajes Cortos (SIEMC)</w:t>
      </w:r>
    </w:p>
    <w:p w14:paraId="12277947" w14:textId="78152D45" w:rsidR="00AE7499" w:rsidRPr="0053503B" w:rsidRDefault="00AE7499"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 Y TELEFÓNICA</w:t>
      </w:r>
    </w:p>
    <w:p w14:paraId="0F644DFF" w14:textId="406CB9A6" w:rsidR="00AE7499" w:rsidRPr="0053503B" w:rsidRDefault="00941743"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Solicitan que se adicione una cláusula</w:t>
      </w:r>
      <w:r w:rsidR="00DC7851" w:rsidRPr="0053503B">
        <w:rPr>
          <w:rFonts w:ascii="ITC Avant Garde" w:eastAsia="Avant Garde" w:hAnsi="ITC Avant Garde" w:cs="Avant Garde"/>
          <w:color w:val="000000"/>
          <w:lang w:eastAsia="es-MX"/>
        </w:rPr>
        <w:t xml:space="preserve"> de con</w:t>
      </w:r>
      <w:r w:rsidR="00733E69" w:rsidRPr="0053503B">
        <w:rPr>
          <w:rFonts w:ascii="ITC Avant Garde" w:eastAsia="Avant Garde" w:hAnsi="ITC Avant Garde" w:cs="Avant Garde"/>
          <w:color w:val="000000"/>
          <w:lang w:eastAsia="es-MX"/>
        </w:rPr>
        <w:t>fidencialidad en el Anexo G.</w:t>
      </w:r>
    </w:p>
    <w:p w14:paraId="451A1D1D" w14:textId="77777777" w:rsidR="00733E69" w:rsidRPr="0053503B" w:rsidRDefault="00733E69" w:rsidP="00421913">
      <w:pPr>
        <w:spacing w:line="276" w:lineRule="auto"/>
        <w:rPr>
          <w:rFonts w:ascii="ITC Avant Garde" w:hAnsi="ITC Avant Garde"/>
          <w:b/>
        </w:rPr>
      </w:pPr>
      <w:r w:rsidRPr="0053503B">
        <w:rPr>
          <w:rFonts w:ascii="ITC Avant Garde" w:hAnsi="ITC Avant Garde"/>
          <w:b/>
        </w:rPr>
        <w:t xml:space="preserve">Consideraciones del Instituto </w:t>
      </w:r>
    </w:p>
    <w:p w14:paraId="0A6B69D7" w14:textId="07A30395" w:rsidR="00DB7A54" w:rsidRPr="001E52EC" w:rsidRDefault="00C768BE" w:rsidP="001E52EC">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w:t>
      </w:r>
      <w:r w:rsidR="00E702EB" w:rsidRPr="0053503B">
        <w:rPr>
          <w:rFonts w:ascii="ITC Avant Garde" w:eastAsia="Avant Garde" w:hAnsi="ITC Avant Garde" w:cs="Avant Garde"/>
          <w:color w:val="000000"/>
          <w:lang w:eastAsia="es-MX"/>
        </w:rPr>
        <w:t>Cláusula Tercera “Intercambio de Información”</w:t>
      </w:r>
      <w:r>
        <w:rPr>
          <w:rFonts w:ascii="ITC Avant Garde" w:eastAsia="Avant Garde" w:hAnsi="ITC Avant Garde" w:cs="Avant Garde"/>
          <w:color w:val="000000"/>
          <w:lang w:eastAsia="es-MX"/>
        </w:rPr>
        <w:t xml:space="preserve"> del CMI establece el manejo y los criterios para el intercambio de información entre las partes, así como la confidencialidad de la misma. En este sentido, al ser el Anexo G parte integrante del CMI dicha condición resulta aplicable.</w:t>
      </w:r>
    </w:p>
    <w:p w14:paraId="0CD00DDE" w14:textId="405B03A0" w:rsidR="00F50066" w:rsidRPr="004F3303" w:rsidRDefault="00F50066" w:rsidP="00F50066">
      <w:pPr>
        <w:spacing w:line="240" w:lineRule="auto"/>
        <w:rPr>
          <w:rFonts w:ascii="ITC Avant Garde" w:eastAsia="Avant Garde" w:hAnsi="ITC Avant Garde" w:cs="Avant Garde"/>
          <w:b/>
          <w:color w:val="000000"/>
          <w:lang w:eastAsia="es-MX"/>
        </w:rPr>
      </w:pPr>
      <w:r w:rsidRPr="00C8595F">
        <w:rPr>
          <w:rFonts w:ascii="ITC Avant Garde" w:eastAsia="Avant Garde" w:hAnsi="ITC Avant Garde" w:cs="Avant Garde"/>
          <w:b/>
          <w:color w:val="000000"/>
          <w:lang w:eastAsia="es-MX"/>
        </w:rPr>
        <w:t xml:space="preserve">Cláusula </w:t>
      </w:r>
      <w:r w:rsidR="001E52EC">
        <w:rPr>
          <w:rFonts w:ascii="ITC Avant Garde" w:eastAsia="Avant Garde" w:hAnsi="ITC Avant Garde" w:cs="Avant Garde"/>
          <w:b/>
          <w:color w:val="000000"/>
          <w:lang w:eastAsia="es-MX"/>
        </w:rPr>
        <w:t>Décima</w:t>
      </w:r>
      <w:r w:rsidR="00971CDC">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Sexta. Suspensión Temporal del SIEMC</w:t>
      </w:r>
      <w:r w:rsidR="00971CDC">
        <w:rPr>
          <w:rFonts w:ascii="ITC Avant Garde" w:eastAsia="Avant Garde" w:hAnsi="ITC Avant Garde" w:cs="Avant Garde"/>
          <w:b/>
          <w:color w:val="000000"/>
          <w:lang w:eastAsia="es-MX"/>
        </w:rPr>
        <w:t>.</w:t>
      </w:r>
    </w:p>
    <w:p w14:paraId="24B0C5F5" w14:textId="77777777" w:rsidR="00F50066" w:rsidRPr="004F3303" w:rsidRDefault="00F50066" w:rsidP="00F50066">
      <w:pPr>
        <w:spacing w:line="240" w:lineRule="auto"/>
        <w:rPr>
          <w:rFonts w:ascii="ITC Avant Garde" w:eastAsia="Avant Garde" w:hAnsi="ITC Avant Garde" w:cs="Avant Garde"/>
          <w:b/>
          <w:color w:val="000000"/>
          <w:lang w:eastAsia="es-MX"/>
        </w:rPr>
      </w:pPr>
      <w:r w:rsidRPr="00A509F9">
        <w:rPr>
          <w:rFonts w:ascii="ITC Avant Garde" w:eastAsia="Avant Garde" w:hAnsi="ITC Avant Garde" w:cs="Avant Garde"/>
          <w:b/>
          <w:color w:val="000000"/>
          <w:lang w:eastAsia="es-MX"/>
        </w:rPr>
        <w:t>CANIETI, ALTÁN</w:t>
      </w:r>
    </w:p>
    <w:p w14:paraId="1B17C4BF" w14:textId="4DB71761" w:rsidR="00ED5E68" w:rsidRDefault="00ED280A" w:rsidP="00336F2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eliminar esta cláusula ya que permite a Telcel suspender la prestación del SIEMC con un criterio unilateral e impreciso, por lo cual dicha suspensión queda a discrecionalidad de Telcel.</w:t>
      </w:r>
    </w:p>
    <w:p w14:paraId="0408CE31" w14:textId="77777777" w:rsidR="006D4671" w:rsidRDefault="006D4671" w:rsidP="00336F2A">
      <w:pPr>
        <w:spacing w:after="0" w:line="276" w:lineRule="auto"/>
        <w:rPr>
          <w:rFonts w:ascii="ITC Avant Garde" w:eastAsia="Avant Garde" w:hAnsi="ITC Avant Garde" w:cs="Avant Garde"/>
          <w:color w:val="000000"/>
          <w:lang w:eastAsia="es-MX"/>
        </w:rPr>
      </w:pPr>
    </w:p>
    <w:p w14:paraId="6766473F" w14:textId="5B728AF7" w:rsidR="00DB7A54" w:rsidRPr="004F3303" w:rsidRDefault="00DB7A54" w:rsidP="00DB7A54">
      <w:pPr>
        <w:spacing w:line="240" w:lineRule="auto"/>
        <w:rPr>
          <w:rFonts w:ascii="ITC Avant Garde" w:eastAsia="Avant Garde" w:hAnsi="ITC Avant Garde" w:cs="Avant Garde"/>
          <w:b/>
          <w:color w:val="000000"/>
          <w:lang w:eastAsia="es-MX"/>
        </w:rPr>
      </w:pPr>
      <w:r w:rsidRPr="00C8595F">
        <w:rPr>
          <w:rFonts w:ascii="ITC Avant Garde" w:eastAsia="Avant Garde" w:hAnsi="ITC Avant Garde" w:cs="Avant Garde"/>
          <w:b/>
          <w:color w:val="000000"/>
          <w:lang w:eastAsia="es-MX"/>
        </w:rPr>
        <w:t xml:space="preserve">Cláusula </w:t>
      </w:r>
      <w:r w:rsidR="002A1E28">
        <w:rPr>
          <w:rFonts w:ascii="ITC Avant Garde" w:eastAsia="Avant Garde" w:hAnsi="ITC Avant Garde" w:cs="Avant Garde"/>
          <w:b/>
          <w:color w:val="000000"/>
          <w:lang w:eastAsia="es-MX"/>
        </w:rPr>
        <w:t>Décima</w:t>
      </w:r>
      <w:r>
        <w:rPr>
          <w:rFonts w:ascii="ITC Avant Garde" w:eastAsia="Avant Garde" w:hAnsi="ITC Avant Garde" w:cs="Avant Garde"/>
          <w:b/>
          <w:color w:val="000000"/>
          <w:lang w:eastAsia="es-MX"/>
        </w:rPr>
        <w:t xml:space="preserve"> Séptima. Causas de Rescisión.</w:t>
      </w:r>
    </w:p>
    <w:p w14:paraId="59C82409" w14:textId="77777777" w:rsidR="00DB7A54" w:rsidRPr="004F3303" w:rsidRDefault="00DB7A54" w:rsidP="00DB7A54">
      <w:pPr>
        <w:spacing w:line="240" w:lineRule="auto"/>
        <w:rPr>
          <w:rFonts w:ascii="ITC Avant Garde" w:eastAsia="Avant Garde" w:hAnsi="ITC Avant Garde" w:cs="Avant Garde"/>
          <w:b/>
          <w:color w:val="000000"/>
          <w:lang w:eastAsia="es-MX"/>
        </w:rPr>
      </w:pPr>
      <w:r w:rsidRPr="00C84EAD">
        <w:rPr>
          <w:rFonts w:ascii="ITC Avant Garde" w:eastAsia="Avant Garde" w:hAnsi="ITC Avant Garde" w:cs="Avant Garde"/>
          <w:b/>
          <w:color w:val="000000"/>
          <w:lang w:eastAsia="es-MX"/>
        </w:rPr>
        <w:t>CANIETI, ALTÁN</w:t>
      </w:r>
    </w:p>
    <w:p w14:paraId="0D2B9D72" w14:textId="2DC92AB2" w:rsidR="00F50066" w:rsidRDefault="00DB7A54" w:rsidP="00336F2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Solicitan eliminar</w:t>
      </w:r>
      <w:r w:rsidR="00A509F9">
        <w:rPr>
          <w:rFonts w:ascii="ITC Avant Garde" w:eastAsia="Avant Garde" w:hAnsi="ITC Avant Garde" w:cs="Avant Garde"/>
          <w:color w:val="000000"/>
          <w:lang w:eastAsia="es-MX"/>
        </w:rPr>
        <w:t xml:space="preserve"> o delimitar</w:t>
      </w:r>
      <w:r>
        <w:rPr>
          <w:rFonts w:ascii="ITC Avant Garde" w:eastAsia="Avant Garde" w:hAnsi="ITC Avant Garde" w:cs="Avant Garde"/>
          <w:color w:val="000000"/>
          <w:lang w:eastAsia="es-MX"/>
        </w:rPr>
        <w:t xml:space="preserve"> esta cláusula ya que </w:t>
      </w:r>
      <w:r w:rsidR="00A509F9">
        <w:rPr>
          <w:rFonts w:ascii="ITC Avant Garde" w:eastAsia="Avant Garde" w:hAnsi="ITC Avant Garde" w:cs="Avant Garde"/>
          <w:color w:val="000000"/>
          <w:lang w:eastAsia="es-MX"/>
        </w:rPr>
        <w:t>establece causales de rescisión discrecionales y arbitrarias en favor de Telcel, en perjuicio del concesionario solicitante.</w:t>
      </w:r>
    </w:p>
    <w:p w14:paraId="1977C06A" w14:textId="77777777" w:rsidR="002A1E28" w:rsidRDefault="002A1E28" w:rsidP="00336F2A">
      <w:pPr>
        <w:spacing w:after="0" w:line="276" w:lineRule="auto"/>
        <w:rPr>
          <w:rFonts w:ascii="ITC Avant Garde" w:eastAsia="Avant Garde" w:hAnsi="ITC Avant Garde" w:cs="Avant Garde"/>
          <w:color w:val="000000"/>
          <w:lang w:eastAsia="es-MX"/>
        </w:rPr>
      </w:pPr>
    </w:p>
    <w:p w14:paraId="49F5E29F" w14:textId="2458BC4F" w:rsidR="00634CDC" w:rsidRPr="004F3303" w:rsidRDefault="00634CDC" w:rsidP="00634CDC">
      <w:pPr>
        <w:spacing w:line="240"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72BCA43E" w14:textId="17039E17" w:rsidR="00634CDC" w:rsidRDefault="00634CDC" w:rsidP="00336F2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precisar que la recisión solamente</w:t>
      </w:r>
      <w:r w:rsidR="004957F8">
        <w:rPr>
          <w:rFonts w:ascii="ITC Avant Garde" w:eastAsia="Avant Garde" w:hAnsi="ITC Avant Garde" w:cs="Avant Garde"/>
          <w:color w:val="000000"/>
          <w:lang w:eastAsia="es-MX"/>
        </w:rPr>
        <w:t xml:space="preserve"> será</w:t>
      </w:r>
      <w:r>
        <w:rPr>
          <w:rFonts w:ascii="ITC Avant Garde" w:eastAsia="Avant Garde" w:hAnsi="ITC Avant Garde" w:cs="Avant Garde"/>
          <w:color w:val="000000"/>
          <w:lang w:eastAsia="es-MX"/>
        </w:rPr>
        <w:t xml:space="preserve"> posible previa autorización del Instituto y siempre que se haya determinado un plan de actuación para los usuarios finales ya que, si bien la cláusula es recíproca, los efectos de la recisión generalmente son mayores para el operador más pequeño porque priva a su</w:t>
      </w:r>
      <w:r w:rsidR="004957F8">
        <w:rPr>
          <w:rFonts w:ascii="ITC Avant Garde" w:eastAsia="Avant Garde" w:hAnsi="ITC Avant Garde" w:cs="Avant Garde"/>
          <w:color w:val="000000"/>
          <w:lang w:eastAsia="es-MX"/>
        </w:rPr>
        <w:t>s usuarios del acceso a la</w:t>
      </w:r>
      <w:r>
        <w:rPr>
          <w:rFonts w:ascii="ITC Avant Garde" w:eastAsia="Avant Garde" w:hAnsi="ITC Avant Garde" w:cs="Avant Garde"/>
          <w:color w:val="000000"/>
          <w:lang w:eastAsia="es-MX"/>
        </w:rPr>
        <w:t xml:space="preserve"> base de usuarios mucho mayor del AEP. </w:t>
      </w:r>
    </w:p>
    <w:p w14:paraId="0D89C3B3" w14:textId="77777777" w:rsidR="00634CDC" w:rsidRDefault="00634CDC" w:rsidP="00336F2A">
      <w:pPr>
        <w:spacing w:after="0" w:line="276" w:lineRule="auto"/>
        <w:rPr>
          <w:rFonts w:ascii="ITC Avant Garde" w:hAnsi="ITC Avant Garde"/>
          <w:b/>
        </w:rPr>
      </w:pPr>
    </w:p>
    <w:p w14:paraId="6A51B359" w14:textId="4A67DCAD" w:rsidR="002F0022" w:rsidRPr="0053503B" w:rsidRDefault="002F0022" w:rsidP="002F0022">
      <w:pPr>
        <w:spacing w:line="276" w:lineRule="auto"/>
        <w:rPr>
          <w:rFonts w:ascii="ITC Avant Garde" w:hAnsi="ITC Avant Garde"/>
          <w:b/>
        </w:rPr>
      </w:pPr>
      <w:r w:rsidRPr="0053503B">
        <w:rPr>
          <w:rFonts w:ascii="ITC Avant Garde" w:hAnsi="ITC Avant Garde"/>
          <w:b/>
        </w:rPr>
        <w:t xml:space="preserve">Consideraciones del Instituto </w:t>
      </w:r>
    </w:p>
    <w:p w14:paraId="6A59ED51" w14:textId="6E4E2F71" w:rsidR="00B22686" w:rsidRDefault="00B22686" w:rsidP="00FC004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Dado que el Anexo G es parte integrante del CMI, se eliminaron las cláusulas Sexta y Séptima ya que las causales de rescisión a las que se encuentra sujeto el servicio de mensajes cortos se encuentran contenidas en la cláusula Decimoquinta del Convenio. </w:t>
      </w:r>
    </w:p>
    <w:p w14:paraId="06F1DF15" w14:textId="487EFFB5" w:rsidR="00A509F9" w:rsidRDefault="00A509F9" w:rsidP="00336F2A">
      <w:pPr>
        <w:spacing w:after="0" w:line="276" w:lineRule="auto"/>
        <w:rPr>
          <w:rFonts w:ascii="ITC Avant Garde" w:eastAsia="Avant Garde" w:hAnsi="ITC Avant Garde" w:cs="Avant Garde"/>
          <w:b/>
          <w:color w:val="000000"/>
          <w:u w:val="single"/>
          <w:lang w:eastAsia="es-MX"/>
        </w:rPr>
      </w:pPr>
    </w:p>
    <w:p w14:paraId="23383EC8" w14:textId="72860918" w:rsidR="00AE7499" w:rsidRPr="00782C23" w:rsidRDefault="002F2A6B" w:rsidP="00421913">
      <w:pPr>
        <w:spacing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“A”. Acuerdo Técnico.</w:t>
      </w:r>
    </w:p>
    <w:p w14:paraId="32CCDA23" w14:textId="77777777" w:rsidR="007329BA" w:rsidRDefault="00096169" w:rsidP="007329BA">
      <w:pPr>
        <w:spacing w:line="276" w:lineRule="auto"/>
        <w:rPr>
          <w:rFonts w:ascii="ITC Avant Garde" w:eastAsia="Avant Garde" w:hAnsi="ITC Avant Garde" w:cs="Avant Garde"/>
          <w:b/>
          <w:color w:val="000000"/>
          <w:lang w:eastAsia="es-MX"/>
        </w:rPr>
      </w:pPr>
      <w:r w:rsidRPr="00AF6168">
        <w:rPr>
          <w:rFonts w:ascii="ITC Avant Garde" w:eastAsia="Avant Garde" w:hAnsi="ITC Avant Garde" w:cs="Avant Garde"/>
          <w:b/>
          <w:color w:val="000000"/>
          <w:lang w:eastAsia="es-MX"/>
        </w:rPr>
        <w:t>Cláusula Tercera</w:t>
      </w:r>
      <w:r w:rsidR="00AF6168" w:rsidRPr="00AF6168">
        <w:rPr>
          <w:rFonts w:ascii="ITC Avant Garde" w:eastAsia="Avant Garde" w:hAnsi="ITC Avant Garde" w:cs="Avant Garde"/>
          <w:b/>
          <w:color w:val="000000"/>
          <w:lang w:eastAsia="es-MX"/>
        </w:rPr>
        <w:t>. Diagramas de Conexión</w:t>
      </w:r>
    </w:p>
    <w:p w14:paraId="2C936416" w14:textId="3BEDF495" w:rsidR="007329BA" w:rsidRPr="007329BA" w:rsidRDefault="007329BA" w:rsidP="007329BA">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p>
    <w:p w14:paraId="2D735831" w14:textId="77777777" w:rsidR="007329BA" w:rsidRPr="00DF63FC" w:rsidRDefault="007329BA" w:rsidP="007329BA">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Señalan que la interconexión Directa se debe realizar a través de enlaces dedicados o a través de una VPN (</w:t>
      </w:r>
      <w:r w:rsidRPr="0053503B">
        <w:rPr>
          <w:rFonts w:ascii="ITC Avant Garde" w:eastAsia="Avant Garde" w:hAnsi="ITC Avant Garde" w:cs="Avant Garde"/>
          <w:i/>
          <w:color w:val="000000"/>
          <w:lang w:eastAsia="es-MX"/>
        </w:rPr>
        <w:t>Virtual Private Network</w:t>
      </w:r>
      <w:r w:rsidRPr="0053503B">
        <w:rPr>
          <w:rFonts w:ascii="ITC Avant Garde" w:eastAsia="Avant Garde" w:hAnsi="ITC Avant Garde" w:cs="Avant Garde"/>
          <w:color w:val="000000"/>
          <w:lang w:eastAsia="es-MX"/>
        </w:rPr>
        <w:t xml:space="preserve"> por sus siglas en inglés) de acuerdo al volumen de tráfico intercambiado y cumpliendo con las obligaciones en materia de calidad del servicio,</w:t>
      </w:r>
      <w:r>
        <w:rPr>
          <w:rFonts w:ascii="ITC Avant Garde" w:eastAsia="Avant Garde" w:hAnsi="ITC Avant Garde" w:cs="Avant Garde"/>
          <w:color w:val="000000"/>
          <w:lang w:eastAsia="es-MX"/>
        </w:rPr>
        <w:t xml:space="preserve"> ya que, e</w:t>
      </w:r>
      <w:r w:rsidRPr="00DF63FC">
        <w:rPr>
          <w:rFonts w:ascii="ITC Avant Garde" w:eastAsia="Avant Garde" w:hAnsi="ITC Avant Garde" w:cs="Avant Garde"/>
          <w:color w:val="000000"/>
          <w:lang w:eastAsia="es-MX"/>
        </w:rPr>
        <w:t xml:space="preserve">l considerar que la interconexión directa sea exclusivamente a través de enlaces dedicados, </w:t>
      </w:r>
      <w:r>
        <w:rPr>
          <w:rFonts w:ascii="ITC Avant Garde" w:eastAsia="Avant Garde" w:hAnsi="ITC Avant Garde" w:cs="Avant Garde"/>
          <w:color w:val="000000"/>
          <w:lang w:eastAsia="es-MX"/>
        </w:rPr>
        <w:t xml:space="preserve">comentan </w:t>
      </w:r>
      <w:r w:rsidRPr="00DF63FC">
        <w:rPr>
          <w:rFonts w:ascii="ITC Avant Garde" w:eastAsia="Avant Garde" w:hAnsi="ITC Avant Garde" w:cs="Avant Garde"/>
          <w:color w:val="000000"/>
          <w:lang w:eastAsia="es-MX"/>
        </w:rPr>
        <w:t>afecta a concesionarios entrantes que aún no cuentan con volúmenes de tráfico que justifiquen técnica y económicamente la construcción de enla</w:t>
      </w:r>
      <w:r>
        <w:rPr>
          <w:rFonts w:ascii="ITC Avant Garde" w:eastAsia="Avant Garde" w:hAnsi="ITC Avant Garde" w:cs="Avant Garde"/>
          <w:color w:val="000000"/>
          <w:lang w:eastAsia="es-MX"/>
        </w:rPr>
        <w:t>ces dedicados entre ambas redes,</w:t>
      </w:r>
      <w:r w:rsidRPr="0053503B">
        <w:rPr>
          <w:rFonts w:ascii="ITC Avant Garde" w:eastAsia="Avant Garde" w:hAnsi="ITC Avant Garde" w:cs="Avant Garde"/>
          <w:color w:val="000000"/>
          <w:lang w:eastAsia="es-MX"/>
        </w:rPr>
        <w:t xml:space="preserve"> por lo cual solicitan </w:t>
      </w:r>
      <w:r>
        <w:rPr>
          <w:rFonts w:ascii="ITC Avant Garde" w:eastAsia="Avant Garde" w:hAnsi="ITC Avant Garde" w:cs="Avant Garde"/>
          <w:color w:val="000000"/>
          <w:lang w:eastAsia="es-MX"/>
        </w:rPr>
        <w:t>agregar un párrafo que permitiría el establecimiento de una VPN para el intercambio de tráfico hasta que el volumen de tráfico lo haga financieramente factible.</w:t>
      </w:r>
    </w:p>
    <w:p w14:paraId="3D0B0C1E" w14:textId="77777777" w:rsidR="007329BA" w:rsidRPr="0053503B" w:rsidRDefault="007329BA" w:rsidP="007329BA">
      <w:pPr>
        <w:spacing w:line="276" w:lineRule="auto"/>
        <w:rPr>
          <w:rFonts w:ascii="ITC Avant Garde" w:hAnsi="ITC Avant Garde"/>
          <w:b/>
        </w:rPr>
      </w:pPr>
      <w:r w:rsidRPr="0053503B">
        <w:rPr>
          <w:rFonts w:ascii="ITC Avant Garde" w:hAnsi="ITC Avant Garde"/>
          <w:b/>
        </w:rPr>
        <w:t xml:space="preserve">Consideraciones del Instituto </w:t>
      </w:r>
    </w:p>
    <w:p w14:paraId="6BDCBD34" w14:textId="77777777" w:rsidR="007329BA" w:rsidRPr="007B3745" w:rsidRDefault="007329BA" w:rsidP="007329BA">
      <w:pPr>
        <w:spacing w:line="276" w:lineRule="auto"/>
        <w:rPr>
          <w:rFonts w:ascii="ITC Avant Garde" w:hAnsi="ITC Avant Garde"/>
          <w:i/>
          <w:sz w:val="18"/>
          <w:szCs w:val="18"/>
        </w:rPr>
      </w:pPr>
      <w:r w:rsidRPr="007B3745">
        <w:rPr>
          <w:rFonts w:ascii="ITC Avant Garde" w:eastAsia="Avant Garde" w:hAnsi="ITC Avant Garde" w:cs="Avant Garde"/>
          <w:color w:val="000000"/>
          <w:lang w:eastAsia="es-MX"/>
        </w:rPr>
        <w:t xml:space="preserve">De conformidad con la Condición Quinta del </w:t>
      </w:r>
      <w:r w:rsidRPr="007B3745">
        <w:rPr>
          <w:rFonts w:ascii="ITC Avant Garde" w:eastAsia="Avant Garde" w:hAnsi="ITC Avant Garde" w:cs="Avant Garde"/>
          <w:i/>
          <w:color w:val="000000"/>
          <w:lang w:eastAsia="es-MX"/>
        </w:rPr>
        <w:t xml:space="preserve">“ACUERDO MEDIANTE EL CUAL EL PLENO DEL INSTITUTO FEDERAL DE TELECOMUNICACIONES ESTABLECE LAS CONDICIONES TECNICAS MINIMAS PARA LA INTERCONEXION ENTRE CONCESIONARIOS QUE OPEREN REDES PUBLICAS DE TELECOMUNICACIONES Y DETERMINA LAS TARIFAS DE INTERCONEXION RESULTADO DE LA METODOLOGIA </w:t>
      </w:r>
      <w:r w:rsidRPr="007B3745">
        <w:rPr>
          <w:rFonts w:ascii="ITC Avant Garde" w:eastAsia="Avant Garde" w:hAnsi="ITC Avant Garde" w:cs="Avant Garde"/>
          <w:i/>
          <w:color w:val="000000"/>
          <w:lang w:eastAsia="es-MX"/>
        </w:rPr>
        <w:lastRenderedPageBreak/>
        <w:t>PARA EL CALCULO DE COSTOS DE INTERCONEXION QUE ESTARAN VIGENTES DEL 1 DE ENERO AL 31 DE DICIEMBRE DE 2018”</w:t>
      </w:r>
      <w:r w:rsidRPr="007B3745">
        <w:rPr>
          <w:rFonts w:ascii="ITC Avant Garde" w:eastAsia="Avant Garde" w:hAnsi="ITC Avant Garde" w:cs="Avant Garde"/>
          <w:color w:val="000000"/>
          <w:lang w:eastAsia="es-MX"/>
        </w:rPr>
        <w:t xml:space="preserve"> (en lo sucesivo, el “Acuerdo de CTM”), que dispone lo siguiente: </w:t>
      </w:r>
    </w:p>
    <w:p w14:paraId="0E5359B9" w14:textId="77777777" w:rsidR="007329BA" w:rsidRPr="00782C23" w:rsidRDefault="007329BA" w:rsidP="007329BA">
      <w:pPr>
        <w:spacing w:after="0" w:line="276" w:lineRule="auto"/>
        <w:ind w:right="616" w:firstLine="556"/>
        <w:rPr>
          <w:rFonts w:ascii="ITC Avant Garde" w:hAnsi="ITC Avant Garde"/>
          <w:i/>
          <w:sz w:val="18"/>
          <w:szCs w:val="18"/>
        </w:rPr>
      </w:pPr>
      <w:r>
        <w:rPr>
          <w:rFonts w:ascii="ITC Avant Garde" w:hAnsi="ITC Avant Garde"/>
          <w:i/>
          <w:sz w:val="18"/>
          <w:szCs w:val="18"/>
        </w:rPr>
        <w:t xml:space="preserve"> “</w:t>
      </w:r>
      <w:r w:rsidRPr="00782C23">
        <w:rPr>
          <w:rFonts w:ascii="ITC Avant Garde" w:hAnsi="ITC Avant Garde"/>
          <w:i/>
          <w:sz w:val="18"/>
          <w:szCs w:val="18"/>
        </w:rPr>
        <w:t>(…)</w:t>
      </w:r>
    </w:p>
    <w:p w14:paraId="2EA5BBFD" w14:textId="77777777" w:rsidR="007329BA" w:rsidRPr="00782C23" w:rsidRDefault="007329BA" w:rsidP="007329BA">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 xml:space="preserve">Tratándose del servicio de mensajes cortos (SMS), la interconexión se llevará a cabo de manera directa, mediante el establecimiento de enlaces dedicados entre los concesionarios que intercambian tráfico. </w:t>
      </w:r>
    </w:p>
    <w:p w14:paraId="2729B214" w14:textId="77777777" w:rsidR="007329BA" w:rsidRPr="00782C23" w:rsidRDefault="007329BA" w:rsidP="007329BA">
      <w:pPr>
        <w:spacing w:after="0" w:line="276" w:lineRule="auto"/>
        <w:ind w:left="567" w:right="616" w:hanging="11"/>
        <w:rPr>
          <w:rFonts w:ascii="ITC Avant Garde" w:hAnsi="ITC Avant Garde"/>
          <w:i/>
          <w:sz w:val="18"/>
          <w:szCs w:val="18"/>
        </w:rPr>
      </w:pPr>
    </w:p>
    <w:p w14:paraId="05A16297" w14:textId="77777777" w:rsidR="007329BA" w:rsidRPr="00782C23" w:rsidRDefault="007329BA" w:rsidP="007329BA">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Los concesionarios podrán establecer otros esquemas de interconexión siempre que ello les permita llevar a cabo una efectiva y eficaz interconexión e interoperabilidad de sus redes públicas de telecomunicaciones.</w:t>
      </w:r>
    </w:p>
    <w:p w14:paraId="1B4FEC9C" w14:textId="77777777" w:rsidR="007329BA" w:rsidRPr="00782C23" w:rsidRDefault="007329BA" w:rsidP="007329BA">
      <w:pPr>
        <w:spacing w:after="0" w:line="276" w:lineRule="auto"/>
        <w:ind w:left="567" w:right="616" w:hanging="11"/>
        <w:rPr>
          <w:rFonts w:ascii="ITC Avant Garde" w:hAnsi="ITC Avant Garde"/>
          <w:i/>
          <w:sz w:val="18"/>
          <w:szCs w:val="18"/>
        </w:rPr>
      </w:pPr>
      <w:r w:rsidRPr="00782C23">
        <w:rPr>
          <w:rFonts w:ascii="ITC Avant Garde" w:hAnsi="ITC Avant Garde"/>
          <w:i/>
          <w:sz w:val="18"/>
          <w:szCs w:val="18"/>
        </w:rPr>
        <w:t>(…)”</w:t>
      </w:r>
    </w:p>
    <w:p w14:paraId="6434E786" w14:textId="77777777" w:rsidR="007329BA" w:rsidRPr="0053503B" w:rsidRDefault="007329BA" w:rsidP="007329BA">
      <w:pPr>
        <w:spacing w:after="0" w:line="276" w:lineRule="auto"/>
        <w:rPr>
          <w:rFonts w:ascii="ITC Avant Garde" w:eastAsia="Avant Garde" w:hAnsi="ITC Avant Garde" w:cs="Avant Garde"/>
          <w:color w:val="000000"/>
          <w:lang w:eastAsia="es-MX"/>
        </w:rPr>
      </w:pPr>
    </w:p>
    <w:p w14:paraId="5CA2EB20" w14:textId="77777777" w:rsidR="007329BA" w:rsidRPr="0053503B" w:rsidRDefault="007329BA" w:rsidP="007329BA">
      <w:pPr>
        <w:spacing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De lo cual, el intercambio de tráfico se deberá realizar mediante el establecimiento de enlaces dedicados punto a punto entre los concesionarios que intercambian tráfico, por lo que la utilización de una VPN se podrá realizar</w:t>
      </w:r>
      <w:r w:rsidRPr="00B85208">
        <w:rPr>
          <w:rFonts w:ascii="ITC Avant Garde" w:eastAsia="Avant Garde" w:hAnsi="ITC Avant Garde" w:cs="Avant Garde"/>
          <w:color w:val="000000"/>
          <w:lang w:eastAsia="es-MX"/>
        </w:rPr>
        <w:t xml:space="preserve"> de mutuo acuerdo </w:t>
      </w:r>
      <w:r>
        <w:rPr>
          <w:rFonts w:ascii="ITC Avant Garde" w:eastAsia="Avant Garde" w:hAnsi="ITC Avant Garde" w:cs="Avant Garde"/>
          <w:color w:val="000000"/>
          <w:lang w:eastAsia="es-MX"/>
        </w:rPr>
        <w:t xml:space="preserve">dichos concesionarios </w:t>
      </w:r>
      <w:r w:rsidRPr="00B85208">
        <w:rPr>
          <w:rFonts w:ascii="ITC Avant Garde" w:eastAsia="Avant Garde" w:hAnsi="ITC Avant Garde" w:cs="Avant Garde"/>
          <w:color w:val="000000"/>
          <w:lang w:eastAsia="es-MX"/>
        </w:rPr>
        <w:t>siempre que ello les permita llevar a cabo una efectiva y eficaz interconexión.</w:t>
      </w:r>
    </w:p>
    <w:p w14:paraId="55176221" w14:textId="6916A4BB" w:rsidR="003C509C" w:rsidRPr="0053503B" w:rsidRDefault="003C509C"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Cláusula Séptima. Enlace Dedicado (Clear Channel)</w:t>
      </w:r>
    </w:p>
    <w:p w14:paraId="1EB063F3" w14:textId="77777777" w:rsidR="003C509C" w:rsidRPr="0053503B" w:rsidRDefault="003C509C" w:rsidP="00421913">
      <w:pPr>
        <w:spacing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CANIETI, ALTÁN</w:t>
      </w:r>
    </w:p>
    <w:p w14:paraId="298A4DF1" w14:textId="2F032B3E" w:rsidR="003C509C" w:rsidRDefault="003C509C" w:rsidP="00421913">
      <w:pPr>
        <w:spacing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Señalan que la tecnología E1 (PDH) es obsoleta para cualquier operador entrante en el mercado, por lo cual solamente se deben considerar enlaces dedicados Ethernet. Asimismo, no se debe establecer una capacidad específica de 2 Mbps ya que el dimensionamiento del enlace debe ser en fun</w:t>
      </w:r>
      <w:r w:rsidR="004F664E" w:rsidRPr="0053503B">
        <w:rPr>
          <w:rFonts w:ascii="ITC Avant Garde" w:eastAsia="Avant Garde" w:hAnsi="ITC Avant Garde" w:cs="Avant Garde"/>
          <w:color w:val="000000"/>
          <w:lang w:eastAsia="es-MX"/>
        </w:rPr>
        <w:t>ción del tráfico intercambiado. Además, no se debe restringir la posibilidad del Concesiona</w:t>
      </w:r>
      <w:r w:rsidR="00312724">
        <w:rPr>
          <w:rFonts w:ascii="ITC Avant Garde" w:eastAsia="Avant Garde" w:hAnsi="ITC Avant Garde" w:cs="Avant Garde"/>
          <w:color w:val="000000"/>
          <w:lang w:eastAsia="es-MX"/>
        </w:rPr>
        <w:t>rio de utilizar enlaces propios, por lo cual proponen la siguiente modificación:</w:t>
      </w:r>
    </w:p>
    <w:p w14:paraId="279EAB03" w14:textId="05712D78" w:rsidR="00312724" w:rsidRDefault="00312724" w:rsidP="00312724">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312724">
        <w:rPr>
          <w:rFonts w:ascii="ITC Avant Garde" w:hAnsi="ITC Avant Garde"/>
          <w:i/>
          <w:sz w:val="18"/>
          <w:szCs w:val="18"/>
        </w:rPr>
        <w:t>Para efectos de lo establecido en el presente Acuerdo Técnico, las Partes acuerdan que la conexión se llevará a cabo mediante Enlaces Dedicados Ethernet. Cada una de las partes será responsable de los costos de su instalación y renta, así como cualquier otro que derive de los servicios asociados a éste.</w:t>
      </w:r>
      <w:r>
        <w:rPr>
          <w:rFonts w:ascii="ITC Avant Garde" w:hAnsi="ITC Avant Garde"/>
          <w:i/>
          <w:sz w:val="18"/>
          <w:szCs w:val="18"/>
        </w:rPr>
        <w:t>”</w:t>
      </w:r>
    </w:p>
    <w:p w14:paraId="7D9D9118" w14:textId="77D93AAA" w:rsidR="00312724" w:rsidRPr="00336F2A" w:rsidRDefault="00312724" w:rsidP="00336F2A">
      <w:pPr>
        <w:spacing w:after="0" w:line="276" w:lineRule="auto"/>
        <w:rPr>
          <w:rFonts w:ascii="ITC Avant Garde" w:eastAsia="Avant Garde" w:hAnsi="ITC Avant Garde" w:cs="Avant Garde"/>
          <w:color w:val="000000"/>
          <w:lang w:eastAsia="es-MX"/>
        </w:rPr>
      </w:pPr>
    </w:p>
    <w:p w14:paraId="724BBAD5" w14:textId="77777777" w:rsidR="004F664E" w:rsidRPr="0053503B" w:rsidRDefault="004F664E" w:rsidP="00421913">
      <w:pPr>
        <w:spacing w:line="276" w:lineRule="auto"/>
        <w:rPr>
          <w:rFonts w:ascii="ITC Avant Garde" w:hAnsi="ITC Avant Garde"/>
          <w:b/>
        </w:rPr>
      </w:pPr>
      <w:r w:rsidRPr="00D35D87">
        <w:rPr>
          <w:rFonts w:ascii="ITC Avant Garde" w:hAnsi="ITC Avant Garde"/>
          <w:b/>
        </w:rPr>
        <w:t>Consideraciones del Instituto</w:t>
      </w:r>
      <w:r w:rsidRPr="0053503B">
        <w:rPr>
          <w:rFonts w:ascii="ITC Avant Garde" w:hAnsi="ITC Avant Garde"/>
          <w:b/>
        </w:rPr>
        <w:t xml:space="preserve"> </w:t>
      </w:r>
    </w:p>
    <w:p w14:paraId="11312685" w14:textId="3D17D36B" w:rsidR="00345258" w:rsidRPr="00726258" w:rsidRDefault="007329BA" w:rsidP="00726258">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modificó</w:t>
      </w:r>
      <w:r w:rsidR="00345258" w:rsidRPr="00726258">
        <w:rPr>
          <w:rFonts w:ascii="ITC Avant Garde" w:eastAsia="Avant Garde" w:hAnsi="ITC Avant Garde" w:cs="Avant Garde"/>
          <w:color w:val="000000"/>
          <w:lang w:eastAsia="es-MX"/>
        </w:rPr>
        <w:t xml:space="preserve"> la condición séptima del Subanexo “A” </w:t>
      </w:r>
      <w:r>
        <w:rPr>
          <w:rFonts w:ascii="ITC Avant Garde" w:eastAsia="Avant Garde" w:hAnsi="ITC Avant Garde" w:cs="Avant Garde"/>
          <w:color w:val="000000"/>
          <w:lang w:eastAsia="es-MX"/>
        </w:rPr>
        <w:t xml:space="preserve">a efecto de </w:t>
      </w:r>
      <w:r w:rsidR="00A4234C" w:rsidRPr="00726258">
        <w:rPr>
          <w:rFonts w:ascii="ITC Avant Garde" w:eastAsia="Avant Garde" w:hAnsi="ITC Avant Garde" w:cs="Avant Garde"/>
          <w:color w:val="000000"/>
          <w:lang w:eastAsia="es-MX"/>
        </w:rPr>
        <w:t>precisa</w:t>
      </w:r>
      <w:r>
        <w:rPr>
          <w:rFonts w:ascii="ITC Avant Garde" w:eastAsia="Avant Garde" w:hAnsi="ITC Avant Garde" w:cs="Avant Garde"/>
          <w:color w:val="000000"/>
          <w:lang w:eastAsia="es-MX"/>
        </w:rPr>
        <w:t>r</w:t>
      </w:r>
      <w:r w:rsidR="00A4234C" w:rsidRPr="00726258">
        <w:rPr>
          <w:rFonts w:ascii="ITC Avant Garde" w:eastAsia="Avant Garde" w:hAnsi="ITC Avant Garde" w:cs="Avant Garde"/>
          <w:color w:val="000000"/>
          <w:lang w:eastAsia="es-MX"/>
        </w:rPr>
        <w:t xml:space="preserve"> </w:t>
      </w:r>
      <w:r w:rsidR="00345258" w:rsidRPr="00726258">
        <w:rPr>
          <w:rFonts w:ascii="ITC Avant Garde" w:eastAsia="Avant Garde" w:hAnsi="ITC Avant Garde" w:cs="Avant Garde"/>
          <w:color w:val="000000"/>
          <w:lang w:eastAsia="es-MX"/>
        </w:rPr>
        <w:t xml:space="preserve">que el enlace dedicado de transmisión para la interconexión del servicio de mensajes cortos podrá ser propio o arrendado: </w:t>
      </w:r>
    </w:p>
    <w:p w14:paraId="259F7BA2" w14:textId="77777777" w:rsidR="00345258" w:rsidRPr="00067867" w:rsidRDefault="00345258" w:rsidP="00345258">
      <w:pPr>
        <w:pStyle w:val="IFT1"/>
        <w:tabs>
          <w:tab w:val="left" w:pos="426"/>
        </w:tabs>
        <w:spacing w:before="240" w:after="0"/>
        <w:ind w:left="567" w:right="616"/>
        <w:rPr>
          <w:bCs/>
          <w:i/>
          <w:sz w:val="18"/>
          <w:szCs w:val="18"/>
        </w:rPr>
      </w:pPr>
      <w:r>
        <w:rPr>
          <w:bCs/>
          <w:i/>
          <w:sz w:val="18"/>
          <w:szCs w:val="18"/>
        </w:rPr>
        <w:t>“</w:t>
      </w:r>
      <w:r w:rsidRPr="00067867">
        <w:rPr>
          <w:bCs/>
          <w:i/>
          <w:sz w:val="18"/>
          <w:szCs w:val="18"/>
        </w:rPr>
        <w:t>SÉPTIMA.  ENLACE DEDICADO (CLEAR CHANNEL).</w:t>
      </w:r>
    </w:p>
    <w:p w14:paraId="29DD033F" w14:textId="77777777" w:rsidR="007329BA" w:rsidRDefault="007329BA" w:rsidP="007329BA">
      <w:pPr>
        <w:pStyle w:val="IFT1"/>
        <w:tabs>
          <w:tab w:val="left" w:pos="426"/>
        </w:tabs>
        <w:spacing w:after="0"/>
        <w:ind w:left="567" w:right="618"/>
        <w:rPr>
          <w:bCs/>
          <w:i/>
          <w:sz w:val="18"/>
          <w:szCs w:val="18"/>
        </w:rPr>
      </w:pPr>
    </w:p>
    <w:p w14:paraId="7256BBFB" w14:textId="66DC3B54" w:rsidR="00345258" w:rsidRDefault="00345258" w:rsidP="007329BA">
      <w:pPr>
        <w:pStyle w:val="IFT1"/>
        <w:tabs>
          <w:tab w:val="left" w:pos="426"/>
        </w:tabs>
        <w:spacing w:after="0"/>
        <w:ind w:left="567" w:right="618"/>
        <w:rPr>
          <w:bCs/>
          <w:i/>
          <w:sz w:val="18"/>
          <w:szCs w:val="18"/>
        </w:rPr>
      </w:pPr>
      <w:r w:rsidRPr="00067867">
        <w:rPr>
          <w:bCs/>
          <w:i/>
          <w:sz w:val="18"/>
          <w:szCs w:val="18"/>
        </w:rPr>
        <w:t xml:space="preserve">Para efectos de lo establecido en el presente Acuerdo Técnico, las Partes acuerdan que la conexión se llevará a cabo mediante Enlaces Dedicados E1 o Carrier Ethernet con </w:t>
      </w:r>
      <w:r w:rsidRPr="00067867">
        <w:rPr>
          <w:bCs/>
          <w:i/>
          <w:sz w:val="18"/>
          <w:szCs w:val="18"/>
        </w:rPr>
        <w:lastRenderedPageBreak/>
        <w:t>capacidad de 2 Mbps. Cada una de las partes</w:t>
      </w:r>
      <w:r>
        <w:rPr>
          <w:bCs/>
          <w:i/>
          <w:sz w:val="18"/>
          <w:szCs w:val="18"/>
        </w:rPr>
        <w:t xml:space="preserve"> </w:t>
      </w:r>
      <w:r w:rsidRPr="000F6FCB">
        <w:rPr>
          <w:bCs/>
          <w:i/>
          <w:strike/>
          <w:sz w:val="18"/>
          <w:szCs w:val="18"/>
        </w:rPr>
        <w:t>arrendará uno de los Enlaces a un tercero</w:t>
      </w:r>
      <w:r w:rsidRPr="00067867">
        <w:rPr>
          <w:bCs/>
          <w:i/>
          <w:sz w:val="18"/>
          <w:szCs w:val="18"/>
        </w:rPr>
        <w:t xml:space="preserve"> </w:t>
      </w:r>
      <w:r w:rsidRPr="000F6FCB">
        <w:rPr>
          <w:bCs/>
          <w:i/>
          <w:sz w:val="18"/>
          <w:szCs w:val="18"/>
          <w:u w:val="single"/>
        </w:rPr>
        <w:t>será responsable de uno de los Enlaces de Transmisión, los cuales podrán ser propios, arrendados del miembro del Agente Económico Preponderante que provea tal servicio (Telmex) o de un tercero,</w:t>
      </w:r>
      <w:r w:rsidRPr="00067867">
        <w:rPr>
          <w:bCs/>
          <w:i/>
          <w:sz w:val="18"/>
          <w:szCs w:val="18"/>
        </w:rPr>
        <w:t xml:space="preserve"> y será responsable de los costos de su instalación y renta, así como cualquier otro que derive de los servicios asociados a éste. Para la identificación de dichos Enlaces, se emplearán las referencias proporcionadas por el </w:t>
      </w:r>
      <w:r w:rsidRPr="000F6FCB">
        <w:rPr>
          <w:bCs/>
          <w:i/>
          <w:strike/>
          <w:sz w:val="18"/>
          <w:szCs w:val="18"/>
        </w:rPr>
        <w:t>tercero</w:t>
      </w:r>
      <w:r w:rsidRPr="00067867">
        <w:rPr>
          <w:bCs/>
          <w:i/>
          <w:sz w:val="18"/>
          <w:szCs w:val="18"/>
        </w:rPr>
        <w:t xml:space="preserve"> proveedor.</w:t>
      </w:r>
    </w:p>
    <w:p w14:paraId="04768CFD" w14:textId="77777777" w:rsidR="00345258" w:rsidRDefault="00345258" w:rsidP="007329BA">
      <w:pPr>
        <w:pStyle w:val="IFT1"/>
        <w:tabs>
          <w:tab w:val="left" w:pos="426"/>
        </w:tabs>
        <w:spacing w:after="0"/>
        <w:ind w:left="567" w:right="618"/>
        <w:rPr>
          <w:bCs/>
          <w:i/>
          <w:sz w:val="18"/>
          <w:szCs w:val="18"/>
        </w:rPr>
      </w:pPr>
      <w:r>
        <w:rPr>
          <w:bCs/>
          <w:i/>
          <w:sz w:val="18"/>
          <w:szCs w:val="18"/>
        </w:rPr>
        <w:t>(…)”</w:t>
      </w:r>
    </w:p>
    <w:p w14:paraId="530B82AD" w14:textId="3459D21B" w:rsidR="00345258" w:rsidRDefault="00345258" w:rsidP="007329BA">
      <w:pPr>
        <w:pStyle w:val="IFT1"/>
        <w:tabs>
          <w:tab w:val="left" w:pos="426"/>
        </w:tabs>
        <w:spacing w:after="0"/>
        <w:ind w:left="567" w:right="616"/>
        <w:jc w:val="right"/>
        <w:rPr>
          <w:bCs/>
          <w:i/>
          <w:sz w:val="18"/>
          <w:szCs w:val="18"/>
        </w:rPr>
      </w:pPr>
      <w:r>
        <w:rPr>
          <w:bCs/>
          <w:i/>
          <w:sz w:val="18"/>
          <w:szCs w:val="18"/>
        </w:rPr>
        <w:t>(Énfasis añadido)</w:t>
      </w:r>
    </w:p>
    <w:p w14:paraId="74DE1379" w14:textId="77777777" w:rsidR="007329BA" w:rsidRPr="00067867" w:rsidRDefault="007329BA" w:rsidP="007329BA">
      <w:pPr>
        <w:pStyle w:val="IFT1"/>
        <w:tabs>
          <w:tab w:val="left" w:pos="426"/>
        </w:tabs>
        <w:spacing w:after="0"/>
        <w:ind w:left="567" w:right="616"/>
        <w:jc w:val="right"/>
        <w:rPr>
          <w:bCs/>
          <w:i/>
          <w:sz w:val="18"/>
          <w:szCs w:val="18"/>
        </w:rPr>
      </w:pPr>
    </w:p>
    <w:p w14:paraId="6F1D3BB1" w14:textId="5E4F6E6B" w:rsidR="007329BA" w:rsidRDefault="00160D5F" w:rsidP="007329BA">
      <w:pPr>
        <w:spacing w:after="0" w:line="276" w:lineRule="auto"/>
        <w:ind w:left="-5"/>
        <w:rPr>
          <w:rFonts w:ascii="ITC Avant Garde" w:eastAsia="Avant Garde" w:hAnsi="ITC Avant Garde" w:cs="Avant Garde"/>
          <w:color w:val="000000"/>
          <w:lang w:eastAsia="es-MX"/>
        </w:rPr>
      </w:pPr>
      <w:r w:rsidRPr="00726258">
        <w:rPr>
          <w:rFonts w:ascii="ITC Avant Garde" w:eastAsia="Avant Garde" w:hAnsi="ITC Avant Garde" w:cs="Avant Garde"/>
          <w:color w:val="000000"/>
          <w:lang w:eastAsia="es-MX"/>
        </w:rPr>
        <w:t>Asimismo,</w:t>
      </w:r>
      <w:r w:rsidR="002B0C6B" w:rsidRPr="00726258">
        <w:rPr>
          <w:rFonts w:ascii="ITC Avant Garde" w:eastAsia="Avant Garde" w:hAnsi="ITC Avant Garde" w:cs="Avant Garde"/>
          <w:color w:val="000000"/>
          <w:lang w:eastAsia="es-MX"/>
        </w:rPr>
        <w:t xml:space="preserve"> </w:t>
      </w:r>
      <w:r w:rsidR="007329BA">
        <w:rPr>
          <w:rFonts w:ascii="ITC Avant Garde" w:eastAsia="Avant Garde" w:hAnsi="ITC Avant Garde" w:cs="Avant Garde"/>
          <w:color w:val="000000"/>
          <w:lang w:eastAsia="es-MX"/>
        </w:rPr>
        <w:t>en dicha</w:t>
      </w:r>
      <w:r w:rsidR="002B0C6B" w:rsidRPr="00726258">
        <w:rPr>
          <w:rFonts w:ascii="ITC Avant Garde" w:eastAsia="Avant Garde" w:hAnsi="ITC Avant Garde" w:cs="Avant Garde"/>
          <w:color w:val="000000"/>
          <w:lang w:eastAsia="es-MX"/>
        </w:rPr>
        <w:t xml:space="preserve"> condición ya</w:t>
      </w:r>
      <w:r w:rsidRPr="00726258">
        <w:rPr>
          <w:rFonts w:ascii="ITC Avant Garde" w:eastAsia="Avant Garde" w:hAnsi="ITC Avant Garde" w:cs="Avant Garde"/>
          <w:color w:val="000000"/>
          <w:lang w:eastAsia="es-MX"/>
        </w:rPr>
        <w:t xml:space="preserve"> </w:t>
      </w:r>
      <w:r w:rsidR="007329BA">
        <w:rPr>
          <w:rFonts w:ascii="ITC Avant Garde" w:eastAsia="Avant Garde" w:hAnsi="ITC Avant Garde" w:cs="Avant Garde"/>
          <w:color w:val="000000"/>
          <w:lang w:eastAsia="es-MX"/>
        </w:rPr>
        <w:t xml:space="preserve">se </w:t>
      </w:r>
      <w:r w:rsidRPr="00726258">
        <w:rPr>
          <w:rFonts w:ascii="ITC Avant Garde" w:eastAsia="Avant Garde" w:hAnsi="ITC Avant Garde" w:cs="Avant Garde"/>
          <w:color w:val="000000"/>
          <w:lang w:eastAsia="es-MX"/>
        </w:rPr>
        <w:t xml:space="preserve">considera la </w:t>
      </w:r>
      <w:r w:rsidR="007329BA">
        <w:rPr>
          <w:rFonts w:ascii="ITC Avant Garde" w:eastAsia="Avant Garde" w:hAnsi="ITC Avant Garde" w:cs="Avant Garde"/>
          <w:color w:val="000000"/>
          <w:lang w:eastAsia="es-MX"/>
        </w:rPr>
        <w:t>interconexión</w:t>
      </w:r>
      <w:r w:rsidRPr="00726258">
        <w:rPr>
          <w:rFonts w:ascii="ITC Avant Garde" w:eastAsia="Avant Garde" w:hAnsi="ITC Avant Garde" w:cs="Avant Garde"/>
          <w:color w:val="000000"/>
          <w:lang w:eastAsia="es-MX"/>
        </w:rPr>
        <w:t xml:space="preserve"> mediante enlaces Ethernet por cual n</w:t>
      </w:r>
      <w:r w:rsidR="007329BA">
        <w:rPr>
          <w:rFonts w:ascii="ITC Avant Garde" w:eastAsia="Avant Garde" w:hAnsi="ITC Avant Garde" w:cs="Avant Garde"/>
          <w:color w:val="000000"/>
          <w:lang w:eastAsia="es-MX"/>
        </w:rPr>
        <w:t xml:space="preserve">o es necesaria la precisión señalada. </w:t>
      </w:r>
    </w:p>
    <w:p w14:paraId="0A6A4CB2" w14:textId="77777777" w:rsidR="007329BA" w:rsidRPr="007329BA" w:rsidRDefault="007329BA" w:rsidP="007329BA">
      <w:pPr>
        <w:spacing w:after="0" w:line="276" w:lineRule="auto"/>
        <w:ind w:left="-5"/>
        <w:rPr>
          <w:rFonts w:ascii="ITC Avant Garde" w:eastAsia="Avant Garde" w:hAnsi="ITC Avant Garde" w:cs="Avant Garde"/>
          <w:color w:val="000000"/>
          <w:lang w:eastAsia="es-MX"/>
        </w:rPr>
      </w:pPr>
    </w:p>
    <w:p w14:paraId="43A28168" w14:textId="63AC96AC" w:rsidR="00782C23" w:rsidRPr="00782C23" w:rsidRDefault="00782C23" w:rsidP="00782C23">
      <w:pPr>
        <w:spacing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Subanexo “E”. Detección de Prácticas Prohibidas</w:t>
      </w:r>
    </w:p>
    <w:p w14:paraId="5FCCC4CA" w14:textId="34D94CDB" w:rsidR="00F11174" w:rsidRPr="0053503B" w:rsidRDefault="002359B0" w:rsidP="00F11174">
      <w:pPr>
        <w:spacing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Segunda. Catálogo de Prácticas Prohibidas</w:t>
      </w:r>
    </w:p>
    <w:p w14:paraId="4DA6753D" w14:textId="77777777" w:rsidR="00F11174" w:rsidRPr="0053503B" w:rsidRDefault="00F11174" w:rsidP="00F11174">
      <w:pPr>
        <w:spacing w:line="276" w:lineRule="auto"/>
        <w:rPr>
          <w:rFonts w:ascii="ITC Avant Garde" w:eastAsia="Avant Garde" w:hAnsi="ITC Avant Garde" w:cs="Avant Garde"/>
          <w:b/>
          <w:color w:val="000000"/>
          <w:lang w:eastAsia="es-MX"/>
        </w:rPr>
      </w:pPr>
      <w:r w:rsidRPr="00771E04">
        <w:rPr>
          <w:rFonts w:ascii="ITC Avant Garde" w:eastAsia="Avant Garde" w:hAnsi="ITC Avant Garde" w:cs="Avant Garde"/>
          <w:b/>
          <w:color w:val="000000"/>
          <w:lang w:eastAsia="es-MX"/>
        </w:rPr>
        <w:t>CANIETI, ALTÁN</w:t>
      </w:r>
    </w:p>
    <w:p w14:paraId="40E42A56" w14:textId="4F87F521" w:rsidR="005945DF" w:rsidRDefault="00F11174" w:rsidP="00726258">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Señalan</w:t>
      </w:r>
      <w:r w:rsidR="00D25F2B">
        <w:rPr>
          <w:rFonts w:ascii="ITC Avant Garde" w:eastAsia="Avant Garde" w:hAnsi="ITC Avant Garde" w:cs="Avant Garde"/>
          <w:color w:val="000000"/>
          <w:lang w:eastAsia="es-MX"/>
        </w:rPr>
        <w:t xml:space="preserve"> que en la definición de “Spamming” se debe precisar que son mensajes </w:t>
      </w:r>
      <w:r w:rsidR="002359B0">
        <w:rPr>
          <w:rFonts w:ascii="ITC Avant Garde" w:eastAsia="Avant Garde" w:hAnsi="ITC Avant Garde" w:cs="Avant Garde"/>
          <w:color w:val="000000"/>
          <w:lang w:eastAsia="es-MX"/>
        </w:rPr>
        <w:t xml:space="preserve">cortos </w:t>
      </w:r>
      <w:r w:rsidR="00D25F2B">
        <w:rPr>
          <w:rFonts w:ascii="ITC Avant Garde" w:eastAsia="Avant Garde" w:hAnsi="ITC Avant Garde" w:cs="Avant Garde"/>
          <w:color w:val="000000"/>
          <w:lang w:eastAsia="es-MX"/>
        </w:rPr>
        <w:t>con el mismo contenido. De lo cont</w:t>
      </w:r>
      <w:r w:rsidR="007329BA">
        <w:rPr>
          <w:rFonts w:ascii="ITC Avant Garde" w:eastAsia="Avant Garde" w:hAnsi="ITC Avant Garde" w:cs="Avant Garde"/>
          <w:color w:val="000000"/>
          <w:lang w:eastAsia="es-MX"/>
        </w:rPr>
        <w:t>r</w:t>
      </w:r>
      <w:r w:rsidR="00D25F2B">
        <w:rPr>
          <w:rFonts w:ascii="ITC Avant Garde" w:eastAsia="Avant Garde" w:hAnsi="ITC Avant Garde" w:cs="Avant Garde"/>
          <w:color w:val="000000"/>
          <w:lang w:eastAsia="es-MX"/>
        </w:rPr>
        <w:t xml:space="preserve">ario, Telcel tendrá el monopolio de entrega de </w:t>
      </w:r>
      <w:r w:rsidR="00807A1E">
        <w:rPr>
          <w:rFonts w:ascii="ITC Avant Garde" w:eastAsia="Avant Garde" w:hAnsi="ITC Avant Garde" w:cs="Avant Garde"/>
          <w:color w:val="000000"/>
          <w:lang w:eastAsia="es-MX"/>
        </w:rPr>
        <w:t xml:space="preserve">mensajes cortos que impliquen </w:t>
      </w:r>
      <w:r w:rsidR="00D25F2B">
        <w:rPr>
          <w:rFonts w:ascii="ITC Avant Garde" w:eastAsia="Avant Garde" w:hAnsi="ITC Avant Garde" w:cs="Avant Garde"/>
          <w:color w:val="000000"/>
          <w:lang w:eastAsia="es-MX"/>
        </w:rPr>
        <w:t>servicios de valor agregado en sus usuarios.</w:t>
      </w:r>
    </w:p>
    <w:p w14:paraId="1CFF391A" w14:textId="77777777" w:rsidR="00726258" w:rsidRDefault="00726258" w:rsidP="00726258">
      <w:pPr>
        <w:spacing w:after="0" w:line="276" w:lineRule="auto"/>
        <w:ind w:left="-5"/>
        <w:rPr>
          <w:rFonts w:ascii="ITC Avant Garde" w:eastAsia="Avant Garde" w:hAnsi="ITC Avant Garde" w:cs="Avant Garde"/>
          <w:color w:val="000000"/>
          <w:lang w:eastAsia="es-MX"/>
        </w:rPr>
      </w:pPr>
    </w:p>
    <w:p w14:paraId="7B93CF21" w14:textId="77777777" w:rsidR="00D25F2B" w:rsidRPr="0053503B" w:rsidRDefault="00D25F2B" w:rsidP="00D25F2B">
      <w:pPr>
        <w:spacing w:line="276" w:lineRule="auto"/>
        <w:rPr>
          <w:rFonts w:ascii="ITC Avant Garde" w:hAnsi="ITC Avant Garde"/>
          <w:b/>
        </w:rPr>
      </w:pPr>
      <w:r w:rsidRPr="00D35D87">
        <w:rPr>
          <w:rFonts w:ascii="ITC Avant Garde" w:hAnsi="ITC Avant Garde"/>
          <w:b/>
        </w:rPr>
        <w:t>Consideraciones del Instituto</w:t>
      </w:r>
      <w:r w:rsidRPr="0053503B">
        <w:rPr>
          <w:rFonts w:ascii="ITC Avant Garde" w:hAnsi="ITC Avant Garde"/>
          <w:b/>
        </w:rPr>
        <w:t xml:space="preserve"> </w:t>
      </w:r>
    </w:p>
    <w:p w14:paraId="4519053A" w14:textId="262FA49C" w:rsidR="002359B0" w:rsidRDefault="00AC72E8" w:rsidP="00AC72E8">
      <w:pPr>
        <w:spacing w:after="0" w:line="276" w:lineRule="auto"/>
        <w:ind w:left="-5"/>
        <w:rPr>
          <w:rFonts w:ascii="ITC Avant Garde" w:eastAsia="Avant Garde" w:hAnsi="ITC Avant Garde" w:cs="Avant Garde"/>
          <w:color w:val="000000"/>
          <w:lang w:eastAsia="es-MX"/>
        </w:rPr>
      </w:pPr>
      <w:r w:rsidRPr="00616867">
        <w:rPr>
          <w:rFonts w:ascii="ITC Avant Garde" w:eastAsia="Avant Garde" w:hAnsi="ITC Avant Garde" w:cs="Avant Garde"/>
          <w:color w:val="000000"/>
          <w:lang w:eastAsia="es-MX"/>
        </w:rPr>
        <w:t xml:space="preserve">Al respecto se señala que </w:t>
      </w:r>
      <w:r w:rsidR="00616867" w:rsidRPr="00616867">
        <w:rPr>
          <w:rFonts w:ascii="ITC Avant Garde" w:eastAsia="Avant Garde" w:hAnsi="ITC Avant Garde" w:cs="Avant Garde"/>
          <w:color w:val="000000"/>
          <w:lang w:eastAsia="es-MX"/>
        </w:rPr>
        <w:t>conforme la Carta de Derechos Mínimos de los Usuarios de los Servicios Públicos de Telecomunicaciones</w:t>
      </w:r>
      <w:r w:rsidR="004F6497">
        <w:rPr>
          <w:rStyle w:val="Refdenotaalpie"/>
          <w:rFonts w:ascii="ITC Avant Garde" w:eastAsia="Avant Garde" w:hAnsi="ITC Avant Garde" w:cs="Avant Garde"/>
          <w:color w:val="000000"/>
          <w:lang w:eastAsia="es-MX"/>
        </w:rPr>
        <w:footnoteReference w:id="1"/>
      </w:r>
      <w:r w:rsidR="00616867" w:rsidRPr="00616867">
        <w:rPr>
          <w:rFonts w:ascii="ITC Avant Garde" w:eastAsia="Avant Garde" w:hAnsi="ITC Avant Garde" w:cs="Avant Garde"/>
          <w:color w:val="000000"/>
          <w:lang w:eastAsia="es-MX"/>
        </w:rPr>
        <w:t xml:space="preserve">, los proveedores de servicios de telecomunicaciones </w:t>
      </w:r>
      <w:r w:rsidRPr="00616867">
        <w:rPr>
          <w:rFonts w:ascii="ITC Avant Garde" w:eastAsia="Avant Garde" w:hAnsi="ITC Avant Garde" w:cs="Avant Garde"/>
          <w:color w:val="000000"/>
          <w:lang w:eastAsia="es-MX"/>
        </w:rPr>
        <w:t xml:space="preserve">no pueden </w:t>
      </w:r>
      <w:r w:rsidR="00616867" w:rsidRPr="00616867">
        <w:rPr>
          <w:rFonts w:ascii="ITC Avant Garde" w:eastAsia="Avant Garde" w:hAnsi="ITC Avant Garde" w:cs="Avant Garde"/>
          <w:color w:val="000000"/>
          <w:lang w:eastAsia="es-MX"/>
        </w:rPr>
        <w:t>inspeccionar</w:t>
      </w:r>
      <w:r w:rsidRPr="00616867">
        <w:rPr>
          <w:rFonts w:ascii="ITC Avant Garde" w:eastAsia="Avant Garde" w:hAnsi="ITC Avant Garde" w:cs="Avant Garde"/>
          <w:color w:val="000000"/>
          <w:lang w:eastAsia="es-MX"/>
        </w:rPr>
        <w:t xml:space="preserve"> el contenido de </w:t>
      </w:r>
      <w:r w:rsidR="00616867" w:rsidRPr="00616867">
        <w:rPr>
          <w:rFonts w:ascii="ITC Avant Garde" w:eastAsia="Avant Garde" w:hAnsi="ITC Avant Garde" w:cs="Avant Garde"/>
          <w:color w:val="000000"/>
          <w:lang w:eastAsia="es-MX"/>
        </w:rPr>
        <w:t xml:space="preserve">los mensajes cortos </w:t>
      </w:r>
      <w:r w:rsidRPr="00616867">
        <w:rPr>
          <w:rFonts w:ascii="ITC Avant Garde" w:eastAsia="Avant Garde" w:hAnsi="ITC Avant Garde" w:cs="Avant Garde"/>
          <w:color w:val="000000"/>
          <w:lang w:eastAsia="es-MX"/>
        </w:rPr>
        <w:t xml:space="preserve">de sus usuarios, en este sentido, </w:t>
      </w:r>
      <w:r w:rsidR="002150D7" w:rsidRPr="00616867">
        <w:rPr>
          <w:rFonts w:ascii="ITC Avant Garde" w:eastAsia="Avant Garde" w:hAnsi="ITC Avant Garde" w:cs="Avant Garde"/>
          <w:color w:val="000000"/>
          <w:lang w:eastAsia="es-MX"/>
        </w:rPr>
        <w:t xml:space="preserve">no </w:t>
      </w:r>
      <w:r w:rsidR="005335F5">
        <w:rPr>
          <w:rFonts w:ascii="ITC Avant Garde" w:eastAsia="Avant Garde" w:hAnsi="ITC Avant Garde" w:cs="Avant Garde"/>
          <w:color w:val="000000"/>
          <w:lang w:eastAsia="es-MX"/>
        </w:rPr>
        <w:t>sería</w:t>
      </w:r>
      <w:r w:rsidR="005335F5" w:rsidRPr="00616867">
        <w:rPr>
          <w:rFonts w:ascii="ITC Avant Garde" w:eastAsia="Avant Garde" w:hAnsi="ITC Avant Garde" w:cs="Avant Garde"/>
          <w:color w:val="000000"/>
          <w:lang w:eastAsia="es-MX"/>
        </w:rPr>
        <w:t xml:space="preserve"> </w:t>
      </w:r>
      <w:r w:rsidR="00616867" w:rsidRPr="00616867">
        <w:rPr>
          <w:rFonts w:ascii="ITC Avant Garde" w:eastAsia="Avant Garde" w:hAnsi="ITC Avant Garde" w:cs="Avant Garde"/>
          <w:color w:val="000000"/>
          <w:lang w:eastAsia="es-MX"/>
        </w:rPr>
        <w:t xml:space="preserve">posible </w:t>
      </w:r>
      <w:r w:rsidR="002150D7" w:rsidRPr="00616867">
        <w:rPr>
          <w:rFonts w:ascii="ITC Avant Garde" w:eastAsia="Avant Garde" w:hAnsi="ITC Avant Garde" w:cs="Avant Garde"/>
          <w:color w:val="000000"/>
          <w:lang w:eastAsia="es-MX"/>
        </w:rPr>
        <w:t xml:space="preserve">determinar si </w:t>
      </w:r>
      <w:r w:rsidR="00922F16" w:rsidRPr="00616867">
        <w:rPr>
          <w:rFonts w:ascii="ITC Avant Garde" w:eastAsia="Avant Garde" w:hAnsi="ITC Avant Garde" w:cs="Avant Garde"/>
          <w:color w:val="000000"/>
          <w:lang w:eastAsia="es-MX"/>
        </w:rPr>
        <w:t xml:space="preserve">los mensajes cortos </w:t>
      </w:r>
      <w:r w:rsidR="002150D7" w:rsidRPr="00616867">
        <w:rPr>
          <w:rFonts w:ascii="ITC Avant Garde" w:eastAsia="Avant Garde" w:hAnsi="ITC Avant Garde" w:cs="Avant Garde"/>
          <w:color w:val="000000"/>
          <w:lang w:eastAsia="es-MX"/>
        </w:rPr>
        <w:t>tienen el mi</w:t>
      </w:r>
      <w:r w:rsidR="00922F16" w:rsidRPr="00616867">
        <w:rPr>
          <w:rFonts w:ascii="ITC Avant Garde" w:eastAsia="Avant Garde" w:hAnsi="ITC Avant Garde" w:cs="Avant Garde"/>
          <w:color w:val="000000"/>
          <w:lang w:eastAsia="es-MX"/>
        </w:rPr>
        <w:t>smo contenido.</w:t>
      </w:r>
    </w:p>
    <w:p w14:paraId="30B93A73" w14:textId="77777777" w:rsidR="007329BA" w:rsidRDefault="007329BA" w:rsidP="007329BA">
      <w:pPr>
        <w:spacing w:after="0" w:line="276" w:lineRule="auto"/>
        <w:rPr>
          <w:rFonts w:ascii="ITC Avant Garde" w:eastAsia="Avant Garde" w:hAnsi="ITC Avant Garde" w:cs="Avant Garde"/>
          <w:b/>
          <w:color w:val="000000"/>
          <w:lang w:eastAsia="es-MX"/>
        </w:rPr>
      </w:pPr>
    </w:p>
    <w:p w14:paraId="4009C073" w14:textId="2DD3C855" w:rsidR="00771E04" w:rsidRPr="0053503B" w:rsidRDefault="00771E04" w:rsidP="00771E04">
      <w:pPr>
        <w:spacing w:line="276" w:lineRule="auto"/>
        <w:rPr>
          <w:rFonts w:ascii="ITC Avant Garde" w:eastAsia="Avant Garde" w:hAnsi="ITC Avant Garde" w:cs="Avant Garde"/>
          <w:b/>
          <w:color w:val="000000"/>
          <w:lang w:eastAsia="es-MX"/>
        </w:rPr>
      </w:pPr>
      <w:r w:rsidRPr="001A1F48">
        <w:rPr>
          <w:rFonts w:ascii="ITC Avant Garde" w:eastAsia="Avant Garde" w:hAnsi="ITC Avant Garde" w:cs="Avant Garde"/>
          <w:b/>
          <w:color w:val="000000"/>
          <w:lang w:eastAsia="es-MX"/>
        </w:rPr>
        <w:t>CANIETI, ALTÁN</w:t>
      </w:r>
    </w:p>
    <w:p w14:paraId="7F1FED8E" w14:textId="1E51AEF7" w:rsidR="00807A1E" w:rsidRDefault="00807A1E" w:rsidP="00726258">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eliminar el inciso c) de la cláusula segunda referente al envío de mensajes cortos que serán consider</w:t>
      </w:r>
      <w:r w:rsidR="002E01B9">
        <w:rPr>
          <w:rFonts w:ascii="ITC Avant Garde" w:eastAsia="Avant Garde" w:hAnsi="ITC Avant Garde" w:cs="Avant Garde"/>
          <w:color w:val="000000"/>
          <w:lang w:eastAsia="es-MX"/>
        </w:rPr>
        <w:t>ados como prácticas prohibidas pese a</w:t>
      </w:r>
      <w:r>
        <w:rPr>
          <w:rFonts w:ascii="ITC Avant Garde" w:eastAsia="Avant Garde" w:hAnsi="ITC Avant Garde" w:cs="Avant Garde"/>
          <w:color w:val="000000"/>
          <w:lang w:eastAsia="es-MX"/>
        </w:rPr>
        <w:t xml:space="preserve"> no </w:t>
      </w:r>
      <w:r w:rsidR="002359B0">
        <w:rPr>
          <w:rFonts w:ascii="ITC Avant Garde" w:eastAsia="Avant Garde" w:hAnsi="ITC Avant Garde" w:cs="Avant Garde"/>
          <w:color w:val="000000"/>
          <w:lang w:eastAsia="es-MX"/>
        </w:rPr>
        <w:t>alcanzar el número de eventos para ser considerador como</w:t>
      </w:r>
      <w:r>
        <w:rPr>
          <w:rFonts w:ascii="ITC Avant Garde" w:eastAsia="Avant Garde" w:hAnsi="ITC Avant Garde" w:cs="Avant Garde"/>
          <w:color w:val="000000"/>
          <w:lang w:eastAsia="es-MX"/>
        </w:rPr>
        <w:t xml:space="preserve"> spamming o flooding. De lo contrario, Telcel tendrá el monopolio de entrega de mensajes cortos que impliquen servicios de valor agregado en sus usuarios.</w:t>
      </w:r>
    </w:p>
    <w:p w14:paraId="3EB1F586" w14:textId="77777777" w:rsidR="00726258" w:rsidRDefault="00726258" w:rsidP="00726258">
      <w:pPr>
        <w:spacing w:after="0" w:line="276" w:lineRule="auto"/>
        <w:ind w:left="-5"/>
        <w:rPr>
          <w:rFonts w:ascii="ITC Avant Garde" w:eastAsia="Avant Garde" w:hAnsi="ITC Avant Garde" w:cs="Avant Garde"/>
          <w:color w:val="000000"/>
          <w:lang w:eastAsia="es-MX"/>
        </w:rPr>
      </w:pPr>
    </w:p>
    <w:p w14:paraId="7B11F9E8" w14:textId="77777777" w:rsidR="00535927" w:rsidRPr="0053503B" w:rsidRDefault="00535927" w:rsidP="00535927">
      <w:pPr>
        <w:spacing w:line="276" w:lineRule="auto"/>
        <w:rPr>
          <w:rFonts w:ascii="ITC Avant Garde" w:hAnsi="ITC Avant Garde"/>
          <w:b/>
        </w:rPr>
      </w:pPr>
      <w:r w:rsidRPr="00D35D87">
        <w:rPr>
          <w:rFonts w:ascii="ITC Avant Garde" w:hAnsi="ITC Avant Garde"/>
          <w:b/>
        </w:rPr>
        <w:t>Consideraciones del Instituto</w:t>
      </w:r>
      <w:r w:rsidRPr="0053503B">
        <w:rPr>
          <w:rFonts w:ascii="ITC Avant Garde" w:hAnsi="ITC Avant Garde"/>
          <w:b/>
        </w:rPr>
        <w:t xml:space="preserve"> </w:t>
      </w:r>
    </w:p>
    <w:p w14:paraId="7A369F5A" w14:textId="1442F8B3" w:rsidR="003915A7" w:rsidRDefault="003915A7" w:rsidP="006C734D">
      <w:pPr>
        <w:spacing w:after="0" w:line="276" w:lineRule="auto"/>
        <w:ind w:left="-5"/>
        <w:rPr>
          <w:rFonts w:ascii="ITC Avant Garde" w:eastAsia="Avant Garde" w:hAnsi="ITC Avant Garde" w:cs="Avant Garde"/>
          <w:color w:val="000000"/>
          <w:lang w:eastAsia="es-MX"/>
        </w:rPr>
      </w:pPr>
      <w:r w:rsidRPr="00AE5B9E">
        <w:rPr>
          <w:rFonts w:ascii="ITC Avant Garde" w:eastAsia="Avant Garde" w:hAnsi="ITC Avant Garde" w:cs="Avant Garde"/>
          <w:color w:val="000000"/>
          <w:lang w:eastAsia="es-MX"/>
        </w:rPr>
        <w:lastRenderedPageBreak/>
        <w:t>Se eliminó el inciso c) de la cláusula segunda referente a las prácticas prohibidas ya que no proporciona certeza sobre cuáles son los criterios que se aplicarán para determinar que el envío de mensajes cortos corresponde al envío masivo, unilateral y/o robotizado de mensajes cortos</w:t>
      </w:r>
      <w:r w:rsidR="006C734D">
        <w:rPr>
          <w:rFonts w:ascii="ITC Avant Garde" w:eastAsia="Avant Garde" w:hAnsi="ITC Avant Garde" w:cs="Avant Garde"/>
          <w:color w:val="000000"/>
          <w:lang w:eastAsia="es-MX"/>
        </w:rPr>
        <w:t>, en el siguiente sentido</w:t>
      </w:r>
      <w:r w:rsidR="00AE5B9E">
        <w:rPr>
          <w:rFonts w:ascii="ITC Avant Garde" w:eastAsia="Avant Garde" w:hAnsi="ITC Avant Garde" w:cs="Avant Garde"/>
          <w:color w:val="000000"/>
          <w:lang w:eastAsia="es-MX"/>
        </w:rPr>
        <w:t>:</w:t>
      </w:r>
    </w:p>
    <w:p w14:paraId="3FBAD65A" w14:textId="77777777" w:rsidR="00726258" w:rsidRPr="00AE5B9E" w:rsidRDefault="00726258" w:rsidP="006C734D">
      <w:pPr>
        <w:spacing w:after="0" w:line="276" w:lineRule="auto"/>
        <w:ind w:left="-5"/>
        <w:rPr>
          <w:rFonts w:ascii="ITC Avant Garde" w:eastAsia="Avant Garde" w:hAnsi="ITC Avant Garde" w:cs="Avant Garde"/>
          <w:color w:val="000000"/>
          <w:lang w:eastAsia="es-MX"/>
        </w:rPr>
      </w:pPr>
    </w:p>
    <w:p w14:paraId="1C8C3ABB" w14:textId="77777777" w:rsidR="003915A7" w:rsidRPr="007862CA" w:rsidRDefault="003915A7" w:rsidP="006C734D">
      <w:pPr>
        <w:pStyle w:val="IFT1"/>
        <w:tabs>
          <w:tab w:val="left" w:pos="426"/>
        </w:tabs>
        <w:spacing w:after="0"/>
        <w:ind w:left="567" w:right="616"/>
        <w:rPr>
          <w:bCs/>
          <w:i/>
          <w:sz w:val="18"/>
          <w:szCs w:val="18"/>
        </w:rPr>
      </w:pPr>
      <w:r>
        <w:rPr>
          <w:bCs/>
          <w:i/>
          <w:sz w:val="18"/>
          <w:szCs w:val="18"/>
        </w:rPr>
        <w:t>“</w:t>
      </w:r>
      <w:r w:rsidRPr="007862CA">
        <w:rPr>
          <w:bCs/>
          <w:i/>
          <w:sz w:val="18"/>
          <w:szCs w:val="18"/>
        </w:rPr>
        <w:t>SEGUNDA. CATÁLOGO DE PRÁCTICAS PROHIBIDAS.</w:t>
      </w:r>
    </w:p>
    <w:p w14:paraId="4AB5D54D" w14:textId="77777777" w:rsidR="003915A7" w:rsidRDefault="003915A7" w:rsidP="006C734D">
      <w:pPr>
        <w:pStyle w:val="IFT1"/>
        <w:tabs>
          <w:tab w:val="left" w:pos="426"/>
        </w:tabs>
        <w:spacing w:after="0"/>
        <w:ind w:left="567" w:right="616"/>
        <w:rPr>
          <w:bCs/>
          <w:i/>
          <w:sz w:val="18"/>
          <w:szCs w:val="18"/>
        </w:rPr>
      </w:pPr>
      <w:r w:rsidRPr="007862CA">
        <w:rPr>
          <w:bCs/>
          <w:i/>
          <w:sz w:val="18"/>
          <w:szCs w:val="18"/>
        </w:rPr>
        <w:t>Las Partes convienen en establecer, de manera no limitativa, el siguiente</w:t>
      </w:r>
      <w:r>
        <w:rPr>
          <w:bCs/>
          <w:i/>
          <w:sz w:val="18"/>
          <w:szCs w:val="18"/>
        </w:rPr>
        <w:t xml:space="preserve"> catálogo de las conductas que </w:t>
      </w:r>
      <w:r w:rsidRPr="007862CA">
        <w:rPr>
          <w:bCs/>
          <w:i/>
          <w:sz w:val="18"/>
          <w:szCs w:val="18"/>
        </w:rPr>
        <w:t>serán consideradas como Prácticas Prohibidas:</w:t>
      </w:r>
    </w:p>
    <w:p w14:paraId="3CC4BBBF" w14:textId="77777777" w:rsidR="003915A7" w:rsidRDefault="003915A7" w:rsidP="006C734D">
      <w:pPr>
        <w:pStyle w:val="IFT1"/>
        <w:tabs>
          <w:tab w:val="left" w:pos="426"/>
        </w:tabs>
        <w:spacing w:after="0"/>
        <w:ind w:left="567" w:right="616"/>
        <w:rPr>
          <w:bCs/>
          <w:i/>
          <w:sz w:val="18"/>
          <w:szCs w:val="18"/>
        </w:rPr>
      </w:pPr>
      <w:r>
        <w:rPr>
          <w:bCs/>
          <w:i/>
          <w:sz w:val="18"/>
          <w:szCs w:val="18"/>
        </w:rPr>
        <w:t>(…)</w:t>
      </w:r>
    </w:p>
    <w:p w14:paraId="626360E2" w14:textId="77777777" w:rsidR="003915A7" w:rsidRPr="008A4B7B" w:rsidRDefault="003915A7" w:rsidP="006C734D">
      <w:pPr>
        <w:pStyle w:val="IFT1"/>
        <w:tabs>
          <w:tab w:val="left" w:pos="426"/>
        </w:tabs>
        <w:spacing w:after="0"/>
        <w:ind w:left="567" w:right="616"/>
        <w:rPr>
          <w:bCs/>
          <w:i/>
          <w:strike/>
          <w:sz w:val="18"/>
          <w:szCs w:val="18"/>
        </w:rPr>
      </w:pPr>
      <w:r w:rsidRPr="008A4B7B">
        <w:rPr>
          <w:bCs/>
          <w:i/>
          <w:strike/>
          <w:sz w:val="18"/>
          <w:szCs w:val="18"/>
        </w:rPr>
        <w:t>c) El envío de Mensajes Cortos que, aunque no alcance el número de eventos considerados para el caso de Spamming o Flooding, implique el envío masivo, unilateral y/o robotizado de Mensajes Cortos, por o en servidores, computadoras, sistemas, aplicaciones, etc.</w:t>
      </w:r>
    </w:p>
    <w:p w14:paraId="1988976B" w14:textId="77777777" w:rsidR="003915A7" w:rsidRDefault="003915A7" w:rsidP="006C734D">
      <w:pPr>
        <w:pStyle w:val="IFT1"/>
        <w:tabs>
          <w:tab w:val="left" w:pos="426"/>
        </w:tabs>
        <w:spacing w:after="0"/>
        <w:ind w:left="567" w:right="616"/>
        <w:rPr>
          <w:bCs/>
          <w:i/>
          <w:sz w:val="18"/>
          <w:szCs w:val="18"/>
        </w:rPr>
      </w:pPr>
      <w:r>
        <w:rPr>
          <w:bCs/>
          <w:i/>
          <w:sz w:val="18"/>
          <w:szCs w:val="18"/>
        </w:rPr>
        <w:t>(…)”</w:t>
      </w:r>
    </w:p>
    <w:p w14:paraId="2825AB21" w14:textId="77777777" w:rsidR="003915A7" w:rsidRPr="008A4B7B" w:rsidRDefault="003915A7" w:rsidP="006C734D">
      <w:pPr>
        <w:pStyle w:val="IFT1"/>
        <w:tabs>
          <w:tab w:val="left" w:pos="426"/>
        </w:tabs>
        <w:spacing w:after="0"/>
        <w:ind w:left="567" w:right="616"/>
        <w:jc w:val="right"/>
        <w:rPr>
          <w:bCs/>
          <w:i/>
          <w:sz w:val="18"/>
          <w:szCs w:val="18"/>
        </w:rPr>
      </w:pPr>
      <w:r>
        <w:rPr>
          <w:bCs/>
          <w:i/>
          <w:sz w:val="18"/>
          <w:szCs w:val="18"/>
        </w:rPr>
        <w:t>(Énfasis añadido)</w:t>
      </w:r>
    </w:p>
    <w:p w14:paraId="5920D3A5" w14:textId="3C578A82" w:rsidR="00E66533" w:rsidRPr="0053503B" w:rsidRDefault="00E66533" w:rsidP="00E66533">
      <w:pPr>
        <w:spacing w:after="0" w:line="276" w:lineRule="auto"/>
        <w:ind w:right="616"/>
        <w:rPr>
          <w:rFonts w:ascii="ITC Avant Garde" w:hAnsi="ITC Avant Garde"/>
          <w:b/>
          <w:sz w:val="20"/>
          <w:szCs w:val="20"/>
        </w:rPr>
      </w:pPr>
    </w:p>
    <w:p w14:paraId="714C34BB" w14:textId="1CC247BA" w:rsidR="00AE7499" w:rsidRPr="009E7CB3" w:rsidRDefault="00AE7499" w:rsidP="00AE7499">
      <w:pPr>
        <w:spacing w:after="0" w:line="240" w:lineRule="auto"/>
        <w:ind w:right="616"/>
        <w:rPr>
          <w:rFonts w:ascii="ITC" w:hAnsi="ITC"/>
          <w:sz w:val="20"/>
          <w:szCs w:val="20"/>
        </w:rPr>
      </w:pPr>
    </w:p>
    <w:sectPr w:rsidR="00AE7499" w:rsidRPr="009E7C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63BCD" w14:textId="77777777" w:rsidR="001A6F48" w:rsidRDefault="001A6F48" w:rsidP="004F6497">
      <w:pPr>
        <w:spacing w:after="0" w:line="240" w:lineRule="auto"/>
      </w:pPr>
      <w:r>
        <w:separator/>
      </w:r>
    </w:p>
  </w:endnote>
  <w:endnote w:type="continuationSeparator" w:id="0">
    <w:p w14:paraId="7940702F" w14:textId="77777777" w:rsidR="001A6F48" w:rsidRDefault="001A6F48"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IT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13F27" w14:textId="77777777" w:rsidR="001A6F48" w:rsidRDefault="001A6F48" w:rsidP="004F6497">
      <w:pPr>
        <w:spacing w:after="0" w:line="240" w:lineRule="auto"/>
      </w:pPr>
      <w:r>
        <w:separator/>
      </w:r>
    </w:p>
  </w:footnote>
  <w:footnote w:type="continuationSeparator" w:id="0">
    <w:p w14:paraId="55BB83FC" w14:textId="77777777" w:rsidR="001A6F48" w:rsidRDefault="001A6F48" w:rsidP="004F6497">
      <w:pPr>
        <w:spacing w:after="0" w:line="240" w:lineRule="auto"/>
      </w:pPr>
      <w:r>
        <w:continuationSeparator/>
      </w:r>
    </w:p>
  </w:footnote>
  <w:footnote w:id="1">
    <w:p w14:paraId="46560EFD" w14:textId="09C65767" w:rsidR="004F6497" w:rsidRPr="00E37612" w:rsidRDefault="004F6497">
      <w:pPr>
        <w:pStyle w:val="Textonotapie"/>
        <w:rPr>
          <w:rFonts w:ascii="ITC Avant Garde" w:hAnsi="ITC Avant Garde"/>
        </w:rPr>
      </w:pPr>
      <w:r w:rsidRPr="00E37612">
        <w:rPr>
          <w:rStyle w:val="Refdenotaalpie"/>
          <w:rFonts w:ascii="ITC Avant Garde" w:hAnsi="ITC Avant Garde"/>
        </w:rPr>
        <w:footnoteRef/>
      </w:r>
      <w:r w:rsidRPr="00E37612">
        <w:rPr>
          <w:rFonts w:ascii="ITC Avant Garde" w:hAnsi="ITC Avant Garde"/>
        </w:rPr>
        <w:t xml:space="preserve"> http://www.ift.org.mx/sites/default/files/cartaderechosminimos.pdf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99"/>
    <w:rsid w:val="00003891"/>
    <w:rsid w:val="00007436"/>
    <w:rsid w:val="00007B1B"/>
    <w:rsid w:val="000109AC"/>
    <w:rsid w:val="00011E52"/>
    <w:rsid w:val="00011FF8"/>
    <w:rsid w:val="00016AFE"/>
    <w:rsid w:val="0002123D"/>
    <w:rsid w:val="00024950"/>
    <w:rsid w:val="00030226"/>
    <w:rsid w:val="00044380"/>
    <w:rsid w:val="00054DA1"/>
    <w:rsid w:val="00055608"/>
    <w:rsid w:val="00085622"/>
    <w:rsid w:val="00087E37"/>
    <w:rsid w:val="00095A2C"/>
    <w:rsid w:val="00095A53"/>
    <w:rsid w:val="00096169"/>
    <w:rsid w:val="000A1D96"/>
    <w:rsid w:val="000A4698"/>
    <w:rsid w:val="000B226B"/>
    <w:rsid w:val="000B27A3"/>
    <w:rsid w:val="000B4E10"/>
    <w:rsid w:val="000B59EC"/>
    <w:rsid w:val="000C06F8"/>
    <w:rsid w:val="000C2042"/>
    <w:rsid w:val="000C6BA1"/>
    <w:rsid w:val="000D002F"/>
    <w:rsid w:val="000D07DD"/>
    <w:rsid w:val="000D240B"/>
    <w:rsid w:val="000E1588"/>
    <w:rsid w:val="000E19E5"/>
    <w:rsid w:val="000F063E"/>
    <w:rsid w:val="000F2110"/>
    <w:rsid w:val="00104AEE"/>
    <w:rsid w:val="00111259"/>
    <w:rsid w:val="0011727C"/>
    <w:rsid w:val="00120B97"/>
    <w:rsid w:val="00122273"/>
    <w:rsid w:val="0012361B"/>
    <w:rsid w:val="001243E7"/>
    <w:rsid w:val="00124FE9"/>
    <w:rsid w:val="00130D66"/>
    <w:rsid w:val="00137A46"/>
    <w:rsid w:val="001422A0"/>
    <w:rsid w:val="0014683C"/>
    <w:rsid w:val="00150B62"/>
    <w:rsid w:val="0015131A"/>
    <w:rsid w:val="00155359"/>
    <w:rsid w:val="00160D5F"/>
    <w:rsid w:val="00165E48"/>
    <w:rsid w:val="00173DF5"/>
    <w:rsid w:val="001750FB"/>
    <w:rsid w:val="0018327F"/>
    <w:rsid w:val="001852DD"/>
    <w:rsid w:val="001907D9"/>
    <w:rsid w:val="00190825"/>
    <w:rsid w:val="001951DF"/>
    <w:rsid w:val="001A1F48"/>
    <w:rsid w:val="001A2A6B"/>
    <w:rsid w:val="001A3B0C"/>
    <w:rsid w:val="001A451B"/>
    <w:rsid w:val="001A6F48"/>
    <w:rsid w:val="001B68D8"/>
    <w:rsid w:val="001C1DBC"/>
    <w:rsid w:val="001D046B"/>
    <w:rsid w:val="001D0AA1"/>
    <w:rsid w:val="001D5251"/>
    <w:rsid w:val="001D7B77"/>
    <w:rsid w:val="001E52EC"/>
    <w:rsid w:val="001F0252"/>
    <w:rsid w:val="001F269F"/>
    <w:rsid w:val="00200D3A"/>
    <w:rsid w:val="00203837"/>
    <w:rsid w:val="00212AF0"/>
    <w:rsid w:val="002150D7"/>
    <w:rsid w:val="0022157B"/>
    <w:rsid w:val="00223DD0"/>
    <w:rsid w:val="002244A8"/>
    <w:rsid w:val="00227CEE"/>
    <w:rsid w:val="00234B57"/>
    <w:rsid w:val="002359B0"/>
    <w:rsid w:val="002419CB"/>
    <w:rsid w:val="002427FE"/>
    <w:rsid w:val="0024324F"/>
    <w:rsid w:val="002532EE"/>
    <w:rsid w:val="0025641D"/>
    <w:rsid w:val="00260020"/>
    <w:rsid w:val="0026209F"/>
    <w:rsid w:val="002676C9"/>
    <w:rsid w:val="00274978"/>
    <w:rsid w:val="0027548E"/>
    <w:rsid w:val="002754BE"/>
    <w:rsid w:val="00277CBB"/>
    <w:rsid w:val="002814F6"/>
    <w:rsid w:val="002870CC"/>
    <w:rsid w:val="00291A08"/>
    <w:rsid w:val="0029455B"/>
    <w:rsid w:val="002A0A4E"/>
    <w:rsid w:val="002A0B24"/>
    <w:rsid w:val="002A1E28"/>
    <w:rsid w:val="002A7B20"/>
    <w:rsid w:val="002B0C6B"/>
    <w:rsid w:val="002B0E57"/>
    <w:rsid w:val="002B339C"/>
    <w:rsid w:val="002B47E7"/>
    <w:rsid w:val="002C4823"/>
    <w:rsid w:val="002C5C6A"/>
    <w:rsid w:val="002D4ECF"/>
    <w:rsid w:val="002D60DA"/>
    <w:rsid w:val="002D726A"/>
    <w:rsid w:val="002E01B9"/>
    <w:rsid w:val="002E403D"/>
    <w:rsid w:val="002F0022"/>
    <w:rsid w:val="002F0919"/>
    <w:rsid w:val="002F100B"/>
    <w:rsid w:val="002F10E1"/>
    <w:rsid w:val="002F2A6B"/>
    <w:rsid w:val="00300EA5"/>
    <w:rsid w:val="0030107D"/>
    <w:rsid w:val="003039C2"/>
    <w:rsid w:val="00306C97"/>
    <w:rsid w:val="00307B57"/>
    <w:rsid w:val="00312724"/>
    <w:rsid w:val="00317E53"/>
    <w:rsid w:val="00320377"/>
    <w:rsid w:val="0032397E"/>
    <w:rsid w:val="00324B6C"/>
    <w:rsid w:val="003275DB"/>
    <w:rsid w:val="00327D97"/>
    <w:rsid w:val="00330547"/>
    <w:rsid w:val="00331E75"/>
    <w:rsid w:val="00332E2F"/>
    <w:rsid w:val="00334332"/>
    <w:rsid w:val="00336B92"/>
    <w:rsid w:val="00336F2A"/>
    <w:rsid w:val="00345258"/>
    <w:rsid w:val="00352500"/>
    <w:rsid w:val="003533ED"/>
    <w:rsid w:val="00355535"/>
    <w:rsid w:val="00356052"/>
    <w:rsid w:val="003624AA"/>
    <w:rsid w:val="00362954"/>
    <w:rsid w:val="003676A8"/>
    <w:rsid w:val="003700E4"/>
    <w:rsid w:val="00377423"/>
    <w:rsid w:val="00387BE6"/>
    <w:rsid w:val="0039106D"/>
    <w:rsid w:val="003915A7"/>
    <w:rsid w:val="00394184"/>
    <w:rsid w:val="0039640D"/>
    <w:rsid w:val="00396D41"/>
    <w:rsid w:val="003A189F"/>
    <w:rsid w:val="003A22A4"/>
    <w:rsid w:val="003A409F"/>
    <w:rsid w:val="003A7DE5"/>
    <w:rsid w:val="003B4052"/>
    <w:rsid w:val="003B4475"/>
    <w:rsid w:val="003B63F4"/>
    <w:rsid w:val="003C0740"/>
    <w:rsid w:val="003C509C"/>
    <w:rsid w:val="003C6124"/>
    <w:rsid w:val="003C714B"/>
    <w:rsid w:val="003D2201"/>
    <w:rsid w:val="003D79A2"/>
    <w:rsid w:val="003F1CA8"/>
    <w:rsid w:val="003F1D8E"/>
    <w:rsid w:val="003F5286"/>
    <w:rsid w:val="003F6C78"/>
    <w:rsid w:val="003F6F03"/>
    <w:rsid w:val="00401423"/>
    <w:rsid w:val="0040266D"/>
    <w:rsid w:val="00405F7D"/>
    <w:rsid w:val="004119C4"/>
    <w:rsid w:val="00421913"/>
    <w:rsid w:val="00422C1F"/>
    <w:rsid w:val="00426C3A"/>
    <w:rsid w:val="004309F6"/>
    <w:rsid w:val="0043354B"/>
    <w:rsid w:val="00433ECC"/>
    <w:rsid w:val="00437D53"/>
    <w:rsid w:val="00443AA7"/>
    <w:rsid w:val="004465F9"/>
    <w:rsid w:val="00447810"/>
    <w:rsid w:val="00447841"/>
    <w:rsid w:val="004508DB"/>
    <w:rsid w:val="00464891"/>
    <w:rsid w:val="00472935"/>
    <w:rsid w:val="00477220"/>
    <w:rsid w:val="004900DF"/>
    <w:rsid w:val="00491A43"/>
    <w:rsid w:val="0049237C"/>
    <w:rsid w:val="004926DD"/>
    <w:rsid w:val="004944EF"/>
    <w:rsid w:val="0049506A"/>
    <w:rsid w:val="004957E8"/>
    <w:rsid w:val="004957F8"/>
    <w:rsid w:val="004A4642"/>
    <w:rsid w:val="004D25BC"/>
    <w:rsid w:val="004E2909"/>
    <w:rsid w:val="004E2EFA"/>
    <w:rsid w:val="004E5397"/>
    <w:rsid w:val="004E718C"/>
    <w:rsid w:val="004E7717"/>
    <w:rsid w:val="004F2702"/>
    <w:rsid w:val="004F3303"/>
    <w:rsid w:val="004F5419"/>
    <w:rsid w:val="004F6497"/>
    <w:rsid w:val="004F664E"/>
    <w:rsid w:val="0050121C"/>
    <w:rsid w:val="00502BF7"/>
    <w:rsid w:val="00503423"/>
    <w:rsid w:val="005074BA"/>
    <w:rsid w:val="00515D35"/>
    <w:rsid w:val="00522E26"/>
    <w:rsid w:val="005335F5"/>
    <w:rsid w:val="0053503B"/>
    <w:rsid w:val="00535927"/>
    <w:rsid w:val="00541217"/>
    <w:rsid w:val="00546C27"/>
    <w:rsid w:val="00552301"/>
    <w:rsid w:val="00555754"/>
    <w:rsid w:val="00557E73"/>
    <w:rsid w:val="00557FC6"/>
    <w:rsid w:val="0056395C"/>
    <w:rsid w:val="00577A3C"/>
    <w:rsid w:val="00577F91"/>
    <w:rsid w:val="005814E4"/>
    <w:rsid w:val="0058274E"/>
    <w:rsid w:val="00582F2C"/>
    <w:rsid w:val="0059211A"/>
    <w:rsid w:val="005945DF"/>
    <w:rsid w:val="005A1644"/>
    <w:rsid w:val="005A6DCA"/>
    <w:rsid w:val="005A79C7"/>
    <w:rsid w:val="005B09AB"/>
    <w:rsid w:val="005C300E"/>
    <w:rsid w:val="005C31CD"/>
    <w:rsid w:val="005C5CF6"/>
    <w:rsid w:val="005D110C"/>
    <w:rsid w:val="005D3784"/>
    <w:rsid w:val="005D5169"/>
    <w:rsid w:val="005D5C6E"/>
    <w:rsid w:val="005E4869"/>
    <w:rsid w:val="005E4ACB"/>
    <w:rsid w:val="005F2936"/>
    <w:rsid w:val="005F45D7"/>
    <w:rsid w:val="005F673E"/>
    <w:rsid w:val="00603EC6"/>
    <w:rsid w:val="00604670"/>
    <w:rsid w:val="0061171E"/>
    <w:rsid w:val="006145A3"/>
    <w:rsid w:val="00614DE2"/>
    <w:rsid w:val="00616867"/>
    <w:rsid w:val="00617D0B"/>
    <w:rsid w:val="00630315"/>
    <w:rsid w:val="0063056D"/>
    <w:rsid w:val="006336A1"/>
    <w:rsid w:val="00634CDC"/>
    <w:rsid w:val="006358DC"/>
    <w:rsid w:val="006409B8"/>
    <w:rsid w:val="00641E07"/>
    <w:rsid w:val="00646561"/>
    <w:rsid w:val="00647F02"/>
    <w:rsid w:val="0065225B"/>
    <w:rsid w:val="00656513"/>
    <w:rsid w:val="0066742D"/>
    <w:rsid w:val="0067320F"/>
    <w:rsid w:val="00676E75"/>
    <w:rsid w:val="0068188E"/>
    <w:rsid w:val="00682597"/>
    <w:rsid w:val="00684C5B"/>
    <w:rsid w:val="00685002"/>
    <w:rsid w:val="006905ED"/>
    <w:rsid w:val="00695BC6"/>
    <w:rsid w:val="006A05B6"/>
    <w:rsid w:val="006A1A4C"/>
    <w:rsid w:val="006A3325"/>
    <w:rsid w:val="006A5A73"/>
    <w:rsid w:val="006B458F"/>
    <w:rsid w:val="006B6402"/>
    <w:rsid w:val="006C06D0"/>
    <w:rsid w:val="006C111F"/>
    <w:rsid w:val="006C382F"/>
    <w:rsid w:val="006C734D"/>
    <w:rsid w:val="006D3782"/>
    <w:rsid w:val="006D4671"/>
    <w:rsid w:val="006D6308"/>
    <w:rsid w:val="006E4D22"/>
    <w:rsid w:val="006F127B"/>
    <w:rsid w:val="006F7ACA"/>
    <w:rsid w:val="00700BAA"/>
    <w:rsid w:val="00701F55"/>
    <w:rsid w:val="00703170"/>
    <w:rsid w:val="00705071"/>
    <w:rsid w:val="007054C4"/>
    <w:rsid w:val="007125BB"/>
    <w:rsid w:val="00713520"/>
    <w:rsid w:val="007137CF"/>
    <w:rsid w:val="007218D7"/>
    <w:rsid w:val="00726258"/>
    <w:rsid w:val="00727C3D"/>
    <w:rsid w:val="007329BA"/>
    <w:rsid w:val="00733E69"/>
    <w:rsid w:val="00743756"/>
    <w:rsid w:val="007457C7"/>
    <w:rsid w:val="0075148C"/>
    <w:rsid w:val="00751D4B"/>
    <w:rsid w:val="00764A17"/>
    <w:rsid w:val="00771E04"/>
    <w:rsid w:val="007727C0"/>
    <w:rsid w:val="007732A8"/>
    <w:rsid w:val="00773F90"/>
    <w:rsid w:val="00774BC4"/>
    <w:rsid w:val="007779D6"/>
    <w:rsid w:val="00780D99"/>
    <w:rsid w:val="00782C23"/>
    <w:rsid w:val="00783A73"/>
    <w:rsid w:val="00787A6B"/>
    <w:rsid w:val="007906BC"/>
    <w:rsid w:val="00793D7D"/>
    <w:rsid w:val="007A5D7A"/>
    <w:rsid w:val="007A7B89"/>
    <w:rsid w:val="007B09EC"/>
    <w:rsid w:val="007B182F"/>
    <w:rsid w:val="007B3130"/>
    <w:rsid w:val="007B3745"/>
    <w:rsid w:val="007B75AC"/>
    <w:rsid w:val="007C78FF"/>
    <w:rsid w:val="007F0687"/>
    <w:rsid w:val="007F080D"/>
    <w:rsid w:val="007F263D"/>
    <w:rsid w:val="007F34F3"/>
    <w:rsid w:val="0080309E"/>
    <w:rsid w:val="008036E2"/>
    <w:rsid w:val="0080473F"/>
    <w:rsid w:val="00807A1E"/>
    <w:rsid w:val="008127CD"/>
    <w:rsid w:val="008170FE"/>
    <w:rsid w:val="00823B3D"/>
    <w:rsid w:val="0082552B"/>
    <w:rsid w:val="00827074"/>
    <w:rsid w:val="00834729"/>
    <w:rsid w:val="0084221C"/>
    <w:rsid w:val="00845140"/>
    <w:rsid w:val="00845D36"/>
    <w:rsid w:val="00851191"/>
    <w:rsid w:val="00855633"/>
    <w:rsid w:val="0085708C"/>
    <w:rsid w:val="00865207"/>
    <w:rsid w:val="008665D4"/>
    <w:rsid w:val="00870512"/>
    <w:rsid w:val="00874AB5"/>
    <w:rsid w:val="00882654"/>
    <w:rsid w:val="00890112"/>
    <w:rsid w:val="00894565"/>
    <w:rsid w:val="008B1090"/>
    <w:rsid w:val="008B5C23"/>
    <w:rsid w:val="008B77AC"/>
    <w:rsid w:val="008C6898"/>
    <w:rsid w:val="008C68A4"/>
    <w:rsid w:val="008D1F37"/>
    <w:rsid w:val="008D239B"/>
    <w:rsid w:val="008D2961"/>
    <w:rsid w:val="008D3FAB"/>
    <w:rsid w:val="008D4646"/>
    <w:rsid w:val="008D49DA"/>
    <w:rsid w:val="008E2160"/>
    <w:rsid w:val="008E5709"/>
    <w:rsid w:val="008E585E"/>
    <w:rsid w:val="008F1D18"/>
    <w:rsid w:val="008F629C"/>
    <w:rsid w:val="008F721A"/>
    <w:rsid w:val="008F7721"/>
    <w:rsid w:val="009108A2"/>
    <w:rsid w:val="009116EA"/>
    <w:rsid w:val="009214ED"/>
    <w:rsid w:val="0092175B"/>
    <w:rsid w:val="00922F16"/>
    <w:rsid w:val="00923118"/>
    <w:rsid w:val="009236B3"/>
    <w:rsid w:val="0092442D"/>
    <w:rsid w:val="00927A93"/>
    <w:rsid w:val="0093058C"/>
    <w:rsid w:val="00930D74"/>
    <w:rsid w:val="009319E6"/>
    <w:rsid w:val="00931A4C"/>
    <w:rsid w:val="00935B3E"/>
    <w:rsid w:val="00941743"/>
    <w:rsid w:val="00942805"/>
    <w:rsid w:val="00962266"/>
    <w:rsid w:val="009627BF"/>
    <w:rsid w:val="00964C5E"/>
    <w:rsid w:val="00964E1E"/>
    <w:rsid w:val="00966915"/>
    <w:rsid w:val="00971BCB"/>
    <w:rsid w:val="00971CC6"/>
    <w:rsid w:val="00971CDC"/>
    <w:rsid w:val="00976085"/>
    <w:rsid w:val="00981B43"/>
    <w:rsid w:val="009938C7"/>
    <w:rsid w:val="00994A8E"/>
    <w:rsid w:val="009A3D2D"/>
    <w:rsid w:val="009B2DD6"/>
    <w:rsid w:val="009B7708"/>
    <w:rsid w:val="009C03D2"/>
    <w:rsid w:val="009C3200"/>
    <w:rsid w:val="009C58C5"/>
    <w:rsid w:val="009D27B2"/>
    <w:rsid w:val="009D2889"/>
    <w:rsid w:val="009D590E"/>
    <w:rsid w:val="009D7564"/>
    <w:rsid w:val="009E393F"/>
    <w:rsid w:val="009E759F"/>
    <w:rsid w:val="009F04BE"/>
    <w:rsid w:val="009F297B"/>
    <w:rsid w:val="009F2A4E"/>
    <w:rsid w:val="009F44D6"/>
    <w:rsid w:val="00A02B7E"/>
    <w:rsid w:val="00A066E5"/>
    <w:rsid w:val="00A16000"/>
    <w:rsid w:val="00A21805"/>
    <w:rsid w:val="00A23C23"/>
    <w:rsid w:val="00A24BA4"/>
    <w:rsid w:val="00A2728A"/>
    <w:rsid w:val="00A27572"/>
    <w:rsid w:val="00A27C22"/>
    <w:rsid w:val="00A31522"/>
    <w:rsid w:val="00A4234C"/>
    <w:rsid w:val="00A46D85"/>
    <w:rsid w:val="00A46E4E"/>
    <w:rsid w:val="00A509F9"/>
    <w:rsid w:val="00A54607"/>
    <w:rsid w:val="00A557FD"/>
    <w:rsid w:val="00A60DE2"/>
    <w:rsid w:val="00A62D26"/>
    <w:rsid w:val="00A6454C"/>
    <w:rsid w:val="00A65AF2"/>
    <w:rsid w:val="00A71361"/>
    <w:rsid w:val="00A77B05"/>
    <w:rsid w:val="00A8164F"/>
    <w:rsid w:val="00A83FC3"/>
    <w:rsid w:val="00A8459B"/>
    <w:rsid w:val="00AA5B7B"/>
    <w:rsid w:val="00AA789B"/>
    <w:rsid w:val="00AC567A"/>
    <w:rsid w:val="00AC718D"/>
    <w:rsid w:val="00AC72E8"/>
    <w:rsid w:val="00AD177A"/>
    <w:rsid w:val="00AE18DA"/>
    <w:rsid w:val="00AE5B9E"/>
    <w:rsid w:val="00AE65A0"/>
    <w:rsid w:val="00AE7499"/>
    <w:rsid w:val="00AF0F57"/>
    <w:rsid w:val="00AF3E32"/>
    <w:rsid w:val="00AF502C"/>
    <w:rsid w:val="00AF6168"/>
    <w:rsid w:val="00AF6EA8"/>
    <w:rsid w:val="00AF7AB5"/>
    <w:rsid w:val="00B00CDD"/>
    <w:rsid w:val="00B01AC7"/>
    <w:rsid w:val="00B0375C"/>
    <w:rsid w:val="00B206C5"/>
    <w:rsid w:val="00B22686"/>
    <w:rsid w:val="00B3717C"/>
    <w:rsid w:val="00B42C85"/>
    <w:rsid w:val="00B4572B"/>
    <w:rsid w:val="00B52BF0"/>
    <w:rsid w:val="00B573EE"/>
    <w:rsid w:val="00B6039C"/>
    <w:rsid w:val="00B61682"/>
    <w:rsid w:val="00B639ED"/>
    <w:rsid w:val="00B63C02"/>
    <w:rsid w:val="00B63C87"/>
    <w:rsid w:val="00B67FF5"/>
    <w:rsid w:val="00B73794"/>
    <w:rsid w:val="00B7616F"/>
    <w:rsid w:val="00B81036"/>
    <w:rsid w:val="00B83084"/>
    <w:rsid w:val="00B8370D"/>
    <w:rsid w:val="00B848C1"/>
    <w:rsid w:val="00B84989"/>
    <w:rsid w:val="00B85208"/>
    <w:rsid w:val="00B90609"/>
    <w:rsid w:val="00B92B35"/>
    <w:rsid w:val="00B94D46"/>
    <w:rsid w:val="00B96527"/>
    <w:rsid w:val="00BA0DD3"/>
    <w:rsid w:val="00BA0DFB"/>
    <w:rsid w:val="00BA59CA"/>
    <w:rsid w:val="00BB15A9"/>
    <w:rsid w:val="00BB50C6"/>
    <w:rsid w:val="00BB5477"/>
    <w:rsid w:val="00BC2284"/>
    <w:rsid w:val="00BC4854"/>
    <w:rsid w:val="00BC7410"/>
    <w:rsid w:val="00BC77A2"/>
    <w:rsid w:val="00BD25AB"/>
    <w:rsid w:val="00BD2E6D"/>
    <w:rsid w:val="00BD3F2A"/>
    <w:rsid w:val="00BD6B27"/>
    <w:rsid w:val="00BE03ED"/>
    <w:rsid w:val="00BE08CC"/>
    <w:rsid w:val="00BE323A"/>
    <w:rsid w:val="00BE5F6A"/>
    <w:rsid w:val="00BE640A"/>
    <w:rsid w:val="00BE668C"/>
    <w:rsid w:val="00BF5EA4"/>
    <w:rsid w:val="00C00276"/>
    <w:rsid w:val="00C039CA"/>
    <w:rsid w:val="00C041E4"/>
    <w:rsid w:val="00C07D03"/>
    <w:rsid w:val="00C12078"/>
    <w:rsid w:val="00C13F5B"/>
    <w:rsid w:val="00C14EC0"/>
    <w:rsid w:val="00C17CAC"/>
    <w:rsid w:val="00C21CFB"/>
    <w:rsid w:val="00C27606"/>
    <w:rsid w:val="00C3591D"/>
    <w:rsid w:val="00C361D8"/>
    <w:rsid w:val="00C36A6A"/>
    <w:rsid w:val="00C41FE0"/>
    <w:rsid w:val="00C52382"/>
    <w:rsid w:val="00C60D37"/>
    <w:rsid w:val="00C6286C"/>
    <w:rsid w:val="00C70403"/>
    <w:rsid w:val="00C723A6"/>
    <w:rsid w:val="00C766A7"/>
    <w:rsid w:val="00C768BE"/>
    <w:rsid w:val="00C76D3D"/>
    <w:rsid w:val="00C841B0"/>
    <w:rsid w:val="00C84EAD"/>
    <w:rsid w:val="00C8574B"/>
    <w:rsid w:val="00C8595F"/>
    <w:rsid w:val="00C90970"/>
    <w:rsid w:val="00C96A65"/>
    <w:rsid w:val="00C96D22"/>
    <w:rsid w:val="00CA2F88"/>
    <w:rsid w:val="00CA3F32"/>
    <w:rsid w:val="00CA451B"/>
    <w:rsid w:val="00CA6D48"/>
    <w:rsid w:val="00CB5E06"/>
    <w:rsid w:val="00CC0C9A"/>
    <w:rsid w:val="00CD1AD8"/>
    <w:rsid w:val="00CD2651"/>
    <w:rsid w:val="00CE105C"/>
    <w:rsid w:val="00CE70F1"/>
    <w:rsid w:val="00CF0D8B"/>
    <w:rsid w:val="00CF5EA4"/>
    <w:rsid w:val="00D0164F"/>
    <w:rsid w:val="00D11114"/>
    <w:rsid w:val="00D17A27"/>
    <w:rsid w:val="00D20A26"/>
    <w:rsid w:val="00D25D70"/>
    <w:rsid w:val="00D25F2B"/>
    <w:rsid w:val="00D300A8"/>
    <w:rsid w:val="00D35D87"/>
    <w:rsid w:val="00D37183"/>
    <w:rsid w:val="00D51C26"/>
    <w:rsid w:val="00D54A2C"/>
    <w:rsid w:val="00D54A46"/>
    <w:rsid w:val="00D64A3F"/>
    <w:rsid w:val="00D6542C"/>
    <w:rsid w:val="00D7536B"/>
    <w:rsid w:val="00D800C1"/>
    <w:rsid w:val="00D847FD"/>
    <w:rsid w:val="00D851E6"/>
    <w:rsid w:val="00D874E8"/>
    <w:rsid w:val="00D9173E"/>
    <w:rsid w:val="00D91F0D"/>
    <w:rsid w:val="00D92FD9"/>
    <w:rsid w:val="00D974C9"/>
    <w:rsid w:val="00DB440E"/>
    <w:rsid w:val="00DB4E0D"/>
    <w:rsid w:val="00DB5AB6"/>
    <w:rsid w:val="00DB7A54"/>
    <w:rsid w:val="00DC7851"/>
    <w:rsid w:val="00DD7D8F"/>
    <w:rsid w:val="00DE32C2"/>
    <w:rsid w:val="00DF39CC"/>
    <w:rsid w:val="00DF63FC"/>
    <w:rsid w:val="00DF699D"/>
    <w:rsid w:val="00DF78A2"/>
    <w:rsid w:val="00E05EA9"/>
    <w:rsid w:val="00E11E32"/>
    <w:rsid w:val="00E1341A"/>
    <w:rsid w:val="00E15044"/>
    <w:rsid w:val="00E16C7A"/>
    <w:rsid w:val="00E200AF"/>
    <w:rsid w:val="00E23D9E"/>
    <w:rsid w:val="00E25FDE"/>
    <w:rsid w:val="00E30AE3"/>
    <w:rsid w:val="00E35758"/>
    <w:rsid w:val="00E37271"/>
    <w:rsid w:val="00E37612"/>
    <w:rsid w:val="00E45E13"/>
    <w:rsid w:val="00E5194E"/>
    <w:rsid w:val="00E51E65"/>
    <w:rsid w:val="00E52AC1"/>
    <w:rsid w:val="00E66533"/>
    <w:rsid w:val="00E702EB"/>
    <w:rsid w:val="00E82292"/>
    <w:rsid w:val="00E84BD4"/>
    <w:rsid w:val="00E92CFC"/>
    <w:rsid w:val="00E93EFF"/>
    <w:rsid w:val="00E9423B"/>
    <w:rsid w:val="00E9525A"/>
    <w:rsid w:val="00EA0E7B"/>
    <w:rsid w:val="00EB7AE5"/>
    <w:rsid w:val="00EB7E13"/>
    <w:rsid w:val="00EC31E4"/>
    <w:rsid w:val="00EC62D0"/>
    <w:rsid w:val="00ED280A"/>
    <w:rsid w:val="00ED5E68"/>
    <w:rsid w:val="00EE2A0A"/>
    <w:rsid w:val="00EE38FE"/>
    <w:rsid w:val="00EE4D9F"/>
    <w:rsid w:val="00EE7065"/>
    <w:rsid w:val="00EF2C9C"/>
    <w:rsid w:val="00EF41DA"/>
    <w:rsid w:val="00F02C64"/>
    <w:rsid w:val="00F05241"/>
    <w:rsid w:val="00F11174"/>
    <w:rsid w:val="00F11262"/>
    <w:rsid w:val="00F15071"/>
    <w:rsid w:val="00F15980"/>
    <w:rsid w:val="00F21AA0"/>
    <w:rsid w:val="00F3002D"/>
    <w:rsid w:val="00F333DA"/>
    <w:rsid w:val="00F413E3"/>
    <w:rsid w:val="00F50066"/>
    <w:rsid w:val="00F577D5"/>
    <w:rsid w:val="00F7338C"/>
    <w:rsid w:val="00F74C0B"/>
    <w:rsid w:val="00F754E1"/>
    <w:rsid w:val="00F76405"/>
    <w:rsid w:val="00F8207A"/>
    <w:rsid w:val="00F825D3"/>
    <w:rsid w:val="00F85C7B"/>
    <w:rsid w:val="00F86FE0"/>
    <w:rsid w:val="00FA3032"/>
    <w:rsid w:val="00FB15AF"/>
    <w:rsid w:val="00FB2E7E"/>
    <w:rsid w:val="00FB476F"/>
    <w:rsid w:val="00FB748E"/>
    <w:rsid w:val="00FB7E95"/>
    <w:rsid w:val="00FC004F"/>
    <w:rsid w:val="00FC7674"/>
    <w:rsid w:val="00FD4462"/>
    <w:rsid w:val="00FD4E42"/>
    <w:rsid w:val="00FE086E"/>
    <w:rsid w:val="00FE2CD0"/>
    <w:rsid w:val="00FE37D2"/>
    <w:rsid w:val="00FE6D47"/>
    <w:rsid w:val="00FE7775"/>
    <w:rsid w:val="00FF03AB"/>
    <w:rsid w:val="00FF38EF"/>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basedOn w:val="Normal"/>
    <w:link w:val="TextonotapieCar"/>
    <w:uiPriority w:val="99"/>
    <w:semiHidden/>
    <w:unhideWhenUsed/>
    <w:rsid w:val="004F64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6497"/>
    <w:rPr>
      <w:rFonts w:ascii="Times New Roman" w:hAnsi="Times New Roman"/>
      <w:sz w:val="20"/>
      <w:szCs w:val="20"/>
    </w:rPr>
  </w:style>
  <w:style w:type="character" w:styleId="Refdenotaalpie">
    <w:name w:val="footnote reference"/>
    <w:basedOn w:val="Fuentedeprrafopredeter"/>
    <w:uiPriority w:val="99"/>
    <w:semiHidden/>
    <w:unhideWhenUsed/>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3C2F-3AEC-47D7-B214-0E1C3965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28</Pages>
  <Words>9240</Words>
  <Characters>50823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Sanchez Alva</dc:creator>
  <cp:keywords/>
  <dc:description/>
  <cp:lastModifiedBy>Adriana Williams Hernandez</cp:lastModifiedBy>
  <cp:revision>39</cp:revision>
  <dcterms:created xsi:type="dcterms:W3CDTF">2019-04-23T15:12:00Z</dcterms:created>
  <dcterms:modified xsi:type="dcterms:W3CDTF">2019-04-30T18:11:00Z</dcterms:modified>
</cp:coreProperties>
</file>