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8AC0A" w14:textId="68106C63" w:rsidR="007F747E" w:rsidRPr="009A5657" w:rsidRDefault="007F747E" w:rsidP="008B1ABB">
      <w:pPr>
        <w:spacing w:after="0" w:line="240" w:lineRule="auto"/>
        <w:jc w:val="both"/>
        <w:rPr>
          <w:rFonts w:ascii="ITC Avant Garde" w:eastAsia="Times New Roman" w:hAnsi="ITC Avant Garde" w:cs="Tahoma"/>
          <w:b/>
          <w:bCs/>
          <w:lang w:eastAsia="es-MX"/>
        </w:rPr>
      </w:pPr>
      <w:r w:rsidRPr="007F747E">
        <w:rPr>
          <w:rFonts w:ascii="ITC Avant Garde" w:eastAsia="Times New Roman" w:hAnsi="ITC Avant Garde" w:cs="Tahoma"/>
          <w:b/>
          <w:bCs/>
          <w:lang w:val="es-ES_tradnl" w:eastAsia="es-MX"/>
        </w:rPr>
        <w:t xml:space="preserve">ACUERDO MEDIANTE EL CUAL EL PLENO DEL INSTITUTO FEDERAL DE TELECOMUNICACIONES DETERMINA SOMETER A CONSULTA PÚBLICA EL “ANTEPROYECTO DE </w:t>
      </w:r>
      <w:r w:rsidR="00B26E50" w:rsidRPr="00F73389">
        <w:rPr>
          <w:rFonts w:ascii="ITC Avant Garde" w:eastAsia="Times New Roman" w:hAnsi="ITC Avant Garde" w:cs="Tahoma"/>
          <w:b/>
          <w:bCs/>
          <w:lang w:val="es-ES_tradnl" w:eastAsia="es-MX"/>
        </w:rPr>
        <w:t xml:space="preserve">DISPOSICIÓN TÉCNICA </w:t>
      </w:r>
      <w:r w:rsidR="009A5657" w:rsidRPr="009A5657">
        <w:rPr>
          <w:rFonts w:ascii="ITC Avant Garde" w:eastAsia="Times New Roman" w:hAnsi="ITC Avant Garde" w:cs="Tahoma"/>
          <w:b/>
          <w:bCs/>
          <w:lang w:eastAsia="es-MX"/>
        </w:rPr>
        <w:t>IFT-015-2018</w:t>
      </w:r>
      <w:r w:rsidR="00B26E50" w:rsidRPr="00F73389">
        <w:rPr>
          <w:rFonts w:ascii="ITC Avant Garde" w:eastAsia="Times New Roman" w:hAnsi="ITC Avant Garde" w:cs="Tahoma"/>
          <w:b/>
          <w:bCs/>
          <w:lang w:val="es-ES_tradnl" w:eastAsia="es-MX"/>
        </w:rPr>
        <w:t xml:space="preserve">: </w:t>
      </w:r>
      <w:r w:rsidR="009A5657" w:rsidRPr="009A5657">
        <w:rPr>
          <w:rFonts w:ascii="ITC Avant Garde" w:eastAsia="Times New Roman" w:hAnsi="ITC Avant Garde" w:cs="Tahoma"/>
          <w:b/>
          <w:bCs/>
          <w:lang w:eastAsia="es-MX"/>
        </w:rPr>
        <w:t>ESPECIFICACIONES TÉCNICAS DE LOS EQUIPOS TRANSMISORES DESTINADOS AL</w:t>
      </w:r>
      <w:r w:rsidR="00576206">
        <w:rPr>
          <w:rFonts w:ascii="ITC Avant Garde" w:eastAsia="Times New Roman" w:hAnsi="ITC Avant Garde" w:cs="Tahoma"/>
          <w:b/>
          <w:bCs/>
          <w:lang w:eastAsia="es-MX"/>
        </w:rPr>
        <w:t xml:space="preserve"> </w:t>
      </w:r>
      <w:r w:rsidR="009A5657" w:rsidRPr="009A5657">
        <w:rPr>
          <w:rFonts w:ascii="ITC Avant Garde" w:eastAsia="Times New Roman" w:hAnsi="ITC Avant Garde" w:cs="Tahoma"/>
          <w:b/>
          <w:bCs/>
          <w:lang w:eastAsia="es-MX"/>
        </w:rPr>
        <w:t>SERVICIO MÓVIL DE RADIOCOMUNICA</w:t>
      </w:r>
      <w:r w:rsidR="009A5657">
        <w:rPr>
          <w:rFonts w:ascii="ITC Avant Garde" w:eastAsia="Times New Roman" w:hAnsi="ITC Avant Garde" w:cs="Tahoma"/>
          <w:b/>
          <w:bCs/>
          <w:lang w:eastAsia="es-MX"/>
        </w:rPr>
        <w:t>CIÓN ESPECIALIZADA DE FLOTILLAS</w:t>
      </w:r>
      <w:r w:rsidR="00B26E50" w:rsidRPr="00F73389">
        <w:rPr>
          <w:rFonts w:ascii="ITC Avant Garde" w:eastAsia="Times New Roman" w:hAnsi="ITC Avant Garde" w:cs="Tahoma"/>
          <w:b/>
          <w:bCs/>
          <w:lang w:val="es-ES_tradnl" w:eastAsia="es-MX"/>
        </w:rPr>
        <w:t>.</w:t>
      </w:r>
      <w:r w:rsidRPr="007F747E">
        <w:rPr>
          <w:rFonts w:ascii="ITC Avant Garde" w:eastAsia="Times New Roman" w:hAnsi="ITC Avant Garde" w:cs="Tahoma"/>
          <w:b/>
          <w:bCs/>
          <w:lang w:val="es-ES_tradnl" w:eastAsia="es-MX"/>
        </w:rPr>
        <w:t>”</w:t>
      </w:r>
    </w:p>
    <w:p w14:paraId="705CD88B" w14:textId="32F5FE59" w:rsidR="007F747E" w:rsidRDefault="007F747E" w:rsidP="008B1ABB">
      <w:pPr>
        <w:spacing w:after="0" w:line="240" w:lineRule="auto"/>
        <w:jc w:val="both"/>
        <w:rPr>
          <w:rFonts w:ascii="ITC Avant Garde" w:eastAsia="Times New Roman" w:hAnsi="ITC Avant Garde" w:cs="Times New Roman"/>
          <w:sz w:val="20"/>
          <w:lang w:eastAsia="es-ES"/>
        </w:rPr>
      </w:pPr>
    </w:p>
    <w:p w14:paraId="222B79C5" w14:textId="77777777" w:rsidR="008B1ABB" w:rsidRPr="00886408" w:rsidRDefault="008B1ABB" w:rsidP="008B1ABB">
      <w:pPr>
        <w:spacing w:after="0" w:line="240" w:lineRule="auto"/>
        <w:jc w:val="both"/>
        <w:rPr>
          <w:rFonts w:ascii="ITC Avant Garde" w:eastAsia="Times New Roman" w:hAnsi="ITC Avant Garde" w:cs="Times New Roman"/>
          <w:sz w:val="20"/>
          <w:lang w:eastAsia="es-ES"/>
        </w:rPr>
      </w:pPr>
    </w:p>
    <w:p w14:paraId="34EC2F54" w14:textId="77777777" w:rsidR="007F747E" w:rsidRPr="007F747E" w:rsidRDefault="007F747E" w:rsidP="008B1ABB">
      <w:pPr>
        <w:spacing w:after="0" w:line="240" w:lineRule="auto"/>
        <w:jc w:val="center"/>
        <w:rPr>
          <w:rFonts w:ascii="ITC Avant Garde" w:eastAsia="Times New Roman" w:hAnsi="ITC Avant Garde" w:cs="Arial"/>
          <w:b/>
          <w:bCs/>
          <w:lang w:val="es-ES_tradnl" w:eastAsia="es-MX"/>
        </w:rPr>
      </w:pPr>
      <w:r w:rsidRPr="007F747E">
        <w:rPr>
          <w:rFonts w:ascii="ITC Avant Garde" w:eastAsia="Times New Roman" w:hAnsi="ITC Avant Garde" w:cs="Arial"/>
          <w:b/>
          <w:bCs/>
          <w:lang w:val="es-ES_tradnl" w:eastAsia="es-MX"/>
        </w:rPr>
        <w:t>ANTECEDENTES</w:t>
      </w:r>
    </w:p>
    <w:p w14:paraId="63E07378" w14:textId="30B597C0" w:rsidR="007F747E" w:rsidRDefault="007F747E" w:rsidP="008B1ABB">
      <w:pPr>
        <w:spacing w:after="0" w:line="240" w:lineRule="auto"/>
        <w:jc w:val="center"/>
        <w:rPr>
          <w:rFonts w:ascii="ITC Avant Garde" w:eastAsia="Times New Roman" w:hAnsi="ITC Avant Garde" w:cs="Arial"/>
          <w:b/>
          <w:bCs/>
          <w:sz w:val="20"/>
          <w:lang w:val="es-ES_tradnl" w:eastAsia="es-MX"/>
        </w:rPr>
      </w:pPr>
    </w:p>
    <w:p w14:paraId="418B781E" w14:textId="77777777" w:rsidR="008B1ABB" w:rsidRPr="00886408" w:rsidRDefault="008B1ABB" w:rsidP="008B1ABB">
      <w:pPr>
        <w:spacing w:after="0" w:line="240" w:lineRule="auto"/>
        <w:jc w:val="center"/>
        <w:rPr>
          <w:rFonts w:ascii="ITC Avant Garde" w:eastAsia="Times New Roman" w:hAnsi="ITC Avant Garde" w:cs="Arial"/>
          <w:b/>
          <w:bCs/>
          <w:sz w:val="20"/>
          <w:lang w:val="es-ES_tradnl" w:eastAsia="es-MX"/>
        </w:rPr>
      </w:pPr>
    </w:p>
    <w:p w14:paraId="6CCF9BBA" w14:textId="21299A34" w:rsidR="00E87E25" w:rsidRPr="008B1ABB" w:rsidRDefault="00E87E25" w:rsidP="008B1ABB">
      <w:pPr>
        <w:numPr>
          <w:ilvl w:val="0"/>
          <w:numId w:val="1"/>
        </w:numPr>
        <w:spacing w:after="0" w:line="240" w:lineRule="auto"/>
        <w:jc w:val="both"/>
        <w:rPr>
          <w:rFonts w:ascii="ITC Avant Garde" w:eastAsia="Times New Roman" w:hAnsi="ITC Avant Garde" w:cs="Times New Roman"/>
          <w:lang w:val="es-ES" w:eastAsia="es-ES"/>
        </w:rPr>
      </w:pPr>
      <w:r w:rsidRPr="0082197B">
        <w:rPr>
          <w:rFonts w:ascii="ITC Avant Garde" w:eastAsia="Times New Roman" w:hAnsi="ITC Avant Garde" w:cs="Times New Roman"/>
          <w:lang w:eastAsia="es-ES"/>
        </w:rPr>
        <w:t>El 17 de abril de 2003 se publicó en el DOF la Norma Oficial Mexicana NOM-084-SCT1-2002, “Telecomunicaciones-Radiocomunicación-Especificaciones técnicas de los equipos transmisores destinados al servicio móvil de radiocomunicación especializada de flotillas”, la cual tiene por objeto establecer las especificaciones y métodos de prueba a que deben sujetarse los equipos para el servicio móvil de radiocomunicación especializada de flotillas</w:t>
      </w:r>
      <w:r>
        <w:rPr>
          <w:rFonts w:ascii="ITC Avant Garde" w:eastAsia="Times New Roman" w:hAnsi="ITC Avant Garde" w:cs="Times New Roman"/>
          <w:lang w:eastAsia="es-ES"/>
        </w:rPr>
        <w:t>.</w:t>
      </w:r>
    </w:p>
    <w:p w14:paraId="540D8FC3" w14:textId="77777777" w:rsidR="008B1ABB" w:rsidRPr="008B1ABB" w:rsidRDefault="008B1ABB" w:rsidP="008B1ABB">
      <w:pPr>
        <w:spacing w:after="0" w:line="240" w:lineRule="auto"/>
        <w:ind w:left="360"/>
        <w:jc w:val="both"/>
        <w:rPr>
          <w:rFonts w:ascii="ITC Avant Garde" w:eastAsia="Times New Roman" w:hAnsi="ITC Avant Garde" w:cs="Times New Roman"/>
          <w:sz w:val="20"/>
          <w:lang w:val="es-ES" w:eastAsia="es-ES"/>
        </w:rPr>
      </w:pPr>
    </w:p>
    <w:p w14:paraId="34BAA726" w14:textId="3E917202" w:rsidR="00FE16AF" w:rsidRPr="00F73389" w:rsidRDefault="007F747E" w:rsidP="008B1ABB">
      <w:pPr>
        <w:numPr>
          <w:ilvl w:val="0"/>
          <w:numId w:val="1"/>
        </w:numPr>
        <w:spacing w:after="0" w:line="240" w:lineRule="auto"/>
        <w:jc w:val="both"/>
        <w:rPr>
          <w:rFonts w:ascii="ITC Avant Garde" w:eastAsia="Times New Roman" w:hAnsi="ITC Avant Garde" w:cs="Times New Roman"/>
          <w:lang w:val="es-ES" w:eastAsia="es-ES"/>
        </w:rPr>
      </w:pPr>
      <w:r w:rsidRPr="007F747E">
        <w:rPr>
          <w:rFonts w:ascii="ITC Avant Garde" w:eastAsia="Times New Roman" w:hAnsi="ITC Avant Garde" w:cs="Times New Roman"/>
          <w:lang w:val="es-ES" w:eastAsia="es-ES"/>
        </w:rPr>
        <w:t xml:space="preserve">El 11 de junio de 2013 se publicó en el Diario Oficial de la Federación (en lo sucesivo, el “DOF”) el </w:t>
      </w:r>
      <w:r w:rsidRPr="007F747E">
        <w:rPr>
          <w:rFonts w:ascii="ITC Avant Garde" w:eastAsia="Times New Roman" w:hAnsi="ITC Avant Garde" w:cs="Times New Roman"/>
          <w:i/>
          <w:lang w:val="es-ES" w:eastAsia="es-ES"/>
        </w:rPr>
        <w:t>"Decreto por el que se reforman y adicionan diversas disposiciones de los artículos 6o., 7o., 27, 28, 73, 78, 94 y 105 de la Constitución Política de los Estados Unidos Mexicanos, en materia de telecomunicaciones"</w:t>
      </w:r>
      <w:r w:rsidRPr="007F747E">
        <w:rPr>
          <w:rFonts w:ascii="ITC Avant Garde" w:eastAsia="Times New Roman" w:hAnsi="ITC Avant Garde" w:cs="Times New Roman"/>
          <w:lang w:val="es-ES" w:eastAsia="es-ES"/>
        </w:rPr>
        <w:t>, (en lo sucesivo, el "Decreto Constitucional"), mediante el cual se creó el Instituto Federal de Telecomunicaciones (en lo sucesivo, el "Instituto"), como un órgano autónomo con personalidad jurídica y patrimonio propio</w:t>
      </w:r>
      <w:r w:rsidR="00FE16AF" w:rsidRPr="00F73389">
        <w:rPr>
          <w:rFonts w:ascii="ITC Avant Garde" w:eastAsia="Times New Roman" w:hAnsi="ITC Avant Garde" w:cs="Times New Roman"/>
          <w:lang w:val="es-ES" w:eastAsia="es-ES"/>
        </w:rPr>
        <w:t xml:space="preserve">s, cuyo objeto es regular, promover y supervisar el uso, aprovechamiento y explotación del espectro radioeléctrico, las redes y la prestación de los servicios de radiodifusión y telecomunicaciones, además de ser la autoridad en materia de competencia económica en los sectores a que se hace referencia. </w:t>
      </w:r>
    </w:p>
    <w:p w14:paraId="77AB2D80" w14:textId="77777777" w:rsidR="00FE16AF" w:rsidRPr="00886408" w:rsidRDefault="00FE16AF" w:rsidP="008B1ABB">
      <w:pPr>
        <w:spacing w:after="0" w:line="240" w:lineRule="auto"/>
        <w:ind w:left="1080"/>
        <w:jc w:val="both"/>
        <w:rPr>
          <w:rFonts w:ascii="ITC Avant Garde" w:eastAsia="Times New Roman" w:hAnsi="ITC Avant Garde" w:cs="Times New Roman"/>
          <w:sz w:val="20"/>
          <w:lang w:val="es-ES" w:eastAsia="es-ES"/>
        </w:rPr>
      </w:pPr>
    </w:p>
    <w:p w14:paraId="7CFD7963" w14:textId="20185FFF" w:rsidR="00FE16AF" w:rsidRPr="00F73389" w:rsidRDefault="007F747E" w:rsidP="008B1ABB">
      <w:pPr>
        <w:numPr>
          <w:ilvl w:val="0"/>
          <w:numId w:val="1"/>
        </w:numPr>
        <w:spacing w:after="0" w:line="240" w:lineRule="auto"/>
        <w:jc w:val="both"/>
        <w:rPr>
          <w:rFonts w:ascii="ITC Avant Garde" w:eastAsia="Times New Roman" w:hAnsi="ITC Avant Garde" w:cs="Times New Roman"/>
          <w:lang w:val="es-ES" w:eastAsia="es-ES"/>
        </w:rPr>
      </w:pPr>
      <w:r w:rsidRPr="007F747E">
        <w:rPr>
          <w:rFonts w:ascii="ITC Avant Garde" w:eastAsia="Times New Roman" w:hAnsi="ITC Avant Garde" w:cs="Times New Roman"/>
          <w:lang w:val="es-ES" w:eastAsia="es-ES"/>
        </w:rPr>
        <w:t>El 14 de julio de 2014</w:t>
      </w:r>
      <w:r w:rsidR="00FE16AF" w:rsidRPr="00F73389">
        <w:rPr>
          <w:rFonts w:ascii="ITC Avant Garde" w:eastAsia="Times New Roman" w:hAnsi="ITC Avant Garde" w:cs="Times New Roman"/>
          <w:lang w:val="es-ES" w:eastAsia="es-ES"/>
        </w:rPr>
        <w:t xml:space="preserve">, se publicó en el DOF el </w:t>
      </w:r>
      <w:r w:rsidR="00FE16AF" w:rsidRPr="00F73389">
        <w:rPr>
          <w:rFonts w:ascii="ITC Avant Garde" w:eastAsia="Times New Roman" w:hAnsi="ITC Avant Garde" w:cs="Times New Roman"/>
          <w:i/>
          <w:lang w:val="es-ES" w:eastAsia="es-ES"/>
        </w:rPr>
        <w:t>“Decreto por el que se expiden la Ley Federal de Telecomunicaciones y Radiodifusión, y la Ley del Sistema Público de Radiodifusión del Estado Mexicano; y se reforman, adicionan y derogan diversas disposiciones en materia de telecomunicaciones y radiodifusión”</w:t>
      </w:r>
      <w:r w:rsidR="00FE16AF" w:rsidRPr="00F73389">
        <w:rPr>
          <w:rFonts w:ascii="ITC Avant Garde" w:eastAsia="Times New Roman" w:hAnsi="ITC Avant Garde" w:cs="Times New Roman"/>
          <w:lang w:val="es-ES" w:eastAsia="es-ES"/>
        </w:rPr>
        <w:t xml:space="preserve"> (en lo sucesivo, la “LFTR”), ordenamiento que entró en vigor treinta días naturales siguientes a su publicación, es decir, el 13 de agosto de 2014.</w:t>
      </w:r>
    </w:p>
    <w:p w14:paraId="2326CEC4" w14:textId="77777777" w:rsidR="007F747E" w:rsidRPr="00886408" w:rsidRDefault="007F747E" w:rsidP="008B1ABB">
      <w:pPr>
        <w:spacing w:after="0" w:line="240" w:lineRule="auto"/>
        <w:ind w:left="708"/>
        <w:rPr>
          <w:rFonts w:ascii="ITC Avant Garde" w:eastAsia="Times New Roman" w:hAnsi="ITC Avant Garde" w:cs="Times New Roman"/>
          <w:bCs/>
          <w:sz w:val="20"/>
          <w:lang w:val="es-ES_tradnl" w:eastAsia="es-MX"/>
        </w:rPr>
      </w:pPr>
    </w:p>
    <w:p w14:paraId="33132BB8" w14:textId="574040A0" w:rsidR="00A714C4" w:rsidRDefault="007F747E" w:rsidP="008B1ABB">
      <w:pPr>
        <w:numPr>
          <w:ilvl w:val="0"/>
          <w:numId w:val="1"/>
        </w:numPr>
        <w:spacing w:after="0" w:line="240" w:lineRule="auto"/>
        <w:jc w:val="both"/>
        <w:rPr>
          <w:rFonts w:ascii="ITC Avant Garde" w:eastAsia="Times New Roman" w:hAnsi="ITC Avant Garde" w:cs="Times New Roman"/>
          <w:lang w:val="es-ES" w:eastAsia="es-ES"/>
        </w:rPr>
      </w:pPr>
      <w:r w:rsidRPr="007F747E">
        <w:rPr>
          <w:rFonts w:ascii="ITC Avant Garde" w:eastAsia="Times New Roman" w:hAnsi="ITC Avant Garde" w:cs="Times New Roman"/>
          <w:lang w:val="es-ES" w:eastAsia="es-ES"/>
        </w:rPr>
        <w:t xml:space="preserve">El 4 de septiembre de 2014, se publicó en el DOF el Estatuto Orgánico del Instituto Federal de Telecomunicaciones (en lo sucesivo, el "Estatuto Orgánico"), </w:t>
      </w:r>
      <w:r w:rsidR="00D97714" w:rsidRPr="00D97714">
        <w:rPr>
          <w:rFonts w:ascii="ITC Avant Garde" w:eastAsia="Times New Roman" w:hAnsi="ITC Avant Garde" w:cs="Times New Roman"/>
          <w:lang w:val="es-ES_tradnl" w:eastAsia="es-ES"/>
        </w:rPr>
        <w:t>mismo que entró en vigor el 26 de septiembre de 2014; el 20 de julio de 2017 se publicó en el citado medio de difusión</w:t>
      </w:r>
      <w:r w:rsidR="00D97714">
        <w:rPr>
          <w:rFonts w:ascii="ITC Avant Garde" w:eastAsia="Times New Roman" w:hAnsi="ITC Avant Garde" w:cs="Times New Roman"/>
          <w:lang w:val="es-ES_tradnl" w:eastAsia="es-ES"/>
        </w:rPr>
        <w:t xml:space="preserve"> oficial su última modificación</w:t>
      </w:r>
      <w:r w:rsidR="00E87E25">
        <w:rPr>
          <w:rFonts w:ascii="ITC Avant Garde" w:eastAsia="Times New Roman" w:hAnsi="ITC Avant Garde" w:cs="Times New Roman"/>
          <w:lang w:val="es-ES" w:eastAsia="es-ES"/>
        </w:rPr>
        <w:t>.</w:t>
      </w:r>
    </w:p>
    <w:p w14:paraId="6101C9D1" w14:textId="77777777" w:rsidR="008B1ABB" w:rsidRDefault="008B1ABB" w:rsidP="008B1ABB">
      <w:pPr>
        <w:pStyle w:val="Prrafodelista"/>
        <w:rPr>
          <w:rFonts w:ascii="ITC Avant Garde" w:eastAsia="Times New Roman" w:hAnsi="ITC Avant Garde" w:cs="Times New Roman"/>
          <w:lang w:val="es-ES" w:eastAsia="es-ES"/>
        </w:rPr>
      </w:pPr>
    </w:p>
    <w:p w14:paraId="56FC2426" w14:textId="77777777" w:rsidR="008B1ABB" w:rsidRPr="00E87E25" w:rsidRDefault="008B1ABB" w:rsidP="008B1ABB">
      <w:pPr>
        <w:spacing w:after="0" w:line="240" w:lineRule="auto"/>
        <w:jc w:val="both"/>
        <w:rPr>
          <w:rFonts w:ascii="ITC Avant Garde" w:eastAsia="Times New Roman" w:hAnsi="ITC Avant Garde" w:cs="Times New Roman"/>
          <w:lang w:val="es-ES" w:eastAsia="es-ES"/>
        </w:rPr>
      </w:pPr>
    </w:p>
    <w:p w14:paraId="018102B2" w14:textId="77777777" w:rsidR="007F747E" w:rsidRPr="007F747E" w:rsidRDefault="007F747E" w:rsidP="008B1A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ITC Avant Garde" w:eastAsia="MS Mincho" w:hAnsi="ITC Avant Garde" w:cs="Times New Roman"/>
          <w:b/>
          <w:bCs/>
          <w:lang w:val="es-ES_tradnl" w:eastAsia="es-MX"/>
        </w:rPr>
      </w:pPr>
      <w:r w:rsidRPr="007F747E">
        <w:rPr>
          <w:rFonts w:ascii="ITC Avant Garde" w:eastAsia="MS Mincho" w:hAnsi="ITC Avant Garde" w:cs="Times New Roman"/>
          <w:b/>
          <w:bCs/>
          <w:lang w:val="es-ES_tradnl" w:eastAsia="es-MX"/>
        </w:rPr>
        <w:lastRenderedPageBreak/>
        <w:t xml:space="preserve">C O N S I D E R A N D O </w:t>
      </w:r>
    </w:p>
    <w:p w14:paraId="4D5119C4" w14:textId="77777777" w:rsidR="007F747E" w:rsidRPr="00886408" w:rsidRDefault="007F747E" w:rsidP="008B1ABB">
      <w:pPr>
        <w:spacing w:after="0" w:line="240" w:lineRule="auto"/>
        <w:jc w:val="center"/>
        <w:rPr>
          <w:rFonts w:ascii="ITC Avant Garde" w:eastAsia="Times New Roman" w:hAnsi="ITC Avant Garde" w:cs="Arial"/>
          <w:b/>
          <w:bCs/>
          <w:sz w:val="20"/>
          <w:lang w:val="es-ES_tradnl" w:eastAsia="es-MX"/>
        </w:rPr>
      </w:pPr>
    </w:p>
    <w:p w14:paraId="3B564966" w14:textId="57B55B69" w:rsidR="00642995" w:rsidRPr="00642995" w:rsidRDefault="007F747E" w:rsidP="008B1ABB">
      <w:pPr>
        <w:spacing w:after="0" w:line="240" w:lineRule="auto"/>
        <w:jc w:val="both"/>
        <w:rPr>
          <w:rFonts w:ascii="ITC Avant Garde" w:eastAsia="Times New Roman" w:hAnsi="ITC Avant Garde" w:cs="Times New Roman"/>
          <w:b/>
          <w:bCs/>
          <w:lang w:val="es-ES_tradnl" w:eastAsia="es-MX"/>
        </w:rPr>
      </w:pPr>
      <w:proofErr w:type="gramStart"/>
      <w:r w:rsidRPr="007F747E">
        <w:rPr>
          <w:rFonts w:ascii="ITC Avant Garde" w:eastAsia="Times New Roman" w:hAnsi="ITC Avant Garde" w:cs="Times New Roman"/>
          <w:b/>
          <w:bCs/>
          <w:lang w:val="es-ES_tradnl" w:eastAsia="es-MX"/>
        </w:rPr>
        <w:t>Primero.-</w:t>
      </w:r>
      <w:proofErr w:type="gramEnd"/>
      <w:r w:rsidRPr="007F747E">
        <w:rPr>
          <w:rFonts w:ascii="ITC Avant Garde" w:eastAsia="Times New Roman" w:hAnsi="ITC Avant Garde" w:cs="Times New Roman"/>
          <w:b/>
          <w:bCs/>
          <w:lang w:val="es-ES_tradnl" w:eastAsia="es-MX"/>
        </w:rPr>
        <w:t xml:space="preserve"> Competencia del Instituto.</w:t>
      </w:r>
      <w:r w:rsidR="00642995" w:rsidRPr="00F73389">
        <w:rPr>
          <w:rFonts w:ascii="ITC Avant Garde" w:eastAsia="Times New Roman" w:hAnsi="ITC Avant Garde" w:cs="Times New Roman"/>
          <w:b/>
          <w:bCs/>
          <w:lang w:val="es-ES_tradnl" w:eastAsia="es-MX"/>
        </w:rPr>
        <w:t xml:space="preserve"> </w:t>
      </w:r>
      <w:r w:rsidR="00642995" w:rsidRPr="00642995">
        <w:rPr>
          <w:rFonts w:ascii="ITC Avant Garde" w:eastAsia="Calibri" w:hAnsi="ITC Avant Garde" w:cs="Arial"/>
          <w:bCs/>
        </w:rPr>
        <w:t xml:space="preserve">De conformidad con el artículo 28, </w:t>
      </w:r>
      <w:r w:rsidR="00D43CBF" w:rsidRPr="00642995">
        <w:rPr>
          <w:rFonts w:ascii="ITC Avant Garde" w:eastAsia="Calibri" w:hAnsi="ITC Avant Garde" w:cs="Arial"/>
          <w:bCs/>
        </w:rPr>
        <w:t>párrafo décimo quinto</w:t>
      </w:r>
      <w:r w:rsidR="00642995" w:rsidRPr="00642995">
        <w:rPr>
          <w:rFonts w:ascii="ITC Avant Garde" w:eastAsia="Calibri" w:hAnsi="ITC Avant Garde" w:cs="Arial"/>
          <w:bCs/>
        </w:rPr>
        <w:t xml:space="preserve"> y décimo sexto de la Constitución</w:t>
      </w:r>
      <w:r w:rsidR="00D43CBF">
        <w:rPr>
          <w:rFonts w:ascii="ITC Avant Garde" w:eastAsia="Calibri" w:hAnsi="ITC Avant Garde" w:cs="Arial"/>
          <w:bCs/>
        </w:rPr>
        <w:t xml:space="preserve"> Política de los Estados Unidos Mexicanos (en lo sucesivo, la “Constitución”)</w:t>
      </w:r>
      <w:r w:rsidR="00642995" w:rsidRPr="00642995">
        <w:rPr>
          <w:rFonts w:ascii="ITC Avant Garde" w:eastAsia="Calibri" w:hAnsi="ITC Avant Garde" w:cs="Arial"/>
          <w:bCs/>
        </w:rPr>
        <w:t xml:space="preserve">, el Instituto tiene a su cargo la regulación, promoción y supervisión del uso, aprovechamiento y explotación del espectro radioeléctrico, las redes y la prestación de los servicios de radiodifusión y telecomunicaciones, así como del acceso a infraestructura activa, pasiva y otros insumos esenciales. Asimismo, es autoridad en materia de competencia económica de los sectores de radiodifusión y telecomunicaciones, por lo que en éstos regulará de forma asimétrica a los participantes en estos mercados con el objeto de eliminar eficazmente las barreras a la competencia y la libre concurrencia; impondrá límites a la concentración nacional y regional de frecuencias, al </w:t>
      </w:r>
      <w:proofErr w:type="spellStart"/>
      <w:r w:rsidR="00642995" w:rsidRPr="00642995">
        <w:rPr>
          <w:rFonts w:ascii="ITC Avant Garde" w:eastAsia="Calibri" w:hAnsi="ITC Avant Garde" w:cs="Arial"/>
          <w:bCs/>
        </w:rPr>
        <w:t>concesionamiento</w:t>
      </w:r>
      <w:proofErr w:type="spellEnd"/>
      <w:r w:rsidR="00642995" w:rsidRPr="00642995">
        <w:rPr>
          <w:rFonts w:ascii="ITC Avant Garde" w:eastAsia="Calibri" w:hAnsi="ITC Avant Garde" w:cs="Arial"/>
          <w:bCs/>
        </w:rPr>
        <w:t xml:space="preserve"> y a la propiedad cruzada que controle varios medios de comunicación que sean concesionarios de radiodifusión y telecomunicaciones que sirvan a un mismo mercado o zona de cobertura geográfica, y ordenará la desincorporación de activos, derechos o partes necesarias para asegurar el cumplimiento de estos límites.</w:t>
      </w:r>
    </w:p>
    <w:p w14:paraId="784AA126" w14:textId="77777777" w:rsidR="00642995" w:rsidRPr="00886408" w:rsidRDefault="00642995" w:rsidP="008B1ABB">
      <w:pPr>
        <w:spacing w:after="0" w:line="240" w:lineRule="auto"/>
        <w:jc w:val="both"/>
        <w:rPr>
          <w:rFonts w:ascii="ITC Avant Garde" w:eastAsia="Times New Roman" w:hAnsi="ITC Avant Garde" w:cs="Times New Roman"/>
          <w:b/>
          <w:bCs/>
          <w:sz w:val="20"/>
          <w:lang w:val="es-ES_tradnl" w:eastAsia="es-MX"/>
        </w:rPr>
      </w:pPr>
    </w:p>
    <w:p w14:paraId="62151980" w14:textId="6FEFFBA6" w:rsidR="007F747E" w:rsidRPr="00F73389" w:rsidRDefault="00642995" w:rsidP="008B1ABB">
      <w:pPr>
        <w:spacing w:after="0" w:line="240" w:lineRule="auto"/>
        <w:jc w:val="both"/>
        <w:rPr>
          <w:rFonts w:ascii="ITC Avant Garde" w:eastAsia="Times New Roman" w:hAnsi="ITC Avant Garde" w:cs="Arial"/>
          <w:lang w:eastAsia="es-ES"/>
        </w:rPr>
      </w:pPr>
      <w:r w:rsidRPr="00F73389">
        <w:rPr>
          <w:rFonts w:ascii="ITC Avant Garde" w:eastAsia="Times New Roman" w:hAnsi="ITC Avant Garde" w:cs="Times New Roman"/>
          <w:bCs/>
          <w:lang w:val="es-ES_tradnl" w:eastAsia="es-MX"/>
        </w:rPr>
        <w:t>Asimismo, l</w:t>
      </w:r>
      <w:r w:rsidR="00B451FC" w:rsidRPr="00F73389">
        <w:rPr>
          <w:rFonts w:ascii="ITC Avant Garde" w:eastAsia="Times New Roman" w:hAnsi="ITC Avant Garde" w:cs="Arial"/>
          <w:lang w:eastAsia="es-ES"/>
        </w:rPr>
        <w:t xml:space="preserve">os artículos 28, párrafo vigésimo, fracción IV de la Constitución; 15, fracción I y 51 de la LFTR señalan, respectivamente, que el Instituto podrá emitir disposiciones administrativas de carácter general, </w:t>
      </w:r>
      <w:r w:rsidR="008249BD" w:rsidRPr="00F73389">
        <w:rPr>
          <w:rFonts w:ascii="ITC Avant Garde" w:eastAsia="Times New Roman" w:hAnsi="ITC Avant Garde" w:cs="Arial"/>
          <w:lang w:val="es-ES_tradnl" w:eastAsia="es-ES"/>
        </w:rPr>
        <w:t>planes técnicos fundamentales, lineamientos, modelos de costos, procedimientos de evaluación de la conformidad, procedimientos de homologación y certificación y ordenamientos técnicos en materia de telecomunicaciones y radiodifusión; así como las demás disposiciones para el cumplimiento de su función regulatoria en el</w:t>
      </w:r>
      <w:r w:rsidR="008260DA" w:rsidRPr="00F73389">
        <w:rPr>
          <w:rFonts w:ascii="ITC Avant Garde" w:eastAsia="Times New Roman" w:hAnsi="ITC Avant Garde" w:cs="Arial"/>
          <w:lang w:val="es-ES_tradnl" w:eastAsia="es-ES"/>
        </w:rPr>
        <w:t xml:space="preserve"> sector de su competencia, para ello deberá </w:t>
      </w:r>
      <w:r w:rsidR="00B451FC" w:rsidRPr="00F73389">
        <w:rPr>
          <w:rFonts w:ascii="ITC Avant Garde" w:eastAsia="Times New Roman" w:hAnsi="ITC Avant Garde" w:cs="Arial"/>
          <w:lang w:eastAsia="es-ES"/>
        </w:rPr>
        <w:t>realizar consultas públicas bajo los principios de transparencia y participación ciudadana, en los términos que determine el Pleno.</w:t>
      </w:r>
    </w:p>
    <w:p w14:paraId="5E803683" w14:textId="77777777" w:rsidR="00642995" w:rsidRPr="00886408" w:rsidRDefault="00642995" w:rsidP="008B1ABB">
      <w:pPr>
        <w:spacing w:after="0" w:line="240" w:lineRule="auto"/>
        <w:jc w:val="both"/>
        <w:rPr>
          <w:rFonts w:ascii="ITC Avant Garde" w:eastAsia="Times New Roman" w:hAnsi="ITC Avant Garde" w:cs="Arial"/>
          <w:sz w:val="20"/>
          <w:lang w:eastAsia="es-ES"/>
        </w:rPr>
      </w:pPr>
    </w:p>
    <w:p w14:paraId="77B838D2" w14:textId="77777777" w:rsidR="00B4238B" w:rsidRPr="00F73389" w:rsidRDefault="008260DA" w:rsidP="008B1ABB">
      <w:pPr>
        <w:spacing w:after="0" w:line="240" w:lineRule="auto"/>
        <w:jc w:val="both"/>
        <w:rPr>
          <w:rFonts w:ascii="ITC Avant Garde" w:eastAsia="Times New Roman" w:hAnsi="ITC Avant Garde" w:cs="Times New Roman"/>
          <w:lang w:eastAsia="es-ES"/>
        </w:rPr>
      </w:pPr>
      <w:proofErr w:type="gramStart"/>
      <w:r w:rsidRPr="00F73389">
        <w:rPr>
          <w:rFonts w:ascii="ITC Avant Garde" w:eastAsia="Times New Roman" w:hAnsi="ITC Avant Garde" w:cs="Times New Roman"/>
          <w:b/>
          <w:lang w:eastAsia="es-ES"/>
        </w:rPr>
        <w:t>Segundo</w:t>
      </w:r>
      <w:r w:rsidR="006D5CAA" w:rsidRPr="00F73389">
        <w:rPr>
          <w:rFonts w:ascii="ITC Avant Garde" w:eastAsia="Times New Roman" w:hAnsi="ITC Avant Garde" w:cs="Times New Roman"/>
          <w:b/>
          <w:lang w:eastAsia="es-ES"/>
        </w:rPr>
        <w:t>.-</w:t>
      </w:r>
      <w:proofErr w:type="gramEnd"/>
      <w:r w:rsidR="006D5CAA" w:rsidRPr="00F73389">
        <w:rPr>
          <w:rFonts w:ascii="ITC Avant Garde" w:eastAsia="Times New Roman" w:hAnsi="ITC Avant Garde" w:cs="Times New Roman"/>
          <w:b/>
          <w:lang w:eastAsia="es-ES"/>
        </w:rPr>
        <w:t xml:space="preserve"> </w:t>
      </w:r>
      <w:r w:rsidR="00B4238B" w:rsidRPr="00F73389">
        <w:rPr>
          <w:rFonts w:ascii="ITC Avant Garde" w:eastAsia="Times New Roman" w:hAnsi="ITC Avant Garde" w:cs="Times New Roman"/>
          <w:b/>
          <w:lang w:eastAsia="es-ES"/>
        </w:rPr>
        <w:t>De las Disposiciones Técnicas.</w:t>
      </w:r>
      <w:r w:rsidR="00B4238B" w:rsidRPr="00F73389">
        <w:rPr>
          <w:rFonts w:ascii="ITC Avant Garde" w:eastAsia="Times New Roman" w:hAnsi="ITC Avant Garde" w:cs="Times New Roman"/>
          <w:lang w:eastAsia="es-ES"/>
        </w:rPr>
        <w:t xml:space="preserve"> Son instrumentos de observancia general expedidos por el Instituto conforme a lo establecido en el artículo 15 fracción I de la LFTR, a través de los cuales se regulan las características y la operación de productos, dispositivos y servicios de telecomunicaciones y radiodifusión y en su caso, la instalación de los equipos, sistemas y la infraestructura en general asociada a éstos, así como las especificaciones que se refieran a su cumplimiento o aplicación. </w:t>
      </w:r>
    </w:p>
    <w:p w14:paraId="7168CC71" w14:textId="77777777" w:rsidR="00B4238B" w:rsidRPr="00886408" w:rsidRDefault="00B4238B" w:rsidP="008B1ABB">
      <w:pPr>
        <w:spacing w:after="0" w:line="240" w:lineRule="auto"/>
        <w:jc w:val="both"/>
        <w:rPr>
          <w:rFonts w:ascii="ITC Avant Garde" w:eastAsia="Times New Roman" w:hAnsi="ITC Avant Garde" w:cs="Times New Roman"/>
          <w:sz w:val="20"/>
          <w:lang w:eastAsia="es-ES"/>
        </w:rPr>
      </w:pPr>
    </w:p>
    <w:p w14:paraId="148677F1" w14:textId="21AAE871" w:rsidR="002759CF" w:rsidRDefault="008260DA" w:rsidP="008B1ABB">
      <w:pPr>
        <w:spacing w:after="0" w:line="240" w:lineRule="auto"/>
        <w:jc w:val="both"/>
        <w:rPr>
          <w:rFonts w:ascii="ITC Avant Garde" w:eastAsia="Times New Roman" w:hAnsi="ITC Avant Garde" w:cs="Times New Roman"/>
          <w:lang w:eastAsia="es-ES"/>
        </w:rPr>
      </w:pPr>
      <w:proofErr w:type="gramStart"/>
      <w:r w:rsidRPr="00F73389">
        <w:rPr>
          <w:rFonts w:ascii="ITC Avant Garde" w:eastAsia="Times New Roman" w:hAnsi="ITC Avant Garde" w:cs="Times New Roman"/>
          <w:b/>
          <w:lang w:eastAsia="es-ES"/>
        </w:rPr>
        <w:t>Tercero</w:t>
      </w:r>
      <w:r w:rsidR="006D5CAA" w:rsidRPr="00F73389">
        <w:rPr>
          <w:rFonts w:ascii="ITC Avant Garde" w:eastAsia="Times New Roman" w:hAnsi="ITC Avant Garde" w:cs="Times New Roman"/>
          <w:b/>
          <w:lang w:eastAsia="es-ES"/>
        </w:rPr>
        <w:t>.-</w:t>
      </w:r>
      <w:proofErr w:type="gramEnd"/>
      <w:r w:rsidR="006D5CAA" w:rsidRPr="00F73389">
        <w:rPr>
          <w:rFonts w:ascii="ITC Avant Garde" w:eastAsia="Times New Roman" w:hAnsi="ITC Avant Garde" w:cs="Times New Roman"/>
          <w:b/>
          <w:lang w:eastAsia="es-ES"/>
        </w:rPr>
        <w:t xml:space="preserve"> Del </w:t>
      </w:r>
      <w:r w:rsidR="00D43CBF">
        <w:rPr>
          <w:rFonts w:ascii="ITC Avant Garde" w:eastAsia="Times New Roman" w:hAnsi="ITC Avant Garde" w:cs="Times New Roman"/>
          <w:b/>
          <w:lang w:eastAsia="es-ES"/>
        </w:rPr>
        <w:t>m</w:t>
      </w:r>
      <w:r w:rsidR="00A714C4" w:rsidRPr="00F73389">
        <w:rPr>
          <w:rFonts w:ascii="ITC Avant Garde" w:eastAsia="Times New Roman" w:hAnsi="ITC Avant Garde" w:cs="Times New Roman"/>
          <w:b/>
          <w:lang w:eastAsia="es-ES"/>
        </w:rPr>
        <w:t>arco técnico regulatorio.</w:t>
      </w:r>
      <w:r w:rsidR="00474F84">
        <w:rPr>
          <w:rFonts w:ascii="ITC Avant Garde" w:eastAsia="Times New Roman" w:hAnsi="ITC Avant Garde" w:cs="Times New Roman"/>
          <w:b/>
          <w:lang w:eastAsia="es-ES"/>
        </w:rPr>
        <w:t xml:space="preserve"> </w:t>
      </w:r>
      <w:r w:rsidR="00D43CBF">
        <w:rPr>
          <w:rFonts w:ascii="ITC Avant Garde" w:eastAsia="Times New Roman" w:hAnsi="ITC Avant Garde" w:cs="Times New Roman"/>
          <w:b/>
          <w:lang w:eastAsia="es-ES"/>
        </w:rPr>
        <w:t xml:space="preserve"> </w:t>
      </w:r>
      <w:r w:rsidR="00D43CBF" w:rsidRPr="00D43CBF">
        <w:rPr>
          <w:rFonts w:ascii="ITC Avant Garde" w:eastAsia="Times New Roman" w:hAnsi="ITC Avant Garde" w:cs="Times New Roman"/>
          <w:lang w:eastAsia="es-ES"/>
        </w:rPr>
        <w:t xml:space="preserve">La Norma Oficial Mexicana NOM-084-SCT1-2002, </w:t>
      </w:r>
      <w:r w:rsidR="00D43CBF">
        <w:rPr>
          <w:rFonts w:ascii="ITC Avant Garde" w:eastAsia="Times New Roman" w:hAnsi="ITC Avant Garde" w:cs="Times New Roman"/>
          <w:lang w:eastAsia="es-ES"/>
        </w:rPr>
        <w:t>“</w:t>
      </w:r>
      <w:r w:rsidR="00D43CBF" w:rsidRPr="00D43CBF">
        <w:rPr>
          <w:rFonts w:ascii="ITC Avant Garde" w:eastAsia="Times New Roman" w:hAnsi="ITC Avant Garde" w:cs="Times New Roman"/>
          <w:lang w:eastAsia="es-ES"/>
        </w:rPr>
        <w:t>Telecomunicaciones-Radiocomunicación-Especificaciones técnicas de los equipos transmisores destinados al servicio móvil de radiocomunicación especializada de flotillas</w:t>
      </w:r>
      <w:r w:rsidR="00D43CBF">
        <w:rPr>
          <w:rFonts w:ascii="ITC Avant Garde" w:eastAsia="Times New Roman" w:hAnsi="ITC Avant Garde" w:cs="Times New Roman"/>
          <w:lang w:eastAsia="es-ES"/>
        </w:rPr>
        <w:t>”</w:t>
      </w:r>
      <w:r w:rsidR="00D43CBF" w:rsidRPr="00D43CBF">
        <w:rPr>
          <w:rFonts w:ascii="ITC Avant Garde" w:eastAsia="Times New Roman" w:hAnsi="ITC Avant Garde" w:cs="Times New Roman"/>
          <w:lang w:eastAsia="es-ES"/>
        </w:rPr>
        <w:t xml:space="preserve">, tiene por objeto establecer las especificaciones y métodos de prueba a que deben sujetarse los equipos para el servicio móvil de radiocomunicación especializada de flotillas; </w:t>
      </w:r>
      <w:r w:rsidR="00D43CBF">
        <w:rPr>
          <w:rFonts w:ascii="ITC Avant Garde" w:eastAsia="Times New Roman" w:hAnsi="ITC Avant Garde" w:cs="Times New Roman"/>
          <w:lang w:eastAsia="es-ES"/>
        </w:rPr>
        <w:t xml:space="preserve">dicha NOM, </w:t>
      </w:r>
      <w:r w:rsidR="00D43CBF" w:rsidRPr="00D43CBF">
        <w:rPr>
          <w:rFonts w:ascii="ITC Avant Garde" w:eastAsia="Times New Roman" w:hAnsi="ITC Avant Garde" w:cs="Times New Roman"/>
          <w:lang w:eastAsia="es-ES"/>
        </w:rPr>
        <w:t>conforme a lo dispuesto por el artículo 51 de la Ley Federal sobre Metrología y Normalización</w:t>
      </w:r>
      <w:r w:rsidR="00D43CBF">
        <w:rPr>
          <w:rFonts w:ascii="ITC Avant Garde" w:eastAsia="Times New Roman" w:hAnsi="ITC Avant Garde" w:cs="Times New Roman"/>
          <w:lang w:eastAsia="es-ES"/>
        </w:rPr>
        <w:t xml:space="preserve"> (en lo sucesivo “LFMN”)</w:t>
      </w:r>
      <w:r w:rsidR="00D43CBF" w:rsidRPr="00D43CBF">
        <w:rPr>
          <w:rFonts w:ascii="ITC Avant Garde" w:eastAsia="Times New Roman" w:hAnsi="ITC Avant Garde" w:cs="Times New Roman"/>
          <w:lang w:eastAsia="es-ES"/>
        </w:rPr>
        <w:t xml:space="preserve">, perderá su vigencia el </w:t>
      </w:r>
      <w:r w:rsidR="00D43CBF" w:rsidRPr="00760DE3">
        <w:rPr>
          <w:rFonts w:ascii="ITC Avant Garde" w:eastAsia="Times New Roman" w:hAnsi="ITC Avant Garde" w:cs="Times New Roman"/>
          <w:lang w:eastAsia="es-ES"/>
        </w:rPr>
        <w:t xml:space="preserve">15 </w:t>
      </w:r>
      <w:r w:rsidR="00D43CBF" w:rsidRPr="00D43CBF">
        <w:rPr>
          <w:rFonts w:ascii="ITC Avant Garde" w:eastAsia="Times New Roman" w:hAnsi="ITC Avant Garde" w:cs="Times New Roman"/>
          <w:lang w:eastAsia="es-ES"/>
        </w:rPr>
        <w:t>de agosto de 2018, al no ser jurídicamente procedente realizar la revisión de las misma en términos de la propia LFMN</w:t>
      </w:r>
      <w:r w:rsidR="00D43CBF">
        <w:rPr>
          <w:rFonts w:ascii="ITC Avant Garde" w:eastAsia="Times New Roman" w:hAnsi="ITC Avant Garde" w:cs="Times New Roman"/>
          <w:lang w:eastAsia="es-ES"/>
        </w:rPr>
        <w:t>.</w:t>
      </w:r>
    </w:p>
    <w:p w14:paraId="34A3F039" w14:textId="399FE360" w:rsidR="00D43CBF" w:rsidRDefault="00D43CBF" w:rsidP="008B1ABB">
      <w:pPr>
        <w:spacing w:after="0" w:line="240" w:lineRule="auto"/>
        <w:jc w:val="both"/>
        <w:rPr>
          <w:rFonts w:ascii="ITC Avant Garde" w:eastAsia="Times New Roman" w:hAnsi="ITC Avant Garde" w:cs="Times New Roman"/>
          <w:lang w:eastAsia="es-ES"/>
        </w:rPr>
      </w:pPr>
    </w:p>
    <w:p w14:paraId="3D61F0B8" w14:textId="6C2A8E8F" w:rsidR="002C2C0A" w:rsidRDefault="00C550DD" w:rsidP="008B1ABB">
      <w:pPr>
        <w:spacing w:after="0" w:line="240" w:lineRule="auto"/>
        <w:jc w:val="both"/>
        <w:rPr>
          <w:rFonts w:ascii="ITC Avant Garde" w:eastAsia="Times New Roman" w:hAnsi="ITC Avant Garde" w:cs="Times New Roman"/>
          <w:lang w:eastAsia="es-ES"/>
        </w:rPr>
      </w:pPr>
      <w:r>
        <w:rPr>
          <w:rFonts w:ascii="ITC Avant Garde" w:eastAsia="Times New Roman" w:hAnsi="ITC Avant Garde" w:cs="Times New Roman"/>
          <w:lang w:eastAsia="es-ES"/>
        </w:rPr>
        <w:lastRenderedPageBreak/>
        <w:t>En ese sentido,  para  dar</w:t>
      </w:r>
      <w:r w:rsidRPr="00C550DD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C550DD">
        <w:rPr>
          <w:rFonts w:ascii="ITC Avant Garde" w:hAnsi="ITC Avant Garde"/>
          <w:color w:val="000000"/>
          <w:shd w:val="clear" w:color="auto" w:fill="FFFFFF"/>
        </w:rPr>
        <w:t>c</w:t>
      </w:r>
      <w:r w:rsidRPr="00C550DD">
        <w:rPr>
          <w:rFonts w:ascii="ITC Avant Garde" w:eastAsia="Times New Roman" w:hAnsi="ITC Avant Garde" w:cs="Times New Roman"/>
          <w:lang w:eastAsia="es-ES"/>
        </w:rPr>
        <w:t>ontinuidad a los efectos regulatorios que derivan de la NOM-084-SCT1-2002</w:t>
      </w:r>
      <w:r>
        <w:rPr>
          <w:rFonts w:ascii="ITC Avant Garde" w:eastAsia="Times New Roman" w:hAnsi="ITC Avant Garde" w:cs="Times New Roman"/>
          <w:lang w:eastAsia="es-ES"/>
        </w:rPr>
        <w:t xml:space="preserve">, con el </w:t>
      </w:r>
      <w:r w:rsidRPr="00C550DD">
        <w:rPr>
          <w:rFonts w:ascii="ITC Avant Garde" w:eastAsia="Times New Roman" w:hAnsi="ITC Avant Garde" w:cs="Times New Roman"/>
          <w:lang w:eastAsia="es-ES"/>
        </w:rPr>
        <w:t xml:space="preserve">“Anteproyecto de Disposición Técnica IFT-015-2018: Especificaciones técnicas de los equipos transmisores destinados al servicio móvil de radiocomunicación especializada de flotillas”, </w:t>
      </w:r>
      <w:r>
        <w:rPr>
          <w:rFonts w:ascii="ITC Avant Garde" w:eastAsia="Times New Roman" w:hAnsi="ITC Avant Garde" w:cs="Times New Roman"/>
          <w:lang w:eastAsia="es-ES"/>
        </w:rPr>
        <w:t xml:space="preserve"> </w:t>
      </w:r>
      <w:r w:rsidR="006C3A8C">
        <w:rPr>
          <w:rFonts w:ascii="ITC Avant Garde" w:eastAsia="Times New Roman" w:hAnsi="ITC Avant Garde" w:cs="Times New Roman"/>
          <w:lang w:eastAsia="es-ES"/>
        </w:rPr>
        <w:t xml:space="preserve">se busca </w:t>
      </w:r>
      <w:r w:rsidRPr="00C550DD">
        <w:rPr>
          <w:rFonts w:ascii="ITC Avant Garde" w:eastAsia="Times New Roman" w:hAnsi="ITC Avant Garde" w:cs="Times New Roman"/>
          <w:lang w:eastAsia="es-ES"/>
        </w:rPr>
        <w:t xml:space="preserve">establecer las especificaciones técnicas de los equipos destinados para el servicio móvil de radiocomunicación especializada de flotillas; </w:t>
      </w:r>
      <w:r w:rsidR="00947A06" w:rsidRPr="00C550DD">
        <w:rPr>
          <w:rFonts w:ascii="ITC Avant Garde" w:eastAsia="Times New Roman" w:hAnsi="ITC Avant Garde" w:cs="Times New Roman"/>
          <w:lang w:val="es-ES" w:eastAsia="es-ES"/>
        </w:rPr>
        <w:t xml:space="preserve">que podrán operar con </w:t>
      </w:r>
      <w:r w:rsidR="00947A06" w:rsidRPr="00C550DD">
        <w:rPr>
          <w:rFonts w:ascii="ITC Avant Garde" w:eastAsia="Times New Roman" w:hAnsi="ITC Avant Garde" w:cs="Times New Roman"/>
          <w:lang w:eastAsia="es-ES"/>
        </w:rPr>
        <w:t>una modulación de ángulo de envolvente constante (analógica), o una modulación de ángulo de envolvente no constante</w:t>
      </w:r>
      <w:r w:rsidR="00947A06" w:rsidRPr="00C550DD">
        <w:rPr>
          <w:rFonts w:ascii="ITC Avant Garde" w:eastAsia="Times New Roman" w:hAnsi="ITC Avant Garde" w:cs="Times New Roman"/>
          <w:lang w:val="es-ES" w:eastAsia="es-ES"/>
        </w:rPr>
        <w:t xml:space="preserve"> (digital)</w:t>
      </w:r>
      <w:r w:rsidR="00947A06" w:rsidRPr="00C550DD">
        <w:rPr>
          <w:rFonts w:ascii="ITC Avant Garde" w:eastAsia="Times New Roman" w:hAnsi="ITC Avant Garde" w:cs="Times New Roman"/>
          <w:lang w:eastAsia="es-ES"/>
        </w:rPr>
        <w:t xml:space="preserve">; así como los métodos de prueba para comprobar el cumplimiento de dichas especificaciones. </w:t>
      </w:r>
      <w:r w:rsidR="00947A06">
        <w:rPr>
          <w:rFonts w:ascii="ITC Avant Garde" w:eastAsia="Times New Roman" w:hAnsi="ITC Avant Garde" w:cs="Times New Roman"/>
          <w:lang w:eastAsia="es-ES"/>
        </w:rPr>
        <w:t xml:space="preserve"> </w:t>
      </w:r>
    </w:p>
    <w:p w14:paraId="713AA8A7" w14:textId="77777777" w:rsidR="002C2C0A" w:rsidRDefault="002C2C0A" w:rsidP="008B1ABB">
      <w:pPr>
        <w:spacing w:after="0" w:line="240" w:lineRule="auto"/>
        <w:jc w:val="both"/>
        <w:rPr>
          <w:rFonts w:ascii="ITC Avant Garde" w:eastAsia="Times New Roman" w:hAnsi="ITC Avant Garde" w:cs="Times New Roman"/>
          <w:lang w:eastAsia="es-ES"/>
        </w:rPr>
      </w:pPr>
    </w:p>
    <w:p w14:paraId="4A31CFA5" w14:textId="2CD7E390" w:rsidR="00C550DD" w:rsidRDefault="00C550DD" w:rsidP="008B1ABB">
      <w:pPr>
        <w:spacing w:after="0" w:line="240" w:lineRule="auto"/>
        <w:jc w:val="both"/>
        <w:rPr>
          <w:rFonts w:ascii="ITC Avant Garde" w:eastAsia="Times New Roman" w:hAnsi="ITC Avant Garde" w:cs="Times New Roman"/>
          <w:lang w:eastAsia="es-ES"/>
        </w:rPr>
      </w:pPr>
      <w:r w:rsidRPr="00C550DD">
        <w:rPr>
          <w:rFonts w:ascii="ITC Avant Garde" w:eastAsia="Times New Roman" w:hAnsi="ITC Avant Garde" w:cs="Times New Roman"/>
          <w:lang w:eastAsia="es-ES"/>
        </w:rPr>
        <w:t>La referida Disposición Técnica resulta</w:t>
      </w:r>
      <w:r w:rsidR="00465B71">
        <w:rPr>
          <w:rFonts w:ascii="ITC Avant Garde" w:eastAsia="Times New Roman" w:hAnsi="ITC Avant Garde" w:cs="Times New Roman"/>
          <w:lang w:eastAsia="es-ES"/>
        </w:rPr>
        <w:t>rá</w:t>
      </w:r>
      <w:r w:rsidRPr="00C550DD">
        <w:rPr>
          <w:rFonts w:ascii="ITC Avant Garde" w:eastAsia="Times New Roman" w:hAnsi="ITC Avant Garde" w:cs="Times New Roman"/>
          <w:lang w:eastAsia="es-ES"/>
        </w:rPr>
        <w:t xml:space="preserve"> aplicable a todos aquellos equipos transmisores </w:t>
      </w:r>
      <w:r w:rsidRPr="00C550DD">
        <w:rPr>
          <w:rFonts w:ascii="ITC Avant Garde" w:eastAsia="Times New Roman" w:hAnsi="ITC Avant Garde" w:cs="Times New Roman"/>
          <w:lang w:val="es-ES" w:eastAsia="es-ES"/>
        </w:rPr>
        <w:t xml:space="preserve">destinados al servicio móvil de radiocomunicación especializada de flotillas, que podrán operar con </w:t>
      </w:r>
      <w:r w:rsidRPr="00C550DD">
        <w:rPr>
          <w:rFonts w:ascii="ITC Avant Garde" w:eastAsia="Times New Roman" w:hAnsi="ITC Avant Garde" w:cs="Times New Roman"/>
          <w:lang w:eastAsia="es-ES"/>
        </w:rPr>
        <w:t xml:space="preserve">una modulación </w:t>
      </w:r>
      <w:r w:rsidR="00760DE3">
        <w:rPr>
          <w:rFonts w:ascii="ITC Avant Garde" w:eastAsia="Times New Roman" w:hAnsi="ITC Avant Garde" w:cs="Times New Roman"/>
          <w:lang w:eastAsia="es-ES"/>
        </w:rPr>
        <w:t>analógica</w:t>
      </w:r>
      <w:r w:rsidRPr="00C550DD">
        <w:rPr>
          <w:rFonts w:ascii="ITC Avant Garde" w:eastAsia="Times New Roman" w:hAnsi="ITC Avant Garde" w:cs="Times New Roman"/>
          <w:lang w:eastAsia="es-ES"/>
        </w:rPr>
        <w:t xml:space="preserve">, o una modulación </w:t>
      </w:r>
      <w:r w:rsidR="00760DE3">
        <w:rPr>
          <w:rFonts w:ascii="ITC Avant Garde" w:eastAsia="Times New Roman" w:hAnsi="ITC Avant Garde" w:cs="Times New Roman"/>
          <w:lang w:val="es-ES" w:eastAsia="es-ES"/>
        </w:rPr>
        <w:t>digital</w:t>
      </w:r>
      <w:r w:rsidRPr="00C550DD">
        <w:rPr>
          <w:rFonts w:ascii="ITC Avant Garde" w:eastAsia="Times New Roman" w:hAnsi="ITC Avant Garde" w:cs="Times New Roman"/>
          <w:lang w:val="es-ES" w:eastAsia="es-ES"/>
        </w:rPr>
        <w:t xml:space="preserve"> y que </w:t>
      </w:r>
      <w:r w:rsidRPr="00C550DD">
        <w:rPr>
          <w:rFonts w:ascii="ITC Avant Garde" w:eastAsia="Times New Roman" w:hAnsi="ITC Avant Garde" w:cs="Times New Roman"/>
          <w:lang w:eastAsia="es-ES"/>
        </w:rPr>
        <w:t>hacen</w:t>
      </w:r>
      <w:r w:rsidR="00F41B6B">
        <w:rPr>
          <w:rFonts w:ascii="ITC Avant Garde" w:eastAsia="Times New Roman" w:hAnsi="ITC Avant Garde" w:cs="Times New Roman"/>
          <w:lang w:eastAsia="es-ES"/>
        </w:rPr>
        <w:t xml:space="preserve"> uso</w:t>
      </w:r>
      <w:r w:rsidRPr="00C550DD">
        <w:rPr>
          <w:rFonts w:ascii="ITC Avant Garde" w:eastAsia="Times New Roman" w:hAnsi="ITC Avant Garde" w:cs="Times New Roman"/>
          <w:lang w:eastAsia="es-ES"/>
        </w:rPr>
        <w:t xml:space="preserve"> de las </w:t>
      </w:r>
      <w:r w:rsidR="00F41B6B">
        <w:rPr>
          <w:rFonts w:ascii="ITC Avant Garde" w:eastAsia="Times New Roman" w:hAnsi="ITC Avant Garde" w:cs="Times New Roman"/>
          <w:lang w:eastAsia="es-ES"/>
        </w:rPr>
        <w:t xml:space="preserve">nuevas atribuciones para las </w:t>
      </w:r>
      <w:r w:rsidRPr="00C550DD">
        <w:rPr>
          <w:rFonts w:ascii="ITC Avant Garde" w:eastAsia="Times New Roman" w:hAnsi="ITC Avant Garde" w:cs="Times New Roman"/>
          <w:lang w:eastAsia="es-ES"/>
        </w:rPr>
        <w:t xml:space="preserve">bandas de frecuencia </w:t>
      </w:r>
      <w:r w:rsidR="0082197B" w:rsidRPr="008F014F">
        <w:rPr>
          <w:rFonts w:ascii="ITC Avant Garde" w:hAnsi="ITC Avant Garde"/>
        </w:rPr>
        <w:t>conforme al reordenamiento esta</w:t>
      </w:r>
      <w:r w:rsidR="0082197B" w:rsidRPr="008F7D33">
        <w:rPr>
          <w:rFonts w:ascii="ITC Avant Garde" w:hAnsi="ITC Avant Garde"/>
        </w:rPr>
        <w:t>blecido por el Instituto.</w:t>
      </w:r>
    </w:p>
    <w:p w14:paraId="796A55A6" w14:textId="5645DA97" w:rsidR="00C550DD" w:rsidRDefault="00C550DD" w:rsidP="008B1ABB">
      <w:pPr>
        <w:spacing w:after="0" w:line="240" w:lineRule="auto"/>
        <w:jc w:val="both"/>
        <w:rPr>
          <w:rFonts w:ascii="ITC Avant Garde" w:eastAsia="Times New Roman" w:hAnsi="ITC Avant Garde" w:cs="Times New Roman"/>
          <w:lang w:eastAsia="es-ES"/>
        </w:rPr>
      </w:pPr>
    </w:p>
    <w:p w14:paraId="05B41A7E" w14:textId="77777777" w:rsidR="00642995" w:rsidRPr="00F73389" w:rsidRDefault="002759CF" w:rsidP="008B1ABB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"/>
          <w:bCs/>
        </w:rPr>
      </w:pPr>
      <w:proofErr w:type="gramStart"/>
      <w:r w:rsidRPr="00F73389">
        <w:rPr>
          <w:rFonts w:ascii="ITC Avant Garde" w:eastAsia="Times New Roman" w:hAnsi="ITC Avant Garde" w:cs="Times New Roman"/>
          <w:b/>
          <w:lang w:eastAsia="es-ES"/>
        </w:rPr>
        <w:t>Cuarto</w:t>
      </w:r>
      <w:r w:rsidR="006D5CAA" w:rsidRPr="00F73389">
        <w:rPr>
          <w:rFonts w:ascii="ITC Avant Garde" w:eastAsia="Times New Roman" w:hAnsi="ITC Avant Garde" w:cs="Times New Roman"/>
          <w:b/>
          <w:lang w:eastAsia="es-ES"/>
        </w:rPr>
        <w:t>.-</w:t>
      </w:r>
      <w:proofErr w:type="gramEnd"/>
      <w:r w:rsidR="006D5CAA" w:rsidRPr="00F73389">
        <w:rPr>
          <w:rFonts w:ascii="ITC Avant Garde" w:eastAsia="Times New Roman" w:hAnsi="ITC Avant Garde" w:cs="Times New Roman"/>
          <w:b/>
          <w:lang w:eastAsia="es-ES"/>
        </w:rPr>
        <w:t xml:space="preserve"> </w:t>
      </w:r>
      <w:r w:rsidR="006D5CAA" w:rsidRPr="00F73389">
        <w:rPr>
          <w:rFonts w:ascii="ITC Avant Garde" w:eastAsia="Times New Roman" w:hAnsi="ITC Avant Garde" w:cs="Times New Roman"/>
          <w:b/>
          <w:lang w:val="es-ES_tradnl" w:eastAsia="es-ES"/>
        </w:rPr>
        <w:t xml:space="preserve">De la </w:t>
      </w:r>
      <w:r w:rsidR="007F747E" w:rsidRPr="007F747E">
        <w:rPr>
          <w:rFonts w:ascii="ITC Avant Garde" w:eastAsia="Times New Roman" w:hAnsi="ITC Avant Garde" w:cs="Times New Roman"/>
          <w:b/>
          <w:lang w:val="es-ES_tradnl" w:eastAsia="es-ES"/>
        </w:rPr>
        <w:t>Consulta pública.</w:t>
      </w:r>
      <w:r w:rsidR="007F747E" w:rsidRPr="007F747E">
        <w:rPr>
          <w:rFonts w:ascii="ITC Avant Garde" w:eastAsia="Times New Roman" w:hAnsi="ITC Avant Garde" w:cs="Times New Roman"/>
          <w:lang w:val="es-ES_tradnl" w:eastAsia="es-ES"/>
        </w:rPr>
        <w:t xml:space="preserve"> </w:t>
      </w:r>
      <w:r w:rsidR="00642995" w:rsidRPr="00F73389">
        <w:rPr>
          <w:rFonts w:ascii="ITC Avant Garde" w:eastAsia="Times New Roman" w:hAnsi="ITC Avant Garde"/>
          <w:szCs w:val="20"/>
        </w:rPr>
        <w:t xml:space="preserve">La </w:t>
      </w:r>
      <w:r w:rsidR="00642995" w:rsidRPr="00F73389">
        <w:rPr>
          <w:rFonts w:ascii="ITC Avant Garde" w:hAnsi="ITC Avant Garde" w:cs="Arial"/>
          <w:bCs/>
        </w:rPr>
        <w:t xml:space="preserve">consulta pública tiene por objeto cumplir con los principios de transparencia y participación ciudadana por parte del Instituto, con la finalidad de recabar comentarios de la industria, de especialistas en la materia y del público en general, para que sean analizados por este Instituto, y de resultar procedente, con ellos fortalecer sus disposiciones con el fin de perfeccionar su diseño y operación. </w:t>
      </w:r>
    </w:p>
    <w:p w14:paraId="69690141" w14:textId="77777777" w:rsidR="00642995" w:rsidRPr="00886408" w:rsidRDefault="00642995" w:rsidP="008B1ABB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"/>
          <w:bCs/>
          <w:sz w:val="20"/>
        </w:rPr>
      </w:pPr>
    </w:p>
    <w:p w14:paraId="7C61FE44" w14:textId="4E2DD778" w:rsidR="007F747E" w:rsidRPr="00F73389" w:rsidRDefault="00642995" w:rsidP="008B1ABB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Times New Roman"/>
          <w:lang w:eastAsia="es-ES"/>
        </w:rPr>
      </w:pPr>
      <w:r w:rsidRPr="00F73389">
        <w:rPr>
          <w:rFonts w:ascii="ITC Avant Garde" w:eastAsia="Times New Roman" w:hAnsi="ITC Avant Garde" w:cs="Times New Roman"/>
          <w:kern w:val="2"/>
          <w:lang w:val="es-ES" w:eastAsia="ar-SA"/>
        </w:rPr>
        <w:t>En ese sentido, e</w:t>
      </w:r>
      <w:r w:rsidR="007F747E" w:rsidRPr="007F747E">
        <w:rPr>
          <w:rFonts w:ascii="ITC Avant Garde" w:eastAsia="Times New Roman" w:hAnsi="ITC Avant Garde" w:cs="Times New Roman"/>
          <w:kern w:val="2"/>
          <w:lang w:val="es-ES" w:eastAsia="ar-SA"/>
        </w:rPr>
        <w:t>l artículo 51 de la LFTR establece que</w:t>
      </w:r>
      <w:r w:rsidR="006236E0">
        <w:rPr>
          <w:rFonts w:ascii="ITC Avant Garde" w:eastAsia="Times New Roman" w:hAnsi="ITC Avant Garde" w:cs="Times New Roman"/>
          <w:kern w:val="2"/>
          <w:lang w:val="es-ES" w:eastAsia="ar-SA"/>
        </w:rPr>
        <w:t>,</w:t>
      </w:r>
      <w:r w:rsidR="007F747E" w:rsidRPr="007F747E">
        <w:rPr>
          <w:rFonts w:ascii="ITC Avant Garde" w:eastAsia="Times New Roman" w:hAnsi="ITC Avant Garde" w:cs="Times New Roman"/>
          <w:kern w:val="2"/>
          <w:lang w:val="es-ES" w:eastAsia="ar-SA"/>
        </w:rPr>
        <w:t xml:space="preserve"> para la emisión y modificación de reglas, lineamientos, o disposiciones administrativas de </w:t>
      </w:r>
      <w:r w:rsidR="007F747E" w:rsidRPr="007F747E">
        <w:rPr>
          <w:rFonts w:ascii="ITC Avant Garde" w:eastAsia="Times New Roman" w:hAnsi="ITC Avant Garde" w:cs="Times New Roman"/>
          <w:lang w:eastAsia="es-ES"/>
        </w:rPr>
        <w:t xml:space="preserve">carácter general, así como en cualquier caso que determine el Pleno, el Instituto deberá realizar consultas públicas bajo los principios de transparencia y participación </w:t>
      </w:r>
      <w:r w:rsidR="006D5CAA" w:rsidRPr="00F73389">
        <w:rPr>
          <w:rFonts w:ascii="ITC Avant Garde" w:eastAsia="Times New Roman" w:hAnsi="ITC Avant Garde" w:cs="Times New Roman"/>
          <w:lang w:eastAsia="es-ES"/>
        </w:rPr>
        <w:t>ciudadana, en los términos que determine el Pleno, salvo que la publicidad pudiera comprometer los efectos que se pretenden resolver o prevenir en una situación de emergencia.</w:t>
      </w:r>
    </w:p>
    <w:p w14:paraId="566466DF" w14:textId="77777777" w:rsidR="006D5CAA" w:rsidRPr="00886408" w:rsidRDefault="006D5CAA" w:rsidP="008B1ABB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Times New Roman"/>
          <w:sz w:val="20"/>
          <w:lang w:eastAsia="es-ES"/>
        </w:rPr>
      </w:pPr>
    </w:p>
    <w:p w14:paraId="64CB4FB4" w14:textId="7AEB2A2D" w:rsidR="006D5CAA" w:rsidRPr="00F73389" w:rsidRDefault="006D5CAA" w:rsidP="008B1ABB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Times New Roman"/>
          <w:lang w:val="es-ES_tradnl" w:eastAsia="es-ES"/>
        </w:rPr>
      </w:pPr>
      <w:r w:rsidRPr="00F73389">
        <w:rPr>
          <w:rFonts w:ascii="ITC Avant Garde" w:eastAsia="Times New Roman" w:hAnsi="ITC Avant Garde" w:cs="Times New Roman"/>
          <w:lang w:val="es-ES_tradnl" w:eastAsia="es-ES"/>
        </w:rPr>
        <w:t>En el caso del “</w:t>
      </w:r>
      <w:r w:rsidR="00FC5571" w:rsidRPr="00FC5571">
        <w:rPr>
          <w:rFonts w:ascii="ITC Avant Garde" w:eastAsia="Times New Roman" w:hAnsi="ITC Avant Garde" w:cs="Times New Roman"/>
          <w:lang w:val="es-ES_tradnl" w:eastAsia="es-ES"/>
        </w:rPr>
        <w:t>ANTEPROYECTO DE DISPOSICIÓN TÉCNICA IFT-015-2018: ESPECIFICACIONES TÉCNICAS DE LOS EQUIPOS TRANSMISORES DESTINADOS AL SERVICIO MÓVIL DE RADIOCOMUNICACIÓN ESPECIALIZADA DE FLOTILLAS</w:t>
      </w:r>
      <w:r w:rsidRPr="00F73389">
        <w:rPr>
          <w:rFonts w:ascii="ITC Avant Garde" w:eastAsia="Times New Roman" w:hAnsi="ITC Avant Garde" w:cs="Times New Roman"/>
          <w:lang w:val="es-ES_tradnl" w:eastAsia="es-ES"/>
        </w:rPr>
        <w:t xml:space="preserve">”, se considera que </w:t>
      </w:r>
      <w:r w:rsidR="00C20EB6" w:rsidRPr="00F73389">
        <w:rPr>
          <w:rFonts w:ascii="ITC Avant Garde" w:eastAsia="Times New Roman" w:hAnsi="ITC Avant Garde" w:cs="Times New Roman"/>
          <w:lang w:val="es-ES_tradnl" w:eastAsia="es-ES"/>
        </w:rPr>
        <w:t xml:space="preserve">con su </w:t>
      </w:r>
      <w:r w:rsidRPr="00F73389">
        <w:rPr>
          <w:rFonts w:ascii="ITC Avant Garde" w:eastAsia="Times New Roman" w:hAnsi="ITC Avant Garde" w:cs="Times New Roman"/>
          <w:lang w:val="es-ES_tradnl" w:eastAsia="es-ES"/>
        </w:rPr>
        <w:t>publicidad no compromete</w:t>
      </w:r>
      <w:r w:rsidR="00C20EB6" w:rsidRPr="00F73389">
        <w:rPr>
          <w:rFonts w:ascii="ITC Avant Garde" w:eastAsia="Times New Roman" w:hAnsi="ITC Avant Garde" w:cs="Times New Roman"/>
          <w:lang w:val="es-ES_tradnl" w:eastAsia="es-ES"/>
        </w:rPr>
        <w:t>n</w:t>
      </w:r>
      <w:r w:rsidRPr="00F73389">
        <w:rPr>
          <w:rFonts w:ascii="ITC Avant Garde" w:eastAsia="Times New Roman" w:hAnsi="ITC Avant Garde" w:cs="Times New Roman"/>
          <w:lang w:val="es-ES_tradnl" w:eastAsia="es-ES"/>
        </w:rPr>
        <w:t xml:space="preserve"> los efectos que se pretenden resolver y tampoco es necesario prevenir alguna situación de emergencia. Se c</w:t>
      </w:r>
      <w:r w:rsidR="00C20EB6" w:rsidRPr="00F73389">
        <w:rPr>
          <w:rFonts w:ascii="ITC Avant Garde" w:eastAsia="Times New Roman" w:hAnsi="ITC Avant Garde" w:cs="Times New Roman"/>
          <w:lang w:val="es-ES_tradnl" w:eastAsia="es-ES"/>
        </w:rPr>
        <w:t>onsidera</w:t>
      </w:r>
      <w:r w:rsidRPr="00F73389">
        <w:rPr>
          <w:rFonts w:ascii="ITC Avant Garde" w:eastAsia="Times New Roman" w:hAnsi="ITC Avant Garde" w:cs="Times New Roman"/>
          <w:lang w:val="es-ES_tradnl" w:eastAsia="es-ES"/>
        </w:rPr>
        <w:t xml:space="preserve"> que con la consulta pública del Anteproyecto se alcanzan los siguientes objetivos: </w:t>
      </w:r>
    </w:p>
    <w:p w14:paraId="66BD8C4C" w14:textId="77777777" w:rsidR="006D5CAA" w:rsidRPr="00886408" w:rsidRDefault="006D5CAA" w:rsidP="008B1ABB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Times New Roman"/>
          <w:sz w:val="20"/>
          <w:lang w:val="es-ES_tradnl" w:eastAsia="es-ES"/>
        </w:rPr>
      </w:pPr>
    </w:p>
    <w:p w14:paraId="10BC2CA2" w14:textId="528E8890" w:rsidR="006D5CAA" w:rsidRDefault="00C20EB6" w:rsidP="008B1A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Times New Roman"/>
          <w:lang w:val="es-ES_tradnl" w:eastAsia="es-ES"/>
        </w:rPr>
      </w:pPr>
      <w:r w:rsidRPr="00F73389">
        <w:rPr>
          <w:rFonts w:ascii="ITC Avant Garde" w:eastAsia="Times New Roman" w:hAnsi="ITC Avant Garde" w:cs="Times New Roman"/>
          <w:lang w:val="es-ES_tradnl" w:eastAsia="es-ES"/>
        </w:rPr>
        <w:t xml:space="preserve">Observar </w:t>
      </w:r>
      <w:r w:rsidR="006D5CAA" w:rsidRPr="00F73389">
        <w:rPr>
          <w:rFonts w:ascii="ITC Avant Garde" w:eastAsia="Times New Roman" w:hAnsi="ITC Avant Garde" w:cs="Times New Roman"/>
          <w:lang w:val="es-ES_tradnl" w:eastAsia="es-ES"/>
        </w:rPr>
        <w:t xml:space="preserve">el principio de transparencia </w:t>
      </w:r>
      <w:r w:rsidRPr="00F73389">
        <w:rPr>
          <w:rFonts w:ascii="ITC Avant Garde" w:eastAsia="Times New Roman" w:hAnsi="ITC Avant Garde" w:cs="Times New Roman"/>
          <w:lang w:val="es-ES_tradnl" w:eastAsia="es-ES"/>
        </w:rPr>
        <w:t xml:space="preserve">con la </w:t>
      </w:r>
      <w:r w:rsidR="006D5CAA" w:rsidRPr="00F73389">
        <w:rPr>
          <w:rFonts w:ascii="ITC Avant Garde" w:eastAsia="Times New Roman" w:hAnsi="ITC Avant Garde" w:cs="Times New Roman"/>
          <w:lang w:val="es-ES_tradnl" w:eastAsia="es-ES"/>
        </w:rPr>
        <w:t>emisión del “</w:t>
      </w:r>
      <w:r w:rsidR="00FC5571" w:rsidRPr="00FC5571">
        <w:rPr>
          <w:rFonts w:ascii="ITC Avant Garde" w:eastAsia="Times New Roman" w:hAnsi="ITC Avant Garde" w:cs="Times New Roman"/>
          <w:lang w:val="es-ES_tradnl" w:eastAsia="es-ES"/>
        </w:rPr>
        <w:t>ANTEPROYECTO DE DISPOSICIÓN TÉCNICA IFT-015-2018: ESPECIFICACIONES TÉCNICAS DE LOS EQUIPOS TRANSMISORES DESTINADOS AL SERVICIO MÓVIL DE RADIOCOMUNICACIÓN ESPECIALIZADA DE FLOTILLAS</w:t>
      </w:r>
      <w:r w:rsidR="006D5CAA" w:rsidRPr="00F73389">
        <w:rPr>
          <w:rFonts w:ascii="ITC Avant Garde" w:eastAsia="Times New Roman" w:hAnsi="ITC Avant Garde" w:cs="Times New Roman"/>
          <w:lang w:val="es-ES_tradnl" w:eastAsia="es-ES"/>
        </w:rPr>
        <w:t xml:space="preserve">”, </w:t>
      </w:r>
      <w:r w:rsidR="006A216B">
        <w:rPr>
          <w:rFonts w:ascii="ITC Avant Garde" w:eastAsia="Times New Roman" w:hAnsi="ITC Avant Garde" w:cs="Times New Roman"/>
          <w:lang w:val="es-ES_tradnl" w:eastAsia="es-ES"/>
        </w:rPr>
        <w:t>Disposición T</w:t>
      </w:r>
      <w:r w:rsidR="006A216B" w:rsidRPr="00F73389">
        <w:rPr>
          <w:rFonts w:ascii="ITC Avant Garde" w:eastAsia="Times New Roman" w:hAnsi="ITC Avant Garde" w:cs="Times New Roman"/>
          <w:lang w:val="es-ES_tradnl" w:eastAsia="es-ES"/>
        </w:rPr>
        <w:t>écnica</w:t>
      </w:r>
      <w:r w:rsidR="00082535">
        <w:rPr>
          <w:rFonts w:ascii="ITC Avant Garde" w:eastAsia="Times New Roman" w:hAnsi="ITC Avant Garde" w:cs="Times New Roman"/>
          <w:lang w:val="es-ES_tradnl" w:eastAsia="es-ES"/>
        </w:rPr>
        <w:t xml:space="preserve"> que </w:t>
      </w:r>
      <w:r w:rsidR="000F7951">
        <w:rPr>
          <w:rFonts w:ascii="ITC Avant Garde" w:eastAsia="Times New Roman" w:hAnsi="ITC Avant Garde" w:cs="Times New Roman"/>
          <w:lang w:val="es-ES_tradnl" w:eastAsia="es-ES"/>
        </w:rPr>
        <w:t xml:space="preserve">reemplaza </w:t>
      </w:r>
      <w:r w:rsidR="000070FC">
        <w:rPr>
          <w:rFonts w:ascii="ITC Avant Garde" w:eastAsia="Times New Roman" w:hAnsi="ITC Avant Garde" w:cs="Times New Roman"/>
          <w:lang w:val="es-ES_tradnl" w:eastAsia="es-ES"/>
        </w:rPr>
        <w:t xml:space="preserve">y actualiza </w:t>
      </w:r>
      <w:r w:rsidR="00082535">
        <w:rPr>
          <w:rFonts w:ascii="ITC Avant Garde" w:eastAsia="Times New Roman" w:hAnsi="ITC Avant Garde" w:cs="Times New Roman"/>
          <w:lang w:val="es-ES_tradnl" w:eastAsia="es-ES"/>
        </w:rPr>
        <w:t xml:space="preserve">a </w:t>
      </w:r>
      <w:r w:rsidR="000F7951">
        <w:rPr>
          <w:rFonts w:ascii="ITC Avant Garde" w:eastAsia="Times New Roman" w:hAnsi="ITC Avant Garde" w:cs="Times New Roman"/>
          <w:lang w:val="es-ES_tradnl" w:eastAsia="es-ES"/>
        </w:rPr>
        <w:t xml:space="preserve">la </w:t>
      </w:r>
      <w:r w:rsidR="00082535" w:rsidRPr="00D43CBF">
        <w:rPr>
          <w:rFonts w:ascii="ITC Avant Garde" w:eastAsia="Times New Roman" w:hAnsi="ITC Avant Garde" w:cs="Times New Roman"/>
          <w:lang w:eastAsia="es-ES"/>
        </w:rPr>
        <w:t>NOM-084-SCT1-2002</w:t>
      </w:r>
      <w:r w:rsidR="006A216B" w:rsidRPr="00F73389">
        <w:rPr>
          <w:rFonts w:ascii="ITC Avant Garde" w:eastAsia="Times New Roman" w:hAnsi="ITC Avant Garde" w:cs="Times New Roman"/>
          <w:lang w:val="es-ES_tradnl" w:eastAsia="es-ES"/>
        </w:rPr>
        <w:t>.</w:t>
      </w:r>
      <w:r w:rsidR="006D5CAA" w:rsidRPr="00F73389">
        <w:rPr>
          <w:rFonts w:ascii="ITC Avant Garde" w:eastAsia="Times New Roman" w:hAnsi="ITC Avant Garde" w:cs="Times New Roman"/>
          <w:lang w:val="es-ES_tradnl" w:eastAsia="es-ES"/>
        </w:rPr>
        <w:t xml:space="preserve"> </w:t>
      </w:r>
    </w:p>
    <w:p w14:paraId="5E8A1DED" w14:textId="77777777" w:rsidR="00886408" w:rsidRPr="00886408" w:rsidRDefault="00886408" w:rsidP="008B1ABB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Times New Roman"/>
          <w:sz w:val="16"/>
          <w:lang w:val="es-ES_tradnl" w:eastAsia="es-ES"/>
        </w:rPr>
      </w:pPr>
    </w:p>
    <w:p w14:paraId="1E090158" w14:textId="0C8D6D2A" w:rsidR="006D5CAA" w:rsidRPr="00F73389" w:rsidRDefault="006D5CAA" w:rsidP="008B1A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Times New Roman"/>
          <w:lang w:val="es-ES_tradnl" w:eastAsia="es-ES"/>
        </w:rPr>
      </w:pPr>
      <w:r w:rsidRPr="00F73389">
        <w:rPr>
          <w:rFonts w:ascii="ITC Avant Garde" w:eastAsia="Times New Roman" w:hAnsi="ITC Avant Garde" w:cs="Times New Roman"/>
          <w:lang w:val="es-ES_tradnl" w:eastAsia="es-ES"/>
        </w:rPr>
        <w:t>Fortalecer</w:t>
      </w:r>
      <w:r w:rsidR="00C20EB6" w:rsidRPr="00F73389">
        <w:rPr>
          <w:rFonts w:ascii="ITC Avant Garde" w:eastAsia="Times New Roman" w:hAnsi="ITC Avant Garde" w:cs="Times New Roman"/>
          <w:lang w:val="es-ES_tradnl" w:eastAsia="es-ES"/>
        </w:rPr>
        <w:t xml:space="preserve"> el proyecto de regulación con los</w:t>
      </w:r>
      <w:r w:rsidRPr="00F73389">
        <w:rPr>
          <w:rFonts w:ascii="ITC Avant Garde" w:eastAsia="Times New Roman" w:hAnsi="ITC Avant Garde" w:cs="Times New Roman"/>
          <w:lang w:val="es-ES_tradnl" w:eastAsia="es-ES"/>
        </w:rPr>
        <w:t xml:space="preserve"> planteamientos expuestos mediante la participación ciudadana, </w:t>
      </w:r>
      <w:r w:rsidR="00C20EB6" w:rsidRPr="00F73389">
        <w:rPr>
          <w:rFonts w:ascii="ITC Avant Garde" w:eastAsia="Times New Roman" w:hAnsi="ITC Avant Garde" w:cs="Times New Roman"/>
          <w:lang w:val="es-ES_tradnl" w:eastAsia="es-ES"/>
        </w:rPr>
        <w:t xml:space="preserve">a fin de generar un </w:t>
      </w:r>
      <w:r w:rsidR="00657039" w:rsidRPr="00F73389">
        <w:rPr>
          <w:rFonts w:ascii="ITC Avant Garde" w:eastAsia="Times New Roman" w:hAnsi="ITC Avant Garde" w:cs="Times New Roman"/>
          <w:lang w:val="es-ES_tradnl" w:eastAsia="es-ES"/>
        </w:rPr>
        <w:t xml:space="preserve">documento que brinde </w:t>
      </w:r>
      <w:r w:rsidRPr="00F73389">
        <w:rPr>
          <w:rFonts w:ascii="ITC Avant Garde" w:eastAsia="Times New Roman" w:hAnsi="ITC Avant Garde" w:cs="Times New Roman"/>
          <w:lang w:val="es-ES_tradnl" w:eastAsia="es-ES"/>
        </w:rPr>
        <w:t xml:space="preserve">una cobertura optima a las necesidades y sugerencias en beneficio </w:t>
      </w:r>
      <w:r w:rsidR="000F7951">
        <w:rPr>
          <w:rFonts w:ascii="ITC Avant Garde" w:eastAsia="Times New Roman" w:hAnsi="ITC Avant Garde" w:cs="Times New Roman"/>
          <w:lang w:val="es-ES_tradnl" w:eastAsia="es-ES"/>
        </w:rPr>
        <w:t>d</w:t>
      </w:r>
      <w:r w:rsidR="006A216B" w:rsidRPr="00F73389">
        <w:rPr>
          <w:rFonts w:ascii="ITC Avant Garde" w:eastAsia="Times New Roman" w:hAnsi="ITC Avant Garde" w:cs="Times New Roman"/>
          <w:lang w:val="es-ES_tradnl" w:eastAsia="es-ES"/>
        </w:rPr>
        <w:t>el sector</w:t>
      </w:r>
      <w:r w:rsidR="000F7951">
        <w:rPr>
          <w:rFonts w:ascii="ITC Avant Garde" w:eastAsia="Times New Roman" w:hAnsi="ITC Avant Garde" w:cs="Times New Roman"/>
          <w:lang w:val="es-ES_tradnl" w:eastAsia="es-ES"/>
        </w:rPr>
        <w:t xml:space="preserve"> </w:t>
      </w:r>
      <w:r w:rsidR="006A216B">
        <w:rPr>
          <w:rFonts w:ascii="ITC Avant Garde" w:eastAsia="Times New Roman" w:hAnsi="ITC Avant Garde" w:cs="Times New Roman"/>
          <w:lang w:val="es-ES_tradnl" w:eastAsia="es-ES"/>
        </w:rPr>
        <w:t>de las telecomunicaciones y radiodifusión</w:t>
      </w:r>
      <w:r w:rsidR="000F7951">
        <w:rPr>
          <w:rFonts w:ascii="ITC Avant Garde" w:eastAsia="Times New Roman" w:hAnsi="ITC Avant Garde" w:cs="Times New Roman"/>
          <w:lang w:val="es-ES_tradnl" w:eastAsia="es-ES"/>
        </w:rPr>
        <w:t>.</w:t>
      </w:r>
      <w:r w:rsidRPr="00F73389">
        <w:rPr>
          <w:rFonts w:ascii="ITC Avant Garde" w:eastAsia="Times New Roman" w:hAnsi="ITC Avant Garde" w:cs="Times New Roman"/>
          <w:lang w:val="es-ES_tradnl" w:eastAsia="es-ES"/>
        </w:rPr>
        <w:t xml:space="preserve"> </w:t>
      </w:r>
    </w:p>
    <w:p w14:paraId="47D4C6C1" w14:textId="1B636CF6" w:rsidR="006D5CAA" w:rsidRPr="00F73389" w:rsidRDefault="006D5CAA" w:rsidP="008B1ABB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Times New Roman"/>
          <w:bCs/>
          <w:lang w:val="es-ES_tradnl" w:eastAsia="es-ES"/>
        </w:rPr>
      </w:pPr>
      <w:r w:rsidRPr="00F73389">
        <w:rPr>
          <w:rFonts w:ascii="ITC Avant Garde" w:eastAsia="Times New Roman" w:hAnsi="ITC Avant Garde" w:cs="Times New Roman"/>
          <w:bCs/>
          <w:lang w:val="es-ES_tradnl" w:eastAsia="es-ES"/>
        </w:rPr>
        <w:lastRenderedPageBreak/>
        <w:t>En este sentido, el Pleno del Instituto estima conveniente someter a consulta pública el “</w:t>
      </w:r>
      <w:r w:rsidR="00FC5571" w:rsidRPr="00FC5571">
        <w:rPr>
          <w:rFonts w:ascii="ITC Avant Garde" w:eastAsia="Times New Roman" w:hAnsi="ITC Avant Garde" w:cs="Times New Roman"/>
          <w:bCs/>
          <w:lang w:val="es-ES_tradnl" w:eastAsia="es-ES"/>
        </w:rPr>
        <w:t>ANTEPROYECTO DE DISPOSICIÓN TÉCNICA IFT-015-2018: ESPECIFICACIONES TÉCNICAS DE LOS EQUIPOS TRANSMISORES DESTINADOS AL SERVICIO MÓVIL DE RADIOCOMUNICACIÓN ESPECIALIZADA DE FLOTILLAS</w:t>
      </w:r>
      <w:r w:rsidR="00055526">
        <w:rPr>
          <w:rFonts w:ascii="ITC Avant Garde" w:eastAsia="Times New Roman" w:hAnsi="ITC Avant Garde" w:cs="Times New Roman"/>
          <w:lang w:val="es-ES_tradnl" w:eastAsia="es-ES"/>
        </w:rPr>
        <w:t>”;</w:t>
      </w:r>
      <w:r w:rsidRPr="00F73389">
        <w:rPr>
          <w:rFonts w:ascii="ITC Avant Garde" w:eastAsia="Times New Roman" w:hAnsi="ITC Avant Garde" w:cs="Times New Roman"/>
          <w:lang w:val="es-ES_tradnl" w:eastAsia="es-ES"/>
        </w:rPr>
        <w:t xml:space="preserve"> Anteproyecto </w:t>
      </w:r>
      <w:r w:rsidRPr="00F73389">
        <w:rPr>
          <w:rFonts w:ascii="ITC Avant Garde" w:eastAsia="Times New Roman" w:hAnsi="ITC Avant Garde" w:cs="Times New Roman"/>
          <w:bCs/>
          <w:lang w:val="es-ES_tradnl" w:eastAsia="es-ES"/>
        </w:rPr>
        <w:t>que a su vez le fue propuesto por la Unidad de Política Regulatoria</w:t>
      </w:r>
      <w:r w:rsidR="00055526">
        <w:rPr>
          <w:rFonts w:ascii="ITC Avant Garde" w:eastAsia="Times New Roman" w:hAnsi="ITC Avant Garde" w:cs="Times New Roman"/>
          <w:bCs/>
          <w:lang w:val="es-ES_tradnl" w:eastAsia="es-ES"/>
        </w:rPr>
        <w:t xml:space="preserve"> a través de la Dirección General de Regulación Técnica</w:t>
      </w:r>
      <w:r w:rsidRPr="00F73389">
        <w:rPr>
          <w:rFonts w:ascii="ITC Avant Garde" w:eastAsia="Times New Roman" w:hAnsi="ITC Avant Garde" w:cs="Times New Roman"/>
          <w:bCs/>
          <w:lang w:val="es-ES_tradnl" w:eastAsia="es-ES"/>
        </w:rPr>
        <w:t>, el cual se adjunta al presente Acuerdo como Anexo Único; al efecto, una vez concluido el plazo de consulta respectivo, se publicarán en el portal de Internet del Instituto todos y cada uno de los comentarios, opiniones y propuestas recibidas</w:t>
      </w:r>
      <w:r w:rsidR="002C2C0A">
        <w:rPr>
          <w:rFonts w:ascii="ITC Avant Garde" w:eastAsia="Times New Roman" w:hAnsi="ITC Avant Garde" w:cs="Times New Roman"/>
          <w:bCs/>
          <w:lang w:val="es-ES_tradnl" w:eastAsia="es-ES"/>
        </w:rPr>
        <w:t>, a efecto de fortalecer dicho Anteproyecto</w:t>
      </w:r>
      <w:r w:rsidRPr="00F73389">
        <w:rPr>
          <w:rFonts w:ascii="ITC Avant Garde" w:eastAsia="Times New Roman" w:hAnsi="ITC Avant Garde" w:cs="Times New Roman"/>
          <w:bCs/>
          <w:lang w:val="es-ES_tradnl" w:eastAsia="es-ES"/>
        </w:rPr>
        <w:t xml:space="preserve">. </w:t>
      </w:r>
    </w:p>
    <w:p w14:paraId="48D9B90C" w14:textId="45CF739E" w:rsidR="007F747E" w:rsidRPr="0082197B" w:rsidRDefault="007F747E" w:rsidP="008B1ABB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Times New Roman"/>
          <w:bCs/>
          <w:lang w:val="es-ES_tradnl" w:eastAsia="es-ES"/>
        </w:rPr>
      </w:pPr>
    </w:p>
    <w:p w14:paraId="4293483E" w14:textId="123DF8DD" w:rsidR="00576206" w:rsidRPr="0082197B" w:rsidRDefault="00576206" w:rsidP="008B1ABB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Times New Roman"/>
          <w:bCs/>
          <w:lang w:val="es-ES_tradnl" w:eastAsia="es-ES"/>
        </w:rPr>
      </w:pPr>
      <w:r w:rsidRPr="0082197B">
        <w:rPr>
          <w:rFonts w:ascii="ITC Avant Garde" w:eastAsia="Times New Roman" w:hAnsi="ITC Avant Garde" w:cs="Times New Roman"/>
          <w:bCs/>
          <w:lang w:val="es-ES_tradnl" w:eastAsia="es-ES"/>
        </w:rPr>
        <w:t>Asimismo, como parte de la consulta pública, se publicará en conjunto con el Anteproyecto, su correspondiente Análisis de Impacto Regulatorio, conforme a lo dispuesto en el párrafo segundo del artículo 51 de la LFTR.</w:t>
      </w:r>
    </w:p>
    <w:p w14:paraId="46B3DC2C" w14:textId="77777777" w:rsidR="00576206" w:rsidRPr="0082197B" w:rsidRDefault="00576206" w:rsidP="008B1ABB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Times New Roman"/>
          <w:bCs/>
          <w:lang w:val="es-ES_tradnl" w:eastAsia="es-ES"/>
        </w:rPr>
      </w:pPr>
    </w:p>
    <w:p w14:paraId="7965AD27" w14:textId="1AEFB8E1" w:rsidR="007F747E" w:rsidRPr="00947A06" w:rsidRDefault="007F747E" w:rsidP="008B1A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Times New Roman"/>
          <w:bCs/>
          <w:lang w:val="es-ES_tradnl" w:eastAsia="es-ES"/>
        </w:rPr>
      </w:pPr>
      <w:r w:rsidRPr="00947A06">
        <w:rPr>
          <w:rFonts w:ascii="ITC Avant Garde" w:eastAsia="Times New Roman" w:hAnsi="ITC Avant Garde" w:cs="Times New Roman"/>
          <w:bCs/>
          <w:lang w:val="es-ES_tradnl" w:eastAsia="es-ES"/>
        </w:rPr>
        <w:t xml:space="preserve">Por lo anterior, el Anteproyecto propuesto debe estar sujeto a un proceso de consulta pública por un periodo de </w:t>
      </w:r>
      <w:r w:rsidR="002B3287" w:rsidRPr="00947A06">
        <w:rPr>
          <w:rFonts w:ascii="ITC Avant Garde" w:eastAsia="Times New Roman" w:hAnsi="ITC Avant Garde" w:cs="Times New Roman"/>
          <w:bCs/>
          <w:lang w:val="es-ES_tradnl" w:eastAsia="es-ES"/>
        </w:rPr>
        <w:t>30 días naturales</w:t>
      </w:r>
      <w:r w:rsidRPr="00947A06">
        <w:rPr>
          <w:rFonts w:ascii="ITC Avant Garde" w:eastAsia="Times New Roman" w:hAnsi="ITC Avant Garde" w:cs="Times New Roman"/>
          <w:bCs/>
          <w:lang w:val="es-ES_tradnl" w:eastAsia="es-ES"/>
        </w:rPr>
        <w:t xml:space="preserve"> a fin de transparentar y promover la participación ciudadana en los procesos de emisión de disposiciones de carácter general que genere el Instituto, a efecto de dar cabal cumplimiento a lo establecido en el dispositivo legal señalado. </w:t>
      </w:r>
    </w:p>
    <w:p w14:paraId="4CB099FE" w14:textId="77777777" w:rsidR="003A70EE" w:rsidRPr="00947A06" w:rsidRDefault="003A70EE" w:rsidP="008B1A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Times New Roman"/>
          <w:bCs/>
          <w:lang w:val="es-ES_tradnl" w:eastAsia="es-ES"/>
        </w:rPr>
      </w:pPr>
    </w:p>
    <w:p w14:paraId="2E10839C" w14:textId="11BC31BB" w:rsidR="003A70EE" w:rsidRDefault="003A70EE" w:rsidP="008B1ABB">
      <w:pPr>
        <w:spacing w:after="0" w:line="240" w:lineRule="auto"/>
        <w:jc w:val="both"/>
        <w:rPr>
          <w:rFonts w:ascii="ITC Avant Garde" w:hAnsi="ITC Avant Garde"/>
          <w:kern w:val="2"/>
          <w:lang w:val="es-ES" w:eastAsia="ar-SA"/>
        </w:rPr>
      </w:pPr>
      <w:r w:rsidRPr="003A70EE">
        <w:rPr>
          <w:rFonts w:ascii="ITC Avant Garde" w:hAnsi="ITC Avant Garde"/>
          <w:kern w:val="2"/>
          <w:lang w:val="es-ES" w:eastAsia="ar-SA"/>
        </w:rPr>
        <w:t xml:space="preserve">Por las razones </w:t>
      </w:r>
      <w:r w:rsidR="00FC5571" w:rsidRPr="003A70EE">
        <w:rPr>
          <w:rFonts w:ascii="ITC Avant Garde" w:hAnsi="ITC Avant Garde"/>
          <w:kern w:val="2"/>
          <w:lang w:val="es-ES" w:eastAsia="ar-SA"/>
        </w:rPr>
        <w:t>expuestas con</w:t>
      </w:r>
      <w:r w:rsidRPr="003A70EE">
        <w:rPr>
          <w:rFonts w:ascii="ITC Avant Garde" w:hAnsi="ITC Avant Garde"/>
          <w:kern w:val="2"/>
          <w:lang w:val="es-ES" w:eastAsia="ar-SA"/>
        </w:rPr>
        <w:t xml:space="preserve"> fundamento en los artículos 6o. y 28, párrafos décimo quinto y vigésimo, fracción IV, de la Constitución Política de los Estados Unidos Mexicanos; 1, 2, 7, 15, fracci</w:t>
      </w:r>
      <w:r w:rsidR="006A216B">
        <w:rPr>
          <w:rFonts w:ascii="ITC Avant Garde" w:hAnsi="ITC Avant Garde"/>
          <w:kern w:val="2"/>
          <w:lang w:val="es-ES" w:eastAsia="ar-SA"/>
        </w:rPr>
        <w:t>ones</w:t>
      </w:r>
      <w:r w:rsidRPr="003A70EE">
        <w:rPr>
          <w:rFonts w:ascii="ITC Avant Garde" w:hAnsi="ITC Avant Garde"/>
          <w:kern w:val="2"/>
          <w:lang w:val="es-ES" w:eastAsia="ar-SA"/>
        </w:rPr>
        <w:t xml:space="preserve"> I, LVI, 51</w:t>
      </w:r>
      <w:r w:rsidR="00F73389" w:rsidRPr="00F73389">
        <w:rPr>
          <w:rFonts w:ascii="ITC Avant Garde" w:hAnsi="ITC Avant Garde"/>
          <w:kern w:val="2"/>
          <w:lang w:val="es-ES" w:eastAsia="ar-SA"/>
        </w:rPr>
        <w:t xml:space="preserve"> y</w:t>
      </w:r>
      <w:r w:rsidRPr="003A70EE">
        <w:rPr>
          <w:rFonts w:ascii="ITC Avant Garde" w:hAnsi="ITC Avant Garde"/>
          <w:kern w:val="2"/>
          <w:lang w:val="es-ES" w:eastAsia="ar-SA"/>
        </w:rPr>
        <w:t xml:space="preserve"> 52 de la Ley Federal de Telecomunicaciones y Radiodifusión, </w:t>
      </w:r>
      <w:r w:rsidR="00657039" w:rsidRPr="00F73389">
        <w:rPr>
          <w:rFonts w:ascii="ITC Avant Garde" w:hAnsi="ITC Avant Garde"/>
          <w:kern w:val="2"/>
          <w:lang w:val="es-ES" w:eastAsia="ar-SA"/>
        </w:rPr>
        <w:t>1, 4, fracción I y 6 fracción XXXV</w:t>
      </w:r>
      <w:r w:rsidR="00AE36B1">
        <w:rPr>
          <w:rFonts w:ascii="ITC Avant Garde" w:hAnsi="ITC Avant Garde"/>
          <w:kern w:val="2"/>
          <w:lang w:val="es-ES" w:eastAsia="ar-SA"/>
        </w:rPr>
        <w:t>I</w:t>
      </w:r>
      <w:r w:rsidR="00657039" w:rsidRPr="00F73389">
        <w:rPr>
          <w:rFonts w:ascii="ITC Avant Garde" w:hAnsi="ITC Avant Garde"/>
          <w:kern w:val="2"/>
          <w:lang w:val="es-ES" w:eastAsia="ar-SA"/>
        </w:rPr>
        <w:t xml:space="preserve">II </w:t>
      </w:r>
      <w:r w:rsidRPr="003A70EE">
        <w:rPr>
          <w:rFonts w:ascii="ITC Avant Garde" w:hAnsi="ITC Avant Garde" w:cs="Arial"/>
          <w:lang w:val="es-ES_tradnl"/>
        </w:rPr>
        <w:t xml:space="preserve">del Estatuto Orgánico del Instituto, </w:t>
      </w:r>
      <w:r w:rsidRPr="003A70EE">
        <w:rPr>
          <w:rFonts w:ascii="ITC Avant Garde" w:hAnsi="ITC Avant Garde"/>
          <w:kern w:val="2"/>
          <w:lang w:val="es-ES" w:eastAsia="ar-SA"/>
        </w:rPr>
        <w:t>el Pleno del Instituto Federal de Telecomunicaciones emite el siguiente:</w:t>
      </w:r>
    </w:p>
    <w:p w14:paraId="73AAE523" w14:textId="2BE454D0" w:rsidR="00886408" w:rsidRDefault="00886408" w:rsidP="008B1ABB">
      <w:pPr>
        <w:spacing w:after="0" w:line="240" w:lineRule="auto"/>
        <w:jc w:val="both"/>
        <w:rPr>
          <w:rFonts w:ascii="ITC Avant Garde" w:hAnsi="ITC Avant Garde"/>
          <w:kern w:val="2"/>
          <w:sz w:val="20"/>
          <w:lang w:val="es-ES" w:eastAsia="ar-SA"/>
        </w:rPr>
      </w:pPr>
    </w:p>
    <w:p w14:paraId="719670AC" w14:textId="77777777" w:rsidR="008B1ABB" w:rsidRPr="00886408" w:rsidRDefault="008B1ABB" w:rsidP="008B1ABB">
      <w:pPr>
        <w:spacing w:after="0" w:line="240" w:lineRule="auto"/>
        <w:jc w:val="both"/>
        <w:rPr>
          <w:rFonts w:ascii="ITC Avant Garde" w:hAnsi="ITC Avant Garde"/>
          <w:kern w:val="2"/>
          <w:sz w:val="20"/>
          <w:lang w:val="es-ES" w:eastAsia="ar-SA"/>
        </w:rPr>
      </w:pPr>
    </w:p>
    <w:p w14:paraId="4A95C572" w14:textId="77777777" w:rsidR="007F747E" w:rsidRPr="007F747E" w:rsidRDefault="007F747E" w:rsidP="008B1ABB">
      <w:pPr>
        <w:spacing w:before="101" w:after="0" w:line="240" w:lineRule="auto"/>
        <w:jc w:val="center"/>
        <w:rPr>
          <w:rFonts w:ascii="ITC Avant Garde" w:eastAsia="Times New Roman" w:hAnsi="ITC Avant Garde" w:cs="Arial"/>
          <w:b/>
          <w:lang w:eastAsia="es-ES"/>
        </w:rPr>
      </w:pPr>
      <w:r w:rsidRPr="007F747E">
        <w:rPr>
          <w:rFonts w:ascii="ITC Avant Garde" w:eastAsia="Times New Roman" w:hAnsi="ITC Avant Garde" w:cs="Arial"/>
          <w:b/>
          <w:lang w:eastAsia="es-ES"/>
        </w:rPr>
        <w:t>ACUERDO</w:t>
      </w:r>
    </w:p>
    <w:p w14:paraId="06982B56" w14:textId="148981D0" w:rsidR="007F747E" w:rsidRDefault="007F747E" w:rsidP="008B1ABB">
      <w:pPr>
        <w:spacing w:after="0" w:line="240" w:lineRule="auto"/>
        <w:jc w:val="both"/>
        <w:rPr>
          <w:rFonts w:ascii="ITC Avant Garde" w:eastAsia="Times New Roman" w:hAnsi="ITC Avant Garde" w:cs="Arial"/>
          <w:sz w:val="20"/>
          <w:lang w:eastAsia="es-ES"/>
        </w:rPr>
      </w:pPr>
    </w:p>
    <w:p w14:paraId="7A45B345" w14:textId="77777777" w:rsidR="008B1ABB" w:rsidRPr="00886408" w:rsidRDefault="008B1ABB" w:rsidP="008B1ABB">
      <w:pPr>
        <w:spacing w:after="0" w:line="240" w:lineRule="auto"/>
        <w:jc w:val="both"/>
        <w:rPr>
          <w:rFonts w:ascii="ITC Avant Garde" w:eastAsia="Times New Roman" w:hAnsi="ITC Avant Garde" w:cs="Arial"/>
          <w:sz w:val="20"/>
          <w:lang w:eastAsia="es-ES"/>
        </w:rPr>
      </w:pPr>
    </w:p>
    <w:p w14:paraId="16C33A84" w14:textId="4DD05E33" w:rsidR="003A70EE" w:rsidRDefault="007F747E" w:rsidP="008B1ABB">
      <w:pPr>
        <w:tabs>
          <w:tab w:val="left" w:pos="720"/>
          <w:tab w:val="left" w:pos="1134"/>
        </w:tabs>
        <w:spacing w:after="0" w:line="240" w:lineRule="auto"/>
        <w:jc w:val="both"/>
        <w:rPr>
          <w:rFonts w:ascii="ITC Avant Garde" w:hAnsi="ITC Avant Garde"/>
          <w:lang w:val="es-ES_tradnl"/>
        </w:rPr>
      </w:pPr>
      <w:proofErr w:type="gramStart"/>
      <w:r w:rsidRPr="007F747E">
        <w:rPr>
          <w:rFonts w:ascii="ITC Avant Garde" w:eastAsia="Times New Roman" w:hAnsi="ITC Avant Garde" w:cs="Times New Roman"/>
          <w:b/>
          <w:lang w:eastAsia="es-ES"/>
        </w:rPr>
        <w:t>PRIMERO</w:t>
      </w:r>
      <w:r w:rsidRPr="007F747E">
        <w:rPr>
          <w:rFonts w:ascii="ITC Avant Garde" w:eastAsia="Times New Roman" w:hAnsi="ITC Avant Garde" w:cs="Times New Roman"/>
          <w:lang w:eastAsia="es-ES"/>
        </w:rPr>
        <w:t>.-</w:t>
      </w:r>
      <w:proofErr w:type="gramEnd"/>
      <w:r w:rsidRPr="007F747E">
        <w:rPr>
          <w:rFonts w:ascii="ITC Avant Garde" w:eastAsia="Times New Roman" w:hAnsi="ITC Avant Garde" w:cs="Times New Roman"/>
          <w:lang w:eastAsia="es-ES"/>
        </w:rPr>
        <w:t xml:space="preserve"> </w:t>
      </w:r>
      <w:r w:rsidR="003A70EE" w:rsidRPr="00F73389">
        <w:rPr>
          <w:rFonts w:ascii="ITC Avant Garde" w:hAnsi="ITC Avant Garde" w:cs="Tahoma"/>
          <w:bCs/>
          <w:lang w:val="es-ES_tradnl" w:eastAsia="es-MX"/>
        </w:rPr>
        <w:t>Se determina someter a consulta pública el “</w:t>
      </w:r>
      <w:r w:rsidR="00FC5571" w:rsidRPr="00FC5571">
        <w:rPr>
          <w:rFonts w:ascii="ITC Avant Garde" w:hAnsi="ITC Avant Garde" w:cs="Tahoma"/>
          <w:bCs/>
          <w:lang w:val="es-ES_tradnl" w:eastAsia="es-MX"/>
        </w:rPr>
        <w:t>ANTEPROYECTO DE DISPOSICIÓN TÉCNICA IFT-015-2018: ESPECIFICACIONES TÉCNICAS DE LOS EQUIPOS TRANSMISORES DESTINADOS AL SERVICIO MÓVIL DE RADIOCOMUNICACIÓN ESPECIALIZADA DE FLOTILLAS</w:t>
      </w:r>
      <w:r w:rsidR="003A70EE" w:rsidRPr="00F73389">
        <w:rPr>
          <w:rFonts w:ascii="ITC Avant Garde" w:hAnsi="ITC Avant Garde" w:cs="Tahoma"/>
          <w:bCs/>
          <w:lang w:val="es-ES_tradnl" w:eastAsia="es-MX"/>
        </w:rPr>
        <w:t>”,</w:t>
      </w:r>
      <w:r w:rsidR="003A70EE" w:rsidRPr="00F73389">
        <w:rPr>
          <w:rFonts w:ascii="ITC Avant Garde" w:hAnsi="ITC Avant Garde" w:cs="Tahoma"/>
          <w:b/>
          <w:bCs/>
          <w:lang w:val="es-ES_tradnl" w:eastAsia="es-MX"/>
        </w:rPr>
        <w:t xml:space="preserve"> </w:t>
      </w:r>
      <w:r w:rsidR="003A70EE" w:rsidRPr="00F73389">
        <w:rPr>
          <w:rFonts w:ascii="ITC Avant Garde" w:hAnsi="ITC Avant Garde"/>
          <w:lang w:val="es-ES_tradnl"/>
        </w:rPr>
        <w:t xml:space="preserve">mismo que se encuentra como Anexo Único del presente Acuerdo. Dicha consulta pública se realizará durante </w:t>
      </w:r>
      <w:r w:rsidR="002B3287">
        <w:rPr>
          <w:rFonts w:ascii="ITC Avant Garde" w:hAnsi="ITC Avant Garde"/>
          <w:lang w:val="es-ES_tradnl"/>
        </w:rPr>
        <w:t>treinta</w:t>
      </w:r>
      <w:r w:rsidR="002B3287" w:rsidRPr="00F73389">
        <w:rPr>
          <w:rFonts w:ascii="ITC Avant Garde" w:hAnsi="ITC Avant Garde"/>
          <w:lang w:val="es-ES_tradnl"/>
        </w:rPr>
        <w:t xml:space="preserve"> </w:t>
      </w:r>
      <w:r w:rsidR="003A70EE" w:rsidRPr="00F73389">
        <w:rPr>
          <w:rFonts w:ascii="ITC Avant Garde" w:hAnsi="ITC Avant Garde"/>
          <w:lang w:val="es-ES_tradnl"/>
        </w:rPr>
        <w:t xml:space="preserve">días </w:t>
      </w:r>
      <w:r w:rsidR="002B3287">
        <w:rPr>
          <w:rFonts w:ascii="ITC Avant Garde" w:hAnsi="ITC Avant Garde"/>
          <w:lang w:val="es-ES_tradnl"/>
        </w:rPr>
        <w:t>naturales</w:t>
      </w:r>
      <w:r w:rsidR="003A70EE" w:rsidRPr="00F73389">
        <w:rPr>
          <w:rFonts w:ascii="ITC Avant Garde" w:hAnsi="ITC Avant Garde"/>
          <w:lang w:val="es-ES_tradnl"/>
        </w:rPr>
        <w:t>, contados a partir de su publicación en el portal de Internet del Instituto Federal de Telecomunicaciones.</w:t>
      </w:r>
      <w:r w:rsidR="003A70EE" w:rsidRPr="00F73389" w:rsidDel="009026F6">
        <w:rPr>
          <w:rFonts w:ascii="ITC Avant Garde" w:hAnsi="ITC Avant Garde"/>
          <w:lang w:val="es-ES_tradnl"/>
        </w:rPr>
        <w:t xml:space="preserve"> </w:t>
      </w:r>
    </w:p>
    <w:p w14:paraId="4DBAA112" w14:textId="0DDD9E97" w:rsidR="00474F84" w:rsidRDefault="00474F84" w:rsidP="008B1ABB">
      <w:pPr>
        <w:tabs>
          <w:tab w:val="left" w:pos="720"/>
          <w:tab w:val="left" w:pos="1134"/>
        </w:tabs>
        <w:spacing w:after="0" w:line="240" w:lineRule="auto"/>
        <w:jc w:val="both"/>
        <w:rPr>
          <w:rFonts w:ascii="ITC Avant Garde" w:hAnsi="ITC Avant Garde" w:cs="Tahoma"/>
          <w:b/>
          <w:bCs/>
          <w:sz w:val="20"/>
          <w:lang w:val="es-ES_tradnl" w:eastAsia="es-MX"/>
        </w:rPr>
      </w:pPr>
    </w:p>
    <w:p w14:paraId="0A19B311" w14:textId="77777777" w:rsidR="008B1ABB" w:rsidRPr="008B1ABB" w:rsidRDefault="008B1ABB" w:rsidP="008B1ABB">
      <w:pPr>
        <w:tabs>
          <w:tab w:val="left" w:pos="720"/>
          <w:tab w:val="left" w:pos="1134"/>
        </w:tabs>
        <w:spacing w:after="0" w:line="240" w:lineRule="auto"/>
        <w:jc w:val="both"/>
        <w:rPr>
          <w:rFonts w:ascii="ITC Avant Garde" w:hAnsi="ITC Avant Garde" w:cs="Tahoma"/>
          <w:b/>
          <w:bCs/>
          <w:sz w:val="20"/>
          <w:lang w:val="es-ES_tradnl" w:eastAsia="es-MX"/>
        </w:rPr>
      </w:pPr>
    </w:p>
    <w:p w14:paraId="11A50B59" w14:textId="64EE4A59" w:rsidR="007F747E" w:rsidRPr="007F747E" w:rsidRDefault="007F747E" w:rsidP="008B1ABB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Arial"/>
          <w:lang w:eastAsia="es-ES"/>
        </w:rPr>
      </w:pPr>
      <w:proofErr w:type="gramStart"/>
      <w:r w:rsidRPr="007F747E">
        <w:rPr>
          <w:rFonts w:ascii="ITC Avant Garde" w:eastAsia="Times New Roman" w:hAnsi="ITC Avant Garde" w:cs="Arial"/>
          <w:b/>
          <w:lang w:eastAsia="es-ES"/>
        </w:rPr>
        <w:t>SEGUNDO</w:t>
      </w:r>
      <w:r w:rsidRPr="007F747E">
        <w:rPr>
          <w:rFonts w:ascii="ITC Avant Garde" w:eastAsia="Times New Roman" w:hAnsi="ITC Avant Garde" w:cs="Arial"/>
          <w:lang w:eastAsia="es-ES"/>
        </w:rPr>
        <w:t>.-</w:t>
      </w:r>
      <w:proofErr w:type="gramEnd"/>
      <w:r w:rsidRPr="007F747E">
        <w:rPr>
          <w:rFonts w:ascii="ITC Avant Garde" w:eastAsia="Times New Roman" w:hAnsi="ITC Avant Garde" w:cs="Arial"/>
          <w:lang w:eastAsia="es-ES"/>
        </w:rPr>
        <w:t xml:space="preserve"> Se instruye a la Unidad de Política Regulatoria, por conducto de la Dirección General de Regulación </w:t>
      </w:r>
      <w:r w:rsidR="002E7C44" w:rsidRPr="007F747E">
        <w:rPr>
          <w:rFonts w:ascii="ITC Avant Garde" w:eastAsia="Times New Roman" w:hAnsi="ITC Avant Garde" w:cs="Arial"/>
          <w:lang w:eastAsia="es-ES"/>
        </w:rPr>
        <w:t>Técnica, a</w:t>
      </w:r>
      <w:r w:rsidR="00642995" w:rsidRPr="00F73389">
        <w:rPr>
          <w:rFonts w:ascii="ITC Avant Garde" w:eastAsia="Times New Roman" w:hAnsi="ITC Avant Garde" w:cs="Arial"/>
          <w:lang w:eastAsia="es-ES"/>
        </w:rPr>
        <w:t xml:space="preserve"> recibir y dar</w:t>
      </w:r>
      <w:r w:rsidR="002121F4">
        <w:rPr>
          <w:rFonts w:ascii="ITC Avant Garde" w:eastAsia="Times New Roman" w:hAnsi="ITC Avant Garde" w:cs="Arial"/>
          <w:lang w:eastAsia="es-ES"/>
        </w:rPr>
        <w:t xml:space="preserve"> la </w:t>
      </w:r>
      <w:r w:rsidRPr="007F747E">
        <w:rPr>
          <w:rFonts w:ascii="ITC Avant Garde" w:eastAsia="Times New Roman" w:hAnsi="ITC Avant Garde" w:cs="Arial"/>
          <w:lang w:eastAsia="es-ES"/>
        </w:rPr>
        <w:t>atención que corresponda a las opiniones que sean vertidas de la consulta pública materia del presente Acuerdo.</w:t>
      </w:r>
    </w:p>
    <w:p w14:paraId="03B1152D" w14:textId="577C88FC" w:rsidR="007F747E" w:rsidRDefault="007F747E" w:rsidP="008B1ABB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Arial"/>
          <w:sz w:val="20"/>
          <w:lang w:eastAsia="es-ES"/>
        </w:rPr>
      </w:pPr>
    </w:p>
    <w:p w14:paraId="5FA01FC3" w14:textId="724D03DF" w:rsidR="008B1ABB" w:rsidRDefault="008B1ABB" w:rsidP="008B1ABB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Arial"/>
          <w:sz w:val="20"/>
          <w:lang w:eastAsia="es-ES"/>
        </w:rPr>
      </w:pPr>
    </w:p>
    <w:p w14:paraId="0F9A8477" w14:textId="56F84770" w:rsidR="008B1ABB" w:rsidRDefault="008B1ABB" w:rsidP="008B1ABB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Arial"/>
          <w:sz w:val="20"/>
          <w:lang w:eastAsia="es-ES"/>
        </w:rPr>
      </w:pPr>
    </w:p>
    <w:p w14:paraId="0DD97180" w14:textId="77777777" w:rsidR="008B1ABB" w:rsidRPr="008B1ABB" w:rsidRDefault="008B1ABB" w:rsidP="008B1ABB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Arial"/>
          <w:sz w:val="20"/>
          <w:lang w:eastAsia="es-ES"/>
        </w:rPr>
      </w:pPr>
    </w:p>
    <w:p w14:paraId="3B860988" w14:textId="77777777" w:rsidR="007F747E" w:rsidRDefault="007F747E" w:rsidP="008B1ABB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Arial"/>
          <w:lang w:eastAsia="es-ES"/>
        </w:rPr>
      </w:pPr>
      <w:proofErr w:type="gramStart"/>
      <w:r w:rsidRPr="007F747E">
        <w:rPr>
          <w:rFonts w:ascii="ITC Avant Garde" w:eastAsia="Times New Roman" w:hAnsi="ITC Avant Garde" w:cs="Arial"/>
          <w:b/>
          <w:lang w:eastAsia="es-ES"/>
        </w:rPr>
        <w:lastRenderedPageBreak/>
        <w:t>TERCERO.-</w:t>
      </w:r>
      <w:proofErr w:type="gramEnd"/>
      <w:r w:rsidRPr="007F747E">
        <w:rPr>
          <w:rFonts w:ascii="ITC Avant Garde" w:eastAsia="Times New Roman" w:hAnsi="ITC Avant Garde" w:cs="Arial"/>
          <w:b/>
          <w:lang w:eastAsia="es-ES"/>
        </w:rPr>
        <w:t xml:space="preserve"> </w:t>
      </w:r>
      <w:r w:rsidRPr="007F747E">
        <w:rPr>
          <w:rFonts w:ascii="ITC Avant Garde" w:eastAsia="Times New Roman" w:hAnsi="ITC Avant Garde" w:cs="Arial"/>
          <w:lang w:eastAsia="es-ES"/>
        </w:rPr>
        <w:t>Publíquese en la página de Internet del Instituto Federal de Telecomunicaciones</w:t>
      </w:r>
      <w:r w:rsidR="00AE36B1">
        <w:rPr>
          <w:rFonts w:ascii="ITC Avant Garde" w:eastAsia="Times New Roman" w:hAnsi="ITC Avant Garde" w:cs="Arial"/>
          <w:lang w:eastAsia="es-ES"/>
        </w:rPr>
        <w:t xml:space="preserve"> el presente Acuerdo y su Anexo Único</w:t>
      </w:r>
      <w:r w:rsidRPr="007F747E">
        <w:rPr>
          <w:rFonts w:ascii="ITC Avant Garde" w:eastAsia="Times New Roman" w:hAnsi="ITC Avant Garde" w:cs="Arial"/>
          <w:lang w:eastAsia="es-ES"/>
        </w:rPr>
        <w:t>.</w:t>
      </w:r>
    </w:p>
    <w:p w14:paraId="3B58924F" w14:textId="77777777" w:rsidR="00886408" w:rsidRPr="008B1ABB" w:rsidRDefault="00886408" w:rsidP="008B1ABB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Arial"/>
          <w:sz w:val="21"/>
          <w:szCs w:val="21"/>
          <w:lang w:eastAsia="es-ES"/>
        </w:rPr>
      </w:pPr>
    </w:p>
    <w:p w14:paraId="1F928C88" w14:textId="039B6FF3" w:rsidR="00886408" w:rsidRDefault="00886408" w:rsidP="008B1ABB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Arial"/>
          <w:sz w:val="21"/>
          <w:szCs w:val="21"/>
          <w:lang w:eastAsia="es-ES"/>
        </w:rPr>
      </w:pPr>
    </w:p>
    <w:p w14:paraId="7D225D58" w14:textId="72764BF2" w:rsidR="008B1ABB" w:rsidRDefault="008B1ABB" w:rsidP="008B1ABB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Arial"/>
          <w:sz w:val="21"/>
          <w:szCs w:val="21"/>
          <w:lang w:eastAsia="es-ES"/>
        </w:rPr>
      </w:pPr>
    </w:p>
    <w:p w14:paraId="3F4C764E" w14:textId="5D4D377A" w:rsidR="008B1ABB" w:rsidRDefault="008B1ABB" w:rsidP="008B1ABB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Arial"/>
          <w:sz w:val="21"/>
          <w:szCs w:val="21"/>
          <w:lang w:eastAsia="es-ES"/>
        </w:rPr>
      </w:pPr>
    </w:p>
    <w:p w14:paraId="76562FBD" w14:textId="2B0B5972" w:rsidR="008B1ABB" w:rsidRDefault="008B1ABB" w:rsidP="008B1ABB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Arial"/>
          <w:sz w:val="21"/>
          <w:szCs w:val="21"/>
          <w:lang w:eastAsia="es-ES"/>
        </w:rPr>
      </w:pPr>
    </w:p>
    <w:p w14:paraId="6D7330C5" w14:textId="58C365D6" w:rsidR="008B1ABB" w:rsidRDefault="008B1ABB" w:rsidP="008B1ABB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Arial"/>
          <w:sz w:val="21"/>
          <w:szCs w:val="21"/>
          <w:lang w:eastAsia="es-ES"/>
        </w:rPr>
      </w:pPr>
    </w:p>
    <w:p w14:paraId="5B2695FC" w14:textId="77777777" w:rsidR="008B1ABB" w:rsidRDefault="008B1ABB" w:rsidP="008B1ABB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Arial"/>
          <w:sz w:val="21"/>
          <w:szCs w:val="21"/>
          <w:lang w:eastAsia="es-ES"/>
        </w:rPr>
      </w:pPr>
    </w:p>
    <w:p w14:paraId="2CC1292E" w14:textId="77777777" w:rsidR="008B1ABB" w:rsidRDefault="008B1ABB" w:rsidP="008B1ABB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Arial"/>
          <w:sz w:val="21"/>
          <w:szCs w:val="21"/>
          <w:lang w:eastAsia="es-ES"/>
        </w:rPr>
      </w:pPr>
    </w:p>
    <w:p w14:paraId="5965C5D6" w14:textId="77777777" w:rsidR="008B1ABB" w:rsidRPr="008B1ABB" w:rsidRDefault="008B1ABB" w:rsidP="007F747E">
      <w:pPr>
        <w:autoSpaceDE w:val="0"/>
        <w:autoSpaceDN w:val="0"/>
        <w:adjustRightInd w:val="0"/>
        <w:spacing w:after="0" w:line="276" w:lineRule="auto"/>
        <w:jc w:val="both"/>
        <w:rPr>
          <w:rFonts w:ascii="ITC Avant Garde" w:eastAsia="Times New Roman" w:hAnsi="ITC Avant Garde" w:cs="Arial"/>
          <w:sz w:val="21"/>
          <w:szCs w:val="21"/>
          <w:lang w:eastAsia="es-ES"/>
        </w:rPr>
      </w:pPr>
    </w:p>
    <w:p w14:paraId="03DC5C5B" w14:textId="77777777" w:rsidR="00886408" w:rsidRPr="008B1ABB" w:rsidRDefault="00886408" w:rsidP="007F747E">
      <w:pPr>
        <w:autoSpaceDE w:val="0"/>
        <w:autoSpaceDN w:val="0"/>
        <w:adjustRightInd w:val="0"/>
        <w:spacing w:after="0" w:line="276" w:lineRule="auto"/>
        <w:jc w:val="both"/>
        <w:rPr>
          <w:rFonts w:ascii="ITC Avant Garde" w:eastAsia="Times New Roman" w:hAnsi="ITC Avant Garde" w:cs="Arial"/>
          <w:sz w:val="21"/>
          <w:szCs w:val="21"/>
          <w:lang w:eastAsia="es-ES"/>
        </w:rPr>
      </w:pPr>
    </w:p>
    <w:p w14:paraId="332FE51D" w14:textId="77777777" w:rsidR="00886408" w:rsidRPr="008B1ABB" w:rsidRDefault="00886408" w:rsidP="00886408">
      <w:pPr>
        <w:spacing w:after="0" w:line="240" w:lineRule="auto"/>
        <w:jc w:val="center"/>
        <w:rPr>
          <w:rFonts w:ascii="ITC Avant Garde" w:eastAsia="Calibri" w:hAnsi="ITC Avant Garde" w:cs="Arial"/>
          <w:b/>
          <w:bCs/>
          <w:sz w:val="21"/>
          <w:szCs w:val="21"/>
        </w:rPr>
      </w:pPr>
      <w:r w:rsidRPr="008B1ABB">
        <w:rPr>
          <w:rFonts w:ascii="ITC Avant Garde" w:eastAsia="Calibri" w:hAnsi="ITC Avant Garde" w:cs="Arial"/>
          <w:b/>
          <w:bCs/>
          <w:sz w:val="21"/>
          <w:szCs w:val="21"/>
        </w:rPr>
        <w:t>Gabriel Oswaldo Contreras Saldívar</w:t>
      </w:r>
    </w:p>
    <w:p w14:paraId="4F754660" w14:textId="77777777" w:rsidR="00886408" w:rsidRPr="008B1ABB" w:rsidRDefault="00886408" w:rsidP="00886408">
      <w:pPr>
        <w:spacing w:after="0" w:line="240" w:lineRule="auto"/>
        <w:jc w:val="center"/>
        <w:rPr>
          <w:rFonts w:ascii="ITC Avant Garde" w:eastAsia="Calibri" w:hAnsi="ITC Avant Garde" w:cs="Arial"/>
          <w:b/>
          <w:bCs/>
          <w:sz w:val="21"/>
          <w:szCs w:val="21"/>
        </w:rPr>
      </w:pPr>
      <w:r w:rsidRPr="008B1ABB">
        <w:rPr>
          <w:rFonts w:ascii="ITC Avant Garde" w:eastAsia="Calibri" w:hAnsi="ITC Avant Garde" w:cs="Arial"/>
          <w:b/>
          <w:bCs/>
          <w:sz w:val="21"/>
          <w:szCs w:val="21"/>
        </w:rPr>
        <w:t>Comisionado Presidente</w:t>
      </w:r>
    </w:p>
    <w:p w14:paraId="6119BD98" w14:textId="77777777" w:rsidR="00886408" w:rsidRPr="008B1ABB" w:rsidRDefault="00886408" w:rsidP="00886408">
      <w:pPr>
        <w:spacing w:after="0" w:line="240" w:lineRule="auto"/>
        <w:jc w:val="center"/>
        <w:rPr>
          <w:rFonts w:ascii="ITC Avant Garde" w:eastAsia="Calibri" w:hAnsi="ITC Avant Garde" w:cs="Arial"/>
          <w:b/>
          <w:bCs/>
          <w:sz w:val="21"/>
          <w:szCs w:val="21"/>
        </w:rPr>
      </w:pPr>
    </w:p>
    <w:p w14:paraId="338B5F90" w14:textId="732E06EC" w:rsidR="00886408" w:rsidRDefault="00886408" w:rsidP="00886408">
      <w:pPr>
        <w:spacing w:after="0" w:line="240" w:lineRule="auto"/>
        <w:jc w:val="center"/>
        <w:rPr>
          <w:rFonts w:ascii="ITC Avant Garde" w:eastAsia="Calibri" w:hAnsi="ITC Avant Garde" w:cs="Arial"/>
          <w:b/>
          <w:bCs/>
          <w:sz w:val="21"/>
          <w:szCs w:val="21"/>
        </w:rPr>
      </w:pPr>
    </w:p>
    <w:p w14:paraId="47CC8D0F" w14:textId="77777777" w:rsidR="008B1ABB" w:rsidRPr="008B1ABB" w:rsidRDefault="008B1ABB" w:rsidP="00886408">
      <w:pPr>
        <w:spacing w:after="0" w:line="240" w:lineRule="auto"/>
        <w:jc w:val="center"/>
        <w:rPr>
          <w:rFonts w:ascii="ITC Avant Garde" w:eastAsia="Calibri" w:hAnsi="ITC Avant Garde" w:cs="Arial"/>
          <w:b/>
          <w:bCs/>
          <w:sz w:val="21"/>
          <w:szCs w:val="21"/>
        </w:rPr>
      </w:pPr>
    </w:p>
    <w:p w14:paraId="51007C45" w14:textId="77777777" w:rsidR="00886408" w:rsidRPr="008B1ABB" w:rsidRDefault="00886408" w:rsidP="00886408">
      <w:pPr>
        <w:spacing w:after="0" w:line="240" w:lineRule="auto"/>
        <w:jc w:val="center"/>
        <w:rPr>
          <w:rFonts w:ascii="ITC Avant Garde" w:eastAsia="Calibri" w:hAnsi="ITC Avant Garde" w:cs="Arial"/>
          <w:b/>
          <w:bCs/>
          <w:sz w:val="21"/>
          <w:szCs w:val="21"/>
        </w:rPr>
      </w:pPr>
    </w:p>
    <w:p w14:paraId="1AAC5017" w14:textId="77777777" w:rsidR="00886408" w:rsidRPr="008B1ABB" w:rsidRDefault="00886408" w:rsidP="00886408">
      <w:pPr>
        <w:spacing w:after="0" w:line="240" w:lineRule="auto"/>
        <w:jc w:val="center"/>
        <w:rPr>
          <w:rFonts w:ascii="ITC Avant Garde" w:eastAsia="Calibri" w:hAnsi="ITC Avant Garde" w:cs="Arial"/>
          <w:b/>
          <w:bCs/>
          <w:sz w:val="21"/>
          <w:szCs w:val="21"/>
        </w:rPr>
      </w:pPr>
    </w:p>
    <w:tbl>
      <w:tblPr>
        <w:tblW w:w="4849" w:type="pct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2"/>
        <w:gridCol w:w="319"/>
        <w:gridCol w:w="4739"/>
      </w:tblGrid>
      <w:tr w:rsidR="00886408" w:rsidRPr="008B1ABB" w14:paraId="05F7AA1B" w14:textId="77777777" w:rsidTr="00886408">
        <w:trPr>
          <w:trHeight w:val="1355"/>
        </w:trPr>
        <w:tc>
          <w:tcPr>
            <w:tcW w:w="2227" w:type="pct"/>
            <w:hideMark/>
          </w:tcPr>
          <w:p w14:paraId="5F8940D8" w14:textId="30F48C33" w:rsidR="00886408" w:rsidRPr="008B1ABB" w:rsidRDefault="002E7C44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</w:pPr>
            <w:r w:rsidRPr="008B1ABB"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  <w:t xml:space="preserve">Maria Elena </w:t>
            </w:r>
            <w:proofErr w:type="spellStart"/>
            <w:r w:rsidRPr="008B1ABB"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  <w:t>Estavillo</w:t>
            </w:r>
            <w:proofErr w:type="spellEnd"/>
            <w:r w:rsidRPr="008B1ABB"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  <w:t xml:space="preserve"> Flores</w:t>
            </w:r>
          </w:p>
          <w:p w14:paraId="2F898B0B" w14:textId="77777777" w:rsidR="00886408" w:rsidRPr="008B1ABB" w:rsidRDefault="00886408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</w:pPr>
            <w:r w:rsidRPr="008B1ABB"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  <w:t>Comisionada</w:t>
            </w:r>
          </w:p>
        </w:tc>
        <w:tc>
          <w:tcPr>
            <w:tcW w:w="175" w:type="pct"/>
          </w:tcPr>
          <w:p w14:paraId="4AA7E00A" w14:textId="77777777" w:rsidR="00886408" w:rsidRPr="008B1ABB" w:rsidRDefault="00886408">
            <w:pPr>
              <w:spacing w:before="200" w:after="0" w:line="240" w:lineRule="auto"/>
              <w:jc w:val="center"/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</w:pPr>
          </w:p>
        </w:tc>
        <w:tc>
          <w:tcPr>
            <w:tcW w:w="2598" w:type="pct"/>
          </w:tcPr>
          <w:p w14:paraId="254ABE92" w14:textId="379EFC5F" w:rsidR="00886408" w:rsidRPr="008B1ABB" w:rsidRDefault="002E7C44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</w:pPr>
            <w:r w:rsidRPr="008B1ABB"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  <w:t xml:space="preserve">Mario Germán </w:t>
            </w:r>
            <w:proofErr w:type="spellStart"/>
            <w:r w:rsidRPr="008B1ABB"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  <w:t>Fromow</w:t>
            </w:r>
            <w:proofErr w:type="spellEnd"/>
            <w:r w:rsidRPr="008B1ABB"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  <w:t xml:space="preserve"> Rangel</w:t>
            </w:r>
          </w:p>
          <w:p w14:paraId="3F7D9FD6" w14:textId="6C5E478E" w:rsidR="00886408" w:rsidRPr="008B1ABB" w:rsidRDefault="00886408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</w:pPr>
            <w:r w:rsidRPr="008B1ABB"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  <w:t>Comisionad</w:t>
            </w:r>
            <w:r w:rsidR="002E7C44" w:rsidRPr="008B1ABB"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  <w:t>o</w:t>
            </w:r>
            <w:r w:rsidRPr="008B1ABB"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  <w:t xml:space="preserve"> </w:t>
            </w:r>
          </w:p>
          <w:p w14:paraId="5169A271" w14:textId="77777777" w:rsidR="00886408" w:rsidRPr="008B1ABB" w:rsidRDefault="00886408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</w:pPr>
          </w:p>
          <w:p w14:paraId="542601E4" w14:textId="7A111831" w:rsidR="00886408" w:rsidRDefault="00886408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</w:pPr>
          </w:p>
          <w:p w14:paraId="7CDA0F2D" w14:textId="77777777" w:rsidR="008B1ABB" w:rsidRPr="008B1ABB" w:rsidRDefault="008B1ABB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</w:pPr>
          </w:p>
          <w:p w14:paraId="48264BA9" w14:textId="77777777" w:rsidR="00886408" w:rsidRPr="008B1ABB" w:rsidRDefault="00886408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</w:pPr>
          </w:p>
          <w:p w14:paraId="00317F92" w14:textId="77777777" w:rsidR="00886408" w:rsidRPr="008B1ABB" w:rsidRDefault="00886408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</w:pPr>
          </w:p>
        </w:tc>
      </w:tr>
      <w:tr w:rsidR="00886408" w:rsidRPr="008B1ABB" w14:paraId="455FA9A0" w14:textId="77777777" w:rsidTr="00886408">
        <w:trPr>
          <w:trHeight w:val="1261"/>
        </w:trPr>
        <w:tc>
          <w:tcPr>
            <w:tcW w:w="2227" w:type="pct"/>
          </w:tcPr>
          <w:p w14:paraId="09458BC8" w14:textId="546E018C" w:rsidR="00886408" w:rsidRPr="008B1ABB" w:rsidRDefault="002E7C44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</w:pPr>
            <w:r w:rsidRPr="008B1ABB"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  <w:t>Adolfo Cuevas Teja</w:t>
            </w:r>
          </w:p>
          <w:p w14:paraId="4C101B75" w14:textId="77777777" w:rsidR="00886408" w:rsidRPr="008B1ABB" w:rsidRDefault="00886408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</w:pPr>
            <w:r w:rsidRPr="008B1ABB"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  <w:t>Comisionado</w:t>
            </w:r>
          </w:p>
          <w:p w14:paraId="20FA3A13" w14:textId="77777777" w:rsidR="00886408" w:rsidRPr="008B1ABB" w:rsidRDefault="00886408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</w:pPr>
          </w:p>
        </w:tc>
        <w:tc>
          <w:tcPr>
            <w:tcW w:w="175" w:type="pct"/>
          </w:tcPr>
          <w:p w14:paraId="3A92AF8A" w14:textId="77777777" w:rsidR="00886408" w:rsidRPr="008B1ABB" w:rsidRDefault="00886408">
            <w:pPr>
              <w:spacing w:before="200" w:after="0" w:line="240" w:lineRule="auto"/>
              <w:jc w:val="center"/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</w:pPr>
          </w:p>
        </w:tc>
        <w:tc>
          <w:tcPr>
            <w:tcW w:w="2598" w:type="pct"/>
          </w:tcPr>
          <w:p w14:paraId="2865034C" w14:textId="030143C8" w:rsidR="00886408" w:rsidRPr="008B1ABB" w:rsidRDefault="002E7C44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</w:pPr>
            <w:r w:rsidRPr="008B1ABB"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  <w:t>Javier Juárez Mojica</w:t>
            </w:r>
          </w:p>
          <w:p w14:paraId="463C3CFF" w14:textId="77777777" w:rsidR="00886408" w:rsidRPr="008B1ABB" w:rsidRDefault="00886408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</w:pPr>
            <w:r w:rsidRPr="008B1ABB"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  <w:t>Comisionado</w:t>
            </w:r>
          </w:p>
          <w:p w14:paraId="0FFCD9EE" w14:textId="149845A1" w:rsidR="00886408" w:rsidRDefault="00886408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</w:pPr>
          </w:p>
          <w:p w14:paraId="30B3E856" w14:textId="77777777" w:rsidR="008B1ABB" w:rsidRPr="008B1ABB" w:rsidRDefault="008B1ABB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</w:pPr>
          </w:p>
          <w:p w14:paraId="4DCFAA61" w14:textId="77777777" w:rsidR="00886408" w:rsidRPr="008B1ABB" w:rsidRDefault="00886408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</w:pPr>
          </w:p>
          <w:p w14:paraId="32C8332A" w14:textId="77777777" w:rsidR="00886408" w:rsidRPr="008B1ABB" w:rsidRDefault="00886408">
            <w:pPr>
              <w:spacing w:before="200" w:after="0" w:line="240" w:lineRule="auto"/>
              <w:jc w:val="center"/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</w:pPr>
          </w:p>
        </w:tc>
      </w:tr>
      <w:tr w:rsidR="00886408" w:rsidRPr="008B1ABB" w14:paraId="63C05E06" w14:textId="77777777" w:rsidTr="00886408">
        <w:trPr>
          <w:trHeight w:val="1261"/>
        </w:trPr>
        <w:tc>
          <w:tcPr>
            <w:tcW w:w="2227" w:type="pct"/>
            <w:hideMark/>
          </w:tcPr>
          <w:p w14:paraId="01FB3107" w14:textId="4FCB35A9" w:rsidR="00886408" w:rsidRPr="008B1ABB" w:rsidRDefault="002E7C44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</w:pPr>
            <w:r w:rsidRPr="008B1ABB"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  <w:t xml:space="preserve">Arturo Robles </w:t>
            </w:r>
            <w:proofErr w:type="spellStart"/>
            <w:r w:rsidRPr="008B1ABB"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  <w:t>Rovaldo</w:t>
            </w:r>
            <w:proofErr w:type="spellEnd"/>
          </w:p>
          <w:p w14:paraId="1C947B1D" w14:textId="77777777" w:rsidR="00886408" w:rsidRPr="008B1ABB" w:rsidRDefault="00886408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</w:pPr>
            <w:r w:rsidRPr="008B1ABB"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  <w:t>Comisionado</w:t>
            </w:r>
          </w:p>
        </w:tc>
        <w:tc>
          <w:tcPr>
            <w:tcW w:w="175" w:type="pct"/>
          </w:tcPr>
          <w:p w14:paraId="0743C967" w14:textId="77777777" w:rsidR="00886408" w:rsidRPr="008B1ABB" w:rsidRDefault="00886408">
            <w:pPr>
              <w:spacing w:before="200" w:after="0" w:line="240" w:lineRule="auto"/>
              <w:jc w:val="center"/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</w:pPr>
          </w:p>
        </w:tc>
        <w:tc>
          <w:tcPr>
            <w:tcW w:w="2598" w:type="pct"/>
            <w:hideMark/>
          </w:tcPr>
          <w:p w14:paraId="4E9231EF" w14:textId="6459F0D4" w:rsidR="00886408" w:rsidRPr="008B1ABB" w:rsidRDefault="002E7C44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</w:pPr>
            <w:proofErr w:type="spellStart"/>
            <w:r w:rsidRPr="008B1ABB"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  <w:t>Sóstenes</w:t>
            </w:r>
            <w:proofErr w:type="spellEnd"/>
            <w:r w:rsidRPr="008B1ABB"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  <w:t xml:space="preserve"> Díaz González</w:t>
            </w:r>
          </w:p>
          <w:p w14:paraId="59927C88" w14:textId="77777777" w:rsidR="00886408" w:rsidRPr="008B1ABB" w:rsidRDefault="00886408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</w:pPr>
            <w:r w:rsidRPr="008B1ABB">
              <w:rPr>
                <w:rFonts w:ascii="ITC Avant Garde" w:eastAsia="Calibri" w:hAnsi="ITC Avant Garde" w:cs="Arial"/>
                <w:b/>
                <w:bCs/>
                <w:sz w:val="21"/>
                <w:szCs w:val="21"/>
              </w:rPr>
              <w:t>Comisionado</w:t>
            </w:r>
          </w:p>
        </w:tc>
      </w:tr>
    </w:tbl>
    <w:p w14:paraId="32154749" w14:textId="77777777" w:rsidR="00442336" w:rsidRPr="00442336" w:rsidRDefault="00442336" w:rsidP="00442336">
      <w:pPr>
        <w:spacing w:after="0" w:line="240" w:lineRule="auto"/>
        <w:jc w:val="both"/>
        <w:rPr>
          <w:rFonts w:ascii="ITC Avant Garde" w:hAnsi="ITC Avant Garde"/>
          <w:sz w:val="14"/>
          <w:szCs w:val="14"/>
        </w:rPr>
      </w:pPr>
      <w:r w:rsidRPr="00442336">
        <w:rPr>
          <w:rFonts w:ascii="ITC Avant Garde" w:hAnsi="ITC Avant Garde"/>
          <w:sz w:val="14"/>
          <w:szCs w:val="14"/>
          <w:lang w:val="es-ES" w:eastAsia="es-ES"/>
        </w:rPr>
        <w:t xml:space="preserve">El presente Acuerdo fue aprobado por el Pleno del Instituto Federal de Telecomunicaciones en su XVIII Sesión Ordinaria celebrada el 23 de mayo de 2018, por </w:t>
      </w:r>
      <w:r w:rsidRPr="00442336">
        <w:rPr>
          <w:rFonts w:ascii="ITC Avant Garde" w:hAnsi="ITC Avant Garde"/>
          <w:bCs/>
          <w:sz w:val="14"/>
          <w:szCs w:val="14"/>
          <w:lang w:val="es-ES" w:eastAsia="es-ES"/>
        </w:rPr>
        <w:t>unanimidad</w:t>
      </w:r>
      <w:r w:rsidRPr="00442336">
        <w:rPr>
          <w:rFonts w:ascii="ITC Avant Garde" w:hAnsi="ITC Avant Garde"/>
          <w:sz w:val="14"/>
          <w:szCs w:val="14"/>
          <w:lang w:val="es-ES" w:eastAsia="es-ES"/>
        </w:rPr>
        <w:t xml:space="preserve"> de votos de los Comisionados Gabriel Oswaldo Contreras Saldívar, María Elena </w:t>
      </w:r>
      <w:proofErr w:type="spellStart"/>
      <w:r w:rsidRPr="00442336">
        <w:rPr>
          <w:rFonts w:ascii="ITC Avant Garde" w:hAnsi="ITC Avant Garde"/>
          <w:sz w:val="14"/>
          <w:szCs w:val="14"/>
          <w:lang w:val="es-ES" w:eastAsia="es-ES"/>
        </w:rPr>
        <w:t>Estavillo</w:t>
      </w:r>
      <w:proofErr w:type="spellEnd"/>
      <w:r w:rsidRPr="00442336">
        <w:rPr>
          <w:rFonts w:ascii="ITC Avant Garde" w:hAnsi="ITC Avant Garde"/>
          <w:sz w:val="14"/>
          <w:szCs w:val="14"/>
          <w:lang w:val="es-ES" w:eastAsia="es-ES"/>
        </w:rPr>
        <w:t xml:space="preserve"> Flores, </w:t>
      </w:r>
      <w:r w:rsidRPr="00442336">
        <w:rPr>
          <w:rFonts w:ascii="ITC Avant Garde" w:hAnsi="ITC Avant Garde"/>
          <w:sz w:val="14"/>
          <w:szCs w:val="14"/>
          <w:lang w:eastAsia="es-MX"/>
        </w:rPr>
        <w:t xml:space="preserve">Mario Germán </w:t>
      </w:r>
      <w:proofErr w:type="spellStart"/>
      <w:r w:rsidRPr="00442336">
        <w:rPr>
          <w:rFonts w:ascii="ITC Avant Garde" w:hAnsi="ITC Avant Garde"/>
          <w:sz w:val="14"/>
          <w:szCs w:val="14"/>
          <w:lang w:eastAsia="es-MX"/>
        </w:rPr>
        <w:t>Fromow</w:t>
      </w:r>
      <w:proofErr w:type="spellEnd"/>
      <w:r w:rsidRPr="00442336">
        <w:rPr>
          <w:rFonts w:ascii="ITC Avant Garde" w:hAnsi="ITC Avant Garde"/>
          <w:sz w:val="14"/>
          <w:szCs w:val="14"/>
          <w:lang w:eastAsia="es-MX"/>
        </w:rPr>
        <w:t xml:space="preserve"> Rangel, Adolfo Cuevas Teja, Javier Juárez Mojica, Arturo Robles </w:t>
      </w:r>
      <w:proofErr w:type="spellStart"/>
      <w:r w:rsidRPr="00442336">
        <w:rPr>
          <w:rFonts w:ascii="ITC Avant Garde" w:hAnsi="ITC Avant Garde"/>
          <w:sz w:val="14"/>
          <w:szCs w:val="14"/>
          <w:lang w:eastAsia="es-MX"/>
        </w:rPr>
        <w:t>Rovalo</w:t>
      </w:r>
      <w:proofErr w:type="spellEnd"/>
      <w:r w:rsidRPr="00442336">
        <w:rPr>
          <w:rFonts w:ascii="ITC Avant Garde" w:hAnsi="ITC Avant Garde"/>
          <w:sz w:val="14"/>
          <w:szCs w:val="14"/>
          <w:lang w:eastAsia="es-MX"/>
        </w:rPr>
        <w:t xml:space="preserve"> y </w:t>
      </w:r>
      <w:proofErr w:type="spellStart"/>
      <w:r w:rsidRPr="00442336">
        <w:rPr>
          <w:rFonts w:ascii="ITC Avant Garde" w:hAnsi="ITC Avant Garde"/>
          <w:sz w:val="14"/>
          <w:szCs w:val="14"/>
          <w:lang w:eastAsia="es-MX"/>
        </w:rPr>
        <w:t>Sóstenes</w:t>
      </w:r>
      <w:proofErr w:type="spellEnd"/>
      <w:r w:rsidRPr="00442336">
        <w:rPr>
          <w:rFonts w:ascii="ITC Avant Garde" w:hAnsi="ITC Avant Garde"/>
          <w:sz w:val="14"/>
          <w:szCs w:val="14"/>
          <w:lang w:eastAsia="es-MX"/>
        </w:rPr>
        <w:t xml:space="preserve"> Díaz González; con fundamento en los párrafos vigésimo, fracciones I y III; y vigésimo primero, del artículo 28 de la Constitución Política de los Estados Unidos Mexicanos; artículos 7, 16 y 45 de la Ley Federal de Telecomunicaciones y Radiodifusión; así como en los artículos 1, 7, 8 y 12 del Estatuto Orgánico del Instituto Federal de Telecomunicaciones, mediante Acuerdo P/IFT/230518/372.</w:t>
      </w:r>
    </w:p>
    <w:p w14:paraId="755C895E" w14:textId="77777777" w:rsidR="00442336" w:rsidRPr="00442336" w:rsidRDefault="00442336" w:rsidP="00442336">
      <w:pPr>
        <w:spacing w:after="0" w:line="240" w:lineRule="auto"/>
        <w:ind w:right="49"/>
        <w:jc w:val="both"/>
        <w:rPr>
          <w:rFonts w:ascii="ITC Avant Garde" w:hAnsi="ITC Avant Garde"/>
          <w:bCs/>
          <w:sz w:val="14"/>
          <w:szCs w:val="14"/>
          <w:lang w:val="es-ES"/>
        </w:rPr>
      </w:pPr>
    </w:p>
    <w:p w14:paraId="04F0DAB3" w14:textId="5E48FEA8" w:rsidR="00E3412C" w:rsidRPr="00442336" w:rsidRDefault="00442336" w:rsidP="00442336">
      <w:pPr>
        <w:spacing w:after="0" w:line="240" w:lineRule="auto"/>
        <w:ind w:right="49"/>
        <w:jc w:val="both"/>
        <w:rPr>
          <w:sz w:val="14"/>
          <w:szCs w:val="14"/>
        </w:rPr>
      </w:pPr>
      <w:r w:rsidRPr="00442336">
        <w:rPr>
          <w:rFonts w:ascii="ITC Avant Garde" w:hAnsi="ITC Avant Garde"/>
          <w:sz w:val="14"/>
          <w:szCs w:val="14"/>
          <w:lang w:val="es-ES"/>
        </w:rPr>
        <w:t xml:space="preserve">El Comisionado Adolfo Cuevas Teja, previendo su ausencia justificada a la sesión, emitió su voto razonado por escrito, </w:t>
      </w:r>
      <w:r w:rsidRPr="00442336">
        <w:rPr>
          <w:rFonts w:ascii="ITC Avant Garde" w:hAnsi="ITC Avant Garde"/>
          <w:sz w:val="14"/>
          <w:szCs w:val="14"/>
        </w:rPr>
        <w:t xml:space="preserve">en términos de los artículos </w:t>
      </w:r>
      <w:r w:rsidRPr="00442336">
        <w:rPr>
          <w:rFonts w:ascii="ITC Avant Garde" w:hAnsi="ITC Avant Garde"/>
          <w:sz w:val="14"/>
          <w:szCs w:val="14"/>
          <w:lang w:val="es-ES"/>
        </w:rPr>
        <w:t>45 tercer párrafo de la Ley Federal de Telecomunicaciones y Radiodifusión, y 8 segundo párrafo del Estatuto Orgánico del Instituto Federal de Telecomunicaciones.</w:t>
      </w:r>
      <w:bookmarkStart w:id="0" w:name="_GoBack"/>
      <w:bookmarkEnd w:id="0"/>
    </w:p>
    <w:sectPr w:rsidR="00E3412C" w:rsidRPr="00442336" w:rsidSect="008B1ABB">
      <w:footerReference w:type="default" r:id="rId8"/>
      <w:pgSz w:w="12240" w:h="15840"/>
      <w:pgMar w:top="1985" w:right="1418" w:bottom="1418" w:left="1418" w:header="709" w:footer="56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C1BC4" w14:textId="77777777" w:rsidR="001E1D18" w:rsidRDefault="001E1D18" w:rsidP="003A70EE">
      <w:pPr>
        <w:spacing w:after="0" w:line="240" w:lineRule="auto"/>
      </w:pPr>
      <w:r>
        <w:separator/>
      </w:r>
    </w:p>
  </w:endnote>
  <w:endnote w:type="continuationSeparator" w:id="0">
    <w:p w14:paraId="672D5315" w14:textId="77777777" w:rsidR="001E1D18" w:rsidRDefault="001E1D18" w:rsidP="003A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84544"/>
      <w:docPartObj>
        <w:docPartGallery w:val="Page Numbers (Bottom of Page)"/>
        <w:docPartUnique/>
      </w:docPartObj>
    </w:sdtPr>
    <w:sdtEndPr>
      <w:rPr>
        <w:rFonts w:ascii="ITC Avant Garde" w:hAnsi="ITC Avant Garde"/>
        <w:sz w:val="18"/>
        <w:szCs w:val="20"/>
      </w:rPr>
    </w:sdtEndPr>
    <w:sdtContent>
      <w:p w14:paraId="59CD3F6C" w14:textId="736CA41B" w:rsidR="00886408" w:rsidRPr="008B1ABB" w:rsidRDefault="00886408">
        <w:pPr>
          <w:pStyle w:val="Piedepgina"/>
          <w:jc w:val="right"/>
          <w:rPr>
            <w:rFonts w:ascii="ITC Avant Garde" w:hAnsi="ITC Avant Garde"/>
            <w:sz w:val="18"/>
            <w:szCs w:val="20"/>
          </w:rPr>
        </w:pPr>
        <w:r w:rsidRPr="008B1ABB">
          <w:rPr>
            <w:rFonts w:ascii="ITC Avant Garde" w:hAnsi="ITC Avant Garde"/>
            <w:sz w:val="18"/>
            <w:szCs w:val="20"/>
          </w:rPr>
          <w:fldChar w:fldCharType="begin"/>
        </w:r>
        <w:r w:rsidRPr="008B1ABB">
          <w:rPr>
            <w:rFonts w:ascii="ITC Avant Garde" w:hAnsi="ITC Avant Garde"/>
            <w:sz w:val="18"/>
            <w:szCs w:val="20"/>
          </w:rPr>
          <w:instrText>PAGE   \* MERGEFORMAT</w:instrText>
        </w:r>
        <w:r w:rsidRPr="008B1ABB">
          <w:rPr>
            <w:rFonts w:ascii="ITC Avant Garde" w:hAnsi="ITC Avant Garde"/>
            <w:sz w:val="18"/>
            <w:szCs w:val="20"/>
          </w:rPr>
          <w:fldChar w:fldCharType="separate"/>
        </w:r>
        <w:r w:rsidR="00442336" w:rsidRPr="00442336">
          <w:rPr>
            <w:rFonts w:ascii="ITC Avant Garde" w:hAnsi="ITC Avant Garde"/>
            <w:noProof/>
            <w:sz w:val="18"/>
            <w:szCs w:val="20"/>
            <w:lang w:val="es-ES"/>
          </w:rPr>
          <w:t>5</w:t>
        </w:r>
        <w:r w:rsidRPr="008B1ABB">
          <w:rPr>
            <w:rFonts w:ascii="ITC Avant Garde" w:hAnsi="ITC Avant Garde"/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AA64E" w14:textId="77777777" w:rsidR="001E1D18" w:rsidRDefault="001E1D18" w:rsidP="003A70EE">
      <w:pPr>
        <w:spacing w:after="0" w:line="240" w:lineRule="auto"/>
      </w:pPr>
      <w:r>
        <w:separator/>
      </w:r>
    </w:p>
  </w:footnote>
  <w:footnote w:type="continuationSeparator" w:id="0">
    <w:p w14:paraId="54B7F574" w14:textId="77777777" w:rsidR="001E1D18" w:rsidRDefault="001E1D18" w:rsidP="003A7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53D41"/>
    <w:multiLevelType w:val="hybridMultilevel"/>
    <w:tmpl w:val="3584998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30BF4"/>
    <w:multiLevelType w:val="hybridMultilevel"/>
    <w:tmpl w:val="53A8DE22"/>
    <w:lvl w:ilvl="0" w:tplc="7072556A">
      <w:start w:val="1"/>
      <w:numFmt w:val="upperRoman"/>
      <w:lvlText w:val="%1."/>
      <w:lvlJc w:val="left"/>
      <w:pPr>
        <w:ind w:left="851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211" w:hanging="360"/>
      </w:pPr>
    </w:lvl>
    <w:lvl w:ilvl="2" w:tplc="080A001B" w:tentative="1">
      <w:start w:val="1"/>
      <w:numFmt w:val="lowerRoman"/>
      <w:lvlText w:val="%3."/>
      <w:lvlJc w:val="right"/>
      <w:pPr>
        <w:ind w:left="1931" w:hanging="180"/>
      </w:pPr>
    </w:lvl>
    <w:lvl w:ilvl="3" w:tplc="080A000F" w:tentative="1">
      <w:start w:val="1"/>
      <w:numFmt w:val="decimal"/>
      <w:lvlText w:val="%4."/>
      <w:lvlJc w:val="left"/>
      <w:pPr>
        <w:ind w:left="2651" w:hanging="360"/>
      </w:pPr>
    </w:lvl>
    <w:lvl w:ilvl="4" w:tplc="080A0019" w:tentative="1">
      <w:start w:val="1"/>
      <w:numFmt w:val="lowerLetter"/>
      <w:lvlText w:val="%5."/>
      <w:lvlJc w:val="left"/>
      <w:pPr>
        <w:ind w:left="3371" w:hanging="360"/>
      </w:pPr>
    </w:lvl>
    <w:lvl w:ilvl="5" w:tplc="080A001B" w:tentative="1">
      <w:start w:val="1"/>
      <w:numFmt w:val="lowerRoman"/>
      <w:lvlText w:val="%6."/>
      <w:lvlJc w:val="right"/>
      <w:pPr>
        <w:ind w:left="4091" w:hanging="180"/>
      </w:pPr>
    </w:lvl>
    <w:lvl w:ilvl="6" w:tplc="080A000F" w:tentative="1">
      <w:start w:val="1"/>
      <w:numFmt w:val="decimal"/>
      <w:lvlText w:val="%7."/>
      <w:lvlJc w:val="left"/>
      <w:pPr>
        <w:ind w:left="4811" w:hanging="360"/>
      </w:pPr>
    </w:lvl>
    <w:lvl w:ilvl="7" w:tplc="080A0019" w:tentative="1">
      <w:start w:val="1"/>
      <w:numFmt w:val="lowerLetter"/>
      <w:lvlText w:val="%8."/>
      <w:lvlJc w:val="left"/>
      <w:pPr>
        <w:ind w:left="5531" w:hanging="360"/>
      </w:pPr>
    </w:lvl>
    <w:lvl w:ilvl="8" w:tplc="080A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19882630"/>
    <w:multiLevelType w:val="hybridMultilevel"/>
    <w:tmpl w:val="1206EB2E"/>
    <w:lvl w:ilvl="0" w:tplc="EDDEDC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F5834"/>
    <w:multiLevelType w:val="hybridMultilevel"/>
    <w:tmpl w:val="7932E6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32228"/>
    <w:multiLevelType w:val="hybridMultilevel"/>
    <w:tmpl w:val="FB6E4264"/>
    <w:lvl w:ilvl="0" w:tplc="D3920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7E"/>
    <w:rsid w:val="000028E2"/>
    <w:rsid w:val="000070FC"/>
    <w:rsid w:val="00021E9B"/>
    <w:rsid w:val="00022829"/>
    <w:rsid w:val="00055526"/>
    <w:rsid w:val="00082535"/>
    <w:rsid w:val="000A7952"/>
    <w:rsid w:val="000F7951"/>
    <w:rsid w:val="00146128"/>
    <w:rsid w:val="001630AF"/>
    <w:rsid w:val="00165B1F"/>
    <w:rsid w:val="0017149C"/>
    <w:rsid w:val="001E1D18"/>
    <w:rsid w:val="002121F4"/>
    <w:rsid w:val="002759CF"/>
    <w:rsid w:val="00282102"/>
    <w:rsid w:val="00294B3C"/>
    <w:rsid w:val="002A6565"/>
    <w:rsid w:val="002B3287"/>
    <w:rsid w:val="002C2C0A"/>
    <w:rsid w:val="002E6F42"/>
    <w:rsid w:val="002E7C44"/>
    <w:rsid w:val="00306F1A"/>
    <w:rsid w:val="00307E06"/>
    <w:rsid w:val="00307EAC"/>
    <w:rsid w:val="003248E9"/>
    <w:rsid w:val="003A70EE"/>
    <w:rsid w:val="003E02C0"/>
    <w:rsid w:val="00400511"/>
    <w:rsid w:val="004037B4"/>
    <w:rsid w:val="00426B25"/>
    <w:rsid w:val="00442336"/>
    <w:rsid w:val="00465B71"/>
    <w:rsid w:val="00474F84"/>
    <w:rsid w:val="004C1070"/>
    <w:rsid w:val="00576206"/>
    <w:rsid w:val="005B1188"/>
    <w:rsid w:val="005E2990"/>
    <w:rsid w:val="006236E0"/>
    <w:rsid w:val="0063128E"/>
    <w:rsid w:val="00642995"/>
    <w:rsid w:val="00657039"/>
    <w:rsid w:val="00695CA0"/>
    <w:rsid w:val="00696659"/>
    <w:rsid w:val="006A216B"/>
    <w:rsid w:val="006C3A8C"/>
    <w:rsid w:val="006C7DA7"/>
    <w:rsid w:val="006D5CAA"/>
    <w:rsid w:val="00710793"/>
    <w:rsid w:val="00760DE3"/>
    <w:rsid w:val="007761C9"/>
    <w:rsid w:val="0078733A"/>
    <w:rsid w:val="007A4B77"/>
    <w:rsid w:val="007A6F46"/>
    <w:rsid w:val="007C04A2"/>
    <w:rsid w:val="007D0781"/>
    <w:rsid w:val="007F747E"/>
    <w:rsid w:val="00802189"/>
    <w:rsid w:val="0082197B"/>
    <w:rsid w:val="008249BD"/>
    <w:rsid w:val="008260DA"/>
    <w:rsid w:val="00830979"/>
    <w:rsid w:val="00831D1F"/>
    <w:rsid w:val="00857394"/>
    <w:rsid w:val="00886408"/>
    <w:rsid w:val="008B1ABB"/>
    <w:rsid w:val="008F7D33"/>
    <w:rsid w:val="00947A06"/>
    <w:rsid w:val="0097196F"/>
    <w:rsid w:val="009A5657"/>
    <w:rsid w:val="00A03C9F"/>
    <w:rsid w:val="00A22C07"/>
    <w:rsid w:val="00A44834"/>
    <w:rsid w:val="00A53CA5"/>
    <w:rsid w:val="00A54272"/>
    <w:rsid w:val="00A714C4"/>
    <w:rsid w:val="00A95F7C"/>
    <w:rsid w:val="00AE36B1"/>
    <w:rsid w:val="00AE4873"/>
    <w:rsid w:val="00B26E50"/>
    <w:rsid w:val="00B4238B"/>
    <w:rsid w:val="00B451FC"/>
    <w:rsid w:val="00BC44CF"/>
    <w:rsid w:val="00BF326F"/>
    <w:rsid w:val="00C0767C"/>
    <w:rsid w:val="00C20EB6"/>
    <w:rsid w:val="00C550DD"/>
    <w:rsid w:val="00C561F5"/>
    <w:rsid w:val="00C72E57"/>
    <w:rsid w:val="00CB0D3D"/>
    <w:rsid w:val="00CF0B80"/>
    <w:rsid w:val="00D35CD7"/>
    <w:rsid w:val="00D43A23"/>
    <w:rsid w:val="00D43CBF"/>
    <w:rsid w:val="00D64098"/>
    <w:rsid w:val="00D97714"/>
    <w:rsid w:val="00DC3E9D"/>
    <w:rsid w:val="00DD092D"/>
    <w:rsid w:val="00E2646A"/>
    <w:rsid w:val="00E30BC7"/>
    <w:rsid w:val="00E3412C"/>
    <w:rsid w:val="00E402A3"/>
    <w:rsid w:val="00E87E25"/>
    <w:rsid w:val="00EA33E0"/>
    <w:rsid w:val="00EB0E54"/>
    <w:rsid w:val="00EF5E26"/>
    <w:rsid w:val="00F41B6B"/>
    <w:rsid w:val="00F73389"/>
    <w:rsid w:val="00FB424F"/>
    <w:rsid w:val="00FC5571"/>
    <w:rsid w:val="00FE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C9F802"/>
  <w15:docId w15:val="{A53BCE14-D48F-42A0-B514-6A981DB3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F74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747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Bullet List,FooterText,numbered,List Paragraph1,Paragraphe de liste1,Bulletr List Paragraph,列出段落,列出段落1,Cuadros,Lista general"/>
    <w:basedOn w:val="Normal"/>
    <w:link w:val="PrrafodelistaCar"/>
    <w:uiPriority w:val="34"/>
    <w:qFormat/>
    <w:rsid w:val="00A714C4"/>
    <w:pPr>
      <w:ind w:left="720"/>
      <w:contextualSpacing/>
    </w:p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Cuadros Car,Lista general Car"/>
    <w:basedOn w:val="Fuentedeprrafopredeter"/>
    <w:link w:val="Prrafodelista"/>
    <w:uiPriority w:val="34"/>
    <w:rsid w:val="00A714C4"/>
  </w:style>
  <w:style w:type="paragraph" w:styleId="Encabezado">
    <w:name w:val="header"/>
    <w:basedOn w:val="Normal"/>
    <w:link w:val="EncabezadoCar"/>
    <w:uiPriority w:val="99"/>
    <w:unhideWhenUsed/>
    <w:rsid w:val="003A70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70EE"/>
  </w:style>
  <w:style w:type="paragraph" w:customStyle="1" w:styleId="Texto">
    <w:name w:val="Texto"/>
    <w:basedOn w:val="Normal"/>
    <w:link w:val="TextoCar"/>
    <w:rsid w:val="008249B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8249BD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38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72E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2E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2E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2E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2E57"/>
    <w:rPr>
      <w:b/>
      <w:bCs/>
      <w:sz w:val="20"/>
      <w:szCs w:val="20"/>
    </w:rPr>
  </w:style>
  <w:style w:type="character" w:customStyle="1" w:styleId="N1IFTCar">
    <w:name w:val="N1 IFT Car"/>
    <w:basedOn w:val="Fuentedeprrafopredeter"/>
    <w:link w:val="N1IFT"/>
    <w:locked/>
    <w:rsid w:val="00886408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rsid w:val="00886408"/>
    <w:pPr>
      <w:spacing w:after="200" w:line="276" w:lineRule="auto"/>
      <w:jc w:val="both"/>
    </w:pPr>
    <w:rPr>
      <w:rFonts w:ascii="ITC Avant Garde" w:hAnsi="ITC Avant Garde"/>
      <w:b/>
      <w:bCs/>
      <w:color w:val="000000"/>
      <w:lang w:eastAsia="es-ES"/>
    </w:rPr>
  </w:style>
  <w:style w:type="paragraph" w:customStyle="1" w:styleId="texto0">
    <w:name w:val="texto"/>
    <w:basedOn w:val="Normal"/>
    <w:rsid w:val="00465B71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EB034-26CC-4622-B5B2-CF55BB06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1922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</dc:creator>
  <cp:keywords/>
  <dc:description/>
  <cp:lastModifiedBy>Mireya Sanabria Cedillo</cp:lastModifiedBy>
  <cp:revision>3</cp:revision>
  <cp:lastPrinted>2017-07-04T20:05:00Z</cp:lastPrinted>
  <dcterms:created xsi:type="dcterms:W3CDTF">2018-05-24T17:43:00Z</dcterms:created>
  <dcterms:modified xsi:type="dcterms:W3CDTF">2018-05-24T20:20:00Z</dcterms:modified>
</cp:coreProperties>
</file>