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6646" w14:textId="6C0D2C5E" w:rsidR="00C049FA" w:rsidRDefault="00C049FA" w:rsidP="004C48D3">
      <w:pPr>
        <w:rPr>
          <w:b/>
          <w:lang w:val="es-ES_tradnl"/>
        </w:rPr>
      </w:pPr>
      <w:r w:rsidRPr="00AB644E">
        <w:rPr>
          <w:b/>
          <w:lang w:val="es-ES_tradnl"/>
        </w:rPr>
        <w:t>ACUERDO MEDIANTE EL CUAL EL PLENO DEL INSTITUTO FEDERAL DE TELECOMUNICACIONES EXPIDE LA DISPOSICIÓN TÉCNICA IFT-014-2018. EQUIPOS DE MICROONDAS PARA SISTEMAS FIJO MULTICANAL PUNTO A PUNTO Y PUNTO A MULTIPUNTO. PARTE 1: RADIO ACCESO MÚLTIPLE.</w:t>
      </w:r>
    </w:p>
    <w:p w14:paraId="506C0743" w14:textId="77777777" w:rsidR="004C48D3" w:rsidRPr="00AB644E" w:rsidRDefault="004C48D3" w:rsidP="004C48D3">
      <w:pPr>
        <w:rPr>
          <w:b/>
          <w:lang w:val="es-ES_tradnl"/>
        </w:rPr>
      </w:pPr>
    </w:p>
    <w:p w14:paraId="53765A2E" w14:textId="484300A5" w:rsidR="00C049FA" w:rsidRDefault="00C049FA" w:rsidP="004C48D3">
      <w:pPr>
        <w:pStyle w:val="Ttulo1"/>
        <w:keepNext w:val="0"/>
        <w:keepLines w:val="0"/>
        <w:spacing w:before="0" w:after="160"/>
        <w:rPr>
          <w:rFonts w:eastAsia="Times New Roman"/>
          <w:lang w:val="es-ES_tradnl"/>
        </w:rPr>
      </w:pPr>
      <w:r w:rsidRPr="00FC25EE">
        <w:rPr>
          <w:rFonts w:eastAsia="Times New Roman"/>
          <w:lang w:val="es-ES_tradnl"/>
        </w:rPr>
        <w:t>ANTECEDENTES</w:t>
      </w:r>
    </w:p>
    <w:p w14:paraId="4D7C8698" w14:textId="77777777" w:rsidR="00CF3047" w:rsidRPr="00CF3047" w:rsidRDefault="00CF3047" w:rsidP="00CF3047">
      <w:pPr>
        <w:rPr>
          <w:lang w:val="es-ES_tradnl"/>
        </w:rPr>
      </w:pPr>
    </w:p>
    <w:p w14:paraId="5C4B755A" w14:textId="7C9E257C" w:rsidR="00CC6013" w:rsidRPr="00CC6013" w:rsidRDefault="00CC6013" w:rsidP="00D951DC">
      <w:pPr>
        <w:numPr>
          <w:ilvl w:val="0"/>
          <w:numId w:val="3"/>
        </w:numPr>
        <w:ind w:left="851"/>
        <w:rPr>
          <w:rFonts w:cs="Times New Roman"/>
          <w:lang w:val="es-ES" w:eastAsia="es-ES"/>
        </w:rPr>
      </w:pPr>
      <w:r w:rsidRPr="00CC6013">
        <w:rPr>
          <w:rFonts w:cs="Times New Roman"/>
          <w:lang w:val="es-ES" w:eastAsia="es-ES"/>
        </w:rPr>
        <w:t>El 18 de abril de 2003, se publicó en el Diario Oficial de la Federación (en lo sucesivo, el “DOF”) la Norma Oficial Mexicana NOM-088/1-SCT1-2002 TELECOMUNICACIONES – RADIOCOMUNICACIÓN - EQUIPOS DE MICROONDAS PARA SISTEMAS FIJO MULTICANAL PUNTO A PUNTO Y PUNTO A MULTIPUNTO - PARTE I: RADIO ACCESO MÚLTIPLE, emitida por la Secretaría de Comunicaciones y Transportes (en lo sucesivo, “SCT”) por conducto de la extinta Comisión Federal de Telecomunicaciones (en lo sucesivo, “COFETEL”) con el objetivo de establecer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r w:rsidR="00D951DC">
        <w:rPr>
          <w:rFonts w:cs="Times New Roman"/>
          <w:lang w:val="es-ES" w:eastAsia="es-ES"/>
        </w:rPr>
        <w:t xml:space="preserve"> Dicha Norma Oficial Mexicana fue ratificada su vigencia el 28 de julio de 2008, por medio del oficio </w:t>
      </w:r>
      <w:r w:rsidR="00D951DC" w:rsidRPr="00D951DC">
        <w:rPr>
          <w:rFonts w:cs="Times New Roman"/>
          <w:lang w:val="es-ES" w:eastAsia="es-ES"/>
        </w:rPr>
        <w:t>CFT/D05/UPR/1766/2008 de la COFETEL</w:t>
      </w:r>
      <w:r w:rsidR="00D951DC">
        <w:rPr>
          <w:rFonts w:cs="Times New Roman"/>
          <w:lang w:val="es-ES" w:eastAsia="es-ES"/>
        </w:rPr>
        <w:t xml:space="preserve">. </w:t>
      </w:r>
      <w:r w:rsidR="00D951DC" w:rsidRPr="00D951DC">
        <w:rPr>
          <w:rFonts w:cs="Times New Roman"/>
          <w:lang w:val="es-ES" w:eastAsia="es-ES"/>
        </w:rPr>
        <w:t>El día 9 de agosto de 2013, nuevamente se ratifica su vigencia a través de la emisión del</w:t>
      </w:r>
      <w:r w:rsidR="00D951DC">
        <w:rPr>
          <w:rFonts w:cs="Times New Roman"/>
          <w:lang w:val="es-ES" w:eastAsia="es-ES"/>
        </w:rPr>
        <w:t xml:space="preserve"> oficio CFT/D05/UPR/JU/440/2013.</w:t>
      </w:r>
    </w:p>
    <w:p w14:paraId="45C9EBB1" w14:textId="4024BBF5" w:rsidR="004C48D3" w:rsidRPr="00F73389" w:rsidRDefault="004C48D3" w:rsidP="004C48D3">
      <w:pPr>
        <w:numPr>
          <w:ilvl w:val="0"/>
          <w:numId w:val="3"/>
        </w:numPr>
        <w:ind w:left="851" w:hanging="568"/>
        <w:rPr>
          <w:rFonts w:cs="Times New Roman"/>
          <w:lang w:val="es-ES" w:eastAsia="es-ES"/>
        </w:rPr>
      </w:pPr>
      <w:r w:rsidRPr="007F747E">
        <w:rPr>
          <w:rFonts w:cs="Times New Roman"/>
          <w:lang w:val="es-ES" w:eastAsia="es-ES"/>
        </w:rPr>
        <w:t xml:space="preserve">El 11 de junio de 2013 se publicó en el Diario Oficial de la Federación el </w:t>
      </w:r>
      <w:r w:rsidRPr="007F747E">
        <w:rPr>
          <w:rFonts w:cs="Times New Roman"/>
          <w:i/>
          <w:lang w:val="es-ES" w:eastAsia="es-ES"/>
        </w:rPr>
        <w:t>"Decreto por el que se reforman y adicionan diversas disposiciones de los artículos 6o., 7o., 27, 28, 73, 78, 94 y 105 de la Constitución Política de los Estados Unidos Mexicanos, en materia de telecomunicaciones"</w:t>
      </w:r>
      <w:r w:rsidRPr="007F747E">
        <w:rPr>
          <w:rFonts w:cs="Times New Roman"/>
          <w:lang w:val="es-ES" w:eastAsia="es-ES"/>
        </w:rPr>
        <w:t>, (en lo sucesivo, el "Decreto Constitucional"), mediante el cual se creó el Instituto Federal de Telecomunicaciones (en lo sucesivo, el "Instituto"), como un órgano autónomo con personalidad jurídica y patrimonio propio</w:t>
      </w:r>
      <w:r w:rsidRPr="00F73389">
        <w:rPr>
          <w:rFonts w:cs="Times New Roman"/>
          <w:lang w:val="es-ES" w:eastAsia="es-ES"/>
        </w:rPr>
        <w:t xml:space="preserve">s, cuyo </w:t>
      </w:r>
      <w:r w:rsidRPr="00F73389">
        <w:rPr>
          <w:rFonts w:cs="Times New Roman"/>
          <w:lang w:val="es-ES" w:eastAsia="es-ES"/>
        </w:rPr>
        <w:lastRenderedPageBreak/>
        <w:t xml:space="preserve">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6E63CDAC" w14:textId="420EEB40" w:rsidR="004C48D3" w:rsidRPr="00F73389" w:rsidRDefault="004C48D3" w:rsidP="004C48D3">
      <w:pPr>
        <w:numPr>
          <w:ilvl w:val="0"/>
          <w:numId w:val="3"/>
        </w:numPr>
        <w:ind w:left="851" w:hanging="568"/>
        <w:rPr>
          <w:rFonts w:cs="Times New Roman"/>
          <w:lang w:val="es-ES" w:eastAsia="es-ES"/>
        </w:rPr>
      </w:pPr>
      <w:r w:rsidRPr="007F747E">
        <w:rPr>
          <w:rFonts w:cs="Times New Roman"/>
          <w:lang w:val="es-ES" w:eastAsia="es-ES"/>
        </w:rPr>
        <w:t>El 14 de julio de 2014</w:t>
      </w:r>
      <w:r w:rsidRPr="00F73389">
        <w:rPr>
          <w:rFonts w:cs="Times New Roman"/>
          <w:lang w:val="es-ES" w:eastAsia="es-ES"/>
        </w:rPr>
        <w:t xml:space="preserve">, se publicó en el DOF el </w:t>
      </w:r>
      <w:r w:rsidRPr="00F73389">
        <w:rPr>
          <w:rFonts w:cs="Times New Roman"/>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73389">
        <w:rPr>
          <w:rFonts w:cs="Times New Roman"/>
          <w:lang w:val="es-ES" w:eastAsia="es-ES"/>
        </w:rPr>
        <w:t xml:space="preserve"> (en lo sucesivo, la “</w:t>
      </w:r>
      <w:r w:rsidR="00853CC6">
        <w:rPr>
          <w:rFonts w:cs="Times New Roman"/>
          <w:lang w:val="es-ES" w:eastAsia="es-ES"/>
        </w:rPr>
        <w:t>Decreto de Ley</w:t>
      </w:r>
      <w:r w:rsidRPr="00F73389">
        <w:rPr>
          <w:rFonts w:cs="Times New Roman"/>
          <w:lang w:val="es-ES" w:eastAsia="es-ES"/>
        </w:rPr>
        <w:t xml:space="preserve">”), ordenamiento que entró en vigor treinta días naturales siguientes a su publicación, es decir, el 13 de agosto de 2014; y cuyo objeto es regular el uso, aprovechamiento y explotación del </w:t>
      </w:r>
      <w:bookmarkStart w:id="0" w:name="_GoBack"/>
      <w:bookmarkEnd w:id="0"/>
      <w:r w:rsidRPr="00F73389">
        <w:rPr>
          <w:rFonts w:cs="Times New Roman"/>
          <w:lang w:val="es-ES" w:eastAsia="es-ES"/>
        </w:rPr>
        <w:t>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53835D03" w14:textId="67E999CF" w:rsidR="00F668F7" w:rsidRDefault="004C48D3" w:rsidP="00F668F7">
      <w:pPr>
        <w:numPr>
          <w:ilvl w:val="0"/>
          <w:numId w:val="3"/>
        </w:numPr>
        <w:ind w:left="851" w:hanging="568"/>
        <w:rPr>
          <w:rFonts w:cs="Times New Roman"/>
          <w:lang w:val="es-ES" w:eastAsia="es-ES"/>
        </w:rPr>
      </w:pPr>
      <w:r w:rsidRPr="00EF3175">
        <w:rPr>
          <w:rFonts w:cs="Times New Roman"/>
          <w:lang w:val="es-ES" w:eastAsia="es-ES"/>
        </w:rPr>
        <w:t xml:space="preserve">El 4 de septiembre de 2014, se publicó en el DOF el Estatuto Orgánico del Instituto Federal de Telecomunicaciones (en lo sucesivo, el “Estatuto Orgánico”), mismo que entró en vigor el día 26 del mismo mes y año, </w:t>
      </w:r>
      <w:r>
        <w:rPr>
          <w:rFonts w:cs="Times New Roman"/>
          <w:lang w:val="es-ES" w:eastAsia="es-ES"/>
        </w:rPr>
        <w:t xml:space="preserve">cuya última modificación fue publicada en </w:t>
      </w:r>
      <w:r w:rsidRPr="00EF3175">
        <w:rPr>
          <w:rFonts w:cs="Times New Roman"/>
          <w:lang w:val="es-ES" w:eastAsia="es-ES"/>
        </w:rPr>
        <w:t xml:space="preserve">el DOF </w:t>
      </w:r>
      <w:r w:rsidR="00F54A0A">
        <w:rPr>
          <w:rFonts w:cs="Times New Roman"/>
          <w:lang w:val="es-ES" w:eastAsia="es-ES"/>
        </w:rPr>
        <w:t xml:space="preserve">el </w:t>
      </w:r>
      <w:r w:rsidR="003E10C0">
        <w:rPr>
          <w:rFonts w:cs="Times New Roman"/>
          <w:lang w:val="es-ES" w:eastAsia="es-ES"/>
        </w:rPr>
        <w:t>1</w:t>
      </w:r>
      <w:r w:rsidR="00073468">
        <w:rPr>
          <w:rFonts w:cs="Times New Roman"/>
          <w:lang w:val="es-ES" w:eastAsia="es-ES"/>
        </w:rPr>
        <w:t>3</w:t>
      </w:r>
      <w:r w:rsidR="003E10C0" w:rsidRPr="00EF3175">
        <w:rPr>
          <w:rFonts w:cs="Times New Roman"/>
          <w:lang w:val="es-ES" w:eastAsia="es-ES"/>
        </w:rPr>
        <w:t xml:space="preserve"> </w:t>
      </w:r>
      <w:r w:rsidR="00F54A0A">
        <w:rPr>
          <w:rFonts w:cs="Times New Roman"/>
          <w:lang w:val="es-ES" w:eastAsia="es-ES"/>
        </w:rPr>
        <w:t>de</w:t>
      </w:r>
      <w:r w:rsidRPr="00EF3175">
        <w:rPr>
          <w:rFonts w:cs="Times New Roman"/>
          <w:lang w:val="es-ES" w:eastAsia="es-ES"/>
        </w:rPr>
        <w:t xml:space="preserve"> julio de 201</w:t>
      </w:r>
      <w:r w:rsidR="003E10C0">
        <w:rPr>
          <w:rFonts w:cs="Times New Roman"/>
          <w:lang w:val="es-ES" w:eastAsia="es-ES"/>
        </w:rPr>
        <w:t>8</w:t>
      </w:r>
      <w:r w:rsidRPr="00F73389">
        <w:rPr>
          <w:rFonts w:cs="Times New Roman"/>
          <w:lang w:val="es-ES" w:eastAsia="es-ES"/>
        </w:rPr>
        <w:t>.</w:t>
      </w:r>
    </w:p>
    <w:p w14:paraId="0AE516DF" w14:textId="375CA3A5" w:rsidR="00F668F7" w:rsidRPr="00832FA8" w:rsidRDefault="00F668F7" w:rsidP="009F4A49">
      <w:pPr>
        <w:numPr>
          <w:ilvl w:val="0"/>
          <w:numId w:val="3"/>
        </w:numPr>
        <w:ind w:left="851"/>
        <w:rPr>
          <w:rFonts w:cs="Times New Roman"/>
          <w:lang w:val="es-ES" w:eastAsia="es-ES"/>
        </w:rPr>
      </w:pPr>
      <w:r w:rsidRPr="00F668F7">
        <w:rPr>
          <w:rFonts w:cs="Times New Roman"/>
          <w:lang w:val="es-ES" w:eastAsia="es-ES"/>
        </w:rPr>
        <w:t>El 11 de octubre de 2016</w:t>
      </w:r>
      <w:r w:rsidR="00832FA8">
        <w:rPr>
          <w:rFonts w:cs="Times New Roman"/>
          <w:lang w:val="es-ES" w:eastAsia="es-ES"/>
        </w:rPr>
        <w:t>, se publicaron</w:t>
      </w:r>
      <w:r w:rsidRPr="00F668F7">
        <w:rPr>
          <w:rFonts w:cs="Times New Roman"/>
          <w:lang w:val="es-ES" w:eastAsia="es-ES"/>
        </w:rPr>
        <w:t xml:space="preserve"> en el DOF el </w:t>
      </w:r>
      <w:r>
        <w:rPr>
          <w:rFonts w:cs="Times New Roman"/>
          <w:lang w:val="es-ES" w:eastAsia="es-ES"/>
        </w:rPr>
        <w:t>“</w:t>
      </w:r>
      <w:r w:rsidRPr="00F668F7">
        <w:rPr>
          <w:rFonts w:cs="Times New Roman"/>
          <w:lang w:val="es-ES" w:eastAsia="es-ES"/>
        </w:rPr>
        <w:t>ACUERDO por el que se dan a conocer las modificaciones al Acuerdo de reconocimiento mutuo entre el Gobierno de los Estados</w:t>
      </w:r>
      <w:r>
        <w:rPr>
          <w:rFonts w:cs="Times New Roman"/>
          <w:lang w:val="es-ES" w:eastAsia="es-ES"/>
        </w:rPr>
        <w:t xml:space="preserve"> </w:t>
      </w:r>
      <w:r w:rsidRPr="00F668F7">
        <w:rPr>
          <w:rFonts w:cs="Times New Roman"/>
          <w:lang w:val="es-ES" w:eastAsia="es-ES"/>
        </w:rPr>
        <w:t>Unidos Mexicanos y el Gobierno de los Estados Unidos de América para la evaluación de la conformidad de equipos de</w:t>
      </w:r>
      <w:r>
        <w:rPr>
          <w:rFonts w:cs="Times New Roman"/>
          <w:lang w:val="es-ES" w:eastAsia="es-ES"/>
        </w:rPr>
        <w:t xml:space="preserve"> </w:t>
      </w:r>
      <w:r w:rsidRPr="00F668F7">
        <w:rPr>
          <w:rFonts w:cs="Times New Roman"/>
          <w:lang w:val="es-ES" w:eastAsia="es-ES"/>
        </w:rPr>
        <w:t>telecomunicaciones, publicado el 28 de julio de 2011.</w:t>
      </w:r>
      <w:r>
        <w:rPr>
          <w:rFonts w:cs="Times New Roman"/>
          <w:lang w:val="es-ES" w:eastAsia="es-ES"/>
        </w:rPr>
        <w:t>”,</w:t>
      </w:r>
      <w:r w:rsidR="00832FA8">
        <w:rPr>
          <w:rFonts w:cs="Times New Roman"/>
          <w:lang w:val="es-ES" w:eastAsia="es-ES"/>
        </w:rPr>
        <w:t xml:space="preserve"> y “</w:t>
      </w:r>
      <w:r w:rsidR="00832FA8" w:rsidRPr="00832FA8">
        <w:rPr>
          <w:rFonts w:cs="Times New Roman"/>
          <w:lang w:val="es-ES" w:eastAsia="es-ES"/>
        </w:rPr>
        <w:t>ACUERDO por el que se dan a conocer las modificaciones al Acuerdo de reconocimiento mutuo entre el Gobierno de los Estados Unidos Mexicanos y el Gobierno de Canadá para la evaluación de la conformidad de equipos de telecomunicaciones, publicado el 28 de mayo de 2012.</w:t>
      </w:r>
      <w:r w:rsidR="00832FA8">
        <w:rPr>
          <w:rFonts w:cs="Times New Roman"/>
          <w:lang w:val="es-ES" w:eastAsia="es-ES"/>
        </w:rPr>
        <w:t xml:space="preserve">”, </w:t>
      </w:r>
      <w:r>
        <w:rPr>
          <w:rFonts w:cs="Times New Roman"/>
          <w:lang w:val="es-ES" w:eastAsia="es-ES"/>
        </w:rPr>
        <w:t xml:space="preserve"> </w:t>
      </w:r>
      <w:r>
        <w:rPr>
          <w:rFonts w:cs="Times New Roman"/>
          <w:lang w:val="es-ES" w:eastAsia="es-ES"/>
        </w:rPr>
        <w:lastRenderedPageBreak/>
        <w:t xml:space="preserve">donde </w:t>
      </w:r>
      <w:r w:rsidR="00832FA8">
        <w:rPr>
          <w:rFonts w:cs="Times New Roman"/>
          <w:lang w:val="es-ES" w:eastAsia="es-ES"/>
        </w:rPr>
        <w:t xml:space="preserve">la </w:t>
      </w:r>
      <w:r w:rsidR="00832FA8" w:rsidRPr="00CC6013">
        <w:rPr>
          <w:rFonts w:cs="Times New Roman"/>
          <w:lang w:val="es-ES" w:eastAsia="es-ES"/>
        </w:rPr>
        <w:t>NOM-088/1-SCT1-2002</w:t>
      </w:r>
      <w:r w:rsidR="00832FA8">
        <w:rPr>
          <w:rFonts w:cs="Times New Roman"/>
          <w:lang w:val="es-ES" w:eastAsia="es-ES"/>
        </w:rPr>
        <w:t xml:space="preserve"> </w:t>
      </w:r>
      <w:r>
        <w:rPr>
          <w:rFonts w:cs="Times New Roman"/>
          <w:lang w:val="es-ES" w:eastAsia="es-ES"/>
        </w:rPr>
        <w:t xml:space="preserve">se </w:t>
      </w:r>
      <w:r w:rsidR="00832FA8">
        <w:rPr>
          <w:rFonts w:cs="Times New Roman"/>
          <w:lang w:val="es-ES" w:eastAsia="es-ES"/>
        </w:rPr>
        <w:t>lista como uno de los reglamentos t</w:t>
      </w:r>
      <w:r w:rsidR="00832FA8" w:rsidRPr="00832FA8">
        <w:rPr>
          <w:rFonts w:cs="Times New Roman"/>
          <w:lang w:val="es-ES" w:eastAsia="es-ES"/>
        </w:rPr>
        <w:t>écnicos para los que México deberá aceptar los reportes de pruebas de laboratorios de prueba</w:t>
      </w:r>
      <w:r w:rsidR="00832FA8">
        <w:rPr>
          <w:rFonts w:cs="Times New Roman"/>
          <w:lang w:val="es-ES" w:eastAsia="es-ES"/>
        </w:rPr>
        <w:t xml:space="preserve"> </w:t>
      </w:r>
      <w:r w:rsidR="00832FA8" w:rsidRPr="00832FA8">
        <w:rPr>
          <w:rFonts w:cs="Times New Roman"/>
          <w:lang w:val="es-ES" w:eastAsia="es-ES"/>
        </w:rPr>
        <w:t>desig</w:t>
      </w:r>
      <w:r w:rsidR="00832FA8">
        <w:rPr>
          <w:rFonts w:cs="Times New Roman"/>
          <w:lang w:val="es-ES" w:eastAsia="es-ES"/>
        </w:rPr>
        <w:t>nados por los Estados Unidos y/o Canadá.</w:t>
      </w:r>
    </w:p>
    <w:p w14:paraId="25F4DEA4" w14:textId="6E5D98BF" w:rsidR="004C48D3" w:rsidRPr="00FC25EE" w:rsidRDefault="004C48D3" w:rsidP="004C48D3">
      <w:pPr>
        <w:pStyle w:val="Prrafodelista"/>
        <w:numPr>
          <w:ilvl w:val="0"/>
          <w:numId w:val="3"/>
        </w:numPr>
        <w:spacing w:line="360" w:lineRule="auto"/>
        <w:ind w:left="851" w:hanging="568"/>
        <w:rPr>
          <w:rFonts w:ascii="ITC Avant Garde" w:hAnsi="ITC Avant Garde" w:cs="Times New Roman"/>
          <w:lang w:val="es-ES" w:eastAsia="es-ES"/>
        </w:rPr>
      </w:pPr>
      <w:r w:rsidRPr="00FC25EE">
        <w:rPr>
          <w:rFonts w:ascii="ITC Avant Garde" w:hAnsi="ITC Avant Garde" w:cs="Times New Roman"/>
          <w:lang w:val="es-ES" w:eastAsia="es-ES"/>
        </w:rPr>
        <w:t xml:space="preserve">El </w:t>
      </w:r>
      <w:r>
        <w:rPr>
          <w:rFonts w:ascii="ITC Avant Garde" w:hAnsi="ITC Avant Garde" w:cs="Times New Roman"/>
          <w:lang w:val="es-ES" w:eastAsia="es-ES"/>
        </w:rPr>
        <w:t>9 de mayo de 2018</w:t>
      </w:r>
      <w:r w:rsidRPr="00FC25EE">
        <w:rPr>
          <w:rFonts w:ascii="ITC Avant Garde" w:hAnsi="ITC Avant Garde" w:cs="Times New Roman"/>
          <w:lang w:val="es-ES" w:eastAsia="es-ES"/>
        </w:rPr>
        <w:t xml:space="preserve"> el Pleno del Instituto aprobó p</w:t>
      </w:r>
      <w:r>
        <w:rPr>
          <w:rFonts w:ascii="ITC Avant Garde" w:hAnsi="ITC Avant Garde" w:cs="Times New Roman"/>
          <w:lang w:val="es-ES" w:eastAsia="es-ES"/>
        </w:rPr>
        <w:t>or unanimidad de votos, en su X</w:t>
      </w:r>
      <w:r w:rsidRPr="00FC25EE">
        <w:rPr>
          <w:rFonts w:ascii="ITC Avant Garde" w:hAnsi="ITC Avant Garde" w:cs="Times New Roman"/>
          <w:lang w:val="es-ES" w:eastAsia="es-ES"/>
        </w:rPr>
        <w:t>V</w:t>
      </w:r>
      <w:r>
        <w:rPr>
          <w:rFonts w:ascii="ITC Avant Garde" w:hAnsi="ITC Avant Garde" w:cs="Times New Roman"/>
          <w:lang w:val="es-ES" w:eastAsia="es-ES"/>
        </w:rPr>
        <w:t>II</w:t>
      </w:r>
      <w:r w:rsidRPr="00FC25EE">
        <w:rPr>
          <w:rFonts w:ascii="ITC Avant Garde" w:hAnsi="ITC Avant Garde" w:cs="Times New Roman"/>
          <w:lang w:val="es-ES" w:eastAsia="es-ES"/>
        </w:rPr>
        <w:t xml:space="preserve"> Sesión Ordinaria</w:t>
      </w:r>
      <w:r>
        <w:rPr>
          <w:rFonts w:ascii="ITC Avant Garde" w:hAnsi="ITC Avant Garde" w:cs="Times New Roman"/>
          <w:lang w:val="es-ES" w:eastAsia="es-ES"/>
        </w:rPr>
        <w:t>,</w:t>
      </w:r>
      <w:r w:rsidRPr="00FC25EE">
        <w:rPr>
          <w:rFonts w:ascii="ITC Avant Garde" w:hAnsi="ITC Avant Garde" w:cs="Times New Roman"/>
          <w:lang w:val="es-ES" w:eastAsia="es-ES"/>
        </w:rPr>
        <w:t xml:space="preserve"> el </w:t>
      </w:r>
      <w:r>
        <w:rPr>
          <w:rFonts w:ascii="ITC Avant Garde" w:hAnsi="ITC Avant Garde" w:cs="Times New Roman"/>
          <w:lang w:val="es-ES" w:eastAsia="es-ES"/>
        </w:rPr>
        <w:t xml:space="preserve">Acuerdo P/IFT/090518/340 </w:t>
      </w:r>
      <w:r w:rsidRPr="00FC25EE">
        <w:rPr>
          <w:rFonts w:ascii="ITC Avant Garde" w:hAnsi="ITC Avant Garde" w:cs="Times New Roman"/>
          <w:lang w:val="es-ES" w:eastAsia="es-ES"/>
        </w:rPr>
        <w:t>“</w:t>
      </w:r>
      <w:r w:rsidRPr="00BF1A0E">
        <w:rPr>
          <w:rFonts w:ascii="ITC Avant Garde" w:hAnsi="ITC Avant Garde" w:cs="Times New Roman"/>
          <w:lang w:eastAsia="es-ES"/>
        </w:rPr>
        <w:t>ACUERDO MEDIANTE EL CUAL EL PLENO DEL INSTITUTO FEDERAL DE TELECOMUNICACIONES DETERMIN</w:t>
      </w:r>
      <w:r>
        <w:rPr>
          <w:rFonts w:ascii="ITC Avant Garde" w:hAnsi="ITC Avant Garde" w:cs="Times New Roman"/>
          <w:lang w:eastAsia="es-ES"/>
        </w:rPr>
        <w:t>A SOMETER A CONSULTA PÚBLICA EL</w:t>
      </w:r>
      <w:r w:rsidRPr="00BF1A0E">
        <w:rPr>
          <w:rFonts w:ascii="ITC Avant Garde" w:hAnsi="ITC Avant Garde" w:cs="Times New Roman"/>
          <w:lang w:eastAsia="es-ES"/>
        </w:rPr>
        <w:t xml:space="preserve"> ANTEPROYECTO </w:t>
      </w:r>
      <w:r>
        <w:rPr>
          <w:rFonts w:ascii="ITC Avant Garde" w:hAnsi="ITC Avant Garde" w:cs="Times New Roman"/>
          <w:lang w:eastAsia="es-ES"/>
        </w:rPr>
        <w:t>DE DISPOSICIÓN TÉCNICA IFT</w:t>
      </w:r>
      <w:r>
        <w:rPr>
          <w:rFonts w:ascii="ITC Avant Garde" w:hAnsi="ITC Avant Garde" w:cs="Times New Roman"/>
          <w:lang w:eastAsia="es-ES"/>
        </w:rPr>
        <w:noBreakHyphen/>
        <w:t>014</w:t>
      </w:r>
      <w:r>
        <w:rPr>
          <w:rFonts w:ascii="ITC Avant Garde" w:hAnsi="ITC Avant Garde" w:cs="Times New Roman"/>
          <w:lang w:eastAsia="es-ES"/>
        </w:rPr>
        <w:noBreakHyphen/>
      </w:r>
      <w:r w:rsidRPr="00BF1A0E">
        <w:rPr>
          <w:rFonts w:ascii="ITC Avant Garde" w:hAnsi="ITC Avant Garde" w:cs="Times New Roman"/>
          <w:lang w:eastAsia="es-ES"/>
        </w:rPr>
        <w:t>2018. EQUIPOS DE MICROONDAS PARA SISTEMAS FIJO MULTICANAL PUNTO A</w:t>
      </w:r>
      <w:r>
        <w:rPr>
          <w:rFonts w:ascii="ITC Avant Garde" w:hAnsi="ITC Avant Garde" w:cs="Times New Roman"/>
          <w:lang w:eastAsia="es-ES"/>
        </w:rPr>
        <w:t xml:space="preserve"> PUNTO Y PUNTO A MULTIPUNTO</w:t>
      </w:r>
      <w:r w:rsidR="0014063E">
        <w:rPr>
          <w:rFonts w:ascii="ITC Avant Garde" w:hAnsi="ITC Avant Garde" w:cs="Times New Roman"/>
          <w:lang w:eastAsia="es-ES"/>
        </w:rPr>
        <w:t>.</w:t>
      </w:r>
      <w:r w:rsidRPr="00BF1A0E">
        <w:rPr>
          <w:rFonts w:ascii="ITC Avant Garde" w:hAnsi="ITC Avant Garde" w:cs="Times New Roman"/>
          <w:lang w:eastAsia="es-ES"/>
        </w:rPr>
        <w:t xml:space="preserve"> PARTE </w:t>
      </w:r>
      <w:r>
        <w:rPr>
          <w:rFonts w:ascii="ITC Avant Garde" w:hAnsi="ITC Avant Garde" w:cs="Times New Roman"/>
          <w:lang w:eastAsia="es-ES"/>
        </w:rPr>
        <w:t>1: RADIO ACCESO MÚLTIPLE</w:t>
      </w:r>
      <w:r w:rsidRPr="00FC25EE">
        <w:rPr>
          <w:rFonts w:ascii="ITC Avant Garde" w:hAnsi="ITC Avant Garde" w:cs="Times New Roman"/>
          <w:lang w:val="es-ES" w:eastAsia="es-ES"/>
        </w:rPr>
        <w:t>”.</w:t>
      </w:r>
    </w:p>
    <w:p w14:paraId="3E0E0CAD" w14:textId="2B258696" w:rsidR="004C48D3" w:rsidRDefault="004C48D3" w:rsidP="004C48D3">
      <w:pPr>
        <w:numPr>
          <w:ilvl w:val="0"/>
          <w:numId w:val="3"/>
        </w:numPr>
        <w:ind w:left="851" w:hanging="568"/>
        <w:rPr>
          <w:rFonts w:cs="Times New Roman"/>
          <w:lang w:val="es-ES" w:eastAsia="es-ES"/>
        </w:rPr>
      </w:pPr>
      <w:r w:rsidRPr="00FC25EE">
        <w:rPr>
          <w:rFonts w:cs="Times New Roman"/>
          <w:lang w:val="es-ES" w:eastAsia="es-ES"/>
        </w:rPr>
        <w:t xml:space="preserve">Atendiendo a lo establecido en el artículo 51 de la Ley Federal de Telecomunicaciones y Radiodifusión, </w:t>
      </w:r>
      <w:r w:rsidR="002878CE">
        <w:rPr>
          <w:rFonts w:cs="Times New Roman"/>
          <w:lang w:val="es-ES" w:eastAsia="es-ES"/>
        </w:rPr>
        <w:t>el cual</w:t>
      </w:r>
      <w:r w:rsidR="002878CE" w:rsidRPr="00FC25EE">
        <w:rPr>
          <w:rFonts w:cs="Times New Roman"/>
          <w:lang w:val="es-ES" w:eastAsia="es-ES"/>
        </w:rPr>
        <w:t xml:space="preserve"> </w:t>
      </w:r>
      <w:r w:rsidRPr="00FC25EE">
        <w:rPr>
          <w:rFonts w:cs="Times New Roman"/>
          <w:lang w:val="es-ES" w:eastAsia="es-ES"/>
        </w:rPr>
        <w:t xml:space="preserve">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del </w:t>
      </w:r>
      <w:r>
        <w:rPr>
          <w:rFonts w:cs="Times New Roman"/>
          <w:lang w:val="es-ES" w:eastAsia="es-ES"/>
        </w:rPr>
        <w:t>11 de mayo</w:t>
      </w:r>
      <w:r w:rsidRPr="00FC25EE">
        <w:rPr>
          <w:rFonts w:cs="Times New Roman"/>
          <w:lang w:val="es-ES" w:eastAsia="es-ES"/>
        </w:rPr>
        <w:t xml:space="preserve"> </w:t>
      </w:r>
      <w:r>
        <w:rPr>
          <w:rFonts w:cs="Times New Roman"/>
          <w:lang w:val="es-ES" w:eastAsia="es-ES"/>
        </w:rPr>
        <w:t xml:space="preserve">al 7 de junio de 2018 </w:t>
      </w:r>
      <w:r w:rsidRPr="00FC25EE">
        <w:rPr>
          <w:rFonts w:cs="Times New Roman"/>
          <w:lang w:val="es-ES" w:eastAsia="es-ES"/>
        </w:rPr>
        <w:t>(20 días hábiles) se llevó a cabo la consulta pública del “</w:t>
      </w:r>
      <w:r w:rsidR="003418DF" w:rsidRPr="005F49A2">
        <w:rPr>
          <w:rFonts w:cs="Times New Roman"/>
          <w:lang w:val="es-ES" w:eastAsia="es-ES"/>
        </w:rPr>
        <w:t>ANTEPROYECTO DE DISPOSICIÓN TÉCNICA IFT-014-2018. EQUIPOS DE MICROONDAS PARA SISTEMAS FIJO MULTICANAL PUNTO A PUNTO Y PUNTO A MULTIPUNTO. PARTE 1: RADIO ACCESO MÚLTIPLE</w:t>
      </w:r>
      <w:r w:rsidRPr="00FC25EE">
        <w:rPr>
          <w:rFonts w:cs="Times New Roman"/>
          <w:lang w:val="es-ES" w:eastAsia="es-ES"/>
        </w:rPr>
        <w:t>”.</w:t>
      </w:r>
    </w:p>
    <w:p w14:paraId="0C8CDC19" w14:textId="4C44E22E" w:rsidR="008C7E05" w:rsidRDefault="00DC643B" w:rsidP="004C48D3">
      <w:pPr>
        <w:numPr>
          <w:ilvl w:val="0"/>
          <w:numId w:val="3"/>
        </w:numPr>
        <w:ind w:left="851" w:hanging="568"/>
        <w:rPr>
          <w:rFonts w:cs="Times New Roman"/>
          <w:lang w:val="es-ES" w:eastAsia="es-ES"/>
        </w:rPr>
      </w:pPr>
      <w:r>
        <w:rPr>
          <w:rFonts w:cs="Times New Roman"/>
          <w:lang w:val="es-ES" w:eastAsia="es-ES"/>
        </w:rPr>
        <w:t xml:space="preserve">El </w:t>
      </w:r>
      <w:r w:rsidR="00EE29F1">
        <w:rPr>
          <w:rFonts w:cs="Times New Roman"/>
          <w:lang w:val="es-ES" w:eastAsia="es-ES"/>
        </w:rPr>
        <w:t>13</w:t>
      </w:r>
      <w:r>
        <w:rPr>
          <w:rFonts w:cs="Times New Roman"/>
          <w:lang w:val="es-ES" w:eastAsia="es-ES"/>
        </w:rPr>
        <w:t xml:space="preserve"> de julio de 2018, </w:t>
      </w:r>
      <w:r w:rsidR="008C7E05" w:rsidRPr="00FC25EE">
        <w:t xml:space="preserve">la Coordinación General de Mejora Regulatoria mediante </w:t>
      </w:r>
      <w:r w:rsidR="008C7E05" w:rsidRPr="008C7E05">
        <w:t xml:space="preserve">oficio </w:t>
      </w:r>
      <w:r w:rsidR="008C7E05" w:rsidRPr="000F30F7">
        <w:t>IFT/211/CGMR/</w:t>
      </w:r>
      <w:r w:rsidR="008C7E05">
        <w:t>104</w:t>
      </w:r>
      <w:r w:rsidR="008C7E05" w:rsidRPr="000F30F7">
        <w:t>/2018</w:t>
      </w:r>
      <w:r w:rsidR="008C7E05" w:rsidRPr="00FC25EE">
        <w:t xml:space="preserve"> emitió la opinión no vinculante respecto del </w:t>
      </w:r>
      <w:r w:rsidR="00126BA9">
        <w:t>Análisis de Impacto Regulatorio</w:t>
      </w:r>
      <w:r w:rsidR="008C7E05" w:rsidRPr="00FC25EE">
        <w:t xml:space="preserve"> de</w:t>
      </w:r>
      <w:r w:rsidR="00126BA9">
        <w:t>l</w:t>
      </w:r>
      <w:r w:rsidR="008C7E05" w:rsidRPr="00FC25EE">
        <w:t xml:space="preserve"> </w:t>
      </w:r>
      <w:r w:rsidR="00126BA9">
        <w:t>“PROYECTO DE</w:t>
      </w:r>
      <w:r w:rsidR="008C7E05">
        <w:t xml:space="preserve"> </w:t>
      </w:r>
      <w:r w:rsidR="008C7E05" w:rsidRPr="006B491D">
        <w:t>DISPOSICIÓN TÉCNICA IFT</w:t>
      </w:r>
      <w:r w:rsidR="008C7E05">
        <w:noBreakHyphen/>
        <w:t>014</w:t>
      </w:r>
      <w:r w:rsidR="008C7E05">
        <w:noBreakHyphen/>
      </w:r>
      <w:r w:rsidR="008C7E05" w:rsidRPr="006B491D">
        <w:t>2018. EQUIPOS DE MICROONDAS PARA SISTEMAS FIJO MULTICANAL PUNTO A PUNTO Y PUNTO A MULTIPUNTO. PARTE 1: RADIO ACCESO MÚLTIPLE</w:t>
      </w:r>
      <w:r w:rsidR="008C7E05">
        <w:t>”</w:t>
      </w:r>
      <w:r w:rsidR="008C7E05" w:rsidRPr="00FC25EE">
        <w:t>, en dicha opinión, manifestó diversas recomendaciones a efectos de robustecer</w:t>
      </w:r>
      <w:r w:rsidR="00126BA9">
        <w:t>lo</w:t>
      </w:r>
      <w:r w:rsidR="008C7E05" w:rsidRPr="00FC25EE">
        <w:t>, las cuales fueron analizadas y, en su caso, atendidas.</w:t>
      </w:r>
    </w:p>
    <w:p w14:paraId="0C58DD40" w14:textId="34C51D65" w:rsidR="00297A53" w:rsidRDefault="00297A53" w:rsidP="000F30F7">
      <w:pPr>
        <w:ind w:left="851"/>
        <w:rPr>
          <w:rFonts w:cs="Times New Roman"/>
          <w:lang w:val="es-ES" w:eastAsia="es-ES"/>
        </w:rPr>
      </w:pPr>
    </w:p>
    <w:p w14:paraId="3C090D2F" w14:textId="77777777" w:rsidR="004C48D3" w:rsidRDefault="004C48D3" w:rsidP="001A017B">
      <w:pPr>
        <w:rPr>
          <w:rFonts w:cs="Times New Roman"/>
          <w:lang w:val="es-ES" w:eastAsia="es-ES"/>
        </w:rPr>
      </w:pPr>
      <w:r>
        <w:rPr>
          <w:rFonts w:cs="Times New Roman"/>
          <w:lang w:val="es-ES" w:eastAsia="es-ES"/>
        </w:rPr>
        <w:t>Derivado de lo anterior y</w:t>
      </w:r>
    </w:p>
    <w:p w14:paraId="0166FD7F" w14:textId="77777777" w:rsidR="00C049FA" w:rsidRDefault="00C049FA" w:rsidP="00AB644E"/>
    <w:p w14:paraId="67179F37" w14:textId="77777777" w:rsidR="00C049FA" w:rsidRDefault="00C049FA" w:rsidP="004C48D3">
      <w:pPr>
        <w:pStyle w:val="Ttulo1"/>
        <w:keepNext w:val="0"/>
        <w:keepLines w:val="0"/>
        <w:spacing w:before="0" w:after="160"/>
        <w:rPr>
          <w:rFonts w:eastAsia="MS Mincho"/>
          <w:lang w:val="es-ES_tradnl"/>
        </w:rPr>
      </w:pPr>
      <w:r w:rsidRPr="00FC25EE">
        <w:rPr>
          <w:rFonts w:eastAsia="MS Mincho"/>
          <w:lang w:val="es-ES_tradnl"/>
        </w:rPr>
        <w:t>C O N S I D E R A N D O</w:t>
      </w:r>
    </w:p>
    <w:p w14:paraId="1043F606" w14:textId="77777777" w:rsidR="00C049FA" w:rsidRPr="00C049FA" w:rsidRDefault="00C049FA" w:rsidP="004C48D3">
      <w:pPr>
        <w:rPr>
          <w:rFonts w:eastAsia="MS Mincho"/>
          <w:lang w:val="es-ES_tradnl"/>
        </w:rPr>
      </w:pPr>
    </w:p>
    <w:p w14:paraId="1A41F87B" w14:textId="77777777" w:rsidR="00C049FA" w:rsidRPr="00FC25EE" w:rsidRDefault="00C049FA" w:rsidP="00AB644E">
      <w:r w:rsidRPr="00FC25EE">
        <w:rPr>
          <w:rFonts w:cs="Times New Roman"/>
          <w:b/>
          <w:lang w:val="es-ES_tradnl"/>
        </w:rPr>
        <w:t xml:space="preserve">PRIMERO. - Competencia del Instituto. </w:t>
      </w:r>
      <w:r w:rsidRPr="00FC25EE">
        <w:rPr>
          <w:rFonts w:eastAsia="Calibri" w:cs="Arial"/>
        </w:rPr>
        <w:t>De conformidad con el artículo 28, párrafo décimo quinto de la Constitución Política de los</w:t>
      </w:r>
      <w:r w:rsidRPr="00FC25EE">
        <w:t xml:space="preserve"> Estados Unidos Mexicanos (en lo sucesivo, la “Constitución”), el Instituto tiene por objeto el desarrollo eficiente de la radiodifusión y las telecomunicaciones, conforme a lo dispuesto en la propia Constitución y en los términos que fijen las leyes.</w:t>
      </w:r>
    </w:p>
    <w:p w14:paraId="6FE65847" w14:textId="77777777" w:rsidR="00C049FA" w:rsidRPr="00FC25EE" w:rsidRDefault="00C049FA" w:rsidP="00AB644E">
      <w:r w:rsidRPr="00FC25EE">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72D59493" w14:textId="77777777" w:rsidR="00C049FA" w:rsidRPr="00FC25EE" w:rsidRDefault="00C049FA" w:rsidP="00AB644E">
      <w:r w:rsidRPr="00FC25EE">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06B1C41E" w14:textId="77777777" w:rsidR="00C049FA" w:rsidRPr="00FC25EE" w:rsidRDefault="00C049FA" w:rsidP="00AB644E">
      <w:r w:rsidRPr="00FC25EE">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6CBD57FC" w14:textId="77777777" w:rsidR="00C049FA" w:rsidRPr="00FC25EE" w:rsidRDefault="00C049FA" w:rsidP="00AB644E">
      <w:r w:rsidRPr="00FC25EE">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párrafo segundo del artículo 7 de la LFTR </w:t>
      </w:r>
      <w:r w:rsidRPr="00FC25EE">
        <w:lastRenderedPageBreak/>
        <w:t xml:space="preserve">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w:t>
      </w:r>
      <w:r w:rsidRPr="005466A8">
        <w:t>equipos</w:t>
      </w:r>
      <w:r w:rsidRPr="00FC25EE">
        <w:t xml:space="preserve"> que se conecten a las redes de telecomunicaciones, así como en materia de homologación y evaluación de la conformidad de dicha infraestructura y equipos.</w:t>
      </w:r>
    </w:p>
    <w:p w14:paraId="36E55B61" w14:textId="77777777" w:rsidR="00C049FA" w:rsidRPr="00FC25EE" w:rsidRDefault="00C049FA" w:rsidP="00AB644E">
      <w:r w:rsidRPr="00FC25EE">
        <w:t>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17EF6365" w14:textId="77777777" w:rsidR="00C049FA" w:rsidRPr="00FC25EE" w:rsidRDefault="00C049FA" w:rsidP="00AB644E">
      <w:r w:rsidRPr="00FC25EE">
        <w:t>Esto es, el Instituto es la autoridad en materia de lineamientos técnicos relativos a la infraestructura y a los productos, equipos, dispositivos o aparatos destinados a telecomunicaciones que pueden ser conectados a una red de telecomunicaciones y/o hacer uso del espectro radioeléctrico, así como los métodos de prueba para comprobar la observancia de dichas especificaciones.</w:t>
      </w:r>
    </w:p>
    <w:p w14:paraId="55C4D449" w14:textId="3D9B0985" w:rsidR="00C049FA" w:rsidRPr="00FC25EE" w:rsidRDefault="00C049FA" w:rsidP="00AB644E">
      <w:r w:rsidRPr="00FC25EE">
        <w:t xml:space="preserve">Conforme a lo anterior, el </w:t>
      </w:r>
      <w:r w:rsidR="006F7138">
        <w:t xml:space="preserve">Pleno del </w:t>
      </w:r>
      <w:r w:rsidRPr="00FC25EE">
        <w:t>Instituto cuenta con facultades y atribuciones para emitir el presente Acuerdo y expedir la “</w:t>
      </w:r>
      <w:r w:rsidR="00AB644E" w:rsidRPr="00AB644E">
        <w:t>DISPOSICIÓN TÉCNICA IFT-014-2018. EQUIPOS DE MICROONDAS PARA SISTEMAS FIJO MULTICANAL PUNTO A PUNTO Y PUNTO A MULTIPUNTO. PARTE 1: RADIO ACCESO MÚLTIPLE.</w:t>
      </w:r>
      <w:r w:rsidRPr="00FC25EE">
        <w:t>” (en lo sucesivo, se referirá indistintamente por el nombre completo o “Disposición Técnica IFT-01</w:t>
      </w:r>
      <w:r w:rsidR="00AB644E">
        <w:t>4</w:t>
      </w:r>
      <w:r w:rsidRPr="00FC25EE">
        <w:t>-2018</w:t>
      </w:r>
      <w:r w:rsidR="00AB644E">
        <w:t xml:space="preserve"> Parte 1</w:t>
      </w:r>
      <w:r w:rsidRPr="00FC25EE">
        <w:t>”), conforme a las conferidas en los artículos 15 fracción I, LVI, 289, y 290 de la LFTR y 6 fracción I del Estatuto Orgánico del Instituto Federal de Telecomunicaciones</w:t>
      </w:r>
    </w:p>
    <w:p w14:paraId="7B10D001" w14:textId="3D183B32" w:rsidR="00C049FA" w:rsidRDefault="00C049FA" w:rsidP="00AB644E"/>
    <w:p w14:paraId="4DF13833" w14:textId="07BE75B1" w:rsidR="00D04682" w:rsidRDefault="00D50F67" w:rsidP="00D04682">
      <w:r w:rsidRPr="00D50F67">
        <w:rPr>
          <w:b/>
        </w:rPr>
        <w:t>SEGUNDO. – De la p</w:t>
      </w:r>
      <w:r w:rsidR="00B15CF4">
        <w:rPr>
          <w:b/>
        </w:rPr>
        <w:t>é</w:t>
      </w:r>
      <w:r w:rsidRPr="00D50F67">
        <w:rPr>
          <w:b/>
        </w:rPr>
        <w:t>rdida de vigencia de la NOM-088/1-SCT1-2002.</w:t>
      </w:r>
      <w:r>
        <w:t xml:space="preserve"> </w:t>
      </w:r>
      <w:r w:rsidR="00D04682">
        <w:t>Que la Norma Oficial Mexicana NOM-088/1-SCT1-2002 TELECOMUNICACIONES - RADIOCOMUNICACI</w:t>
      </w:r>
      <w:r w:rsidR="00A30060">
        <w:t>ÓN</w:t>
      </w:r>
      <w:r w:rsidR="00D04682">
        <w:t xml:space="preserve"> - EQUIPOS DE MICROONDAS PARA SISTEMAS FIJO MULTICANAL PUNTO A PUNTO Y PUNTO A MULTIPUNTO - PARTE I: RADIO ACCESO </w:t>
      </w:r>
      <w:r w:rsidR="00D04682">
        <w:lastRenderedPageBreak/>
        <w:t>M</w:t>
      </w:r>
      <w:r w:rsidR="00B15CF4">
        <w:t>Ú</w:t>
      </w:r>
      <w:r w:rsidR="00D04682">
        <w:t>LTIPLE (en lo sucesivo, la “NOM”</w:t>
      </w:r>
      <w:r w:rsidR="006B074B">
        <w:t xml:space="preserve"> o “</w:t>
      </w:r>
      <w:r w:rsidR="006B074B" w:rsidRPr="006B074B">
        <w:t>NOM-088/1-SCT1-2002</w:t>
      </w:r>
      <w:r w:rsidR="006B074B">
        <w:t>”</w:t>
      </w:r>
      <w:r w:rsidR="00D04682">
        <w:t xml:space="preserve">), tiene por objeto establecer las especificaciones y los correspondientes métodos de prueba que deben cumplir los equipos de radiocomunicación a utilizar en un sistema de radio acceso múltiple por medio de enlaces de microondas punto a punto y/o punto a multipunto en la banda de 2 300 MHz a 2 450 MHz; norma que conforme a lo dispuesto por el artículo 51 de la Ley Federal sobre Metrología y Normalización (en lo sucesivo, “LFMN”), </w:t>
      </w:r>
      <w:r w:rsidR="00394E9A">
        <w:t>perdió</w:t>
      </w:r>
      <w:r w:rsidR="009F4A49">
        <w:t xml:space="preserve"> </w:t>
      </w:r>
      <w:r w:rsidR="00D04682">
        <w:t>su vigencia el 16 de agosto de 2018, al no ser jurídicamente procedente realizar la revisión de la misma en términos de la propia LFMN.</w:t>
      </w:r>
    </w:p>
    <w:p w14:paraId="0DC6DCC5" w14:textId="54B7A489" w:rsidR="00D04682" w:rsidRDefault="00D04682" w:rsidP="00D04682">
      <w:r w:rsidRPr="00D04682">
        <w:t xml:space="preserve">La </w:t>
      </w:r>
      <w:r w:rsidR="001E7E06">
        <w:t xml:space="preserve"> </w:t>
      </w:r>
      <w:r w:rsidR="001E7E06" w:rsidRPr="001E7E06">
        <w:t>NOM-088/1-SCT1-2002</w:t>
      </w:r>
      <w:r w:rsidR="001E7E06">
        <w:t xml:space="preserve"> </w:t>
      </w:r>
      <w:r w:rsidRPr="00D04682">
        <w:t>indica</w:t>
      </w:r>
      <w:r w:rsidR="00E13F3B">
        <w:t>ba</w:t>
      </w:r>
      <w:r w:rsidRPr="00D04682">
        <w:t xml:space="preserve"> </w:t>
      </w:r>
      <w:r w:rsidR="001E7E06" w:rsidRPr="001E7E06">
        <w:t>las especificaciones y sus correspondientes métodos de prueba que deb</w:t>
      </w:r>
      <w:r w:rsidR="009128F9">
        <w:t>ían</w:t>
      </w:r>
      <w:r w:rsidR="001E7E06" w:rsidRPr="001E7E06">
        <w:t xml:space="preserve"> cumplir los equipos de radiocomunicación de microondas </w:t>
      </w:r>
      <w:r w:rsidR="001E7E06">
        <w:t xml:space="preserve"> para los</w:t>
      </w:r>
      <w:r w:rsidR="001E7E06" w:rsidRPr="00D04682">
        <w:t xml:space="preserve"> </w:t>
      </w:r>
      <w:r w:rsidRPr="00D04682">
        <w:t>sistema</w:t>
      </w:r>
      <w:r w:rsidR="001E7E06">
        <w:t>s</w:t>
      </w:r>
      <w:r w:rsidRPr="00D04682">
        <w:t xml:space="preserve"> de radio acceso múltiple por medio de enlaces de microondas punto a punto y/o punto a multipunto en la banda de frecuencias 2</w:t>
      </w:r>
      <w:r w:rsidR="005118A7">
        <w:t> </w:t>
      </w:r>
      <w:r w:rsidRPr="00D04682">
        <w:t>300 -2</w:t>
      </w:r>
      <w:r w:rsidR="005118A7">
        <w:t> </w:t>
      </w:r>
      <w:r w:rsidRPr="00D04682">
        <w:t>450</w:t>
      </w:r>
      <w:r w:rsidR="009128F9">
        <w:t xml:space="preserve"> MHz</w:t>
      </w:r>
      <w:r w:rsidRPr="00D04682">
        <w:t>.</w:t>
      </w:r>
      <w:r>
        <w:t xml:space="preserve"> De ahí la importancia de dar continuidad a los efectos regulatorios que derivan de la </w:t>
      </w:r>
      <w:r w:rsidR="001E7E06">
        <w:t>misma</w:t>
      </w:r>
      <w:r>
        <w:t>.</w:t>
      </w:r>
    </w:p>
    <w:p w14:paraId="65A3B23F" w14:textId="1A595AA7" w:rsidR="00D50F67" w:rsidRDefault="00D04682" w:rsidP="00D04682">
      <w:r>
        <w:t>Para tal efecto, a través de</w:t>
      </w:r>
      <w:r w:rsidR="000F57FD">
        <w:t xml:space="preserve"> </w:t>
      </w:r>
      <w:r>
        <w:t>l</w:t>
      </w:r>
      <w:r w:rsidR="000F57FD">
        <w:t>a</w:t>
      </w:r>
      <w:r>
        <w:t xml:space="preserve"> </w:t>
      </w:r>
      <w:r w:rsidR="005118A7">
        <w:t xml:space="preserve">Disposición Técnica </w:t>
      </w:r>
      <w:r>
        <w:t>IFT-014-2018</w:t>
      </w:r>
      <w:r w:rsidR="000F57FD">
        <w:t xml:space="preserve"> Parte 1</w:t>
      </w:r>
      <w:r>
        <w:t>, se señalan las especificaciones técnicas mínimas de los equipos de radiocomunicación a utilizar en un sistema de radio acceso múltiple por medio de enlaces de microondas punto a punto y/o punto a multipunto en la banda de 2 300 MHz a 2 450 MHz; así como los métodos de prueba para comprobar el cumplimiento de dichas especificaciones.</w:t>
      </w:r>
    </w:p>
    <w:p w14:paraId="311E0197" w14:textId="77777777" w:rsidR="00D50F67" w:rsidRPr="00FC25EE" w:rsidRDefault="00D50F67" w:rsidP="00AB644E"/>
    <w:p w14:paraId="4F08AE3F" w14:textId="65EEE929" w:rsidR="00C049FA" w:rsidRPr="00FC25EE" w:rsidRDefault="00D50F67" w:rsidP="00AB644E">
      <w:r>
        <w:rPr>
          <w:b/>
        </w:rPr>
        <w:t>TERCERO</w:t>
      </w:r>
      <w:r w:rsidR="00C049FA" w:rsidRPr="00FC25EE">
        <w:rPr>
          <w:b/>
        </w:rPr>
        <w:t>. - Las telecomunicaciones y la radiodifusión como servicios públicos de interés general.</w:t>
      </w:r>
      <w:r w:rsidR="00C049FA" w:rsidRPr="00FC25EE">
        <w:t xml:space="preserve"> El artículo 28 de la Constitución, establece la obligación del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1B1198B5" w14:textId="5BBFC463" w:rsidR="00C049FA" w:rsidRPr="00FC25EE" w:rsidRDefault="00C049FA" w:rsidP="00AB644E">
      <w:r w:rsidRPr="00FC25EE">
        <w:lastRenderedPageBreak/>
        <w:t>En ese orden de ideas, en términos de la fracción II del apartado B del artículo 6</w:t>
      </w:r>
      <w:r w:rsidR="005118A7">
        <w:t>o.</w:t>
      </w:r>
      <w:r w:rsidRPr="00FC25EE">
        <w:t xml:space="preserve">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D1C07DC" w14:textId="77777777" w:rsidR="00C049FA" w:rsidRPr="00FC25EE" w:rsidRDefault="00C049FA" w:rsidP="00AB644E">
      <w:r w:rsidRPr="00FC25EE">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07664DEE" w14:textId="77777777" w:rsidR="00C049FA" w:rsidRPr="00FC25EE" w:rsidRDefault="00C049FA" w:rsidP="00AB644E"/>
    <w:p w14:paraId="4436D3C0" w14:textId="3BF2CC31" w:rsidR="00C049FA" w:rsidRPr="00FC25EE" w:rsidRDefault="00434228" w:rsidP="00AB644E">
      <w:r>
        <w:rPr>
          <w:b/>
        </w:rPr>
        <w:t>CUARTO</w:t>
      </w:r>
      <w:r w:rsidR="00C049FA" w:rsidRPr="00FC25EE">
        <w:rPr>
          <w:b/>
        </w:rPr>
        <w:t>. - Marco técnico regulatorio.</w:t>
      </w:r>
      <w:r w:rsidR="00C049FA" w:rsidRPr="00FC25EE">
        <w:t xml:space="preserve"> Las Disposiciones Técnicas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instalación de los equipos, sistemas y la infraestructura en general asociada a éstos; así como las especificaciones que se refieran a su cumplimiento o aplicación.</w:t>
      </w:r>
    </w:p>
    <w:p w14:paraId="06663CB4" w14:textId="3EE28A1B" w:rsidR="00C049FA" w:rsidRPr="00FC25EE" w:rsidRDefault="00C049FA" w:rsidP="00AB644E">
      <w:r w:rsidRPr="00FC25EE">
        <w:t>En este sentido, esta Disposición Técnica IFT-01</w:t>
      </w:r>
      <w:r w:rsidR="00AB644E">
        <w:t>4</w:t>
      </w:r>
      <w:r w:rsidRPr="00FC25EE">
        <w:t>-2018</w:t>
      </w:r>
      <w:r w:rsidR="00AB644E">
        <w:t xml:space="preserve"> Parte 1</w:t>
      </w:r>
      <w:r w:rsidRPr="00FC25EE">
        <w:t xml:space="preserve">, tiene como objetivo </w:t>
      </w:r>
      <w:r w:rsidR="00AB644E" w:rsidRPr="00AB644E">
        <w:t>establece</w:t>
      </w:r>
      <w:r w:rsidR="00AB644E">
        <w:t>r</w:t>
      </w:r>
      <w:r w:rsidR="00AB644E" w:rsidRPr="00AB644E">
        <w:t xml:space="preserve"> las especificaciones técnicas y los correspondientes métodos de prueba que deben cumplir los equipos de radiocomunicación a utilizarse en un sistema de radio acceso múltiple por medio de enlaces de microondas punto a punto y/o punto a multipunto en la banda de 2 300 a 2 450 MHz</w:t>
      </w:r>
      <w:r w:rsidR="00AB644E">
        <w:t>.</w:t>
      </w:r>
    </w:p>
    <w:p w14:paraId="6C6E39C8" w14:textId="77777777" w:rsidR="00C049FA" w:rsidRPr="00AB644E" w:rsidRDefault="00C049FA" w:rsidP="00AB644E">
      <w:r w:rsidRPr="00AB644E">
        <w:t xml:space="preserve">El Instituto, bajo el marco de las atribuciones que le confieren las leyes en la materia, establece como una mejor práctica regulatoria revisar la Disposición Técnica de mérito, al menos a los cinco años a partir de su entrada en vigor, a fin de identificar si la misma aún se requiere o si deben realizarse cambios en función de las condiciones que prevalezcan en el sector de Telecomunicaciones y Radiodifusión </w:t>
      </w:r>
      <w:r w:rsidRPr="00AB644E">
        <w:lastRenderedPageBreak/>
        <w:t>y en el mercado en general. Lo anterior, de ninguna manera limita las atribuciones del Instituto para realizar dicha revisión en cualquier momento, dentro del periodo establecido.</w:t>
      </w:r>
    </w:p>
    <w:p w14:paraId="5BABA444" w14:textId="77777777" w:rsidR="00C049FA" w:rsidRPr="00FC25EE" w:rsidRDefault="00C049FA" w:rsidP="00AB644E"/>
    <w:p w14:paraId="24CDD0D6" w14:textId="187BC885" w:rsidR="00C049FA" w:rsidRPr="00FC25EE" w:rsidRDefault="00434228" w:rsidP="00AB644E">
      <w:r>
        <w:rPr>
          <w:b/>
        </w:rPr>
        <w:t>QUINTO</w:t>
      </w:r>
      <w:r w:rsidR="00C049FA" w:rsidRPr="00FC25EE">
        <w:rPr>
          <w:b/>
        </w:rPr>
        <w:t>. - Impacto en el comercio exterior.</w:t>
      </w:r>
      <w:r w:rsidR="00C049FA" w:rsidRPr="00FC25EE">
        <w:t xml:space="preserve"> Si bien el Instituto está facultado por la</w:t>
      </w:r>
      <w:r w:rsidR="00C049FA" w:rsidRPr="00FC25EE">
        <w:rPr>
          <w:b/>
        </w:rPr>
        <w:t xml:space="preserve"> </w:t>
      </w:r>
      <w:r w:rsidR="00C049FA" w:rsidRPr="00FC25EE">
        <w:t>Constitución, la LFTR y su Estatuto Orgánico para emitir las disposiciones técnicas relativas a la infraestructura y los equipos que se conecten a las redes de telecomunicaciones y</w:t>
      </w:r>
      <w:r w:rsidR="00C049FA">
        <w:t>/o</w:t>
      </w:r>
      <w:r w:rsidR="00C049FA" w:rsidRPr="00FC25EE">
        <w:t xml:space="preserve">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del ámbito de su competencia y que corresponden a dependencias de la Administración Pública Federal, como es el caso de la importación, comercialización, distribución y consumo de productos en el país.</w:t>
      </w:r>
    </w:p>
    <w:p w14:paraId="06D1645B" w14:textId="77777777" w:rsidR="00C049FA" w:rsidRPr="00FC25EE" w:rsidRDefault="00C049FA" w:rsidP="00AB644E">
      <w:r w:rsidRPr="00FC25EE">
        <w:t>Es de señalarse que en términos de los artículos 34, fracciones II, V y XXXIII, de la Ley Orgánica de la Administración Pública Federal; 38, fracción II, y 39, fracción XII, de la Ley Federal sobre Metrología y Normalización (en lo sucesivo, la “LFMN”), en relación con los artículos 1o., 2o., 4o., fracciones III y IV, 5o., fracciones III y XIII, 16, 17, 26 y 27 de la Ley de Comercio Exterior (en lo sucesivo, la “LCE”),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2A03BCE5" w14:textId="77777777" w:rsidR="00C049FA" w:rsidRPr="00FC25EE" w:rsidRDefault="00C049FA" w:rsidP="00AB644E">
      <w:r w:rsidRPr="00FC25EE">
        <w:t xml:space="preserve">El artículo 4o. de la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w:t>
      </w:r>
      <w:r w:rsidRPr="00FC25EE">
        <w:lastRenderedPageBreak/>
        <w:t>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14:paraId="6C725BC1" w14:textId="77777777" w:rsidR="00C049FA" w:rsidRPr="00FC25EE" w:rsidRDefault="00C049FA" w:rsidP="00AB644E">
      <w:r w:rsidRPr="00FC25EE">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 corresponda conforme a la tarifa respectiva”.</w:t>
      </w:r>
    </w:p>
    <w:p w14:paraId="7A36EEA6" w14:textId="166B4193" w:rsidR="00C049FA" w:rsidRPr="00FC25EE" w:rsidRDefault="00C049FA" w:rsidP="00AB644E">
      <w:r w:rsidRPr="00FC25EE">
        <w:t>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w:t>
      </w:r>
      <w:r w:rsidR="006B491D">
        <w:t xml:space="preserve"> de Comercio Exterior</w:t>
      </w:r>
      <w:r w:rsidRPr="00FC25EE">
        <w:t xml:space="preserve"> y se publicará en el Diario Oficial de la Federación”. </w:t>
      </w:r>
    </w:p>
    <w:p w14:paraId="286E5A1B" w14:textId="77777777" w:rsidR="00C049FA" w:rsidRPr="00FC25EE" w:rsidRDefault="00C049FA" w:rsidP="00AB644E">
      <w:r w:rsidRPr="00FC25EE">
        <w:t>A su vez, el artículo Tercero Transitorio del Decreto por el que se expidió la LFTR establece:</w:t>
      </w:r>
    </w:p>
    <w:p w14:paraId="2C8384C4" w14:textId="77777777" w:rsidR="00C049FA" w:rsidRPr="006B491D" w:rsidRDefault="00C049FA" w:rsidP="006B491D">
      <w:pPr>
        <w:ind w:left="426" w:right="474"/>
        <w:rPr>
          <w:i/>
          <w:lang w:val="es-ES" w:eastAsia="es-ES"/>
        </w:rPr>
      </w:pPr>
      <w:r w:rsidRPr="006B491D">
        <w:rPr>
          <w:i/>
          <w:lang w:val="es-ES" w:eastAsia="es-ES"/>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4C892D91" w14:textId="59BFEA77" w:rsidR="00C049FA" w:rsidRPr="00FC25EE" w:rsidRDefault="00C049FA" w:rsidP="00AB644E">
      <w:r w:rsidRPr="00FC25EE">
        <w:t>Adicionalmente, el “Acuerdo por el que la Secretaría de Economía emite reglas y criterios de carácter general en materia de Comercio Exterior” (en lo sucesivo, el “Acuerdo</w:t>
      </w:r>
      <w:r>
        <w:t xml:space="preserve"> de Comercio Exterior</w:t>
      </w:r>
      <w:r w:rsidRPr="00FC25EE">
        <w:t xml:space="preserve">”)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w:t>
      </w:r>
      <w:r w:rsidRPr="00FC25EE">
        <w:lastRenderedPageBreak/>
        <w:t xml:space="preserve">manera que faciliten su aplicación por parte de los usuarios. </w:t>
      </w:r>
      <w:r>
        <w:t xml:space="preserve">El </w:t>
      </w:r>
      <w:r w:rsidRPr="00FC25EE">
        <w:t xml:space="preserve">Acuerdo </w:t>
      </w:r>
      <w:r w:rsidRPr="000E3019">
        <w:t>de Comercio Exterior</w:t>
      </w:r>
      <w:r>
        <w:t xml:space="preserve">, </w:t>
      </w:r>
      <w:r w:rsidRPr="00FC25EE">
        <w:t>como parte integrante</w:t>
      </w:r>
      <w:r>
        <w:t>,</w:t>
      </w:r>
      <w:r w:rsidRPr="00FC25EE">
        <w:t xml:space="preserv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(en lo sucesivo, el “</w:t>
      </w:r>
      <w:r>
        <w:t>Anexo</w:t>
      </w:r>
      <w:r w:rsidRPr="00FC25EE">
        <w:t xml:space="preserve"> </w:t>
      </w:r>
      <w:r w:rsidR="00182CE5" w:rsidRPr="00182CE5">
        <w:t>2.4.1</w:t>
      </w:r>
      <w:r w:rsidRPr="00182CE5">
        <w:t>”</w:t>
      </w:r>
      <w:r w:rsidRPr="00FC25EE">
        <w:t>).</w:t>
      </w:r>
    </w:p>
    <w:p w14:paraId="45A5EFC3" w14:textId="67E8D186" w:rsidR="00C049FA" w:rsidRPr="00FC25EE" w:rsidRDefault="00C049FA" w:rsidP="00AB644E">
      <w:r w:rsidRPr="00FC25EE">
        <w:t xml:space="preserve">En este sentido, los </w:t>
      </w:r>
      <w:r w:rsidR="006B491D" w:rsidRPr="006B491D">
        <w:t>equipos de radiocomunicación a utilizarse en un sistema de radio acceso múltiple por medio de enlaces de microondas punto a punto y/o punto a multipunto en la banda de 2 300 a 2 450 MHz</w:t>
      </w:r>
      <w:r w:rsidRPr="00FC25EE">
        <w:t>, que deben cumplir con la Disposición Técnica IFT-01</w:t>
      </w:r>
      <w:r w:rsidR="006B491D">
        <w:t>4</w:t>
      </w:r>
      <w:r w:rsidRPr="00FC25EE">
        <w:t>-2018</w:t>
      </w:r>
      <w:r w:rsidR="006B491D">
        <w:t xml:space="preserve"> Parte 1</w:t>
      </w:r>
      <w:r w:rsidRPr="00FC25EE">
        <w:t xml:space="preserve"> estarían contenidos en el </w:t>
      </w:r>
      <w:r>
        <w:t>Anexo</w:t>
      </w:r>
      <w:r w:rsidRPr="00FC25EE">
        <w:t xml:space="preserve"> </w:t>
      </w:r>
      <w:r w:rsidR="00182CE5" w:rsidRPr="00182CE5">
        <w:t>2.4.1</w:t>
      </w:r>
      <w:r w:rsidRPr="00182CE5">
        <w:t>,</w:t>
      </w:r>
      <w:r w:rsidRPr="00FC25EE">
        <w:t xml:space="preserve"> y serían tratados en los términos dispuestos por el mismo.</w:t>
      </w:r>
    </w:p>
    <w:p w14:paraId="09EBEEC0" w14:textId="09F287AD" w:rsidR="00C049FA" w:rsidRPr="00FC25EE" w:rsidRDefault="00C049FA" w:rsidP="00AB644E">
      <w:r w:rsidRPr="00FC25EE">
        <w:t>De ahí que la Secretaría de Economía, en el ámbito de su competencia, emit</w:t>
      </w:r>
      <w:r w:rsidR="0010114C">
        <w:t>iría</w:t>
      </w:r>
      <w:r w:rsidRPr="00FC25EE">
        <w:t xml:space="preserve"> la norma oficial mexicana correspondiente, que regule la importación, comercialización y/o distribución dentro del territorio de los Estados Unidos Mexicanos de los </w:t>
      </w:r>
      <w:r w:rsidR="006B491D" w:rsidRPr="006B491D">
        <w:t>equipos de radiocomunicación a utilizarse en un sistema de radio acceso múltiple por medio de enlaces de microondas punto a punto y/o punto a multipunto en la banda de 2 300 a 2 450 MHz</w:t>
      </w:r>
      <w:r w:rsidR="006B491D">
        <w:t xml:space="preserve"> </w:t>
      </w:r>
      <w:r w:rsidRPr="00FC25EE">
        <w:t>cuyas especificaciones se prevén en la Disposición Técnica que emita el Instituto.</w:t>
      </w:r>
    </w:p>
    <w:p w14:paraId="3B32E63C" w14:textId="505A6AF1" w:rsidR="00C049FA" w:rsidRPr="00FC25EE" w:rsidRDefault="00C049FA" w:rsidP="00AB644E">
      <w:r w:rsidRPr="00FC25EE">
        <w:t>En este orden de ideas, en el marco de la coordinación y colaboración entre el Instituto y la Secretaría de Economía que prevén la LFTR y la LFMN, al emitirse por el Instituto la Disposición Técnica IFT-01</w:t>
      </w:r>
      <w:r w:rsidR="006B491D">
        <w:t>4</w:t>
      </w:r>
      <w:r w:rsidRPr="00FC25EE">
        <w:t>-2018</w:t>
      </w:r>
      <w:r w:rsidR="006B491D">
        <w:t xml:space="preserve"> Parte 1</w:t>
      </w:r>
      <w:r w:rsidRPr="00FC25EE">
        <w:t xml:space="preserve">, la Secretaría de Economía realizaría los actos jurídicos correspondientes como son, por una parte, la emisión de la norma oficial mexicana que regule la importación, comercialización y/o distribución dentro del territorio de los Estados Unidos Mexicanos de los </w:t>
      </w:r>
      <w:r w:rsidR="006B491D" w:rsidRPr="006B491D">
        <w:t>equipos de radiocomunicación a utilizarse en un sistema de radio acceso múltiple por medio de enlaces de microondas punto a punto y/o punto a multipunto en la banda de 2 300 a 2 450 MHz</w:t>
      </w:r>
      <w:r w:rsidRPr="00FC25EE">
        <w:t xml:space="preserve"> y, por la otra, la actualización del Acuerdo </w:t>
      </w:r>
      <w:r w:rsidRPr="000E3019">
        <w:t>de Comercio Exterior</w:t>
      </w:r>
      <w:r>
        <w:t xml:space="preserve"> c</w:t>
      </w:r>
      <w:r w:rsidRPr="00FC25EE">
        <w:t>itado.</w:t>
      </w:r>
    </w:p>
    <w:p w14:paraId="2AB76543" w14:textId="77777777" w:rsidR="00C049FA" w:rsidRPr="00FC25EE" w:rsidRDefault="00C049FA" w:rsidP="00AB644E">
      <w:r w:rsidRPr="00FC25EE">
        <w:t>Tal situación se fortalece con lo señalado en el referido Acuerdo</w:t>
      </w:r>
      <w:r w:rsidRPr="000E3019">
        <w:t xml:space="preserve"> de Comercio Exterior</w:t>
      </w:r>
      <w:r w:rsidRPr="00FC25EE">
        <w:t xml:space="preserve">, en el sentido de “Que es obligación del Ejecutivo Federal propiciar un </w:t>
      </w:r>
      <w:r w:rsidRPr="00FC25EE">
        <w:lastRenderedPageBreak/>
        <w:t>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58B49088" w14:textId="49D70063" w:rsidR="00C049FA" w:rsidRPr="00FC25EE" w:rsidRDefault="00C049FA" w:rsidP="00AB644E">
      <w:r w:rsidRPr="00FC25EE">
        <w:t xml:space="preserve">Derivado de lo anterior, en el punto de entrada a México, respecto de los productos identificados en las Fracciones Arancelarias del Anexo 2.4.1, las autoridades aduaneras deberán hacer cumplir lo dispuesto por la norma oficial mexicana correspondiente que regule la importación, comercialización y/o distribución dentro del territorio de los Estados Unidos Mexicanos de los </w:t>
      </w:r>
      <w:r w:rsidR="006B491D" w:rsidRPr="006B491D">
        <w:t>equipos de radiocomunicación a utilizarse en un sistema de radio acceso múltiple por medio de enlaces de microondas punto a punto y/o punto a multipunto en la banda de 2 300 a 2 450 MHz</w:t>
      </w:r>
      <w:r w:rsidRPr="00FC25EE">
        <w:t xml:space="preserve">, cuyas especificaciones se prevén en la Disposición Técnica </w:t>
      </w:r>
      <w:r w:rsidR="00434228">
        <w:t>en comento</w:t>
      </w:r>
      <w:r w:rsidRPr="00FC25EE">
        <w:t>.</w:t>
      </w:r>
    </w:p>
    <w:p w14:paraId="22199F67" w14:textId="77777777" w:rsidR="00C049FA" w:rsidRPr="00FC25EE" w:rsidRDefault="00C049FA" w:rsidP="00AB644E"/>
    <w:p w14:paraId="4C04FEC5" w14:textId="242FEE45" w:rsidR="00C049FA" w:rsidRPr="00FC25EE" w:rsidRDefault="00434228" w:rsidP="00AB644E">
      <w:r>
        <w:rPr>
          <w:b/>
        </w:rPr>
        <w:t>SEXTO</w:t>
      </w:r>
      <w:r w:rsidR="00C049FA" w:rsidRPr="006B491D">
        <w:rPr>
          <w:b/>
        </w:rPr>
        <w:t xml:space="preserve">. - Necesidad de emitir la </w:t>
      </w:r>
      <w:r w:rsidR="006B491D" w:rsidRPr="006B491D">
        <w:rPr>
          <w:b/>
        </w:rPr>
        <w:t xml:space="preserve">DISPOSICIÓN TÉCNICA IFT-014-2018. EQUIPOS DE MICROONDAS PARA SISTEMAS FIJO MULTICANAL PUNTO A PUNTO Y PUNTO A MULTIPUNTO. PARTE 1: RADIO ACCESO MÚLTIPLE. </w:t>
      </w:r>
      <w:r w:rsidR="00C049FA" w:rsidRPr="00C42C1E">
        <w:t xml:space="preserve">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w:t>
      </w:r>
      <w:r w:rsidR="006B491D" w:rsidRPr="00C42C1E">
        <w:t>las especificaciones técnicas que deben cumplir los equipos de radiocomunicación a utilizarse en un sistema de radio acceso múltiple por medio de enlaces de microondas punto a punto y/o punto a multipunto en la banda de 2 300 a 2 450 MHz</w:t>
      </w:r>
      <w:r w:rsidR="00C049FA" w:rsidRPr="00C42C1E">
        <w:t xml:space="preserve">, además de sus métodos de prueba para verificar el cumplimiento de los mismos, y de esta manera coadyuvar en materia de supervisión con respecto a las emisiones radioeléctricas a través del procedimiento de </w:t>
      </w:r>
      <w:r w:rsidR="002F797D">
        <w:t>evaluación de</w:t>
      </w:r>
      <w:r w:rsidR="003E10C0">
        <w:t xml:space="preserve"> </w:t>
      </w:r>
      <w:r w:rsidR="002F797D">
        <w:t xml:space="preserve">la conformidad </w:t>
      </w:r>
      <w:r w:rsidR="00C049FA" w:rsidRPr="00C42C1E">
        <w:t xml:space="preserve">de </w:t>
      </w:r>
      <w:r w:rsidR="006B491D" w:rsidRPr="00C42C1E">
        <w:t>dichos</w:t>
      </w:r>
      <w:r w:rsidR="00C049FA" w:rsidRPr="00C42C1E">
        <w:t xml:space="preserve"> </w:t>
      </w:r>
      <w:r w:rsidR="006B491D" w:rsidRPr="00C42C1E">
        <w:t>equipos</w:t>
      </w:r>
      <w:r w:rsidR="00C049FA" w:rsidRPr="00C42C1E">
        <w:t>, en apego a las facultades del Instituto referente a la administración del espectro radioeléctrico,</w:t>
      </w:r>
      <w:r w:rsidRPr="00434228">
        <w:t xml:space="preserve"> </w:t>
      </w:r>
      <w:r>
        <w:t>c</w:t>
      </w:r>
      <w:r w:rsidRPr="00434228">
        <w:t xml:space="preserve">on el interés de dar continuidad a los efectos regulatorios que derivan de la NOM-088/1-SCT1-2002 y </w:t>
      </w:r>
      <w:r w:rsidR="00F71BB5">
        <w:t>proveer de</w:t>
      </w:r>
      <w:r w:rsidRPr="00434228">
        <w:t xml:space="preserve"> certeza jurídica a todos los involucrados en relación </w:t>
      </w:r>
      <w:r w:rsidRPr="00434228">
        <w:lastRenderedPageBreak/>
        <w:t>con las especificaciones técnicas, métodos de prueba y procedimientos de evaluación de la conformidad</w:t>
      </w:r>
      <w:r w:rsidR="00C42C1E">
        <w:t>.</w:t>
      </w:r>
    </w:p>
    <w:p w14:paraId="346F8AB3" w14:textId="42E9BBB1" w:rsidR="005F2A6C" w:rsidRDefault="00C049FA" w:rsidP="00AB644E">
      <w:r w:rsidRPr="00C42C1E">
        <w:t>Los beneficios que se pretenden al emitir la Disposición Técnica de mérito son</w:t>
      </w:r>
      <w:r w:rsidR="005F2A6C">
        <w:t>:</w:t>
      </w:r>
      <w:r w:rsidRPr="00C42C1E">
        <w:t xml:space="preserve"> </w:t>
      </w:r>
    </w:p>
    <w:p w14:paraId="3BC22308" w14:textId="6A82F04F" w:rsidR="005F2A6C" w:rsidRPr="00D90217" w:rsidRDefault="002F797D" w:rsidP="00D90217">
      <w:pPr>
        <w:pStyle w:val="Prrafodelista"/>
        <w:numPr>
          <w:ilvl w:val="0"/>
          <w:numId w:val="6"/>
        </w:numPr>
        <w:spacing w:line="360" w:lineRule="auto"/>
        <w:rPr>
          <w:rFonts w:ascii="ITC Avant Garde" w:hAnsi="ITC Avant Garde"/>
        </w:rPr>
      </w:pPr>
      <w:r w:rsidRPr="00D90217">
        <w:rPr>
          <w:rFonts w:ascii="ITC Avant Garde" w:hAnsi="ITC Avant Garde"/>
        </w:rPr>
        <w:t>Brindar continuidad a los efectos regulatorios que derivan de la norma NOM-088/1-SCT1-2002 Telecomunicaciones - Radiocomunicación - Equipos de Microondas para sistemas fijo multicanal punto a punto y punto a multipunto - Parte I: Radio Acceso Múltiple</w:t>
      </w:r>
      <w:r w:rsidR="005F2A6C" w:rsidRPr="00D90217">
        <w:rPr>
          <w:rFonts w:ascii="ITC Avant Garde" w:hAnsi="ITC Avant Garde"/>
        </w:rPr>
        <w:t>;</w:t>
      </w:r>
      <w:r w:rsidR="00021334" w:rsidRPr="00D90217">
        <w:rPr>
          <w:rFonts w:ascii="ITC Avant Garde" w:hAnsi="ITC Avant Garde"/>
        </w:rPr>
        <w:t xml:space="preserve"> </w:t>
      </w:r>
      <w:r w:rsidRPr="00D90217">
        <w:rPr>
          <w:rFonts w:ascii="ITC Avant Garde" w:hAnsi="ITC Avant Garde"/>
        </w:rPr>
        <w:t>y actualizar los métodos de prueba para la comprobación de las mismas.</w:t>
      </w:r>
    </w:p>
    <w:p w14:paraId="2B5B4D80" w14:textId="3A113982" w:rsidR="005F2A6C" w:rsidRPr="00D90217" w:rsidRDefault="002F797D" w:rsidP="00D90217">
      <w:pPr>
        <w:pStyle w:val="Prrafodelista"/>
        <w:numPr>
          <w:ilvl w:val="0"/>
          <w:numId w:val="6"/>
        </w:numPr>
        <w:spacing w:line="360" w:lineRule="auto"/>
        <w:rPr>
          <w:rFonts w:ascii="ITC Avant Garde" w:hAnsi="ITC Avant Garde"/>
        </w:rPr>
      </w:pPr>
      <w:r w:rsidRPr="00D90217">
        <w:rPr>
          <w:rFonts w:ascii="ITC Avant Garde" w:hAnsi="ITC Avant Garde"/>
        </w:rPr>
        <w:t xml:space="preserve">Prever que los </w:t>
      </w:r>
      <w:r w:rsidR="00434228" w:rsidRPr="00D90217">
        <w:rPr>
          <w:rFonts w:ascii="ITC Avant Garde" w:hAnsi="ITC Avant Garde"/>
        </w:rPr>
        <w:t>equipos de microondas para sistemas del servicio fijo multicanal punto a punto y punto a multipunto en la banda de 2</w:t>
      </w:r>
      <w:r w:rsidR="00F33A66" w:rsidRPr="00D90217">
        <w:rPr>
          <w:rFonts w:ascii="ITC Avant Garde" w:hAnsi="ITC Avant Garde"/>
        </w:rPr>
        <w:t> </w:t>
      </w:r>
      <w:r w:rsidR="00434228" w:rsidRPr="00D90217">
        <w:rPr>
          <w:rFonts w:ascii="ITC Avant Garde" w:hAnsi="ITC Avant Garde"/>
        </w:rPr>
        <w:t>300 a 2</w:t>
      </w:r>
      <w:r w:rsidR="00F33A66" w:rsidRPr="00D90217">
        <w:rPr>
          <w:rFonts w:ascii="ITC Avant Garde" w:hAnsi="ITC Avant Garde"/>
        </w:rPr>
        <w:t> </w:t>
      </w:r>
      <w:r w:rsidR="00434228" w:rsidRPr="00D90217">
        <w:rPr>
          <w:rFonts w:ascii="ITC Avant Garde" w:hAnsi="ITC Avant Garde"/>
        </w:rPr>
        <w:t xml:space="preserve">450 MHz, particularmente </w:t>
      </w:r>
      <w:r w:rsidR="00CC6013" w:rsidRPr="00D90217">
        <w:rPr>
          <w:rFonts w:ascii="ITC Avant Garde" w:hAnsi="ITC Avant Garde"/>
        </w:rPr>
        <w:t xml:space="preserve">para sistemas de </w:t>
      </w:r>
      <w:r w:rsidR="00434228" w:rsidRPr="00D90217">
        <w:rPr>
          <w:rFonts w:ascii="ITC Avant Garde" w:hAnsi="ITC Avant Garde"/>
        </w:rPr>
        <w:t>radio acceso múltiple</w:t>
      </w:r>
      <w:r w:rsidRPr="00D90217">
        <w:rPr>
          <w:rFonts w:ascii="ITC Avant Garde" w:hAnsi="ITC Avant Garde"/>
        </w:rPr>
        <w:t>, puedan hacer uso del espectro radioeléctrico en dicha banda de frecuencia y no causen interferencias perjudiciales a otros equipos de operación autorizada, ni a las redes y servicios de telecomunicaciones autorizados por el Instituto</w:t>
      </w:r>
      <w:r w:rsidR="00CF72A1" w:rsidRPr="00D90217">
        <w:rPr>
          <w:rFonts w:ascii="ITC Avant Garde" w:hAnsi="ITC Avant Garde"/>
        </w:rPr>
        <w:t>.</w:t>
      </w:r>
      <w:r w:rsidR="00434228" w:rsidRPr="00D90217">
        <w:rPr>
          <w:rFonts w:ascii="ITC Avant Garde" w:hAnsi="ITC Avant Garde"/>
        </w:rPr>
        <w:t xml:space="preserve"> </w:t>
      </w:r>
    </w:p>
    <w:p w14:paraId="688D5008" w14:textId="77777777" w:rsidR="00C049FA" w:rsidRPr="00FC25EE" w:rsidRDefault="00C049FA" w:rsidP="00AB644E"/>
    <w:p w14:paraId="104424D7" w14:textId="45FCA55A" w:rsidR="00C049FA" w:rsidRPr="00FC25EE" w:rsidRDefault="00434228" w:rsidP="00AB644E">
      <w:r>
        <w:rPr>
          <w:b/>
        </w:rPr>
        <w:t>SÉPTIMO</w:t>
      </w:r>
      <w:r w:rsidR="00C049FA" w:rsidRPr="00FC25EE">
        <w:rPr>
          <w:b/>
        </w:rPr>
        <w:t>. - Consulta pública.</w:t>
      </w:r>
      <w:r w:rsidR="00C049FA" w:rsidRPr="00FC25EE">
        <w:t xml:space="preserve"> Con fundamento en lo establecido en el artículo 51 de la LFTR, el Instituto sometió a consulta pública bajo los principios de transparencia y participación ciudadana, el “ANTEPROYECTO DE </w:t>
      </w:r>
      <w:r w:rsidR="006B491D" w:rsidRPr="006B491D">
        <w:t>DISPOSICIÓN TÉCNICA IFT-014-2018. EQUIPOS DE MICROONDAS PARA SISTEMAS FIJO MULTICANAL PUNTO A PUNTO Y PUNTO A MULTIPUNTO. PARTE 1: RADIO ACCESO MÚLTIPLE.</w:t>
      </w:r>
      <w:r w:rsidR="00C049FA" w:rsidRPr="00FC25EE">
        <w:t xml:space="preserve">” durante un periodo de </w:t>
      </w:r>
      <w:r w:rsidR="006B491D">
        <w:t>veinte días hábiles</w:t>
      </w:r>
      <w:r w:rsidR="00C049FA" w:rsidRPr="00FC25EE">
        <w:t xml:space="preserve">, comprendido del </w:t>
      </w:r>
      <w:r w:rsidR="006B491D">
        <w:t>11 de m</w:t>
      </w:r>
      <w:r w:rsidR="006B491D" w:rsidRPr="006B491D">
        <w:t xml:space="preserve">ayo al 7 de </w:t>
      </w:r>
      <w:r w:rsidR="006B491D">
        <w:t>j</w:t>
      </w:r>
      <w:r w:rsidR="006B491D" w:rsidRPr="006B491D">
        <w:t>unio de 2018</w:t>
      </w:r>
      <w:r w:rsidR="006B491D">
        <w:t>.</w:t>
      </w:r>
    </w:p>
    <w:p w14:paraId="21460F18" w14:textId="2EBD31F5" w:rsidR="00C049FA" w:rsidRPr="00FC25EE" w:rsidRDefault="00C049FA" w:rsidP="00AB644E">
      <w:r w:rsidRPr="00FC25EE">
        <w:t xml:space="preserve">Durante la consulta pública de mérito, se recibieron </w:t>
      </w:r>
      <w:r w:rsidR="00E62B61">
        <w:t>2</w:t>
      </w:r>
      <w:r w:rsidR="006B491D">
        <w:t xml:space="preserve"> </w:t>
      </w:r>
      <w:r w:rsidRPr="00FC25EE">
        <w:t>participaciones de personas morales</w:t>
      </w:r>
      <w:r w:rsidR="00E62B61">
        <w:t xml:space="preserve">; </w:t>
      </w:r>
      <w:r w:rsidRPr="00FC25EE">
        <w:t xml:space="preserve">dichas participaciones se centraron fundamentalmente en realizar precisiones a las especificaciones técnicas y los métodos de prueba, las cuales se analizaron, y, en su caso, </w:t>
      </w:r>
      <w:r w:rsidR="0097053B">
        <w:t>se incluyeron en</w:t>
      </w:r>
      <w:r w:rsidR="0097053B" w:rsidRPr="00FC25EE">
        <w:t xml:space="preserve"> </w:t>
      </w:r>
      <w:r w:rsidRPr="00FC25EE">
        <w:t>la Disposición Técnica en comento.</w:t>
      </w:r>
    </w:p>
    <w:p w14:paraId="17BDCE08" w14:textId="77777777" w:rsidR="00C049FA" w:rsidRPr="00FC25EE" w:rsidRDefault="00C049FA" w:rsidP="00AB644E"/>
    <w:p w14:paraId="6795D93A" w14:textId="4691B5C7" w:rsidR="00C049FA" w:rsidRPr="00FC25EE" w:rsidRDefault="00434228" w:rsidP="00AB644E">
      <w:r>
        <w:rPr>
          <w:b/>
        </w:rPr>
        <w:t>OCTAVO</w:t>
      </w:r>
      <w:r w:rsidR="00C049FA" w:rsidRPr="00FC25EE">
        <w:rPr>
          <w:b/>
        </w:rPr>
        <w:t>. - Análisis de Impacto Regulatorio.</w:t>
      </w:r>
      <w:r w:rsidR="00C049FA" w:rsidRPr="00FC25EE">
        <w:t xml:space="preserve"> De conformidad con el segundo párrafo del artículo 51 de la LFTR, se establece que previamente a la emisión de </w:t>
      </w:r>
      <w:r w:rsidR="00C049FA" w:rsidRPr="00FC25EE">
        <w:lastRenderedPageBreak/>
        <w:t xml:space="preserve">reglas, lineamientos o disposiciones administrativas de carácter general de que se trate, el Instituto deberá realizar y hacer público un </w:t>
      </w:r>
      <w:r w:rsidR="00F838C4">
        <w:t>A</w:t>
      </w:r>
      <w:r w:rsidR="00C049FA" w:rsidRPr="00FC25EE">
        <w:t xml:space="preserve">nálisis de </w:t>
      </w:r>
      <w:r w:rsidR="00F838C4">
        <w:t>I</w:t>
      </w:r>
      <w:r w:rsidR="00C049FA" w:rsidRPr="00FC25EE">
        <w:t xml:space="preserve">mpacto </w:t>
      </w:r>
      <w:r w:rsidR="00F838C4">
        <w:t>R</w:t>
      </w:r>
      <w:r w:rsidR="00C049FA" w:rsidRPr="00FC25EE">
        <w:t xml:space="preserve">egulatorio. Al respecto, de conformidad con lo establecido en los artículos 51 de la LFTR; 4 fracción VIII, inciso IV) y 75 fracción II del Estatuto, la Coordinación General de Mejora Regulatoria mediante oficio </w:t>
      </w:r>
      <w:r w:rsidR="00C049FA" w:rsidRPr="00BA7DAF">
        <w:t>IFT/211/CGMR/</w:t>
      </w:r>
      <w:r w:rsidR="008C7E05" w:rsidRPr="00BA7DAF">
        <w:t>104</w:t>
      </w:r>
      <w:r w:rsidR="00C049FA" w:rsidRPr="00BA7DAF">
        <w:t>/2018</w:t>
      </w:r>
      <w:r w:rsidR="00C049FA" w:rsidRPr="00FC25EE">
        <w:t xml:space="preserve"> emitió la opinión no vinculante respecto del proyecto de “ACUERDO MEDIANTE EL CUAL EL PLENO DEL INSTITUTO FEDERAL D</w:t>
      </w:r>
      <w:r w:rsidR="006B491D">
        <w:t xml:space="preserve">E TELECOMUNICACIONES EXPIDE LA </w:t>
      </w:r>
      <w:r w:rsidR="006B491D" w:rsidRPr="006B491D">
        <w:t>DISPOSICIÓN TÉCNICA IFT</w:t>
      </w:r>
      <w:r w:rsidR="00F838C4">
        <w:noBreakHyphen/>
        <w:t>014</w:t>
      </w:r>
      <w:r w:rsidR="00F838C4">
        <w:noBreakHyphen/>
      </w:r>
      <w:r w:rsidR="006B491D" w:rsidRPr="006B491D">
        <w:t>2018. EQUIPOS DE MICROONDAS PARA SISTEMAS FIJO MULTICANAL PUNTO A PUNTO Y PUNTO A MULTIPUNTO. PARTE 1: RADIO ACCESO MÚLTIPLE</w:t>
      </w:r>
      <w:r w:rsidR="00C049FA">
        <w:t>”</w:t>
      </w:r>
      <w:r w:rsidR="00C049FA" w:rsidRPr="00FC25EE">
        <w:t xml:space="preserve">, en dicha opinión, manifestó diversas recomendaciones a efectos de robustecer tanto el Análisis de Impacto Regulatorio como algunas disposiciones del proyecto, las cuales fueron analizadas y, en su caso, atendidas. </w:t>
      </w:r>
    </w:p>
    <w:p w14:paraId="7ABB7B7B" w14:textId="77777777" w:rsidR="00C049FA" w:rsidRPr="00FC25EE" w:rsidRDefault="00C049FA" w:rsidP="00AB644E">
      <w:r w:rsidRPr="00FC25EE">
        <w:t>Por lo anterior y con fundamento en los artículos 6o., apartado B, fracciones II y III, y 28, párrafos décimo quinto y vigésimo, fracción IV, de la Constitución Política de los Estados Unidos Mexicanos; 1, 2, 7, 15, fracciones I, y LVI, 51, y 289 de la Ley Federal de Telecomunicaciones y Radiodifusión; 4, fracción I, y 6, fracción I, del Estatuto Orgánico del Instituto Federal de Telecomunicaciones, el Pleno del Instituto Federal de Telecomunicaciones emite el siguiente:</w:t>
      </w:r>
    </w:p>
    <w:p w14:paraId="4435B1A1" w14:textId="77777777" w:rsidR="006B491D" w:rsidRPr="00FC25EE" w:rsidRDefault="006B491D" w:rsidP="00AB644E"/>
    <w:p w14:paraId="29D117BB" w14:textId="77777777" w:rsidR="00C049FA" w:rsidRPr="00FC25EE" w:rsidRDefault="00C049FA" w:rsidP="001A017B">
      <w:pPr>
        <w:pStyle w:val="Ttulo1"/>
        <w:keepNext w:val="0"/>
        <w:keepLines w:val="0"/>
        <w:rPr>
          <w:rFonts w:eastAsia="Times New Roman"/>
        </w:rPr>
      </w:pPr>
      <w:r w:rsidRPr="00FC25EE">
        <w:rPr>
          <w:rFonts w:eastAsia="Times New Roman"/>
        </w:rPr>
        <w:t>ACUERDO</w:t>
      </w:r>
    </w:p>
    <w:p w14:paraId="55882D82" w14:textId="77777777" w:rsidR="00C049FA" w:rsidRPr="00C049FA" w:rsidRDefault="00C049FA" w:rsidP="00AB644E"/>
    <w:p w14:paraId="6446C67E" w14:textId="5641F617" w:rsidR="00C049FA" w:rsidRPr="00C33B70" w:rsidRDefault="00C049FA" w:rsidP="00AB644E">
      <w:r w:rsidRPr="00C33B70">
        <w:rPr>
          <w:b/>
        </w:rPr>
        <w:t>PRIMERO. -</w:t>
      </w:r>
      <w:r w:rsidRPr="00C33B70">
        <w:t xml:space="preserve"> Se expide la </w:t>
      </w:r>
      <w:r w:rsidR="001661D9" w:rsidRPr="006B491D">
        <w:t>Disposición Técnica</w:t>
      </w:r>
      <w:r w:rsidR="006B491D" w:rsidRPr="006B491D">
        <w:t xml:space="preserve"> IFT-014-2018. EQUIPOS DE MICROONDAS PARA SISTEMAS FIJO MULTICANAL PUNTO A PUNTO Y PUNTO A MULTIPUNTO. PARTE 1: RADIO ACCESO MÚLTIPLE</w:t>
      </w:r>
      <w:r w:rsidRPr="00C33B70">
        <w:t xml:space="preserve">, misma que se encuentra como Anexo Único del presente Acuerdo y que forma parte integrante de este, la cual </w:t>
      </w:r>
      <w:r w:rsidR="00890C49">
        <w:t xml:space="preserve">entrará en vigor </w:t>
      </w:r>
      <w:r w:rsidR="00336182">
        <w:t xml:space="preserve">al día siguiente </w:t>
      </w:r>
      <w:r w:rsidR="00890C49">
        <w:t>de su publicación el Diario Oficial de la Federación</w:t>
      </w:r>
      <w:r w:rsidRPr="00C33B70">
        <w:t>, y será revisada por el Instituto al menos a los 5 años contados a partir de su entrada en vigor. Lo anterior, de ninguna manera limita las atribuciones del Instituto para realizar dicha revisión en cualquier momento, dentro del periodo establecido.</w:t>
      </w:r>
    </w:p>
    <w:p w14:paraId="0A39A9B1" w14:textId="77777777" w:rsidR="00C049FA" w:rsidRPr="00C33B70" w:rsidRDefault="00C049FA" w:rsidP="00AB644E">
      <w:r w:rsidRPr="00C33B70">
        <w:rPr>
          <w:b/>
        </w:rPr>
        <w:lastRenderedPageBreak/>
        <w:t>SEGUNDO. -</w:t>
      </w:r>
      <w:r w:rsidRPr="00C33B70">
        <w:t xml:space="preserve"> Publíquese el presente Acuerdo y su Anexo Único en el Diario Oficial de la Federación.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B491D" w:rsidRPr="00361B9C" w14:paraId="64A52BAE" w14:textId="77777777" w:rsidTr="006B491D">
        <w:tc>
          <w:tcPr>
            <w:tcW w:w="8838" w:type="dxa"/>
            <w:gridSpan w:val="2"/>
          </w:tcPr>
          <w:p w14:paraId="3EF3D892" w14:textId="77777777" w:rsidR="006B491D" w:rsidRDefault="006B491D" w:rsidP="00A818C3">
            <w:pPr>
              <w:spacing w:line="240" w:lineRule="auto"/>
              <w:jc w:val="center"/>
              <w:rPr>
                <w:rFonts w:cs="Arial"/>
                <w:b/>
                <w:bCs/>
              </w:rPr>
            </w:pPr>
          </w:p>
          <w:p w14:paraId="2BC82A91" w14:textId="2750E896" w:rsidR="006B491D" w:rsidRDefault="006B491D" w:rsidP="00A818C3">
            <w:pPr>
              <w:spacing w:line="240" w:lineRule="auto"/>
              <w:jc w:val="center"/>
              <w:rPr>
                <w:rFonts w:cs="Arial"/>
                <w:b/>
                <w:bCs/>
              </w:rPr>
            </w:pPr>
          </w:p>
          <w:p w14:paraId="65F79955" w14:textId="0A28D884" w:rsidR="006B491D" w:rsidRDefault="006B491D" w:rsidP="00A818C3">
            <w:pPr>
              <w:spacing w:line="240" w:lineRule="auto"/>
              <w:jc w:val="center"/>
              <w:rPr>
                <w:rFonts w:cs="Arial"/>
                <w:b/>
                <w:bCs/>
              </w:rPr>
            </w:pPr>
          </w:p>
          <w:p w14:paraId="5C06FD18" w14:textId="77777777" w:rsidR="006B491D" w:rsidRDefault="006B491D" w:rsidP="00A818C3">
            <w:pPr>
              <w:spacing w:line="240" w:lineRule="auto"/>
              <w:jc w:val="center"/>
              <w:rPr>
                <w:rFonts w:cs="Arial"/>
                <w:b/>
                <w:bCs/>
              </w:rPr>
            </w:pPr>
          </w:p>
          <w:p w14:paraId="3915B8C5" w14:textId="77777777" w:rsidR="006B491D" w:rsidRPr="00361B9C" w:rsidRDefault="006B491D" w:rsidP="00A818C3">
            <w:pPr>
              <w:spacing w:line="240" w:lineRule="auto"/>
              <w:jc w:val="center"/>
              <w:rPr>
                <w:rFonts w:cs="Arial"/>
                <w:b/>
                <w:bCs/>
              </w:rPr>
            </w:pPr>
          </w:p>
          <w:p w14:paraId="115E2AF8" w14:textId="77777777" w:rsidR="006B491D" w:rsidRPr="00361B9C" w:rsidRDefault="006B491D" w:rsidP="00A818C3">
            <w:pPr>
              <w:spacing w:line="240" w:lineRule="auto"/>
              <w:jc w:val="center"/>
              <w:rPr>
                <w:rFonts w:cs="Arial"/>
                <w:b/>
                <w:bCs/>
              </w:rPr>
            </w:pPr>
            <w:r w:rsidRPr="00361B9C">
              <w:rPr>
                <w:rFonts w:cs="Arial"/>
                <w:b/>
                <w:bCs/>
              </w:rPr>
              <w:t>Gabriel Oswaldo Contreras Saldívar</w:t>
            </w:r>
          </w:p>
          <w:p w14:paraId="64A337EB" w14:textId="77777777" w:rsidR="006B491D" w:rsidRPr="00361B9C" w:rsidRDefault="006B491D" w:rsidP="00A818C3">
            <w:pPr>
              <w:spacing w:line="240" w:lineRule="auto"/>
              <w:jc w:val="center"/>
              <w:rPr>
                <w:rFonts w:cs="Arial"/>
                <w:b/>
                <w:bCs/>
              </w:rPr>
            </w:pPr>
            <w:r w:rsidRPr="00361B9C">
              <w:rPr>
                <w:rFonts w:cs="Arial"/>
                <w:b/>
                <w:bCs/>
              </w:rPr>
              <w:t>Comisionado Presidente</w:t>
            </w:r>
          </w:p>
        </w:tc>
      </w:tr>
      <w:tr w:rsidR="006B491D" w:rsidRPr="00361B9C" w14:paraId="2E29C2A3" w14:textId="77777777" w:rsidTr="006B491D">
        <w:tc>
          <w:tcPr>
            <w:tcW w:w="4419" w:type="dxa"/>
          </w:tcPr>
          <w:p w14:paraId="2F898EF9" w14:textId="77777777" w:rsidR="006B491D" w:rsidRDefault="006B491D" w:rsidP="00A818C3">
            <w:pPr>
              <w:spacing w:line="240" w:lineRule="auto"/>
              <w:jc w:val="center"/>
              <w:rPr>
                <w:sz w:val="20"/>
                <w:shd w:val="clear" w:color="auto" w:fill="FFFFFF"/>
              </w:rPr>
            </w:pPr>
          </w:p>
          <w:p w14:paraId="1DA95AC1" w14:textId="77777777" w:rsidR="006B491D" w:rsidRPr="00361B9C" w:rsidRDefault="006B491D" w:rsidP="00A818C3">
            <w:pPr>
              <w:spacing w:line="240" w:lineRule="auto"/>
              <w:jc w:val="center"/>
              <w:rPr>
                <w:sz w:val="20"/>
                <w:shd w:val="clear" w:color="auto" w:fill="FFFFFF"/>
              </w:rPr>
            </w:pPr>
          </w:p>
          <w:p w14:paraId="40A63DD1" w14:textId="77777777" w:rsidR="006B491D" w:rsidRPr="00361B9C" w:rsidRDefault="006B491D" w:rsidP="00A818C3">
            <w:pPr>
              <w:spacing w:line="240" w:lineRule="auto"/>
              <w:jc w:val="center"/>
              <w:rPr>
                <w:sz w:val="20"/>
                <w:shd w:val="clear" w:color="auto" w:fill="FFFFFF"/>
              </w:rPr>
            </w:pPr>
          </w:p>
          <w:p w14:paraId="449E57C3" w14:textId="77777777" w:rsidR="006B491D" w:rsidRPr="00361B9C" w:rsidRDefault="006B491D" w:rsidP="00A818C3">
            <w:pPr>
              <w:spacing w:line="240" w:lineRule="auto"/>
              <w:jc w:val="center"/>
              <w:rPr>
                <w:sz w:val="20"/>
                <w:shd w:val="clear" w:color="auto" w:fill="FFFFFF"/>
              </w:rPr>
            </w:pPr>
          </w:p>
          <w:p w14:paraId="0999AFB5" w14:textId="77777777" w:rsidR="006B491D" w:rsidRPr="00361B9C" w:rsidRDefault="006B491D" w:rsidP="00A818C3">
            <w:pPr>
              <w:tabs>
                <w:tab w:val="left" w:pos="993"/>
              </w:tabs>
              <w:spacing w:line="240" w:lineRule="auto"/>
              <w:ind w:right="-1"/>
              <w:jc w:val="center"/>
              <w:rPr>
                <w:b/>
                <w:bCs/>
                <w:sz w:val="21"/>
                <w:szCs w:val="21"/>
              </w:rPr>
            </w:pPr>
            <w:r>
              <w:rPr>
                <w:b/>
                <w:bCs/>
                <w:sz w:val="21"/>
                <w:szCs w:val="21"/>
              </w:rPr>
              <w:t>María Elena Estavillo Flores</w:t>
            </w:r>
          </w:p>
          <w:p w14:paraId="67F65A64" w14:textId="77777777" w:rsidR="006B491D" w:rsidRPr="00361B9C" w:rsidRDefault="006B491D" w:rsidP="00A818C3">
            <w:pPr>
              <w:spacing w:line="240" w:lineRule="auto"/>
              <w:jc w:val="center"/>
              <w:rPr>
                <w:sz w:val="20"/>
                <w:shd w:val="clear" w:color="auto" w:fill="FFFFFF"/>
              </w:rPr>
            </w:pPr>
            <w:r w:rsidRPr="00361B9C">
              <w:rPr>
                <w:b/>
                <w:bCs/>
                <w:sz w:val="21"/>
                <w:szCs w:val="21"/>
              </w:rPr>
              <w:t>Comisionada</w:t>
            </w:r>
          </w:p>
        </w:tc>
        <w:tc>
          <w:tcPr>
            <w:tcW w:w="4419" w:type="dxa"/>
          </w:tcPr>
          <w:p w14:paraId="70F68B89" w14:textId="77777777" w:rsidR="006B491D" w:rsidRPr="00361B9C" w:rsidRDefault="006B491D" w:rsidP="00A818C3">
            <w:pPr>
              <w:spacing w:line="240" w:lineRule="auto"/>
              <w:rPr>
                <w:sz w:val="20"/>
                <w:shd w:val="clear" w:color="auto" w:fill="FFFFFF"/>
              </w:rPr>
            </w:pPr>
          </w:p>
          <w:p w14:paraId="3D540579" w14:textId="77777777" w:rsidR="006B491D" w:rsidRDefault="006B491D" w:rsidP="00A818C3">
            <w:pPr>
              <w:spacing w:line="240" w:lineRule="auto"/>
              <w:rPr>
                <w:sz w:val="20"/>
                <w:shd w:val="clear" w:color="auto" w:fill="FFFFFF"/>
              </w:rPr>
            </w:pPr>
          </w:p>
          <w:p w14:paraId="3DADB159" w14:textId="77777777" w:rsidR="006B491D" w:rsidRPr="00361B9C" w:rsidRDefault="006B491D" w:rsidP="00A818C3">
            <w:pPr>
              <w:spacing w:line="240" w:lineRule="auto"/>
              <w:rPr>
                <w:sz w:val="20"/>
                <w:shd w:val="clear" w:color="auto" w:fill="FFFFFF"/>
              </w:rPr>
            </w:pPr>
          </w:p>
          <w:p w14:paraId="793D756F" w14:textId="77777777" w:rsidR="006B491D" w:rsidRPr="00361B9C" w:rsidRDefault="006B491D" w:rsidP="00A818C3">
            <w:pPr>
              <w:spacing w:line="240" w:lineRule="auto"/>
              <w:rPr>
                <w:sz w:val="20"/>
                <w:shd w:val="clear" w:color="auto" w:fill="FFFFFF"/>
              </w:rPr>
            </w:pPr>
          </w:p>
          <w:p w14:paraId="45CF0C4C" w14:textId="77777777" w:rsidR="006B491D" w:rsidRPr="00361B9C" w:rsidRDefault="006B491D" w:rsidP="00A818C3">
            <w:pPr>
              <w:tabs>
                <w:tab w:val="left" w:pos="993"/>
              </w:tabs>
              <w:spacing w:line="240" w:lineRule="auto"/>
              <w:ind w:right="-1"/>
              <w:jc w:val="center"/>
              <w:rPr>
                <w:b/>
                <w:bCs/>
                <w:sz w:val="21"/>
                <w:szCs w:val="21"/>
              </w:rPr>
            </w:pPr>
            <w:r>
              <w:rPr>
                <w:b/>
                <w:bCs/>
                <w:sz w:val="21"/>
                <w:szCs w:val="21"/>
              </w:rPr>
              <w:t>Mario Germán Fromow Rangel</w:t>
            </w:r>
          </w:p>
          <w:p w14:paraId="3317ABE2" w14:textId="77777777" w:rsidR="006B491D" w:rsidRPr="00361B9C" w:rsidRDefault="006B491D" w:rsidP="00A818C3">
            <w:pPr>
              <w:spacing w:line="240" w:lineRule="auto"/>
              <w:jc w:val="center"/>
              <w:rPr>
                <w:sz w:val="20"/>
                <w:shd w:val="clear" w:color="auto" w:fill="FFFFFF"/>
              </w:rPr>
            </w:pPr>
            <w:r>
              <w:rPr>
                <w:b/>
                <w:bCs/>
                <w:sz w:val="21"/>
                <w:szCs w:val="21"/>
              </w:rPr>
              <w:t>Comisionado</w:t>
            </w:r>
          </w:p>
        </w:tc>
      </w:tr>
      <w:tr w:rsidR="006B491D" w:rsidRPr="00361B9C" w14:paraId="0E11A03F" w14:textId="77777777" w:rsidTr="006B491D">
        <w:tc>
          <w:tcPr>
            <w:tcW w:w="4419" w:type="dxa"/>
          </w:tcPr>
          <w:p w14:paraId="131CB046" w14:textId="77777777" w:rsidR="006B491D" w:rsidRDefault="006B491D" w:rsidP="00A818C3">
            <w:pPr>
              <w:spacing w:line="240" w:lineRule="auto"/>
              <w:rPr>
                <w:sz w:val="20"/>
                <w:shd w:val="clear" w:color="auto" w:fill="FFFFFF"/>
              </w:rPr>
            </w:pPr>
          </w:p>
          <w:p w14:paraId="63C4CF5B" w14:textId="71681BB5" w:rsidR="006B491D" w:rsidRDefault="006B491D" w:rsidP="00A818C3">
            <w:pPr>
              <w:spacing w:line="240" w:lineRule="auto"/>
              <w:rPr>
                <w:sz w:val="20"/>
                <w:shd w:val="clear" w:color="auto" w:fill="FFFFFF"/>
              </w:rPr>
            </w:pPr>
          </w:p>
          <w:p w14:paraId="41FBDC00" w14:textId="77777777" w:rsidR="006B491D" w:rsidRPr="00361B9C" w:rsidRDefault="006B491D" w:rsidP="00A818C3">
            <w:pPr>
              <w:spacing w:line="240" w:lineRule="auto"/>
              <w:rPr>
                <w:sz w:val="20"/>
                <w:shd w:val="clear" w:color="auto" w:fill="FFFFFF"/>
              </w:rPr>
            </w:pPr>
          </w:p>
          <w:p w14:paraId="1053C375" w14:textId="77777777" w:rsidR="006B491D" w:rsidRPr="00361B9C" w:rsidRDefault="006B491D" w:rsidP="00A818C3">
            <w:pPr>
              <w:spacing w:line="240" w:lineRule="auto"/>
              <w:rPr>
                <w:sz w:val="20"/>
                <w:shd w:val="clear" w:color="auto" w:fill="FFFFFF"/>
              </w:rPr>
            </w:pPr>
          </w:p>
          <w:p w14:paraId="787E1A78" w14:textId="77777777" w:rsidR="006B491D" w:rsidRPr="00361B9C" w:rsidRDefault="006B491D" w:rsidP="00A818C3">
            <w:pPr>
              <w:tabs>
                <w:tab w:val="left" w:pos="993"/>
              </w:tabs>
              <w:spacing w:line="240" w:lineRule="auto"/>
              <w:ind w:right="-1"/>
              <w:jc w:val="center"/>
              <w:rPr>
                <w:b/>
                <w:bCs/>
                <w:sz w:val="21"/>
                <w:szCs w:val="21"/>
              </w:rPr>
            </w:pPr>
            <w:r>
              <w:rPr>
                <w:b/>
                <w:bCs/>
                <w:sz w:val="21"/>
                <w:szCs w:val="21"/>
              </w:rPr>
              <w:t>Adolfo Cuevas Teja</w:t>
            </w:r>
          </w:p>
          <w:p w14:paraId="18CA6BED" w14:textId="77777777" w:rsidR="006B491D" w:rsidRPr="00361B9C" w:rsidRDefault="006B491D" w:rsidP="00A818C3">
            <w:pPr>
              <w:spacing w:line="240" w:lineRule="auto"/>
              <w:jc w:val="center"/>
              <w:rPr>
                <w:sz w:val="20"/>
                <w:shd w:val="clear" w:color="auto" w:fill="FFFFFF"/>
              </w:rPr>
            </w:pPr>
            <w:r w:rsidRPr="00361B9C">
              <w:rPr>
                <w:b/>
                <w:bCs/>
                <w:sz w:val="21"/>
                <w:szCs w:val="21"/>
              </w:rPr>
              <w:t>Comisionado</w:t>
            </w:r>
          </w:p>
        </w:tc>
        <w:tc>
          <w:tcPr>
            <w:tcW w:w="4419" w:type="dxa"/>
          </w:tcPr>
          <w:p w14:paraId="289B202A" w14:textId="77777777" w:rsidR="006B491D" w:rsidRPr="00361B9C" w:rsidRDefault="006B491D" w:rsidP="00A818C3">
            <w:pPr>
              <w:spacing w:line="240" w:lineRule="auto"/>
              <w:rPr>
                <w:sz w:val="20"/>
                <w:shd w:val="clear" w:color="auto" w:fill="FFFFFF"/>
              </w:rPr>
            </w:pPr>
          </w:p>
          <w:p w14:paraId="622DC685" w14:textId="1C73FBF5" w:rsidR="006B491D" w:rsidRDefault="006B491D" w:rsidP="00A818C3">
            <w:pPr>
              <w:spacing w:line="240" w:lineRule="auto"/>
              <w:rPr>
                <w:sz w:val="20"/>
                <w:shd w:val="clear" w:color="auto" w:fill="FFFFFF"/>
              </w:rPr>
            </w:pPr>
          </w:p>
          <w:p w14:paraId="1125BF4D" w14:textId="77777777" w:rsidR="006B491D" w:rsidRPr="00361B9C" w:rsidRDefault="006B491D" w:rsidP="00A818C3">
            <w:pPr>
              <w:spacing w:line="240" w:lineRule="auto"/>
              <w:rPr>
                <w:sz w:val="20"/>
                <w:shd w:val="clear" w:color="auto" w:fill="FFFFFF"/>
              </w:rPr>
            </w:pPr>
          </w:p>
          <w:p w14:paraId="70289E6C" w14:textId="77777777" w:rsidR="006B491D" w:rsidRPr="00361B9C" w:rsidRDefault="006B491D" w:rsidP="00A818C3">
            <w:pPr>
              <w:spacing w:line="240" w:lineRule="auto"/>
              <w:rPr>
                <w:sz w:val="20"/>
                <w:shd w:val="clear" w:color="auto" w:fill="FFFFFF"/>
              </w:rPr>
            </w:pPr>
          </w:p>
          <w:p w14:paraId="615290F0" w14:textId="77777777" w:rsidR="006B491D" w:rsidRPr="00361B9C" w:rsidRDefault="006B491D" w:rsidP="00A818C3">
            <w:pPr>
              <w:tabs>
                <w:tab w:val="left" w:pos="993"/>
              </w:tabs>
              <w:spacing w:line="240" w:lineRule="auto"/>
              <w:ind w:right="-1"/>
              <w:jc w:val="center"/>
              <w:rPr>
                <w:b/>
                <w:bCs/>
                <w:sz w:val="21"/>
                <w:szCs w:val="21"/>
              </w:rPr>
            </w:pPr>
            <w:r>
              <w:rPr>
                <w:b/>
                <w:bCs/>
                <w:sz w:val="21"/>
                <w:szCs w:val="21"/>
              </w:rPr>
              <w:t>Javier Juárez Mojica</w:t>
            </w:r>
          </w:p>
          <w:p w14:paraId="378F4332" w14:textId="77777777" w:rsidR="006B491D" w:rsidRPr="00361B9C" w:rsidRDefault="006B491D" w:rsidP="00A818C3">
            <w:pPr>
              <w:spacing w:line="240" w:lineRule="auto"/>
              <w:jc w:val="center"/>
              <w:rPr>
                <w:sz w:val="20"/>
                <w:shd w:val="clear" w:color="auto" w:fill="FFFFFF"/>
              </w:rPr>
            </w:pPr>
            <w:r w:rsidRPr="00361B9C">
              <w:rPr>
                <w:b/>
                <w:bCs/>
                <w:sz w:val="21"/>
                <w:szCs w:val="21"/>
              </w:rPr>
              <w:t>Comisionado</w:t>
            </w:r>
          </w:p>
        </w:tc>
      </w:tr>
      <w:tr w:rsidR="006B491D" w:rsidRPr="00361B9C" w14:paraId="4ED2ADAE" w14:textId="77777777" w:rsidTr="006B491D">
        <w:tc>
          <w:tcPr>
            <w:tcW w:w="4419" w:type="dxa"/>
          </w:tcPr>
          <w:p w14:paraId="553D4483" w14:textId="77777777" w:rsidR="006B491D" w:rsidRPr="00361B9C" w:rsidRDefault="006B491D" w:rsidP="00A818C3">
            <w:pPr>
              <w:spacing w:line="240" w:lineRule="auto"/>
              <w:rPr>
                <w:sz w:val="20"/>
                <w:shd w:val="clear" w:color="auto" w:fill="FFFFFF"/>
              </w:rPr>
            </w:pPr>
          </w:p>
          <w:p w14:paraId="7E175B80" w14:textId="77777777" w:rsidR="006B491D" w:rsidRDefault="006B491D" w:rsidP="00A818C3">
            <w:pPr>
              <w:spacing w:line="240" w:lineRule="auto"/>
              <w:rPr>
                <w:sz w:val="20"/>
                <w:shd w:val="clear" w:color="auto" w:fill="FFFFFF"/>
              </w:rPr>
            </w:pPr>
          </w:p>
          <w:p w14:paraId="2D57B6AD" w14:textId="77777777" w:rsidR="006B491D" w:rsidRPr="00361B9C" w:rsidRDefault="006B491D" w:rsidP="00A818C3">
            <w:pPr>
              <w:spacing w:line="240" w:lineRule="auto"/>
              <w:rPr>
                <w:sz w:val="20"/>
                <w:shd w:val="clear" w:color="auto" w:fill="FFFFFF"/>
              </w:rPr>
            </w:pPr>
          </w:p>
          <w:p w14:paraId="1907D9D3" w14:textId="77777777" w:rsidR="006B491D" w:rsidRPr="00361B9C" w:rsidRDefault="006B491D" w:rsidP="00A818C3">
            <w:pPr>
              <w:spacing w:line="240" w:lineRule="auto"/>
              <w:rPr>
                <w:sz w:val="20"/>
                <w:shd w:val="clear" w:color="auto" w:fill="FFFFFF"/>
              </w:rPr>
            </w:pPr>
          </w:p>
          <w:p w14:paraId="5D3C385C" w14:textId="77777777" w:rsidR="006B491D" w:rsidRPr="00361B9C" w:rsidRDefault="006B491D" w:rsidP="00A818C3">
            <w:pPr>
              <w:tabs>
                <w:tab w:val="left" w:pos="993"/>
              </w:tabs>
              <w:spacing w:line="240" w:lineRule="auto"/>
              <w:ind w:right="-1"/>
              <w:jc w:val="center"/>
              <w:rPr>
                <w:b/>
                <w:bCs/>
                <w:sz w:val="21"/>
                <w:szCs w:val="21"/>
              </w:rPr>
            </w:pPr>
            <w:r>
              <w:rPr>
                <w:b/>
                <w:bCs/>
                <w:sz w:val="21"/>
                <w:szCs w:val="21"/>
              </w:rPr>
              <w:t>Arturo Robles Rovalo</w:t>
            </w:r>
          </w:p>
          <w:p w14:paraId="6A4B10EA" w14:textId="77777777" w:rsidR="006B491D" w:rsidRPr="00361B9C" w:rsidRDefault="006B491D" w:rsidP="00A818C3">
            <w:pPr>
              <w:pStyle w:val="TDC3"/>
              <w:spacing w:line="240" w:lineRule="auto"/>
              <w:rPr>
                <w:shd w:val="clear" w:color="auto" w:fill="FFFFFF"/>
              </w:rPr>
            </w:pPr>
            <w:r w:rsidRPr="00361B9C">
              <w:rPr>
                <w:rFonts w:ascii="ITC Avant Garde" w:hAnsi="ITC Avant Garde"/>
                <w:b/>
                <w:bCs/>
                <w:sz w:val="21"/>
                <w:szCs w:val="21"/>
                <w:lang w:eastAsia="es-MX"/>
              </w:rPr>
              <w:t>Comisionado</w:t>
            </w:r>
          </w:p>
        </w:tc>
        <w:tc>
          <w:tcPr>
            <w:tcW w:w="4419" w:type="dxa"/>
          </w:tcPr>
          <w:p w14:paraId="5CD4C5A3" w14:textId="77777777" w:rsidR="006B491D" w:rsidRDefault="006B491D" w:rsidP="00A818C3">
            <w:pPr>
              <w:spacing w:line="240" w:lineRule="auto"/>
              <w:rPr>
                <w:sz w:val="20"/>
                <w:shd w:val="clear" w:color="auto" w:fill="FFFFFF"/>
              </w:rPr>
            </w:pPr>
          </w:p>
          <w:p w14:paraId="641C385E" w14:textId="77777777" w:rsidR="006B491D" w:rsidRPr="00361B9C" w:rsidRDefault="006B491D" w:rsidP="00A818C3">
            <w:pPr>
              <w:spacing w:line="240" w:lineRule="auto"/>
              <w:rPr>
                <w:sz w:val="20"/>
                <w:shd w:val="clear" w:color="auto" w:fill="FFFFFF"/>
              </w:rPr>
            </w:pPr>
          </w:p>
          <w:p w14:paraId="73500681" w14:textId="77777777" w:rsidR="006B491D" w:rsidRPr="00361B9C" w:rsidRDefault="006B491D" w:rsidP="00A818C3">
            <w:pPr>
              <w:spacing w:line="240" w:lineRule="auto"/>
              <w:rPr>
                <w:sz w:val="20"/>
                <w:shd w:val="clear" w:color="auto" w:fill="FFFFFF"/>
              </w:rPr>
            </w:pPr>
          </w:p>
          <w:p w14:paraId="60168709" w14:textId="77777777" w:rsidR="006B491D" w:rsidRPr="00361B9C" w:rsidRDefault="006B491D" w:rsidP="00A818C3">
            <w:pPr>
              <w:spacing w:line="240" w:lineRule="auto"/>
              <w:rPr>
                <w:sz w:val="20"/>
                <w:shd w:val="clear" w:color="auto" w:fill="FFFFFF"/>
              </w:rPr>
            </w:pPr>
          </w:p>
          <w:p w14:paraId="5B474DFE" w14:textId="77777777" w:rsidR="006B491D" w:rsidRPr="00361B9C" w:rsidRDefault="006B491D" w:rsidP="00A818C3">
            <w:pPr>
              <w:tabs>
                <w:tab w:val="left" w:pos="993"/>
              </w:tabs>
              <w:spacing w:line="240" w:lineRule="auto"/>
              <w:ind w:right="-1"/>
              <w:jc w:val="center"/>
              <w:rPr>
                <w:b/>
                <w:bCs/>
                <w:sz w:val="21"/>
                <w:szCs w:val="21"/>
              </w:rPr>
            </w:pPr>
            <w:r>
              <w:rPr>
                <w:b/>
                <w:bCs/>
                <w:lang w:val="es-ES"/>
              </w:rPr>
              <w:t>Sóstenes Díaz González</w:t>
            </w:r>
          </w:p>
          <w:p w14:paraId="5987EE6D" w14:textId="77777777" w:rsidR="006B491D" w:rsidRPr="00361B9C" w:rsidRDefault="006B491D" w:rsidP="00A818C3">
            <w:pPr>
              <w:spacing w:line="240" w:lineRule="auto"/>
              <w:jc w:val="center"/>
              <w:rPr>
                <w:sz w:val="20"/>
                <w:shd w:val="clear" w:color="auto" w:fill="FFFFFF"/>
              </w:rPr>
            </w:pPr>
            <w:r w:rsidRPr="00361B9C">
              <w:rPr>
                <w:b/>
                <w:bCs/>
                <w:sz w:val="21"/>
                <w:szCs w:val="21"/>
              </w:rPr>
              <w:t>Comisionado</w:t>
            </w:r>
          </w:p>
        </w:tc>
      </w:tr>
    </w:tbl>
    <w:p w14:paraId="5BF75960" w14:textId="77777777" w:rsidR="00C049FA" w:rsidRDefault="00C049FA" w:rsidP="006B491D"/>
    <w:sectPr w:rsidR="00C049F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8192" w14:textId="77777777" w:rsidR="00EA2878" w:rsidRDefault="00EA2878" w:rsidP="00AB644E">
      <w:r>
        <w:separator/>
      </w:r>
    </w:p>
  </w:endnote>
  <w:endnote w:type="continuationSeparator" w:id="0">
    <w:p w14:paraId="5A02EA4A" w14:textId="77777777" w:rsidR="00EA2878" w:rsidRDefault="00EA2878" w:rsidP="00AB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337263"/>
      <w:docPartObj>
        <w:docPartGallery w:val="Page Numbers (Bottom of Page)"/>
        <w:docPartUnique/>
      </w:docPartObj>
    </w:sdtPr>
    <w:sdtEndPr>
      <w:rPr>
        <w:b/>
      </w:rPr>
    </w:sdtEndPr>
    <w:sdtContent>
      <w:sdt>
        <w:sdtPr>
          <w:rPr>
            <w:sz w:val="20"/>
          </w:rPr>
          <w:id w:val="-1769616900"/>
          <w:docPartObj>
            <w:docPartGallery w:val="Page Numbers (Top of Page)"/>
            <w:docPartUnique/>
          </w:docPartObj>
        </w:sdtPr>
        <w:sdtEndPr>
          <w:rPr>
            <w:b/>
          </w:rPr>
        </w:sdtEndPr>
        <w:sdtContent>
          <w:p w14:paraId="0757957E" w14:textId="692D1519" w:rsidR="00C049FA" w:rsidRPr="00AB2830" w:rsidRDefault="00C049FA" w:rsidP="00AB644E">
            <w:pPr>
              <w:pStyle w:val="Piedepgina"/>
              <w:jc w:val="right"/>
              <w:rPr>
                <w:sz w:val="20"/>
              </w:rPr>
            </w:pPr>
            <w:r w:rsidRPr="00AB2830">
              <w:rPr>
                <w:sz w:val="20"/>
                <w:lang w:val="es-ES"/>
              </w:rPr>
              <w:t xml:space="preserve">Página </w:t>
            </w:r>
            <w:r w:rsidRPr="00AB2830">
              <w:rPr>
                <w:b/>
                <w:sz w:val="20"/>
              </w:rPr>
              <w:fldChar w:fldCharType="begin"/>
            </w:r>
            <w:r w:rsidRPr="00AB2830">
              <w:rPr>
                <w:b/>
                <w:sz w:val="20"/>
              </w:rPr>
              <w:instrText>PAGE</w:instrText>
            </w:r>
            <w:r w:rsidRPr="00AB2830">
              <w:rPr>
                <w:b/>
                <w:sz w:val="20"/>
              </w:rPr>
              <w:fldChar w:fldCharType="separate"/>
            </w:r>
            <w:r w:rsidR="006863A5">
              <w:rPr>
                <w:b/>
                <w:noProof/>
                <w:sz w:val="20"/>
              </w:rPr>
              <w:t>2</w:t>
            </w:r>
            <w:r w:rsidRPr="00AB2830">
              <w:rPr>
                <w:b/>
                <w:sz w:val="20"/>
              </w:rPr>
              <w:fldChar w:fldCharType="end"/>
            </w:r>
            <w:r w:rsidRPr="00AB2830">
              <w:rPr>
                <w:sz w:val="20"/>
                <w:lang w:val="es-ES"/>
              </w:rPr>
              <w:t xml:space="preserve"> de </w:t>
            </w:r>
            <w:r w:rsidRPr="00AB2830">
              <w:rPr>
                <w:b/>
                <w:sz w:val="20"/>
              </w:rPr>
              <w:fldChar w:fldCharType="begin"/>
            </w:r>
            <w:r w:rsidRPr="00AB2830">
              <w:rPr>
                <w:b/>
                <w:sz w:val="20"/>
              </w:rPr>
              <w:instrText>NUMPAGES</w:instrText>
            </w:r>
            <w:r w:rsidRPr="00AB2830">
              <w:rPr>
                <w:b/>
                <w:sz w:val="20"/>
              </w:rPr>
              <w:fldChar w:fldCharType="separate"/>
            </w:r>
            <w:r w:rsidR="006863A5">
              <w:rPr>
                <w:b/>
                <w:noProof/>
                <w:sz w:val="20"/>
              </w:rPr>
              <w:t>14</w:t>
            </w:r>
            <w:r w:rsidRPr="00AB2830">
              <w:rPr>
                <w:b/>
                <w:sz w:val="20"/>
              </w:rPr>
              <w:fldChar w:fldCharType="end"/>
            </w:r>
          </w:p>
        </w:sdtContent>
      </w:sdt>
    </w:sdtContent>
  </w:sdt>
  <w:p w14:paraId="460EAB9C" w14:textId="77777777" w:rsidR="00C049FA" w:rsidRDefault="00C049FA" w:rsidP="00AB6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FE8E1" w14:textId="77777777" w:rsidR="00EA2878" w:rsidRDefault="00EA2878" w:rsidP="00AB644E">
      <w:r>
        <w:separator/>
      </w:r>
    </w:p>
  </w:footnote>
  <w:footnote w:type="continuationSeparator" w:id="0">
    <w:p w14:paraId="3EAF108F" w14:textId="77777777" w:rsidR="00EA2878" w:rsidRDefault="00EA2878" w:rsidP="00AB6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EB5F" w14:textId="4FB9E394" w:rsidR="004A590B" w:rsidRDefault="004A59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27EC"/>
    <w:multiLevelType w:val="hybridMultilevel"/>
    <w:tmpl w:val="9FE6D6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497B36"/>
    <w:multiLevelType w:val="hybridMultilevel"/>
    <w:tmpl w:val="E826B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3A2558"/>
    <w:multiLevelType w:val="hybridMultilevel"/>
    <w:tmpl w:val="C5C4A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7B24FF"/>
    <w:multiLevelType w:val="hybridMultilevel"/>
    <w:tmpl w:val="5E92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9A1776"/>
    <w:multiLevelType w:val="hybridMultilevel"/>
    <w:tmpl w:val="68761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FA"/>
    <w:rsid w:val="0001495A"/>
    <w:rsid w:val="00021334"/>
    <w:rsid w:val="00067FB3"/>
    <w:rsid w:val="00073468"/>
    <w:rsid w:val="000A64F3"/>
    <w:rsid w:val="000A6791"/>
    <w:rsid w:val="000F30F7"/>
    <w:rsid w:val="000F57FD"/>
    <w:rsid w:val="0010114C"/>
    <w:rsid w:val="00126BA9"/>
    <w:rsid w:val="0014063E"/>
    <w:rsid w:val="0015369A"/>
    <w:rsid w:val="001661D9"/>
    <w:rsid w:val="00182CE5"/>
    <w:rsid w:val="001974C2"/>
    <w:rsid w:val="001A017B"/>
    <w:rsid w:val="001C3B49"/>
    <w:rsid w:val="001C4FBE"/>
    <w:rsid w:val="001D73B1"/>
    <w:rsid w:val="001E7E06"/>
    <w:rsid w:val="0022077A"/>
    <w:rsid w:val="002878CE"/>
    <w:rsid w:val="00297A53"/>
    <w:rsid w:val="002A43EE"/>
    <w:rsid w:val="002C45C2"/>
    <w:rsid w:val="002C64B6"/>
    <w:rsid w:val="002D3543"/>
    <w:rsid w:val="002D7C45"/>
    <w:rsid w:val="002F797D"/>
    <w:rsid w:val="00336182"/>
    <w:rsid w:val="003418DF"/>
    <w:rsid w:val="00352102"/>
    <w:rsid w:val="00394E9A"/>
    <w:rsid w:val="003966A9"/>
    <w:rsid w:val="003D774F"/>
    <w:rsid w:val="003E10C0"/>
    <w:rsid w:val="00434228"/>
    <w:rsid w:val="00474BC9"/>
    <w:rsid w:val="004A590B"/>
    <w:rsid w:val="004C48D3"/>
    <w:rsid w:val="004D770A"/>
    <w:rsid w:val="004F7CE9"/>
    <w:rsid w:val="00511142"/>
    <w:rsid w:val="005118A7"/>
    <w:rsid w:val="005F05A2"/>
    <w:rsid w:val="005F1EBC"/>
    <w:rsid w:val="005F2A6C"/>
    <w:rsid w:val="00611178"/>
    <w:rsid w:val="0068031F"/>
    <w:rsid w:val="006863A5"/>
    <w:rsid w:val="00691224"/>
    <w:rsid w:val="00695458"/>
    <w:rsid w:val="006B074B"/>
    <w:rsid w:val="006B235F"/>
    <w:rsid w:val="006B491D"/>
    <w:rsid w:val="006E32BC"/>
    <w:rsid w:val="006F7138"/>
    <w:rsid w:val="00751581"/>
    <w:rsid w:val="007F79D5"/>
    <w:rsid w:val="0081689D"/>
    <w:rsid w:val="00832FA8"/>
    <w:rsid w:val="008473A1"/>
    <w:rsid w:val="00853CC6"/>
    <w:rsid w:val="00890C49"/>
    <w:rsid w:val="008C7E05"/>
    <w:rsid w:val="009128F9"/>
    <w:rsid w:val="0097053B"/>
    <w:rsid w:val="009B1537"/>
    <w:rsid w:val="009F4A49"/>
    <w:rsid w:val="00A030E5"/>
    <w:rsid w:val="00A30060"/>
    <w:rsid w:val="00A36364"/>
    <w:rsid w:val="00A75A14"/>
    <w:rsid w:val="00A877A7"/>
    <w:rsid w:val="00AB2830"/>
    <w:rsid w:val="00AB644E"/>
    <w:rsid w:val="00AC6FC2"/>
    <w:rsid w:val="00B15CF4"/>
    <w:rsid w:val="00B16139"/>
    <w:rsid w:val="00BA7DAF"/>
    <w:rsid w:val="00BE3200"/>
    <w:rsid w:val="00C049FA"/>
    <w:rsid w:val="00C0560A"/>
    <w:rsid w:val="00C42C1E"/>
    <w:rsid w:val="00CC6013"/>
    <w:rsid w:val="00CD6CAC"/>
    <w:rsid w:val="00CF3047"/>
    <w:rsid w:val="00CF72A1"/>
    <w:rsid w:val="00D04682"/>
    <w:rsid w:val="00D50F67"/>
    <w:rsid w:val="00D90217"/>
    <w:rsid w:val="00D951DC"/>
    <w:rsid w:val="00DC643B"/>
    <w:rsid w:val="00E13F3B"/>
    <w:rsid w:val="00E53389"/>
    <w:rsid w:val="00E62B61"/>
    <w:rsid w:val="00E90A78"/>
    <w:rsid w:val="00EA2878"/>
    <w:rsid w:val="00EE29F1"/>
    <w:rsid w:val="00F33A66"/>
    <w:rsid w:val="00F54A0A"/>
    <w:rsid w:val="00F668F7"/>
    <w:rsid w:val="00F71BB5"/>
    <w:rsid w:val="00F8122A"/>
    <w:rsid w:val="00F838C4"/>
    <w:rsid w:val="00F92FC9"/>
    <w:rsid w:val="00FE2FA3"/>
    <w:rsid w:val="00FE57E7"/>
    <w:rsid w:val="00FF0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199A2"/>
  <w15:chartTrackingRefBased/>
  <w15:docId w15:val="{76552E96-D71B-4D61-BC99-8147E6C3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4E"/>
    <w:pPr>
      <w:spacing w:line="360" w:lineRule="auto"/>
      <w:jc w:val="both"/>
    </w:pPr>
    <w:rPr>
      <w:rFonts w:ascii="ITC Avant Garde" w:eastAsia="Times New Roman" w:hAnsi="ITC Avant Garde" w:cs="Calibri"/>
      <w:lang w:eastAsia="es-MX"/>
    </w:rPr>
  </w:style>
  <w:style w:type="paragraph" w:styleId="Ttulo1">
    <w:name w:val="heading 1"/>
    <w:basedOn w:val="Normal"/>
    <w:next w:val="Normal"/>
    <w:link w:val="Ttulo1Car"/>
    <w:uiPriority w:val="9"/>
    <w:qFormat/>
    <w:rsid w:val="00C049FA"/>
    <w:pPr>
      <w:keepNext/>
      <w:keepLines/>
      <w:spacing w:before="360" w:after="120"/>
      <w:jc w:val="center"/>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C049FA"/>
    <w:pPr>
      <w:spacing w:line="240" w:lineRule="auto"/>
    </w:pPr>
    <w:rPr>
      <w:rFonts w:ascii="Calibri" w:hAnsi="Calibri"/>
      <w:sz w:val="20"/>
      <w:szCs w:val="20"/>
    </w:rPr>
  </w:style>
  <w:style w:type="character" w:customStyle="1" w:styleId="TextocomentarioCar">
    <w:name w:val="Texto comentario Car"/>
    <w:basedOn w:val="Fuentedeprrafopredeter"/>
    <w:link w:val="Textocomentario"/>
    <w:rsid w:val="00C049FA"/>
    <w:rPr>
      <w:rFonts w:ascii="Calibri" w:eastAsia="Times New Roman" w:hAnsi="Calibri" w:cs="Calibri"/>
      <w:sz w:val="20"/>
      <w:szCs w:val="20"/>
      <w:lang w:eastAsia="es-MX"/>
    </w:rPr>
  </w:style>
  <w:style w:type="character" w:styleId="Refdecomentario">
    <w:name w:val="annotation reference"/>
    <w:basedOn w:val="Fuentedeprrafopredeter"/>
    <w:uiPriority w:val="99"/>
    <w:semiHidden/>
    <w:unhideWhenUsed/>
    <w:rsid w:val="00C049FA"/>
    <w:rPr>
      <w:sz w:val="16"/>
      <w:szCs w:val="16"/>
    </w:rPr>
  </w:style>
  <w:style w:type="character" w:styleId="Hipervnculo">
    <w:name w:val="Hyperlink"/>
    <w:basedOn w:val="Fuentedeprrafopredeter"/>
    <w:uiPriority w:val="99"/>
    <w:unhideWhenUsed/>
    <w:rsid w:val="00C049FA"/>
    <w:rPr>
      <w:color w:val="0563C1" w:themeColor="hyperlink"/>
      <w:u w:val="single"/>
    </w:rPr>
  </w:style>
  <w:style w:type="character" w:customStyle="1" w:styleId="Ttulo1Car">
    <w:name w:val="Título 1 Car"/>
    <w:basedOn w:val="Fuentedeprrafopredeter"/>
    <w:link w:val="Ttulo1"/>
    <w:uiPriority w:val="9"/>
    <w:rsid w:val="00C049FA"/>
    <w:rPr>
      <w:rFonts w:ascii="ITC Avant Garde" w:eastAsiaTheme="majorEastAsia" w:hAnsi="ITC Avant Garde" w:cstheme="majorBidi"/>
      <w:b/>
      <w:szCs w:val="32"/>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C049FA"/>
    <w:pPr>
      <w:spacing w:line="259" w:lineRule="atLeast"/>
      <w:ind w:left="720"/>
    </w:pPr>
    <w:rPr>
      <w:rFonts w:ascii="Calibri" w:hAnsi="Calibri"/>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C049FA"/>
    <w:rPr>
      <w:rFonts w:ascii="Calibri" w:eastAsia="Times New Roman" w:hAnsi="Calibri" w:cs="Calibri"/>
      <w:szCs w:val="20"/>
      <w:lang w:eastAsia="es-MX"/>
    </w:rPr>
  </w:style>
  <w:style w:type="table" w:customStyle="1" w:styleId="Tablaconcuadrcula1">
    <w:name w:val="Tabla con cuadrícula1"/>
    <w:basedOn w:val="Tablanormal"/>
    <w:next w:val="Tablaconcuadrcula"/>
    <w:uiPriority w:val="59"/>
    <w:rsid w:val="00C049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0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04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49FA"/>
    <w:rPr>
      <w:rFonts w:ascii="ITC Avant Garde" w:hAnsi="ITC Avant Garde"/>
    </w:rPr>
  </w:style>
  <w:style w:type="paragraph" w:styleId="Piedepgina">
    <w:name w:val="footer"/>
    <w:basedOn w:val="Normal"/>
    <w:link w:val="PiedepginaCar"/>
    <w:uiPriority w:val="99"/>
    <w:unhideWhenUsed/>
    <w:rsid w:val="00C04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49FA"/>
    <w:rPr>
      <w:rFonts w:ascii="ITC Avant Garde" w:hAnsi="ITC Avant Garde"/>
    </w:rPr>
  </w:style>
  <w:style w:type="paragraph" w:styleId="Textodeglobo">
    <w:name w:val="Balloon Text"/>
    <w:basedOn w:val="Normal"/>
    <w:link w:val="TextodegloboCar"/>
    <w:uiPriority w:val="99"/>
    <w:semiHidden/>
    <w:unhideWhenUsed/>
    <w:rsid w:val="00C049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9FA"/>
    <w:rPr>
      <w:rFonts w:ascii="Segoe UI" w:hAnsi="Segoe UI" w:cs="Segoe UI"/>
      <w:sz w:val="18"/>
      <w:szCs w:val="18"/>
    </w:rPr>
  </w:style>
  <w:style w:type="paragraph" w:styleId="TDC3">
    <w:name w:val="toc 3"/>
    <w:basedOn w:val="TDC2"/>
    <w:next w:val="Normal"/>
    <w:autoRedefine/>
    <w:uiPriority w:val="39"/>
    <w:unhideWhenUsed/>
    <w:rsid w:val="006B491D"/>
    <w:pPr>
      <w:spacing w:after="0" w:line="276" w:lineRule="auto"/>
      <w:ind w:left="0"/>
      <w:jc w:val="center"/>
    </w:pPr>
    <w:rPr>
      <w:rFonts w:ascii="Times New Roman" w:eastAsia="Calibri" w:hAnsi="Times New Roman" w:cs="Times New Roman"/>
      <w:noProof/>
      <w:sz w:val="20"/>
      <w:lang w:val="es-ES" w:eastAsia="en-US"/>
    </w:rPr>
  </w:style>
  <w:style w:type="paragraph" w:styleId="TDC2">
    <w:name w:val="toc 2"/>
    <w:basedOn w:val="Normal"/>
    <w:next w:val="Normal"/>
    <w:autoRedefine/>
    <w:uiPriority w:val="39"/>
    <w:semiHidden/>
    <w:unhideWhenUsed/>
    <w:rsid w:val="006B491D"/>
    <w:pPr>
      <w:spacing w:after="100"/>
      <w:ind w:left="220"/>
    </w:pPr>
  </w:style>
  <w:style w:type="paragraph" w:styleId="Asuntodelcomentario">
    <w:name w:val="annotation subject"/>
    <w:basedOn w:val="Textocomentario"/>
    <w:next w:val="Textocomentario"/>
    <w:link w:val="AsuntodelcomentarioCar"/>
    <w:uiPriority w:val="99"/>
    <w:semiHidden/>
    <w:unhideWhenUsed/>
    <w:rsid w:val="00067FB3"/>
    <w:rPr>
      <w:rFonts w:ascii="ITC Avant Garde" w:hAnsi="ITC Avant Garde"/>
      <w:b/>
      <w:bCs/>
    </w:rPr>
  </w:style>
  <w:style w:type="character" w:customStyle="1" w:styleId="AsuntodelcomentarioCar">
    <w:name w:val="Asunto del comentario Car"/>
    <w:basedOn w:val="TextocomentarioCar"/>
    <w:link w:val="Asuntodelcomentario"/>
    <w:uiPriority w:val="99"/>
    <w:semiHidden/>
    <w:rsid w:val="00067FB3"/>
    <w:rPr>
      <w:rFonts w:ascii="ITC Avant Garde" w:eastAsia="Times New Roman" w:hAnsi="ITC Avant Garde" w:cs="Calibri"/>
      <w:b/>
      <w:bCs/>
      <w:sz w:val="20"/>
      <w:szCs w:val="20"/>
      <w:lang w:eastAsia="es-MX"/>
    </w:rPr>
  </w:style>
  <w:style w:type="paragraph" w:styleId="Revisin">
    <w:name w:val="Revision"/>
    <w:hidden/>
    <w:uiPriority w:val="99"/>
    <w:semiHidden/>
    <w:rsid w:val="00E13F3B"/>
    <w:pPr>
      <w:spacing w:after="0" w:line="240" w:lineRule="auto"/>
    </w:pPr>
    <w:rPr>
      <w:rFonts w:ascii="ITC Avant Garde" w:eastAsia="Times New Roman" w:hAnsi="ITC Avant Garde"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6074">
      <w:bodyDiv w:val="1"/>
      <w:marLeft w:val="0"/>
      <w:marRight w:val="0"/>
      <w:marTop w:val="0"/>
      <w:marBottom w:val="0"/>
      <w:divBdr>
        <w:top w:val="none" w:sz="0" w:space="0" w:color="auto"/>
        <w:left w:val="none" w:sz="0" w:space="0" w:color="auto"/>
        <w:bottom w:val="none" w:sz="0" w:space="0" w:color="auto"/>
        <w:right w:val="none" w:sz="0" w:space="0" w:color="auto"/>
      </w:divBdr>
      <w:divsChild>
        <w:div w:id="119106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0A664D5-95F9-422B-9E63-AEA2587E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4393</Words>
  <Characters>22892</Characters>
  <Application>Microsoft Office Word</Application>
  <DocSecurity>0</DocSecurity>
  <Lines>693</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Alexis Pina Vega</cp:lastModifiedBy>
  <cp:revision>2</cp:revision>
  <dcterms:created xsi:type="dcterms:W3CDTF">2018-10-22T17:34:00Z</dcterms:created>
  <dcterms:modified xsi:type="dcterms:W3CDTF">2018-10-22T17:34:00Z</dcterms:modified>
</cp:coreProperties>
</file>