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A2" w:rsidRPr="00370665" w:rsidRDefault="00C35169" w:rsidP="00461C4A">
      <w:pPr>
        <w:spacing w:after="0" w:line="276" w:lineRule="auto"/>
        <w:ind w:right="-57"/>
        <w:jc w:val="both"/>
        <w:rPr>
          <w:rFonts w:ascii="ITC Avant Garde" w:hAnsi="ITC Avant Garde"/>
          <w:b/>
        </w:rPr>
      </w:pPr>
      <w:r w:rsidRPr="00370665">
        <w:rPr>
          <w:rFonts w:ascii="ITC Avant Garde" w:hAnsi="ITC Avant Garde" w:cs="Tahoma"/>
          <w:b/>
          <w:bCs/>
        </w:rPr>
        <w:t xml:space="preserve">ACUERDO MEDIANTE EL CUAL EL PLENO DEL INSTITUTO FEDERAL DE TELECOMUNICACIONES DETERMINA SOMETER A CONSULTA PÚBLICA EL </w:t>
      </w:r>
      <w:r w:rsidR="007A45DD">
        <w:rPr>
          <w:rFonts w:ascii="ITC Avant Garde" w:hAnsi="ITC Avant Garde" w:cs="Tahoma"/>
          <w:b/>
          <w:bCs/>
        </w:rPr>
        <w:t>“</w:t>
      </w:r>
      <w:r w:rsidR="00461C4A" w:rsidRPr="00370665">
        <w:rPr>
          <w:rFonts w:ascii="ITC Avant Garde" w:hAnsi="ITC Avant Garde" w:cs="Tahoma"/>
          <w:b/>
          <w:bCs/>
        </w:rPr>
        <w:t>ANTEPROYECTO DE LINEAMIENTOS QUE FIJAN LOS ÍNDICES Y PARÁMETROS DE CALIDAD A QUE DEBERÁN SUJETARSE LOS PRESTADORES DEL SERVICIO FIJO</w:t>
      </w:r>
      <w:r w:rsidR="007A45DD">
        <w:rPr>
          <w:rFonts w:ascii="ITC Avant Garde" w:hAnsi="ITC Avant Garde" w:cs="Tahoma"/>
          <w:b/>
          <w:bCs/>
        </w:rPr>
        <w:t>”</w:t>
      </w:r>
    </w:p>
    <w:p w:rsidR="00C35169" w:rsidRPr="00370665" w:rsidRDefault="00C35169" w:rsidP="00461C4A">
      <w:pPr>
        <w:spacing w:after="0" w:line="276" w:lineRule="auto"/>
        <w:ind w:right="-57"/>
        <w:jc w:val="both"/>
        <w:rPr>
          <w:rFonts w:ascii="ITC Avant Garde" w:hAnsi="ITC Avant Garde"/>
          <w:b/>
          <w:color w:val="000000"/>
        </w:rPr>
      </w:pPr>
    </w:p>
    <w:p w:rsidR="00C35169" w:rsidRPr="00370665" w:rsidRDefault="00C35169" w:rsidP="00461C4A">
      <w:pPr>
        <w:spacing w:after="0" w:line="276" w:lineRule="auto"/>
        <w:ind w:right="-58"/>
        <w:jc w:val="both"/>
        <w:rPr>
          <w:rFonts w:ascii="ITC Avant Garde" w:hAnsi="ITC Avant Garde"/>
          <w:b/>
          <w:color w:val="000000"/>
        </w:rPr>
      </w:pPr>
    </w:p>
    <w:p w:rsidR="00C35169" w:rsidRPr="00370665" w:rsidRDefault="00C35169" w:rsidP="00461C4A">
      <w:pPr>
        <w:pStyle w:val="Default"/>
        <w:spacing w:line="276" w:lineRule="auto"/>
        <w:jc w:val="center"/>
        <w:rPr>
          <w:rFonts w:ascii="ITC Avant Garde" w:hAnsi="ITC Avant Garde"/>
          <w:b/>
          <w:bCs/>
          <w:sz w:val="22"/>
          <w:szCs w:val="22"/>
          <w:lang w:val="es-ES_tradnl"/>
        </w:rPr>
      </w:pPr>
      <w:r w:rsidRPr="00370665">
        <w:rPr>
          <w:rFonts w:ascii="ITC Avant Garde" w:hAnsi="ITC Avant Garde"/>
          <w:b/>
          <w:bCs/>
          <w:sz w:val="22"/>
          <w:szCs w:val="22"/>
          <w:lang w:val="es-ES_tradnl"/>
        </w:rPr>
        <w:t>ANTECEDENTES</w:t>
      </w:r>
    </w:p>
    <w:p w:rsidR="00C35169" w:rsidRPr="00370665" w:rsidRDefault="00C35169" w:rsidP="00461C4A">
      <w:pPr>
        <w:pStyle w:val="Default"/>
        <w:spacing w:line="276" w:lineRule="auto"/>
        <w:jc w:val="both"/>
        <w:rPr>
          <w:rFonts w:ascii="ITC Avant Garde" w:hAnsi="ITC Avant Garde"/>
          <w:b/>
          <w:bCs/>
          <w:sz w:val="22"/>
          <w:szCs w:val="22"/>
          <w:lang w:val="es-ES_tradnl"/>
        </w:rPr>
      </w:pPr>
    </w:p>
    <w:p w:rsidR="00010436" w:rsidRPr="00370665" w:rsidRDefault="00010436" w:rsidP="00010436">
      <w:pPr>
        <w:pStyle w:val="Prrafodelista"/>
        <w:numPr>
          <w:ilvl w:val="0"/>
          <w:numId w:val="4"/>
        </w:numPr>
        <w:spacing w:after="0" w:line="276" w:lineRule="auto"/>
        <w:jc w:val="both"/>
        <w:rPr>
          <w:rFonts w:ascii="ITC Avant Garde" w:hAnsi="ITC Avant Garde"/>
        </w:rPr>
      </w:pPr>
      <w:r w:rsidRPr="00010436">
        <w:rPr>
          <w:rFonts w:ascii="ITC Avant Garde" w:hAnsi="ITC Avant Garde"/>
        </w:rPr>
        <w:t xml:space="preserve">El 11 de junio de 2013, se publicó en el </w:t>
      </w:r>
      <w:r w:rsidR="00C6129F">
        <w:rPr>
          <w:rFonts w:ascii="ITC Avant Garde" w:hAnsi="ITC Avant Garde"/>
        </w:rPr>
        <w:t>Diario Oficial de la Federación (en lo sucesivo, el “DOF”)</w:t>
      </w:r>
      <w:r w:rsidRPr="00010436">
        <w:rPr>
          <w:rFonts w:ascii="ITC Avant Garde" w:hAnsi="ITC Avant Garde"/>
        </w:rPr>
        <w:t xml:space="preserve"> el "Decreto por el que se reforman y adicionan diversas disposiciones de los artículos 6o., 7o., 27, 28, 73, 78, 94 y 105 de la Constitución Política de los Estados Unidos Mexicanos, en materia de telecomunicaciones" (en lo sucesivo, el "Decreto de Reforma Constitucional"), mediante el cual se creó al Instituto Federal de Telecomunicaciones (en lo sucesivo, el "Instituto") como un órgano autónomo con personalidad jurídica y patrimonio propio,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rsidR="00B93EB1" w:rsidRPr="00370665" w:rsidRDefault="00B93EB1" w:rsidP="00370665">
      <w:pPr>
        <w:pStyle w:val="Prrafodelista"/>
        <w:rPr>
          <w:rFonts w:ascii="ITC Avant Garde" w:hAnsi="ITC Avant Garde"/>
        </w:rPr>
      </w:pPr>
    </w:p>
    <w:p w:rsidR="00776683" w:rsidRPr="00370665" w:rsidRDefault="00776683" w:rsidP="00461C4A">
      <w:pPr>
        <w:pStyle w:val="Prrafodelista"/>
        <w:numPr>
          <w:ilvl w:val="0"/>
          <w:numId w:val="4"/>
        </w:numPr>
        <w:spacing w:after="0" w:line="276" w:lineRule="auto"/>
        <w:jc w:val="both"/>
        <w:rPr>
          <w:rFonts w:ascii="ITC Avant Garde" w:hAnsi="ITC Avant Garde"/>
        </w:rPr>
      </w:pPr>
      <w:r w:rsidRPr="00776683">
        <w:rPr>
          <w:rFonts w:ascii="ITC Avant Garde" w:hAnsi="ITC Avant Garde"/>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LFTR"), mismo que entró en vigor a los treinta días naturales siguientes a su publicación, es decir, el 13 de agosto de 2014.</w:t>
      </w:r>
    </w:p>
    <w:p w:rsidR="00A9052D" w:rsidRPr="00370665" w:rsidRDefault="00A9052D" w:rsidP="00461C4A">
      <w:pPr>
        <w:pStyle w:val="Prrafodelista"/>
        <w:spacing w:line="276" w:lineRule="auto"/>
        <w:rPr>
          <w:rFonts w:ascii="ITC Avant Garde" w:hAnsi="ITC Avant Garde"/>
        </w:rPr>
      </w:pPr>
    </w:p>
    <w:p w:rsidR="00776683" w:rsidRPr="00370665" w:rsidRDefault="00776683" w:rsidP="00461C4A">
      <w:pPr>
        <w:pStyle w:val="Prrafodelista"/>
        <w:numPr>
          <w:ilvl w:val="0"/>
          <w:numId w:val="4"/>
        </w:numPr>
        <w:spacing w:after="0" w:line="276" w:lineRule="auto"/>
        <w:jc w:val="both"/>
        <w:rPr>
          <w:rFonts w:ascii="ITC Avant Garde" w:hAnsi="ITC Avant Garde"/>
        </w:rPr>
      </w:pPr>
      <w:r w:rsidRPr="00776683">
        <w:rPr>
          <w:rFonts w:ascii="ITC Avant Garde" w:hAnsi="ITC Avant Garde"/>
        </w:rPr>
        <w:t>El 4 de septiembre de 2014, se publicó en el DOF el Estatuto Orgánico del Instituto Federal de Telecomunicaciones (en lo sucesivo, el "Estatuto"), mismo que entró en vigor el 26 de septiembre de 2014; el 20 de julio de 2017 se publicó en el citado medio de difusión oficial su última modificación.</w:t>
      </w:r>
    </w:p>
    <w:p w:rsidR="00DA6CFA" w:rsidRPr="00370665" w:rsidRDefault="00DA6CFA" w:rsidP="00461C4A">
      <w:pPr>
        <w:spacing w:after="0" w:line="276" w:lineRule="auto"/>
        <w:jc w:val="both"/>
        <w:rPr>
          <w:rFonts w:ascii="ITC Avant Garde" w:hAnsi="ITC Avant Garde"/>
        </w:rPr>
      </w:pPr>
    </w:p>
    <w:p w:rsidR="00184B48" w:rsidRPr="00370665" w:rsidRDefault="00184B48" w:rsidP="00461C4A">
      <w:pPr>
        <w:spacing w:after="0" w:line="276" w:lineRule="auto"/>
        <w:jc w:val="both"/>
        <w:rPr>
          <w:rFonts w:ascii="ITC Avant Garde" w:hAnsi="ITC Avant Garde"/>
        </w:rPr>
      </w:pPr>
    </w:p>
    <w:p w:rsidR="00C35169" w:rsidRPr="00370665" w:rsidRDefault="00776683" w:rsidP="00461C4A">
      <w:pPr>
        <w:pStyle w:val="Default"/>
        <w:tabs>
          <w:tab w:val="left" w:pos="0"/>
        </w:tabs>
        <w:spacing w:line="276" w:lineRule="auto"/>
        <w:jc w:val="center"/>
        <w:rPr>
          <w:rFonts w:ascii="ITC Avant Garde" w:hAnsi="ITC Avant Garde"/>
          <w:b/>
          <w:bCs/>
          <w:sz w:val="22"/>
          <w:szCs w:val="22"/>
        </w:rPr>
      </w:pPr>
      <w:r>
        <w:rPr>
          <w:rFonts w:ascii="ITC Avant Garde" w:hAnsi="ITC Avant Garde"/>
          <w:b/>
          <w:bCs/>
          <w:sz w:val="22"/>
          <w:szCs w:val="22"/>
        </w:rPr>
        <w:t>CONSIDERANDO</w:t>
      </w:r>
    </w:p>
    <w:p w:rsidR="001B640E" w:rsidRDefault="001B640E" w:rsidP="00461C4A">
      <w:pPr>
        <w:spacing w:after="0" w:line="276" w:lineRule="auto"/>
        <w:jc w:val="both"/>
        <w:rPr>
          <w:rFonts w:ascii="ITC Avant Garde" w:hAnsi="ITC Avant Garde"/>
        </w:rPr>
      </w:pPr>
      <w:r w:rsidRPr="00370665">
        <w:rPr>
          <w:rFonts w:ascii="ITC Avant Garde" w:hAnsi="ITC Avant Garde"/>
        </w:rPr>
        <w:t xml:space="preserve">  </w:t>
      </w:r>
    </w:p>
    <w:p w:rsidR="00776683" w:rsidRPr="00776683" w:rsidRDefault="00776683" w:rsidP="00776683">
      <w:pPr>
        <w:spacing w:after="0" w:line="276" w:lineRule="auto"/>
        <w:jc w:val="both"/>
        <w:rPr>
          <w:rFonts w:ascii="ITC Avant Garde" w:hAnsi="ITC Avant Garde"/>
        </w:rPr>
      </w:pPr>
      <w:r w:rsidRPr="00776683">
        <w:rPr>
          <w:rFonts w:ascii="ITC Avant Garde" w:hAnsi="ITC Avant Garde"/>
          <w:b/>
        </w:rPr>
        <w:t>PRIMERO.- Competencia del Instituto.-</w:t>
      </w:r>
      <w:r w:rsidRPr="00776683">
        <w:rPr>
          <w:rFonts w:ascii="ITC Avant Garde" w:hAnsi="ITC Avant Garde"/>
        </w:rPr>
        <w:t xml:space="preserve"> Que de conformidad con lo establecido en los párrafos décimo quinto y vigésimo, fracción IV, del artículo 28 de la Constitución Política de los Estados Unidos Mexicanos, el Instituto tiene por </w:t>
      </w:r>
      <w:r w:rsidRPr="00776683">
        <w:rPr>
          <w:rFonts w:ascii="ITC Avant Garde" w:hAnsi="ITC Avant Garde"/>
        </w:rPr>
        <w:lastRenderedPageBreak/>
        <w:t>objeto el desarrollo eficiente de la radiodifusión y las telecomunicaciones, conforme a lo dispuesto en la propia Constitución y en los términos que fijen las leyes.</w:t>
      </w:r>
    </w:p>
    <w:p w:rsidR="001B640E" w:rsidRDefault="001B640E" w:rsidP="00370665">
      <w:pPr>
        <w:spacing w:after="0" w:line="276" w:lineRule="auto"/>
        <w:jc w:val="both"/>
        <w:rPr>
          <w:rFonts w:ascii="ITC Avant Garde" w:hAnsi="ITC Avant Garde"/>
        </w:rPr>
      </w:pPr>
    </w:p>
    <w:p w:rsidR="00776683" w:rsidRDefault="00776683" w:rsidP="00776683">
      <w:pPr>
        <w:spacing w:after="0" w:line="276" w:lineRule="auto"/>
        <w:jc w:val="both"/>
        <w:rPr>
          <w:rFonts w:ascii="ITC Avant Garde" w:hAnsi="ITC Avant Garde"/>
        </w:rPr>
      </w:pPr>
      <w:r w:rsidRPr="00776683">
        <w:rPr>
          <w:rFonts w:ascii="ITC Avant Garde" w:hAnsi="ITC Avant Garde"/>
        </w:rPr>
        <w:t>Para tal efecto, en términos del precepto constitucional invocado así como de los artículos 1 y 7 de la Ley Federal de Telecomunicaciones y Radiodifusión (en lo sucesivo,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rsidR="00776683" w:rsidRDefault="00776683" w:rsidP="00370665">
      <w:pPr>
        <w:spacing w:after="0" w:line="276" w:lineRule="auto"/>
        <w:jc w:val="both"/>
        <w:rPr>
          <w:rFonts w:ascii="ITC Avant Garde" w:hAnsi="ITC Avant Garde"/>
        </w:rPr>
      </w:pPr>
    </w:p>
    <w:p w:rsidR="00776683" w:rsidRDefault="00776683" w:rsidP="00776683">
      <w:pPr>
        <w:spacing w:after="0" w:line="276" w:lineRule="auto"/>
        <w:jc w:val="both"/>
        <w:rPr>
          <w:rFonts w:ascii="ITC Avant Garde" w:hAnsi="ITC Avant Garde"/>
        </w:rPr>
      </w:pPr>
      <w:r w:rsidRPr="00776683">
        <w:rPr>
          <w:rFonts w:ascii="ITC Avant Garde" w:hAnsi="ITC Avant Garde"/>
        </w:rPr>
        <w:t>Por otra parte, el artículo 6o. Constitucional, en su apartado B, fracción II, señala que las telecomunicaciones son servicios públicos de interés general, por lo que el Estado garantizará que sean prestados en condiciones de competencia, calidad, pluralidad, cobertura universal, interconexión, convergencia, continuidad, acceso libre y sin injerencias arbitrarias. 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rsidR="00461C4A" w:rsidRDefault="00461C4A" w:rsidP="00461C4A">
      <w:pPr>
        <w:spacing w:after="0" w:line="276" w:lineRule="auto"/>
        <w:jc w:val="both"/>
        <w:rPr>
          <w:rFonts w:ascii="ITC Avant Garde" w:hAnsi="ITC Avant Garde"/>
        </w:rPr>
      </w:pPr>
    </w:p>
    <w:p w:rsidR="00D7045E" w:rsidRPr="00370665" w:rsidRDefault="00776683" w:rsidP="00D7045E">
      <w:pPr>
        <w:spacing w:after="0" w:line="276" w:lineRule="auto"/>
        <w:jc w:val="both"/>
        <w:rPr>
          <w:rFonts w:ascii="ITC Avant Garde" w:hAnsi="ITC Avant Garde"/>
        </w:rPr>
      </w:pPr>
      <w:r w:rsidRPr="00776683">
        <w:rPr>
          <w:rFonts w:ascii="ITC Avant Garde" w:hAnsi="ITC Avant Garde"/>
        </w:rPr>
        <w:t>Asimismo, el Instituto a través de su Órgano de Gobierno,</w:t>
      </w:r>
      <w:r w:rsidR="00E22616">
        <w:rPr>
          <w:rFonts w:ascii="ITC Avant Garde" w:hAnsi="ITC Avant Garde"/>
        </w:rPr>
        <w:t xml:space="preserve"> en términos del artículo 15, fracción I,</w:t>
      </w:r>
      <w:r w:rsidRPr="00776683">
        <w:rPr>
          <w:rFonts w:ascii="ITC Avant Garde" w:hAnsi="ITC Avant Garde"/>
        </w:rPr>
        <w:t xml:space="preserve"> resulta competente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w:t>
      </w:r>
      <w:r w:rsidR="00D7045E">
        <w:rPr>
          <w:rFonts w:ascii="ITC Avant Garde" w:hAnsi="ITC Avant Garde"/>
        </w:rPr>
        <w:t xml:space="preserve"> los sectores de su competencia</w:t>
      </w:r>
      <w:r w:rsidR="00D7045E" w:rsidRPr="00370665">
        <w:rPr>
          <w:rFonts w:ascii="ITC Avant Garde" w:hAnsi="ITC Avant Garde"/>
        </w:rPr>
        <w:t>, para ello deberá realizar consultas públicas bajo los principios de transparencia y participación ciudadana, en los términos que determine el Pleno</w:t>
      </w:r>
      <w:r w:rsidR="00D7045E">
        <w:rPr>
          <w:rFonts w:ascii="ITC Avant Garde" w:hAnsi="ITC Avant Garde"/>
        </w:rPr>
        <w:t xml:space="preserve"> del Instituto</w:t>
      </w:r>
      <w:r w:rsidR="00D7045E" w:rsidRPr="00370665">
        <w:rPr>
          <w:rFonts w:ascii="ITC Avant Garde" w:hAnsi="ITC Avant Garde"/>
        </w:rPr>
        <w:t xml:space="preserve">. </w:t>
      </w:r>
    </w:p>
    <w:p w:rsidR="00776683" w:rsidRDefault="00776683" w:rsidP="00776683">
      <w:pPr>
        <w:spacing w:after="0" w:line="276" w:lineRule="auto"/>
        <w:jc w:val="both"/>
        <w:rPr>
          <w:rFonts w:ascii="ITC Avant Garde" w:hAnsi="ITC Avant Garde"/>
        </w:rPr>
      </w:pPr>
    </w:p>
    <w:p w:rsidR="00D7045E" w:rsidRPr="00776683" w:rsidRDefault="00D7045E" w:rsidP="00D7045E">
      <w:pPr>
        <w:spacing w:after="0" w:line="276" w:lineRule="auto"/>
        <w:jc w:val="both"/>
        <w:rPr>
          <w:rFonts w:ascii="ITC Avant Garde" w:hAnsi="ITC Avant Garde"/>
        </w:rPr>
      </w:pPr>
      <w:r w:rsidRPr="00776683">
        <w:rPr>
          <w:rFonts w:ascii="ITC Avant Garde" w:hAnsi="ITC Avant Garde"/>
        </w:rPr>
        <w:t xml:space="preserve">Ahora bien, la LFTR define en el artículo 3 fracción VII calidad como la totalidad de las características de un servicio de telecomunicaciones y radiodifusión que determinan su capacidad para satisfacer las necesidades explícitas e implícitas del usuario del servicio, cuyos parámetros serán definidos y actualizados regularmente por el Instituto y en el artículo 15 fracción XLVII se establece como una de las atribuciones del Instituto, fijar los índices de calidad por servicio a que deberán sujetarse los prestadores de los servicios de </w:t>
      </w:r>
      <w:r w:rsidRPr="00776683">
        <w:rPr>
          <w:rFonts w:ascii="ITC Avant Garde" w:hAnsi="ITC Avant Garde"/>
        </w:rPr>
        <w:lastRenderedPageBreak/>
        <w:t>telecomunicaciones y radiodifusión, así como publicar trimestralmente los resultados de las verificaciones relativas a dichos índices; en ese sentido, también es importante resaltar que dentro de los derechos de los usuarios está el que se le provean servicios de telecomunicaciones conforme a los parámetros de calidad establecidos por el Instituto.</w:t>
      </w:r>
    </w:p>
    <w:p w:rsidR="00776683" w:rsidRPr="00370665" w:rsidRDefault="00776683" w:rsidP="00461C4A">
      <w:pPr>
        <w:spacing w:after="0" w:line="276" w:lineRule="auto"/>
        <w:jc w:val="both"/>
        <w:rPr>
          <w:rFonts w:ascii="ITC Avant Garde" w:hAnsi="ITC Avant Garde"/>
        </w:rPr>
      </w:pPr>
    </w:p>
    <w:p w:rsidR="00776683" w:rsidRDefault="00234B4E" w:rsidP="002C0B35">
      <w:pPr>
        <w:spacing w:after="0" w:line="276" w:lineRule="auto"/>
        <w:jc w:val="both"/>
        <w:rPr>
          <w:rFonts w:ascii="ITC Avant Garde" w:hAnsi="ITC Avant Garde"/>
        </w:rPr>
      </w:pPr>
      <w:r w:rsidRPr="00370665">
        <w:rPr>
          <w:rFonts w:ascii="ITC Avant Garde" w:hAnsi="ITC Avant Garde"/>
        </w:rPr>
        <w:t xml:space="preserve">Por lo anterior, </w:t>
      </w:r>
      <w:r w:rsidR="001B640E" w:rsidRPr="00370665">
        <w:rPr>
          <w:rFonts w:ascii="ITC Avant Garde" w:hAnsi="ITC Avant Garde"/>
        </w:rPr>
        <w:t xml:space="preserve">el Instituto </w:t>
      </w:r>
      <w:r w:rsidRPr="00370665">
        <w:rPr>
          <w:rFonts w:ascii="ITC Avant Garde" w:hAnsi="ITC Avant Garde"/>
        </w:rPr>
        <w:t xml:space="preserve">siendo la autoridad en materia de lineamientos relativos a la calidad de los servicios de telecomunicaciones, </w:t>
      </w:r>
      <w:r w:rsidR="001B640E" w:rsidRPr="00370665">
        <w:rPr>
          <w:rFonts w:ascii="ITC Avant Garde" w:hAnsi="ITC Avant Garde"/>
        </w:rPr>
        <w:t xml:space="preserve">resulta competente para emitir el presente Acuerdo y realizar una consulta pública del “ANTEPROYECTO DE LINEAMIENTOS QUE FIJAN LOS ÍNDICES Y PARÁMETROS DE CALIDAD A QUE DEBERÁN SUJETARSE LOS PRESTADORES DEL SERVICIO FIJO” (en lo sucesivo, el “Anteproyecto”), conforme las </w:t>
      </w:r>
      <w:r w:rsidR="001B640E" w:rsidRPr="00D7045E">
        <w:rPr>
          <w:rFonts w:ascii="ITC Avant Garde" w:hAnsi="ITC Avant Garde"/>
        </w:rPr>
        <w:t>atribuciones conferidas en los artículos 15, fracciones I y XLVII, y 51 de la LFTR.</w:t>
      </w:r>
    </w:p>
    <w:p w:rsidR="00776683" w:rsidRDefault="00776683" w:rsidP="002C0B35">
      <w:pPr>
        <w:spacing w:after="0" w:line="276" w:lineRule="auto"/>
        <w:jc w:val="both"/>
        <w:rPr>
          <w:rFonts w:ascii="ITC Avant Garde" w:hAnsi="ITC Avant Garde"/>
        </w:rPr>
      </w:pPr>
    </w:p>
    <w:p w:rsidR="00573E89" w:rsidRPr="00370665" w:rsidRDefault="000C1949" w:rsidP="002C0B35">
      <w:pPr>
        <w:spacing w:after="0" w:line="276" w:lineRule="auto"/>
        <w:jc w:val="both"/>
        <w:rPr>
          <w:rFonts w:ascii="ITC Avant Garde" w:hAnsi="ITC Avant Garde"/>
        </w:rPr>
      </w:pPr>
      <w:r>
        <w:rPr>
          <w:rFonts w:ascii="ITC Avant Garde" w:hAnsi="ITC Avant Garde"/>
        </w:rPr>
        <w:t xml:space="preserve">Mediante el Anteproyecto de mérito, el Instituto establecería un único instrumento regulatorio que fije índices y parámetros de calidad del servicio fijo, homologando dichos índices y parámetros para los regulados. </w:t>
      </w:r>
    </w:p>
    <w:p w:rsidR="00C35169" w:rsidRPr="00370665" w:rsidRDefault="00C35169" w:rsidP="00461C4A">
      <w:pPr>
        <w:pStyle w:val="Default"/>
        <w:tabs>
          <w:tab w:val="left" w:pos="0"/>
        </w:tabs>
        <w:spacing w:line="276" w:lineRule="auto"/>
        <w:jc w:val="both"/>
        <w:rPr>
          <w:rFonts w:ascii="ITC Avant Garde" w:hAnsi="ITC Avant Garde"/>
          <w:bCs/>
          <w:sz w:val="22"/>
          <w:szCs w:val="22"/>
          <w:lang w:val="es-ES_tradnl"/>
        </w:rPr>
      </w:pPr>
    </w:p>
    <w:p w:rsidR="001E3C1A" w:rsidRDefault="00C35169" w:rsidP="009413AA">
      <w:pPr>
        <w:pStyle w:val="Default"/>
        <w:tabs>
          <w:tab w:val="left" w:pos="0"/>
        </w:tabs>
        <w:spacing w:line="276" w:lineRule="auto"/>
        <w:jc w:val="both"/>
        <w:rPr>
          <w:rFonts w:ascii="ITC Avant Garde" w:hAnsi="ITC Avant Garde"/>
          <w:bCs/>
          <w:color w:val="auto"/>
          <w:sz w:val="22"/>
          <w:szCs w:val="22"/>
          <w:lang w:val="es-ES_tradnl"/>
        </w:rPr>
      </w:pPr>
      <w:r w:rsidRPr="00370665">
        <w:rPr>
          <w:rFonts w:ascii="ITC Avant Garde" w:hAnsi="ITC Avant Garde"/>
          <w:b/>
          <w:bCs/>
          <w:sz w:val="22"/>
          <w:szCs w:val="22"/>
          <w:lang w:val="es-ES_tradnl"/>
        </w:rPr>
        <w:t>SEGUNDO.-</w:t>
      </w:r>
      <w:r w:rsidR="004237D0" w:rsidRPr="00370665">
        <w:rPr>
          <w:rFonts w:ascii="ITC Avant Garde" w:hAnsi="ITC Avant Garde"/>
          <w:b/>
          <w:bCs/>
          <w:sz w:val="22"/>
          <w:szCs w:val="22"/>
          <w:lang w:val="es-ES_tradnl"/>
        </w:rPr>
        <w:t xml:space="preserve"> </w:t>
      </w:r>
      <w:r w:rsidR="00425FC0" w:rsidRPr="00370665">
        <w:rPr>
          <w:rFonts w:ascii="ITC Avant Garde" w:hAnsi="ITC Avant Garde"/>
          <w:b/>
          <w:bCs/>
          <w:color w:val="auto"/>
          <w:sz w:val="22"/>
          <w:szCs w:val="22"/>
          <w:lang w:val="es-ES_tradnl"/>
        </w:rPr>
        <w:t>Motivación para la expedición de los Lineamientos</w:t>
      </w:r>
      <w:r w:rsidR="004237D0" w:rsidRPr="00370665">
        <w:rPr>
          <w:rFonts w:ascii="ITC Avant Garde" w:hAnsi="ITC Avant Garde"/>
          <w:b/>
          <w:bCs/>
          <w:color w:val="auto"/>
          <w:sz w:val="22"/>
          <w:szCs w:val="22"/>
          <w:lang w:val="es-ES_tradnl"/>
        </w:rPr>
        <w:t>.</w:t>
      </w:r>
      <w:r w:rsidR="0080334A" w:rsidRPr="00370665">
        <w:rPr>
          <w:rFonts w:ascii="ITC Avant Garde" w:hAnsi="ITC Avant Garde"/>
          <w:b/>
          <w:bCs/>
          <w:color w:val="auto"/>
          <w:sz w:val="22"/>
          <w:szCs w:val="22"/>
          <w:lang w:val="es-ES_tradnl"/>
        </w:rPr>
        <w:t xml:space="preserve"> </w:t>
      </w:r>
      <w:r w:rsidR="00771451">
        <w:rPr>
          <w:rFonts w:ascii="ITC Avant Garde" w:hAnsi="ITC Avant Garde"/>
          <w:bCs/>
          <w:color w:val="auto"/>
          <w:sz w:val="22"/>
          <w:szCs w:val="22"/>
          <w:lang w:val="es-ES_tradnl"/>
        </w:rPr>
        <w:t xml:space="preserve">Que conforme a lo dispuesto en la fracción XLVII del artículo </w:t>
      </w:r>
      <w:r w:rsidR="001E3C1A">
        <w:rPr>
          <w:rFonts w:ascii="ITC Avant Garde" w:hAnsi="ITC Avant Garde"/>
          <w:bCs/>
          <w:color w:val="auto"/>
          <w:sz w:val="22"/>
          <w:szCs w:val="22"/>
          <w:lang w:val="es-ES_tradnl"/>
        </w:rPr>
        <w:t xml:space="preserve">15 de la Ley, el Instituto tiene la atribución de fijar los índices de calidad por servicio a que deben sujetarse los prestadores de los servicios de telecomunicaciones y radiodifusión, así como publicar trimestralmente los resultados de las verificaciones relativas a dichos índices. </w:t>
      </w:r>
    </w:p>
    <w:p w:rsidR="001E3C1A" w:rsidRDefault="001E3C1A" w:rsidP="009413AA">
      <w:pPr>
        <w:pStyle w:val="Default"/>
        <w:tabs>
          <w:tab w:val="left" w:pos="0"/>
        </w:tabs>
        <w:spacing w:line="276" w:lineRule="auto"/>
        <w:jc w:val="both"/>
        <w:rPr>
          <w:rFonts w:ascii="ITC Avant Garde" w:hAnsi="ITC Avant Garde"/>
          <w:bCs/>
          <w:color w:val="auto"/>
          <w:sz w:val="22"/>
          <w:szCs w:val="22"/>
          <w:lang w:val="es-ES_tradnl"/>
        </w:rPr>
      </w:pPr>
    </w:p>
    <w:p w:rsidR="00776F97" w:rsidRDefault="00C6112D" w:rsidP="00461C4A">
      <w:pPr>
        <w:pStyle w:val="Default"/>
        <w:tabs>
          <w:tab w:val="left" w:pos="0"/>
        </w:tabs>
        <w:spacing w:line="276" w:lineRule="auto"/>
        <w:jc w:val="both"/>
        <w:rPr>
          <w:rFonts w:ascii="ITC Avant Garde" w:hAnsi="ITC Avant Garde"/>
          <w:bCs/>
          <w:color w:val="auto"/>
          <w:sz w:val="22"/>
          <w:szCs w:val="22"/>
          <w:lang w:val="es-ES_tradnl"/>
        </w:rPr>
      </w:pPr>
      <w:r>
        <w:rPr>
          <w:rFonts w:ascii="ITC Avant Garde" w:hAnsi="ITC Avant Garde"/>
          <w:bCs/>
          <w:color w:val="auto"/>
          <w:sz w:val="22"/>
          <w:szCs w:val="22"/>
          <w:lang w:val="es-ES_tradnl"/>
        </w:rPr>
        <w:t xml:space="preserve">Por </w:t>
      </w:r>
      <w:r w:rsidR="009413AA">
        <w:rPr>
          <w:rFonts w:ascii="ITC Avant Garde" w:hAnsi="ITC Avant Garde"/>
          <w:bCs/>
          <w:color w:val="auto"/>
          <w:sz w:val="22"/>
          <w:szCs w:val="22"/>
          <w:lang w:val="es-ES_tradnl"/>
        </w:rPr>
        <w:t>otro</w:t>
      </w:r>
      <w:r>
        <w:rPr>
          <w:rFonts w:ascii="ITC Avant Garde" w:hAnsi="ITC Avant Garde"/>
          <w:bCs/>
          <w:color w:val="auto"/>
          <w:sz w:val="22"/>
          <w:szCs w:val="22"/>
          <w:lang w:val="es-ES_tradnl"/>
        </w:rPr>
        <w:t xml:space="preserve"> lado</w:t>
      </w:r>
      <w:r w:rsidR="005C5C0B" w:rsidRPr="005C5C0B">
        <w:rPr>
          <w:rFonts w:ascii="ITC Avant Garde" w:hAnsi="ITC Avant Garde"/>
          <w:bCs/>
          <w:color w:val="auto"/>
          <w:sz w:val="22"/>
          <w:szCs w:val="22"/>
          <w:lang w:val="es-ES_tradnl"/>
        </w:rPr>
        <w:t>, e</w:t>
      </w:r>
      <w:r w:rsidR="00E52690">
        <w:rPr>
          <w:rFonts w:ascii="ITC Avant Garde" w:hAnsi="ITC Avant Garde"/>
          <w:bCs/>
          <w:color w:val="auto"/>
          <w:sz w:val="22"/>
          <w:szCs w:val="22"/>
          <w:lang w:val="es-ES_tradnl"/>
        </w:rPr>
        <w:t>l</w:t>
      </w:r>
      <w:r w:rsidR="00234B4E" w:rsidRPr="00370665">
        <w:rPr>
          <w:rFonts w:ascii="ITC Avant Garde" w:hAnsi="ITC Avant Garde"/>
          <w:bCs/>
          <w:color w:val="auto"/>
          <w:sz w:val="22"/>
          <w:szCs w:val="22"/>
          <w:lang w:val="es-ES_tradnl"/>
        </w:rPr>
        <w:t xml:space="preserve"> artículo 191, fracción VII </w:t>
      </w:r>
      <w:r w:rsidR="00E52690">
        <w:rPr>
          <w:rFonts w:ascii="ITC Avant Garde" w:hAnsi="ITC Avant Garde"/>
          <w:bCs/>
          <w:color w:val="auto"/>
          <w:sz w:val="22"/>
          <w:szCs w:val="22"/>
          <w:lang w:val="es-ES_tradnl"/>
        </w:rPr>
        <w:t xml:space="preserve">de la LFTR </w:t>
      </w:r>
      <w:r w:rsidR="00234B4E" w:rsidRPr="00370665">
        <w:rPr>
          <w:rFonts w:ascii="ITC Avant Garde" w:hAnsi="ITC Avant Garde"/>
          <w:bCs/>
          <w:color w:val="auto"/>
          <w:sz w:val="22"/>
          <w:szCs w:val="22"/>
          <w:lang w:val="es-ES_tradnl"/>
        </w:rPr>
        <w:t xml:space="preserve">establece como derecho de los usuarios el que los servicios de telecomunicaciones </w:t>
      </w:r>
      <w:r w:rsidR="00776F97" w:rsidRPr="00370665">
        <w:rPr>
          <w:rFonts w:ascii="ITC Avant Garde" w:hAnsi="ITC Avant Garde"/>
          <w:bCs/>
          <w:color w:val="auto"/>
          <w:sz w:val="22"/>
          <w:szCs w:val="22"/>
          <w:lang w:val="es-ES_tradnl"/>
        </w:rPr>
        <w:t>se les provean confo</w:t>
      </w:r>
      <w:r w:rsidR="00E52690">
        <w:rPr>
          <w:rFonts w:ascii="ITC Avant Garde" w:hAnsi="ITC Avant Garde"/>
          <w:bCs/>
          <w:color w:val="auto"/>
          <w:sz w:val="22"/>
          <w:szCs w:val="22"/>
          <w:lang w:val="es-ES_tradnl"/>
        </w:rPr>
        <w:t>rme a los parámetros de calidad</w:t>
      </w:r>
      <w:r w:rsidR="00776F97" w:rsidRPr="00370665">
        <w:rPr>
          <w:rFonts w:ascii="ITC Avant Garde" w:hAnsi="ITC Avant Garde"/>
          <w:bCs/>
          <w:color w:val="auto"/>
          <w:sz w:val="22"/>
          <w:szCs w:val="22"/>
          <w:lang w:val="es-ES_tradnl"/>
        </w:rPr>
        <w:t xml:space="preserve"> estab</w:t>
      </w:r>
      <w:r w:rsidR="00E52690">
        <w:rPr>
          <w:rFonts w:ascii="ITC Avant Garde" w:hAnsi="ITC Avant Garde"/>
          <w:bCs/>
          <w:color w:val="auto"/>
          <w:sz w:val="22"/>
          <w:szCs w:val="22"/>
          <w:lang w:val="es-ES_tradnl"/>
        </w:rPr>
        <w:t>lecidos por el Instituto;</w:t>
      </w:r>
      <w:r w:rsidR="00776F97" w:rsidRPr="00370665">
        <w:rPr>
          <w:rFonts w:ascii="ITC Avant Garde" w:hAnsi="ITC Avant Garde"/>
          <w:bCs/>
          <w:color w:val="auto"/>
          <w:sz w:val="22"/>
          <w:szCs w:val="22"/>
          <w:lang w:val="es-ES_tradnl"/>
        </w:rPr>
        <w:t xml:space="preserve"> de ahí </w:t>
      </w:r>
      <w:r w:rsidR="001E3C1A">
        <w:rPr>
          <w:rFonts w:ascii="ITC Avant Garde" w:hAnsi="ITC Avant Garde"/>
          <w:bCs/>
          <w:color w:val="auto"/>
          <w:sz w:val="22"/>
          <w:szCs w:val="22"/>
          <w:lang w:val="es-ES_tradnl"/>
        </w:rPr>
        <w:t xml:space="preserve">también </w:t>
      </w:r>
      <w:r w:rsidR="00E52690">
        <w:rPr>
          <w:rFonts w:ascii="ITC Avant Garde" w:hAnsi="ITC Avant Garde"/>
          <w:bCs/>
          <w:color w:val="auto"/>
          <w:sz w:val="22"/>
          <w:szCs w:val="22"/>
          <w:lang w:val="es-ES_tradnl"/>
        </w:rPr>
        <w:t>la importancia de</w:t>
      </w:r>
      <w:r w:rsidR="00776F97" w:rsidRPr="00370665">
        <w:rPr>
          <w:rFonts w:ascii="ITC Avant Garde" w:hAnsi="ITC Avant Garde"/>
          <w:bCs/>
          <w:color w:val="auto"/>
          <w:sz w:val="22"/>
          <w:szCs w:val="22"/>
          <w:lang w:val="es-ES_tradnl"/>
        </w:rPr>
        <w:t xml:space="preserve"> establecer </w:t>
      </w:r>
      <w:r w:rsidR="001E3C1A">
        <w:rPr>
          <w:rFonts w:ascii="ITC Avant Garde" w:hAnsi="ITC Avant Garde"/>
          <w:bCs/>
          <w:color w:val="auto"/>
          <w:sz w:val="22"/>
          <w:szCs w:val="22"/>
          <w:lang w:val="es-ES_tradnl"/>
        </w:rPr>
        <w:t xml:space="preserve">en un solo documento los </w:t>
      </w:r>
      <w:r w:rsidR="00E52690">
        <w:rPr>
          <w:rFonts w:ascii="ITC Avant Garde" w:hAnsi="ITC Avant Garde"/>
          <w:bCs/>
          <w:color w:val="auto"/>
          <w:sz w:val="22"/>
          <w:szCs w:val="22"/>
          <w:lang w:val="es-ES_tradnl"/>
        </w:rPr>
        <w:t xml:space="preserve">valores </w:t>
      </w:r>
      <w:r w:rsidR="001E3C1A">
        <w:rPr>
          <w:rFonts w:ascii="ITC Avant Garde" w:hAnsi="ITC Avant Garde"/>
          <w:bCs/>
          <w:color w:val="auto"/>
          <w:sz w:val="22"/>
          <w:szCs w:val="22"/>
          <w:lang w:val="es-ES_tradnl"/>
        </w:rPr>
        <w:t xml:space="preserve">o </w:t>
      </w:r>
      <w:r>
        <w:rPr>
          <w:rFonts w:ascii="ITC Avant Garde" w:hAnsi="ITC Avant Garde"/>
          <w:bCs/>
          <w:color w:val="auto"/>
          <w:sz w:val="22"/>
          <w:szCs w:val="22"/>
          <w:lang w:val="es-ES_tradnl"/>
        </w:rPr>
        <w:t>índices de referencia</w:t>
      </w:r>
      <w:r w:rsidR="00E52690">
        <w:rPr>
          <w:rFonts w:ascii="ITC Avant Garde" w:hAnsi="ITC Avant Garde"/>
          <w:bCs/>
          <w:color w:val="auto"/>
          <w:sz w:val="22"/>
          <w:szCs w:val="22"/>
          <w:lang w:val="es-ES_tradnl"/>
        </w:rPr>
        <w:t xml:space="preserve"> a los parámetros que sirvan para evaluar la calidad de la oferta del servicio con el objetivo de</w:t>
      </w:r>
      <w:r w:rsidR="00776F97" w:rsidRPr="00370665">
        <w:rPr>
          <w:rFonts w:ascii="ITC Avant Garde" w:hAnsi="ITC Avant Garde"/>
          <w:bCs/>
          <w:color w:val="auto"/>
          <w:sz w:val="22"/>
          <w:szCs w:val="22"/>
          <w:lang w:val="es-ES_tradnl"/>
        </w:rPr>
        <w:t xml:space="preserve"> regular, monitorear y vigilar que los servicios públicos de telecomunicaciones </w:t>
      </w:r>
      <w:r w:rsidR="00E52690">
        <w:rPr>
          <w:rFonts w:ascii="ITC Avant Garde" w:hAnsi="ITC Avant Garde"/>
          <w:bCs/>
          <w:color w:val="auto"/>
          <w:sz w:val="22"/>
          <w:szCs w:val="22"/>
          <w:lang w:val="es-ES_tradnl"/>
        </w:rPr>
        <w:t>sean prestados a los usuarios finales conforme l</w:t>
      </w:r>
      <w:r w:rsidR="00776F97" w:rsidRPr="00370665">
        <w:rPr>
          <w:rFonts w:ascii="ITC Avant Garde" w:hAnsi="ITC Avant Garde"/>
          <w:bCs/>
          <w:color w:val="auto"/>
          <w:sz w:val="22"/>
          <w:szCs w:val="22"/>
          <w:lang w:val="es-ES_tradnl"/>
        </w:rPr>
        <w:t>o</w:t>
      </w:r>
      <w:r w:rsidR="00E52690">
        <w:rPr>
          <w:rFonts w:ascii="ITC Avant Garde" w:hAnsi="ITC Avant Garde"/>
          <w:bCs/>
          <w:color w:val="auto"/>
          <w:sz w:val="22"/>
          <w:szCs w:val="22"/>
          <w:lang w:val="es-ES_tradnl"/>
        </w:rPr>
        <w:t xml:space="preserve"> establecido</w:t>
      </w:r>
      <w:r w:rsidR="00776F97" w:rsidRPr="00370665">
        <w:rPr>
          <w:rFonts w:ascii="ITC Avant Garde" w:hAnsi="ITC Avant Garde"/>
          <w:bCs/>
          <w:color w:val="auto"/>
          <w:sz w:val="22"/>
          <w:szCs w:val="22"/>
          <w:lang w:val="es-ES_tradnl"/>
        </w:rPr>
        <w:t xml:space="preserve">. </w:t>
      </w:r>
    </w:p>
    <w:p w:rsidR="008A4FBE" w:rsidRPr="00370665" w:rsidRDefault="008A4FBE" w:rsidP="00461C4A">
      <w:pPr>
        <w:pStyle w:val="Default"/>
        <w:tabs>
          <w:tab w:val="left" w:pos="0"/>
        </w:tabs>
        <w:spacing w:line="276" w:lineRule="auto"/>
        <w:jc w:val="both"/>
        <w:rPr>
          <w:rFonts w:ascii="ITC Avant Garde" w:hAnsi="ITC Avant Garde"/>
          <w:bCs/>
          <w:color w:val="auto"/>
          <w:sz w:val="22"/>
          <w:szCs w:val="22"/>
          <w:lang w:val="es-ES_tradnl"/>
        </w:rPr>
      </w:pPr>
    </w:p>
    <w:p w:rsidR="00773375" w:rsidRPr="00370665" w:rsidRDefault="00776F97" w:rsidP="00461C4A">
      <w:pPr>
        <w:pStyle w:val="Default"/>
        <w:tabs>
          <w:tab w:val="left" w:pos="0"/>
        </w:tabs>
        <w:spacing w:line="276" w:lineRule="auto"/>
        <w:jc w:val="both"/>
        <w:rPr>
          <w:rFonts w:ascii="ITC Avant Garde" w:hAnsi="ITC Avant Garde"/>
          <w:bCs/>
          <w:color w:val="auto"/>
          <w:sz w:val="22"/>
          <w:szCs w:val="22"/>
          <w:lang w:val="es-ES_tradnl"/>
        </w:rPr>
      </w:pPr>
      <w:r w:rsidRPr="00370665">
        <w:rPr>
          <w:rFonts w:ascii="ITC Avant Garde" w:hAnsi="ITC Avant Garde"/>
          <w:bCs/>
          <w:color w:val="auto"/>
          <w:sz w:val="22"/>
          <w:szCs w:val="22"/>
          <w:lang w:val="es-ES_tradnl"/>
        </w:rPr>
        <w:t xml:space="preserve">En </w:t>
      </w:r>
      <w:r w:rsidR="00FD2EDF" w:rsidRPr="00370665">
        <w:rPr>
          <w:rFonts w:ascii="ITC Avant Garde" w:hAnsi="ITC Avant Garde"/>
          <w:bCs/>
          <w:color w:val="auto"/>
          <w:sz w:val="22"/>
          <w:szCs w:val="22"/>
          <w:lang w:val="es-ES_tradnl"/>
        </w:rPr>
        <w:t>es</w:t>
      </w:r>
      <w:r w:rsidR="00902D49">
        <w:rPr>
          <w:rFonts w:ascii="ITC Avant Garde" w:hAnsi="ITC Avant Garde"/>
          <w:bCs/>
          <w:color w:val="auto"/>
          <w:sz w:val="22"/>
          <w:szCs w:val="22"/>
          <w:lang w:val="es-ES_tradnl"/>
        </w:rPr>
        <w:t xml:space="preserve">te mismo </w:t>
      </w:r>
      <w:r w:rsidR="00FD2EDF" w:rsidRPr="00370665">
        <w:rPr>
          <w:rFonts w:ascii="ITC Avant Garde" w:hAnsi="ITC Avant Garde"/>
          <w:bCs/>
          <w:color w:val="auto"/>
          <w:sz w:val="22"/>
          <w:szCs w:val="22"/>
          <w:lang w:val="es-ES_tradnl"/>
        </w:rPr>
        <w:t>sentido,</w:t>
      </w:r>
      <w:r w:rsidRPr="00370665">
        <w:rPr>
          <w:rFonts w:ascii="ITC Avant Garde" w:hAnsi="ITC Avant Garde"/>
          <w:bCs/>
          <w:color w:val="auto"/>
          <w:sz w:val="22"/>
          <w:szCs w:val="22"/>
          <w:lang w:val="es-ES_tradnl"/>
        </w:rPr>
        <w:t xml:space="preserve"> la </w:t>
      </w:r>
      <w:r w:rsidR="00FD2EDF" w:rsidRPr="00370665">
        <w:rPr>
          <w:rFonts w:ascii="ITC Avant Garde" w:hAnsi="ITC Avant Garde"/>
          <w:bCs/>
          <w:color w:val="auto"/>
          <w:sz w:val="22"/>
          <w:szCs w:val="22"/>
          <w:lang w:val="es-ES_tradnl"/>
        </w:rPr>
        <w:t>fracción VII del artículo 118 de la LFTR señala que los concesionarios que operen redes públicas de telecomunicaciones, deberán pres</w:t>
      </w:r>
      <w:r w:rsidR="00DA1907">
        <w:rPr>
          <w:rFonts w:ascii="ITC Avant Garde" w:hAnsi="ITC Avant Garde"/>
          <w:bCs/>
          <w:color w:val="auto"/>
          <w:sz w:val="22"/>
          <w:szCs w:val="22"/>
          <w:lang w:val="es-ES_tradnl"/>
        </w:rPr>
        <w:t>t</w:t>
      </w:r>
      <w:r w:rsidR="00FD2EDF" w:rsidRPr="00370665">
        <w:rPr>
          <w:rFonts w:ascii="ITC Avant Garde" w:hAnsi="ITC Avant Garde"/>
          <w:bCs/>
          <w:color w:val="auto"/>
          <w:sz w:val="22"/>
          <w:szCs w:val="22"/>
          <w:lang w:val="es-ES_tradnl"/>
        </w:rPr>
        <w:t>ar sobre bases tarifarias y de calidad los servicios de telecomunicaciones contratados por los usuarios y demás condiciones establecidas en términos de la LFTR y la Ley Federal de Protección al Consumidor. Asimismo, la fracci</w:t>
      </w:r>
      <w:r w:rsidR="00773375" w:rsidRPr="00370665">
        <w:rPr>
          <w:rFonts w:ascii="ITC Avant Garde" w:hAnsi="ITC Avant Garde"/>
          <w:bCs/>
          <w:color w:val="auto"/>
          <w:sz w:val="22"/>
          <w:szCs w:val="22"/>
          <w:lang w:val="es-ES_tradnl"/>
        </w:rPr>
        <w:t xml:space="preserve">ón </w:t>
      </w:r>
      <w:r w:rsidR="00FD2EDF" w:rsidRPr="00370665">
        <w:rPr>
          <w:rFonts w:ascii="ITC Avant Garde" w:hAnsi="ITC Avant Garde"/>
          <w:bCs/>
          <w:color w:val="auto"/>
          <w:sz w:val="22"/>
          <w:szCs w:val="22"/>
          <w:lang w:val="es-ES_tradnl"/>
        </w:rPr>
        <w:t>II</w:t>
      </w:r>
      <w:r w:rsidR="00773375" w:rsidRPr="00370665">
        <w:rPr>
          <w:rFonts w:ascii="ITC Avant Garde" w:hAnsi="ITC Avant Garde"/>
          <w:bCs/>
          <w:color w:val="auto"/>
          <w:sz w:val="22"/>
          <w:szCs w:val="22"/>
          <w:lang w:val="es-ES_tradnl"/>
        </w:rPr>
        <w:t xml:space="preserve"> del artículo 174 de la LFTR establece como obligación de las comercializadoras de servicios de telecomunicaciones ser responsable ante el usuario final por la prestación de los servicios que oferten y cumplir con las </w:t>
      </w:r>
      <w:r w:rsidR="00773375" w:rsidRPr="00370665">
        <w:rPr>
          <w:rFonts w:ascii="ITC Avant Garde" w:hAnsi="ITC Avant Garde"/>
          <w:bCs/>
          <w:color w:val="auto"/>
          <w:sz w:val="22"/>
          <w:szCs w:val="22"/>
          <w:lang w:val="es-ES_tradnl"/>
        </w:rPr>
        <w:lastRenderedPageBreak/>
        <w:t>obligaciones establecidas en la LFTR y demás aplicables, referente a los derechos de los usuarios.</w:t>
      </w:r>
    </w:p>
    <w:p w:rsidR="002B0341" w:rsidRPr="00370665" w:rsidRDefault="003444A8" w:rsidP="00461C4A">
      <w:pPr>
        <w:pStyle w:val="Default"/>
        <w:tabs>
          <w:tab w:val="left" w:pos="0"/>
        </w:tabs>
        <w:spacing w:line="276" w:lineRule="auto"/>
        <w:jc w:val="both"/>
        <w:rPr>
          <w:rFonts w:ascii="ITC Avant Garde" w:hAnsi="ITC Avant Garde"/>
          <w:bCs/>
          <w:color w:val="auto"/>
          <w:sz w:val="22"/>
          <w:szCs w:val="22"/>
          <w:lang w:val="es-ES_tradnl"/>
        </w:rPr>
      </w:pPr>
      <w:r w:rsidRPr="00370665">
        <w:rPr>
          <w:rFonts w:ascii="ITC Avant Garde" w:hAnsi="ITC Avant Garde"/>
          <w:bCs/>
          <w:color w:val="auto"/>
          <w:sz w:val="22"/>
          <w:szCs w:val="22"/>
          <w:lang w:val="es-ES_tradnl"/>
        </w:rPr>
        <w:t xml:space="preserve">De esta manera, </w:t>
      </w:r>
      <w:r w:rsidR="007D2E96" w:rsidRPr="007D2E96">
        <w:rPr>
          <w:rFonts w:ascii="ITC Avant Garde" w:hAnsi="ITC Avant Garde"/>
          <w:bCs/>
          <w:color w:val="auto"/>
          <w:sz w:val="22"/>
          <w:szCs w:val="22"/>
          <w:lang w:val="es-ES_tradnl"/>
        </w:rPr>
        <w:t xml:space="preserve">resulta </w:t>
      </w:r>
      <w:r w:rsidR="00C6112D">
        <w:rPr>
          <w:rFonts w:ascii="ITC Avant Garde" w:hAnsi="ITC Avant Garde"/>
          <w:bCs/>
          <w:color w:val="auto"/>
          <w:sz w:val="22"/>
          <w:szCs w:val="22"/>
          <w:lang w:val="es-ES_tradnl"/>
        </w:rPr>
        <w:t xml:space="preserve">indispensable valorar </w:t>
      </w:r>
      <w:r w:rsidR="007D2E96" w:rsidRPr="007D2E96">
        <w:rPr>
          <w:rFonts w:ascii="ITC Avant Garde" w:hAnsi="ITC Avant Garde"/>
          <w:bCs/>
          <w:color w:val="auto"/>
          <w:sz w:val="22"/>
          <w:szCs w:val="22"/>
          <w:lang w:val="es-ES_tradnl"/>
        </w:rPr>
        <w:t xml:space="preserve">el estado actual de las redes </w:t>
      </w:r>
      <w:r w:rsidR="00C6112D">
        <w:rPr>
          <w:rFonts w:ascii="ITC Avant Garde" w:hAnsi="ITC Avant Garde"/>
          <w:bCs/>
          <w:color w:val="auto"/>
          <w:sz w:val="22"/>
          <w:szCs w:val="22"/>
          <w:lang w:val="es-ES_tradnl"/>
        </w:rPr>
        <w:t>del servicio fijo</w:t>
      </w:r>
      <w:r w:rsidR="007D2E96" w:rsidRPr="007D2E96">
        <w:rPr>
          <w:rFonts w:ascii="ITC Avant Garde" w:hAnsi="ITC Avant Garde"/>
          <w:bCs/>
          <w:color w:val="auto"/>
          <w:sz w:val="22"/>
          <w:szCs w:val="22"/>
          <w:lang w:val="es-ES_tradnl"/>
        </w:rPr>
        <w:t>, así como</w:t>
      </w:r>
      <w:r w:rsidR="00C6112D">
        <w:rPr>
          <w:rFonts w:ascii="ITC Avant Garde" w:hAnsi="ITC Avant Garde"/>
          <w:bCs/>
          <w:color w:val="auto"/>
          <w:sz w:val="22"/>
          <w:szCs w:val="22"/>
          <w:lang w:val="es-ES_tradnl"/>
        </w:rPr>
        <w:t xml:space="preserve"> definir</w:t>
      </w:r>
      <w:r w:rsidR="007D2E96" w:rsidRPr="007D2E96">
        <w:rPr>
          <w:rFonts w:ascii="ITC Avant Garde" w:hAnsi="ITC Avant Garde"/>
          <w:bCs/>
          <w:color w:val="auto"/>
          <w:sz w:val="22"/>
          <w:szCs w:val="22"/>
          <w:lang w:val="es-ES_tradnl"/>
        </w:rPr>
        <w:t xml:space="preserve"> los parámetros de calidad que se podrían considerar y </w:t>
      </w:r>
      <w:r w:rsidR="00C6112D">
        <w:rPr>
          <w:rFonts w:ascii="ITC Avant Garde" w:hAnsi="ITC Avant Garde"/>
          <w:bCs/>
          <w:color w:val="auto"/>
          <w:sz w:val="22"/>
          <w:szCs w:val="22"/>
          <w:lang w:val="es-ES_tradnl"/>
        </w:rPr>
        <w:t>los posibles</w:t>
      </w:r>
      <w:r w:rsidR="007D2E96" w:rsidRPr="007D2E96">
        <w:rPr>
          <w:rFonts w:ascii="ITC Avant Garde" w:hAnsi="ITC Avant Garde"/>
          <w:bCs/>
          <w:color w:val="auto"/>
          <w:sz w:val="22"/>
          <w:szCs w:val="22"/>
          <w:lang w:val="es-ES_tradnl"/>
        </w:rPr>
        <w:t xml:space="preserve"> índice</w:t>
      </w:r>
      <w:r w:rsidR="00C6112D">
        <w:rPr>
          <w:rFonts w:ascii="ITC Avant Garde" w:hAnsi="ITC Avant Garde"/>
          <w:bCs/>
          <w:color w:val="auto"/>
          <w:sz w:val="22"/>
          <w:szCs w:val="22"/>
          <w:lang w:val="es-ES_tradnl"/>
        </w:rPr>
        <w:t>s</w:t>
      </w:r>
      <w:r w:rsidR="007D2E96" w:rsidRPr="007D2E96">
        <w:rPr>
          <w:rFonts w:ascii="ITC Avant Garde" w:hAnsi="ITC Avant Garde"/>
          <w:bCs/>
          <w:color w:val="auto"/>
          <w:sz w:val="22"/>
          <w:szCs w:val="22"/>
          <w:lang w:val="es-ES_tradnl"/>
        </w:rPr>
        <w:t xml:space="preserve"> de cump</w:t>
      </w:r>
      <w:r w:rsidR="007D2E96">
        <w:rPr>
          <w:rFonts w:ascii="ITC Avant Garde" w:hAnsi="ITC Avant Garde"/>
          <w:bCs/>
          <w:color w:val="auto"/>
          <w:sz w:val="22"/>
          <w:szCs w:val="22"/>
          <w:lang w:val="es-ES_tradnl"/>
        </w:rPr>
        <w:t xml:space="preserve">limiento. </w:t>
      </w:r>
      <w:r w:rsidR="003857F9">
        <w:rPr>
          <w:rFonts w:ascii="ITC Avant Garde" w:hAnsi="ITC Avant Garde"/>
          <w:bCs/>
          <w:color w:val="auto"/>
          <w:sz w:val="22"/>
          <w:szCs w:val="22"/>
          <w:lang w:val="es-ES_tradnl"/>
        </w:rPr>
        <w:t>Por lo anterior, a</w:t>
      </w:r>
      <w:r w:rsidR="00C6112D">
        <w:rPr>
          <w:rFonts w:ascii="ITC Avant Garde" w:hAnsi="ITC Avant Garde"/>
          <w:bCs/>
          <w:color w:val="auto"/>
          <w:sz w:val="22"/>
          <w:szCs w:val="22"/>
          <w:lang w:val="es-ES_tradnl"/>
        </w:rPr>
        <w:t xml:space="preserve"> través del Anteproyecto </w:t>
      </w:r>
      <w:r w:rsidR="003857F9">
        <w:rPr>
          <w:rFonts w:ascii="ITC Avant Garde" w:hAnsi="ITC Avant Garde"/>
          <w:bCs/>
          <w:color w:val="auto"/>
          <w:sz w:val="22"/>
          <w:szCs w:val="22"/>
          <w:lang w:val="es-ES_tradnl"/>
        </w:rPr>
        <w:t xml:space="preserve">que se somete a consulta pública </w:t>
      </w:r>
      <w:r w:rsidR="00C6112D">
        <w:rPr>
          <w:rFonts w:ascii="ITC Avant Garde" w:hAnsi="ITC Avant Garde"/>
          <w:bCs/>
          <w:color w:val="auto"/>
          <w:sz w:val="22"/>
          <w:szCs w:val="22"/>
          <w:lang w:val="es-ES_tradnl"/>
        </w:rPr>
        <w:t xml:space="preserve">se </w:t>
      </w:r>
      <w:r w:rsidR="002A186E" w:rsidRPr="00370665">
        <w:rPr>
          <w:rFonts w:ascii="ITC Avant Garde" w:hAnsi="ITC Avant Garde"/>
          <w:bCs/>
          <w:color w:val="auto"/>
          <w:sz w:val="22"/>
          <w:szCs w:val="22"/>
          <w:lang w:val="es-ES_tradnl"/>
        </w:rPr>
        <w:t>busca cumplir</w:t>
      </w:r>
      <w:r w:rsidR="002B0341" w:rsidRPr="00370665">
        <w:rPr>
          <w:rFonts w:ascii="ITC Avant Garde" w:hAnsi="ITC Avant Garde"/>
          <w:bCs/>
          <w:color w:val="auto"/>
          <w:sz w:val="22"/>
          <w:szCs w:val="22"/>
          <w:lang w:val="es-ES_tradnl"/>
        </w:rPr>
        <w:t xml:space="preserve"> los siguientes objetivos:</w:t>
      </w:r>
    </w:p>
    <w:p w:rsidR="00461C4A" w:rsidRPr="00370665" w:rsidRDefault="00461C4A" w:rsidP="00461C4A">
      <w:pPr>
        <w:pStyle w:val="Default"/>
        <w:tabs>
          <w:tab w:val="left" w:pos="0"/>
        </w:tabs>
        <w:spacing w:line="276" w:lineRule="auto"/>
        <w:jc w:val="both"/>
        <w:rPr>
          <w:rFonts w:ascii="ITC Avant Garde" w:hAnsi="ITC Avant Garde"/>
          <w:bCs/>
          <w:color w:val="auto"/>
          <w:sz w:val="22"/>
          <w:szCs w:val="22"/>
          <w:lang w:val="es-ES_tradnl"/>
        </w:rPr>
      </w:pPr>
    </w:p>
    <w:p w:rsidR="001A1958" w:rsidRPr="00370665" w:rsidRDefault="0065242A" w:rsidP="00461C4A">
      <w:pPr>
        <w:pStyle w:val="Default"/>
        <w:numPr>
          <w:ilvl w:val="0"/>
          <w:numId w:val="3"/>
        </w:numPr>
        <w:tabs>
          <w:tab w:val="left" w:pos="0"/>
        </w:tabs>
        <w:spacing w:line="276" w:lineRule="auto"/>
        <w:jc w:val="both"/>
        <w:rPr>
          <w:rFonts w:ascii="ITC Avant Garde" w:hAnsi="ITC Avant Garde"/>
          <w:bCs/>
          <w:color w:val="auto"/>
          <w:sz w:val="22"/>
          <w:szCs w:val="22"/>
          <w:lang w:val="es-ES_tradnl"/>
        </w:rPr>
      </w:pPr>
      <w:r>
        <w:rPr>
          <w:rFonts w:ascii="ITC Avant Garde" w:hAnsi="ITC Avant Garde"/>
          <w:bCs/>
          <w:color w:val="auto"/>
          <w:sz w:val="22"/>
          <w:szCs w:val="22"/>
          <w:lang w:val="es-ES_tradnl"/>
        </w:rPr>
        <w:t>Se brinde</w:t>
      </w:r>
      <w:r w:rsidR="001A1958" w:rsidRPr="00370665">
        <w:rPr>
          <w:rFonts w:ascii="ITC Avant Garde" w:hAnsi="ITC Avant Garde"/>
          <w:bCs/>
          <w:color w:val="auto"/>
          <w:sz w:val="22"/>
          <w:szCs w:val="22"/>
          <w:lang w:val="es-ES_tradnl"/>
        </w:rPr>
        <w:t xml:space="preserve"> </w:t>
      </w:r>
      <w:r w:rsidR="00DA6CFA" w:rsidRPr="00370665">
        <w:rPr>
          <w:rFonts w:ascii="ITC Avant Garde" w:hAnsi="ITC Avant Garde"/>
          <w:bCs/>
          <w:color w:val="auto"/>
          <w:sz w:val="22"/>
          <w:szCs w:val="22"/>
          <w:lang w:val="es-ES_tradnl"/>
        </w:rPr>
        <w:t>un servicio</w:t>
      </w:r>
      <w:r w:rsidR="001A1958" w:rsidRPr="00370665">
        <w:rPr>
          <w:rFonts w:ascii="ITC Avant Garde" w:hAnsi="ITC Avant Garde"/>
          <w:bCs/>
          <w:color w:val="auto"/>
          <w:sz w:val="22"/>
          <w:szCs w:val="22"/>
          <w:lang w:val="es-ES_tradnl"/>
        </w:rPr>
        <w:t xml:space="preserve"> de calidad a los usuarios del servicio fijo</w:t>
      </w:r>
      <w:r w:rsidR="00184B48" w:rsidRPr="00370665">
        <w:rPr>
          <w:rFonts w:ascii="ITC Avant Garde" w:hAnsi="ITC Avant Garde"/>
          <w:bCs/>
          <w:color w:val="auto"/>
          <w:sz w:val="22"/>
          <w:szCs w:val="22"/>
          <w:lang w:val="es-ES_tradnl"/>
        </w:rPr>
        <w:t xml:space="preserve"> mediante el establecimiento de los índices y parámetros tanto para el </w:t>
      </w:r>
      <w:r w:rsidR="00DA6CFA" w:rsidRPr="00370665">
        <w:rPr>
          <w:rFonts w:ascii="ITC Avant Garde" w:hAnsi="ITC Avant Garde"/>
          <w:bCs/>
          <w:color w:val="auto"/>
          <w:sz w:val="22"/>
          <w:szCs w:val="22"/>
          <w:lang w:val="es-ES_tradnl"/>
        </w:rPr>
        <w:t>servicio</w:t>
      </w:r>
      <w:r w:rsidR="00184B48" w:rsidRPr="00370665">
        <w:rPr>
          <w:rFonts w:ascii="ITC Avant Garde" w:hAnsi="ITC Avant Garde"/>
          <w:bCs/>
          <w:color w:val="auto"/>
          <w:sz w:val="22"/>
          <w:szCs w:val="22"/>
          <w:lang w:val="es-ES_tradnl"/>
        </w:rPr>
        <w:t xml:space="preserve"> de telefonía fija como para el servicio de acceso a Internet</w:t>
      </w:r>
      <w:r w:rsidR="00E9247F" w:rsidRPr="00370665">
        <w:rPr>
          <w:rFonts w:ascii="ITC Avant Garde" w:hAnsi="ITC Avant Garde"/>
          <w:bCs/>
          <w:color w:val="auto"/>
          <w:sz w:val="22"/>
          <w:szCs w:val="22"/>
          <w:lang w:val="es-ES_tradnl"/>
        </w:rPr>
        <w:t>;</w:t>
      </w:r>
    </w:p>
    <w:p w:rsidR="005C4FC2" w:rsidRDefault="001A1958" w:rsidP="001372EE">
      <w:pPr>
        <w:pStyle w:val="Default"/>
        <w:numPr>
          <w:ilvl w:val="0"/>
          <w:numId w:val="3"/>
        </w:numPr>
        <w:tabs>
          <w:tab w:val="left" w:pos="0"/>
        </w:tabs>
        <w:spacing w:line="276" w:lineRule="auto"/>
        <w:jc w:val="both"/>
        <w:rPr>
          <w:rFonts w:ascii="ITC Avant Garde" w:hAnsi="ITC Avant Garde"/>
          <w:bCs/>
          <w:color w:val="auto"/>
          <w:sz w:val="22"/>
          <w:szCs w:val="22"/>
          <w:lang w:val="es-ES_tradnl"/>
        </w:rPr>
      </w:pPr>
      <w:r w:rsidRPr="005C4FC2">
        <w:rPr>
          <w:rFonts w:ascii="ITC Avant Garde" w:hAnsi="ITC Avant Garde"/>
          <w:bCs/>
          <w:color w:val="auto"/>
          <w:sz w:val="22"/>
          <w:szCs w:val="22"/>
          <w:lang w:val="es-ES_tradnl"/>
        </w:rPr>
        <w:t>Empoderar a los usuarios finales para que cuenten con elementos que les permitan tomar decisiones informadas y sustentadas al momento de seleccionar su proveedor de</w:t>
      </w:r>
      <w:r w:rsidR="00184B48" w:rsidRPr="005C4FC2">
        <w:rPr>
          <w:rFonts w:ascii="ITC Avant Garde" w:hAnsi="ITC Avant Garde"/>
          <w:bCs/>
          <w:color w:val="auto"/>
          <w:sz w:val="22"/>
          <w:szCs w:val="22"/>
          <w:lang w:val="es-ES_tradnl"/>
        </w:rPr>
        <w:t>l</w:t>
      </w:r>
      <w:r w:rsidRPr="005C4FC2">
        <w:rPr>
          <w:rFonts w:ascii="ITC Avant Garde" w:hAnsi="ITC Avant Garde"/>
          <w:bCs/>
          <w:color w:val="auto"/>
          <w:sz w:val="22"/>
          <w:szCs w:val="22"/>
          <w:lang w:val="es-ES_tradnl"/>
        </w:rPr>
        <w:t xml:space="preserve"> servicio</w:t>
      </w:r>
      <w:r w:rsidR="006A1FCA" w:rsidRPr="005C4FC2">
        <w:rPr>
          <w:rFonts w:ascii="ITC Avant Garde" w:hAnsi="ITC Avant Garde"/>
          <w:bCs/>
          <w:color w:val="auto"/>
          <w:sz w:val="22"/>
          <w:szCs w:val="22"/>
          <w:lang w:val="es-ES_tradnl"/>
        </w:rPr>
        <w:t xml:space="preserve"> fijo</w:t>
      </w:r>
      <w:r w:rsidR="005C4FC2">
        <w:rPr>
          <w:rFonts w:ascii="ITC Avant Garde" w:hAnsi="ITC Avant Garde"/>
          <w:bCs/>
          <w:color w:val="auto"/>
          <w:sz w:val="22"/>
          <w:szCs w:val="22"/>
          <w:lang w:val="es-ES_tradnl"/>
        </w:rPr>
        <w:t>.</w:t>
      </w:r>
    </w:p>
    <w:p w:rsidR="00384D84" w:rsidRPr="005C4FC2" w:rsidRDefault="00384D84" w:rsidP="001372EE">
      <w:pPr>
        <w:pStyle w:val="Default"/>
        <w:numPr>
          <w:ilvl w:val="0"/>
          <w:numId w:val="3"/>
        </w:numPr>
        <w:tabs>
          <w:tab w:val="left" w:pos="0"/>
        </w:tabs>
        <w:spacing w:line="276" w:lineRule="auto"/>
        <w:jc w:val="both"/>
        <w:rPr>
          <w:rFonts w:ascii="ITC Avant Garde" w:hAnsi="ITC Avant Garde"/>
          <w:bCs/>
          <w:color w:val="auto"/>
          <w:sz w:val="22"/>
          <w:szCs w:val="22"/>
          <w:lang w:val="es-ES_tradnl"/>
        </w:rPr>
      </w:pPr>
      <w:r w:rsidRPr="005C4FC2">
        <w:rPr>
          <w:rFonts w:ascii="ITC Avant Garde" w:hAnsi="ITC Avant Garde"/>
          <w:bCs/>
          <w:color w:val="auto"/>
          <w:sz w:val="22"/>
          <w:szCs w:val="22"/>
          <w:lang w:val="es-ES_tradnl"/>
        </w:rPr>
        <w:t>Establecer reglas aplicables a los prestadores del servicio acordes con las tecnologías actuales, las necesidades reales de los usuarios finales y las recomendaciones de organismos de estandarización</w:t>
      </w:r>
      <w:r w:rsidR="00184B48" w:rsidRPr="005C4FC2">
        <w:rPr>
          <w:rFonts w:ascii="ITC Avant Garde" w:hAnsi="ITC Avant Garde"/>
          <w:bCs/>
          <w:color w:val="auto"/>
          <w:sz w:val="22"/>
          <w:szCs w:val="22"/>
          <w:lang w:val="es-ES_tradnl"/>
        </w:rPr>
        <w:t xml:space="preserve"> a nivel internacional</w:t>
      </w:r>
      <w:r w:rsidR="00A65D5B" w:rsidRPr="005C4FC2">
        <w:rPr>
          <w:rFonts w:ascii="ITC Avant Garde" w:hAnsi="ITC Avant Garde"/>
          <w:bCs/>
          <w:color w:val="auto"/>
          <w:sz w:val="22"/>
          <w:szCs w:val="22"/>
          <w:lang w:val="es-ES_tradnl"/>
        </w:rPr>
        <w:t>, y</w:t>
      </w:r>
      <w:r w:rsidR="00E21F24" w:rsidRPr="005C4FC2">
        <w:rPr>
          <w:rFonts w:ascii="ITC Avant Garde" w:hAnsi="ITC Avant Garde"/>
          <w:bCs/>
          <w:color w:val="auto"/>
          <w:sz w:val="22"/>
          <w:szCs w:val="22"/>
          <w:lang w:val="es-ES_tradnl"/>
        </w:rPr>
        <w:t>;</w:t>
      </w:r>
      <w:r w:rsidRPr="005C4FC2">
        <w:rPr>
          <w:rFonts w:ascii="ITC Avant Garde" w:hAnsi="ITC Avant Garde"/>
          <w:bCs/>
          <w:color w:val="auto"/>
          <w:sz w:val="22"/>
          <w:szCs w:val="22"/>
          <w:lang w:val="es-ES_tradnl"/>
        </w:rPr>
        <w:t xml:space="preserve"> </w:t>
      </w:r>
    </w:p>
    <w:p w:rsidR="007C334A" w:rsidRPr="007D2E96" w:rsidRDefault="00184B48" w:rsidP="007C334A">
      <w:pPr>
        <w:pStyle w:val="Default"/>
        <w:numPr>
          <w:ilvl w:val="0"/>
          <w:numId w:val="3"/>
        </w:numPr>
        <w:tabs>
          <w:tab w:val="left" w:pos="0"/>
        </w:tabs>
        <w:spacing w:line="276" w:lineRule="auto"/>
        <w:jc w:val="both"/>
        <w:rPr>
          <w:rFonts w:ascii="ITC Avant Garde" w:hAnsi="ITC Avant Garde"/>
          <w:bCs/>
          <w:color w:val="auto"/>
          <w:sz w:val="22"/>
          <w:szCs w:val="22"/>
          <w:lang w:val="es-ES_tradnl"/>
        </w:rPr>
      </w:pPr>
      <w:r w:rsidRPr="00370665">
        <w:rPr>
          <w:rFonts w:ascii="ITC Avant Garde" w:hAnsi="ITC Avant Garde"/>
          <w:bCs/>
          <w:color w:val="auto"/>
          <w:sz w:val="22"/>
          <w:szCs w:val="22"/>
          <w:lang w:val="es-ES_tradnl"/>
        </w:rPr>
        <w:t xml:space="preserve">Proponer una metodología de mediciones a través de la cual se </w:t>
      </w:r>
      <w:r w:rsidR="005C4FC2">
        <w:rPr>
          <w:rFonts w:ascii="ITC Avant Garde" w:hAnsi="ITC Avant Garde"/>
          <w:bCs/>
          <w:color w:val="auto"/>
          <w:sz w:val="22"/>
          <w:szCs w:val="22"/>
          <w:lang w:val="es-ES_tradnl"/>
        </w:rPr>
        <w:t>verifique</w:t>
      </w:r>
      <w:r w:rsidR="00E9247F" w:rsidRPr="00370665">
        <w:rPr>
          <w:rFonts w:ascii="ITC Avant Garde" w:hAnsi="ITC Avant Garde"/>
          <w:bCs/>
          <w:color w:val="auto"/>
          <w:sz w:val="22"/>
          <w:szCs w:val="22"/>
          <w:lang w:val="es-ES_tradnl"/>
        </w:rPr>
        <w:t xml:space="preserve"> </w:t>
      </w:r>
      <w:r w:rsidR="001A1958" w:rsidRPr="00370665">
        <w:rPr>
          <w:rFonts w:ascii="ITC Avant Garde" w:hAnsi="ITC Avant Garde"/>
          <w:bCs/>
          <w:color w:val="auto"/>
          <w:sz w:val="22"/>
          <w:szCs w:val="22"/>
          <w:lang w:val="es-ES_tradnl"/>
        </w:rPr>
        <w:t>q</w:t>
      </w:r>
      <w:r w:rsidR="005C4FC2">
        <w:rPr>
          <w:rFonts w:ascii="ITC Avant Garde" w:hAnsi="ITC Avant Garde"/>
          <w:bCs/>
          <w:color w:val="auto"/>
          <w:sz w:val="22"/>
          <w:szCs w:val="22"/>
          <w:lang w:val="es-ES_tradnl"/>
        </w:rPr>
        <w:t xml:space="preserve">ue los prestadores proporcionan </w:t>
      </w:r>
      <w:r w:rsidR="001A1958" w:rsidRPr="00370665">
        <w:rPr>
          <w:rFonts w:ascii="ITC Avant Garde" w:hAnsi="ITC Avant Garde"/>
          <w:bCs/>
          <w:color w:val="auto"/>
          <w:sz w:val="22"/>
          <w:szCs w:val="22"/>
          <w:lang w:val="es-ES_tradnl"/>
        </w:rPr>
        <w:t xml:space="preserve">los servicios </w:t>
      </w:r>
      <w:r w:rsidR="006A1FCA" w:rsidRPr="00370665">
        <w:rPr>
          <w:rFonts w:ascii="ITC Avant Garde" w:hAnsi="ITC Avant Garde"/>
          <w:bCs/>
          <w:color w:val="auto"/>
          <w:sz w:val="22"/>
          <w:szCs w:val="22"/>
          <w:lang w:val="es-ES_tradnl"/>
        </w:rPr>
        <w:t xml:space="preserve">fijos </w:t>
      </w:r>
      <w:r w:rsidR="001A1958" w:rsidRPr="00370665">
        <w:rPr>
          <w:rFonts w:ascii="ITC Avant Garde" w:hAnsi="ITC Avant Garde"/>
          <w:bCs/>
          <w:color w:val="auto"/>
          <w:sz w:val="22"/>
          <w:szCs w:val="22"/>
          <w:lang w:val="es-ES_tradnl"/>
        </w:rPr>
        <w:t xml:space="preserve">contratados </w:t>
      </w:r>
      <w:r w:rsidR="005C4FC2">
        <w:rPr>
          <w:rFonts w:ascii="ITC Avant Garde" w:hAnsi="ITC Avant Garde"/>
          <w:bCs/>
          <w:color w:val="auto"/>
          <w:sz w:val="22"/>
          <w:szCs w:val="22"/>
          <w:lang w:val="es-ES_tradnl"/>
        </w:rPr>
        <w:t xml:space="preserve">con </w:t>
      </w:r>
      <w:r w:rsidR="001A1958" w:rsidRPr="00370665">
        <w:rPr>
          <w:rFonts w:ascii="ITC Avant Garde" w:hAnsi="ITC Avant Garde"/>
          <w:bCs/>
          <w:color w:val="auto"/>
          <w:sz w:val="22"/>
          <w:szCs w:val="22"/>
          <w:lang w:val="es-ES_tradnl"/>
        </w:rPr>
        <w:t xml:space="preserve">los niveles mínimos de calidad </w:t>
      </w:r>
      <w:r w:rsidR="00E9247F" w:rsidRPr="00370665">
        <w:rPr>
          <w:rFonts w:ascii="ITC Avant Garde" w:hAnsi="ITC Avant Garde"/>
          <w:bCs/>
          <w:color w:val="auto"/>
          <w:sz w:val="22"/>
          <w:szCs w:val="22"/>
          <w:lang w:val="es-ES_tradnl"/>
        </w:rPr>
        <w:t>establecidos</w:t>
      </w:r>
      <w:r w:rsidR="00A65D5B" w:rsidRPr="00370665">
        <w:rPr>
          <w:rFonts w:ascii="ITC Avant Garde" w:hAnsi="ITC Avant Garde"/>
          <w:bCs/>
          <w:color w:val="auto"/>
          <w:sz w:val="22"/>
          <w:szCs w:val="22"/>
          <w:lang w:val="es-ES_tradnl"/>
        </w:rPr>
        <w:t>.</w:t>
      </w:r>
    </w:p>
    <w:p w:rsidR="00C35169" w:rsidRDefault="00C35169" w:rsidP="00461C4A">
      <w:pPr>
        <w:pStyle w:val="Default"/>
        <w:tabs>
          <w:tab w:val="left" w:pos="0"/>
        </w:tabs>
        <w:spacing w:line="276" w:lineRule="auto"/>
        <w:jc w:val="both"/>
        <w:rPr>
          <w:rFonts w:ascii="ITC Avant Garde" w:hAnsi="ITC Avant Garde"/>
          <w:b/>
          <w:bCs/>
          <w:sz w:val="22"/>
          <w:szCs w:val="22"/>
          <w:lang w:val="es-ES_tradnl"/>
        </w:rPr>
      </w:pPr>
    </w:p>
    <w:p w:rsidR="00D80971" w:rsidRPr="00370665" w:rsidRDefault="00D80971" w:rsidP="0013355A">
      <w:pPr>
        <w:pStyle w:val="Default"/>
        <w:tabs>
          <w:tab w:val="left" w:pos="0"/>
        </w:tabs>
        <w:spacing w:line="276" w:lineRule="auto"/>
        <w:jc w:val="both"/>
        <w:rPr>
          <w:rFonts w:ascii="ITC Avant Garde" w:hAnsi="ITC Avant Garde"/>
          <w:b/>
          <w:bCs/>
          <w:sz w:val="22"/>
          <w:szCs w:val="22"/>
          <w:lang w:val="es-ES_tradnl"/>
        </w:rPr>
      </w:pPr>
    </w:p>
    <w:p w:rsidR="002C0B35" w:rsidRPr="00370665" w:rsidRDefault="00D652D9" w:rsidP="00461C4A">
      <w:pPr>
        <w:pStyle w:val="Default"/>
        <w:tabs>
          <w:tab w:val="left" w:pos="0"/>
        </w:tabs>
        <w:spacing w:line="276" w:lineRule="auto"/>
        <w:jc w:val="both"/>
        <w:rPr>
          <w:rFonts w:ascii="ITC Avant Garde" w:hAnsi="ITC Avant Garde"/>
          <w:sz w:val="22"/>
          <w:szCs w:val="22"/>
          <w:lang w:val="es-ES_tradnl"/>
        </w:rPr>
      </w:pPr>
      <w:r>
        <w:rPr>
          <w:rFonts w:ascii="ITC Avant Garde" w:hAnsi="ITC Avant Garde"/>
          <w:b/>
          <w:bCs/>
          <w:sz w:val="22"/>
          <w:szCs w:val="22"/>
          <w:lang w:val="es-ES_tradnl"/>
        </w:rPr>
        <w:t>TERCERO</w:t>
      </w:r>
      <w:r w:rsidR="00C35169" w:rsidRPr="00370665">
        <w:rPr>
          <w:rFonts w:ascii="ITC Avant Garde" w:hAnsi="ITC Avant Garde"/>
          <w:b/>
          <w:bCs/>
          <w:sz w:val="22"/>
          <w:szCs w:val="22"/>
          <w:lang w:val="es-ES_tradnl"/>
        </w:rPr>
        <w:t xml:space="preserve">.- </w:t>
      </w:r>
      <w:r w:rsidR="00425FC0" w:rsidRPr="00370665">
        <w:rPr>
          <w:rFonts w:ascii="ITC Avant Garde" w:hAnsi="ITC Avant Garde"/>
          <w:b/>
          <w:sz w:val="22"/>
          <w:szCs w:val="22"/>
          <w:lang w:val="es-ES_tradnl"/>
        </w:rPr>
        <w:t>Consulta Pública</w:t>
      </w:r>
      <w:r w:rsidR="00C35169" w:rsidRPr="00370665">
        <w:rPr>
          <w:rFonts w:ascii="ITC Avant Garde" w:hAnsi="ITC Avant Garde"/>
          <w:b/>
          <w:sz w:val="22"/>
          <w:szCs w:val="22"/>
          <w:lang w:val="es-ES_tradnl"/>
        </w:rPr>
        <w:t>.</w:t>
      </w:r>
      <w:r w:rsidR="00C35169" w:rsidRPr="00370665">
        <w:rPr>
          <w:rFonts w:ascii="ITC Avant Garde" w:hAnsi="ITC Avant Garde"/>
          <w:sz w:val="22"/>
          <w:szCs w:val="22"/>
          <w:lang w:val="es-ES_tradnl"/>
        </w:rPr>
        <w:t xml:space="preserve"> </w:t>
      </w:r>
      <w:r w:rsidR="002C0B35" w:rsidRPr="00370665">
        <w:rPr>
          <w:rFonts w:ascii="ITC Avant Garde" w:hAnsi="ITC Avant Garde"/>
          <w:sz w:val="22"/>
          <w:szCs w:val="22"/>
          <w:lang w:val="es-ES_tradnl"/>
        </w:rPr>
        <w:t xml:space="preserve">La consulta pública tiene por objeto cumplir con los principios de transparencia y participación ciudadana por parte del Instituto, con la finalidad de recabar comentarios de la industria, de especialistas en la materia y del público en general, para que sean analizados por este Instituto, y de resultar procedente, con ellos fortalecer sus disposiciones con el fin de perfeccionar su diseño y operación. </w:t>
      </w:r>
    </w:p>
    <w:p w:rsidR="002C0B35" w:rsidRPr="00370665" w:rsidRDefault="002C0B35" w:rsidP="00461C4A">
      <w:pPr>
        <w:pStyle w:val="Default"/>
        <w:tabs>
          <w:tab w:val="left" w:pos="0"/>
        </w:tabs>
        <w:spacing w:line="276" w:lineRule="auto"/>
        <w:jc w:val="both"/>
        <w:rPr>
          <w:rFonts w:ascii="ITC Avant Garde" w:hAnsi="ITC Avant Garde"/>
          <w:sz w:val="22"/>
          <w:szCs w:val="22"/>
          <w:lang w:val="es-ES_tradnl"/>
        </w:rPr>
      </w:pPr>
    </w:p>
    <w:p w:rsidR="00866E36" w:rsidRPr="00370665" w:rsidRDefault="002C0B35" w:rsidP="00461C4A">
      <w:pPr>
        <w:pStyle w:val="Default"/>
        <w:tabs>
          <w:tab w:val="left" w:pos="0"/>
        </w:tabs>
        <w:spacing w:line="276" w:lineRule="auto"/>
        <w:jc w:val="both"/>
        <w:rPr>
          <w:rFonts w:ascii="ITC Avant Garde" w:hAnsi="ITC Avant Garde"/>
          <w:bCs/>
          <w:sz w:val="22"/>
          <w:szCs w:val="22"/>
          <w:lang w:val="es-ES_tradnl"/>
        </w:rPr>
      </w:pPr>
      <w:r w:rsidRPr="00370665">
        <w:rPr>
          <w:rFonts w:ascii="ITC Avant Garde" w:hAnsi="ITC Avant Garde"/>
          <w:sz w:val="22"/>
          <w:szCs w:val="22"/>
          <w:lang w:val="es-ES_tradnl"/>
        </w:rPr>
        <w:t xml:space="preserve">En ese sentido, el </w:t>
      </w:r>
      <w:r w:rsidR="00866E36" w:rsidRPr="00370665">
        <w:rPr>
          <w:rFonts w:ascii="ITC Avant Garde" w:hAnsi="ITC Avant Garde"/>
          <w:bCs/>
          <w:sz w:val="22"/>
          <w:szCs w:val="22"/>
          <w:lang w:val="es-ES_tradnl"/>
        </w:rPr>
        <w:t xml:space="preserve">artículo 51 de la LFTR establece </w:t>
      </w:r>
      <w:r w:rsidR="00D652D9" w:rsidRPr="00370665">
        <w:rPr>
          <w:rFonts w:ascii="ITC Avant Garde" w:hAnsi="ITC Avant Garde"/>
          <w:bCs/>
          <w:sz w:val="22"/>
          <w:szCs w:val="22"/>
          <w:lang w:val="es-ES_tradnl"/>
        </w:rPr>
        <w:t>que,</w:t>
      </w:r>
      <w:r w:rsidR="00866E36" w:rsidRPr="00370665">
        <w:rPr>
          <w:rFonts w:ascii="ITC Avant Garde" w:hAnsi="ITC Avant Garde"/>
          <w:bCs/>
          <w:sz w:val="22"/>
          <w:szCs w:val="22"/>
          <w:lang w:val="es-ES_tradnl"/>
        </w:rPr>
        <w:t xml:space="preserve"> para la emisión y modificación de reglas, lineamientos o disposiciones administrativas de carácter general, así como en cualquier caso que determine el Pleno, el Instituto deberá realizar consultas públicas bajo los principios de transparencia y participación ciudadana, salvo que la publicación pudiera comprometer los efectos que se pretenden resolver o prevenir una situación de emergencia.</w:t>
      </w:r>
    </w:p>
    <w:p w:rsidR="00866E36" w:rsidRPr="00370665" w:rsidRDefault="00866E36" w:rsidP="00461C4A">
      <w:pPr>
        <w:pStyle w:val="Default"/>
        <w:tabs>
          <w:tab w:val="left" w:pos="0"/>
        </w:tabs>
        <w:spacing w:line="276" w:lineRule="auto"/>
        <w:jc w:val="both"/>
        <w:rPr>
          <w:rFonts w:ascii="ITC Avant Garde" w:hAnsi="ITC Avant Garde"/>
          <w:bCs/>
          <w:sz w:val="22"/>
          <w:szCs w:val="22"/>
          <w:lang w:val="es-ES_tradnl"/>
        </w:rPr>
      </w:pPr>
    </w:p>
    <w:p w:rsidR="003301B4" w:rsidRPr="00370665" w:rsidRDefault="00B903F0" w:rsidP="00461C4A">
      <w:pPr>
        <w:pStyle w:val="Default"/>
        <w:tabs>
          <w:tab w:val="left" w:pos="0"/>
        </w:tabs>
        <w:spacing w:line="276" w:lineRule="auto"/>
        <w:jc w:val="both"/>
        <w:rPr>
          <w:rFonts w:ascii="ITC Avant Garde" w:hAnsi="ITC Avant Garde"/>
          <w:sz w:val="22"/>
          <w:szCs w:val="22"/>
          <w:lang w:val="es-ES_tradnl"/>
        </w:rPr>
      </w:pPr>
      <w:r w:rsidRPr="00370665">
        <w:rPr>
          <w:rFonts w:ascii="ITC Avant Garde" w:hAnsi="ITC Avant Garde"/>
          <w:sz w:val="22"/>
          <w:szCs w:val="22"/>
          <w:lang w:val="es-ES_tradnl"/>
        </w:rPr>
        <w:t>En el caso del “</w:t>
      </w:r>
      <w:r w:rsidR="00461C4A" w:rsidRPr="00370665">
        <w:rPr>
          <w:rFonts w:ascii="ITC Avant Garde" w:hAnsi="ITC Avant Garde"/>
          <w:sz w:val="22"/>
          <w:szCs w:val="22"/>
          <w:lang w:val="es-ES_tradnl"/>
        </w:rPr>
        <w:t>ANTEPROYECTO DE LINEAMIENTOS QUE FIJAN LOS ÍNDICES Y PARÁMETROS DE CALIDAD A QUE DEBERÁN SUJETARSE LOS PRESTADORES DEL SERVICIO FIJO</w:t>
      </w:r>
      <w:r w:rsidRPr="00370665">
        <w:rPr>
          <w:rFonts w:ascii="ITC Avant Garde" w:hAnsi="ITC Avant Garde"/>
          <w:sz w:val="22"/>
          <w:szCs w:val="22"/>
          <w:lang w:val="es-ES_tradnl"/>
        </w:rPr>
        <w:t>”, se considera que su publicidad no compromete los efectos que se pretenden resolver y tampoco es ne</w:t>
      </w:r>
      <w:r w:rsidR="0061749A" w:rsidRPr="00370665">
        <w:rPr>
          <w:rFonts w:ascii="ITC Avant Garde" w:hAnsi="ITC Avant Garde"/>
          <w:sz w:val="22"/>
          <w:szCs w:val="22"/>
          <w:lang w:val="es-ES_tradnl"/>
        </w:rPr>
        <w:t>c</w:t>
      </w:r>
      <w:r w:rsidRPr="00370665">
        <w:rPr>
          <w:rFonts w:ascii="ITC Avant Garde" w:hAnsi="ITC Avant Garde"/>
          <w:sz w:val="22"/>
          <w:szCs w:val="22"/>
          <w:lang w:val="es-ES_tradnl"/>
        </w:rPr>
        <w:t xml:space="preserve">esario prevenir alguna situación </w:t>
      </w:r>
      <w:r w:rsidRPr="00370665">
        <w:rPr>
          <w:rFonts w:ascii="ITC Avant Garde" w:hAnsi="ITC Avant Garde"/>
          <w:sz w:val="22"/>
          <w:szCs w:val="22"/>
          <w:lang w:val="es-ES_tradnl"/>
        </w:rPr>
        <w:lastRenderedPageBreak/>
        <w:t>de emergencia. Se contempla q</w:t>
      </w:r>
      <w:r w:rsidR="00C35169" w:rsidRPr="00370665">
        <w:rPr>
          <w:rFonts w:ascii="ITC Avant Garde" w:hAnsi="ITC Avant Garde"/>
          <w:sz w:val="22"/>
          <w:szCs w:val="22"/>
          <w:lang w:val="es-ES_tradnl"/>
        </w:rPr>
        <w:t xml:space="preserve">ue con la emisión de la consulta pública del Anteproyecto se alcanzan los siguientes objetivos: </w:t>
      </w:r>
    </w:p>
    <w:p w:rsidR="00B903F0" w:rsidRPr="00370665" w:rsidRDefault="00B903F0" w:rsidP="00461C4A">
      <w:pPr>
        <w:pStyle w:val="Default"/>
        <w:tabs>
          <w:tab w:val="left" w:pos="0"/>
        </w:tabs>
        <w:spacing w:line="276" w:lineRule="auto"/>
        <w:jc w:val="both"/>
        <w:rPr>
          <w:rFonts w:ascii="ITC Avant Garde" w:hAnsi="ITC Avant Garde"/>
          <w:sz w:val="22"/>
          <w:szCs w:val="22"/>
          <w:lang w:val="es-ES_tradnl"/>
        </w:rPr>
      </w:pPr>
    </w:p>
    <w:p w:rsidR="00C35169" w:rsidRPr="00370665" w:rsidRDefault="00B903F0" w:rsidP="00461C4A">
      <w:pPr>
        <w:pStyle w:val="Default"/>
        <w:numPr>
          <w:ilvl w:val="0"/>
          <w:numId w:val="1"/>
        </w:numPr>
        <w:tabs>
          <w:tab w:val="left" w:pos="0"/>
        </w:tabs>
        <w:spacing w:line="276" w:lineRule="auto"/>
        <w:jc w:val="both"/>
        <w:rPr>
          <w:rFonts w:ascii="ITC Avant Garde" w:hAnsi="ITC Avant Garde"/>
          <w:sz w:val="22"/>
          <w:szCs w:val="22"/>
          <w:lang w:val="es-ES_tradnl"/>
        </w:rPr>
      </w:pPr>
      <w:r w:rsidRPr="00370665">
        <w:rPr>
          <w:rFonts w:ascii="ITC Avant Garde" w:hAnsi="ITC Avant Garde"/>
          <w:sz w:val="22"/>
          <w:szCs w:val="22"/>
          <w:lang w:val="es-ES_tradnl"/>
        </w:rPr>
        <w:t xml:space="preserve">Observar </w:t>
      </w:r>
      <w:r w:rsidR="00C35169" w:rsidRPr="00370665">
        <w:rPr>
          <w:rFonts w:ascii="ITC Avant Garde" w:hAnsi="ITC Avant Garde"/>
          <w:sz w:val="22"/>
          <w:szCs w:val="22"/>
          <w:lang w:val="es-ES_tradnl"/>
        </w:rPr>
        <w:t>el principio de tr</w:t>
      </w:r>
      <w:r w:rsidR="003301B4" w:rsidRPr="00370665">
        <w:rPr>
          <w:rFonts w:ascii="ITC Avant Garde" w:hAnsi="ITC Avant Garde"/>
          <w:sz w:val="22"/>
          <w:szCs w:val="22"/>
          <w:lang w:val="es-ES_tradnl"/>
        </w:rPr>
        <w:t>ansparencia en la emisión de</w:t>
      </w:r>
      <w:r w:rsidRPr="00370665">
        <w:rPr>
          <w:rFonts w:ascii="ITC Avant Garde" w:hAnsi="ITC Avant Garde"/>
          <w:sz w:val="22"/>
          <w:szCs w:val="22"/>
          <w:lang w:val="es-ES_tradnl"/>
        </w:rPr>
        <w:t>l Anteproyecto</w:t>
      </w:r>
      <w:r w:rsidR="00B57440">
        <w:rPr>
          <w:rFonts w:ascii="ITC Avant Garde" w:hAnsi="ITC Avant Garde"/>
          <w:sz w:val="22"/>
          <w:szCs w:val="22"/>
          <w:lang w:val="es-ES_tradnl"/>
        </w:rPr>
        <w:t>;</w:t>
      </w:r>
      <w:r w:rsidR="003301B4" w:rsidRPr="00370665">
        <w:rPr>
          <w:rFonts w:ascii="ITC Avant Garde" w:hAnsi="ITC Avant Garde"/>
          <w:sz w:val="22"/>
          <w:szCs w:val="22"/>
          <w:lang w:val="es-ES_tradnl"/>
        </w:rPr>
        <w:t xml:space="preserve"> </w:t>
      </w:r>
    </w:p>
    <w:p w:rsidR="00B57440" w:rsidRDefault="00A65F18" w:rsidP="00461C4A">
      <w:pPr>
        <w:pStyle w:val="Default"/>
        <w:numPr>
          <w:ilvl w:val="0"/>
          <w:numId w:val="1"/>
        </w:numPr>
        <w:tabs>
          <w:tab w:val="left" w:pos="0"/>
        </w:tabs>
        <w:spacing w:line="276" w:lineRule="auto"/>
        <w:jc w:val="both"/>
        <w:rPr>
          <w:rFonts w:ascii="ITC Avant Garde" w:hAnsi="ITC Avant Garde"/>
          <w:sz w:val="22"/>
          <w:szCs w:val="22"/>
          <w:lang w:val="es-ES_tradnl"/>
        </w:rPr>
      </w:pPr>
      <w:r w:rsidRPr="00370665">
        <w:rPr>
          <w:rFonts w:ascii="ITC Avant Garde" w:hAnsi="ITC Avant Garde"/>
          <w:sz w:val="22"/>
          <w:szCs w:val="22"/>
          <w:lang w:val="es-ES_tradnl"/>
        </w:rPr>
        <w:t>Identificar las áreas de</w:t>
      </w:r>
      <w:r w:rsidR="00B57440">
        <w:rPr>
          <w:rFonts w:ascii="ITC Avant Garde" w:hAnsi="ITC Avant Garde"/>
          <w:sz w:val="22"/>
          <w:szCs w:val="22"/>
          <w:lang w:val="es-ES_tradnl"/>
        </w:rPr>
        <w:t xml:space="preserve"> oportunidad de la regulación, y;</w:t>
      </w:r>
    </w:p>
    <w:p w:rsidR="00C35169" w:rsidRPr="00370665" w:rsidRDefault="00B57440" w:rsidP="00461C4A">
      <w:pPr>
        <w:pStyle w:val="Default"/>
        <w:numPr>
          <w:ilvl w:val="0"/>
          <w:numId w:val="1"/>
        </w:numPr>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F</w:t>
      </w:r>
      <w:r w:rsidR="00C35169" w:rsidRPr="00370665">
        <w:rPr>
          <w:rFonts w:ascii="ITC Avant Garde" w:hAnsi="ITC Avant Garde"/>
          <w:sz w:val="22"/>
          <w:szCs w:val="22"/>
          <w:lang w:val="es-ES_tradnl"/>
        </w:rPr>
        <w:t>ortalecer</w:t>
      </w:r>
      <w:r w:rsidR="002C0B35" w:rsidRPr="00370665">
        <w:rPr>
          <w:rFonts w:ascii="ITC Avant Garde" w:hAnsi="ITC Avant Garde"/>
          <w:sz w:val="22"/>
          <w:szCs w:val="22"/>
          <w:lang w:val="es-ES_tradnl"/>
        </w:rPr>
        <w:t xml:space="preserve"> el proyecto de regulación con</w:t>
      </w:r>
      <w:r w:rsidR="00C35169" w:rsidRPr="00370665">
        <w:rPr>
          <w:rFonts w:ascii="ITC Avant Garde" w:hAnsi="ITC Avant Garde"/>
          <w:sz w:val="22"/>
          <w:szCs w:val="22"/>
          <w:lang w:val="es-ES_tradnl"/>
        </w:rPr>
        <w:t xml:space="preserve"> los planteamientos expuestos mediante la participación ciudadana, </w:t>
      </w:r>
      <w:r w:rsidR="002C0B35" w:rsidRPr="00370665">
        <w:rPr>
          <w:rFonts w:ascii="ITC Avant Garde" w:hAnsi="ITC Avant Garde"/>
          <w:sz w:val="22"/>
          <w:szCs w:val="22"/>
          <w:lang w:val="es-ES_tradnl"/>
        </w:rPr>
        <w:t xml:space="preserve">a fin de generar </w:t>
      </w:r>
      <w:r w:rsidR="00C35169" w:rsidRPr="00370665">
        <w:rPr>
          <w:rFonts w:ascii="ITC Avant Garde" w:hAnsi="ITC Avant Garde"/>
          <w:sz w:val="22"/>
          <w:szCs w:val="22"/>
          <w:lang w:val="es-ES_tradnl"/>
        </w:rPr>
        <w:t>un documento más robusto y eficiente qu</w:t>
      </w:r>
      <w:r w:rsidR="00DB5D34" w:rsidRPr="00370665">
        <w:rPr>
          <w:rFonts w:ascii="ITC Avant Garde" w:hAnsi="ITC Avant Garde"/>
          <w:sz w:val="22"/>
          <w:szCs w:val="22"/>
          <w:lang w:val="es-ES_tradnl"/>
        </w:rPr>
        <w:t>e busque brindar una cobertura ó</w:t>
      </w:r>
      <w:r w:rsidR="00C35169" w:rsidRPr="00370665">
        <w:rPr>
          <w:rFonts w:ascii="ITC Avant Garde" w:hAnsi="ITC Avant Garde"/>
          <w:sz w:val="22"/>
          <w:szCs w:val="22"/>
          <w:lang w:val="es-ES_tradnl"/>
        </w:rPr>
        <w:t>ptima a las necesidades y sugerencias en beneficio de todo el sector</w:t>
      </w:r>
      <w:r w:rsidR="002C0B35" w:rsidRPr="00370665">
        <w:rPr>
          <w:rFonts w:ascii="ITC Avant Garde" w:hAnsi="ITC Avant Garde"/>
          <w:sz w:val="22"/>
          <w:szCs w:val="22"/>
          <w:lang w:val="es-ES_tradnl"/>
        </w:rPr>
        <w:t xml:space="preserve"> y por supuesto del usuario final</w:t>
      </w:r>
      <w:r w:rsidR="00C35169" w:rsidRPr="00370665">
        <w:rPr>
          <w:rFonts w:ascii="ITC Avant Garde" w:hAnsi="ITC Avant Garde"/>
          <w:sz w:val="22"/>
          <w:szCs w:val="22"/>
          <w:lang w:val="es-ES_tradnl"/>
        </w:rPr>
        <w:t xml:space="preserve">. </w:t>
      </w:r>
    </w:p>
    <w:p w:rsidR="00C35169" w:rsidRPr="00370665" w:rsidRDefault="00C35169" w:rsidP="00461C4A">
      <w:pPr>
        <w:pStyle w:val="Default"/>
        <w:tabs>
          <w:tab w:val="left" w:pos="0"/>
        </w:tabs>
        <w:spacing w:line="276" w:lineRule="auto"/>
        <w:jc w:val="both"/>
        <w:rPr>
          <w:rFonts w:ascii="ITC Avant Garde" w:hAnsi="ITC Avant Garde"/>
          <w:bCs/>
          <w:sz w:val="22"/>
          <w:szCs w:val="22"/>
          <w:lang w:val="es-ES_tradnl"/>
        </w:rPr>
      </w:pPr>
    </w:p>
    <w:p w:rsidR="00C35169" w:rsidRPr="00370665" w:rsidRDefault="00C35169" w:rsidP="002C0B35">
      <w:pPr>
        <w:pStyle w:val="Default"/>
        <w:tabs>
          <w:tab w:val="left" w:pos="0"/>
        </w:tabs>
        <w:spacing w:line="276" w:lineRule="auto"/>
        <w:jc w:val="both"/>
        <w:rPr>
          <w:rFonts w:ascii="ITC Avant Garde" w:hAnsi="ITC Avant Garde"/>
          <w:bCs/>
          <w:sz w:val="22"/>
          <w:szCs w:val="22"/>
          <w:lang w:val="es-ES_tradnl"/>
        </w:rPr>
      </w:pPr>
      <w:r w:rsidRPr="00370665">
        <w:rPr>
          <w:rFonts w:ascii="ITC Avant Garde" w:hAnsi="ITC Avant Garde"/>
          <w:bCs/>
          <w:sz w:val="22"/>
          <w:szCs w:val="22"/>
          <w:lang w:val="es-ES_tradnl"/>
        </w:rPr>
        <w:t xml:space="preserve">En este sentido, el Pleno del Instituto estima conveniente someter a consulta pública el </w:t>
      </w:r>
      <w:r w:rsidR="002C0B35" w:rsidRPr="00370665">
        <w:rPr>
          <w:rFonts w:ascii="ITC Avant Garde" w:hAnsi="ITC Avant Garde"/>
          <w:bCs/>
          <w:sz w:val="22"/>
          <w:szCs w:val="22"/>
          <w:lang w:val="es-ES_tradnl"/>
        </w:rPr>
        <w:t>“ANTEPROYECTO DE LINEAMIENTOS QUE FIJAN LOS ÍNDICES Y PARÁMETROS DE CALIDAD A QUE DEBERÁN SUJETARSE LOS PRESTADORES DEL SERVICIO FIJO”,</w:t>
      </w:r>
      <w:r w:rsidRPr="00370665">
        <w:rPr>
          <w:rFonts w:ascii="ITC Avant Garde" w:hAnsi="ITC Avant Garde"/>
          <w:bCs/>
          <w:sz w:val="22"/>
          <w:szCs w:val="22"/>
          <w:lang w:val="es-ES_tradnl"/>
        </w:rPr>
        <w:t xml:space="preserve"> el cual se adjunta al presente Acuerdo como Anexo </w:t>
      </w:r>
      <w:r w:rsidR="002C0B35" w:rsidRPr="00370665">
        <w:rPr>
          <w:rFonts w:ascii="ITC Avant Garde" w:hAnsi="ITC Avant Garde"/>
          <w:bCs/>
          <w:sz w:val="22"/>
          <w:szCs w:val="22"/>
          <w:lang w:val="es-ES_tradnl"/>
        </w:rPr>
        <w:t>Único; al efecto, una vez concluido el plazo de consulta respectivo, se publicarán en el portal de Internet del Instituto todos y cada uno de los comentarios, opiniones y propuestas recibidas.</w:t>
      </w:r>
    </w:p>
    <w:p w:rsidR="00C35169" w:rsidRPr="00370665" w:rsidRDefault="00C35169" w:rsidP="00461C4A">
      <w:pPr>
        <w:pStyle w:val="Default"/>
        <w:tabs>
          <w:tab w:val="left" w:pos="0"/>
        </w:tabs>
        <w:spacing w:line="276" w:lineRule="auto"/>
        <w:jc w:val="both"/>
        <w:rPr>
          <w:rFonts w:ascii="ITC Avant Garde" w:hAnsi="ITC Avant Garde"/>
          <w:bCs/>
          <w:sz w:val="22"/>
          <w:szCs w:val="22"/>
          <w:lang w:val="es-ES_tradnl"/>
        </w:rPr>
      </w:pPr>
    </w:p>
    <w:p w:rsidR="00C35169" w:rsidRPr="00370665" w:rsidRDefault="00E23470" w:rsidP="00461C4A">
      <w:pPr>
        <w:pStyle w:val="Default"/>
        <w:tabs>
          <w:tab w:val="left" w:pos="0"/>
        </w:tabs>
        <w:spacing w:line="276" w:lineRule="auto"/>
        <w:jc w:val="both"/>
        <w:rPr>
          <w:rFonts w:ascii="ITC Avant Garde" w:hAnsi="ITC Avant Garde"/>
          <w:bCs/>
          <w:sz w:val="22"/>
          <w:szCs w:val="22"/>
          <w:lang w:val="es-ES_tradnl"/>
        </w:rPr>
      </w:pPr>
      <w:r>
        <w:rPr>
          <w:rFonts w:ascii="ITC Avant Garde" w:hAnsi="ITC Avant Garde"/>
          <w:bCs/>
          <w:sz w:val="22"/>
          <w:szCs w:val="22"/>
          <w:lang w:val="es-ES_tradnl"/>
        </w:rPr>
        <w:t>As</w:t>
      </w:r>
      <w:r w:rsidR="006C2864">
        <w:rPr>
          <w:rFonts w:ascii="ITC Avant Garde" w:hAnsi="ITC Avant Garde"/>
          <w:bCs/>
          <w:sz w:val="22"/>
          <w:szCs w:val="22"/>
          <w:lang w:val="es-ES_tradnl"/>
        </w:rPr>
        <w:t>imismo,</w:t>
      </w:r>
      <w:r>
        <w:rPr>
          <w:rFonts w:ascii="ITC Avant Garde" w:hAnsi="ITC Avant Garde"/>
          <w:bCs/>
          <w:sz w:val="22"/>
          <w:szCs w:val="22"/>
          <w:lang w:val="es-ES_tradnl"/>
        </w:rPr>
        <w:t xml:space="preserve"> como parte de la consulta pública, se publicará en conjunto con el Anteproyecto, su correspondiente</w:t>
      </w:r>
      <w:r w:rsidR="00C35169" w:rsidRPr="00370665">
        <w:rPr>
          <w:rFonts w:ascii="ITC Avant Garde" w:hAnsi="ITC Avant Garde"/>
          <w:bCs/>
          <w:sz w:val="22"/>
          <w:szCs w:val="22"/>
          <w:lang w:val="es-ES_tradnl"/>
        </w:rPr>
        <w:t xml:space="preserve"> </w:t>
      </w:r>
      <w:r w:rsidR="009633D9" w:rsidRPr="00370665">
        <w:rPr>
          <w:rFonts w:ascii="ITC Avant Garde" w:hAnsi="ITC Avant Garde"/>
          <w:bCs/>
          <w:sz w:val="22"/>
          <w:szCs w:val="22"/>
          <w:lang w:val="es-ES_tradnl"/>
        </w:rPr>
        <w:t>A</w:t>
      </w:r>
      <w:r w:rsidR="00C35169" w:rsidRPr="00370665">
        <w:rPr>
          <w:rFonts w:ascii="ITC Avant Garde" w:hAnsi="ITC Avant Garde"/>
          <w:bCs/>
          <w:sz w:val="22"/>
          <w:szCs w:val="22"/>
          <w:lang w:val="es-ES_tradnl"/>
        </w:rPr>
        <w:t xml:space="preserve">nálisis de </w:t>
      </w:r>
      <w:r w:rsidR="009633D9" w:rsidRPr="00370665">
        <w:rPr>
          <w:rFonts w:ascii="ITC Avant Garde" w:hAnsi="ITC Avant Garde"/>
          <w:bCs/>
          <w:sz w:val="22"/>
          <w:szCs w:val="22"/>
          <w:lang w:val="es-ES_tradnl"/>
        </w:rPr>
        <w:t>I</w:t>
      </w:r>
      <w:r w:rsidR="00C35169" w:rsidRPr="00370665">
        <w:rPr>
          <w:rFonts w:ascii="ITC Avant Garde" w:hAnsi="ITC Avant Garde"/>
          <w:bCs/>
          <w:sz w:val="22"/>
          <w:szCs w:val="22"/>
          <w:lang w:val="es-ES_tradnl"/>
        </w:rPr>
        <w:t xml:space="preserve">mpacto </w:t>
      </w:r>
      <w:r w:rsidR="009633D9" w:rsidRPr="00370665">
        <w:rPr>
          <w:rFonts w:ascii="ITC Avant Garde" w:hAnsi="ITC Avant Garde"/>
          <w:bCs/>
          <w:sz w:val="22"/>
          <w:szCs w:val="22"/>
          <w:lang w:val="es-ES_tradnl"/>
        </w:rPr>
        <w:t>R</w:t>
      </w:r>
      <w:r w:rsidR="00C35169" w:rsidRPr="00370665">
        <w:rPr>
          <w:rFonts w:ascii="ITC Avant Garde" w:hAnsi="ITC Avant Garde"/>
          <w:bCs/>
          <w:sz w:val="22"/>
          <w:szCs w:val="22"/>
          <w:lang w:val="es-ES_tradnl"/>
        </w:rPr>
        <w:t xml:space="preserve">egulatorio, conforme a lo dispuesto en el párrafo segundo del artículo 51 de la LFTR. </w:t>
      </w:r>
    </w:p>
    <w:p w:rsidR="00C35169" w:rsidRPr="00370665" w:rsidRDefault="00C35169" w:rsidP="00461C4A">
      <w:pPr>
        <w:pStyle w:val="Default"/>
        <w:tabs>
          <w:tab w:val="left" w:pos="0"/>
        </w:tabs>
        <w:spacing w:line="276" w:lineRule="auto"/>
        <w:jc w:val="both"/>
        <w:rPr>
          <w:rFonts w:ascii="ITC Avant Garde" w:hAnsi="ITC Avant Garde"/>
          <w:b/>
          <w:bCs/>
          <w:color w:val="auto"/>
          <w:sz w:val="22"/>
          <w:szCs w:val="22"/>
          <w:lang w:val="es-ES_tradnl"/>
        </w:rPr>
      </w:pPr>
    </w:p>
    <w:p w:rsidR="00C35169" w:rsidRPr="00370665" w:rsidRDefault="00485697" w:rsidP="00461C4A">
      <w:pPr>
        <w:pStyle w:val="Default"/>
        <w:tabs>
          <w:tab w:val="left" w:pos="0"/>
        </w:tabs>
        <w:spacing w:line="276" w:lineRule="auto"/>
        <w:jc w:val="both"/>
        <w:rPr>
          <w:rFonts w:ascii="ITC Avant Garde" w:hAnsi="ITC Avant Garde"/>
          <w:bCs/>
          <w:sz w:val="22"/>
          <w:szCs w:val="22"/>
          <w:lang w:val="es-ES_tradnl"/>
        </w:rPr>
      </w:pPr>
      <w:r>
        <w:rPr>
          <w:rFonts w:ascii="ITC Avant Garde" w:hAnsi="ITC Avant Garde"/>
          <w:bCs/>
          <w:sz w:val="22"/>
          <w:szCs w:val="22"/>
          <w:lang w:val="es-ES_tradnl"/>
        </w:rPr>
        <w:t xml:space="preserve">Ahora bien, considerando la relevancia del proyecto que se somete a consulta pública, </w:t>
      </w:r>
      <w:r w:rsidR="00461C4A" w:rsidRPr="00370665">
        <w:rPr>
          <w:rFonts w:ascii="ITC Avant Garde" w:hAnsi="ITC Avant Garde"/>
          <w:bCs/>
          <w:sz w:val="22"/>
          <w:szCs w:val="22"/>
          <w:lang w:val="es-ES_tradnl"/>
        </w:rPr>
        <w:t xml:space="preserve">el Pleno del Instituto determina que el Anteproyecto propuesto debe estar sujeto a un proceso de consulta pública por un periodo de </w:t>
      </w:r>
      <w:r w:rsidR="001B2205">
        <w:rPr>
          <w:rFonts w:ascii="ITC Avant Garde" w:hAnsi="ITC Avant Garde"/>
          <w:bCs/>
          <w:sz w:val="22"/>
          <w:szCs w:val="22"/>
          <w:lang w:val="es-ES_tradnl"/>
        </w:rPr>
        <w:t>cuarenta</w:t>
      </w:r>
      <w:r w:rsidR="00461C4A" w:rsidRPr="00370665">
        <w:rPr>
          <w:rFonts w:ascii="ITC Avant Garde" w:hAnsi="ITC Avant Garde"/>
          <w:bCs/>
          <w:sz w:val="22"/>
          <w:szCs w:val="22"/>
          <w:lang w:val="es-ES_tradnl"/>
        </w:rPr>
        <w:t xml:space="preserve"> días hábiles a fin de transparentar y promover la participación ciudadana en los procesos de emisión de disposiciones de carácter general que genere el Instituto, a efecto de dar cabal cumplimiento a lo establecido en el dispositivo legal señalado.</w:t>
      </w:r>
    </w:p>
    <w:p w:rsidR="00461C4A" w:rsidRPr="00370665" w:rsidRDefault="00461C4A" w:rsidP="00461C4A">
      <w:pPr>
        <w:pStyle w:val="Default"/>
        <w:tabs>
          <w:tab w:val="left" w:pos="0"/>
        </w:tabs>
        <w:spacing w:line="276" w:lineRule="auto"/>
        <w:jc w:val="both"/>
        <w:rPr>
          <w:rFonts w:ascii="ITC Avant Garde" w:hAnsi="ITC Avant Garde"/>
          <w:bCs/>
          <w:sz w:val="22"/>
          <w:szCs w:val="22"/>
          <w:lang w:val="es-ES_tradnl"/>
        </w:rPr>
      </w:pPr>
    </w:p>
    <w:p w:rsidR="00C35169" w:rsidRDefault="00C35169" w:rsidP="00E23470">
      <w:pPr>
        <w:pStyle w:val="Default"/>
        <w:tabs>
          <w:tab w:val="left" w:pos="0"/>
        </w:tabs>
        <w:spacing w:line="276" w:lineRule="auto"/>
        <w:jc w:val="both"/>
        <w:rPr>
          <w:rFonts w:ascii="ITC Avant Garde" w:hAnsi="ITC Avant Garde"/>
          <w:bCs/>
          <w:sz w:val="22"/>
          <w:szCs w:val="22"/>
          <w:lang w:val="es-ES_tradnl"/>
        </w:rPr>
      </w:pPr>
      <w:r w:rsidRPr="00370665">
        <w:rPr>
          <w:rFonts w:ascii="ITC Avant Garde" w:hAnsi="ITC Avant Garde"/>
          <w:bCs/>
          <w:sz w:val="22"/>
          <w:szCs w:val="22"/>
          <w:lang w:val="es-ES_tradnl"/>
        </w:rPr>
        <w:t>Por las razones antes expuestas, con fundamento en lo dispuesto por los artículos 28, párrafo</w:t>
      </w:r>
      <w:r w:rsidR="007977D8" w:rsidRPr="00370665">
        <w:rPr>
          <w:rFonts w:ascii="ITC Avant Garde" w:hAnsi="ITC Avant Garde"/>
          <w:bCs/>
          <w:sz w:val="22"/>
          <w:szCs w:val="22"/>
          <w:lang w:val="es-ES_tradnl"/>
        </w:rPr>
        <w:t>s décimo quinto</w:t>
      </w:r>
      <w:r w:rsidR="008A3352" w:rsidRPr="00370665">
        <w:rPr>
          <w:rFonts w:ascii="ITC Avant Garde" w:hAnsi="ITC Avant Garde"/>
          <w:bCs/>
          <w:sz w:val="22"/>
          <w:szCs w:val="22"/>
          <w:lang w:val="es-ES_tradnl"/>
        </w:rPr>
        <w:t xml:space="preserve">, </w:t>
      </w:r>
      <w:r w:rsidR="007977D8" w:rsidRPr="00370665">
        <w:rPr>
          <w:rFonts w:ascii="ITC Avant Garde" w:hAnsi="ITC Avant Garde"/>
          <w:bCs/>
          <w:sz w:val="22"/>
          <w:szCs w:val="22"/>
          <w:lang w:val="es-ES_tradnl"/>
        </w:rPr>
        <w:t>y</w:t>
      </w:r>
      <w:r w:rsidRPr="00370665">
        <w:rPr>
          <w:rFonts w:ascii="ITC Avant Garde" w:hAnsi="ITC Avant Garde"/>
          <w:bCs/>
          <w:sz w:val="22"/>
          <w:szCs w:val="22"/>
          <w:lang w:val="es-ES_tradnl"/>
        </w:rPr>
        <w:t xml:space="preserve"> vigésimo, fracción IV, de la Constitución Política de los Es</w:t>
      </w:r>
      <w:r w:rsidR="002822C7" w:rsidRPr="00370665">
        <w:rPr>
          <w:rFonts w:ascii="ITC Avant Garde" w:hAnsi="ITC Avant Garde"/>
          <w:bCs/>
          <w:sz w:val="22"/>
          <w:szCs w:val="22"/>
          <w:lang w:val="es-ES_tradnl"/>
        </w:rPr>
        <w:t xml:space="preserve">tados Unidos Mexicanos; </w:t>
      </w:r>
      <w:r w:rsidR="007977D8" w:rsidRPr="00370665">
        <w:rPr>
          <w:rFonts w:ascii="ITC Avant Garde" w:hAnsi="ITC Avant Garde"/>
          <w:bCs/>
          <w:sz w:val="22"/>
          <w:szCs w:val="22"/>
          <w:lang w:val="es-ES_tradnl"/>
        </w:rPr>
        <w:t xml:space="preserve">1, 2, </w:t>
      </w:r>
      <w:r w:rsidR="006C2864">
        <w:rPr>
          <w:rFonts w:ascii="ITC Avant Garde" w:hAnsi="ITC Avant Garde"/>
          <w:bCs/>
          <w:sz w:val="22"/>
          <w:szCs w:val="22"/>
          <w:lang w:val="es-ES_tradnl"/>
        </w:rPr>
        <w:t>3, fracciones VII,</w:t>
      </w:r>
      <w:r w:rsidR="00BE4E12">
        <w:rPr>
          <w:rFonts w:ascii="ITC Avant Garde" w:hAnsi="ITC Avant Garde"/>
          <w:bCs/>
          <w:sz w:val="22"/>
          <w:szCs w:val="22"/>
          <w:lang w:val="es-ES_tradnl"/>
        </w:rPr>
        <w:t xml:space="preserve"> </w:t>
      </w:r>
      <w:r w:rsidR="007977D8" w:rsidRPr="00370665">
        <w:rPr>
          <w:rFonts w:ascii="ITC Avant Garde" w:hAnsi="ITC Avant Garde"/>
          <w:bCs/>
          <w:sz w:val="22"/>
          <w:szCs w:val="22"/>
          <w:lang w:val="es-ES_tradnl"/>
        </w:rPr>
        <w:t xml:space="preserve">7, </w:t>
      </w:r>
      <w:r w:rsidR="00E9247F" w:rsidRPr="00370665">
        <w:rPr>
          <w:rFonts w:ascii="ITC Avant Garde" w:hAnsi="ITC Avant Garde"/>
          <w:bCs/>
          <w:sz w:val="22"/>
          <w:szCs w:val="22"/>
          <w:lang w:val="es-ES_tradnl"/>
        </w:rPr>
        <w:t>15, fracciones I</w:t>
      </w:r>
      <w:r w:rsidR="00745B5D" w:rsidRPr="00370665">
        <w:rPr>
          <w:rFonts w:ascii="ITC Avant Garde" w:hAnsi="ITC Avant Garde"/>
          <w:bCs/>
          <w:sz w:val="22"/>
          <w:szCs w:val="22"/>
          <w:lang w:val="es-ES_tradnl"/>
        </w:rPr>
        <w:t xml:space="preserve">, </w:t>
      </w:r>
      <w:r w:rsidR="00E9247F" w:rsidRPr="00370665">
        <w:rPr>
          <w:rFonts w:ascii="ITC Avant Garde" w:hAnsi="ITC Avant Garde"/>
          <w:bCs/>
          <w:sz w:val="22"/>
          <w:szCs w:val="22"/>
          <w:lang w:val="es-ES_tradnl"/>
        </w:rPr>
        <w:t>XLVII</w:t>
      </w:r>
      <w:r w:rsidR="00C24DEC" w:rsidRPr="00370665">
        <w:rPr>
          <w:rFonts w:ascii="ITC Avant Garde" w:hAnsi="ITC Avant Garde"/>
          <w:bCs/>
          <w:sz w:val="22"/>
          <w:szCs w:val="22"/>
          <w:lang w:val="es-ES_tradnl"/>
        </w:rPr>
        <w:t xml:space="preserve"> y LVI</w:t>
      </w:r>
      <w:r w:rsidR="00E9247F" w:rsidRPr="00370665">
        <w:rPr>
          <w:rFonts w:ascii="ITC Avant Garde" w:hAnsi="ITC Avant Garde"/>
          <w:bCs/>
          <w:sz w:val="22"/>
          <w:szCs w:val="22"/>
          <w:lang w:val="es-ES_tradnl"/>
        </w:rPr>
        <w:t>,</w:t>
      </w:r>
      <w:r w:rsidR="007977D8" w:rsidRPr="00370665">
        <w:rPr>
          <w:rFonts w:ascii="ITC Avant Garde" w:hAnsi="ITC Avant Garde"/>
          <w:bCs/>
          <w:sz w:val="22"/>
          <w:szCs w:val="22"/>
          <w:lang w:val="es-ES_tradnl"/>
        </w:rPr>
        <w:t xml:space="preserve"> 51</w:t>
      </w:r>
      <w:r w:rsidR="00C24DEC" w:rsidRPr="00370665">
        <w:rPr>
          <w:rFonts w:ascii="ITC Avant Garde" w:hAnsi="ITC Avant Garde"/>
          <w:bCs/>
          <w:sz w:val="22"/>
          <w:szCs w:val="22"/>
          <w:lang w:val="es-ES_tradnl"/>
        </w:rPr>
        <w:t xml:space="preserve">, 52, </w:t>
      </w:r>
      <w:r w:rsidR="006C2864">
        <w:rPr>
          <w:rFonts w:ascii="ITC Avant Garde" w:hAnsi="ITC Avant Garde"/>
          <w:bCs/>
          <w:sz w:val="22"/>
          <w:szCs w:val="22"/>
          <w:lang w:val="es-ES_tradnl"/>
        </w:rPr>
        <w:t xml:space="preserve">118, fracción VII, 145, fracción VI, 146 y 191, fracción VII, de la Ley Federal de Telecomunicaciones y Radiodifusión; así como </w:t>
      </w:r>
      <w:r w:rsidR="007977D8" w:rsidRPr="00370665">
        <w:rPr>
          <w:rFonts w:ascii="ITC Avant Garde" w:hAnsi="ITC Avant Garde"/>
          <w:bCs/>
          <w:color w:val="auto"/>
          <w:sz w:val="22"/>
          <w:szCs w:val="22"/>
          <w:lang w:val="es-ES_tradnl"/>
        </w:rPr>
        <w:t xml:space="preserve">1, </w:t>
      </w:r>
      <w:r w:rsidR="00773375" w:rsidRPr="00D652D9">
        <w:rPr>
          <w:rFonts w:ascii="ITC Avant Garde" w:hAnsi="ITC Avant Garde"/>
          <w:bCs/>
          <w:color w:val="auto"/>
          <w:sz w:val="22"/>
          <w:szCs w:val="22"/>
          <w:lang w:val="es-ES_tradnl"/>
        </w:rPr>
        <w:t xml:space="preserve">4 fracción I, </w:t>
      </w:r>
      <w:r w:rsidR="007977D8" w:rsidRPr="00D652D9">
        <w:rPr>
          <w:rFonts w:ascii="ITC Avant Garde" w:hAnsi="ITC Avant Garde"/>
          <w:bCs/>
          <w:color w:val="auto"/>
          <w:sz w:val="22"/>
          <w:szCs w:val="22"/>
          <w:lang w:val="es-ES_tradnl"/>
        </w:rPr>
        <w:t>6, fracción</w:t>
      </w:r>
      <w:r w:rsidR="008A3352" w:rsidRPr="00D652D9">
        <w:rPr>
          <w:rFonts w:ascii="ITC Avant Garde" w:hAnsi="ITC Avant Garde"/>
          <w:bCs/>
          <w:color w:val="auto"/>
          <w:sz w:val="22"/>
          <w:szCs w:val="22"/>
          <w:lang w:val="es-ES_tradnl"/>
        </w:rPr>
        <w:t xml:space="preserve"> XXI y XXXVII</w:t>
      </w:r>
      <w:r w:rsidR="007977D8" w:rsidRPr="00370665">
        <w:rPr>
          <w:rFonts w:ascii="ITC Avant Garde" w:hAnsi="ITC Avant Garde"/>
          <w:bCs/>
          <w:color w:val="auto"/>
          <w:sz w:val="22"/>
          <w:szCs w:val="22"/>
          <w:lang w:val="es-ES_tradnl"/>
        </w:rPr>
        <w:t xml:space="preserve"> </w:t>
      </w:r>
      <w:r w:rsidR="00E9247F" w:rsidRPr="00370665">
        <w:rPr>
          <w:rFonts w:ascii="ITC Avant Garde" w:hAnsi="ITC Avant Garde"/>
          <w:bCs/>
          <w:sz w:val="22"/>
          <w:szCs w:val="22"/>
          <w:lang w:val="es-ES_tradnl"/>
        </w:rPr>
        <w:t>del Estatuto Orgánico del Instituto, el Pleno del Instituto expide el siguiente</w:t>
      </w:r>
      <w:r w:rsidRPr="00370665">
        <w:rPr>
          <w:rFonts w:ascii="ITC Avant Garde" w:hAnsi="ITC Avant Garde"/>
          <w:bCs/>
          <w:sz w:val="22"/>
          <w:szCs w:val="22"/>
          <w:lang w:val="es-ES_tradnl"/>
        </w:rPr>
        <w:t>:</w:t>
      </w:r>
    </w:p>
    <w:p w:rsidR="00D652D9" w:rsidRPr="00370665" w:rsidRDefault="00D652D9" w:rsidP="00E23470">
      <w:pPr>
        <w:pStyle w:val="Default"/>
        <w:tabs>
          <w:tab w:val="left" w:pos="0"/>
        </w:tabs>
        <w:spacing w:line="276" w:lineRule="auto"/>
        <w:jc w:val="both"/>
        <w:rPr>
          <w:rFonts w:ascii="ITC Avant Garde" w:hAnsi="ITC Avant Garde" w:cs="Tahoma"/>
          <w:b/>
          <w:bCs/>
        </w:rPr>
      </w:pPr>
    </w:p>
    <w:p w:rsidR="00C35169" w:rsidRPr="00370665" w:rsidRDefault="00C35169" w:rsidP="00461C4A">
      <w:pPr>
        <w:autoSpaceDE w:val="0"/>
        <w:autoSpaceDN w:val="0"/>
        <w:adjustRightInd w:val="0"/>
        <w:spacing w:after="0" w:line="276" w:lineRule="auto"/>
        <w:jc w:val="center"/>
        <w:rPr>
          <w:rFonts w:ascii="ITC Avant Garde" w:hAnsi="ITC Avant Garde" w:cs="Tahoma"/>
          <w:b/>
          <w:bCs/>
          <w:color w:val="000000"/>
          <w:lang w:eastAsia="es-MX"/>
        </w:rPr>
      </w:pPr>
      <w:r w:rsidRPr="00370665">
        <w:rPr>
          <w:rFonts w:ascii="ITC Avant Garde" w:hAnsi="ITC Avant Garde" w:cs="Tahoma"/>
          <w:b/>
          <w:bCs/>
          <w:color w:val="000000"/>
          <w:lang w:eastAsia="es-MX"/>
        </w:rPr>
        <w:t>ACUERDO</w:t>
      </w:r>
    </w:p>
    <w:p w:rsidR="00C35169" w:rsidRPr="00370665" w:rsidRDefault="00C35169" w:rsidP="00461C4A">
      <w:pPr>
        <w:autoSpaceDE w:val="0"/>
        <w:autoSpaceDN w:val="0"/>
        <w:adjustRightInd w:val="0"/>
        <w:spacing w:after="0" w:line="276" w:lineRule="auto"/>
        <w:jc w:val="both"/>
        <w:rPr>
          <w:rFonts w:ascii="ITC Avant Garde" w:hAnsi="ITC Avant Garde" w:cs="Tahoma"/>
          <w:bCs/>
          <w:color w:val="000000"/>
          <w:lang w:eastAsia="es-MX"/>
        </w:rPr>
      </w:pPr>
    </w:p>
    <w:p w:rsidR="00C35169" w:rsidRPr="00E23470" w:rsidRDefault="00C35169" w:rsidP="00E23470">
      <w:pPr>
        <w:spacing w:line="276" w:lineRule="auto"/>
        <w:jc w:val="both"/>
        <w:rPr>
          <w:rFonts w:ascii="ITC Avant Garde" w:hAnsi="ITC Avant Garde"/>
          <w:b/>
        </w:rPr>
      </w:pPr>
      <w:r w:rsidRPr="00370665">
        <w:rPr>
          <w:rFonts w:ascii="ITC Avant Garde" w:hAnsi="ITC Avant Garde" w:cs="Tahoma"/>
          <w:b/>
          <w:bCs/>
          <w:color w:val="000000"/>
          <w:lang w:eastAsia="es-MX"/>
        </w:rPr>
        <w:lastRenderedPageBreak/>
        <w:t>PRIMERO</w:t>
      </w:r>
      <w:r w:rsidRPr="00370665">
        <w:rPr>
          <w:rFonts w:ascii="ITC Avant Garde" w:hAnsi="ITC Avant Garde" w:cs="Tahoma"/>
          <w:bCs/>
          <w:color w:val="000000"/>
          <w:lang w:eastAsia="es-MX"/>
        </w:rPr>
        <w:t xml:space="preserve">.- Se </w:t>
      </w:r>
      <w:r w:rsidR="00C24DEC" w:rsidRPr="00370665">
        <w:rPr>
          <w:rFonts w:ascii="ITC Avant Garde" w:hAnsi="ITC Avant Garde" w:cs="Tahoma"/>
          <w:bCs/>
          <w:color w:val="000000"/>
          <w:lang w:eastAsia="es-MX"/>
        </w:rPr>
        <w:t>d</w:t>
      </w:r>
      <w:r w:rsidR="00C311A8" w:rsidRPr="00370665">
        <w:rPr>
          <w:rFonts w:ascii="ITC Avant Garde" w:hAnsi="ITC Avant Garde" w:cs="Tahoma"/>
          <w:bCs/>
          <w:color w:val="000000"/>
          <w:lang w:eastAsia="es-MX"/>
        </w:rPr>
        <w:t>etermina</w:t>
      </w:r>
      <w:r w:rsidR="00C24DEC" w:rsidRPr="00370665">
        <w:rPr>
          <w:rFonts w:ascii="ITC Avant Garde" w:hAnsi="ITC Avant Garde" w:cs="Tahoma"/>
          <w:bCs/>
          <w:color w:val="000000"/>
          <w:lang w:eastAsia="es-MX"/>
        </w:rPr>
        <w:t xml:space="preserve"> </w:t>
      </w:r>
      <w:r w:rsidR="007977D8" w:rsidRPr="00370665">
        <w:rPr>
          <w:rFonts w:ascii="ITC Avant Garde" w:hAnsi="ITC Avant Garde" w:cs="Tahoma"/>
          <w:bCs/>
          <w:color w:val="000000"/>
          <w:lang w:eastAsia="es-MX"/>
        </w:rPr>
        <w:t>somete</w:t>
      </w:r>
      <w:r w:rsidR="00C24DEC" w:rsidRPr="00370665">
        <w:rPr>
          <w:rFonts w:ascii="ITC Avant Garde" w:hAnsi="ITC Avant Garde" w:cs="Tahoma"/>
          <w:bCs/>
          <w:color w:val="000000"/>
          <w:lang w:eastAsia="es-MX"/>
        </w:rPr>
        <w:t>r</w:t>
      </w:r>
      <w:r w:rsidRPr="00370665">
        <w:rPr>
          <w:rFonts w:ascii="ITC Avant Garde" w:hAnsi="ITC Avant Garde" w:cs="Tahoma"/>
          <w:bCs/>
          <w:color w:val="000000"/>
          <w:lang w:eastAsia="es-MX"/>
        </w:rPr>
        <w:t xml:space="preserve"> a consulta pública el</w:t>
      </w:r>
      <w:r w:rsidR="002822C7" w:rsidRPr="00370665">
        <w:rPr>
          <w:rFonts w:ascii="ITC Avant Garde" w:hAnsi="ITC Avant Garde" w:cs="Tahoma"/>
          <w:bCs/>
          <w:color w:val="000000"/>
          <w:lang w:eastAsia="es-MX"/>
        </w:rPr>
        <w:t xml:space="preserve"> </w:t>
      </w:r>
      <w:r w:rsidR="00461C4A" w:rsidRPr="00370665">
        <w:rPr>
          <w:rFonts w:ascii="ITC Avant Garde" w:hAnsi="ITC Avant Garde" w:cs="Tahoma"/>
          <w:bCs/>
          <w:lang w:eastAsia="es-MX"/>
        </w:rPr>
        <w:t>“</w:t>
      </w:r>
      <w:r w:rsidR="00461C4A" w:rsidRPr="00370665">
        <w:rPr>
          <w:rFonts w:ascii="ITC Avant Garde" w:hAnsi="ITC Avant Garde"/>
        </w:rPr>
        <w:t>ANTEPROYECTO DE LINEAMIENTOS QUE FIJAN LOS ÍNDICES Y PARÁMETROS DE CALIDAD A QUE DEBERÁN SUJETARSE LOS PRESTADORES DEL SERVICIO FIJO”</w:t>
      </w:r>
      <w:r w:rsidRPr="00370665">
        <w:rPr>
          <w:rFonts w:ascii="ITC Avant Garde" w:hAnsi="ITC Avant Garde" w:cs="Tahoma"/>
          <w:bCs/>
          <w:lang w:eastAsia="es-MX"/>
        </w:rPr>
        <w:t xml:space="preserve">, </w:t>
      </w:r>
      <w:r w:rsidRPr="00370665">
        <w:rPr>
          <w:rFonts w:ascii="ITC Avant Garde" w:hAnsi="ITC Avant Garde" w:cs="Tahoma"/>
          <w:bCs/>
          <w:color w:val="000000"/>
          <w:lang w:eastAsia="es-MX"/>
        </w:rPr>
        <w:t xml:space="preserve">el cual se adjunta al presente como </w:t>
      </w:r>
      <w:bookmarkStart w:id="0" w:name="_GoBack"/>
      <w:bookmarkEnd w:id="0"/>
      <w:r w:rsidRPr="00370665">
        <w:rPr>
          <w:rFonts w:ascii="ITC Avant Garde" w:hAnsi="ITC Avant Garde" w:cs="Tahoma"/>
          <w:bCs/>
          <w:color w:val="000000"/>
          <w:lang w:eastAsia="es-MX"/>
        </w:rPr>
        <w:t xml:space="preserve">Anexo Único. Dicha consulta pública se realizará durante </w:t>
      </w:r>
      <w:r w:rsidR="00D652D9">
        <w:rPr>
          <w:rFonts w:ascii="ITC Avant Garde" w:hAnsi="ITC Avant Garde" w:cs="Tahoma"/>
          <w:bCs/>
          <w:color w:val="000000"/>
          <w:lang w:eastAsia="es-MX"/>
        </w:rPr>
        <w:t>cuarenta</w:t>
      </w:r>
      <w:r w:rsidR="00BE4E12">
        <w:rPr>
          <w:rFonts w:ascii="ITC Avant Garde" w:hAnsi="ITC Avant Garde" w:cs="Tahoma"/>
          <w:bCs/>
          <w:color w:val="000000"/>
          <w:lang w:eastAsia="es-MX"/>
        </w:rPr>
        <w:t xml:space="preserve"> </w:t>
      </w:r>
      <w:r w:rsidR="002822C7" w:rsidRPr="00370665">
        <w:rPr>
          <w:rFonts w:ascii="ITC Avant Garde" w:hAnsi="ITC Avant Garde" w:cs="Tahoma"/>
          <w:bCs/>
          <w:lang w:eastAsia="es-MX"/>
        </w:rPr>
        <w:t>días hábiles</w:t>
      </w:r>
      <w:r w:rsidRPr="00370665">
        <w:rPr>
          <w:rFonts w:ascii="ITC Avant Garde" w:hAnsi="ITC Avant Garde" w:cs="Tahoma"/>
          <w:bCs/>
          <w:lang w:eastAsia="es-MX"/>
        </w:rPr>
        <w:t xml:space="preserve"> </w:t>
      </w:r>
      <w:r w:rsidRPr="00370665">
        <w:rPr>
          <w:rFonts w:ascii="ITC Avant Garde" w:hAnsi="ITC Avant Garde" w:cs="Tahoma"/>
          <w:bCs/>
          <w:color w:val="000000"/>
          <w:lang w:eastAsia="es-MX"/>
        </w:rPr>
        <w:t>a partir de su publicación en el portal</w:t>
      </w:r>
      <w:r w:rsidR="002822C7" w:rsidRPr="00370665">
        <w:rPr>
          <w:rFonts w:ascii="ITC Avant Garde" w:hAnsi="ITC Avant Garde" w:cs="Tahoma"/>
          <w:bCs/>
          <w:color w:val="000000"/>
          <w:lang w:eastAsia="es-MX"/>
        </w:rPr>
        <w:t xml:space="preserve"> de I</w:t>
      </w:r>
      <w:r w:rsidRPr="00370665">
        <w:rPr>
          <w:rFonts w:ascii="ITC Avant Garde" w:hAnsi="ITC Avant Garde" w:cs="Tahoma"/>
          <w:bCs/>
          <w:color w:val="000000"/>
          <w:lang w:eastAsia="es-MX"/>
        </w:rPr>
        <w:t>nternet</w:t>
      </w:r>
      <w:r w:rsidRPr="00370665">
        <w:rPr>
          <w:rFonts w:ascii="ITC Avant Garde" w:hAnsi="ITC Avant Garde"/>
          <w:bCs/>
        </w:rPr>
        <w:t xml:space="preserve"> del Instituto Federal de Telecomunicaciones.</w:t>
      </w:r>
    </w:p>
    <w:p w:rsidR="00C35169" w:rsidRPr="00370665" w:rsidRDefault="00C35169" w:rsidP="00461C4A">
      <w:pPr>
        <w:autoSpaceDE w:val="0"/>
        <w:autoSpaceDN w:val="0"/>
        <w:adjustRightInd w:val="0"/>
        <w:spacing w:after="0" w:line="276" w:lineRule="auto"/>
        <w:jc w:val="both"/>
        <w:rPr>
          <w:rFonts w:ascii="ITC Avant Garde" w:hAnsi="ITC Avant Garde" w:cs="Tahoma"/>
          <w:bCs/>
          <w:color w:val="000000"/>
          <w:lang w:eastAsia="es-MX"/>
        </w:rPr>
      </w:pPr>
      <w:r w:rsidRPr="00370665">
        <w:rPr>
          <w:rFonts w:ascii="ITC Avant Garde" w:hAnsi="ITC Avant Garde" w:cs="Tahoma"/>
          <w:b/>
          <w:bCs/>
          <w:color w:val="000000"/>
          <w:lang w:eastAsia="es-MX"/>
        </w:rPr>
        <w:t>SEGUNDO</w:t>
      </w:r>
      <w:r w:rsidRPr="00370665">
        <w:rPr>
          <w:rFonts w:ascii="ITC Avant Garde" w:hAnsi="ITC Avant Garde" w:cs="Tahoma"/>
          <w:bCs/>
          <w:color w:val="000000"/>
          <w:lang w:eastAsia="es-MX"/>
        </w:rPr>
        <w:t>.- Se instruye a la Unidad de Política Regulatoria</w:t>
      </w:r>
      <w:r w:rsidRPr="00370665">
        <w:rPr>
          <w:rFonts w:ascii="ITC Avant Garde" w:hAnsi="ITC Avant Garde" w:cs="Tahoma"/>
          <w:bCs/>
          <w:lang w:eastAsia="es-MX"/>
        </w:rPr>
        <w:t>, por conducto de la</w:t>
      </w:r>
      <w:r w:rsidR="002822C7" w:rsidRPr="00370665">
        <w:rPr>
          <w:rFonts w:ascii="ITC Avant Garde" w:hAnsi="ITC Avant Garde" w:cs="Tahoma"/>
          <w:bCs/>
          <w:lang w:eastAsia="es-MX"/>
        </w:rPr>
        <w:t xml:space="preserve"> Dirección General de Regulación Técnica</w:t>
      </w:r>
      <w:r w:rsidRPr="00370665">
        <w:rPr>
          <w:rFonts w:ascii="ITC Avant Garde" w:hAnsi="ITC Avant Garde" w:cs="Tahoma"/>
          <w:bCs/>
          <w:lang w:eastAsia="es-MX"/>
        </w:rPr>
        <w:t xml:space="preserve"> </w:t>
      </w:r>
      <w:r w:rsidR="002C0B35" w:rsidRPr="00370665">
        <w:rPr>
          <w:rFonts w:ascii="ITC Avant Garde" w:hAnsi="ITC Avant Garde" w:cs="Tahoma"/>
          <w:bCs/>
          <w:lang w:eastAsia="es-MX"/>
        </w:rPr>
        <w:t xml:space="preserve">a recibir y dar la atención </w:t>
      </w:r>
      <w:r w:rsidRPr="00370665">
        <w:rPr>
          <w:rFonts w:ascii="ITC Avant Garde" w:hAnsi="ITC Avant Garde" w:cs="Tahoma"/>
          <w:bCs/>
          <w:color w:val="000000"/>
          <w:lang w:eastAsia="es-MX"/>
        </w:rPr>
        <w:t xml:space="preserve">que corresponda a las opiniones que sean vertidas con motivo de la </w:t>
      </w:r>
      <w:r w:rsidR="002C0B35" w:rsidRPr="00370665">
        <w:rPr>
          <w:rFonts w:ascii="ITC Avant Garde" w:hAnsi="ITC Avant Garde" w:cs="Tahoma"/>
          <w:bCs/>
          <w:color w:val="000000"/>
          <w:lang w:eastAsia="es-MX"/>
        </w:rPr>
        <w:t>consulta pública materia del presente Acuerdo.</w:t>
      </w:r>
      <w:r w:rsidRPr="00370665">
        <w:rPr>
          <w:rFonts w:ascii="ITC Avant Garde" w:hAnsi="ITC Avant Garde" w:cs="Tahoma"/>
          <w:bCs/>
          <w:color w:val="000000"/>
          <w:lang w:eastAsia="es-MX"/>
        </w:rPr>
        <w:t xml:space="preserve"> </w:t>
      </w:r>
    </w:p>
    <w:p w:rsidR="00C35169" w:rsidRPr="00370665" w:rsidRDefault="00C35169" w:rsidP="00461C4A">
      <w:pPr>
        <w:autoSpaceDE w:val="0"/>
        <w:autoSpaceDN w:val="0"/>
        <w:adjustRightInd w:val="0"/>
        <w:spacing w:after="0" w:line="276" w:lineRule="auto"/>
        <w:jc w:val="both"/>
        <w:rPr>
          <w:rFonts w:ascii="ITC Avant Garde" w:hAnsi="ITC Avant Garde" w:cs="Tahoma"/>
          <w:bCs/>
          <w:color w:val="000000"/>
          <w:lang w:eastAsia="es-MX"/>
        </w:rPr>
      </w:pPr>
    </w:p>
    <w:p w:rsidR="00C35169" w:rsidRPr="00370665" w:rsidRDefault="00C35169" w:rsidP="00461C4A">
      <w:pPr>
        <w:autoSpaceDE w:val="0"/>
        <w:autoSpaceDN w:val="0"/>
        <w:adjustRightInd w:val="0"/>
        <w:spacing w:after="0" w:line="276" w:lineRule="auto"/>
        <w:jc w:val="both"/>
        <w:rPr>
          <w:rFonts w:ascii="ITC Avant Garde" w:hAnsi="ITC Avant Garde" w:cs="Tahoma"/>
          <w:bCs/>
          <w:color w:val="000000"/>
          <w:lang w:eastAsia="es-MX"/>
        </w:rPr>
      </w:pPr>
      <w:r w:rsidRPr="00370665">
        <w:rPr>
          <w:rFonts w:ascii="ITC Avant Garde" w:hAnsi="ITC Avant Garde" w:cs="Tahoma"/>
          <w:b/>
          <w:bCs/>
          <w:color w:val="000000"/>
          <w:lang w:eastAsia="es-MX"/>
        </w:rPr>
        <w:t>TERCERO.-</w:t>
      </w:r>
      <w:r w:rsidRPr="00370665">
        <w:rPr>
          <w:rFonts w:ascii="ITC Avant Garde" w:hAnsi="ITC Avant Garde" w:cs="Tahoma"/>
          <w:bCs/>
          <w:color w:val="000000"/>
          <w:lang w:eastAsia="es-MX"/>
        </w:rPr>
        <w:t xml:space="preserve"> Publíquese en el portal de Internet del Instituto Federal de Telecomunicaciones.  </w:t>
      </w:r>
    </w:p>
    <w:p w:rsidR="00474DD6" w:rsidRDefault="00474DD6" w:rsidP="0061749A">
      <w:pPr>
        <w:autoSpaceDE w:val="0"/>
        <w:autoSpaceDN w:val="0"/>
        <w:adjustRightInd w:val="0"/>
        <w:spacing w:after="0" w:line="276" w:lineRule="auto"/>
        <w:jc w:val="both"/>
        <w:rPr>
          <w:rFonts w:ascii="ITC Avant Garde" w:hAnsi="ITC Avant Garde" w:cs="Tahoma"/>
          <w:bCs/>
          <w:color w:val="000000"/>
          <w:lang w:eastAsia="es-MX"/>
        </w:rPr>
      </w:pPr>
    </w:p>
    <w:p w:rsidR="00816C1F" w:rsidRDefault="00816C1F" w:rsidP="00816C1F">
      <w:pPr>
        <w:autoSpaceDE w:val="0"/>
        <w:autoSpaceDN w:val="0"/>
        <w:adjustRightInd w:val="0"/>
        <w:jc w:val="both"/>
        <w:rPr>
          <w:rFonts w:ascii="ITC Avant Garde" w:hAnsi="ITC Avant Garde"/>
          <w:bCs/>
          <w:sz w:val="21"/>
          <w:szCs w:val="21"/>
        </w:rPr>
      </w:pPr>
    </w:p>
    <w:p w:rsidR="00816C1F" w:rsidRPr="00D11F31" w:rsidRDefault="00816C1F" w:rsidP="00816C1F">
      <w:pPr>
        <w:autoSpaceDE w:val="0"/>
        <w:autoSpaceDN w:val="0"/>
        <w:adjustRightInd w:val="0"/>
        <w:jc w:val="both"/>
        <w:rPr>
          <w:rFonts w:ascii="ITC Avant Garde" w:hAnsi="ITC Avant Garde"/>
          <w:bCs/>
          <w:sz w:val="21"/>
          <w:szCs w:val="21"/>
        </w:rPr>
      </w:pPr>
    </w:p>
    <w:tbl>
      <w:tblPr>
        <w:tblW w:w="9111" w:type="dxa"/>
        <w:jc w:val="center"/>
        <w:tblCellMar>
          <w:left w:w="70" w:type="dxa"/>
          <w:right w:w="70" w:type="dxa"/>
        </w:tblCellMar>
        <w:tblLook w:val="04A0" w:firstRow="1" w:lastRow="0" w:firstColumn="1" w:lastColumn="0" w:noHBand="0" w:noVBand="1"/>
      </w:tblPr>
      <w:tblGrid>
        <w:gridCol w:w="4098"/>
        <w:gridCol w:w="1568"/>
        <w:gridCol w:w="3445"/>
      </w:tblGrid>
      <w:tr w:rsidR="00816C1F" w:rsidRPr="00D11F31" w:rsidTr="00CD7034">
        <w:trPr>
          <w:trHeight w:val="246"/>
          <w:jc w:val="center"/>
        </w:trPr>
        <w:tc>
          <w:tcPr>
            <w:tcW w:w="4098" w:type="dxa"/>
            <w:vAlign w:val="center"/>
          </w:tcPr>
          <w:p w:rsidR="00816C1F" w:rsidRPr="00D11F31" w:rsidRDefault="00816C1F" w:rsidP="00816C1F">
            <w:pPr>
              <w:spacing w:after="0" w:line="240" w:lineRule="auto"/>
              <w:jc w:val="both"/>
              <w:rPr>
                <w:rFonts w:ascii="ITC Avant Garde" w:eastAsia="Times New Roman" w:hAnsi="ITC Avant Garde"/>
                <w:b/>
                <w:bCs/>
                <w:sz w:val="21"/>
                <w:szCs w:val="21"/>
                <w:lang w:val="es-ES" w:eastAsia="es-MX"/>
              </w:rPr>
            </w:pPr>
          </w:p>
        </w:tc>
        <w:tc>
          <w:tcPr>
            <w:tcW w:w="1568" w:type="dxa"/>
            <w:vAlign w:val="center"/>
          </w:tcPr>
          <w:p w:rsidR="00816C1F" w:rsidRPr="00D11F31" w:rsidRDefault="00816C1F" w:rsidP="00816C1F">
            <w:pPr>
              <w:spacing w:after="0" w:line="240" w:lineRule="auto"/>
              <w:jc w:val="both"/>
              <w:rPr>
                <w:rFonts w:ascii="ITC Avant Garde" w:eastAsia="Times New Roman" w:hAnsi="ITC Avant Garde"/>
                <w:b/>
                <w:bCs/>
                <w:sz w:val="21"/>
                <w:szCs w:val="21"/>
                <w:lang w:val="es-ES" w:eastAsia="es-MX"/>
              </w:rPr>
            </w:pPr>
          </w:p>
        </w:tc>
        <w:tc>
          <w:tcPr>
            <w:tcW w:w="3445" w:type="dxa"/>
            <w:vAlign w:val="center"/>
          </w:tcPr>
          <w:p w:rsidR="00816C1F" w:rsidRPr="00D11F31" w:rsidRDefault="00816C1F" w:rsidP="00816C1F">
            <w:pPr>
              <w:spacing w:after="0" w:line="240" w:lineRule="auto"/>
              <w:jc w:val="both"/>
              <w:rPr>
                <w:rFonts w:ascii="ITC Avant Garde" w:eastAsia="Times New Roman" w:hAnsi="ITC Avant Garde"/>
                <w:b/>
                <w:bCs/>
                <w:sz w:val="21"/>
                <w:szCs w:val="21"/>
                <w:lang w:val="es-ES" w:eastAsia="es-MX"/>
              </w:rPr>
            </w:pPr>
          </w:p>
        </w:tc>
      </w:tr>
    </w:tbl>
    <w:p w:rsidR="00816C1F" w:rsidRPr="00D11F31" w:rsidRDefault="00816C1F" w:rsidP="00816C1F">
      <w:pPr>
        <w:spacing w:after="0" w:line="240" w:lineRule="auto"/>
        <w:jc w:val="center"/>
        <w:rPr>
          <w:rFonts w:ascii="ITC Avant Garde" w:hAnsi="ITC Avant Garde"/>
          <w:b/>
          <w:bCs/>
          <w:sz w:val="21"/>
          <w:szCs w:val="21"/>
          <w:lang w:val="es-ES" w:eastAsia="es-ES"/>
        </w:rPr>
      </w:pPr>
      <w:r w:rsidRPr="00D11F31">
        <w:rPr>
          <w:rFonts w:ascii="ITC Avant Garde" w:hAnsi="ITC Avant Garde"/>
          <w:b/>
          <w:bCs/>
          <w:sz w:val="21"/>
          <w:szCs w:val="21"/>
          <w:lang w:val="es-ES" w:eastAsia="es-ES"/>
        </w:rPr>
        <w:t>Gabriel Oswaldo Contreras Saldívar</w:t>
      </w:r>
    </w:p>
    <w:p w:rsidR="00816C1F" w:rsidRPr="00D11F31" w:rsidRDefault="00816C1F" w:rsidP="00816C1F">
      <w:pPr>
        <w:spacing w:after="0" w:line="240" w:lineRule="auto"/>
        <w:jc w:val="center"/>
        <w:rPr>
          <w:color w:val="1F497D"/>
          <w:sz w:val="21"/>
          <w:szCs w:val="21"/>
        </w:rPr>
      </w:pPr>
      <w:r w:rsidRPr="00D11F31">
        <w:rPr>
          <w:rFonts w:ascii="ITC Avant Garde" w:hAnsi="ITC Avant Garde"/>
          <w:b/>
          <w:bCs/>
          <w:sz w:val="21"/>
          <w:szCs w:val="21"/>
          <w:lang w:val="es-ES" w:eastAsia="es-ES"/>
        </w:rPr>
        <w:t xml:space="preserve">Comisionado Presidente </w:t>
      </w:r>
    </w:p>
    <w:p w:rsidR="00816C1F" w:rsidRPr="00D11F31" w:rsidRDefault="00816C1F" w:rsidP="00816C1F">
      <w:pPr>
        <w:spacing w:after="0" w:line="240" w:lineRule="auto"/>
        <w:jc w:val="center"/>
        <w:rPr>
          <w:rFonts w:ascii="ITC Avant Garde" w:hAnsi="ITC Avant Garde"/>
          <w:b/>
          <w:bCs/>
          <w:sz w:val="21"/>
          <w:szCs w:val="21"/>
          <w:lang w:val="es-ES" w:eastAsia="es-ES"/>
        </w:rPr>
      </w:pPr>
    </w:p>
    <w:p w:rsidR="00816C1F" w:rsidRPr="00D11F31" w:rsidRDefault="00816C1F" w:rsidP="00816C1F">
      <w:pPr>
        <w:spacing w:after="0" w:line="240" w:lineRule="auto"/>
        <w:jc w:val="center"/>
        <w:rPr>
          <w:rFonts w:ascii="ITC Avant Garde" w:hAnsi="ITC Avant Garde"/>
          <w:b/>
          <w:bCs/>
          <w:sz w:val="21"/>
          <w:szCs w:val="21"/>
          <w:lang w:val="es-ES" w:eastAsia="es-ES"/>
        </w:rPr>
      </w:pPr>
    </w:p>
    <w:p w:rsidR="00816C1F" w:rsidRPr="00D11F31" w:rsidRDefault="00816C1F" w:rsidP="00816C1F">
      <w:pPr>
        <w:spacing w:after="0" w:line="240" w:lineRule="auto"/>
        <w:jc w:val="center"/>
        <w:rPr>
          <w:rFonts w:ascii="ITC Avant Garde" w:hAnsi="ITC Avant Garde"/>
          <w:b/>
          <w:bCs/>
          <w:sz w:val="21"/>
          <w:szCs w:val="21"/>
          <w:lang w:val="es-ES" w:eastAsia="es-ES"/>
        </w:rPr>
      </w:pPr>
    </w:p>
    <w:p w:rsidR="00816C1F" w:rsidRPr="00D11F31" w:rsidRDefault="00816C1F" w:rsidP="00816C1F">
      <w:pPr>
        <w:spacing w:after="0" w:line="240" w:lineRule="auto"/>
        <w:jc w:val="center"/>
        <w:rPr>
          <w:rFonts w:ascii="ITC Avant Garde" w:hAnsi="ITC Avant Garde"/>
          <w:sz w:val="21"/>
          <w:szCs w:val="21"/>
          <w:lang w:val="es-ES" w:eastAsia="es-ES"/>
        </w:rPr>
      </w:pPr>
    </w:p>
    <w:tbl>
      <w:tblPr>
        <w:tblW w:w="4983" w:type="pct"/>
        <w:tblCellMar>
          <w:left w:w="0" w:type="dxa"/>
          <w:right w:w="0" w:type="dxa"/>
        </w:tblCellMar>
        <w:tblLook w:val="04A0" w:firstRow="1" w:lastRow="0" w:firstColumn="1" w:lastColumn="0" w:noHBand="0" w:noVBand="1"/>
      </w:tblPr>
      <w:tblGrid>
        <w:gridCol w:w="3937"/>
        <w:gridCol w:w="1186"/>
        <w:gridCol w:w="4249"/>
      </w:tblGrid>
      <w:tr w:rsidR="00816C1F" w:rsidRPr="00816C1F" w:rsidTr="00CD7034">
        <w:trPr>
          <w:trHeight w:val="1432"/>
        </w:trPr>
        <w:tc>
          <w:tcPr>
            <w:tcW w:w="2100" w:type="pct"/>
            <w:tcMar>
              <w:top w:w="0" w:type="dxa"/>
              <w:left w:w="70" w:type="dxa"/>
              <w:bottom w:w="0" w:type="dxa"/>
              <w:right w:w="70" w:type="dxa"/>
            </w:tcMar>
            <w:hideMark/>
          </w:tcPr>
          <w:p w:rsidR="00816C1F" w:rsidRPr="00816C1F" w:rsidRDefault="00816C1F" w:rsidP="00816C1F">
            <w:pPr>
              <w:spacing w:after="0" w:line="240" w:lineRule="auto"/>
              <w:jc w:val="center"/>
              <w:rPr>
                <w:rFonts w:ascii="ITC Avant Garde" w:hAnsi="ITC Avant Garde"/>
                <w:b/>
                <w:bCs/>
                <w:sz w:val="21"/>
                <w:szCs w:val="21"/>
                <w:lang w:val="es-ES" w:eastAsia="es-ES"/>
              </w:rPr>
            </w:pPr>
            <w:r w:rsidRPr="00816C1F">
              <w:rPr>
                <w:rFonts w:ascii="ITC Avant Garde" w:hAnsi="ITC Avant Garde"/>
                <w:b/>
                <w:bCs/>
                <w:sz w:val="21"/>
                <w:szCs w:val="21"/>
                <w:lang w:val="es-ES" w:eastAsia="es-ES"/>
              </w:rPr>
              <w:t>María Elena Estavillo Flores</w:t>
            </w:r>
          </w:p>
          <w:p w:rsidR="00816C1F" w:rsidRPr="00816C1F" w:rsidRDefault="00816C1F" w:rsidP="00816C1F">
            <w:pPr>
              <w:spacing w:after="0" w:line="240" w:lineRule="auto"/>
              <w:jc w:val="center"/>
              <w:rPr>
                <w:rFonts w:ascii="ITC Avant Garde" w:hAnsi="ITC Avant Garde"/>
                <w:b/>
                <w:bCs/>
                <w:sz w:val="21"/>
                <w:szCs w:val="21"/>
                <w:lang w:val="es-ES" w:eastAsia="es-ES"/>
              </w:rPr>
            </w:pPr>
            <w:r w:rsidRPr="00816C1F">
              <w:rPr>
                <w:rFonts w:ascii="ITC Avant Garde" w:hAnsi="ITC Avant Garde"/>
                <w:b/>
                <w:bCs/>
                <w:sz w:val="21"/>
                <w:szCs w:val="21"/>
                <w:lang w:val="es-ES" w:eastAsia="es-ES"/>
              </w:rPr>
              <w:t>Comisionada</w:t>
            </w:r>
          </w:p>
        </w:tc>
        <w:tc>
          <w:tcPr>
            <w:tcW w:w="633" w:type="pct"/>
            <w:tcMar>
              <w:top w:w="0" w:type="dxa"/>
              <w:left w:w="70" w:type="dxa"/>
              <w:bottom w:w="0" w:type="dxa"/>
              <w:right w:w="70" w:type="dxa"/>
            </w:tcMar>
          </w:tcPr>
          <w:p w:rsidR="00816C1F" w:rsidRPr="00816C1F" w:rsidRDefault="00816C1F" w:rsidP="00816C1F">
            <w:pPr>
              <w:spacing w:after="0" w:line="240" w:lineRule="auto"/>
              <w:jc w:val="center"/>
              <w:rPr>
                <w:rFonts w:ascii="ITC Avant Garde" w:hAnsi="ITC Avant Garde"/>
                <w:b/>
                <w:sz w:val="21"/>
                <w:szCs w:val="21"/>
                <w:lang w:val="es-ES" w:eastAsia="es-ES"/>
              </w:rPr>
            </w:pPr>
          </w:p>
        </w:tc>
        <w:tc>
          <w:tcPr>
            <w:tcW w:w="2267" w:type="pct"/>
            <w:tcMar>
              <w:top w:w="0" w:type="dxa"/>
              <w:left w:w="70" w:type="dxa"/>
              <w:bottom w:w="0" w:type="dxa"/>
              <w:right w:w="70" w:type="dxa"/>
            </w:tcMar>
          </w:tcPr>
          <w:p w:rsidR="00816C1F" w:rsidRPr="00816C1F" w:rsidRDefault="00816C1F" w:rsidP="00816C1F">
            <w:pPr>
              <w:spacing w:after="0" w:line="240" w:lineRule="auto"/>
              <w:jc w:val="center"/>
              <w:rPr>
                <w:rFonts w:ascii="ITC Avant Garde" w:hAnsi="ITC Avant Garde"/>
                <w:b/>
                <w:bCs/>
                <w:sz w:val="21"/>
                <w:szCs w:val="21"/>
                <w:lang w:val="es-ES" w:eastAsia="es-ES"/>
              </w:rPr>
            </w:pPr>
            <w:r w:rsidRPr="00816C1F">
              <w:rPr>
                <w:rFonts w:ascii="ITC Avant Garde" w:hAnsi="ITC Avant Garde"/>
                <w:b/>
                <w:bCs/>
                <w:sz w:val="21"/>
                <w:szCs w:val="21"/>
                <w:lang w:val="es-ES" w:eastAsia="es-ES"/>
              </w:rPr>
              <w:t>Mario Germán Fromow Rangel</w:t>
            </w:r>
          </w:p>
          <w:p w:rsidR="00816C1F" w:rsidRPr="00816C1F" w:rsidRDefault="00816C1F" w:rsidP="00816C1F">
            <w:pPr>
              <w:spacing w:after="0" w:line="240" w:lineRule="auto"/>
              <w:jc w:val="center"/>
              <w:rPr>
                <w:rFonts w:ascii="ITC Avant Garde" w:hAnsi="ITC Avant Garde"/>
                <w:b/>
                <w:bCs/>
                <w:sz w:val="21"/>
                <w:szCs w:val="21"/>
                <w:lang w:val="es-ES" w:eastAsia="es-ES"/>
              </w:rPr>
            </w:pPr>
            <w:r w:rsidRPr="00816C1F">
              <w:rPr>
                <w:rFonts w:ascii="ITC Avant Garde" w:hAnsi="ITC Avant Garde"/>
                <w:b/>
                <w:bCs/>
                <w:sz w:val="21"/>
                <w:szCs w:val="21"/>
                <w:lang w:val="es-ES" w:eastAsia="es-ES"/>
              </w:rPr>
              <w:t>Comisionado</w:t>
            </w:r>
          </w:p>
          <w:p w:rsidR="00816C1F" w:rsidRPr="00816C1F" w:rsidRDefault="00816C1F" w:rsidP="00816C1F">
            <w:pPr>
              <w:spacing w:after="0" w:line="240" w:lineRule="auto"/>
              <w:jc w:val="center"/>
              <w:rPr>
                <w:rFonts w:ascii="ITC Avant Garde" w:hAnsi="ITC Avant Garde"/>
                <w:b/>
                <w:sz w:val="21"/>
                <w:szCs w:val="21"/>
                <w:lang w:val="es-ES" w:eastAsia="es-ES"/>
              </w:rPr>
            </w:pPr>
          </w:p>
          <w:p w:rsidR="00816C1F" w:rsidRPr="00816C1F" w:rsidRDefault="00816C1F" w:rsidP="00816C1F">
            <w:pPr>
              <w:spacing w:after="0" w:line="240" w:lineRule="auto"/>
              <w:jc w:val="center"/>
              <w:rPr>
                <w:rFonts w:ascii="ITC Avant Garde" w:hAnsi="ITC Avant Garde"/>
                <w:b/>
                <w:sz w:val="21"/>
                <w:szCs w:val="21"/>
                <w:lang w:val="es-ES" w:eastAsia="es-ES"/>
              </w:rPr>
            </w:pPr>
          </w:p>
          <w:p w:rsidR="00816C1F" w:rsidRPr="00816C1F" w:rsidRDefault="00816C1F" w:rsidP="00816C1F">
            <w:pPr>
              <w:spacing w:after="0" w:line="240" w:lineRule="auto"/>
              <w:jc w:val="center"/>
              <w:rPr>
                <w:rFonts w:ascii="ITC Avant Garde" w:hAnsi="ITC Avant Garde"/>
                <w:b/>
                <w:sz w:val="21"/>
                <w:szCs w:val="21"/>
                <w:lang w:val="es-ES" w:eastAsia="es-ES"/>
              </w:rPr>
            </w:pPr>
          </w:p>
          <w:p w:rsidR="00816C1F" w:rsidRPr="00816C1F" w:rsidRDefault="00816C1F" w:rsidP="00816C1F">
            <w:pPr>
              <w:spacing w:after="0" w:line="240" w:lineRule="auto"/>
              <w:jc w:val="center"/>
              <w:rPr>
                <w:rFonts w:ascii="ITC Avant Garde" w:hAnsi="ITC Avant Garde"/>
                <w:b/>
                <w:sz w:val="21"/>
                <w:szCs w:val="21"/>
                <w:lang w:val="es-ES" w:eastAsia="es-ES"/>
              </w:rPr>
            </w:pPr>
          </w:p>
        </w:tc>
      </w:tr>
      <w:tr w:rsidR="00816C1F" w:rsidRPr="00816C1F" w:rsidTr="00CD7034">
        <w:trPr>
          <w:trHeight w:val="1414"/>
        </w:trPr>
        <w:tc>
          <w:tcPr>
            <w:tcW w:w="2100" w:type="pct"/>
            <w:tcMar>
              <w:top w:w="0" w:type="dxa"/>
              <w:left w:w="70" w:type="dxa"/>
              <w:bottom w:w="0" w:type="dxa"/>
              <w:right w:w="70" w:type="dxa"/>
            </w:tcMar>
          </w:tcPr>
          <w:p w:rsidR="00816C1F" w:rsidRPr="00816C1F" w:rsidRDefault="00816C1F" w:rsidP="00816C1F">
            <w:pPr>
              <w:spacing w:after="0" w:line="240" w:lineRule="auto"/>
              <w:jc w:val="center"/>
              <w:rPr>
                <w:rFonts w:ascii="ITC Avant Garde" w:hAnsi="ITC Avant Garde"/>
                <w:b/>
                <w:sz w:val="21"/>
                <w:szCs w:val="21"/>
                <w:lang w:val="es-ES" w:eastAsia="es-ES"/>
              </w:rPr>
            </w:pPr>
            <w:r w:rsidRPr="00816C1F">
              <w:rPr>
                <w:rFonts w:ascii="ITC Avant Garde" w:hAnsi="ITC Avant Garde"/>
                <w:b/>
                <w:sz w:val="21"/>
                <w:szCs w:val="21"/>
                <w:lang w:val="es-ES" w:eastAsia="es-ES"/>
              </w:rPr>
              <w:t>Adolfo Cuevas Teja</w:t>
            </w:r>
          </w:p>
          <w:p w:rsidR="00816C1F" w:rsidRPr="00816C1F" w:rsidRDefault="00816C1F" w:rsidP="00816C1F">
            <w:pPr>
              <w:spacing w:after="0" w:line="240" w:lineRule="auto"/>
              <w:jc w:val="center"/>
              <w:rPr>
                <w:rFonts w:ascii="ITC Avant Garde" w:hAnsi="ITC Avant Garde"/>
                <w:b/>
                <w:sz w:val="21"/>
                <w:szCs w:val="21"/>
                <w:lang w:val="es-ES" w:eastAsia="es-ES"/>
              </w:rPr>
            </w:pPr>
            <w:r w:rsidRPr="00816C1F">
              <w:rPr>
                <w:rFonts w:ascii="ITC Avant Garde" w:hAnsi="ITC Avant Garde"/>
                <w:b/>
                <w:sz w:val="21"/>
                <w:szCs w:val="21"/>
                <w:lang w:val="es-ES" w:eastAsia="es-ES"/>
              </w:rPr>
              <w:t xml:space="preserve">Comisionado </w:t>
            </w:r>
          </w:p>
          <w:p w:rsidR="00816C1F" w:rsidRPr="00816C1F" w:rsidRDefault="00816C1F" w:rsidP="00816C1F">
            <w:pPr>
              <w:spacing w:after="0" w:line="240" w:lineRule="auto"/>
              <w:jc w:val="center"/>
              <w:rPr>
                <w:rFonts w:ascii="ITC Avant Garde" w:hAnsi="ITC Avant Garde"/>
                <w:b/>
                <w:sz w:val="21"/>
                <w:szCs w:val="21"/>
                <w:lang w:val="es-ES" w:eastAsia="es-ES"/>
              </w:rPr>
            </w:pPr>
          </w:p>
          <w:p w:rsidR="00816C1F" w:rsidRPr="00816C1F" w:rsidRDefault="00816C1F" w:rsidP="00816C1F">
            <w:pPr>
              <w:spacing w:after="0" w:line="240" w:lineRule="auto"/>
              <w:jc w:val="center"/>
              <w:rPr>
                <w:rFonts w:ascii="ITC Avant Garde" w:hAnsi="ITC Avant Garde"/>
                <w:b/>
                <w:sz w:val="21"/>
                <w:szCs w:val="21"/>
                <w:lang w:val="es-ES" w:eastAsia="es-ES"/>
              </w:rPr>
            </w:pPr>
          </w:p>
          <w:p w:rsidR="00816C1F" w:rsidRPr="00816C1F" w:rsidRDefault="00816C1F" w:rsidP="00816C1F">
            <w:pPr>
              <w:spacing w:after="0" w:line="240" w:lineRule="auto"/>
              <w:jc w:val="center"/>
              <w:rPr>
                <w:rFonts w:ascii="ITC Avant Garde" w:hAnsi="ITC Avant Garde"/>
                <w:b/>
                <w:sz w:val="21"/>
                <w:szCs w:val="21"/>
                <w:lang w:val="es-ES" w:eastAsia="es-ES"/>
              </w:rPr>
            </w:pPr>
          </w:p>
          <w:p w:rsidR="00816C1F" w:rsidRPr="00816C1F" w:rsidRDefault="00816C1F" w:rsidP="00816C1F">
            <w:pPr>
              <w:spacing w:after="0" w:line="240" w:lineRule="auto"/>
              <w:jc w:val="center"/>
              <w:rPr>
                <w:rFonts w:ascii="ITC Avant Garde" w:hAnsi="ITC Avant Garde"/>
                <w:b/>
                <w:sz w:val="21"/>
                <w:szCs w:val="21"/>
                <w:lang w:val="es-ES" w:eastAsia="es-ES"/>
              </w:rPr>
            </w:pPr>
          </w:p>
        </w:tc>
        <w:tc>
          <w:tcPr>
            <w:tcW w:w="633" w:type="pct"/>
            <w:tcMar>
              <w:top w:w="0" w:type="dxa"/>
              <w:left w:w="70" w:type="dxa"/>
              <w:bottom w:w="0" w:type="dxa"/>
              <w:right w:w="70" w:type="dxa"/>
            </w:tcMar>
          </w:tcPr>
          <w:p w:rsidR="00816C1F" w:rsidRPr="00816C1F" w:rsidRDefault="00816C1F" w:rsidP="00816C1F">
            <w:pPr>
              <w:spacing w:after="0" w:line="240" w:lineRule="auto"/>
              <w:jc w:val="center"/>
              <w:rPr>
                <w:rFonts w:ascii="ITC Avant Garde" w:hAnsi="ITC Avant Garde"/>
                <w:b/>
                <w:sz w:val="21"/>
                <w:szCs w:val="21"/>
                <w:lang w:val="es-ES" w:eastAsia="es-ES"/>
              </w:rPr>
            </w:pPr>
          </w:p>
          <w:p w:rsidR="00816C1F" w:rsidRPr="00816C1F" w:rsidRDefault="00816C1F" w:rsidP="00816C1F">
            <w:pPr>
              <w:spacing w:after="0" w:line="240" w:lineRule="auto"/>
              <w:jc w:val="center"/>
              <w:rPr>
                <w:rFonts w:ascii="ITC Avant Garde" w:hAnsi="ITC Avant Garde"/>
                <w:b/>
                <w:sz w:val="21"/>
                <w:szCs w:val="21"/>
                <w:lang w:val="es-ES" w:eastAsia="es-ES"/>
              </w:rPr>
            </w:pPr>
          </w:p>
        </w:tc>
        <w:tc>
          <w:tcPr>
            <w:tcW w:w="2267" w:type="pct"/>
            <w:tcMar>
              <w:top w:w="0" w:type="dxa"/>
              <w:left w:w="70" w:type="dxa"/>
              <w:bottom w:w="0" w:type="dxa"/>
              <w:right w:w="70" w:type="dxa"/>
            </w:tcMar>
          </w:tcPr>
          <w:p w:rsidR="00816C1F" w:rsidRPr="00816C1F" w:rsidRDefault="00816C1F" w:rsidP="00816C1F">
            <w:pPr>
              <w:spacing w:after="0" w:line="240" w:lineRule="auto"/>
              <w:jc w:val="center"/>
              <w:rPr>
                <w:rFonts w:ascii="ITC Avant Garde" w:hAnsi="ITC Avant Garde"/>
                <w:b/>
                <w:sz w:val="21"/>
                <w:szCs w:val="21"/>
                <w:lang w:val="es-ES" w:eastAsia="es-ES"/>
              </w:rPr>
            </w:pPr>
            <w:r w:rsidRPr="00816C1F">
              <w:rPr>
                <w:rFonts w:ascii="ITC Avant Garde" w:hAnsi="ITC Avant Garde"/>
                <w:b/>
                <w:sz w:val="21"/>
                <w:szCs w:val="21"/>
                <w:lang w:val="es-ES" w:eastAsia="es-ES"/>
              </w:rPr>
              <w:t>Javier Juárez Mojica</w:t>
            </w:r>
          </w:p>
          <w:p w:rsidR="00816C1F" w:rsidRPr="00816C1F" w:rsidRDefault="00816C1F" w:rsidP="00816C1F">
            <w:pPr>
              <w:spacing w:after="0" w:line="240" w:lineRule="auto"/>
              <w:jc w:val="center"/>
              <w:rPr>
                <w:rFonts w:ascii="ITC Avant Garde" w:hAnsi="ITC Avant Garde"/>
                <w:b/>
                <w:sz w:val="21"/>
                <w:szCs w:val="21"/>
                <w:lang w:val="es-ES" w:eastAsia="es-ES"/>
              </w:rPr>
            </w:pPr>
            <w:r w:rsidRPr="00816C1F">
              <w:rPr>
                <w:rFonts w:ascii="ITC Avant Garde" w:hAnsi="ITC Avant Garde"/>
                <w:b/>
                <w:sz w:val="21"/>
                <w:szCs w:val="21"/>
                <w:lang w:val="es-ES" w:eastAsia="es-ES"/>
              </w:rPr>
              <w:t xml:space="preserve">Comisionado </w:t>
            </w:r>
          </w:p>
        </w:tc>
      </w:tr>
      <w:tr w:rsidR="00816C1F" w:rsidRPr="00816C1F" w:rsidTr="00CD7034">
        <w:trPr>
          <w:trHeight w:val="398"/>
        </w:trPr>
        <w:tc>
          <w:tcPr>
            <w:tcW w:w="5000" w:type="pct"/>
            <w:gridSpan w:val="3"/>
            <w:tcMar>
              <w:top w:w="0" w:type="dxa"/>
              <w:left w:w="70" w:type="dxa"/>
              <w:bottom w:w="0" w:type="dxa"/>
              <w:right w:w="70" w:type="dxa"/>
            </w:tcMar>
          </w:tcPr>
          <w:p w:rsidR="00816C1F" w:rsidRPr="00816C1F" w:rsidRDefault="00816C1F" w:rsidP="00816C1F">
            <w:pPr>
              <w:spacing w:after="0" w:line="240" w:lineRule="auto"/>
              <w:jc w:val="center"/>
              <w:rPr>
                <w:rFonts w:ascii="ITC Avant Garde" w:hAnsi="ITC Avant Garde"/>
                <w:b/>
                <w:sz w:val="21"/>
                <w:szCs w:val="21"/>
                <w:lang w:val="es-ES" w:eastAsia="es-ES"/>
              </w:rPr>
            </w:pPr>
            <w:r w:rsidRPr="00816C1F">
              <w:rPr>
                <w:rFonts w:ascii="ITC Avant Garde" w:hAnsi="ITC Avant Garde"/>
                <w:b/>
                <w:sz w:val="21"/>
                <w:szCs w:val="21"/>
                <w:lang w:val="es-ES" w:eastAsia="es-ES"/>
              </w:rPr>
              <w:t>Arturo Robles Rovalo</w:t>
            </w:r>
          </w:p>
          <w:p w:rsidR="00816C1F" w:rsidRPr="00816C1F" w:rsidRDefault="00816C1F" w:rsidP="00816C1F">
            <w:pPr>
              <w:spacing w:after="0" w:line="240" w:lineRule="auto"/>
              <w:jc w:val="center"/>
              <w:rPr>
                <w:rFonts w:ascii="ITC Avant Garde" w:hAnsi="ITC Avant Garde"/>
                <w:b/>
                <w:sz w:val="21"/>
                <w:szCs w:val="21"/>
                <w:lang w:val="es-ES" w:eastAsia="es-ES"/>
              </w:rPr>
            </w:pPr>
            <w:r w:rsidRPr="00816C1F">
              <w:rPr>
                <w:rFonts w:ascii="ITC Avant Garde" w:hAnsi="ITC Avant Garde"/>
                <w:b/>
                <w:sz w:val="21"/>
                <w:szCs w:val="21"/>
                <w:lang w:val="es-ES" w:eastAsia="es-ES"/>
              </w:rPr>
              <w:t>Comisionado</w:t>
            </w:r>
          </w:p>
        </w:tc>
      </w:tr>
    </w:tbl>
    <w:p w:rsidR="00816C1F" w:rsidRDefault="00816C1F" w:rsidP="00816C1F">
      <w:pPr>
        <w:pStyle w:val="Prrafodelista"/>
        <w:spacing w:after="0" w:line="240" w:lineRule="auto"/>
        <w:ind w:left="0"/>
        <w:jc w:val="both"/>
        <w:rPr>
          <w:rFonts w:ascii="ITC Avant Garde" w:hAnsi="ITC Avant Garde"/>
          <w:sz w:val="14"/>
          <w:szCs w:val="14"/>
        </w:rPr>
      </w:pPr>
    </w:p>
    <w:p w:rsidR="00816C1F" w:rsidRDefault="00816C1F" w:rsidP="00816C1F">
      <w:pPr>
        <w:pStyle w:val="Prrafodelista"/>
        <w:spacing w:after="0" w:line="240" w:lineRule="auto"/>
        <w:ind w:left="0"/>
        <w:jc w:val="both"/>
        <w:rPr>
          <w:rFonts w:ascii="ITC Avant Garde" w:hAnsi="ITC Avant Garde"/>
          <w:sz w:val="14"/>
          <w:szCs w:val="14"/>
        </w:rPr>
      </w:pPr>
    </w:p>
    <w:p w:rsidR="00816C1F" w:rsidRDefault="00816C1F" w:rsidP="00816C1F">
      <w:pPr>
        <w:pStyle w:val="Prrafodelista"/>
        <w:spacing w:after="0" w:line="240" w:lineRule="auto"/>
        <w:ind w:left="0"/>
        <w:jc w:val="both"/>
        <w:rPr>
          <w:rFonts w:ascii="ITC Avant Garde" w:hAnsi="ITC Avant Garde"/>
          <w:sz w:val="14"/>
          <w:szCs w:val="14"/>
        </w:rPr>
      </w:pPr>
    </w:p>
    <w:p w:rsidR="00816C1F" w:rsidRPr="00816C1F" w:rsidRDefault="00816C1F" w:rsidP="00816C1F">
      <w:pPr>
        <w:pStyle w:val="Prrafodelista"/>
        <w:spacing w:after="0" w:line="240" w:lineRule="auto"/>
        <w:ind w:left="0"/>
        <w:jc w:val="both"/>
        <w:rPr>
          <w:rFonts w:ascii="ITC Avant Garde" w:hAnsi="ITC Avant Garde"/>
          <w:sz w:val="14"/>
          <w:szCs w:val="14"/>
        </w:rPr>
      </w:pPr>
      <w:r w:rsidRPr="00816C1F">
        <w:rPr>
          <w:rFonts w:ascii="ITC Avant Garde" w:hAnsi="ITC Avant Garde"/>
          <w:sz w:val="14"/>
          <w:szCs w:val="14"/>
        </w:rPr>
        <w:t xml:space="preserve">El presente Acuerdo fue aprobado por el Pleno del Instituto Federal de Telecomunicaciones en su X Sesión Ordinaria celebrada el 14 de marzo de 2018, </w:t>
      </w:r>
      <w:r w:rsidRPr="00816C1F">
        <w:rPr>
          <w:rFonts w:ascii="ITC Avant Garde" w:hAnsi="ITC Avant Garde"/>
          <w:bCs/>
          <w:sz w:val="14"/>
          <w:szCs w:val="14"/>
        </w:rPr>
        <w:t>por unanimidad</w:t>
      </w:r>
      <w:r w:rsidRPr="00816C1F">
        <w:rPr>
          <w:rFonts w:ascii="ITC Avant Garde" w:hAnsi="ITC Avant Garde"/>
          <w:sz w:val="14"/>
          <w:szCs w:val="14"/>
        </w:rPr>
        <w:t xml:space="preserve"> de votos de los Comisionados Gabriel Oswaldo Contreras Saldívar,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P/IFT/140318/180.</w:t>
      </w:r>
    </w:p>
    <w:p w:rsidR="00816C1F" w:rsidRPr="00816C1F" w:rsidRDefault="00816C1F" w:rsidP="00816C1F">
      <w:pPr>
        <w:pStyle w:val="Prrafodelista"/>
        <w:spacing w:after="0" w:line="240" w:lineRule="auto"/>
        <w:ind w:left="0"/>
        <w:jc w:val="both"/>
        <w:rPr>
          <w:rFonts w:ascii="ITC Avant Garde" w:hAnsi="ITC Avant Garde"/>
          <w:sz w:val="14"/>
          <w:szCs w:val="14"/>
        </w:rPr>
      </w:pPr>
    </w:p>
    <w:p w:rsidR="00816C1F" w:rsidRPr="00816C1F" w:rsidRDefault="00816C1F" w:rsidP="00816C1F">
      <w:pPr>
        <w:spacing w:after="0" w:line="240" w:lineRule="auto"/>
        <w:jc w:val="both"/>
        <w:rPr>
          <w:rFonts w:ascii="ITC Avant Garde" w:hAnsi="ITC Avant Garde"/>
          <w:sz w:val="14"/>
          <w:szCs w:val="14"/>
          <w:lang w:eastAsia="es-MX"/>
        </w:rPr>
      </w:pPr>
      <w:r w:rsidRPr="00816C1F">
        <w:rPr>
          <w:rFonts w:ascii="ITC Avant Garde" w:hAnsi="ITC Avant Garde"/>
          <w:sz w:val="14"/>
          <w:szCs w:val="14"/>
          <w:lang w:eastAsia="es-MX"/>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816C1F" w:rsidRPr="00816C1F" w:rsidSect="00816C1F">
      <w:footerReference w:type="default" r:id="rId11"/>
      <w:pgSz w:w="12240" w:h="15840"/>
      <w:pgMar w:top="1985" w:right="1418" w:bottom="1843" w:left="1418" w:header="709" w:footer="8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FF2" w:rsidRDefault="00D61FF2" w:rsidP="00C35169">
      <w:pPr>
        <w:spacing w:after="0" w:line="240" w:lineRule="auto"/>
      </w:pPr>
      <w:r>
        <w:separator/>
      </w:r>
    </w:p>
  </w:endnote>
  <w:endnote w:type="continuationSeparator" w:id="0">
    <w:p w:rsidR="00D61FF2" w:rsidRDefault="00D61FF2" w:rsidP="00C35169">
      <w:pPr>
        <w:spacing w:after="0" w:line="240" w:lineRule="auto"/>
      </w:pPr>
      <w:r>
        <w:continuationSeparator/>
      </w:r>
    </w:p>
  </w:endnote>
  <w:endnote w:type="continuationNotice" w:id="1">
    <w:p w:rsidR="00D61FF2" w:rsidRDefault="00D61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674750"/>
      <w:docPartObj>
        <w:docPartGallery w:val="Page Numbers (Bottom of Page)"/>
        <w:docPartUnique/>
      </w:docPartObj>
    </w:sdtPr>
    <w:sdtEndPr>
      <w:rPr>
        <w:rFonts w:ascii="ITC Avant Garde" w:hAnsi="ITC Avant Garde"/>
        <w:sz w:val="16"/>
        <w:szCs w:val="16"/>
      </w:rPr>
    </w:sdtEndPr>
    <w:sdtContent>
      <w:p w:rsidR="00E23470" w:rsidRPr="00816C1F" w:rsidRDefault="00E23470">
        <w:pPr>
          <w:pStyle w:val="Piedepgina"/>
          <w:jc w:val="right"/>
          <w:rPr>
            <w:rFonts w:ascii="ITC Avant Garde" w:hAnsi="ITC Avant Garde"/>
            <w:sz w:val="16"/>
            <w:szCs w:val="16"/>
          </w:rPr>
        </w:pPr>
        <w:r w:rsidRPr="00816C1F">
          <w:rPr>
            <w:rFonts w:ascii="ITC Avant Garde" w:hAnsi="ITC Avant Garde"/>
            <w:sz w:val="16"/>
            <w:szCs w:val="16"/>
          </w:rPr>
          <w:fldChar w:fldCharType="begin"/>
        </w:r>
        <w:r w:rsidRPr="00816C1F">
          <w:rPr>
            <w:rFonts w:ascii="ITC Avant Garde" w:hAnsi="ITC Avant Garde"/>
            <w:sz w:val="16"/>
            <w:szCs w:val="16"/>
          </w:rPr>
          <w:instrText>PAGE   \* MERGEFORMAT</w:instrText>
        </w:r>
        <w:r w:rsidRPr="00816C1F">
          <w:rPr>
            <w:rFonts w:ascii="ITC Avant Garde" w:hAnsi="ITC Avant Garde"/>
            <w:sz w:val="16"/>
            <w:szCs w:val="16"/>
          </w:rPr>
          <w:fldChar w:fldCharType="separate"/>
        </w:r>
        <w:r w:rsidR="00816C1F" w:rsidRPr="00816C1F">
          <w:rPr>
            <w:rFonts w:ascii="ITC Avant Garde" w:hAnsi="ITC Avant Garde"/>
            <w:noProof/>
            <w:sz w:val="16"/>
            <w:szCs w:val="16"/>
            <w:lang w:val="es-ES"/>
          </w:rPr>
          <w:t>6</w:t>
        </w:r>
        <w:r w:rsidRPr="00816C1F">
          <w:rPr>
            <w:rFonts w:ascii="ITC Avant Garde" w:hAnsi="ITC Avant Garde"/>
            <w:sz w:val="16"/>
            <w:szCs w:val="16"/>
          </w:rPr>
          <w:fldChar w:fldCharType="end"/>
        </w:r>
      </w:p>
    </w:sdtContent>
  </w:sdt>
  <w:p w:rsidR="00E23470" w:rsidRPr="000825EE" w:rsidRDefault="00E23470" w:rsidP="0081099C">
    <w:pPr>
      <w:pStyle w:val="Piedepgina"/>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FF2" w:rsidRDefault="00D61FF2" w:rsidP="00C35169">
      <w:pPr>
        <w:spacing w:after="0" w:line="240" w:lineRule="auto"/>
      </w:pPr>
      <w:r>
        <w:separator/>
      </w:r>
    </w:p>
  </w:footnote>
  <w:footnote w:type="continuationSeparator" w:id="0">
    <w:p w:rsidR="00D61FF2" w:rsidRDefault="00D61FF2" w:rsidP="00C35169">
      <w:pPr>
        <w:spacing w:after="0" w:line="240" w:lineRule="auto"/>
      </w:pPr>
      <w:r>
        <w:continuationSeparator/>
      </w:r>
    </w:p>
  </w:footnote>
  <w:footnote w:type="continuationNotice" w:id="1">
    <w:p w:rsidR="00D61FF2" w:rsidRDefault="00D61F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0E80"/>
    <w:multiLevelType w:val="hybridMultilevel"/>
    <w:tmpl w:val="DDCEC77E"/>
    <w:lvl w:ilvl="0" w:tplc="B8B0A57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195B54"/>
    <w:multiLevelType w:val="hybridMultilevel"/>
    <w:tmpl w:val="011C06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523CF8"/>
    <w:multiLevelType w:val="hybridMultilevel"/>
    <w:tmpl w:val="94143C86"/>
    <w:lvl w:ilvl="0" w:tplc="B8B0A578">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E44F73"/>
    <w:multiLevelType w:val="hybridMultilevel"/>
    <w:tmpl w:val="43D6EA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6BF01ACC"/>
    <w:multiLevelType w:val="hybridMultilevel"/>
    <w:tmpl w:val="BCA4881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6FDC2731"/>
    <w:multiLevelType w:val="hybridMultilevel"/>
    <w:tmpl w:val="58506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BD561C"/>
    <w:multiLevelType w:val="hybridMultilevel"/>
    <w:tmpl w:val="90987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93A7855"/>
    <w:multiLevelType w:val="hybridMultilevel"/>
    <w:tmpl w:val="327C0B24"/>
    <w:lvl w:ilvl="0" w:tplc="B8B0A578">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C4A04CC"/>
    <w:multiLevelType w:val="hybridMultilevel"/>
    <w:tmpl w:val="89B20F78"/>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2"/>
  </w:num>
  <w:num w:numId="5">
    <w:abstractNumId w:val="3"/>
  </w:num>
  <w:num w:numId="6">
    <w:abstractNumId w:val="6"/>
  </w:num>
  <w:num w:numId="7">
    <w:abstractNumId w:val="8"/>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69"/>
    <w:rsid w:val="00010436"/>
    <w:rsid w:val="0002185C"/>
    <w:rsid w:val="0002629A"/>
    <w:rsid w:val="00034127"/>
    <w:rsid w:val="00034C4F"/>
    <w:rsid w:val="00042477"/>
    <w:rsid w:val="00047E6E"/>
    <w:rsid w:val="00064F34"/>
    <w:rsid w:val="000655A2"/>
    <w:rsid w:val="00075054"/>
    <w:rsid w:val="000A2B1F"/>
    <w:rsid w:val="000A560B"/>
    <w:rsid w:val="000B057E"/>
    <w:rsid w:val="000B61DE"/>
    <w:rsid w:val="000C09B8"/>
    <w:rsid w:val="000C1949"/>
    <w:rsid w:val="000D6EBB"/>
    <w:rsid w:val="000E7C53"/>
    <w:rsid w:val="00110B8D"/>
    <w:rsid w:val="00127752"/>
    <w:rsid w:val="0013355A"/>
    <w:rsid w:val="00142B90"/>
    <w:rsid w:val="001474AF"/>
    <w:rsid w:val="00152237"/>
    <w:rsid w:val="001562CB"/>
    <w:rsid w:val="001623AF"/>
    <w:rsid w:val="00170822"/>
    <w:rsid w:val="00184B48"/>
    <w:rsid w:val="001942C2"/>
    <w:rsid w:val="00196885"/>
    <w:rsid w:val="001A1958"/>
    <w:rsid w:val="001A2EEF"/>
    <w:rsid w:val="001B0B09"/>
    <w:rsid w:val="001B2205"/>
    <w:rsid w:val="001B640E"/>
    <w:rsid w:val="001E0000"/>
    <w:rsid w:val="001E3C1A"/>
    <w:rsid w:val="001F16EF"/>
    <w:rsid w:val="001F18FA"/>
    <w:rsid w:val="001F3FF8"/>
    <w:rsid w:val="001F44BA"/>
    <w:rsid w:val="0020547A"/>
    <w:rsid w:val="00234B4E"/>
    <w:rsid w:val="0023510C"/>
    <w:rsid w:val="00235FCE"/>
    <w:rsid w:val="00247851"/>
    <w:rsid w:val="00265DD5"/>
    <w:rsid w:val="002704DD"/>
    <w:rsid w:val="002822C7"/>
    <w:rsid w:val="00291254"/>
    <w:rsid w:val="002A186E"/>
    <w:rsid w:val="002B0341"/>
    <w:rsid w:val="002C0B35"/>
    <w:rsid w:val="002C105C"/>
    <w:rsid w:val="002C7857"/>
    <w:rsid w:val="002D35CA"/>
    <w:rsid w:val="002D3C8C"/>
    <w:rsid w:val="002E0CED"/>
    <w:rsid w:val="002F5659"/>
    <w:rsid w:val="00301EE9"/>
    <w:rsid w:val="00306E30"/>
    <w:rsid w:val="00316906"/>
    <w:rsid w:val="003266D2"/>
    <w:rsid w:val="003301B4"/>
    <w:rsid w:val="00340108"/>
    <w:rsid w:val="003444A8"/>
    <w:rsid w:val="003541EE"/>
    <w:rsid w:val="003662DC"/>
    <w:rsid w:val="00370665"/>
    <w:rsid w:val="00370DDA"/>
    <w:rsid w:val="00384D84"/>
    <w:rsid w:val="003857F9"/>
    <w:rsid w:val="003A4DEA"/>
    <w:rsid w:val="003A5325"/>
    <w:rsid w:val="003A69E2"/>
    <w:rsid w:val="003B4ACF"/>
    <w:rsid w:val="003C607E"/>
    <w:rsid w:val="003E608D"/>
    <w:rsid w:val="0041156E"/>
    <w:rsid w:val="004237D0"/>
    <w:rsid w:val="004247FF"/>
    <w:rsid w:val="00425FC0"/>
    <w:rsid w:val="004268B2"/>
    <w:rsid w:val="00433CD6"/>
    <w:rsid w:val="00441FAC"/>
    <w:rsid w:val="00461C4A"/>
    <w:rsid w:val="00474DD6"/>
    <w:rsid w:val="00480E04"/>
    <w:rsid w:val="00483F22"/>
    <w:rsid w:val="00485697"/>
    <w:rsid w:val="00485A37"/>
    <w:rsid w:val="004A40BA"/>
    <w:rsid w:val="004A5B60"/>
    <w:rsid w:val="004C34A5"/>
    <w:rsid w:val="004E30FD"/>
    <w:rsid w:val="004E7D45"/>
    <w:rsid w:val="0050225F"/>
    <w:rsid w:val="0051406E"/>
    <w:rsid w:val="00514D14"/>
    <w:rsid w:val="00515595"/>
    <w:rsid w:val="005313A8"/>
    <w:rsid w:val="00532B3B"/>
    <w:rsid w:val="00544A17"/>
    <w:rsid w:val="00547F4B"/>
    <w:rsid w:val="00561E91"/>
    <w:rsid w:val="00567415"/>
    <w:rsid w:val="00573E89"/>
    <w:rsid w:val="005916F9"/>
    <w:rsid w:val="00594550"/>
    <w:rsid w:val="005C4FC2"/>
    <w:rsid w:val="005C5C0B"/>
    <w:rsid w:val="005D106E"/>
    <w:rsid w:val="005D32BF"/>
    <w:rsid w:val="005F5744"/>
    <w:rsid w:val="00603A36"/>
    <w:rsid w:val="006076D9"/>
    <w:rsid w:val="00616789"/>
    <w:rsid w:val="0061749A"/>
    <w:rsid w:val="00626E02"/>
    <w:rsid w:val="006341AB"/>
    <w:rsid w:val="0065242A"/>
    <w:rsid w:val="00655EAB"/>
    <w:rsid w:val="0066428C"/>
    <w:rsid w:val="00670B29"/>
    <w:rsid w:val="0068313D"/>
    <w:rsid w:val="006833B4"/>
    <w:rsid w:val="006913ED"/>
    <w:rsid w:val="00695A56"/>
    <w:rsid w:val="006A00CA"/>
    <w:rsid w:val="006A112D"/>
    <w:rsid w:val="006A1FCA"/>
    <w:rsid w:val="006A3634"/>
    <w:rsid w:val="006C2864"/>
    <w:rsid w:val="006C2E2B"/>
    <w:rsid w:val="006F2A25"/>
    <w:rsid w:val="006F42F8"/>
    <w:rsid w:val="006F563B"/>
    <w:rsid w:val="00700902"/>
    <w:rsid w:val="00713BC4"/>
    <w:rsid w:val="00720190"/>
    <w:rsid w:val="007206E5"/>
    <w:rsid w:val="0073009A"/>
    <w:rsid w:val="00745B5D"/>
    <w:rsid w:val="00747BC4"/>
    <w:rsid w:val="007500E2"/>
    <w:rsid w:val="007521B7"/>
    <w:rsid w:val="007675B8"/>
    <w:rsid w:val="00770556"/>
    <w:rsid w:val="00771451"/>
    <w:rsid w:val="00772F8B"/>
    <w:rsid w:val="00773375"/>
    <w:rsid w:val="00776683"/>
    <w:rsid w:val="00776F97"/>
    <w:rsid w:val="007977D8"/>
    <w:rsid w:val="007A2129"/>
    <w:rsid w:val="007A45DD"/>
    <w:rsid w:val="007B32C3"/>
    <w:rsid w:val="007B753C"/>
    <w:rsid w:val="007C00A2"/>
    <w:rsid w:val="007C334A"/>
    <w:rsid w:val="007D2E96"/>
    <w:rsid w:val="007E5CC8"/>
    <w:rsid w:val="007F1A45"/>
    <w:rsid w:val="0080033D"/>
    <w:rsid w:val="0080334A"/>
    <w:rsid w:val="0081099C"/>
    <w:rsid w:val="00816C1F"/>
    <w:rsid w:val="00821246"/>
    <w:rsid w:val="008402B0"/>
    <w:rsid w:val="008512C9"/>
    <w:rsid w:val="00856F25"/>
    <w:rsid w:val="008574DF"/>
    <w:rsid w:val="00866E36"/>
    <w:rsid w:val="008957E9"/>
    <w:rsid w:val="008A3352"/>
    <w:rsid w:val="008A4FBE"/>
    <w:rsid w:val="008B7A21"/>
    <w:rsid w:val="008C386B"/>
    <w:rsid w:val="008D2800"/>
    <w:rsid w:val="008D789F"/>
    <w:rsid w:val="008E5F10"/>
    <w:rsid w:val="00902D49"/>
    <w:rsid w:val="00933C75"/>
    <w:rsid w:val="0093412A"/>
    <w:rsid w:val="009352BD"/>
    <w:rsid w:val="009413AA"/>
    <w:rsid w:val="00941D7E"/>
    <w:rsid w:val="009633D9"/>
    <w:rsid w:val="0096760D"/>
    <w:rsid w:val="009778A3"/>
    <w:rsid w:val="0098166E"/>
    <w:rsid w:val="00986333"/>
    <w:rsid w:val="009B0F72"/>
    <w:rsid w:val="009B2B40"/>
    <w:rsid w:val="009E567E"/>
    <w:rsid w:val="00A224A9"/>
    <w:rsid w:val="00A3381D"/>
    <w:rsid w:val="00A40EBB"/>
    <w:rsid w:val="00A533D3"/>
    <w:rsid w:val="00A6546A"/>
    <w:rsid w:val="00A65D5B"/>
    <w:rsid w:val="00A65F18"/>
    <w:rsid w:val="00A9052D"/>
    <w:rsid w:val="00A906CB"/>
    <w:rsid w:val="00A91293"/>
    <w:rsid w:val="00A91D82"/>
    <w:rsid w:val="00AC0CB3"/>
    <w:rsid w:val="00AC62DB"/>
    <w:rsid w:val="00AC66A6"/>
    <w:rsid w:val="00AC6EF2"/>
    <w:rsid w:val="00AC7182"/>
    <w:rsid w:val="00AD227C"/>
    <w:rsid w:val="00AF5AB2"/>
    <w:rsid w:val="00B2790F"/>
    <w:rsid w:val="00B35B47"/>
    <w:rsid w:val="00B53B26"/>
    <w:rsid w:val="00B57440"/>
    <w:rsid w:val="00B57AC4"/>
    <w:rsid w:val="00B62A4D"/>
    <w:rsid w:val="00B74068"/>
    <w:rsid w:val="00B76CBB"/>
    <w:rsid w:val="00B81AE1"/>
    <w:rsid w:val="00B903F0"/>
    <w:rsid w:val="00B92819"/>
    <w:rsid w:val="00B93EB1"/>
    <w:rsid w:val="00B941D4"/>
    <w:rsid w:val="00BA0558"/>
    <w:rsid w:val="00BA556A"/>
    <w:rsid w:val="00BB23A8"/>
    <w:rsid w:val="00BB247D"/>
    <w:rsid w:val="00BB4452"/>
    <w:rsid w:val="00BE1556"/>
    <w:rsid w:val="00BE23EF"/>
    <w:rsid w:val="00BE4E12"/>
    <w:rsid w:val="00BF216C"/>
    <w:rsid w:val="00BF3791"/>
    <w:rsid w:val="00C2195C"/>
    <w:rsid w:val="00C24DEC"/>
    <w:rsid w:val="00C3037D"/>
    <w:rsid w:val="00C311A8"/>
    <w:rsid w:val="00C3508F"/>
    <w:rsid w:val="00C35169"/>
    <w:rsid w:val="00C35BFA"/>
    <w:rsid w:val="00C42800"/>
    <w:rsid w:val="00C56E95"/>
    <w:rsid w:val="00C6112D"/>
    <w:rsid w:val="00C6129F"/>
    <w:rsid w:val="00C77E00"/>
    <w:rsid w:val="00CA3E46"/>
    <w:rsid w:val="00CA7E0C"/>
    <w:rsid w:val="00CB3713"/>
    <w:rsid w:val="00CB5F0E"/>
    <w:rsid w:val="00CC011C"/>
    <w:rsid w:val="00CD0DF8"/>
    <w:rsid w:val="00CF6F40"/>
    <w:rsid w:val="00D10831"/>
    <w:rsid w:val="00D27C51"/>
    <w:rsid w:val="00D42736"/>
    <w:rsid w:val="00D43453"/>
    <w:rsid w:val="00D43498"/>
    <w:rsid w:val="00D50C66"/>
    <w:rsid w:val="00D57408"/>
    <w:rsid w:val="00D57DF0"/>
    <w:rsid w:val="00D61FF2"/>
    <w:rsid w:val="00D652D9"/>
    <w:rsid w:val="00D7045E"/>
    <w:rsid w:val="00D71A69"/>
    <w:rsid w:val="00D76932"/>
    <w:rsid w:val="00D80971"/>
    <w:rsid w:val="00D87C12"/>
    <w:rsid w:val="00DA1907"/>
    <w:rsid w:val="00DA6CFA"/>
    <w:rsid w:val="00DB0774"/>
    <w:rsid w:val="00DB5D34"/>
    <w:rsid w:val="00DD2EE2"/>
    <w:rsid w:val="00DE4FD6"/>
    <w:rsid w:val="00E0498C"/>
    <w:rsid w:val="00E21F24"/>
    <w:rsid w:val="00E22616"/>
    <w:rsid w:val="00E23470"/>
    <w:rsid w:val="00E24AB3"/>
    <w:rsid w:val="00E52690"/>
    <w:rsid w:val="00E53DF4"/>
    <w:rsid w:val="00E63040"/>
    <w:rsid w:val="00E9247F"/>
    <w:rsid w:val="00EB55CE"/>
    <w:rsid w:val="00EC2719"/>
    <w:rsid w:val="00ED49FB"/>
    <w:rsid w:val="00EE0625"/>
    <w:rsid w:val="00EF07A1"/>
    <w:rsid w:val="00F0633A"/>
    <w:rsid w:val="00F10BAB"/>
    <w:rsid w:val="00F13823"/>
    <w:rsid w:val="00F168B3"/>
    <w:rsid w:val="00F20156"/>
    <w:rsid w:val="00F42651"/>
    <w:rsid w:val="00F43B98"/>
    <w:rsid w:val="00F52D73"/>
    <w:rsid w:val="00F620D1"/>
    <w:rsid w:val="00FA2439"/>
    <w:rsid w:val="00FA2702"/>
    <w:rsid w:val="00FB04D2"/>
    <w:rsid w:val="00FB3639"/>
    <w:rsid w:val="00FC4613"/>
    <w:rsid w:val="00FC7E0B"/>
    <w:rsid w:val="00FD2EDF"/>
    <w:rsid w:val="00FD5D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C880"/>
  <w15:chartTrackingRefBased/>
  <w15:docId w15:val="{AF582A13-9183-4384-8BDA-C0A95CFB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169"/>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35169"/>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PiedepginaCar">
    <w:name w:val="Pie de página Car"/>
    <w:basedOn w:val="Fuentedeprrafopredeter"/>
    <w:link w:val="Piedepgina"/>
    <w:uiPriority w:val="99"/>
    <w:rsid w:val="00C35169"/>
    <w:rPr>
      <w:rFonts w:ascii="Times New Roman" w:eastAsia="Times New Roman" w:hAnsi="Times New Roman" w:cs="Times New Roman"/>
      <w:sz w:val="24"/>
      <w:szCs w:val="20"/>
      <w:lang w:val="es-ES_tradnl" w:eastAsia="es-MX"/>
    </w:rPr>
  </w:style>
  <w:style w:type="paragraph" w:customStyle="1" w:styleId="Default">
    <w:name w:val="Default"/>
    <w:rsid w:val="00C35169"/>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uiPriority w:val="99"/>
    <w:rsid w:val="00C35169"/>
    <w:rPr>
      <w:sz w:val="16"/>
      <w:szCs w:val="16"/>
    </w:rPr>
  </w:style>
  <w:style w:type="paragraph" w:styleId="Textocomentario">
    <w:name w:val="annotation text"/>
    <w:basedOn w:val="Normal"/>
    <w:link w:val="TextocomentarioCar"/>
    <w:uiPriority w:val="99"/>
    <w:rsid w:val="00C35169"/>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C35169"/>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C351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5169"/>
    <w:rPr>
      <w:rFonts w:ascii="Segoe UI" w:hAnsi="Segoe UI" w:cs="Segoe UI"/>
      <w:sz w:val="18"/>
      <w:szCs w:val="18"/>
      <w:lang w:val="es-ES_tradnl"/>
    </w:rPr>
  </w:style>
  <w:style w:type="paragraph" w:styleId="Encabezado">
    <w:name w:val="header"/>
    <w:basedOn w:val="Normal"/>
    <w:link w:val="EncabezadoCar"/>
    <w:uiPriority w:val="99"/>
    <w:unhideWhenUsed/>
    <w:rsid w:val="00C351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5169"/>
    <w:rPr>
      <w:lang w:val="es-ES_tradnl"/>
    </w:rPr>
  </w:style>
  <w:style w:type="paragraph" w:styleId="Asuntodelcomentario">
    <w:name w:val="annotation subject"/>
    <w:basedOn w:val="Textocomentario"/>
    <w:next w:val="Textocomentario"/>
    <w:link w:val="AsuntodelcomentarioCar"/>
    <w:uiPriority w:val="99"/>
    <w:semiHidden/>
    <w:unhideWhenUsed/>
    <w:rsid w:val="00C35169"/>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C35169"/>
    <w:rPr>
      <w:rFonts w:ascii="Times New Roman" w:eastAsia="Times New Roman" w:hAnsi="Times New Roman" w:cs="Times New Roman"/>
      <w:b/>
      <w:bCs/>
      <w:sz w:val="20"/>
      <w:szCs w:val="20"/>
      <w:lang w:val="es-ES_tradnl" w:eastAsia="es-MX"/>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0655A2"/>
    <w:pPr>
      <w:ind w:left="720"/>
      <w:contextualSpacing/>
    </w:pPr>
    <w:rPr>
      <w:rFonts w:ascii="Calibri" w:eastAsia="Calibri" w:hAnsi="Calibri" w:cs="Times New Roman"/>
      <w:lang w:val="es-MX"/>
    </w:rPr>
  </w:style>
  <w:style w:type="paragraph" w:styleId="Revisin">
    <w:name w:val="Revision"/>
    <w:hidden/>
    <w:uiPriority w:val="99"/>
    <w:semiHidden/>
    <w:rsid w:val="00FA2702"/>
    <w:pPr>
      <w:spacing w:after="0" w:line="240" w:lineRule="auto"/>
    </w:pPr>
    <w:rPr>
      <w:lang w:val="es-ES_tradnl"/>
    </w:rPr>
  </w:style>
  <w:style w:type="paragraph" w:styleId="Textonotapie">
    <w:name w:val="footnote text"/>
    <w:basedOn w:val="Normal"/>
    <w:link w:val="TextonotapieCar"/>
    <w:uiPriority w:val="99"/>
    <w:semiHidden/>
    <w:unhideWhenUsed/>
    <w:rsid w:val="00474D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4DD6"/>
    <w:rPr>
      <w:sz w:val="20"/>
      <w:szCs w:val="20"/>
      <w:lang w:val="es-ES_tradnl"/>
    </w:rPr>
  </w:style>
  <w:style w:type="character" w:styleId="Refdenotaalpie">
    <w:name w:val="footnote reference"/>
    <w:basedOn w:val="Fuentedeprrafopredeter"/>
    <w:uiPriority w:val="99"/>
    <w:semiHidden/>
    <w:unhideWhenUsed/>
    <w:rsid w:val="00474DD6"/>
    <w:rPr>
      <w:vertAlign w:val="superscript"/>
    </w:rPr>
  </w:style>
  <w:style w:type="character" w:styleId="Hipervnculo">
    <w:name w:val="Hyperlink"/>
    <w:basedOn w:val="Fuentedeprrafopredeter"/>
    <w:uiPriority w:val="99"/>
    <w:unhideWhenUsed/>
    <w:rsid w:val="00474DD6"/>
    <w:rPr>
      <w:color w:val="0563C1" w:themeColor="hyperlink"/>
      <w:u w:val="single"/>
    </w:rPr>
  </w:style>
  <w:style w:type="table" w:styleId="Tablaconcuadrcula">
    <w:name w:val="Table Grid"/>
    <w:basedOn w:val="Tablanormal"/>
    <w:uiPriority w:val="39"/>
    <w:rsid w:val="0037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61">
    <w:name w:val="Tabla de cuadrícula 5 oscura - Énfasis 61"/>
    <w:basedOn w:val="Tablanormal"/>
    <w:uiPriority w:val="50"/>
    <w:rsid w:val="00C77E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816C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4233">
      <w:bodyDiv w:val="1"/>
      <w:marLeft w:val="0"/>
      <w:marRight w:val="0"/>
      <w:marTop w:val="0"/>
      <w:marBottom w:val="0"/>
      <w:divBdr>
        <w:top w:val="none" w:sz="0" w:space="0" w:color="auto"/>
        <w:left w:val="none" w:sz="0" w:space="0" w:color="auto"/>
        <w:bottom w:val="none" w:sz="0" w:space="0" w:color="auto"/>
        <w:right w:val="none" w:sz="0" w:space="0" w:color="auto"/>
      </w:divBdr>
      <w:divsChild>
        <w:div w:id="1739278461">
          <w:marLeft w:val="0"/>
          <w:marRight w:val="0"/>
          <w:marTop w:val="0"/>
          <w:marBottom w:val="0"/>
          <w:divBdr>
            <w:top w:val="none" w:sz="0" w:space="0" w:color="auto"/>
            <w:left w:val="none" w:sz="0" w:space="0" w:color="auto"/>
            <w:bottom w:val="none" w:sz="0" w:space="0" w:color="auto"/>
            <w:right w:val="none" w:sz="0" w:space="0" w:color="auto"/>
          </w:divBdr>
          <w:divsChild>
            <w:div w:id="999847930">
              <w:marLeft w:val="0"/>
              <w:marRight w:val="0"/>
              <w:marTop w:val="0"/>
              <w:marBottom w:val="0"/>
              <w:divBdr>
                <w:top w:val="none" w:sz="0" w:space="0" w:color="auto"/>
                <w:left w:val="none" w:sz="0" w:space="0" w:color="auto"/>
                <w:bottom w:val="none" w:sz="0" w:space="0" w:color="auto"/>
                <w:right w:val="none" w:sz="0" w:space="0" w:color="auto"/>
              </w:divBdr>
              <w:divsChild>
                <w:div w:id="20931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56963">
          <w:marLeft w:val="0"/>
          <w:marRight w:val="0"/>
          <w:marTop w:val="0"/>
          <w:marBottom w:val="0"/>
          <w:divBdr>
            <w:top w:val="none" w:sz="0" w:space="0" w:color="auto"/>
            <w:left w:val="none" w:sz="0" w:space="0" w:color="auto"/>
            <w:bottom w:val="none" w:sz="0" w:space="0" w:color="auto"/>
            <w:right w:val="none" w:sz="0" w:space="0" w:color="auto"/>
          </w:divBdr>
          <w:divsChild>
            <w:div w:id="1295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00888">
      <w:bodyDiv w:val="1"/>
      <w:marLeft w:val="0"/>
      <w:marRight w:val="0"/>
      <w:marTop w:val="0"/>
      <w:marBottom w:val="0"/>
      <w:divBdr>
        <w:top w:val="none" w:sz="0" w:space="0" w:color="auto"/>
        <w:left w:val="none" w:sz="0" w:space="0" w:color="auto"/>
        <w:bottom w:val="none" w:sz="0" w:space="0" w:color="auto"/>
        <w:right w:val="none" w:sz="0" w:space="0" w:color="auto"/>
      </w:divBdr>
      <w:divsChild>
        <w:div w:id="1932153883">
          <w:marLeft w:val="0"/>
          <w:marRight w:val="0"/>
          <w:marTop w:val="0"/>
          <w:marBottom w:val="0"/>
          <w:divBdr>
            <w:top w:val="none" w:sz="0" w:space="0" w:color="auto"/>
            <w:left w:val="none" w:sz="0" w:space="0" w:color="auto"/>
            <w:bottom w:val="none" w:sz="0" w:space="0" w:color="auto"/>
            <w:right w:val="none" w:sz="0" w:space="0" w:color="auto"/>
          </w:divBdr>
          <w:divsChild>
            <w:div w:id="217328059">
              <w:marLeft w:val="0"/>
              <w:marRight w:val="0"/>
              <w:marTop w:val="0"/>
              <w:marBottom w:val="0"/>
              <w:divBdr>
                <w:top w:val="none" w:sz="0" w:space="0" w:color="auto"/>
                <w:left w:val="none" w:sz="0" w:space="0" w:color="auto"/>
                <w:bottom w:val="none" w:sz="0" w:space="0" w:color="auto"/>
                <w:right w:val="none" w:sz="0" w:space="0" w:color="auto"/>
              </w:divBdr>
              <w:divsChild>
                <w:div w:id="1060590100">
                  <w:marLeft w:val="0"/>
                  <w:marRight w:val="0"/>
                  <w:marTop w:val="0"/>
                  <w:marBottom w:val="0"/>
                  <w:divBdr>
                    <w:top w:val="none" w:sz="0" w:space="0" w:color="auto"/>
                    <w:left w:val="none" w:sz="0" w:space="0" w:color="auto"/>
                    <w:bottom w:val="none" w:sz="0" w:space="0" w:color="auto"/>
                    <w:right w:val="none" w:sz="0" w:space="0" w:color="auto"/>
                  </w:divBdr>
                </w:div>
                <w:div w:id="1804152698">
                  <w:marLeft w:val="0"/>
                  <w:marRight w:val="0"/>
                  <w:marTop w:val="0"/>
                  <w:marBottom w:val="0"/>
                  <w:divBdr>
                    <w:top w:val="none" w:sz="0" w:space="0" w:color="auto"/>
                    <w:left w:val="none" w:sz="0" w:space="0" w:color="auto"/>
                    <w:bottom w:val="none" w:sz="0" w:space="0" w:color="auto"/>
                    <w:right w:val="none" w:sz="0" w:space="0" w:color="auto"/>
                  </w:divBdr>
                </w:div>
                <w:div w:id="27949158">
                  <w:marLeft w:val="0"/>
                  <w:marRight w:val="0"/>
                  <w:marTop w:val="0"/>
                  <w:marBottom w:val="0"/>
                  <w:divBdr>
                    <w:top w:val="none" w:sz="0" w:space="0" w:color="auto"/>
                    <w:left w:val="none" w:sz="0" w:space="0" w:color="auto"/>
                    <w:bottom w:val="none" w:sz="0" w:space="0" w:color="auto"/>
                    <w:right w:val="none" w:sz="0" w:space="0" w:color="auto"/>
                  </w:divBdr>
                </w:div>
                <w:div w:id="2332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68176">
      <w:bodyDiv w:val="1"/>
      <w:marLeft w:val="0"/>
      <w:marRight w:val="0"/>
      <w:marTop w:val="0"/>
      <w:marBottom w:val="0"/>
      <w:divBdr>
        <w:top w:val="none" w:sz="0" w:space="0" w:color="auto"/>
        <w:left w:val="none" w:sz="0" w:space="0" w:color="auto"/>
        <w:bottom w:val="none" w:sz="0" w:space="0" w:color="auto"/>
        <w:right w:val="none" w:sz="0" w:space="0" w:color="auto"/>
      </w:divBdr>
    </w:div>
    <w:div w:id="765274555">
      <w:bodyDiv w:val="1"/>
      <w:marLeft w:val="0"/>
      <w:marRight w:val="0"/>
      <w:marTop w:val="0"/>
      <w:marBottom w:val="0"/>
      <w:divBdr>
        <w:top w:val="none" w:sz="0" w:space="0" w:color="auto"/>
        <w:left w:val="none" w:sz="0" w:space="0" w:color="auto"/>
        <w:bottom w:val="none" w:sz="0" w:space="0" w:color="auto"/>
        <w:right w:val="none" w:sz="0" w:space="0" w:color="auto"/>
      </w:divBdr>
      <w:divsChild>
        <w:div w:id="1732539788">
          <w:marLeft w:val="0"/>
          <w:marRight w:val="0"/>
          <w:marTop w:val="0"/>
          <w:marBottom w:val="0"/>
          <w:divBdr>
            <w:top w:val="none" w:sz="0" w:space="0" w:color="auto"/>
            <w:left w:val="none" w:sz="0" w:space="0" w:color="auto"/>
            <w:bottom w:val="none" w:sz="0" w:space="0" w:color="auto"/>
            <w:right w:val="none" w:sz="0" w:space="0" w:color="auto"/>
          </w:divBdr>
          <w:divsChild>
            <w:div w:id="2038463519">
              <w:marLeft w:val="0"/>
              <w:marRight w:val="0"/>
              <w:marTop w:val="0"/>
              <w:marBottom w:val="0"/>
              <w:divBdr>
                <w:top w:val="none" w:sz="0" w:space="0" w:color="auto"/>
                <w:left w:val="none" w:sz="0" w:space="0" w:color="auto"/>
                <w:bottom w:val="none" w:sz="0" w:space="0" w:color="auto"/>
                <w:right w:val="none" w:sz="0" w:space="0" w:color="auto"/>
              </w:divBdr>
              <w:divsChild>
                <w:div w:id="13405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5929">
          <w:marLeft w:val="0"/>
          <w:marRight w:val="0"/>
          <w:marTop w:val="0"/>
          <w:marBottom w:val="0"/>
          <w:divBdr>
            <w:top w:val="none" w:sz="0" w:space="0" w:color="auto"/>
            <w:left w:val="none" w:sz="0" w:space="0" w:color="auto"/>
            <w:bottom w:val="none" w:sz="0" w:space="0" w:color="auto"/>
            <w:right w:val="none" w:sz="0" w:space="0" w:color="auto"/>
          </w:divBdr>
          <w:divsChild>
            <w:div w:id="3331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7802">
      <w:bodyDiv w:val="1"/>
      <w:marLeft w:val="0"/>
      <w:marRight w:val="0"/>
      <w:marTop w:val="0"/>
      <w:marBottom w:val="0"/>
      <w:divBdr>
        <w:top w:val="none" w:sz="0" w:space="0" w:color="auto"/>
        <w:left w:val="none" w:sz="0" w:space="0" w:color="auto"/>
        <w:bottom w:val="none" w:sz="0" w:space="0" w:color="auto"/>
        <w:right w:val="none" w:sz="0" w:space="0" w:color="auto"/>
      </w:divBdr>
    </w:div>
    <w:div w:id="1307396724">
      <w:bodyDiv w:val="1"/>
      <w:marLeft w:val="0"/>
      <w:marRight w:val="0"/>
      <w:marTop w:val="0"/>
      <w:marBottom w:val="0"/>
      <w:divBdr>
        <w:top w:val="none" w:sz="0" w:space="0" w:color="auto"/>
        <w:left w:val="none" w:sz="0" w:space="0" w:color="auto"/>
        <w:bottom w:val="none" w:sz="0" w:space="0" w:color="auto"/>
        <w:right w:val="none" w:sz="0" w:space="0" w:color="auto"/>
      </w:divBdr>
    </w:div>
    <w:div w:id="1620329937">
      <w:bodyDiv w:val="1"/>
      <w:marLeft w:val="0"/>
      <w:marRight w:val="0"/>
      <w:marTop w:val="0"/>
      <w:marBottom w:val="0"/>
      <w:divBdr>
        <w:top w:val="none" w:sz="0" w:space="0" w:color="auto"/>
        <w:left w:val="none" w:sz="0" w:space="0" w:color="auto"/>
        <w:bottom w:val="none" w:sz="0" w:space="0" w:color="auto"/>
        <w:right w:val="none" w:sz="0" w:space="0" w:color="auto"/>
      </w:divBdr>
    </w:div>
    <w:div w:id="2066560129">
      <w:bodyDiv w:val="1"/>
      <w:marLeft w:val="0"/>
      <w:marRight w:val="0"/>
      <w:marTop w:val="0"/>
      <w:marBottom w:val="0"/>
      <w:divBdr>
        <w:top w:val="none" w:sz="0" w:space="0" w:color="auto"/>
        <w:left w:val="none" w:sz="0" w:space="0" w:color="auto"/>
        <w:bottom w:val="none" w:sz="0" w:space="0" w:color="auto"/>
        <w:right w:val="none" w:sz="0" w:space="0" w:color="auto"/>
      </w:divBdr>
      <w:divsChild>
        <w:div w:id="1672223255">
          <w:marLeft w:val="0"/>
          <w:marRight w:val="0"/>
          <w:marTop w:val="240"/>
          <w:marBottom w:val="0"/>
          <w:divBdr>
            <w:top w:val="none" w:sz="0" w:space="0" w:color="auto"/>
            <w:left w:val="none" w:sz="0" w:space="0" w:color="auto"/>
            <w:bottom w:val="none" w:sz="0" w:space="0" w:color="auto"/>
            <w:right w:val="none" w:sz="0" w:space="0" w:color="auto"/>
          </w:divBdr>
          <w:divsChild>
            <w:div w:id="1930311859">
              <w:marLeft w:val="0"/>
              <w:marRight w:val="0"/>
              <w:marTop w:val="0"/>
              <w:marBottom w:val="0"/>
              <w:divBdr>
                <w:top w:val="none" w:sz="0" w:space="0" w:color="auto"/>
                <w:left w:val="none" w:sz="0" w:space="0" w:color="auto"/>
                <w:bottom w:val="none" w:sz="0" w:space="0" w:color="auto"/>
                <w:right w:val="none" w:sz="0" w:space="0" w:color="auto"/>
              </w:divBdr>
              <w:divsChild>
                <w:div w:id="2088380335">
                  <w:marLeft w:val="0"/>
                  <w:marRight w:val="0"/>
                  <w:marTop w:val="0"/>
                  <w:marBottom w:val="0"/>
                  <w:divBdr>
                    <w:top w:val="none" w:sz="0" w:space="0" w:color="auto"/>
                    <w:left w:val="none" w:sz="0" w:space="0" w:color="auto"/>
                    <w:bottom w:val="none" w:sz="0" w:space="0" w:color="auto"/>
                    <w:right w:val="none" w:sz="0" w:space="0" w:color="auto"/>
                  </w:divBdr>
                  <w:divsChild>
                    <w:div w:id="2140104700">
                      <w:marLeft w:val="0"/>
                      <w:marRight w:val="0"/>
                      <w:marTop w:val="0"/>
                      <w:marBottom w:val="101"/>
                      <w:divBdr>
                        <w:top w:val="none" w:sz="0" w:space="0" w:color="auto"/>
                        <w:left w:val="none" w:sz="0" w:space="0" w:color="auto"/>
                        <w:bottom w:val="none" w:sz="0" w:space="0" w:color="auto"/>
                        <w:right w:val="none" w:sz="0" w:space="0" w:color="auto"/>
                      </w:divBdr>
                    </w:div>
                    <w:div w:id="1491022951">
                      <w:marLeft w:val="0"/>
                      <w:marRight w:val="0"/>
                      <w:marTop w:val="0"/>
                      <w:marBottom w:val="101"/>
                      <w:divBdr>
                        <w:top w:val="none" w:sz="0" w:space="0" w:color="auto"/>
                        <w:left w:val="none" w:sz="0" w:space="0" w:color="auto"/>
                        <w:bottom w:val="none" w:sz="0" w:space="0" w:color="auto"/>
                        <w:right w:val="none" w:sz="0" w:space="0" w:color="auto"/>
                      </w:divBdr>
                    </w:div>
                    <w:div w:id="1548561714">
                      <w:marLeft w:val="0"/>
                      <w:marRight w:val="0"/>
                      <w:marTop w:val="0"/>
                      <w:marBottom w:val="101"/>
                      <w:divBdr>
                        <w:top w:val="none" w:sz="0" w:space="0" w:color="auto"/>
                        <w:left w:val="none" w:sz="0" w:space="0" w:color="auto"/>
                        <w:bottom w:val="none" w:sz="0" w:space="0" w:color="auto"/>
                        <w:right w:val="none" w:sz="0" w:space="0" w:color="auto"/>
                      </w:divBdr>
                    </w:div>
                    <w:div w:id="1722828658">
                      <w:marLeft w:val="0"/>
                      <w:marRight w:val="0"/>
                      <w:marTop w:val="0"/>
                      <w:marBottom w:val="101"/>
                      <w:divBdr>
                        <w:top w:val="none" w:sz="0" w:space="0" w:color="auto"/>
                        <w:left w:val="none" w:sz="0" w:space="0" w:color="auto"/>
                        <w:bottom w:val="none" w:sz="0" w:space="0" w:color="auto"/>
                        <w:right w:val="none" w:sz="0" w:space="0" w:color="auto"/>
                      </w:divBdr>
                    </w:div>
                    <w:div w:id="188798514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268204E95A2584A8D13F50E498A6FD9" ma:contentTypeVersion="0" ma:contentTypeDescription="Crear nuevo documento." ma:contentTypeScope="" ma:versionID="7d36375f07255bf7ff543d38be08276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5E9E0158-99DF-4B29-B779-3BEDCFBC81DD}">
  <ds:schemaRef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4445466B-6013-46D2-938C-4DD4887CE7E4}">
  <ds:schemaRefs>
    <ds:schemaRef ds:uri="http://schemas.microsoft.com/sharepoint/v3/contenttype/forms"/>
  </ds:schemaRefs>
</ds:datastoreItem>
</file>

<file path=customXml/itemProps3.xml><?xml version="1.0" encoding="utf-8"?>
<ds:datastoreItem xmlns:ds="http://schemas.openxmlformats.org/officeDocument/2006/customXml" ds:itemID="{5561459E-0C3D-4E23-81D6-D190FA312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7F6D85-128A-415D-A925-AACA2FDB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2186</Words>
  <Characters>12023</Characters>
  <Application>Microsoft Office Word</Application>
  <DocSecurity>4</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Vazquez Loyo</dc:creator>
  <cp:keywords/>
  <dc:description/>
  <cp:lastModifiedBy>Arlene Ameneyro Tapia</cp:lastModifiedBy>
  <cp:revision>2</cp:revision>
  <cp:lastPrinted>2018-03-16T01:14:00Z</cp:lastPrinted>
  <dcterms:created xsi:type="dcterms:W3CDTF">2018-03-16T01:15:00Z</dcterms:created>
  <dcterms:modified xsi:type="dcterms:W3CDTF">2018-03-16T01:15:00Z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0x0101005268204E95A2584A8D13F50E498A6FD9</vt:lpwstr>
  </property>
  <property fmtid="{D5CDD505-2E9C-101B-9397-08002B2CF9AE}" pid="3" name="Order">
    <vt:r8>2600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