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314F5" w14:textId="49FEC7BE" w:rsidR="00014BB7" w:rsidRPr="00EF5A83" w:rsidRDefault="001211C1" w:rsidP="001211C1">
      <w:pPr>
        <w:jc w:val="both"/>
        <w:rPr>
          <w:rFonts w:ascii="ITC Avant Garde" w:hAnsi="ITC Avant Garde" w:cs="Tahoma"/>
          <w:b/>
          <w:bCs/>
          <w:color w:val="000000"/>
          <w:sz w:val="18"/>
          <w:szCs w:val="18"/>
          <w:lang w:val="es-ES_tradnl" w:eastAsia="es-MX"/>
        </w:rPr>
      </w:pPr>
      <w:bookmarkStart w:id="0" w:name="_GoBack"/>
      <w:bookmarkEnd w:id="0"/>
      <w:r w:rsidRPr="00EF5A83">
        <w:rPr>
          <w:rFonts w:ascii="ITC Avant Garde" w:hAnsi="ITC Avant Garde" w:cs="Tahoma"/>
          <w:b/>
          <w:bCs/>
          <w:color w:val="000000"/>
          <w:sz w:val="18"/>
          <w:szCs w:val="18"/>
          <w:lang w:val="es-ES_tradnl" w:eastAsia="es-MX"/>
        </w:rPr>
        <w:t xml:space="preserve">ACUERDO </w:t>
      </w:r>
      <w:r w:rsidR="00571DCB" w:rsidRPr="00EF5A83">
        <w:rPr>
          <w:rFonts w:ascii="ITC Avant Garde" w:hAnsi="ITC Avant Garde"/>
          <w:b/>
          <w:sz w:val="18"/>
          <w:szCs w:val="18"/>
        </w:rPr>
        <w:t xml:space="preserve">MEDIANTE EL CUAL EL PLENO DEL INSTITUTO FEDERAL DE TELECOMUNICACIONES MODIFICA </w:t>
      </w:r>
      <w:r w:rsidR="00E9470A" w:rsidRPr="00EF5A83">
        <w:rPr>
          <w:rFonts w:ascii="ITC Avant Garde" w:hAnsi="ITC Avant Garde" w:cs="Tahoma"/>
          <w:b/>
          <w:bCs/>
          <w:color w:val="000000"/>
          <w:sz w:val="18"/>
          <w:szCs w:val="18"/>
          <w:lang w:val="es-ES_tradnl" w:eastAsia="es-MX"/>
        </w:rPr>
        <w:t xml:space="preserve">LOS </w:t>
      </w:r>
      <w:r w:rsidR="00D00E71" w:rsidRPr="00EF5A83">
        <w:rPr>
          <w:rFonts w:ascii="ITC Avant Garde" w:hAnsi="ITC Avant Garde" w:cs="Tahoma"/>
          <w:b/>
          <w:bCs/>
          <w:color w:val="000000"/>
          <w:sz w:val="18"/>
          <w:szCs w:val="18"/>
          <w:lang w:val="es-ES_tradnl" w:eastAsia="es-MX"/>
        </w:rPr>
        <w:t xml:space="preserve">LINEAMIENTOS PARA LA ACREDITACIÓN DE PERITOS EN MATERIA DE TELECOMUNICACIONES Y </w:t>
      </w:r>
      <w:r w:rsidR="001D206B" w:rsidRPr="00EF5A83">
        <w:rPr>
          <w:rFonts w:ascii="ITC Avant Garde" w:hAnsi="ITC Avant Garde" w:cs="Tahoma"/>
          <w:b/>
          <w:bCs/>
          <w:color w:val="000000"/>
          <w:sz w:val="18"/>
          <w:szCs w:val="18"/>
          <w:lang w:val="es-ES_tradnl" w:eastAsia="es-MX"/>
        </w:rPr>
        <w:t xml:space="preserve">DE </w:t>
      </w:r>
      <w:r w:rsidR="00D00E71" w:rsidRPr="00EF5A83">
        <w:rPr>
          <w:rFonts w:ascii="ITC Avant Garde" w:hAnsi="ITC Avant Garde" w:cs="Tahoma"/>
          <w:b/>
          <w:bCs/>
          <w:color w:val="000000"/>
          <w:sz w:val="18"/>
          <w:szCs w:val="18"/>
          <w:lang w:val="es-ES_tradnl" w:eastAsia="es-MX"/>
        </w:rPr>
        <w:t>RADIODIFUSIÓN</w:t>
      </w:r>
      <w:r w:rsidR="00E9470A" w:rsidRPr="00EF5A83">
        <w:rPr>
          <w:rFonts w:ascii="ITC Avant Garde" w:hAnsi="ITC Avant Garde"/>
          <w:b/>
          <w:sz w:val="18"/>
          <w:szCs w:val="18"/>
        </w:rPr>
        <w:t>, PUBLICADO EN EL DIARIO OFICIAL DE LA FEDERACIÓN EL 20 DE FEBRERO DE 2017</w:t>
      </w:r>
      <w:r w:rsidR="00546892" w:rsidRPr="00EF5A83">
        <w:rPr>
          <w:rFonts w:ascii="ITC Avant Garde" w:hAnsi="ITC Avant Garde"/>
          <w:b/>
          <w:sz w:val="18"/>
          <w:szCs w:val="18"/>
        </w:rPr>
        <w:t>.</w:t>
      </w:r>
    </w:p>
    <w:p w14:paraId="67B6205E" w14:textId="77777777" w:rsidR="005003C5" w:rsidRPr="00EF5A83" w:rsidRDefault="005003C5" w:rsidP="00A84308">
      <w:pPr>
        <w:pStyle w:val="ANOTACION"/>
        <w:spacing w:before="0" w:after="0" w:line="240" w:lineRule="auto"/>
        <w:rPr>
          <w:rFonts w:ascii="ITC Avant Garde" w:hAnsi="ITC Avant Garde" w:cs="Arial"/>
          <w:bCs/>
          <w:szCs w:val="18"/>
          <w:lang w:eastAsia="es-MX"/>
        </w:rPr>
      </w:pPr>
    </w:p>
    <w:p w14:paraId="5104ABDC" w14:textId="77777777" w:rsidR="00AD55DE" w:rsidRPr="00EF5A83" w:rsidRDefault="00AD55DE" w:rsidP="00A84308">
      <w:pPr>
        <w:pStyle w:val="ANOTACION"/>
        <w:spacing w:before="0" w:after="0" w:line="240" w:lineRule="auto"/>
        <w:rPr>
          <w:rFonts w:ascii="ITC Avant Garde" w:hAnsi="ITC Avant Garde" w:cs="Arial"/>
          <w:bCs/>
          <w:szCs w:val="18"/>
          <w:lang w:eastAsia="es-MX"/>
        </w:rPr>
      </w:pPr>
      <w:r w:rsidRPr="00EF5A83">
        <w:rPr>
          <w:rFonts w:ascii="ITC Avant Garde" w:hAnsi="ITC Avant Garde" w:cs="Arial"/>
          <w:bCs/>
          <w:szCs w:val="18"/>
          <w:lang w:eastAsia="es-MX"/>
        </w:rPr>
        <w:t>ANTECEDENTES</w:t>
      </w:r>
    </w:p>
    <w:p w14:paraId="3B41FE79" w14:textId="77777777" w:rsidR="00014BB7" w:rsidRPr="00EF5A83" w:rsidRDefault="00014BB7" w:rsidP="00A84308">
      <w:pPr>
        <w:pStyle w:val="ANOTACION"/>
        <w:spacing w:before="0" w:after="0" w:line="240" w:lineRule="auto"/>
        <w:rPr>
          <w:rFonts w:ascii="ITC Avant Garde" w:hAnsi="ITC Avant Garde" w:cs="Arial"/>
          <w:bCs/>
          <w:szCs w:val="18"/>
          <w:lang w:eastAsia="es-MX"/>
        </w:rPr>
      </w:pPr>
    </w:p>
    <w:p w14:paraId="6DCC42D8" w14:textId="77777777" w:rsidR="00D00E71" w:rsidRPr="00EF5A83" w:rsidRDefault="00D00E71" w:rsidP="00A84308">
      <w:pPr>
        <w:pStyle w:val="ROMANOS"/>
        <w:numPr>
          <w:ilvl w:val="0"/>
          <w:numId w:val="10"/>
        </w:numPr>
        <w:spacing w:after="0" w:line="240" w:lineRule="auto"/>
        <w:rPr>
          <w:rFonts w:ascii="ITC Avant Garde" w:hAnsi="ITC Avant Garde"/>
          <w:bCs/>
          <w:lang w:val="es-ES_tradnl" w:eastAsia="es-MX"/>
        </w:rPr>
      </w:pPr>
      <w:r w:rsidRPr="00EF5A83">
        <w:rPr>
          <w:rFonts w:ascii="ITC Avant Garde" w:hAnsi="ITC Avant Garde"/>
          <w:bCs/>
          <w:lang w:val="es-ES_tradnl" w:eastAsia="es-MX"/>
        </w:rPr>
        <w:t xml:space="preserve">El 11 de junio de 2013 se publicó en </w:t>
      </w:r>
      <w:r w:rsidR="008A5F01" w:rsidRPr="00EF5A83">
        <w:rPr>
          <w:rFonts w:ascii="ITC Avant Garde" w:hAnsi="ITC Avant Garde"/>
          <w:bCs/>
          <w:lang w:val="es-ES_tradnl" w:eastAsia="es-MX"/>
        </w:rPr>
        <w:t xml:space="preserve">el Diario Oficial de la Federación (en lo sucesivo, </w:t>
      </w:r>
      <w:r w:rsidRPr="00EF5A83">
        <w:rPr>
          <w:rFonts w:ascii="ITC Avant Garde" w:hAnsi="ITC Avant Garde"/>
          <w:bCs/>
          <w:lang w:val="es-ES_tradnl" w:eastAsia="es-MX"/>
        </w:rPr>
        <w:t xml:space="preserve">el </w:t>
      </w:r>
      <w:r w:rsidR="008A5F01" w:rsidRPr="00EF5A83">
        <w:rPr>
          <w:rFonts w:ascii="ITC Avant Garde" w:hAnsi="ITC Avant Garde"/>
          <w:bCs/>
          <w:lang w:val="es-ES_tradnl" w:eastAsia="es-MX"/>
        </w:rPr>
        <w:t>“</w:t>
      </w:r>
      <w:r w:rsidRPr="00EF5A83">
        <w:rPr>
          <w:rFonts w:ascii="ITC Avant Garde" w:hAnsi="ITC Avant Garde"/>
          <w:bCs/>
          <w:lang w:val="es-ES_tradnl" w:eastAsia="es-MX"/>
        </w:rPr>
        <w:t>DOF</w:t>
      </w:r>
      <w:r w:rsidR="008A5F01" w:rsidRPr="00EF5A83">
        <w:rPr>
          <w:rFonts w:ascii="ITC Avant Garde" w:hAnsi="ITC Avant Garde"/>
          <w:bCs/>
          <w:lang w:val="es-ES_tradnl" w:eastAsia="es-MX"/>
        </w:rPr>
        <w:t>”)</w:t>
      </w:r>
      <w:r w:rsidR="008D1966" w:rsidRPr="00EF5A83">
        <w:rPr>
          <w:rFonts w:ascii="ITC Avant Garde" w:hAnsi="ITC Avant Garde"/>
          <w:bCs/>
          <w:lang w:val="es-ES_tradnl" w:eastAsia="es-MX"/>
        </w:rPr>
        <w:t xml:space="preserve"> </w:t>
      </w:r>
      <w:r w:rsidRPr="00EF5A83">
        <w:rPr>
          <w:rFonts w:ascii="ITC Avant Garde" w:hAnsi="ITC Avant Garde"/>
          <w:bCs/>
          <w:lang w:val="es-ES_tradnl" w:eastAsia="es-MX"/>
        </w:rPr>
        <w:t xml:space="preserve">el </w:t>
      </w:r>
      <w:r w:rsidR="00A945AD" w:rsidRPr="00EF5A83">
        <w:rPr>
          <w:rFonts w:ascii="ITC Avant Garde" w:hAnsi="ITC Avant Garde"/>
          <w:bCs/>
          <w:lang w:val="es-ES_tradnl" w:eastAsia="es-MX"/>
        </w:rPr>
        <w:t>“</w:t>
      </w:r>
      <w:r w:rsidRPr="00EF5A83">
        <w:rPr>
          <w:rFonts w:ascii="ITC Avant Garde" w:hAnsi="ITC Avant Garde"/>
          <w:bCs/>
          <w:lang w:val="es-ES_tradnl" w:eastAsia="es-MX"/>
        </w:rPr>
        <w:t>Decreto por el que se reforman y adicionan diversas disposiciones de los artículos 6o., 7o., 27, 28, 73, 78, 94 y 105 de la Constitución Política de los Estados Unidos Mexicanos, en materia de telecomunicaciones</w:t>
      </w:r>
      <w:r w:rsidR="00A945AD" w:rsidRPr="00EF5A83">
        <w:rPr>
          <w:rFonts w:ascii="ITC Avant Garde" w:hAnsi="ITC Avant Garde"/>
          <w:bCs/>
          <w:lang w:val="es-ES_tradnl" w:eastAsia="es-MX"/>
        </w:rPr>
        <w:t>”</w:t>
      </w:r>
      <w:r w:rsidRPr="00EF5A83">
        <w:rPr>
          <w:rFonts w:ascii="ITC Avant Garde" w:hAnsi="ITC Avant Garde"/>
          <w:bCs/>
          <w:lang w:val="es-ES_tradnl" w:eastAsia="es-MX"/>
        </w:rPr>
        <w:t xml:space="preserve">, (en lo sucesivo, el </w:t>
      </w:r>
      <w:r w:rsidR="00A945AD" w:rsidRPr="00EF5A83">
        <w:rPr>
          <w:rFonts w:ascii="ITC Avant Garde" w:hAnsi="ITC Avant Garde"/>
          <w:bCs/>
          <w:lang w:val="es-ES_tradnl" w:eastAsia="es-MX"/>
        </w:rPr>
        <w:t>“</w:t>
      </w:r>
      <w:r w:rsidRPr="00EF5A83">
        <w:rPr>
          <w:rFonts w:ascii="ITC Avant Garde" w:hAnsi="ITC Avant Garde"/>
          <w:bCs/>
          <w:lang w:val="es-ES_tradnl" w:eastAsia="es-MX"/>
        </w:rPr>
        <w:t>Decreto Constitucional</w:t>
      </w:r>
      <w:r w:rsidR="00A945AD" w:rsidRPr="00EF5A83">
        <w:rPr>
          <w:rFonts w:ascii="ITC Avant Garde" w:hAnsi="ITC Avant Garde"/>
          <w:bCs/>
          <w:lang w:val="es-ES_tradnl" w:eastAsia="es-MX"/>
        </w:rPr>
        <w:t>”</w:t>
      </w:r>
      <w:r w:rsidRPr="00EF5A83">
        <w:rPr>
          <w:rFonts w:ascii="ITC Avant Garde" w:hAnsi="ITC Avant Garde"/>
          <w:bCs/>
          <w:lang w:val="es-ES_tradnl" w:eastAsia="es-MX"/>
        </w:rPr>
        <w:t>), mediante el cual se creó el Instituto Federal de Telecomunicaciones (en lo sucesivo, el "Instituto"), como un órgano autónomo con personalidad jurídica y patrimonio propio.</w:t>
      </w:r>
    </w:p>
    <w:p w14:paraId="502D3EF8" w14:textId="77777777" w:rsidR="00D00E71" w:rsidRPr="00EF5A83" w:rsidRDefault="00D00E71" w:rsidP="00A84308">
      <w:pPr>
        <w:pStyle w:val="ROMANOS"/>
        <w:spacing w:after="0" w:line="240" w:lineRule="auto"/>
        <w:ind w:firstLine="0"/>
        <w:rPr>
          <w:rFonts w:ascii="ITC Avant Garde" w:hAnsi="ITC Avant Garde"/>
          <w:bCs/>
          <w:lang w:val="es-ES_tradnl" w:eastAsia="es-MX"/>
        </w:rPr>
      </w:pPr>
    </w:p>
    <w:p w14:paraId="72D59C83" w14:textId="77777777" w:rsidR="00D00E71" w:rsidRPr="00EF5A83" w:rsidRDefault="00D00E71" w:rsidP="00A84308">
      <w:pPr>
        <w:pStyle w:val="ROMANOS"/>
        <w:numPr>
          <w:ilvl w:val="0"/>
          <w:numId w:val="10"/>
        </w:numPr>
        <w:spacing w:after="0" w:line="240" w:lineRule="auto"/>
        <w:rPr>
          <w:rFonts w:ascii="ITC Avant Garde" w:hAnsi="ITC Avant Garde"/>
          <w:bCs/>
          <w:lang w:val="es-ES_tradnl" w:eastAsia="es-MX"/>
        </w:rPr>
      </w:pPr>
      <w:r w:rsidRPr="00EF5A83">
        <w:rPr>
          <w:rFonts w:ascii="ITC Avant Garde" w:hAnsi="ITC Avant Garde"/>
          <w:bCs/>
          <w:lang w:val="es-ES_tradnl" w:eastAsia="es-MX"/>
        </w:rPr>
        <w:t xml:space="preserve">El 14 de julio de 2014 se publicó en el DOF el </w:t>
      </w:r>
      <w:r w:rsidR="00A945AD" w:rsidRPr="00EF5A83">
        <w:rPr>
          <w:rFonts w:ascii="ITC Avant Garde" w:hAnsi="ITC Avant Garde"/>
          <w:bCs/>
          <w:lang w:val="es-ES_tradnl" w:eastAsia="es-MX"/>
        </w:rPr>
        <w:t>“</w:t>
      </w:r>
      <w:r w:rsidRPr="00EF5A83">
        <w:rPr>
          <w:rFonts w:ascii="ITC Avant Garde" w:hAnsi="ITC Avant Garde"/>
          <w:bCs/>
          <w:lang w:val="es-ES_tradnl"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A945AD" w:rsidRPr="00EF5A83">
        <w:rPr>
          <w:rFonts w:ascii="ITC Avant Garde" w:hAnsi="ITC Avant Garde"/>
          <w:bCs/>
          <w:lang w:val="es-ES_tradnl" w:eastAsia="es-MX"/>
        </w:rPr>
        <w:t>”</w:t>
      </w:r>
      <w:r w:rsidRPr="00EF5A83">
        <w:rPr>
          <w:rFonts w:ascii="ITC Avant Garde" w:hAnsi="ITC Avant Garde"/>
          <w:bCs/>
          <w:lang w:val="es-ES_tradnl" w:eastAsia="es-MX"/>
        </w:rPr>
        <w:t xml:space="preserve"> (en lo sucesivo, el </w:t>
      </w:r>
      <w:r w:rsidR="00A945AD" w:rsidRPr="00EF5A83">
        <w:rPr>
          <w:rFonts w:ascii="ITC Avant Garde" w:hAnsi="ITC Avant Garde"/>
          <w:bCs/>
          <w:lang w:val="es-ES_tradnl" w:eastAsia="es-MX"/>
        </w:rPr>
        <w:t>“</w:t>
      </w:r>
      <w:r w:rsidRPr="00EF5A83">
        <w:rPr>
          <w:rFonts w:ascii="ITC Avant Garde" w:hAnsi="ITC Avant Garde"/>
          <w:bCs/>
          <w:lang w:val="es-ES_tradnl" w:eastAsia="es-MX"/>
        </w:rPr>
        <w:t>Decreto de Ley</w:t>
      </w:r>
      <w:r w:rsidR="00A945AD" w:rsidRPr="00EF5A83">
        <w:rPr>
          <w:rFonts w:ascii="ITC Avant Garde" w:hAnsi="ITC Avant Garde"/>
          <w:bCs/>
          <w:lang w:val="es-ES_tradnl" w:eastAsia="es-MX"/>
        </w:rPr>
        <w:t>”</w:t>
      </w:r>
      <w:r w:rsidRPr="00EF5A83">
        <w:rPr>
          <w:rFonts w:ascii="ITC Avant Garde" w:hAnsi="ITC Avant Garde"/>
          <w:bCs/>
          <w:lang w:val="es-ES_tradnl" w:eastAsia="es-MX"/>
        </w:rPr>
        <w:t xml:space="preserve">), el cual, en términos de lo dispuesto por su artículo Primero </w:t>
      </w:r>
      <w:r w:rsidR="00685DEE" w:rsidRPr="00EF5A83">
        <w:rPr>
          <w:rFonts w:ascii="ITC Avant Garde" w:hAnsi="ITC Avant Garde"/>
          <w:bCs/>
          <w:lang w:val="es-ES_tradnl" w:eastAsia="es-MX"/>
        </w:rPr>
        <w:t>T</w:t>
      </w:r>
      <w:r w:rsidRPr="00EF5A83">
        <w:rPr>
          <w:rFonts w:ascii="ITC Avant Garde" w:hAnsi="ITC Avant Garde"/>
          <w:bCs/>
          <w:lang w:val="es-ES_tradnl" w:eastAsia="es-MX"/>
        </w:rPr>
        <w:t xml:space="preserve">ransitorio, entró en vigor </w:t>
      </w:r>
      <w:r w:rsidR="008A5F01" w:rsidRPr="00EF5A83">
        <w:rPr>
          <w:rFonts w:ascii="ITC Avant Garde" w:hAnsi="ITC Avant Garde"/>
          <w:bCs/>
          <w:lang w:val="es-ES_tradnl" w:eastAsia="es-MX"/>
        </w:rPr>
        <w:t xml:space="preserve">a los </w:t>
      </w:r>
      <w:r w:rsidRPr="00EF5A83">
        <w:rPr>
          <w:rFonts w:ascii="ITC Avant Garde" w:hAnsi="ITC Avant Garde"/>
          <w:bCs/>
          <w:lang w:val="es-ES_tradnl" w:eastAsia="es-MX"/>
        </w:rPr>
        <w:t xml:space="preserve">treinta días naturales siguientes a su publicación, esto es, el 13 de agosto de 2014. </w:t>
      </w:r>
    </w:p>
    <w:p w14:paraId="07E2476D" w14:textId="77777777" w:rsidR="00D00E71" w:rsidRPr="00EF5A83" w:rsidRDefault="00D00E71" w:rsidP="00A84308">
      <w:pPr>
        <w:pStyle w:val="ROMANOS"/>
        <w:spacing w:after="0" w:line="240" w:lineRule="auto"/>
        <w:ind w:firstLine="0"/>
        <w:rPr>
          <w:rFonts w:ascii="ITC Avant Garde" w:hAnsi="ITC Avant Garde"/>
          <w:bCs/>
          <w:lang w:val="es-ES_tradnl" w:eastAsia="es-MX"/>
        </w:rPr>
      </w:pPr>
    </w:p>
    <w:p w14:paraId="0EDAE190" w14:textId="77777777" w:rsidR="00D00E71" w:rsidRPr="00EF5A83" w:rsidRDefault="00D00E71" w:rsidP="00A84308">
      <w:pPr>
        <w:pStyle w:val="ROMANOS"/>
        <w:numPr>
          <w:ilvl w:val="0"/>
          <w:numId w:val="10"/>
        </w:numPr>
        <w:spacing w:after="0" w:line="240" w:lineRule="auto"/>
        <w:rPr>
          <w:rFonts w:ascii="ITC Avant Garde" w:hAnsi="ITC Avant Garde"/>
          <w:bCs/>
          <w:lang w:val="es-ES_tradnl" w:eastAsia="es-MX"/>
        </w:rPr>
      </w:pPr>
      <w:r w:rsidRPr="00EF5A83">
        <w:rPr>
          <w:rFonts w:ascii="ITC Avant Garde" w:hAnsi="ITC Avant Garde"/>
          <w:bCs/>
          <w:lang w:val="es-ES_tradnl" w:eastAsia="es-MX"/>
        </w:rPr>
        <w:t xml:space="preserve">El </w:t>
      </w:r>
      <w:r w:rsidR="00E95D86" w:rsidRPr="00EF5A83">
        <w:rPr>
          <w:rFonts w:ascii="ITC Avant Garde" w:hAnsi="ITC Avant Garde"/>
          <w:bCs/>
          <w:lang w:val="es-ES_tradnl" w:eastAsia="es-MX"/>
        </w:rPr>
        <w:t>4 de septiembre de 2014, se publicó en el DOF el Estatuto Orgánico del Instituto Federal de Telecomunicaciones (en lo sucesivo, el “Estatuto</w:t>
      </w:r>
      <w:r w:rsidR="00685DEE" w:rsidRPr="00EF5A83">
        <w:rPr>
          <w:rFonts w:ascii="ITC Avant Garde" w:hAnsi="ITC Avant Garde"/>
          <w:bCs/>
          <w:lang w:val="es-ES_tradnl" w:eastAsia="es-MX"/>
        </w:rPr>
        <w:t xml:space="preserve"> Orgánico</w:t>
      </w:r>
      <w:r w:rsidR="00E95D86" w:rsidRPr="00EF5A83">
        <w:rPr>
          <w:rFonts w:ascii="ITC Avant Garde" w:hAnsi="ITC Avant Garde"/>
          <w:bCs/>
          <w:lang w:val="es-ES_tradnl" w:eastAsia="es-MX"/>
        </w:rPr>
        <w:t>”), mismo que entró en vigor el 26 de septiembre de 2014; el 20 de julio de 2017 se publicó en el citado medio de difusión oficial su última modificación</w:t>
      </w:r>
      <w:r w:rsidRPr="00EF5A83">
        <w:rPr>
          <w:rFonts w:ascii="ITC Avant Garde" w:hAnsi="ITC Avant Garde"/>
          <w:bCs/>
          <w:lang w:val="es-ES_tradnl" w:eastAsia="es-MX"/>
        </w:rPr>
        <w:t>.</w:t>
      </w:r>
    </w:p>
    <w:p w14:paraId="7E0C174B" w14:textId="77777777" w:rsidR="00E95D86" w:rsidRPr="00EF5A83" w:rsidRDefault="00E95D86" w:rsidP="00FF3878">
      <w:pPr>
        <w:pStyle w:val="Prrafodelista"/>
        <w:rPr>
          <w:rFonts w:ascii="ITC Avant Garde" w:hAnsi="ITC Avant Garde"/>
          <w:bCs/>
          <w:sz w:val="18"/>
          <w:szCs w:val="18"/>
          <w:lang w:val="es-ES_tradnl" w:eastAsia="es-MX"/>
        </w:rPr>
      </w:pPr>
    </w:p>
    <w:p w14:paraId="30E68B1D" w14:textId="77777777" w:rsidR="00E95D86" w:rsidRPr="00EF5A83" w:rsidRDefault="007851EA" w:rsidP="00A84308">
      <w:pPr>
        <w:pStyle w:val="ROMANOS"/>
        <w:numPr>
          <w:ilvl w:val="0"/>
          <w:numId w:val="10"/>
        </w:numPr>
        <w:spacing w:after="0" w:line="240" w:lineRule="auto"/>
        <w:rPr>
          <w:rFonts w:ascii="ITC Avant Garde" w:hAnsi="ITC Avant Garde"/>
          <w:bCs/>
          <w:lang w:val="es-ES_tradnl" w:eastAsia="es-MX"/>
        </w:rPr>
      </w:pPr>
      <w:r w:rsidRPr="00EF5A83">
        <w:rPr>
          <w:rFonts w:ascii="ITC Avant Garde" w:hAnsi="ITC Avant Garde"/>
          <w:bCs/>
          <w:lang w:val="es-ES_tradnl" w:eastAsia="es-MX"/>
        </w:rPr>
        <w:t xml:space="preserve">El 20 de febrero de 2017, se publicó en el DOF el “ACUERDO mediante el cual el Pleno del Instituto Federal de Telecomunicaciones expide los Lineamientos para la Acreditación de peritos en materia de telecomunicaciones y radiodifusión.” </w:t>
      </w:r>
    </w:p>
    <w:p w14:paraId="17739C8C" w14:textId="77777777" w:rsidR="00713251" w:rsidRPr="00EF5A83" w:rsidRDefault="00713251" w:rsidP="00A84308">
      <w:pPr>
        <w:pStyle w:val="Prrafodelista"/>
        <w:rPr>
          <w:rFonts w:ascii="ITC Avant Garde" w:hAnsi="ITC Avant Garde"/>
          <w:bCs/>
          <w:sz w:val="18"/>
          <w:szCs w:val="18"/>
          <w:lang w:val="es-ES_tradnl" w:eastAsia="es-MX"/>
        </w:rPr>
      </w:pPr>
    </w:p>
    <w:p w14:paraId="49496580" w14:textId="77777777" w:rsidR="00713251" w:rsidRPr="00EF5A83" w:rsidRDefault="00713251" w:rsidP="00A84308">
      <w:pPr>
        <w:pStyle w:val="Prrafodelista"/>
        <w:numPr>
          <w:ilvl w:val="0"/>
          <w:numId w:val="10"/>
        </w:numPr>
        <w:jc w:val="both"/>
        <w:rPr>
          <w:rFonts w:ascii="ITC Avant Garde" w:hAnsi="ITC Avant Garde" w:cs="Arial"/>
          <w:bCs/>
          <w:sz w:val="18"/>
          <w:szCs w:val="18"/>
          <w:lang w:val="es-ES_tradnl" w:eastAsia="es-MX"/>
        </w:rPr>
      </w:pPr>
      <w:r w:rsidRPr="00EF5A83">
        <w:rPr>
          <w:rFonts w:ascii="ITC Avant Garde" w:hAnsi="ITC Avant Garde" w:cs="Arial"/>
          <w:bCs/>
          <w:sz w:val="18"/>
          <w:szCs w:val="18"/>
          <w:lang w:val="es-ES_tradnl" w:eastAsia="es-MX"/>
        </w:rPr>
        <w:t>El 27 de octubre de 2017, se recibió el oficio CC/IFT/P/2/2017 mediante el cual el Consejo Consultivo del Instituto Federal de Telecomunicaciones remitió las recomendaciones respecto a los lineamientos de mérito.</w:t>
      </w:r>
    </w:p>
    <w:p w14:paraId="1FC7B3A6" w14:textId="77777777" w:rsidR="00685DEE" w:rsidRPr="00EF5A83" w:rsidRDefault="00685DEE" w:rsidP="008C3B26">
      <w:pPr>
        <w:pStyle w:val="Prrafodelista"/>
        <w:rPr>
          <w:rFonts w:ascii="ITC Avant Garde" w:hAnsi="ITC Avant Garde" w:cs="Arial"/>
          <w:bCs/>
          <w:sz w:val="18"/>
          <w:szCs w:val="18"/>
          <w:lang w:val="es-ES_tradnl" w:eastAsia="es-MX"/>
        </w:rPr>
      </w:pPr>
    </w:p>
    <w:p w14:paraId="4B439A1B" w14:textId="77777777" w:rsidR="00685DEE" w:rsidRPr="00EF5A83" w:rsidRDefault="00685DEE" w:rsidP="00685DEE">
      <w:pPr>
        <w:numPr>
          <w:ilvl w:val="0"/>
          <w:numId w:val="10"/>
        </w:numPr>
        <w:spacing w:line="276" w:lineRule="auto"/>
        <w:jc w:val="both"/>
        <w:rPr>
          <w:rFonts w:ascii="ITC Avant Garde" w:hAnsi="ITC Avant Garde" w:cs="Arial"/>
          <w:bCs/>
          <w:sz w:val="18"/>
          <w:szCs w:val="18"/>
          <w:lang w:val="es-ES_tradnl" w:eastAsia="es-MX"/>
        </w:rPr>
      </w:pPr>
      <w:r w:rsidRPr="00EF5A83">
        <w:rPr>
          <w:rFonts w:ascii="ITC Avant Garde" w:hAnsi="ITC Avant Garde" w:cs="Arial"/>
          <w:bCs/>
          <w:sz w:val="18"/>
          <w:szCs w:val="18"/>
          <w:lang w:val="es-ES_tradnl" w:eastAsia="es-MX"/>
        </w:rPr>
        <w:t xml:space="preserve">El 31 de enero de 2018, el Pleno del Instituto Federal de Telecomunicaciones mediante Acuerdo P/IFT/310118/29, aprobó someter a consulta pública el </w:t>
      </w:r>
      <w:r w:rsidR="00A945AD" w:rsidRPr="00EF5A83">
        <w:rPr>
          <w:rFonts w:ascii="ITC Avant Garde" w:hAnsi="ITC Avant Garde" w:cs="Arial"/>
          <w:bCs/>
          <w:sz w:val="18"/>
          <w:szCs w:val="18"/>
          <w:lang w:val="es-ES_tradnl" w:eastAsia="es-MX"/>
        </w:rPr>
        <w:t>“</w:t>
      </w:r>
      <w:r w:rsidRPr="00EF5A83">
        <w:rPr>
          <w:rFonts w:ascii="ITC Avant Garde" w:hAnsi="ITC Avant Garde" w:cs="Arial"/>
          <w:bCs/>
          <w:sz w:val="18"/>
          <w:szCs w:val="18"/>
          <w:lang w:val="es-ES_tradnl" w:eastAsia="es-MX"/>
        </w:rPr>
        <w:t xml:space="preserve">ACUERDO </w:t>
      </w:r>
      <w:r w:rsidR="00A945AD" w:rsidRPr="00EF5A83">
        <w:rPr>
          <w:rFonts w:ascii="ITC Avant Garde" w:hAnsi="ITC Avant Garde" w:cs="Arial"/>
          <w:bCs/>
          <w:sz w:val="18"/>
          <w:szCs w:val="18"/>
          <w:lang w:val="es-ES_tradnl" w:eastAsia="es-MX"/>
        </w:rPr>
        <w:t>mediante el cual el Pleno del Instituto Federal de Telecomunicaciones determina someter a consulta pública el anteproyecto de modificación de los Lineamientos para la Acreditación de peritos en materia de telecomunicaciones y de radiodifusión, publicado en el Diario Oficial de la Federación el 20 de febrero de 2017</w:t>
      </w:r>
      <w:r w:rsidRPr="00EF5A83">
        <w:rPr>
          <w:rFonts w:ascii="ITC Avant Garde" w:hAnsi="ITC Avant Garde" w:cs="Arial"/>
          <w:bCs/>
          <w:sz w:val="18"/>
          <w:szCs w:val="18"/>
          <w:lang w:val="es-ES_tradnl" w:eastAsia="es-MX"/>
        </w:rPr>
        <w:t xml:space="preserve">”, durante un periodo de veinte días hábiles, comprendido del </w:t>
      </w:r>
      <w:r w:rsidR="001731B4" w:rsidRPr="00EF5A83">
        <w:rPr>
          <w:rFonts w:ascii="ITC Avant Garde" w:hAnsi="ITC Avant Garde" w:cs="Arial"/>
          <w:bCs/>
          <w:sz w:val="18"/>
          <w:szCs w:val="18"/>
          <w:lang w:val="es-ES_tradnl" w:eastAsia="es-MX"/>
        </w:rPr>
        <w:t>02 de febrero al 02 de m</w:t>
      </w:r>
      <w:r w:rsidRPr="00EF5A83">
        <w:rPr>
          <w:rFonts w:ascii="ITC Avant Garde" w:hAnsi="ITC Avant Garde" w:cs="Arial"/>
          <w:bCs/>
          <w:sz w:val="18"/>
          <w:szCs w:val="18"/>
          <w:lang w:val="es-ES_tradnl" w:eastAsia="es-MX"/>
        </w:rPr>
        <w:t>arzo</w:t>
      </w:r>
      <w:r w:rsidR="00A945AD" w:rsidRPr="00EF5A83">
        <w:rPr>
          <w:rFonts w:ascii="ITC Avant Garde" w:hAnsi="ITC Avant Garde" w:cs="Arial"/>
          <w:bCs/>
          <w:sz w:val="18"/>
          <w:szCs w:val="18"/>
          <w:lang w:val="es-ES_tradnl" w:eastAsia="es-MX"/>
        </w:rPr>
        <w:t xml:space="preserve"> de 2018</w:t>
      </w:r>
      <w:r w:rsidRPr="00EF5A83">
        <w:rPr>
          <w:rFonts w:ascii="ITC Avant Garde" w:hAnsi="ITC Avant Garde" w:cs="Arial"/>
          <w:bCs/>
          <w:sz w:val="18"/>
          <w:szCs w:val="18"/>
          <w:lang w:val="es-ES_tradnl" w:eastAsia="es-MX"/>
        </w:rPr>
        <w:t>.</w:t>
      </w:r>
    </w:p>
    <w:p w14:paraId="7B7BDD7D" w14:textId="77777777" w:rsidR="007A04AB" w:rsidRPr="00EF5A83" w:rsidRDefault="007A04AB" w:rsidP="00571DCB">
      <w:pPr>
        <w:pStyle w:val="Prrafodelista"/>
        <w:rPr>
          <w:rFonts w:ascii="ITC Avant Garde" w:hAnsi="ITC Avant Garde" w:cs="Arial"/>
          <w:bCs/>
          <w:sz w:val="18"/>
          <w:szCs w:val="18"/>
          <w:lang w:val="es-ES_tradnl" w:eastAsia="es-MX"/>
        </w:rPr>
      </w:pPr>
    </w:p>
    <w:p w14:paraId="1AF490F8" w14:textId="621F9F8E" w:rsidR="00A21E2E" w:rsidRPr="00EF5A83" w:rsidRDefault="00A21E2E" w:rsidP="00A21E2E">
      <w:pPr>
        <w:numPr>
          <w:ilvl w:val="0"/>
          <w:numId w:val="10"/>
        </w:numPr>
        <w:spacing w:line="276" w:lineRule="auto"/>
        <w:jc w:val="both"/>
        <w:rPr>
          <w:rFonts w:ascii="ITC Avant Garde" w:hAnsi="ITC Avant Garde" w:cs="Arial"/>
          <w:bCs/>
          <w:sz w:val="18"/>
          <w:szCs w:val="18"/>
          <w:lang w:val="es-ES_tradnl" w:eastAsia="es-MX"/>
        </w:rPr>
      </w:pPr>
      <w:r w:rsidRPr="00EF5A83">
        <w:rPr>
          <w:rFonts w:ascii="ITC Avant Garde" w:hAnsi="ITC Avant Garde" w:cs="Arial"/>
          <w:bCs/>
          <w:sz w:val="18"/>
          <w:szCs w:val="18"/>
          <w:lang w:val="es-ES_tradnl" w:eastAsia="es-MX"/>
        </w:rPr>
        <w:t>El 22 de marzo de 2018 se publicó en el Diario Oficial de la Federación el ACUERDO mediante el cual el Pleno del Instituto Federal de Telecomunicaciones modifica los Lineamientos para la acreditación de peritos en materia de telecomunicaciones y radiodifusión. Publicado en el Diario Oficial de la Federación.</w:t>
      </w:r>
    </w:p>
    <w:p w14:paraId="6933BFD2" w14:textId="77777777" w:rsidR="00A21E2E" w:rsidRPr="00EF5A83" w:rsidRDefault="00A21E2E" w:rsidP="00A21E2E">
      <w:pPr>
        <w:spacing w:line="276" w:lineRule="auto"/>
        <w:ind w:left="720"/>
        <w:jc w:val="both"/>
        <w:rPr>
          <w:rFonts w:ascii="ITC Avant Garde" w:hAnsi="ITC Avant Garde" w:cs="Arial"/>
          <w:bCs/>
          <w:sz w:val="18"/>
          <w:szCs w:val="18"/>
          <w:lang w:val="es-ES_tradnl" w:eastAsia="es-MX"/>
        </w:rPr>
      </w:pPr>
    </w:p>
    <w:p w14:paraId="59ED02E3" w14:textId="37405CFB" w:rsidR="007A04AB" w:rsidRPr="00EF5A83" w:rsidRDefault="007A04AB" w:rsidP="00685DEE">
      <w:pPr>
        <w:numPr>
          <w:ilvl w:val="0"/>
          <w:numId w:val="10"/>
        </w:numPr>
        <w:spacing w:line="276" w:lineRule="auto"/>
        <w:jc w:val="both"/>
        <w:rPr>
          <w:rFonts w:ascii="ITC Avant Garde" w:hAnsi="ITC Avant Garde" w:cs="Arial"/>
          <w:bCs/>
          <w:sz w:val="18"/>
          <w:szCs w:val="18"/>
          <w:lang w:val="es-ES_tradnl" w:eastAsia="es-MX"/>
        </w:rPr>
      </w:pPr>
      <w:r w:rsidRPr="00EF5A83">
        <w:rPr>
          <w:rFonts w:ascii="ITC Avant Garde" w:hAnsi="ITC Avant Garde" w:cs="Arial"/>
          <w:bCs/>
          <w:sz w:val="18"/>
          <w:szCs w:val="18"/>
          <w:lang w:val="es-ES_tradnl" w:eastAsia="es-MX"/>
        </w:rPr>
        <w:t>Con oficio IFT/211/CGMR</w:t>
      </w:r>
      <w:r w:rsidR="003E1EC0" w:rsidRPr="00EF5A83">
        <w:rPr>
          <w:rFonts w:ascii="ITC Avant Garde" w:hAnsi="ITC Avant Garde" w:cs="Arial"/>
          <w:bCs/>
          <w:sz w:val="18"/>
          <w:szCs w:val="18"/>
          <w:lang w:val="es-ES_tradnl" w:eastAsia="es-MX"/>
        </w:rPr>
        <w:t>/078/</w:t>
      </w:r>
      <w:r w:rsidRPr="00EF5A83">
        <w:rPr>
          <w:rFonts w:ascii="ITC Avant Garde" w:hAnsi="ITC Avant Garde" w:cs="Arial"/>
          <w:bCs/>
          <w:sz w:val="18"/>
          <w:szCs w:val="18"/>
          <w:lang w:val="es-ES_tradnl" w:eastAsia="es-MX"/>
        </w:rPr>
        <w:t xml:space="preserve">2018, de fecha </w:t>
      </w:r>
      <w:r w:rsidR="003E1EC0" w:rsidRPr="00EF5A83">
        <w:rPr>
          <w:rFonts w:ascii="ITC Avant Garde" w:hAnsi="ITC Avant Garde" w:cs="Arial"/>
          <w:bCs/>
          <w:sz w:val="18"/>
          <w:szCs w:val="18"/>
          <w:lang w:val="es-ES_tradnl" w:eastAsia="es-MX"/>
        </w:rPr>
        <w:t xml:space="preserve">28 </w:t>
      </w:r>
      <w:r w:rsidRPr="00EF5A83">
        <w:rPr>
          <w:rFonts w:ascii="ITC Avant Garde" w:hAnsi="ITC Avant Garde" w:cs="Arial"/>
          <w:bCs/>
          <w:sz w:val="18"/>
          <w:szCs w:val="18"/>
          <w:lang w:val="es-ES_tradnl" w:eastAsia="es-MX"/>
        </w:rPr>
        <w:t xml:space="preserve">de </w:t>
      </w:r>
      <w:r w:rsidR="003E1EC0" w:rsidRPr="00EF5A83">
        <w:rPr>
          <w:rFonts w:ascii="ITC Avant Garde" w:hAnsi="ITC Avant Garde" w:cs="Arial"/>
          <w:bCs/>
          <w:sz w:val="18"/>
          <w:szCs w:val="18"/>
          <w:lang w:val="es-ES_tradnl" w:eastAsia="es-MX"/>
        </w:rPr>
        <w:t xml:space="preserve">mayo </w:t>
      </w:r>
      <w:r w:rsidRPr="00EF5A83">
        <w:rPr>
          <w:rFonts w:ascii="ITC Avant Garde" w:hAnsi="ITC Avant Garde" w:cs="Arial"/>
          <w:bCs/>
          <w:sz w:val="18"/>
          <w:szCs w:val="18"/>
          <w:lang w:val="es-ES_tradnl" w:eastAsia="es-MX"/>
        </w:rPr>
        <w:t xml:space="preserve">de 2018, la Coordinación General de Mejora Regulatoria del Instituto emitió opinión no vinculante respecto del Análisis de Impacto Regulatorio. </w:t>
      </w:r>
    </w:p>
    <w:p w14:paraId="7494AFAE" w14:textId="77777777" w:rsidR="005003C5" w:rsidRPr="00EF5A83" w:rsidRDefault="005003C5" w:rsidP="001211C1">
      <w:pPr>
        <w:pStyle w:val="Default"/>
        <w:tabs>
          <w:tab w:val="left" w:pos="0"/>
        </w:tabs>
        <w:rPr>
          <w:rFonts w:ascii="ITC Avant Garde" w:hAnsi="ITC Avant Garde"/>
          <w:bCs/>
          <w:sz w:val="18"/>
          <w:szCs w:val="18"/>
        </w:rPr>
      </w:pPr>
    </w:p>
    <w:p w14:paraId="072491A9" w14:textId="77777777" w:rsidR="001211C1" w:rsidRPr="00EF5A83" w:rsidRDefault="00D00E71" w:rsidP="001211C1">
      <w:pPr>
        <w:pStyle w:val="Default"/>
        <w:tabs>
          <w:tab w:val="left" w:pos="0"/>
        </w:tabs>
        <w:rPr>
          <w:rFonts w:ascii="ITC Avant Garde" w:hAnsi="ITC Avant Garde"/>
          <w:bCs/>
          <w:sz w:val="18"/>
          <w:szCs w:val="18"/>
        </w:rPr>
      </w:pPr>
      <w:r w:rsidRPr="00EF5A83">
        <w:rPr>
          <w:rFonts w:ascii="ITC Avant Garde" w:hAnsi="ITC Avant Garde"/>
          <w:bCs/>
          <w:sz w:val="18"/>
          <w:szCs w:val="18"/>
        </w:rPr>
        <w:t xml:space="preserve">En atención a los </w:t>
      </w:r>
      <w:r w:rsidR="001211C1" w:rsidRPr="00EF5A83">
        <w:rPr>
          <w:rFonts w:ascii="ITC Avant Garde" w:hAnsi="ITC Avant Garde"/>
          <w:bCs/>
          <w:sz w:val="18"/>
          <w:szCs w:val="18"/>
        </w:rPr>
        <w:t xml:space="preserve">antecedentes anteriores y, </w:t>
      </w:r>
    </w:p>
    <w:p w14:paraId="20F4C628" w14:textId="77777777" w:rsidR="00A84308" w:rsidRPr="00EF5A83" w:rsidRDefault="00A84308" w:rsidP="00A84308">
      <w:pPr>
        <w:pStyle w:val="ANOTACION"/>
        <w:spacing w:before="0" w:after="0" w:line="240" w:lineRule="auto"/>
        <w:rPr>
          <w:rFonts w:ascii="ITC Avant Garde" w:hAnsi="ITC Avant Garde" w:cs="Arial"/>
          <w:bCs/>
          <w:szCs w:val="18"/>
          <w:lang w:eastAsia="es-MX"/>
        </w:rPr>
      </w:pPr>
    </w:p>
    <w:p w14:paraId="6962A420" w14:textId="77777777" w:rsidR="005003C5" w:rsidRPr="00EF5A83" w:rsidRDefault="005003C5" w:rsidP="00A84308">
      <w:pPr>
        <w:pStyle w:val="ANOTACION"/>
        <w:spacing w:before="0" w:after="0" w:line="240" w:lineRule="auto"/>
        <w:rPr>
          <w:rFonts w:ascii="ITC Avant Garde" w:hAnsi="ITC Avant Garde" w:cs="Arial"/>
          <w:bCs/>
          <w:szCs w:val="18"/>
          <w:lang w:eastAsia="es-MX"/>
        </w:rPr>
      </w:pPr>
    </w:p>
    <w:p w14:paraId="083F574A" w14:textId="77777777" w:rsidR="00AD55DE" w:rsidRPr="00EF5A83" w:rsidRDefault="00AD55DE" w:rsidP="00A84308">
      <w:pPr>
        <w:pStyle w:val="ANOTACION"/>
        <w:spacing w:before="0" w:after="0" w:line="240" w:lineRule="auto"/>
        <w:rPr>
          <w:rFonts w:ascii="ITC Avant Garde" w:hAnsi="ITC Avant Garde" w:cs="Arial"/>
          <w:bCs/>
          <w:szCs w:val="18"/>
          <w:lang w:eastAsia="es-MX"/>
        </w:rPr>
      </w:pPr>
      <w:r w:rsidRPr="00EF5A83">
        <w:rPr>
          <w:rFonts w:ascii="ITC Avant Garde" w:hAnsi="ITC Avant Garde" w:cs="Arial"/>
          <w:bCs/>
          <w:szCs w:val="18"/>
          <w:lang w:eastAsia="es-MX"/>
        </w:rPr>
        <w:t>CONSIDERANDO</w:t>
      </w:r>
    </w:p>
    <w:p w14:paraId="0104686F" w14:textId="77777777" w:rsidR="005003C5" w:rsidRPr="00EF5A83" w:rsidRDefault="005003C5" w:rsidP="00A84308">
      <w:pPr>
        <w:pStyle w:val="ANOTACION"/>
        <w:spacing w:before="0" w:after="0" w:line="240" w:lineRule="auto"/>
        <w:rPr>
          <w:rFonts w:ascii="ITC Avant Garde" w:hAnsi="ITC Avant Garde" w:cs="Arial"/>
          <w:bCs/>
          <w:szCs w:val="18"/>
          <w:lang w:eastAsia="es-MX"/>
        </w:rPr>
      </w:pPr>
    </w:p>
    <w:p w14:paraId="212726CB" w14:textId="77777777" w:rsidR="00AD55DE" w:rsidRPr="00EF5A83" w:rsidRDefault="00AD55DE" w:rsidP="00A84308">
      <w:pPr>
        <w:pStyle w:val="ANOTACION"/>
        <w:spacing w:before="0" w:after="0" w:line="240" w:lineRule="auto"/>
        <w:rPr>
          <w:rFonts w:ascii="ITC Avant Garde" w:hAnsi="ITC Avant Garde" w:cs="Arial"/>
          <w:bCs/>
          <w:szCs w:val="18"/>
          <w:lang w:eastAsia="es-MX"/>
        </w:rPr>
      </w:pPr>
    </w:p>
    <w:p w14:paraId="760803A0" w14:textId="77777777" w:rsidR="00110A96" w:rsidRPr="00EF5A83" w:rsidRDefault="00AD55DE" w:rsidP="001211C1">
      <w:pPr>
        <w:jc w:val="both"/>
        <w:rPr>
          <w:rFonts w:ascii="ITC Avant Garde" w:hAnsi="ITC Avant Garde" w:cs="Arial"/>
          <w:sz w:val="18"/>
          <w:szCs w:val="18"/>
        </w:rPr>
      </w:pPr>
      <w:proofErr w:type="gramStart"/>
      <w:r w:rsidRPr="00EF5A83">
        <w:rPr>
          <w:rFonts w:ascii="ITC Avant Garde" w:hAnsi="ITC Avant Garde"/>
          <w:b/>
          <w:bCs/>
          <w:sz w:val="18"/>
          <w:szCs w:val="18"/>
          <w:lang w:val="es-ES_tradnl" w:eastAsia="es-MX"/>
        </w:rPr>
        <w:t>PRIMERO.-</w:t>
      </w:r>
      <w:proofErr w:type="gramEnd"/>
      <w:r w:rsidRPr="00EF5A83">
        <w:rPr>
          <w:rFonts w:ascii="ITC Avant Garde" w:hAnsi="ITC Avant Garde"/>
          <w:b/>
          <w:bCs/>
          <w:sz w:val="18"/>
          <w:szCs w:val="18"/>
          <w:lang w:val="es-ES_tradnl" w:eastAsia="es-MX"/>
        </w:rPr>
        <w:t xml:space="preserve"> Competencia del Instituto. </w:t>
      </w:r>
      <w:r w:rsidR="00D00E71" w:rsidRPr="00EF5A83">
        <w:rPr>
          <w:rFonts w:ascii="ITC Avant Garde" w:hAnsi="ITC Avant Garde" w:cs="Arial"/>
          <w:sz w:val="18"/>
          <w:szCs w:val="18"/>
        </w:rPr>
        <w:t>D</w:t>
      </w:r>
      <w:r w:rsidR="00110A96" w:rsidRPr="00EF5A83">
        <w:rPr>
          <w:rFonts w:ascii="ITC Avant Garde" w:hAnsi="ITC Avant Garde" w:cs="Arial"/>
          <w:sz w:val="18"/>
          <w:szCs w:val="18"/>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2C7FFA37" w14:textId="77777777" w:rsidR="00110A96" w:rsidRPr="00EF5A83" w:rsidRDefault="00110A96" w:rsidP="001211C1">
      <w:pPr>
        <w:jc w:val="both"/>
        <w:rPr>
          <w:rFonts w:ascii="ITC Avant Garde" w:hAnsi="ITC Avant Garde" w:cs="Arial"/>
          <w:sz w:val="18"/>
          <w:szCs w:val="18"/>
        </w:rPr>
      </w:pPr>
    </w:p>
    <w:p w14:paraId="44AECD32" w14:textId="77777777" w:rsidR="004B725F" w:rsidRPr="00EF5A83" w:rsidRDefault="004B725F" w:rsidP="004B725F">
      <w:pPr>
        <w:jc w:val="both"/>
        <w:rPr>
          <w:rFonts w:ascii="ITC Avant Garde" w:hAnsi="ITC Avant Garde" w:cs="Arial"/>
          <w:sz w:val="18"/>
          <w:szCs w:val="18"/>
        </w:rPr>
      </w:pPr>
      <w:r w:rsidRPr="00EF5A83">
        <w:rPr>
          <w:rFonts w:ascii="ITC Avant Garde" w:hAnsi="ITC Avant Garde" w:cs="Arial"/>
          <w:sz w:val="18"/>
          <w:szCs w:val="18"/>
        </w:rPr>
        <w:t xml:space="preserve">Asimismo, los artículos 15, fracción I </w:t>
      </w:r>
      <w:r w:rsidR="007A04AB" w:rsidRPr="00EF5A83">
        <w:rPr>
          <w:rFonts w:ascii="ITC Avant Garde" w:hAnsi="ITC Avant Garde" w:cs="Arial"/>
          <w:sz w:val="18"/>
          <w:szCs w:val="18"/>
        </w:rPr>
        <w:t xml:space="preserve">y LVI </w:t>
      </w:r>
      <w:r w:rsidRPr="00EF5A83">
        <w:rPr>
          <w:rFonts w:ascii="ITC Avant Garde" w:hAnsi="ITC Avant Garde" w:cs="Arial"/>
          <w:sz w:val="18"/>
          <w:szCs w:val="18"/>
        </w:rPr>
        <w:t>y 51 de la LFTR, señalan, respectivamente, que el Instituto para el ejercicio de sus atribuciones,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lo cual,</w:t>
      </w:r>
      <w:r w:rsidR="00DA5D5C" w:rsidRPr="00EF5A83">
        <w:rPr>
          <w:rFonts w:ascii="ITC Avant Garde" w:hAnsi="ITC Avant Garde" w:cs="Arial"/>
          <w:sz w:val="18"/>
          <w:szCs w:val="18"/>
        </w:rPr>
        <w:t xml:space="preserve"> </w:t>
      </w:r>
      <w:r w:rsidRPr="00EF5A83">
        <w:rPr>
          <w:rFonts w:ascii="ITC Avant Garde" w:hAnsi="ITC Avant Garde" w:cs="Arial"/>
          <w:sz w:val="18"/>
          <w:szCs w:val="18"/>
        </w:rPr>
        <w:t>deberá realizar consultas públicas bajo los principios de transparencia y participación ciudadana, en los términos que determine el Pleno.</w:t>
      </w:r>
    </w:p>
    <w:p w14:paraId="0102E05E" w14:textId="77777777" w:rsidR="004B725F" w:rsidRPr="00EF5A83" w:rsidRDefault="004B725F" w:rsidP="004B725F">
      <w:pPr>
        <w:jc w:val="both"/>
        <w:rPr>
          <w:rFonts w:ascii="ITC Avant Garde" w:hAnsi="ITC Avant Garde" w:cs="Arial"/>
          <w:sz w:val="18"/>
          <w:szCs w:val="18"/>
        </w:rPr>
      </w:pPr>
    </w:p>
    <w:p w14:paraId="66662A85" w14:textId="03E9CFC8" w:rsidR="00110A96" w:rsidRPr="00EF5A83" w:rsidRDefault="004B725F" w:rsidP="00FF3878">
      <w:pPr>
        <w:jc w:val="both"/>
        <w:rPr>
          <w:rFonts w:ascii="ITC Avant Garde" w:hAnsi="ITC Avant Garde" w:cs="Arial"/>
          <w:sz w:val="18"/>
          <w:szCs w:val="18"/>
        </w:rPr>
      </w:pPr>
      <w:r w:rsidRPr="00EF5A83">
        <w:rPr>
          <w:rFonts w:ascii="ITC Avant Garde" w:hAnsi="ITC Avant Garde" w:cs="Arial"/>
          <w:sz w:val="18"/>
          <w:szCs w:val="18"/>
        </w:rPr>
        <w:t xml:space="preserve">Por lo anterior, el </w:t>
      </w:r>
      <w:r w:rsidR="00110A96" w:rsidRPr="00EF5A83">
        <w:rPr>
          <w:rFonts w:ascii="ITC Avant Garde" w:hAnsi="ITC Avant Garde" w:cs="Arial"/>
          <w:sz w:val="18"/>
          <w:szCs w:val="18"/>
        </w:rPr>
        <w:t xml:space="preserve">Instituto cuenta </w:t>
      </w:r>
      <w:r w:rsidRPr="00EF5A83">
        <w:rPr>
          <w:rFonts w:ascii="ITC Avant Garde" w:hAnsi="ITC Avant Garde" w:cs="Arial"/>
          <w:sz w:val="18"/>
          <w:szCs w:val="18"/>
        </w:rPr>
        <w:t>con</w:t>
      </w:r>
      <w:r w:rsidR="00110A96" w:rsidRPr="00EF5A83">
        <w:rPr>
          <w:rFonts w:ascii="ITC Avant Garde" w:hAnsi="ITC Avant Garde" w:cs="Arial"/>
          <w:sz w:val="18"/>
          <w:szCs w:val="18"/>
        </w:rPr>
        <w:t xml:space="preserve"> atribuciones para emitir el presente </w:t>
      </w:r>
      <w:r w:rsidR="00996A5D" w:rsidRPr="00EF5A83">
        <w:rPr>
          <w:rFonts w:ascii="ITC Avant Garde" w:hAnsi="ITC Avant Garde" w:cs="Arial"/>
          <w:b/>
          <w:sz w:val="18"/>
          <w:szCs w:val="18"/>
        </w:rPr>
        <w:t>“ACUERDO MEDIANTE EL CUAL EL PLENO DEL INSTITUTO FEDERAL DE TELECOMUNICACIONES MODIFICA LOS LINEAMIENTOS PARA LA ACREDITACIÓN DE PERITOS EN MATERIA DE TELECOMUNICACIONES Y DE RADIODIFUSIÓN, PUBLICADO EN EL DIARIO OFICIAL DE LA FEDERACIÓN EL 20 DE FEBRERO DE 2017”</w:t>
      </w:r>
      <w:r w:rsidR="00110A96" w:rsidRPr="00EF5A83">
        <w:rPr>
          <w:rFonts w:ascii="ITC Avant Garde" w:hAnsi="ITC Avant Garde" w:cs="Arial"/>
          <w:sz w:val="18"/>
          <w:szCs w:val="18"/>
        </w:rPr>
        <w:t>, propuesto por la Unidad de Política Regulatoria, conforme las atribuciones conferidas en los artículos 15 fracción I,</w:t>
      </w:r>
      <w:r w:rsidR="00110A96" w:rsidRPr="00EF5A83">
        <w:rPr>
          <w:rFonts w:ascii="ITC Avant Garde" w:hAnsi="ITC Avant Garde"/>
          <w:kern w:val="1"/>
          <w:sz w:val="18"/>
          <w:szCs w:val="18"/>
          <w:lang w:eastAsia="ar-SA"/>
        </w:rPr>
        <w:t xml:space="preserve"> </w:t>
      </w:r>
      <w:r w:rsidR="00D00E71" w:rsidRPr="00EF5A83">
        <w:rPr>
          <w:rFonts w:ascii="ITC Avant Garde" w:hAnsi="ITC Avant Garde" w:cs="Arial"/>
          <w:sz w:val="18"/>
          <w:szCs w:val="18"/>
        </w:rPr>
        <w:t>XXVI</w:t>
      </w:r>
      <w:r w:rsidR="00110A96" w:rsidRPr="00EF5A83">
        <w:rPr>
          <w:rFonts w:ascii="ITC Avant Garde" w:hAnsi="ITC Avant Garde" w:cs="Arial"/>
          <w:sz w:val="18"/>
          <w:szCs w:val="18"/>
        </w:rPr>
        <w:t>,</w:t>
      </w:r>
      <w:r w:rsidR="00110A96" w:rsidRPr="00EF5A83">
        <w:rPr>
          <w:rFonts w:ascii="ITC Avant Garde" w:hAnsi="ITC Avant Garde"/>
          <w:kern w:val="1"/>
          <w:sz w:val="18"/>
          <w:szCs w:val="18"/>
          <w:lang w:eastAsia="ar-SA"/>
        </w:rPr>
        <w:t xml:space="preserve"> LVI,</w:t>
      </w:r>
      <w:r w:rsidR="008C721F" w:rsidRPr="00EF5A83">
        <w:rPr>
          <w:rFonts w:ascii="ITC Avant Garde" w:hAnsi="ITC Avant Garde" w:cs="Arial"/>
          <w:sz w:val="18"/>
          <w:szCs w:val="18"/>
        </w:rPr>
        <w:t xml:space="preserve"> 51</w:t>
      </w:r>
      <w:r w:rsidR="00110A96" w:rsidRPr="00EF5A83">
        <w:rPr>
          <w:rFonts w:ascii="ITC Avant Garde" w:hAnsi="ITC Avant Garde" w:cs="Arial"/>
          <w:sz w:val="18"/>
          <w:szCs w:val="18"/>
        </w:rPr>
        <w:t xml:space="preserve">, </w:t>
      </w:r>
      <w:r w:rsidR="008C721F" w:rsidRPr="00EF5A83">
        <w:rPr>
          <w:rFonts w:ascii="ITC Avant Garde" w:hAnsi="ITC Avant Garde" w:cs="Arial"/>
          <w:sz w:val="18"/>
          <w:szCs w:val="18"/>
        </w:rPr>
        <w:t>289 y</w:t>
      </w:r>
      <w:r w:rsidR="008D1966" w:rsidRPr="00EF5A83">
        <w:rPr>
          <w:rFonts w:ascii="ITC Avant Garde" w:hAnsi="ITC Avant Garde" w:cs="Arial"/>
          <w:sz w:val="18"/>
          <w:szCs w:val="18"/>
        </w:rPr>
        <w:t xml:space="preserve"> </w:t>
      </w:r>
      <w:r w:rsidR="008C721F" w:rsidRPr="00EF5A83">
        <w:rPr>
          <w:rFonts w:ascii="ITC Avant Garde" w:hAnsi="ITC Avant Garde" w:cs="Arial"/>
          <w:sz w:val="18"/>
          <w:szCs w:val="18"/>
        </w:rPr>
        <w:t>290</w:t>
      </w:r>
      <w:r w:rsidR="008D1966" w:rsidRPr="00EF5A83">
        <w:rPr>
          <w:rFonts w:ascii="ITC Avant Garde" w:hAnsi="ITC Avant Garde" w:cs="Arial"/>
          <w:sz w:val="18"/>
          <w:szCs w:val="18"/>
        </w:rPr>
        <w:t xml:space="preserve"> </w:t>
      </w:r>
      <w:r w:rsidR="00110A96" w:rsidRPr="00EF5A83">
        <w:rPr>
          <w:rFonts w:ascii="ITC Avant Garde" w:hAnsi="ITC Avant Garde" w:cs="Arial"/>
          <w:sz w:val="18"/>
          <w:szCs w:val="18"/>
        </w:rPr>
        <w:fldChar w:fldCharType="begin"/>
      </w:r>
      <w:r w:rsidR="00110A96" w:rsidRPr="00EF5A83">
        <w:rPr>
          <w:rFonts w:ascii="ITC Avant Garde" w:hAnsi="ITC Avant Garde" w:cs="Arial"/>
          <w:sz w:val="18"/>
          <w:szCs w:val="18"/>
        </w:rPr>
        <w:instrText xml:space="preserve"> FILLIN   \* MERGEFORMAT </w:instrText>
      </w:r>
      <w:r w:rsidR="00110A96" w:rsidRPr="00EF5A83">
        <w:rPr>
          <w:rFonts w:ascii="ITC Avant Garde" w:hAnsi="ITC Avant Garde" w:cs="Arial"/>
          <w:sz w:val="18"/>
          <w:szCs w:val="18"/>
        </w:rPr>
        <w:fldChar w:fldCharType="end"/>
      </w:r>
      <w:r w:rsidR="00110A96" w:rsidRPr="00EF5A83">
        <w:rPr>
          <w:rFonts w:ascii="ITC Avant Garde" w:hAnsi="ITC Avant Garde" w:cs="Arial"/>
          <w:sz w:val="18"/>
          <w:szCs w:val="18"/>
        </w:rPr>
        <w:t xml:space="preserve">de la LFTR, 21, 22 fracción I y 23 </w:t>
      </w:r>
      <w:r w:rsidR="008C721F" w:rsidRPr="00EF5A83">
        <w:rPr>
          <w:rFonts w:ascii="ITC Avant Garde" w:hAnsi="ITC Avant Garde" w:cs="Arial"/>
          <w:sz w:val="18"/>
          <w:szCs w:val="18"/>
        </w:rPr>
        <w:t>fracción IV</w:t>
      </w:r>
      <w:r w:rsidR="00110A96" w:rsidRPr="00EF5A83">
        <w:rPr>
          <w:rFonts w:ascii="ITC Avant Garde" w:hAnsi="ITC Avant Garde" w:cs="Arial"/>
          <w:sz w:val="18"/>
          <w:szCs w:val="18"/>
        </w:rPr>
        <w:t xml:space="preserve"> del Estatuto Orgánico del Instituto. </w:t>
      </w:r>
    </w:p>
    <w:p w14:paraId="787A2F3E" w14:textId="77777777" w:rsidR="001211C1" w:rsidRPr="00EF5A83" w:rsidRDefault="001211C1" w:rsidP="001211C1">
      <w:pPr>
        <w:jc w:val="both"/>
        <w:rPr>
          <w:rFonts w:ascii="ITC Avant Garde" w:hAnsi="ITC Avant Garde" w:cs="Arial"/>
          <w:sz w:val="18"/>
          <w:szCs w:val="18"/>
        </w:rPr>
      </w:pPr>
    </w:p>
    <w:p w14:paraId="2CEFC8BD" w14:textId="77777777" w:rsidR="0029595D" w:rsidRPr="00EF5A83" w:rsidRDefault="0029595D" w:rsidP="00241712">
      <w:pPr>
        <w:jc w:val="both"/>
        <w:rPr>
          <w:rFonts w:ascii="ITC Avant Garde" w:hAnsi="ITC Avant Garde" w:cs="Arial"/>
          <w:b/>
          <w:sz w:val="18"/>
          <w:szCs w:val="18"/>
        </w:rPr>
      </w:pPr>
    </w:p>
    <w:p w14:paraId="4CB6BA77" w14:textId="311C7CE2" w:rsidR="00241712" w:rsidRPr="00EF5A83" w:rsidRDefault="00C95170" w:rsidP="00241712">
      <w:pPr>
        <w:jc w:val="both"/>
        <w:rPr>
          <w:rFonts w:ascii="ITC Avant Garde" w:hAnsi="ITC Avant Garde"/>
          <w:sz w:val="18"/>
          <w:szCs w:val="18"/>
        </w:rPr>
      </w:pPr>
      <w:proofErr w:type="gramStart"/>
      <w:r w:rsidRPr="00EF5A83">
        <w:rPr>
          <w:rFonts w:ascii="ITC Avant Garde" w:hAnsi="ITC Avant Garde" w:cs="Arial"/>
          <w:b/>
          <w:sz w:val="18"/>
          <w:szCs w:val="18"/>
        </w:rPr>
        <w:t>SEGUNDO</w:t>
      </w:r>
      <w:r w:rsidRPr="00EF5A83">
        <w:rPr>
          <w:rFonts w:ascii="ITC Avant Garde" w:hAnsi="ITC Avant Garde" w:cs="Arial"/>
          <w:sz w:val="18"/>
          <w:szCs w:val="18"/>
        </w:rPr>
        <w:t>.-</w:t>
      </w:r>
      <w:proofErr w:type="gramEnd"/>
      <w:r w:rsidR="00F90030" w:rsidRPr="00EF5A83">
        <w:rPr>
          <w:rFonts w:ascii="ITC Avant Garde" w:hAnsi="ITC Avant Garde"/>
          <w:b/>
          <w:sz w:val="18"/>
          <w:szCs w:val="18"/>
        </w:rPr>
        <w:t xml:space="preserve"> </w:t>
      </w:r>
      <w:r w:rsidR="008A6876" w:rsidRPr="00EF5A83">
        <w:rPr>
          <w:rFonts w:ascii="ITC Avant Garde" w:hAnsi="ITC Avant Garde"/>
          <w:b/>
          <w:sz w:val="18"/>
          <w:szCs w:val="18"/>
        </w:rPr>
        <w:t xml:space="preserve">De la </w:t>
      </w:r>
      <w:r w:rsidR="000A1DA4" w:rsidRPr="00EF5A83">
        <w:rPr>
          <w:rFonts w:ascii="ITC Avant Garde" w:hAnsi="ITC Avant Garde"/>
          <w:b/>
          <w:sz w:val="18"/>
          <w:szCs w:val="18"/>
        </w:rPr>
        <w:t xml:space="preserve">modificación a los Lineamientos para la Acreditación de Peritos en materia de </w:t>
      </w:r>
      <w:r w:rsidR="001A5378" w:rsidRPr="00EF5A83">
        <w:rPr>
          <w:rFonts w:ascii="ITC Avant Garde" w:hAnsi="ITC Avant Garde"/>
          <w:b/>
          <w:sz w:val="18"/>
          <w:szCs w:val="18"/>
        </w:rPr>
        <w:t>telecomunicaciones y radiodifusión</w:t>
      </w:r>
      <w:r w:rsidR="00AD55DE" w:rsidRPr="00EF5A83">
        <w:rPr>
          <w:rFonts w:ascii="ITC Avant Garde" w:hAnsi="ITC Avant Garde"/>
          <w:sz w:val="18"/>
          <w:szCs w:val="18"/>
        </w:rPr>
        <w:t xml:space="preserve">. </w:t>
      </w:r>
      <w:r w:rsidR="000A1DA4" w:rsidRPr="00EF5A83">
        <w:rPr>
          <w:rFonts w:ascii="ITC Avant Garde" w:hAnsi="ITC Avant Garde"/>
          <w:sz w:val="18"/>
          <w:szCs w:val="18"/>
        </w:rPr>
        <w:t xml:space="preserve">Como se señaló en el Antecedente IV, el 20 de febrero de 2017 se publicaron en el DOF los Lineamientos para la Acreditación de Peritos en materia de telecomunicaciones y radiodifusión, </w:t>
      </w:r>
      <w:r w:rsidR="00241712" w:rsidRPr="00EF5A83">
        <w:rPr>
          <w:rFonts w:ascii="ITC Avant Garde" w:hAnsi="ITC Avant Garde"/>
          <w:sz w:val="18"/>
          <w:szCs w:val="18"/>
        </w:rPr>
        <w:t>lo anterior derivado de la necesidad de contar con un instrumento normativo</w:t>
      </w:r>
      <w:r w:rsidR="00FF6A39" w:rsidRPr="00EF5A83">
        <w:rPr>
          <w:rFonts w:ascii="ITC Avant Garde" w:hAnsi="ITC Avant Garde"/>
          <w:sz w:val="18"/>
          <w:szCs w:val="18"/>
        </w:rPr>
        <w:t xml:space="preserve"> que</w:t>
      </w:r>
      <w:r w:rsidR="00241712" w:rsidRPr="00EF5A83">
        <w:rPr>
          <w:rFonts w:ascii="ITC Avant Garde" w:hAnsi="ITC Avant Garde"/>
          <w:sz w:val="18"/>
          <w:szCs w:val="18"/>
        </w:rPr>
        <w:t xml:space="preserve"> estableciera los requisitos, plazos y procedimientos para la acreditación de peritos en materia de telecomunicaciones y radiodifusión, pues de conformidad con el artículo 289 de la LFTR, los productos, equipos, dispositivos o aparatos destinados a telecomunicaciones o radiodifusión que puedan ser conectados a una red de telecomunicaciones o hacer uso del espectro radioeléctrico deberán homologarse conforme a las normas o disposiciones técnicas aplicables. </w:t>
      </w:r>
      <w:r w:rsidR="003C038D" w:rsidRPr="00EF5A83">
        <w:rPr>
          <w:rFonts w:ascii="ITC Avant Garde" w:hAnsi="ITC Avant Garde"/>
          <w:sz w:val="18"/>
          <w:szCs w:val="18"/>
        </w:rPr>
        <w:t>Además,</w:t>
      </w:r>
      <w:r w:rsidR="00241712" w:rsidRPr="00EF5A83">
        <w:rPr>
          <w:rFonts w:ascii="ITC Avant Garde" w:hAnsi="ITC Avant Garde"/>
          <w:sz w:val="18"/>
          <w:szCs w:val="18"/>
        </w:rPr>
        <w:t xml:space="preserve"> el último párrafo del artículo 290 establece que el Instituto está facultado para acreditar peritos en materia de telecomunicaciones y de radiodifusión, como apoyo a los procedimientos de homologación.</w:t>
      </w:r>
    </w:p>
    <w:p w14:paraId="191C4352" w14:textId="77777777" w:rsidR="00241712" w:rsidRPr="00EF5A83" w:rsidRDefault="00241712" w:rsidP="00241712">
      <w:pPr>
        <w:jc w:val="both"/>
        <w:rPr>
          <w:rFonts w:ascii="ITC Avant Garde" w:hAnsi="ITC Avant Garde"/>
          <w:sz w:val="18"/>
          <w:szCs w:val="18"/>
        </w:rPr>
      </w:pPr>
    </w:p>
    <w:p w14:paraId="6C4F5D54" w14:textId="3DEBC076" w:rsidR="00241712" w:rsidRPr="00EF5A83" w:rsidRDefault="00241712" w:rsidP="00241712">
      <w:pPr>
        <w:jc w:val="both"/>
        <w:rPr>
          <w:rFonts w:ascii="ITC Avant Garde" w:hAnsi="ITC Avant Garde"/>
          <w:sz w:val="18"/>
          <w:szCs w:val="18"/>
        </w:rPr>
      </w:pPr>
      <w:r w:rsidRPr="00EF5A83">
        <w:rPr>
          <w:rFonts w:ascii="ITC Avant Garde" w:hAnsi="ITC Avant Garde"/>
          <w:sz w:val="18"/>
          <w:szCs w:val="18"/>
        </w:rPr>
        <w:t xml:space="preserve">Los </w:t>
      </w:r>
      <w:r w:rsidR="00C9556E" w:rsidRPr="00EF5A83">
        <w:rPr>
          <w:rFonts w:ascii="ITC Avant Garde" w:hAnsi="ITC Avant Garde"/>
          <w:sz w:val="18"/>
          <w:szCs w:val="18"/>
        </w:rPr>
        <w:t xml:space="preserve">mencionados </w:t>
      </w:r>
      <w:r w:rsidRPr="00EF5A83">
        <w:rPr>
          <w:rFonts w:ascii="ITC Avant Garde" w:hAnsi="ITC Avant Garde"/>
          <w:sz w:val="18"/>
          <w:szCs w:val="18"/>
        </w:rPr>
        <w:t xml:space="preserve">lineamientos tuvieron como propósito </w:t>
      </w:r>
      <w:r w:rsidR="003A501E">
        <w:rPr>
          <w:rFonts w:ascii="ITC Avant Garde" w:hAnsi="ITC Avant Garde"/>
          <w:sz w:val="18"/>
          <w:szCs w:val="18"/>
        </w:rPr>
        <w:t>proveer de</w:t>
      </w:r>
      <w:r w:rsidRPr="00EF5A83">
        <w:rPr>
          <w:rFonts w:ascii="ITC Avant Garde" w:hAnsi="ITC Avant Garde"/>
          <w:sz w:val="18"/>
          <w:szCs w:val="18"/>
        </w:rPr>
        <w:t xml:space="preserve"> certeza jurídica respecto </w:t>
      </w:r>
      <w:r w:rsidR="007D084C" w:rsidRPr="00EF5A83">
        <w:rPr>
          <w:rFonts w:ascii="ITC Avant Garde" w:hAnsi="ITC Avant Garde"/>
          <w:sz w:val="18"/>
          <w:szCs w:val="18"/>
        </w:rPr>
        <w:t>de</w:t>
      </w:r>
      <w:r w:rsidRPr="00EF5A83">
        <w:rPr>
          <w:rFonts w:ascii="ITC Avant Garde" w:hAnsi="ITC Avant Garde"/>
          <w:sz w:val="18"/>
          <w:szCs w:val="18"/>
        </w:rPr>
        <w:t xml:space="preserve"> los requisitos, procedimientos y plazos para obtener la acreditación como perito en materia de telecomunicaciones y radiodifusión, asegurar altos niveles de competencia técnica en los peritos acreditados por el Instituto y finalmente fortalecer el procedimiento de homologación de productos, equipos, dispositivos o aparatos destinados a telecomunicaciones o radiodifusión.</w:t>
      </w:r>
    </w:p>
    <w:p w14:paraId="3BBC56BA" w14:textId="77777777" w:rsidR="00241712" w:rsidRPr="00EF5A83" w:rsidRDefault="00241712">
      <w:pPr>
        <w:jc w:val="both"/>
        <w:rPr>
          <w:rFonts w:ascii="ITC Avant Garde" w:hAnsi="ITC Avant Garde"/>
          <w:sz w:val="18"/>
          <w:szCs w:val="18"/>
        </w:rPr>
      </w:pPr>
    </w:p>
    <w:p w14:paraId="4357F71C" w14:textId="2356D998" w:rsidR="000E1205" w:rsidRPr="00EF5A83" w:rsidRDefault="00241712" w:rsidP="00592209">
      <w:pPr>
        <w:jc w:val="both"/>
        <w:rPr>
          <w:rFonts w:ascii="ITC Avant Garde" w:hAnsi="ITC Avant Garde"/>
          <w:sz w:val="18"/>
          <w:szCs w:val="18"/>
        </w:rPr>
      </w:pPr>
      <w:r w:rsidRPr="00EF5A83">
        <w:rPr>
          <w:rFonts w:ascii="ITC Avant Garde" w:hAnsi="ITC Avant Garde"/>
          <w:sz w:val="18"/>
          <w:szCs w:val="18"/>
        </w:rPr>
        <w:t>Ahora bien, c</w:t>
      </w:r>
      <w:r w:rsidR="000A1DA4" w:rsidRPr="00EF5A83">
        <w:rPr>
          <w:rFonts w:ascii="ITC Avant Garde" w:hAnsi="ITC Avant Garde"/>
          <w:sz w:val="18"/>
          <w:szCs w:val="18"/>
        </w:rPr>
        <w:t>omo resultado de</w:t>
      </w:r>
      <w:r w:rsidR="0026260D" w:rsidRPr="00EF5A83">
        <w:rPr>
          <w:rFonts w:ascii="ITC Avant Garde" w:hAnsi="ITC Avant Garde"/>
          <w:sz w:val="18"/>
          <w:szCs w:val="18"/>
        </w:rPr>
        <w:t xml:space="preserve"> </w:t>
      </w:r>
      <w:r w:rsidRPr="00EF5A83">
        <w:rPr>
          <w:rFonts w:ascii="ITC Avant Garde" w:hAnsi="ITC Avant Garde"/>
          <w:sz w:val="18"/>
          <w:szCs w:val="18"/>
        </w:rPr>
        <w:t xml:space="preserve">la </w:t>
      </w:r>
      <w:r w:rsidR="001A5378" w:rsidRPr="00EF5A83">
        <w:rPr>
          <w:rFonts w:ascii="ITC Avant Garde" w:hAnsi="ITC Avant Garde"/>
          <w:sz w:val="18"/>
          <w:szCs w:val="18"/>
        </w:rPr>
        <w:t>implementación de los Lineamientos que nos ocupan, el C</w:t>
      </w:r>
      <w:r w:rsidR="00B84BC0" w:rsidRPr="00EF5A83">
        <w:rPr>
          <w:rFonts w:ascii="ITC Avant Garde" w:hAnsi="ITC Avant Garde"/>
          <w:sz w:val="18"/>
          <w:szCs w:val="18"/>
        </w:rPr>
        <w:t>onsejo Consultivo del Instituto</w:t>
      </w:r>
      <w:r w:rsidR="001A5378" w:rsidRPr="00EF5A83">
        <w:rPr>
          <w:rFonts w:ascii="ITC Avant Garde" w:hAnsi="ITC Avant Garde"/>
          <w:sz w:val="18"/>
          <w:szCs w:val="18"/>
        </w:rPr>
        <w:t xml:space="preserve"> </w:t>
      </w:r>
      <w:r w:rsidR="00B84BC0" w:rsidRPr="00EF5A83">
        <w:rPr>
          <w:rFonts w:ascii="ITC Avant Garde" w:hAnsi="ITC Avant Garde"/>
          <w:sz w:val="18"/>
          <w:szCs w:val="18"/>
        </w:rPr>
        <w:t>y</w:t>
      </w:r>
      <w:r w:rsidR="001A5378" w:rsidRPr="00EF5A83">
        <w:rPr>
          <w:rFonts w:ascii="ITC Avant Garde" w:hAnsi="ITC Avant Garde"/>
          <w:sz w:val="18"/>
          <w:szCs w:val="18"/>
        </w:rPr>
        <w:t xml:space="preserve"> </w:t>
      </w:r>
      <w:r w:rsidR="0026260D" w:rsidRPr="00EF5A83">
        <w:rPr>
          <w:rFonts w:ascii="ITC Avant Garde" w:hAnsi="ITC Avant Garde"/>
          <w:sz w:val="18"/>
          <w:szCs w:val="18"/>
        </w:rPr>
        <w:t>la Unidad de Concesiones y Servicios</w:t>
      </w:r>
      <w:r w:rsidR="00FF6A39" w:rsidRPr="00EF5A83">
        <w:rPr>
          <w:rFonts w:ascii="ITC Avant Garde" w:hAnsi="ITC Avant Garde"/>
          <w:sz w:val="18"/>
          <w:szCs w:val="18"/>
        </w:rPr>
        <w:t>,</w:t>
      </w:r>
      <w:r w:rsidR="001A5378" w:rsidRPr="00EF5A83">
        <w:rPr>
          <w:rFonts w:ascii="ITC Avant Garde" w:hAnsi="ITC Avant Garde"/>
          <w:sz w:val="18"/>
          <w:szCs w:val="18"/>
        </w:rPr>
        <w:t xml:space="preserve"> h</w:t>
      </w:r>
      <w:r w:rsidR="00B84BC0" w:rsidRPr="00EF5A83">
        <w:rPr>
          <w:rFonts w:ascii="ITC Avant Garde" w:hAnsi="ITC Avant Garde"/>
          <w:sz w:val="18"/>
          <w:szCs w:val="18"/>
        </w:rPr>
        <w:t>an e</w:t>
      </w:r>
      <w:r w:rsidRPr="00EF5A83">
        <w:rPr>
          <w:rFonts w:ascii="ITC Avant Garde" w:hAnsi="ITC Avant Garde"/>
          <w:sz w:val="18"/>
          <w:szCs w:val="18"/>
        </w:rPr>
        <w:t xml:space="preserve">xpresado la necesidad </w:t>
      </w:r>
      <w:r w:rsidR="00B84BC0" w:rsidRPr="00EF5A83">
        <w:rPr>
          <w:rFonts w:ascii="ITC Avant Garde" w:hAnsi="ITC Avant Garde"/>
          <w:sz w:val="18"/>
          <w:szCs w:val="18"/>
        </w:rPr>
        <w:t xml:space="preserve">adecuar plazos y precisar disposiciones con el fin de </w:t>
      </w:r>
      <w:r w:rsidR="003A501E">
        <w:rPr>
          <w:rFonts w:ascii="ITC Avant Garde" w:hAnsi="ITC Avant Garde"/>
          <w:sz w:val="18"/>
          <w:szCs w:val="18"/>
        </w:rPr>
        <w:t>fortalecer</w:t>
      </w:r>
      <w:r w:rsidR="00B84BC0" w:rsidRPr="00EF5A83">
        <w:rPr>
          <w:rFonts w:ascii="ITC Avant Garde" w:hAnsi="ITC Avant Garde"/>
          <w:sz w:val="18"/>
          <w:szCs w:val="18"/>
        </w:rPr>
        <w:t xml:space="preserve"> el proceso de Acreditación de Peritos. Derivado de lo anterior, se</w:t>
      </w:r>
      <w:r w:rsidR="001A5378" w:rsidRPr="00EF5A83">
        <w:rPr>
          <w:rFonts w:ascii="ITC Avant Garde" w:hAnsi="ITC Avant Garde"/>
          <w:sz w:val="18"/>
          <w:szCs w:val="18"/>
        </w:rPr>
        <w:t xml:space="preserve"> considera necesario realizar modificaciones</w:t>
      </w:r>
      <w:r w:rsidR="00B84BC0" w:rsidRPr="00EF5A83">
        <w:rPr>
          <w:rFonts w:ascii="ITC Avant Garde" w:hAnsi="ITC Avant Garde"/>
          <w:sz w:val="18"/>
          <w:szCs w:val="18"/>
        </w:rPr>
        <w:t xml:space="preserve"> a dichos Lineamientos, l</w:t>
      </w:r>
      <w:r w:rsidR="005657BD" w:rsidRPr="00EF5A83">
        <w:rPr>
          <w:rFonts w:ascii="ITC Avant Garde" w:hAnsi="ITC Avant Garde"/>
          <w:sz w:val="18"/>
          <w:szCs w:val="18"/>
        </w:rPr>
        <w:t>a</w:t>
      </w:r>
      <w:r w:rsidR="00B84BC0" w:rsidRPr="00EF5A83">
        <w:rPr>
          <w:rFonts w:ascii="ITC Avant Garde" w:hAnsi="ITC Avant Garde"/>
          <w:sz w:val="18"/>
          <w:szCs w:val="18"/>
        </w:rPr>
        <w:t>s cuales reflejen, en su caso, las opiniones recibidas por la Unidad de Política Regulatoria</w:t>
      </w:r>
      <w:r w:rsidR="001A5378" w:rsidRPr="00EF5A83">
        <w:rPr>
          <w:rFonts w:ascii="ITC Avant Garde" w:hAnsi="ITC Avant Garde"/>
          <w:sz w:val="18"/>
          <w:szCs w:val="18"/>
        </w:rPr>
        <w:t xml:space="preserve">. </w:t>
      </w:r>
    </w:p>
    <w:p w14:paraId="20AFC956" w14:textId="77777777" w:rsidR="00C9556E" w:rsidRPr="00EF5A83" w:rsidRDefault="00C9556E" w:rsidP="00592209">
      <w:pPr>
        <w:jc w:val="both"/>
        <w:rPr>
          <w:rFonts w:ascii="ITC Avant Garde" w:hAnsi="ITC Avant Garde"/>
          <w:sz w:val="18"/>
          <w:szCs w:val="18"/>
        </w:rPr>
      </w:pPr>
    </w:p>
    <w:p w14:paraId="12CBABC1" w14:textId="60A19FF6" w:rsidR="00C9556E" w:rsidRPr="00EF5A83" w:rsidRDefault="00C9556E" w:rsidP="00A30A0A">
      <w:pPr>
        <w:jc w:val="both"/>
        <w:rPr>
          <w:rFonts w:ascii="ITC Avant Garde" w:hAnsi="ITC Avant Garde"/>
          <w:sz w:val="18"/>
          <w:szCs w:val="18"/>
        </w:rPr>
      </w:pPr>
      <w:r w:rsidRPr="00EF5A83">
        <w:rPr>
          <w:rFonts w:ascii="ITC Avant Garde" w:hAnsi="ITC Avant Garde"/>
          <w:sz w:val="18"/>
          <w:szCs w:val="18"/>
        </w:rPr>
        <w:lastRenderedPageBreak/>
        <w:t xml:space="preserve">Las modificaciones a los Lineamientos para la Acreditación de Peritos en materia de telecomunicaciones y radiodifusión </w:t>
      </w:r>
      <w:r w:rsidR="003A501E">
        <w:rPr>
          <w:rFonts w:ascii="ITC Avant Garde" w:hAnsi="ITC Avant Garde"/>
          <w:sz w:val="18"/>
          <w:szCs w:val="18"/>
        </w:rPr>
        <w:t>reflejan adecuaciones a los plazos del proceso de acreditación a efectos de hacerlo más efectivo, se establece que las diversas etapas para la acreditación pudieran realizarse de manera electrónica a fin de optimizar la misma; así como</w:t>
      </w:r>
      <w:r w:rsidR="007F0EB0" w:rsidRPr="00EF5A83">
        <w:rPr>
          <w:rFonts w:ascii="ITC Avant Garde" w:hAnsi="ITC Avant Garde"/>
          <w:sz w:val="18"/>
          <w:szCs w:val="18"/>
        </w:rPr>
        <w:t xml:space="preserve"> se establece </w:t>
      </w:r>
      <w:r w:rsidR="003A501E">
        <w:rPr>
          <w:rFonts w:ascii="ITC Avant Garde" w:hAnsi="ITC Avant Garde"/>
          <w:sz w:val="18"/>
          <w:szCs w:val="18"/>
        </w:rPr>
        <w:t>el cese de</w:t>
      </w:r>
      <w:r w:rsidR="007F0EB0" w:rsidRPr="00EF5A83">
        <w:rPr>
          <w:rFonts w:ascii="ITC Avant Garde" w:hAnsi="ITC Avant Garde"/>
          <w:sz w:val="18"/>
          <w:szCs w:val="18"/>
        </w:rPr>
        <w:t xml:space="preserve"> Acreditaciones Honoris Causa. </w:t>
      </w:r>
    </w:p>
    <w:p w14:paraId="2A88D7D7" w14:textId="77777777" w:rsidR="00C9556E" w:rsidRPr="00EF5A83" w:rsidRDefault="00C9556E" w:rsidP="007F0EB0">
      <w:pPr>
        <w:jc w:val="both"/>
        <w:rPr>
          <w:rFonts w:ascii="ITC Avant Garde" w:hAnsi="ITC Avant Garde"/>
          <w:sz w:val="18"/>
          <w:szCs w:val="18"/>
        </w:rPr>
      </w:pPr>
    </w:p>
    <w:p w14:paraId="2F0463D2" w14:textId="77777777" w:rsidR="0029595D" w:rsidRPr="00EF5A83" w:rsidRDefault="0029595D">
      <w:pPr>
        <w:jc w:val="both"/>
        <w:rPr>
          <w:rFonts w:ascii="ITC Avant Garde" w:hAnsi="ITC Avant Garde"/>
          <w:b/>
          <w:sz w:val="18"/>
          <w:szCs w:val="18"/>
        </w:rPr>
      </w:pPr>
    </w:p>
    <w:p w14:paraId="7E3D2BEA" w14:textId="518D2655" w:rsidR="00202600" w:rsidRPr="00EF5A83" w:rsidRDefault="00CA59EC">
      <w:pPr>
        <w:jc w:val="both"/>
        <w:rPr>
          <w:rFonts w:ascii="ITC Avant Garde" w:hAnsi="ITC Avant Garde"/>
          <w:sz w:val="18"/>
          <w:szCs w:val="18"/>
        </w:rPr>
      </w:pPr>
      <w:proofErr w:type="gramStart"/>
      <w:r w:rsidRPr="00EF5A83">
        <w:rPr>
          <w:rFonts w:ascii="ITC Avant Garde" w:hAnsi="ITC Avant Garde"/>
          <w:b/>
          <w:sz w:val="18"/>
          <w:szCs w:val="18"/>
        </w:rPr>
        <w:t>TERCERO</w:t>
      </w:r>
      <w:r w:rsidR="00AD55DE" w:rsidRPr="00EF5A83">
        <w:rPr>
          <w:rFonts w:ascii="ITC Avant Garde" w:hAnsi="ITC Avant Garde"/>
          <w:sz w:val="18"/>
          <w:szCs w:val="18"/>
        </w:rPr>
        <w:t>.</w:t>
      </w:r>
      <w:r w:rsidR="00F00906" w:rsidRPr="00EF5A83">
        <w:rPr>
          <w:rFonts w:ascii="ITC Avant Garde" w:hAnsi="ITC Avant Garde"/>
          <w:sz w:val="18"/>
          <w:szCs w:val="18"/>
        </w:rPr>
        <w:t>-</w:t>
      </w:r>
      <w:proofErr w:type="gramEnd"/>
      <w:r w:rsidR="002C3AAE" w:rsidRPr="00EF5A83">
        <w:rPr>
          <w:rFonts w:ascii="ITC Avant Garde" w:hAnsi="ITC Avant Garde"/>
          <w:sz w:val="18"/>
          <w:szCs w:val="18"/>
        </w:rPr>
        <w:t xml:space="preserve"> </w:t>
      </w:r>
      <w:r w:rsidR="00A06EBB" w:rsidRPr="00EF5A83">
        <w:rPr>
          <w:rFonts w:ascii="ITC Avant Garde" w:hAnsi="ITC Avant Garde"/>
          <w:b/>
          <w:sz w:val="18"/>
          <w:szCs w:val="18"/>
          <w:lang w:val="es-ES_tradnl"/>
        </w:rPr>
        <w:t>Consulta pública.</w:t>
      </w:r>
      <w:r w:rsidR="00A06EBB" w:rsidRPr="00EF5A83">
        <w:rPr>
          <w:rFonts w:ascii="ITC Avant Garde" w:hAnsi="ITC Avant Garde"/>
          <w:sz w:val="18"/>
          <w:szCs w:val="18"/>
          <w:lang w:val="es-ES_tradnl"/>
        </w:rPr>
        <w:t xml:space="preserve"> </w:t>
      </w:r>
      <w:r w:rsidR="00825369" w:rsidRPr="00EF5A83">
        <w:rPr>
          <w:rFonts w:ascii="ITC Avant Garde" w:hAnsi="ITC Avant Garde"/>
          <w:sz w:val="18"/>
          <w:szCs w:val="18"/>
        </w:rPr>
        <w:t xml:space="preserve">Con fundamento en lo establecido en el artículo 51 de la LFTR, el Instituto sometió a consulta pública bajo los principios de transparencia y participación ciudadana, el </w:t>
      </w:r>
      <w:r w:rsidR="00BD4AD8" w:rsidRPr="00EF5A83">
        <w:rPr>
          <w:rFonts w:ascii="ITC Avant Garde" w:hAnsi="ITC Avant Garde" w:cs="Tahoma"/>
          <w:b/>
          <w:bCs/>
          <w:color w:val="000000"/>
          <w:sz w:val="18"/>
          <w:szCs w:val="18"/>
          <w:lang w:val="es-ES_tradnl" w:eastAsia="es-MX"/>
        </w:rPr>
        <w:t>“</w:t>
      </w:r>
      <w:r w:rsidR="00D131C5" w:rsidRPr="00EF5A83">
        <w:rPr>
          <w:rFonts w:ascii="ITC Avant Garde" w:hAnsi="ITC Avant Garde" w:cs="Tahoma"/>
          <w:b/>
          <w:bCs/>
          <w:color w:val="000000"/>
          <w:sz w:val="18"/>
          <w:szCs w:val="18"/>
          <w:lang w:val="es-ES_tradnl" w:eastAsia="es-MX"/>
        </w:rPr>
        <w:t>ACUERDO MEDIANTE EL CUAL EL PLENO DEL INSTITUTO FEDERAL DE TELECOMUNICACIONES MODIFICA LOS LINEAMIENTOS PARA LA ACREDITACIÓN DE PERITOS EN MATERIA DE TELECOMUNICACIONES Y DE RADIODIFUSIÓN, PUBLICADO EN EL DIARIO OFICIAL DE LA FEDERACIÓN EL 20 DE FEBRERO DE 2017</w:t>
      </w:r>
      <w:r w:rsidR="00825369" w:rsidRPr="00EF5A83">
        <w:rPr>
          <w:rFonts w:ascii="ITC Avant Garde" w:hAnsi="ITC Avant Garde"/>
          <w:b/>
          <w:color w:val="000000"/>
          <w:sz w:val="18"/>
          <w:szCs w:val="18"/>
        </w:rPr>
        <w:t>”</w:t>
      </w:r>
      <w:r w:rsidR="00825369" w:rsidRPr="00EF5A83">
        <w:rPr>
          <w:rFonts w:ascii="ITC Avant Garde" w:hAnsi="ITC Avant Garde"/>
          <w:sz w:val="18"/>
          <w:szCs w:val="18"/>
        </w:rPr>
        <w:t xml:space="preserve">, durante un periodo de 20 días hábiles, comprendido del </w:t>
      </w:r>
      <w:r w:rsidR="00BD4AD8" w:rsidRPr="00EF5A83">
        <w:rPr>
          <w:rFonts w:ascii="ITC Avant Garde" w:hAnsi="ITC Avant Garde"/>
          <w:sz w:val="18"/>
          <w:szCs w:val="18"/>
        </w:rPr>
        <w:t>02 de febrero al 02 de marzo de 2018</w:t>
      </w:r>
      <w:r w:rsidR="00202600" w:rsidRPr="00EF5A83">
        <w:rPr>
          <w:rFonts w:ascii="ITC Avant Garde" w:hAnsi="ITC Avant Garde"/>
          <w:sz w:val="18"/>
          <w:szCs w:val="18"/>
        </w:rPr>
        <w:t>.</w:t>
      </w:r>
    </w:p>
    <w:p w14:paraId="0BCAB1F0" w14:textId="7492E4D0" w:rsidR="00202600" w:rsidRPr="00EF5A83" w:rsidRDefault="00202600">
      <w:pPr>
        <w:jc w:val="both"/>
        <w:rPr>
          <w:rFonts w:ascii="ITC Avant Garde" w:hAnsi="ITC Avant Garde" w:cs="Arial"/>
          <w:sz w:val="18"/>
          <w:szCs w:val="18"/>
        </w:rPr>
      </w:pPr>
    </w:p>
    <w:p w14:paraId="4260F1AE" w14:textId="77777777" w:rsidR="00B63DCF" w:rsidRPr="00EF5A83" w:rsidRDefault="00B63DCF">
      <w:pPr>
        <w:jc w:val="both"/>
        <w:rPr>
          <w:rFonts w:ascii="ITC Avant Garde" w:hAnsi="ITC Avant Garde" w:cs="Arial"/>
          <w:sz w:val="18"/>
          <w:szCs w:val="18"/>
        </w:rPr>
      </w:pPr>
    </w:p>
    <w:p w14:paraId="57B6E540" w14:textId="376840CF" w:rsidR="00825369" w:rsidRPr="00EF5A83" w:rsidRDefault="00825369" w:rsidP="00D131C5">
      <w:pPr>
        <w:autoSpaceDE w:val="0"/>
        <w:autoSpaceDN w:val="0"/>
        <w:adjustRightInd w:val="0"/>
        <w:spacing w:after="240"/>
        <w:jc w:val="both"/>
        <w:rPr>
          <w:rFonts w:ascii="ITC Avant Garde" w:hAnsi="ITC Avant Garde" w:cs="Arial"/>
          <w:sz w:val="18"/>
          <w:szCs w:val="18"/>
        </w:rPr>
      </w:pPr>
      <w:r w:rsidRPr="00EF5A83">
        <w:rPr>
          <w:rFonts w:ascii="ITC Avant Garde" w:hAnsi="ITC Avant Garde" w:cs="Arial"/>
          <w:sz w:val="18"/>
          <w:szCs w:val="18"/>
        </w:rPr>
        <w:t xml:space="preserve">Durante la consulta pública de mérito, se recibieron 14 participaciones en total, </w:t>
      </w:r>
      <w:r w:rsidR="00BD4AD8" w:rsidRPr="00EF5A83">
        <w:rPr>
          <w:rFonts w:ascii="ITC Avant Garde" w:hAnsi="ITC Avant Garde" w:cs="Arial"/>
          <w:sz w:val="18"/>
          <w:szCs w:val="18"/>
        </w:rPr>
        <w:t>5</w:t>
      </w:r>
      <w:r w:rsidRPr="00EF5A83">
        <w:rPr>
          <w:rFonts w:ascii="ITC Avant Garde" w:hAnsi="ITC Avant Garde" w:cs="Arial"/>
          <w:sz w:val="18"/>
          <w:szCs w:val="18"/>
        </w:rPr>
        <w:t xml:space="preserve"> de personas morales y </w:t>
      </w:r>
      <w:r w:rsidR="00BD4AD8" w:rsidRPr="00EF5A83">
        <w:rPr>
          <w:rFonts w:ascii="ITC Avant Garde" w:hAnsi="ITC Avant Garde" w:cs="Arial"/>
          <w:sz w:val="18"/>
          <w:szCs w:val="18"/>
        </w:rPr>
        <w:t>9</w:t>
      </w:r>
      <w:r w:rsidRPr="00EF5A83">
        <w:rPr>
          <w:rFonts w:ascii="ITC Avant Garde" w:hAnsi="ITC Avant Garde" w:cs="Arial"/>
          <w:sz w:val="18"/>
          <w:szCs w:val="18"/>
        </w:rPr>
        <w:t xml:space="preserve"> de personas físicas, dichas participaciones se centraron fundamentalmente en precisiones de carácter técnico </w:t>
      </w:r>
      <w:r w:rsidR="005657BD" w:rsidRPr="00EF5A83">
        <w:rPr>
          <w:rFonts w:ascii="ITC Avant Garde" w:hAnsi="ITC Avant Garde" w:cs="Arial"/>
          <w:sz w:val="18"/>
          <w:szCs w:val="18"/>
        </w:rPr>
        <w:t xml:space="preserve">respecto de </w:t>
      </w:r>
      <w:r w:rsidRPr="00EF5A83">
        <w:rPr>
          <w:rFonts w:ascii="ITC Avant Garde" w:hAnsi="ITC Avant Garde" w:cs="Arial"/>
          <w:sz w:val="18"/>
          <w:szCs w:val="18"/>
        </w:rPr>
        <w:t>los procedimientos</w:t>
      </w:r>
      <w:r w:rsidR="005003C5" w:rsidRPr="00EF5A83">
        <w:rPr>
          <w:rFonts w:ascii="ITC Avant Garde" w:hAnsi="ITC Avant Garde" w:cs="Arial"/>
          <w:sz w:val="18"/>
          <w:szCs w:val="18"/>
        </w:rPr>
        <w:t xml:space="preserve"> de acreditación, revalidación, y acreditación de Perito Honoris Causa</w:t>
      </w:r>
      <w:r w:rsidRPr="00EF5A83">
        <w:rPr>
          <w:rFonts w:ascii="ITC Avant Garde" w:hAnsi="ITC Avant Garde" w:cs="Arial"/>
          <w:sz w:val="18"/>
          <w:szCs w:val="18"/>
        </w:rPr>
        <w:t>, así como a los métodos de evaluación de dichos procedimientos. Las participaciones, así como las respuestas emitidas a los comentarios, se encuentran disponibles y publicados en el portal de Internet del Instituto.</w:t>
      </w:r>
    </w:p>
    <w:p w14:paraId="071B445E" w14:textId="3423741D" w:rsidR="00CA59EC" w:rsidRPr="00EF5A83" w:rsidRDefault="00202600" w:rsidP="00D131C5">
      <w:pPr>
        <w:autoSpaceDE w:val="0"/>
        <w:autoSpaceDN w:val="0"/>
        <w:adjustRightInd w:val="0"/>
        <w:spacing w:after="240"/>
        <w:jc w:val="both"/>
        <w:rPr>
          <w:rFonts w:ascii="ITC Avant Garde" w:hAnsi="ITC Avant Garde" w:cs="Arial"/>
          <w:sz w:val="18"/>
          <w:szCs w:val="18"/>
        </w:rPr>
      </w:pPr>
      <w:r w:rsidRPr="00EF5A83">
        <w:rPr>
          <w:rFonts w:ascii="ITC Avant Garde" w:hAnsi="ITC Avant Garde" w:cs="Arial"/>
          <w:sz w:val="18"/>
          <w:szCs w:val="18"/>
        </w:rPr>
        <w:t>Por lo anterior, el proyecto ha sido fortalecido mediante la valoración de los comentarios recibidos durante la consulta pública, generando con ello, un documento más robusto y eficiente que busca brindar una cobertura óptima a las necesidades y sugerencias en beneficio de todo el sector</w:t>
      </w:r>
      <w:r w:rsidR="00CA59EC" w:rsidRPr="00EF5A83">
        <w:rPr>
          <w:rFonts w:ascii="ITC Avant Garde" w:hAnsi="ITC Avant Garde" w:cs="Arial"/>
          <w:sz w:val="18"/>
          <w:szCs w:val="18"/>
        </w:rPr>
        <w:t>.</w:t>
      </w:r>
    </w:p>
    <w:p w14:paraId="109E82A8" w14:textId="77777777" w:rsidR="0029595D" w:rsidRPr="00EF5A83" w:rsidRDefault="0029595D" w:rsidP="00D131C5">
      <w:pPr>
        <w:pStyle w:val="Default"/>
        <w:tabs>
          <w:tab w:val="left" w:pos="0"/>
        </w:tabs>
        <w:spacing w:after="240"/>
        <w:jc w:val="both"/>
        <w:rPr>
          <w:rFonts w:ascii="ITC Avant Garde" w:hAnsi="ITC Avant Garde"/>
          <w:b/>
          <w:sz w:val="18"/>
          <w:szCs w:val="18"/>
          <w:lang w:val="es-ES_tradnl"/>
        </w:rPr>
      </w:pPr>
    </w:p>
    <w:p w14:paraId="3C1A874A" w14:textId="56763A11" w:rsidR="00825369" w:rsidRPr="00EF5A83" w:rsidRDefault="00D131C5" w:rsidP="00D131C5">
      <w:pPr>
        <w:pStyle w:val="Default"/>
        <w:tabs>
          <w:tab w:val="left" w:pos="0"/>
        </w:tabs>
        <w:spacing w:after="240"/>
        <w:jc w:val="both"/>
        <w:rPr>
          <w:rFonts w:ascii="ITC Avant Garde" w:hAnsi="ITC Avant Garde"/>
          <w:sz w:val="18"/>
          <w:szCs w:val="18"/>
          <w:lang w:val="es-ES_tradnl"/>
        </w:rPr>
      </w:pPr>
      <w:proofErr w:type="gramStart"/>
      <w:r w:rsidRPr="00EF5A83">
        <w:rPr>
          <w:rFonts w:ascii="ITC Avant Garde" w:hAnsi="ITC Avant Garde"/>
          <w:b/>
          <w:sz w:val="18"/>
          <w:szCs w:val="18"/>
          <w:lang w:val="es-ES_tradnl"/>
        </w:rPr>
        <w:t>CUARTO</w:t>
      </w:r>
      <w:r w:rsidR="00825369" w:rsidRPr="00EF5A83">
        <w:rPr>
          <w:rFonts w:ascii="ITC Avant Garde" w:hAnsi="ITC Avant Garde"/>
          <w:b/>
          <w:sz w:val="18"/>
          <w:szCs w:val="18"/>
          <w:lang w:val="es-ES_tradnl"/>
        </w:rPr>
        <w:t>.-</w:t>
      </w:r>
      <w:proofErr w:type="gramEnd"/>
      <w:r w:rsidR="00825369" w:rsidRPr="00EF5A83">
        <w:rPr>
          <w:rFonts w:ascii="ITC Avant Garde" w:hAnsi="ITC Avant Garde"/>
          <w:b/>
          <w:sz w:val="18"/>
          <w:szCs w:val="18"/>
          <w:lang w:val="es-ES_tradnl"/>
        </w:rPr>
        <w:t xml:space="preserve"> Análisis de Impacto Regulatorio</w:t>
      </w:r>
      <w:r w:rsidR="00825369" w:rsidRPr="00EF5A83">
        <w:rPr>
          <w:rFonts w:ascii="ITC Avant Garde" w:hAnsi="ITC Avant Garde"/>
          <w:sz w:val="18"/>
          <w:szCs w:val="18"/>
          <w:lang w:val="es-ES_tradnl"/>
        </w:rPr>
        <w:t xml:space="preserve">. 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w:t>
      </w:r>
    </w:p>
    <w:p w14:paraId="692B19E1" w14:textId="2B31350F" w:rsidR="00CA59EC" w:rsidRPr="00E9191B" w:rsidRDefault="00825369" w:rsidP="00D131C5">
      <w:pPr>
        <w:pStyle w:val="Default"/>
        <w:tabs>
          <w:tab w:val="left" w:pos="0"/>
        </w:tabs>
        <w:spacing w:after="240"/>
        <w:jc w:val="both"/>
        <w:rPr>
          <w:rFonts w:ascii="ITC Avant Garde" w:eastAsia="Times New Roman" w:hAnsi="ITC Avant Garde"/>
          <w:color w:val="auto"/>
          <w:sz w:val="18"/>
          <w:szCs w:val="18"/>
          <w:lang w:eastAsia="es-ES"/>
        </w:rPr>
      </w:pPr>
      <w:r w:rsidRPr="00EF5A83">
        <w:rPr>
          <w:rFonts w:ascii="ITC Avant Garde" w:eastAsia="Times New Roman" w:hAnsi="ITC Avant Garde"/>
          <w:color w:val="auto"/>
          <w:sz w:val="18"/>
          <w:szCs w:val="18"/>
          <w:lang w:eastAsia="es-ES"/>
        </w:rPr>
        <w:t>Al respecto, de conformidad con lo establecido en los artículos 51 de la LFTR; 4 fracción VIII, inciso IV) y 75 fracción II del Estatuto, la Coordinación General de Mejora Regulatoria, mediante oficio IFT/211/CGMR</w:t>
      </w:r>
      <w:r w:rsidR="003E1EC0" w:rsidRPr="00EF5A83">
        <w:rPr>
          <w:rFonts w:ascii="ITC Avant Garde" w:eastAsia="Times New Roman" w:hAnsi="ITC Avant Garde"/>
          <w:color w:val="auto"/>
          <w:sz w:val="18"/>
          <w:szCs w:val="18"/>
          <w:lang w:eastAsia="es-ES"/>
        </w:rPr>
        <w:t>/078/</w:t>
      </w:r>
      <w:r w:rsidRPr="00EF5A83">
        <w:rPr>
          <w:rFonts w:ascii="ITC Avant Garde" w:eastAsia="Times New Roman" w:hAnsi="ITC Avant Garde"/>
          <w:color w:val="auto"/>
          <w:sz w:val="18"/>
          <w:szCs w:val="18"/>
          <w:lang w:eastAsia="es-ES"/>
        </w:rPr>
        <w:t>201</w:t>
      </w:r>
      <w:r w:rsidR="005003C5" w:rsidRPr="00EF5A83">
        <w:rPr>
          <w:rFonts w:ascii="ITC Avant Garde" w:eastAsia="Times New Roman" w:hAnsi="ITC Avant Garde"/>
          <w:color w:val="auto"/>
          <w:sz w:val="18"/>
          <w:szCs w:val="18"/>
          <w:lang w:eastAsia="es-ES"/>
        </w:rPr>
        <w:t>8</w:t>
      </w:r>
      <w:r w:rsidRPr="00EF5A83">
        <w:rPr>
          <w:rFonts w:ascii="ITC Avant Garde" w:eastAsia="Times New Roman" w:hAnsi="ITC Avant Garde"/>
          <w:color w:val="auto"/>
          <w:sz w:val="18"/>
          <w:szCs w:val="18"/>
          <w:lang w:eastAsia="es-ES"/>
        </w:rPr>
        <w:t xml:space="preserve"> de </w:t>
      </w:r>
      <w:r w:rsidR="00202600" w:rsidRPr="00EF5A83">
        <w:rPr>
          <w:rFonts w:ascii="ITC Avant Garde" w:eastAsia="Times New Roman" w:hAnsi="ITC Avant Garde"/>
          <w:color w:val="auto"/>
          <w:sz w:val="18"/>
          <w:szCs w:val="18"/>
          <w:lang w:eastAsia="es-ES"/>
        </w:rPr>
        <w:t xml:space="preserve">fecha </w:t>
      </w:r>
      <w:r w:rsidR="003E1EC0" w:rsidRPr="00EF5A83">
        <w:rPr>
          <w:rFonts w:ascii="ITC Avant Garde" w:eastAsia="Times New Roman" w:hAnsi="ITC Avant Garde"/>
          <w:color w:val="auto"/>
          <w:sz w:val="18"/>
          <w:szCs w:val="18"/>
          <w:lang w:eastAsia="es-ES"/>
        </w:rPr>
        <w:t xml:space="preserve">28 </w:t>
      </w:r>
      <w:r w:rsidR="00202600" w:rsidRPr="00EF5A83">
        <w:rPr>
          <w:rFonts w:ascii="ITC Avant Garde" w:eastAsia="Times New Roman" w:hAnsi="ITC Avant Garde"/>
          <w:color w:val="auto"/>
          <w:sz w:val="18"/>
          <w:szCs w:val="18"/>
          <w:lang w:eastAsia="es-ES"/>
        </w:rPr>
        <w:t xml:space="preserve">de </w:t>
      </w:r>
      <w:r w:rsidR="003E1EC0" w:rsidRPr="00EF5A83">
        <w:rPr>
          <w:rFonts w:ascii="ITC Avant Garde" w:eastAsia="Times New Roman" w:hAnsi="ITC Avant Garde"/>
          <w:color w:val="auto"/>
          <w:sz w:val="18"/>
          <w:szCs w:val="18"/>
          <w:lang w:eastAsia="es-ES"/>
        </w:rPr>
        <w:t xml:space="preserve">mayo </w:t>
      </w:r>
      <w:r w:rsidRPr="00EF5A83">
        <w:rPr>
          <w:rFonts w:ascii="ITC Avant Garde" w:eastAsia="Times New Roman" w:hAnsi="ITC Avant Garde"/>
          <w:color w:val="auto"/>
          <w:sz w:val="18"/>
          <w:szCs w:val="18"/>
          <w:lang w:eastAsia="es-ES"/>
        </w:rPr>
        <w:t>de 201</w:t>
      </w:r>
      <w:r w:rsidR="005003C5" w:rsidRPr="00EF5A83">
        <w:rPr>
          <w:rFonts w:ascii="ITC Avant Garde" w:eastAsia="Times New Roman" w:hAnsi="ITC Avant Garde"/>
          <w:color w:val="auto"/>
          <w:sz w:val="18"/>
          <w:szCs w:val="18"/>
          <w:lang w:eastAsia="es-ES"/>
        </w:rPr>
        <w:t>8</w:t>
      </w:r>
      <w:r w:rsidRPr="00EF5A83">
        <w:rPr>
          <w:rFonts w:ascii="ITC Avant Garde" w:eastAsia="Times New Roman" w:hAnsi="ITC Avant Garde"/>
          <w:color w:val="auto"/>
          <w:sz w:val="18"/>
          <w:szCs w:val="18"/>
          <w:lang w:eastAsia="es-ES"/>
        </w:rPr>
        <w:t xml:space="preserve">, </w:t>
      </w:r>
      <w:r w:rsidR="003937C2" w:rsidRPr="00EF5A83">
        <w:rPr>
          <w:rFonts w:ascii="ITC Avant Garde" w:eastAsia="Times New Roman" w:hAnsi="ITC Avant Garde"/>
          <w:color w:val="auto"/>
          <w:sz w:val="18"/>
          <w:szCs w:val="18"/>
          <w:lang w:eastAsia="es-ES"/>
        </w:rPr>
        <w:t xml:space="preserve">emitió </w:t>
      </w:r>
      <w:r w:rsidRPr="00EF5A83">
        <w:rPr>
          <w:rFonts w:ascii="ITC Avant Garde" w:eastAsia="Times New Roman" w:hAnsi="ITC Avant Garde"/>
          <w:color w:val="auto"/>
          <w:sz w:val="18"/>
          <w:szCs w:val="18"/>
          <w:lang w:eastAsia="es-ES"/>
        </w:rPr>
        <w:t xml:space="preserve">la opinión no vinculante </w:t>
      </w:r>
      <w:r w:rsidR="003937C2" w:rsidRPr="00EF5A83">
        <w:rPr>
          <w:rFonts w:ascii="ITC Avant Garde" w:eastAsia="Times New Roman" w:hAnsi="ITC Avant Garde"/>
          <w:color w:val="auto"/>
          <w:sz w:val="18"/>
          <w:szCs w:val="18"/>
          <w:lang w:eastAsia="es-ES"/>
        </w:rPr>
        <w:t xml:space="preserve">respecto </w:t>
      </w:r>
      <w:r w:rsidR="003E1EC0" w:rsidRPr="00EF5A83">
        <w:rPr>
          <w:rFonts w:ascii="ITC Avant Garde" w:eastAsia="Times New Roman" w:hAnsi="ITC Avant Garde"/>
          <w:color w:val="auto"/>
          <w:sz w:val="18"/>
          <w:szCs w:val="18"/>
          <w:lang w:eastAsia="es-ES"/>
        </w:rPr>
        <w:t xml:space="preserve">al </w:t>
      </w:r>
      <w:r w:rsidR="003E1EC0" w:rsidRPr="00EF5A83">
        <w:rPr>
          <w:rFonts w:ascii="ITC Avant Garde" w:eastAsia="Times New Roman" w:hAnsi="ITC Avant Garde"/>
          <w:b/>
          <w:color w:val="auto"/>
          <w:sz w:val="18"/>
          <w:szCs w:val="18"/>
          <w:lang w:eastAsia="es-ES"/>
        </w:rPr>
        <w:t>“ACUERDO MEDIANTE EL CUAL EL PLENO DEL INSTITUTO FEDERAL DE TELECOMUNICACIONES MODIFICA LOS LINEAMIENTOS PARA LA ACREDITACIÓN DE PERITOS EN MATERIA DE TELECOMUNICACIONES Y DE RADIODIFUSIÓN, PUBLICADO EN EL DIARIO OFICIAL DE LA FEDERACIÓN EL 20 DE FEBRERO DE 2017</w:t>
      </w:r>
      <w:r w:rsidR="003E1EC0" w:rsidRPr="00EF5A83">
        <w:rPr>
          <w:rFonts w:ascii="ITC Avant Garde" w:eastAsia="Times New Roman" w:hAnsi="ITC Avant Garde"/>
          <w:color w:val="auto"/>
          <w:sz w:val="18"/>
          <w:szCs w:val="18"/>
          <w:lang w:eastAsia="es-ES"/>
        </w:rPr>
        <w:t xml:space="preserve">”, </w:t>
      </w:r>
      <w:r w:rsidR="003937C2" w:rsidRPr="00EF5A83">
        <w:rPr>
          <w:rFonts w:ascii="ITC Avant Garde" w:eastAsia="Times New Roman" w:hAnsi="ITC Avant Garde"/>
          <w:color w:val="auto"/>
          <w:sz w:val="18"/>
          <w:szCs w:val="18"/>
          <w:lang w:eastAsia="es-ES"/>
        </w:rPr>
        <w:t xml:space="preserve"> en el cual manifiesta que </w:t>
      </w:r>
      <w:r w:rsidR="003E1EC0" w:rsidRPr="00EF5A83">
        <w:rPr>
          <w:rFonts w:ascii="ITC Avant Garde" w:eastAsia="Times New Roman" w:hAnsi="ITC Avant Garde"/>
          <w:color w:val="auto"/>
          <w:sz w:val="18"/>
          <w:szCs w:val="18"/>
          <w:lang w:eastAsia="es-ES"/>
        </w:rPr>
        <w:t>“</w:t>
      </w:r>
      <w:r w:rsidR="003E1EC0" w:rsidRPr="00EF5A83">
        <w:rPr>
          <w:rFonts w:ascii="ITC Avant Garde" w:eastAsia="Times New Roman" w:hAnsi="ITC Avant Garde"/>
          <w:i/>
          <w:color w:val="auto"/>
          <w:sz w:val="18"/>
          <w:szCs w:val="18"/>
          <w:lang w:eastAsia="es-ES"/>
        </w:rPr>
        <w:t>la presente opinión no vinculante sobre el AIR del proyecto, considerándose que con el mismo, el Instituto Federal de Telecomunicaciones transparenta y justifica diversos rubros y aspectos contenidos en la propuesta regulatoria de mérito</w:t>
      </w:r>
      <w:r w:rsidR="003E1EC0" w:rsidRPr="00EF5A83">
        <w:rPr>
          <w:rFonts w:ascii="ITC Avant Garde" w:eastAsia="Times New Roman" w:hAnsi="ITC Avant Garde"/>
          <w:color w:val="auto"/>
          <w:sz w:val="18"/>
          <w:szCs w:val="18"/>
          <w:lang w:eastAsia="es-ES"/>
        </w:rPr>
        <w:t>”</w:t>
      </w:r>
      <w:r w:rsidR="00E9191B">
        <w:rPr>
          <w:rFonts w:ascii="ITC Avant Garde" w:eastAsia="Times New Roman" w:hAnsi="ITC Avant Garde"/>
          <w:color w:val="auto"/>
          <w:sz w:val="18"/>
          <w:szCs w:val="18"/>
          <w:lang w:eastAsia="es-ES"/>
        </w:rPr>
        <w:t xml:space="preserve">. </w:t>
      </w:r>
      <w:r w:rsidRPr="00EF5A83">
        <w:rPr>
          <w:rFonts w:ascii="ITC Avant Garde" w:hAnsi="ITC Avant Garde"/>
          <w:sz w:val="18"/>
          <w:szCs w:val="18"/>
          <w:lang w:val="es-ES_tradnl"/>
        </w:rPr>
        <w:t xml:space="preserve">Así mismo realizó diversas consideraciones al </w:t>
      </w:r>
      <w:r w:rsidR="00E9191B">
        <w:rPr>
          <w:rFonts w:ascii="ITC Avant Garde" w:hAnsi="ITC Avant Garde"/>
          <w:sz w:val="18"/>
          <w:szCs w:val="18"/>
          <w:lang w:val="es-ES_tradnl"/>
        </w:rPr>
        <w:t>Análisis de Impacto Regulatorio</w:t>
      </w:r>
      <w:r w:rsidRPr="00EF5A83">
        <w:rPr>
          <w:rFonts w:ascii="ITC Avant Garde" w:hAnsi="ITC Avant Garde"/>
          <w:sz w:val="18"/>
          <w:szCs w:val="18"/>
          <w:lang w:val="es-ES_tradnl"/>
        </w:rPr>
        <w:t xml:space="preserve"> de mérito, mismas que fueron analizadas, y en su caso, atendid</w:t>
      </w:r>
      <w:r w:rsidR="00CA59EC" w:rsidRPr="00EF5A83">
        <w:rPr>
          <w:rFonts w:ascii="ITC Avant Garde" w:hAnsi="ITC Avant Garde"/>
          <w:sz w:val="18"/>
          <w:szCs w:val="18"/>
          <w:lang w:val="es-ES_tradnl"/>
        </w:rPr>
        <w:t>as.</w:t>
      </w:r>
    </w:p>
    <w:p w14:paraId="358CC4ED" w14:textId="2B801D67" w:rsidR="003E1EC0" w:rsidRPr="00EF5A83" w:rsidRDefault="00CA59EC" w:rsidP="00D131C5">
      <w:pPr>
        <w:pStyle w:val="Default"/>
        <w:tabs>
          <w:tab w:val="left" w:pos="0"/>
        </w:tabs>
        <w:spacing w:after="240"/>
        <w:jc w:val="both"/>
        <w:rPr>
          <w:rFonts w:ascii="ITC Avant Garde" w:hAnsi="ITC Avant Garde"/>
          <w:sz w:val="18"/>
          <w:szCs w:val="18"/>
          <w:lang w:val="es-ES_tradnl"/>
        </w:rPr>
      </w:pPr>
      <w:r w:rsidRPr="00EF5A83">
        <w:rPr>
          <w:rFonts w:ascii="ITC Avant Garde" w:hAnsi="ITC Avant Garde"/>
          <w:sz w:val="18"/>
          <w:szCs w:val="18"/>
          <w:lang w:val="es-ES_tradnl"/>
        </w:rPr>
        <w:t>Por lo anterior, con fundamento en los artículos 1, 2, 7, 15, fracciones I</w:t>
      </w:r>
      <w:r w:rsidR="00A30A0A" w:rsidRPr="00EF5A83">
        <w:rPr>
          <w:rFonts w:ascii="ITC Avant Garde" w:hAnsi="ITC Avant Garde"/>
          <w:sz w:val="18"/>
          <w:szCs w:val="18"/>
          <w:lang w:val="es-ES_tradnl"/>
        </w:rPr>
        <w:t>, LVI, 51, 289 y 290 de la Ley Federal de Telecomunicaciones y Radiodifusión, 21, 22 fracción I y 23 fracción IV del Estatuto Orgánico del Instituto, el Pleno del Instituto Federal de Telecomunicaciones emite el siguiente:</w:t>
      </w:r>
    </w:p>
    <w:p w14:paraId="6CF4D387" w14:textId="77777777" w:rsidR="003E1EC0" w:rsidRPr="00EF5A83" w:rsidRDefault="003E1EC0">
      <w:pPr>
        <w:spacing w:after="160" w:line="259" w:lineRule="auto"/>
        <w:rPr>
          <w:rFonts w:ascii="ITC Avant Garde" w:eastAsia="MS Mincho" w:hAnsi="ITC Avant Garde"/>
          <w:color w:val="000000"/>
          <w:sz w:val="18"/>
          <w:szCs w:val="18"/>
          <w:lang w:val="es-ES_tradnl" w:eastAsia="es-MX"/>
        </w:rPr>
      </w:pPr>
      <w:r w:rsidRPr="00EF5A83">
        <w:rPr>
          <w:rFonts w:ascii="ITC Avant Garde" w:hAnsi="ITC Avant Garde"/>
          <w:sz w:val="18"/>
          <w:szCs w:val="18"/>
          <w:lang w:val="es-ES_tradnl"/>
        </w:rPr>
        <w:br w:type="page"/>
      </w:r>
    </w:p>
    <w:p w14:paraId="1FDC47F6" w14:textId="77777777" w:rsidR="00D55723" w:rsidRPr="00EF5A83" w:rsidRDefault="00D55723" w:rsidP="001211C1">
      <w:pPr>
        <w:jc w:val="both"/>
        <w:rPr>
          <w:rFonts w:ascii="ITC Avant Garde" w:eastAsia="MS Mincho" w:hAnsi="ITC Avant Garde"/>
          <w:color w:val="000000"/>
          <w:sz w:val="18"/>
          <w:szCs w:val="18"/>
          <w:lang w:val="es-ES_tradnl" w:eastAsia="es-MX"/>
        </w:rPr>
      </w:pPr>
    </w:p>
    <w:p w14:paraId="60C160DD" w14:textId="77777777" w:rsidR="00AD55DE" w:rsidRPr="00EF5A83" w:rsidRDefault="004475AB" w:rsidP="001211C1">
      <w:pPr>
        <w:pStyle w:val="ANOTACION"/>
        <w:spacing w:after="0" w:line="240" w:lineRule="auto"/>
        <w:rPr>
          <w:rFonts w:ascii="ITC Avant Garde" w:hAnsi="ITC Avant Garde" w:cs="Arial"/>
          <w:szCs w:val="18"/>
          <w:lang w:val="es-MX"/>
        </w:rPr>
      </w:pPr>
      <w:r w:rsidRPr="00EF5A83">
        <w:rPr>
          <w:rFonts w:ascii="ITC Avant Garde" w:hAnsi="ITC Avant Garde" w:cs="Arial"/>
          <w:szCs w:val="18"/>
          <w:lang w:val="es-MX"/>
        </w:rPr>
        <w:t>ACUERDO</w:t>
      </w:r>
    </w:p>
    <w:p w14:paraId="75ADD679" w14:textId="77777777" w:rsidR="00AD55DE" w:rsidRPr="00EF5A83" w:rsidRDefault="00AD55DE" w:rsidP="001211C1">
      <w:pPr>
        <w:pStyle w:val="Texto"/>
        <w:spacing w:after="0" w:line="240" w:lineRule="auto"/>
        <w:ind w:firstLine="0"/>
        <w:rPr>
          <w:rFonts w:ascii="ITC Avant Garde" w:hAnsi="ITC Avant Garde"/>
          <w:szCs w:val="18"/>
        </w:rPr>
      </w:pPr>
    </w:p>
    <w:p w14:paraId="2909D825" w14:textId="2C0730C3" w:rsidR="002367EE" w:rsidRPr="00EF5A83" w:rsidRDefault="00AD55DE" w:rsidP="001211C1">
      <w:pPr>
        <w:pStyle w:val="Texto"/>
        <w:spacing w:after="0" w:line="240" w:lineRule="auto"/>
        <w:ind w:firstLine="0"/>
        <w:rPr>
          <w:rFonts w:ascii="ITC Avant Garde" w:hAnsi="ITC Avant Garde"/>
          <w:szCs w:val="18"/>
        </w:rPr>
      </w:pPr>
      <w:proofErr w:type="gramStart"/>
      <w:r w:rsidRPr="00EF5A83">
        <w:rPr>
          <w:rFonts w:ascii="ITC Avant Garde" w:hAnsi="ITC Avant Garde"/>
          <w:b/>
          <w:szCs w:val="18"/>
        </w:rPr>
        <w:t>PRIMERO</w:t>
      </w:r>
      <w:r w:rsidRPr="00EF5A83">
        <w:rPr>
          <w:rFonts w:ascii="ITC Avant Garde" w:hAnsi="ITC Avant Garde"/>
          <w:szCs w:val="18"/>
        </w:rPr>
        <w:t>.-</w:t>
      </w:r>
      <w:proofErr w:type="gramEnd"/>
      <w:r w:rsidRPr="00EF5A83">
        <w:rPr>
          <w:rFonts w:ascii="ITC Avant Garde" w:hAnsi="ITC Avant Garde"/>
          <w:szCs w:val="18"/>
        </w:rPr>
        <w:t xml:space="preserve"> Se </w:t>
      </w:r>
      <w:r w:rsidR="00E810EE" w:rsidRPr="00EF5A83">
        <w:rPr>
          <w:rFonts w:ascii="ITC Avant Garde" w:hAnsi="ITC Avant Garde"/>
          <w:szCs w:val="18"/>
        </w:rPr>
        <w:t>e</w:t>
      </w:r>
      <w:r w:rsidR="00A30A0A" w:rsidRPr="00EF5A83">
        <w:rPr>
          <w:rFonts w:ascii="ITC Avant Garde" w:hAnsi="ITC Avant Garde"/>
          <w:szCs w:val="18"/>
        </w:rPr>
        <w:t xml:space="preserve">mite </w:t>
      </w:r>
      <w:r w:rsidR="001E7E83" w:rsidRPr="00EF5A83">
        <w:rPr>
          <w:rFonts w:ascii="ITC Avant Garde" w:hAnsi="ITC Avant Garde"/>
          <w:szCs w:val="18"/>
        </w:rPr>
        <w:t>el</w:t>
      </w:r>
      <w:r w:rsidR="00FD0F65" w:rsidRPr="00EF5A83">
        <w:rPr>
          <w:rFonts w:ascii="ITC Avant Garde" w:hAnsi="ITC Avant Garde"/>
          <w:szCs w:val="18"/>
        </w:rPr>
        <w:t xml:space="preserve"> </w:t>
      </w:r>
      <w:r w:rsidR="006909B8" w:rsidRPr="00EF5A83">
        <w:rPr>
          <w:rFonts w:ascii="ITC Avant Garde" w:hAnsi="ITC Avant Garde"/>
          <w:b/>
          <w:szCs w:val="18"/>
        </w:rPr>
        <w:t>“</w:t>
      </w:r>
      <w:r w:rsidR="00D131C5" w:rsidRPr="00EF5A83">
        <w:rPr>
          <w:rFonts w:ascii="ITC Avant Garde" w:hAnsi="ITC Avant Garde"/>
          <w:b/>
          <w:szCs w:val="18"/>
        </w:rPr>
        <w:t>ACUERDO MEDIANTE EL CUAL EL PLENO DEL INSTITUTO FEDERAL DE TELECOMUNICACIONES MODIFICA LOS LINEAMIENTOS PARA LA ACREDITACIÓN DE PERITOS EN MATERIA DE TELECOMUNICACIONES Y DE RADIODIFUSIÓN, PUBLICADO EN EL DIARIO OFICIAL DE LA FEDERACIÓN EL 20 DE FEBRERO DE 2017</w:t>
      </w:r>
      <w:r w:rsidR="002367EE" w:rsidRPr="00EF5A83">
        <w:rPr>
          <w:rFonts w:ascii="ITC Avant Garde" w:hAnsi="ITC Avant Garde"/>
          <w:szCs w:val="18"/>
        </w:rPr>
        <w:t xml:space="preserve">”, mismo que se encuentra como Anexo Único </w:t>
      </w:r>
      <w:r w:rsidR="00E810EE" w:rsidRPr="00EF5A83">
        <w:rPr>
          <w:rFonts w:ascii="ITC Avant Garde" w:hAnsi="ITC Avant Garde"/>
          <w:szCs w:val="18"/>
        </w:rPr>
        <w:t xml:space="preserve">y que forma parte </w:t>
      </w:r>
      <w:r w:rsidR="00A30A0A" w:rsidRPr="00EF5A83">
        <w:rPr>
          <w:rFonts w:ascii="ITC Avant Garde" w:hAnsi="ITC Avant Garde"/>
          <w:szCs w:val="18"/>
        </w:rPr>
        <w:t>del presente.</w:t>
      </w:r>
    </w:p>
    <w:p w14:paraId="2AE6787D" w14:textId="720CB1E4" w:rsidR="0029595D" w:rsidRPr="00EF5A83" w:rsidRDefault="0029595D" w:rsidP="001211C1">
      <w:pPr>
        <w:pStyle w:val="Texto"/>
        <w:spacing w:after="0" w:line="240" w:lineRule="auto"/>
        <w:ind w:firstLine="0"/>
        <w:rPr>
          <w:rFonts w:ascii="ITC Avant Garde" w:hAnsi="ITC Avant Garde"/>
          <w:szCs w:val="18"/>
        </w:rPr>
      </w:pPr>
    </w:p>
    <w:p w14:paraId="6C117C26" w14:textId="77777777" w:rsidR="00B63DCF" w:rsidRPr="00EF5A83" w:rsidRDefault="00B63DCF" w:rsidP="001211C1">
      <w:pPr>
        <w:pStyle w:val="Texto"/>
        <w:spacing w:after="0" w:line="240" w:lineRule="auto"/>
        <w:ind w:firstLine="0"/>
        <w:rPr>
          <w:rFonts w:ascii="ITC Avant Garde" w:hAnsi="ITC Avant Garde"/>
          <w:szCs w:val="18"/>
        </w:rPr>
      </w:pPr>
    </w:p>
    <w:p w14:paraId="79B5C467" w14:textId="77777777" w:rsidR="001211C1" w:rsidRPr="00EF5A83" w:rsidRDefault="001211C1" w:rsidP="001211C1">
      <w:pPr>
        <w:pStyle w:val="Texto"/>
        <w:spacing w:after="0" w:line="240" w:lineRule="auto"/>
        <w:ind w:firstLine="0"/>
        <w:rPr>
          <w:rFonts w:ascii="ITC Avant Garde" w:hAnsi="ITC Avant Garde"/>
          <w:szCs w:val="18"/>
        </w:rPr>
      </w:pPr>
    </w:p>
    <w:p w14:paraId="4D3C8FC4" w14:textId="77777777" w:rsidR="00AD55DE" w:rsidRPr="00EF5A83" w:rsidRDefault="00A84A8A" w:rsidP="00825369">
      <w:pPr>
        <w:spacing w:after="80" w:line="276" w:lineRule="auto"/>
        <w:jc w:val="both"/>
        <w:rPr>
          <w:rFonts w:ascii="ITC Avant Garde" w:hAnsi="ITC Avant Garde" w:cs="Arial"/>
          <w:sz w:val="18"/>
          <w:szCs w:val="18"/>
        </w:rPr>
      </w:pPr>
      <w:proofErr w:type="gramStart"/>
      <w:r w:rsidRPr="00EF5A83">
        <w:rPr>
          <w:rFonts w:ascii="ITC Avant Garde" w:hAnsi="ITC Avant Garde" w:cs="Arial"/>
          <w:b/>
          <w:sz w:val="18"/>
          <w:szCs w:val="18"/>
        </w:rPr>
        <w:t>SEGUNDO</w:t>
      </w:r>
      <w:r w:rsidR="00AD55DE" w:rsidRPr="00EF5A83">
        <w:rPr>
          <w:rFonts w:ascii="ITC Avant Garde" w:hAnsi="ITC Avant Garde" w:cs="Arial"/>
          <w:sz w:val="18"/>
          <w:szCs w:val="18"/>
        </w:rPr>
        <w:t>.-</w:t>
      </w:r>
      <w:proofErr w:type="gramEnd"/>
      <w:r w:rsidR="00AD55DE" w:rsidRPr="00EF5A83">
        <w:rPr>
          <w:rFonts w:ascii="ITC Avant Garde" w:hAnsi="ITC Avant Garde" w:cs="Arial"/>
          <w:sz w:val="18"/>
          <w:szCs w:val="18"/>
        </w:rPr>
        <w:t xml:space="preserve"> Publíquese </w:t>
      </w:r>
      <w:r w:rsidR="00E810EE" w:rsidRPr="00EF5A83">
        <w:rPr>
          <w:rFonts w:ascii="ITC Avant Garde" w:hAnsi="ITC Avant Garde" w:cs="Calibri"/>
          <w:sz w:val="18"/>
          <w:szCs w:val="18"/>
          <w:lang w:eastAsia="es-MX"/>
        </w:rPr>
        <w:t xml:space="preserve">el presente Acuerdo y su Anexo Único en el Diario Oficial de la Federación.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A30A0A" w:rsidRPr="00EF5A83" w14:paraId="1E28C2ED" w14:textId="77777777" w:rsidTr="008535E2">
        <w:tc>
          <w:tcPr>
            <w:tcW w:w="9394" w:type="dxa"/>
            <w:gridSpan w:val="2"/>
          </w:tcPr>
          <w:p w14:paraId="27641EDB" w14:textId="77777777" w:rsidR="00A30A0A" w:rsidRPr="00EF5A83" w:rsidRDefault="00A30A0A" w:rsidP="00A30A0A">
            <w:pPr>
              <w:jc w:val="center"/>
              <w:rPr>
                <w:rFonts w:ascii="ITC Avant Garde" w:eastAsia="Calibri" w:hAnsi="ITC Avant Garde" w:cs="Arial"/>
                <w:b/>
                <w:bCs/>
                <w:sz w:val="18"/>
                <w:szCs w:val="18"/>
                <w:lang w:eastAsia="en-US"/>
              </w:rPr>
            </w:pPr>
          </w:p>
          <w:p w14:paraId="47008A6E" w14:textId="77777777" w:rsidR="00A30A0A" w:rsidRPr="00EF5A83" w:rsidRDefault="00A30A0A" w:rsidP="00A30A0A">
            <w:pPr>
              <w:jc w:val="center"/>
              <w:rPr>
                <w:rFonts w:ascii="ITC Avant Garde" w:eastAsia="Calibri" w:hAnsi="ITC Avant Garde" w:cs="Arial"/>
                <w:b/>
                <w:bCs/>
                <w:sz w:val="18"/>
                <w:szCs w:val="18"/>
                <w:lang w:eastAsia="en-US"/>
              </w:rPr>
            </w:pPr>
          </w:p>
          <w:p w14:paraId="7ACB73C0" w14:textId="77777777" w:rsidR="00A30A0A" w:rsidRPr="00EF5A83" w:rsidRDefault="00A30A0A" w:rsidP="00A30A0A">
            <w:pPr>
              <w:jc w:val="center"/>
              <w:rPr>
                <w:rFonts w:ascii="ITC Avant Garde" w:eastAsia="Calibri" w:hAnsi="ITC Avant Garde" w:cs="Arial"/>
                <w:b/>
                <w:bCs/>
                <w:sz w:val="18"/>
                <w:szCs w:val="18"/>
                <w:lang w:eastAsia="en-US"/>
              </w:rPr>
            </w:pPr>
          </w:p>
          <w:p w14:paraId="6A248C20" w14:textId="77777777" w:rsidR="00A30A0A" w:rsidRPr="00EF5A83" w:rsidRDefault="00A30A0A" w:rsidP="00A30A0A">
            <w:pPr>
              <w:jc w:val="center"/>
              <w:rPr>
                <w:rFonts w:ascii="ITC Avant Garde" w:eastAsia="Calibri" w:hAnsi="ITC Avant Garde" w:cs="Arial"/>
                <w:b/>
                <w:bCs/>
                <w:sz w:val="18"/>
                <w:szCs w:val="18"/>
                <w:lang w:eastAsia="en-US"/>
              </w:rPr>
            </w:pPr>
          </w:p>
          <w:p w14:paraId="17209FBD" w14:textId="77777777" w:rsidR="00A30A0A" w:rsidRPr="00EF5A83" w:rsidRDefault="00A30A0A" w:rsidP="00A30A0A">
            <w:pPr>
              <w:jc w:val="center"/>
              <w:rPr>
                <w:rFonts w:ascii="ITC Avant Garde" w:eastAsia="Calibri" w:hAnsi="ITC Avant Garde" w:cs="Arial"/>
                <w:b/>
                <w:bCs/>
                <w:sz w:val="18"/>
                <w:szCs w:val="18"/>
                <w:lang w:eastAsia="en-US"/>
              </w:rPr>
            </w:pPr>
          </w:p>
          <w:p w14:paraId="599CCFA7" w14:textId="77777777" w:rsidR="00A30A0A" w:rsidRPr="00EF5A83" w:rsidRDefault="00A30A0A" w:rsidP="00A30A0A">
            <w:pPr>
              <w:jc w:val="center"/>
              <w:rPr>
                <w:rFonts w:ascii="ITC Avant Garde" w:eastAsia="Calibri" w:hAnsi="ITC Avant Garde" w:cs="Arial"/>
                <w:b/>
                <w:bCs/>
                <w:sz w:val="18"/>
                <w:szCs w:val="18"/>
                <w:lang w:eastAsia="en-US"/>
              </w:rPr>
            </w:pPr>
          </w:p>
          <w:p w14:paraId="6FD72A22" w14:textId="77777777" w:rsidR="00A30A0A" w:rsidRPr="00EF5A83" w:rsidRDefault="00A30A0A" w:rsidP="00A30A0A">
            <w:pPr>
              <w:jc w:val="center"/>
              <w:rPr>
                <w:rFonts w:ascii="ITC Avant Garde" w:eastAsia="Calibri" w:hAnsi="ITC Avant Garde" w:cs="Arial"/>
                <w:b/>
                <w:bCs/>
                <w:sz w:val="18"/>
                <w:szCs w:val="18"/>
                <w:lang w:eastAsia="en-US"/>
              </w:rPr>
            </w:pPr>
            <w:r w:rsidRPr="00EF5A83">
              <w:rPr>
                <w:rFonts w:ascii="ITC Avant Garde" w:eastAsia="Calibri" w:hAnsi="ITC Avant Garde" w:cs="Arial"/>
                <w:b/>
                <w:bCs/>
                <w:sz w:val="18"/>
                <w:szCs w:val="18"/>
                <w:lang w:eastAsia="en-US"/>
              </w:rPr>
              <w:t>Gabriel Oswaldo Contreras Saldívar</w:t>
            </w:r>
          </w:p>
          <w:p w14:paraId="2C784CD8" w14:textId="77777777" w:rsidR="00A30A0A" w:rsidRPr="00EF5A83" w:rsidRDefault="00A30A0A" w:rsidP="00A30A0A">
            <w:pPr>
              <w:jc w:val="center"/>
              <w:rPr>
                <w:rFonts w:ascii="ITC Avant Garde" w:eastAsia="Calibri" w:hAnsi="ITC Avant Garde" w:cs="Arial"/>
                <w:b/>
                <w:bCs/>
                <w:sz w:val="18"/>
                <w:szCs w:val="18"/>
                <w:lang w:eastAsia="en-US"/>
              </w:rPr>
            </w:pPr>
            <w:r w:rsidRPr="00EF5A83">
              <w:rPr>
                <w:rFonts w:ascii="ITC Avant Garde" w:eastAsia="Calibri" w:hAnsi="ITC Avant Garde" w:cs="Arial"/>
                <w:b/>
                <w:bCs/>
                <w:sz w:val="18"/>
                <w:szCs w:val="18"/>
                <w:lang w:eastAsia="en-US"/>
              </w:rPr>
              <w:t>Comisionado Presidente</w:t>
            </w:r>
          </w:p>
        </w:tc>
      </w:tr>
      <w:tr w:rsidR="00A30A0A" w:rsidRPr="00EF5A83" w14:paraId="0456FD2D" w14:textId="77777777" w:rsidTr="008535E2">
        <w:tc>
          <w:tcPr>
            <w:tcW w:w="4697" w:type="dxa"/>
          </w:tcPr>
          <w:p w14:paraId="1CCACA61" w14:textId="77777777" w:rsidR="00A30A0A" w:rsidRPr="00EF5A83" w:rsidRDefault="00A30A0A" w:rsidP="00A30A0A">
            <w:pPr>
              <w:jc w:val="center"/>
              <w:rPr>
                <w:rFonts w:ascii="ITC Avant Garde" w:eastAsia="Calibri" w:hAnsi="ITC Avant Garde"/>
                <w:b/>
                <w:sz w:val="18"/>
                <w:szCs w:val="18"/>
                <w:shd w:val="clear" w:color="auto" w:fill="FFFFFF"/>
                <w:lang w:eastAsia="en-US"/>
              </w:rPr>
            </w:pPr>
          </w:p>
          <w:p w14:paraId="2AC29B45" w14:textId="66A93078" w:rsidR="00A30A0A" w:rsidRPr="00EF5A83" w:rsidRDefault="00A30A0A" w:rsidP="00A30A0A">
            <w:pPr>
              <w:jc w:val="center"/>
              <w:rPr>
                <w:rFonts w:ascii="ITC Avant Garde" w:eastAsia="Calibri" w:hAnsi="ITC Avant Garde"/>
                <w:b/>
                <w:sz w:val="18"/>
                <w:szCs w:val="18"/>
                <w:shd w:val="clear" w:color="auto" w:fill="FFFFFF"/>
                <w:lang w:eastAsia="en-US"/>
              </w:rPr>
            </w:pPr>
          </w:p>
          <w:p w14:paraId="03B55C5D" w14:textId="77777777" w:rsidR="0029595D" w:rsidRPr="00EF5A83" w:rsidRDefault="0029595D" w:rsidP="00A30A0A">
            <w:pPr>
              <w:jc w:val="center"/>
              <w:rPr>
                <w:rFonts w:ascii="ITC Avant Garde" w:eastAsia="Calibri" w:hAnsi="ITC Avant Garde"/>
                <w:b/>
                <w:sz w:val="18"/>
                <w:szCs w:val="18"/>
                <w:shd w:val="clear" w:color="auto" w:fill="FFFFFF"/>
                <w:lang w:eastAsia="en-US"/>
              </w:rPr>
            </w:pPr>
          </w:p>
          <w:p w14:paraId="06CB6A1B" w14:textId="77777777" w:rsidR="00A30A0A" w:rsidRPr="00EF5A83" w:rsidRDefault="00A30A0A" w:rsidP="00A30A0A">
            <w:pPr>
              <w:jc w:val="center"/>
              <w:rPr>
                <w:rFonts w:ascii="ITC Avant Garde" w:eastAsia="Calibri" w:hAnsi="ITC Avant Garde"/>
                <w:b/>
                <w:sz w:val="18"/>
                <w:szCs w:val="18"/>
                <w:shd w:val="clear" w:color="auto" w:fill="FFFFFF"/>
                <w:lang w:eastAsia="en-US"/>
              </w:rPr>
            </w:pPr>
          </w:p>
          <w:p w14:paraId="44B23E96" w14:textId="77777777" w:rsidR="00A30A0A" w:rsidRPr="00EF5A83" w:rsidRDefault="00A30A0A" w:rsidP="00A30A0A">
            <w:pPr>
              <w:jc w:val="center"/>
              <w:rPr>
                <w:rFonts w:ascii="ITC Avant Garde" w:eastAsia="Calibri" w:hAnsi="ITC Avant Garde"/>
                <w:b/>
                <w:sz w:val="18"/>
                <w:szCs w:val="18"/>
                <w:shd w:val="clear" w:color="auto" w:fill="FFFFFF"/>
                <w:lang w:eastAsia="en-US"/>
              </w:rPr>
            </w:pPr>
          </w:p>
          <w:p w14:paraId="0517E3DA" w14:textId="77777777" w:rsidR="00A30A0A" w:rsidRPr="00EF5A83" w:rsidRDefault="00A30A0A" w:rsidP="00A30A0A">
            <w:pPr>
              <w:tabs>
                <w:tab w:val="left" w:pos="993"/>
              </w:tabs>
              <w:ind w:right="-1"/>
              <w:jc w:val="center"/>
              <w:rPr>
                <w:rFonts w:ascii="ITC Avant Garde" w:eastAsia="Calibri" w:hAnsi="ITC Avant Garde"/>
                <w:b/>
                <w:bCs/>
                <w:sz w:val="18"/>
                <w:szCs w:val="18"/>
                <w:lang w:eastAsia="es-MX"/>
              </w:rPr>
            </w:pPr>
            <w:r w:rsidRPr="00EF5A83">
              <w:rPr>
                <w:rFonts w:ascii="ITC Avant Garde" w:eastAsia="Calibri" w:hAnsi="ITC Avant Garde"/>
                <w:b/>
                <w:bCs/>
                <w:sz w:val="18"/>
                <w:szCs w:val="18"/>
                <w:lang w:eastAsia="es-MX"/>
              </w:rPr>
              <w:t>María Elena Estavillo Flores</w:t>
            </w:r>
          </w:p>
          <w:p w14:paraId="008CD021" w14:textId="77777777" w:rsidR="00A30A0A" w:rsidRPr="00EF5A83" w:rsidRDefault="00A30A0A" w:rsidP="00A30A0A">
            <w:pPr>
              <w:jc w:val="center"/>
              <w:rPr>
                <w:rFonts w:ascii="ITC Avant Garde" w:eastAsia="Calibri" w:hAnsi="ITC Avant Garde"/>
                <w:b/>
                <w:sz w:val="18"/>
                <w:szCs w:val="18"/>
                <w:shd w:val="clear" w:color="auto" w:fill="FFFFFF"/>
                <w:lang w:eastAsia="en-US"/>
              </w:rPr>
            </w:pPr>
            <w:r w:rsidRPr="00EF5A83">
              <w:rPr>
                <w:rFonts w:ascii="ITC Avant Garde" w:eastAsia="Calibri" w:hAnsi="ITC Avant Garde"/>
                <w:b/>
                <w:bCs/>
                <w:sz w:val="18"/>
                <w:szCs w:val="18"/>
                <w:lang w:eastAsia="es-MX"/>
              </w:rPr>
              <w:t>Comisionada</w:t>
            </w:r>
          </w:p>
        </w:tc>
        <w:tc>
          <w:tcPr>
            <w:tcW w:w="4697" w:type="dxa"/>
          </w:tcPr>
          <w:p w14:paraId="351942BA"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2521B104" w14:textId="5FA51D6C" w:rsidR="00A30A0A" w:rsidRPr="00EF5A83" w:rsidRDefault="00A30A0A" w:rsidP="00A30A0A">
            <w:pPr>
              <w:jc w:val="both"/>
              <w:rPr>
                <w:rFonts w:ascii="ITC Avant Garde" w:eastAsia="Calibri" w:hAnsi="ITC Avant Garde"/>
                <w:b/>
                <w:sz w:val="18"/>
                <w:szCs w:val="18"/>
                <w:shd w:val="clear" w:color="auto" w:fill="FFFFFF"/>
                <w:lang w:eastAsia="en-US"/>
              </w:rPr>
            </w:pPr>
          </w:p>
          <w:p w14:paraId="5C669691" w14:textId="77777777" w:rsidR="0029595D" w:rsidRPr="00EF5A83" w:rsidRDefault="0029595D" w:rsidP="00A30A0A">
            <w:pPr>
              <w:jc w:val="both"/>
              <w:rPr>
                <w:rFonts w:ascii="ITC Avant Garde" w:eastAsia="Calibri" w:hAnsi="ITC Avant Garde"/>
                <w:b/>
                <w:sz w:val="18"/>
                <w:szCs w:val="18"/>
                <w:shd w:val="clear" w:color="auto" w:fill="FFFFFF"/>
                <w:lang w:eastAsia="en-US"/>
              </w:rPr>
            </w:pPr>
          </w:p>
          <w:p w14:paraId="1890A476"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0001EEF7"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65393C61" w14:textId="77777777" w:rsidR="00A30A0A" w:rsidRPr="00EF5A83" w:rsidRDefault="00A30A0A" w:rsidP="00A30A0A">
            <w:pPr>
              <w:tabs>
                <w:tab w:val="left" w:pos="993"/>
              </w:tabs>
              <w:ind w:right="-1"/>
              <w:jc w:val="center"/>
              <w:rPr>
                <w:rFonts w:ascii="ITC Avant Garde" w:eastAsia="Calibri" w:hAnsi="ITC Avant Garde"/>
                <w:b/>
                <w:bCs/>
                <w:sz w:val="18"/>
                <w:szCs w:val="18"/>
                <w:lang w:eastAsia="es-MX"/>
              </w:rPr>
            </w:pPr>
            <w:r w:rsidRPr="00EF5A83">
              <w:rPr>
                <w:rFonts w:ascii="ITC Avant Garde" w:eastAsia="Calibri" w:hAnsi="ITC Avant Garde"/>
                <w:b/>
                <w:bCs/>
                <w:sz w:val="18"/>
                <w:szCs w:val="18"/>
                <w:lang w:eastAsia="es-MX"/>
              </w:rPr>
              <w:t>Mario Germán Fromow Rangel</w:t>
            </w:r>
          </w:p>
          <w:p w14:paraId="5FCE31BD" w14:textId="77777777" w:rsidR="00A30A0A" w:rsidRPr="00EF5A83" w:rsidRDefault="00A30A0A" w:rsidP="00A30A0A">
            <w:pPr>
              <w:jc w:val="center"/>
              <w:rPr>
                <w:rFonts w:ascii="ITC Avant Garde" w:eastAsia="Calibri" w:hAnsi="ITC Avant Garde"/>
                <w:b/>
                <w:sz w:val="18"/>
                <w:szCs w:val="18"/>
                <w:shd w:val="clear" w:color="auto" w:fill="FFFFFF"/>
                <w:lang w:eastAsia="en-US"/>
              </w:rPr>
            </w:pPr>
            <w:r w:rsidRPr="00EF5A83">
              <w:rPr>
                <w:rFonts w:ascii="ITC Avant Garde" w:eastAsia="Calibri" w:hAnsi="ITC Avant Garde"/>
                <w:b/>
                <w:bCs/>
                <w:sz w:val="18"/>
                <w:szCs w:val="18"/>
                <w:lang w:eastAsia="es-MX"/>
              </w:rPr>
              <w:t>Comisionado</w:t>
            </w:r>
          </w:p>
        </w:tc>
      </w:tr>
      <w:tr w:rsidR="00A30A0A" w:rsidRPr="00EF5A83" w14:paraId="573C460E" w14:textId="77777777" w:rsidTr="008535E2">
        <w:tc>
          <w:tcPr>
            <w:tcW w:w="4697" w:type="dxa"/>
          </w:tcPr>
          <w:p w14:paraId="183B4ED6"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364C3704"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24E7750A" w14:textId="55D8BA23" w:rsidR="00A30A0A" w:rsidRPr="00EF5A83" w:rsidRDefault="00A30A0A" w:rsidP="00A30A0A">
            <w:pPr>
              <w:jc w:val="both"/>
              <w:rPr>
                <w:rFonts w:ascii="ITC Avant Garde" w:eastAsia="Calibri" w:hAnsi="ITC Avant Garde"/>
                <w:b/>
                <w:sz w:val="18"/>
                <w:szCs w:val="18"/>
                <w:shd w:val="clear" w:color="auto" w:fill="FFFFFF"/>
                <w:lang w:eastAsia="en-US"/>
              </w:rPr>
            </w:pPr>
          </w:p>
          <w:p w14:paraId="7669AF59" w14:textId="77777777" w:rsidR="0029595D" w:rsidRPr="00EF5A83" w:rsidRDefault="0029595D" w:rsidP="00A30A0A">
            <w:pPr>
              <w:jc w:val="both"/>
              <w:rPr>
                <w:rFonts w:ascii="ITC Avant Garde" w:eastAsia="Calibri" w:hAnsi="ITC Avant Garde"/>
                <w:b/>
                <w:sz w:val="18"/>
                <w:szCs w:val="18"/>
                <w:shd w:val="clear" w:color="auto" w:fill="FFFFFF"/>
                <w:lang w:eastAsia="en-US"/>
              </w:rPr>
            </w:pPr>
          </w:p>
          <w:p w14:paraId="5E81B947"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31ADBEEC" w14:textId="77777777" w:rsidR="00A30A0A" w:rsidRPr="00EF5A83" w:rsidRDefault="00A30A0A" w:rsidP="00A30A0A">
            <w:pPr>
              <w:tabs>
                <w:tab w:val="left" w:pos="993"/>
              </w:tabs>
              <w:ind w:right="-1"/>
              <w:jc w:val="center"/>
              <w:rPr>
                <w:rFonts w:ascii="ITC Avant Garde" w:eastAsia="Calibri" w:hAnsi="ITC Avant Garde"/>
                <w:b/>
                <w:bCs/>
                <w:sz w:val="18"/>
                <w:szCs w:val="18"/>
                <w:lang w:eastAsia="es-MX"/>
              </w:rPr>
            </w:pPr>
            <w:r w:rsidRPr="00EF5A83">
              <w:rPr>
                <w:rFonts w:ascii="ITC Avant Garde" w:eastAsia="Calibri" w:hAnsi="ITC Avant Garde"/>
                <w:b/>
                <w:bCs/>
                <w:sz w:val="18"/>
                <w:szCs w:val="18"/>
                <w:lang w:eastAsia="es-MX"/>
              </w:rPr>
              <w:t>Adolfo Cuevas Teja</w:t>
            </w:r>
          </w:p>
          <w:p w14:paraId="71822D50" w14:textId="77777777" w:rsidR="00A30A0A" w:rsidRPr="00EF5A83" w:rsidRDefault="00A30A0A" w:rsidP="00A30A0A">
            <w:pPr>
              <w:jc w:val="center"/>
              <w:rPr>
                <w:rFonts w:ascii="ITC Avant Garde" w:eastAsia="Calibri" w:hAnsi="ITC Avant Garde"/>
                <w:b/>
                <w:sz w:val="18"/>
                <w:szCs w:val="18"/>
                <w:shd w:val="clear" w:color="auto" w:fill="FFFFFF"/>
                <w:lang w:eastAsia="en-US"/>
              </w:rPr>
            </w:pPr>
            <w:r w:rsidRPr="00EF5A83">
              <w:rPr>
                <w:rFonts w:ascii="ITC Avant Garde" w:eastAsia="Calibri" w:hAnsi="ITC Avant Garde"/>
                <w:b/>
                <w:bCs/>
                <w:sz w:val="18"/>
                <w:szCs w:val="18"/>
                <w:lang w:eastAsia="es-MX"/>
              </w:rPr>
              <w:t>Comisionado</w:t>
            </w:r>
          </w:p>
        </w:tc>
        <w:tc>
          <w:tcPr>
            <w:tcW w:w="4697" w:type="dxa"/>
          </w:tcPr>
          <w:p w14:paraId="2A113E24"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7289AA17"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264F2B58"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463E9387" w14:textId="66AB2CD0" w:rsidR="00A30A0A" w:rsidRPr="00EF5A83" w:rsidRDefault="00A30A0A" w:rsidP="00A30A0A">
            <w:pPr>
              <w:jc w:val="both"/>
              <w:rPr>
                <w:rFonts w:ascii="ITC Avant Garde" w:eastAsia="Calibri" w:hAnsi="ITC Avant Garde"/>
                <w:b/>
                <w:sz w:val="18"/>
                <w:szCs w:val="18"/>
                <w:shd w:val="clear" w:color="auto" w:fill="FFFFFF"/>
                <w:lang w:eastAsia="en-US"/>
              </w:rPr>
            </w:pPr>
          </w:p>
          <w:p w14:paraId="4FE3163B" w14:textId="77777777" w:rsidR="0029595D" w:rsidRPr="00EF5A83" w:rsidRDefault="0029595D" w:rsidP="00A30A0A">
            <w:pPr>
              <w:jc w:val="both"/>
              <w:rPr>
                <w:rFonts w:ascii="ITC Avant Garde" w:eastAsia="Calibri" w:hAnsi="ITC Avant Garde"/>
                <w:b/>
                <w:sz w:val="18"/>
                <w:szCs w:val="18"/>
                <w:shd w:val="clear" w:color="auto" w:fill="FFFFFF"/>
                <w:lang w:eastAsia="en-US"/>
              </w:rPr>
            </w:pPr>
          </w:p>
          <w:p w14:paraId="69AE8399" w14:textId="77777777" w:rsidR="00A30A0A" w:rsidRPr="00EF5A83" w:rsidRDefault="00A30A0A" w:rsidP="00A30A0A">
            <w:pPr>
              <w:tabs>
                <w:tab w:val="left" w:pos="993"/>
              </w:tabs>
              <w:ind w:right="-1"/>
              <w:jc w:val="center"/>
              <w:rPr>
                <w:rFonts w:ascii="ITC Avant Garde" w:eastAsia="Calibri" w:hAnsi="ITC Avant Garde"/>
                <w:b/>
                <w:bCs/>
                <w:sz w:val="18"/>
                <w:szCs w:val="18"/>
                <w:lang w:eastAsia="es-MX"/>
              </w:rPr>
            </w:pPr>
            <w:r w:rsidRPr="00EF5A83">
              <w:rPr>
                <w:rFonts w:ascii="ITC Avant Garde" w:eastAsia="Calibri" w:hAnsi="ITC Avant Garde"/>
                <w:b/>
                <w:bCs/>
                <w:sz w:val="18"/>
                <w:szCs w:val="18"/>
                <w:lang w:eastAsia="es-MX"/>
              </w:rPr>
              <w:t>Javier Juárez Mojica</w:t>
            </w:r>
          </w:p>
          <w:p w14:paraId="66FB7173" w14:textId="77777777" w:rsidR="00A30A0A" w:rsidRPr="00EF5A83" w:rsidRDefault="00A30A0A" w:rsidP="00A30A0A">
            <w:pPr>
              <w:jc w:val="center"/>
              <w:rPr>
                <w:rFonts w:ascii="ITC Avant Garde" w:eastAsia="Calibri" w:hAnsi="ITC Avant Garde"/>
                <w:b/>
                <w:sz w:val="18"/>
                <w:szCs w:val="18"/>
                <w:shd w:val="clear" w:color="auto" w:fill="FFFFFF"/>
                <w:lang w:eastAsia="en-US"/>
              </w:rPr>
            </w:pPr>
            <w:r w:rsidRPr="00EF5A83">
              <w:rPr>
                <w:rFonts w:ascii="ITC Avant Garde" w:eastAsia="Calibri" w:hAnsi="ITC Avant Garde"/>
                <w:b/>
                <w:bCs/>
                <w:sz w:val="18"/>
                <w:szCs w:val="18"/>
                <w:lang w:eastAsia="es-MX"/>
              </w:rPr>
              <w:t>Comisionado</w:t>
            </w:r>
          </w:p>
        </w:tc>
      </w:tr>
      <w:tr w:rsidR="00A30A0A" w:rsidRPr="00EF5A83" w14:paraId="2D26B8D2" w14:textId="77777777" w:rsidTr="008535E2">
        <w:tc>
          <w:tcPr>
            <w:tcW w:w="4697" w:type="dxa"/>
          </w:tcPr>
          <w:p w14:paraId="3E587BE6"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63960736"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0D9F8899" w14:textId="4F78D2FB" w:rsidR="00A30A0A" w:rsidRPr="00EF5A83" w:rsidRDefault="00A30A0A" w:rsidP="00A30A0A">
            <w:pPr>
              <w:jc w:val="both"/>
              <w:rPr>
                <w:rFonts w:ascii="ITC Avant Garde" w:eastAsia="Calibri" w:hAnsi="ITC Avant Garde"/>
                <w:b/>
                <w:sz w:val="18"/>
                <w:szCs w:val="18"/>
                <w:shd w:val="clear" w:color="auto" w:fill="FFFFFF"/>
                <w:lang w:eastAsia="en-US"/>
              </w:rPr>
            </w:pPr>
          </w:p>
          <w:p w14:paraId="6942C584" w14:textId="77777777" w:rsidR="0029595D" w:rsidRPr="00EF5A83" w:rsidRDefault="0029595D" w:rsidP="00A30A0A">
            <w:pPr>
              <w:jc w:val="both"/>
              <w:rPr>
                <w:rFonts w:ascii="ITC Avant Garde" w:eastAsia="Calibri" w:hAnsi="ITC Avant Garde"/>
                <w:b/>
                <w:sz w:val="18"/>
                <w:szCs w:val="18"/>
                <w:shd w:val="clear" w:color="auto" w:fill="FFFFFF"/>
                <w:lang w:eastAsia="en-US"/>
              </w:rPr>
            </w:pPr>
          </w:p>
          <w:p w14:paraId="3C48113A"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33C9A807" w14:textId="77777777" w:rsidR="00A30A0A" w:rsidRPr="00EF5A83" w:rsidRDefault="00A30A0A" w:rsidP="00A30A0A">
            <w:pPr>
              <w:tabs>
                <w:tab w:val="left" w:pos="993"/>
              </w:tabs>
              <w:ind w:right="-1"/>
              <w:jc w:val="center"/>
              <w:rPr>
                <w:rFonts w:ascii="ITC Avant Garde" w:eastAsia="Calibri" w:hAnsi="ITC Avant Garde"/>
                <w:b/>
                <w:bCs/>
                <w:sz w:val="18"/>
                <w:szCs w:val="18"/>
                <w:lang w:eastAsia="es-MX"/>
              </w:rPr>
            </w:pPr>
            <w:r w:rsidRPr="00EF5A83">
              <w:rPr>
                <w:rFonts w:ascii="ITC Avant Garde" w:eastAsia="Calibri" w:hAnsi="ITC Avant Garde"/>
                <w:b/>
                <w:bCs/>
                <w:sz w:val="18"/>
                <w:szCs w:val="18"/>
                <w:lang w:eastAsia="es-MX"/>
              </w:rPr>
              <w:t>Arturo Robles Rovalo</w:t>
            </w:r>
          </w:p>
          <w:p w14:paraId="5A3FD2BB" w14:textId="77777777" w:rsidR="00A30A0A" w:rsidRPr="00EF5A83" w:rsidRDefault="00A30A0A" w:rsidP="00A30A0A">
            <w:pPr>
              <w:jc w:val="center"/>
              <w:rPr>
                <w:rFonts w:ascii="ITC Avant Garde" w:eastAsia="Calibri" w:hAnsi="ITC Avant Garde"/>
                <w:b/>
                <w:noProof/>
                <w:sz w:val="18"/>
                <w:szCs w:val="18"/>
                <w:shd w:val="clear" w:color="auto" w:fill="FFFFFF"/>
                <w:lang w:val="es-ES" w:eastAsia="en-US"/>
              </w:rPr>
            </w:pPr>
            <w:r w:rsidRPr="00EF5A83">
              <w:rPr>
                <w:rFonts w:ascii="ITC Avant Garde" w:eastAsia="Calibri" w:hAnsi="ITC Avant Garde"/>
                <w:b/>
                <w:bCs/>
                <w:noProof/>
                <w:sz w:val="18"/>
                <w:szCs w:val="18"/>
                <w:lang w:val="es-ES" w:eastAsia="es-MX"/>
              </w:rPr>
              <w:t>Comisionado</w:t>
            </w:r>
          </w:p>
        </w:tc>
        <w:tc>
          <w:tcPr>
            <w:tcW w:w="4697" w:type="dxa"/>
          </w:tcPr>
          <w:p w14:paraId="5D8446FE"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36A4702A"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5D6FD8B1" w14:textId="41A04D18" w:rsidR="00A30A0A" w:rsidRPr="00EF5A83" w:rsidRDefault="00A30A0A" w:rsidP="00A30A0A">
            <w:pPr>
              <w:jc w:val="both"/>
              <w:rPr>
                <w:rFonts w:ascii="ITC Avant Garde" w:eastAsia="Calibri" w:hAnsi="ITC Avant Garde"/>
                <w:b/>
                <w:sz w:val="18"/>
                <w:szCs w:val="18"/>
                <w:shd w:val="clear" w:color="auto" w:fill="FFFFFF"/>
                <w:lang w:eastAsia="en-US"/>
              </w:rPr>
            </w:pPr>
          </w:p>
          <w:p w14:paraId="3DBA5A06" w14:textId="77777777" w:rsidR="0029595D" w:rsidRPr="00EF5A83" w:rsidRDefault="0029595D" w:rsidP="00A30A0A">
            <w:pPr>
              <w:jc w:val="both"/>
              <w:rPr>
                <w:rFonts w:ascii="ITC Avant Garde" w:eastAsia="Calibri" w:hAnsi="ITC Avant Garde"/>
                <w:b/>
                <w:sz w:val="18"/>
                <w:szCs w:val="18"/>
                <w:shd w:val="clear" w:color="auto" w:fill="FFFFFF"/>
                <w:lang w:eastAsia="en-US"/>
              </w:rPr>
            </w:pPr>
          </w:p>
          <w:p w14:paraId="26D8EB8C" w14:textId="77777777" w:rsidR="00A30A0A" w:rsidRPr="00EF5A83" w:rsidRDefault="00A30A0A" w:rsidP="00A30A0A">
            <w:pPr>
              <w:jc w:val="both"/>
              <w:rPr>
                <w:rFonts w:ascii="ITC Avant Garde" w:eastAsia="Calibri" w:hAnsi="ITC Avant Garde"/>
                <w:b/>
                <w:sz w:val="18"/>
                <w:szCs w:val="18"/>
                <w:shd w:val="clear" w:color="auto" w:fill="FFFFFF"/>
                <w:lang w:eastAsia="en-US"/>
              </w:rPr>
            </w:pPr>
          </w:p>
          <w:p w14:paraId="6AD12D41" w14:textId="77777777" w:rsidR="00A30A0A" w:rsidRPr="00EF5A83" w:rsidRDefault="00A30A0A" w:rsidP="00A30A0A">
            <w:pPr>
              <w:tabs>
                <w:tab w:val="left" w:pos="993"/>
              </w:tabs>
              <w:ind w:right="-1"/>
              <w:jc w:val="center"/>
              <w:rPr>
                <w:rFonts w:ascii="ITC Avant Garde" w:eastAsia="Calibri" w:hAnsi="ITC Avant Garde"/>
                <w:b/>
                <w:bCs/>
                <w:sz w:val="18"/>
                <w:szCs w:val="18"/>
                <w:lang w:eastAsia="es-MX"/>
              </w:rPr>
            </w:pPr>
            <w:r w:rsidRPr="00EF5A83">
              <w:rPr>
                <w:rFonts w:ascii="ITC Avant Garde" w:eastAsia="Calibri" w:hAnsi="ITC Avant Garde"/>
                <w:b/>
                <w:bCs/>
                <w:sz w:val="18"/>
                <w:szCs w:val="18"/>
                <w:lang w:val="es-ES" w:eastAsia="es-MX"/>
              </w:rPr>
              <w:t>Sóstenes Díaz González</w:t>
            </w:r>
          </w:p>
          <w:p w14:paraId="75C1F6D1" w14:textId="77777777" w:rsidR="00A30A0A" w:rsidRPr="00EF5A83" w:rsidRDefault="00A30A0A" w:rsidP="00A30A0A">
            <w:pPr>
              <w:jc w:val="center"/>
              <w:rPr>
                <w:rFonts w:ascii="ITC Avant Garde" w:eastAsia="Calibri" w:hAnsi="ITC Avant Garde"/>
                <w:b/>
                <w:sz w:val="18"/>
                <w:szCs w:val="18"/>
                <w:shd w:val="clear" w:color="auto" w:fill="FFFFFF"/>
                <w:lang w:eastAsia="en-US"/>
              </w:rPr>
            </w:pPr>
            <w:r w:rsidRPr="00EF5A83">
              <w:rPr>
                <w:rFonts w:ascii="ITC Avant Garde" w:eastAsia="Calibri" w:hAnsi="ITC Avant Garde"/>
                <w:b/>
                <w:bCs/>
                <w:sz w:val="18"/>
                <w:szCs w:val="18"/>
                <w:lang w:eastAsia="es-MX"/>
              </w:rPr>
              <w:t>Comisionado</w:t>
            </w:r>
          </w:p>
        </w:tc>
      </w:tr>
    </w:tbl>
    <w:p w14:paraId="646ACB47" w14:textId="77777777" w:rsidR="00F00B7B" w:rsidRPr="00EF5A83" w:rsidRDefault="00F00B7B" w:rsidP="00FF3878">
      <w:pPr>
        <w:jc w:val="both"/>
        <w:rPr>
          <w:rFonts w:ascii="ITC Avant Garde" w:hAnsi="ITC Avant Garde"/>
          <w:sz w:val="18"/>
          <w:szCs w:val="18"/>
        </w:rPr>
      </w:pPr>
    </w:p>
    <w:sectPr w:rsidR="00F00B7B" w:rsidRPr="00EF5A83" w:rsidSect="00D55723">
      <w:footerReference w:type="default" r:id="rId11"/>
      <w:pgSz w:w="12240" w:h="15840"/>
      <w:pgMar w:top="1985" w:right="1418" w:bottom="1418" w:left="1418" w:header="709"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FE925" w14:textId="77777777" w:rsidR="00F815CA" w:rsidRDefault="00F815CA">
      <w:r>
        <w:separator/>
      </w:r>
    </w:p>
  </w:endnote>
  <w:endnote w:type="continuationSeparator" w:id="0">
    <w:p w14:paraId="0CE436C7" w14:textId="77777777" w:rsidR="00F815CA" w:rsidRDefault="00F8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6A34" w14:textId="77777777" w:rsidR="00A84308" w:rsidRPr="00A84308" w:rsidRDefault="00A84308" w:rsidP="00A84308">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576A" w14:textId="77777777" w:rsidR="00F815CA" w:rsidRDefault="00F815CA">
      <w:r>
        <w:separator/>
      </w:r>
    </w:p>
  </w:footnote>
  <w:footnote w:type="continuationSeparator" w:id="0">
    <w:p w14:paraId="18B8CB3A" w14:textId="77777777" w:rsidR="00F815CA" w:rsidRDefault="00F8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D54CE"/>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911B0"/>
    <w:multiLevelType w:val="hybridMultilevel"/>
    <w:tmpl w:val="5A1EBCDA"/>
    <w:lvl w:ilvl="0" w:tplc="55E493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3D7054F"/>
    <w:multiLevelType w:val="hybridMultilevel"/>
    <w:tmpl w:val="9C1A28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1"/>
  </w:num>
  <w:num w:numId="5">
    <w:abstractNumId w:val="6"/>
  </w:num>
  <w:num w:numId="6">
    <w:abstractNumId w:val="12"/>
  </w:num>
  <w:num w:numId="7">
    <w:abstractNumId w:val="10"/>
  </w:num>
  <w:num w:numId="8">
    <w:abstractNumId w:val="9"/>
  </w:num>
  <w:num w:numId="9">
    <w:abstractNumId w:val="13"/>
  </w:num>
  <w:num w:numId="10">
    <w:abstractNumId w:val="0"/>
  </w:num>
  <w:num w:numId="11">
    <w:abstractNumId w:val="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5B2B"/>
    <w:rsid w:val="0001259C"/>
    <w:rsid w:val="00014BB7"/>
    <w:rsid w:val="00020680"/>
    <w:rsid w:val="00025B73"/>
    <w:rsid w:val="00032CE8"/>
    <w:rsid w:val="00051C56"/>
    <w:rsid w:val="00081C39"/>
    <w:rsid w:val="000A1DA4"/>
    <w:rsid w:val="000A1E8C"/>
    <w:rsid w:val="000B2E4B"/>
    <w:rsid w:val="000C5359"/>
    <w:rsid w:val="000D51BE"/>
    <w:rsid w:val="000E1205"/>
    <w:rsid w:val="000E45A5"/>
    <w:rsid w:val="000F6509"/>
    <w:rsid w:val="000F70A1"/>
    <w:rsid w:val="000F7B64"/>
    <w:rsid w:val="00110A96"/>
    <w:rsid w:val="001211C1"/>
    <w:rsid w:val="00121FDF"/>
    <w:rsid w:val="00122663"/>
    <w:rsid w:val="00137D65"/>
    <w:rsid w:val="0014291C"/>
    <w:rsid w:val="00143654"/>
    <w:rsid w:val="00151463"/>
    <w:rsid w:val="00155912"/>
    <w:rsid w:val="00161065"/>
    <w:rsid w:val="00170158"/>
    <w:rsid w:val="001731B4"/>
    <w:rsid w:val="00183EBB"/>
    <w:rsid w:val="00195F56"/>
    <w:rsid w:val="001A4ACD"/>
    <w:rsid w:val="001A5378"/>
    <w:rsid w:val="001A621F"/>
    <w:rsid w:val="001A6D56"/>
    <w:rsid w:val="001C31F6"/>
    <w:rsid w:val="001D206B"/>
    <w:rsid w:val="001D3E86"/>
    <w:rsid w:val="001E26AF"/>
    <w:rsid w:val="001E272C"/>
    <w:rsid w:val="001E2765"/>
    <w:rsid w:val="001E7E83"/>
    <w:rsid w:val="001F18DD"/>
    <w:rsid w:val="00202600"/>
    <w:rsid w:val="00220DA4"/>
    <w:rsid w:val="00232374"/>
    <w:rsid w:val="002367EE"/>
    <w:rsid w:val="00241712"/>
    <w:rsid w:val="00245EB0"/>
    <w:rsid w:val="002517B0"/>
    <w:rsid w:val="002605C9"/>
    <w:rsid w:val="0026260D"/>
    <w:rsid w:val="00266B27"/>
    <w:rsid w:val="00282A20"/>
    <w:rsid w:val="00282A5F"/>
    <w:rsid w:val="0029595D"/>
    <w:rsid w:val="0029702A"/>
    <w:rsid w:val="002B0563"/>
    <w:rsid w:val="002B0CE5"/>
    <w:rsid w:val="002B2594"/>
    <w:rsid w:val="002B336B"/>
    <w:rsid w:val="002C3AAE"/>
    <w:rsid w:val="002C4704"/>
    <w:rsid w:val="002F07A4"/>
    <w:rsid w:val="00317CE8"/>
    <w:rsid w:val="00321952"/>
    <w:rsid w:val="00326E9E"/>
    <w:rsid w:val="003274A9"/>
    <w:rsid w:val="00340DDC"/>
    <w:rsid w:val="003605C6"/>
    <w:rsid w:val="003635A6"/>
    <w:rsid w:val="00365996"/>
    <w:rsid w:val="003937C2"/>
    <w:rsid w:val="003A501E"/>
    <w:rsid w:val="003A57B4"/>
    <w:rsid w:val="003B1B1B"/>
    <w:rsid w:val="003C038D"/>
    <w:rsid w:val="003C0915"/>
    <w:rsid w:val="003C4735"/>
    <w:rsid w:val="003D7511"/>
    <w:rsid w:val="003E1EC0"/>
    <w:rsid w:val="003F0842"/>
    <w:rsid w:val="003F1808"/>
    <w:rsid w:val="00402396"/>
    <w:rsid w:val="00412C90"/>
    <w:rsid w:val="00443596"/>
    <w:rsid w:val="004475AB"/>
    <w:rsid w:val="004625B3"/>
    <w:rsid w:val="004813C6"/>
    <w:rsid w:val="00481416"/>
    <w:rsid w:val="004978D9"/>
    <w:rsid w:val="004A1D64"/>
    <w:rsid w:val="004B725F"/>
    <w:rsid w:val="004D176E"/>
    <w:rsid w:val="004D17D7"/>
    <w:rsid w:val="004F1BF1"/>
    <w:rsid w:val="005003C5"/>
    <w:rsid w:val="00524DEF"/>
    <w:rsid w:val="005255DC"/>
    <w:rsid w:val="00531DEE"/>
    <w:rsid w:val="0053430F"/>
    <w:rsid w:val="00546892"/>
    <w:rsid w:val="0054691A"/>
    <w:rsid w:val="00553DC3"/>
    <w:rsid w:val="005657BD"/>
    <w:rsid w:val="00565825"/>
    <w:rsid w:val="00565E88"/>
    <w:rsid w:val="00571DCB"/>
    <w:rsid w:val="005810AF"/>
    <w:rsid w:val="00587EC5"/>
    <w:rsid w:val="00592209"/>
    <w:rsid w:val="005A62AA"/>
    <w:rsid w:val="005A7C9F"/>
    <w:rsid w:val="005D387D"/>
    <w:rsid w:val="005E564B"/>
    <w:rsid w:val="005E5830"/>
    <w:rsid w:val="005E7BEB"/>
    <w:rsid w:val="005F7749"/>
    <w:rsid w:val="00633649"/>
    <w:rsid w:val="0064104D"/>
    <w:rsid w:val="00644117"/>
    <w:rsid w:val="006520A1"/>
    <w:rsid w:val="00660800"/>
    <w:rsid w:val="006659C0"/>
    <w:rsid w:val="00680155"/>
    <w:rsid w:val="00685DEE"/>
    <w:rsid w:val="006909B8"/>
    <w:rsid w:val="006948E9"/>
    <w:rsid w:val="006C1BAE"/>
    <w:rsid w:val="006C1CAC"/>
    <w:rsid w:val="006E0437"/>
    <w:rsid w:val="006F0AF6"/>
    <w:rsid w:val="00713251"/>
    <w:rsid w:val="007205CC"/>
    <w:rsid w:val="00722C39"/>
    <w:rsid w:val="007230E0"/>
    <w:rsid w:val="007321C4"/>
    <w:rsid w:val="00744EC1"/>
    <w:rsid w:val="00751213"/>
    <w:rsid w:val="0077173D"/>
    <w:rsid w:val="007816F1"/>
    <w:rsid w:val="00784F2B"/>
    <w:rsid w:val="007851EA"/>
    <w:rsid w:val="007A04AB"/>
    <w:rsid w:val="007B578D"/>
    <w:rsid w:val="007D084C"/>
    <w:rsid w:val="007E04F7"/>
    <w:rsid w:val="007F0EB0"/>
    <w:rsid w:val="00806412"/>
    <w:rsid w:val="00807195"/>
    <w:rsid w:val="0082434B"/>
    <w:rsid w:val="00825369"/>
    <w:rsid w:val="00825E44"/>
    <w:rsid w:val="00852002"/>
    <w:rsid w:val="0086699E"/>
    <w:rsid w:val="008803B9"/>
    <w:rsid w:val="008808B5"/>
    <w:rsid w:val="00882E9E"/>
    <w:rsid w:val="00891385"/>
    <w:rsid w:val="00897457"/>
    <w:rsid w:val="008A0CC0"/>
    <w:rsid w:val="008A5F01"/>
    <w:rsid w:val="008A6876"/>
    <w:rsid w:val="008B1A87"/>
    <w:rsid w:val="008B54F1"/>
    <w:rsid w:val="008B6CD1"/>
    <w:rsid w:val="008C3B26"/>
    <w:rsid w:val="008C5731"/>
    <w:rsid w:val="008C6C31"/>
    <w:rsid w:val="008C721F"/>
    <w:rsid w:val="008D1966"/>
    <w:rsid w:val="008D564A"/>
    <w:rsid w:val="008F3699"/>
    <w:rsid w:val="00900463"/>
    <w:rsid w:val="009026F6"/>
    <w:rsid w:val="0090463B"/>
    <w:rsid w:val="00910588"/>
    <w:rsid w:val="00935532"/>
    <w:rsid w:val="0096647C"/>
    <w:rsid w:val="009825E5"/>
    <w:rsid w:val="009948E5"/>
    <w:rsid w:val="00996A5D"/>
    <w:rsid w:val="009D6690"/>
    <w:rsid w:val="009E2739"/>
    <w:rsid w:val="009E74B3"/>
    <w:rsid w:val="009E76F9"/>
    <w:rsid w:val="009F53ED"/>
    <w:rsid w:val="00A06EBB"/>
    <w:rsid w:val="00A15D79"/>
    <w:rsid w:val="00A21E2E"/>
    <w:rsid w:val="00A27745"/>
    <w:rsid w:val="00A30A0A"/>
    <w:rsid w:val="00A80479"/>
    <w:rsid w:val="00A809F7"/>
    <w:rsid w:val="00A84308"/>
    <w:rsid w:val="00A84A8A"/>
    <w:rsid w:val="00A9437E"/>
    <w:rsid w:val="00A945AD"/>
    <w:rsid w:val="00AA5870"/>
    <w:rsid w:val="00AC1927"/>
    <w:rsid w:val="00AC1CAC"/>
    <w:rsid w:val="00AC50F0"/>
    <w:rsid w:val="00AC56A0"/>
    <w:rsid w:val="00AD486C"/>
    <w:rsid w:val="00AD55DE"/>
    <w:rsid w:val="00AD676E"/>
    <w:rsid w:val="00AE1C09"/>
    <w:rsid w:val="00AE560D"/>
    <w:rsid w:val="00AF3ACD"/>
    <w:rsid w:val="00AF50FF"/>
    <w:rsid w:val="00B004CA"/>
    <w:rsid w:val="00B02B73"/>
    <w:rsid w:val="00B07204"/>
    <w:rsid w:val="00B173DF"/>
    <w:rsid w:val="00B34781"/>
    <w:rsid w:val="00B53B30"/>
    <w:rsid w:val="00B60197"/>
    <w:rsid w:val="00B63DCF"/>
    <w:rsid w:val="00B72BBF"/>
    <w:rsid w:val="00B76DDC"/>
    <w:rsid w:val="00B84BC0"/>
    <w:rsid w:val="00BA7259"/>
    <w:rsid w:val="00BC1BA3"/>
    <w:rsid w:val="00BC64C2"/>
    <w:rsid w:val="00BD1096"/>
    <w:rsid w:val="00BD4AD8"/>
    <w:rsid w:val="00BD5B2E"/>
    <w:rsid w:val="00BE6742"/>
    <w:rsid w:val="00BF4B40"/>
    <w:rsid w:val="00C26F2C"/>
    <w:rsid w:val="00C30790"/>
    <w:rsid w:val="00C445DE"/>
    <w:rsid w:val="00C52E5B"/>
    <w:rsid w:val="00C67095"/>
    <w:rsid w:val="00C7014D"/>
    <w:rsid w:val="00C90116"/>
    <w:rsid w:val="00C933B7"/>
    <w:rsid w:val="00C95170"/>
    <w:rsid w:val="00C9556E"/>
    <w:rsid w:val="00CA2858"/>
    <w:rsid w:val="00CA59EC"/>
    <w:rsid w:val="00CC6ED5"/>
    <w:rsid w:val="00CE0202"/>
    <w:rsid w:val="00CF3F00"/>
    <w:rsid w:val="00D00E71"/>
    <w:rsid w:val="00D01802"/>
    <w:rsid w:val="00D131C5"/>
    <w:rsid w:val="00D259BD"/>
    <w:rsid w:val="00D54247"/>
    <w:rsid w:val="00D55723"/>
    <w:rsid w:val="00D661D2"/>
    <w:rsid w:val="00D9006E"/>
    <w:rsid w:val="00DA38A4"/>
    <w:rsid w:val="00DA5C47"/>
    <w:rsid w:val="00DA5D5C"/>
    <w:rsid w:val="00DA660C"/>
    <w:rsid w:val="00DD0FD4"/>
    <w:rsid w:val="00DD2AA8"/>
    <w:rsid w:val="00DD4071"/>
    <w:rsid w:val="00DF3236"/>
    <w:rsid w:val="00DF3748"/>
    <w:rsid w:val="00E11CB5"/>
    <w:rsid w:val="00E14990"/>
    <w:rsid w:val="00E3650A"/>
    <w:rsid w:val="00E42B4D"/>
    <w:rsid w:val="00E55F50"/>
    <w:rsid w:val="00E729A4"/>
    <w:rsid w:val="00E803F7"/>
    <w:rsid w:val="00E810EE"/>
    <w:rsid w:val="00E84CAC"/>
    <w:rsid w:val="00E9191B"/>
    <w:rsid w:val="00E92887"/>
    <w:rsid w:val="00E92F0A"/>
    <w:rsid w:val="00E9470A"/>
    <w:rsid w:val="00E95D86"/>
    <w:rsid w:val="00E966D5"/>
    <w:rsid w:val="00EB228E"/>
    <w:rsid w:val="00EC14B1"/>
    <w:rsid w:val="00EC2975"/>
    <w:rsid w:val="00EC6A45"/>
    <w:rsid w:val="00EF0121"/>
    <w:rsid w:val="00EF3852"/>
    <w:rsid w:val="00EF5A83"/>
    <w:rsid w:val="00F00906"/>
    <w:rsid w:val="00F00B7B"/>
    <w:rsid w:val="00F05404"/>
    <w:rsid w:val="00F33F91"/>
    <w:rsid w:val="00F426E1"/>
    <w:rsid w:val="00F4282C"/>
    <w:rsid w:val="00F45AED"/>
    <w:rsid w:val="00F51400"/>
    <w:rsid w:val="00F51A9F"/>
    <w:rsid w:val="00F51CF2"/>
    <w:rsid w:val="00F5266E"/>
    <w:rsid w:val="00F529BA"/>
    <w:rsid w:val="00F63269"/>
    <w:rsid w:val="00F669BE"/>
    <w:rsid w:val="00F71D0E"/>
    <w:rsid w:val="00F7525F"/>
    <w:rsid w:val="00F75521"/>
    <w:rsid w:val="00F8053B"/>
    <w:rsid w:val="00F80866"/>
    <w:rsid w:val="00F815CA"/>
    <w:rsid w:val="00F8432C"/>
    <w:rsid w:val="00F86A8E"/>
    <w:rsid w:val="00F90030"/>
    <w:rsid w:val="00F95C41"/>
    <w:rsid w:val="00F96725"/>
    <w:rsid w:val="00FD0F65"/>
    <w:rsid w:val="00FD27C0"/>
    <w:rsid w:val="00FD604D"/>
    <w:rsid w:val="00FD7D8D"/>
    <w:rsid w:val="00FF1D10"/>
    <w:rsid w:val="00FF3878"/>
    <w:rsid w:val="00FF6A39"/>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1F7698"/>
  <w15:docId w15:val="{08244D1D-C6ED-4CC2-BC01-2D8A786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unhideWhenUsed/>
    <w:rsid w:val="00A809F7"/>
    <w:rPr>
      <w:sz w:val="16"/>
      <w:szCs w:val="16"/>
    </w:rPr>
  </w:style>
  <w:style w:type="paragraph" w:styleId="Textocomentario">
    <w:name w:val="annotation text"/>
    <w:basedOn w:val="Normal"/>
    <w:link w:val="TextocomentarioCar"/>
    <w:uiPriority w:val="99"/>
    <w:unhideWhenUsed/>
    <w:rsid w:val="00A809F7"/>
    <w:rPr>
      <w:sz w:val="20"/>
      <w:szCs w:val="20"/>
    </w:rPr>
  </w:style>
  <w:style w:type="character" w:customStyle="1" w:styleId="TextocomentarioCar">
    <w:name w:val="Texto comentario Car"/>
    <w:basedOn w:val="Fuentedeprrafopredeter"/>
    <w:link w:val="Textocomentario"/>
    <w:uiPriority w:val="99"/>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E810EE"/>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3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221212293">
      <w:bodyDiv w:val="1"/>
      <w:marLeft w:val="0"/>
      <w:marRight w:val="0"/>
      <w:marTop w:val="0"/>
      <w:marBottom w:val="0"/>
      <w:divBdr>
        <w:top w:val="none" w:sz="0" w:space="0" w:color="auto"/>
        <w:left w:val="none" w:sz="0" w:space="0" w:color="auto"/>
        <w:bottom w:val="none" w:sz="0" w:space="0" w:color="auto"/>
        <w:right w:val="none" w:sz="0" w:space="0" w:color="auto"/>
      </w:divBdr>
      <w:divsChild>
        <w:div w:id="1804300035">
          <w:marLeft w:val="0"/>
          <w:marRight w:val="0"/>
          <w:marTop w:val="0"/>
          <w:marBottom w:val="101"/>
          <w:divBdr>
            <w:top w:val="none" w:sz="0" w:space="0" w:color="auto"/>
            <w:left w:val="none" w:sz="0" w:space="0" w:color="auto"/>
            <w:bottom w:val="none" w:sz="0" w:space="0" w:color="auto"/>
            <w:right w:val="none" w:sz="0" w:space="0" w:color="auto"/>
          </w:divBdr>
        </w:div>
        <w:div w:id="1604650339">
          <w:marLeft w:val="0"/>
          <w:marRight w:val="0"/>
          <w:marTop w:val="0"/>
          <w:marBottom w:val="101"/>
          <w:divBdr>
            <w:top w:val="none" w:sz="0" w:space="0" w:color="auto"/>
            <w:left w:val="none" w:sz="0" w:space="0" w:color="auto"/>
            <w:bottom w:val="none" w:sz="0" w:space="0" w:color="auto"/>
            <w:right w:val="none" w:sz="0" w:space="0" w:color="auto"/>
          </w:divBdr>
        </w:div>
        <w:div w:id="706611182">
          <w:marLeft w:val="0"/>
          <w:marRight w:val="0"/>
          <w:marTop w:val="0"/>
          <w:marBottom w:val="101"/>
          <w:divBdr>
            <w:top w:val="none" w:sz="0" w:space="0" w:color="auto"/>
            <w:left w:val="none" w:sz="0" w:space="0" w:color="auto"/>
            <w:bottom w:val="none" w:sz="0" w:space="0" w:color="auto"/>
            <w:right w:val="none" w:sz="0" w:space="0" w:color="auto"/>
          </w:divBdr>
        </w:div>
        <w:div w:id="802774303">
          <w:marLeft w:val="720"/>
          <w:marRight w:val="0"/>
          <w:marTop w:val="0"/>
          <w:marBottom w:val="101"/>
          <w:divBdr>
            <w:top w:val="none" w:sz="0" w:space="0" w:color="auto"/>
            <w:left w:val="none" w:sz="0" w:space="0" w:color="auto"/>
            <w:bottom w:val="none" w:sz="0" w:space="0" w:color="auto"/>
            <w:right w:val="none" w:sz="0" w:space="0" w:color="auto"/>
          </w:divBdr>
        </w:div>
        <w:div w:id="227233366">
          <w:marLeft w:val="720"/>
          <w:marRight w:val="0"/>
          <w:marTop w:val="0"/>
          <w:marBottom w:val="101"/>
          <w:divBdr>
            <w:top w:val="none" w:sz="0" w:space="0" w:color="auto"/>
            <w:left w:val="none" w:sz="0" w:space="0" w:color="auto"/>
            <w:bottom w:val="none" w:sz="0" w:space="0" w:color="auto"/>
            <w:right w:val="none" w:sz="0" w:space="0" w:color="auto"/>
          </w:divBdr>
        </w:div>
        <w:div w:id="1436554208">
          <w:marLeft w:val="720"/>
          <w:marRight w:val="0"/>
          <w:marTop w:val="0"/>
          <w:marBottom w:val="101"/>
          <w:divBdr>
            <w:top w:val="none" w:sz="0" w:space="0" w:color="auto"/>
            <w:left w:val="none" w:sz="0" w:space="0" w:color="auto"/>
            <w:bottom w:val="none" w:sz="0" w:space="0" w:color="auto"/>
            <w:right w:val="none" w:sz="0" w:space="0" w:color="auto"/>
          </w:divBdr>
        </w:div>
      </w:divsChild>
    </w:div>
    <w:div w:id="377582848">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957371390">
      <w:bodyDiv w:val="1"/>
      <w:marLeft w:val="0"/>
      <w:marRight w:val="0"/>
      <w:marTop w:val="0"/>
      <w:marBottom w:val="0"/>
      <w:divBdr>
        <w:top w:val="none" w:sz="0" w:space="0" w:color="auto"/>
        <w:left w:val="none" w:sz="0" w:space="0" w:color="auto"/>
        <w:bottom w:val="none" w:sz="0" w:space="0" w:color="auto"/>
        <w:right w:val="none" w:sz="0" w:space="0" w:color="auto"/>
      </w:divBdr>
    </w:div>
    <w:div w:id="988553669">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86BB7C5F-AB98-47A1-909F-1CCFC095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68951-F2F7-4ACD-AD25-7DCBC895F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57E2C4-62D8-4ED7-B02C-D7905E25A09C}">
  <ds:schemaRefs>
    <ds:schemaRef ds:uri="http://schemas.microsoft.com/sharepoint/v3/contenttype/forms"/>
  </ds:schemaRefs>
</ds:datastoreItem>
</file>

<file path=customXml/itemProps4.xml><?xml version="1.0" encoding="utf-8"?>
<ds:datastoreItem xmlns:ds="http://schemas.openxmlformats.org/officeDocument/2006/customXml" ds:itemID="{362CB3AC-BFD7-4C41-81DD-B97DE4FA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1793</Words>
  <Characters>9867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Josue Teoyotl Calderon</cp:lastModifiedBy>
  <cp:revision>2</cp:revision>
  <cp:lastPrinted>2018-05-14T14:56:00Z</cp:lastPrinted>
  <dcterms:created xsi:type="dcterms:W3CDTF">2018-06-06T18:37:00Z</dcterms:created>
  <dcterms:modified xsi:type="dcterms:W3CDTF">2018-06-06T18:37:00Z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